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722" w:rsidRDefault="00EE5722" w:rsidP="00C51E53">
      <w:pPr>
        <w:jc w:val="center"/>
        <w:outlineLvl w:val="0"/>
        <w:rPr>
          <w:b/>
          <w:sz w:val="26"/>
          <w:szCs w:val="26"/>
        </w:rPr>
      </w:pPr>
      <w:r>
        <w:rPr>
          <w:b/>
          <w:sz w:val="26"/>
          <w:szCs w:val="26"/>
        </w:rPr>
        <w:t>PENNSYLVANIA</w:t>
      </w:r>
    </w:p>
    <w:p w:rsidR="007629EF" w:rsidRDefault="007629EF" w:rsidP="00EE5722">
      <w:pPr>
        <w:jc w:val="center"/>
        <w:outlineLvl w:val="0"/>
        <w:rPr>
          <w:b/>
          <w:sz w:val="26"/>
          <w:szCs w:val="26"/>
        </w:rPr>
      </w:pPr>
      <w:r w:rsidRPr="00EE5722">
        <w:rPr>
          <w:b/>
          <w:sz w:val="26"/>
          <w:szCs w:val="26"/>
        </w:rPr>
        <w:t>PUBLIC UTILITY COMMISSION</w:t>
      </w:r>
    </w:p>
    <w:p w:rsidR="00EE5722" w:rsidRDefault="00EE5722" w:rsidP="00EE5722">
      <w:pPr>
        <w:jc w:val="center"/>
        <w:outlineLvl w:val="0"/>
        <w:rPr>
          <w:sz w:val="26"/>
          <w:szCs w:val="26"/>
        </w:rPr>
      </w:pPr>
      <w:r>
        <w:rPr>
          <w:b/>
          <w:sz w:val="26"/>
          <w:szCs w:val="26"/>
        </w:rPr>
        <w:t>Harrisburg, PA  17105</w:t>
      </w:r>
    </w:p>
    <w:p w:rsidR="00EE5722" w:rsidRDefault="00EE5722" w:rsidP="00EE5722">
      <w:pPr>
        <w:jc w:val="center"/>
        <w:outlineLvl w:val="0"/>
        <w:rPr>
          <w:sz w:val="26"/>
          <w:szCs w:val="26"/>
        </w:rPr>
      </w:pPr>
    </w:p>
    <w:p w:rsidR="00EE5722" w:rsidRDefault="00EE5722" w:rsidP="00EE5722">
      <w:pPr>
        <w:jc w:val="center"/>
        <w:outlineLvl w:val="0"/>
        <w:rPr>
          <w:sz w:val="26"/>
          <w:szCs w:val="26"/>
        </w:rPr>
      </w:pPr>
    </w:p>
    <w:p w:rsidR="00EE5722" w:rsidRDefault="00EE5722" w:rsidP="00EE5722">
      <w:pPr>
        <w:jc w:val="right"/>
        <w:outlineLvl w:val="0"/>
        <w:rPr>
          <w:sz w:val="26"/>
          <w:szCs w:val="26"/>
        </w:rPr>
      </w:pPr>
      <w:r>
        <w:rPr>
          <w:sz w:val="26"/>
          <w:szCs w:val="26"/>
        </w:rPr>
        <w:t>Public Meeting held January 24, 2013</w:t>
      </w:r>
    </w:p>
    <w:p w:rsidR="00EE5722" w:rsidRDefault="00EE5722" w:rsidP="00EE5722">
      <w:pPr>
        <w:jc w:val="right"/>
        <w:outlineLvl w:val="0"/>
        <w:rPr>
          <w:sz w:val="26"/>
          <w:szCs w:val="26"/>
        </w:rPr>
      </w:pPr>
    </w:p>
    <w:p w:rsidR="00EE5722" w:rsidRDefault="00EE5722" w:rsidP="00EE5722">
      <w:pPr>
        <w:jc w:val="right"/>
        <w:outlineLvl w:val="0"/>
        <w:rPr>
          <w:sz w:val="26"/>
          <w:szCs w:val="26"/>
        </w:rPr>
      </w:pPr>
    </w:p>
    <w:p w:rsidR="00EE5722" w:rsidRDefault="00EE5722" w:rsidP="00EE5722">
      <w:pPr>
        <w:outlineLvl w:val="0"/>
        <w:rPr>
          <w:sz w:val="26"/>
          <w:szCs w:val="26"/>
        </w:rPr>
      </w:pPr>
      <w:r>
        <w:rPr>
          <w:sz w:val="26"/>
          <w:szCs w:val="26"/>
        </w:rPr>
        <w:t>Commissioners Present:</w:t>
      </w:r>
    </w:p>
    <w:p w:rsidR="00EE5722" w:rsidRDefault="00EE5722" w:rsidP="00EE5722">
      <w:pPr>
        <w:outlineLvl w:val="0"/>
        <w:rPr>
          <w:sz w:val="26"/>
          <w:szCs w:val="26"/>
        </w:rPr>
      </w:pPr>
    </w:p>
    <w:p w:rsidR="00EE5722" w:rsidRDefault="00EE5722" w:rsidP="00EE5722">
      <w:pPr>
        <w:outlineLvl w:val="0"/>
        <w:rPr>
          <w:sz w:val="26"/>
          <w:szCs w:val="26"/>
        </w:rPr>
      </w:pPr>
      <w:r>
        <w:rPr>
          <w:sz w:val="26"/>
          <w:szCs w:val="26"/>
        </w:rPr>
        <w:tab/>
        <w:t>Robert F. Powelson, Chairman</w:t>
      </w:r>
    </w:p>
    <w:p w:rsidR="00EE5722" w:rsidRDefault="00EE5722" w:rsidP="00EE5722">
      <w:pPr>
        <w:outlineLvl w:val="0"/>
        <w:rPr>
          <w:sz w:val="26"/>
          <w:szCs w:val="26"/>
        </w:rPr>
      </w:pPr>
      <w:r>
        <w:rPr>
          <w:sz w:val="26"/>
          <w:szCs w:val="26"/>
        </w:rPr>
        <w:tab/>
        <w:t>John F. Coleman, Jr., Vice Chairman</w:t>
      </w:r>
    </w:p>
    <w:p w:rsidR="00EE5722" w:rsidRDefault="00EE5722" w:rsidP="00EE5722">
      <w:pPr>
        <w:outlineLvl w:val="0"/>
        <w:rPr>
          <w:sz w:val="26"/>
          <w:szCs w:val="26"/>
        </w:rPr>
      </w:pPr>
      <w:r>
        <w:rPr>
          <w:sz w:val="26"/>
          <w:szCs w:val="26"/>
        </w:rPr>
        <w:tab/>
        <w:t>Wayne E. Gardner</w:t>
      </w:r>
      <w:r w:rsidR="002A1B8B">
        <w:rPr>
          <w:sz w:val="26"/>
          <w:szCs w:val="26"/>
        </w:rPr>
        <w:t>, Partial Dissenting Statement</w:t>
      </w:r>
    </w:p>
    <w:p w:rsidR="00EE5722" w:rsidRDefault="00EE5722" w:rsidP="00EE5722">
      <w:pPr>
        <w:outlineLvl w:val="0"/>
        <w:rPr>
          <w:sz w:val="26"/>
          <w:szCs w:val="26"/>
        </w:rPr>
      </w:pPr>
      <w:r>
        <w:rPr>
          <w:sz w:val="26"/>
          <w:szCs w:val="26"/>
        </w:rPr>
        <w:tab/>
        <w:t>James H. Cawley</w:t>
      </w:r>
      <w:r w:rsidR="002A1B8B">
        <w:rPr>
          <w:sz w:val="26"/>
          <w:szCs w:val="26"/>
        </w:rPr>
        <w:t>, Statement</w:t>
      </w:r>
    </w:p>
    <w:p w:rsidR="00EE5722" w:rsidRPr="00EE5722" w:rsidRDefault="00EE5722" w:rsidP="00EE5722">
      <w:pPr>
        <w:outlineLvl w:val="0"/>
        <w:rPr>
          <w:sz w:val="26"/>
          <w:szCs w:val="26"/>
        </w:rPr>
      </w:pPr>
      <w:r>
        <w:rPr>
          <w:sz w:val="26"/>
          <w:szCs w:val="26"/>
        </w:rPr>
        <w:tab/>
        <w:t>Pamela A. Witmer</w:t>
      </w:r>
      <w:r w:rsidR="002A1B8B">
        <w:rPr>
          <w:sz w:val="26"/>
          <w:szCs w:val="26"/>
        </w:rPr>
        <w:t>, Statement</w:t>
      </w:r>
    </w:p>
    <w:p w:rsidR="007629EF" w:rsidRDefault="007629EF" w:rsidP="007629EF">
      <w:pPr>
        <w:jc w:val="both"/>
        <w:rPr>
          <w:b/>
          <w:sz w:val="26"/>
          <w:szCs w:val="26"/>
        </w:rPr>
      </w:pPr>
    </w:p>
    <w:p w:rsidR="00EE5722" w:rsidRDefault="00EE5722" w:rsidP="007629EF">
      <w:pPr>
        <w:jc w:val="both"/>
        <w:rPr>
          <w:b/>
          <w:sz w:val="26"/>
          <w:szCs w:val="26"/>
        </w:rPr>
      </w:pPr>
    </w:p>
    <w:p w:rsidR="00EE5722" w:rsidRPr="00EE5722" w:rsidRDefault="00EE5722" w:rsidP="007629EF">
      <w:pPr>
        <w:jc w:val="both"/>
        <w:rPr>
          <w:b/>
          <w:sz w:val="26"/>
          <w:szCs w:val="26"/>
        </w:rPr>
      </w:pPr>
    </w:p>
    <w:p w:rsidR="007629EF" w:rsidRPr="00EE5722" w:rsidRDefault="00EE5722" w:rsidP="007629EF">
      <w:pPr>
        <w:jc w:val="both"/>
        <w:rPr>
          <w:sz w:val="26"/>
          <w:szCs w:val="26"/>
        </w:rPr>
      </w:pPr>
      <w:r>
        <w:rPr>
          <w:sz w:val="26"/>
          <w:szCs w:val="26"/>
        </w:rPr>
        <w:t>Petition of Duquesne Light Company</w:t>
      </w:r>
      <w:r>
        <w:rPr>
          <w:sz w:val="26"/>
          <w:szCs w:val="26"/>
        </w:rPr>
        <w:tab/>
      </w:r>
      <w:r>
        <w:rPr>
          <w:sz w:val="26"/>
          <w:szCs w:val="26"/>
        </w:rPr>
        <w:tab/>
      </w:r>
      <w:r>
        <w:rPr>
          <w:sz w:val="26"/>
          <w:szCs w:val="26"/>
        </w:rPr>
        <w:tab/>
      </w:r>
      <w:r>
        <w:rPr>
          <w:sz w:val="26"/>
          <w:szCs w:val="26"/>
        </w:rPr>
        <w:tab/>
      </w:r>
      <w:r>
        <w:rPr>
          <w:sz w:val="26"/>
          <w:szCs w:val="26"/>
        </w:rPr>
        <w:tab/>
      </w:r>
      <w:r w:rsidR="007629EF" w:rsidRPr="00EE5722">
        <w:rPr>
          <w:sz w:val="26"/>
          <w:szCs w:val="26"/>
        </w:rPr>
        <w:t>P-2012-2301664</w:t>
      </w:r>
    </w:p>
    <w:p w:rsidR="007629EF" w:rsidRPr="00EE5722" w:rsidRDefault="001153F4" w:rsidP="007629EF">
      <w:pPr>
        <w:rPr>
          <w:sz w:val="26"/>
          <w:szCs w:val="26"/>
        </w:rPr>
      </w:pPr>
      <w:r>
        <w:rPr>
          <w:sz w:val="26"/>
          <w:szCs w:val="26"/>
        </w:rPr>
        <w:t>f</w:t>
      </w:r>
      <w:r w:rsidR="007629EF" w:rsidRPr="00EE5722">
        <w:rPr>
          <w:sz w:val="26"/>
          <w:szCs w:val="26"/>
        </w:rPr>
        <w:t xml:space="preserve">or Approval </w:t>
      </w:r>
      <w:r>
        <w:rPr>
          <w:sz w:val="26"/>
          <w:szCs w:val="26"/>
        </w:rPr>
        <w:t>of a</w:t>
      </w:r>
      <w:r w:rsidR="00EE5722">
        <w:rPr>
          <w:sz w:val="26"/>
          <w:szCs w:val="26"/>
        </w:rPr>
        <w:t xml:space="preserve"> Default Service Program</w:t>
      </w:r>
      <w:r w:rsidR="00EE5722">
        <w:rPr>
          <w:sz w:val="26"/>
          <w:szCs w:val="26"/>
        </w:rPr>
        <w:tab/>
      </w:r>
    </w:p>
    <w:p w:rsidR="007629EF" w:rsidRDefault="001153F4" w:rsidP="007629EF">
      <w:pPr>
        <w:rPr>
          <w:sz w:val="26"/>
          <w:szCs w:val="26"/>
        </w:rPr>
      </w:pPr>
      <w:r>
        <w:rPr>
          <w:sz w:val="26"/>
          <w:szCs w:val="26"/>
        </w:rPr>
        <w:t>and Procurement Plan for the Period</w:t>
      </w:r>
    </w:p>
    <w:p w:rsidR="001153F4" w:rsidRDefault="001153F4" w:rsidP="007629EF">
      <w:pPr>
        <w:rPr>
          <w:sz w:val="26"/>
          <w:szCs w:val="26"/>
        </w:rPr>
      </w:pPr>
      <w:r>
        <w:rPr>
          <w:sz w:val="26"/>
          <w:szCs w:val="26"/>
        </w:rPr>
        <w:t>June 1, 2013 through May 31, 2015</w:t>
      </w:r>
    </w:p>
    <w:p w:rsidR="00EE5722" w:rsidRDefault="00EE5722" w:rsidP="007629EF">
      <w:pPr>
        <w:rPr>
          <w:sz w:val="26"/>
          <w:szCs w:val="26"/>
        </w:rPr>
      </w:pPr>
    </w:p>
    <w:p w:rsidR="00EE5722" w:rsidRPr="00EE5722" w:rsidRDefault="00EE5722" w:rsidP="007629EF">
      <w:pPr>
        <w:rPr>
          <w:sz w:val="26"/>
          <w:szCs w:val="26"/>
        </w:rPr>
      </w:pPr>
    </w:p>
    <w:p w:rsidR="00EE5722" w:rsidRDefault="00EE5722" w:rsidP="007629EF">
      <w:pPr>
        <w:tabs>
          <w:tab w:val="center" w:pos="4680"/>
        </w:tabs>
        <w:suppressAutoHyphens/>
        <w:jc w:val="center"/>
        <w:rPr>
          <w:b/>
          <w:spacing w:val="-3"/>
          <w:sz w:val="26"/>
          <w:szCs w:val="26"/>
        </w:rPr>
      </w:pPr>
    </w:p>
    <w:p w:rsidR="007629EF" w:rsidRPr="00EE5722" w:rsidRDefault="00EE5722" w:rsidP="007629EF">
      <w:pPr>
        <w:tabs>
          <w:tab w:val="center" w:pos="4680"/>
        </w:tabs>
        <w:suppressAutoHyphens/>
        <w:jc w:val="center"/>
        <w:rPr>
          <w:b/>
          <w:spacing w:val="-3"/>
          <w:sz w:val="26"/>
          <w:szCs w:val="26"/>
        </w:rPr>
      </w:pPr>
      <w:r>
        <w:rPr>
          <w:b/>
          <w:spacing w:val="-3"/>
          <w:sz w:val="26"/>
          <w:szCs w:val="26"/>
        </w:rPr>
        <w:t>OPINION AND ORDER</w:t>
      </w:r>
    </w:p>
    <w:p w:rsidR="007629EF" w:rsidRPr="00EE5722" w:rsidRDefault="007629EF" w:rsidP="007629EF">
      <w:pPr>
        <w:tabs>
          <w:tab w:val="center" w:pos="4680"/>
        </w:tabs>
        <w:suppressAutoHyphens/>
        <w:spacing w:line="360" w:lineRule="auto"/>
        <w:jc w:val="both"/>
        <w:rPr>
          <w:spacing w:val="-3"/>
          <w:sz w:val="26"/>
          <w:szCs w:val="26"/>
        </w:rPr>
        <w:sectPr w:rsidR="007629EF" w:rsidRPr="00EE5722" w:rsidSect="006C6975">
          <w:footerReference w:type="default" r:id="rId9"/>
          <w:pgSz w:w="12240" w:h="15840" w:code="1"/>
          <w:pgMar w:top="1440" w:right="1440" w:bottom="1440" w:left="1440" w:header="720" w:footer="720" w:gutter="0"/>
          <w:pgNumType w:start="1"/>
          <w:cols w:space="720"/>
          <w:formProt w:val="0"/>
          <w:titlePg/>
          <w:docGrid w:linePitch="360"/>
        </w:sectPr>
      </w:pPr>
    </w:p>
    <w:p w:rsidR="007629EF" w:rsidRPr="00EE5722" w:rsidRDefault="007629EF" w:rsidP="007629EF">
      <w:pPr>
        <w:tabs>
          <w:tab w:val="left" w:pos="720"/>
          <w:tab w:val="left" w:pos="1440"/>
        </w:tabs>
        <w:spacing w:line="360" w:lineRule="auto"/>
        <w:jc w:val="center"/>
        <w:rPr>
          <w:b/>
          <w:sz w:val="26"/>
          <w:szCs w:val="26"/>
          <w:u w:val="single"/>
        </w:rPr>
      </w:pPr>
      <w:r w:rsidRPr="00EE5722">
        <w:rPr>
          <w:b/>
          <w:sz w:val="26"/>
          <w:szCs w:val="26"/>
          <w:u w:val="single"/>
        </w:rPr>
        <w:lastRenderedPageBreak/>
        <w:t>TABLE OF CONTENTS</w:t>
      </w:r>
    </w:p>
    <w:p w:rsidR="0053114A" w:rsidRPr="0053114A" w:rsidRDefault="0053114A" w:rsidP="0053114A">
      <w:pPr>
        <w:pStyle w:val="TOC1"/>
        <w:tabs>
          <w:tab w:val="right" w:leader="dot" w:pos="9350"/>
        </w:tabs>
        <w:spacing w:line="360" w:lineRule="auto"/>
        <w:rPr>
          <w:rFonts w:eastAsiaTheme="minorEastAsia"/>
          <w:b w:val="0"/>
          <w:caps w:val="0"/>
          <w:szCs w:val="26"/>
        </w:rPr>
      </w:pPr>
      <w:r w:rsidRPr="0053114A">
        <w:rPr>
          <w:b w:val="0"/>
          <w:szCs w:val="26"/>
        </w:rPr>
        <w:fldChar w:fldCharType="begin"/>
      </w:r>
      <w:r w:rsidRPr="0053114A">
        <w:rPr>
          <w:b w:val="0"/>
          <w:szCs w:val="26"/>
        </w:rPr>
        <w:instrText xml:space="preserve"> TOC \h \z \u \t "Heading 1,1,Heading 2,2,Heading 3,3,Heading 4,4,Heading 5,5" </w:instrText>
      </w:r>
      <w:r w:rsidRPr="0053114A">
        <w:rPr>
          <w:b w:val="0"/>
          <w:szCs w:val="26"/>
        </w:rPr>
        <w:fldChar w:fldCharType="separate"/>
      </w:r>
      <w:hyperlink w:anchor="_Toc346705253" w:history="1">
        <w:r w:rsidRPr="0053114A">
          <w:rPr>
            <w:rStyle w:val="Hyperlink"/>
            <w:b w:val="0"/>
            <w:szCs w:val="26"/>
          </w:rPr>
          <w:t>I.</w:t>
        </w:r>
        <w:r w:rsidRPr="0053114A">
          <w:rPr>
            <w:rFonts w:eastAsiaTheme="minorEastAsia"/>
            <w:b w:val="0"/>
            <w:caps w:val="0"/>
            <w:szCs w:val="26"/>
          </w:rPr>
          <w:tab/>
        </w:r>
        <w:r w:rsidRPr="0053114A">
          <w:rPr>
            <w:rStyle w:val="Hyperlink"/>
            <w:b w:val="0"/>
            <w:szCs w:val="26"/>
          </w:rPr>
          <w:t>HISTORY OF THE PROCEEDING</w:t>
        </w:r>
        <w:r w:rsidRPr="0053114A">
          <w:rPr>
            <w:b w:val="0"/>
            <w:webHidden/>
            <w:szCs w:val="26"/>
          </w:rPr>
          <w:tab/>
        </w:r>
        <w:r w:rsidRPr="0053114A">
          <w:rPr>
            <w:b w:val="0"/>
            <w:webHidden/>
            <w:szCs w:val="26"/>
          </w:rPr>
          <w:fldChar w:fldCharType="begin"/>
        </w:r>
        <w:r w:rsidRPr="0053114A">
          <w:rPr>
            <w:b w:val="0"/>
            <w:webHidden/>
            <w:szCs w:val="26"/>
          </w:rPr>
          <w:instrText xml:space="preserve"> PAGEREF _Toc346705253 \h </w:instrText>
        </w:r>
        <w:r w:rsidRPr="0053114A">
          <w:rPr>
            <w:b w:val="0"/>
            <w:webHidden/>
            <w:szCs w:val="26"/>
          </w:rPr>
        </w:r>
        <w:r w:rsidRPr="0053114A">
          <w:rPr>
            <w:b w:val="0"/>
            <w:webHidden/>
            <w:szCs w:val="26"/>
          </w:rPr>
          <w:fldChar w:fldCharType="separate"/>
        </w:r>
        <w:r w:rsidR="002A1B8B">
          <w:rPr>
            <w:b w:val="0"/>
            <w:webHidden/>
            <w:szCs w:val="26"/>
          </w:rPr>
          <w:t>1</w:t>
        </w:r>
        <w:r w:rsidRPr="0053114A">
          <w:rPr>
            <w:b w:val="0"/>
            <w:webHidden/>
            <w:szCs w:val="26"/>
          </w:rPr>
          <w:fldChar w:fldCharType="end"/>
        </w:r>
      </w:hyperlink>
    </w:p>
    <w:p w:rsidR="0053114A" w:rsidRPr="0053114A" w:rsidRDefault="0016142D" w:rsidP="0053114A">
      <w:pPr>
        <w:pStyle w:val="TOC1"/>
        <w:tabs>
          <w:tab w:val="right" w:leader="dot" w:pos="9350"/>
        </w:tabs>
        <w:spacing w:line="360" w:lineRule="auto"/>
        <w:rPr>
          <w:rFonts w:eastAsiaTheme="minorEastAsia"/>
          <w:b w:val="0"/>
          <w:caps w:val="0"/>
          <w:szCs w:val="26"/>
        </w:rPr>
      </w:pPr>
      <w:hyperlink w:anchor="_Toc346705254" w:history="1">
        <w:r w:rsidR="0053114A" w:rsidRPr="0053114A">
          <w:rPr>
            <w:rStyle w:val="Hyperlink"/>
            <w:b w:val="0"/>
            <w:szCs w:val="26"/>
          </w:rPr>
          <w:t>II.</w:t>
        </w:r>
        <w:r w:rsidR="0053114A" w:rsidRPr="0053114A">
          <w:rPr>
            <w:rFonts w:eastAsiaTheme="minorEastAsia"/>
            <w:b w:val="0"/>
            <w:caps w:val="0"/>
            <w:szCs w:val="26"/>
          </w:rPr>
          <w:tab/>
        </w:r>
        <w:r w:rsidR="0053114A" w:rsidRPr="0053114A">
          <w:rPr>
            <w:rStyle w:val="Hyperlink"/>
            <w:b w:val="0"/>
            <w:szCs w:val="26"/>
          </w:rPr>
          <w:t>STANDARDS APPLICABLE TO DEFAULT SERVICE</w:t>
        </w:r>
        <w:r w:rsidR="0053114A" w:rsidRPr="0053114A">
          <w:rPr>
            <w:b w:val="0"/>
            <w:webHidden/>
            <w:szCs w:val="26"/>
          </w:rPr>
          <w:tab/>
        </w:r>
        <w:r w:rsidR="0053114A" w:rsidRPr="0053114A">
          <w:rPr>
            <w:b w:val="0"/>
            <w:webHidden/>
            <w:szCs w:val="26"/>
          </w:rPr>
          <w:fldChar w:fldCharType="begin"/>
        </w:r>
        <w:r w:rsidR="0053114A" w:rsidRPr="0053114A">
          <w:rPr>
            <w:b w:val="0"/>
            <w:webHidden/>
            <w:szCs w:val="26"/>
          </w:rPr>
          <w:instrText xml:space="preserve"> PAGEREF _Toc346705254 \h </w:instrText>
        </w:r>
        <w:r w:rsidR="0053114A" w:rsidRPr="0053114A">
          <w:rPr>
            <w:b w:val="0"/>
            <w:webHidden/>
            <w:szCs w:val="26"/>
          </w:rPr>
        </w:r>
        <w:r w:rsidR="0053114A" w:rsidRPr="0053114A">
          <w:rPr>
            <w:b w:val="0"/>
            <w:webHidden/>
            <w:szCs w:val="26"/>
          </w:rPr>
          <w:fldChar w:fldCharType="separate"/>
        </w:r>
        <w:r w:rsidR="002A1B8B">
          <w:rPr>
            <w:b w:val="0"/>
            <w:webHidden/>
            <w:szCs w:val="26"/>
          </w:rPr>
          <w:t>3</w:t>
        </w:r>
        <w:r w:rsidR="0053114A" w:rsidRPr="0053114A">
          <w:rPr>
            <w:b w:val="0"/>
            <w:webHidden/>
            <w:szCs w:val="26"/>
          </w:rPr>
          <w:fldChar w:fldCharType="end"/>
        </w:r>
      </w:hyperlink>
    </w:p>
    <w:p w:rsidR="0053114A" w:rsidRPr="0053114A" w:rsidRDefault="0016142D" w:rsidP="0053114A">
      <w:pPr>
        <w:pStyle w:val="TOC1"/>
        <w:tabs>
          <w:tab w:val="right" w:leader="dot" w:pos="9350"/>
        </w:tabs>
        <w:spacing w:line="360" w:lineRule="auto"/>
        <w:rPr>
          <w:rFonts w:eastAsiaTheme="minorEastAsia"/>
          <w:b w:val="0"/>
          <w:caps w:val="0"/>
          <w:szCs w:val="26"/>
        </w:rPr>
      </w:pPr>
      <w:hyperlink w:anchor="_Toc346705255" w:history="1">
        <w:r w:rsidR="0053114A" w:rsidRPr="0053114A">
          <w:rPr>
            <w:rStyle w:val="Hyperlink"/>
            <w:b w:val="0"/>
            <w:szCs w:val="26"/>
          </w:rPr>
          <w:t>III.</w:t>
        </w:r>
        <w:r w:rsidR="0053114A" w:rsidRPr="0053114A">
          <w:rPr>
            <w:rFonts w:eastAsiaTheme="minorEastAsia"/>
            <w:b w:val="0"/>
            <w:caps w:val="0"/>
            <w:szCs w:val="26"/>
          </w:rPr>
          <w:tab/>
        </w:r>
        <w:r w:rsidR="0053114A" w:rsidRPr="0053114A">
          <w:rPr>
            <w:rStyle w:val="Hyperlink"/>
            <w:b w:val="0"/>
            <w:szCs w:val="26"/>
          </w:rPr>
          <w:t>DISCUSSION</w:t>
        </w:r>
        <w:r w:rsidR="0053114A" w:rsidRPr="0053114A">
          <w:rPr>
            <w:b w:val="0"/>
            <w:webHidden/>
            <w:szCs w:val="26"/>
          </w:rPr>
          <w:tab/>
        </w:r>
        <w:r w:rsidR="0053114A" w:rsidRPr="0053114A">
          <w:rPr>
            <w:b w:val="0"/>
            <w:webHidden/>
            <w:szCs w:val="26"/>
          </w:rPr>
          <w:fldChar w:fldCharType="begin"/>
        </w:r>
        <w:r w:rsidR="0053114A" w:rsidRPr="0053114A">
          <w:rPr>
            <w:b w:val="0"/>
            <w:webHidden/>
            <w:szCs w:val="26"/>
          </w:rPr>
          <w:instrText xml:space="preserve"> PAGEREF _Toc346705255 \h </w:instrText>
        </w:r>
        <w:r w:rsidR="0053114A" w:rsidRPr="0053114A">
          <w:rPr>
            <w:b w:val="0"/>
            <w:webHidden/>
            <w:szCs w:val="26"/>
          </w:rPr>
        </w:r>
        <w:r w:rsidR="0053114A" w:rsidRPr="0053114A">
          <w:rPr>
            <w:b w:val="0"/>
            <w:webHidden/>
            <w:szCs w:val="26"/>
          </w:rPr>
          <w:fldChar w:fldCharType="separate"/>
        </w:r>
        <w:r w:rsidR="002A1B8B">
          <w:rPr>
            <w:b w:val="0"/>
            <w:webHidden/>
            <w:szCs w:val="26"/>
          </w:rPr>
          <w:t>9</w:t>
        </w:r>
        <w:r w:rsidR="0053114A" w:rsidRPr="0053114A">
          <w:rPr>
            <w:b w:val="0"/>
            <w:webHidden/>
            <w:szCs w:val="26"/>
          </w:rPr>
          <w:fldChar w:fldCharType="end"/>
        </w:r>
      </w:hyperlink>
    </w:p>
    <w:p w:rsidR="0053114A" w:rsidRPr="0053114A" w:rsidRDefault="0016142D" w:rsidP="0053114A">
      <w:pPr>
        <w:pStyle w:val="TOC2"/>
        <w:tabs>
          <w:tab w:val="left" w:pos="1440"/>
          <w:tab w:val="right" w:leader="dot" w:pos="9350"/>
        </w:tabs>
        <w:spacing w:line="360" w:lineRule="auto"/>
        <w:rPr>
          <w:rFonts w:eastAsiaTheme="minorEastAsia"/>
          <w:noProof/>
          <w:szCs w:val="26"/>
        </w:rPr>
      </w:pPr>
      <w:hyperlink w:anchor="_Toc346705256" w:history="1">
        <w:r w:rsidR="0053114A" w:rsidRPr="0053114A">
          <w:rPr>
            <w:rStyle w:val="Hyperlink"/>
            <w:noProof/>
            <w:szCs w:val="26"/>
          </w:rPr>
          <w:t>A.</w:t>
        </w:r>
        <w:r w:rsidR="0053114A" w:rsidRPr="0053114A">
          <w:rPr>
            <w:rFonts w:eastAsiaTheme="minorEastAsia"/>
            <w:noProof/>
            <w:szCs w:val="26"/>
          </w:rPr>
          <w:tab/>
        </w:r>
        <w:r w:rsidR="0053114A" w:rsidRPr="0053114A">
          <w:rPr>
            <w:rStyle w:val="Hyperlink"/>
            <w:noProof/>
            <w:szCs w:val="26"/>
          </w:rPr>
          <w:t>Burden of Proof</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_Toc346705256 \h </w:instrText>
        </w:r>
        <w:r w:rsidR="0053114A" w:rsidRPr="0053114A">
          <w:rPr>
            <w:noProof/>
            <w:webHidden/>
            <w:szCs w:val="26"/>
          </w:rPr>
        </w:r>
        <w:r w:rsidR="0053114A" w:rsidRPr="0053114A">
          <w:rPr>
            <w:noProof/>
            <w:webHidden/>
            <w:szCs w:val="26"/>
          </w:rPr>
          <w:fldChar w:fldCharType="separate"/>
        </w:r>
        <w:r w:rsidR="002A1B8B">
          <w:rPr>
            <w:noProof/>
            <w:webHidden/>
            <w:szCs w:val="26"/>
          </w:rPr>
          <w:t>9</w:t>
        </w:r>
        <w:r w:rsidR="0053114A" w:rsidRPr="0053114A">
          <w:rPr>
            <w:noProof/>
            <w:webHidden/>
            <w:szCs w:val="26"/>
          </w:rPr>
          <w:fldChar w:fldCharType="end"/>
        </w:r>
      </w:hyperlink>
    </w:p>
    <w:p w:rsidR="0053114A" w:rsidRPr="0053114A" w:rsidRDefault="0016142D" w:rsidP="0053114A">
      <w:pPr>
        <w:pStyle w:val="TOC2"/>
        <w:tabs>
          <w:tab w:val="left" w:pos="1440"/>
          <w:tab w:val="right" w:leader="dot" w:pos="9350"/>
        </w:tabs>
        <w:spacing w:line="360" w:lineRule="auto"/>
        <w:rPr>
          <w:rFonts w:eastAsiaTheme="minorEastAsia"/>
          <w:noProof/>
          <w:szCs w:val="26"/>
        </w:rPr>
      </w:pPr>
      <w:hyperlink w:anchor="_Toc346705257" w:history="1">
        <w:r w:rsidR="0053114A" w:rsidRPr="0053114A">
          <w:rPr>
            <w:rStyle w:val="Hyperlink"/>
            <w:noProof/>
            <w:szCs w:val="26"/>
          </w:rPr>
          <w:t xml:space="preserve">B. </w:t>
        </w:r>
        <w:r w:rsidR="0053114A" w:rsidRPr="0053114A">
          <w:rPr>
            <w:rFonts w:eastAsiaTheme="minorEastAsia"/>
            <w:noProof/>
            <w:szCs w:val="26"/>
          </w:rPr>
          <w:tab/>
        </w:r>
        <w:r w:rsidR="0053114A" w:rsidRPr="0053114A">
          <w:rPr>
            <w:rStyle w:val="Hyperlink"/>
            <w:noProof/>
            <w:szCs w:val="26"/>
          </w:rPr>
          <w:t>Factual Background</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_Toc346705257 \h </w:instrText>
        </w:r>
        <w:r w:rsidR="0053114A" w:rsidRPr="0053114A">
          <w:rPr>
            <w:noProof/>
            <w:webHidden/>
            <w:szCs w:val="26"/>
          </w:rPr>
        </w:r>
        <w:r w:rsidR="0053114A" w:rsidRPr="0053114A">
          <w:rPr>
            <w:noProof/>
            <w:webHidden/>
            <w:szCs w:val="26"/>
          </w:rPr>
          <w:fldChar w:fldCharType="separate"/>
        </w:r>
        <w:r w:rsidR="002A1B8B">
          <w:rPr>
            <w:noProof/>
            <w:webHidden/>
            <w:szCs w:val="26"/>
          </w:rPr>
          <w:t>9</w:t>
        </w:r>
        <w:r w:rsidR="0053114A" w:rsidRPr="0053114A">
          <w:rPr>
            <w:noProof/>
            <w:webHidden/>
            <w:szCs w:val="26"/>
          </w:rPr>
          <w:fldChar w:fldCharType="end"/>
        </w:r>
      </w:hyperlink>
    </w:p>
    <w:p w:rsidR="0053114A" w:rsidRPr="0053114A" w:rsidRDefault="0016142D" w:rsidP="0053114A">
      <w:pPr>
        <w:pStyle w:val="TOC2"/>
        <w:tabs>
          <w:tab w:val="left" w:pos="1440"/>
          <w:tab w:val="right" w:leader="dot" w:pos="9350"/>
        </w:tabs>
        <w:spacing w:line="360" w:lineRule="auto"/>
        <w:rPr>
          <w:rFonts w:eastAsiaTheme="minorEastAsia"/>
          <w:noProof/>
          <w:szCs w:val="26"/>
        </w:rPr>
      </w:pPr>
      <w:hyperlink w:anchor="_Toc346705258" w:history="1">
        <w:r w:rsidR="00284737">
          <w:rPr>
            <w:rStyle w:val="Hyperlink"/>
            <w:noProof/>
            <w:szCs w:val="26"/>
          </w:rPr>
          <w:t>C</w:t>
        </w:r>
        <w:r w:rsidR="0053114A" w:rsidRPr="0053114A">
          <w:rPr>
            <w:rStyle w:val="Hyperlink"/>
            <w:noProof/>
            <w:szCs w:val="26"/>
          </w:rPr>
          <w:t>.</w:t>
        </w:r>
        <w:r w:rsidR="0053114A" w:rsidRPr="0053114A">
          <w:rPr>
            <w:rFonts w:eastAsiaTheme="minorEastAsia"/>
            <w:noProof/>
            <w:szCs w:val="26"/>
          </w:rPr>
          <w:tab/>
        </w:r>
        <w:r w:rsidR="0053114A" w:rsidRPr="0053114A">
          <w:rPr>
            <w:rStyle w:val="Hyperlink"/>
            <w:noProof/>
            <w:szCs w:val="26"/>
          </w:rPr>
          <w:t>Default Service Procurement</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_Toc346705258 \h </w:instrText>
        </w:r>
        <w:r w:rsidR="0053114A" w:rsidRPr="0053114A">
          <w:rPr>
            <w:noProof/>
            <w:webHidden/>
            <w:szCs w:val="26"/>
          </w:rPr>
        </w:r>
        <w:r w:rsidR="0053114A" w:rsidRPr="0053114A">
          <w:rPr>
            <w:noProof/>
            <w:webHidden/>
            <w:szCs w:val="26"/>
          </w:rPr>
          <w:fldChar w:fldCharType="separate"/>
        </w:r>
        <w:r w:rsidR="002A1B8B">
          <w:rPr>
            <w:noProof/>
            <w:webHidden/>
            <w:szCs w:val="26"/>
          </w:rPr>
          <w:t>12</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259" w:history="1">
        <w:r w:rsidR="0053114A" w:rsidRPr="0053114A">
          <w:rPr>
            <w:rStyle w:val="Hyperlink"/>
            <w:noProof/>
            <w:szCs w:val="26"/>
          </w:rPr>
          <w:t>1.</w:t>
        </w:r>
        <w:r w:rsidR="0053114A" w:rsidRPr="0053114A">
          <w:rPr>
            <w:rFonts w:eastAsiaTheme="minorEastAsia"/>
            <w:noProof/>
            <w:szCs w:val="26"/>
          </w:rPr>
          <w:tab/>
        </w:r>
        <w:r w:rsidR="0053114A" w:rsidRPr="0053114A">
          <w:rPr>
            <w:rStyle w:val="Hyperlink"/>
            <w:noProof/>
            <w:szCs w:val="26"/>
          </w:rPr>
          <w:t>Residential Procurement</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_Toc346705259 \h </w:instrText>
        </w:r>
        <w:r w:rsidR="0053114A" w:rsidRPr="0053114A">
          <w:rPr>
            <w:noProof/>
            <w:webHidden/>
            <w:szCs w:val="26"/>
          </w:rPr>
        </w:r>
        <w:r w:rsidR="0053114A" w:rsidRPr="0053114A">
          <w:rPr>
            <w:noProof/>
            <w:webHidden/>
            <w:szCs w:val="26"/>
          </w:rPr>
          <w:fldChar w:fldCharType="separate"/>
        </w:r>
        <w:r w:rsidR="002A1B8B">
          <w:rPr>
            <w:noProof/>
            <w:webHidden/>
            <w:szCs w:val="26"/>
          </w:rPr>
          <w:t>12</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260" w:history="1">
        <w:r w:rsidR="0053114A" w:rsidRPr="0053114A">
          <w:rPr>
            <w:rStyle w:val="Hyperlink"/>
            <w:noProof/>
            <w:szCs w:val="26"/>
          </w:rPr>
          <w:t>a.</w:t>
        </w:r>
        <w:r w:rsidR="0053114A" w:rsidRPr="0053114A">
          <w:rPr>
            <w:rFonts w:eastAsiaTheme="minorEastAsia"/>
            <w:noProof/>
            <w:szCs w:val="26"/>
          </w:rPr>
          <w:tab/>
        </w:r>
        <w:r w:rsidR="0053114A" w:rsidRPr="0053114A">
          <w:rPr>
            <w:rStyle w:val="Hyperlink"/>
            <w:noProof/>
            <w:szCs w:val="26"/>
          </w:rPr>
          <w:t>Products and Product Terms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_Toc346705260 \h </w:instrText>
        </w:r>
        <w:r w:rsidR="0053114A" w:rsidRPr="0053114A">
          <w:rPr>
            <w:noProof/>
            <w:webHidden/>
            <w:szCs w:val="26"/>
          </w:rPr>
        </w:r>
        <w:r w:rsidR="0053114A" w:rsidRPr="0053114A">
          <w:rPr>
            <w:noProof/>
            <w:webHidden/>
            <w:szCs w:val="26"/>
          </w:rPr>
          <w:fldChar w:fldCharType="separate"/>
        </w:r>
        <w:r w:rsidR="002A1B8B">
          <w:rPr>
            <w:noProof/>
            <w:webHidden/>
            <w:szCs w:val="26"/>
          </w:rPr>
          <w:t>12</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261" w:history="1">
        <w:r w:rsidR="0053114A" w:rsidRPr="0053114A">
          <w:rPr>
            <w:rStyle w:val="Hyperlink"/>
            <w:noProof/>
            <w:szCs w:val="26"/>
          </w:rPr>
          <w:t>i.</w:t>
        </w:r>
        <w:r w:rsidR="0053114A" w:rsidRPr="0053114A">
          <w:rPr>
            <w:rFonts w:eastAsiaTheme="minorEastAsia"/>
            <w:noProof/>
            <w:szCs w:val="26"/>
          </w:rPr>
          <w:tab/>
        </w:r>
        <w:r w:rsidR="0053114A" w:rsidRPr="0053114A">
          <w:rPr>
            <w:rStyle w:val="Hyperlink"/>
            <w:noProof/>
            <w:szCs w:val="26"/>
          </w:rPr>
          <w:t>Duquesne’s Proposal</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_Toc346705261 \h </w:instrText>
        </w:r>
        <w:r w:rsidR="0053114A" w:rsidRPr="0053114A">
          <w:rPr>
            <w:noProof/>
            <w:webHidden/>
            <w:szCs w:val="26"/>
          </w:rPr>
        </w:r>
        <w:r w:rsidR="0053114A" w:rsidRPr="0053114A">
          <w:rPr>
            <w:noProof/>
            <w:webHidden/>
            <w:szCs w:val="26"/>
          </w:rPr>
          <w:fldChar w:fldCharType="separate"/>
        </w:r>
        <w:r w:rsidR="002A1B8B">
          <w:rPr>
            <w:noProof/>
            <w:webHidden/>
            <w:szCs w:val="26"/>
          </w:rPr>
          <w:t>12</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262" w:history="1">
        <w:r w:rsidR="0053114A" w:rsidRPr="0053114A">
          <w:rPr>
            <w:rStyle w:val="Hyperlink"/>
            <w:noProof/>
            <w:szCs w:val="26"/>
          </w:rPr>
          <w:t>ii.</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_Toc346705262 \h </w:instrText>
        </w:r>
        <w:r w:rsidR="0053114A" w:rsidRPr="0053114A">
          <w:rPr>
            <w:noProof/>
            <w:webHidden/>
            <w:szCs w:val="26"/>
          </w:rPr>
        </w:r>
        <w:r w:rsidR="0053114A" w:rsidRPr="0053114A">
          <w:rPr>
            <w:noProof/>
            <w:webHidden/>
            <w:szCs w:val="26"/>
          </w:rPr>
          <w:fldChar w:fldCharType="separate"/>
        </w:r>
        <w:r w:rsidR="002A1B8B">
          <w:rPr>
            <w:noProof/>
            <w:webHidden/>
            <w:szCs w:val="26"/>
          </w:rPr>
          <w:t>14</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263" w:history="1">
        <w:r w:rsidR="0053114A" w:rsidRPr="0053114A">
          <w:rPr>
            <w:rStyle w:val="Hyperlink"/>
            <w:noProof/>
            <w:szCs w:val="26"/>
          </w:rPr>
          <w:t>iii.</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_Toc346705263 \h </w:instrText>
        </w:r>
        <w:r w:rsidR="0053114A" w:rsidRPr="0053114A">
          <w:rPr>
            <w:noProof/>
            <w:webHidden/>
            <w:szCs w:val="26"/>
          </w:rPr>
        </w:r>
        <w:r w:rsidR="0053114A" w:rsidRPr="0053114A">
          <w:rPr>
            <w:noProof/>
            <w:webHidden/>
            <w:szCs w:val="26"/>
          </w:rPr>
          <w:fldChar w:fldCharType="separate"/>
        </w:r>
        <w:r w:rsidR="002A1B8B">
          <w:rPr>
            <w:noProof/>
            <w:webHidden/>
            <w:szCs w:val="26"/>
          </w:rPr>
          <w:t>19</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264" w:history="1">
        <w:r w:rsidR="0053114A" w:rsidRPr="0053114A">
          <w:rPr>
            <w:rStyle w:val="Hyperlink"/>
            <w:noProof/>
            <w:szCs w:val="26"/>
          </w:rPr>
          <w:t>iv.</w:t>
        </w:r>
        <w:r w:rsidR="0053114A" w:rsidRPr="0053114A">
          <w:rPr>
            <w:rFonts w:eastAsiaTheme="minorEastAsia"/>
            <w:noProof/>
            <w:szCs w:val="26"/>
          </w:rPr>
          <w:tab/>
        </w:r>
        <w:r w:rsidR="0053114A" w:rsidRPr="0053114A">
          <w:rPr>
            <w:rStyle w:val="Hyperlink"/>
            <w:noProof/>
            <w:szCs w:val="26"/>
          </w:rPr>
          <w:t>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_Toc346705264 \h </w:instrText>
        </w:r>
        <w:r w:rsidR="0053114A" w:rsidRPr="0053114A">
          <w:rPr>
            <w:noProof/>
            <w:webHidden/>
            <w:szCs w:val="26"/>
          </w:rPr>
        </w:r>
        <w:r w:rsidR="0053114A" w:rsidRPr="0053114A">
          <w:rPr>
            <w:noProof/>
            <w:webHidden/>
            <w:szCs w:val="26"/>
          </w:rPr>
          <w:fldChar w:fldCharType="separate"/>
        </w:r>
        <w:r w:rsidR="002A1B8B">
          <w:rPr>
            <w:noProof/>
            <w:webHidden/>
            <w:szCs w:val="26"/>
          </w:rPr>
          <w:t>20</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265" w:history="1">
        <w:r w:rsidR="0053114A" w:rsidRPr="0053114A">
          <w:rPr>
            <w:rStyle w:val="Hyperlink"/>
            <w:noProof/>
            <w:szCs w:val="26"/>
          </w:rPr>
          <w:t>v.</w:t>
        </w:r>
        <w:r w:rsidR="0053114A" w:rsidRPr="0053114A">
          <w:rPr>
            <w:rFonts w:eastAsiaTheme="minorEastAsia"/>
            <w:noProof/>
            <w:szCs w:val="26"/>
          </w:rPr>
          <w:tab/>
        </w:r>
        <w:r w:rsidR="0053114A" w:rsidRPr="0053114A">
          <w:rPr>
            <w:rStyle w:val="Hyperlink"/>
            <w:noProof/>
            <w:szCs w:val="26"/>
          </w:rPr>
          <w:t>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_Toc346705265 \h </w:instrText>
        </w:r>
        <w:r w:rsidR="0053114A" w:rsidRPr="0053114A">
          <w:rPr>
            <w:noProof/>
            <w:webHidden/>
            <w:szCs w:val="26"/>
          </w:rPr>
        </w:r>
        <w:r w:rsidR="0053114A" w:rsidRPr="0053114A">
          <w:rPr>
            <w:noProof/>
            <w:webHidden/>
            <w:szCs w:val="26"/>
          </w:rPr>
          <w:fldChar w:fldCharType="separate"/>
        </w:r>
        <w:r w:rsidR="002A1B8B">
          <w:rPr>
            <w:noProof/>
            <w:webHidden/>
            <w:szCs w:val="26"/>
          </w:rPr>
          <w:t>25</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266" w:history="1">
        <w:r w:rsidR="0053114A" w:rsidRPr="0053114A">
          <w:rPr>
            <w:rStyle w:val="Hyperlink"/>
            <w:noProof/>
            <w:szCs w:val="26"/>
          </w:rPr>
          <w:t>vi.</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_Toc346705266 \h </w:instrText>
        </w:r>
        <w:r w:rsidR="0053114A" w:rsidRPr="0053114A">
          <w:rPr>
            <w:noProof/>
            <w:webHidden/>
            <w:szCs w:val="26"/>
          </w:rPr>
        </w:r>
        <w:r w:rsidR="0053114A" w:rsidRPr="0053114A">
          <w:rPr>
            <w:noProof/>
            <w:webHidden/>
            <w:szCs w:val="26"/>
          </w:rPr>
          <w:fldChar w:fldCharType="separate"/>
        </w:r>
        <w:r w:rsidR="002A1B8B">
          <w:rPr>
            <w:noProof/>
            <w:webHidden/>
            <w:szCs w:val="26"/>
          </w:rPr>
          <w:t>36</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267" w:history="1">
        <w:r w:rsidR="00284737">
          <w:rPr>
            <w:rStyle w:val="Hyperlink"/>
            <w:noProof/>
            <w:szCs w:val="26"/>
          </w:rPr>
          <w:t>b</w:t>
        </w:r>
        <w:r w:rsidR="0053114A" w:rsidRPr="0053114A">
          <w:rPr>
            <w:rStyle w:val="Hyperlink"/>
            <w:noProof/>
            <w:szCs w:val="26"/>
          </w:rPr>
          <w:t>.</w:t>
        </w:r>
        <w:r w:rsidR="0053114A" w:rsidRPr="0053114A">
          <w:rPr>
            <w:rFonts w:eastAsiaTheme="minorEastAsia"/>
            <w:noProof/>
            <w:szCs w:val="26"/>
          </w:rPr>
          <w:tab/>
        </w:r>
        <w:r w:rsidR="0053114A" w:rsidRPr="0053114A">
          <w:rPr>
            <w:rStyle w:val="Hyperlink"/>
            <w:noProof/>
            <w:szCs w:val="26"/>
          </w:rPr>
          <w:t>Procurement Dates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_Toc346705267 \h </w:instrText>
        </w:r>
        <w:r w:rsidR="0053114A" w:rsidRPr="0053114A">
          <w:rPr>
            <w:noProof/>
            <w:webHidden/>
            <w:szCs w:val="26"/>
          </w:rPr>
        </w:r>
        <w:r w:rsidR="0053114A" w:rsidRPr="0053114A">
          <w:rPr>
            <w:noProof/>
            <w:webHidden/>
            <w:szCs w:val="26"/>
          </w:rPr>
          <w:fldChar w:fldCharType="separate"/>
        </w:r>
        <w:r w:rsidR="002A1B8B">
          <w:rPr>
            <w:noProof/>
            <w:webHidden/>
            <w:szCs w:val="26"/>
          </w:rPr>
          <w:t>39</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268" w:history="1">
        <w:r w:rsidR="0053114A" w:rsidRPr="0053114A">
          <w:rPr>
            <w:rStyle w:val="Hyperlink"/>
            <w:noProof/>
            <w:szCs w:val="26"/>
          </w:rPr>
          <w:t>i.</w:t>
        </w:r>
        <w:r w:rsidR="0053114A" w:rsidRPr="0053114A">
          <w:rPr>
            <w:rFonts w:eastAsiaTheme="minorEastAsia"/>
            <w:noProof/>
            <w:szCs w:val="26"/>
          </w:rPr>
          <w:tab/>
        </w:r>
        <w:r w:rsidR="0053114A" w:rsidRPr="0053114A">
          <w:rPr>
            <w:rStyle w:val="Hyperlink"/>
            <w:noProof/>
            <w:szCs w:val="26"/>
          </w:rPr>
          <w:t>Duquesne’s Proposal</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_Toc346705268 \h </w:instrText>
        </w:r>
        <w:r w:rsidR="0053114A" w:rsidRPr="0053114A">
          <w:rPr>
            <w:noProof/>
            <w:webHidden/>
            <w:szCs w:val="26"/>
          </w:rPr>
        </w:r>
        <w:r w:rsidR="0053114A" w:rsidRPr="0053114A">
          <w:rPr>
            <w:noProof/>
            <w:webHidden/>
            <w:szCs w:val="26"/>
          </w:rPr>
          <w:fldChar w:fldCharType="separate"/>
        </w:r>
        <w:r w:rsidR="002A1B8B">
          <w:rPr>
            <w:noProof/>
            <w:webHidden/>
            <w:szCs w:val="26"/>
          </w:rPr>
          <w:t>39</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269" w:history="1">
        <w:r w:rsidR="0053114A" w:rsidRPr="0053114A">
          <w:rPr>
            <w:rStyle w:val="Hyperlink"/>
            <w:noProof/>
            <w:szCs w:val="26"/>
          </w:rPr>
          <w:t>ii.</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_Toc346705269 \h </w:instrText>
        </w:r>
        <w:r w:rsidR="0053114A" w:rsidRPr="0053114A">
          <w:rPr>
            <w:noProof/>
            <w:webHidden/>
            <w:szCs w:val="26"/>
          </w:rPr>
        </w:r>
        <w:r w:rsidR="0053114A" w:rsidRPr="0053114A">
          <w:rPr>
            <w:noProof/>
            <w:webHidden/>
            <w:szCs w:val="26"/>
          </w:rPr>
          <w:fldChar w:fldCharType="separate"/>
        </w:r>
        <w:r w:rsidR="002A1B8B">
          <w:rPr>
            <w:noProof/>
            <w:webHidden/>
            <w:szCs w:val="26"/>
          </w:rPr>
          <w:t>40</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270" w:history="1">
        <w:r w:rsidR="0053114A" w:rsidRPr="0053114A">
          <w:rPr>
            <w:rStyle w:val="Hyperlink"/>
            <w:noProof/>
            <w:szCs w:val="26"/>
          </w:rPr>
          <w:t>iii.</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_Toc346705270 \h </w:instrText>
        </w:r>
        <w:r w:rsidR="0053114A" w:rsidRPr="0053114A">
          <w:rPr>
            <w:noProof/>
            <w:webHidden/>
            <w:szCs w:val="26"/>
          </w:rPr>
        </w:r>
        <w:r w:rsidR="0053114A" w:rsidRPr="0053114A">
          <w:rPr>
            <w:noProof/>
            <w:webHidden/>
            <w:szCs w:val="26"/>
          </w:rPr>
          <w:fldChar w:fldCharType="separate"/>
        </w:r>
        <w:r w:rsidR="002A1B8B">
          <w:rPr>
            <w:noProof/>
            <w:webHidden/>
            <w:szCs w:val="26"/>
          </w:rPr>
          <w:t>42</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271" w:history="1">
        <w:r w:rsidR="0053114A" w:rsidRPr="0053114A">
          <w:rPr>
            <w:rStyle w:val="Hyperlink"/>
            <w:noProof/>
            <w:szCs w:val="26"/>
          </w:rPr>
          <w:t>iv.</w:t>
        </w:r>
        <w:r w:rsidR="0053114A" w:rsidRPr="0053114A">
          <w:rPr>
            <w:rFonts w:eastAsiaTheme="minorEastAsia"/>
            <w:noProof/>
            <w:szCs w:val="26"/>
          </w:rPr>
          <w:tab/>
        </w:r>
        <w:r w:rsidR="0053114A" w:rsidRPr="0053114A">
          <w:rPr>
            <w:rStyle w:val="Hyperlink"/>
            <w:noProof/>
            <w:szCs w:val="26"/>
          </w:rPr>
          <w:t>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_Toc346705271 \h </w:instrText>
        </w:r>
        <w:r w:rsidR="0053114A" w:rsidRPr="0053114A">
          <w:rPr>
            <w:noProof/>
            <w:webHidden/>
            <w:szCs w:val="26"/>
          </w:rPr>
        </w:r>
        <w:r w:rsidR="0053114A" w:rsidRPr="0053114A">
          <w:rPr>
            <w:noProof/>
            <w:webHidden/>
            <w:szCs w:val="26"/>
          </w:rPr>
          <w:fldChar w:fldCharType="separate"/>
        </w:r>
        <w:r w:rsidR="002A1B8B">
          <w:rPr>
            <w:noProof/>
            <w:webHidden/>
            <w:szCs w:val="26"/>
          </w:rPr>
          <w:t>42</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272" w:history="1">
        <w:r w:rsidR="0053114A" w:rsidRPr="0053114A">
          <w:rPr>
            <w:rStyle w:val="Hyperlink"/>
            <w:noProof/>
            <w:szCs w:val="26"/>
          </w:rPr>
          <w:t>v.</w:t>
        </w:r>
        <w:r w:rsidR="0053114A" w:rsidRPr="0053114A">
          <w:rPr>
            <w:rFonts w:eastAsiaTheme="minorEastAsia"/>
            <w:noProof/>
            <w:szCs w:val="26"/>
          </w:rPr>
          <w:tab/>
        </w:r>
        <w:r w:rsidR="0053114A" w:rsidRPr="0053114A">
          <w:rPr>
            <w:rStyle w:val="Hyperlink"/>
            <w:noProof/>
            <w:szCs w:val="26"/>
          </w:rPr>
          <w:t>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_Toc346705272 \h </w:instrText>
        </w:r>
        <w:r w:rsidR="0053114A" w:rsidRPr="0053114A">
          <w:rPr>
            <w:noProof/>
            <w:webHidden/>
            <w:szCs w:val="26"/>
          </w:rPr>
        </w:r>
        <w:r w:rsidR="0053114A" w:rsidRPr="0053114A">
          <w:rPr>
            <w:noProof/>
            <w:webHidden/>
            <w:szCs w:val="26"/>
          </w:rPr>
          <w:fldChar w:fldCharType="separate"/>
        </w:r>
        <w:r w:rsidR="002A1B8B">
          <w:rPr>
            <w:noProof/>
            <w:webHidden/>
            <w:szCs w:val="26"/>
          </w:rPr>
          <w:t>44</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273" w:history="1">
        <w:r w:rsidR="0053114A" w:rsidRPr="0053114A">
          <w:rPr>
            <w:rStyle w:val="Hyperlink"/>
            <w:noProof/>
            <w:szCs w:val="26"/>
          </w:rPr>
          <w:t>iv.</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_Toc346705273 \h </w:instrText>
        </w:r>
        <w:r w:rsidR="0053114A" w:rsidRPr="0053114A">
          <w:rPr>
            <w:noProof/>
            <w:webHidden/>
            <w:szCs w:val="26"/>
          </w:rPr>
        </w:r>
        <w:r w:rsidR="0053114A" w:rsidRPr="0053114A">
          <w:rPr>
            <w:noProof/>
            <w:webHidden/>
            <w:szCs w:val="26"/>
          </w:rPr>
          <w:fldChar w:fldCharType="separate"/>
        </w:r>
        <w:r w:rsidR="002A1B8B">
          <w:rPr>
            <w:noProof/>
            <w:webHidden/>
            <w:szCs w:val="26"/>
          </w:rPr>
          <w:t>46</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274" w:history="1">
        <w:r w:rsidR="0053114A" w:rsidRPr="0053114A">
          <w:rPr>
            <w:rStyle w:val="Hyperlink"/>
            <w:noProof/>
            <w:szCs w:val="26"/>
          </w:rPr>
          <w:t>c.</w:t>
        </w:r>
        <w:r w:rsidR="0053114A" w:rsidRPr="0053114A">
          <w:rPr>
            <w:rFonts w:eastAsiaTheme="minorEastAsia"/>
            <w:noProof/>
            <w:szCs w:val="26"/>
          </w:rPr>
          <w:tab/>
        </w:r>
        <w:r w:rsidR="0053114A" w:rsidRPr="0053114A">
          <w:rPr>
            <w:rStyle w:val="Hyperlink"/>
            <w:noProof/>
            <w:szCs w:val="26"/>
          </w:rPr>
          <w:t>Reserving Supply for Opt-In Customers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_Toc346705274 \h </w:instrText>
        </w:r>
        <w:r w:rsidR="0053114A" w:rsidRPr="0053114A">
          <w:rPr>
            <w:noProof/>
            <w:webHidden/>
            <w:szCs w:val="26"/>
          </w:rPr>
        </w:r>
        <w:r w:rsidR="0053114A" w:rsidRPr="0053114A">
          <w:rPr>
            <w:noProof/>
            <w:webHidden/>
            <w:szCs w:val="26"/>
          </w:rPr>
          <w:fldChar w:fldCharType="separate"/>
        </w:r>
        <w:r w:rsidR="002A1B8B">
          <w:rPr>
            <w:noProof/>
            <w:webHidden/>
            <w:szCs w:val="26"/>
          </w:rPr>
          <w:t>46</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275" w:history="1">
        <w:r w:rsidR="0053114A" w:rsidRPr="0053114A">
          <w:rPr>
            <w:rStyle w:val="Hyperlink"/>
            <w:noProof/>
            <w:szCs w:val="26"/>
          </w:rPr>
          <w:t>i.</w:t>
        </w:r>
        <w:r w:rsidR="0053114A" w:rsidRPr="0053114A">
          <w:rPr>
            <w:rFonts w:eastAsiaTheme="minorEastAsia"/>
            <w:noProof/>
            <w:szCs w:val="26"/>
          </w:rPr>
          <w:tab/>
        </w:r>
        <w:r w:rsidR="0053114A" w:rsidRPr="0053114A">
          <w:rPr>
            <w:rStyle w:val="Hyperlink"/>
            <w:noProof/>
            <w:szCs w:val="26"/>
          </w:rPr>
          <w:t>Duquesne’s Proposal</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_Toc346705275 \h </w:instrText>
        </w:r>
        <w:r w:rsidR="0053114A" w:rsidRPr="0053114A">
          <w:rPr>
            <w:noProof/>
            <w:webHidden/>
            <w:szCs w:val="26"/>
          </w:rPr>
        </w:r>
        <w:r w:rsidR="0053114A" w:rsidRPr="0053114A">
          <w:rPr>
            <w:noProof/>
            <w:webHidden/>
            <w:szCs w:val="26"/>
          </w:rPr>
          <w:fldChar w:fldCharType="separate"/>
        </w:r>
        <w:r w:rsidR="002A1B8B">
          <w:rPr>
            <w:noProof/>
            <w:webHidden/>
            <w:szCs w:val="26"/>
          </w:rPr>
          <w:t>46</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276" w:history="1">
        <w:r w:rsidR="0053114A" w:rsidRPr="0053114A">
          <w:rPr>
            <w:rStyle w:val="Hyperlink"/>
            <w:noProof/>
            <w:szCs w:val="26"/>
          </w:rPr>
          <w:t>ii.</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_Toc346705276 \h </w:instrText>
        </w:r>
        <w:r w:rsidR="0053114A" w:rsidRPr="0053114A">
          <w:rPr>
            <w:noProof/>
            <w:webHidden/>
            <w:szCs w:val="26"/>
          </w:rPr>
        </w:r>
        <w:r w:rsidR="0053114A" w:rsidRPr="0053114A">
          <w:rPr>
            <w:noProof/>
            <w:webHidden/>
            <w:szCs w:val="26"/>
          </w:rPr>
          <w:fldChar w:fldCharType="separate"/>
        </w:r>
        <w:r w:rsidR="002A1B8B">
          <w:rPr>
            <w:noProof/>
            <w:webHidden/>
            <w:szCs w:val="26"/>
          </w:rPr>
          <w:t>47</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277" w:history="1">
        <w:r w:rsidR="0053114A" w:rsidRPr="0053114A">
          <w:rPr>
            <w:rStyle w:val="Hyperlink"/>
            <w:noProof/>
            <w:szCs w:val="26"/>
          </w:rPr>
          <w:t>iii.</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_Toc346705277 \h </w:instrText>
        </w:r>
        <w:r w:rsidR="0053114A" w:rsidRPr="0053114A">
          <w:rPr>
            <w:noProof/>
            <w:webHidden/>
            <w:szCs w:val="26"/>
          </w:rPr>
        </w:r>
        <w:r w:rsidR="0053114A" w:rsidRPr="0053114A">
          <w:rPr>
            <w:noProof/>
            <w:webHidden/>
            <w:szCs w:val="26"/>
          </w:rPr>
          <w:fldChar w:fldCharType="separate"/>
        </w:r>
        <w:r w:rsidR="002A1B8B">
          <w:rPr>
            <w:noProof/>
            <w:webHidden/>
            <w:szCs w:val="26"/>
          </w:rPr>
          <w:t>49</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278" w:history="1">
        <w:r w:rsidR="0053114A" w:rsidRPr="0053114A">
          <w:rPr>
            <w:rStyle w:val="Hyperlink"/>
            <w:noProof/>
            <w:szCs w:val="26"/>
          </w:rPr>
          <w:t>iv.</w:t>
        </w:r>
        <w:r w:rsidR="0053114A" w:rsidRPr="0053114A">
          <w:rPr>
            <w:rFonts w:eastAsiaTheme="minorEastAsia"/>
            <w:noProof/>
            <w:szCs w:val="26"/>
          </w:rPr>
          <w:tab/>
        </w:r>
        <w:r w:rsidR="0053114A" w:rsidRPr="0053114A">
          <w:rPr>
            <w:rStyle w:val="Hyperlink"/>
            <w:noProof/>
            <w:szCs w:val="26"/>
          </w:rPr>
          <w:t>Exceptions and 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_Toc346705278 \h </w:instrText>
        </w:r>
        <w:r w:rsidR="0053114A" w:rsidRPr="0053114A">
          <w:rPr>
            <w:noProof/>
            <w:webHidden/>
            <w:szCs w:val="26"/>
          </w:rPr>
        </w:r>
        <w:r w:rsidR="0053114A" w:rsidRPr="0053114A">
          <w:rPr>
            <w:noProof/>
            <w:webHidden/>
            <w:szCs w:val="26"/>
          </w:rPr>
          <w:fldChar w:fldCharType="separate"/>
        </w:r>
        <w:r w:rsidR="002A1B8B">
          <w:rPr>
            <w:noProof/>
            <w:webHidden/>
            <w:szCs w:val="26"/>
          </w:rPr>
          <w:t>49</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279" w:history="1">
        <w:r w:rsidR="0053114A" w:rsidRPr="0053114A">
          <w:rPr>
            <w:rStyle w:val="Hyperlink"/>
            <w:noProof/>
            <w:szCs w:val="26"/>
          </w:rPr>
          <w:t>v.</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_Toc346705279 \h </w:instrText>
        </w:r>
        <w:r w:rsidR="0053114A" w:rsidRPr="0053114A">
          <w:rPr>
            <w:noProof/>
            <w:webHidden/>
            <w:szCs w:val="26"/>
          </w:rPr>
        </w:r>
        <w:r w:rsidR="0053114A" w:rsidRPr="0053114A">
          <w:rPr>
            <w:noProof/>
            <w:webHidden/>
            <w:szCs w:val="26"/>
          </w:rPr>
          <w:fldChar w:fldCharType="separate"/>
        </w:r>
        <w:r w:rsidR="002A1B8B">
          <w:rPr>
            <w:noProof/>
            <w:webHidden/>
            <w:szCs w:val="26"/>
          </w:rPr>
          <w:t>50</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280" w:history="1">
        <w:r w:rsidR="0053114A" w:rsidRPr="0053114A">
          <w:rPr>
            <w:rStyle w:val="Hyperlink"/>
            <w:noProof/>
            <w:szCs w:val="26"/>
          </w:rPr>
          <w:t>2.</w:t>
        </w:r>
        <w:r w:rsidR="0053114A" w:rsidRPr="0053114A">
          <w:rPr>
            <w:rFonts w:eastAsiaTheme="minorEastAsia"/>
            <w:noProof/>
            <w:szCs w:val="26"/>
          </w:rPr>
          <w:tab/>
        </w:r>
        <w:r w:rsidR="0053114A" w:rsidRPr="0053114A">
          <w:rPr>
            <w:rStyle w:val="Hyperlink"/>
            <w:noProof/>
            <w:szCs w:val="26"/>
          </w:rPr>
          <w:t>Small C&amp;I Procurement</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_Toc346705280 \h </w:instrText>
        </w:r>
        <w:r w:rsidR="0053114A" w:rsidRPr="0053114A">
          <w:rPr>
            <w:noProof/>
            <w:webHidden/>
            <w:szCs w:val="26"/>
          </w:rPr>
        </w:r>
        <w:r w:rsidR="0053114A" w:rsidRPr="0053114A">
          <w:rPr>
            <w:noProof/>
            <w:webHidden/>
            <w:szCs w:val="26"/>
          </w:rPr>
          <w:fldChar w:fldCharType="separate"/>
        </w:r>
        <w:r w:rsidR="002A1B8B">
          <w:rPr>
            <w:noProof/>
            <w:webHidden/>
            <w:szCs w:val="26"/>
          </w:rPr>
          <w:t>50</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281" w:history="1">
        <w:r w:rsidR="0053114A" w:rsidRPr="0053114A">
          <w:rPr>
            <w:rStyle w:val="Hyperlink"/>
            <w:noProof/>
            <w:szCs w:val="26"/>
          </w:rPr>
          <w:t>a.</w:t>
        </w:r>
        <w:r w:rsidR="0053114A" w:rsidRPr="0053114A">
          <w:rPr>
            <w:rFonts w:eastAsiaTheme="minorEastAsia"/>
            <w:noProof/>
            <w:szCs w:val="26"/>
          </w:rPr>
          <w:tab/>
        </w:r>
        <w:r w:rsidR="0053114A" w:rsidRPr="0053114A">
          <w:rPr>
            <w:rStyle w:val="Hyperlink"/>
            <w:noProof/>
            <w:szCs w:val="26"/>
          </w:rPr>
          <w:t>Duquesne’s Proposal</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_Toc346705281 \h </w:instrText>
        </w:r>
        <w:r w:rsidR="0053114A" w:rsidRPr="0053114A">
          <w:rPr>
            <w:noProof/>
            <w:webHidden/>
            <w:szCs w:val="26"/>
          </w:rPr>
        </w:r>
        <w:r w:rsidR="0053114A" w:rsidRPr="0053114A">
          <w:rPr>
            <w:noProof/>
            <w:webHidden/>
            <w:szCs w:val="26"/>
          </w:rPr>
          <w:fldChar w:fldCharType="separate"/>
        </w:r>
        <w:r w:rsidR="002A1B8B">
          <w:rPr>
            <w:noProof/>
            <w:webHidden/>
            <w:szCs w:val="26"/>
          </w:rPr>
          <w:t>50</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282" w:history="1">
        <w:r w:rsidR="0053114A" w:rsidRPr="0053114A">
          <w:rPr>
            <w:rStyle w:val="Hyperlink"/>
            <w:noProof/>
            <w:szCs w:val="26"/>
          </w:rPr>
          <w:t>b.</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_Toc346705282 \h </w:instrText>
        </w:r>
        <w:r w:rsidR="0053114A" w:rsidRPr="0053114A">
          <w:rPr>
            <w:noProof/>
            <w:webHidden/>
            <w:szCs w:val="26"/>
          </w:rPr>
        </w:r>
        <w:r w:rsidR="0053114A" w:rsidRPr="0053114A">
          <w:rPr>
            <w:noProof/>
            <w:webHidden/>
            <w:szCs w:val="26"/>
          </w:rPr>
          <w:fldChar w:fldCharType="separate"/>
        </w:r>
        <w:r w:rsidR="002A1B8B">
          <w:rPr>
            <w:noProof/>
            <w:webHidden/>
            <w:szCs w:val="26"/>
          </w:rPr>
          <w:t>51</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283" w:history="1">
        <w:r w:rsidR="0053114A" w:rsidRPr="0053114A">
          <w:rPr>
            <w:rStyle w:val="Hyperlink"/>
            <w:noProof/>
            <w:szCs w:val="26"/>
          </w:rPr>
          <w:t>c.</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_Toc346705283 \h </w:instrText>
        </w:r>
        <w:r w:rsidR="0053114A" w:rsidRPr="0053114A">
          <w:rPr>
            <w:noProof/>
            <w:webHidden/>
            <w:szCs w:val="26"/>
          </w:rPr>
        </w:r>
        <w:r w:rsidR="0053114A" w:rsidRPr="0053114A">
          <w:rPr>
            <w:noProof/>
            <w:webHidden/>
            <w:szCs w:val="26"/>
          </w:rPr>
          <w:fldChar w:fldCharType="separate"/>
        </w:r>
        <w:r w:rsidR="002A1B8B">
          <w:rPr>
            <w:noProof/>
            <w:webHidden/>
            <w:szCs w:val="26"/>
          </w:rPr>
          <w:t>53</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284" w:history="1">
        <w:r w:rsidR="0053114A" w:rsidRPr="0053114A">
          <w:rPr>
            <w:rStyle w:val="Hyperlink"/>
            <w:noProof/>
            <w:szCs w:val="26"/>
          </w:rPr>
          <w:t>d.</w:t>
        </w:r>
        <w:r w:rsidR="0053114A" w:rsidRPr="0053114A">
          <w:rPr>
            <w:rFonts w:eastAsiaTheme="minorEastAsia"/>
            <w:noProof/>
            <w:szCs w:val="26"/>
          </w:rPr>
          <w:tab/>
        </w:r>
        <w:r w:rsidR="0053114A" w:rsidRPr="0053114A">
          <w:rPr>
            <w:rStyle w:val="Hyperlink"/>
            <w:noProof/>
            <w:szCs w:val="26"/>
          </w:rPr>
          <w:t>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_Toc346705284 \h </w:instrText>
        </w:r>
        <w:r w:rsidR="0053114A" w:rsidRPr="0053114A">
          <w:rPr>
            <w:noProof/>
            <w:webHidden/>
            <w:szCs w:val="26"/>
          </w:rPr>
        </w:r>
        <w:r w:rsidR="0053114A" w:rsidRPr="0053114A">
          <w:rPr>
            <w:noProof/>
            <w:webHidden/>
            <w:szCs w:val="26"/>
          </w:rPr>
          <w:fldChar w:fldCharType="separate"/>
        </w:r>
        <w:r w:rsidR="002A1B8B">
          <w:rPr>
            <w:noProof/>
            <w:webHidden/>
            <w:szCs w:val="26"/>
          </w:rPr>
          <w:t>53</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285" w:history="1">
        <w:r w:rsidR="0053114A" w:rsidRPr="0053114A">
          <w:rPr>
            <w:rStyle w:val="Hyperlink"/>
            <w:noProof/>
            <w:szCs w:val="26"/>
          </w:rPr>
          <w:t>e.</w:t>
        </w:r>
        <w:r w:rsidR="0053114A" w:rsidRPr="0053114A">
          <w:rPr>
            <w:rFonts w:eastAsiaTheme="minorEastAsia"/>
            <w:noProof/>
            <w:szCs w:val="26"/>
          </w:rPr>
          <w:tab/>
        </w:r>
        <w:r w:rsidR="0053114A" w:rsidRPr="0053114A">
          <w:rPr>
            <w:rStyle w:val="Hyperlink"/>
            <w:noProof/>
            <w:szCs w:val="26"/>
          </w:rPr>
          <w:t>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_Toc346705285 \h </w:instrText>
        </w:r>
        <w:r w:rsidR="0053114A" w:rsidRPr="0053114A">
          <w:rPr>
            <w:noProof/>
            <w:webHidden/>
            <w:szCs w:val="26"/>
          </w:rPr>
        </w:r>
        <w:r w:rsidR="0053114A" w:rsidRPr="0053114A">
          <w:rPr>
            <w:noProof/>
            <w:webHidden/>
            <w:szCs w:val="26"/>
          </w:rPr>
          <w:fldChar w:fldCharType="separate"/>
        </w:r>
        <w:r w:rsidR="002A1B8B">
          <w:rPr>
            <w:noProof/>
            <w:webHidden/>
            <w:szCs w:val="26"/>
          </w:rPr>
          <w:t>55</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286" w:history="1">
        <w:r w:rsidR="0053114A" w:rsidRPr="0053114A">
          <w:rPr>
            <w:rStyle w:val="Hyperlink"/>
            <w:noProof/>
            <w:szCs w:val="26"/>
          </w:rPr>
          <w:t>f.</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_Toc346705286 \h </w:instrText>
        </w:r>
        <w:r w:rsidR="0053114A" w:rsidRPr="0053114A">
          <w:rPr>
            <w:noProof/>
            <w:webHidden/>
            <w:szCs w:val="26"/>
          </w:rPr>
        </w:r>
        <w:r w:rsidR="0053114A" w:rsidRPr="0053114A">
          <w:rPr>
            <w:noProof/>
            <w:webHidden/>
            <w:szCs w:val="26"/>
          </w:rPr>
          <w:fldChar w:fldCharType="separate"/>
        </w:r>
        <w:r w:rsidR="002A1B8B">
          <w:rPr>
            <w:noProof/>
            <w:webHidden/>
            <w:szCs w:val="26"/>
          </w:rPr>
          <w:t>58</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287" w:history="1">
        <w:r w:rsidR="0053114A" w:rsidRPr="0053114A">
          <w:rPr>
            <w:rStyle w:val="Hyperlink"/>
            <w:noProof/>
            <w:szCs w:val="26"/>
          </w:rPr>
          <w:t>3.</w:t>
        </w:r>
        <w:r w:rsidR="0053114A" w:rsidRPr="0053114A">
          <w:rPr>
            <w:rFonts w:eastAsiaTheme="minorEastAsia"/>
            <w:noProof/>
            <w:szCs w:val="26"/>
          </w:rPr>
          <w:tab/>
        </w:r>
        <w:r w:rsidR="0053114A" w:rsidRPr="0053114A">
          <w:rPr>
            <w:rStyle w:val="Hyperlink"/>
            <w:noProof/>
            <w:szCs w:val="26"/>
          </w:rPr>
          <w:t>Medium C&amp;I Procurement</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_Toc346705287 \h </w:instrText>
        </w:r>
        <w:r w:rsidR="0053114A" w:rsidRPr="0053114A">
          <w:rPr>
            <w:noProof/>
            <w:webHidden/>
            <w:szCs w:val="26"/>
          </w:rPr>
        </w:r>
        <w:r w:rsidR="0053114A" w:rsidRPr="0053114A">
          <w:rPr>
            <w:noProof/>
            <w:webHidden/>
            <w:szCs w:val="26"/>
          </w:rPr>
          <w:fldChar w:fldCharType="separate"/>
        </w:r>
        <w:r w:rsidR="002A1B8B">
          <w:rPr>
            <w:noProof/>
            <w:webHidden/>
            <w:szCs w:val="26"/>
          </w:rPr>
          <w:t>58</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288" w:history="1">
        <w:r w:rsidR="0053114A" w:rsidRPr="0053114A">
          <w:rPr>
            <w:rStyle w:val="Hyperlink"/>
            <w:noProof/>
            <w:szCs w:val="26"/>
          </w:rPr>
          <w:t>a.</w:t>
        </w:r>
        <w:r w:rsidR="0053114A" w:rsidRPr="0053114A">
          <w:rPr>
            <w:rFonts w:eastAsiaTheme="minorEastAsia"/>
            <w:noProof/>
            <w:szCs w:val="26"/>
          </w:rPr>
          <w:tab/>
        </w:r>
        <w:r w:rsidR="0053114A" w:rsidRPr="0053114A">
          <w:rPr>
            <w:rStyle w:val="Hyperlink"/>
            <w:noProof/>
            <w:szCs w:val="26"/>
          </w:rPr>
          <w:t>Duquesne’s Proposal</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_Toc346705288 \h </w:instrText>
        </w:r>
        <w:r w:rsidR="0053114A" w:rsidRPr="0053114A">
          <w:rPr>
            <w:noProof/>
            <w:webHidden/>
            <w:szCs w:val="26"/>
          </w:rPr>
        </w:r>
        <w:r w:rsidR="0053114A" w:rsidRPr="0053114A">
          <w:rPr>
            <w:noProof/>
            <w:webHidden/>
            <w:szCs w:val="26"/>
          </w:rPr>
          <w:fldChar w:fldCharType="separate"/>
        </w:r>
        <w:r w:rsidR="002A1B8B">
          <w:rPr>
            <w:noProof/>
            <w:webHidden/>
            <w:szCs w:val="26"/>
          </w:rPr>
          <w:t>58</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289" w:history="1">
        <w:r w:rsidR="0053114A" w:rsidRPr="0053114A">
          <w:rPr>
            <w:rStyle w:val="Hyperlink"/>
            <w:noProof/>
            <w:szCs w:val="26"/>
          </w:rPr>
          <w:t>b.</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_Toc346705289 \h </w:instrText>
        </w:r>
        <w:r w:rsidR="0053114A" w:rsidRPr="0053114A">
          <w:rPr>
            <w:noProof/>
            <w:webHidden/>
            <w:szCs w:val="26"/>
          </w:rPr>
        </w:r>
        <w:r w:rsidR="0053114A" w:rsidRPr="0053114A">
          <w:rPr>
            <w:noProof/>
            <w:webHidden/>
            <w:szCs w:val="26"/>
          </w:rPr>
          <w:fldChar w:fldCharType="separate"/>
        </w:r>
        <w:r w:rsidR="002A1B8B">
          <w:rPr>
            <w:noProof/>
            <w:webHidden/>
            <w:szCs w:val="26"/>
          </w:rPr>
          <w:t>59</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290" w:history="1">
        <w:r w:rsidR="0053114A" w:rsidRPr="0053114A">
          <w:rPr>
            <w:rStyle w:val="Hyperlink"/>
            <w:noProof/>
            <w:szCs w:val="26"/>
          </w:rPr>
          <w:t>c.</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_Toc346705290 \h </w:instrText>
        </w:r>
        <w:r w:rsidR="0053114A" w:rsidRPr="0053114A">
          <w:rPr>
            <w:noProof/>
            <w:webHidden/>
            <w:szCs w:val="26"/>
          </w:rPr>
        </w:r>
        <w:r w:rsidR="0053114A" w:rsidRPr="0053114A">
          <w:rPr>
            <w:noProof/>
            <w:webHidden/>
            <w:szCs w:val="26"/>
          </w:rPr>
          <w:fldChar w:fldCharType="separate"/>
        </w:r>
        <w:r w:rsidR="002A1B8B">
          <w:rPr>
            <w:noProof/>
            <w:webHidden/>
            <w:szCs w:val="26"/>
          </w:rPr>
          <w:t>61</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291" w:history="1">
        <w:r w:rsidR="0053114A" w:rsidRPr="0053114A">
          <w:rPr>
            <w:rStyle w:val="Hyperlink"/>
            <w:noProof/>
            <w:szCs w:val="26"/>
          </w:rPr>
          <w:t>d.</w:t>
        </w:r>
        <w:r w:rsidR="0053114A" w:rsidRPr="0053114A">
          <w:rPr>
            <w:rFonts w:eastAsiaTheme="minorEastAsia"/>
            <w:noProof/>
            <w:szCs w:val="26"/>
          </w:rPr>
          <w:tab/>
        </w:r>
        <w:r w:rsidR="0053114A" w:rsidRPr="0053114A">
          <w:rPr>
            <w:rStyle w:val="Hyperlink"/>
            <w:noProof/>
            <w:szCs w:val="26"/>
          </w:rPr>
          <w:t>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_Toc346705291 \h </w:instrText>
        </w:r>
        <w:r w:rsidR="0053114A" w:rsidRPr="0053114A">
          <w:rPr>
            <w:noProof/>
            <w:webHidden/>
            <w:szCs w:val="26"/>
          </w:rPr>
        </w:r>
        <w:r w:rsidR="0053114A" w:rsidRPr="0053114A">
          <w:rPr>
            <w:noProof/>
            <w:webHidden/>
            <w:szCs w:val="26"/>
          </w:rPr>
          <w:fldChar w:fldCharType="separate"/>
        </w:r>
        <w:r w:rsidR="002A1B8B">
          <w:rPr>
            <w:noProof/>
            <w:webHidden/>
            <w:szCs w:val="26"/>
          </w:rPr>
          <w:t>61</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292" w:history="1">
        <w:r w:rsidR="0053114A" w:rsidRPr="0053114A">
          <w:rPr>
            <w:rStyle w:val="Hyperlink"/>
            <w:noProof/>
            <w:szCs w:val="26"/>
          </w:rPr>
          <w:t>e.</w:t>
        </w:r>
        <w:r w:rsidR="0053114A" w:rsidRPr="0053114A">
          <w:rPr>
            <w:rFonts w:eastAsiaTheme="minorEastAsia"/>
            <w:noProof/>
            <w:szCs w:val="26"/>
          </w:rPr>
          <w:tab/>
        </w:r>
        <w:r w:rsidR="0053114A" w:rsidRPr="0053114A">
          <w:rPr>
            <w:rStyle w:val="Hyperlink"/>
            <w:noProof/>
            <w:szCs w:val="26"/>
          </w:rPr>
          <w:t>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_Toc346705292 \h </w:instrText>
        </w:r>
        <w:r w:rsidR="0053114A" w:rsidRPr="0053114A">
          <w:rPr>
            <w:noProof/>
            <w:webHidden/>
            <w:szCs w:val="26"/>
          </w:rPr>
        </w:r>
        <w:r w:rsidR="0053114A" w:rsidRPr="0053114A">
          <w:rPr>
            <w:noProof/>
            <w:webHidden/>
            <w:szCs w:val="26"/>
          </w:rPr>
          <w:fldChar w:fldCharType="separate"/>
        </w:r>
        <w:r w:rsidR="002A1B8B">
          <w:rPr>
            <w:noProof/>
            <w:webHidden/>
            <w:szCs w:val="26"/>
          </w:rPr>
          <w:t>64</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293" w:history="1">
        <w:r w:rsidR="0053114A" w:rsidRPr="0053114A">
          <w:rPr>
            <w:rStyle w:val="Hyperlink"/>
            <w:noProof/>
            <w:szCs w:val="26"/>
          </w:rPr>
          <w:t>f.</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_Toc346705293 \h </w:instrText>
        </w:r>
        <w:r w:rsidR="0053114A" w:rsidRPr="0053114A">
          <w:rPr>
            <w:noProof/>
            <w:webHidden/>
            <w:szCs w:val="26"/>
          </w:rPr>
        </w:r>
        <w:r w:rsidR="0053114A" w:rsidRPr="0053114A">
          <w:rPr>
            <w:noProof/>
            <w:webHidden/>
            <w:szCs w:val="26"/>
          </w:rPr>
          <w:fldChar w:fldCharType="separate"/>
        </w:r>
        <w:r w:rsidR="002A1B8B">
          <w:rPr>
            <w:noProof/>
            <w:webHidden/>
            <w:szCs w:val="26"/>
          </w:rPr>
          <w:t>67</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294" w:history="1">
        <w:r w:rsidR="0053114A" w:rsidRPr="0053114A">
          <w:rPr>
            <w:rStyle w:val="Hyperlink"/>
            <w:noProof/>
            <w:szCs w:val="26"/>
          </w:rPr>
          <w:t>4.</w:t>
        </w:r>
        <w:r w:rsidR="0053114A" w:rsidRPr="0053114A">
          <w:rPr>
            <w:rFonts w:eastAsiaTheme="minorEastAsia"/>
            <w:noProof/>
            <w:szCs w:val="26"/>
          </w:rPr>
          <w:tab/>
        </w:r>
        <w:r w:rsidR="0053114A" w:rsidRPr="0053114A">
          <w:rPr>
            <w:rStyle w:val="Hyperlink"/>
            <w:noProof/>
            <w:szCs w:val="26"/>
          </w:rPr>
          <w:t>Large C&amp;I Procurement</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_Toc346705294 \h </w:instrText>
        </w:r>
        <w:r w:rsidR="0053114A" w:rsidRPr="0053114A">
          <w:rPr>
            <w:noProof/>
            <w:webHidden/>
            <w:szCs w:val="26"/>
          </w:rPr>
        </w:r>
        <w:r w:rsidR="0053114A" w:rsidRPr="0053114A">
          <w:rPr>
            <w:noProof/>
            <w:webHidden/>
            <w:szCs w:val="26"/>
          </w:rPr>
          <w:fldChar w:fldCharType="separate"/>
        </w:r>
        <w:r w:rsidR="002A1B8B">
          <w:rPr>
            <w:noProof/>
            <w:webHidden/>
            <w:szCs w:val="26"/>
          </w:rPr>
          <w:t>68</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295" w:history="1">
        <w:r w:rsidR="0053114A" w:rsidRPr="0053114A">
          <w:rPr>
            <w:rStyle w:val="Hyperlink"/>
            <w:noProof/>
            <w:szCs w:val="26"/>
          </w:rPr>
          <w:t>5.</w:t>
        </w:r>
        <w:r w:rsidR="0053114A" w:rsidRPr="0053114A">
          <w:rPr>
            <w:rFonts w:eastAsiaTheme="minorEastAsia"/>
            <w:noProof/>
            <w:szCs w:val="26"/>
          </w:rPr>
          <w:tab/>
        </w:r>
        <w:r w:rsidR="0053114A" w:rsidRPr="0053114A">
          <w:rPr>
            <w:rStyle w:val="Hyperlink"/>
            <w:noProof/>
            <w:szCs w:val="26"/>
          </w:rPr>
          <w:t>Default Supplier Load Cap</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_Toc346705295 \h </w:instrText>
        </w:r>
        <w:r w:rsidR="0053114A" w:rsidRPr="0053114A">
          <w:rPr>
            <w:noProof/>
            <w:webHidden/>
            <w:szCs w:val="26"/>
          </w:rPr>
        </w:r>
        <w:r w:rsidR="0053114A" w:rsidRPr="0053114A">
          <w:rPr>
            <w:noProof/>
            <w:webHidden/>
            <w:szCs w:val="26"/>
          </w:rPr>
          <w:fldChar w:fldCharType="separate"/>
        </w:r>
        <w:r w:rsidR="002A1B8B">
          <w:rPr>
            <w:noProof/>
            <w:webHidden/>
            <w:szCs w:val="26"/>
          </w:rPr>
          <w:t>68</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296" w:history="1">
        <w:r w:rsidR="0053114A" w:rsidRPr="0053114A">
          <w:rPr>
            <w:rStyle w:val="Hyperlink"/>
            <w:noProof/>
            <w:szCs w:val="26"/>
          </w:rPr>
          <w:t>a.</w:t>
        </w:r>
        <w:r w:rsidR="0053114A" w:rsidRPr="0053114A">
          <w:rPr>
            <w:rFonts w:eastAsiaTheme="minorEastAsia"/>
            <w:noProof/>
            <w:szCs w:val="26"/>
          </w:rPr>
          <w:tab/>
        </w:r>
        <w:r w:rsidR="0053114A" w:rsidRPr="0053114A">
          <w:rPr>
            <w:rStyle w:val="Hyperlink"/>
            <w:noProof/>
            <w:szCs w:val="26"/>
          </w:rPr>
          <w:t>Duquesne’s Proposal</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_Toc346705296 \h </w:instrText>
        </w:r>
        <w:r w:rsidR="0053114A" w:rsidRPr="0053114A">
          <w:rPr>
            <w:noProof/>
            <w:webHidden/>
            <w:szCs w:val="26"/>
          </w:rPr>
        </w:r>
        <w:r w:rsidR="0053114A" w:rsidRPr="0053114A">
          <w:rPr>
            <w:noProof/>
            <w:webHidden/>
            <w:szCs w:val="26"/>
          </w:rPr>
          <w:fldChar w:fldCharType="separate"/>
        </w:r>
        <w:r w:rsidR="002A1B8B">
          <w:rPr>
            <w:noProof/>
            <w:webHidden/>
            <w:szCs w:val="26"/>
          </w:rPr>
          <w:t>68</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297" w:history="1">
        <w:r w:rsidR="0053114A" w:rsidRPr="0053114A">
          <w:rPr>
            <w:rStyle w:val="Hyperlink"/>
            <w:noProof/>
            <w:szCs w:val="26"/>
          </w:rPr>
          <w:t>b.</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_Toc346705297 \h </w:instrText>
        </w:r>
        <w:r w:rsidR="0053114A" w:rsidRPr="0053114A">
          <w:rPr>
            <w:noProof/>
            <w:webHidden/>
            <w:szCs w:val="26"/>
          </w:rPr>
        </w:r>
        <w:r w:rsidR="0053114A" w:rsidRPr="0053114A">
          <w:rPr>
            <w:noProof/>
            <w:webHidden/>
            <w:szCs w:val="26"/>
          </w:rPr>
          <w:fldChar w:fldCharType="separate"/>
        </w:r>
        <w:r w:rsidR="002A1B8B">
          <w:rPr>
            <w:noProof/>
            <w:webHidden/>
            <w:szCs w:val="26"/>
          </w:rPr>
          <w:t>69</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298" w:history="1">
        <w:r w:rsidR="0053114A" w:rsidRPr="0053114A">
          <w:rPr>
            <w:rStyle w:val="Hyperlink"/>
            <w:noProof/>
            <w:szCs w:val="26"/>
          </w:rPr>
          <w:t>c.</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_Toc346705298 \h </w:instrText>
        </w:r>
        <w:r w:rsidR="0053114A" w:rsidRPr="0053114A">
          <w:rPr>
            <w:noProof/>
            <w:webHidden/>
            <w:szCs w:val="26"/>
          </w:rPr>
        </w:r>
        <w:r w:rsidR="0053114A" w:rsidRPr="0053114A">
          <w:rPr>
            <w:noProof/>
            <w:webHidden/>
            <w:szCs w:val="26"/>
          </w:rPr>
          <w:fldChar w:fldCharType="separate"/>
        </w:r>
        <w:r w:rsidR="002A1B8B">
          <w:rPr>
            <w:noProof/>
            <w:webHidden/>
            <w:szCs w:val="26"/>
          </w:rPr>
          <w:t>71</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299" w:history="1">
        <w:r w:rsidR="0053114A" w:rsidRPr="0053114A">
          <w:rPr>
            <w:rStyle w:val="Hyperlink"/>
            <w:noProof/>
            <w:szCs w:val="26"/>
          </w:rPr>
          <w:t>d.</w:t>
        </w:r>
        <w:r w:rsidR="0053114A" w:rsidRPr="0053114A">
          <w:rPr>
            <w:rFonts w:eastAsiaTheme="minorEastAsia"/>
            <w:noProof/>
            <w:szCs w:val="26"/>
          </w:rPr>
          <w:tab/>
        </w:r>
        <w:r w:rsidR="0053114A" w:rsidRPr="0053114A">
          <w:rPr>
            <w:rStyle w:val="Hyperlink"/>
            <w:noProof/>
            <w:szCs w:val="26"/>
          </w:rPr>
          <w:t>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_Toc346705299 \h </w:instrText>
        </w:r>
        <w:r w:rsidR="0053114A" w:rsidRPr="0053114A">
          <w:rPr>
            <w:noProof/>
            <w:webHidden/>
            <w:szCs w:val="26"/>
          </w:rPr>
        </w:r>
        <w:r w:rsidR="0053114A" w:rsidRPr="0053114A">
          <w:rPr>
            <w:noProof/>
            <w:webHidden/>
            <w:szCs w:val="26"/>
          </w:rPr>
          <w:fldChar w:fldCharType="separate"/>
        </w:r>
        <w:r w:rsidR="002A1B8B">
          <w:rPr>
            <w:noProof/>
            <w:webHidden/>
            <w:szCs w:val="26"/>
          </w:rPr>
          <w:t>71</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300" w:history="1">
        <w:r w:rsidR="0053114A" w:rsidRPr="0053114A">
          <w:rPr>
            <w:rStyle w:val="Hyperlink"/>
            <w:noProof/>
            <w:szCs w:val="26"/>
          </w:rPr>
          <w:t>e.</w:t>
        </w:r>
        <w:r w:rsidR="0053114A" w:rsidRPr="0053114A">
          <w:rPr>
            <w:rFonts w:eastAsiaTheme="minorEastAsia"/>
            <w:noProof/>
            <w:szCs w:val="26"/>
          </w:rPr>
          <w:tab/>
        </w:r>
        <w:r w:rsidR="0053114A" w:rsidRPr="0053114A">
          <w:rPr>
            <w:rStyle w:val="Hyperlink"/>
            <w:noProof/>
            <w:szCs w:val="26"/>
          </w:rPr>
          <w:t>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_Toc346705300 \h </w:instrText>
        </w:r>
        <w:r w:rsidR="0053114A" w:rsidRPr="0053114A">
          <w:rPr>
            <w:noProof/>
            <w:webHidden/>
            <w:szCs w:val="26"/>
          </w:rPr>
        </w:r>
        <w:r w:rsidR="0053114A" w:rsidRPr="0053114A">
          <w:rPr>
            <w:noProof/>
            <w:webHidden/>
            <w:szCs w:val="26"/>
          </w:rPr>
          <w:fldChar w:fldCharType="separate"/>
        </w:r>
        <w:r w:rsidR="002A1B8B">
          <w:rPr>
            <w:noProof/>
            <w:webHidden/>
            <w:szCs w:val="26"/>
          </w:rPr>
          <w:t>73</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301" w:history="1">
        <w:r w:rsidR="0053114A" w:rsidRPr="0053114A">
          <w:rPr>
            <w:rStyle w:val="Hyperlink"/>
            <w:noProof/>
            <w:szCs w:val="26"/>
          </w:rPr>
          <w:t>f.</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_Toc346705301 \h </w:instrText>
        </w:r>
        <w:r w:rsidR="0053114A" w:rsidRPr="0053114A">
          <w:rPr>
            <w:noProof/>
            <w:webHidden/>
            <w:szCs w:val="26"/>
          </w:rPr>
        </w:r>
        <w:r w:rsidR="0053114A" w:rsidRPr="0053114A">
          <w:rPr>
            <w:noProof/>
            <w:webHidden/>
            <w:szCs w:val="26"/>
          </w:rPr>
          <w:fldChar w:fldCharType="separate"/>
        </w:r>
        <w:r w:rsidR="002A1B8B">
          <w:rPr>
            <w:noProof/>
            <w:webHidden/>
            <w:szCs w:val="26"/>
          </w:rPr>
          <w:t>74</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302" w:history="1">
        <w:r w:rsidR="0053114A" w:rsidRPr="0053114A">
          <w:rPr>
            <w:rStyle w:val="Hyperlink"/>
            <w:noProof/>
            <w:szCs w:val="26"/>
          </w:rPr>
          <w:t>6.</w:t>
        </w:r>
        <w:r w:rsidR="0053114A" w:rsidRPr="0053114A">
          <w:rPr>
            <w:rFonts w:eastAsiaTheme="minorEastAsia"/>
            <w:noProof/>
            <w:szCs w:val="26"/>
          </w:rPr>
          <w:tab/>
        </w:r>
        <w:r w:rsidR="0053114A" w:rsidRPr="0053114A">
          <w:rPr>
            <w:rStyle w:val="Hyperlink"/>
            <w:noProof/>
            <w:szCs w:val="26"/>
          </w:rPr>
          <w:t>Procurements for Delivery After May 31, 2015</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_Toc346705302 \h </w:instrText>
        </w:r>
        <w:r w:rsidR="0053114A" w:rsidRPr="0053114A">
          <w:rPr>
            <w:noProof/>
            <w:webHidden/>
            <w:szCs w:val="26"/>
          </w:rPr>
        </w:r>
        <w:r w:rsidR="0053114A" w:rsidRPr="0053114A">
          <w:rPr>
            <w:noProof/>
            <w:webHidden/>
            <w:szCs w:val="26"/>
          </w:rPr>
          <w:fldChar w:fldCharType="separate"/>
        </w:r>
        <w:r w:rsidR="002A1B8B">
          <w:rPr>
            <w:noProof/>
            <w:webHidden/>
            <w:szCs w:val="26"/>
          </w:rPr>
          <w:t>74</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303" w:history="1">
        <w:r w:rsidR="0053114A" w:rsidRPr="0053114A">
          <w:rPr>
            <w:rStyle w:val="Hyperlink"/>
            <w:noProof/>
            <w:szCs w:val="26"/>
          </w:rPr>
          <w:t>a.</w:t>
        </w:r>
        <w:r w:rsidR="0053114A" w:rsidRPr="0053114A">
          <w:rPr>
            <w:rFonts w:eastAsiaTheme="minorEastAsia"/>
            <w:noProof/>
            <w:szCs w:val="26"/>
          </w:rPr>
          <w:tab/>
        </w:r>
        <w:r w:rsidR="0053114A" w:rsidRPr="0053114A">
          <w:rPr>
            <w:rStyle w:val="Hyperlink"/>
            <w:noProof/>
            <w:szCs w:val="26"/>
          </w:rPr>
          <w:t>Duquesne’s Proposal</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_Toc346705303 \h </w:instrText>
        </w:r>
        <w:r w:rsidR="0053114A" w:rsidRPr="0053114A">
          <w:rPr>
            <w:noProof/>
            <w:webHidden/>
            <w:szCs w:val="26"/>
          </w:rPr>
        </w:r>
        <w:r w:rsidR="0053114A" w:rsidRPr="0053114A">
          <w:rPr>
            <w:noProof/>
            <w:webHidden/>
            <w:szCs w:val="26"/>
          </w:rPr>
          <w:fldChar w:fldCharType="separate"/>
        </w:r>
        <w:r w:rsidR="002A1B8B">
          <w:rPr>
            <w:noProof/>
            <w:webHidden/>
            <w:szCs w:val="26"/>
          </w:rPr>
          <w:t>74</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304" w:history="1">
        <w:r w:rsidR="0053114A" w:rsidRPr="0053114A">
          <w:rPr>
            <w:rStyle w:val="Hyperlink"/>
            <w:noProof/>
            <w:szCs w:val="26"/>
          </w:rPr>
          <w:t>b.</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_Toc346705304 \h </w:instrText>
        </w:r>
        <w:r w:rsidR="0053114A" w:rsidRPr="0053114A">
          <w:rPr>
            <w:noProof/>
            <w:webHidden/>
            <w:szCs w:val="26"/>
          </w:rPr>
        </w:r>
        <w:r w:rsidR="0053114A" w:rsidRPr="0053114A">
          <w:rPr>
            <w:noProof/>
            <w:webHidden/>
            <w:szCs w:val="26"/>
          </w:rPr>
          <w:fldChar w:fldCharType="separate"/>
        </w:r>
        <w:r w:rsidR="002A1B8B">
          <w:rPr>
            <w:noProof/>
            <w:webHidden/>
            <w:szCs w:val="26"/>
          </w:rPr>
          <w:t>76</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305" w:history="1">
        <w:r w:rsidR="0053114A" w:rsidRPr="0053114A">
          <w:rPr>
            <w:rStyle w:val="Hyperlink"/>
            <w:noProof/>
            <w:szCs w:val="26"/>
          </w:rPr>
          <w:t>c.</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_Toc346705305 \h </w:instrText>
        </w:r>
        <w:r w:rsidR="0053114A" w:rsidRPr="0053114A">
          <w:rPr>
            <w:noProof/>
            <w:webHidden/>
            <w:szCs w:val="26"/>
          </w:rPr>
        </w:r>
        <w:r w:rsidR="0053114A" w:rsidRPr="0053114A">
          <w:rPr>
            <w:noProof/>
            <w:webHidden/>
            <w:szCs w:val="26"/>
          </w:rPr>
          <w:fldChar w:fldCharType="separate"/>
        </w:r>
        <w:r w:rsidR="002A1B8B">
          <w:rPr>
            <w:noProof/>
            <w:webHidden/>
            <w:szCs w:val="26"/>
          </w:rPr>
          <w:t>77</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306" w:history="1">
        <w:r w:rsidR="0053114A" w:rsidRPr="0053114A">
          <w:rPr>
            <w:rStyle w:val="Hyperlink"/>
            <w:noProof/>
            <w:szCs w:val="26"/>
          </w:rPr>
          <w:t>d.</w:t>
        </w:r>
        <w:r w:rsidR="0053114A" w:rsidRPr="0053114A">
          <w:rPr>
            <w:rFonts w:eastAsiaTheme="minorEastAsia"/>
            <w:noProof/>
            <w:szCs w:val="26"/>
          </w:rPr>
          <w:tab/>
        </w:r>
        <w:r w:rsidR="0053114A" w:rsidRPr="0053114A">
          <w:rPr>
            <w:rStyle w:val="Hyperlink"/>
            <w:noProof/>
            <w:szCs w:val="26"/>
          </w:rPr>
          <w:t>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_Toc346705306 \h </w:instrText>
        </w:r>
        <w:r w:rsidR="0053114A" w:rsidRPr="0053114A">
          <w:rPr>
            <w:noProof/>
            <w:webHidden/>
            <w:szCs w:val="26"/>
          </w:rPr>
        </w:r>
        <w:r w:rsidR="0053114A" w:rsidRPr="0053114A">
          <w:rPr>
            <w:noProof/>
            <w:webHidden/>
            <w:szCs w:val="26"/>
          </w:rPr>
          <w:fldChar w:fldCharType="separate"/>
        </w:r>
        <w:r w:rsidR="002A1B8B">
          <w:rPr>
            <w:noProof/>
            <w:webHidden/>
            <w:szCs w:val="26"/>
          </w:rPr>
          <w:t>77</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307" w:history="1">
        <w:r w:rsidR="0053114A" w:rsidRPr="0053114A">
          <w:rPr>
            <w:rStyle w:val="Hyperlink"/>
            <w:noProof/>
            <w:szCs w:val="26"/>
          </w:rPr>
          <w:t>e.</w:t>
        </w:r>
        <w:r w:rsidR="0053114A" w:rsidRPr="0053114A">
          <w:rPr>
            <w:rFonts w:eastAsiaTheme="minorEastAsia"/>
            <w:noProof/>
            <w:szCs w:val="26"/>
          </w:rPr>
          <w:tab/>
        </w:r>
        <w:r w:rsidR="0053114A" w:rsidRPr="0053114A">
          <w:rPr>
            <w:rStyle w:val="Hyperlink"/>
            <w:noProof/>
            <w:szCs w:val="26"/>
          </w:rPr>
          <w:t>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_Toc346705307 \h </w:instrText>
        </w:r>
        <w:r w:rsidR="0053114A" w:rsidRPr="0053114A">
          <w:rPr>
            <w:noProof/>
            <w:webHidden/>
            <w:szCs w:val="26"/>
          </w:rPr>
        </w:r>
        <w:r w:rsidR="0053114A" w:rsidRPr="0053114A">
          <w:rPr>
            <w:noProof/>
            <w:webHidden/>
            <w:szCs w:val="26"/>
          </w:rPr>
          <w:fldChar w:fldCharType="separate"/>
        </w:r>
        <w:r w:rsidR="002A1B8B">
          <w:rPr>
            <w:noProof/>
            <w:webHidden/>
            <w:szCs w:val="26"/>
          </w:rPr>
          <w:t>78</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308" w:history="1">
        <w:r w:rsidR="0053114A" w:rsidRPr="0053114A">
          <w:rPr>
            <w:rStyle w:val="Hyperlink"/>
            <w:noProof/>
            <w:szCs w:val="26"/>
          </w:rPr>
          <w:t>f.</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_Toc346705308 \h </w:instrText>
        </w:r>
        <w:r w:rsidR="0053114A" w:rsidRPr="0053114A">
          <w:rPr>
            <w:noProof/>
            <w:webHidden/>
            <w:szCs w:val="26"/>
          </w:rPr>
        </w:r>
        <w:r w:rsidR="0053114A" w:rsidRPr="0053114A">
          <w:rPr>
            <w:noProof/>
            <w:webHidden/>
            <w:szCs w:val="26"/>
          </w:rPr>
          <w:fldChar w:fldCharType="separate"/>
        </w:r>
        <w:r w:rsidR="002A1B8B">
          <w:rPr>
            <w:noProof/>
            <w:webHidden/>
            <w:szCs w:val="26"/>
          </w:rPr>
          <w:t>80</w:t>
        </w:r>
        <w:r w:rsidR="0053114A" w:rsidRPr="0053114A">
          <w:rPr>
            <w:noProof/>
            <w:webHidden/>
            <w:szCs w:val="26"/>
          </w:rPr>
          <w:fldChar w:fldCharType="end"/>
        </w:r>
      </w:hyperlink>
    </w:p>
    <w:p w:rsidR="0053114A" w:rsidRPr="0053114A" w:rsidRDefault="0016142D" w:rsidP="0053114A">
      <w:pPr>
        <w:pStyle w:val="TOC2"/>
        <w:tabs>
          <w:tab w:val="left" w:pos="1440"/>
          <w:tab w:val="right" w:leader="dot" w:pos="9350"/>
        </w:tabs>
        <w:spacing w:line="360" w:lineRule="auto"/>
        <w:rPr>
          <w:rFonts w:eastAsiaTheme="minorEastAsia"/>
          <w:noProof/>
          <w:szCs w:val="26"/>
        </w:rPr>
      </w:pPr>
      <w:hyperlink w:anchor="_Toc346705309" w:history="1">
        <w:r w:rsidR="0053114A" w:rsidRPr="0053114A">
          <w:rPr>
            <w:rStyle w:val="Hyperlink"/>
            <w:noProof/>
            <w:szCs w:val="26"/>
          </w:rPr>
          <w:t>D.</w:t>
        </w:r>
        <w:r w:rsidR="0053114A" w:rsidRPr="0053114A">
          <w:rPr>
            <w:rFonts w:eastAsiaTheme="minorEastAsia"/>
            <w:noProof/>
            <w:szCs w:val="26"/>
          </w:rPr>
          <w:tab/>
        </w:r>
        <w:r w:rsidR="0053114A" w:rsidRPr="0053114A">
          <w:rPr>
            <w:rStyle w:val="Hyperlink"/>
            <w:noProof/>
            <w:szCs w:val="26"/>
          </w:rPr>
          <w:t>Retail Market Enhancement (RME) Programs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_Toc346705309 \h </w:instrText>
        </w:r>
        <w:r w:rsidR="0053114A" w:rsidRPr="0053114A">
          <w:rPr>
            <w:noProof/>
            <w:webHidden/>
            <w:szCs w:val="26"/>
          </w:rPr>
        </w:r>
        <w:r w:rsidR="0053114A" w:rsidRPr="0053114A">
          <w:rPr>
            <w:noProof/>
            <w:webHidden/>
            <w:szCs w:val="26"/>
          </w:rPr>
          <w:fldChar w:fldCharType="separate"/>
        </w:r>
        <w:r w:rsidR="002A1B8B">
          <w:rPr>
            <w:noProof/>
            <w:webHidden/>
            <w:szCs w:val="26"/>
          </w:rPr>
          <w:t>81</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310" w:history="1">
        <w:r w:rsidR="0053114A" w:rsidRPr="0053114A">
          <w:rPr>
            <w:rStyle w:val="Hyperlink"/>
            <w:noProof/>
            <w:szCs w:val="26"/>
          </w:rPr>
          <w:t>1.</w:t>
        </w:r>
        <w:r w:rsidR="0053114A" w:rsidRPr="0053114A">
          <w:rPr>
            <w:rFonts w:eastAsiaTheme="minorEastAsia"/>
            <w:noProof/>
            <w:szCs w:val="26"/>
          </w:rPr>
          <w:tab/>
        </w:r>
        <w:r w:rsidR="0053114A" w:rsidRPr="0053114A">
          <w:rPr>
            <w:rStyle w:val="Hyperlink"/>
            <w:noProof/>
            <w:szCs w:val="26"/>
          </w:rPr>
          <w:t>Opt-In Program</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_Toc346705310 \h </w:instrText>
        </w:r>
        <w:r w:rsidR="0053114A" w:rsidRPr="0053114A">
          <w:rPr>
            <w:noProof/>
            <w:webHidden/>
            <w:szCs w:val="26"/>
          </w:rPr>
        </w:r>
        <w:r w:rsidR="0053114A" w:rsidRPr="0053114A">
          <w:rPr>
            <w:noProof/>
            <w:webHidden/>
            <w:szCs w:val="26"/>
          </w:rPr>
          <w:fldChar w:fldCharType="separate"/>
        </w:r>
        <w:r w:rsidR="002A1B8B">
          <w:rPr>
            <w:noProof/>
            <w:webHidden/>
            <w:szCs w:val="26"/>
          </w:rPr>
          <w:t>81</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311" w:history="1">
        <w:r w:rsidR="0053114A" w:rsidRPr="0053114A">
          <w:rPr>
            <w:rStyle w:val="Hyperlink"/>
            <w:noProof/>
            <w:szCs w:val="26"/>
          </w:rPr>
          <w:t>a.</w:t>
        </w:r>
        <w:r w:rsidR="0053114A" w:rsidRPr="0053114A">
          <w:rPr>
            <w:rFonts w:eastAsiaTheme="minorEastAsia"/>
            <w:noProof/>
            <w:szCs w:val="26"/>
          </w:rPr>
          <w:tab/>
        </w:r>
        <w:r w:rsidR="0053114A" w:rsidRPr="0053114A">
          <w:rPr>
            <w:rStyle w:val="Hyperlink"/>
            <w:noProof/>
            <w:szCs w:val="26"/>
          </w:rPr>
          <w:t>Auction versus Aggregation Program</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_Toc346705311 \h </w:instrText>
        </w:r>
        <w:r w:rsidR="0053114A" w:rsidRPr="0053114A">
          <w:rPr>
            <w:noProof/>
            <w:webHidden/>
            <w:szCs w:val="26"/>
          </w:rPr>
        </w:r>
        <w:r w:rsidR="0053114A" w:rsidRPr="0053114A">
          <w:rPr>
            <w:noProof/>
            <w:webHidden/>
            <w:szCs w:val="26"/>
          </w:rPr>
          <w:fldChar w:fldCharType="separate"/>
        </w:r>
        <w:r w:rsidR="002A1B8B">
          <w:rPr>
            <w:noProof/>
            <w:webHidden/>
            <w:szCs w:val="26"/>
          </w:rPr>
          <w:t>81</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12" w:history="1">
        <w:r w:rsidR="0053114A" w:rsidRPr="0053114A">
          <w:rPr>
            <w:rStyle w:val="Hyperlink"/>
            <w:noProof/>
            <w:szCs w:val="26"/>
          </w:rPr>
          <w:t>i.</w:t>
        </w:r>
        <w:r w:rsidR="0053114A" w:rsidRPr="0053114A">
          <w:rPr>
            <w:rFonts w:eastAsiaTheme="minorEastAsia"/>
            <w:noProof/>
            <w:szCs w:val="26"/>
          </w:rPr>
          <w:tab/>
        </w:r>
        <w:r w:rsidR="0053114A" w:rsidRPr="0053114A">
          <w:rPr>
            <w:rStyle w:val="Hyperlink"/>
            <w:noProof/>
            <w:szCs w:val="26"/>
          </w:rPr>
          <w:t>Duquesne’s Proposal</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_Toc346705312 \h </w:instrText>
        </w:r>
        <w:r w:rsidR="0053114A" w:rsidRPr="0053114A">
          <w:rPr>
            <w:noProof/>
            <w:webHidden/>
            <w:szCs w:val="26"/>
          </w:rPr>
        </w:r>
        <w:r w:rsidR="0053114A" w:rsidRPr="0053114A">
          <w:rPr>
            <w:noProof/>
            <w:webHidden/>
            <w:szCs w:val="26"/>
          </w:rPr>
          <w:fldChar w:fldCharType="separate"/>
        </w:r>
        <w:r w:rsidR="002A1B8B">
          <w:rPr>
            <w:noProof/>
            <w:webHidden/>
            <w:szCs w:val="26"/>
          </w:rPr>
          <w:t>81</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13" w:history="1">
        <w:r w:rsidR="0053114A" w:rsidRPr="0053114A">
          <w:rPr>
            <w:rStyle w:val="Hyperlink"/>
            <w:noProof/>
            <w:szCs w:val="26"/>
          </w:rPr>
          <w:t>ii.</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_Toc346705313 \h </w:instrText>
        </w:r>
        <w:r w:rsidR="0053114A" w:rsidRPr="0053114A">
          <w:rPr>
            <w:noProof/>
            <w:webHidden/>
            <w:szCs w:val="26"/>
          </w:rPr>
        </w:r>
        <w:r w:rsidR="0053114A" w:rsidRPr="0053114A">
          <w:rPr>
            <w:noProof/>
            <w:webHidden/>
            <w:szCs w:val="26"/>
          </w:rPr>
          <w:fldChar w:fldCharType="separate"/>
        </w:r>
        <w:r w:rsidR="002A1B8B">
          <w:rPr>
            <w:noProof/>
            <w:webHidden/>
            <w:szCs w:val="26"/>
          </w:rPr>
          <w:t>84</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14" w:history="1">
        <w:r w:rsidR="0053114A" w:rsidRPr="0053114A">
          <w:rPr>
            <w:rStyle w:val="Hyperlink"/>
            <w:noProof/>
            <w:szCs w:val="26"/>
          </w:rPr>
          <w:t>iii.</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_Toc346705314 \h </w:instrText>
        </w:r>
        <w:r w:rsidR="0053114A" w:rsidRPr="0053114A">
          <w:rPr>
            <w:noProof/>
            <w:webHidden/>
            <w:szCs w:val="26"/>
          </w:rPr>
        </w:r>
        <w:r w:rsidR="0053114A" w:rsidRPr="0053114A">
          <w:rPr>
            <w:noProof/>
            <w:webHidden/>
            <w:szCs w:val="26"/>
          </w:rPr>
          <w:fldChar w:fldCharType="separate"/>
        </w:r>
        <w:r w:rsidR="002A1B8B">
          <w:rPr>
            <w:noProof/>
            <w:webHidden/>
            <w:szCs w:val="26"/>
          </w:rPr>
          <w:t>86</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15" w:history="1">
        <w:r w:rsidR="0053114A" w:rsidRPr="0053114A">
          <w:rPr>
            <w:rStyle w:val="Hyperlink"/>
            <w:noProof/>
            <w:szCs w:val="26"/>
          </w:rPr>
          <w:t>iv.</w:t>
        </w:r>
        <w:r w:rsidR="0053114A" w:rsidRPr="0053114A">
          <w:rPr>
            <w:rFonts w:eastAsiaTheme="minorEastAsia"/>
            <w:noProof/>
            <w:szCs w:val="26"/>
          </w:rPr>
          <w:tab/>
        </w:r>
        <w:r w:rsidR="0053114A" w:rsidRPr="0053114A">
          <w:rPr>
            <w:rStyle w:val="Hyperlink"/>
            <w:noProof/>
            <w:szCs w:val="26"/>
          </w:rPr>
          <w:t>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_Toc346705315 \h </w:instrText>
        </w:r>
        <w:r w:rsidR="0053114A" w:rsidRPr="0053114A">
          <w:rPr>
            <w:noProof/>
            <w:webHidden/>
            <w:szCs w:val="26"/>
          </w:rPr>
        </w:r>
        <w:r w:rsidR="0053114A" w:rsidRPr="0053114A">
          <w:rPr>
            <w:noProof/>
            <w:webHidden/>
            <w:szCs w:val="26"/>
          </w:rPr>
          <w:fldChar w:fldCharType="separate"/>
        </w:r>
        <w:r w:rsidR="002A1B8B">
          <w:rPr>
            <w:noProof/>
            <w:webHidden/>
            <w:szCs w:val="26"/>
          </w:rPr>
          <w:t>87</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16" w:history="1">
        <w:r w:rsidR="0053114A" w:rsidRPr="0053114A">
          <w:rPr>
            <w:rStyle w:val="Hyperlink"/>
            <w:noProof/>
            <w:szCs w:val="26"/>
          </w:rPr>
          <w:t>v.</w:t>
        </w:r>
        <w:r w:rsidR="0053114A" w:rsidRPr="0053114A">
          <w:rPr>
            <w:rFonts w:eastAsiaTheme="minorEastAsia"/>
            <w:noProof/>
            <w:szCs w:val="26"/>
          </w:rPr>
          <w:tab/>
        </w:r>
        <w:r w:rsidR="0053114A" w:rsidRPr="0053114A">
          <w:rPr>
            <w:rStyle w:val="Hyperlink"/>
            <w:noProof/>
            <w:szCs w:val="26"/>
          </w:rPr>
          <w:t>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_Toc346705316 \h </w:instrText>
        </w:r>
        <w:r w:rsidR="0053114A" w:rsidRPr="0053114A">
          <w:rPr>
            <w:noProof/>
            <w:webHidden/>
            <w:szCs w:val="26"/>
          </w:rPr>
        </w:r>
        <w:r w:rsidR="0053114A" w:rsidRPr="0053114A">
          <w:rPr>
            <w:noProof/>
            <w:webHidden/>
            <w:szCs w:val="26"/>
          </w:rPr>
          <w:fldChar w:fldCharType="separate"/>
        </w:r>
        <w:r w:rsidR="002A1B8B">
          <w:rPr>
            <w:noProof/>
            <w:webHidden/>
            <w:szCs w:val="26"/>
          </w:rPr>
          <w:t>89</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17" w:history="1">
        <w:r w:rsidR="0053114A" w:rsidRPr="0053114A">
          <w:rPr>
            <w:rStyle w:val="Hyperlink"/>
            <w:noProof/>
            <w:szCs w:val="26"/>
          </w:rPr>
          <w:t>vi.</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_Toc346705317 \h </w:instrText>
        </w:r>
        <w:r w:rsidR="0053114A" w:rsidRPr="0053114A">
          <w:rPr>
            <w:noProof/>
            <w:webHidden/>
            <w:szCs w:val="26"/>
          </w:rPr>
        </w:r>
        <w:r w:rsidR="0053114A" w:rsidRPr="0053114A">
          <w:rPr>
            <w:noProof/>
            <w:webHidden/>
            <w:szCs w:val="26"/>
          </w:rPr>
          <w:fldChar w:fldCharType="separate"/>
        </w:r>
        <w:r w:rsidR="002A1B8B">
          <w:rPr>
            <w:noProof/>
            <w:webHidden/>
            <w:szCs w:val="26"/>
          </w:rPr>
          <w:t>90</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318" w:history="1">
        <w:r w:rsidR="00D64891">
          <w:rPr>
            <w:rStyle w:val="Hyperlink"/>
            <w:noProof/>
            <w:szCs w:val="26"/>
          </w:rPr>
          <w:t>b</w:t>
        </w:r>
        <w:r w:rsidR="0053114A" w:rsidRPr="0053114A">
          <w:rPr>
            <w:rStyle w:val="Hyperlink"/>
            <w:noProof/>
            <w:szCs w:val="26"/>
          </w:rPr>
          <w:t>.</w:t>
        </w:r>
        <w:r w:rsidR="0053114A" w:rsidRPr="0053114A">
          <w:rPr>
            <w:rFonts w:eastAsiaTheme="minorEastAsia"/>
            <w:noProof/>
            <w:szCs w:val="26"/>
          </w:rPr>
          <w:tab/>
        </w:r>
        <w:r w:rsidR="0053114A" w:rsidRPr="0053114A">
          <w:rPr>
            <w:rStyle w:val="Hyperlink"/>
            <w:noProof/>
            <w:szCs w:val="26"/>
          </w:rPr>
          <w:t>Term of Offer/ Guaranteed Savings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_Toc346705318 \h </w:instrText>
        </w:r>
        <w:r w:rsidR="0053114A" w:rsidRPr="0053114A">
          <w:rPr>
            <w:noProof/>
            <w:webHidden/>
            <w:szCs w:val="26"/>
          </w:rPr>
        </w:r>
        <w:r w:rsidR="0053114A" w:rsidRPr="0053114A">
          <w:rPr>
            <w:noProof/>
            <w:webHidden/>
            <w:szCs w:val="26"/>
          </w:rPr>
          <w:fldChar w:fldCharType="separate"/>
        </w:r>
        <w:r w:rsidR="002A1B8B">
          <w:rPr>
            <w:noProof/>
            <w:webHidden/>
            <w:szCs w:val="26"/>
          </w:rPr>
          <w:t>91</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19" w:history="1">
        <w:r w:rsidR="0053114A" w:rsidRPr="0053114A">
          <w:rPr>
            <w:rStyle w:val="Hyperlink"/>
            <w:noProof/>
            <w:szCs w:val="26"/>
          </w:rPr>
          <w:t>i.</w:t>
        </w:r>
        <w:r w:rsidR="0053114A" w:rsidRPr="0053114A">
          <w:rPr>
            <w:rFonts w:eastAsiaTheme="minorEastAsia"/>
            <w:noProof/>
            <w:szCs w:val="26"/>
          </w:rPr>
          <w:tab/>
        </w:r>
        <w:r w:rsidR="0053114A" w:rsidRPr="0053114A">
          <w:rPr>
            <w:rStyle w:val="Hyperlink"/>
            <w:noProof/>
            <w:szCs w:val="26"/>
          </w:rPr>
          <w:t>Duquesne’s Proposal</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_Toc346705319 \h </w:instrText>
        </w:r>
        <w:r w:rsidR="0053114A" w:rsidRPr="0053114A">
          <w:rPr>
            <w:noProof/>
            <w:webHidden/>
            <w:szCs w:val="26"/>
          </w:rPr>
        </w:r>
        <w:r w:rsidR="0053114A" w:rsidRPr="0053114A">
          <w:rPr>
            <w:noProof/>
            <w:webHidden/>
            <w:szCs w:val="26"/>
          </w:rPr>
          <w:fldChar w:fldCharType="separate"/>
        </w:r>
        <w:r w:rsidR="002A1B8B">
          <w:rPr>
            <w:noProof/>
            <w:webHidden/>
            <w:szCs w:val="26"/>
          </w:rPr>
          <w:t>91</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20" w:history="1">
        <w:r w:rsidR="0053114A" w:rsidRPr="0053114A">
          <w:rPr>
            <w:rStyle w:val="Hyperlink"/>
            <w:noProof/>
            <w:szCs w:val="26"/>
          </w:rPr>
          <w:t>ii.</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_Toc346705320 \h </w:instrText>
        </w:r>
        <w:r w:rsidR="0053114A" w:rsidRPr="0053114A">
          <w:rPr>
            <w:noProof/>
            <w:webHidden/>
            <w:szCs w:val="26"/>
          </w:rPr>
        </w:r>
        <w:r w:rsidR="0053114A" w:rsidRPr="0053114A">
          <w:rPr>
            <w:noProof/>
            <w:webHidden/>
            <w:szCs w:val="26"/>
          </w:rPr>
          <w:fldChar w:fldCharType="separate"/>
        </w:r>
        <w:r w:rsidR="002A1B8B">
          <w:rPr>
            <w:noProof/>
            <w:webHidden/>
            <w:szCs w:val="26"/>
          </w:rPr>
          <w:t>93</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21" w:history="1">
        <w:r w:rsidR="0053114A" w:rsidRPr="0053114A">
          <w:rPr>
            <w:rStyle w:val="Hyperlink"/>
            <w:noProof/>
            <w:szCs w:val="26"/>
          </w:rPr>
          <w:t>iii.</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_Toc346705321 \h </w:instrText>
        </w:r>
        <w:r w:rsidR="0053114A" w:rsidRPr="0053114A">
          <w:rPr>
            <w:noProof/>
            <w:webHidden/>
            <w:szCs w:val="26"/>
          </w:rPr>
        </w:r>
        <w:r w:rsidR="0053114A" w:rsidRPr="0053114A">
          <w:rPr>
            <w:noProof/>
            <w:webHidden/>
            <w:szCs w:val="26"/>
          </w:rPr>
          <w:fldChar w:fldCharType="separate"/>
        </w:r>
        <w:r w:rsidR="002A1B8B">
          <w:rPr>
            <w:noProof/>
            <w:webHidden/>
            <w:szCs w:val="26"/>
          </w:rPr>
          <w:t>96</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22" w:history="1">
        <w:r w:rsidR="0053114A" w:rsidRPr="0053114A">
          <w:rPr>
            <w:rStyle w:val="Hyperlink"/>
            <w:noProof/>
            <w:szCs w:val="26"/>
          </w:rPr>
          <w:t>iv.</w:t>
        </w:r>
        <w:r w:rsidR="0053114A" w:rsidRPr="0053114A">
          <w:rPr>
            <w:rFonts w:eastAsiaTheme="minorEastAsia"/>
            <w:noProof/>
            <w:szCs w:val="26"/>
          </w:rPr>
          <w:tab/>
        </w:r>
        <w:r w:rsidR="0053114A" w:rsidRPr="0053114A">
          <w:rPr>
            <w:rStyle w:val="Hyperlink"/>
            <w:noProof/>
            <w:szCs w:val="26"/>
          </w:rPr>
          <w:t>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_Toc346705322 \h </w:instrText>
        </w:r>
        <w:r w:rsidR="0053114A" w:rsidRPr="0053114A">
          <w:rPr>
            <w:noProof/>
            <w:webHidden/>
            <w:szCs w:val="26"/>
          </w:rPr>
        </w:r>
        <w:r w:rsidR="0053114A" w:rsidRPr="0053114A">
          <w:rPr>
            <w:noProof/>
            <w:webHidden/>
            <w:szCs w:val="26"/>
          </w:rPr>
          <w:fldChar w:fldCharType="separate"/>
        </w:r>
        <w:r w:rsidR="002A1B8B">
          <w:rPr>
            <w:noProof/>
            <w:webHidden/>
            <w:szCs w:val="26"/>
          </w:rPr>
          <w:t>97</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23" w:history="1">
        <w:r w:rsidR="0053114A" w:rsidRPr="0053114A">
          <w:rPr>
            <w:rStyle w:val="Hyperlink"/>
            <w:noProof/>
            <w:szCs w:val="26"/>
          </w:rPr>
          <w:t>v.</w:t>
        </w:r>
        <w:r w:rsidR="0053114A" w:rsidRPr="0053114A">
          <w:rPr>
            <w:rFonts w:eastAsiaTheme="minorEastAsia"/>
            <w:noProof/>
            <w:szCs w:val="26"/>
          </w:rPr>
          <w:tab/>
        </w:r>
        <w:r w:rsidR="0053114A" w:rsidRPr="0053114A">
          <w:rPr>
            <w:rStyle w:val="Hyperlink"/>
            <w:noProof/>
            <w:szCs w:val="26"/>
          </w:rPr>
          <w:t>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_Toc346705323 \h </w:instrText>
        </w:r>
        <w:r w:rsidR="0053114A" w:rsidRPr="0053114A">
          <w:rPr>
            <w:noProof/>
            <w:webHidden/>
            <w:szCs w:val="26"/>
          </w:rPr>
        </w:r>
        <w:r w:rsidR="0053114A" w:rsidRPr="0053114A">
          <w:rPr>
            <w:noProof/>
            <w:webHidden/>
            <w:szCs w:val="26"/>
          </w:rPr>
          <w:fldChar w:fldCharType="separate"/>
        </w:r>
        <w:r w:rsidR="002A1B8B">
          <w:rPr>
            <w:noProof/>
            <w:webHidden/>
            <w:szCs w:val="26"/>
          </w:rPr>
          <w:t>98</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24" w:history="1">
        <w:r w:rsidR="0053114A" w:rsidRPr="0053114A">
          <w:rPr>
            <w:rStyle w:val="Hyperlink"/>
            <w:noProof/>
            <w:szCs w:val="26"/>
          </w:rPr>
          <w:t>vi.</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_Toc346705324 \h </w:instrText>
        </w:r>
        <w:r w:rsidR="0053114A" w:rsidRPr="0053114A">
          <w:rPr>
            <w:noProof/>
            <w:webHidden/>
            <w:szCs w:val="26"/>
          </w:rPr>
        </w:r>
        <w:r w:rsidR="0053114A" w:rsidRPr="0053114A">
          <w:rPr>
            <w:noProof/>
            <w:webHidden/>
            <w:szCs w:val="26"/>
          </w:rPr>
          <w:fldChar w:fldCharType="separate"/>
        </w:r>
        <w:r w:rsidR="002A1B8B">
          <w:rPr>
            <w:noProof/>
            <w:webHidden/>
            <w:szCs w:val="26"/>
          </w:rPr>
          <w:t>101</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325" w:history="1">
        <w:r w:rsidR="0053114A" w:rsidRPr="0053114A">
          <w:rPr>
            <w:rStyle w:val="Hyperlink"/>
            <w:noProof/>
            <w:szCs w:val="26"/>
          </w:rPr>
          <w:t>c.</w:t>
        </w:r>
        <w:r w:rsidR="0053114A" w:rsidRPr="0053114A">
          <w:rPr>
            <w:rFonts w:eastAsiaTheme="minorEastAsia"/>
            <w:noProof/>
            <w:szCs w:val="26"/>
          </w:rPr>
          <w:tab/>
        </w:r>
        <w:r w:rsidR="0053114A" w:rsidRPr="0053114A">
          <w:rPr>
            <w:rStyle w:val="Hyperlink"/>
            <w:noProof/>
            <w:szCs w:val="26"/>
          </w:rPr>
          <w:t>Discount Percentage</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_Toc346705325 \h </w:instrText>
        </w:r>
        <w:r w:rsidR="0053114A" w:rsidRPr="0053114A">
          <w:rPr>
            <w:noProof/>
            <w:webHidden/>
            <w:szCs w:val="26"/>
          </w:rPr>
        </w:r>
        <w:r w:rsidR="0053114A" w:rsidRPr="0053114A">
          <w:rPr>
            <w:noProof/>
            <w:webHidden/>
            <w:szCs w:val="26"/>
          </w:rPr>
          <w:fldChar w:fldCharType="separate"/>
        </w:r>
        <w:r w:rsidR="002A1B8B">
          <w:rPr>
            <w:noProof/>
            <w:webHidden/>
            <w:szCs w:val="26"/>
          </w:rPr>
          <w:t>102</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26" w:history="1">
        <w:r w:rsidR="0053114A" w:rsidRPr="0053114A">
          <w:rPr>
            <w:rStyle w:val="Hyperlink"/>
            <w:noProof/>
            <w:szCs w:val="26"/>
          </w:rPr>
          <w:t>i.</w:t>
        </w:r>
        <w:r w:rsidR="0053114A" w:rsidRPr="0053114A">
          <w:rPr>
            <w:rFonts w:eastAsiaTheme="minorEastAsia"/>
            <w:noProof/>
            <w:szCs w:val="26"/>
          </w:rPr>
          <w:tab/>
        </w:r>
        <w:r w:rsidR="0053114A" w:rsidRPr="0053114A">
          <w:rPr>
            <w:rStyle w:val="Hyperlink"/>
            <w:noProof/>
            <w:szCs w:val="26"/>
          </w:rPr>
          <w:t>Duquesne’s Proposal</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_Toc346705326 \h </w:instrText>
        </w:r>
        <w:r w:rsidR="0053114A" w:rsidRPr="0053114A">
          <w:rPr>
            <w:noProof/>
            <w:webHidden/>
            <w:szCs w:val="26"/>
          </w:rPr>
        </w:r>
        <w:r w:rsidR="0053114A" w:rsidRPr="0053114A">
          <w:rPr>
            <w:noProof/>
            <w:webHidden/>
            <w:szCs w:val="26"/>
          </w:rPr>
          <w:fldChar w:fldCharType="separate"/>
        </w:r>
        <w:r w:rsidR="002A1B8B">
          <w:rPr>
            <w:noProof/>
            <w:webHidden/>
            <w:szCs w:val="26"/>
          </w:rPr>
          <w:t>102</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27" w:history="1">
        <w:r w:rsidR="0053114A" w:rsidRPr="0053114A">
          <w:rPr>
            <w:rStyle w:val="Hyperlink"/>
            <w:noProof/>
            <w:szCs w:val="26"/>
          </w:rPr>
          <w:t>ii.</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_Toc346705327 \h </w:instrText>
        </w:r>
        <w:r w:rsidR="0053114A" w:rsidRPr="0053114A">
          <w:rPr>
            <w:noProof/>
            <w:webHidden/>
            <w:szCs w:val="26"/>
          </w:rPr>
        </w:r>
        <w:r w:rsidR="0053114A" w:rsidRPr="0053114A">
          <w:rPr>
            <w:noProof/>
            <w:webHidden/>
            <w:szCs w:val="26"/>
          </w:rPr>
          <w:fldChar w:fldCharType="separate"/>
        </w:r>
        <w:r w:rsidR="002A1B8B">
          <w:rPr>
            <w:noProof/>
            <w:webHidden/>
            <w:szCs w:val="26"/>
          </w:rPr>
          <w:t>102</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28" w:history="1">
        <w:r w:rsidR="0053114A" w:rsidRPr="0053114A">
          <w:rPr>
            <w:rStyle w:val="Hyperlink"/>
            <w:noProof/>
            <w:szCs w:val="26"/>
          </w:rPr>
          <w:t>iii.</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_Toc346705328 \h </w:instrText>
        </w:r>
        <w:r w:rsidR="0053114A" w:rsidRPr="0053114A">
          <w:rPr>
            <w:noProof/>
            <w:webHidden/>
            <w:szCs w:val="26"/>
          </w:rPr>
        </w:r>
        <w:r w:rsidR="0053114A" w:rsidRPr="0053114A">
          <w:rPr>
            <w:noProof/>
            <w:webHidden/>
            <w:szCs w:val="26"/>
          </w:rPr>
          <w:fldChar w:fldCharType="separate"/>
        </w:r>
        <w:r w:rsidR="002A1B8B">
          <w:rPr>
            <w:noProof/>
            <w:webHidden/>
            <w:szCs w:val="26"/>
          </w:rPr>
          <w:t>103</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29" w:history="1">
        <w:r w:rsidR="0053114A" w:rsidRPr="0053114A">
          <w:rPr>
            <w:rStyle w:val="Hyperlink"/>
            <w:noProof/>
            <w:szCs w:val="26"/>
          </w:rPr>
          <w:t>iv.</w:t>
        </w:r>
        <w:r w:rsidR="0053114A" w:rsidRPr="0053114A">
          <w:rPr>
            <w:rFonts w:eastAsiaTheme="minorEastAsia"/>
            <w:noProof/>
            <w:szCs w:val="26"/>
          </w:rPr>
          <w:tab/>
        </w:r>
        <w:r w:rsidR="0053114A" w:rsidRPr="0053114A">
          <w:rPr>
            <w:rStyle w:val="Hyperlink"/>
            <w:noProof/>
            <w:szCs w:val="26"/>
          </w:rPr>
          <w:t>Exceptions and 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_Toc346705329 \h </w:instrText>
        </w:r>
        <w:r w:rsidR="0053114A" w:rsidRPr="0053114A">
          <w:rPr>
            <w:noProof/>
            <w:webHidden/>
            <w:szCs w:val="26"/>
          </w:rPr>
        </w:r>
        <w:r w:rsidR="0053114A" w:rsidRPr="0053114A">
          <w:rPr>
            <w:noProof/>
            <w:webHidden/>
            <w:szCs w:val="26"/>
          </w:rPr>
          <w:fldChar w:fldCharType="separate"/>
        </w:r>
        <w:r w:rsidR="002A1B8B">
          <w:rPr>
            <w:noProof/>
            <w:webHidden/>
            <w:szCs w:val="26"/>
          </w:rPr>
          <w:t>104</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30" w:history="1">
        <w:r w:rsidR="0053114A" w:rsidRPr="0053114A">
          <w:rPr>
            <w:rStyle w:val="Hyperlink"/>
            <w:noProof/>
            <w:szCs w:val="26"/>
          </w:rPr>
          <w:t>v.</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_Toc346705330 \h </w:instrText>
        </w:r>
        <w:r w:rsidR="0053114A" w:rsidRPr="0053114A">
          <w:rPr>
            <w:noProof/>
            <w:webHidden/>
            <w:szCs w:val="26"/>
          </w:rPr>
        </w:r>
        <w:r w:rsidR="0053114A" w:rsidRPr="0053114A">
          <w:rPr>
            <w:noProof/>
            <w:webHidden/>
            <w:szCs w:val="26"/>
          </w:rPr>
          <w:fldChar w:fldCharType="separate"/>
        </w:r>
        <w:r w:rsidR="002A1B8B">
          <w:rPr>
            <w:noProof/>
            <w:webHidden/>
            <w:szCs w:val="26"/>
          </w:rPr>
          <w:t>104</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331" w:history="1">
        <w:r w:rsidR="0053114A" w:rsidRPr="0053114A">
          <w:rPr>
            <w:rStyle w:val="Hyperlink"/>
            <w:noProof/>
            <w:szCs w:val="26"/>
          </w:rPr>
          <w:t>d.</w:t>
        </w:r>
        <w:r w:rsidR="0053114A" w:rsidRPr="0053114A">
          <w:rPr>
            <w:rFonts w:eastAsiaTheme="minorEastAsia"/>
            <w:noProof/>
            <w:szCs w:val="26"/>
          </w:rPr>
          <w:tab/>
        </w:r>
        <w:r w:rsidR="0053114A" w:rsidRPr="0053114A">
          <w:rPr>
            <w:rStyle w:val="Hyperlink"/>
            <w:noProof/>
            <w:szCs w:val="26"/>
          </w:rPr>
          <w:t>$50 Bonus Payment</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_Toc346705331 \h </w:instrText>
        </w:r>
        <w:r w:rsidR="0053114A" w:rsidRPr="0053114A">
          <w:rPr>
            <w:noProof/>
            <w:webHidden/>
            <w:szCs w:val="26"/>
          </w:rPr>
        </w:r>
        <w:r w:rsidR="0053114A" w:rsidRPr="0053114A">
          <w:rPr>
            <w:noProof/>
            <w:webHidden/>
            <w:szCs w:val="26"/>
          </w:rPr>
          <w:fldChar w:fldCharType="separate"/>
        </w:r>
        <w:r w:rsidR="002A1B8B">
          <w:rPr>
            <w:noProof/>
            <w:webHidden/>
            <w:szCs w:val="26"/>
          </w:rPr>
          <w:t>104</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32" w:history="1">
        <w:r w:rsidR="0053114A" w:rsidRPr="0053114A">
          <w:rPr>
            <w:rStyle w:val="Hyperlink"/>
            <w:noProof/>
            <w:szCs w:val="26"/>
          </w:rPr>
          <w:t>i.</w:t>
        </w:r>
        <w:r w:rsidR="0053114A" w:rsidRPr="0053114A">
          <w:rPr>
            <w:rFonts w:eastAsiaTheme="minorEastAsia"/>
            <w:noProof/>
            <w:szCs w:val="26"/>
          </w:rPr>
          <w:tab/>
        </w:r>
        <w:r w:rsidR="0053114A" w:rsidRPr="0053114A">
          <w:rPr>
            <w:rStyle w:val="Hyperlink"/>
            <w:noProof/>
            <w:szCs w:val="26"/>
          </w:rPr>
          <w:t>Duquesne’s Proposal</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_Toc346705332 \h </w:instrText>
        </w:r>
        <w:r w:rsidR="0053114A" w:rsidRPr="0053114A">
          <w:rPr>
            <w:noProof/>
            <w:webHidden/>
            <w:szCs w:val="26"/>
          </w:rPr>
        </w:r>
        <w:r w:rsidR="0053114A" w:rsidRPr="0053114A">
          <w:rPr>
            <w:noProof/>
            <w:webHidden/>
            <w:szCs w:val="26"/>
          </w:rPr>
          <w:fldChar w:fldCharType="separate"/>
        </w:r>
        <w:r w:rsidR="002A1B8B">
          <w:rPr>
            <w:noProof/>
            <w:webHidden/>
            <w:szCs w:val="26"/>
          </w:rPr>
          <w:t>104</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33" w:history="1">
        <w:r w:rsidR="0053114A" w:rsidRPr="0053114A">
          <w:rPr>
            <w:rStyle w:val="Hyperlink"/>
            <w:noProof/>
            <w:szCs w:val="26"/>
          </w:rPr>
          <w:t>ii.</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_Toc346705333 \h </w:instrText>
        </w:r>
        <w:r w:rsidR="0053114A" w:rsidRPr="0053114A">
          <w:rPr>
            <w:noProof/>
            <w:webHidden/>
            <w:szCs w:val="26"/>
          </w:rPr>
        </w:r>
        <w:r w:rsidR="0053114A" w:rsidRPr="0053114A">
          <w:rPr>
            <w:noProof/>
            <w:webHidden/>
            <w:szCs w:val="26"/>
          </w:rPr>
          <w:fldChar w:fldCharType="separate"/>
        </w:r>
        <w:r w:rsidR="002A1B8B">
          <w:rPr>
            <w:noProof/>
            <w:webHidden/>
            <w:szCs w:val="26"/>
          </w:rPr>
          <w:t>105</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34" w:history="1">
        <w:r w:rsidR="0053114A" w:rsidRPr="0053114A">
          <w:rPr>
            <w:rStyle w:val="Hyperlink"/>
            <w:noProof/>
            <w:szCs w:val="26"/>
          </w:rPr>
          <w:t>iii.</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_Toc346705334 \h </w:instrText>
        </w:r>
        <w:r w:rsidR="0053114A" w:rsidRPr="0053114A">
          <w:rPr>
            <w:noProof/>
            <w:webHidden/>
            <w:szCs w:val="26"/>
          </w:rPr>
        </w:r>
        <w:r w:rsidR="0053114A" w:rsidRPr="0053114A">
          <w:rPr>
            <w:noProof/>
            <w:webHidden/>
            <w:szCs w:val="26"/>
          </w:rPr>
          <w:fldChar w:fldCharType="separate"/>
        </w:r>
        <w:r w:rsidR="002A1B8B">
          <w:rPr>
            <w:noProof/>
            <w:webHidden/>
            <w:szCs w:val="26"/>
          </w:rPr>
          <w:t>107</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35" w:history="1">
        <w:r w:rsidR="0053114A" w:rsidRPr="0053114A">
          <w:rPr>
            <w:rStyle w:val="Hyperlink"/>
            <w:noProof/>
            <w:szCs w:val="26"/>
          </w:rPr>
          <w:t>iv.</w:t>
        </w:r>
        <w:r w:rsidR="0053114A" w:rsidRPr="0053114A">
          <w:rPr>
            <w:rFonts w:eastAsiaTheme="minorEastAsia"/>
            <w:noProof/>
            <w:szCs w:val="26"/>
          </w:rPr>
          <w:tab/>
        </w:r>
        <w:r w:rsidR="0053114A" w:rsidRPr="0053114A">
          <w:rPr>
            <w:rStyle w:val="Hyperlink"/>
            <w:noProof/>
            <w:szCs w:val="26"/>
          </w:rPr>
          <w:t>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_Toc346705335 \h </w:instrText>
        </w:r>
        <w:r w:rsidR="0053114A" w:rsidRPr="0053114A">
          <w:rPr>
            <w:noProof/>
            <w:webHidden/>
            <w:szCs w:val="26"/>
          </w:rPr>
        </w:r>
        <w:r w:rsidR="0053114A" w:rsidRPr="0053114A">
          <w:rPr>
            <w:noProof/>
            <w:webHidden/>
            <w:szCs w:val="26"/>
          </w:rPr>
          <w:fldChar w:fldCharType="separate"/>
        </w:r>
        <w:r w:rsidR="002A1B8B">
          <w:rPr>
            <w:noProof/>
            <w:webHidden/>
            <w:szCs w:val="26"/>
          </w:rPr>
          <w:t>107</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36" w:history="1">
        <w:r w:rsidR="0053114A" w:rsidRPr="0053114A">
          <w:rPr>
            <w:rStyle w:val="Hyperlink"/>
            <w:noProof/>
            <w:szCs w:val="26"/>
          </w:rPr>
          <w:t>v.</w:t>
        </w:r>
        <w:r w:rsidR="0053114A" w:rsidRPr="0053114A">
          <w:rPr>
            <w:rFonts w:eastAsiaTheme="minorEastAsia"/>
            <w:noProof/>
            <w:szCs w:val="26"/>
          </w:rPr>
          <w:tab/>
        </w:r>
        <w:r w:rsidR="0053114A" w:rsidRPr="0053114A">
          <w:rPr>
            <w:rStyle w:val="Hyperlink"/>
            <w:noProof/>
            <w:szCs w:val="26"/>
          </w:rPr>
          <w:t>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_Toc346705336 \h </w:instrText>
        </w:r>
        <w:r w:rsidR="0053114A" w:rsidRPr="0053114A">
          <w:rPr>
            <w:noProof/>
            <w:webHidden/>
            <w:szCs w:val="26"/>
          </w:rPr>
        </w:r>
        <w:r w:rsidR="0053114A" w:rsidRPr="0053114A">
          <w:rPr>
            <w:noProof/>
            <w:webHidden/>
            <w:szCs w:val="26"/>
          </w:rPr>
          <w:fldChar w:fldCharType="separate"/>
        </w:r>
        <w:r w:rsidR="002A1B8B">
          <w:rPr>
            <w:noProof/>
            <w:webHidden/>
            <w:szCs w:val="26"/>
          </w:rPr>
          <w:t>107</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37" w:history="1">
        <w:r w:rsidR="0053114A" w:rsidRPr="0053114A">
          <w:rPr>
            <w:rStyle w:val="Hyperlink"/>
            <w:noProof/>
            <w:szCs w:val="26"/>
          </w:rPr>
          <w:t>vi.</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_Toc346705337 \h </w:instrText>
        </w:r>
        <w:r w:rsidR="0053114A" w:rsidRPr="0053114A">
          <w:rPr>
            <w:noProof/>
            <w:webHidden/>
            <w:szCs w:val="26"/>
          </w:rPr>
        </w:r>
        <w:r w:rsidR="0053114A" w:rsidRPr="0053114A">
          <w:rPr>
            <w:noProof/>
            <w:webHidden/>
            <w:szCs w:val="26"/>
          </w:rPr>
          <w:fldChar w:fldCharType="separate"/>
        </w:r>
        <w:r w:rsidR="002A1B8B">
          <w:rPr>
            <w:noProof/>
            <w:webHidden/>
            <w:szCs w:val="26"/>
          </w:rPr>
          <w:t>108</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338" w:history="1">
        <w:r w:rsidR="0053114A" w:rsidRPr="0053114A">
          <w:rPr>
            <w:rStyle w:val="Hyperlink"/>
            <w:noProof/>
            <w:szCs w:val="26"/>
          </w:rPr>
          <w:t>e.</w:t>
        </w:r>
        <w:r w:rsidR="0053114A" w:rsidRPr="0053114A">
          <w:rPr>
            <w:rFonts w:eastAsiaTheme="minorEastAsia"/>
            <w:noProof/>
            <w:szCs w:val="26"/>
          </w:rPr>
          <w:tab/>
        </w:r>
        <w:r w:rsidR="0053114A" w:rsidRPr="0053114A">
          <w:rPr>
            <w:rStyle w:val="Hyperlink"/>
            <w:noProof/>
            <w:szCs w:val="26"/>
          </w:rPr>
          <w:t>Customer Participation Cap</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_Toc346705338 \h </w:instrText>
        </w:r>
        <w:r w:rsidR="0053114A" w:rsidRPr="0053114A">
          <w:rPr>
            <w:noProof/>
            <w:webHidden/>
            <w:szCs w:val="26"/>
          </w:rPr>
        </w:r>
        <w:r w:rsidR="0053114A" w:rsidRPr="0053114A">
          <w:rPr>
            <w:noProof/>
            <w:webHidden/>
            <w:szCs w:val="26"/>
          </w:rPr>
          <w:fldChar w:fldCharType="separate"/>
        </w:r>
        <w:r w:rsidR="002A1B8B">
          <w:rPr>
            <w:noProof/>
            <w:webHidden/>
            <w:szCs w:val="26"/>
          </w:rPr>
          <w:t>108</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39" w:history="1">
        <w:r w:rsidR="0053114A" w:rsidRPr="0053114A">
          <w:rPr>
            <w:rStyle w:val="Hyperlink"/>
            <w:noProof/>
            <w:szCs w:val="26"/>
          </w:rPr>
          <w:t>i.</w:t>
        </w:r>
        <w:r w:rsidR="0053114A" w:rsidRPr="0053114A">
          <w:rPr>
            <w:rFonts w:eastAsiaTheme="minorEastAsia"/>
            <w:noProof/>
            <w:szCs w:val="26"/>
          </w:rPr>
          <w:tab/>
        </w:r>
        <w:r w:rsidR="0053114A" w:rsidRPr="0053114A">
          <w:rPr>
            <w:rStyle w:val="Hyperlink"/>
            <w:noProof/>
            <w:szCs w:val="26"/>
          </w:rPr>
          <w:t>Duquesne’s Proposal</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_Toc346705339 \h </w:instrText>
        </w:r>
        <w:r w:rsidR="0053114A" w:rsidRPr="0053114A">
          <w:rPr>
            <w:noProof/>
            <w:webHidden/>
            <w:szCs w:val="26"/>
          </w:rPr>
        </w:r>
        <w:r w:rsidR="0053114A" w:rsidRPr="0053114A">
          <w:rPr>
            <w:noProof/>
            <w:webHidden/>
            <w:szCs w:val="26"/>
          </w:rPr>
          <w:fldChar w:fldCharType="separate"/>
        </w:r>
        <w:r w:rsidR="002A1B8B">
          <w:rPr>
            <w:noProof/>
            <w:webHidden/>
            <w:szCs w:val="26"/>
          </w:rPr>
          <w:t>108</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40" w:history="1">
        <w:r w:rsidR="0053114A" w:rsidRPr="0053114A">
          <w:rPr>
            <w:rStyle w:val="Hyperlink"/>
            <w:noProof/>
            <w:szCs w:val="26"/>
          </w:rPr>
          <w:t>ii.</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_Toc346705340 \h </w:instrText>
        </w:r>
        <w:r w:rsidR="0053114A" w:rsidRPr="0053114A">
          <w:rPr>
            <w:noProof/>
            <w:webHidden/>
            <w:szCs w:val="26"/>
          </w:rPr>
        </w:r>
        <w:r w:rsidR="0053114A" w:rsidRPr="0053114A">
          <w:rPr>
            <w:noProof/>
            <w:webHidden/>
            <w:szCs w:val="26"/>
          </w:rPr>
          <w:fldChar w:fldCharType="separate"/>
        </w:r>
        <w:r w:rsidR="002A1B8B">
          <w:rPr>
            <w:noProof/>
            <w:webHidden/>
            <w:szCs w:val="26"/>
          </w:rPr>
          <w:t>109</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41" w:history="1">
        <w:r w:rsidR="0053114A" w:rsidRPr="0053114A">
          <w:rPr>
            <w:rStyle w:val="Hyperlink"/>
            <w:noProof/>
            <w:szCs w:val="26"/>
          </w:rPr>
          <w:t>iii.</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_Toc346705341 \h </w:instrText>
        </w:r>
        <w:r w:rsidR="0053114A" w:rsidRPr="0053114A">
          <w:rPr>
            <w:noProof/>
            <w:webHidden/>
            <w:szCs w:val="26"/>
          </w:rPr>
        </w:r>
        <w:r w:rsidR="0053114A" w:rsidRPr="0053114A">
          <w:rPr>
            <w:noProof/>
            <w:webHidden/>
            <w:szCs w:val="26"/>
          </w:rPr>
          <w:fldChar w:fldCharType="separate"/>
        </w:r>
        <w:r w:rsidR="002A1B8B">
          <w:rPr>
            <w:noProof/>
            <w:webHidden/>
            <w:szCs w:val="26"/>
          </w:rPr>
          <w:t>110</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42" w:history="1">
        <w:r w:rsidR="0053114A" w:rsidRPr="0053114A">
          <w:rPr>
            <w:rStyle w:val="Hyperlink"/>
            <w:noProof/>
            <w:szCs w:val="26"/>
          </w:rPr>
          <w:t>iv.</w:t>
        </w:r>
        <w:r w:rsidR="0053114A" w:rsidRPr="0053114A">
          <w:rPr>
            <w:rFonts w:eastAsiaTheme="minorEastAsia"/>
            <w:noProof/>
            <w:szCs w:val="26"/>
          </w:rPr>
          <w:tab/>
        </w:r>
        <w:r w:rsidR="0053114A" w:rsidRPr="0053114A">
          <w:rPr>
            <w:rStyle w:val="Hyperlink"/>
            <w:noProof/>
            <w:szCs w:val="26"/>
          </w:rPr>
          <w:t>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_Toc346705342 \h </w:instrText>
        </w:r>
        <w:r w:rsidR="0053114A" w:rsidRPr="0053114A">
          <w:rPr>
            <w:noProof/>
            <w:webHidden/>
            <w:szCs w:val="26"/>
          </w:rPr>
        </w:r>
        <w:r w:rsidR="0053114A" w:rsidRPr="0053114A">
          <w:rPr>
            <w:noProof/>
            <w:webHidden/>
            <w:szCs w:val="26"/>
          </w:rPr>
          <w:fldChar w:fldCharType="separate"/>
        </w:r>
        <w:r w:rsidR="002A1B8B">
          <w:rPr>
            <w:noProof/>
            <w:webHidden/>
            <w:szCs w:val="26"/>
          </w:rPr>
          <w:t>110</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43" w:history="1">
        <w:r w:rsidR="0053114A" w:rsidRPr="0053114A">
          <w:rPr>
            <w:rStyle w:val="Hyperlink"/>
            <w:noProof/>
            <w:szCs w:val="26"/>
          </w:rPr>
          <w:t>v.</w:t>
        </w:r>
        <w:r w:rsidR="0053114A" w:rsidRPr="0053114A">
          <w:rPr>
            <w:rFonts w:eastAsiaTheme="minorEastAsia"/>
            <w:noProof/>
            <w:szCs w:val="26"/>
          </w:rPr>
          <w:tab/>
        </w:r>
        <w:r w:rsidR="0053114A" w:rsidRPr="0053114A">
          <w:rPr>
            <w:rStyle w:val="Hyperlink"/>
            <w:noProof/>
            <w:szCs w:val="26"/>
          </w:rPr>
          <w:t>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_Toc346705343 \h </w:instrText>
        </w:r>
        <w:r w:rsidR="0053114A" w:rsidRPr="0053114A">
          <w:rPr>
            <w:noProof/>
            <w:webHidden/>
            <w:szCs w:val="26"/>
          </w:rPr>
        </w:r>
        <w:r w:rsidR="0053114A" w:rsidRPr="0053114A">
          <w:rPr>
            <w:noProof/>
            <w:webHidden/>
            <w:szCs w:val="26"/>
          </w:rPr>
          <w:fldChar w:fldCharType="separate"/>
        </w:r>
        <w:r w:rsidR="002A1B8B">
          <w:rPr>
            <w:noProof/>
            <w:webHidden/>
            <w:szCs w:val="26"/>
          </w:rPr>
          <w:t>111</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44" w:history="1">
        <w:r w:rsidR="0053114A" w:rsidRPr="0053114A">
          <w:rPr>
            <w:rStyle w:val="Hyperlink"/>
            <w:noProof/>
            <w:szCs w:val="26"/>
          </w:rPr>
          <w:t>vi.</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_Toc346705344 \h </w:instrText>
        </w:r>
        <w:r w:rsidR="0053114A" w:rsidRPr="0053114A">
          <w:rPr>
            <w:noProof/>
            <w:webHidden/>
            <w:szCs w:val="26"/>
          </w:rPr>
        </w:r>
        <w:r w:rsidR="0053114A" w:rsidRPr="0053114A">
          <w:rPr>
            <w:noProof/>
            <w:webHidden/>
            <w:szCs w:val="26"/>
          </w:rPr>
          <w:fldChar w:fldCharType="separate"/>
        </w:r>
        <w:r w:rsidR="002A1B8B">
          <w:rPr>
            <w:noProof/>
            <w:webHidden/>
            <w:szCs w:val="26"/>
          </w:rPr>
          <w:t>112</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345" w:history="1">
        <w:r w:rsidR="0053114A" w:rsidRPr="0053114A">
          <w:rPr>
            <w:rStyle w:val="Hyperlink"/>
            <w:noProof/>
            <w:szCs w:val="26"/>
          </w:rPr>
          <w:t>f.</w:t>
        </w:r>
        <w:r w:rsidR="0053114A" w:rsidRPr="0053114A">
          <w:rPr>
            <w:rFonts w:eastAsiaTheme="minorEastAsia"/>
            <w:noProof/>
            <w:szCs w:val="26"/>
          </w:rPr>
          <w:tab/>
        </w:r>
        <w:r w:rsidR="0053114A" w:rsidRPr="0053114A">
          <w:rPr>
            <w:rStyle w:val="Hyperlink"/>
            <w:noProof/>
            <w:szCs w:val="26"/>
          </w:rPr>
          <w:t>Supplier Load Cap</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_Toc346705345 \h </w:instrText>
        </w:r>
        <w:r w:rsidR="0053114A" w:rsidRPr="0053114A">
          <w:rPr>
            <w:noProof/>
            <w:webHidden/>
            <w:szCs w:val="26"/>
          </w:rPr>
        </w:r>
        <w:r w:rsidR="0053114A" w:rsidRPr="0053114A">
          <w:rPr>
            <w:noProof/>
            <w:webHidden/>
            <w:szCs w:val="26"/>
          </w:rPr>
          <w:fldChar w:fldCharType="separate"/>
        </w:r>
        <w:r w:rsidR="002A1B8B">
          <w:rPr>
            <w:noProof/>
            <w:webHidden/>
            <w:szCs w:val="26"/>
          </w:rPr>
          <w:t>113</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46" w:history="1">
        <w:r w:rsidR="0053114A" w:rsidRPr="0053114A">
          <w:rPr>
            <w:rStyle w:val="Hyperlink"/>
            <w:noProof/>
            <w:szCs w:val="26"/>
          </w:rPr>
          <w:t>i.</w:t>
        </w:r>
        <w:r w:rsidR="0053114A" w:rsidRPr="0053114A">
          <w:rPr>
            <w:rFonts w:eastAsiaTheme="minorEastAsia"/>
            <w:noProof/>
            <w:szCs w:val="26"/>
          </w:rPr>
          <w:tab/>
        </w:r>
        <w:r w:rsidR="0053114A" w:rsidRPr="0053114A">
          <w:rPr>
            <w:rStyle w:val="Hyperlink"/>
            <w:noProof/>
            <w:szCs w:val="26"/>
          </w:rPr>
          <w:t>Duquesne’s Proposal</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_Toc346705346 \h </w:instrText>
        </w:r>
        <w:r w:rsidR="0053114A" w:rsidRPr="0053114A">
          <w:rPr>
            <w:noProof/>
            <w:webHidden/>
            <w:szCs w:val="26"/>
          </w:rPr>
        </w:r>
        <w:r w:rsidR="0053114A" w:rsidRPr="0053114A">
          <w:rPr>
            <w:noProof/>
            <w:webHidden/>
            <w:szCs w:val="26"/>
          </w:rPr>
          <w:fldChar w:fldCharType="separate"/>
        </w:r>
        <w:r w:rsidR="002A1B8B">
          <w:rPr>
            <w:noProof/>
            <w:webHidden/>
            <w:szCs w:val="26"/>
          </w:rPr>
          <w:t>113</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47" w:history="1">
        <w:r w:rsidR="0053114A" w:rsidRPr="0053114A">
          <w:rPr>
            <w:rStyle w:val="Hyperlink"/>
            <w:noProof/>
            <w:szCs w:val="26"/>
          </w:rPr>
          <w:t>ii.</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_Toc346705347 \h </w:instrText>
        </w:r>
        <w:r w:rsidR="0053114A" w:rsidRPr="0053114A">
          <w:rPr>
            <w:noProof/>
            <w:webHidden/>
            <w:szCs w:val="26"/>
          </w:rPr>
        </w:r>
        <w:r w:rsidR="0053114A" w:rsidRPr="0053114A">
          <w:rPr>
            <w:noProof/>
            <w:webHidden/>
            <w:szCs w:val="26"/>
          </w:rPr>
          <w:fldChar w:fldCharType="separate"/>
        </w:r>
        <w:r w:rsidR="002A1B8B">
          <w:rPr>
            <w:noProof/>
            <w:webHidden/>
            <w:szCs w:val="26"/>
          </w:rPr>
          <w:t>113</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48" w:history="1">
        <w:r w:rsidR="0053114A" w:rsidRPr="0053114A">
          <w:rPr>
            <w:rStyle w:val="Hyperlink"/>
            <w:noProof/>
            <w:szCs w:val="26"/>
          </w:rPr>
          <w:t>iii.</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_Toc346705348 \h </w:instrText>
        </w:r>
        <w:r w:rsidR="0053114A" w:rsidRPr="0053114A">
          <w:rPr>
            <w:noProof/>
            <w:webHidden/>
            <w:szCs w:val="26"/>
          </w:rPr>
        </w:r>
        <w:r w:rsidR="0053114A" w:rsidRPr="0053114A">
          <w:rPr>
            <w:noProof/>
            <w:webHidden/>
            <w:szCs w:val="26"/>
          </w:rPr>
          <w:fldChar w:fldCharType="separate"/>
        </w:r>
        <w:r w:rsidR="002A1B8B">
          <w:rPr>
            <w:noProof/>
            <w:webHidden/>
            <w:szCs w:val="26"/>
          </w:rPr>
          <w:t>115</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49" w:history="1">
        <w:r w:rsidR="0053114A" w:rsidRPr="0053114A">
          <w:rPr>
            <w:rStyle w:val="Hyperlink"/>
            <w:noProof/>
            <w:szCs w:val="26"/>
          </w:rPr>
          <w:t>iv.</w:t>
        </w:r>
        <w:r w:rsidR="0053114A" w:rsidRPr="0053114A">
          <w:rPr>
            <w:rFonts w:eastAsiaTheme="minorEastAsia"/>
            <w:noProof/>
            <w:szCs w:val="26"/>
          </w:rPr>
          <w:tab/>
        </w:r>
        <w:r w:rsidR="0053114A" w:rsidRPr="0053114A">
          <w:rPr>
            <w:rStyle w:val="Hyperlink"/>
            <w:noProof/>
            <w:szCs w:val="26"/>
          </w:rPr>
          <w:t>Exceptions and 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_Toc346705349 \h </w:instrText>
        </w:r>
        <w:r w:rsidR="0053114A" w:rsidRPr="0053114A">
          <w:rPr>
            <w:noProof/>
            <w:webHidden/>
            <w:szCs w:val="26"/>
          </w:rPr>
        </w:r>
        <w:r w:rsidR="0053114A" w:rsidRPr="0053114A">
          <w:rPr>
            <w:noProof/>
            <w:webHidden/>
            <w:szCs w:val="26"/>
          </w:rPr>
          <w:fldChar w:fldCharType="separate"/>
        </w:r>
        <w:r w:rsidR="002A1B8B">
          <w:rPr>
            <w:noProof/>
            <w:webHidden/>
            <w:szCs w:val="26"/>
          </w:rPr>
          <w:t>116</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50" w:history="1">
        <w:r w:rsidR="0053114A" w:rsidRPr="0053114A">
          <w:rPr>
            <w:rStyle w:val="Hyperlink"/>
            <w:noProof/>
            <w:szCs w:val="26"/>
          </w:rPr>
          <w:t>v.</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_Toc346705350 \h </w:instrText>
        </w:r>
        <w:r w:rsidR="0053114A" w:rsidRPr="0053114A">
          <w:rPr>
            <w:noProof/>
            <w:webHidden/>
            <w:szCs w:val="26"/>
          </w:rPr>
        </w:r>
        <w:r w:rsidR="0053114A" w:rsidRPr="0053114A">
          <w:rPr>
            <w:noProof/>
            <w:webHidden/>
            <w:szCs w:val="26"/>
          </w:rPr>
          <w:fldChar w:fldCharType="separate"/>
        </w:r>
        <w:r w:rsidR="002A1B8B">
          <w:rPr>
            <w:noProof/>
            <w:webHidden/>
            <w:szCs w:val="26"/>
          </w:rPr>
          <w:t>116</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351" w:history="1">
        <w:r w:rsidR="0053114A" w:rsidRPr="0053114A">
          <w:rPr>
            <w:rStyle w:val="Hyperlink"/>
            <w:noProof/>
            <w:szCs w:val="26"/>
          </w:rPr>
          <w:t>g.</w:t>
        </w:r>
        <w:r w:rsidR="0053114A" w:rsidRPr="0053114A">
          <w:rPr>
            <w:rFonts w:eastAsiaTheme="minorEastAsia"/>
            <w:noProof/>
            <w:szCs w:val="26"/>
          </w:rPr>
          <w:tab/>
        </w:r>
        <w:r w:rsidR="0053114A" w:rsidRPr="0053114A">
          <w:rPr>
            <w:rStyle w:val="Hyperlink"/>
            <w:noProof/>
            <w:szCs w:val="26"/>
          </w:rPr>
          <w:t>Enrollment Process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_Toc346705351 \h </w:instrText>
        </w:r>
        <w:r w:rsidR="0053114A" w:rsidRPr="0053114A">
          <w:rPr>
            <w:noProof/>
            <w:webHidden/>
            <w:szCs w:val="26"/>
          </w:rPr>
        </w:r>
        <w:r w:rsidR="0053114A" w:rsidRPr="0053114A">
          <w:rPr>
            <w:noProof/>
            <w:webHidden/>
            <w:szCs w:val="26"/>
          </w:rPr>
          <w:fldChar w:fldCharType="separate"/>
        </w:r>
        <w:r w:rsidR="002A1B8B">
          <w:rPr>
            <w:noProof/>
            <w:webHidden/>
            <w:szCs w:val="26"/>
          </w:rPr>
          <w:t>116</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52" w:history="1">
        <w:r w:rsidR="0053114A" w:rsidRPr="0053114A">
          <w:rPr>
            <w:rStyle w:val="Hyperlink"/>
            <w:noProof/>
            <w:szCs w:val="26"/>
          </w:rPr>
          <w:t>i.</w:t>
        </w:r>
        <w:r w:rsidR="0053114A" w:rsidRPr="0053114A">
          <w:rPr>
            <w:rFonts w:eastAsiaTheme="minorEastAsia"/>
            <w:noProof/>
            <w:szCs w:val="26"/>
          </w:rPr>
          <w:tab/>
        </w:r>
        <w:r w:rsidR="0053114A" w:rsidRPr="0053114A">
          <w:rPr>
            <w:rStyle w:val="Hyperlink"/>
            <w:noProof/>
            <w:szCs w:val="26"/>
          </w:rPr>
          <w:t>Duquesne’s Proposal</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_Toc346705352 \h </w:instrText>
        </w:r>
        <w:r w:rsidR="0053114A" w:rsidRPr="0053114A">
          <w:rPr>
            <w:noProof/>
            <w:webHidden/>
            <w:szCs w:val="26"/>
          </w:rPr>
        </w:r>
        <w:r w:rsidR="0053114A" w:rsidRPr="0053114A">
          <w:rPr>
            <w:noProof/>
            <w:webHidden/>
            <w:szCs w:val="26"/>
          </w:rPr>
          <w:fldChar w:fldCharType="separate"/>
        </w:r>
        <w:r w:rsidR="002A1B8B">
          <w:rPr>
            <w:noProof/>
            <w:webHidden/>
            <w:szCs w:val="26"/>
          </w:rPr>
          <w:t>116</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53" w:history="1">
        <w:r w:rsidR="0053114A" w:rsidRPr="0053114A">
          <w:rPr>
            <w:rStyle w:val="Hyperlink"/>
            <w:noProof/>
            <w:szCs w:val="26"/>
          </w:rPr>
          <w:t>ii.</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_Toc346705353 \h </w:instrText>
        </w:r>
        <w:r w:rsidR="0053114A" w:rsidRPr="0053114A">
          <w:rPr>
            <w:noProof/>
            <w:webHidden/>
            <w:szCs w:val="26"/>
          </w:rPr>
        </w:r>
        <w:r w:rsidR="0053114A" w:rsidRPr="0053114A">
          <w:rPr>
            <w:noProof/>
            <w:webHidden/>
            <w:szCs w:val="26"/>
          </w:rPr>
          <w:fldChar w:fldCharType="separate"/>
        </w:r>
        <w:r w:rsidR="002A1B8B">
          <w:rPr>
            <w:noProof/>
            <w:webHidden/>
            <w:szCs w:val="26"/>
          </w:rPr>
          <w:t>117</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54" w:history="1">
        <w:r w:rsidR="0053114A" w:rsidRPr="0053114A">
          <w:rPr>
            <w:rStyle w:val="Hyperlink"/>
            <w:noProof/>
            <w:szCs w:val="26"/>
          </w:rPr>
          <w:t>iii.</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_Toc346705354 \h </w:instrText>
        </w:r>
        <w:r w:rsidR="0053114A" w:rsidRPr="0053114A">
          <w:rPr>
            <w:noProof/>
            <w:webHidden/>
            <w:szCs w:val="26"/>
          </w:rPr>
        </w:r>
        <w:r w:rsidR="0053114A" w:rsidRPr="0053114A">
          <w:rPr>
            <w:noProof/>
            <w:webHidden/>
            <w:szCs w:val="26"/>
          </w:rPr>
          <w:fldChar w:fldCharType="separate"/>
        </w:r>
        <w:r w:rsidR="002A1B8B">
          <w:rPr>
            <w:noProof/>
            <w:webHidden/>
            <w:szCs w:val="26"/>
          </w:rPr>
          <w:t>119</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55" w:history="1">
        <w:r w:rsidR="0053114A" w:rsidRPr="0053114A">
          <w:rPr>
            <w:rStyle w:val="Hyperlink"/>
            <w:noProof/>
            <w:szCs w:val="26"/>
          </w:rPr>
          <w:t>iv.</w:t>
        </w:r>
        <w:r w:rsidR="0053114A" w:rsidRPr="0053114A">
          <w:rPr>
            <w:rFonts w:eastAsiaTheme="minorEastAsia"/>
            <w:noProof/>
            <w:szCs w:val="26"/>
          </w:rPr>
          <w:tab/>
        </w:r>
        <w:r w:rsidR="0053114A" w:rsidRPr="0053114A">
          <w:rPr>
            <w:rStyle w:val="Hyperlink"/>
            <w:noProof/>
            <w:szCs w:val="26"/>
          </w:rPr>
          <w:t>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_Toc346705355 \h </w:instrText>
        </w:r>
        <w:r w:rsidR="0053114A" w:rsidRPr="0053114A">
          <w:rPr>
            <w:noProof/>
            <w:webHidden/>
            <w:szCs w:val="26"/>
          </w:rPr>
        </w:r>
        <w:r w:rsidR="0053114A" w:rsidRPr="0053114A">
          <w:rPr>
            <w:noProof/>
            <w:webHidden/>
            <w:szCs w:val="26"/>
          </w:rPr>
          <w:fldChar w:fldCharType="separate"/>
        </w:r>
        <w:r w:rsidR="002A1B8B">
          <w:rPr>
            <w:noProof/>
            <w:webHidden/>
            <w:szCs w:val="26"/>
          </w:rPr>
          <w:t>120</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56" w:history="1">
        <w:r w:rsidR="0053114A" w:rsidRPr="0053114A">
          <w:rPr>
            <w:rStyle w:val="Hyperlink"/>
            <w:noProof/>
            <w:szCs w:val="26"/>
          </w:rPr>
          <w:t xml:space="preserve">v. </w:t>
        </w:r>
        <w:r w:rsidR="0053114A" w:rsidRPr="0053114A">
          <w:rPr>
            <w:rFonts w:eastAsiaTheme="minorEastAsia"/>
            <w:noProof/>
            <w:szCs w:val="26"/>
          </w:rPr>
          <w:tab/>
        </w:r>
        <w:r w:rsidR="0053114A" w:rsidRPr="0053114A">
          <w:rPr>
            <w:rStyle w:val="Hyperlink"/>
            <w:noProof/>
            <w:szCs w:val="26"/>
          </w:rPr>
          <w:t>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_Toc346705356 \h </w:instrText>
        </w:r>
        <w:r w:rsidR="0053114A" w:rsidRPr="0053114A">
          <w:rPr>
            <w:noProof/>
            <w:webHidden/>
            <w:szCs w:val="26"/>
          </w:rPr>
        </w:r>
        <w:r w:rsidR="0053114A" w:rsidRPr="0053114A">
          <w:rPr>
            <w:noProof/>
            <w:webHidden/>
            <w:szCs w:val="26"/>
          </w:rPr>
          <w:fldChar w:fldCharType="separate"/>
        </w:r>
        <w:r w:rsidR="002A1B8B">
          <w:rPr>
            <w:noProof/>
            <w:webHidden/>
            <w:szCs w:val="26"/>
          </w:rPr>
          <w:t>121</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57" w:history="1">
        <w:r w:rsidR="0053114A" w:rsidRPr="0053114A">
          <w:rPr>
            <w:rStyle w:val="Hyperlink"/>
            <w:noProof/>
            <w:szCs w:val="26"/>
          </w:rPr>
          <w:t>vi.</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_Toc346705357 \h </w:instrText>
        </w:r>
        <w:r w:rsidR="0053114A" w:rsidRPr="0053114A">
          <w:rPr>
            <w:noProof/>
            <w:webHidden/>
            <w:szCs w:val="26"/>
          </w:rPr>
        </w:r>
        <w:r w:rsidR="0053114A" w:rsidRPr="0053114A">
          <w:rPr>
            <w:noProof/>
            <w:webHidden/>
            <w:szCs w:val="26"/>
          </w:rPr>
          <w:fldChar w:fldCharType="separate"/>
        </w:r>
        <w:r w:rsidR="002A1B8B">
          <w:rPr>
            <w:noProof/>
            <w:webHidden/>
            <w:szCs w:val="26"/>
          </w:rPr>
          <w:t>123</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358" w:history="1">
        <w:r w:rsidR="0053114A" w:rsidRPr="0053114A">
          <w:rPr>
            <w:rStyle w:val="Hyperlink"/>
            <w:noProof/>
            <w:szCs w:val="26"/>
          </w:rPr>
          <w:t>h.</w:t>
        </w:r>
        <w:r w:rsidR="0053114A" w:rsidRPr="0053114A">
          <w:rPr>
            <w:rFonts w:eastAsiaTheme="minorEastAsia"/>
            <w:noProof/>
            <w:szCs w:val="26"/>
          </w:rPr>
          <w:tab/>
        </w:r>
        <w:r w:rsidR="0053114A" w:rsidRPr="0053114A">
          <w:rPr>
            <w:rStyle w:val="Hyperlink"/>
            <w:noProof/>
            <w:szCs w:val="26"/>
          </w:rPr>
          <w:t>Mailings and Communications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_Toc346705358 \h </w:instrText>
        </w:r>
        <w:r w:rsidR="0053114A" w:rsidRPr="0053114A">
          <w:rPr>
            <w:noProof/>
            <w:webHidden/>
            <w:szCs w:val="26"/>
          </w:rPr>
        </w:r>
        <w:r w:rsidR="0053114A" w:rsidRPr="0053114A">
          <w:rPr>
            <w:noProof/>
            <w:webHidden/>
            <w:szCs w:val="26"/>
          </w:rPr>
          <w:fldChar w:fldCharType="separate"/>
        </w:r>
        <w:r w:rsidR="002A1B8B">
          <w:rPr>
            <w:noProof/>
            <w:webHidden/>
            <w:szCs w:val="26"/>
          </w:rPr>
          <w:t>124</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59" w:history="1">
        <w:r w:rsidR="0053114A" w:rsidRPr="0053114A">
          <w:rPr>
            <w:rStyle w:val="Hyperlink"/>
            <w:noProof/>
            <w:szCs w:val="26"/>
          </w:rPr>
          <w:t>i.</w:t>
        </w:r>
        <w:r w:rsidR="0053114A" w:rsidRPr="0053114A">
          <w:rPr>
            <w:rFonts w:eastAsiaTheme="minorEastAsia"/>
            <w:noProof/>
            <w:szCs w:val="26"/>
          </w:rPr>
          <w:tab/>
        </w:r>
        <w:r w:rsidR="0053114A" w:rsidRPr="0053114A">
          <w:rPr>
            <w:rStyle w:val="Hyperlink"/>
            <w:noProof/>
            <w:szCs w:val="26"/>
          </w:rPr>
          <w:t>Duquesne’s Proposal</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_Toc346705359 \h </w:instrText>
        </w:r>
        <w:r w:rsidR="0053114A" w:rsidRPr="0053114A">
          <w:rPr>
            <w:noProof/>
            <w:webHidden/>
            <w:szCs w:val="26"/>
          </w:rPr>
        </w:r>
        <w:r w:rsidR="0053114A" w:rsidRPr="0053114A">
          <w:rPr>
            <w:noProof/>
            <w:webHidden/>
            <w:szCs w:val="26"/>
          </w:rPr>
          <w:fldChar w:fldCharType="separate"/>
        </w:r>
        <w:r w:rsidR="002A1B8B">
          <w:rPr>
            <w:noProof/>
            <w:webHidden/>
            <w:szCs w:val="26"/>
          </w:rPr>
          <w:t>124</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60" w:history="1">
        <w:r w:rsidR="0053114A" w:rsidRPr="0053114A">
          <w:rPr>
            <w:rStyle w:val="Hyperlink"/>
            <w:noProof/>
            <w:szCs w:val="26"/>
          </w:rPr>
          <w:t>ii.</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_Toc346705360 \h </w:instrText>
        </w:r>
        <w:r w:rsidR="0053114A" w:rsidRPr="0053114A">
          <w:rPr>
            <w:noProof/>
            <w:webHidden/>
            <w:szCs w:val="26"/>
          </w:rPr>
        </w:r>
        <w:r w:rsidR="0053114A" w:rsidRPr="0053114A">
          <w:rPr>
            <w:noProof/>
            <w:webHidden/>
            <w:szCs w:val="26"/>
          </w:rPr>
          <w:fldChar w:fldCharType="separate"/>
        </w:r>
        <w:r w:rsidR="002A1B8B">
          <w:rPr>
            <w:noProof/>
            <w:webHidden/>
            <w:szCs w:val="26"/>
          </w:rPr>
          <w:t>124</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61" w:history="1">
        <w:r w:rsidR="0053114A" w:rsidRPr="0053114A">
          <w:rPr>
            <w:rStyle w:val="Hyperlink"/>
            <w:noProof/>
            <w:szCs w:val="26"/>
          </w:rPr>
          <w:t>iii.</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_Toc346705361 \h </w:instrText>
        </w:r>
        <w:r w:rsidR="0053114A" w:rsidRPr="0053114A">
          <w:rPr>
            <w:noProof/>
            <w:webHidden/>
            <w:szCs w:val="26"/>
          </w:rPr>
        </w:r>
        <w:r w:rsidR="0053114A" w:rsidRPr="0053114A">
          <w:rPr>
            <w:noProof/>
            <w:webHidden/>
            <w:szCs w:val="26"/>
          </w:rPr>
          <w:fldChar w:fldCharType="separate"/>
        </w:r>
        <w:r w:rsidR="002A1B8B">
          <w:rPr>
            <w:noProof/>
            <w:webHidden/>
            <w:szCs w:val="26"/>
          </w:rPr>
          <w:t>126</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62" w:history="1">
        <w:r w:rsidR="0053114A" w:rsidRPr="0053114A">
          <w:rPr>
            <w:rStyle w:val="Hyperlink"/>
            <w:noProof/>
            <w:szCs w:val="26"/>
          </w:rPr>
          <w:t>iv.</w:t>
        </w:r>
        <w:r w:rsidR="0053114A" w:rsidRPr="0053114A">
          <w:rPr>
            <w:rFonts w:eastAsiaTheme="minorEastAsia"/>
            <w:noProof/>
            <w:szCs w:val="26"/>
          </w:rPr>
          <w:tab/>
        </w:r>
        <w:r w:rsidR="0053114A" w:rsidRPr="0053114A">
          <w:rPr>
            <w:rStyle w:val="Hyperlink"/>
            <w:noProof/>
            <w:szCs w:val="26"/>
          </w:rPr>
          <w:t>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_Toc346705362 \h </w:instrText>
        </w:r>
        <w:r w:rsidR="0053114A" w:rsidRPr="0053114A">
          <w:rPr>
            <w:noProof/>
            <w:webHidden/>
            <w:szCs w:val="26"/>
          </w:rPr>
        </w:r>
        <w:r w:rsidR="0053114A" w:rsidRPr="0053114A">
          <w:rPr>
            <w:noProof/>
            <w:webHidden/>
            <w:szCs w:val="26"/>
          </w:rPr>
          <w:fldChar w:fldCharType="separate"/>
        </w:r>
        <w:r w:rsidR="002A1B8B">
          <w:rPr>
            <w:noProof/>
            <w:webHidden/>
            <w:szCs w:val="26"/>
          </w:rPr>
          <w:t>126</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63" w:history="1">
        <w:r w:rsidR="0053114A" w:rsidRPr="0053114A">
          <w:rPr>
            <w:rStyle w:val="Hyperlink"/>
            <w:noProof/>
            <w:szCs w:val="26"/>
          </w:rPr>
          <w:t>v.</w:t>
        </w:r>
        <w:r w:rsidR="0053114A" w:rsidRPr="0053114A">
          <w:rPr>
            <w:rFonts w:eastAsiaTheme="minorEastAsia"/>
            <w:noProof/>
            <w:szCs w:val="26"/>
          </w:rPr>
          <w:tab/>
        </w:r>
        <w:r w:rsidR="0053114A" w:rsidRPr="0053114A">
          <w:rPr>
            <w:rStyle w:val="Hyperlink"/>
            <w:noProof/>
            <w:szCs w:val="26"/>
          </w:rPr>
          <w:t>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_Toc346705363 \h </w:instrText>
        </w:r>
        <w:r w:rsidR="0053114A" w:rsidRPr="0053114A">
          <w:rPr>
            <w:noProof/>
            <w:webHidden/>
            <w:szCs w:val="26"/>
          </w:rPr>
        </w:r>
        <w:r w:rsidR="0053114A" w:rsidRPr="0053114A">
          <w:rPr>
            <w:noProof/>
            <w:webHidden/>
            <w:szCs w:val="26"/>
          </w:rPr>
          <w:fldChar w:fldCharType="separate"/>
        </w:r>
        <w:r w:rsidR="002A1B8B">
          <w:rPr>
            <w:noProof/>
            <w:webHidden/>
            <w:szCs w:val="26"/>
          </w:rPr>
          <w:t>128</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64" w:history="1">
        <w:r w:rsidR="0053114A" w:rsidRPr="0053114A">
          <w:rPr>
            <w:rStyle w:val="Hyperlink"/>
            <w:noProof/>
            <w:szCs w:val="26"/>
          </w:rPr>
          <w:t>vi.</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_Toc346705364 \h </w:instrText>
        </w:r>
        <w:r w:rsidR="0053114A" w:rsidRPr="0053114A">
          <w:rPr>
            <w:noProof/>
            <w:webHidden/>
            <w:szCs w:val="26"/>
          </w:rPr>
        </w:r>
        <w:r w:rsidR="0053114A" w:rsidRPr="0053114A">
          <w:rPr>
            <w:noProof/>
            <w:webHidden/>
            <w:szCs w:val="26"/>
          </w:rPr>
          <w:fldChar w:fldCharType="separate"/>
        </w:r>
        <w:r w:rsidR="002A1B8B">
          <w:rPr>
            <w:noProof/>
            <w:webHidden/>
            <w:szCs w:val="26"/>
          </w:rPr>
          <w:t>128</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365" w:history="1">
        <w:r w:rsidR="0053114A" w:rsidRPr="0053114A">
          <w:rPr>
            <w:rStyle w:val="Hyperlink"/>
            <w:noProof/>
            <w:szCs w:val="26"/>
          </w:rPr>
          <w:t>i.</w:t>
        </w:r>
        <w:r w:rsidR="0053114A" w:rsidRPr="0053114A">
          <w:rPr>
            <w:rFonts w:eastAsiaTheme="minorEastAsia"/>
            <w:noProof/>
            <w:szCs w:val="26"/>
          </w:rPr>
          <w:tab/>
        </w:r>
        <w:r w:rsidR="0053114A" w:rsidRPr="0053114A">
          <w:rPr>
            <w:rStyle w:val="Hyperlink"/>
            <w:noProof/>
            <w:szCs w:val="26"/>
          </w:rPr>
          <w:t>Opt-In Program Agreement</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_Toc346705365 \h </w:instrText>
        </w:r>
        <w:r w:rsidR="0053114A" w:rsidRPr="0053114A">
          <w:rPr>
            <w:noProof/>
            <w:webHidden/>
            <w:szCs w:val="26"/>
          </w:rPr>
        </w:r>
        <w:r w:rsidR="0053114A" w:rsidRPr="0053114A">
          <w:rPr>
            <w:noProof/>
            <w:webHidden/>
            <w:szCs w:val="26"/>
          </w:rPr>
          <w:fldChar w:fldCharType="separate"/>
        </w:r>
        <w:r w:rsidR="002A1B8B">
          <w:rPr>
            <w:noProof/>
            <w:webHidden/>
            <w:szCs w:val="26"/>
          </w:rPr>
          <w:t>129</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66" w:history="1">
        <w:r w:rsidR="0053114A" w:rsidRPr="0053114A">
          <w:rPr>
            <w:rStyle w:val="Hyperlink"/>
            <w:noProof/>
            <w:szCs w:val="26"/>
          </w:rPr>
          <w:t>i.</w:t>
        </w:r>
        <w:r w:rsidR="0053114A" w:rsidRPr="0053114A">
          <w:rPr>
            <w:rFonts w:eastAsiaTheme="minorEastAsia"/>
            <w:noProof/>
            <w:szCs w:val="26"/>
          </w:rPr>
          <w:tab/>
        </w:r>
        <w:r w:rsidR="0053114A" w:rsidRPr="0053114A">
          <w:rPr>
            <w:rStyle w:val="Hyperlink"/>
            <w:noProof/>
            <w:szCs w:val="26"/>
          </w:rPr>
          <w:t>Duquesne’s Proposal</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_Toc346705366 \h </w:instrText>
        </w:r>
        <w:r w:rsidR="0053114A" w:rsidRPr="0053114A">
          <w:rPr>
            <w:noProof/>
            <w:webHidden/>
            <w:szCs w:val="26"/>
          </w:rPr>
        </w:r>
        <w:r w:rsidR="0053114A" w:rsidRPr="0053114A">
          <w:rPr>
            <w:noProof/>
            <w:webHidden/>
            <w:szCs w:val="26"/>
          </w:rPr>
          <w:fldChar w:fldCharType="separate"/>
        </w:r>
        <w:r w:rsidR="002A1B8B">
          <w:rPr>
            <w:noProof/>
            <w:webHidden/>
            <w:szCs w:val="26"/>
          </w:rPr>
          <w:t>129</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67" w:history="1">
        <w:r w:rsidR="0053114A" w:rsidRPr="0053114A">
          <w:rPr>
            <w:rStyle w:val="Hyperlink"/>
            <w:noProof/>
            <w:szCs w:val="26"/>
          </w:rPr>
          <w:t>ii.</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_Toc346705367 \h </w:instrText>
        </w:r>
        <w:r w:rsidR="0053114A" w:rsidRPr="0053114A">
          <w:rPr>
            <w:noProof/>
            <w:webHidden/>
            <w:szCs w:val="26"/>
          </w:rPr>
        </w:r>
        <w:r w:rsidR="0053114A" w:rsidRPr="0053114A">
          <w:rPr>
            <w:noProof/>
            <w:webHidden/>
            <w:szCs w:val="26"/>
          </w:rPr>
          <w:fldChar w:fldCharType="separate"/>
        </w:r>
        <w:r w:rsidR="002A1B8B">
          <w:rPr>
            <w:noProof/>
            <w:webHidden/>
            <w:szCs w:val="26"/>
          </w:rPr>
          <w:t>130</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68" w:history="1">
        <w:r w:rsidR="0053114A" w:rsidRPr="0053114A">
          <w:rPr>
            <w:rStyle w:val="Hyperlink"/>
            <w:noProof/>
            <w:szCs w:val="26"/>
          </w:rPr>
          <w:t>iii.</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_Toc346705368 \h </w:instrText>
        </w:r>
        <w:r w:rsidR="0053114A" w:rsidRPr="0053114A">
          <w:rPr>
            <w:noProof/>
            <w:webHidden/>
            <w:szCs w:val="26"/>
          </w:rPr>
        </w:r>
        <w:r w:rsidR="0053114A" w:rsidRPr="0053114A">
          <w:rPr>
            <w:noProof/>
            <w:webHidden/>
            <w:szCs w:val="26"/>
          </w:rPr>
          <w:fldChar w:fldCharType="separate"/>
        </w:r>
        <w:r w:rsidR="002A1B8B">
          <w:rPr>
            <w:noProof/>
            <w:webHidden/>
            <w:szCs w:val="26"/>
          </w:rPr>
          <w:t>130</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69" w:history="1">
        <w:r w:rsidR="0053114A" w:rsidRPr="0053114A">
          <w:rPr>
            <w:rStyle w:val="Hyperlink"/>
            <w:noProof/>
            <w:szCs w:val="26"/>
          </w:rPr>
          <w:t>iv.</w:t>
        </w:r>
        <w:r w:rsidR="0053114A" w:rsidRPr="0053114A">
          <w:rPr>
            <w:rFonts w:eastAsiaTheme="minorEastAsia"/>
            <w:noProof/>
            <w:szCs w:val="26"/>
          </w:rPr>
          <w:tab/>
        </w:r>
        <w:r w:rsidR="0053114A" w:rsidRPr="0053114A">
          <w:rPr>
            <w:rStyle w:val="Hyperlink"/>
            <w:noProof/>
            <w:szCs w:val="26"/>
          </w:rPr>
          <w:t>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_Toc346705369 \h </w:instrText>
        </w:r>
        <w:r w:rsidR="0053114A" w:rsidRPr="0053114A">
          <w:rPr>
            <w:noProof/>
            <w:webHidden/>
            <w:szCs w:val="26"/>
          </w:rPr>
        </w:r>
        <w:r w:rsidR="0053114A" w:rsidRPr="0053114A">
          <w:rPr>
            <w:noProof/>
            <w:webHidden/>
            <w:szCs w:val="26"/>
          </w:rPr>
          <w:fldChar w:fldCharType="separate"/>
        </w:r>
        <w:r w:rsidR="002A1B8B">
          <w:rPr>
            <w:noProof/>
            <w:webHidden/>
            <w:szCs w:val="26"/>
          </w:rPr>
          <w:t>131</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70" w:history="1">
        <w:r w:rsidR="0053114A" w:rsidRPr="0053114A">
          <w:rPr>
            <w:rStyle w:val="Hyperlink"/>
            <w:noProof/>
            <w:szCs w:val="26"/>
          </w:rPr>
          <w:t>v.</w:t>
        </w:r>
        <w:r w:rsidR="0053114A" w:rsidRPr="0053114A">
          <w:rPr>
            <w:rFonts w:eastAsiaTheme="minorEastAsia"/>
            <w:noProof/>
            <w:szCs w:val="26"/>
          </w:rPr>
          <w:tab/>
        </w:r>
        <w:r w:rsidR="0053114A" w:rsidRPr="0053114A">
          <w:rPr>
            <w:rStyle w:val="Hyperlink"/>
            <w:noProof/>
            <w:szCs w:val="26"/>
          </w:rPr>
          <w:t>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_Toc346705370 \h </w:instrText>
        </w:r>
        <w:r w:rsidR="0053114A" w:rsidRPr="0053114A">
          <w:rPr>
            <w:noProof/>
            <w:webHidden/>
            <w:szCs w:val="26"/>
          </w:rPr>
        </w:r>
        <w:r w:rsidR="0053114A" w:rsidRPr="0053114A">
          <w:rPr>
            <w:noProof/>
            <w:webHidden/>
            <w:szCs w:val="26"/>
          </w:rPr>
          <w:fldChar w:fldCharType="separate"/>
        </w:r>
        <w:r w:rsidR="002A1B8B">
          <w:rPr>
            <w:noProof/>
            <w:webHidden/>
            <w:szCs w:val="26"/>
          </w:rPr>
          <w:t>131</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71" w:history="1">
        <w:r w:rsidR="0053114A" w:rsidRPr="0053114A">
          <w:rPr>
            <w:rStyle w:val="Hyperlink"/>
            <w:noProof/>
            <w:szCs w:val="26"/>
          </w:rPr>
          <w:t>vi.</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_Toc346705371 \h </w:instrText>
        </w:r>
        <w:r w:rsidR="0053114A" w:rsidRPr="0053114A">
          <w:rPr>
            <w:noProof/>
            <w:webHidden/>
            <w:szCs w:val="26"/>
          </w:rPr>
        </w:r>
        <w:r w:rsidR="0053114A" w:rsidRPr="0053114A">
          <w:rPr>
            <w:noProof/>
            <w:webHidden/>
            <w:szCs w:val="26"/>
          </w:rPr>
          <w:fldChar w:fldCharType="separate"/>
        </w:r>
        <w:r w:rsidR="002A1B8B">
          <w:rPr>
            <w:noProof/>
            <w:webHidden/>
            <w:szCs w:val="26"/>
          </w:rPr>
          <w:t>132</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372" w:history="1">
        <w:r w:rsidR="0053114A" w:rsidRPr="0053114A">
          <w:rPr>
            <w:rStyle w:val="Hyperlink"/>
            <w:noProof/>
            <w:szCs w:val="26"/>
          </w:rPr>
          <w:t>2.</w:t>
        </w:r>
        <w:r w:rsidR="0053114A" w:rsidRPr="0053114A">
          <w:rPr>
            <w:rFonts w:eastAsiaTheme="minorEastAsia"/>
            <w:noProof/>
            <w:szCs w:val="26"/>
          </w:rPr>
          <w:tab/>
        </w:r>
        <w:r w:rsidR="0053114A" w:rsidRPr="0053114A">
          <w:rPr>
            <w:rStyle w:val="Hyperlink"/>
            <w:noProof/>
            <w:szCs w:val="26"/>
          </w:rPr>
          <w:t>Standard Offer (SO) Referral Program</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_Toc346705372 \h </w:instrText>
        </w:r>
        <w:r w:rsidR="0053114A" w:rsidRPr="0053114A">
          <w:rPr>
            <w:noProof/>
            <w:webHidden/>
            <w:szCs w:val="26"/>
          </w:rPr>
        </w:r>
        <w:r w:rsidR="0053114A" w:rsidRPr="0053114A">
          <w:rPr>
            <w:noProof/>
            <w:webHidden/>
            <w:szCs w:val="26"/>
          </w:rPr>
          <w:fldChar w:fldCharType="separate"/>
        </w:r>
        <w:r w:rsidR="002A1B8B">
          <w:rPr>
            <w:noProof/>
            <w:webHidden/>
            <w:szCs w:val="26"/>
          </w:rPr>
          <w:t>132</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373" w:history="1">
        <w:r w:rsidR="0053114A" w:rsidRPr="0053114A">
          <w:rPr>
            <w:rStyle w:val="Hyperlink"/>
            <w:noProof/>
            <w:szCs w:val="26"/>
          </w:rPr>
          <w:t xml:space="preserve">a. </w:t>
        </w:r>
        <w:r w:rsidR="0053114A" w:rsidRPr="0053114A">
          <w:rPr>
            <w:rFonts w:eastAsiaTheme="minorEastAsia"/>
            <w:noProof/>
            <w:szCs w:val="26"/>
          </w:rPr>
          <w:tab/>
        </w:r>
        <w:r w:rsidR="0053114A" w:rsidRPr="0053114A">
          <w:rPr>
            <w:rStyle w:val="Hyperlink"/>
            <w:noProof/>
            <w:szCs w:val="26"/>
          </w:rPr>
          <w:t>Introduction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_Toc346705373 \h </w:instrText>
        </w:r>
        <w:r w:rsidR="0053114A" w:rsidRPr="0053114A">
          <w:rPr>
            <w:noProof/>
            <w:webHidden/>
            <w:szCs w:val="26"/>
          </w:rPr>
        </w:r>
        <w:r w:rsidR="0053114A" w:rsidRPr="0053114A">
          <w:rPr>
            <w:noProof/>
            <w:webHidden/>
            <w:szCs w:val="26"/>
          </w:rPr>
          <w:fldChar w:fldCharType="separate"/>
        </w:r>
        <w:r w:rsidR="002A1B8B">
          <w:rPr>
            <w:noProof/>
            <w:webHidden/>
            <w:szCs w:val="26"/>
          </w:rPr>
          <w:t>132</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374" w:history="1">
        <w:r w:rsidR="0053114A" w:rsidRPr="0053114A">
          <w:rPr>
            <w:rStyle w:val="Hyperlink"/>
            <w:noProof/>
            <w:szCs w:val="26"/>
          </w:rPr>
          <w:t>b.</w:t>
        </w:r>
        <w:r w:rsidR="0053114A" w:rsidRPr="0053114A">
          <w:rPr>
            <w:rFonts w:eastAsiaTheme="minorEastAsia"/>
            <w:noProof/>
            <w:szCs w:val="26"/>
          </w:rPr>
          <w:tab/>
        </w:r>
        <w:r w:rsidR="0053114A" w:rsidRPr="0053114A">
          <w:rPr>
            <w:rStyle w:val="Hyperlink"/>
            <w:noProof/>
            <w:szCs w:val="26"/>
          </w:rPr>
          <w:t>Composition of Standard Offer Product Offering</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_Toc346705374 \h </w:instrText>
        </w:r>
        <w:r w:rsidR="0053114A" w:rsidRPr="0053114A">
          <w:rPr>
            <w:noProof/>
            <w:webHidden/>
            <w:szCs w:val="26"/>
          </w:rPr>
        </w:r>
        <w:r w:rsidR="0053114A" w:rsidRPr="0053114A">
          <w:rPr>
            <w:noProof/>
            <w:webHidden/>
            <w:szCs w:val="26"/>
          </w:rPr>
          <w:fldChar w:fldCharType="separate"/>
        </w:r>
        <w:r w:rsidR="002A1B8B">
          <w:rPr>
            <w:noProof/>
            <w:webHidden/>
            <w:szCs w:val="26"/>
          </w:rPr>
          <w:t>133</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75" w:history="1">
        <w:r w:rsidR="0053114A" w:rsidRPr="0053114A">
          <w:rPr>
            <w:rStyle w:val="Hyperlink"/>
            <w:noProof/>
            <w:szCs w:val="26"/>
          </w:rPr>
          <w:t>i.</w:t>
        </w:r>
        <w:r w:rsidR="0053114A" w:rsidRPr="0053114A">
          <w:rPr>
            <w:rFonts w:eastAsiaTheme="minorEastAsia"/>
            <w:noProof/>
            <w:szCs w:val="26"/>
          </w:rPr>
          <w:tab/>
        </w:r>
        <w:r w:rsidR="0053114A" w:rsidRPr="0053114A">
          <w:rPr>
            <w:rStyle w:val="Hyperlink"/>
            <w:noProof/>
            <w:szCs w:val="26"/>
          </w:rPr>
          <w:t>Duquesne’s Proposal</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_Toc346705375 \h </w:instrText>
        </w:r>
        <w:r w:rsidR="0053114A" w:rsidRPr="0053114A">
          <w:rPr>
            <w:noProof/>
            <w:webHidden/>
            <w:szCs w:val="26"/>
          </w:rPr>
        </w:r>
        <w:r w:rsidR="0053114A" w:rsidRPr="0053114A">
          <w:rPr>
            <w:noProof/>
            <w:webHidden/>
            <w:szCs w:val="26"/>
          </w:rPr>
          <w:fldChar w:fldCharType="separate"/>
        </w:r>
        <w:r w:rsidR="002A1B8B">
          <w:rPr>
            <w:noProof/>
            <w:webHidden/>
            <w:szCs w:val="26"/>
          </w:rPr>
          <w:t>133</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76" w:history="1">
        <w:r w:rsidR="0053114A" w:rsidRPr="0053114A">
          <w:rPr>
            <w:rStyle w:val="Hyperlink"/>
            <w:noProof/>
            <w:szCs w:val="26"/>
          </w:rPr>
          <w:t>ii.</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_Toc346705376 \h </w:instrText>
        </w:r>
        <w:r w:rsidR="0053114A" w:rsidRPr="0053114A">
          <w:rPr>
            <w:noProof/>
            <w:webHidden/>
            <w:szCs w:val="26"/>
          </w:rPr>
        </w:r>
        <w:r w:rsidR="0053114A" w:rsidRPr="0053114A">
          <w:rPr>
            <w:noProof/>
            <w:webHidden/>
            <w:szCs w:val="26"/>
          </w:rPr>
          <w:fldChar w:fldCharType="separate"/>
        </w:r>
        <w:r w:rsidR="002A1B8B">
          <w:rPr>
            <w:noProof/>
            <w:webHidden/>
            <w:szCs w:val="26"/>
          </w:rPr>
          <w:t>135</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77" w:history="1">
        <w:r w:rsidR="0053114A" w:rsidRPr="0053114A">
          <w:rPr>
            <w:rStyle w:val="Hyperlink"/>
            <w:noProof/>
            <w:szCs w:val="26"/>
          </w:rPr>
          <w:t>iii.</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_Toc346705377 \h </w:instrText>
        </w:r>
        <w:r w:rsidR="0053114A" w:rsidRPr="0053114A">
          <w:rPr>
            <w:noProof/>
            <w:webHidden/>
            <w:szCs w:val="26"/>
          </w:rPr>
        </w:r>
        <w:r w:rsidR="0053114A" w:rsidRPr="0053114A">
          <w:rPr>
            <w:noProof/>
            <w:webHidden/>
            <w:szCs w:val="26"/>
          </w:rPr>
          <w:fldChar w:fldCharType="separate"/>
        </w:r>
        <w:r w:rsidR="002A1B8B">
          <w:rPr>
            <w:noProof/>
            <w:webHidden/>
            <w:szCs w:val="26"/>
          </w:rPr>
          <w:t>140</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78" w:history="1">
        <w:r w:rsidR="0053114A" w:rsidRPr="0053114A">
          <w:rPr>
            <w:rStyle w:val="Hyperlink"/>
            <w:noProof/>
            <w:szCs w:val="26"/>
          </w:rPr>
          <w:t>iv.</w:t>
        </w:r>
        <w:r w:rsidR="0053114A" w:rsidRPr="0053114A">
          <w:rPr>
            <w:rFonts w:eastAsiaTheme="minorEastAsia"/>
            <w:noProof/>
            <w:szCs w:val="26"/>
          </w:rPr>
          <w:tab/>
        </w:r>
        <w:r w:rsidR="0053114A" w:rsidRPr="0053114A">
          <w:rPr>
            <w:rStyle w:val="Hyperlink"/>
            <w:noProof/>
            <w:szCs w:val="26"/>
          </w:rPr>
          <w:t>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_Toc346705378 \h </w:instrText>
        </w:r>
        <w:r w:rsidR="0053114A" w:rsidRPr="0053114A">
          <w:rPr>
            <w:noProof/>
            <w:webHidden/>
            <w:szCs w:val="26"/>
          </w:rPr>
        </w:r>
        <w:r w:rsidR="0053114A" w:rsidRPr="0053114A">
          <w:rPr>
            <w:noProof/>
            <w:webHidden/>
            <w:szCs w:val="26"/>
          </w:rPr>
          <w:fldChar w:fldCharType="separate"/>
        </w:r>
        <w:r w:rsidR="002A1B8B">
          <w:rPr>
            <w:noProof/>
            <w:webHidden/>
            <w:szCs w:val="26"/>
          </w:rPr>
          <w:t>141</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79" w:history="1">
        <w:r w:rsidR="0053114A" w:rsidRPr="0053114A">
          <w:rPr>
            <w:rStyle w:val="Hyperlink"/>
            <w:noProof/>
            <w:szCs w:val="26"/>
          </w:rPr>
          <w:t>v.</w:t>
        </w:r>
        <w:r w:rsidR="0053114A" w:rsidRPr="0053114A">
          <w:rPr>
            <w:rFonts w:eastAsiaTheme="minorEastAsia"/>
            <w:noProof/>
            <w:szCs w:val="26"/>
          </w:rPr>
          <w:tab/>
        </w:r>
        <w:r w:rsidR="0053114A" w:rsidRPr="0053114A">
          <w:rPr>
            <w:rStyle w:val="Hyperlink"/>
            <w:noProof/>
            <w:szCs w:val="26"/>
          </w:rPr>
          <w:t>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_Toc346705379 \h </w:instrText>
        </w:r>
        <w:r w:rsidR="0053114A" w:rsidRPr="0053114A">
          <w:rPr>
            <w:noProof/>
            <w:webHidden/>
            <w:szCs w:val="26"/>
          </w:rPr>
        </w:r>
        <w:r w:rsidR="0053114A" w:rsidRPr="0053114A">
          <w:rPr>
            <w:noProof/>
            <w:webHidden/>
            <w:szCs w:val="26"/>
          </w:rPr>
          <w:fldChar w:fldCharType="separate"/>
        </w:r>
        <w:r w:rsidR="002A1B8B">
          <w:rPr>
            <w:noProof/>
            <w:webHidden/>
            <w:szCs w:val="26"/>
          </w:rPr>
          <w:t>142</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80" w:history="1">
        <w:r w:rsidR="0053114A" w:rsidRPr="0053114A">
          <w:rPr>
            <w:rStyle w:val="Hyperlink"/>
            <w:noProof/>
            <w:szCs w:val="26"/>
          </w:rPr>
          <w:t>vi.</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_Toc346705380 \h </w:instrText>
        </w:r>
        <w:r w:rsidR="0053114A" w:rsidRPr="0053114A">
          <w:rPr>
            <w:noProof/>
            <w:webHidden/>
            <w:szCs w:val="26"/>
          </w:rPr>
        </w:r>
        <w:r w:rsidR="0053114A" w:rsidRPr="0053114A">
          <w:rPr>
            <w:noProof/>
            <w:webHidden/>
            <w:szCs w:val="26"/>
          </w:rPr>
          <w:fldChar w:fldCharType="separate"/>
        </w:r>
        <w:r w:rsidR="002A1B8B">
          <w:rPr>
            <w:noProof/>
            <w:webHidden/>
            <w:szCs w:val="26"/>
          </w:rPr>
          <w:t>144</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381" w:history="1">
        <w:r w:rsidR="0053114A" w:rsidRPr="0053114A">
          <w:rPr>
            <w:rStyle w:val="Hyperlink"/>
            <w:noProof/>
            <w:szCs w:val="26"/>
          </w:rPr>
          <w:t>c.</w:t>
        </w:r>
        <w:r w:rsidR="0053114A" w:rsidRPr="0053114A">
          <w:rPr>
            <w:rFonts w:eastAsiaTheme="minorEastAsia"/>
            <w:noProof/>
            <w:szCs w:val="26"/>
          </w:rPr>
          <w:tab/>
        </w:r>
        <w:r w:rsidR="0053114A" w:rsidRPr="0053114A">
          <w:rPr>
            <w:rStyle w:val="Hyperlink"/>
            <w:noProof/>
            <w:szCs w:val="26"/>
          </w:rPr>
          <w:t>Program Start Date</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_Toc346705381 \h </w:instrText>
        </w:r>
        <w:r w:rsidR="0053114A" w:rsidRPr="0053114A">
          <w:rPr>
            <w:noProof/>
            <w:webHidden/>
            <w:szCs w:val="26"/>
          </w:rPr>
        </w:r>
        <w:r w:rsidR="0053114A" w:rsidRPr="0053114A">
          <w:rPr>
            <w:noProof/>
            <w:webHidden/>
            <w:szCs w:val="26"/>
          </w:rPr>
          <w:fldChar w:fldCharType="separate"/>
        </w:r>
        <w:r w:rsidR="002A1B8B">
          <w:rPr>
            <w:noProof/>
            <w:webHidden/>
            <w:szCs w:val="26"/>
          </w:rPr>
          <w:t>144</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82" w:history="1">
        <w:r w:rsidR="0053114A" w:rsidRPr="0053114A">
          <w:rPr>
            <w:rStyle w:val="Hyperlink"/>
            <w:noProof/>
            <w:szCs w:val="26"/>
          </w:rPr>
          <w:t>i.</w:t>
        </w:r>
        <w:r w:rsidR="0053114A" w:rsidRPr="0053114A">
          <w:rPr>
            <w:rFonts w:eastAsiaTheme="minorEastAsia"/>
            <w:noProof/>
            <w:szCs w:val="26"/>
          </w:rPr>
          <w:tab/>
        </w:r>
        <w:r w:rsidR="0053114A" w:rsidRPr="0053114A">
          <w:rPr>
            <w:rStyle w:val="Hyperlink"/>
            <w:noProof/>
            <w:szCs w:val="26"/>
          </w:rPr>
          <w:t>Duquesne’s Proposal</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_Toc346705382 \h </w:instrText>
        </w:r>
        <w:r w:rsidR="0053114A" w:rsidRPr="0053114A">
          <w:rPr>
            <w:noProof/>
            <w:webHidden/>
            <w:szCs w:val="26"/>
          </w:rPr>
        </w:r>
        <w:r w:rsidR="0053114A" w:rsidRPr="0053114A">
          <w:rPr>
            <w:noProof/>
            <w:webHidden/>
            <w:szCs w:val="26"/>
          </w:rPr>
          <w:fldChar w:fldCharType="separate"/>
        </w:r>
        <w:r w:rsidR="002A1B8B">
          <w:rPr>
            <w:noProof/>
            <w:webHidden/>
            <w:szCs w:val="26"/>
          </w:rPr>
          <w:t>144</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83" w:history="1">
        <w:r w:rsidR="0053114A" w:rsidRPr="0053114A">
          <w:rPr>
            <w:rStyle w:val="Hyperlink"/>
            <w:noProof/>
            <w:szCs w:val="26"/>
          </w:rPr>
          <w:t>ii.</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_Toc346705383 \h </w:instrText>
        </w:r>
        <w:r w:rsidR="0053114A" w:rsidRPr="0053114A">
          <w:rPr>
            <w:noProof/>
            <w:webHidden/>
            <w:szCs w:val="26"/>
          </w:rPr>
        </w:r>
        <w:r w:rsidR="0053114A" w:rsidRPr="0053114A">
          <w:rPr>
            <w:noProof/>
            <w:webHidden/>
            <w:szCs w:val="26"/>
          </w:rPr>
          <w:fldChar w:fldCharType="separate"/>
        </w:r>
        <w:r w:rsidR="002A1B8B">
          <w:rPr>
            <w:noProof/>
            <w:webHidden/>
            <w:szCs w:val="26"/>
          </w:rPr>
          <w:t>146</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84" w:history="1">
        <w:r w:rsidR="0053114A" w:rsidRPr="0053114A">
          <w:rPr>
            <w:rStyle w:val="Hyperlink"/>
            <w:noProof/>
            <w:szCs w:val="26"/>
          </w:rPr>
          <w:t>iii.</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_Toc346705384 \h </w:instrText>
        </w:r>
        <w:r w:rsidR="0053114A" w:rsidRPr="0053114A">
          <w:rPr>
            <w:noProof/>
            <w:webHidden/>
            <w:szCs w:val="26"/>
          </w:rPr>
        </w:r>
        <w:r w:rsidR="0053114A" w:rsidRPr="0053114A">
          <w:rPr>
            <w:noProof/>
            <w:webHidden/>
            <w:szCs w:val="26"/>
          </w:rPr>
          <w:fldChar w:fldCharType="separate"/>
        </w:r>
        <w:r w:rsidR="002A1B8B">
          <w:rPr>
            <w:noProof/>
            <w:webHidden/>
            <w:szCs w:val="26"/>
          </w:rPr>
          <w:t>148</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85" w:history="1">
        <w:r w:rsidR="0053114A" w:rsidRPr="0053114A">
          <w:rPr>
            <w:rStyle w:val="Hyperlink"/>
            <w:noProof/>
            <w:szCs w:val="26"/>
          </w:rPr>
          <w:t>iv.</w:t>
        </w:r>
        <w:r w:rsidR="0053114A" w:rsidRPr="0053114A">
          <w:rPr>
            <w:rFonts w:eastAsiaTheme="minorEastAsia"/>
            <w:noProof/>
            <w:szCs w:val="26"/>
          </w:rPr>
          <w:tab/>
        </w:r>
        <w:r w:rsidR="0053114A" w:rsidRPr="0053114A">
          <w:rPr>
            <w:rStyle w:val="Hyperlink"/>
            <w:noProof/>
            <w:szCs w:val="26"/>
          </w:rPr>
          <w:t>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_Toc346705385 \h </w:instrText>
        </w:r>
        <w:r w:rsidR="0053114A" w:rsidRPr="0053114A">
          <w:rPr>
            <w:noProof/>
            <w:webHidden/>
            <w:szCs w:val="26"/>
          </w:rPr>
        </w:r>
        <w:r w:rsidR="0053114A" w:rsidRPr="0053114A">
          <w:rPr>
            <w:noProof/>
            <w:webHidden/>
            <w:szCs w:val="26"/>
          </w:rPr>
          <w:fldChar w:fldCharType="separate"/>
        </w:r>
        <w:r w:rsidR="002A1B8B">
          <w:rPr>
            <w:noProof/>
            <w:webHidden/>
            <w:szCs w:val="26"/>
          </w:rPr>
          <w:t>148</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86" w:history="1">
        <w:r w:rsidR="0053114A" w:rsidRPr="0053114A">
          <w:rPr>
            <w:rStyle w:val="Hyperlink"/>
            <w:noProof/>
            <w:szCs w:val="26"/>
          </w:rPr>
          <w:t>v.</w:t>
        </w:r>
        <w:r w:rsidR="0053114A" w:rsidRPr="0053114A">
          <w:rPr>
            <w:rFonts w:eastAsiaTheme="minorEastAsia"/>
            <w:noProof/>
            <w:szCs w:val="26"/>
          </w:rPr>
          <w:tab/>
        </w:r>
        <w:r w:rsidR="0053114A" w:rsidRPr="0053114A">
          <w:rPr>
            <w:rStyle w:val="Hyperlink"/>
            <w:noProof/>
            <w:szCs w:val="26"/>
          </w:rPr>
          <w:t>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_Toc346705386 \h </w:instrText>
        </w:r>
        <w:r w:rsidR="0053114A" w:rsidRPr="0053114A">
          <w:rPr>
            <w:noProof/>
            <w:webHidden/>
            <w:szCs w:val="26"/>
          </w:rPr>
        </w:r>
        <w:r w:rsidR="0053114A" w:rsidRPr="0053114A">
          <w:rPr>
            <w:noProof/>
            <w:webHidden/>
            <w:szCs w:val="26"/>
          </w:rPr>
          <w:fldChar w:fldCharType="separate"/>
        </w:r>
        <w:r w:rsidR="002A1B8B">
          <w:rPr>
            <w:noProof/>
            <w:webHidden/>
            <w:szCs w:val="26"/>
          </w:rPr>
          <w:t>150</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87" w:history="1">
        <w:r w:rsidR="0053114A" w:rsidRPr="0053114A">
          <w:rPr>
            <w:rStyle w:val="Hyperlink"/>
            <w:noProof/>
            <w:szCs w:val="26"/>
          </w:rPr>
          <w:t>vi.</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_Toc346705387 \h </w:instrText>
        </w:r>
        <w:r w:rsidR="0053114A" w:rsidRPr="0053114A">
          <w:rPr>
            <w:noProof/>
            <w:webHidden/>
            <w:szCs w:val="26"/>
          </w:rPr>
        </w:r>
        <w:r w:rsidR="0053114A" w:rsidRPr="0053114A">
          <w:rPr>
            <w:noProof/>
            <w:webHidden/>
            <w:szCs w:val="26"/>
          </w:rPr>
          <w:fldChar w:fldCharType="separate"/>
        </w:r>
        <w:r w:rsidR="002A1B8B">
          <w:rPr>
            <w:noProof/>
            <w:webHidden/>
            <w:szCs w:val="26"/>
          </w:rPr>
          <w:t>151</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388" w:history="1">
        <w:r w:rsidR="0053114A" w:rsidRPr="0053114A">
          <w:rPr>
            <w:rStyle w:val="Hyperlink"/>
            <w:noProof/>
            <w:szCs w:val="26"/>
          </w:rPr>
          <w:t>d.</w:t>
        </w:r>
        <w:r w:rsidR="0053114A" w:rsidRPr="0053114A">
          <w:rPr>
            <w:rFonts w:eastAsiaTheme="minorEastAsia"/>
            <w:noProof/>
            <w:szCs w:val="26"/>
          </w:rPr>
          <w:tab/>
        </w:r>
        <w:r w:rsidR="0053114A" w:rsidRPr="0053114A">
          <w:rPr>
            <w:rStyle w:val="Hyperlink"/>
            <w:noProof/>
            <w:szCs w:val="26"/>
          </w:rPr>
          <w:t>Program Suspension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_Toc346705388 \h </w:instrText>
        </w:r>
        <w:r w:rsidR="0053114A" w:rsidRPr="0053114A">
          <w:rPr>
            <w:noProof/>
            <w:webHidden/>
            <w:szCs w:val="26"/>
          </w:rPr>
        </w:r>
        <w:r w:rsidR="0053114A" w:rsidRPr="0053114A">
          <w:rPr>
            <w:noProof/>
            <w:webHidden/>
            <w:szCs w:val="26"/>
          </w:rPr>
          <w:fldChar w:fldCharType="separate"/>
        </w:r>
        <w:r w:rsidR="002A1B8B">
          <w:rPr>
            <w:noProof/>
            <w:webHidden/>
            <w:szCs w:val="26"/>
          </w:rPr>
          <w:t>152</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89" w:history="1">
        <w:r w:rsidR="0053114A" w:rsidRPr="0053114A">
          <w:rPr>
            <w:rStyle w:val="Hyperlink"/>
            <w:noProof/>
            <w:szCs w:val="26"/>
          </w:rPr>
          <w:t>i.</w:t>
        </w:r>
        <w:r w:rsidR="0053114A" w:rsidRPr="0053114A">
          <w:rPr>
            <w:rFonts w:eastAsiaTheme="minorEastAsia"/>
            <w:noProof/>
            <w:szCs w:val="26"/>
          </w:rPr>
          <w:tab/>
        </w:r>
        <w:r w:rsidR="0053114A" w:rsidRPr="0053114A">
          <w:rPr>
            <w:rStyle w:val="Hyperlink"/>
            <w:noProof/>
            <w:szCs w:val="26"/>
          </w:rPr>
          <w:t>Duquesne’s Proposal</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_Toc346705389 \h </w:instrText>
        </w:r>
        <w:r w:rsidR="0053114A" w:rsidRPr="0053114A">
          <w:rPr>
            <w:noProof/>
            <w:webHidden/>
            <w:szCs w:val="26"/>
          </w:rPr>
        </w:r>
        <w:r w:rsidR="0053114A" w:rsidRPr="0053114A">
          <w:rPr>
            <w:noProof/>
            <w:webHidden/>
            <w:szCs w:val="26"/>
          </w:rPr>
          <w:fldChar w:fldCharType="separate"/>
        </w:r>
        <w:r w:rsidR="002A1B8B">
          <w:rPr>
            <w:noProof/>
            <w:webHidden/>
            <w:szCs w:val="26"/>
          </w:rPr>
          <w:t>152</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90" w:history="1">
        <w:r w:rsidR="0053114A" w:rsidRPr="0053114A">
          <w:rPr>
            <w:rStyle w:val="Hyperlink"/>
            <w:noProof/>
            <w:szCs w:val="26"/>
          </w:rPr>
          <w:t>ii.</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_Toc346705390 \h </w:instrText>
        </w:r>
        <w:r w:rsidR="0053114A" w:rsidRPr="0053114A">
          <w:rPr>
            <w:noProof/>
            <w:webHidden/>
            <w:szCs w:val="26"/>
          </w:rPr>
        </w:r>
        <w:r w:rsidR="0053114A" w:rsidRPr="0053114A">
          <w:rPr>
            <w:noProof/>
            <w:webHidden/>
            <w:szCs w:val="26"/>
          </w:rPr>
          <w:fldChar w:fldCharType="separate"/>
        </w:r>
        <w:r w:rsidR="002A1B8B">
          <w:rPr>
            <w:noProof/>
            <w:webHidden/>
            <w:szCs w:val="26"/>
          </w:rPr>
          <w:t>152</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91" w:history="1">
        <w:r w:rsidR="0053114A" w:rsidRPr="0053114A">
          <w:rPr>
            <w:rStyle w:val="Hyperlink"/>
            <w:noProof/>
            <w:szCs w:val="26"/>
          </w:rPr>
          <w:t>iii.</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_Toc346705391 \h </w:instrText>
        </w:r>
        <w:r w:rsidR="0053114A" w:rsidRPr="0053114A">
          <w:rPr>
            <w:noProof/>
            <w:webHidden/>
            <w:szCs w:val="26"/>
          </w:rPr>
        </w:r>
        <w:r w:rsidR="0053114A" w:rsidRPr="0053114A">
          <w:rPr>
            <w:noProof/>
            <w:webHidden/>
            <w:szCs w:val="26"/>
          </w:rPr>
          <w:fldChar w:fldCharType="separate"/>
        </w:r>
        <w:r w:rsidR="002A1B8B">
          <w:rPr>
            <w:noProof/>
            <w:webHidden/>
            <w:szCs w:val="26"/>
          </w:rPr>
          <w:t>153</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92" w:history="1">
        <w:r w:rsidR="0053114A" w:rsidRPr="0053114A">
          <w:rPr>
            <w:rStyle w:val="Hyperlink"/>
            <w:noProof/>
            <w:szCs w:val="26"/>
          </w:rPr>
          <w:t>iv.</w:t>
        </w:r>
        <w:r w:rsidR="0053114A" w:rsidRPr="0053114A">
          <w:rPr>
            <w:rFonts w:eastAsiaTheme="minorEastAsia"/>
            <w:noProof/>
            <w:szCs w:val="26"/>
          </w:rPr>
          <w:tab/>
        </w:r>
        <w:r w:rsidR="0053114A" w:rsidRPr="0053114A">
          <w:rPr>
            <w:rStyle w:val="Hyperlink"/>
            <w:noProof/>
            <w:szCs w:val="26"/>
          </w:rPr>
          <w:t>Exceptions and 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_Toc346705392 \h </w:instrText>
        </w:r>
        <w:r w:rsidR="0053114A" w:rsidRPr="0053114A">
          <w:rPr>
            <w:noProof/>
            <w:webHidden/>
            <w:szCs w:val="26"/>
          </w:rPr>
        </w:r>
        <w:r w:rsidR="0053114A" w:rsidRPr="0053114A">
          <w:rPr>
            <w:noProof/>
            <w:webHidden/>
            <w:szCs w:val="26"/>
          </w:rPr>
          <w:fldChar w:fldCharType="separate"/>
        </w:r>
        <w:r w:rsidR="002A1B8B">
          <w:rPr>
            <w:noProof/>
            <w:webHidden/>
            <w:szCs w:val="26"/>
          </w:rPr>
          <w:t>154</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93" w:history="1">
        <w:r w:rsidR="0053114A" w:rsidRPr="0053114A">
          <w:rPr>
            <w:rStyle w:val="Hyperlink"/>
            <w:noProof/>
            <w:szCs w:val="26"/>
          </w:rPr>
          <w:t>v.</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_Toc346705393 \h </w:instrText>
        </w:r>
        <w:r w:rsidR="0053114A" w:rsidRPr="0053114A">
          <w:rPr>
            <w:noProof/>
            <w:webHidden/>
            <w:szCs w:val="26"/>
          </w:rPr>
        </w:r>
        <w:r w:rsidR="0053114A" w:rsidRPr="0053114A">
          <w:rPr>
            <w:noProof/>
            <w:webHidden/>
            <w:szCs w:val="26"/>
          </w:rPr>
          <w:fldChar w:fldCharType="separate"/>
        </w:r>
        <w:r w:rsidR="002A1B8B">
          <w:rPr>
            <w:noProof/>
            <w:webHidden/>
            <w:szCs w:val="26"/>
          </w:rPr>
          <w:t>154</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394" w:history="1">
        <w:r w:rsidR="0053114A" w:rsidRPr="0053114A">
          <w:rPr>
            <w:rStyle w:val="Hyperlink"/>
            <w:noProof/>
            <w:szCs w:val="26"/>
          </w:rPr>
          <w:t>e.</w:t>
        </w:r>
        <w:r w:rsidR="0053114A" w:rsidRPr="0053114A">
          <w:rPr>
            <w:rFonts w:eastAsiaTheme="minorEastAsia"/>
            <w:noProof/>
            <w:szCs w:val="26"/>
          </w:rPr>
          <w:tab/>
        </w:r>
        <w:r w:rsidR="0053114A" w:rsidRPr="0053114A">
          <w:rPr>
            <w:rStyle w:val="Hyperlink"/>
            <w:noProof/>
            <w:szCs w:val="26"/>
          </w:rPr>
          <w:t>High Bill Callers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_Toc346705394 \h </w:instrText>
        </w:r>
        <w:r w:rsidR="0053114A" w:rsidRPr="0053114A">
          <w:rPr>
            <w:noProof/>
            <w:webHidden/>
            <w:szCs w:val="26"/>
          </w:rPr>
        </w:r>
        <w:r w:rsidR="0053114A" w:rsidRPr="0053114A">
          <w:rPr>
            <w:noProof/>
            <w:webHidden/>
            <w:szCs w:val="26"/>
          </w:rPr>
          <w:fldChar w:fldCharType="separate"/>
        </w:r>
        <w:r w:rsidR="002A1B8B">
          <w:rPr>
            <w:noProof/>
            <w:webHidden/>
            <w:szCs w:val="26"/>
          </w:rPr>
          <w:t>154</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95" w:history="1">
        <w:r w:rsidR="0053114A" w:rsidRPr="0053114A">
          <w:rPr>
            <w:rStyle w:val="Hyperlink"/>
            <w:noProof/>
            <w:szCs w:val="26"/>
          </w:rPr>
          <w:t>i.</w:t>
        </w:r>
        <w:r w:rsidR="0053114A" w:rsidRPr="0053114A">
          <w:rPr>
            <w:rFonts w:eastAsiaTheme="minorEastAsia"/>
            <w:noProof/>
            <w:szCs w:val="26"/>
          </w:rPr>
          <w:tab/>
        </w:r>
        <w:r w:rsidR="0053114A" w:rsidRPr="0053114A">
          <w:rPr>
            <w:rStyle w:val="Hyperlink"/>
            <w:noProof/>
            <w:szCs w:val="26"/>
          </w:rPr>
          <w:t>Duquesne’s Proposal</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_Toc346705395 \h </w:instrText>
        </w:r>
        <w:r w:rsidR="0053114A" w:rsidRPr="0053114A">
          <w:rPr>
            <w:noProof/>
            <w:webHidden/>
            <w:szCs w:val="26"/>
          </w:rPr>
        </w:r>
        <w:r w:rsidR="0053114A" w:rsidRPr="0053114A">
          <w:rPr>
            <w:noProof/>
            <w:webHidden/>
            <w:szCs w:val="26"/>
          </w:rPr>
          <w:fldChar w:fldCharType="separate"/>
        </w:r>
        <w:r w:rsidR="002A1B8B">
          <w:rPr>
            <w:noProof/>
            <w:webHidden/>
            <w:szCs w:val="26"/>
          </w:rPr>
          <w:t>154</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96" w:history="1">
        <w:r w:rsidR="0053114A" w:rsidRPr="0053114A">
          <w:rPr>
            <w:rStyle w:val="Hyperlink"/>
            <w:noProof/>
            <w:szCs w:val="26"/>
          </w:rPr>
          <w:t>ii.</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_Toc346705396 \h </w:instrText>
        </w:r>
        <w:r w:rsidR="0053114A" w:rsidRPr="0053114A">
          <w:rPr>
            <w:noProof/>
            <w:webHidden/>
            <w:szCs w:val="26"/>
          </w:rPr>
        </w:r>
        <w:r w:rsidR="0053114A" w:rsidRPr="0053114A">
          <w:rPr>
            <w:noProof/>
            <w:webHidden/>
            <w:szCs w:val="26"/>
          </w:rPr>
          <w:fldChar w:fldCharType="separate"/>
        </w:r>
        <w:r w:rsidR="002A1B8B">
          <w:rPr>
            <w:noProof/>
            <w:webHidden/>
            <w:szCs w:val="26"/>
          </w:rPr>
          <w:t>155</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97" w:history="1">
        <w:r w:rsidR="0053114A" w:rsidRPr="0053114A">
          <w:rPr>
            <w:rStyle w:val="Hyperlink"/>
            <w:noProof/>
            <w:szCs w:val="26"/>
          </w:rPr>
          <w:t>iii.</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_Toc346705397 \h </w:instrText>
        </w:r>
        <w:r w:rsidR="0053114A" w:rsidRPr="0053114A">
          <w:rPr>
            <w:noProof/>
            <w:webHidden/>
            <w:szCs w:val="26"/>
          </w:rPr>
        </w:r>
        <w:r w:rsidR="0053114A" w:rsidRPr="0053114A">
          <w:rPr>
            <w:noProof/>
            <w:webHidden/>
            <w:szCs w:val="26"/>
          </w:rPr>
          <w:fldChar w:fldCharType="separate"/>
        </w:r>
        <w:r w:rsidR="002A1B8B">
          <w:rPr>
            <w:noProof/>
            <w:webHidden/>
            <w:szCs w:val="26"/>
          </w:rPr>
          <w:t>156</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98" w:history="1">
        <w:r w:rsidR="0053114A" w:rsidRPr="0053114A">
          <w:rPr>
            <w:rStyle w:val="Hyperlink"/>
            <w:noProof/>
            <w:szCs w:val="26"/>
          </w:rPr>
          <w:t>iv.</w:t>
        </w:r>
        <w:r w:rsidR="0053114A" w:rsidRPr="0053114A">
          <w:rPr>
            <w:rFonts w:eastAsiaTheme="minorEastAsia"/>
            <w:noProof/>
            <w:szCs w:val="26"/>
          </w:rPr>
          <w:tab/>
        </w:r>
        <w:r w:rsidR="0053114A" w:rsidRPr="0053114A">
          <w:rPr>
            <w:rStyle w:val="Hyperlink"/>
            <w:noProof/>
            <w:szCs w:val="26"/>
          </w:rPr>
          <w:t>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_Toc346705398 \h </w:instrText>
        </w:r>
        <w:r w:rsidR="0053114A" w:rsidRPr="0053114A">
          <w:rPr>
            <w:noProof/>
            <w:webHidden/>
            <w:szCs w:val="26"/>
          </w:rPr>
        </w:r>
        <w:r w:rsidR="0053114A" w:rsidRPr="0053114A">
          <w:rPr>
            <w:noProof/>
            <w:webHidden/>
            <w:szCs w:val="26"/>
          </w:rPr>
          <w:fldChar w:fldCharType="separate"/>
        </w:r>
        <w:r w:rsidR="002A1B8B">
          <w:rPr>
            <w:noProof/>
            <w:webHidden/>
            <w:szCs w:val="26"/>
          </w:rPr>
          <w:t>157</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399" w:history="1">
        <w:r w:rsidR="0053114A" w:rsidRPr="0053114A">
          <w:rPr>
            <w:rStyle w:val="Hyperlink"/>
            <w:noProof/>
            <w:szCs w:val="26"/>
          </w:rPr>
          <w:t>v.</w:t>
        </w:r>
        <w:r w:rsidR="0053114A" w:rsidRPr="0053114A">
          <w:rPr>
            <w:rFonts w:eastAsiaTheme="minorEastAsia"/>
            <w:noProof/>
            <w:szCs w:val="26"/>
          </w:rPr>
          <w:tab/>
        </w:r>
        <w:r w:rsidR="0053114A" w:rsidRPr="0053114A">
          <w:rPr>
            <w:rStyle w:val="Hyperlink"/>
            <w:noProof/>
            <w:szCs w:val="26"/>
          </w:rPr>
          <w:t>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_Toc346705399 \h </w:instrText>
        </w:r>
        <w:r w:rsidR="0053114A" w:rsidRPr="0053114A">
          <w:rPr>
            <w:noProof/>
            <w:webHidden/>
            <w:szCs w:val="26"/>
          </w:rPr>
        </w:r>
        <w:r w:rsidR="0053114A" w:rsidRPr="0053114A">
          <w:rPr>
            <w:noProof/>
            <w:webHidden/>
            <w:szCs w:val="26"/>
          </w:rPr>
          <w:fldChar w:fldCharType="separate"/>
        </w:r>
        <w:r w:rsidR="002A1B8B">
          <w:rPr>
            <w:noProof/>
            <w:webHidden/>
            <w:szCs w:val="26"/>
          </w:rPr>
          <w:t>158</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400" w:history="1">
        <w:r w:rsidR="0053114A" w:rsidRPr="0053114A">
          <w:rPr>
            <w:rStyle w:val="Hyperlink"/>
            <w:noProof/>
            <w:szCs w:val="26"/>
          </w:rPr>
          <w:t>vi.</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_Toc346705400 \h </w:instrText>
        </w:r>
        <w:r w:rsidR="0053114A" w:rsidRPr="0053114A">
          <w:rPr>
            <w:noProof/>
            <w:webHidden/>
            <w:szCs w:val="26"/>
          </w:rPr>
        </w:r>
        <w:r w:rsidR="0053114A" w:rsidRPr="0053114A">
          <w:rPr>
            <w:noProof/>
            <w:webHidden/>
            <w:szCs w:val="26"/>
          </w:rPr>
          <w:fldChar w:fldCharType="separate"/>
        </w:r>
        <w:r w:rsidR="002A1B8B">
          <w:rPr>
            <w:noProof/>
            <w:webHidden/>
            <w:szCs w:val="26"/>
          </w:rPr>
          <w:t>158</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01" w:history="1">
        <w:r w:rsidR="0053114A" w:rsidRPr="0053114A">
          <w:rPr>
            <w:rStyle w:val="Hyperlink"/>
            <w:noProof/>
            <w:szCs w:val="26"/>
          </w:rPr>
          <w:t>f.</w:t>
        </w:r>
        <w:r w:rsidR="0053114A" w:rsidRPr="0053114A">
          <w:rPr>
            <w:rFonts w:eastAsiaTheme="minorEastAsia"/>
            <w:noProof/>
            <w:szCs w:val="26"/>
          </w:rPr>
          <w:tab/>
        </w:r>
        <w:r w:rsidR="0053114A" w:rsidRPr="0053114A">
          <w:rPr>
            <w:rStyle w:val="Hyperlink"/>
            <w:noProof/>
            <w:szCs w:val="26"/>
          </w:rPr>
          <w:t>Choice Referral Team</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_Toc346705401 \h </w:instrText>
        </w:r>
        <w:r w:rsidR="0053114A" w:rsidRPr="0053114A">
          <w:rPr>
            <w:noProof/>
            <w:webHidden/>
            <w:szCs w:val="26"/>
          </w:rPr>
        </w:r>
        <w:r w:rsidR="0053114A" w:rsidRPr="0053114A">
          <w:rPr>
            <w:noProof/>
            <w:webHidden/>
            <w:szCs w:val="26"/>
          </w:rPr>
          <w:fldChar w:fldCharType="separate"/>
        </w:r>
        <w:r w:rsidR="002A1B8B">
          <w:rPr>
            <w:noProof/>
            <w:webHidden/>
            <w:szCs w:val="26"/>
          </w:rPr>
          <w:t>159</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402" w:history="1">
        <w:r w:rsidR="0053114A" w:rsidRPr="0053114A">
          <w:rPr>
            <w:rStyle w:val="Hyperlink"/>
            <w:noProof/>
            <w:szCs w:val="26"/>
          </w:rPr>
          <w:t>i.</w:t>
        </w:r>
        <w:r w:rsidR="0053114A" w:rsidRPr="0053114A">
          <w:rPr>
            <w:rFonts w:eastAsiaTheme="minorEastAsia"/>
            <w:noProof/>
            <w:szCs w:val="26"/>
          </w:rPr>
          <w:tab/>
        </w:r>
        <w:r w:rsidR="0053114A" w:rsidRPr="0053114A">
          <w:rPr>
            <w:rStyle w:val="Hyperlink"/>
            <w:noProof/>
            <w:szCs w:val="26"/>
          </w:rPr>
          <w:t>Duquesne’s Proposal</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_Toc346705402 \h </w:instrText>
        </w:r>
        <w:r w:rsidR="0053114A" w:rsidRPr="0053114A">
          <w:rPr>
            <w:noProof/>
            <w:webHidden/>
            <w:szCs w:val="26"/>
          </w:rPr>
        </w:r>
        <w:r w:rsidR="0053114A" w:rsidRPr="0053114A">
          <w:rPr>
            <w:noProof/>
            <w:webHidden/>
            <w:szCs w:val="26"/>
          </w:rPr>
          <w:fldChar w:fldCharType="separate"/>
        </w:r>
        <w:r w:rsidR="002A1B8B">
          <w:rPr>
            <w:noProof/>
            <w:webHidden/>
            <w:szCs w:val="26"/>
          </w:rPr>
          <w:t>159</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403" w:history="1">
        <w:r w:rsidR="0053114A" w:rsidRPr="0053114A">
          <w:rPr>
            <w:rStyle w:val="Hyperlink"/>
            <w:noProof/>
            <w:szCs w:val="26"/>
          </w:rPr>
          <w:t>ii.</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_Toc346705403 \h </w:instrText>
        </w:r>
        <w:r w:rsidR="0053114A" w:rsidRPr="0053114A">
          <w:rPr>
            <w:noProof/>
            <w:webHidden/>
            <w:szCs w:val="26"/>
          </w:rPr>
        </w:r>
        <w:r w:rsidR="0053114A" w:rsidRPr="0053114A">
          <w:rPr>
            <w:noProof/>
            <w:webHidden/>
            <w:szCs w:val="26"/>
          </w:rPr>
          <w:fldChar w:fldCharType="separate"/>
        </w:r>
        <w:r w:rsidR="002A1B8B">
          <w:rPr>
            <w:noProof/>
            <w:webHidden/>
            <w:szCs w:val="26"/>
          </w:rPr>
          <w:t>159</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404" w:history="1">
        <w:r w:rsidR="0053114A" w:rsidRPr="0053114A">
          <w:rPr>
            <w:rStyle w:val="Hyperlink"/>
            <w:noProof/>
            <w:szCs w:val="26"/>
          </w:rPr>
          <w:t>iii.</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_Toc346705404 \h </w:instrText>
        </w:r>
        <w:r w:rsidR="0053114A" w:rsidRPr="0053114A">
          <w:rPr>
            <w:noProof/>
            <w:webHidden/>
            <w:szCs w:val="26"/>
          </w:rPr>
        </w:r>
        <w:r w:rsidR="0053114A" w:rsidRPr="0053114A">
          <w:rPr>
            <w:noProof/>
            <w:webHidden/>
            <w:szCs w:val="26"/>
          </w:rPr>
          <w:fldChar w:fldCharType="separate"/>
        </w:r>
        <w:r w:rsidR="002A1B8B">
          <w:rPr>
            <w:noProof/>
            <w:webHidden/>
            <w:szCs w:val="26"/>
          </w:rPr>
          <w:t>160</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405" w:history="1">
        <w:r w:rsidR="0053114A" w:rsidRPr="0053114A">
          <w:rPr>
            <w:rStyle w:val="Hyperlink"/>
            <w:noProof/>
            <w:szCs w:val="26"/>
          </w:rPr>
          <w:t>iv.</w:t>
        </w:r>
        <w:r w:rsidR="0053114A" w:rsidRPr="0053114A">
          <w:rPr>
            <w:rFonts w:eastAsiaTheme="minorEastAsia"/>
            <w:noProof/>
            <w:szCs w:val="26"/>
          </w:rPr>
          <w:tab/>
        </w:r>
        <w:r w:rsidR="0053114A" w:rsidRPr="0053114A">
          <w:rPr>
            <w:rStyle w:val="Hyperlink"/>
            <w:noProof/>
            <w:szCs w:val="26"/>
          </w:rPr>
          <w:t>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_Toc346705405 \h </w:instrText>
        </w:r>
        <w:r w:rsidR="0053114A" w:rsidRPr="0053114A">
          <w:rPr>
            <w:noProof/>
            <w:webHidden/>
            <w:szCs w:val="26"/>
          </w:rPr>
        </w:r>
        <w:r w:rsidR="0053114A" w:rsidRPr="0053114A">
          <w:rPr>
            <w:noProof/>
            <w:webHidden/>
            <w:szCs w:val="26"/>
          </w:rPr>
          <w:fldChar w:fldCharType="separate"/>
        </w:r>
        <w:r w:rsidR="002A1B8B">
          <w:rPr>
            <w:noProof/>
            <w:webHidden/>
            <w:szCs w:val="26"/>
          </w:rPr>
          <w:t>161</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406" w:history="1">
        <w:r w:rsidR="0053114A" w:rsidRPr="0053114A">
          <w:rPr>
            <w:rStyle w:val="Hyperlink"/>
            <w:noProof/>
            <w:szCs w:val="26"/>
          </w:rPr>
          <w:t>v.</w:t>
        </w:r>
        <w:r w:rsidR="0053114A" w:rsidRPr="0053114A">
          <w:rPr>
            <w:rFonts w:eastAsiaTheme="minorEastAsia"/>
            <w:noProof/>
            <w:szCs w:val="26"/>
          </w:rPr>
          <w:tab/>
        </w:r>
        <w:r w:rsidR="0053114A" w:rsidRPr="0053114A">
          <w:rPr>
            <w:rStyle w:val="Hyperlink"/>
            <w:noProof/>
            <w:szCs w:val="26"/>
          </w:rPr>
          <w:t>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_Toc346705406 \h </w:instrText>
        </w:r>
        <w:r w:rsidR="0053114A" w:rsidRPr="0053114A">
          <w:rPr>
            <w:noProof/>
            <w:webHidden/>
            <w:szCs w:val="26"/>
          </w:rPr>
        </w:r>
        <w:r w:rsidR="0053114A" w:rsidRPr="0053114A">
          <w:rPr>
            <w:noProof/>
            <w:webHidden/>
            <w:szCs w:val="26"/>
          </w:rPr>
          <w:fldChar w:fldCharType="separate"/>
        </w:r>
        <w:r w:rsidR="002A1B8B">
          <w:rPr>
            <w:noProof/>
            <w:webHidden/>
            <w:szCs w:val="26"/>
          </w:rPr>
          <w:t>161</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407" w:history="1">
        <w:r w:rsidR="0053114A" w:rsidRPr="0053114A">
          <w:rPr>
            <w:rStyle w:val="Hyperlink"/>
            <w:noProof/>
            <w:szCs w:val="26"/>
          </w:rPr>
          <w:t>vi.</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_Toc346705407 \h </w:instrText>
        </w:r>
        <w:r w:rsidR="0053114A" w:rsidRPr="0053114A">
          <w:rPr>
            <w:noProof/>
            <w:webHidden/>
            <w:szCs w:val="26"/>
          </w:rPr>
        </w:r>
        <w:r w:rsidR="0053114A" w:rsidRPr="0053114A">
          <w:rPr>
            <w:noProof/>
            <w:webHidden/>
            <w:szCs w:val="26"/>
          </w:rPr>
          <w:fldChar w:fldCharType="separate"/>
        </w:r>
        <w:r w:rsidR="002A1B8B">
          <w:rPr>
            <w:noProof/>
            <w:webHidden/>
            <w:szCs w:val="26"/>
          </w:rPr>
          <w:t>162</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08" w:history="1">
        <w:r w:rsidR="0053114A" w:rsidRPr="0053114A">
          <w:rPr>
            <w:rStyle w:val="Hyperlink"/>
            <w:noProof/>
            <w:szCs w:val="26"/>
          </w:rPr>
          <w:t>g.</w:t>
        </w:r>
        <w:r w:rsidR="0053114A" w:rsidRPr="0053114A">
          <w:rPr>
            <w:rFonts w:eastAsiaTheme="minorEastAsia"/>
            <w:noProof/>
            <w:szCs w:val="26"/>
          </w:rPr>
          <w:tab/>
        </w:r>
        <w:r w:rsidR="0053114A" w:rsidRPr="0053114A">
          <w:rPr>
            <w:rStyle w:val="Hyperlink"/>
            <w:noProof/>
            <w:szCs w:val="26"/>
          </w:rPr>
          <w:t>Standard Offer Program Rules and Supplier     Agreement</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_Toc346705408 \h </w:instrText>
        </w:r>
        <w:r w:rsidR="0053114A" w:rsidRPr="0053114A">
          <w:rPr>
            <w:noProof/>
            <w:webHidden/>
            <w:szCs w:val="26"/>
          </w:rPr>
        </w:r>
        <w:r w:rsidR="0053114A" w:rsidRPr="0053114A">
          <w:rPr>
            <w:noProof/>
            <w:webHidden/>
            <w:szCs w:val="26"/>
          </w:rPr>
          <w:fldChar w:fldCharType="separate"/>
        </w:r>
        <w:r w:rsidR="002A1B8B">
          <w:rPr>
            <w:noProof/>
            <w:webHidden/>
            <w:szCs w:val="26"/>
          </w:rPr>
          <w:t>162</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409" w:history="1">
        <w:r w:rsidR="0053114A" w:rsidRPr="0053114A">
          <w:rPr>
            <w:rStyle w:val="Hyperlink"/>
            <w:noProof/>
            <w:szCs w:val="26"/>
          </w:rPr>
          <w:t>i.</w:t>
        </w:r>
        <w:r w:rsidR="0053114A" w:rsidRPr="0053114A">
          <w:rPr>
            <w:rFonts w:eastAsiaTheme="minorEastAsia"/>
            <w:noProof/>
            <w:szCs w:val="26"/>
          </w:rPr>
          <w:tab/>
        </w:r>
        <w:r w:rsidR="0053114A" w:rsidRPr="0053114A">
          <w:rPr>
            <w:rStyle w:val="Hyperlink"/>
            <w:noProof/>
            <w:szCs w:val="26"/>
          </w:rPr>
          <w:t>Duquesne’s Proposal</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_Toc346705409 \h </w:instrText>
        </w:r>
        <w:r w:rsidR="0053114A" w:rsidRPr="0053114A">
          <w:rPr>
            <w:noProof/>
            <w:webHidden/>
            <w:szCs w:val="26"/>
          </w:rPr>
        </w:r>
        <w:r w:rsidR="0053114A" w:rsidRPr="0053114A">
          <w:rPr>
            <w:noProof/>
            <w:webHidden/>
            <w:szCs w:val="26"/>
          </w:rPr>
          <w:fldChar w:fldCharType="separate"/>
        </w:r>
        <w:r w:rsidR="002A1B8B">
          <w:rPr>
            <w:noProof/>
            <w:webHidden/>
            <w:szCs w:val="26"/>
          </w:rPr>
          <w:t>163</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410" w:history="1">
        <w:r w:rsidR="0053114A" w:rsidRPr="0053114A">
          <w:rPr>
            <w:rStyle w:val="Hyperlink"/>
            <w:noProof/>
            <w:szCs w:val="26"/>
          </w:rPr>
          <w:t>ii.</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_Toc346705410 \h </w:instrText>
        </w:r>
        <w:r w:rsidR="0053114A" w:rsidRPr="0053114A">
          <w:rPr>
            <w:noProof/>
            <w:webHidden/>
            <w:szCs w:val="26"/>
          </w:rPr>
        </w:r>
        <w:r w:rsidR="0053114A" w:rsidRPr="0053114A">
          <w:rPr>
            <w:noProof/>
            <w:webHidden/>
            <w:szCs w:val="26"/>
          </w:rPr>
          <w:fldChar w:fldCharType="separate"/>
        </w:r>
        <w:r w:rsidR="002A1B8B">
          <w:rPr>
            <w:noProof/>
            <w:webHidden/>
            <w:szCs w:val="26"/>
          </w:rPr>
          <w:t>163</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411" w:history="1">
        <w:r w:rsidR="0053114A" w:rsidRPr="0053114A">
          <w:rPr>
            <w:rStyle w:val="Hyperlink"/>
            <w:noProof/>
            <w:szCs w:val="26"/>
          </w:rPr>
          <w:t>iii.</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_Toc346705411 \h </w:instrText>
        </w:r>
        <w:r w:rsidR="0053114A" w:rsidRPr="0053114A">
          <w:rPr>
            <w:noProof/>
            <w:webHidden/>
            <w:szCs w:val="26"/>
          </w:rPr>
        </w:r>
        <w:r w:rsidR="0053114A" w:rsidRPr="0053114A">
          <w:rPr>
            <w:noProof/>
            <w:webHidden/>
            <w:szCs w:val="26"/>
          </w:rPr>
          <w:fldChar w:fldCharType="separate"/>
        </w:r>
        <w:r w:rsidR="002A1B8B">
          <w:rPr>
            <w:noProof/>
            <w:webHidden/>
            <w:szCs w:val="26"/>
          </w:rPr>
          <w:t>164</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412" w:history="1">
        <w:r w:rsidR="0053114A" w:rsidRPr="0053114A">
          <w:rPr>
            <w:rStyle w:val="Hyperlink"/>
            <w:noProof/>
            <w:szCs w:val="26"/>
          </w:rPr>
          <w:t>iv.</w:t>
        </w:r>
        <w:r w:rsidR="0053114A" w:rsidRPr="0053114A">
          <w:rPr>
            <w:rFonts w:eastAsiaTheme="minorEastAsia"/>
            <w:noProof/>
            <w:szCs w:val="26"/>
          </w:rPr>
          <w:tab/>
        </w:r>
        <w:r w:rsidR="0053114A" w:rsidRPr="0053114A">
          <w:rPr>
            <w:rStyle w:val="Hyperlink"/>
            <w:noProof/>
            <w:szCs w:val="26"/>
          </w:rPr>
          <w:t>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_Toc346705412 \h </w:instrText>
        </w:r>
        <w:r w:rsidR="0053114A" w:rsidRPr="0053114A">
          <w:rPr>
            <w:noProof/>
            <w:webHidden/>
            <w:szCs w:val="26"/>
          </w:rPr>
        </w:r>
        <w:r w:rsidR="0053114A" w:rsidRPr="0053114A">
          <w:rPr>
            <w:noProof/>
            <w:webHidden/>
            <w:szCs w:val="26"/>
          </w:rPr>
          <w:fldChar w:fldCharType="separate"/>
        </w:r>
        <w:r w:rsidR="002A1B8B">
          <w:rPr>
            <w:noProof/>
            <w:webHidden/>
            <w:szCs w:val="26"/>
          </w:rPr>
          <w:t>164</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413" w:history="1">
        <w:r w:rsidR="0053114A" w:rsidRPr="0053114A">
          <w:rPr>
            <w:rStyle w:val="Hyperlink"/>
            <w:noProof/>
            <w:szCs w:val="26"/>
          </w:rPr>
          <w:t>v.</w:t>
        </w:r>
        <w:r w:rsidR="0053114A" w:rsidRPr="0053114A">
          <w:rPr>
            <w:rFonts w:eastAsiaTheme="minorEastAsia"/>
            <w:noProof/>
            <w:szCs w:val="26"/>
          </w:rPr>
          <w:tab/>
        </w:r>
        <w:r w:rsidR="0053114A" w:rsidRPr="0053114A">
          <w:rPr>
            <w:rStyle w:val="Hyperlink"/>
            <w:noProof/>
            <w:szCs w:val="26"/>
          </w:rPr>
          <w:t>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_Toc346705413 \h </w:instrText>
        </w:r>
        <w:r w:rsidR="0053114A" w:rsidRPr="0053114A">
          <w:rPr>
            <w:noProof/>
            <w:webHidden/>
            <w:szCs w:val="26"/>
          </w:rPr>
        </w:r>
        <w:r w:rsidR="0053114A" w:rsidRPr="0053114A">
          <w:rPr>
            <w:noProof/>
            <w:webHidden/>
            <w:szCs w:val="26"/>
          </w:rPr>
          <w:fldChar w:fldCharType="separate"/>
        </w:r>
        <w:r w:rsidR="002A1B8B">
          <w:rPr>
            <w:noProof/>
            <w:webHidden/>
            <w:szCs w:val="26"/>
          </w:rPr>
          <w:t>164</w:t>
        </w:r>
        <w:r w:rsidR="0053114A" w:rsidRPr="0053114A">
          <w:rPr>
            <w:noProof/>
            <w:webHidden/>
            <w:szCs w:val="26"/>
          </w:rPr>
          <w:fldChar w:fldCharType="end"/>
        </w:r>
      </w:hyperlink>
    </w:p>
    <w:p w:rsidR="0053114A" w:rsidRPr="0053114A" w:rsidRDefault="0016142D" w:rsidP="0053114A">
      <w:pPr>
        <w:pStyle w:val="TOC5"/>
        <w:tabs>
          <w:tab w:val="left" w:pos="3600"/>
          <w:tab w:val="right" w:leader="dot" w:pos="9350"/>
        </w:tabs>
        <w:spacing w:line="360" w:lineRule="auto"/>
        <w:rPr>
          <w:rFonts w:eastAsiaTheme="minorEastAsia"/>
          <w:noProof/>
          <w:szCs w:val="26"/>
        </w:rPr>
      </w:pPr>
      <w:hyperlink w:anchor="_Toc346705414" w:history="1">
        <w:r w:rsidR="0053114A" w:rsidRPr="0053114A">
          <w:rPr>
            <w:rStyle w:val="Hyperlink"/>
            <w:noProof/>
            <w:szCs w:val="26"/>
          </w:rPr>
          <w:t>vi.</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_Toc346705414 \h </w:instrText>
        </w:r>
        <w:r w:rsidR="0053114A" w:rsidRPr="0053114A">
          <w:rPr>
            <w:noProof/>
            <w:webHidden/>
            <w:szCs w:val="26"/>
          </w:rPr>
        </w:r>
        <w:r w:rsidR="0053114A" w:rsidRPr="0053114A">
          <w:rPr>
            <w:noProof/>
            <w:webHidden/>
            <w:szCs w:val="26"/>
          </w:rPr>
          <w:fldChar w:fldCharType="separate"/>
        </w:r>
        <w:r w:rsidR="002A1B8B">
          <w:rPr>
            <w:noProof/>
            <w:webHidden/>
            <w:szCs w:val="26"/>
          </w:rPr>
          <w:t>165</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415" w:history="1">
        <w:r w:rsidR="0053114A" w:rsidRPr="0053114A">
          <w:rPr>
            <w:rStyle w:val="Hyperlink"/>
            <w:noProof/>
            <w:szCs w:val="26"/>
          </w:rPr>
          <w:t>3.</w:t>
        </w:r>
        <w:r w:rsidR="0053114A" w:rsidRPr="0053114A">
          <w:rPr>
            <w:rFonts w:eastAsiaTheme="minorEastAsia"/>
            <w:noProof/>
            <w:szCs w:val="26"/>
          </w:rPr>
          <w:tab/>
        </w:r>
        <w:r w:rsidR="0053114A" w:rsidRPr="0053114A">
          <w:rPr>
            <w:rStyle w:val="Hyperlink"/>
            <w:noProof/>
            <w:szCs w:val="26"/>
          </w:rPr>
          <w:t>Retail Market Enhancement (RME) Program Cost Recovery</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_Toc346705415 \h </w:instrText>
        </w:r>
        <w:r w:rsidR="0053114A" w:rsidRPr="0053114A">
          <w:rPr>
            <w:noProof/>
            <w:webHidden/>
            <w:szCs w:val="26"/>
          </w:rPr>
        </w:r>
        <w:r w:rsidR="0053114A" w:rsidRPr="0053114A">
          <w:rPr>
            <w:noProof/>
            <w:webHidden/>
            <w:szCs w:val="26"/>
          </w:rPr>
          <w:fldChar w:fldCharType="separate"/>
        </w:r>
        <w:r w:rsidR="002A1B8B">
          <w:rPr>
            <w:noProof/>
            <w:webHidden/>
            <w:szCs w:val="26"/>
          </w:rPr>
          <w:t>165</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16" w:history="1">
        <w:r w:rsidR="0053114A" w:rsidRPr="0053114A">
          <w:rPr>
            <w:rStyle w:val="Hyperlink"/>
            <w:noProof/>
            <w:szCs w:val="26"/>
          </w:rPr>
          <w:t>a.</w:t>
        </w:r>
        <w:r w:rsidR="0053114A" w:rsidRPr="0053114A">
          <w:rPr>
            <w:rFonts w:eastAsiaTheme="minorEastAsia"/>
            <w:noProof/>
            <w:szCs w:val="26"/>
          </w:rPr>
          <w:tab/>
        </w:r>
        <w:r w:rsidR="0053114A" w:rsidRPr="0053114A">
          <w:rPr>
            <w:rStyle w:val="Hyperlink"/>
            <w:noProof/>
            <w:szCs w:val="26"/>
          </w:rPr>
          <w:t>Duquesne’s Proposal</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_Toc346705416 \h </w:instrText>
        </w:r>
        <w:r w:rsidR="0053114A" w:rsidRPr="0053114A">
          <w:rPr>
            <w:noProof/>
            <w:webHidden/>
            <w:szCs w:val="26"/>
          </w:rPr>
        </w:r>
        <w:r w:rsidR="0053114A" w:rsidRPr="0053114A">
          <w:rPr>
            <w:noProof/>
            <w:webHidden/>
            <w:szCs w:val="26"/>
          </w:rPr>
          <w:fldChar w:fldCharType="separate"/>
        </w:r>
        <w:r w:rsidR="002A1B8B">
          <w:rPr>
            <w:noProof/>
            <w:webHidden/>
            <w:szCs w:val="26"/>
          </w:rPr>
          <w:t>165</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17" w:history="1">
        <w:r w:rsidR="0053114A" w:rsidRPr="0053114A">
          <w:rPr>
            <w:rStyle w:val="Hyperlink"/>
            <w:noProof/>
            <w:szCs w:val="26"/>
          </w:rPr>
          <w:t>b.</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_Toc346705417 \h </w:instrText>
        </w:r>
        <w:r w:rsidR="0053114A" w:rsidRPr="0053114A">
          <w:rPr>
            <w:noProof/>
            <w:webHidden/>
            <w:szCs w:val="26"/>
          </w:rPr>
        </w:r>
        <w:r w:rsidR="0053114A" w:rsidRPr="0053114A">
          <w:rPr>
            <w:noProof/>
            <w:webHidden/>
            <w:szCs w:val="26"/>
          </w:rPr>
          <w:fldChar w:fldCharType="separate"/>
        </w:r>
        <w:r w:rsidR="002A1B8B">
          <w:rPr>
            <w:noProof/>
            <w:webHidden/>
            <w:szCs w:val="26"/>
          </w:rPr>
          <w:t>166</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18" w:history="1">
        <w:r w:rsidR="0053114A" w:rsidRPr="0053114A">
          <w:rPr>
            <w:rStyle w:val="Hyperlink"/>
            <w:noProof/>
            <w:szCs w:val="26"/>
          </w:rPr>
          <w:t>c.</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_Toc346705418 \h </w:instrText>
        </w:r>
        <w:r w:rsidR="0053114A" w:rsidRPr="0053114A">
          <w:rPr>
            <w:noProof/>
            <w:webHidden/>
            <w:szCs w:val="26"/>
          </w:rPr>
        </w:r>
        <w:r w:rsidR="0053114A" w:rsidRPr="0053114A">
          <w:rPr>
            <w:noProof/>
            <w:webHidden/>
            <w:szCs w:val="26"/>
          </w:rPr>
          <w:fldChar w:fldCharType="separate"/>
        </w:r>
        <w:r w:rsidR="002A1B8B">
          <w:rPr>
            <w:noProof/>
            <w:webHidden/>
            <w:szCs w:val="26"/>
          </w:rPr>
          <w:t>170</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19" w:history="1">
        <w:r w:rsidR="0053114A" w:rsidRPr="0053114A">
          <w:rPr>
            <w:rStyle w:val="Hyperlink"/>
            <w:noProof/>
            <w:szCs w:val="26"/>
          </w:rPr>
          <w:t>d.</w:t>
        </w:r>
        <w:r w:rsidR="0053114A" w:rsidRPr="0053114A">
          <w:rPr>
            <w:rFonts w:eastAsiaTheme="minorEastAsia"/>
            <w:noProof/>
            <w:szCs w:val="26"/>
          </w:rPr>
          <w:tab/>
        </w:r>
        <w:r w:rsidR="0053114A" w:rsidRPr="0053114A">
          <w:rPr>
            <w:rStyle w:val="Hyperlink"/>
            <w:noProof/>
            <w:szCs w:val="26"/>
          </w:rPr>
          <w:t>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_Toc346705419 \h </w:instrText>
        </w:r>
        <w:r w:rsidR="0053114A" w:rsidRPr="0053114A">
          <w:rPr>
            <w:noProof/>
            <w:webHidden/>
            <w:szCs w:val="26"/>
          </w:rPr>
        </w:r>
        <w:r w:rsidR="0053114A" w:rsidRPr="0053114A">
          <w:rPr>
            <w:noProof/>
            <w:webHidden/>
            <w:szCs w:val="26"/>
          </w:rPr>
          <w:fldChar w:fldCharType="separate"/>
        </w:r>
        <w:r w:rsidR="002A1B8B">
          <w:rPr>
            <w:noProof/>
            <w:webHidden/>
            <w:szCs w:val="26"/>
          </w:rPr>
          <w:t>171</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20" w:history="1">
        <w:r w:rsidR="0053114A" w:rsidRPr="0053114A">
          <w:rPr>
            <w:rStyle w:val="Hyperlink"/>
            <w:noProof/>
            <w:szCs w:val="26"/>
          </w:rPr>
          <w:t>e.</w:t>
        </w:r>
        <w:r w:rsidR="0053114A" w:rsidRPr="0053114A">
          <w:rPr>
            <w:rFonts w:eastAsiaTheme="minorEastAsia"/>
            <w:noProof/>
            <w:szCs w:val="26"/>
          </w:rPr>
          <w:tab/>
        </w:r>
        <w:r w:rsidR="0053114A" w:rsidRPr="0053114A">
          <w:rPr>
            <w:rStyle w:val="Hyperlink"/>
            <w:noProof/>
            <w:szCs w:val="26"/>
          </w:rPr>
          <w:t>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_Toc346705420 \h </w:instrText>
        </w:r>
        <w:r w:rsidR="0053114A" w:rsidRPr="0053114A">
          <w:rPr>
            <w:noProof/>
            <w:webHidden/>
            <w:szCs w:val="26"/>
          </w:rPr>
        </w:r>
        <w:r w:rsidR="0053114A" w:rsidRPr="0053114A">
          <w:rPr>
            <w:noProof/>
            <w:webHidden/>
            <w:szCs w:val="26"/>
          </w:rPr>
          <w:fldChar w:fldCharType="separate"/>
        </w:r>
        <w:r w:rsidR="002A1B8B">
          <w:rPr>
            <w:noProof/>
            <w:webHidden/>
            <w:szCs w:val="26"/>
          </w:rPr>
          <w:t>174</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21" w:history="1">
        <w:r w:rsidR="0053114A" w:rsidRPr="0053114A">
          <w:rPr>
            <w:rStyle w:val="Hyperlink"/>
            <w:noProof/>
            <w:szCs w:val="26"/>
          </w:rPr>
          <w:t>f.</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_Toc346705421 \h </w:instrText>
        </w:r>
        <w:r w:rsidR="0053114A" w:rsidRPr="0053114A">
          <w:rPr>
            <w:noProof/>
            <w:webHidden/>
            <w:szCs w:val="26"/>
          </w:rPr>
        </w:r>
        <w:r w:rsidR="0053114A" w:rsidRPr="0053114A">
          <w:rPr>
            <w:noProof/>
            <w:webHidden/>
            <w:szCs w:val="26"/>
          </w:rPr>
          <w:fldChar w:fldCharType="separate"/>
        </w:r>
        <w:r w:rsidR="002A1B8B">
          <w:rPr>
            <w:noProof/>
            <w:webHidden/>
            <w:szCs w:val="26"/>
          </w:rPr>
          <w:t>177</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422" w:history="1">
        <w:r w:rsidR="0053114A" w:rsidRPr="0053114A">
          <w:rPr>
            <w:rStyle w:val="Hyperlink"/>
            <w:noProof/>
            <w:szCs w:val="26"/>
          </w:rPr>
          <w:t>4.</w:t>
        </w:r>
        <w:r w:rsidR="0053114A" w:rsidRPr="0053114A">
          <w:rPr>
            <w:rFonts w:eastAsiaTheme="minorEastAsia"/>
            <w:noProof/>
            <w:szCs w:val="26"/>
          </w:rPr>
          <w:tab/>
        </w:r>
        <w:r w:rsidR="0053114A" w:rsidRPr="0053114A">
          <w:rPr>
            <w:rStyle w:val="Hyperlink"/>
            <w:noProof/>
            <w:szCs w:val="26"/>
          </w:rPr>
          <w:t>CAP Customer Participation in RME Programs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_Toc346705422 \h </w:instrText>
        </w:r>
        <w:r w:rsidR="0053114A" w:rsidRPr="0053114A">
          <w:rPr>
            <w:noProof/>
            <w:webHidden/>
            <w:szCs w:val="26"/>
          </w:rPr>
        </w:r>
        <w:r w:rsidR="0053114A" w:rsidRPr="0053114A">
          <w:rPr>
            <w:noProof/>
            <w:webHidden/>
            <w:szCs w:val="26"/>
          </w:rPr>
          <w:fldChar w:fldCharType="separate"/>
        </w:r>
        <w:r w:rsidR="002A1B8B">
          <w:rPr>
            <w:noProof/>
            <w:webHidden/>
            <w:szCs w:val="26"/>
          </w:rPr>
          <w:t>178</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23" w:history="1">
        <w:r w:rsidR="0053114A" w:rsidRPr="0053114A">
          <w:rPr>
            <w:rStyle w:val="Hyperlink"/>
            <w:noProof/>
            <w:szCs w:val="26"/>
          </w:rPr>
          <w:t>a.</w:t>
        </w:r>
        <w:r w:rsidR="0053114A" w:rsidRPr="0053114A">
          <w:rPr>
            <w:rFonts w:eastAsiaTheme="minorEastAsia"/>
            <w:noProof/>
            <w:szCs w:val="26"/>
          </w:rPr>
          <w:tab/>
        </w:r>
        <w:r w:rsidR="0053114A" w:rsidRPr="0053114A">
          <w:rPr>
            <w:rStyle w:val="Hyperlink"/>
            <w:noProof/>
            <w:szCs w:val="26"/>
          </w:rPr>
          <w:t>Duquesne’s Proposal</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_Toc346705423 \h </w:instrText>
        </w:r>
        <w:r w:rsidR="0053114A" w:rsidRPr="0053114A">
          <w:rPr>
            <w:noProof/>
            <w:webHidden/>
            <w:szCs w:val="26"/>
          </w:rPr>
        </w:r>
        <w:r w:rsidR="0053114A" w:rsidRPr="0053114A">
          <w:rPr>
            <w:noProof/>
            <w:webHidden/>
            <w:szCs w:val="26"/>
          </w:rPr>
          <w:fldChar w:fldCharType="separate"/>
        </w:r>
        <w:r w:rsidR="002A1B8B">
          <w:rPr>
            <w:noProof/>
            <w:webHidden/>
            <w:szCs w:val="26"/>
          </w:rPr>
          <w:t>178</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24" w:history="1">
        <w:r w:rsidR="0053114A" w:rsidRPr="0053114A">
          <w:rPr>
            <w:rStyle w:val="Hyperlink"/>
            <w:noProof/>
            <w:szCs w:val="26"/>
          </w:rPr>
          <w:t>b.</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_Toc346705424 \h </w:instrText>
        </w:r>
        <w:r w:rsidR="0053114A" w:rsidRPr="0053114A">
          <w:rPr>
            <w:noProof/>
            <w:webHidden/>
            <w:szCs w:val="26"/>
          </w:rPr>
        </w:r>
        <w:r w:rsidR="0053114A" w:rsidRPr="0053114A">
          <w:rPr>
            <w:noProof/>
            <w:webHidden/>
            <w:szCs w:val="26"/>
          </w:rPr>
          <w:fldChar w:fldCharType="separate"/>
        </w:r>
        <w:r w:rsidR="002A1B8B">
          <w:rPr>
            <w:noProof/>
            <w:webHidden/>
            <w:szCs w:val="26"/>
          </w:rPr>
          <w:t>179</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25" w:history="1">
        <w:r w:rsidR="0053114A" w:rsidRPr="0053114A">
          <w:rPr>
            <w:rStyle w:val="Hyperlink"/>
            <w:noProof/>
            <w:szCs w:val="26"/>
          </w:rPr>
          <w:t>c.</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_Toc346705425 \h </w:instrText>
        </w:r>
        <w:r w:rsidR="0053114A" w:rsidRPr="0053114A">
          <w:rPr>
            <w:noProof/>
            <w:webHidden/>
            <w:szCs w:val="26"/>
          </w:rPr>
        </w:r>
        <w:r w:rsidR="0053114A" w:rsidRPr="0053114A">
          <w:rPr>
            <w:noProof/>
            <w:webHidden/>
            <w:szCs w:val="26"/>
          </w:rPr>
          <w:fldChar w:fldCharType="separate"/>
        </w:r>
        <w:r w:rsidR="002A1B8B">
          <w:rPr>
            <w:noProof/>
            <w:webHidden/>
            <w:szCs w:val="26"/>
          </w:rPr>
          <w:t>183</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26" w:history="1">
        <w:r w:rsidR="0053114A" w:rsidRPr="0053114A">
          <w:rPr>
            <w:rStyle w:val="Hyperlink"/>
            <w:noProof/>
            <w:szCs w:val="26"/>
          </w:rPr>
          <w:t>d.</w:t>
        </w:r>
        <w:r w:rsidR="0053114A" w:rsidRPr="0053114A">
          <w:rPr>
            <w:rFonts w:eastAsiaTheme="minorEastAsia"/>
            <w:noProof/>
            <w:szCs w:val="26"/>
          </w:rPr>
          <w:tab/>
        </w:r>
        <w:r w:rsidR="0053114A" w:rsidRPr="0053114A">
          <w:rPr>
            <w:rStyle w:val="Hyperlink"/>
            <w:noProof/>
            <w:szCs w:val="26"/>
          </w:rPr>
          <w:t>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_Toc346705426 \h </w:instrText>
        </w:r>
        <w:r w:rsidR="0053114A" w:rsidRPr="0053114A">
          <w:rPr>
            <w:noProof/>
            <w:webHidden/>
            <w:szCs w:val="26"/>
          </w:rPr>
        </w:r>
        <w:r w:rsidR="0053114A" w:rsidRPr="0053114A">
          <w:rPr>
            <w:noProof/>
            <w:webHidden/>
            <w:szCs w:val="26"/>
          </w:rPr>
          <w:fldChar w:fldCharType="separate"/>
        </w:r>
        <w:r w:rsidR="002A1B8B">
          <w:rPr>
            <w:noProof/>
            <w:webHidden/>
            <w:szCs w:val="26"/>
          </w:rPr>
          <w:t>183</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27" w:history="1">
        <w:r w:rsidR="0053114A" w:rsidRPr="0053114A">
          <w:rPr>
            <w:rStyle w:val="Hyperlink"/>
            <w:noProof/>
            <w:szCs w:val="26"/>
          </w:rPr>
          <w:t>e.</w:t>
        </w:r>
        <w:r w:rsidR="0053114A" w:rsidRPr="0053114A">
          <w:rPr>
            <w:rFonts w:eastAsiaTheme="minorEastAsia"/>
            <w:noProof/>
            <w:szCs w:val="26"/>
          </w:rPr>
          <w:tab/>
        </w:r>
        <w:r w:rsidR="0053114A" w:rsidRPr="0053114A">
          <w:rPr>
            <w:rStyle w:val="Hyperlink"/>
            <w:noProof/>
            <w:szCs w:val="26"/>
          </w:rPr>
          <w:t>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_Toc346705427 \h </w:instrText>
        </w:r>
        <w:r w:rsidR="0053114A" w:rsidRPr="0053114A">
          <w:rPr>
            <w:noProof/>
            <w:webHidden/>
            <w:szCs w:val="26"/>
          </w:rPr>
        </w:r>
        <w:r w:rsidR="0053114A" w:rsidRPr="0053114A">
          <w:rPr>
            <w:noProof/>
            <w:webHidden/>
            <w:szCs w:val="26"/>
          </w:rPr>
          <w:fldChar w:fldCharType="separate"/>
        </w:r>
        <w:r w:rsidR="002A1B8B">
          <w:rPr>
            <w:noProof/>
            <w:webHidden/>
            <w:szCs w:val="26"/>
          </w:rPr>
          <w:t>184</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28" w:history="1">
        <w:r w:rsidR="0053114A" w:rsidRPr="0053114A">
          <w:rPr>
            <w:rStyle w:val="Hyperlink"/>
            <w:noProof/>
            <w:szCs w:val="26"/>
          </w:rPr>
          <w:t>f.</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_Toc346705428 \h </w:instrText>
        </w:r>
        <w:r w:rsidR="0053114A" w:rsidRPr="0053114A">
          <w:rPr>
            <w:noProof/>
            <w:webHidden/>
            <w:szCs w:val="26"/>
          </w:rPr>
        </w:r>
        <w:r w:rsidR="0053114A" w:rsidRPr="0053114A">
          <w:rPr>
            <w:noProof/>
            <w:webHidden/>
            <w:szCs w:val="26"/>
          </w:rPr>
          <w:fldChar w:fldCharType="separate"/>
        </w:r>
        <w:r w:rsidR="002A1B8B">
          <w:rPr>
            <w:noProof/>
            <w:webHidden/>
            <w:szCs w:val="26"/>
          </w:rPr>
          <w:t>186</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429" w:history="1">
        <w:r w:rsidR="0053114A" w:rsidRPr="0053114A">
          <w:rPr>
            <w:rStyle w:val="Hyperlink"/>
            <w:noProof/>
            <w:szCs w:val="26"/>
          </w:rPr>
          <w:t>5.</w:t>
        </w:r>
        <w:r w:rsidR="0053114A" w:rsidRPr="0053114A">
          <w:rPr>
            <w:rFonts w:eastAsiaTheme="minorEastAsia"/>
            <w:noProof/>
            <w:szCs w:val="26"/>
          </w:rPr>
          <w:tab/>
        </w:r>
        <w:r w:rsidR="0053114A" w:rsidRPr="0053114A">
          <w:rPr>
            <w:rStyle w:val="Hyperlink"/>
            <w:noProof/>
            <w:szCs w:val="26"/>
          </w:rPr>
          <w:t>Shopping Customer Participation in RME Programs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_Toc346705429 \h </w:instrText>
        </w:r>
        <w:r w:rsidR="0053114A" w:rsidRPr="0053114A">
          <w:rPr>
            <w:noProof/>
            <w:webHidden/>
            <w:szCs w:val="26"/>
          </w:rPr>
        </w:r>
        <w:r w:rsidR="0053114A" w:rsidRPr="0053114A">
          <w:rPr>
            <w:noProof/>
            <w:webHidden/>
            <w:szCs w:val="26"/>
          </w:rPr>
          <w:fldChar w:fldCharType="separate"/>
        </w:r>
        <w:r w:rsidR="002A1B8B">
          <w:rPr>
            <w:noProof/>
            <w:webHidden/>
            <w:szCs w:val="26"/>
          </w:rPr>
          <w:t>187</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30" w:history="1">
        <w:r w:rsidR="0053114A" w:rsidRPr="0053114A">
          <w:rPr>
            <w:rStyle w:val="Hyperlink"/>
            <w:noProof/>
            <w:szCs w:val="26"/>
          </w:rPr>
          <w:t>a.</w:t>
        </w:r>
        <w:r w:rsidR="0053114A" w:rsidRPr="0053114A">
          <w:rPr>
            <w:rFonts w:eastAsiaTheme="minorEastAsia"/>
            <w:noProof/>
            <w:szCs w:val="26"/>
          </w:rPr>
          <w:tab/>
        </w:r>
        <w:r w:rsidR="0053114A" w:rsidRPr="0053114A">
          <w:rPr>
            <w:rStyle w:val="Hyperlink"/>
            <w:noProof/>
            <w:szCs w:val="26"/>
          </w:rPr>
          <w:t>Duquesne’s Proposal</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_Toc346705430 \h </w:instrText>
        </w:r>
        <w:r w:rsidR="0053114A" w:rsidRPr="0053114A">
          <w:rPr>
            <w:noProof/>
            <w:webHidden/>
            <w:szCs w:val="26"/>
          </w:rPr>
        </w:r>
        <w:r w:rsidR="0053114A" w:rsidRPr="0053114A">
          <w:rPr>
            <w:noProof/>
            <w:webHidden/>
            <w:szCs w:val="26"/>
          </w:rPr>
          <w:fldChar w:fldCharType="separate"/>
        </w:r>
        <w:r w:rsidR="002A1B8B">
          <w:rPr>
            <w:noProof/>
            <w:webHidden/>
            <w:szCs w:val="26"/>
          </w:rPr>
          <w:t>187</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31" w:history="1">
        <w:r w:rsidR="0053114A" w:rsidRPr="0053114A">
          <w:rPr>
            <w:rStyle w:val="Hyperlink"/>
            <w:noProof/>
            <w:szCs w:val="26"/>
          </w:rPr>
          <w:t>b.</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_Toc346705431 \h </w:instrText>
        </w:r>
        <w:r w:rsidR="0053114A" w:rsidRPr="0053114A">
          <w:rPr>
            <w:noProof/>
            <w:webHidden/>
            <w:szCs w:val="26"/>
          </w:rPr>
        </w:r>
        <w:r w:rsidR="0053114A" w:rsidRPr="0053114A">
          <w:rPr>
            <w:noProof/>
            <w:webHidden/>
            <w:szCs w:val="26"/>
          </w:rPr>
          <w:fldChar w:fldCharType="separate"/>
        </w:r>
        <w:r w:rsidR="002A1B8B">
          <w:rPr>
            <w:noProof/>
            <w:webHidden/>
            <w:szCs w:val="26"/>
          </w:rPr>
          <w:t>187</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32" w:history="1">
        <w:r w:rsidR="0053114A" w:rsidRPr="0053114A">
          <w:rPr>
            <w:rStyle w:val="Hyperlink"/>
            <w:noProof/>
            <w:szCs w:val="26"/>
          </w:rPr>
          <w:t>c.</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_Toc346705432 \h </w:instrText>
        </w:r>
        <w:r w:rsidR="0053114A" w:rsidRPr="0053114A">
          <w:rPr>
            <w:noProof/>
            <w:webHidden/>
            <w:szCs w:val="26"/>
          </w:rPr>
        </w:r>
        <w:r w:rsidR="0053114A" w:rsidRPr="0053114A">
          <w:rPr>
            <w:noProof/>
            <w:webHidden/>
            <w:szCs w:val="26"/>
          </w:rPr>
          <w:fldChar w:fldCharType="separate"/>
        </w:r>
        <w:r w:rsidR="002A1B8B">
          <w:rPr>
            <w:noProof/>
            <w:webHidden/>
            <w:szCs w:val="26"/>
          </w:rPr>
          <w:t>189</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33" w:history="1">
        <w:r w:rsidR="0053114A" w:rsidRPr="0053114A">
          <w:rPr>
            <w:rStyle w:val="Hyperlink"/>
            <w:noProof/>
            <w:szCs w:val="26"/>
          </w:rPr>
          <w:t>d.</w:t>
        </w:r>
        <w:r w:rsidR="0053114A" w:rsidRPr="0053114A">
          <w:rPr>
            <w:rFonts w:eastAsiaTheme="minorEastAsia"/>
            <w:noProof/>
            <w:szCs w:val="26"/>
          </w:rPr>
          <w:tab/>
        </w:r>
        <w:r w:rsidR="0053114A" w:rsidRPr="0053114A">
          <w:rPr>
            <w:rStyle w:val="Hyperlink"/>
            <w:noProof/>
            <w:szCs w:val="26"/>
          </w:rPr>
          <w:t>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_Toc346705433 \h </w:instrText>
        </w:r>
        <w:r w:rsidR="0053114A" w:rsidRPr="0053114A">
          <w:rPr>
            <w:noProof/>
            <w:webHidden/>
            <w:szCs w:val="26"/>
          </w:rPr>
        </w:r>
        <w:r w:rsidR="0053114A" w:rsidRPr="0053114A">
          <w:rPr>
            <w:noProof/>
            <w:webHidden/>
            <w:szCs w:val="26"/>
          </w:rPr>
          <w:fldChar w:fldCharType="separate"/>
        </w:r>
        <w:r w:rsidR="002A1B8B">
          <w:rPr>
            <w:noProof/>
            <w:webHidden/>
            <w:szCs w:val="26"/>
          </w:rPr>
          <w:t>189</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34" w:history="1">
        <w:r w:rsidR="0053114A" w:rsidRPr="0053114A">
          <w:rPr>
            <w:rStyle w:val="Hyperlink"/>
            <w:noProof/>
            <w:szCs w:val="26"/>
          </w:rPr>
          <w:t>e.</w:t>
        </w:r>
        <w:r w:rsidR="0053114A" w:rsidRPr="0053114A">
          <w:rPr>
            <w:rFonts w:eastAsiaTheme="minorEastAsia"/>
            <w:noProof/>
            <w:szCs w:val="26"/>
          </w:rPr>
          <w:tab/>
        </w:r>
        <w:r w:rsidR="0053114A" w:rsidRPr="0053114A">
          <w:rPr>
            <w:rStyle w:val="Hyperlink"/>
            <w:noProof/>
            <w:szCs w:val="26"/>
          </w:rPr>
          <w:t>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_Toc346705434 \h </w:instrText>
        </w:r>
        <w:r w:rsidR="0053114A" w:rsidRPr="0053114A">
          <w:rPr>
            <w:noProof/>
            <w:webHidden/>
            <w:szCs w:val="26"/>
          </w:rPr>
        </w:r>
        <w:r w:rsidR="0053114A" w:rsidRPr="0053114A">
          <w:rPr>
            <w:noProof/>
            <w:webHidden/>
            <w:szCs w:val="26"/>
          </w:rPr>
          <w:fldChar w:fldCharType="separate"/>
        </w:r>
        <w:r w:rsidR="002A1B8B">
          <w:rPr>
            <w:noProof/>
            <w:webHidden/>
            <w:szCs w:val="26"/>
          </w:rPr>
          <w:t>190</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35" w:history="1">
        <w:r w:rsidR="0053114A" w:rsidRPr="0053114A">
          <w:rPr>
            <w:rStyle w:val="Hyperlink"/>
            <w:noProof/>
            <w:szCs w:val="26"/>
          </w:rPr>
          <w:t>f.</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_Toc346705435 \h </w:instrText>
        </w:r>
        <w:r w:rsidR="0053114A" w:rsidRPr="0053114A">
          <w:rPr>
            <w:noProof/>
            <w:webHidden/>
            <w:szCs w:val="26"/>
          </w:rPr>
        </w:r>
        <w:r w:rsidR="0053114A" w:rsidRPr="0053114A">
          <w:rPr>
            <w:noProof/>
            <w:webHidden/>
            <w:szCs w:val="26"/>
          </w:rPr>
          <w:fldChar w:fldCharType="separate"/>
        </w:r>
        <w:r w:rsidR="002A1B8B">
          <w:rPr>
            <w:noProof/>
            <w:webHidden/>
            <w:szCs w:val="26"/>
          </w:rPr>
          <w:t>190</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436" w:history="1">
        <w:r w:rsidR="0053114A" w:rsidRPr="0053114A">
          <w:rPr>
            <w:rStyle w:val="Hyperlink"/>
            <w:noProof/>
            <w:szCs w:val="26"/>
          </w:rPr>
          <w:t>6.</w:t>
        </w:r>
        <w:r w:rsidR="0053114A" w:rsidRPr="0053114A">
          <w:rPr>
            <w:rFonts w:eastAsiaTheme="minorEastAsia"/>
            <w:noProof/>
            <w:szCs w:val="26"/>
          </w:rPr>
          <w:tab/>
        </w:r>
        <w:r w:rsidR="0053114A" w:rsidRPr="0053114A">
          <w:rPr>
            <w:rStyle w:val="Hyperlink"/>
            <w:noProof/>
            <w:szCs w:val="26"/>
          </w:rPr>
          <w:t>Small C&amp;I Customer Participation in RME Programs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_Toc346705436 \h </w:instrText>
        </w:r>
        <w:r w:rsidR="0053114A" w:rsidRPr="0053114A">
          <w:rPr>
            <w:noProof/>
            <w:webHidden/>
            <w:szCs w:val="26"/>
          </w:rPr>
        </w:r>
        <w:r w:rsidR="0053114A" w:rsidRPr="0053114A">
          <w:rPr>
            <w:noProof/>
            <w:webHidden/>
            <w:szCs w:val="26"/>
          </w:rPr>
          <w:fldChar w:fldCharType="separate"/>
        </w:r>
        <w:r w:rsidR="002A1B8B">
          <w:rPr>
            <w:noProof/>
            <w:webHidden/>
            <w:szCs w:val="26"/>
          </w:rPr>
          <w:t>191</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37" w:history="1">
        <w:r w:rsidR="0053114A" w:rsidRPr="0053114A">
          <w:rPr>
            <w:rStyle w:val="Hyperlink"/>
            <w:noProof/>
            <w:szCs w:val="26"/>
          </w:rPr>
          <w:t>a.</w:t>
        </w:r>
        <w:r w:rsidR="0053114A" w:rsidRPr="0053114A">
          <w:rPr>
            <w:rFonts w:eastAsiaTheme="minorEastAsia"/>
            <w:noProof/>
            <w:szCs w:val="26"/>
          </w:rPr>
          <w:tab/>
        </w:r>
        <w:r w:rsidR="0053114A" w:rsidRPr="0053114A">
          <w:rPr>
            <w:rStyle w:val="Hyperlink"/>
            <w:noProof/>
            <w:szCs w:val="26"/>
          </w:rPr>
          <w:t>Duquesne’s Proposal</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_Toc346705437 \h </w:instrText>
        </w:r>
        <w:r w:rsidR="0053114A" w:rsidRPr="0053114A">
          <w:rPr>
            <w:noProof/>
            <w:webHidden/>
            <w:szCs w:val="26"/>
          </w:rPr>
        </w:r>
        <w:r w:rsidR="0053114A" w:rsidRPr="0053114A">
          <w:rPr>
            <w:noProof/>
            <w:webHidden/>
            <w:szCs w:val="26"/>
          </w:rPr>
          <w:fldChar w:fldCharType="separate"/>
        </w:r>
        <w:r w:rsidR="002A1B8B">
          <w:rPr>
            <w:noProof/>
            <w:webHidden/>
            <w:szCs w:val="26"/>
          </w:rPr>
          <w:t>191</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38" w:history="1">
        <w:r w:rsidR="0053114A" w:rsidRPr="0053114A">
          <w:rPr>
            <w:rStyle w:val="Hyperlink"/>
            <w:noProof/>
            <w:szCs w:val="26"/>
          </w:rPr>
          <w:t>b.</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_Toc346705438 \h </w:instrText>
        </w:r>
        <w:r w:rsidR="0053114A" w:rsidRPr="0053114A">
          <w:rPr>
            <w:noProof/>
            <w:webHidden/>
            <w:szCs w:val="26"/>
          </w:rPr>
        </w:r>
        <w:r w:rsidR="0053114A" w:rsidRPr="0053114A">
          <w:rPr>
            <w:noProof/>
            <w:webHidden/>
            <w:szCs w:val="26"/>
          </w:rPr>
          <w:fldChar w:fldCharType="separate"/>
        </w:r>
        <w:r w:rsidR="002A1B8B">
          <w:rPr>
            <w:noProof/>
            <w:webHidden/>
            <w:szCs w:val="26"/>
          </w:rPr>
          <w:t>191</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39" w:history="1">
        <w:r w:rsidR="0053114A" w:rsidRPr="0053114A">
          <w:rPr>
            <w:rStyle w:val="Hyperlink"/>
            <w:noProof/>
            <w:szCs w:val="26"/>
          </w:rPr>
          <w:t>c.</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_Toc346705439 \h </w:instrText>
        </w:r>
        <w:r w:rsidR="0053114A" w:rsidRPr="0053114A">
          <w:rPr>
            <w:noProof/>
            <w:webHidden/>
            <w:szCs w:val="26"/>
          </w:rPr>
        </w:r>
        <w:r w:rsidR="0053114A" w:rsidRPr="0053114A">
          <w:rPr>
            <w:noProof/>
            <w:webHidden/>
            <w:szCs w:val="26"/>
          </w:rPr>
          <w:fldChar w:fldCharType="separate"/>
        </w:r>
        <w:r w:rsidR="002A1B8B">
          <w:rPr>
            <w:noProof/>
            <w:webHidden/>
            <w:szCs w:val="26"/>
          </w:rPr>
          <w:t>192</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40" w:history="1">
        <w:r w:rsidR="0053114A" w:rsidRPr="0053114A">
          <w:rPr>
            <w:rStyle w:val="Hyperlink"/>
            <w:noProof/>
            <w:szCs w:val="26"/>
          </w:rPr>
          <w:t>d.</w:t>
        </w:r>
        <w:r w:rsidR="0053114A" w:rsidRPr="0053114A">
          <w:rPr>
            <w:rFonts w:eastAsiaTheme="minorEastAsia"/>
            <w:noProof/>
            <w:szCs w:val="26"/>
          </w:rPr>
          <w:tab/>
        </w:r>
        <w:r w:rsidR="0053114A" w:rsidRPr="0053114A">
          <w:rPr>
            <w:rStyle w:val="Hyperlink"/>
            <w:noProof/>
            <w:szCs w:val="26"/>
          </w:rPr>
          <w:t>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_Toc346705440 \h </w:instrText>
        </w:r>
        <w:r w:rsidR="0053114A" w:rsidRPr="0053114A">
          <w:rPr>
            <w:noProof/>
            <w:webHidden/>
            <w:szCs w:val="26"/>
          </w:rPr>
        </w:r>
        <w:r w:rsidR="0053114A" w:rsidRPr="0053114A">
          <w:rPr>
            <w:noProof/>
            <w:webHidden/>
            <w:szCs w:val="26"/>
          </w:rPr>
          <w:fldChar w:fldCharType="separate"/>
        </w:r>
        <w:r w:rsidR="002A1B8B">
          <w:rPr>
            <w:noProof/>
            <w:webHidden/>
            <w:szCs w:val="26"/>
          </w:rPr>
          <w:t>193</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41" w:history="1">
        <w:r w:rsidR="0053114A" w:rsidRPr="0053114A">
          <w:rPr>
            <w:rStyle w:val="Hyperlink"/>
            <w:noProof/>
            <w:szCs w:val="26"/>
          </w:rPr>
          <w:t>e.</w:t>
        </w:r>
        <w:r w:rsidR="0053114A" w:rsidRPr="0053114A">
          <w:rPr>
            <w:rFonts w:eastAsiaTheme="minorEastAsia"/>
            <w:noProof/>
            <w:szCs w:val="26"/>
          </w:rPr>
          <w:tab/>
        </w:r>
        <w:r w:rsidR="0053114A" w:rsidRPr="0053114A">
          <w:rPr>
            <w:rStyle w:val="Hyperlink"/>
            <w:noProof/>
            <w:szCs w:val="26"/>
          </w:rPr>
          <w:t>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_Toc346705441 \h </w:instrText>
        </w:r>
        <w:r w:rsidR="0053114A" w:rsidRPr="0053114A">
          <w:rPr>
            <w:noProof/>
            <w:webHidden/>
            <w:szCs w:val="26"/>
          </w:rPr>
        </w:r>
        <w:r w:rsidR="0053114A" w:rsidRPr="0053114A">
          <w:rPr>
            <w:noProof/>
            <w:webHidden/>
            <w:szCs w:val="26"/>
          </w:rPr>
          <w:fldChar w:fldCharType="separate"/>
        </w:r>
        <w:r w:rsidR="002A1B8B">
          <w:rPr>
            <w:noProof/>
            <w:webHidden/>
            <w:szCs w:val="26"/>
          </w:rPr>
          <w:t>194</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42" w:history="1">
        <w:r w:rsidR="0053114A" w:rsidRPr="0053114A">
          <w:rPr>
            <w:rStyle w:val="Hyperlink"/>
            <w:noProof/>
            <w:szCs w:val="26"/>
          </w:rPr>
          <w:t>f.</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_Toc346705442 \h </w:instrText>
        </w:r>
        <w:r w:rsidR="0053114A" w:rsidRPr="0053114A">
          <w:rPr>
            <w:noProof/>
            <w:webHidden/>
            <w:szCs w:val="26"/>
          </w:rPr>
        </w:r>
        <w:r w:rsidR="0053114A" w:rsidRPr="0053114A">
          <w:rPr>
            <w:noProof/>
            <w:webHidden/>
            <w:szCs w:val="26"/>
          </w:rPr>
          <w:fldChar w:fldCharType="separate"/>
        </w:r>
        <w:r w:rsidR="002A1B8B">
          <w:rPr>
            <w:noProof/>
            <w:webHidden/>
            <w:szCs w:val="26"/>
          </w:rPr>
          <w:t>195</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443" w:history="1">
        <w:r w:rsidR="0053114A" w:rsidRPr="0053114A">
          <w:rPr>
            <w:rStyle w:val="Hyperlink"/>
            <w:noProof/>
            <w:szCs w:val="26"/>
          </w:rPr>
          <w:t>7.</w:t>
        </w:r>
        <w:r w:rsidR="0053114A" w:rsidRPr="0053114A">
          <w:rPr>
            <w:rFonts w:eastAsiaTheme="minorEastAsia"/>
            <w:noProof/>
            <w:szCs w:val="26"/>
          </w:rPr>
          <w:tab/>
        </w:r>
        <w:r w:rsidR="0053114A" w:rsidRPr="0053114A">
          <w:rPr>
            <w:rStyle w:val="Hyperlink"/>
            <w:noProof/>
            <w:szCs w:val="26"/>
          </w:rPr>
          <w:t>Customer Status at the End of the RME Product</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_Toc346705443 \h </w:instrText>
        </w:r>
        <w:r w:rsidR="0053114A" w:rsidRPr="0053114A">
          <w:rPr>
            <w:noProof/>
            <w:webHidden/>
            <w:szCs w:val="26"/>
          </w:rPr>
        </w:r>
        <w:r w:rsidR="0053114A" w:rsidRPr="0053114A">
          <w:rPr>
            <w:noProof/>
            <w:webHidden/>
            <w:szCs w:val="26"/>
          </w:rPr>
          <w:fldChar w:fldCharType="separate"/>
        </w:r>
        <w:r w:rsidR="002A1B8B">
          <w:rPr>
            <w:noProof/>
            <w:webHidden/>
            <w:szCs w:val="26"/>
          </w:rPr>
          <w:t>196</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44" w:history="1">
        <w:r w:rsidR="0053114A" w:rsidRPr="0053114A">
          <w:rPr>
            <w:rStyle w:val="Hyperlink"/>
            <w:noProof/>
            <w:szCs w:val="26"/>
          </w:rPr>
          <w:t>a.</w:t>
        </w:r>
        <w:r w:rsidR="0053114A" w:rsidRPr="0053114A">
          <w:rPr>
            <w:rFonts w:eastAsiaTheme="minorEastAsia"/>
            <w:noProof/>
            <w:szCs w:val="26"/>
          </w:rPr>
          <w:tab/>
        </w:r>
        <w:r w:rsidR="0053114A" w:rsidRPr="0053114A">
          <w:rPr>
            <w:rStyle w:val="Hyperlink"/>
            <w:noProof/>
            <w:szCs w:val="26"/>
          </w:rPr>
          <w:t>Duquesne’s Proposal</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_Toc346705444 \h </w:instrText>
        </w:r>
        <w:r w:rsidR="0053114A" w:rsidRPr="0053114A">
          <w:rPr>
            <w:noProof/>
            <w:webHidden/>
            <w:szCs w:val="26"/>
          </w:rPr>
        </w:r>
        <w:r w:rsidR="0053114A" w:rsidRPr="0053114A">
          <w:rPr>
            <w:noProof/>
            <w:webHidden/>
            <w:szCs w:val="26"/>
          </w:rPr>
          <w:fldChar w:fldCharType="separate"/>
        </w:r>
        <w:r w:rsidR="002A1B8B">
          <w:rPr>
            <w:noProof/>
            <w:webHidden/>
            <w:szCs w:val="26"/>
          </w:rPr>
          <w:t>196</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45" w:history="1">
        <w:r w:rsidR="0053114A" w:rsidRPr="0053114A">
          <w:rPr>
            <w:rStyle w:val="Hyperlink"/>
            <w:noProof/>
            <w:szCs w:val="26"/>
          </w:rPr>
          <w:t>b.</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_Toc346705445 \h </w:instrText>
        </w:r>
        <w:r w:rsidR="0053114A" w:rsidRPr="0053114A">
          <w:rPr>
            <w:noProof/>
            <w:webHidden/>
            <w:szCs w:val="26"/>
          </w:rPr>
        </w:r>
        <w:r w:rsidR="0053114A" w:rsidRPr="0053114A">
          <w:rPr>
            <w:noProof/>
            <w:webHidden/>
            <w:szCs w:val="26"/>
          </w:rPr>
          <w:fldChar w:fldCharType="separate"/>
        </w:r>
        <w:r w:rsidR="002A1B8B">
          <w:rPr>
            <w:noProof/>
            <w:webHidden/>
            <w:szCs w:val="26"/>
          </w:rPr>
          <w:t>196</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46" w:history="1">
        <w:r w:rsidR="0053114A" w:rsidRPr="0053114A">
          <w:rPr>
            <w:rStyle w:val="Hyperlink"/>
            <w:noProof/>
            <w:szCs w:val="26"/>
          </w:rPr>
          <w:t>c.</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_Toc346705446 \h </w:instrText>
        </w:r>
        <w:r w:rsidR="0053114A" w:rsidRPr="0053114A">
          <w:rPr>
            <w:noProof/>
            <w:webHidden/>
            <w:szCs w:val="26"/>
          </w:rPr>
        </w:r>
        <w:r w:rsidR="0053114A" w:rsidRPr="0053114A">
          <w:rPr>
            <w:noProof/>
            <w:webHidden/>
            <w:szCs w:val="26"/>
          </w:rPr>
          <w:fldChar w:fldCharType="separate"/>
        </w:r>
        <w:r w:rsidR="002A1B8B">
          <w:rPr>
            <w:noProof/>
            <w:webHidden/>
            <w:szCs w:val="26"/>
          </w:rPr>
          <w:t>198</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47" w:history="1">
        <w:r w:rsidR="0053114A" w:rsidRPr="0053114A">
          <w:rPr>
            <w:rStyle w:val="Hyperlink"/>
            <w:noProof/>
            <w:szCs w:val="26"/>
          </w:rPr>
          <w:t>d.</w:t>
        </w:r>
        <w:r w:rsidR="0053114A" w:rsidRPr="0053114A">
          <w:rPr>
            <w:rFonts w:eastAsiaTheme="minorEastAsia"/>
            <w:noProof/>
            <w:szCs w:val="26"/>
          </w:rPr>
          <w:tab/>
        </w:r>
        <w:r w:rsidR="0053114A" w:rsidRPr="0053114A">
          <w:rPr>
            <w:rStyle w:val="Hyperlink"/>
            <w:noProof/>
            <w:szCs w:val="26"/>
          </w:rPr>
          <w:t>Exceptions and 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_Toc346705447 \h </w:instrText>
        </w:r>
        <w:r w:rsidR="0053114A" w:rsidRPr="0053114A">
          <w:rPr>
            <w:noProof/>
            <w:webHidden/>
            <w:szCs w:val="26"/>
          </w:rPr>
        </w:r>
        <w:r w:rsidR="0053114A" w:rsidRPr="0053114A">
          <w:rPr>
            <w:noProof/>
            <w:webHidden/>
            <w:szCs w:val="26"/>
          </w:rPr>
          <w:fldChar w:fldCharType="separate"/>
        </w:r>
        <w:r w:rsidR="002A1B8B">
          <w:rPr>
            <w:noProof/>
            <w:webHidden/>
            <w:szCs w:val="26"/>
          </w:rPr>
          <w:t>198</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48" w:history="1">
        <w:r w:rsidR="0053114A" w:rsidRPr="0053114A">
          <w:rPr>
            <w:rStyle w:val="Hyperlink"/>
            <w:noProof/>
            <w:szCs w:val="26"/>
          </w:rPr>
          <w:t>e.</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_Toc346705448 \h </w:instrText>
        </w:r>
        <w:r w:rsidR="0053114A" w:rsidRPr="0053114A">
          <w:rPr>
            <w:noProof/>
            <w:webHidden/>
            <w:szCs w:val="26"/>
          </w:rPr>
        </w:r>
        <w:r w:rsidR="0053114A" w:rsidRPr="0053114A">
          <w:rPr>
            <w:noProof/>
            <w:webHidden/>
            <w:szCs w:val="26"/>
          </w:rPr>
          <w:fldChar w:fldCharType="separate"/>
        </w:r>
        <w:r w:rsidR="002A1B8B">
          <w:rPr>
            <w:noProof/>
            <w:webHidden/>
            <w:szCs w:val="26"/>
          </w:rPr>
          <w:t>198</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449" w:history="1">
        <w:r w:rsidR="0053114A" w:rsidRPr="0053114A">
          <w:rPr>
            <w:rStyle w:val="Hyperlink"/>
            <w:noProof/>
            <w:szCs w:val="26"/>
          </w:rPr>
          <w:t>8.</w:t>
        </w:r>
        <w:r w:rsidR="0053114A" w:rsidRPr="0053114A">
          <w:rPr>
            <w:rFonts w:eastAsiaTheme="minorEastAsia"/>
            <w:noProof/>
            <w:szCs w:val="26"/>
          </w:rPr>
          <w:tab/>
        </w:r>
        <w:r w:rsidR="0053114A" w:rsidRPr="0053114A">
          <w:rPr>
            <w:rStyle w:val="Hyperlink"/>
            <w:noProof/>
            <w:szCs w:val="26"/>
          </w:rPr>
          <w:t>RESA’s Proposed Surcharge on Default Service</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_Toc346705449 \h </w:instrText>
        </w:r>
        <w:r w:rsidR="0053114A" w:rsidRPr="0053114A">
          <w:rPr>
            <w:noProof/>
            <w:webHidden/>
            <w:szCs w:val="26"/>
          </w:rPr>
        </w:r>
        <w:r w:rsidR="0053114A" w:rsidRPr="0053114A">
          <w:rPr>
            <w:noProof/>
            <w:webHidden/>
            <w:szCs w:val="26"/>
          </w:rPr>
          <w:fldChar w:fldCharType="separate"/>
        </w:r>
        <w:r w:rsidR="002A1B8B">
          <w:rPr>
            <w:noProof/>
            <w:webHidden/>
            <w:szCs w:val="26"/>
          </w:rPr>
          <w:t>199</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50" w:history="1">
        <w:r w:rsidR="0053114A" w:rsidRPr="0053114A">
          <w:rPr>
            <w:rStyle w:val="Hyperlink"/>
            <w:noProof/>
            <w:szCs w:val="26"/>
          </w:rPr>
          <w:t>a.</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_Toc346705450 \h </w:instrText>
        </w:r>
        <w:r w:rsidR="0053114A" w:rsidRPr="0053114A">
          <w:rPr>
            <w:noProof/>
            <w:webHidden/>
            <w:szCs w:val="26"/>
          </w:rPr>
        </w:r>
        <w:r w:rsidR="0053114A" w:rsidRPr="0053114A">
          <w:rPr>
            <w:noProof/>
            <w:webHidden/>
            <w:szCs w:val="26"/>
          </w:rPr>
          <w:fldChar w:fldCharType="separate"/>
        </w:r>
        <w:r w:rsidR="002A1B8B">
          <w:rPr>
            <w:noProof/>
            <w:webHidden/>
            <w:szCs w:val="26"/>
          </w:rPr>
          <w:t>199</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51" w:history="1">
        <w:r w:rsidR="0053114A" w:rsidRPr="0053114A">
          <w:rPr>
            <w:rStyle w:val="Hyperlink"/>
            <w:noProof/>
            <w:szCs w:val="26"/>
          </w:rPr>
          <w:t>b.</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_Toc346705451 \h </w:instrText>
        </w:r>
        <w:r w:rsidR="0053114A" w:rsidRPr="0053114A">
          <w:rPr>
            <w:noProof/>
            <w:webHidden/>
            <w:szCs w:val="26"/>
          </w:rPr>
        </w:r>
        <w:r w:rsidR="0053114A" w:rsidRPr="0053114A">
          <w:rPr>
            <w:noProof/>
            <w:webHidden/>
            <w:szCs w:val="26"/>
          </w:rPr>
          <w:fldChar w:fldCharType="separate"/>
        </w:r>
        <w:r w:rsidR="002A1B8B">
          <w:rPr>
            <w:noProof/>
            <w:webHidden/>
            <w:szCs w:val="26"/>
          </w:rPr>
          <w:t>202</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52" w:history="1">
        <w:r w:rsidR="0053114A" w:rsidRPr="0053114A">
          <w:rPr>
            <w:rStyle w:val="Hyperlink"/>
            <w:noProof/>
            <w:szCs w:val="26"/>
          </w:rPr>
          <w:t>c.</w:t>
        </w:r>
        <w:r w:rsidR="0053114A" w:rsidRPr="0053114A">
          <w:rPr>
            <w:rFonts w:eastAsiaTheme="minorEastAsia"/>
            <w:noProof/>
            <w:szCs w:val="26"/>
          </w:rPr>
          <w:tab/>
        </w:r>
        <w:r w:rsidR="0053114A" w:rsidRPr="0053114A">
          <w:rPr>
            <w:rStyle w:val="Hyperlink"/>
            <w:noProof/>
            <w:szCs w:val="26"/>
          </w:rPr>
          <w:t>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_Toc346705452 \h </w:instrText>
        </w:r>
        <w:r w:rsidR="0053114A" w:rsidRPr="0053114A">
          <w:rPr>
            <w:noProof/>
            <w:webHidden/>
            <w:szCs w:val="26"/>
          </w:rPr>
        </w:r>
        <w:r w:rsidR="0053114A" w:rsidRPr="0053114A">
          <w:rPr>
            <w:noProof/>
            <w:webHidden/>
            <w:szCs w:val="26"/>
          </w:rPr>
          <w:fldChar w:fldCharType="separate"/>
        </w:r>
        <w:r w:rsidR="002A1B8B">
          <w:rPr>
            <w:noProof/>
            <w:webHidden/>
            <w:szCs w:val="26"/>
          </w:rPr>
          <w:t>202</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53" w:history="1">
        <w:r w:rsidR="0053114A" w:rsidRPr="0053114A">
          <w:rPr>
            <w:rStyle w:val="Hyperlink"/>
            <w:noProof/>
            <w:szCs w:val="26"/>
          </w:rPr>
          <w:t>d.</w:t>
        </w:r>
        <w:r w:rsidR="0053114A" w:rsidRPr="0053114A">
          <w:rPr>
            <w:rFonts w:eastAsiaTheme="minorEastAsia"/>
            <w:noProof/>
            <w:szCs w:val="26"/>
          </w:rPr>
          <w:tab/>
        </w:r>
        <w:r w:rsidR="0053114A" w:rsidRPr="0053114A">
          <w:rPr>
            <w:rStyle w:val="Hyperlink"/>
            <w:noProof/>
            <w:szCs w:val="26"/>
          </w:rPr>
          <w:t>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_Toc346705453 \h </w:instrText>
        </w:r>
        <w:r w:rsidR="0053114A" w:rsidRPr="0053114A">
          <w:rPr>
            <w:noProof/>
            <w:webHidden/>
            <w:szCs w:val="26"/>
          </w:rPr>
        </w:r>
        <w:r w:rsidR="0053114A" w:rsidRPr="0053114A">
          <w:rPr>
            <w:noProof/>
            <w:webHidden/>
            <w:szCs w:val="26"/>
          </w:rPr>
          <w:fldChar w:fldCharType="separate"/>
        </w:r>
        <w:r w:rsidR="002A1B8B">
          <w:rPr>
            <w:noProof/>
            <w:webHidden/>
            <w:szCs w:val="26"/>
          </w:rPr>
          <w:t>202</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54" w:history="1">
        <w:r w:rsidR="0053114A" w:rsidRPr="0053114A">
          <w:rPr>
            <w:rStyle w:val="Hyperlink"/>
            <w:noProof/>
            <w:szCs w:val="26"/>
          </w:rPr>
          <w:t>e.</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_Toc346705454 \h </w:instrText>
        </w:r>
        <w:r w:rsidR="0053114A" w:rsidRPr="0053114A">
          <w:rPr>
            <w:noProof/>
            <w:webHidden/>
            <w:szCs w:val="26"/>
          </w:rPr>
        </w:r>
        <w:r w:rsidR="0053114A" w:rsidRPr="0053114A">
          <w:rPr>
            <w:noProof/>
            <w:webHidden/>
            <w:szCs w:val="26"/>
          </w:rPr>
          <w:fldChar w:fldCharType="separate"/>
        </w:r>
        <w:r w:rsidR="002A1B8B">
          <w:rPr>
            <w:noProof/>
            <w:webHidden/>
            <w:szCs w:val="26"/>
          </w:rPr>
          <w:t>205</w:t>
        </w:r>
        <w:r w:rsidR="0053114A" w:rsidRPr="0053114A">
          <w:rPr>
            <w:noProof/>
            <w:webHidden/>
            <w:szCs w:val="26"/>
          </w:rPr>
          <w:fldChar w:fldCharType="end"/>
        </w:r>
      </w:hyperlink>
    </w:p>
    <w:p w:rsidR="0053114A" w:rsidRPr="0053114A" w:rsidRDefault="0016142D" w:rsidP="0053114A">
      <w:pPr>
        <w:pStyle w:val="TOC2"/>
        <w:tabs>
          <w:tab w:val="left" w:pos="1440"/>
          <w:tab w:val="right" w:leader="dot" w:pos="9350"/>
        </w:tabs>
        <w:spacing w:line="360" w:lineRule="auto"/>
        <w:rPr>
          <w:rFonts w:eastAsiaTheme="minorEastAsia"/>
          <w:noProof/>
          <w:szCs w:val="26"/>
        </w:rPr>
      </w:pPr>
      <w:hyperlink w:anchor="_Toc346705455" w:history="1">
        <w:r w:rsidR="00D64891">
          <w:rPr>
            <w:rStyle w:val="Hyperlink"/>
            <w:noProof/>
            <w:szCs w:val="26"/>
          </w:rPr>
          <w:t>E</w:t>
        </w:r>
        <w:r w:rsidR="0053114A" w:rsidRPr="0053114A">
          <w:rPr>
            <w:rStyle w:val="Hyperlink"/>
            <w:noProof/>
            <w:szCs w:val="26"/>
          </w:rPr>
          <w:t>.</w:t>
        </w:r>
        <w:r w:rsidR="0053114A" w:rsidRPr="0053114A">
          <w:rPr>
            <w:rFonts w:eastAsiaTheme="minorEastAsia"/>
            <w:noProof/>
            <w:szCs w:val="26"/>
          </w:rPr>
          <w:tab/>
        </w:r>
        <w:r w:rsidR="0053114A" w:rsidRPr="0053114A">
          <w:rPr>
            <w:rStyle w:val="Hyperlink"/>
            <w:noProof/>
            <w:szCs w:val="26"/>
          </w:rPr>
          <w:t>Rate Design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_Toc346705455 \h </w:instrText>
        </w:r>
        <w:r w:rsidR="0053114A" w:rsidRPr="0053114A">
          <w:rPr>
            <w:noProof/>
            <w:webHidden/>
            <w:szCs w:val="26"/>
          </w:rPr>
        </w:r>
        <w:r w:rsidR="0053114A" w:rsidRPr="0053114A">
          <w:rPr>
            <w:noProof/>
            <w:webHidden/>
            <w:szCs w:val="26"/>
          </w:rPr>
          <w:fldChar w:fldCharType="separate"/>
        </w:r>
        <w:r w:rsidR="002A1B8B">
          <w:rPr>
            <w:noProof/>
            <w:webHidden/>
            <w:szCs w:val="26"/>
          </w:rPr>
          <w:t>205</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456" w:history="1">
        <w:r w:rsidR="0053114A" w:rsidRPr="0053114A">
          <w:rPr>
            <w:rStyle w:val="Hyperlink"/>
            <w:noProof/>
            <w:szCs w:val="26"/>
          </w:rPr>
          <w:t>1.</w:t>
        </w:r>
        <w:r w:rsidR="0053114A" w:rsidRPr="0053114A">
          <w:rPr>
            <w:rFonts w:eastAsiaTheme="minorEastAsia"/>
            <w:noProof/>
            <w:szCs w:val="26"/>
          </w:rPr>
          <w:tab/>
        </w:r>
        <w:r w:rsidR="0053114A" w:rsidRPr="0053114A">
          <w:rPr>
            <w:rStyle w:val="Hyperlink"/>
            <w:noProof/>
            <w:szCs w:val="26"/>
          </w:rPr>
          <w:t>Reconciliation Issues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_Toc346705456 \h </w:instrText>
        </w:r>
        <w:r w:rsidR="0053114A" w:rsidRPr="0053114A">
          <w:rPr>
            <w:noProof/>
            <w:webHidden/>
            <w:szCs w:val="26"/>
          </w:rPr>
        </w:r>
        <w:r w:rsidR="0053114A" w:rsidRPr="0053114A">
          <w:rPr>
            <w:noProof/>
            <w:webHidden/>
            <w:szCs w:val="26"/>
          </w:rPr>
          <w:fldChar w:fldCharType="separate"/>
        </w:r>
        <w:r w:rsidR="002A1B8B">
          <w:rPr>
            <w:noProof/>
            <w:webHidden/>
            <w:szCs w:val="26"/>
          </w:rPr>
          <w:t>205</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57" w:history="1">
        <w:r w:rsidR="0053114A" w:rsidRPr="0053114A">
          <w:rPr>
            <w:rStyle w:val="Hyperlink"/>
            <w:noProof/>
            <w:szCs w:val="26"/>
          </w:rPr>
          <w:t>a.</w:t>
        </w:r>
        <w:r w:rsidR="0053114A" w:rsidRPr="0053114A">
          <w:rPr>
            <w:rFonts w:eastAsiaTheme="minorEastAsia"/>
            <w:noProof/>
            <w:szCs w:val="26"/>
          </w:rPr>
          <w:tab/>
        </w:r>
        <w:r w:rsidR="0053114A" w:rsidRPr="0053114A">
          <w:rPr>
            <w:rStyle w:val="Hyperlink"/>
            <w:noProof/>
            <w:szCs w:val="26"/>
          </w:rPr>
          <w:t>Duquesne’s Proposal</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_Toc346705457 \h </w:instrText>
        </w:r>
        <w:r w:rsidR="0053114A" w:rsidRPr="0053114A">
          <w:rPr>
            <w:noProof/>
            <w:webHidden/>
            <w:szCs w:val="26"/>
          </w:rPr>
        </w:r>
        <w:r w:rsidR="0053114A" w:rsidRPr="0053114A">
          <w:rPr>
            <w:noProof/>
            <w:webHidden/>
            <w:szCs w:val="26"/>
          </w:rPr>
          <w:fldChar w:fldCharType="separate"/>
        </w:r>
        <w:r w:rsidR="002A1B8B">
          <w:rPr>
            <w:noProof/>
            <w:webHidden/>
            <w:szCs w:val="26"/>
          </w:rPr>
          <w:t>205</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58" w:history="1">
        <w:r w:rsidR="0053114A" w:rsidRPr="0053114A">
          <w:rPr>
            <w:rStyle w:val="Hyperlink"/>
            <w:noProof/>
            <w:szCs w:val="26"/>
          </w:rPr>
          <w:t>b.</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_Toc346705458 \h </w:instrText>
        </w:r>
        <w:r w:rsidR="0053114A" w:rsidRPr="0053114A">
          <w:rPr>
            <w:noProof/>
            <w:webHidden/>
            <w:szCs w:val="26"/>
          </w:rPr>
        </w:r>
        <w:r w:rsidR="0053114A" w:rsidRPr="0053114A">
          <w:rPr>
            <w:noProof/>
            <w:webHidden/>
            <w:szCs w:val="26"/>
          </w:rPr>
          <w:fldChar w:fldCharType="separate"/>
        </w:r>
        <w:r w:rsidR="002A1B8B">
          <w:rPr>
            <w:noProof/>
            <w:webHidden/>
            <w:szCs w:val="26"/>
          </w:rPr>
          <w:t>206</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59" w:history="1">
        <w:r w:rsidR="0053114A" w:rsidRPr="0053114A">
          <w:rPr>
            <w:rStyle w:val="Hyperlink"/>
            <w:noProof/>
            <w:szCs w:val="26"/>
          </w:rPr>
          <w:t>c.</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_Toc346705459 \h </w:instrText>
        </w:r>
        <w:r w:rsidR="0053114A" w:rsidRPr="0053114A">
          <w:rPr>
            <w:noProof/>
            <w:webHidden/>
            <w:szCs w:val="26"/>
          </w:rPr>
        </w:r>
        <w:r w:rsidR="0053114A" w:rsidRPr="0053114A">
          <w:rPr>
            <w:noProof/>
            <w:webHidden/>
            <w:szCs w:val="26"/>
          </w:rPr>
          <w:fldChar w:fldCharType="separate"/>
        </w:r>
        <w:r w:rsidR="002A1B8B">
          <w:rPr>
            <w:noProof/>
            <w:webHidden/>
            <w:szCs w:val="26"/>
          </w:rPr>
          <w:t>207</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60" w:history="1">
        <w:r w:rsidR="0053114A" w:rsidRPr="0053114A">
          <w:rPr>
            <w:rStyle w:val="Hyperlink"/>
            <w:noProof/>
            <w:szCs w:val="26"/>
          </w:rPr>
          <w:t>d.</w:t>
        </w:r>
        <w:r w:rsidR="0053114A" w:rsidRPr="0053114A">
          <w:rPr>
            <w:rFonts w:eastAsiaTheme="minorEastAsia"/>
            <w:noProof/>
            <w:szCs w:val="26"/>
          </w:rPr>
          <w:tab/>
        </w:r>
        <w:r w:rsidR="0053114A" w:rsidRPr="0053114A">
          <w:rPr>
            <w:rStyle w:val="Hyperlink"/>
            <w:noProof/>
            <w:szCs w:val="26"/>
          </w:rPr>
          <w:t>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_Toc346705460 \h </w:instrText>
        </w:r>
        <w:r w:rsidR="0053114A" w:rsidRPr="0053114A">
          <w:rPr>
            <w:noProof/>
            <w:webHidden/>
            <w:szCs w:val="26"/>
          </w:rPr>
        </w:r>
        <w:r w:rsidR="0053114A" w:rsidRPr="0053114A">
          <w:rPr>
            <w:noProof/>
            <w:webHidden/>
            <w:szCs w:val="26"/>
          </w:rPr>
          <w:fldChar w:fldCharType="separate"/>
        </w:r>
        <w:r w:rsidR="002A1B8B">
          <w:rPr>
            <w:noProof/>
            <w:webHidden/>
            <w:szCs w:val="26"/>
          </w:rPr>
          <w:t>207</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61" w:history="1">
        <w:r w:rsidR="0053114A" w:rsidRPr="0053114A">
          <w:rPr>
            <w:rStyle w:val="Hyperlink"/>
            <w:noProof/>
            <w:szCs w:val="26"/>
          </w:rPr>
          <w:t>e.</w:t>
        </w:r>
        <w:r w:rsidR="0053114A" w:rsidRPr="0053114A">
          <w:rPr>
            <w:rFonts w:eastAsiaTheme="minorEastAsia"/>
            <w:noProof/>
            <w:szCs w:val="26"/>
          </w:rPr>
          <w:tab/>
        </w:r>
        <w:r w:rsidR="0053114A" w:rsidRPr="0053114A">
          <w:rPr>
            <w:rStyle w:val="Hyperlink"/>
            <w:noProof/>
            <w:szCs w:val="26"/>
          </w:rPr>
          <w:t>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_Toc346705461 \h </w:instrText>
        </w:r>
        <w:r w:rsidR="0053114A" w:rsidRPr="0053114A">
          <w:rPr>
            <w:noProof/>
            <w:webHidden/>
            <w:szCs w:val="26"/>
          </w:rPr>
        </w:r>
        <w:r w:rsidR="0053114A" w:rsidRPr="0053114A">
          <w:rPr>
            <w:noProof/>
            <w:webHidden/>
            <w:szCs w:val="26"/>
          </w:rPr>
          <w:fldChar w:fldCharType="separate"/>
        </w:r>
        <w:r w:rsidR="002A1B8B">
          <w:rPr>
            <w:noProof/>
            <w:webHidden/>
            <w:szCs w:val="26"/>
          </w:rPr>
          <w:t>208</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62" w:history="1">
        <w:r w:rsidR="0053114A" w:rsidRPr="0053114A">
          <w:rPr>
            <w:rStyle w:val="Hyperlink"/>
            <w:noProof/>
            <w:szCs w:val="26"/>
          </w:rPr>
          <w:t>f.</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_Toc346705462 \h </w:instrText>
        </w:r>
        <w:r w:rsidR="0053114A" w:rsidRPr="0053114A">
          <w:rPr>
            <w:noProof/>
            <w:webHidden/>
            <w:szCs w:val="26"/>
          </w:rPr>
        </w:r>
        <w:r w:rsidR="0053114A" w:rsidRPr="0053114A">
          <w:rPr>
            <w:noProof/>
            <w:webHidden/>
            <w:szCs w:val="26"/>
          </w:rPr>
          <w:fldChar w:fldCharType="separate"/>
        </w:r>
        <w:r w:rsidR="002A1B8B">
          <w:rPr>
            <w:noProof/>
            <w:webHidden/>
            <w:szCs w:val="26"/>
          </w:rPr>
          <w:t>209</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463" w:history="1">
        <w:r w:rsidR="0053114A" w:rsidRPr="0053114A">
          <w:rPr>
            <w:rStyle w:val="Hyperlink"/>
            <w:noProof/>
            <w:szCs w:val="26"/>
          </w:rPr>
          <w:t>2.</w:t>
        </w:r>
        <w:r w:rsidR="0053114A" w:rsidRPr="0053114A">
          <w:rPr>
            <w:rFonts w:eastAsiaTheme="minorEastAsia"/>
            <w:noProof/>
            <w:szCs w:val="26"/>
          </w:rPr>
          <w:tab/>
        </w:r>
        <w:r w:rsidR="0053114A" w:rsidRPr="0053114A">
          <w:rPr>
            <w:rStyle w:val="Hyperlink"/>
            <w:noProof/>
            <w:szCs w:val="26"/>
          </w:rPr>
          <w:t>Price to Compare Calculation Date</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_Toc346705463 \h </w:instrText>
        </w:r>
        <w:r w:rsidR="0053114A" w:rsidRPr="0053114A">
          <w:rPr>
            <w:noProof/>
            <w:webHidden/>
            <w:szCs w:val="26"/>
          </w:rPr>
        </w:r>
        <w:r w:rsidR="0053114A" w:rsidRPr="0053114A">
          <w:rPr>
            <w:noProof/>
            <w:webHidden/>
            <w:szCs w:val="26"/>
          </w:rPr>
          <w:fldChar w:fldCharType="separate"/>
        </w:r>
        <w:r w:rsidR="002A1B8B">
          <w:rPr>
            <w:noProof/>
            <w:webHidden/>
            <w:szCs w:val="26"/>
          </w:rPr>
          <w:t>210</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64" w:history="1">
        <w:r w:rsidR="0053114A" w:rsidRPr="0053114A">
          <w:rPr>
            <w:rStyle w:val="Hyperlink"/>
            <w:noProof/>
            <w:szCs w:val="26"/>
          </w:rPr>
          <w:t>a.</w:t>
        </w:r>
        <w:r w:rsidR="0053114A" w:rsidRPr="0053114A">
          <w:rPr>
            <w:rFonts w:eastAsiaTheme="minorEastAsia"/>
            <w:noProof/>
            <w:szCs w:val="26"/>
          </w:rPr>
          <w:tab/>
        </w:r>
        <w:r w:rsidR="0053114A" w:rsidRPr="0053114A">
          <w:rPr>
            <w:rStyle w:val="Hyperlink"/>
            <w:noProof/>
            <w:szCs w:val="26"/>
          </w:rPr>
          <w:t>Duquesne’s Proposal</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_Toc346705464 \h </w:instrText>
        </w:r>
        <w:r w:rsidR="0053114A" w:rsidRPr="0053114A">
          <w:rPr>
            <w:noProof/>
            <w:webHidden/>
            <w:szCs w:val="26"/>
          </w:rPr>
        </w:r>
        <w:r w:rsidR="0053114A" w:rsidRPr="0053114A">
          <w:rPr>
            <w:noProof/>
            <w:webHidden/>
            <w:szCs w:val="26"/>
          </w:rPr>
          <w:fldChar w:fldCharType="separate"/>
        </w:r>
        <w:r w:rsidR="002A1B8B">
          <w:rPr>
            <w:noProof/>
            <w:webHidden/>
            <w:szCs w:val="26"/>
          </w:rPr>
          <w:t>210</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65" w:history="1">
        <w:r w:rsidR="0053114A" w:rsidRPr="0053114A">
          <w:rPr>
            <w:rStyle w:val="Hyperlink"/>
            <w:noProof/>
            <w:szCs w:val="26"/>
          </w:rPr>
          <w:t>b.</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_Toc346705465 \h </w:instrText>
        </w:r>
        <w:r w:rsidR="0053114A" w:rsidRPr="0053114A">
          <w:rPr>
            <w:noProof/>
            <w:webHidden/>
            <w:szCs w:val="26"/>
          </w:rPr>
        </w:r>
        <w:r w:rsidR="0053114A" w:rsidRPr="0053114A">
          <w:rPr>
            <w:noProof/>
            <w:webHidden/>
            <w:szCs w:val="26"/>
          </w:rPr>
          <w:fldChar w:fldCharType="separate"/>
        </w:r>
        <w:r w:rsidR="002A1B8B">
          <w:rPr>
            <w:noProof/>
            <w:webHidden/>
            <w:szCs w:val="26"/>
          </w:rPr>
          <w:t>211</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66" w:history="1">
        <w:r w:rsidR="0053114A" w:rsidRPr="0053114A">
          <w:rPr>
            <w:rStyle w:val="Hyperlink"/>
            <w:noProof/>
            <w:szCs w:val="26"/>
          </w:rPr>
          <w:t>c.</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_Toc346705466 \h </w:instrText>
        </w:r>
        <w:r w:rsidR="0053114A" w:rsidRPr="0053114A">
          <w:rPr>
            <w:noProof/>
            <w:webHidden/>
            <w:szCs w:val="26"/>
          </w:rPr>
        </w:r>
        <w:r w:rsidR="0053114A" w:rsidRPr="0053114A">
          <w:rPr>
            <w:noProof/>
            <w:webHidden/>
            <w:szCs w:val="26"/>
          </w:rPr>
          <w:fldChar w:fldCharType="separate"/>
        </w:r>
        <w:r w:rsidR="002A1B8B">
          <w:rPr>
            <w:noProof/>
            <w:webHidden/>
            <w:szCs w:val="26"/>
          </w:rPr>
          <w:t>212</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67" w:history="1">
        <w:r w:rsidR="0053114A" w:rsidRPr="0053114A">
          <w:rPr>
            <w:rStyle w:val="Hyperlink"/>
            <w:noProof/>
            <w:szCs w:val="26"/>
          </w:rPr>
          <w:t>d.</w:t>
        </w:r>
        <w:r w:rsidR="0053114A" w:rsidRPr="0053114A">
          <w:rPr>
            <w:rFonts w:eastAsiaTheme="minorEastAsia"/>
            <w:noProof/>
            <w:szCs w:val="26"/>
          </w:rPr>
          <w:tab/>
        </w:r>
        <w:r w:rsidR="0053114A" w:rsidRPr="0053114A">
          <w:rPr>
            <w:rStyle w:val="Hyperlink"/>
            <w:noProof/>
            <w:szCs w:val="26"/>
          </w:rPr>
          <w:t>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_Toc346705467 \h </w:instrText>
        </w:r>
        <w:r w:rsidR="0053114A" w:rsidRPr="0053114A">
          <w:rPr>
            <w:noProof/>
            <w:webHidden/>
            <w:szCs w:val="26"/>
          </w:rPr>
        </w:r>
        <w:r w:rsidR="0053114A" w:rsidRPr="0053114A">
          <w:rPr>
            <w:noProof/>
            <w:webHidden/>
            <w:szCs w:val="26"/>
          </w:rPr>
          <w:fldChar w:fldCharType="separate"/>
        </w:r>
        <w:r w:rsidR="002A1B8B">
          <w:rPr>
            <w:noProof/>
            <w:webHidden/>
            <w:szCs w:val="26"/>
          </w:rPr>
          <w:t>212</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68" w:history="1">
        <w:r w:rsidR="0053114A" w:rsidRPr="0053114A">
          <w:rPr>
            <w:rStyle w:val="Hyperlink"/>
            <w:noProof/>
            <w:szCs w:val="26"/>
          </w:rPr>
          <w:t>e.</w:t>
        </w:r>
        <w:r w:rsidR="0053114A" w:rsidRPr="0053114A">
          <w:rPr>
            <w:rFonts w:eastAsiaTheme="minorEastAsia"/>
            <w:noProof/>
            <w:szCs w:val="26"/>
          </w:rPr>
          <w:tab/>
        </w:r>
        <w:r w:rsidR="0053114A" w:rsidRPr="0053114A">
          <w:rPr>
            <w:rStyle w:val="Hyperlink"/>
            <w:noProof/>
            <w:szCs w:val="26"/>
          </w:rPr>
          <w:t>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_Toc346705468 \h </w:instrText>
        </w:r>
        <w:r w:rsidR="0053114A" w:rsidRPr="0053114A">
          <w:rPr>
            <w:noProof/>
            <w:webHidden/>
            <w:szCs w:val="26"/>
          </w:rPr>
        </w:r>
        <w:r w:rsidR="0053114A" w:rsidRPr="0053114A">
          <w:rPr>
            <w:noProof/>
            <w:webHidden/>
            <w:szCs w:val="26"/>
          </w:rPr>
          <w:fldChar w:fldCharType="separate"/>
        </w:r>
        <w:r w:rsidR="002A1B8B">
          <w:rPr>
            <w:noProof/>
            <w:webHidden/>
            <w:szCs w:val="26"/>
          </w:rPr>
          <w:t>213</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69" w:history="1">
        <w:r w:rsidR="0053114A" w:rsidRPr="0053114A">
          <w:rPr>
            <w:rStyle w:val="Hyperlink"/>
            <w:noProof/>
            <w:szCs w:val="26"/>
          </w:rPr>
          <w:t>f.</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_Toc346705469 \h </w:instrText>
        </w:r>
        <w:r w:rsidR="0053114A" w:rsidRPr="0053114A">
          <w:rPr>
            <w:noProof/>
            <w:webHidden/>
            <w:szCs w:val="26"/>
          </w:rPr>
        </w:r>
        <w:r w:rsidR="0053114A" w:rsidRPr="0053114A">
          <w:rPr>
            <w:noProof/>
            <w:webHidden/>
            <w:szCs w:val="26"/>
          </w:rPr>
          <w:fldChar w:fldCharType="separate"/>
        </w:r>
        <w:r w:rsidR="002A1B8B">
          <w:rPr>
            <w:noProof/>
            <w:webHidden/>
            <w:szCs w:val="26"/>
          </w:rPr>
          <w:t>214</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470" w:history="1">
        <w:r w:rsidR="0053114A" w:rsidRPr="0053114A">
          <w:rPr>
            <w:rStyle w:val="Hyperlink"/>
            <w:noProof/>
            <w:szCs w:val="26"/>
          </w:rPr>
          <w:t>3.</w:t>
        </w:r>
        <w:r w:rsidR="0053114A" w:rsidRPr="0053114A">
          <w:rPr>
            <w:rFonts w:eastAsiaTheme="minorEastAsia"/>
            <w:noProof/>
            <w:szCs w:val="26"/>
          </w:rPr>
          <w:tab/>
        </w:r>
        <w:r w:rsidR="0053114A" w:rsidRPr="0053114A">
          <w:rPr>
            <w:rStyle w:val="Hyperlink"/>
            <w:noProof/>
            <w:szCs w:val="26"/>
          </w:rPr>
          <w:t>Non-Bypassable Charge to Recover PJM Charges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_Toc346705470 \h </w:instrText>
        </w:r>
        <w:r w:rsidR="0053114A" w:rsidRPr="0053114A">
          <w:rPr>
            <w:noProof/>
            <w:webHidden/>
            <w:szCs w:val="26"/>
          </w:rPr>
        </w:r>
        <w:r w:rsidR="0053114A" w:rsidRPr="0053114A">
          <w:rPr>
            <w:noProof/>
            <w:webHidden/>
            <w:szCs w:val="26"/>
          </w:rPr>
          <w:fldChar w:fldCharType="separate"/>
        </w:r>
        <w:r w:rsidR="002A1B8B">
          <w:rPr>
            <w:noProof/>
            <w:webHidden/>
            <w:szCs w:val="26"/>
          </w:rPr>
          <w:t>214</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71" w:history="1">
        <w:r w:rsidR="0053114A" w:rsidRPr="0053114A">
          <w:rPr>
            <w:rStyle w:val="Hyperlink"/>
            <w:noProof/>
            <w:szCs w:val="26"/>
          </w:rPr>
          <w:t>a.</w:t>
        </w:r>
        <w:r w:rsidR="0053114A" w:rsidRPr="0053114A">
          <w:rPr>
            <w:rFonts w:eastAsiaTheme="minorEastAsia"/>
            <w:noProof/>
            <w:szCs w:val="26"/>
          </w:rPr>
          <w:tab/>
        </w:r>
        <w:r w:rsidR="0053114A" w:rsidRPr="0053114A">
          <w:rPr>
            <w:rStyle w:val="Hyperlink"/>
            <w:noProof/>
            <w:szCs w:val="26"/>
          </w:rPr>
          <w:t>Duquesne’s Proposal</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_Toc346705471 \h </w:instrText>
        </w:r>
        <w:r w:rsidR="0053114A" w:rsidRPr="0053114A">
          <w:rPr>
            <w:noProof/>
            <w:webHidden/>
            <w:szCs w:val="26"/>
          </w:rPr>
        </w:r>
        <w:r w:rsidR="0053114A" w:rsidRPr="0053114A">
          <w:rPr>
            <w:noProof/>
            <w:webHidden/>
            <w:szCs w:val="26"/>
          </w:rPr>
          <w:fldChar w:fldCharType="separate"/>
        </w:r>
        <w:r w:rsidR="002A1B8B">
          <w:rPr>
            <w:noProof/>
            <w:webHidden/>
            <w:szCs w:val="26"/>
          </w:rPr>
          <w:t>214</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72" w:history="1">
        <w:r w:rsidR="0053114A" w:rsidRPr="0053114A">
          <w:rPr>
            <w:rStyle w:val="Hyperlink"/>
            <w:noProof/>
            <w:szCs w:val="26"/>
          </w:rPr>
          <w:t>b.</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_Toc346705472 \h </w:instrText>
        </w:r>
        <w:r w:rsidR="0053114A" w:rsidRPr="0053114A">
          <w:rPr>
            <w:noProof/>
            <w:webHidden/>
            <w:szCs w:val="26"/>
          </w:rPr>
        </w:r>
        <w:r w:rsidR="0053114A" w:rsidRPr="0053114A">
          <w:rPr>
            <w:noProof/>
            <w:webHidden/>
            <w:szCs w:val="26"/>
          </w:rPr>
          <w:fldChar w:fldCharType="separate"/>
        </w:r>
        <w:r w:rsidR="002A1B8B">
          <w:rPr>
            <w:noProof/>
            <w:webHidden/>
            <w:szCs w:val="26"/>
          </w:rPr>
          <w:t>215</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73" w:history="1">
        <w:r w:rsidR="0053114A" w:rsidRPr="0053114A">
          <w:rPr>
            <w:rStyle w:val="Hyperlink"/>
            <w:noProof/>
            <w:szCs w:val="26"/>
          </w:rPr>
          <w:t>c.</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_Toc346705473 \h </w:instrText>
        </w:r>
        <w:r w:rsidR="0053114A" w:rsidRPr="0053114A">
          <w:rPr>
            <w:noProof/>
            <w:webHidden/>
            <w:szCs w:val="26"/>
          </w:rPr>
        </w:r>
        <w:r w:rsidR="0053114A" w:rsidRPr="0053114A">
          <w:rPr>
            <w:noProof/>
            <w:webHidden/>
            <w:szCs w:val="26"/>
          </w:rPr>
          <w:fldChar w:fldCharType="separate"/>
        </w:r>
        <w:r w:rsidR="002A1B8B">
          <w:rPr>
            <w:noProof/>
            <w:webHidden/>
            <w:szCs w:val="26"/>
          </w:rPr>
          <w:t>219</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74" w:history="1">
        <w:r w:rsidR="0053114A" w:rsidRPr="0053114A">
          <w:rPr>
            <w:rStyle w:val="Hyperlink"/>
            <w:noProof/>
            <w:szCs w:val="26"/>
          </w:rPr>
          <w:t>d.</w:t>
        </w:r>
        <w:r w:rsidR="0053114A" w:rsidRPr="0053114A">
          <w:rPr>
            <w:rFonts w:eastAsiaTheme="minorEastAsia"/>
            <w:noProof/>
            <w:szCs w:val="26"/>
          </w:rPr>
          <w:tab/>
        </w:r>
        <w:r w:rsidR="0053114A" w:rsidRPr="0053114A">
          <w:rPr>
            <w:rStyle w:val="Hyperlink"/>
            <w:noProof/>
            <w:szCs w:val="26"/>
          </w:rPr>
          <w:t>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_Toc346705474 \h </w:instrText>
        </w:r>
        <w:r w:rsidR="0053114A" w:rsidRPr="0053114A">
          <w:rPr>
            <w:noProof/>
            <w:webHidden/>
            <w:szCs w:val="26"/>
          </w:rPr>
        </w:r>
        <w:r w:rsidR="0053114A" w:rsidRPr="0053114A">
          <w:rPr>
            <w:noProof/>
            <w:webHidden/>
            <w:szCs w:val="26"/>
          </w:rPr>
          <w:fldChar w:fldCharType="separate"/>
        </w:r>
        <w:r w:rsidR="002A1B8B">
          <w:rPr>
            <w:noProof/>
            <w:webHidden/>
            <w:szCs w:val="26"/>
          </w:rPr>
          <w:t>220</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75" w:history="1">
        <w:r w:rsidR="0053114A" w:rsidRPr="0053114A">
          <w:rPr>
            <w:rStyle w:val="Hyperlink"/>
            <w:noProof/>
            <w:szCs w:val="26"/>
          </w:rPr>
          <w:t>e.</w:t>
        </w:r>
        <w:r w:rsidR="0053114A" w:rsidRPr="0053114A">
          <w:rPr>
            <w:rFonts w:eastAsiaTheme="minorEastAsia"/>
            <w:noProof/>
            <w:szCs w:val="26"/>
          </w:rPr>
          <w:tab/>
        </w:r>
        <w:r w:rsidR="0053114A" w:rsidRPr="0053114A">
          <w:rPr>
            <w:rStyle w:val="Hyperlink"/>
            <w:noProof/>
            <w:szCs w:val="26"/>
          </w:rPr>
          <w:t>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_Toc346705475 \h </w:instrText>
        </w:r>
        <w:r w:rsidR="0053114A" w:rsidRPr="0053114A">
          <w:rPr>
            <w:noProof/>
            <w:webHidden/>
            <w:szCs w:val="26"/>
          </w:rPr>
        </w:r>
        <w:r w:rsidR="0053114A" w:rsidRPr="0053114A">
          <w:rPr>
            <w:noProof/>
            <w:webHidden/>
            <w:szCs w:val="26"/>
          </w:rPr>
          <w:fldChar w:fldCharType="separate"/>
        </w:r>
        <w:r w:rsidR="002A1B8B">
          <w:rPr>
            <w:noProof/>
            <w:webHidden/>
            <w:szCs w:val="26"/>
          </w:rPr>
          <w:t>220</w:t>
        </w:r>
        <w:r w:rsidR="0053114A" w:rsidRPr="0053114A">
          <w:rPr>
            <w:noProof/>
            <w:webHidden/>
            <w:szCs w:val="26"/>
          </w:rPr>
          <w:fldChar w:fldCharType="end"/>
        </w:r>
      </w:hyperlink>
    </w:p>
    <w:p w:rsidR="0053114A" w:rsidRPr="0053114A" w:rsidRDefault="0016142D" w:rsidP="0053114A">
      <w:pPr>
        <w:pStyle w:val="TOC4"/>
        <w:tabs>
          <w:tab w:val="left" w:pos="2880"/>
          <w:tab w:val="right" w:leader="dot" w:pos="9350"/>
        </w:tabs>
        <w:spacing w:line="360" w:lineRule="auto"/>
        <w:rPr>
          <w:rFonts w:eastAsiaTheme="minorEastAsia"/>
          <w:noProof/>
          <w:szCs w:val="26"/>
        </w:rPr>
      </w:pPr>
      <w:hyperlink w:anchor="_Toc346705476" w:history="1">
        <w:r w:rsidR="0053114A" w:rsidRPr="0053114A">
          <w:rPr>
            <w:rStyle w:val="Hyperlink"/>
            <w:noProof/>
            <w:szCs w:val="26"/>
          </w:rPr>
          <w:t>f.</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_Toc346705476 \h </w:instrText>
        </w:r>
        <w:r w:rsidR="0053114A" w:rsidRPr="0053114A">
          <w:rPr>
            <w:noProof/>
            <w:webHidden/>
            <w:szCs w:val="26"/>
          </w:rPr>
        </w:r>
        <w:r w:rsidR="0053114A" w:rsidRPr="0053114A">
          <w:rPr>
            <w:noProof/>
            <w:webHidden/>
            <w:szCs w:val="26"/>
          </w:rPr>
          <w:fldChar w:fldCharType="separate"/>
        </w:r>
        <w:r w:rsidR="002A1B8B">
          <w:rPr>
            <w:noProof/>
            <w:webHidden/>
            <w:szCs w:val="26"/>
          </w:rPr>
          <w:t>221</w:t>
        </w:r>
        <w:r w:rsidR="0053114A" w:rsidRPr="0053114A">
          <w:rPr>
            <w:noProof/>
            <w:webHidden/>
            <w:szCs w:val="26"/>
          </w:rPr>
          <w:fldChar w:fldCharType="end"/>
        </w:r>
      </w:hyperlink>
    </w:p>
    <w:p w:rsidR="0053114A" w:rsidRPr="0053114A" w:rsidRDefault="0016142D" w:rsidP="0053114A">
      <w:pPr>
        <w:pStyle w:val="TOC2"/>
        <w:tabs>
          <w:tab w:val="left" w:pos="1440"/>
          <w:tab w:val="right" w:leader="dot" w:pos="9350"/>
        </w:tabs>
        <w:spacing w:line="360" w:lineRule="auto"/>
        <w:rPr>
          <w:rFonts w:eastAsiaTheme="minorEastAsia"/>
          <w:noProof/>
          <w:szCs w:val="26"/>
        </w:rPr>
      </w:pPr>
      <w:hyperlink w:anchor="_Toc346705477" w:history="1">
        <w:r w:rsidR="00D64891">
          <w:rPr>
            <w:rStyle w:val="Hyperlink"/>
            <w:noProof/>
            <w:szCs w:val="26"/>
          </w:rPr>
          <w:t>F</w:t>
        </w:r>
        <w:r w:rsidR="0053114A" w:rsidRPr="0053114A">
          <w:rPr>
            <w:rStyle w:val="Hyperlink"/>
            <w:noProof/>
            <w:szCs w:val="26"/>
          </w:rPr>
          <w:t>.</w:t>
        </w:r>
        <w:r w:rsidR="0053114A" w:rsidRPr="0053114A">
          <w:rPr>
            <w:rFonts w:eastAsiaTheme="minorEastAsia"/>
            <w:noProof/>
            <w:szCs w:val="26"/>
          </w:rPr>
          <w:tab/>
        </w:r>
        <w:r w:rsidR="0053114A" w:rsidRPr="0053114A">
          <w:rPr>
            <w:rStyle w:val="Hyperlink"/>
            <w:noProof/>
            <w:szCs w:val="26"/>
          </w:rPr>
          <w:t>Time-Of-Use Program</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_Toc346705477 \h </w:instrText>
        </w:r>
        <w:r w:rsidR="0053114A" w:rsidRPr="0053114A">
          <w:rPr>
            <w:noProof/>
            <w:webHidden/>
            <w:szCs w:val="26"/>
          </w:rPr>
        </w:r>
        <w:r w:rsidR="0053114A" w:rsidRPr="0053114A">
          <w:rPr>
            <w:noProof/>
            <w:webHidden/>
            <w:szCs w:val="26"/>
          </w:rPr>
          <w:fldChar w:fldCharType="separate"/>
        </w:r>
        <w:r w:rsidR="002A1B8B">
          <w:rPr>
            <w:noProof/>
            <w:webHidden/>
            <w:szCs w:val="26"/>
          </w:rPr>
          <w:t>222</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478" w:history="1">
        <w:r w:rsidR="0053114A" w:rsidRPr="0053114A">
          <w:rPr>
            <w:rStyle w:val="Hyperlink"/>
            <w:noProof/>
            <w:szCs w:val="26"/>
          </w:rPr>
          <w:t>1.</w:t>
        </w:r>
        <w:r w:rsidR="0053114A" w:rsidRPr="0053114A">
          <w:rPr>
            <w:rFonts w:eastAsiaTheme="minorEastAsia"/>
            <w:noProof/>
            <w:szCs w:val="26"/>
          </w:rPr>
          <w:tab/>
        </w:r>
        <w:r w:rsidR="0053114A" w:rsidRPr="0053114A">
          <w:rPr>
            <w:rStyle w:val="Hyperlink"/>
            <w:noProof/>
            <w:szCs w:val="26"/>
          </w:rPr>
          <w:t>Duquesne’s Proposal</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_Toc346705478 \h </w:instrText>
        </w:r>
        <w:r w:rsidR="0053114A" w:rsidRPr="0053114A">
          <w:rPr>
            <w:noProof/>
            <w:webHidden/>
            <w:szCs w:val="26"/>
          </w:rPr>
        </w:r>
        <w:r w:rsidR="0053114A" w:rsidRPr="0053114A">
          <w:rPr>
            <w:noProof/>
            <w:webHidden/>
            <w:szCs w:val="26"/>
          </w:rPr>
          <w:fldChar w:fldCharType="separate"/>
        </w:r>
        <w:r w:rsidR="002A1B8B">
          <w:rPr>
            <w:noProof/>
            <w:webHidden/>
            <w:szCs w:val="26"/>
          </w:rPr>
          <w:t>222</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479" w:history="1">
        <w:r w:rsidR="0053114A" w:rsidRPr="0053114A">
          <w:rPr>
            <w:rStyle w:val="Hyperlink"/>
            <w:noProof/>
            <w:szCs w:val="26"/>
          </w:rPr>
          <w:t>2.</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_Toc346705479 \h </w:instrText>
        </w:r>
        <w:r w:rsidR="0053114A" w:rsidRPr="0053114A">
          <w:rPr>
            <w:noProof/>
            <w:webHidden/>
            <w:szCs w:val="26"/>
          </w:rPr>
        </w:r>
        <w:r w:rsidR="0053114A" w:rsidRPr="0053114A">
          <w:rPr>
            <w:noProof/>
            <w:webHidden/>
            <w:szCs w:val="26"/>
          </w:rPr>
          <w:fldChar w:fldCharType="separate"/>
        </w:r>
        <w:r w:rsidR="002A1B8B">
          <w:rPr>
            <w:noProof/>
            <w:webHidden/>
            <w:szCs w:val="26"/>
          </w:rPr>
          <w:t>224</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480" w:history="1">
        <w:r w:rsidR="0053114A" w:rsidRPr="0053114A">
          <w:rPr>
            <w:rStyle w:val="Hyperlink"/>
            <w:noProof/>
            <w:szCs w:val="26"/>
          </w:rPr>
          <w:t>3.</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_Toc346705480 \h </w:instrText>
        </w:r>
        <w:r w:rsidR="0053114A" w:rsidRPr="0053114A">
          <w:rPr>
            <w:noProof/>
            <w:webHidden/>
            <w:szCs w:val="26"/>
          </w:rPr>
        </w:r>
        <w:r w:rsidR="0053114A" w:rsidRPr="0053114A">
          <w:rPr>
            <w:noProof/>
            <w:webHidden/>
            <w:szCs w:val="26"/>
          </w:rPr>
          <w:fldChar w:fldCharType="separate"/>
        </w:r>
        <w:r w:rsidR="002A1B8B">
          <w:rPr>
            <w:noProof/>
            <w:webHidden/>
            <w:szCs w:val="26"/>
          </w:rPr>
          <w:t>227</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481" w:history="1">
        <w:r w:rsidR="0053114A" w:rsidRPr="0053114A">
          <w:rPr>
            <w:rStyle w:val="Hyperlink"/>
            <w:noProof/>
            <w:szCs w:val="26"/>
          </w:rPr>
          <w:t>4.</w:t>
        </w:r>
        <w:r w:rsidR="0053114A" w:rsidRPr="0053114A">
          <w:rPr>
            <w:rFonts w:eastAsiaTheme="minorEastAsia"/>
            <w:noProof/>
            <w:szCs w:val="26"/>
          </w:rPr>
          <w:tab/>
        </w:r>
        <w:r w:rsidR="0053114A" w:rsidRPr="0053114A">
          <w:rPr>
            <w:rStyle w:val="Hyperlink"/>
            <w:noProof/>
            <w:szCs w:val="26"/>
          </w:rPr>
          <w:t>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_Toc346705481 \h </w:instrText>
        </w:r>
        <w:r w:rsidR="0053114A" w:rsidRPr="0053114A">
          <w:rPr>
            <w:noProof/>
            <w:webHidden/>
            <w:szCs w:val="26"/>
          </w:rPr>
        </w:r>
        <w:r w:rsidR="0053114A" w:rsidRPr="0053114A">
          <w:rPr>
            <w:noProof/>
            <w:webHidden/>
            <w:szCs w:val="26"/>
          </w:rPr>
          <w:fldChar w:fldCharType="separate"/>
        </w:r>
        <w:r w:rsidR="002A1B8B">
          <w:rPr>
            <w:noProof/>
            <w:webHidden/>
            <w:szCs w:val="26"/>
          </w:rPr>
          <w:t>227</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482" w:history="1">
        <w:r w:rsidR="0053114A" w:rsidRPr="0053114A">
          <w:rPr>
            <w:rStyle w:val="Hyperlink"/>
            <w:noProof/>
            <w:szCs w:val="26"/>
          </w:rPr>
          <w:t>5.</w:t>
        </w:r>
        <w:r w:rsidR="0053114A" w:rsidRPr="0053114A">
          <w:rPr>
            <w:rFonts w:eastAsiaTheme="minorEastAsia"/>
            <w:noProof/>
            <w:szCs w:val="26"/>
          </w:rPr>
          <w:tab/>
        </w:r>
        <w:r w:rsidR="0053114A" w:rsidRPr="0053114A">
          <w:rPr>
            <w:rStyle w:val="Hyperlink"/>
            <w:noProof/>
            <w:szCs w:val="26"/>
          </w:rPr>
          <w:t>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_Toc346705482 \h </w:instrText>
        </w:r>
        <w:r w:rsidR="0053114A" w:rsidRPr="0053114A">
          <w:rPr>
            <w:noProof/>
            <w:webHidden/>
            <w:szCs w:val="26"/>
          </w:rPr>
        </w:r>
        <w:r w:rsidR="0053114A" w:rsidRPr="0053114A">
          <w:rPr>
            <w:noProof/>
            <w:webHidden/>
            <w:szCs w:val="26"/>
          </w:rPr>
          <w:fldChar w:fldCharType="separate"/>
        </w:r>
        <w:r w:rsidR="002A1B8B">
          <w:rPr>
            <w:noProof/>
            <w:webHidden/>
            <w:szCs w:val="26"/>
          </w:rPr>
          <w:t>229</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483" w:history="1">
        <w:r w:rsidR="0053114A" w:rsidRPr="0053114A">
          <w:rPr>
            <w:rStyle w:val="Hyperlink"/>
            <w:noProof/>
            <w:szCs w:val="26"/>
          </w:rPr>
          <w:t>6.</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_Toc346705483 \h </w:instrText>
        </w:r>
        <w:r w:rsidR="0053114A" w:rsidRPr="0053114A">
          <w:rPr>
            <w:noProof/>
            <w:webHidden/>
            <w:szCs w:val="26"/>
          </w:rPr>
        </w:r>
        <w:r w:rsidR="0053114A" w:rsidRPr="0053114A">
          <w:rPr>
            <w:noProof/>
            <w:webHidden/>
            <w:szCs w:val="26"/>
          </w:rPr>
          <w:fldChar w:fldCharType="separate"/>
        </w:r>
        <w:r w:rsidR="002A1B8B">
          <w:rPr>
            <w:noProof/>
            <w:webHidden/>
            <w:szCs w:val="26"/>
          </w:rPr>
          <w:t>230</w:t>
        </w:r>
        <w:r w:rsidR="0053114A" w:rsidRPr="0053114A">
          <w:rPr>
            <w:noProof/>
            <w:webHidden/>
            <w:szCs w:val="26"/>
          </w:rPr>
          <w:fldChar w:fldCharType="end"/>
        </w:r>
      </w:hyperlink>
    </w:p>
    <w:p w:rsidR="0053114A" w:rsidRPr="0053114A" w:rsidRDefault="0016142D" w:rsidP="0053114A">
      <w:pPr>
        <w:pStyle w:val="TOC2"/>
        <w:tabs>
          <w:tab w:val="left" w:pos="1440"/>
          <w:tab w:val="right" w:leader="dot" w:pos="9350"/>
        </w:tabs>
        <w:spacing w:line="360" w:lineRule="auto"/>
        <w:rPr>
          <w:rFonts w:eastAsiaTheme="minorEastAsia"/>
          <w:noProof/>
          <w:szCs w:val="26"/>
        </w:rPr>
      </w:pPr>
      <w:hyperlink w:anchor="_Toc346705484" w:history="1">
        <w:r w:rsidR="00D64891">
          <w:rPr>
            <w:rStyle w:val="Hyperlink"/>
            <w:noProof/>
            <w:szCs w:val="26"/>
          </w:rPr>
          <w:t>G</w:t>
        </w:r>
        <w:r w:rsidR="0053114A" w:rsidRPr="0053114A">
          <w:rPr>
            <w:rStyle w:val="Hyperlink"/>
            <w:noProof/>
            <w:szCs w:val="26"/>
          </w:rPr>
          <w:t>.</w:t>
        </w:r>
        <w:r w:rsidR="0053114A" w:rsidRPr="0053114A">
          <w:rPr>
            <w:rFonts w:eastAsiaTheme="minorEastAsia"/>
            <w:noProof/>
            <w:szCs w:val="26"/>
          </w:rPr>
          <w:tab/>
        </w:r>
        <w:r w:rsidR="0053114A" w:rsidRPr="0053114A">
          <w:rPr>
            <w:rStyle w:val="Hyperlink"/>
            <w:noProof/>
            <w:szCs w:val="26"/>
          </w:rPr>
          <w:t>Supply Master Agreement (SMA) Issues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_Toc346705484 \h </w:instrText>
        </w:r>
        <w:r w:rsidR="0053114A" w:rsidRPr="0053114A">
          <w:rPr>
            <w:noProof/>
            <w:webHidden/>
            <w:szCs w:val="26"/>
          </w:rPr>
        </w:r>
        <w:r w:rsidR="0053114A" w:rsidRPr="0053114A">
          <w:rPr>
            <w:noProof/>
            <w:webHidden/>
            <w:szCs w:val="26"/>
          </w:rPr>
          <w:fldChar w:fldCharType="separate"/>
        </w:r>
        <w:r w:rsidR="002A1B8B">
          <w:rPr>
            <w:noProof/>
            <w:webHidden/>
            <w:szCs w:val="26"/>
          </w:rPr>
          <w:t>230</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485" w:history="1">
        <w:r w:rsidR="0053114A" w:rsidRPr="0053114A">
          <w:rPr>
            <w:rStyle w:val="Hyperlink"/>
            <w:noProof/>
            <w:szCs w:val="26"/>
          </w:rPr>
          <w:t>1.</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_Toc346705485 \h </w:instrText>
        </w:r>
        <w:r w:rsidR="0053114A" w:rsidRPr="0053114A">
          <w:rPr>
            <w:noProof/>
            <w:webHidden/>
            <w:szCs w:val="26"/>
          </w:rPr>
        </w:r>
        <w:r w:rsidR="0053114A" w:rsidRPr="0053114A">
          <w:rPr>
            <w:noProof/>
            <w:webHidden/>
            <w:szCs w:val="26"/>
          </w:rPr>
          <w:fldChar w:fldCharType="separate"/>
        </w:r>
        <w:r w:rsidR="002A1B8B">
          <w:rPr>
            <w:noProof/>
            <w:webHidden/>
            <w:szCs w:val="26"/>
          </w:rPr>
          <w:t>230</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486" w:history="1">
        <w:r w:rsidR="0053114A" w:rsidRPr="0053114A">
          <w:rPr>
            <w:rStyle w:val="Hyperlink"/>
            <w:noProof/>
            <w:szCs w:val="26"/>
          </w:rPr>
          <w:t>2.</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_Toc346705486 \h </w:instrText>
        </w:r>
        <w:r w:rsidR="0053114A" w:rsidRPr="0053114A">
          <w:rPr>
            <w:noProof/>
            <w:webHidden/>
            <w:szCs w:val="26"/>
          </w:rPr>
        </w:r>
        <w:r w:rsidR="0053114A" w:rsidRPr="0053114A">
          <w:rPr>
            <w:noProof/>
            <w:webHidden/>
            <w:szCs w:val="26"/>
          </w:rPr>
          <w:fldChar w:fldCharType="separate"/>
        </w:r>
        <w:r w:rsidR="002A1B8B">
          <w:rPr>
            <w:noProof/>
            <w:webHidden/>
            <w:szCs w:val="26"/>
          </w:rPr>
          <w:t>233</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487" w:history="1">
        <w:r w:rsidR="0053114A" w:rsidRPr="0053114A">
          <w:rPr>
            <w:rStyle w:val="Hyperlink"/>
            <w:noProof/>
            <w:szCs w:val="26"/>
          </w:rPr>
          <w:t>3.</w:t>
        </w:r>
        <w:r w:rsidR="0053114A" w:rsidRPr="0053114A">
          <w:rPr>
            <w:rFonts w:eastAsiaTheme="minorEastAsia"/>
            <w:noProof/>
            <w:szCs w:val="26"/>
          </w:rPr>
          <w:tab/>
        </w:r>
        <w:r w:rsidR="0053114A" w:rsidRPr="0053114A">
          <w:rPr>
            <w:rStyle w:val="Hyperlink"/>
            <w:noProof/>
            <w:szCs w:val="26"/>
          </w:rPr>
          <w:t>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_Toc346705487 \h </w:instrText>
        </w:r>
        <w:r w:rsidR="0053114A" w:rsidRPr="0053114A">
          <w:rPr>
            <w:noProof/>
            <w:webHidden/>
            <w:szCs w:val="26"/>
          </w:rPr>
        </w:r>
        <w:r w:rsidR="0053114A" w:rsidRPr="0053114A">
          <w:rPr>
            <w:noProof/>
            <w:webHidden/>
            <w:szCs w:val="26"/>
          </w:rPr>
          <w:fldChar w:fldCharType="separate"/>
        </w:r>
        <w:r w:rsidR="002A1B8B">
          <w:rPr>
            <w:noProof/>
            <w:webHidden/>
            <w:szCs w:val="26"/>
          </w:rPr>
          <w:t>234</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488" w:history="1">
        <w:r w:rsidR="0053114A" w:rsidRPr="0053114A">
          <w:rPr>
            <w:rStyle w:val="Hyperlink"/>
            <w:noProof/>
            <w:szCs w:val="26"/>
          </w:rPr>
          <w:t>4.</w:t>
        </w:r>
        <w:r w:rsidR="0053114A" w:rsidRPr="0053114A">
          <w:rPr>
            <w:rFonts w:eastAsiaTheme="minorEastAsia"/>
            <w:noProof/>
            <w:szCs w:val="26"/>
          </w:rPr>
          <w:tab/>
        </w:r>
        <w:r w:rsidR="0053114A" w:rsidRPr="0053114A">
          <w:rPr>
            <w:rStyle w:val="Hyperlink"/>
            <w:noProof/>
            <w:szCs w:val="26"/>
          </w:rPr>
          <w:t>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_Toc346705488 \h </w:instrText>
        </w:r>
        <w:r w:rsidR="0053114A" w:rsidRPr="0053114A">
          <w:rPr>
            <w:noProof/>
            <w:webHidden/>
            <w:szCs w:val="26"/>
          </w:rPr>
        </w:r>
        <w:r w:rsidR="0053114A" w:rsidRPr="0053114A">
          <w:rPr>
            <w:noProof/>
            <w:webHidden/>
            <w:szCs w:val="26"/>
          </w:rPr>
          <w:fldChar w:fldCharType="separate"/>
        </w:r>
        <w:r w:rsidR="002A1B8B">
          <w:rPr>
            <w:noProof/>
            <w:webHidden/>
            <w:szCs w:val="26"/>
          </w:rPr>
          <w:t>235</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489" w:history="1">
        <w:r w:rsidR="0053114A" w:rsidRPr="0053114A">
          <w:rPr>
            <w:rStyle w:val="Hyperlink"/>
            <w:noProof/>
            <w:szCs w:val="26"/>
          </w:rPr>
          <w:t>5.</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_Toc346705489 \h </w:instrText>
        </w:r>
        <w:r w:rsidR="0053114A" w:rsidRPr="0053114A">
          <w:rPr>
            <w:noProof/>
            <w:webHidden/>
            <w:szCs w:val="26"/>
          </w:rPr>
        </w:r>
        <w:r w:rsidR="0053114A" w:rsidRPr="0053114A">
          <w:rPr>
            <w:noProof/>
            <w:webHidden/>
            <w:szCs w:val="26"/>
          </w:rPr>
          <w:fldChar w:fldCharType="separate"/>
        </w:r>
        <w:r w:rsidR="002A1B8B">
          <w:rPr>
            <w:noProof/>
            <w:webHidden/>
            <w:szCs w:val="26"/>
          </w:rPr>
          <w:t>235</w:t>
        </w:r>
        <w:r w:rsidR="0053114A" w:rsidRPr="0053114A">
          <w:rPr>
            <w:noProof/>
            <w:webHidden/>
            <w:szCs w:val="26"/>
          </w:rPr>
          <w:fldChar w:fldCharType="end"/>
        </w:r>
      </w:hyperlink>
    </w:p>
    <w:p w:rsidR="0053114A" w:rsidRPr="0053114A" w:rsidRDefault="0016142D" w:rsidP="0053114A">
      <w:pPr>
        <w:pStyle w:val="TOC2"/>
        <w:tabs>
          <w:tab w:val="left" w:pos="1440"/>
          <w:tab w:val="right" w:leader="dot" w:pos="9350"/>
        </w:tabs>
        <w:spacing w:line="360" w:lineRule="auto"/>
        <w:rPr>
          <w:rFonts w:eastAsiaTheme="minorEastAsia"/>
          <w:noProof/>
          <w:szCs w:val="26"/>
        </w:rPr>
      </w:pPr>
      <w:hyperlink w:anchor="_Toc346705490" w:history="1">
        <w:r w:rsidR="00D64891">
          <w:rPr>
            <w:rStyle w:val="Hyperlink"/>
            <w:noProof/>
            <w:szCs w:val="26"/>
          </w:rPr>
          <w:t>H</w:t>
        </w:r>
        <w:r w:rsidR="0053114A" w:rsidRPr="0053114A">
          <w:rPr>
            <w:rStyle w:val="Hyperlink"/>
            <w:noProof/>
            <w:szCs w:val="26"/>
          </w:rPr>
          <w:t>.</w:t>
        </w:r>
        <w:r w:rsidR="0053114A" w:rsidRPr="0053114A">
          <w:rPr>
            <w:rFonts w:eastAsiaTheme="minorEastAsia"/>
            <w:noProof/>
            <w:szCs w:val="26"/>
          </w:rPr>
          <w:tab/>
        </w:r>
        <w:r w:rsidR="0053114A" w:rsidRPr="0053114A">
          <w:rPr>
            <w:rStyle w:val="Hyperlink"/>
            <w:noProof/>
            <w:szCs w:val="26"/>
          </w:rPr>
          <w:t>Data/Electric Generation Supply Coordination Issues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_Toc346705490 \h </w:instrText>
        </w:r>
        <w:r w:rsidR="0053114A" w:rsidRPr="0053114A">
          <w:rPr>
            <w:noProof/>
            <w:webHidden/>
            <w:szCs w:val="26"/>
          </w:rPr>
        </w:r>
        <w:r w:rsidR="0053114A" w:rsidRPr="0053114A">
          <w:rPr>
            <w:noProof/>
            <w:webHidden/>
            <w:szCs w:val="26"/>
          </w:rPr>
          <w:fldChar w:fldCharType="separate"/>
        </w:r>
        <w:r w:rsidR="002A1B8B">
          <w:rPr>
            <w:noProof/>
            <w:webHidden/>
            <w:szCs w:val="26"/>
          </w:rPr>
          <w:t>236</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491" w:history="1">
        <w:r w:rsidR="0053114A" w:rsidRPr="0053114A">
          <w:rPr>
            <w:rStyle w:val="Hyperlink"/>
            <w:noProof/>
            <w:szCs w:val="26"/>
          </w:rPr>
          <w:t>1.</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_Toc346705491 \h </w:instrText>
        </w:r>
        <w:r w:rsidR="0053114A" w:rsidRPr="0053114A">
          <w:rPr>
            <w:noProof/>
            <w:webHidden/>
            <w:szCs w:val="26"/>
          </w:rPr>
        </w:r>
        <w:r w:rsidR="0053114A" w:rsidRPr="0053114A">
          <w:rPr>
            <w:noProof/>
            <w:webHidden/>
            <w:szCs w:val="26"/>
          </w:rPr>
          <w:fldChar w:fldCharType="separate"/>
        </w:r>
        <w:r w:rsidR="002A1B8B">
          <w:rPr>
            <w:noProof/>
            <w:webHidden/>
            <w:szCs w:val="26"/>
          </w:rPr>
          <w:t>236</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492" w:history="1">
        <w:r w:rsidR="0053114A" w:rsidRPr="0053114A">
          <w:rPr>
            <w:rStyle w:val="Hyperlink"/>
            <w:noProof/>
            <w:szCs w:val="26"/>
          </w:rPr>
          <w:t>2.</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_Toc346705492 \h </w:instrText>
        </w:r>
        <w:r w:rsidR="0053114A" w:rsidRPr="0053114A">
          <w:rPr>
            <w:noProof/>
            <w:webHidden/>
            <w:szCs w:val="26"/>
          </w:rPr>
        </w:r>
        <w:r w:rsidR="0053114A" w:rsidRPr="0053114A">
          <w:rPr>
            <w:noProof/>
            <w:webHidden/>
            <w:szCs w:val="26"/>
          </w:rPr>
          <w:fldChar w:fldCharType="separate"/>
        </w:r>
        <w:r w:rsidR="002A1B8B">
          <w:rPr>
            <w:noProof/>
            <w:webHidden/>
            <w:szCs w:val="26"/>
          </w:rPr>
          <w:t>238</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493" w:history="1">
        <w:r w:rsidR="0053114A" w:rsidRPr="0053114A">
          <w:rPr>
            <w:rStyle w:val="Hyperlink"/>
            <w:noProof/>
            <w:szCs w:val="26"/>
          </w:rPr>
          <w:t>3.</w:t>
        </w:r>
        <w:r w:rsidR="0053114A" w:rsidRPr="0053114A">
          <w:rPr>
            <w:rFonts w:eastAsiaTheme="minorEastAsia"/>
            <w:noProof/>
            <w:szCs w:val="26"/>
          </w:rPr>
          <w:tab/>
        </w:r>
        <w:r w:rsidR="0053114A" w:rsidRPr="0053114A">
          <w:rPr>
            <w:rStyle w:val="Hyperlink"/>
            <w:noProof/>
            <w:szCs w:val="26"/>
          </w:rPr>
          <w:t>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_Toc346705493 \h </w:instrText>
        </w:r>
        <w:r w:rsidR="0053114A" w:rsidRPr="0053114A">
          <w:rPr>
            <w:noProof/>
            <w:webHidden/>
            <w:szCs w:val="26"/>
          </w:rPr>
        </w:r>
        <w:r w:rsidR="0053114A" w:rsidRPr="0053114A">
          <w:rPr>
            <w:noProof/>
            <w:webHidden/>
            <w:szCs w:val="26"/>
          </w:rPr>
          <w:fldChar w:fldCharType="separate"/>
        </w:r>
        <w:r w:rsidR="002A1B8B">
          <w:rPr>
            <w:noProof/>
            <w:webHidden/>
            <w:szCs w:val="26"/>
          </w:rPr>
          <w:t>239</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494" w:history="1">
        <w:r w:rsidR="0053114A" w:rsidRPr="0053114A">
          <w:rPr>
            <w:rStyle w:val="Hyperlink"/>
            <w:noProof/>
            <w:szCs w:val="26"/>
          </w:rPr>
          <w:t>4.</w:t>
        </w:r>
        <w:r w:rsidR="0053114A" w:rsidRPr="0053114A">
          <w:rPr>
            <w:rFonts w:eastAsiaTheme="minorEastAsia"/>
            <w:noProof/>
            <w:szCs w:val="26"/>
          </w:rPr>
          <w:tab/>
        </w:r>
        <w:r w:rsidR="0053114A" w:rsidRPr="0053114A">
          <w:rPr>
            <w:rStyle w:val="Hyperlink"/>
            <w:noProof/>
            <w:szCs w:val="26"/>
          </w:rPr>
          <w:t>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_Toc346705494 \h </w:instrText>
        </w:r>
        <w:r w:rsidR="0053114A" w:rsidRPr="0053114A">
          <w:rPr>
            <w:noProof/>
            <w:webHidden/>
            <w:szCs w:val="26"/>
          </w:rPr>
        </w:r>
        <w:r w:rsidR="0053114A" w:rsidRPr="0053114A">
          <w:rPr>
            <w:noProof/>
            <w:webHidden/>
            <w:szCs w:val="26"/>
          </w:rPr>
          <w:fldChar w:fldCharType="separate"/>
        </w:r>
        <w:r w:rsidR="002A1B8B">
          <w:rPr>
            <w:noProof/>
            <w:webHidden/>
            <w:szCs w:val="26"/>
          </w:rPr>
          <w:t>240</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495" w:history="1">
        <w:r w:rsidR="0053114A" w:rsidRPr="0053114A">
          <w:rPr>
            <w:rStyle w:val="Hyperlink"/>
            <w:noProof/>
            <w:szCs w:val="26"/>
          </w:rPr>
          <w:t>5.</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_Toc346705495 \h </w:instrText>
        </w:r>
        <w:r w:rsidR="0053114A" w:rsidRPr="0053114A">
          <w:rPr>
            <w:noProof/>
            <w:webHidden/>
            <w:szCs w:val="26"/>
          </w:rPr>
        </w:r>
        <w:r w:rsidR="0053114A" w:rsidRPr="0053114A">
          <w:rPr>
            <w:noProof/>
            <w:webHidden/>
            <w:szCs w:val="26"/>
          </w:rPr>
          <w:fldChar w:fldCharType="separate"/>
        </w:r>
        <w:r w:rsidR="002A1B8B">
          <w:rPr>
            <w:noProof/>
            <w:webHidden/>
            <w:szCs w:val="26"/>
          </w:rPr>
          <w:t>241</w:t>
        </w:r>
        <w:r w:rsidR="0053114A" w:rsidRPr="0053114A">
          <w:rPr>
            <w:noProof/>
            <w:webHidden/>
            <w:szCs w:val="26"/>
          </w:rPr>
          <w:fldChar w:fldCharType="end"/>
        </w:r>
      </w:hyperlink>
    </w:p>
    <w:p w:rsidR="0053114A" w:rsidRPr="0053114A" w:rsidRDefault="0016142D" w:rsidP="0053114A">
      <w:pPr>
        <w:pStyle w:val="TOC2"/>
        <w:tabs>
          <w:tab w:val="left" w:pos="1440"/>
          <w:tab w:val="right" w:leader="dot" w:pos="9350"/>
        </w:tabs>
        <w:spacing w:line="360" w:lineRule="auto"/>
        <w:rPr>
          <w:rFonts w:eastAsiaTheme="minorEastAsia"/>
          <w:noProof/>
          <w:szCs w:val="26"/>
        </w:rPr>
      </w:pPr>
      <w:hyperlink w:anchor="_Toc346705496" w:history="1">
        <w:r w:rsidR="00F7788E">
          <w:rPr>
            <w:rStyle w:val="Hyperlink"/>
            <w:noProof/>
            <w:szCs w:val="26"/>
          </w:rPr>
          <w:t>I</w:t>
        </w:r>
        <w:r w:rsidR="0053114A" w:rsidRPr="0053114A">
          <w:rPr>
            <w:rStyle w:val="Hyperlink"/>
            <w:noProof/>
            <w:szCs w:val="26"/>
          </w:rPr>
          <w:t>.</w:t>
        </w:r>
        <w:r w:rsidR="0053114A" w:rsidRPr="0053114A">
          <w:rPr>
            <w:rFonts w:eastAsiaTheme="minorEastAsia"/>
            <w:noProof/>
            <w:szCs w:val="26"/>
          </w:rPr>
          <w:tab/>
        </w:r>
        <w:r w:rsidR="0053114A" w:rsidRPr="0053114A">
          <w:rPr>
            <w:rStyle w:val="Hyperlink"/>
            <w:noProof/>
            <w:szCs w:val="26"/>
          </w:rPr>
          <w:t>General Miscellaneous Issues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_Toc346705496 \h </w:instrText>
        </w:r>
        <w:r w:rsidR="0053114A" w:rsidRPr="0053114A">
          <w:rPr>
            <w:noProof/>
            <w:webHidden/>
            <w:szCs w:val="26"/>
          </w:rPr>
        </w:r>
        <w:r w:rsidR="0053114A" w:rsidRPr="0053114A">
          <w:rPr>
            <w:noProof/>
            <w:webHidden/>
            <w:szCs w:val="26"/>
          </w:rPr>
          <w:fldChar w:fldCharType="separate"/>
        </w:r>
        <w:r w:rsidR="002A1B8B">
          <w:rPr>
            <w:noProof/>
            <w:webHidden/>
            <w:szCs w:val="26"/>
          </w:rPr>
          <w:t>242</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497" w:history="1">
        <w:r w:rsidR="0053114A" w:rsidRPr="0053114A">
          <w:rPr>
            <w:rStyle w:val="Hyperlink"/>
            <w:noProof/>
            <w:szCs w:val="26"/>
          </w:rPr>
          <w:t>1.</w:t>
        </w:r>
        <w:r w:rsidR="0053114A" w:rsidRPr="0053114A">
          <w:rPr>
            <w:rFonts w:eastAsiaTheme="minorEastAsia"/>
            <w:noProof/>
            <w:szCs w:val="26"/>
          </w:rPr>
          <w:tab/>
        </w:r>
        <w:r w:rsidR="0053114A" w:rsidRPr="0053114A">
          <w:rPr>
            <w:rStyle w:val="Hyperlink"/>
            <w:noProof/>
            <w:szCs w:val="26"/>
          </w:rPr>
          <w:t>Duquesne’s Proposal</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_Toc346705497 \h </w:instrText>
        </w:r>
        <w:r w:rsidR="0053114A" w:rsidRPr="0053114A">
          <w:rPr>
            <w:noProof/>
            <w:webHidden/>
            <w:szCs w:val="26"/>
          </w:rPr>
        </w:r>
        <w:r w:rsidR="0053114A" w:rsidRPr="0053114A">
          <w:rPr>
            <w:noProof/>
            <w:webHidden/>
            <w:szCs w:val="26"/>
          </w:rPr>
          <w:fldChar w:fldCharType="separate"/>
        </w:r>
        <w:r w:rsidR="002A1B8B">
          <w:rPr>
            <w:noProof/>
            <w:webHidden/>
            <w:szCs w:val="26"/>
          </w:rPr>
          <w:t>242</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498" w:history="1">
        <w:r w:rsidR="0053114A" w:rsidRPr="0053114A">
          <w:rPr>
            <w:rStyle w:val="Hyperlink"/>
            <w:noProof/>
            <w:szCs w:val="26"/>
          </w:rPr>
          <w:t>2.</w:t>
        </w:r>
        <w:r w:rsidR="0053114A" w:rsidRPr="0053114A">
          <w:rPr>
            <w:rFonts w:eastAsiaTheme="minorEastAsia"/>
            <w:noProof/>
            <w:szCs w:val="26"/>
          </w:rPr>
          <w:tab/>
        </w:r>
        <w:r w:rsidR="0053114A" w:rsidRPr="0053114A">
          <w:rPr>
            <w:rStyle w:val="Hyperlink"/>
            <w:noProof/>
            <w:szCs w:val="26"/>
          </w:rPr>
          <w:t>Positions of the Parties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_Toc346705498 \h </w:instrText>
        </w:r>
        <w:r w:rsidR="0053114A" w:rsidRPr="0053114A">
          <w:rPr>
            <w:noProof/>
            <w:webHidden/>
            <w:szCs w:val="26"/>
          </w:rPr>
        </w:r>
        <w:r w:rsidR="0053114A" w:rsidRPr="0053114A">
          <w:rPr>
            <w:noProof/>
            <w:webHidden/>
            <w:szCs w:val="26"/>
          </w:rPr>
          <w:fldChar w:fldCharType="separate"/>
        </w:r>
        <w:r w:rsidR="002A1B8B">
          <w:rPr>
            <w:noProof/>
            <w:webHidden/>
            <w:szCs w:val="26"/>
          </w:rPr>
          <w:t>243</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499" w:history="1">
        <w:r w:rsidR="0053114A" w:rsidRPr="0053114A">
          <w:rPr>
            <w:rStyle w:val="Hyperlink"/>
            <w:noProof/>
            <w:szCs w:val="26"/>
          </w:rPr>
          <w:t>3.</w:t>
        </w:r>
        <w:r w:rsidR="0053114A" w:rsidRPr="0053114A">
          <w:rPr>
            <w:rFonts w:eastAsiaTheme="minorEastAsia"/>
            <w:noProof/>
            <w:szCs w:val="26"/>
          </w:rPr>
          <w:tab/>
        </w:r>
        <w:r w:rsidR="0053114A" w:rsidRPr="0053114A">
          <w:rPr>
            <w:rStyle w:val="Hyperlink"/>
            <w:noProof/>
            <w:szCs w:val="26"/>
          </w:rPr>
          <w:t>ALJ’s Recommendation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_Toc346705499 \h </w:instrText>
        </w:r>
        <w:r w:rsidR="0053114A" w:rsidRPr="0053114A">
          <w:rPr>
            <w:noProof/>
            <w:webHidden/>
            <w:szCs w:val="26"/>
          </w:rPr>
        </w:r>
        <w:r w:rsidR="0053114A" w:rsidRPr="0053114A">
          <w:rPr>
            <w:noProof/>
            <w:webHidden/>
            <w:szCs w:val="26"/>
          </w:rPr>
          <w:fldChar w:fldCharType="separate"/>
        </w:r>
        <w:r w:rsidR="002A1B8B">
          <w:rPr>
            <w:noProof/>
            <w:webHidden/>
            <w:szCs w:val="26"/>
          </w:rPr>
          <w:t>243</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500" w:history="1">
        <w:r w:rsidR="0053114A" w:rsidRPr="0053114A">
          <w:rPr>
            <w:rStyle w:val="Hyperlink"/>
            <w:noProof/>
            <w:szCs w:val="26"/>
          </w:rPr>
          <w:t>4.</w:t>
        </w:r>
        <w:r w:rsidR="0053114A" w:rsidRPr="0053114A">
          <w:rPr>
            <w:rFonts w:eastAsiaTheme="minorEastAsia"/>
            <w:noProof/>
            <w:szCs w:val="26"/>
          </w:rPr>
          <w:tab/>
        </w:r>
        <w:r w:rsidR="0053114A" w:rsidRPr="0053114A">
          <w:rPr>
            <w:rStyle w:val="Hyperlink"/>
            <w:noProof/>
            <w:szCs w:val="26"/>
          </w:rPr>
          <w:t>Exceptions and Reply Exceptions</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_Toc346705500 \h </w:instrText>
        </w:r>
        <w:r w:rsidR="0053114A" w:rsidRPr="0053114A">
          <w:rPr>
            <w:noProof/>
            <w:webHidden/>
            <w:szCs w:val="26"/>
          </w:rPr>
        </w:r>
        <w:r w:rsidR="0053114A" w:rsidRPr="0053114A">
          <w:rPr>
            <w:noProof/>
            <w:webHidden/>
            <w:szCs w:val="26"/>
          </w:rPr>
          <w:fldChar w:fldCharType="separate"/>
        </w:r>
        <w:r w:rsidR="002A1B8B">
          <w:rPr>
            <w:noProof/>
            <w:webHidden/>
            <w:szCs w:val="26"/>
          </w:rPr>
          <w:t>243</w:t>
        </w:r>
        <w:r w:rsidR="0053114A" w:rsidRPr="0053114A">
          <w:rPr>
            <w:noProof/>
            <w:webHidden/>
            <w:szCs w:val="26"/>
          </w:rPr>
          <w:fldChar w:fldCharType="end"/>
        </w:r>
      </w:hyperlink>
    </w:p>
    <w:p w:rsidR="0053114A" w:rsidRPr="0053114A" w:rsidRDefault="0016142D" w:rsidP="0053114A">
      <w:pPr>
        <w:pStyle w:val="TOC3"/>
        <w:tabs>
          <w:tab w:val="left" w:pos="2160"/>
          <w:tab w:val="right" w:leader="dot" w:pos="9350"/>
        </w:tabs>
        <w:spacing w:line="360" w:lineRule="auto"/>
        <w:rPr>
          <w:rFonts w:eastAsiaTheme="minorEastAsia"/>
          <w:noProof/>
          <w:szCs w:val="26"/>
        </w:rPr>
      </w:pPr>
      <w:hyperlink w:anchor="_Toc346705501" w:history="1">
        <w:r w:rsidR="0053114A" w:rsidRPr="0053114A">
          <w:rPr>
            <w:rStyle w:val="Hyperlink"/>
            <w:noProof/>
            <w:szCs w:val="26"/>
          </w:rPr>
          <w:t>5.</w:t>
        </w:r>
        <w:r w:rsidR="0053114A" w:rsidRPr="0053114A">
          <w:rPr>
            <w:rFonts w:eastAsiaTheme="minorEastAsia"/>
            <w:noProof/>
            <w:szCs w:val="26"/>
          </w:rPr>
          <w:tab/>
        </w:r>
        <w:r w:rsidR="0053114A" w:rsidRPr="0053114A">
          <w:rPr>
            <w:rStyle w:val="Hyperlink"/>
            <w:noProof/>
            <w:szCs w:val="26"/>
          </w:rPr>
          <w:t>Disposition</w:t>
        </w:r>
        <w:r w:rsidR="0053114A" w:rsidRPr="0053114A">
          <w:rPr>
            <w:noProof/>
            <w:webHidden/>
            <w:szCs w:val="26"/>
          </w:rPr>
          <w:tab/>
        </w:r>
        <w:r w:rsidR="0053114A" w:rsidRPr="0053114A">
          <w:rPr>
            <w:noProof/>
            <w:webHidden/>
            <w:szCs w:val="26"/>
          </w:rPr>
          <w:fldChar w:fldCharType="begin"/>
        </w:r>
        <w:r w:rsidR="0053114A" w:rsidRPr="0053114A">
          <w:rPr>
            <w:noProof/>
            <w:webHidden/>
            <w:szCs w:val="26"/>
          </w:rPr>
          <w:instrText xml:space="preserve"> PAGEREF _Toc346705501 \h </w:instrText>
        </w:r>
        <w:r w:rsidR="0053114A" w:rsidRPr="0053114A">
          <w:rPr>
            <w:noProof/>
            <w:webHidden/>
            <w:szCs w:val="26"/>
          </w:rPr>
        </w:r>
        <w:r w:rsidR="0053114A" w:rsidRPr="0053114A">
          <w:rPr>
            <w:noProof/>
            <w:webHidden/>
            <w:szCs w:val="26"/>
          </w:rPr>
          <w:fldChar w:fldCharType="separate"/>
        </w:r>
        <w:r w:rsidR="002A1B8B">
          <w:rPr>
            <w:noProof/>
            <w:webHidden/>
            <w:szCs w:val="26"/>
          </w:rPr>
          <w:t>243</w:t>
        </w:r>
        <w:r w:rsidR="0053114A" w:rsidRPr="0053114A">
          <w:rPr>
            <w:noProof/>
            <w:webHidden/>
            <w:szCs w:val="26"/>
          </w:rPr>
          <w:fldChar w:fldCharType="end"/>
        </w:r>
      </w:hyperlink>
    </w:p>
    <w:p w:rsidR="0053114A" w:rsidRPr="0053114A" w:rsidRDefault="00F7788E" w:rsidP="0053114A">
      <w:pPr>
        <w:pStyle w:val="TOC1"/>
        <w:tabs>
          <w:tab w:val="right" w:leader="dot" w:pos="9350"/>
        </w:tabs>
        <w:spacing w:line="360" w:lineRule="auto"/>
        <w:rPr>
          <w:rFonts w:eastAsiaTheme="minorEastAsia"/>
          <w:b w:val="0"/>
          <w:caps w:val="0"/>
          <w:szCs w:val="26"/>
        </w:rPr>
      </w:pPr>
      <w:r>
        <w:t>I</w:t>
      </w:r>
      <w:hyperlink w:anchor="_Toc346705502" w:history="1">
        <w:r w:rsidR="0053114A" w:rsidRPr="0053114A">
          <w:rPr>
            <w:rStyle w:val="Hyperlink"/>
            <w:b w:val="0"/>
            <w:szCs w:val="26"/>
          </w:rPr>
          <w:t>V.</w:t>
        </w:r>
        <w:r w:rsidR="0053114A" w:rsidRPr="0053114A">
          <w:rPr>
            <w:rFonts w:eastAsiaTheme="minorEastAsia"/>
            <w:b w:val="0"/>
            <w:caps w:val="0"/>
            <w:szCs w:val="26"/>
          </w:rPr>
          <w:tab/>
        </w:r>
        <w:r w:rsidR="0053114A" w:rsidRPr="0053114A">
          <w:rPr>
            <w:rStyle w:val="Hyperlink"/>
            <w:b w:val="0"/>
            <w:szCs w:val="26"/>
          </w:rPr>
          <w:t>CONCLUSION</w:t>
        </w:r>
        <w:r w:rsidR="0053114A" w:rsidRPr="0053114A">
          <w:rPr>
            <w:b w:val="0"/>
            <w:webHidden/>
            <w:szCs w:val="26"/>
          </w:rPr>
          <w:tab/>
        </w:r>
        <w:r w:rsidR="0053114A" w:rsidRPr="0053114A">
          <w:rPr>
            <w:b w:val="0"/>
            <w:webHidden/>
            <w:szCs w:val="26"/>
          </w:rPr>
          <w:fldChar w:fldCharType="begin"/>
        </w:r>
        <w:r w:rsidR="0053114A" w:rsidRPr="0053114A">
          <w:rPr>
            <w:b w:val="0"/>
            <w:webHidden/>
            <w:szCs w:val="26"/>
          </w:rPr>
          <w:instrText xml:space="preserve"> PAGEREF _Toc346705502 \h </w:instrText>
        </w:r>
        <w:r w:rsidR="0053114A" w:rsidRPr="0053114A">
          <w:rPr>
            <w:b w:val="0"/>
            <w:webHidden/>
            <w:szCs w:val="26"/>
          </w:rPr>
        </w:r>
        <w:r w:rsidR="0053114A" w:rsidRPr="0053114A">
          <w:rPr>
            <w:b w:val="0"/>
            <w:webHidden/>
            <w:szCs w:val="26"/>
          </w:rPr>
          <w:fldChar w:fldCharType="separate"/>
        </w:r>
        <w:r w:rsidR="002A1B8B">
          <w:rPr>
            <w:b w:val="0"/>
            <w:webHidden/>
            <w:szCs w:val="26"/>
          </w:rPr>
          <w:t>244</w:t>
        </w:r>
        <w:r w:rsidR="0053114A" w:rsidRPr="0053114A">
          <w:rPr>
            <w:b w:val="0"/>
            <w:webHidden/>
            <w:szCs w:val="26"/>
          </w:rPr>
          <w:fldChar w:fldCharType="end"/>
        </w:r>
      </w:hyperlink>
    </w:p>
    <w:p w:rsidR="007629EF" w:rsidRPr="00EE5722" w:rsidRDefault="0053114A" w:rsidP="0053114A">
      <w:pPr>
        <w:tabs>
          <w:tab w:val="left" w:pos="720"/>
          <w:tab w:val="left" w:pos="1440"/>
          <w:tab w:val="left" w:pos="2160"/>
        </w:tabs>
        <w:spacing w:line="360" w:lineRule="auto"/>
        <w:rPr>
          <w:sz w:val="26"/>
          <w:szCs w:val="26"/>
        </w:rPr>
      </w:pPr>
      <w:r w:rsidRPr="0053114A">
        <w:rPr>
          <w:sz w:val="26"/>
          <w:szCs w:val="26"/>
        </w:rPr>
        <w:fldChar w:fldCharType="end"/>
      </w:r>
    </w:p>
    <w:p w:rsidR="007629EF" w:rsidRPr="00EE5722" w:rsidRDefault="007629EF" w:rsidP="0053114A">
      <w:pPr>
        <w:tabs>
          <w:tab w:val="left" w:pos="720"/>
          <w:tab w:val="left" w:pos="1440"/>
          <w:tab w:val="left" w:pos="2160"/>
          <w:tab w:val="left" w:pos="2880"/>
          <w:tab w:val="left" w:pos="3600"/>
          <w:tab w:val="right" w:leader="dot" w:pos="9360"/>
        </w:tabs>
        <w:spacing w:line="360" w:lineRule="auto"/>
        <w:rPr>
          <w:sz w:val="26"/>
          <w:szCs w:val="26"/>
        </w:rPr>
      </w:pPr>
      <w:r w:rsidRPr="00EE5722">
        <w:rPr>
          <w:sz w:val="26"/>
          <w:szCs w:val="26"/>
        </w:rPr>
        <w:tab/>
      </w:r>
    </w:p>
    <w:p w:rsidR="007629EF" w:rsidRPr="00EE5722" w:rsidRDefault="007629EF" w:rsidP="007629EF">
      <w:pPr>
        <w:tabs>
          <w:tab w:val="left" w:pos="720"/>
          <w:tab w:val="left" w:pos="1440"/>
          <w:tab w:val="right" w:leader="dot" w:pos="9360"/>
        </w:tabs>
        <w:spacing w:line="360" w:lineRule="auto"/>
        <w:rPr>
          <w:sz w:val="26"/>
          <w:szCs w:val="26"/>
        </w:rPr>
      </w:pPr>
    </w:p>
    <w:p w:rsidR="007629EF" w:rsidRPr="00EE5722" w:rsidRDefault="007629EF" w:rsidP="007629EF">
      <w:pPr>
        <w:tabs>
          <w:tab w:val="left" w:pos="720"/>
          <w:tab w:val="left" w:pos="1440"/>
          <w:tab w:val="right" w:leader="dot" w:pos="9360"/>
        </w:tabs>
        <w:spacing w:line="360" w:lineRule="auto"/>
        <w:rPr>
          <w:sz w:val="26"/>
          <w:szCs w:val="26"/>
        </w:rPr>
      </w:pPr>
    </w:p>
    <w:p w:rsidR="007629EF" w:rsidRPr="00EE5722" w:rsidRDefault="007629EF" w:rsidP="007629EF">
      <w:pPr>
        <w:spacing w:line="360" w:lineRule="auto"/>
        <w:rPr>
          <w:sz w:val="26"/>
          <w:szCs w:val="26"/>
        </w:rPr>
        <w:sectPr w:rsidR="007629EF" w:rsidRPr="00EE5722" w:rsidSect="00CD4067">
          <w:pgSz w:w="12240" w:h="15840"/>
          <w:pgMar w:top="1440" w:right="1440" w:bottom="1440" w:left="1440" w:header="0" w:footer="576" w:gutter="0"/>
          <w:pgNumType w:fmt="lowerRoman" w:start="1"/>
          <w:cols w:space="720"/>
          <w:titlePg/>
          <w:docGrid w:linePitch="326"/>
        </w:sectPr>
      </w:pPr>
    </w:p>
    <w:p w:rsidR="00E72399" w:rsidRDefault="00E72399" w:rsidP="000D2741">
      <w:pPr>
        <w:autoSpaceDE/>
        <w:autoSpaceDN/>
        <w:spacing w:line="360" w:lineRule="auto"/>
        <w:rPr>
          <w:b/>
          <w:spacing w:val="-3"/>
          <w:sz w:val="26"/>
          <w:szCs w:val="26"/>
        </w:rPr>
      </w:pPr>
      <w:r>
        <w:rPr>
          <w:b/>
          <w:spacing w:val="-3"/>
          <w:sz w:val="26"/>
          <w:szCs w:val="26"/>
        </w:rPr>
        <w:lastRenderedPageBreak/>
        <w:t>BY THE COMMISSION:</w:t>
      </w:r>
    </w:p>
    <w:p w:rsidR="000D2741" w:rsidRDefault="000D2741" w:rsidP="000D2741">
      <w:pPr>
        <w:autoSpaceDE/>
        <w:autoSpaceDN/>
        <w:spacing w:line="360" w:lineRule="auto"/>
        <w:rPr>
          <w:b/>
          <w:spacing w:val="-3"/>
          <w:sz w:val="26"/>
          <w:szCs w:val="26"/>
        </w:rPr>
      </w:pPr>
    </w:p>
    <w:p w:rsidR="00B12A5A" w:rsidRDefault="000D2741" w:rsidP="008B766A">
      <w:pPr>
        <w:autoSpaceDE/>
        <w:autoSpaceDN/>
        <w:spacing w:line="360" w:lineRule="auto"/>
        <w:ind w:firstLine="720"/>
        <w:rPr>
          <w:spacing w:val="-3"/>
          <w:sz w:val="26"/>
          <w:szCs w:val="26"/>
        </w:rPr>
      </w:pPr>
      <w:r>
        <w:rPr>
          <w:spacing w:val="-3"/>
          <w:sz w:val="26"/>
          <w:szCs w:val="26"/>
        </w:rPr>
        <w:t xml:space="preserve"> </w:t>
      </w:r>
      <w:r>
        <w:rPr>
          <w:spacing w:val="-3"/>
          <w:sz w:val="26"/>
          <w:szCs w:val="26"/>
        </w:rPr>
        <w:tab/>
        <w:t>Before the Pennsylvania Public Utility Commission (Commission or PUC) for consideration and disposition are the Recommended Decision (R.D.) of Administrative Law Judge (ALJ) Katrina L. Dunderdale issued on November 15, 2012, and the Exceptio</w:t>
      </w:r>
      <w:r w:rsidR="007C325F">
        <w:rPr>
          <w:spacing w:val="-3"/>
          <w:sz w:val="26"/>
          <w:szCs w:val="26"/>
        </w:rPr>
        <w:t>ns thereto that were</w:t>
      </w:r>
      <w:r>
        <w:rPr>
          <w:spacing w:val="-3"/>
          <w:sz w:val="26"/>
          <w:szCs w:val="26"/>
        </w:rPr>
        <w:t xml:space="preserve"> filed on December 5, 2012, by</w:t>
      </w:r>
      <w:r w:rsidR="007C325F">
        <w:rPr>
          <w:spacing w:val="-3"/>
          <w:sz w:val="26"/>
          <w:szCs w:val="26"/>
        </w:rPr>
        <w:t xml:space="preserve"> </w:t>
      </w:r>
      <w:r>
        <w:rPr>
          <w:spacing w:val="-3"/>
          <w:sz w:val="26"/>
          <w:szCs w:val="26"/>
        </w:rPr>
        <w:t>Duquesne Light Company (Duquesne</w:t>
      </w:r>
      <w:r w:rsidR="00650A88">
        <w:rPr>
          <w:spacing w:val="-3"/>
          <w:sz w:val="26"/>
          <w:szCs w:val="26"/>
        </w:rPr>
        <w:t xml:space="preserve"> </w:t>
      </w:r>
      <w:r>
        <w:rPr>
          <w:spacing w:val="-3"/>
          <w:sz w:val="26"/>
          <w:szCs w:val="26"/>
        </w:rPr>
        <w:t xml:space="preserve">or Company); the Office of Consumer Advocate (OCA); the Office of Small Business Advocate (OSBA); </w:t>
      </w:r>
      <w:r w:rsidR="008B766A">
        <w:rPr>
          <w:bCs/>
          <w:spacing w:val="-3"/>
          <w:sz w:val="26"/>
          <w:szCs w:val="26"/>
        </w:rPr>
        <w:t xml:space="preserve">the </w:t>
      </w:r>
      <w:r w:rsidR="008B766A">
        <w:rPr>
          <w:spacing w:val="-3"/>
          <w:sz w:val="26"/>
          <w:szCs w:val="26"/>
        </w:rPr>
        <w:t xml:space="preserve">Retail Energy Supply Association (RESA); </w:t>
      </w:r>
      <w:r w:rsidR="0024764B">
        <w:rPr>
          <w:spacing w:val="-3"/>
          <w:sz w:val="26"/>
          <w:szCs w:val="26"/>
        </w:rPr>
        <w:t>FirstEnergy So</w:t>
      </w:r>
      <w:r w:rsidR="004C5B7E">
        <w:rPr>
          <w:spacing w:val="-3"/>
          <w:sz w:val="26"/>
          <w:szCs w:val="26"/>
        </w:rPr>
        <w:t>lutions Corporation (FES</w:t>
      </w:r>
      <w:r w:rsidR="0024764B">
        <w:rPr>
          <w:spacing w:val="-3"/>
          <w:sz w:val="26"/>
          <w:szCs w:val="26"/>
        </w:rPr>
        <w:t xml:space="preserve">); </w:t>
      </w:r>
      <w:r w:rsidR="007C325F">
        <w:rPr>
          <w:spacing w:val="-3"/>
          <w:sz w:val="26"/>
          <w:szCs w:val="26"/>
        </w:rPr>
        <w:t xml:space="preserve">and </w:t>
      </w:r>
      <w:r w:rsidR="0024764B">
        <w:rPr>
          <w:spacing w:val="-3"/>
          <w:sz w:val="26"/>
          <w:szCs w:val="26"/>
        </w:rPr>
        <w:t>Dominion Retail, Inc. d/b/a Dominion Energy Solutions and Interstate Gas Sup</w:t>
      </w:r>
      <w:r w:rsidR="00B02024">
        <w:rPr>
          <w:spacing w:val="-3"/>
          <w:sz w:val="26"/>
          <w:szCs w:val="26"/>
        </w:rPr>
        <w:t>ply Inc. d/b/a IGS Energy</w:t>
      </w:r>
      <w:r w:rsidR="0024764B">
        <w:rPr>
          <w:spacing w:val="-3"/>
          <w:sz w:val="26"/>
          <w:szCs w:val="26"/>
        </w:rPr>
        <w:t xml:space="preserve"> </w:t>
      </w:r>
      <w:r w:rsidR="00F750DC">
        <w:rPr>
          <w:spacing w:val="-3"/>
          <w:sz w:val="26"/>
          <w:szCs w:val="26"/>
        </w:rPr>
        <w:t>(collectively, Dominion</w:t>
      </w:r>
      <w:r w:rsidR="008F2D4F">
        <w:rPr>
          <w:spacing w:val="-3"/>
          <w:sz w:val="26"/>
          <w:szCs w:val="26"/>
        </w:rPr>
        <w:t>).</w:t>
      </w:r>
    </w:p>
    <w:p w:rsidR="00B12A5A" w:rsidRDefault="00B12A5A" w:rsidP="008B766A">
      <w:pPr>
        <w:autoSpaceDE/>
        <w:autoSpaceDN/>
        <w:spacing w:line="360" w:lineRule="auto"/>
        <w:ind w:firstLine="720"/>
        <w:rPr>
          <w:spacing w:val="-3"/>
          <w:sz w:val="26"/>
          <w:szCs w:val="26"/>
        </w:rPr>
      </w:pPr>
    </w:p>
    <w:p w:rsidR="00B12A5A" w:rsidRDefault="00B12A5A" w:rsidP="00B12A5A">
      <w:pPr>
        <w:autoSpaceDE/>
        <w:autoSpaceDN/>
        <w:spacing w:line="360" w:lineRule="auto"/>
        <w:ind w:firstLine="720"/>
        <w:rPr>
          <w:spacing w:val="-3"/>
          <w:sz w:val="26"/>
          <w:szCs w:val="26"/>
        </w:rPr>
      </w:pPr>
      <w:r>
        <w:rPr>
          <w:spacing w:val="-3"/>
          <w:sz w:val="26"/>
          <w:szCs w:val="26"/>
        </w:rPr>
        <w:t xml:space="preserve"> </w:t>
      </w:r>
      <w:r>
        <w:rPr>
          <w:spacing w:val="-3"/>
          <w:sz w:val="26"/>
          <w:szCs w:val="26"/>
        </w:rPr>
        <w:tab/>
        <w:t>The following Parties filed letters on December 5, 2012, indicating that they would not be filing Exceptions to the Recommended Decision: the Duquesne Industrial Intervenors (DII);</w:t>
      </w:r>
      <w:r w:rsidR="007C325F" w:rsidRPr="007C325F">
        <w:rPr>
          <w:bCs/>
          <w:spacing w:val="-3"/>
          <w:sz w:val="26"/>
          <w:szCs w:val="26"/>
        </w:rPr>
        <w:t xml:space="preserve"> </w:t>
      </w:r>
      <w:r w:rsidR="007C325F">
        <w:rPr>
          <w:bCs/>
          <w:spacing w:val="-3"/>
          <w:sz w:val="26"/>
          <w:szCs w:val="26"/>
        </w:rPr>
        <w:t>Citi</w:t>
      </w:r>
      <w:r>
        <w:rPr>
          <w:bCs/>
          <w:spacing w:val="-3"/>
          <w:sz w:val="26"/>
          <w:szCs w:val="26"/>
        </w:rPr>
        <w:t>zen Power, Inc. (Citizen Power);</w:t>
      </w:r>
      <w:r w:rsidR="007C325F" w:rsidRPr="007C325F">
        <w:rPr>
          <w:spacing w:val="-3"/>
          <w:sz w:val="26"/>
          <w:szCs w:val="26"/>
        </w:rPr>
        <w:t xml:space="preserve"> </w:t>
      </w:r>
      <w:r w:rsidR="007C325F">
        <w:rPr>
          <w:spacing w:val="-3"/>
          <w:sz w:val="26"/>
          <w:szCs w:val="26"/>
        </w:rPr>
        <w:t>and Noble Americas Energy Solut</w:t>
      </w:r>
      <w:r>
        <w:rPr>
          <w:spacing w:val="-3"/>
          <w:sz w:val="26"/>
          <w:szCs w:val="26"/>
        </w:rPr>
        <w:t xml:space="preserve">ions, LLC (Noble Americas).  </w:t>
      </w:r>
    </w:p>
    <w:p w:rsidR="00B12A5A" w:rsidRDefault="00B12A5A" w:rsidP="00B12A5A">
      <w:pPr>
        <w:autoSpaceDE/>
        <w:autoSpaceDN/>
        <w:spacing w:line="360" w:lineRule="auto"/>
        <w:ind w:firstLine="720"/>
        <w:rPr>
          <w:spacing w:val="-3"/>
          <w:sz w:val="26"/>
          <w:szCs w:val="26"/>
        </w:rPr>
      </w:pPr>
    </w:p>
    <w:p w:rsidR="001153F4" w:rsidRDefault="00B12A5A" w:rsidP="00B12A5A">
      <w:pPr>
        <w:autoSpaceDE/>
        <w:autoSpaceDN/>
        <w:spacing w:line="360" w:lineRule="auto"/>
        <w:ind w:firstLine="720"/>
        <w:rPr>
          <w:spacing w:val="-3"/>
          <w:sz w:val="26"/>
          <w:szCs w:val="26"/>
        </w:rPr>
      </w:pPr>
      <w:r>
        <w:rPr>
          <w:spacing w:val="-3"/>
          <w:sz w:val="26"/>
          <w:szCs w:val="26"/>
        </w:rPr>
        <w:t xml:space="preserve"> </w:t>
      </w:r>
      <w:r>
        <w:rPr>
          <w:spacing w:val="-3"/>
          <w:sz w:val="26"/>
          <w:szCs w:val="26"/>
        </w:rPr>
        <w:tab/>
      </w:r>
      <w:r w:rsidR="008B766A">
        <w:rPr>
          <w:spacing w:val="-3"/>
          <w:sz w:val="26"/>
          <w:szCs w:val="26"/>
        </w:rPr>
        <w:t xml:space="preserve">Reply </w:t>
      </w:r>
      <w:r w:rsidR="000D2741">
        <w:rPr>
          <w:spacing w:val="-3"/>
          <w:sz w:val="26"/>
          <w:szCs w:val="26"/>
        </w:rPr>
        <w:t>Excep</w:t>
      </w:r>
      <w:r w:rsidR="008B766A">
        <w:rPr>
          <w:spacing w:val="-3"/>
          <w:sz w:val="26"/>
          <w:szCs w:val="26"/>
        </w:rPr>
        <w:t>tions were filed</w:t>
      </w:r>
      <w:r>
        <w:rPr>
          <w:spacing w:val="-3"/>
          <w:sz w:val="26"/>
          <w:szCs w:val="26"/>
        </w:rPr>
        <w:t xml:space="preserve"> on December 17</w:t>
      </w:r>
      <w:r w:rsidR="008B766A">
        <w:rPr>
          <w:spacing w:val="-3"/>
          <w:sz w:val="26"/>
          <w:szCs w:val="26"/>
        </w:rPr>
        <w:t xml:space="preserve">, 2012, by </w:t>
      </w:r>
      <w:r w:rsidR="00B662CD">
        <w:rPr>
          <w:spacing w:val="-3"/>
          <w:sz w:val="26"/>
          <w:szCs w:val="26"/>
        </w:rPr>
        <w:t>Duquesne; the OCA;</w:t>
      </w:r>
      <w:r w:rsidR="001153F4">
        <w:rPr>
          <w:spacing w:val="-3"/>
          <w:sz w:val="26"/>
          <w:szCs w:val="26"/>
        </w:rPr>
        <w:t xml:space="preserve"> </w:t>
      </w:r>
      <w:r w:rsidR="001153F4">
        <w:rPr>
          <w:bCs/>
          <w:spacing w:val="-3"/>
          <w:sz w:val="26"/>
          <w:szCs w:val="26"/>
        </w:rPr>
        <w:t>the Coalition for Affordable Utility Services and Energy Efficiency in Pennsylvania (CAUSE)</w:t>
      </w:r>
      <w:r w:rsidR="00B662CD">
        <w:rPr>
          <w:spacing w:val="-3"/>
          <w:sz w:val="26"/>
          <w:szCs w:val="26"/>
        </w:rPr>
        <w:t>; the OSBA; DII; RESA;</w:t>
      </w:r>
      <w:r w:rsidR="001153F4">
        <w:rPr>
          <w:spacing w:val="-3"/>
          <w:sz w:val="26"/>
          <w:szCs w:val="26"/>
        </w:rPr>
        <w:t xml:space="preserve"> </w:t>
      </w:r>
      <w:r w:rsidR="00B662CD">
        <w:rPr>
          <w:spacing w:val="-3"/>
          <w:sz w:val="26"/>
          <w:szCs w:val="26"/>
        </w:rPr>
        <w:t xml:space="preserve">Dominion; FES; Constellation NewEnergy, </w:t>
      </w:r>
      <w:r w:rsidR="00B867B1">
        <w:rPr>
          <w:spacing w:val="-3"/>
          <w:sz w:val="26"/>
          <w:szCs w:val="26"/>
        </w:rPr>
        <w:t>Inc. and Exelon Generation Company</w:t>
      </w:r>
      <w:r w:rsidR="00B662CD">
        <w:rPr>
          <w:spacing w:val="-3"/>
          <w:sz w:val="26"/>
          <w:szCs w:val="26"/>
        </w:rPr>
        <w:t>, LLC (</w:t>
      </w:r>
      <w:r w:rsidR="00887D36">
        <w:rPr>
          <w:spacing w:val="-3"/>
          <w:sz w:val="26"/>
          <w:szCs w:val="26"/>
        </w:rPr>
        <w:t xml:space="preserve">collectively, </w:t>
      </w:r>
      <w:r w:rsidR="00B662CD">
        <w:rPr>
          <w:spacing w:val="-3"/>
          <w:sz w:val="26"/>
          <w:szCs w:val="26"/>
        </w:rPr>
        <w:t>Constellation); and Citizen Power</w:t>
      </w:r>
      <w:r w:rsidR="001153F4">
        <w:rPr>
          <w:spacing w:val="-3"/>
          <w:sz w:val="26"/>
          <w:szCs w:val="26"/>
        </w:rPr>
        <w:t>.</w:t>
      </w:r>
      <w:r w:rsidR="001153F4" w:rsidRPr="001153F4">
        <w:rPr>
          <w:spacing w:val="-3"/>
          <w:sz w:val="26"/>
          <w:szCs w:val="26"/>
        </w:rPr>
        <w:t xml:space="preserve"> </w:t>
      </w:r>
    </w:p>
    <w:p w:rsidR="001153F4" w:rsidRDefault="001153F4" w:rsidP="001153F4">
      <w:pPr>
        <w:autoSpaceDE/>
        <w:autoSpaceDN/>
        <w:spacing w:line="360" w:lineRule="auto"/>
        <w:rPr>
          <w:spacing w:val="-3"/>
          <w:sz w:val="26"/>
          <w:szCs w:val="26"/>
        </w:rPr>
      </w:pPr>
    </w:p>
    <w:p w:rsidR="000D2741" w:rsidRPr="008B766A" w:rsidRDefault="001153F4" w:rsidP="00B02024">
      <w:pPr>
        <w:autoSpaceDE/>
        <w:autoSpaceDN/>
        <w:spacing w:line="360" w:lineRule="auto"/>
        <w:ind w:firstLine="1440"/>
        <w:rPr>
          <w:spacing w:val="-3"/>
          <w:sz w:val="26"/>
          <w:szCs w:val="26"/>
        </w:rPr>
      </w:pPr>
      <w:r>
        <w:rPr>
          <w:spacing w:val="-3"/>
          <w:sz w:val="26"/>
          <w:szCs w:val="26"/>
        </w:rPr>
        <w:t>Other entities that had active party status in this proceeding are</w:t>
      </w:r>
      <w:r w:rsidRPr="00B12A5A">
        <w:rPr>
          <w:spacing w:val="-3"/>
          <w:sz w:val="26"/>
          <w:szCs w:val="26"/>
        </w:rPr>
        <w:t xml:space="preserve"> </w:t>
      </w:r>
      <w:r>
        <w:rPr>
          <w:spacing w:val="-3"/>
          <w:sz w:val="26"/>
          <w:szCs w:val="26"/>
        </w:rPr>
        <w:t>the Commission’s Bureau of Inve</w:t>
      </w:r>
      <w:r w:rsidR="00B662CD">
        <w:rPr>
          <w:spacing w:val="-3"/>
          <w:sz w:val="26"/>
          <w:szCs w:val="26"/>
        </w:rPr>
        <w:t xml:space="preserve">stigation and Enforcement (BIE) </w:t>
      </w:r>
      <w:r>
        <w:rPr>
          <w:spacing w:val="-3"/>
          <w:sz w:val="26"/>
          <w:szCs w:val="26"/>
        </w:rPr>
        <w:t>and NextEra Energy Services Pennsylvania, LLC (NextEra).</w:t>
      </w:r>
    </w:p>
    <w:p w:rsidR="00E72399" w:rsidRDefault="00E72399" w:rsidP="001153F4">
      <w:pPr>
        <w:autoSpaceDE/>
        <w:autoSpaceDN/>
        <w:spacing w:line="360" w:lineRule="auto"/>
        <w:rPr>
          <w:b/>
          <w:spacing w:val="-3"/>
          <w:sz w:val="26"/>
          <w:szCs w:val="26"/>
        </w:rPr>
      </w:pPr>
    </w:p>
    <w:p w:rsidR="007629EF" w:rsidRPr="000B0447" w:rsidRDefault="007629EF" w:rsidP="000B0447">
      <w:pPr>
        <w:pStyle w:val="Heading1"/>
      </w:pPr>
      <w:bookmarkStart w:id="0" w:name="_Toc346705253"/>
      <w:r w:rsidRPr="000B0447">
        <w:t>I.</w:t>
      </w:r>
      <w:r w:rsidRPr="000B0447">
        <w:tab/>
        <w:t>HISTORY OF THE PROCEEDING</w:t>
      </w:r>
      <w:bookmarkEnd w:id="0"/>
    </w:p>
    <w:p w:rsidR="007629EF" w:rsidRPr="00EE5722" w:rsidRDefault="007629EF" w:rsidP="007205BD">
      <w:pPr>
        <w:tabs>
          <w:tab w:val="center" w:pos="4680"/>
        </w:tabs>
        <w:suppressAutoHyphens/>
        <w:spacing w:line="360" w:lineRule="auto"/>
        <w:jc w:val="center"/>
        <w:rPr>
          <w:b/>
          <w:spacing w:val="-3"/>
          <w:sz w:val="26"/>
          <w:szCs w:val="26"/>
          <w:u w:val="single"/>
        </w:rPr>
      </w:pPr>
    </w:p>
    <w:p w:rsidR="007629EF" w:rsidRPr="00622D1F" w:rsidRDefault="00B12A5A" w:rsidP="007205BD">
      <w:pPr>
        <w:spacing w:line="360" w:lineRule="auto"/>
        <w:rPr>
          <w:sz w:val="26"/>
          <w:szCs w:val="26"/>
        </w:rPr>
      </w:pPr>
      <w:r>
        <w:rPr>
          <w:sz w:val="26"/>
          <w:szCs w:val="26"/>
        </w:rPr>
        <w:tab/>
      </w:r>
      <w:r>
        <w:rPr>
          <w:sz w:val="26"/>
          <w:szCs w:val="26"/>
        </w:rPr>
        <w:tab/>
        <w:t>Duquesne filed the instant</w:t>
      </w:r>
      <w:r w:rsidR="007629EF" w:rsidRPr="00EE5722">
        <w:rPr>
          <w:sz w:val="26"/>
          <w:szCs w:val="26"/>
        </w:rPr>
        <w:t xml:space="preserve"> Petition on April 27, 2012</w:t>
      </w:r>
      <w:r>
        <w:rPr>
          <w:sz w:val="26"/>
          <w:szCs w:val="26"/>
        </w:rPr>
        <w:t>,</w:t>
      </w:r>
      <w:r w:rsidR="007629EF" w:rsidRPr="00EE5722">
        <w:rPr>
          <w:sz w:val="26"/>
          <w:szCs w:val="26"/>
        </w:rPr>
        <w:t xml:space="preserve"> seeking </w:t>
      </w:r>
      <w:r>
        <w:rPr>
          <w:sz w:val="26"/>
          <w:szCs w:val="26"/>
        </w:rPr>
        <w:t xml:space="preserve">(1) </w:t>
      </w:r>
      <w:r w:rsidR="007629EF" w:rsidRPr="00EE5722">
        <w:rPr>
          <w:sz w:val="26"/>
          <w:szCs w:val="26"/>
        </w:rPr>
        <w:t xml:space="preserve">approval from the Commission of its </w:t>
      </w:r>
      <w:r>
        <w:rPr>
          <w:sz w:val="26"/>
          <w:szCs w:val="26"/>
        </w:rPr>
        <w:t>proposed Default Service Plan (DSP</w:t>
      </w:r>
      <w:r w:rsidR="007629EF" w:rsidRPr="00EE5722">
        <w:rPr>
          <w:sz w:val="26"/>
          <w:szCs w:val="26"/>
        </w:rPr>
        <w:t>) for the per</w:t>
      </w:r>
      <w:r>
        <w:rPr>
          <w:sz w:val="26"/>
          <w:szCs w:val="26"/>
        </w:rPr>
        <w:t xml:space="preserve">iod </w:t>
      </w:r>
      <w:r w:rsidR="007629EF" w:rsidRPr="00EE5722">
        <w:rPr>
          <w:sz w:val="26"/>
          <w:szCs w:val="26"/>
        </w:rPr>
        <w:t xml:space="preserve">June 1, </w:t>
      </w:r>
      <w:r w:rsidR="001153F4">
        <w:rPr>
          <w:sz w:val="26"/>
          <w:szCs w:val="26"/>
        </w:rPr>
        <w:lastRenderedPageBreak/>
        <w:t>2013</w:t>
      </w:r>
      <w:r>
        <w:rPr>
          <w:sz w:val="26"/>
          <w:szCs w:val="26"/>
        </w:rPr>
        <w:t>,</w:t>
      </w:r>
      <w:r w:rsidR="007629EF" w:rsidRPr="00EE5722">
        <w:rPr>
          <w:sz w:val="26"/>
          <w:szCs w:val="26"/>
        </w:rPr>
        <w:t xml:space="preserve"> through May 31, 2015</w:t>
      </w:r>
      <w:r>
        <w:rPr>
          <w:sz w:val="26"/>
          <w:szCs w:val="26"/>
        </w:rPr>
        <w:t>,</w:t>
      </w:r>
      <w:r w:rsidR="007629EF" w:rsidRPr="00EE5722">
        <w:rPr>
          <w:sz w:val="26"/>
          <w:szCs w:val="26"/>
        </w:rPr>
        <w:t xml:space="preserve"> and </w:t>
      </w:r>
      <w:r>
        <w:rPr>
          <w:sz w:val="26"/>
          <w:szCs w:val="26"/>
        </w:rPr>
        <w:t xml:space="preserve">(2) </w:t>
      </w:r>
      <w:r w:rsidR="00335D62" w:rsidRPr="00EE5722">
        <w:rPr>
          <w:sz w:val="26"/>
          <w:szCs w:val="26"/>
        </w:rPr>
        <w:t xml:space="preserve">a </w:t>
      </w:r>
      <w:r w:rsidR="007629EF" w:rsidRPr="00EE5722">
        <w:rPr>
          <w:sz w:val="26"/>
          <w:szCs w:val="26"/>
        </w:rPr>
        <w:t>find</w:t>
      </w:r>
      <w:r w:rsidR="00335D62" w:rsidRPr="00EE5722">
        <w:rPr>
          <w:sz w:val="26"/>
          <w:szCs w:val="26"/>
        </w:rPr>
        <w:t>ing</w:t>
      </w:r>
      <w:r>
        <w:rPr>
          <w:sz w:val="26"/>
          <w:szCs w:val="26"/>
        </w:rPr>
        <w:t xml:space="preserve"> its proposed</w:t>
      </w:r>
      <w:r w:rsidR="007629EF" w:rsidRPr="00EE5722">
        <w:rPr>
          <w:sz w:val="26"/>
          <w:szCs w:val="26"/>
        </w:rPr>
        <w:t xml:space="preserve"> DSP satisfies the criteria set forth at </w:t>
      </w:r>
      <w:bookmarkStart w:id="1" w:name="_BA_Cite_79"/>
      <w:r>
        <w:rPr>
          <w:sz w:val="26"/>
          <w:szCs w:val="26"/>
        </w:rPr>
        <w:t xml:space="preserve">Section 2807(e)(3.7) of the Public Utility Code (Code), </w:t>
      </w:r>
      <w:r w:rsidR="007629EF" w:rsidRPr="00EE5722">
        <w:rPr>
          <w:color w:val="000000"/>
          <w:sz w:val="26"/>
          <w:szCs w:val="26"/>
        </w:rPr>
        <w:t>66 Pa.</w:t>
      </w:r>
      <w:r w:rsidR="00381AD6">
        <w:rPr>
          <w:color w:val="000000"/>
          <w:sz w:val="26"/>
          <w:szCs w:val="26"/>
        </w:rPr>
        <w:t xml:space="preserve"> </w:t>
      </w:r>
      <w:r w:rsidR="007629EF" w:rsidRPr="00EE5722">
        <w:rPr>
          <w:color w:val="000000"/>
          <w:sz w:val="26"/>
          <w:szCs w:val="26"/>
        </w:rPr>
        <w:t>C.S</w:t>
      </w:r>
      <w:r>
        <w:rPr>
          <w:color w:val="000000"/>
          <w:sz w:val="26"/>
          <w:szCs w:val="26"/>
        </w:rPr>
        <w:t>.</w:t>
      </w:r>
      <w:r w:rsidR="007629EF" w:rsidRPr="00EE5722">
        <w:rPr>
          <w:color w:val="000000"/>
          <w:sz w:val="26"/>
          <w:szCs w:val="26"/>
        </w:rPr>
        <w:t xml:space="preserve"> §</w:t>
      </w:r>
      <w:r w:rsidR="009F6240">
        <w:rPr>
          <w:color w:val="000000"/>
          <w:sz w:val="26"/>
          <w:szCs w:val="26"/>
        </w:rPr>
        <w:t> </w:t>
      </w:r>
      <w:r w:rsidR="007629EF" w:rsidRPr="00EE5722">
        <w:rPr>
          <w:color w:val="000000"/>
          <w:sz w:val="26"/>
          <w:szCs w:val="26"/>
        </w:rPr>
        <w:t>2807(e)(3.7)</w:t>
      </w:r>
      <w:bookmarkEnd w:id="1"/>
      <w:r w:rsidR="007629EF" w:rsidRPr="00EE5722">
        <w:rPr>
          <w:sz w:val="26"/>
          <w:szCs w:val="26"/>
        </w:rPr>
        <w:t xml:space="preserve">.  </w:t>
      </w:r>
      <w:r>
        <w:rPr>
          <w:sz w:val="26"/>
          <w:szCs w:val="26"/>
        </w:rPr>
        <w:t>The Commission is required by Section 2807(e)(3.6)</w:t>
      </w:r>
      <w:r w:rsidR="009F6240">
        <w:rPr>
          <w:sz w:val="26"/>
          <w:szCs w:val="26"/>
        </w:rPr>
        <w:t xml:space="preserve"> of the Code, </w:t>
      </w:r>
      <w:r w:rsidR="009F6240" w:rsidRPr="00EE5722">
        <w:rPr>
          <w:color w:val="000000"/>
          <w:sz w:val="26"/>
          <w:szCs w:val="26"/>
        </w:rPr>
        <w:t>66 Pa.</w:t>
      </w:r>
      <w:r w:rsidR="00381AD6">
        <w:rPr>
          <w:color w:val="000000"/>
          <w:sz w:val="26"/>
          <w:szCs w:val="26"/>
        </w:rPr>
        <w:t xml:space="preserve"> </w:t>
      </w:r>
      <w:r w:rsidR="009F6240" w:rsidRPr="00EE5722">
        <w:rPr>
          <w:color w:val="000000"/>
          <w:sz w:val="26"/>
          <w:szCs w:val="26"/>
        </w:rPr>
        <w:t>C.S</w:t>
      </w:r>
      <w:r w:rsidR="009F6240">
        <w:rPr>
          <w:color w:val="000000"/>
          <w:sz w:val="26"/>
          <w:szCs w:val="26"/>
        </w:rPr>
        <w:t>.</w:t>
      </w:r>
      <w:r w:rsidR="009F6240" w:rsidRPr="00EE5722">
        <w:rPr>
          <w:color w:val="000000"/>
          <w:sz w:val="26"/>
          <w:szCs w:val="26"/>
        </w:rPr>
        <w:t xml:space="preserve"> §</w:t>
      </w:r>
      <w:r w:rsidR="009F6240">
        <w:rPr>
          <w:color w:val="000000"/>
          <w:sz w:val="26"/>
          <w:szCs w:val="26"/>
        </w:rPr>
        <w:t> </w:t>
      </w:r>
      <w:r w:rsidR="001A3096">
        <w:rPr>
          <w:color w:val="000000"/>
          <w:sz w:val="26"/>
          <w:szCs w:val="26"/>
        </w:rPr>
        <w:t>2807(e)(3.6</w:t>
      </w:r>
      <w:r w:rsidR="009F6240" w:rsidRPr="00EE5722">
        <w:rPr>
          <w:color w:val="000000"/>
          <w:sz w:val="26"/>
          <w:szCs w:val="26"/>
        </w:rPr>
        <w:t>)</w:t>
      </w:r>
      <w:r w:rsidR="009F6240">
        <w:rPr>
          <w:color w:val="000000"/>
          <w:sz w:val="26"/>
          <w:szCs w:val="26"/>
        </w:rPr>
        <w:t xml:space="preserve">, </w:t>
      </w:r>
      <w:r>
        <w:rPr>
          <w:sz w:val="26"/>
          <w:szCs w:val="26"/>
        </w:rPr>
        <w:t>to issue a decision regarding Duquesne’s</w:t>
      </w:r>
      <w:r w:rsidR="007629EF" w:rsidRPr="00EE5722">
        <w:rPr>
          <w:sz w:val="26"/>
          <w:szCs w:val="26"/>
        </w:rPr>
        <w:t xml:space="preserve"> proposed</w:t>
      </w:r>
      <w:r>
        <w:rPr>
          <w:sz w:val="26"/>
          <w:szCs w:val="26"/>
        </w:rPr>
        <w:t xml:space="preserve"> default service plan</w:t>
      </w:r>
      <w:r w:rsidR="007629EF" w:rsidRPr="00EE5722">
        <w:rPr>
          <w:sz w:val="26"/>
          <w:szCs w:val="26"/>
        </w:rPr>
        <w:t xml:space="preserve"> </w:t>
      </w:r>
      <w:r w:rsidR="009F6240">
        <w:rPr>
          <w:sz w:val="26"/>
          <w:szCs w:val="26"/>
        </w:rPr>
        <w:t>withi</w:t>
      </w:r>
      <w:r w:rsidR="001153F4">
        <w:rPr>
          <w:sz w:val="26"/>
          <w:szCs w:val="26"/>
        </w:rPr>
        <w:t>n nine months of the date that the DSP wa</w:t>
      </w:r>
      <w:r w:rsidR="009F6240">
        <w:rPr>
          <w:sz w:val="26"/>
          <w:szCs w:val="26"/>
        </w:rPr>
        <w:t>s filed.  Duquesne avers that its</w:t>
      </w:r>
      <w:r w:rsidR="007629EF" w:rsidRPr="00EE5722">
        <w:rPr>
          <w:sz w:val="26"/>
          <w:szCs w:val="26"/>
        </w:rPr>
        <w:t xml:space="preserve"> </w:t>
      </w:r>
      <w:r w:rsidR="009F6240">
        <w:rPr>
          <w:sz w:val="26"/>
          <w:szCs w:val="26"/>
        </w:rPr>
        <w:t xml:space="preserve">proposed </w:t>
      </w:r>
      <w:r w:rsidR="007629EF" w:rsidRPr="00EE5722">
        <w:rPr>
          <w:sz w:val="26"/>
          <w:szCs w:val="26"/>
        </w:rPr>
        <w:t>DSP</w:t>
      </w:r>
      <w:r w:rsidR="009F6240">
        <w:rPr>
          <w:sz w:val="26"/>
          <w:szCs w:val="26"/>
        </w:rPr>
        <w:t xml:space="preserve"> i</w:t>
      </w:r>
      <w:r w:rsidR="007629EF" w:rsidRPr="00EE5722">
        <w:rPr>
          <w:sz w:val="26"/>
          <w:szCs w:val="26"/>
        </w:rPr>
        <w:t>s designed to provide default service customers with access to an adequate, reliable generation supply at the least cost over time</w:t>
      </w:r>
      <w:r w:rsidR="009F6240">
        <w:rPr>
          <w:sz w:val="26"/>
          <w:szCs w:val="26"/>
        </w:rPr>
        <w:t>,</w:t>
      </w:r>
      <w:r w:rsidR="007629EF" w:rsidRPr="00EE5722">
        <w:rPr>
          <w:sz w:val="26"/>
          <w:szCs w:val="26"/>
        </w:rPr>
        <w:t xml:space="preserve"> and to enable </w:t>
      </w:r>
      <w:r w:rsidR="009F6240">
        <w:rPr>
          <w:sz w:val="26"/>
          <w:szCs w:val="26"/>
        </w:rPr>
        <w:t xml:space="preserve">Duquesne </w:t>
      </w:r>
      <w:r w:rsidR="007629EF" w:rsidRPr="00EE5722">
        <w:rPr>
          <w:sz w:val="26"/>
          <w:szCs w:val="26"/>
        </w:rPr>
        <w:t xml:space="preserve">to recover the costs of furnishing that service in accordance with the Commission’s default service regulations </w:t>
      </w:r>
      <w:bookmarkStart w:id="2" w:name="_BA_Cite_80"/>
      <w:r w:rsidR="009F6240">
        <w:rPr>
          <w:sz w:val="26"/>
          <w:szCs w:val="26"/>
        </w:rPr>
        <w:t xml:space="preserve">at </w:t>
      </w:r>
      <w:r w:rsidR="007629EF" w:rsidRPr="00EE5722">
        <w:rPr>
          <w:color w:val="000000"/>
          <w:sz w:val="26"/>
          <w:szCs w:val="26"/>
        </w:rPr>
        <w:t>52 Pa. Code §§</w:t>
      </w:r>
      <w:r w:rsidR="009F6240">
        <w:rPr>
          <w:color w:val="000000"/>
          <w:sz w:val="26"/>
          <w:szCs w:val="26"/>
        </w:rPr>
        <w:t xml:space="preserve"> </w:t>
      </w:r>
      <w:r w:rsidR="007629EF" w:rsidRPr="00EE5722">
        <w:rPr>
          <w:color w:val="000000"/>
          <w:sz w:val="26"/>
          <w:szCs w:val="26"/>
        </w:rPr>
        <w:t>54.181</w:t>
      </w:r>
      <w:bookmarkEnd w:id="2"/>
      <w:r w:rsidR="009F6240">
        <w:rPr>
          <w:sz w:val="26"/>
          <w:szCs w:val="26"/>
        </w:rPr>
        <w:t xml:space="preserve"> – 54.189,</w:t>
      </w:r>
      <w:r w:rsidR="007629EF" w:rsidRPr="00EE5722">
        <w:rPr>
          <w:sz w:val="26"/>
          <w:szCs w:val="26"/>
        </w:rPr>
        <w:t xml:space="preserve"> and the Commission’s </w:t>
      </w:r>
      <w:bookmarkStart w:id="3" w:name="_BA_Cite_81"/>
      <w:r w:rsidR="007629EF" w:rsidRPr="00EE5722">
        <w:rPr>
          <w:color w:val="000000"/>
          <w:sz w:val="26"/>
          <w:szCs w:val="26"/>
        </w:rPr>
        <w:t>Polic</w:t>
      </w:r>
      <w:r w:rsidR="009F6240">
        <w:rPr>
          <w:color w:val="000000"/>
          <w:sz w:val="26"/>
          <w:szCs w:val="26"/>
        </w:rPr>
        <w:t xml:space="preserve">y Statement on Default Service at </w:t>
      </w:r>
      <w:r w:rsidR="007629EF" w:rsidRPr="00EE5722">
        <w:rPr>
          <w:color w:val="000000"/>
          <w:sz w:val="26"/>
          <w:szCs w:val="26"/>
        </w:rPr>
        <w:t>52 Pa. Code §§</w:t>
      </w:r>
      <w:r w:rsidR="009F6240">
        <w:rPr>
          <w:color w:val="000000"/>
          <w:sz w:val="26"/>
          <w:szCs w:val="26"/>
        </w:rPr>
        <w:t xml:space="preserve"> </w:t>
      </w:r>
      <w:r w:rsidR="007629EF" w:rsidRPr="00EE5722">
        <w:rPr>
          <w:color w:val="000000"/>
          <w:sz w:val="26"/>
          <w:szCs w:val="26"/>
        </w:rPr>
        <w:t>69.1801- 69.1817</w:t>
      </w:r>
      <w:bookmarkEnd w:id="3"/>
      <w:r w:rsidR="007629EF" w:rsidRPr="00EE5722">
        <w:rPr>
          <w:sz w:val="26"/>
          <w:szCs w:val="26"/>
        </w:rPr>
        <w:t xml:space="preserve">.  In addition, </w:t>
      </w:r>
      <w:r w:rsidR="009F6240">
        <w:rPr>
          <w:sz w:val="26"/>
          <w:szCs w:val="26"/>
        </w:rPr>
        <w:t xml:space="preserve">Duquesne </w:t>
      </w:r>
      <w:r w:rsidR="007629EF" w:rsidRPr="00EE5722">
        <w:rPr>
          <w:sz w:val="26"/>
          <w:szCs w:val="26"/>
        </w:rPr>
        <w:t>contends</w:t>
      </w:r>
      <w:r w:rsidR="009F6240">
        <w:rPr>
          <w:sz w:val="26"/>
          <w:szCs w:val="26"/>
        </w:rPr>
        <w:t xml:space="preserve"> its</w:t>
      </w:r>
      <w:r w:rsidR="007629EF" w:rsidRPr="00EE5722">
        <w:rPr>
          <w:sz w:val="26"/>
          <w:szCs w:val="26"/>
        </w:rPr>
        <w:t xml:space="preserve"> </w:t>
      </w:r>
      <w:r w:rsidR="009F6240">
        <w:rPr>
          <w:sz w:val="26"/>
          <w:szCs w:val="26"/>
        </w:rPr>
        <w:t xml:space="preserve">proposed </w:t>
      </w:r>
      <w:r w:rsidR="007629EF" w:rsidRPr="00EE5722">
        <w:rPr>
          <w:sz w:val="26"/>
          <w:szCs w:val="26"/>
        </w:rPr>
        <w:t xml:space="preserve">DSP contains certain competitive market enhancements in accordance with the Commission’s recent Final Order </w:t>
      </w:r>
      <w:r w:rsidR="009F6240">
        <w:rPr>
          <w:sz w:val="26"/>
          <w:szCs w:val="26"/>
        </w:rPr>
        <w:t>issued in</w:t>
      </w:r>
      <w:r w:rsidR="00622D1F">
        <w:rPr>
          <w:sz w:val="26"/>
          <w:szCs w:val="26"/>
        </w:rPr>
        <w:t xml:space="preserve"> the</w:t>
      </w:r>
      <w:r w:rsidR="007629EF" w:rsidRPr="00EE5722">
        <w:rPr>
          <w:i/>
          <w:sz w:val="26"/>
          <w:szCs w:val="26"/>
        </w:rPr>
        <w:t xml:space="preserve"> Investigation of Pennsylvania’s Retail Electricity Market: Intermediate Work Plan</w:t>
      </w:r>
      <w:r w:rsidR="007629EF" w:rsidRPr="00EE5722">
        <w:rPr>
          <w:sz w:val="26"/>
          <w:szCs w:val="26"/>
        </w:rPr>
        <w:t xml:space="preserve">, </w:t>
      </w:r>
      <w:r w:rsidR="009F6240">
        <w:rPr>
          <w:sz w:val="26"/>
          <w:szCs w:val="26"/>
        </w:rPr>
        <w:t xml:space="preserve">Docket No. </w:t>
      </w:r>
      <w:r w:rsidR="00622D1F">
        <w:rPr>
          <w:sz w:val="26"/>
          <w:szCs w:val="26"/>
        </w:rPr>
        <w:t>I</w:t>
      </w:r>
      <w:r w:rsidR="00622D1F">
        <w:rPr>
          <w:sz w:val="26"/>
          <w:szCs w:val="26"/>
        </w:rPr>
        <w:noBreakHyphen/>
      </w:r>
      <w:r w:rsidR="009F6240">
        <w:rPr>
          <w:sz w:val="26"/>
          <w:szCs w:val="26"/>
        </w:rPr>
        <w:t>2011</w:t>
      </w:r>
      <w:r w:rsidR="009F6240">
        <w:rPr>
          <w:sz w:val="26"/>
          <w:szCs w:val="26"/>
        </w:rPr>
        <w:noBreakHyphen/>
        <w:t xml:space="preserve">2237952 (Order entered </w:t>
      </w:r>
      <w:r w:rsidR="007629EF" w:rsidRPr="00EE5722">
        <w:rPr>
          <w:sz w:val="26"/>
          <w:szCs w:val="26"/>
        </w:rPr>
        <w:t>March 2, 2012</w:t>
      </w:r>
      <w:r w:rsidR="009F6240">
        <w:rPr>
          <w:sz w:val="26"/>
          <w:szCs w:val="26"/>
        </w:rPr>
        <w:t>)</w:t>
      </w:r>
      <w:r w:rsidR="00622D1F">
        <w:rPr>
          <w:sz w:val="26"/>
          <w:szCs w:val="26"/>
        </w:rPr>
        <w:t xml:space="preserve"> (</w:t>
      </w:r>
      <w:r w:rsidR="00622D1F" w:rsidRPr="00622D1F">
        <w:rPr>
          <w:i/>
          <w:sz w:val="26"/>
          <w:szCs w:val="26"/>
        </w:rPr>
        <w:t>IWP</w:t>
      </w:r>
      <w:r w:rsidR="003C5728">
        <w:rPr>
          <w:i/>
          <w:sz w:val="26"/>
          <w:szCs w:val="26"/>
        </w:rPr>
        <w:t xml:space="preserve"> </w:t>
      </w:r>
      <w:r w:rsidR="00622D1F" w:rsidRPr="00622D1F">
        <w:rPr>
          <w:i/>
          <w:sz w:val="26"/>
          <w:szCs w:val="26"/>
        </w:rPr>
        <w:t>F</w:t>
      </w:r>
      <w:r w:rsidR="003C5728">
        <w:rPr>
          <w:i/>
          <w:sz w:val="26"/>
          <w:szCs w:val="26"/>
        </w:rPr>
        <w:t>inal</w:t>
      </w:r>
      <w:r w:rsidR="00622D1F" w:rsidRPr="00622D1F">
        <w:rPr>
          <w:i/>
          <w:sz w:val="26"/>
          <w:szCs w:val="26"/>
        </w:rPr>
        <w:t xml:space="preserve"> Order</w:t>
      </w:r>
      <w:r w:rsidR="00622D1F">
        <w:rPr>
          <w:sz w:val="26"/>
          <w:szCs w:val="26"/>
        </w:rPr>
        <w:t>).</w:t>
      </w:r>
      <w:r w:rsidR="006243F1">
        <w:rPr>
          <w:sz w:val="26"/>
          <w:szCs w:val="26"/>
        </w:rPr>
        <w:t xml:space="preserve">  This is Duquesne’s </w:t>
      </w:r>
      <w:r w:rsidR="006243F1" w:rsidRPr="00172900">
        <w:rPr>
          <w:sz w:val="26"/>
          <w:szCs w:val="26"/>
        </w:rPr>
        <w:t>sixth</w:t>
      </w:r>
      <w:r w:rsidR="00622D1F">
        <w:rPr>
          <w:sz w:val="26"/>
          <w:szCs w:val="26"/>
        </w:rPr>
        <w:t xml:space="preserve"> proposed default service plan under Pennsylvania’s Electricity Generation Customer Choice and Competition Act, Act 138 of 1996, as amended by Act 129 of 2008 (Act 129), codified at 66 Pa.</w:t>
      </w:r>
      <w:r w:rsidR="00381AD6">
        <w:rPr>
          <w:sz w:val="26"/>
          <w:szCs w:val="26"/>
        </w:rPr>
        <w:t xml:space="preserve"> </w:t>
      </w:r>
      <w:r w:rsidR="001A3096">
        <w:rPr>
          <w:sz w:val="26"/>
          <w:szCs w:val="26"/>
        </w:rPr>
        <w:t>C.S. §§ 2801 – 2815</w:t>
      </w:r>
      <w:r w:rsidR="00622D1F">
        <w:rPr>
          <w:sz w:val="26"/>
          <w:szCs w:val="26"/>
        </w:rPr>
        <w:t xml:space="preserve"> (Competition Act).</w:t>
      </w:r>
    </w:p>
    <w:p w:rsidR="007629EF" w:rsidRPr="00EE5722" w:rsidRDefault="007629EF" w:rsidP="007629EF">
      <w:pPr>
        <w:spacing w:line="360" w:lineRule="auto"/>
        <w:rPr>
          <w:sz w:val="26"/>
          <w:szCs w:val="26"/>
        </w:rPr>
      </w:pPr>
    </w:p>
    <w:p w:rsidR="006243F1" w:rsidRDefault="007C60EF" w:rsidP="006243F1">
      <w:pPr>
        <w:spacing w:line="360" w:lineRule="auto"/>
        <w:ind w:firstLine="1440"/>
        <w:rPr>
          <w:sz w:val="26"/>
          <w:szCs w:val="26"/>
        </w:rPr>
      </w:pPr>
      <w:r w:rsidRPr="00EE5722">
        <w:rPr>
          <w:sz w:val="26"/>
          <w:szCs w:val="26"/>
        </w:rPr>
        <w:t xml:space="preserve">Copies of the Petition were served in accordance with </w:t>
      </w:r>
      <w:bookmarkStart w:id="4" w:name="_BA_Cite_82"/>
      <w:r w:rsidR="006F7984" w:rsidRPr="00EE5722">
        <w:rPr>
          <w:color w:val="000000"/>
          <w:sz w:val="26"/>
          <w:szCs w:val="26"/>
        </w:rPr>
        <w:t>52 Pa. Code §</w:t>
      </w:r>
      <w:r w:rsidR="00622D1F">
        <w:rPr>
          <w:color w:val="000000"/>
          <w:sz w:val="26"/>
          <w:szCs w:val="26"/>
        </w:rPr>
        <w:t> </w:t>
      </w:r>
      <w:r w:rsidRPr="00EE5722">
        <w:rPr>
          <w:color w:val="000000"/>
          <w:sz w:val="26"/>
          <w:szCs w:val="26"/>
        </w:rPr>
        <w:t>54.185(b)</w:t>
      </w:r>
      <w:bookmarkEnd w:id="4"/>
      <w:r w:rsidRPr="00EE5722">
        <w:rPr>
          <w:sz w:val="26"/>
          <w:szCs w:val="26"/>
        </w:rPr>
        <w:t xml:space="preserve">.  Additionally, on </w:t>
      </w:r>
      <w:r w:rsidR="006F01A1" w:rsidRPr="00EE5722">
        <w:rPr>
          <w:sz w:val="26"/>
          <w:szCs w:val="26"/>
        </w:rPr>
        <w:t>Saturday, May 19, 2012</w:t>
      </w:r>
      <w:r w:rsidRPr="00EE5722">
        <w:rPr>
          <w:sz w:val="26"/>
          <w:szCs w:val="26"/>
        </w:rPr>
        <w:t xml:space="preserve">, the </w:t>
      </w:r>
      <w:r w:rsidRPr="00EE5722">
        <w:rPr>
          <w:i/>
          <w:sz w:val="26"/>
          <w:szCs w:val="26"/>
        </w:rPr>
        <w:t>Pennsylvania Bulletin</w:t>
      </w:r>
      <w:r w:rsidRPr="00EE5722">
        <w:rPr>
          <w:sz w:val="26"/>
          <w:szCs w:val="26"/>
        </w:rPr>
        <w:t xml:space="preserve"> published the Commission’s notice setting a deadline for filing protests, complaints </w:t>
      </w:r>
      <w:r w:rsidR="00622D1F">
        <w:rPr>
          <w:sz w:val="26"/>
          <w:szCs w:val="26"/>
        </w:rPr>
        <w:t xml:space="preserve">or petitions to intervene on or before </w:t>
      </w:r>
      <w:r w:rsidR="006F01A1" w:rsidRPr="00EE5722">
        <w:rPr>
          <w:sz w:val="26"/>
          <w:szCs w:val="26"/>
        </w:rPr>
        <w:t>June 4, 2012</w:t>
      </w:r>
      <w:r w:rsidR="00622D1F">
        <w:rPr>
          <w:sz w:val="26"/>
          <w:szCs w:val="26"/>
        </w:rPr>
        <w:t>, and scheduling a prehearing c</w:t>
      </w:r>
      <w:r w:rsidRPr="00EE5722">
        <w:rPr>
          <w:sz w:val="26"/>
          <w:szCs w:val="26"/>
        </w:rPr>
        <w:t xml:space="preserve">onference for </w:t>
      </w:r>
      <w:r w:rsidR="00FF319C" w:rsidRPr="00EE5722">
        <w:rPr>
          <w:sz w:val="26"/>
          <w:szCs w:val="26"/>
        </w:rPr>
        <w:t>June 8, 2012</w:t>
      </w:r>
      <w:r w:rsidR="00622D1F">
        <w:rPr>
          <w:sz w:val="26"/>
          <w:szCs w:val="26"/>
        </w:rPr>
        <w:t xml:space="preserve"> be</w:t>
      </w:r>
      <w:r w:rsidR="008F2D4F">
        <w:rPr>
          <w:sz w:val="26"/>
          <w:szCs w:val="26"/>
        </w:rPr>
        <w:t>fore ALJ Dunderdale.</w:t>
      </w:r>
      <w:r w:rsidR="001A3096">
        <w:rPr>
          <w:sz w:val="26"/>
          <w:szCs w:val="26"/>
        </w:rPr>
        <w:t xml:space="preserve"> 42 </w:t>
      </w:r>
      <w:r w:rsidR="001A3096" w:rsidRPr="001A3096">
        <w:rPr>
          <w:i/>
          <w:sz w:val="26"/>
          <w:szCs w:val="26"/>
        </w:rPr>
        <w:t>Pa. B.</w:t>
      </w:r>
      <w:r w:rsidR="001A3096">
        <w:rPr>
          <w:sz w:val="26"/>
          <w:szCs w:val="26"/>
        </w:rPr>
        <w:t xml:space="preserve"> 2870.</w:t>
      </w:r>
    </w:p>
    <w:p w:rsidR="006243F1" w:rsidRDefault="006243F1" w:rsidP="006243F1">
      <w:pPr>
        <w:spacing w:line="360" w:lineRule="auto"/>
        <w:ind w:firstLine="1440"/>
        <w:rPr>
          <w:sz w:val="26"/>
          <w:szCs w:val="26"/>
        </w:rPr>
      </w:pPr>
    </w:p>
    <w:p w:rsidR="00154532" w:rsidRDefault="00622D1F" w:rsidP="006243F1">
      <w:pPr>
        <w:spacing w:line="360" w:lineRule="auto"/>
        <w:ind w:firstLine="1440"/>
        <w:rPr>
          <w:sz w:val="26"/>
          <w:szCs w:val="26"/>
        </w:rPr>
      </w:pPr>
      <w:r>
        <w:rPr>
          <w:sz w:val="26"/>
          <w:szCs w:val="26"/>
        </w:rPr>
        <w:t>Pursuant to the schedule established at the prehearing c</w:t>
      </w:r>
      <w:r w:rsidR="006243F1">
        <w:rPr>
          <w:sz w:val="26"/>
          <w:szCs w:val="26"/>
        </w:rPr>
        <w:t xml:space="preserve">onference, </w:t>
      </w:r>
      <w:r>
        <w:rPr>
          <w:sz w:val="26"/>
          <w:szCs w:val="26"/>
        </w:rPr>
        <w:t>Duquesne</w:t>
      </w:r>
      <w:r w:rsidRPr="00EE5722">
        <w:rPr>
          <w:sz w:val="26"/>
          <w:szCs w:val="26"/>
        </w:rPr>
        <w:t xml:space="preserve"> </w:t>
      </w:r>
      <w:r>
        <w:rPr>
          <w:sz w:val="26"/>
          <w:szCs w:val="26"/>
        </w:rPr>
        <w:t xml:space="preserve">submitted the </w:t>
      </w:r>
      <w:r w:rsidR="003606CC" w:rsidRPr="00EE5722">
        <w:rPr>
          <w:sz w:val="26"/>
          <w:szCs w:val="26"/>
        </w:rPr>
        <w:t xml:space="preserve">direct testimony of </w:t>
      </w:r>
      <w:r w:rsidR="00603978" w:rsidRPr="00EE5722">
        <w:rPr>
          <w:sz w:val="26"/>
          <w:szCs w:val="26"/>
        </w:rPr>
        <w:t>Frederick J. Eichenmiller, James E. Wilson, Neil S. Fisher, William V. Pfrommer, Michele R. Sandoe, David G. Wolfe, and Joseph H. Vallarian</w:t>
      </w:r>
      <w:r>
        <w:rPr>
          <w:sz w:val="26"/>
          <w:szCs w:val="26"/>
        </w:rPr>
        <w:t xml:space="preserve"> </w:t>
      </w:r>
      <w:r w:rsidR="003606CC" w:rsidRPr="00EE5722">
        <w:rPr>
          <w:sz w:val="26"/>
          <w:szCs w:val="26"/>
        </w:rPr>
        <w:t xml:space="preserve">on </w:t>
      </w:r>
      <w:r w:rsidR="00603978" w:rsidRPr="00EE5722">
        <w:rPr>
          <w:sz w:val="26"/>
          <w:szCs w:val="26"/>
        </w:rPr>
        <w:t>April 27, 2012</w:t>
      </w:r>
      <w:r w:rsidR="003606CC" w:rsidRPr="00EE5722">
        <w:rPr>
          <w:sz w:val="26"/>
          <w:szCs w:val="26"/>
        </w:rPr>
        <w:t xml:space="preserve">.  </w:t>
      </w:r>
      <w:r>
        <w:rPr>
          <w:sz w:val="26"/>
          <w:szCs w:val="26"/>
        </w:rPr>
        <w:t xml:space="preserve">Various Parties submitted </w:t>
      </w:r>
      <w:r w:rsidR="007C60EF" w:rsidRPr="00EE5722">
        <w:rPr>
          <w:sz w:val="26"/>
          <w:szCs w:val="26"/>
        </w:rPr>
        <w:t>direct, rebuttal and su</w:t>
      </w:r>
      <w:r>
        <w:rPr>
          <w:sz w:val="26"/>
          <w:szCs w:val="26"/>
        </w:rPr>
        <w:t>rrebuttal testimony.  An</w:t>
      </w:r>
      <w:r w:rsidR="00347C26" w:rsidRPr="00EE5722">
        <w:rPr>
          <w:sz w:val="26"/>
          <w:szCs w:val="26"/>
        </w:rPr>
        <w:t xml:space="preserve"> e</w:t>
      </w:r>
      <w:r w:rsidR="007C60EF" w:rsidRPr="00EE5722">
        <w:rPr>
          <w:sz w:val="26"/>
          <w:szCs w:val="26"/>
        </w:rPr>
        <w:t>videntiary hearing</w:t>
      </w:r>
      <w:r w:rsidR="00347C26" w:rsidRPr="00EE5722">
        <w:rPr>
          <w:sz w:val="26"/>
          <w:szCs w:val="26"/>
        </w:rPr>
        <w:t xml:space="preserve"> was</w:t>
      </w:r>
      <w:r w:rsidR="007C60EF" w:rsidRPr="00EE5722">
        <w:rPr>
          <w:sz w:val="26"/>
          <w:szCs w:val="26"/>
        </w:rPr>
        <w:t xml:space="preserve"> held on </w:t>
      </w:r>
      <w:r w:rsidR="00347C26" w:rsidRPr="00EE5722">
        <w:rPr>
          <w:sz w:val="26"/>
          <w:szCs w:val="26"/>
        </w:rPr>
        <w:t>Se</w:t>
      </w:r>
      <w:r w:rsidR="008C1D9A">
        <w:rPr>
          <w:sz w:val="26"/>
          <w:szCs w:val="26"/>
        </w:rPr>
        <w:t>ptember 13, 2012, at which the P</w:t>
      </w:r>
      <w:r w:rsidR="00347C26" w:rsidRPr="00EE5722">
        <w:rPr>
          <w:sz w:val="26"/>
          <w:szCs w:val="26"/>
        </w:rPr>
        <w:t xml:space="preserve">arties </w:t>
      </w:r>
      <w:r w:rsidR="00347C26" w:rsidRPr="00EE5722">
        <w:rPr>
          <w:sz w:val="26"/>
          <w:szCs w:val="26"/>
        </w:rPr>
        <w:lastRenderedPageBreak/>
        <w:t xml:space="preserve">stipulated </w:t>
      </w:r>
      <w:r w:rsidR="008C1D9A">
        <w:rPr>
          <w:sz w:val="26"/>
          <w:szCs w:val="26"/>
        </w:rPr>
        <w:t>to the admission of the Parties’ testimony</w:t>
      </w:r>
      <w:r w:rsidR="00347C26" w:rsidRPr="00EE5722">
        <w:rPr>
          <w:sz w:val="26"/>
          <w:szCs w:val="26"/>
        </w:rPr>
        <w:t xml:space="preserve"> and exhibits without cross-examination</w:t>
      </w:r>
      <w:r w:rsidR="007C60EF" w:rsidRPr="00EE5722">
        <w:rPr>
          <w:sz w:val="26"/>
          <w:szCs w:val="26"/>
        </w:rPr>
        <w:t xml:space="preserve">.  </w:t>
      </w:r>
      <w:r w:rsidR="008C1D9A">
        <w:rPr>
          <w:sz w:val="26"/>
          <w:szCs w:val="26"/>
        </w:rPr>
        <w:t>Several P</w:t>
      </w:r>
      <w:r w:rsidR="00347C26" w:rsidRPr="00EE5722">
        <w:rPr>
          <w:sz w:val="26"/>
          <w:szCs w:val="26"/>
        </w:rPr>
        <w:t>arties</w:t>
      </w:r>
      <w:r w:rsidR="008C1D9A">
        <w:rPr>
          <w:sz w:val="26"/>
          <w:szCs w:val="26"/>
        </w:rPr>
        <w:t xml:space="preserve"> </w:t>
      </w:r>
      <w:r w:rsidR="00347C26" w:rsidRPr="00EE5722">
        <w:rPr>
          <w:sz w:val="26"/>
          <w:szCs w:val="26"/>
        </w:rPr>
        <w:t xml:space="preserve">submitted Main Briefs </w:t>
      </w:r>
      <w:r w:rsidR="008C1D9A">
        <w:rPr>
          <w:sz w:val="26"/>
          <w:szCs w:val="26"/>
        </w:rPr>
        <w:t xml:space="preserve">(M.B.) </w:t>
      </w:r>
      <w:r w:rsidR="00347C26" w:rsidRPr="00EE5722">
        <w:rPr>
          <w:sz w:val="26"/>
          <w:szCs w:val="26"/>
        </w:rPr>
        <w:t>on Octob</w:t>
      </w:r>
      <w:r w:rsidR="002C3CFF" w:rsidRPr="00EE5722">
        <w:rPr>
          <w:sz w:val="26"/>
          <w:szCs w:val="26"/>
        </w:rPr>
        <w:t>er 5, 2012</w:t>
      </w:r>
      <w:r w:rsidR="008C1D9A">
        <w:rPr>
          <w:sz w:val="26"/>
          <w:szCs w:val="26"/>
        </w:rPr>
        <w:t xml:space="preserve">, and </w:t>
      </w:r>
      <w:r w:rsidR="002C3CFF" w:rsidRPr="00EE5722">
        <w:rPr>
          <w:sz w:val="26"/>
          <w:szCs w:val="26"/>
        </w:rPr>
        <w:t xml:space="preserve">Reply </w:t>
      </w:r>
      <w:r w:rsidR="00347C26" w:rsidRPr="00EE5722">
        <w:rPr>
          <w:sz w:val="26"/>
          <w:szCs w:val="26"/>
        </w:rPr>
        <w:t xml:space="preserve">Briefs </w:t>
      </w:r>
      <w:r w:rsidR="008C1D9A">
        <w:rPr>
          <w:sz w:val="26"/>
          <w:szCs w:val="26"/>
        </w:rPr>
        <w:t xml:space="preserve">(R.B.) </w:t>
      </w:r>
      <w:r w:rsidR="00347C26" w:rsidRPr="00EE5722">
        <w:rPr>
          <w:sz w:val="26"/>
          <w:szCs w:val="26"/>
        </w:rPr>
        <w:t>on October 22, 2012</w:t>
      </w:r>
      <w:r w:rsidR="007C60EF" w:rsidRPr="00EE5722">
        <w:rPr>
          <w:sz w:val="26"/>
          <w:szCs w:val="26"/>
        </w:rPr>
        <w:t>.</w:t>
      </w:r>
      <w:r w:rsidR="00180239" w:rsidRPr="00EE5722">
        <w:rPr>
          <w:sz w:val="26"/>
          <w:szCs w:val="26"/>
        </w:rPr>
        <w:t xml:space="preserve"> </w:t>
      </w:r>
      <w:r w:rsidR="008C1D9A">
        <w:rPr>
          <w:sz w:val="26"/>
          <w:szCs w:val="26"/>
        </w:rPr>
        <w:t xml:space="preserve"> T</w:t>
      </w:r>
      <w:r w:rsidR="007C60EF" w:rsidRPr="00EE5722">
        <w:rPr>
          <w:sz w:val="26"/>
          <w:szCs w:val="26"/>
        </w:rPr>
        <w:t xml:space="preserve">he record closed on </w:t>
      </w:r>
      <w:r w:rsidR="002C3CFF" w:rsidRPr="00EE5722">
        <w:rPr>
          <w:sz w:val="26"/>
          <w:szCs w:val="26"/>
        </w:rPr>
        <w:t>October 22</w:t>
      </w:r>
      <w:r w:rsidR="007C60EF" w:rsidRPr="00EE5722">
        <w:rPr>
          <w:sz w:val="26"/>
          <w:szCs w:val="26"/>
        </w:rPr>
        <w:t>, 2012.</w:t>
      </w:r>
      <w:r w:rsidR="004C6A25" w:rsidRPr="00EE5722">
        <w:rPr>
          <w:rStyle w:val="FootnoteReference"/>
          <w:sz w:val="26"/>
          <w:szCs w:val="26"/>
        </w:rPr>
        <w:footnoteReference w:id="1"/>
      </w:r>
    </w:p>
    <w:p w:rsidR="008C1D9A" w:rsidRDefault="008C1D9A" w:rsidP="008E6311">
      <w:pPr>
        <w:pStyle w:val="BodyText2"/>
        <w:keepLines/>
        <w:spacing w:after="0" w:line="360" w:lineRule="auto"/>
        <w:rPr>
          <w:sz w:val="26"/>
          <w:szCs w:val="26"/>
        </w:rPr>
      </w:pPr>
    </w:p>
    <w:p w:rsidR="00B47C45" w:rsidRDefault="008C1D9A" w:rsidP="00B02024">
      <w:pPr>
        <w:pStyle w:val="BodyText2"/>
        <w:keepLines/>
        <w:spacing w:after="0" w:line="360" w:lineRule="auto"/>
        <w:rPr>
          <w:sz w:val="26"/>
          <w:szCs w:val="26"/>
        </w:rPr>
      </w:pPr>
      <w:r>
        <w:rPr>
          <w:sz w:val="26"/>
          <w:szCs w:val="26"/>
        </w:rPr>
        <w:tab/>
      </w:r>
      <w:r>
        <w:rPr>
          <w:sz w:val="26"/>
          <w:szCs w:val="26"/>
        </w:rPr>
        <w:tab/>
        <w:t xml:space="preserve">Exceptions and Reply Exceptions were filed as noted above.  </w:t>
      </w:r>
      <w:r w:rsidR="00B47C45">
        <w:rPr>
          <w:sz w:val="26"/>
          <w:szCs w:val="26"/>
        </w:rPr>
        <w:t xml:space="preserve">Before we address the merits of the Exceptions to the Recommended Decision, we note, as a preliminary matter, that any issue or Exception that we do not specifically address has been duly considered and will be denied without further discussion.  It is well settled that the Commission is not required to consider, expressly or at length, each contention or argument raised by the parties.  </w:t>
      </w:r>
      <w:r w:rsidR="00B47C45">
        <w:rPr>
          <w:i/>
          <w:sz w:val="26"/>
          <w:szCs w:val="26"/>
        </w:rPr>
        <w:t>Consolidated Rail Corporation v. Pa. PUC</w:t>
      </w:r>
      <w:r w:rsidR="00B47C45">
        <w:rPr>
          <w:sz w:val="26"/>
          <w:szCs w:val="26"/>
        </w:rPr>
        <w:t xml:space="preserve">, 625 A.2d 741 (Pa. Cmwlth. 1993); </w:t>
      </w:r>
      <w:r w:rsidR="00B47C45">
        <w:rPr>
          <w:i/>
          <w:sz w:val="26"/>
          <w:szCs w:val="26"/>
        </w:rPr>
        <w:t>see also</w:t>
      </w:r>
      <w:r w:rsidR="00B47C45">
        <w:rPr>
          <w:sz w:val="26"/>
          <w:szCs w:val="26"/>
        </w:rPr>
        <w:t xml:space="preserve">, </w:t>
      </w:r>
      <w:r w:rsidR="00B47C45">
        <w:rPr>
          <w:i/>
          <w:sz w:val="26"/>
          <w:szCs w:val="26"/>
        </w:rPr>
        <w:t>generally</w:t>
      </w:r>
      <w:r w:rsidR="00B47C45">
        <w:rPr>
          <w:sz w:val="26"/>
          <w:szCs w:val="26"/>
        </w:rPr>
        <w:t xml:space="preserve">, </w:t>
      </w:r>
      <w:r w:rsidR="00B47C45">
        <w:rPr>
          <w:i/>
          <w:sz w:val="26"/>
          <w:szCs w:val="26"/>
        </w:rPr>
        <w:t>University of Pennsylvania v. Pa. PUC</w:t>
      </w:r>
      <w:r w:rsidR="00B47C45">
        <w:rPr>
          <w:sz w:val="26"/>
          <w:szCs w:val="26"/>
        </w:rPr>
        <w:t>, 485 A.2d 1217 (Pa. Cmwlth. 1984).</w:t>
      </w:r>
    </w:p>
    <w:p w:rsidR="00450770" w:rsidRPr="00450770" w:rsidRDefault="00450770" w:rsidP="00B02024">
      <w:pPr>
        <w:pStyle w:val="BodyText2"/>
        <w:keepLines/>
        <w:spacing w:after="0" w:line="360" w:lineRule="auto"/>
        <w:rPr>
          <w:sz w:val="26"/>
          <w:szCs w:val="26"/>
        </w:rPr>
      </w:pPr>
    </w:p>
    <w:p w:rsidR="00B47C45" w:rsidRDefault="00B47C45" w:rsidP="000B0447">
      <w:pPr>
        <w:pStyle w:val="Heading1"/>
      </w:pPr>
      <w:bookmarkStart w:id="5" w:name="_Toc337727520"/>
      <w:bookmarkStart w:id="6" w:name="_Toc346705254"/>
      <w:r w:rsidRPr="00B47C45">
        <w:t>II.</w:t>
      </w:r>
      <w:r w:rsidRPr="00B47C45">
        <w:tab/>
        <w:t>STANDARDS APPLICABLE TO DEFAULT SERVICE</w:t>
      </w:r>
      <w:bookmarkEnd w:id="5"/>
      <w:bookmarkEnd w:id="6"/>
    </w:p>
    <w:p w:rsidR="00552F98" w:rsidRDefault="00552F98" w:rsidP="00552F98">
      <w:pPr>
        <w:pStyle w:val="BodyText2"/>
        <w:spacing w:after="0" w:line="360" w:lineRule="auto"/>
        <w:rPr>
          <w:b/>
          <w:sz w:val="26"/>
          <w:szCs w:val="26"/>
          <w:u w:val="single"/>
        </w:rPr>
      </w:pPr>
    </w:p>
    <w:p w:rsidR="00552F98" w:rsidRDefault="00552F98" w:rsidP="00552F98">
      <w:pPr>
        <w:pStyle w:val="BodyText2"/>
        <w:spacing w:after="0" w:line="360" w:lineRule="auto"/>
        <w:ind w:firstLine="1440"/>
        <w:rPr>
          <w:sz w:val="26"/>
          <w:szCs w:val="26"/>
        </w:rPr>
      </w:pPr>
      <w:r>
        <w:rPr>
          <w:sz w:val="26"/>
          <w:szCs w:val="26"/>
        </w:rPr>
        <w:t>The Competition Act</w:t>
      </w:r>
      <w:r w:rsidR="005D2C34">
        <w:rPr>
          <w:sz w:val="26"/>
          <w:szCs w:val="26"/>
        </w:rPr>
        <w:t>, as amended by Act 129,</w:t>
      </w:r>
      <w:r>
        <w:rPr>
          <w:sz w:val="26"/>
          <w:szCs w:val="26"/>
        </w:rPr>
        <w:t xml:space="preserve"> requires that default service providers acquire electric energy through a “prudent mix” of resources that is designed: (1) to provide adequate and reliable service; (2) to provide the least cost to customers over time; and (3) to achieve these results through competitive processes that include auctions, requests for proposals and/or bilateral agreements.  66 Pa. C.S. §§ 2807(e)(3.1) and 2807(e)(3.4).  The Com</w:t>
      </w:r>
      <w:r w:rsidR="005D2C34">
        <w:rPr>
          <w:sz w:val="26"/>
          <w:szCs w:val="26"/>
        </w:rPr>
        <w:t xml:space="preserve">petition Act does not </w:t>
      </w:r>
      <w:r>
        <w:rPr>
          <w:sz w:val="26"/>
          <w:szCs w:val="26"/>
        </w:rPr>
        <w:t>require a specific default service rate design methodology.</w:t>
      </w:r>
    </w:p>
    <w:p w:rsidR="00552F98" w:rsidRDefault="00552F98" w:rsidP="00552F98">
      <w:pPr>
        <w:pStyle w:val="BodyText2"/>
        <w:spacing w:after="0" w:line="360" w:lineRule="auto"/>
        <w:rPr>
          <w:sz w:val="26"/>
          <w:szCs w:val="26"/>
        </w:rPr>
      </w:pPr>
    </w:p>
    <w:p w:rsidR="00552F98" w:rsidRDefault="00552F98" w:rsidP="007E4E77">
      <w:pPr>
        <w:pStyle w:val="BodyText2"/>
        <w:spacing w:after="0" w:line="360" w:lineRule="auto"/>
        <w:ind w:firstLine="1440"/>
        <w:rPr>
          <w:sz w:val="26"/>
          <w:szCs w:val="26"/>
        </w:rPr>
      </w:pPr>
      <w:r>
        <w:rPr>
          <w:sz w:val="26"/>
          <w:szCs w:val="26"/>
        </w:rPr>
        <w:t xml:space="preserve">The Competition Act also mandates that customers have direct access to a competitive retail generation market.  </w:t>
      </w:r>
      <w:r>
        <w:rPr>
          <w:i/>
          <w:sz w:val="26"/>
          <w:szCs w:val="26"/>
        </w:rPr>
        <w:t xml:space="preserve">See </w:t>
      </w:r>
      <w:r>
        <w:rPr>
          <w:sz w:val="26"/>
          <w:szCs w:val="26"/>
        </w:rPr>
        <w:t xml:space="preserve">66 Pa. C.S. § 2802(3).  This mandate is based on the legislative finding that “competitive market forces are more effective than economic regulation in controlling the cost of generating electricity.”  66 Pa. C.S. </w:t>
      </w:r>
      <w:r>
        <w:rPr>
          <w:sz w:val="26"/>
          <w:szCs w:val="26"/>
        </w:rPr>
        <w:lastRenderedPageBreak/>
        <w:t xml:space="preserve">§ 2802(5).  </w:t>
      </w:r>
      <w:r>
        <w:rPr>
          <w:i/>
          <w:sz w:val="26"/>
          <w:szCs w:val="26"/>
        </w:rPr>
        <w:t>See also Green Mountain Energy Company v. Pa. PUC,</w:t>
      </w:r>
      <w:r>
        <w:rPr>
          <w:sz w:val="26"/>
          <w:szCs w:val="26"/>
        </w:rPr>
        <w:t xml:space="preserve"> 812 A.2d 740, 742 (Pa. Cmwlth. 2002) (</w:t>
      </w:r>
      <w:r>
        <w:rPr>
          <w:i/>
          <w:sz w:val="26"/>
          <w:szCs w:val="26"/>
        </w:rPr>
        <w:t>Green Mountain</w:t>
      </w:r>
      <w:r>
        <w:rPr>
          <w:sz w:val="26"/>
          <w:szCs w:val="26"/>
        </w:rPr>
        <w:t xml:space="preserve">).  Thus, a fundamental policy underlying the Competition Act is that competition is more effective than economic regulation in controlling the costs of generating electricity.  </w:t>
      </w:r>
      <w:r>
        <w:rPr>
          <w:i/>
          <w:sz w:val="26"/>
          <w:szCs w:val="26"/>
        </w:rPr>
        <w:t xml:space="preserve">See </w:t>
      </w:r>
      <w:r>
        <w:rPr>
          <w:sz w:val="26"/>
          <w:szCs w:val="26"/>
        </w:rPr>
        <w:t>66 Pa. C.S. § 2802(5).</w:t>
      </w:r>
    </w:p>
    <w:p w:rsidR="00172900" w:rsidRPr="00172900" w:rsidRDefault="00172900" w:rsidP="007E4E77">
      <w:pPr>
        <w:pStyle w:val="BodyText2"/>
        <w:spacing w:after="0" w:line="360" w:lineRule="auto"/>
        <w:ind w:firstLine="1440"/>
        <w:rPr>
          <w:sz w:val="26"/>
          <w:szCs w:val="26"/>
        </w:rPr>
      </w:pPr>
    </w:p>
    <w:p w:rsidR="00552F98" w:rsidRPr="008F2D4F" w:rsidRDefault="007E4E77" w:rsidP="00552F98">
      <w:pPr>
        <w:pStyle w:val="BodyText2"/>
        <w:spacing w:after="0" w:line="360" w:lineRule="auto"/>
        <w:ind w:firstLine="1440"/>
        <w:rPr>
          <w:sz w:val="26"/>
          <w:szCs w:val="26"/>
        </w:rPr>
      </w:pPr>
      <w:r>
        <w:rPr>
          <w:sz w:val="26"/>
          <w:szCs w:val="26"/>
        </w:rPr>
        <w:t>T</w:t>
      </w:r>
      <w:r w:rsidR="00552F98">
        <w:rPr>
          <w:sz w:val="26"/>
          <w:szCs w:val="26"/>
        </w:rPr>
        <w:t xml:space="preserve">he Commission has promulgated regulations governing default service, 52 Pa. Code §§ 54.181 - 54.189, and a policy statement pertaining to default service and retail electric markets, 52 Pa. Code §§ 69.1801 - 69.1817.  The regulations first became effective in 2007, and </w:t>
      </w:r>
      <w:r w:rsidR="005D2C34">
        <w:rPr>
          <w:sz w:val="26"/>
          <w:szCs w:val="26"/>
        </w:rPr>
        <w:t>were amended in 2011</w:t>
      </w:r>
      <w:r w:rsidR="00552F98">
        <w:rPr>
          <w:sz w:val="26"/>
          <w:szCs w:val="26"/>
        </w:rPr>
        <w:t xml:space="preserve"> to incorporate the </w:t>
      </w:r>
      <w:r w:rsidR="005D2C34">
        <w:rPr>
          <w:sz w:val="26"/>
          <w:szCs w:val="26"/>
        </w:rPr>
        <w:t xml:space="preserve">provisions of </w:t>
      </w:r>
      <w:r w:rsidR="00552F98">
        <w:rPr>
          <w:sz w:val="26"/>
          <w:szCs w:val="26"/>
        </w:rPr>
        <w:t>A</w:t>
      </w:r>
      <w:r w:rsidR="005D2C34">
        <w:rPr>
          <w:sz w:val="26"/>
          <w:szCs w:val="26"/>
        </w:rPr>
        <w:t>ct 129</w:t>
      </w:r>
      <w:r w:rsidR="00552F98">
        <w:rPr>
          <w:sz w:val="26"/>
          <w:szCs w:val="26"/>
        </w:rPr>
        <w:t xml:space="preserve">.  </w:t>
      </w:r>
      <w:r w:rsidR="00552F98">
        <w:rPr>
          <w:i/>
          <w:sz w:val="26"/>
          <w:szCs w:val="26"/>
        </w:rPr>
        <w:t>Implementation of Act 129 of October 15, 2008; Default Service and Retail Electric Markets</w:t>
      </w:r>
      <w:r w:rsidR="00552F98">
        <w:rPr>
          <w:sz w:val="26"/>
          <w:szCs w:val="26"/>
        </w:rPr>
        <w:t>, Docket No. L</w:t>
      </w:r>
      <w:r w:rsidR="00552F98">
        <w:rPr>
          <w:sz w:val="26"/>
          <w:szCs w:val="26"/>
        </w:rPr>
        <w:noBreakHyphen/>
        <w:t>2009</w:t>
      </w:r>
      <w:r w:rsidR="00552F98">
        <w:rPr>
          <w:sz w:val="26"/>
          <w:szCs w:val="26"/>
        </w:rPr>
        <w:noBreakHyphen/>
        <w:t>2095604 (Final Rulemaking Order entered October 4, 2011) (</w:t>
      </w:r>
      <w:r w:rsidR="00552F98">
        <w:rPr>
          <w:i/>
          <w:sz w:val="26"/>
          <w:szCs w:val="26"/>
        </w:rPr>
        <w:t>Act 129 Final Rulemaking Order</w:t>
      </w:r>
      <w:r w:rsidR="00552F98">
        <w:rPr>
          <w:sz w:val="26"/>
          <w:szCs w:val="26"/>
        </w:rPr>
        <w:t>).</w:t>
      </w:r>
    </w:p>
    <w:p w:rsidR="00B47C45" w:rsidRDefault="00B47C45" w:rsidP="00B47C45">
      <w:pPr>
        <w:spacing w:line="360" w:lineRule="auto"/>
        <w:rPr>
          <w:bCs/>
          <w:sz w:val="26"/>
          <w:szCs w:val="26"/>
        </w:rPr>
      </w:pPr>
    </w:p>
    <w:p w:rsidR="00B47C45" w:rsidRDefault="00B47C45" w:rsidP="00B47C45">
      <w:pPr>
        <w:spacing w:line="360" w:lineRule="auto"/>
        <w:ind w:firstLine="1440"/>
        <w:rPr>
          <w:sz w:val="26"/>
          <w:szCs w:val="26"/>
        </w:rPr>
      </w:pPr>
      <w:r>
        <w:rPr>
          <w:sz w:val="26"/>
          <w:szCs w:val="26"/>
        </w:rPr>
        <w:t>The General Assembly established the policy goals of Act 129 in its Preamble.  There, in declaring the purpose of Act 129, the General Assembly found that price stability was a key concern that needed to be addressed.  The General Asse</w:t>
      </w:r>
      <w:r w:rsidR="008F2D4F">
        <w:rPr>
          <w:sz w:val="26"/>
          <w:szCs w:val="26"/>
        </w:rPr>
        <w:t>mbly stated in pertinent part:</w:t>
      </w:r>
    </w:p>
    <w:p w:rsidR="00B47C45" w:rsidRDefault="00B47C45" w:rsidP="00B47C45">
      <w:pPr>
        <w:ind w:left="1440" w:right="1440"/>
        <w:rPr>
          <w:sz w:val="26"/>
          <w:szCs w:val="26"/>
        </w:rPr>
      </w:pPr>
    </w:p>
    <w:p w:rsidR="00B47C45" w:rsidRDefault="00B47C45" w:rsidP="00F9199F">
      <w:pPr>
        <w:ind w:left="1440" w:right="1440"/>
        <w:rPr>
          <w:sz w:val="26"/>
          <w:szCs w:val="26"/>
        </w:rPr>
      </w:pPr>
      <w:r>
        <w:rPr>
          <w:sz w:val="26"/>
          <w:szCs w:val="26"/>
        </w:rPr>
        <w:t>The General Assembly recognizes the following public policy findings and declares that the following objectives of the Commonwealth are served by this act:</w:t>
      </w:r>
    </w:p>
    <w:p w:rsidR="00B47C45" w:rsidRDefault="00B47C45" w:rsidP="00F9199F">
      <w:pPr>
        <w:ind w:left="1440" w:right="1440"/>
        <w:rPr>
          <w:sz w:val="26"/>
          <w:szCs w:val="26"/>
        </w:rPr>
      </w:pPr>
    </w:p>
    <w:p w:rsidR="00B47C45" w:rsidRDefault="00B47C45" w:rsidP="00F9199F">
      <w:pPr>
        <w:ind w:left="1440" w:right="1440"/>
        <w:rPr>
          <w:sz w:val="26"/>
          <w:szCs w:val="26"/>
        </w:rPr>
      </w:pPr>
      <w:r>
        <w:rPr>
          <w:sz w:val="26"/>
          <w:szCs w:val="26"/>
        </w:rPr>
        <w:t>(1)</w:t>
      </w:r>
      <w:r>
        <w:rPr>
          <w:sz w:val="26"/>
          <w:szCs w:val="26"/>
        </w:rPr>
        <w:tab/>
        <w:t xml:space="preserve">The health, safety and prosperity of all citizens of this Commonwealth are inherently dependent upon the availability of adequate, reliable, affordable, efficient and environmentally sustainable electric service at the least cost, </w:t>
      </w:r>
      <w:r>
        <w:rPr>
          <w:i/>
          <w:sz w:val="26"/>
          <w:szCs w:val="26"/>
        </w:rPr>
        <w:t>taking into account any benefits of price stability over time</w:t>
      </w:r>
      <w:r>
        <w:rPr>
          <w:sz w:val="26"/>
          <w:szCs w:val="26"/>
        </w:rPr>
        <w:t xml:space="preserve"> and the impact on the environment.</w:t>
      </w:r>
    </w:p>
    <w:p w:rsidR="00B47C45" w:rsidRDefault="00B47C45" w:rsidP="00F9199F">
      <w:pPr>
        <w:ind w:left="1440" w:right="1440"/>
        <w:rPr>
          <w:sz w:val="26"/>
          <w:szCs w:val="26"/>
        </w:rPr>
      </w:pPr>
    </w:p>
    <w:p w:rsidR="00B47C45" w:rsidRDefault="00B47C45" w:rsidP="00F9199F">
      <w:pPr>
        <w:ind w:left="1440" w:right="1440"/>
        <w:rPr>
          <w:sz w:val="26"/>
          <w:szCs w:val="26"/>
        </w:rPr>
      </w:pPr>
      <w:r>
        <w:rPr>
          <w:sz w:val="26"/>
          <w:szCs w:val="26"/>
        </w:rPr>
        <w:t>(2)</w:t>
      </w:r>
      <w:r>
        <w:rPr>
          <w:sz w:val="26"/>
          <w:szCs w:val="26"/>
        </w:rPr>
        <w:tab/>
        <w:t xml:space="preserve">It is in the public interest to adopt energy efficiency and conservation measures and to implement energy procurement requirements designed to </w:t>
      </w:r>
      <w:r>
        <w:rPr>
          <w:i/>
          <w:sz w:val="26"/>
          <w:szCs w:val="26"/>
        </w:rPr>
        <w:t>ensure that electricity obtained reduces the possibility of electric price instability</w:t>
      </w:r>
      <w:r>
        <w:rPr>
          <w:sz w:val="26"/>
          <w:szCs w:val="26"/>
        </w:rPr>
        <w:t xml:space="preserve">, </w:t>
      </w:r>
      <w:r>
        <w:rPr>
          <w:sz w:val="26"/>
          <w:szCs w:val="26"/>
        </w:rPr>
        <w:lastRenderedPageBreak/>
        <w:t>promotes economic growth and ensures affordable and available electric service to all residents.</w:t>
      </w:r>
    </w:p>
    <w:p w:rsidR="00B47C45" w:rsidRDefault="00B47C45" w:rsidP="00F9199F">
      <w:pPr>
        <w:ind w:left="1440" w:right="1440"/>
        <w:rPr>
          <w:sz w:val="26"/>
          <w:szCs w:val="26"/>
        </w:rPr>
      </w:pPr>
    </w:p>
    <w:p w:rsidR="00B47C45" w:rsidRDefault="00B47C45" w:rsidP="00F9199F">
      <w:pPr>
        <w:ind w:left="1440" w:right="1440"/>
        <w:rPr>
          <w:sz w:val="26"/>
          <w:szCs w:val="26"/>
        </w:rPr>
      </w:pPr>
      <w:r>
        <w:rPr>
          <w:sz w:val="26"/>
          <w:szCs w:val="26"/>
        </w:rPr>
        <w:t>(3)</w:t>
      </w:r>
      <w:r>
        <w:rPr>
          <w:sz w:val="26"/>
          <w:szCs w:val="26"/>
        </w:rPr>
        <w:tab/>
        <w:t>It is in the public interest to expand the use of alternative energy and to explore the feasibility of new sources of alternative energy to provide electric generation in this Commonwealth.</w:t>
      </w:r>
    </w:p>
    <w:p w:rsidR="005D2C34" w:rsidRDefault="005D2C34" w:rsidP="00B47C45">
      <w:pPr>
        <w:spacing w:line="360" w:lineRule="auto"/>
        <w:rPr>
          <w:sz w:val="26"/>
          <w:szCs w:val="26"/>
          <w:u w:val="single"/>
        </w:rPr>
      </w:pPr>
    </w:p>
    <w:p w:rsidR="00B47C45" w:rsidRDefault="00B47C45" w:rsidP="00B47C45">
      <w:pPr>
        <w:spacing w:line="360" w:lineRule="auto"/>
        <w:rPr>
          <w:sz w:val="26"/>
          <w:szCs w:val="26"/>
        </w:rPr>
      </w:pPr>
      <w:r>
        <w:rPr>
          <w:sz w:val="26"/>
          <w:szCs w:val="26"/>
        </w:rPr>
        <w:t>Preambl</w:t>
      </w:r>
      <w:r w:rsidR="008F2D4F">
        <w:rPr>
          <w:sz w:val="26"/>
          <w:szCs w:val="26"/>
        </w:rPr>
        <w:t>e to Act 129 (emphasis added).</w:t>
      </w:r>
    </w:p>
    <w:p w:rsidR="00B47C45" w:rsidRDefault="00B47C45" w:rsidP="00B47C45">
      <w:pPr>
        <w:spacing w:line="360" w:lineRule="auto"/>
        <w:rPr>
          <w:sz w:val="26"/>
          <w:szCs w:val="26"/>
        </w:rPr>
      </w:pPr>
    </w:p>
    <w:p w:rsidR="00B47C45" w:rsidRDefault="007E4E77" w:rsidP="00B47C45">
      <w:pPr>
        <w:spacing w:line="360" w:lineRule="auto"/>
        <w:ind w:firstLine="1440"/>
        <w:rPr>
          <w:sz w:val="26"/>
          <w:szCs w:val="26"/>
        </w:rPr>
      </w:pPr>
      <w:r>
        <w:rPr>
          <w:sz w:val="26"/>
          <w:szCs w:val="26"/>
        </w:rPr>
        <w:t xml:space="preserve">As the highlighted language </w:t>
      </w:r>
      <w:r w:rsidR="00B47C45">
        <w:rPr>
          <w:sz w:val="26"/>
          <w:szCs w:val="26"/>
        </w:rPr>
        <w:t>demonstrate</w:t>
      </w:r>
      <w:r>
        <w:rPr>
          <w:sz w:val="26"/>
          <w:szCs w:val="26"/>
        </w:rPr>
        <w:t>s</w:t>
      </w:r>
      <w:r w:rsidR="00B47C45">
        <w:rPr>
          <w:sz w:val="26"/>
          <w:szCs w:val="26"/>
        </w:rPr>
        <w:t>, the General Assembly required that default service providers work to ensure price stability.  In addition to price stabil</w:t>
      </w:r>
      <w:r w:rsidR="005D2C34">
        <w:rPr>
          <w:sz w:val="26"/>
          <w:szCs w:val="26"/>
        </w:rPr>
        <w:t>ity, the Competition Act provides</w:t>
      </w:r>
      <w:r w:rsidR="00B47C45">
        <w:rPr>
          <w:sz w:val="26"/>
          <w:szCs w:val="26"/>
        </w:rPr>
        <w:t xml:space="preserve"> that default service should be designed to be adequate, reliable, affordable, efficient, and available to all residents.  The General Assembly established a series of policy object</w:t>
      </w:r>
      <w:r>
        <w:rPr>
          <w:sz w:val="26"/>
          <w:szCs w:val="26"/>
        </w:rPr>
        <w:t>ives that each electric distribution c</w:t>
      </w:r>
      <w:r w:rsidR="00B47C45">
        <w:rPr>
          <w:sz w:val="26"/>
          <w:szCs w:val="26"/>
        </w:rPr>
        <w:t>ompany (EDC) must work to achieve through its default ser</w:t>
      </w:r>
      <w:r w:rsidR="008F2D4F">
        <w:rPr>
          <w:sz w:val="26"/>
          <w:szCs w:val="26"/>
        </w:rPr>
        <w:t>vice plan.</w:t>
      </w:r>
    </w:p>
    <w:p w:rsidR="00B47C45" w:rsidRDefault="00B47C45" w:rsidP="00B47C45">
      <w:pPr>
        <w:spacing w:line="360" w:lineRule="auto"/>
        <w:rPr>
          <w:sz w:val="26"/>
          <w:szCs w:val="26"/>
        </w:rPr>
      </w:pPr>
    </w:p>
    <w:p w:rsidR="00B47C45" w:rsidRDefault="00B47C45" w:rsidP="00B47C45">
      <w:pPr>
        <w:spacing w:line="360" w:lineRule="auto"/>
        <w:rPr>
          <w:sz w:val="26"/>
          <w:szCs w:val="26"/>
        </w:rPr>
      </w:pPr>
      <w:r>
        <w:rPr>
          <w:sz w:val="26"/>
          <w:szCs w:val="26"/>
        </w:rPr>
        <w:tab/>
      </w:r>
      <w:r>
        <w:rPr>
          <w:sz w:val="26"/>
          <w:szCs w:val="26"/>
        </w:rPr>
        <w:tab/>
      </w:r>
      <w:r w:rsidR="007E4E77">
        <w:rPr>
          <w:sz w:val="26"/>
          <w:szCs w:val="26"/>
        </w:rPr>
        <w:t xml:space="preserve">Under </w:t>
      </w:r>
      <w:r>
        <w:rPr>
          <w:sz w:val="26"/>
          <w:szCs w:val="26"/>
        </w:rPr>
        <w:t>Section 2807(e)</w:t>
      </w:r>
      <w:r w:rsidR="00381AD6">
        <w:rPr>
          <w:sz w:val="26"/>
          <w:szCs w:val="26"/>
        </w:rPr>
        <w:t xml:space="preserve"> of the Code</w:t>
      </w:r>
      <w:r>
        <w:rPr>
          <w:sz w:val="26"/>
          <w:szCs w:val="26"/>
        </w:rPr>
        <w:t xml:space="preserve">, </w:t>
      </w:r>
      <w:r w:rsidR="00381AD6">
        <w:rPr>
          <w:sz w:val="26"/>
          <w:szCs w:val="26"/>
        </w:rPr>
        <w:t xml:space="preserve">66 Pa. C.S. § 2807(e), </w:t>
      </w:r>
      <w:r>
        <w:rPr>
          <w:i/>
          <w:sz w:val="26"/>
          <w:szCs w:val="26"/>
        </w:rPr>
        <w:t>Obligation to serve</w:t>
      </w:r>
      <w:r w:rsidR="007E4E77">
        <w:rPr>
          <w:sz w:val="26"/>
          <w:szCs w:val="26"/>
        </w:rPr>
        <w:t xml:space="preserve">, </w:t>
      </w:r>
      <w:r>
        <w:rPr>
          <w:sz w:val="26"/>
          <w:szCs w:val="26"/>
        </w:rPr>
        <w:t xml:space="preserve">EDCs are required to provide electric generation supply service to all of their default service customers through Commission-approved competitive procurement plans.  </w:t>
      </w:r>
      <w:r w:rsidR="007E4E77">
        <w:rPr>
          <w:sz w:val="26"/>
          <w:szCs w:val="26"/>
        </w:rPr>
        <w:t>Electric g</w:t>
      </w:r>
      <w:r>
        <w:rPr>
          <w:sz w:val="26"/>
          <w:szCs w:val="26"/>
        </w:rPr>
        <w:t xml:space="preserve">eneration </w:t>
      </w:r>
      <w:r w:rsidR="007E4E77">
        <w:rPr>
          <w:sz w:val="26"/>
          <w:szCs w:val="26"/>
        </w:rPr>
        <w:t xml:space="preserve">supply </w:t>
      </w:r>
      <w:r>
        <w:rPr>
          <w:sz w:val="26"/>
          <w:szCs w:val="26"/>
        </w:rPr>
        <w:t>is to be procured through competitive p</w:t>
      </w:r>
      <w:r w:rsidR="00364FCD">
        <w:rPr>
          <w:sz w:val="26"/>
          <w:szCs w:val="26"/>
        </w:rPr>
        <w:t>rocurement processes, including</w:t>
      </w:r>
      <w:r w:rsidR="007E4E77">
        <w:rPr>
          <w:sz w:val="26"/>
          <w:szCs w:val="26"/>
        </w:rPr>
        <w:t xml:space="preserve"> </w:t>
      </w:r>
      <w:r>
        <w:rPr>
          <w:sz w:val="26"/>
          <w:szCs w:val="26"/>
        </w:rPr>
        <w:t>auctions, requests for proposals, and</w:t>
      </w:r>
      <w:r w:rsidR="007E4E77">
        <w:rPr>
          <w:sz w:val="26"/>
          <w:szCs w:val="26"/>
        </w:rPr>
        <w:t>/or</w:t>
      </w:r>
      <w:r>
        <w:rPr>
          <w:sz w:val="26"/>
          <w:szCs w:val="26"/>
        </w:rPr>
        <w:t xml:space="preserve"> bilateral agreements. </w:t>
      </w:r>
    </w:p>
    <w:p w:rsidR="00B47C45" w:rsidRDefault="00B47C45" w:rsidP="00B47C45">
      <w:pPr>
        <w:spacing w:line="360" w:lineRule="auto"/>
        <w:rPr>
          <w:sz w:val="26"/>
          <w:szCs w:val="26"/>
        </w:rPr>
      </w:pPr>
    </w:p>
    <w:p w:rsidR="00B47C45" w:rsidRDefault="00B47C45" w:rsidP="00B47C45">
      <w:pPr>
        <w:spacing w:line="360" w:lineRule="auto"/>
        <w:ind w:firstLine="1440"/>
        <w:rPr>
          <w:sz w:val="26"/>
          <w:szCs w:val="26"/>
        </w:rPr>
      </w:pPr>
      <w:r>
        <w:rPr>
          <w:sz w:val="26"/>
          <w:szCs w:val="26"/>
        </w:rPr>
        <w:t xml:space="preserve">Act 129 </w:t>
      </w:r>
      <w:r w:rsidR="007E4E77">
        <w:rPr>
          <w:sz w:val="26"/>
          <w:szCs w:val="26"/>
        </w:rPr>
        <w:t xml:space="preserve">also </w:t>
      </w:r>
      <w:r>
        <w:rPr>
          <w:sz w:val="26"/>
          <w:szCs w:val="26"/>
        </w:rPr>
        <w:t>requires a prudent mix of contracts including the following:</w:t>
      </w:r>
    </w:p>
    <w:p w:rsidR="00B47C45" w:rsidRDefault="00B47C45" w:rsidP="00B47C45">
      <w:pPr>
        <w:ind w:firstLine="720"/>
        <w:rPr>
          <w:sz w:val="26"/>
          <w:szCs w:val="26"/>
        </w:rPr>
      </w:pPr>
    </w:p>
    <w:p w:rsidR="00B47C45" w:rsidRDefault="00B47C45" w:rsidP="009A739B">
      <w:pPr>
        <w:numPr>
          <w:ilvl w:val="0"/>
          <w:numId w:val="16"/>
        </w:numPr>
        <w:ind w:left="1440" w:right="1440" w:firstLine="0"/>
        <w:rPr>
          <w:sz w:val="26"/>
          <w:szCs w:val="26"/>
        </w:rPr>
      </w:pPr>
      <w:r>
        <w:rPr>
          <w:sz w:val="26"/>
          <w:szCs w:val="26"/>
        </w:rPr>
        <w:t>Spot market purchases.</w:t>
      </w:r>
    </w:p>
    <w:p w:rsidR="00B47C45" w:rsidRDefault="00B47C45" w:rsidP="00F9199F">
      <w:pPr>
        <w:ind w:left="1440" w:right="1440"/>
        <w:rPr>
          <w:sz w:val="26"/>
          <w:szCs w:val="26"/>
        </w:rPr>
      </w:pPr>
    </w:p>
    <w:p w:rsidR="00B47C45" w:rsidRDefault="00B47C45" w:rsidP="009A739B">
      <w:pPr>
        <w:numPr>
          <w:ilvl w:val="0"/>
          <w:numId w:val="16"/>
        </w:numPr>
        <w:ind w:left="1440" w:right="1440" w:firstLine="0"/>
        <w:rPr>
          <w:sz w:val="26"/>
          <w:szCs w:val="26"/>
        </w:rPr>
      </w:pPr>
      <w:r>
        <w:rPr>
          <w:sz w:val="26"/>
          <w:szCs w:val="26"/>
        </w:rPr>
        <w:t>Short-term contracts.</w:t>
      </w:r>
    </w:p>
    <w:p w:rsidR="00B47C45" w:rsidRDefault="00B47C45" w:rsidP="00F9199F">
      <w:pPr>
        <w:ind w:left="1440" w:right="1440"/>
        <w:rPr>
          <w:sz w:val="26"/>
          <w:szCs w:val="26"/>
        </w:rPr>
      </w:pPr>
    </w:p>
    <w:p w:rsidR="00B47C45" w:rsidRDefault="00B47C45" w:rsidP="009A739B">
      <w:pPr>
        <w:numPr>
          <w:ilvl w:val="0"/>
          <w:numId w:val="16"/>
        </w:numPr>
        <w:ind w:left="1440" w:right="1440" w:firstLine="0"/>
        <w:rPr>
          <w:sz w:val="26"/>
          <w:szCs w:val="26"/>
        </w:rPr>
      </w:pPr>
      <w:r>
        <w:rPr>
          <w:sz w:val="26"/>
          <w:szCs w:val="26"/>
        </w:rPr>
        <w:t>Long-term purchase contracts, entered into as a result of an auction, request for proposal or bilateral contract that is free of undue influence, duress or favoritism, of more than four and not more than 20 years.</w:t>
      </w:r>
    </w:p>
    <w:p w:rsidR="00B47C45" w:rsidRDefault="00B47C45" w:rsidP="00B47C45">
      <w:pPr>
        <w:ind w:left="1440" w:right="1440"/>
        <w:rPr>
          <w:sz w:val="26"/>
          <w:szCs w:val="26"/>
        </w:rPr>
      </w:pPr>
    </w:p>
    <w:p w:rsidR="00B47C45" w:rsidRDefault="008F2D4F" w:rsidP="00B47C45">
      <w:pPr>
        <w:rPr>
          <w:sz w:val="26"/>
          <w:szCs w:val="26"/>
        </w:rPr>
      </w:pPr>
      <w:r>
        <w:rPr>
          <w:sz w:val="26"/>
          <w:szCs w:val="26"/>
        </w:rPr>
        <w:lastRenderedPageBreak/>
        <w:t>66 Pa. C.S. § 2807(e)(3.2).</w:t>
      </w:r>
    </w:p>
    <w:p w:rsidR="00B47C45" w:rsidRDefault="00B47C45" w:rsidP="00B47C45">
      <w:pPr>
        <w:spacing w:line="360" w:lineRule="auto"/>
        <w:rPr>
          <w:sz w:val="26"/>
          <w:szCs w:val="26"/>
        </w:rPr>
      </w:pPr>
    </w:p>
    <w:p w:rsidR="00B47C45" w:rsidRDefault="007E4E77" w:rsidP="00B47C45">
      <w:pPr>
        <w:spacing w:line="360" w:lineRule="auto"/>
        <w:ind w:firstLine="1440"/>
        <w:rPr>
          <w:sz w:val="26"/>
          <w:szCs w:val="26"/>
        </w:rPr>
      </w:pPr>
      <w:r>
        <w:rPr>
          <w:sz w:val="26"/>
          <w:szCs w:val="26"/>
        </w:rPr>
        <w:t xml:space="preserve">Act 129 </w:t>
      </w:r>
      <w:r w:rsidR="00B47C45">
        <w:rPr>
          <w:sz w:val="26"/>
          <w:szCs w:val="26"/>
        </w:rPr>
        <w:t>requires that the prudent mix of contracts be designed to achieve certain goals, as follows:</w:t>
      </w:r>
    </w:p>
    <w:p w:rsidR="00B47C45" w:rsidRDefault="00B47C45" w:rsidP="00B47C45">
      <w:pPr>
        <w:ind w:left="1440" w:right="1440" w:firstLine="720"/>
        <w:rPr>
          <w:sz w:val="26"/>
          <w:szCs w:val="26"/>
        </w:rPr>
      </w:pPr>
    </w:p>
    <w:p w:rsidR="00B47C45" w:rsidRDefault="00B47C45" w:rsidP="00F9199F">
      <w:pPr>
        <w:ind w:left="1440" w:right="1440"/>
        <w:rPr>
          <w:sz w:val="26"/>
          <w:szCs w:val="26"/>
        </w:rPr>
      </w:pPr>
      <w:r>
        <w:rPr>
          <w:sz w:val="26"/>
          <w:szCs w:val="26"/>
        </w:rPr>
        <w:t>The prudent mix of contracts entered into pursuant to paragraphs (3.2) and (3.3) shall be designed to ensure:</w:t>
      </w:r>
    </w:p>
    <w:p w:rsidR="00B47C45" w:rsidRDefault="00B47C45" w:rsidP="00F9199F">
      <w:pPr>
        <w:ind w:left="1440" w:right="1440"/>
        <w:rPr>
          <w:sz w:val="26"/>
          <w:szCs w:val="26"/>
        </w:rPr>
      </w:pPr>
    </w:p>
    <w:p w:rsidR="00B47C45" w:rsidRDefault="00B47C45" w:rsidP="009A739B">
      <w:pPr>
        <w:numPr>
          <w:ilvl w:val="0"/>
          <w:numId w:val="17"/>
        </w:numPr>
        <w:ind w:left="1440" w:right="1440" w:firstLine="0"/>
        <w:rPr>
          <w:sz w:val="26"/>
          <w:szCs w:val="26"/>
        </w:rPr>
      </w:pPr>
      <w:r>
        <w:rPr>
          <w:sz w:val="26"/>
          <w:szCs w:val="26"/>
        </w:rPr>
        <w:t>Adequate and reliable service.</w:t>
      </w:r>
    </w:p>
    <w:p w:rsidR="00B47C45" w:rsidRDefault="00B47C45" w:rsidP="001A3096">
      <w:pPr>
        <w:ind w:left="1440" w:right="1440"/>
        <w:rPr>
          <w:sz w:val="26"/>
          <w:szCs w:val="26"/>
        </w:rPr>
      </w:pPr>
    </w:p>
    <w:p w:rsidR="00B47C45" w:rsidRDefault="00B47C45" w:rsidP="009A739B">
      <w:pPr>
        <w:numPr>
          <w:ilvl w:val="0"/>
          <w:numId w:val="17"/>
        </w:numPr>
        <w:ind w:left="1440" w:right="1440" w:firstLine="0"/>
        <w:rPr>
          <w:sz w:val="26"/>
          <w:szCs w:val="26"/>
        </w:rPr>
      </w:pPr>
      <w:r>
        <w:rPr>
          <w:sz w:val="26"/>
          <w:szCs w:val="26"/>
        </w:rPr>
        <w:t>The least cost to customers over time.</w:t>
      </w:r>
    </w:p>
    <w:p w:rsidR="00B47C45" w:rsidRDefault="00B47C45" w:rsidP="001A3096">
      <w:pPr>
        <w:ind w:left="1440" w:right="1440"/>
        <w:rPr>
          <w:sz w:val="26"/>
          <w:szCs w:val="26"/>
        </w:rPr>
      </w:pPr>
    </w:p>
    <w:p w:rsidR="00B47C45" w:rsidRDefault="00B47C45" w:rsidP="009A739B">
      <w:pPr>
        <w:numPr>
          <w:ilvl w:val="0"/>
          <w:numId w:val="17"/>
        </w:numPr>
        <w:ind w:left="1440" w:right="1440" w:firstLine="0"/>
        <w:rPr>
          <w:sz w:val="26"/>
          <w:szCs w:val="26"/>
        </w:rPr>
      </w:pPr>
      <w:r>
        <w:rPr>
          <w:sz w:val="26"/>
          <w:szCs w:val="26"/>
        </w:rPr>
        <w:t>Compliance with the requirements of paragraph (3.1).</w:t>
      </w:r>
    </w:p>
    <w:p w:rsidR="00B47C45" w:rsidRDefault="00B47C45" w:rsidP="00B47C45">
      <w:pPr>
        <w:ind w:left="1440" w:right="1440"/>
        <w:rPr>
          <w:sz w:val="26"/>
          <w:szCs w:val="26"/>
        </w:rPr>
      </w:pPr>
    </w:p>
    <w:p w:rsidR="00B47C45" w:rsidRDefault="008F2D4F" w:rsidP="00B47C45">
      <w:pPr>
        <w:ind w:right="1440"/>
        <w:rPr>
          <w:sz w:val="26"/>
          <w:szCs w:val="26"/>
        </w:rPr>
      </w:pPr>
      <w:r>
        <w:rPr>
          <w:sz w:val="26"/>
          <w:szCs w:val="26"/>
        </w:rPr>
        <w:t>66 Pa. C.S. § 2807(e)(3.4).</w:t>
      </w:r>
    </w:p>
    <w:p w:rsidR="00B47C45" w:rsidRDefault="00B47C45" w:rsidP="00B47C45">
      <w:pPr>
        <w:spacing w:line="360" w:lineRule="auto"/>
        <w:ind w:left="1440" w:right="1440"/>
        <w:rPr>
          <w:sz w:val="26"/>
          <w:szCs w:val="26"/>
        </w:rPr>
      </w:pPr>
    </w:p>
    <w:p w:rsidR="00B47C45" w:rsidRDefault="00B47C45" w:rsidP="00B47C45">
      <w:pPr>
        <w:spacing w:line="360" w:lineRule="auto"/>
        <w:rPr>
          <w:sz w:val="26"/>
          <w:szCs w:val="26"/>
        </w:rPr>
      </w:pPr>
      <w:r>
        <w:rPr>
          <w:sz w:val="26"/>
          <w:szCs w:val="26"/>
        </w:rPr>
        <w:tab/>
      </w:r>
      <w:r>
        <w:rPr>
          <w:sz w:val="26"/>
          <w:szCs w:val="26"/>
        </w:rPr>
        <w:tab/>
        <w:t>Act 129 further requires that the</w:t>
      </w:r>
      <w:r w:rsidR="00364FCD">
        <w:rPr>
          <w:sz w:val="26"/>
          <w:szCs w:val="26"/>
        </w:rPr>
        <w:t xml:space="preserve"> Commission evaluate whether a</w:t>
      </w:r>
      <w:r w:rsidR="00381AD6">
        <w:rPr>
          <w:sz w:val="26"/>
          <w:szCs w:val="26"/>
        </w:rPr>
        <w:t xml:space="preserve"> default service provider</w:t>
      </w:r>
      <w:r>
        <w:rPr>
          <w:sz w:val="26"/>
          <w:szCs w:val="26"/>
        </w:rPr>
        <w:t>’s plan meets the requirements of the Act.  The Commission must take several factors into consideration, and must make specific findings tha</w:t>
      </w:r>
      <w:r w:rsidR="00364FCD">
        <w:rPr>
          <w:sz w:val="26"/>
          <w:szCs w:val="26"/>
        </w:rPr>
        <w:t>t a</w:t>
      </w:r>
      <w:r>
        <w:rPr>
          <w:sz w:val="26"/>
          <w:szCs w:val="26"/>
        </w:rPr>
        <w:t xml:space="preserve"> default </w:t>
      </w:r>
      <w:r w:rsidR="00381AD6">
        <w:rPr>
          <w:sz w:val="26"/>
          <w:szCs w:val="26"/>
        </w:rPr>
        <w:t xml:space="preserve">service </w:t>
      </w:r>
      <w:r>
        <w:rPr>
          <w:sz w:val="26"/>
          <w:szCs w:val="26"/>
        </w:rPr>
        <w:t>supplier’s plan meets the requirements of Act 129, as follows:</w:t>
      </w:r>
    </w:p>
    <w:p w:rsidR="00B47C45" w:rsidRDefault="00B47C45" w:rsidP="00B47C45">
      <w:pPr>
        <w:autoSpaceDE/>
        <w:rPr>
          <w:sz w:val="26"/>
          <w:szCs w:val="26"/>
        </w:rPr>
      </w:pPr>
    </w:p>
    <w:p w:rsidR="00B47C45" w:rsidRDefault="00B47C45" w:rsidP="00F9199F">
      <w:pPr>
        <w:ind w:left="1440" w:right="1440"/>
        <w:rPr>
          <w:sz w:val="26"/>
          <w:szCs w:val="26"/>
        </w:rPr>
      </w:pPr>
      <w:r>
        <w:rPr>
          <w:sz w:val="26"/>
          <w:szCs w:val="26"/>
        </w:rPr>
        <w:t>(3.7)</w:t>
      </w:r>
      <w:r>
        <w:rPr>
          <w:sz w:val="26"/>
          <w:szCs w:val="26"/>
        </w:rPr>
        <w:tab/>
        <w:t>At the time the commission evaluates the plan and prior to approval, in determining if the default electric service provider’s plan obtains generation supply at the least cost, the commission shall consider the default service provider’s obligation to provide adequate and reliable service to customers and that the default service provider has obtained a prudent mix of contracts to obtain least cost on a long-term, short-term and spot market basis and shall make specific findings which shall include the following:</w:t>
      </w:r>
    </w:p>
    <w:p w:rsidR="00B47C45" w:rsidRDefault="00B47C45" w:rsidP="00F9199F">
      <w:pPr>
        <w:ind w:left="1440" w:right="1440"/>
        <w:rPr>
          <w:sz w:val="26"/>
          <w:szCs w:val="26"/>
        </w:rPr>
      </w:pPr>
    </w:p>
    <w:p w:rsidR="00B47C45" w:rsidRDefault="00B47C45" w:rsidP="009A739B">
      <w:pPr>
        <w:numPr>
          <w:ilvl w:val="0"/>
          <w:numId w:val="18"/>
        </w:numPr>
        <w:ind w:left="1440" w:right="1440" w:firstLine="0"/>
        <w:rPr>
          <w:sz w:val="26"/>
          <w:szCs w:val="26"/>
        </w:rPr>
      </w:pPr>
      <w:r>
        <w:rPr>
          <w:sz w:val="26"/>
          <w:szCs w:val="26"/>
        </w:rPr>
        <w:t>The default service provider’s plan includes prudent steps necessary to negotiate favorabl</w:t>
      </w:r>
      <w:r w:rsidR="008F2D4F">
        <w:rPr>
          <w:sz w:val="26"/>
          <w:szCs w:val="26"/>
        </w:rPr>
        <w:t>e generation supply contracts.</w:t>
      </w:r>
    </w:p>
    <w:p w:rsidR="00B47C45" w:rsidRDefault="00B47C45" w:rsidP="00F9199F">
      <w:pPr>
        <w:ind w:left="1440" w:right="1440"/>
        <w:rPr>
          <w:sz w:val="26"/>
          <w:szCs w:val="26"/>
        </w:rPr>
      </w:pPr>
    </w:p>
    <w:p w:rsidR="00B47C45" w:rsidRDefault="00B47C45" w:rsidP="009A739B">
      <w:pPr>
        <w:numPr>
          <w:ilvl w:val="0"/>
          <w:numId w:val="18"/>
        </w:numPr>
        <w:ind w:left="1440" w:right="1440" w:firstLine="0"/>
        <w:rPr>
          <w:sz w:val="26"/>
          <w:szCs w:val="26"/>
        </w:rPr>
      </w:pPr>
      <w:r>
        <w:rPr>
          <w:sz w:val="26"/>
          <w:szCs w:val="26"/>
        </w:rPr>
        <w:t>The default service provider’s plan includes prudent steps necessary to obtain least cost generation supply contracts on a long-term, short-term and spot market basis.</w:t>
      </w:r>
    </w:p>
    <w:p w:rsidR="00B47C45" w:rsidRDefault="00B47C45" w:rsidP="00F9199F">
      <w:pPr>
        <w:ind w:left="1440" w:right="1440"/>
        <w:rPr>
          <w:sz w:val="26"/>
          <w:szCs w:val="26"/>
        </w:rPr>
      </w:pPr>
    </w:p>
    <w:p w:rsidR="00B47C45" w:rsidRDefault="00B47C45" w:rsidP="009A739B">
      <w:pPr>
        <w:numPr>
          <w:ilvl w:val="0"/>
          <w:numId w:val="18"/>
        </w:numPr>
        <w:ind w:left="1440" w:right="1440" w:firstLine="0"/>
        <w:rPr>
          <w:sz w:val="26"/>
          <w:szCs w:val="26"/>
        </w:rPr>
      </w:pPr>
      <w:r>
        <w:rPr>
          <w:sz w:val="26"/>
          <w:szCs w:val="26"/>
        </w:rPr>
        <w:lastRenderedPageBreak/>
        <w:t>Neither the default service provider nor its affiliated interest has withheld from the market any generation supply in a manner that violates Federal law.</w:t>
      </w:r>
    </w:p>
    <w:p w:rsidR="00B47C45" w:rsidRDefault="00B47C45" w:rsidP="00B47C45">
      <w:pPr>
        <w:ind w:left="1440" w:right="1440"/>
        <w:rPr>
          <w:sz w:val="26"/>
          <w:szCs w:val="26"/>
        </w:rPr>
      </w:pPr>
    </w:p>
    <w:p w:rsidR="00B47C45" w:rsidRDefault="008F2D4F" w:rsidP="00B47C45">
      <w:pPr>
        <w:ind w:right="1440"/>
        <w:rPr>
          <w:sz w:val="26"/>
          <w:szCs w:val="26"/>
        </w:rPr>
      </w:pPr>
      <w:r>
        <w:rPr>
          <w:sz w:val="26"/>
          <w:szCs w:val="26"/>
        </w:rPr>
        <w:t>66 Pa. C.S. § 2807(e)(3.7).</w:t>
      </w:r>
    </w:p>
    <w:p w:rsidR="00E3377E" w:rsidRDefault="00E3377E" w:rsidP="00B47C45">
      <w:pPr>
        <w:ind w:right="1440"/>
        <w:rPr>
          <w:sz w:val="26"/>
          <w:szCs w:val="26"/>
        </w:rPr>
      </w:pPr>
    </w:p>
    <w:p w:rsidR="00B47C45" w:rsidRDefault="00B47C45" w:rsidP="00B47C45">
      <w:pPr>
        <w:ind w:right="1440"/>
        <w:rPr>
          <w:sz w:val="26"/>
          <w:szCs w:val="26"/>
        </w:rPr>
      </w:pPr>
    </w:p>
    <w:p w:rsidR="00B47C45" w:rsidRDefault="00B47C45" w:rsidP="00B47C45">
      <w:pPr>
        <w:spacing w:line="360" w:lineRule="auto"/>
        <w:ind w:firstLine="1440"/>
        <w:rPr>
          <w:sz w:val="26"/>
          <w:szCs w:val="26"/>
        </w:rPr>
      </w:pPr>
      <w:r>
        <w:rPr>
          <w:sz w:val="26"/>
          <w:szCs w:val="26"/>
        </w:rPr>
        <w:t xml:space="preserve">The Commission recently has interpreted the prudent mix standard and held that a DSP can, in some unique cases, have only one product but still meet the prudent mix standard if that product is the least cost over time.  </w:t>
      </w:r>
      <w:r>
        <w:rPr>
          <w:i/>
          <w:sz w:val="26"/>
          <w:szCs w:val="26"/>
        </w:rPr>
        <w:t xml:space="preserve">Petition of Pike County Light &amp; Power Company for Approval of its Default Service Implementation Plan, </w:t>
      </w:r>
      <w:r>
        <w:rPr>
          <w:sz w:val="26"/>
          <w:szCs w:val="26"/>
        </w:rPr>
        <w:t>Docket No. P</w:t>
      </w:r>
      <w:r>
        <w:rPr>
          <w:sz w:val="26"/>
          <w:szCs w:val="26"/>
        </w:rPr>
        <w:noBreakHyphen/>
        <w:t>2011-2252042 (Order entered May 24, 2012) (</w:t>
      </w:r>
      <w:r>
        <w:rPr>
          <w:i/>
          <w:sz w:val="26"/>
          <w:szCs w:val="26"/>
        </w:rPr>
        <w:t>Pike County DSP Order</w:t>
      </w:r>
      <w:r>
        <w:rPr>
          <w:sz w:val="26"/>
          <w:szCs w:val="26"/>
        </w:rPr>
        <w:t xml:space="preserve">).  The Commission found that requiring Pike County </w:t>
      </w:r>
      <w:r w:rsidR="00364FCD">
        <w:rPr>
          <w:sz w:val="26"/>
          <w:szCs w:val="26"/>
        </w:rPr>
        <w:t xml:space="preserve">Light and Power Company (Pike County) </w:t>
      </w:r>
      <w:r>
        <w:rPr>
          <w:sz w:val="26"/>
          <w:szCs w:val="26"/>
        </w:rPr>
        <w:t xml:space="preserve">to include a hedge with </w:t>
      </w:r>
      <w:r w:rsidR="00381AD6">
        <w:rPr>
          <w:sz w:val="26"/>
          <w:szCs w:val="26"/>
        </w:rPr>
        <w:t xml:space="preserve">its spot purchases did not </w:t>
      </w:r>
      <w:r>
        <w:rPr>
          <w:sz w:val="26"/>
          <w:szCs w:val="26"/>
        </w:rPr>
        <w:t>comply with least cost procurement, and thus found that requiring Pik</w:t>
      </w:r>
      <w:r w:rsidR="00364FCD">
        <w:rPr>
          <w:sz w:val="26"/>
          <w:szCs w:val="26"/>
        </w:rPr>
        <w:t xml:space="preserve">e County </w:t>
      </w:r>
      <w:r>
        <w:rPr>
          <w:sz w:val="26"/>
          <w:szCs w:val="26"/>
        </w:rPr>
        <w:t xml:space="preserve">to obtain a hedge would produce an unreasonable result.  </w:t>
      </w:r>
      <w:r>
        <w:rPr>
          <w:i/>
          <w:sz w:val="26"/>
          <w:szCs w:val="26"/>
        </w:rPr>
        <w:t xml:space="preserve">Id. </w:t>
      </w:r>
      <w:r>
        <w:rPr>
          <w:sz w:val="26"/>
          <w:szCs w:val="26"/>
        </w:rPr>
        <w:t>at 30</w:t>
      </w:r>
      <w:r>
        <w:rPr>
          <w:i/>
          <w:sz w:val="26"/>
          <w:szCs w:val="26"/>
        </w:rPr>
        <w:t>.</w:t>
      </w:r>
      <w:r>
        <w:rPr>
          <w:sz w:val="26"/>
          <w:szCs w:val="26"/>
        </w:rPr>
        <w:t xml:space="preserve">  The Commission held that a prudent mix of spot market purchases and short and long term contracts should be designed in a flexible manner to permit default service providers to design their own combination of products to meet the requirements of the statute.  </w:t>
      </w:r>
      <w:r>
        <w:rPr>
          <w:i/>
          <w:sz w:val="26"/>
          <w:szCs w:val="26"/>
        </w:rPr>
        <w:t>Id.</w:t>
      </w:r>
      <w:r>
        <w:rPr>
          <w:sz w:val="26"/>
          <w:szCs w:val="26"/>
        </w:rPr>
        <w:t xml:space="preserve">  In the </w:t>
      </w:r>
      <w:r>
        <w:rPr>
          <w:i/>
          <w:sz w:val="26"/>
          <w:szCs w:val="26"/>
        </w:rPr>
        <w:t>Act 129 Final Rulemaking Order</w:t>
      </w:r>
      <w:r>
        <w:rPr>
          <w:sz w:val="26"/>
          <w:szCs w:val="26"/>
        </w:rPr>
        <w:t xml:space="preserve">, the Commission declined to predetermine an appropriate mix of default service load that should be provided by various products.  </w:t>
      </w:r>
      <w:r>
        <w:rPr>
          <w:i/>
          <w:sz w:val="26"/>
          <w:szCs w:val="26"/>
        </w:rPr>
        <w:t xml:space="preserve">Id. </w:t>
      </w:r>
      <w:r w:rsidR="008F2D4F">
        <w:rPr>
          <w:sz w:val="26"/>
          <w:szCs w:val="26"/>
        </w:rPr>
        <w:t>at 66.</w:t>
      </w:r>
    </w:p>
    <w:p w:rsidR="00B47C45" w:rsidRDefault="00B47C45" w:rsidP="00B47C45">
      <w:pPr>
        <w:spacing w:line="360" w:lineRule="auto"/>
        <w:ind w:firstLine="1440"/>
        <w:rPr>
          <w:sz w:val="26"/>
          <w:szCs w:val="26"/>
        </w:rPr>
      </w:pPr>
    </w:p>
    <w:p w:rsidR="00B47C45" w:rsidRPr="00381AD6" w:rsidRDefault="00B47C45" w:rsidP="00381AD6">
      <w:pPr>
        <w:pStyle w:val="NoSpacing"/>
        <w:spacing w:line="360" w:lineRule="auto"/>
        <w:ind w:firstLine="1440"/>
        <w:rPr>
          <w:rFonts w:ascii="Times New Roman" w:hAnsi="Times New Roman"/>
          <w:sz w:val="26"/>
          <w:szCs w:val="26"/>
        </w:rPr>
      </w:pPr>
      <w:r>
        <w:rPr>
          <w:rFonts w:ascii="Times New Roman" w:hAnsi="Times New Roman"/>
          <w:sz w:val="26"/>
          <w:szCs w:val="26"/>
        </w:rPr>
        <w:t>The Commission is charged with taking measures to develop a competitive retail market so that the market can function to drive the price of electricity down as low as possible for the benefit of consumers.  66 Pa. C.S. § 2802(3), (5).</w:t>
      </w:r>
      <w:r w:rsidR="00381AD6" w:rsidRPr="00381AD6">
        <w:rPr>
          <w:rFonts w:ascii="Times New Roman" w:hAnsi="Times New Roman"/>
          <w:sz w:val="26"/>
          <w:szCs w:val="26"/>
        </w:rPr>
        <w:t xml:space="preserve">  </w:t>
      </w:r>
      <w:r w:rsidRPr="00381AD6">
        <w:rPr>
          <w:rFonts w:ascii="Times New Roman" w:hAnsi="Times New Roman"/>
          <w:sz w:val="26"/>
          <w:szCs w:val="26"/>
        </w:rPr>
        <w:t xml:space="preserve">In the </w:t>
      </w:r>
      <w:r w:rsidRPr="00381AD6">
        <w:rPr>
          <w:rFonts w:ascii="Times New Roman" w:hAnsi="Times New Roman"/>
          <w:i/>
          <w:sz w:val="26"/>
          <w:szCs w:val="26"/>
        </w:rPr>
        <w:t>Act 129 Final Rulemaking Order</w:t>
      </w:r>
      <w:r w:rsidRPr="00381AD6">
        <w:rPr>
          <w:rFonts w:ascii="Times New Roman" w:hAnsi="Times New Roman"/>
          <w:sz w:val="26"/>
          <w:szCs w:val="26"/>
        </w:rPr>
        <w:t>, the Commission considered the statutory standards and the intent of the General Asse</w:t>
      </w:r>
      <w:r w:rsidR="00364FCD" w:rsidRPr="00381AD6">
        <w:rPr>
          <w:rFonts w:ascii="Times New Roman" w:hAnsi="Times New Roman"/>
          <w:sz w:val="26"/>
          <w:szCs w:val="26"/>
        </w:rPr>
        <w:t>mbly when developing the final r</w:t>
      </w:r>
      <w:r w:rsidRPr="00381AD6">
        <w:rPr>
          <w:rFonts w:ascii="Times New Roman" w:hAnsi="Times New Roman"/>
          <w:sz w:val="26"/>
          <w:szCs w:val="26"/>
        </w:rPr>
        <w:t>egulations.  In particular, when considering the “least cost over time” standard in Act 129, the Commission concluded as follows:</w:t>
      </w:r>
    </w:p>
    <w:p w:rsidR="00B47C45" w:rsidRPr="00381AD6" w:rsidRDefault="00B47C45" w:rsidP="00B47C45">
      <w:pPr>
        <w:rPr>
          <w:sz w:val="26"/>
          <w:szCs w:val="26"/>
        </w:rPr>
      </w:pPr>
    </w:p>
    <w:p w:rsidR="00B47C45" w:rsidRDefault="00B47C45" w:rsidP="00B47C45">
      <w:pPr>
        <w:ind w:left="1440" w:right="1440"/>
        <w:rPr>
          <w:sz w:val="26"/>
          <w:szCs w:val="26"/>
        </w:rPr>
      </w:pPr>
      <w:r>
        <w:rPr>
          <w:sz w:val="26"/>
          <w:szCs w:val="26"/>
        </w:rPr>
        <w:t xml:space="preserve">…that the Legislature, in utilizing the language “least cost over time” did not provide a clear-cut definition of the term.  </w:t>
      </w:r>
      <w:r>
        <w:rPr>
          <w:sz w:val="26"/>
          <w:szCs w:val="26"/>
        </w:rPr>
        <w:lastRenderedPageBreak/>
        <w:t xml:space="preserve">As such, we must be guided by the comments received as well as our own experience and sound discretion in implementing both the Competition Act and Act 129 consistent with the plain language and, where ambiguous, </w:t>
      </w:r>
      <w:r>
        <w:rPr>
          <w:i/>
          <w:sz w:val="26"/>
          <w:szCs w:val="26"/>
        </w:rPr>
        <w:t>the legislative intent</w:t>
      </w:r>
      <w:r>
        <w:rPr>
          <w:sz w:val="26"/>
          <w:szCs w:val="26"/>
        </w:rPr>
        <w:t>.</w:t>
      </w:r>
    </w:p>
    <w:p w:rsidR="00B47C45" w:rsidRDefault="00B47C45" w:rsidP="00B47C45">
      <w:pPr>
        <w:rPr>
          <w:sz w:val="26"/>
          <w:szCs w:val="26"/>
        </w:rPr>
      </w:pPr>
    </w:p>
    <w:p w:rsidR="00B47C45" w:rsidRDefault="00B47C45" w:rsidP="00B47C45">
      <w:pPr>
        <w:rPr>
          <w:sz w:val="26"/>
          <w:szCs w:val="26"/>
        </w:rPr>
      </w:pPr>
      <w:r>
        <w:rPr>
          <w:i/>
          <w:sz w:val="26"/>
          <w:szCs w:val="26"/>
        </w:rPr>
        <w:t>Act 129 Final Rulemaking Order</w:t>
      </w:r>
      <w:r>
        <w:rPr>
          <w:sz w:val="26"/>
          <w:szCs w:val="26"/>
        </w:rPr>
        <w:t xml:space="preserve"> at 37 (emphasis added).</w:t>
      </w:r>
    </w:p>
    <w:p w:rsidR="00B47C45" w:rsidRDefault="00B47C45" w:rsidP="00B47C45">
      <w:pPr>
        <w:rPr>
          <w:sz w:val="26"/>
          <w:szCs w:val="26"/>
        </w:rPr>
      </w:pPr>
    </w:p>
    <w:p w:rsidR="00B47C45" w:rsidRDefault="00B47C45" w:rsidP="00B47C45">
      <w:pPr>
        <w:spacing w:line="360" w:lineRule="auto"/>
        <w:rPr>
          <w:sz w:val="26"/>
          <w:szCs w:val="26"/>
        </w:rPr>
      </w:pPr>
      <w:r>
        <w:rPr>
          <w:sz w:val="26"/>
          <w:szCs w:val="26"/>
        </w:rPr>
        <w:tab/>
      </w:r>
      <w:r>
        <w:rPr>
          <w:sz w:val="26"/>
          <w:szCs w:val="26"/>
        </w:rPr>
        <w:tab/>
        <w:t>In interpreting Act 129, the Commission has found rate stability to be an important goal when developing a prudent mix of supplies for default service.  The Commission recognized the benefits of rate stability as it relates to the “least cost over time” standard, as follows:</w:t>
      </w:r>
    </w:p>
    <w:p w:rsidR="00B47C45" w:rsidRDefault="00B47C45" w:rsidP="00B47C45">
      <w:pPr>
        <w:rPr>
          <w:sz w:val="26"/>
          <w:szCs w:val="26"/>
        </w:rPr>
      </w:pPr>
    </w:p>
    <w:p w:rsidR="00B47C45" w:rsidRDefault="00B47C45" w:rsidP="00B47C45">
      <w:pPr>
        <w:ind w:left="1440" w:right="1440"/>
        <w:rPr>
          <w:sz w:val="26"/>
          <w:szCs w:val="26"/>
        </w:rPr>
      </w:pPr>
      <w:r>
        <w:rPr>
          <w:sz w:val="26"/>
          <w:szCs w:val="26"/>
        </w:rPr>
        <w:t xml:space="preserve">In our view, a default service plan that meets the “least cost over time” standard should not have, as its singular focus, the achievement of the absolute lowest cost over the default service plan time frame but rather a cost for power that is both </w:t>
      </w:r>
      <w:r>
        <w:rPr>
          <w:i/>
          <w:sz w:val="26"/>
          <w:szCs w:val="26"/>
        </w:rPr>
        <w:t>relatively stable</w:t>
      </w:r>
      <w:r>
        <w:rPr>
          <w:sz w:val="26"/>
          <w:szCs w:val="26"/>
        </w:rPr>
        <w:t xml:space="preserve"> and also economical relative to other options.</w:t>
      </w:r>
    </w:p>
    <w:p w:rsidR="00B47C45" w:rsidRDefault="00B47C45" w:rsidP="00B47C45">
      <w:pPr>
        <w:rPr>
          <w:sz w:val="26"/>
          <w:szCs w:val="26"/>
        </w:rPr>
      </w:pPr>
    </w:p>
    <w:p w:rsidR="00B47C45" w:rsidRDefault="00B47C45" w:rsidP="00B47C45">
      <w:pPr>
        <w:spacing w:line="360" w:lineRule="auto"/>
        <w:rPr>
          <w:sz w:val="26"/>
          <w:szCs w:val="26"/>
        </w:rPr>
      </w:pPr>
      <w:r>
        <w:rPr>
          <w:i/>
          <w:sz w:val="26"/>
          <w:szCs w:val="26"/>
        </w:rPr>
        <w:t>Act 129 Final Rulemaking Order</w:t>
      </w:r>
      <w:r w:rsidR="001A3096">
        <w:rPr>
          <w:sz w:val="26"/>
          <w:szCs w:val="26"/>
        </w:rPr>
        <w:t xml:space="preserve"> at 40</w:t>
      </w:r>
      <w:r w:rsidR="008F2D4F">
        <w:rPr>
          <w:sz w:val="26"/>
          <w:szCs w:val="26"/>
        </w:rPr>
        <w:t xml:space="preserve"> (emphasis added).</w:t>
      </w:r>
    </w:p>
    <w:p w:rsidR="00B47C45" w:rsidRDefault="00B47C45" w:rsidP="00B47C45">
      <w:pPr>
        <w:spacing w:line="360" w:lineRule="auto"/>
        <w:rPr>
          <w:sz w:val="26"/>
          <w:szCs w:val="26"/>
        </w:rPr>
      </w:pPr>
    </w:p>
    <w:p w:rsidR="00B47C45" w:rsidRDefault="00B47C45" w:rsidP="00B47C45">
      <w:pPr>
        <w:spacing w:line="360" w:lineRule="auto"/>
        <w:rPr>
          <w:sz w:val="26"/>
          <w:szCs w:val="26"/>
        </w:rPr>
      </w:pPr>
      <w:r>
        <w:rPr>
          <w:sz w:val="26"/>
          <w:szCs w:val="26"/>
        </w:rPr>
        <w:tab/>
      </w:r>
      <w:r>
        <w:rPr>
          <w:sz w:val="26"/>
          <w:szCs w:val="26"/>
        </w:rPr>
        <w:tab/>
        <w:t>The Commission further elaborated on the importance of price stability, noting that Act 129 requires a prudent mix of a variety of products.  The Commission continued:</w:t>
      </w:r>
    </w:p>
    <w:p w:rsidR="00B47C45" w:rsidRDefault="00B47C45" w:rsidP="00B47C45">
      <w:pPr>
        <w:rPr>
          <w:sz w:val="26"/>
          <w:szCs w:val="26"/>
        </w:rPr>
      </w:pPr>
    </w:p>
    <w:p w:rsidR="00B47C45" w:rsidRDefault="00B47C45" w:rsidP="00B47C45">
      <w:pPr>
        <w:ind w:left="1440" w:right="1440"/>
        <w:rPr>
          <w:sz w:val="26"/>
          <w:szCs w:val="26"/>
        </w:rPr>
      </w:pPr>
      <w:r>
        <w:rPr>
          <w:sz w:val="26"/>
          <w:szCs w:val="26"/>
        </w:rPr>
        <w:t>Price stability benefits are very important to some customer groups, so an interpretation of “least cost” that mandates subjecting all default service customers to significant price volatility through general reliance on short term pricing is inconsistent with Act 129’s objectives.  This is especially true given that the statute specifically enumerates short-term (up to 4 years) and long-term (over 4 to 20 years) contracts as part of the “prudent mix” of contracts that should be included in a default service plan.  66 Pa. C.S. § 2807(e)(3.2).</w:t>
      </w:r>
    </w:p>
    <w:p w:rsidR="00B47C45" w:rsidRDefault="00B47C45" w:rsidP="00B47C45">
      <w:pPr>
        <w:rPr>
          <w:sz w:val="26"/>
          <w:szCs w:val="26"/>
        </w:rPr>
      </w:pPr>
    </w:p>
    <w:p w:rsidR="00B47C45" w:rsidRDefault="00B47C45" w:rsidP="00B02024">
      <w:pPr>
        <w:pStyle w:val="BriefL1"/>
        <w:numPr>
          <w:ilvl w:val="0"/>
          <w:numId w:val="0"/>
        </w:numPr>
        <w:tabs>
          <w:tab w:val="left" w:pos="720"/>
        </w:tabs>
        <w:spacing w:after="0" w:line="360" w:lineRule="auto"/>
        <w:ind w:left="720" w:hanging="630"/>
        <w:jc w:val="left"/>
        <w:rPr>
          <w:b w:val="0"/>
          <w:caps w:val="0"/>
          <w:sz w:val="26"/>
          <w:szCs w:val="26"/>
        </w:rPr>
      </w:pPr>
      <w:r>
        <w:rPr>
          <w:b w:val="0"/>
          <w:i/>
          <w:caps w:val="0"/>
          <w:sz w:val="26"/>
          <w:szCs w:val="26"/>
        </w:rPr>
        <w:t>Act 129 Final Rulemaking Order</w:t>
      </w:r>
      <w:r w:rsidR="00B02024">
        <w:rPr>
          <w:b w:val="0"/>
          <w:caps w:val="0"/>
          <w:sz w:val="26"/>
          <w:szCs w:val="26"/>
        </w:rPr>
        <w:t xml:space="preserve"> at 41</w:t>
      </w:r>
      <w:r>
        <w:rPr>
          <w:b w:val="0"/>
          <w:caps w:val="0"/>
          <w:sz w:val="26"/>
          <w:szCs w:val="26"/>
        </w:rPr>
        <w:t>.</w:t>
      </w:r>
    </w:p>
    <w:p w:rsidR="00364FCD" w:rsidRDefault="00364FCD" w:rsidP="00B02024">
      <w:pPr>
        <w:pStyle w:val="BodyText"/>
        <w:spacing w:after="0" w:line="360" w:lineRule="auto"/>
      </w:pPr>
    </w:p>
    <w:p w:rsidR="00364FCD" w:rsidRDefault="00364FCD" w:rsidP="000B0447">
      <w:pPr>
        <w:pStyle w:val="Heading1"/>
      </w:pPr>
      <w:bookmarkStart w:id="7" w:name="_Toc346705255"/>
      <w:r>
        <w:lastRenderedPageBreak/>
        <w:t>III.</w:t>
      </w:r>
      <w:r>
        <w:tab/>
        <w:t>DISCUSSION</w:t>
      </w:r>
      <w:bookmarkEnd w:id="7"/>
    </w:p>
    <w:p w:rsidR="00172900" w:rsidRDefault="00172900" w:rsidP="00B02024">
      <w:pPr>
        <w:pStyle w:val="BodyText"/>
        <w:spacing w:after="0" w:line="360" w:lineRule="auto"/>
        <w:ind w:left="0" w:firstLine="0"/>
        <w:rPr>
          <w:b/>
          <w:sz w:val="26"/>
          <w:szCs w:val="26"/>
        </w:rPr>
      </w:pPr>
    </w:p>
    <w:p w:rsidR="00172900" w:rsidRPr="00B47C45" w:rsidRDefault="00172900" w:rsidP="006C65FA">
      <w:pPr>
        <w:pStyle w:val="Heading2"/>
        <w:numPr>
          <w:ilvl w:val="0"/>
          <w:numId w:val="0"/>
        </w:numPr>
        <w:spacing w:line="360" w:lineRule="auto"/>
        <w:ind w:firstLine="720"/>
        <w:rPr>
          <w:sz w:val="26"/>
          <w:szCs w:val="26"/>
        </w:rPr>
      </w:pPr>
      <w:bookmarkStart w:id="8" w:name="_Toc337727521"/>
      <w:bookmarkStart w:id="9" w:name="_Toc346705256"/>
      <w:r w:rsidRPr="00B47C45">
        <w:rPr>
          <w:sz w:val="26"/>
          <w:szCs w:val="26"/>
        </w:rPr>
        <w:t>A.</w:t>
      </w:r>
      <w:r w:rsidRPr="00B47C45">
        <w:rPr>
          <w:sz w:val="26"/>
          <w:szCs w:val="26"/>
        </w:rPr>
        <w:tab/>
      </w:r>
      <w:bookmarkEnd w:id="8"/>
      <w:r>
        <w:rPr>
          <w:caps w:val="0"/>
          <w:sz w:val="26"/>
          <w:szCs w:val="26"/>
        </w:rPr>
        <w:t>Burden of Proof</w:t>
      </w:r>
      <w:bookmarkEnd w:id="9"/>
    </w:p>
    <w:p w:rsidR="00172900" w:rsidRDefault="00172900" w:rsidP="006C65FA">
      <w:pPr>
        <w:spacing w:line="360" w:lineRule="auto"/>
        <w:ind w:firstLine="1440"/>
        <w:rPr>
          <w:color w:val="000000"/>
          <w:sz w:val="26"/>
          <w:szCs w:val="26"/>
        </w:rPr>
      </w:pPr>
    </w:p>
    <w:p w:rsidR="00172900" w:rsidRPr="00CB5709" w:rsidRDefault="00172900" w:rsidP="006C65FA">
      <w:pPr>
        <w:spacing w:line="360" w:lineRule="auto"/>
        <w:ind w:firstLine="1440"/>
        <w:rPr>
          <w:sz w:val="26"/>
          <w:szCs w:val="26"/>
        </w:rPr>
      </w:pPr>
      <w:r>
        <w:rPr>
          <w:color w:val="000000"/>
          <w:sz w:val="26"/>
          <w:szCs w:val="26"/>
        </w:rPr>
        <w:t xml:space="preserve">The Company has the burden of proof in this proceeding to establish that it is entitled to the relief it is seeking.  66 Pa. C.S. § 332(a).  The Company must establish its case by a preponderance of the evidence.  </w:t>
      </w:r>
      <w:r>
        <w:rPr>
          <w:i/>
          <w:color w:val="000000"/>
          <w:sz w:val="26"/>
          <w:szCs w:val="26"/>
        </w:rPr>
        <w:t>Samuel J. Lansberry, Inc. v. Pa. PUC</w:t>
      </w:r>
      <w:r>
        <w:rPr>
          <w:color w:val="000000"/>
          <w:sz w:val="26"/>
          <w:szCs w:val="26"/>
        </w:rPr>
        <w:t xml:space="preserve">, 578 A.2d 600 (Pa. Cmwlth. 1990), </w:t>
      </w:r>
      <w:r>
        <w:rPr>
          <w:i/>
          <w:color w:val="000000"/>
          <w:sz w:val="26"/>
          <w:szCs w:val="26"/>
        </w:rPr>
        <w:t>alloc. den</w:t>
      </w:r>
      <w:r>
        <w:rPr>
          <w:color w:val="000000"/>
          <w:sz w:val="26"/>
          <w:szCs w:val="26"/>
        </w:rPr>
        <w:t xml:space="preserve">., 602 A.2d 863 (Pa. 1992).  To meet its burden of proof, the Company must present evidence more convincing, by even the smallest amount, than that presented by any opposing party.  </w:t>
      </w:r>
      <w:r>
        <w:rPr>
          <w:i/>
          <w:color w:val="000000"/>
          <w:sz w:val="26"/>
          <w:szCs w:val="26"/>
        </w:rPr>
        <w:t>Se-Ling Hosiery Inc. v. Margulies</w:t>
      </w:r>
      <w:r>
        <w:rPr>
          <w:color w:val="000000"/>
          <w:sz w:val="26"/>
          <w:szCs w:val="26"/>
        </w:rPr>
        <w:t xml:space="preserve">, 70 A.2d 854 (Pa. 1950).  </w:t>
      </w:r>
    </w:p>
    <w:p w:rsidR="00172900" w:rsidRPr="00EE5722" w:rsidRDefault="00172900" w:rsidP="00172900">
      <w:pPr>
        <w:spacing w:line="360" w:lineRule="auto"/>
        <w:ind w:firstLine="1440"/>
        <w:rPr>
          <w:color w:val="000000"/>
          <w:sz w:val="26"/>
          <w:szCs w:val="26"/>
        </w:rPr>
      </w:pPr>
    </w:p>
    <w:p w:rsidR="00172900" w:rsidRPr="00EE5722" w:rsidRDefault="00172900" w:rsidP="00B02024">
      <w:pPr>
        <w:pStyle w:val="BodyText2"/>
        <w:spacing w:after="0" w:line="360" w:lineRule="auto"/>
        <w:rPr>
          <w:sz w:val="26"/>
          <w:szCs w:val="26"/>
        </w:rPr>
      </w:pPr>
      <w:r w:rsidRPr="00EE5722">
        <w:rPr>
          <w:sz w:val="26"/>
          <w:szCs w:val="26"/>
        </w:rPr>
        <w:tab/>
      </w:r>
      <w:r w:rsidRPr="00EE5722">
        <w:rPr>
          <w:sz w:val="26"/>
          <w:szCs w:val="26"/>
        </w:rPr>
        <w:tab/>
      </w:r>
      <w:r>
        <w:rPr>
          <w:sz w:val="26"/>
          <w:szCs w:val="26"/>
        </w:rPr>
        <w:t xml:space="preserve">Although Duquesne </w:t>
      </w:r>
      <w:r w:rsidRPr="00EE5722">
        <w:rPr>
          <w:sz w:val="26"/>
          <w:szCs w:val="26"/>
        </w:rPr>
        <w:t>bears the burden of prov</w:t>
      </w:r>
      <w:r>
        <w:rPr>
          <w:sz w:val="26"/>
          <w:szCs w:val="26"/>
        </w:rPr>
        <w:t>ing that its proposed DSP is</w:t>
      </w:r>
      <w:r w:rsidRPr="00EE5722">
        <w:rPr>
          <w:sz w:val="26"/>
          <w:szCs w:val="26"/>
        </w:rPr>
        <w:t xml:space="preserve"> in the public interest, any party maki</w:t>
      </w:r>
      <w:r>
        <w:rPr>
          <w:sz w:val="26"/>
          <w:szCs w:val="26"/>
        </w:rPr>
        <w:t>ng a proposal that Duquesne did not include in its filing</w:t>
      </w:r>
      <w:r w:rsidRPr="00EE5722">
        <w:rPr>
          <w:sz w:val="26"/>
          <w:szCs w:val="26"/>
        </w:rPr>
        <w:t xml:space="preserve"> carries the burden of proof as to that contrary proposal.</w:t>
      </w:r>
      <w:r w:rsidRPr="00CB5709">
        <w:rPr>
          <w:sz w:val="26"/>
          <w:szCs w:val="26"/>
        </w:rPr>
        <w:t xml:space="preserve">  </w:t>
      </w:r>
      <w:r w:rsidRPr="00CB5709">
        <w:rPr>
          <w:i/>
          <w:sz w:val="26"/>
          <w:szCs w:val="26"/>
        </w:rPr>
        <w:t>Pa. PUC v. Metropolitan Edison Company</w:t>
      </w:r>
      <w:r w:rsidRPr="00CB5709">
        <w:rPr>
          <w:sz w:val="26"/>
          <w:szCs w:val="26"/>
        </w:rPr>
        <w:t xml:space="preserve">, </w:t>
      </w:r>
      <w:r>
        <w:rPr>
          <w:sz w:val="26"/>
          <w:szCs w:val="26"/>
        </w:rPr>
        <w:t xml:space="preserve"> </w:t>
      </w:r>
      <w:r w:rsidRPr="00CB5709">
        <w:rPr>
          <w:sz w:val="26"/>
          <w:szCs w:val="26"/>
        </w:rPr>
        <w:t xml:space="preserve">Docket Nos. R-00061366, </w:t>
      </w:r>
      <w:r w:rsidRPr="00CB5709">
        <w:rPr>
          <w:i/>
          <w:sz w:val="26"/>
          <w:szCs w:val="26"/>
        </w:rPr>
        <w:t>et al.</w:t>
      </w:r>
      <w:r w:rsidRPr="00CB5709">
        <w:rPr>
          <w:sz w:val="26"/>
          <w:szCs w:val="26"/>
        </w:rPr>
        <w:t xml:space="preserve">, 2007 Pa. PUC LEXIS 5 </w:t>
      </w:r>
      <w:r>
        <w:rPr>
          <w:sz w:val="26"/>
          <w:szCs w:val="26"/>
        </w:rPr>
        <w:t xml:space="preserve">(Order entered </w:t>
      </w:r>
      <w:r w:rsidRPr="00CB5709">
        <w:rPr>
          <w:sz w:val="26"/>
          <w:szCs w:val="26"/>
        </w:rPr>
        <w:t>January 11, 2007).</w:t>
      </w:r>
      <w:r>
        <w:rPr>
          <w:sz w:val="26"/>
          <w:szCs w:val="26"/>
        </w:rPr>
        <w:t xml:space="preserve">  A utility does not have the burden </w:t>
      </w:r>
      <w:r w:rsidRPr="00EE5722">
        <w:rPr>
          <w:sz w:val="26"/>
          <w:szCs w:val="26"/>
        </w:rPr>
        <w:t>of proving the legality/illegality or reasonableness</w:t>
      </w:r>
      <w:r>
        <w:rPr>
          <w:sz w:val="26"/>
          <w:szCs w:val="26"/>
        </w:rPr>
        <w:t xml:space="preserve">/unreasonableness of a </w:t>
      </w:r>
      <w:r w:rsidRPr="00EE5722">
        <w:rPr>
          <w:sz w:val="26"/>
          <w:szCs w:val="26"/>
        </w:rPr>
        <w:t xml:space="preserve">proposal </w:t>
      </w:r>
      <w:r>
        <w:rPr>
          <w:sz w:val="26"/>
          <w:szCs w:val="26"/>
        </w:rPr>
        <w:t xml:space="preserve">that </w:t>
      </w:r>
      <w:r w:rsidRPr="00EE5722">
        <w:rPr>
          <w:sz w:val="26"/>
          <w:szCs w:val="26"/>
        </w:rPr>
        <w:t>the public utility did not</w:t>
      </w:r>
      <w:r>
        <w:rPr>
          <w:sz w:val="26"/>
          <w:szCs w:val="26"/>
        </w:rPr>
        <w:t xml:space="preserve"> include in its filing</w:t>
      </w:r>
      <w:r w:rsidRPr="00EE5722">
        <w:rPr>
          <w:sz w:val="26"/>
          <w:szCs w:val="26"/>
        </w:rPr>
        <w:t>.</w:t>
      </w:r>
      <w:r w:rsidRPr="00B82F5F">
        <w:rPr>
          <w:sz w:val="26"/>
          <w:szCs w:val="26"/>
        </w:rPr>
        <w:t xml:space="preserve">  </w:t>
      </w:r>
      <w:r w:rsidRPr="00B82F5F">
        <w:rPr>
          <w:i/>
          <w:sz w:val="26"/>
          <w:szCs w:val="26"/>
        </w:rPr>
        <w:t>See</w:t>
      </w:r>
      <w:r w:rsidRPr="00B82F5F">
        <w:rPr>
          <w:sz w:val="26"/>
          <w:szCs w:val="26"/>
        </w:rPr>
        <w:t xml:space="preserve"> </w:t>
      </w:r>
      <w:r w:rsidRPr="00B82F5F">
        <w:rPr>
          <w:i/>
          <w:sz w:val="26"/>
          <w:szCs w:val="26"/>
        </w:rPr>
        <w:t>Joint Default Service Plan for Citizens’ Electric Company of Lewisburg, PA and Wellsboro Electric Company for the Period of June 1, 2010 through May 31, 2013</w:t>
      </w:r>
      <w:r w:rsidRPr="00B82F5F">
        <w:rPr>
          <w:sz w:val="26"/>
          <w:szCs w:val="26"/>
        </w:rPr>
        <w:t>, Docket Nos. P</w:t>
      </w:r>
      <w:r w:rsidRPr="00B82F5F">
        <w:rPr>
          <w:sz w:val="26"/>
          <w:szCs w:val="26"/>
        </w:rPr>
        <w:noBreakHyphen/>
        <w:t>2009</w:t>
      </w:r>
      <w:r w:rsidRPr="00B82F5F">
        <w:rPr>
          <w:sz w:val="26"/>
          <w:szCs w:val="26"/>
        </w:rPr>
        <w:noBreakHyphen/>
        <w:t xml:space="preserve">2110798, </w:t>
      </w:r>
      <w:r w:rsidRPr="00B82F5F">
        <w:rPr>
          <w:i/>
          <w:sz w:val="26"/>
          <w:szCs w:val="26"/>
        </w:rPr>
        <w:t>et al.</w:t>
      </w:r>
      <w:r w:rsidRPr="00B82F5F">
        <w:rPr>
          <w:sz w:val="26"/>
          <w:szCs w:val="26"/>
        </w:rPr>
        <w:t>, 2010 WL 1259684 at 2, 19-20 (Order entered February 25, 2010).</w:t>
      </w:r>
    </w:p>
    <w:p w:rsidR="00172900" w:rsidRDefault="00172900" w:rsidP="00B02024">
      <w:pPr>
        <w:pStyle w:val="BodyText"/>
        <w:spacing w:after="0" w:line="360" w:lineRule="auto"/>
        <w:ind w:left="0" w:firstLine="0"/>
        <w:rPr>
          <w:b/>
          <w:sz w:val="26"/>
          <w:szCs w:val="26"/>
        </w:rPr>
      </w:pPr>
    </w:p>
    <w:p w:rsidR="00B10D9D" w:rsidRPr="00364FCD" w:rsidRDefault="00172900" w:rsidP="000B0447">
      <w:pPr>
        <w:pStyle w:val="Heading2"/>
        <w:numPr>
          <w:ilvl w:val="0"/>
          <w:numId w:val="0"/>
        </w:numPr>
        <w:ind w:left="1440" w:hanging="720"/>
      </w:pPr>
      <w:bookmarkStart w:id="10" w:name="_Toc346705257"/>
      <w:r>
        <w:t>B</w:t>
      </w:r>
      <w:r w:rsidR="00364FCD">
        <w:t xml:space="preserve">. </w:t>
      </w:r>
      <w:r w:rsidR="00364FCD">
        <w:tab/>
        <w:t>Factual Background</w:t>
      </w:r>
      <w:bookmarkEnd w:id="10"/>
    </w:p>
    <w:p w:rsidR="00154532" w:rsidRPr="00EE5722" w:rsidRDefault="00154532" w:rsidP="00270A3D">
      <w:pPr>
        <w:suppressAutoHyphens/>
        <w:spacing w:line="360" w:lineRule="auto"/>
        <w:jc w:val="center"/>
        <w:rPr>
          <w:spacing w:val="-3"/>
          <w:sz w:val="26"/>
          <w:szCs w:val="26"/>
        </w:rPr>
      </w:pPr>
    </w:p>
    <w:p w:rsidR="00EC2DFF" w:rsidRDefault="00364FCD" w:rsidP="00EC2DFF">
      <w:pPr>
        <w:spacing w:line="360" w:lineRule="auto"/>
        <w:ind w:firstLine="1440"/>
        <w:rPr>
          <w:sz w:val="26"/>
          <w:szCs w:val="26"/>
        </w:rPr>
      </w:pPr>
      <w:r>
        <w:rPr>
          <w:sz w:val="26"/>
          <w:szCs w:val="26"/>
        </w:rPr>
        <w:t xml:space="preserve">Duquesne </w:t>
      </w:r>
      <w:r w:rsidR="004855ED" w:rsidRPr="00EE5722">
        <w:rPr>
          <w:sz w:val="26"/>
          <w:szCs w:val="26"/>
        </w:rPr>
        <w:t>is a public utility certified by the Commission to provide electric servic</w:t>
      </w:r>
      <w:r w:rsidR="00EC2DFF">
        <w:rPr>
          <w:sz w:val="26"/>
          <w:szCs w:val="26"/>
        </w:rPr>
        <w:t>e in the City of Pittsburgh and in Allegheny and Beaver Counties</w:t>
      </w:r>
      <w:r w:rsidR="004855ED" w:rsidRPr="00EE5722">
        <w:rPr>
          <w:sz w:val="26"/>
          <w:szCs w:val="26"/>
        </w:rPr>
        <w:t xml:space="preserve"> in Pennsylvania</w:t>
      </w:r>
      <w:r w:rsidR="00CB5709">
        <w:rPr>
          <w:sz w:val="26"/>
          <w:szCs w:val="26"/>
        </w:rPr>
        <w:t xml:space="preserve">. Duquesne is </w:t>
      </w:r>
      <w:r w:rsidR="004855ED" w:rsidRPr="00EE5722">
        <w:rPr>
          <w:sz w:val="26"/>
          <w:szCs w:val="26"/>
        </w:rPr>
        <w:t>an e</w:t>
      </w:r>
      <w:r w:rsidR="002A06B3">
        <w:rPr>
          <w:sz w:val="26"/>
          <w:szCs w:val="26"/>
        </w:rPr>
        <w:t>lect</w:t>
      </w:r>
      <w:r w:rsidR="00CB5709">
        <w:rPr>
          <w:sz w:val="26"/>
          <w:szCs w:val="26"/>
        </w:rPr>
        <w:t xml:space="preserve">ric distribution company and </w:t>
      </w:r>
      <w:r w:rsidR="002A06B3">
        <w:rPr>
          <w:sz w:val="26"/>
          <w:szCs w:val="26"/>
        </w:rPr>
        <w:t xml:space="preserve">a </w:t>
      </w:r>
      <w:r w:rsidR="004855ED" w:rsidRPr="00EE5722">
        <w:rPr>
          <w:sz w:val="26"/>
          <w:szCs w:val="26"/>
        </w:rPr>
        <w:t>d</w:t>
      </w:r>
      <w:r w:rsidR="002A06B3">
        <w:rPr>
          <w:sz w:val="26"/>
          <w:szCs w:val="26"/>
        </w:rPr>
        <w:t>efault service provider</w:t>
      </w:r>
      <w:r w:rsidR="00CB5709" w:rsidRPr="00CB5709">
        <w:rPr>
          <w:sz w:val="26"/>
          <w:szCs w:val="26"/>
        </w:rPr>
        <w:t xml:space="preserve"> </w:t>
      </w:r>
      <w:r w:rsidR="00CB5709">
        <w:rPr>
          <w:sz w:val="26"/>
          <w:szCs w:val="26"/>
        </w:rPr>
        <w:t>as defined by</w:t>
      </w:r>
      <w:r w:rsidR="00CB5709" w:rsidRPr="00EE5722">
        <w:rPr>
          <w:sz w:val="26"/>
          <w:szCs w:val="26"/>
        </w:rPr>
        <w:t xml:space="preserve"> </w:t>
      </w:r>
      <w:r w:rsidR="00CB5709" w:rsidRPr="00EE5722">
        <w:rPr>
          <w:sz w:val="26"/>
          <w:szCs w:val="26"/>
        </w:rPr>
        <w:lastRenderedPageBreak/>
        <w:t>Sec</w:t>
      </w:r>
      <w:r w:rsidR="00CB5709">
        <w:rPr>
          <w:sz w:val="26"/>
          <w:szCs w:val="26"/>
        </w:rPr>
        <w:t xml:space="preserve">tion 2803 of the </w:t>
      </w:r>
      <w:r w:rsidR="00CB5709" w:rsidRPr="00EE5722">
        <w:rPr>
          <w:sz w:val="26"/>
          <w:szCs w:val="26"/>
        </w:rPr>
        <w:t>Code</w:t>
      </w:r>
      <w:r w:rsidR="00CB5709">
        <w:rPr>
          <w:sz w:val="26"/>
          <w:szCs w:val="26"/>
        </w:rPr>
        <w:t>, 66 Pa.</w:t>
      </w:r>
      <w:r w:rsidR="00381AD6">
        <w:rPr>
          <w:sz w:val="26"/>
          <w:szCs w:val="26"/>
        </w:rPr>
        <w:t xml:space="preserve"> </w:t>
      </w:r>
      <w:r w:rsidR="00CB5709">
        <w:rPr>
          <w:sz w:val="26"/>
          <w:szCs w:val="26"/>
        </w:rPr>
        <w:t>C.S. § 2803.</w:t>
      </w:r>
      <w:r w:rsidR="002A06B3">
        <w:rPr>
          <w:sz w:val="26"/>
          <w:szCs w:val="26"/>
        </w:rPr>
        <w:t xml:space="preserve">  Duquesne</w:t>
      </w:r>
      <w:r w:rsidR="004855ED" w:rsidRPr="00EE5722">
        <w:rPr>
          <w:sz w:val="26"/>
          <w:szCs w:val="26"/>
        </w:rPr>
        <w:t xml:space="preserve"> currently provides electric distribution service to approximately 579,000 customers.</w:t>
      </w:r>
    </w:p>
    <w:p w:rsidR="00EC2DFF" w:rsidRPr="00EE5722" w:rsidRDefault="00EC2DFF" w:rsidP="00EC2DFF">
      <w:pPr>
        <w:spacing w:line="360" w:lineRule="auto"/>
        <w:ind w:firstLine="1440"/>
        <w:rPr>
          <w:sz w:val="26"/>
          <w:szCs w:val="26"/>
        </w:rPr>
      </w:pPr>
    </w:p>
    <w:p w:rsidR="004855ED" w:rsidRPr="00EE5722" w:rsidRDefault="009E77EF" w:rsidP="002A06B3">
      <w:pPr>
        <w:suppressAutoHyphens/>
        <w:spacing w:line="360" w:lineRule="auto"/>
        <w:ind w:firstLine="1440"/>
        <w:rPr>
          <w:sz w:val="26"/>
          <w:szCs w:val="26"/>
        </w:rPr>
      </w:pPr>
      <w:r>
        <w:rPr>
          <w:spacing w:val="-3"/>
          <w:sz w:val="26"/>
          <w:szCs w:val="26"/>
        </w:rPr>
        <w:t>Currently, 97% of Duquesne’s L</w:t>
      </w:r>
      <w:r w:rsidR="004855ED" w:rsidRPr="00EE5722">
        <w:rPr>
          <w:spacing w:val="-3"/>
          <w:sz w:val="26"/>
          <w:szCs w:val="26"/>
        </w:rPr>
        <w:t xml:space="preserve">arge </w:t>
      </w:r>
      <w:r>
        <w:rPr>
          <w:sz w:val="26"/>
          <w:szCs w:val="26"/>
        </w:rPr>
        <w:t>Commercial and I</w:t>
      </w:r>
      <w:r w:rsidR="002A06B3">
        <w:rPr>
          <w:sz w:val="26"/>
          <w:szCs w:val="26"/>
        </w:rPr>
        <w:t>ndustrial (C</w:t>
      </w:r>
      <w:r w:rsidR="004855ED" w:rsidRPr="00EE5722">
        <w:rPr>
          <w:sz w:val="26"/>
          <w:szCs w:val="26"/>
        </w:rPr>
        <w:t>&amp;I</w:t>
      </w:r>
      <w:r w:rsidR="002A06B3">
        <w:rPr>
          <w:sz w:val="26"/>
          <w:szCs w:val="26"/>
        </w:rPr>
        <w:t>)</w:t>
      </w:r>
      <w:r w:rsidR="004855ED" w:rsidRPr="00EE5722">
        <w:rPr>
          <w:sz w:val="26"/>
          <w:szCs w:val="26"/>
        </w:rPr>
        <w:t xml:space="preserve"> </w:t>
      </w:r>
      <w:r w:rsidR="004855ED" w:rsidRPr="00B662CD">
        <w:rPr>
          <w:sz w:val="26"/>
          <w:szCs w:val="26"/>
        </w:rPr>
        <w:t>load</w:t>
      </w:r>
      <w:r w:rsidR="004855ED" w:rsidRPr="00EE5722">
        <w:rPr>
          <w:sz w:val="26"/>
          <w:szCs w:val="26"/>
        </w:rPr>
        <w:t xml:space="preserve"> </w:t>
      </w:r>
      <w:r w:rsidR="00B662CD">
        <w:rPr>
          <w:sz w:val="26"/>
          <w:szCs w:val="26"/>
        </w:rPr>
        <w:t>is shopping</w:t>
      </w:r>
      <w:r w:rsidR="004855ED" w:rsidRPr="00EE5722">
        <w:rPr>
          <w:sz w:val="26"/>
          <w:szCs w:val="26"/>
        </w:rPr>
        <w:t xml:space="preserve"> with an </w:t>
      </w:r>
      <w:r w:rsidR="002A06B3">
        <w:rPr>
          <w:sz w:val="26"/>
          <w:szCs w:val="26"/>
        </w:rPr>
        <w:t>electric generation supplier (</w:t>
      </w:r>
      <w:r w:rsidR="004855ED" w:rsidRPr="00EE5722">
        <w:rPr>
          <w:sz w:val="26"/>
          <w:szCs w:val="26"/>
        </w:rPr>
        <w:t>EGS</w:t>
      </w:r>
      <w:r>
        <w:rPr>
          <w:sz w:val="26"/>
          <w:szCs w:val="26"/>
        </w:rPr>
        <w:t>); 57.6% of Duquesne’s Medium (demands between 25 and 300 kW) C&amp;I customers, representing 67% of the load, receives supply from an EGS; 42% of its S</w:t>
      </w:r>
      <w:r w:rsidR="002A06B3">
        <w:rPr>
          <w:sz w:val="26"/>
          <w:szCs w:val="26"/>
        </w:rPr>
        <w:t xml:space="preserve">mall </w:t>
      </w:r>
      <w:r w:rsidR="002A06B3" w:rsidRPr="00EE5722">
        <w:rPr>
          <w:sz w:val="26"/>
          <w:szCs w:val="26"/>
        </w:rPr>
        <w:t>(</w:t>
      </w:r>
      <w:r w:rsidR="00555B7A" w:rsidRPr="00EE5722">
        <w:rPr>
          <w:sz w:val="26"/>
          <w:szCs w:val="26"/>
        </w:rPr>
        <w:t xml:space="preserve">non-residential customers with monthly </w:t>
      </w:r>
      <w:r w:rsidR="00270A3D">
        <w:rPr>
          <w:sz w:val="26"/>
          <w:szCs w:val="26"/>
        </w:rPr>
        <w:t>metered demands less than 25 kW</w:t>
      </w:r>
      <w:r w:rsidR="002A06B3" w:rsidRPr="00EE5722">
        <w:rPr>
          <w:sz w:val="26"/>
          <w:szCs w:val="26"/>
        </w:rPr>
        <w:t>)</w:t>
      </w:r>
      <w:r w:rsidR="002A06B3">
        <w:rPr>
          <w:sz w:val="26"/>
          <w:szCs w:val="26"/>
        </w:rPr>
        <w:t xml:space="preserve"> C&amp;I </w:t>
      </w:r>
      <w:r w:rsidR="002A06B3" w:rsidRPr="00B662CD">
        <w:rPr>
          <w:sz w:val="26"/>
          <w:szCs w:val="26"/>
        </w:rPr>
        <w:t>c</w:t>
      </w:r>
      <w:r w:rsidR="00555B7A" w:rsidRPr="00B662CD">
        <w:rPr>
          <w:sz w:val="26"/>
          <w:szCs w:val="26"/>
        </w:rPr>
        <w:t>ustomers</w:t>
      </w:r>
      <w:r w:rsidR="00555B7A">
        <w:rPr>
          <w:sz w:val="26"/>
          <w:szCs w:val="26"/>
        </w:rPr>
        <w:t xml:space="preserve"> </w:t>
      </w:r>
      <w:r w:rsidR="00B662CD">
        <w:rPr>
          <w:sz w:val="26"/>
          <w:szCs w:val="26"/>
        </w:rPr>
        <w:t xml:space="preserve">were </w:t>
      </w:r>
      <w:r w:rsidR="004855ED" w:rsidRPr="00EE5722">
        <w:rPr>
          <w:sz w:val="26"/>
          <w:szCs w:val="26"/>
        </w:rPr>
        <w:t>shop</w:t>
      </w:r>
      <w:r w:rsidR="00B662CD">
        <w:rPr>
          <w:sz w:val="26"/>
          <w:szCs w:val="26"/>
        </w:rPr>
        <w:t>ping</w:t>
      </w:r>
      <w:r w:rsidR="004855ED" w:rsidRPr="00EE5722">
        <w:rPr>
          <w:sz w:val="26"/>
          <w:szCs w:val="26"/>
        </w:rPr>
        <w:t xml:space="preserve"> as of August 2012 (up from 34% </w:t>
      </w:r>
      <w:r>
        <w:rPr>
          <w:sz w:val="26"/>
          <w:szCs w:val="26"/>
        </w:rPr>
        <w:t>in March 2012); and 43% of the R</w:t>
      </w:r>
      <w:r w:rsidR="004855ED" w:rsidRPr="00EE5722">
        <w:rPr>
          <w:sz w:val="26"/>
          <w:szCs w:val="26"/>
        </w:rPr>
        <w:t xml:space="preserve">esidential </w:t>
      </w:r>
      <w:r w:rsidR="004855ED" w:rsidRPr="00B662CD">
        <w:rPr>
          <w:sz w:val="26"/>
          <w:szCs w:val="26"/>
        </w:rPr>
        <w:t>load</w:t>
      </w:r>
      <w:r w:rsidR="004855ED" w:rsidRPr="00EE5722">
        <w:rPr>
          <w:sz w:val="26"/>
          <w:szCs w:val="26"/>
        </w:rPr>
        <w:t xml:space="preserve"> </w:t>
      </w:r>
      <w:r w:rsidR="00B662CD">
        <w:rPr>
          <w:sz w:val="26"/>
          <w:szCs w:val="26"/>
        </w:rPr>
        <w:t xml:space="preserve">was </w:t>
      </w:r>
      <w:r w:rsidR="004855ED" w:rsidRPr="00EE5722">
        <w:rPr>
          <w:sz w:val="26"/>
          <w:szCs w:val="26"/>
        </w:rPr>
        <w:t>shop</w:t>
      </w:r>
      <w:r w:rsidR="00B662CD">
        <w:rPr>
          <w:sz w:val="26"/>
          <w:szCs w:val="26"/>
        </w:rPr>
        <w:t>ping</w:t>
      </w:r>
      <w:r w:rsidR="004855ED" w:rsidRPr="00EE5722">
        <w:rPr>
          <w:sz w:val="26"/>
          <w:szCs w:val="26"/>
        </w:rPr>
        <w:t xml:space="preserve"> as of July 2012 (up from 39% </w:t>
      </w:r>
      <w:r w:rsidR="000A26C1">
        <w:rPr>
          <w:sz w:val="26"/>
          <w:szCs w:val="26"/>
        </w:rPr>
        <w:t>in March 2012</w:t>
      </w:r>
      <w:r w:rsidR="000A26C1" w:rsidRPr="000A26C1">
        <w:rPr>
          <w:sz w:val="26"/>
          <w:szCs w:val="26"/>
        </w:rPr>
        <w:t xml:space="preserve"> </w:t>
      </w:r>
      <w:r w:rsidR="000A26C1" w:rsidRPr="00EE5722">
        <w:rPr>
          <w:sz w:val="26"/>
          <w:szCs w:val="26"/>
        </w:rPr>
        <w:t>, which is one of the highest r</w:t>
      </w:r>
      <w:r w:rsidR="000A26C1">
        <w:rPr>
          <w:sz w:val="26"/>
          <w:szCs w:val="26"/>
        </w:rPr>
        <w:t>esidential customer shopping</w:t>
      </w:r>
      <w:r w:rsidR="000A26C1" w:rsidRPr="00EE5722">
        <w:rPr>
          <w:sz w:val="26"/>
          <w:szCs w:val="26"/>
        </w:rPr>
        <w:t xml:space="preserve"> percentag</w:t>
      </w:r>
      <w:r w:rsidR="00397A99">
        <w:rPr>
          <w:sz w:val="26"/>
          <w:szCs w:val="26"/>
        </w:rPr>
        <w:t>es in the United States</w:t>
      </w:r>
      <w:r w:rsidR="00270A3D">
        <w:rPr>
          <w:sz w:val="26"/>
          <w:szCs w:val="26"/>
        </w:rPr>
        <w:t>)</w:t>
      </w:r>
      <w:r w:rsidR="000A26C1">
        <w:rPr>
          <w:sz w:val="26"/>
          <w:szCs w:val="26"/>
        </w:rPr>
        <w:t xml:space="preserve">.  </w:t>
      </w:r>
      <w:r>
        <w:rPr>
          <w:sz w:val="26"/>
          <w:szCs w:val="26"/>
        </w:rPr>
        <w:t xml:space="preserve">Duquesne St. </w:t>
      </w:r>
      <w:r w:rsidR="002A06B3">
        <w:rPr>
          <w:sz w:val="26"/>
          <w:szCs w:val="26"/>
        </w:rPr>
        <w:t xml:space="preserve">8-R at </w:t>
      </w:r>
      <w:r w:rsidR="004855ED" w:rsidRPr="00EE5722">
        <w:rPr>
          <w:sz w:val="26"/>
          <w:szCs w:val="26"/>
        </w:rPr>
        <w:t>4</w:t>
      </w:r>
      <w:r w:rsidR="002A06B3">
        <w:rPr>
          <w:sz w:val="26"/>
          <w:szCs w:val="26"/>
        </w:rPr>
        <w:t xml:space="preserve">1; </w:t>
      </w:r>
      <w:r w:rsidR="008560F4">
        <w:rPr>
          <w:sz w:val="26"/>
          <w:szCs w:val="26"/>
        </w:rPr>
        <w:t xml:space="preserve">Duquesne Exh. 1 at 11-12; </w:t>
      </w:r>
      <w:r w:rsidR="002A06B3">
        <w:rPr>
          <w:sz w:val="26"/>
          <w:szCs w:val="26"/>
        </w:rPr>
        <w:t>Duquesne M.B. at 4</w:t>
      </w:r>
      <w:r w:rsidR="004855ED" w:rsidRPr="00EE5722">
        <w:rPr>
          <w:sz w:val="26"/>
          <w:szCs w:val="26"/>
        </w:rPr>
        <w:t>.</w:t>
      </w:r>
      <w:r w:rsidR="00555B7A" w:rsidRPr="00555B7A">
        <w:rPr>
          <w:sz w:val="26"/>
          <w:szCs w:val="26"/>
        </w:rPr>
        <w:t xml:space="preserve"> </w:t>
      </w:r>
    </w:p>
    <w:p w:rsidR="007A18C9" w:rsidRPr="00552F98" w:rsidRDefault="007A18C9" w:rsidP="00552F98">
      <w:pPr>
        <w:autoSpaceDE/>
        <w:autoSpaceDN/>
        <w:spacing w:line="360" w:lineRule="auto"/>
        <w:jc w:val="center"/>
        <w:rPr>
          <w:b/>
          <w:spacing w:val="-3"/>
          <w:sz w:val="26"/>
          <w:szCs w:val="26"/>
          <w:u w:val="single"/>
        </w:rPr>
      </w:pPr>
    </w:p>
    <w:p w:rsidR="00BC7E4E" w:rsidRPr="00EE5722" w:rsidRDefault="00BC7E4E" w:rsidP="00270A3D">
      <w:pPr>
        <w:autoSpaceDE/>
        <w:autoSpaceDN/>
        <w:spacing w:line="360" w:lineRule="auto"/>
        <w:rPr>
          <w:sz w:val="26"/>
          <w:szCs w:val="26"/>
        </w:rPr>
      </w:pPr>
      <w:r w:rsidRPr="00EE5722">
        <w:rPr>
          <w:spacing w:val="-3"/>
          <w:sz w:val="26"/>
          <w:szCs w:val="26"/>
        </w:rPr>
        <w:tab/>
      </w:r>
      <w:r w:rsidRPr="00EE5722">
        <w:rPr>
          <w:spacing w:val="-3"/>
          <w:sz w:val="26"/>
          <w:szCs w:val="26"/>
        </w:rPr>
        <w:tab/>
      </w:r>
      <w:r w:rsidR="007E4E77">
        <w:rPr>
          <w:spacing w:val="-3"/>
          <w:sz w:val="26"/>
          <w:szCs w:val="26"/>
        </w:rPr>
        <w:t xml:space="preserve">As of March 31, 2012, </w:t>
      </w:r>
      <w:r w:rsidRPr="00EE5722">
        <w:rPr>
          <w:sz w:val="26"/>
          <w:szCs w:val="26"/>
        </w:rPr>
        <w:t xml:space="preserve">74% of the Company’s load </w:t>
      </w:r>
      <w:r w:rsidR="007E4E77">
        <w:rPr>
          <w:sz w:val="26"/>
          <w:szCs w:val="26"/>
        </w:rPr>
        <w:t xml:space="preserve">was </w:t>
      </w:r>
      <w:r w:rsidRPr="00EE5722">
        <w:rPr>
          <w:sz w:val="26"/>
          <w:szCs w:val="26"/>
        </w:rPr>
        <w:t>rece</w:t>
      </w:r>
      <w:r w:rsidR="007E4E77">
        <w:rPr>
          <w:sz w:val="26"/>
          <w:szCs w:val="26"/>
        </w:rPr>
        <w:t xml:space="preserve">iving supply from an EGS, which places </w:t>
      </w:r>
      <w:r w:rsidR="00BE04E3">
        <w:rPr>
          <w:sz w:val="26"/>
          <w:szCs w:val="26"/>
        </w:rPr>
        <w:t xml:space="preserve">Duquesne </w:t>
      </w:r>
      <w:r w:rsidRPr="00EE5722">
        <w:rPr>
          <w:sz w:val="26"/>
          <w:szCs w:val="26"/>
        </w:rPr>
        <w:t xml:space="preserve">among the top </w:t>
      </w:r>
      <w:r w:rsidR="008560F4">
        <w:rPr>
          <w:sz w:val="26"/>
          <w:szCs w:val="26"/>
        </w:rPr>
        <w:t>ten</w:t>
      </w:r>
      <w:r w:rsidR="00270A3D">
        <w:rPr>
          <w:sz w:val="26"/>
          <w:szCs w:val="26"/>
        </w:rPr>
        <w:t xml:space="preserve"> electric</w:t>
      </w:r>
      <w:r w:rsidRPr="00EE5722">
        <w:rPr>
          <w:sz w:val="26"/>
          <w:szCs w:val="26"/>
        </w:rPr>
        <w:t xml:space="preserve"> service areas in the United States in terms of percentage of load receiving service from a competitive supplier.  The Company has slightly higher levels of total shopping than two electric service areas in Texas and has higher levels of shopping than all of the service areas in New York.</w:t>
      </w:r>
    </w:p>
    <w:p w:rsidR="00BC7E4E" w:rsidRPr="00EE5722" w:rsidRDefault="00BC7E4E" w:rsidP="00270A3D">
      <w:pPr>
        <w:autoSpaceDE/>
        <w:autoSpaceDN/>
        <w:spacing w:line="360" w:lineRule="auto"/>
        <w:rPr>
          <w:sz w:val="26"/>
          <w:szCs w:val="26"/>
        </w:rPr>
      </w:pPr>
    </w:p>
    <w:p w:rsidR="00BC7E4E" w:rsidRPr="00EE5722" w:rsidRDefault="00BC7E4E" w:rsidP="00270A3D">
      <w:pPr>
        <w:pStyle w:val="BodyText2"/>
        <w:spacing w:after="0" w:line="360" w:lineRule="auto"/>
        <w:rPr>
          <w:sz w:val="26"/>
          <w:szCs w:val="26"/>
        </w:rPr>
      </w:pPr>
      <w:r w:rsidRPr="00EE5722">
        <w:rPr>
          <w:sz w:val="26"/>
          <w:szCs w:val="26"/>
        </w:rPr>
        <w:tab/>
      </w:r>
      <w:r w:rsidRPr="00EE5722">
        <w:rPr>
          <w:sz w:val="26"/>
          <w:szCs w:val="26"/>
        </w:rPr>
        <w:tab/>
      </w:r>
      <w:r w:rsidR="00BE04E3">
        <w:rPr>
          <w:sz w:val="26"/>
          <w:szCs w:val="26"/>
        </w:rPr>
        <w:t xml:space="preserve">Duquesne </w:t>
      </w:r>
      <w:r w:rsidRPr="00EE5722">
        <w:rPr>
          <w:sz w:val="26"/>
          <w:szCs w:val="26"/>
        </w:rPr>
        <w:t xml:space="preserve">was one of the first utilities in the nation to offer hourly priced default service to all customers with demand equal to or greater than 300 kW, and has one of the lowest kilowatt demand thresholds for hourly priced default service for </w:t>
      </w:r>
      <w:r w:rsidR="00530DF3" w:rsidRPr="00EE5722">
        <w:rPr>
          <w:sz w:val="26"/>
          <w:szCs w:val="26"/>
        </w:rPr>
        <w:t>L</w:t>
      </w:r>
      <w:r w:rsidRPr="00EE5722">
        <w:rPr>
          <w:sz w:val="26"/>
          <w:szCs w:val="26"/>
        </w:rPr>
        <w:t>arge C&amp;I</w:t>
      </w:r>
      <w:r w:rsidR="008560F4">
        <w:rPr>
          <w:sz w:val="26"/>
          <w:szCs w:val="26"/>
        </w:rPr>
        <w:t xml:space="preserve"> customers in the country.  As stated above</w:t>
      </w:r>
      <w:r w:rsidRPr="00EE5722">
        <w:rPr>
          <w:sz w:val="26"/>
          <w:szCs w:val="26"/>
        </w:rPr>
        <w:t xml:space="preserve">, 97% of the Company’s </w:t>
      </w:r>
      <w:r w:rsidR="00530DF3" w:rsidRPr="00EE5722">
        <w:rPr>
          <w:sz w:val="26"/>
          <w:szCs w:val="26"/>
        </w:rPr>
        <w:t>L</w:t>
      </w:r>
      <w:r w:rsidRPr="00EE5722">
        <w:rPr>
          <w:sz w:val="26"/>
          <w:szCs w:val="26"/>
        </w:rPr>
        <w:t>arge C&amp;I load is shopping with an EGS.</w:t>
      </w:r>
      <w:r w:rsidR="00563841" w:rsidRPr="00EE5722">
        <w:rPr>
          <w:sz w:val="26"/>
          <w:szCs w:val="26"/>
        </w:rPr>
        <w:t xml:space="preserve">  </w:t>
      </w:r>
      <w:r w:rsidR="00BE04E3">
        <w:rPr>
          <w:sz w:val="26"/>
          <w:szCs w:val="26"/>
        </w:rPr>
        <w:t>Duquesne</w:t>
      </w:r>
      <w:r w:rsidRPr="00EE5722">
        <w:rPr>
          <w:sz w:val="26"/>
          <w:szCs w:val="26"/>
        </w:rPr>
        <w:t>’s success in promoting customer shopping is not limited to larger customers.  As</w:t>
      </w:r>
      <w:r w:rsidR="008560F4">
        <w:rPr>
          <w:sz w:val="26"/>
          <w:szCs w:val="26"/>
        </w:rPr>
        <w:t xml:space="preserve"> of July 2012, approximately 43</w:t>
      </w:r>
      <w:r w:rsidRPr="00EE5722">
        <w:rPr>
          <w:sz w:val="26"/>
          <w:szCs w:val="26"/>
        </w:rPr>
        <w:t>% of the Company’s residential load was being served by a</w:t>
      </w:r>
      <w:r w:rsidR="008560F4">
        <w:rPr>
          <w:sz w:val="26"/>
          <w:szCs w:val="26"/>
        </w:rPr>
        <w:t xml:space="preserve">n EGS.  In addition, there </w:t>
      </w:r>
      <w:r w:rsidRPr="00EE5722">
        <w:rPr>
          <w:sz w:val="26"/>
          <w:szCs w:val="26"/>
        </w:rPr>
        <w:t xml:space="preserve">currently </w:t>
      </w:r>
      <w:r w:rsidR="008560F4">
        <w:rPr>
          <w:sz w:val="26"/>
          <w:szCs w:val="26"/>
        </w:rPr>
        <w:t xml:space="preserve">are </w:t>
      </w:r>
      <w:r w:rsidR="006E5599">
        <w:rPr>
          <w:sz w:val="26"/>
          <w:szCs w:val="26"/>
        </w:rPr>
        <w:t>thirty-four</w:t>
      </w:r>
      <w:r w:rsidR="00FE287F" w:rsidRPr="00EE5722">
        <w:rPr>
          <w:sz w:val="26"/>
          <w:szCs w:val="26"/>
        </w:rPr>
        <w:t> </w:t>
      </w:r>
      <w:r w:rsidRPr="00EE5722">
        <w:rPr>
          <w:sz w:val="26"/>
          <w:szCs w:val="26"/>
        </w:rPr>
        <w:t>active</w:t>
      </w:r>
      <w:r w:rsidR="008560F4">
        <w:rPr>
          <w:sz w:val="26"/>
          <w:szCs w:val="26"/>
        </w:rPr>
        <w:t xml:space="preserve"> EGSs offering </w:t>
      </w:r>
      <w:r w:rsidRPr="00EE5722">
        <w:rPr>
          <w:sz w:val="26"/>
          <w:szCs w:val="26"/>
        </w:rPr>
        <w:t xml:space="preserve">service to residential customers in the Company’s service </w:t>
      </w:r>
      <w:r w:rsidRPr="00EE5722">
        <w:rPr>
          <w:sz w:val="26"/>
          <w:szCs w:val="26"/>
        </w:rPr>
        <w:lastRenderedPageBreak/>
        <w:t xml:space="preserve">territory.  Moreover, customer shopping among </w:t>
      </w:r>
      <w:r w:rsidR="00F710BC" w:rsidRPr="00EE5722">
        <w:rPr>
          <w:sz w:val="26"/>
          <w:szCs w:val="26"/>
        </w:rPr>
        <w:t>S</w:t>
      </w:r>
      <w:r w:rsidRPr="00EE5722">
        <w:rPr>
          <w:sz w:val="26"/>
          <w:szCs w:val="26"/>
        </w:rPr>
        <w:t xml:space="preserve">mall </w:t>
      </w:r>
      <w:r w:rsidR="008560F4">
        <w:rPr>
          <w:sz w:val="26"/>
          <w:szCs w:val="26"/>
        </w:rPr>
        <w:t xml:space="preserve">C&amp;I customers </w:t>
      </w:r>
      <w:r w:rsidRPr="00EE5722">
        <w:rPr>
          <w:sz w:val="26"/>
          <w:szCs w:val="26"/>
        </w:rPr>
        <w:t>has increased from 34% in March 2012 to 42% as of August 2012.</w:t>
      </w:r>
    </w:p>
    <w:p w:rsidR="00BC7E4E" w:rsidRPr="00EE5722" w:rsidRDefault="00BC7E4E" w:rsidP="00270A3D">
      <w:pPr>
        <w:pStyle w:val="BodyText2"/>
        <w:spacing w:after="0" w:line="360" w:lineRule="auto"/>
        <w:rPr>
          <w:sz w:val="26"/>
          <w:szCs w:val="26"/>
        </w:rPr>
      </w:pPr>
    </w:p>
    <w:p w:rsidR="00BC7E4E" w:rsidRPr="00F04B32" w:rsidRDefault="00BC7E4E" w:rsidP="00BC7E4E">
      <w:pPr>
        <w:pStyle w:val="BodyText2"/>
        <w:spacing w:after="0" w:line="360" w:lineRule="auto"/>
        <w:rPr>
          <w:sz w:val="26"/>
          <w:szCs w:val="26"/>
        </w:rPr>
      </w:pPr>
      <w:r w:rsidRPr="00EE5722">
        <w:rPr>
          <w:sz w:val="26"/>
          <w:szCs w:val="26"/>
        </w:rPr>
        <w:tab/>
      </w:r>
      <w:r w:rsidRPr="00EE5722">
        <w:rPr>
          <w:sz w:val="26"/>
          <w:szCs w:val="26"/>
        </w:rPr>
        <w:tab/>
      </w:r>
      <w:r w:rsidR="00BE04E3">
        <w:rPr>
          <w:sz w:val="26"/>
          <w:szCs w:val="26"/>
        </w:rPr>
        <w:t xml:space="preserve">Duquesne </w:t>
      </w:r>
      <w:r w:rsidR="008560F4">
        <w:rPr>
          <w:sz w:val="26"/>
          <w:szCs w:val="26"/>
        </w:rPr>
        <w:t xml:space="preserve">has </w:t>
      </w:r>
      <w:r w:rsidRPr="00EE5722">
        <w:rPr>
          <w:sz w:val="26"/>
          <w:szCs w:val="26"/>
        </w:rPr>
        <w:t>moved Residential customers to more market res</w:t>
      </w:r>
      <w:r w:rsidR="006C65FA">
        <w:rPr>
          <w:sz w:val="26"/>
          <w:szCs w:val="26"/>
        </w:rPr>
        <w:t>ponsive rates over time, from thirty-six</w:t>
      </w:r>
      <w:r w:rsidRPr="00EE5722">
        <w:rPr>
          <w:sz w:val="26"/>
          <w:szCs w:val="26"/>
        </w:rPr>
        <w:t>-month</w:t>
      </w:r>
      <w:r w:rsidR="006C65FA">
        <w:rPr>
          <w:sz w:val="26"/>
          <w:szCs w:val="26"/>
        </w:rPr>
        <w:t xml:space="preserve"> fixed rates under DSP IV, to twenty-nine</w:t>
      </w:r>
      <w:r w:rsidRPr="00EE5722">
        <w:rPr>
          <w:sz w:val="26"/>
          <w:szCs w:val="26"/>
        </w:rPr>
        <w:t xml:space="preserve">-month fixed rates under </w:t>
      </w:r>
      <w:r w:rsidR="00747893">
        <w:rPr>
          <w:sz w:val="26"/>
          <w:szCs w:val="26"/>
        </w:rPr>
        <w:t xml:space="preserve">its current </w:t>
      </w:r>
      <w:r w:rsidRPr="00EE5722">
        <w:rPr>
          <w:sz w:val="26"/>
          <w:szCs w:val="26"/>
        </w:rPr>
        <w:t xml:space="preserve">DSP </w:t>
      </w:r>
      <w:r w:rsidR="00747893">
        <w:rPr>
          <w:sz w:val="26"/>
          <w:szCs w:val="26"/>
        </w:rPr>
        <w:t>(DSP V)</w:t>
      </w:r>
      <w:r w:rsidRPr="00EE5722">
        <w:rPr>
          <w:sz w:val="26"/>
          <w:szCs w:val="26"/>
        </w:rPr>
        <w:t>, to</w:t>
      </w:r>
      <w:r w:rsidR="006C65FA">
        <w:rPr>
          <w:sz w:val="26"/>
          <w:szCs w:val="26"/>
        </w:rPr>
        <w:t xml:space="preserve"> proposed twelve</w:t>
      </w:r>
      <w:r w:rsidRPr="00EE5722">
        <w:rPr>
          <w:sz w:val="26"/>
          <w:szCs w:val="26"/>
        </w:rPr>
        <w:t>-month ra</w:t>
      </w:r>
      <w:r w:rsidR="008560F4">
        <w:rPr>
          <w:sz w:val="26"/>
          <w:szCs w:val="26"/>
        </w:rPr>
        <w:t xml:space="preserve">tes </w:t>
      </w:r>
      <w:r w:rsidR="006C65FA">
        <w:rPr>
          <w:sz w:val="26"/>
          <w:szCs w:val="26"/>
        </w:rPr>
        <w:t>based on twelve</w:t>
      </w:r>
      <w:r w:rsidR="008560F4">
        <w:rPr>
          <w:sz w:val="26"/>
          <w:szCs w:val="26"/>
        </w:rPr>
        <w:t xml:space="preserve">-month contracts </w:t>
      </w:r>
      <w:r w:rsidRPr="00EE5722">
        <w:rPr>
          <w:sz w:val="26"/>
          <w:szCs w:val="26"/>
        </w:rPr>
        <w:t>in this procee</w:t>
      </w:r>
      <w:r w:rsidR="00BE04E3">
        <w:rPr>
          <w:sz w:val="26"/>
          <w:szCs w:val="26"/>
        </w:rPr>
        <w:t>ding</w:t>
      </w:r>
      <w:r w:rsidR="008560F4">
        <w:rPr>
          <w:sz w:val="26"/>
          <w:szCs w:val="26"/>
        </w:rPr>
        <w:t xml:space="preserve"> (DSP VI)</w:t>
      </w:r>
      <w:r w:rsidR="00BE04E3">
        <w:rPr>
          <w:sz w:val="26"/>
          <w:szCs w:val="26"/>
        </w:rPr>
        <w:t xml:space="preserve">.  Likewise, Duquesne </w:t>
      </w:r>
      <w:r w:rsidR="008560F4">
        <w:rPr>
          <w:sz w:val="26"/>
          <w:szCs w:val="26"/>
        </w:rPr>
        <w:t xml:space="preserve">has </w:t>
      </w:r>
      <w:r w:rsidRPr="00EE5722">
        <w:rPr>
          <w:sz w:val="26"/>
          <w:szCs w:val="26"/>
        </w:rPr>
        <w:t>propose</w:t>
      </w:r>
      <w:r w:rsidR="008A6D50" w:rsidRPr="00EE5722">
        <w:rPr>
          <w:sz w:val="26"/>
          <w:szCs w:val="26"/>
        </w:rPr>
        <w:t>d</w:t>
      </w:r>
      <w:r w:rsidRPr="00EE5722">
        <w:rPr>
          <w:sz w:val="26"/>
          <w:szCs w:val="26"/>
        </w:rPr>
        <w:t xml:space="preserve"> to move </w:t>
      </w:r>
      <w:r w:rsidR="00F710BC" w:rsidRPr="00EE5722">
        <w:rPr>
          <w:sz w:val="26"/>
          <w:szCs w:val="26"/>
        </w:rPr>
        <w:t>S</w:t>
      </w:r>
      <w:r w:rsidR="006C65FA">
        <w:rPr>
          <w:sz w:val="26"/>
          <w:szCs w:val="26"/>
        </w:rPr>
        <w:t>mall C&amp;I customers from twelve</w:t>
      </w:r>
      <w:r w:rsidRPr="00EE5722">
        <w:rPr>
          <w:sz w:val="26"/>
          <w:szCs w:val="26"/>
        </w:rPr>
        <w:t xml:space="preserve">-month rates to </w:t>
      </w:r>
      <w:r w:rsidR="006C65FA">
        <w:rPr>
          <w:sz w:val="26"/>
          <w:szCs w:val="26"/>
        </w:rPr>
        <w:t>six</w:t>
      </w:r>
      <w:r w:rsidR="008560F4">
        <w:rPr>
          <w:sz w:val="26"/>
          <w:szCs w:val="26"/>
        </w:rPr>
        <w:t xml:space="preserve">-month rates </w:t>
      </w:r>
      <w:r w:rsidR="006C65FA">
        <w:rPr>
          <w:sz w:val="26"/>
          <w:szCs w:val="26"/>
        </w:rPr>
        <w:t>based on twelve</w:t>
      </w:r>
      <w:r w:rsidRPr="00EE5722">
        <w:rPr>
          <w:sz w:val="26"/>
          <w:szCs w:val="26"/>
        </w:rPr>
        <w:t xml:space="preserve">-month laddered contracts.  For </w:t>
      </w:r>
      <w:r w:rsidR="00902695" w:rsidRPr="00EE5722">
        <w:rPr>
          <w:sz w:val="26"/>
          <w:szCs w:val="26"/>
        </w:rPr>
        <w:t>M</w:t>
      </w:r>
      <w:r w:rsidRPr="00EE5722">
        <w:rPr>
          <w:sz w:val="26"/>
          <w:szCs w:val="26"/>
        </w:rPr>
        <w:t xml:space="preserve">edium C&amp;I customers, the Company </w:t>
      </w:r>
      <w:r w:rsidR="008560F4">
        <w:rPr>
          <w:sz w:val="26"/>
          <w:szCs w:val="26"/>
        </w:rPr>
        <w:t xml:space="preserve">has </w:t>
      </w:r>
      <w:r w:rsidRPr="00EE5722">
        <w:rPr>
          <w:sz w:val="26"/>
          <w:szCs w:val="26"/>
        </w:rPr>
        <w:t>propose</w:t>
      </w:r>
      <w:r w:rsidR="008A6D50" w:rsidRPr="00EE5722">
        <w:rPr>
          <w:sz w:val="26"/>
          <w:szCs w:val="26"/>
        </w:rPr>
        <w:t>d</w:t>
      </w:r>
      <w:r w:rsidR="006C65FA">
        <w:rPr>
          <w:sz w:val="26"/>
          <w:szCs w:val="26"/>
        </w:rPr>
        <w:t xml:space="preserve"> to move from six-month rates derived from twelve-month laddered contracts to six-month rates derived from six</w:t>
      </w:r>
      <w:r w:rsidRPr="00EE5722">
        <w:rPr>
          <w:sz w:val="26"/>
          <w:szCs w:val="26"/>
        </w:rPr>
        <w:t xml:space="preserve">-month contracts, </w:t>
      </w:r>
      <w:r w:rsidR="008560F4">
        <w:rPr>
          <w:sz w:val="26"/>
          <w:szCs w:val="26"/>
        </w:rPr>
        <w:t xml:space="preserve">nearly all of which would be </w:t>
      </w:r>
      <w:r w:rsidR="006C65FA">
        <w:rPr>
          <w:sz w:val="26"/>
          <w:szCs w:val="26"/>
        </w:rPr>
        <w:t>procured within sixty</w:t>
      </w:r>
      <w:r w:rsidRPr="00EE5722">
        <w:rPr>
          <w:sz w:val="26"/>
          <w:szCs w:val="26"/>
        </w:rPr>
        <w:t xml:space="preserve"> days of the st</w:t>
      </w:r>
      <w:r w:rsidR="00F04B32">
        <w:rPr>
          <w:sz w:val="26"/>
          <w:szCs w:val="26"/>
        </w:rPr>
        <w:t>art of the delivery period.</w:t>
      </w:r>
    </w:p>
    <w:p w:rsidR="00BC7E4E" w:rsidRPr="00EE5722" w:rsidRDefault="00BC7E4E" w:rsidP="00BC7E4E">
      <w:pPr>
        <w:pStyle w:val="BodyText2"/>
        <w:spacing w:after="0" w:line="360" w:lineRule="auto"/>
        <w:rPr>
          <w:sz w:val="26"/>
          <w:szCs w:val="26"/>
        </w:rPr>
      </w:pPr>
    </w:p>
    <w:p w:rsidR="00BC7E4E" w:rsidRPr="008560F4" w:rsidRDefault="00BC7E4E" w:rsidP="00BC7E4E">
      <w:pPr>
        <w:pStyle w:val="BodyText2"/>
        <w:spacing w:after="0" w:line="360" w:lineRule="auto"/>
        <w:rPr>
          <w:sz w:val="26"/>
          <w:szCs w:val="26"/>
        </w:rPr>
      </w:pPr>
      <w:r w:rsidRPr="00EE5722">
        <w:rPr>
          <w:sz w:val="26"/>
          <w:szCs w:val="26"/>
        </w:rPr>
        <w:tab/>
      </w:r>
      <w:r w:rsidRPr="00EE5722">
        <w:rPr>
          <w:sz w:val="26"/>
          <w:szCs w:val="26"/>
        </w:rPr>
        <w:tab/>
        <w:t xml:space="preserve">Most of the </w:t>
      </w:r>
      <w:r w:rsidR="008560F4">
        <w:rPr>
          <w:sz w:val="26"/>
          <w:szCs w:val="26"/>
        </w:rPr>
        <w:t>P</w:t>
      </w:r>
      <w:r w:rsidRPr="00EE5722">
        <w:rPr>
          <w:sz w:val="26"/>
          <w:szCs w:val="26"/>
        </w:rPr>
        <w:t>arties in this p</w:t>
      </w:r>
      <w:r w:rsidR="00BE04E3">
        <w:rPr>
          <w:sz w:val="26"/>
          <w:szCs w:val="26"/>
        </w:rPr>
        <w:t>roceeding support Duquesne</w:t>
      </w:r>
      <w:r w:rsidRPr="00EE5722">
        <w:rPr>
          <w:sz w:val="26"/>
          <w:szCs w:val="26"/>
        </w:rPr>
        <w:t>’s general approach to gradually move customer classes to more market-responsive pricing.  For the convenience of the Commission</w:t>
      </w:r>
      <w:r w:rsidR="00BE04E3">
        <w:rPr>
          <w:sz w:val="26"/>
          <w:szCs w:val="26"/>
        </w:rPr>
        <w:t xml:space="preserve">, Duquesne </w:t>
      </w:r>
      <w:r w:rsidRPr="00EE5722">
        <w:rPr>
          <w:sz w:val="26"/>
          <w:szCs w:val="26"/>
        </w:rPr>
        <w:t xml:space="preserve">prepared a table </w:t>
      </w:r>
      <w:r w:rsidR="008A6D50" w:rsidRPr="00EE5722">
        <w:rPr>
          <w:sz w:val="26"/>
          <w:szCs w:val="26"/>
        </w:rPr>
        <w:t>which</w:t>
      </w:r>
      <w:r w:rsidRPr="00EE5722">
        <w:rPr>
          <w:sz w:val="26"/>
          <w:szCs w:val="26"/>
        </w:rPr>
        <w:t xml:space="preserve"> sets forth each p</w:t>
      </w:r>
      <w:r w:rsidR="00BE04E3">
        <w:rPr>
          <w:sz w:val="26"/>
          <w:szCs w:val="26"/>
        </w:rPr>
        <w:t>rocurement issue, Duquesne</w:t>
      </w:r>
      <w:r w:rsidRPr="00EE5722">
        <w:rPr>
          <w:sz w:val="26"/>
          <w:szCs w:val="26"/>
        </w:rPr>
        <w:t xml:space="preserve">’s </w:t>
      </w:r>
      <w:r w:rsidR="00BE04E3">
        <w:rPr>
          <w:sz w:val="26"/>
          <w:szCs w:val="26"/>
        </w:rPr>
        <w:t xml:space="preserve">proposal, whether Duquesne </w:t>
      </w:r>
      <w:r w:rsidR="00441E17" w:rsidRPr="00EE5722">
        <w:rPr>
          <w:sz w:val="26"/>
          <w:szCs w:val="26"/>
        </w:rPr>
        <w:t xml:space="preserve">considers its </w:t>
      </w:r>
      <w:r w:rsidRPr="00EE5722">
        <w:rPr>
          <w:sz w:val="26"/>
          <w:szCs w:val="26"/>
        </w:rPr>
        <w:t xml:space="preserve">proposal </w:t>
      </w:r>
      <w:r w:rsidR="00441E17" w:rsidRPr="00EE5722">
        <w:rPr>
          <w:sz w:val="26"/>
          <w:szCs w:val="26"/>
        </w:rPr>
        <w:t>to be</w:t>
      </w:r>
      <w:r w:rsidRPr="00EE5722">
        <w:rPr>
          <w:sz w:val="26"/>
          <w:szCs w:val="26"/>
        </w:rPr>
        <w:t xml:space="preserve"> consistent with relevant Commission guida</w:t>
      </w:r>
      <w:r w:rsidR="008560F4">
        <w:rPr>
          <w:sz w:val="26"/>
          <w:szCs w:val="26"/>
        </w:rPr>
        <w:t>nce, the degree to which other P</w:t>
      </w:r>
      <w:r w:rsidRPr="00EE5722">
        <w:rPr>
          <w:sz w:val="26"/>
          <w:szCs w:val="26"/>
        </w:rPr>
        <w:t xml:space="preserve">arties support the Company’s proposal and a summary of </w:t>
      </w:r>
      <w:r w:rsidR="00441E17" w:rsidRPr="00EE5722">
        <w:rPr>
          <w:sz w:val="26"/>
          <w:szCs w:val="26"/>
        </w:rPr>
        <w:t xml:space="preserve">the Company’s </w:t>
      </w:r>
      <w:r w:rsidRPr="00EE5722">
        <w:rPr>
          <w:sz w:val="26"/>
          <w:szCs w:val="26"/>
        </w:rPr>
        <w:t>reasons why the Company</w:t>
      </w:r>
      <w:r w:rsidR="00441E17" w:rsidRPr="00EE5722">
        <w:rPr>
          <w:sz w:val="26"/>
          <w:szCs w:val="26"/>
        </w:rPr>
        <w:t xml:space="preserve"> believe</w:t>
      </w:r>
      <w:r w:rsidRPr="00EE5722">
        <w:rPr>
          <w:sz w:val="26"/>
          <w:szCs w:val="26"/>
        </w:rPr>
        <w:t>s</w:t>
      </w:r>
      <w:r w:rsidR="00441E17" w:rsidRPr="00EE5722">
        <w:rPr>
          <w:sz w:val="26"/>
          <w:szCs w:val="26"/>
        </w:rPr>
        <w:t xml:space="preserve"> its</w:t>
      </w:r>
      <w:r w:rsidRPr="00EE5722">
        <w:rPr>
          <w:sz w:val="26"/>
          <w:szCs w:val="26"/>
        </w:rPr>
        <w:t xml:space="preserve"> proposal is appropria</w:t>
      </w:r>
      <w:r w:rsidR="008A6D50" w:rsidRPr="00EE5722">
        <w:rPr>
          <w:sz w:val="26"/>
          <w:szCs w:val="26"/>
        </w:rPr>
        <w:t xml:space="preserve">te.  This table </w:t>
      </w:r>
      <w:r w:rsidR="008560F4">
        <w:rPr>
          <w:sz w:val="26"/>
          <w:szCs w:val="26"/>
        </w:rPr>
        <w:t>wa</w:t>
      </w:r>
      <w:r w:rsidR="004C6A25" w:rsidRPr="00EE5722">
        <w:rPr>
          <w:sz w:val="26"/>
          <w:szCs w:val="26"/>
        </w:rPr>
        <w:t>s attached</w:t>
      </w:r>
      <w:r w:rsidRPr="00EE5722">
        <w:rPr>
          <w:sz w:val="26"/>
          <w:szCs w:val="26"/>
        </w:rPr>
        <w:t xml:space="preserve"> as Appendix </w:t>
      </w:r>
      <w:r w:rsidR="001B34D0" w:rsidRPr="00EE5722">
        <w:rPr>
          <w:sz w:val="26"/>
          <w:szCs w:val="26"/>
        </w:rPr>
        <w:t>B</w:t>
      </w:r>
      <w:r w:rsidR="008560F4">
        <w:rPr>
          <w:sz w:val="26"/>
          <w:szCs w:val="26"/>
        </w:rPr>
        <w:t xml:space="preserve"> to the ALJ’s </w:t>
      </w:r>
      <w:r w:rsidR="004C6A25" w:rsidRPr="00EE5722">
        <w:rPr>
          <w:sz w:val="26"/>
          <w:szCs w:val="26"/>
        </w:rPr>
        <w:t>Recommended Decision</w:t>
      </w:r>
      <w:r w:rsidRPr="00EE5722">
        <w:rPr>
          <w:sz w:val="26"/>
          <w:szCs w:val="26"/>
        </w:rPr>
        <w:t>.</w:t>
      </w:r>
    </w:p>
    <w:p w:rsidR="008E242A" w:rsidRPr="00747893" w:rsidRDefault="008E242A" w:rsidP="00747893">
      <w:pPr>
        <w:pStyle w:val="BodyText2"/>
        <w:spacing w:after="0" w:line="360" w:lineRule="auto"/>
        <w:rPr>
          <w:sz w:val="26"/>
          <w:szCs w:val="26"/>
        </w:rPr>
      </w:pPr>
      <w:bookmarkStart w:id="11" w:name="_Toc323736679"/>
    </w:p>
    <w:p w:rsidR="006C6975" w:rsidRPr="00EE5722" w:rsidRDefault="00172900" w:rsidP="000B0447">
      <w:pPr>
        <w:pStyle w:val="Heading2"/>
        <w:keepNext/>
        <w:numPr>
          <w:ilvl w:val="0"/>
          <w:numId w:val="0"/>
        </w:numPr>
        <w:ind w:left="1440" w:hanging="720"/>
      </w:pPr>
      <w:bookmarkStart w:id="12" w:name="_Toc346705258"/>
      <w:r>
        <w:lastRenderedPageBreak/>
        <w:t>c</w:t>
      </w:r>
      <w:r w:rsidR="00C57D29" w:rsidRPr="00EE5722">
        <w:t>.</w:t>
      </w:r>
      <w:r w:rsidR="00C761F9" w:rsidRPr="00EE5722">
        <w:tab/>
      </w:r>
      <w:bookmarkEnd w:id="11"/>
      <w:r w:rsidR="00C761F9" w:rsidRPr="00EE5722">
        <w:t>Default Service Procurement</w:t>
      </w:r>
      <w:bookmarkEnd w:id="12"/>
    </w:p>
    <w:p w:rsidR="00154532" w:rsidRPr="00EE5722" w:rsidRDefault="00154532" w:rsidP="00B67E4B">
      <w:pPr>
        <w:pStyle w:val="BodyText"/>
        <w:keepNext/>
        <w:spacing w:after="0" w:line="360" w:lineRule="auto"/>
        <w:rPr>
          <w:b/>
          <w:sz w:val="26"/>
          <w:szCs w:val="26"/>
        </w:rPr>
      </w:pPr>
    </w:p>
    <w:p w:rsidR="00AD0AFA" w:rsidRPr="000B0447" w:rsidRDefault="005D2E99" w:rsidP="000B0447">
      <w:pPr>
        <w:pStyle w:val="Heading3"/>
      </w:pPr>
      <w:bookmarkStart w:id="13" w:name="_Toc323736681"/>
      <w:bookmarkStart w:id="14" w:name="_Toc346705259"/>
      <w:r w:rsidRPr="000B0447">
        <w:t>1.</w:t>
      </w:r>
      <w:r w:rsidRPr="000B0447">
        <w:tab/>
      </w:r>
      <w:bookmarkEnd w:id="13"/>
      <w:r w:rsidR="00EE639F" w:rsidRPr="000B0447">
        <w:t xml:space="preserve">Residential </w:t>
      </w:r>
      <w:r w:rsidR="00AD0AFA" w:rsidRPr="000B0447">
        <w:t>Procurement</w:t>
      </w:r>
      <w:bookmarkEnd w:id="14"/>
      <w:r w:rsidR="00AD0AFA" w:rsidRPr="000B0447">
        <w:t xml:space="preserve"> </w:t>
      </w:r>
    </w:p>
    <w:p w:rsidR="00AD0AFA" w:rsidRPr="00EE5722" w:rsidRDefault="00AD0AFA" w:rsidP="00B67E4B">
      <w:pPr>
        <w:pStyle w:val="BriefL3"/>
        <w:keepNext/>
        <w:numPr>
          <w:ilvl w:val="0"/>
          <w:numId w:val="0"/>
        </w:numPr>
        <w:spacing w:after="0" w:line="360" w:lineRule="auto"/>
        <w:ind w:left="720" w:firstLine="720"/>
        <w:rPr>
          <w:b/>
          <w:sz w:val="26"/>
          <w:szCs w:val="26"/>
        </w:rPr>
      </w:pPr>
    </w:p>
    <w:p w:rsidR="00884AFB" w:rsidRPr="000B0447" w:rsidRDefault="000B0447" w:rsidP="000B0447">
      <w:pPr>
        <w:pStyle w:val="Heading4"/>
        <w:numPr>
          <w:ilvl w:val="0"/>
          <w:numId w:val="0"/>
        </w:numPr>
        <w:ind w:left="2880" w:hanging="720"/>
      </w:pPr>
      <w:bookmarkStart w:id="15" w:name="_Toc346705260"/>
      <w:r>
        <w:t>a.</w:t>
      </w:r>
      <w:r>
        <w:tab/>
      </w:r>
      <w:r w:rsidR="00EA2976" w:rsidRPr="000B0447">
        <w:t>Products and Product Terms</w:t>
      </w:r>
      <w:bookmarkEnd w:id="15"/>
    </w:p>
    <w:p w:rsidR="00884AFB" w:rsidRPr="00EE5722" w:rsidRDefault="00884AFB" w:rsidP="00B67E4B">
      <w:pPr>
        <w:pStyle w:val="BriefL3"/>
        <w:keepNext/>
        <w:numPr>
          <w:ilvl w:val="0"/>
          <w:numId w:val="0"/>
        </w:numPr>
        <w:spacing w:after="0" w:line="360" w:lineRule="auto"/>
        <w:ind w:left="2880"/>
        <w:rPr>
          <w:b/>
          <w:sz w:val="26"/>
          <w:szCs w:val="26"/>
        </w:rPr>
      </w:pPr>
    </w:p>
    <w:p w:rsidR="00884AFB" w:rsidRPr="000B0447" w:rsidRDefault="000B0447" w:rsidP="000B0447">
      <w:pPr>
        <w:pStyle w:val="Heading5"/>
        <w:numPr>
          <w:ilvl w:val="0"/>
          <w:numId w:val="0"/>
        </w:numPr>
        <w:ind w:left="3600" w:hanging="720"/>
      </w:pPr>
      <w:bookmarkStart w:id="16" w:name="_Toc346705261"/>
      <w:r>
        <w:t>i.</w:t>
      </w:r>
      <w:r>
        <w:tab/>
      </w:r>
      <w:r w:rsidR="00BE04E3" w:rsidRPr="000B0447">
        <w:t>Duquesne</w:t>
      </w:r>
      <w:r w:rsidR="00884AFB" w:rsidRPr="000B0447">
        <w:t>’s Proposal</w:t>
      </w:r>
      <w:bookmarkEnd w:id="16"/>
    </w:p>
    <w:p w:rsidR="00B67E4B" w:rsidRPr="00EE5722" w:rsidRDefault="00B67E4B" w:rsidP="00B67E4B">
      <w:pPr>
        <w:pStyle w:val="BriefL3"/>
        <w:keepNext/>
        <w:numPr>
          <w:ilvl w:val="0"/>
          <w:numId w:val="0"/>
        </w:numPr>
        <w:spacing w:after="0" w:line="360" w:lineRule="auto"/>
        <w:ind w:left="2160" w:hanging="720"/>
        <w:rPr>
          <w:b/>
          <w:sz w:val="26"/>
          <w:szCs w:val="26"/>
        </w:rPr>
      </w:pPr>
    </w:p>
    <w:p w:rsidR="00EA2976" w:rsidRPr="00EE5722" w:rsidRDefault="00EA2976" w:rsidP="00EA2976">
      <w:pPr>
        <w:pStyle w:val="BodyText2"/>
        <w:spacing w:after="0" w:line="360" w:lineRule="auto"/>
        <w:rPr>
          <w:sz w:val="26"/>
          <w:szCs w:val="26"/>
        </w:rPr>
      </w:pPr>
      <w:r w:rsidRPr="00EE5722">
        <w:rPr>
          <w:sz w:val="26"/>
          <w:szCs w:val="26"/>
        </w:rPr>
        <w:tab/>
      </w:r>
      <w:r w:rsidRPr="00EE5722">
        <w:rPr>
          <w:sz w:val="26"/>
          <w:szCs w:val="26"/>
        </w:rPr>
        <w:tab/>
      </w:r>
      <w:r w:rsidR="00BE04E3">
        <w:rPr>
          <w:sz w:val="26"/>
          <w:szCs w:val="26"/>
        </w:rPr>
        <w:t xml:space="preserve">Duquesne </w:t>
      </w:r>
      <w:r w:rsidR="001273FD">
        <w:rPr>
          <w:sz w:val="26"/>
          <w:szCs w:val="26"/>
        </w:rPr>
        <w:t>proposed acquiring</w:t>
      </w:r>
      <w:r w:rsidRPr="00EE5722">
        <w:rPr>
          <w:sz w:val="26"/>
          <w:szCs w:val="26"/>
        </w:rPr>
        <w:t xml:space="preserve"> default supplies for Residential a</w:t>
      </w:r>
      <w:r w:rsidR="006C65FA">
        <w:rPr>
          <w:sz w:val="26"/>
          <w:szCs w:val="26"/>
        </w:rPr>
        <w:t>nd Lighting customers through twelve</w:t>
      </w:r>
      <w:r w:rsidRPr="00EE5722">
        <w:rPr>
          <w:sz w:val="26"/>
          <w:szCs w:val="26"/>
        </w:rPr>
        <w:t xml:space="preserve">-month full requirements contracts </w:t>
      </w:r>
      <w:r w:rsidR="001273FD">
        <w:rPr>
          <w:sz w:val="26"/>
          <w:szCs w:val="26"/>
        </w:rPr>
        <w:t>(FRC</w:t>
      </w:r>
      <w:r w:rsidR="00603978" w:rsidRPr="00EE5722">
        <w:rPr>
          <w:sz w:val="26"/>
          <w:szCs w:val="26"/>
        </w:rPr>
        <w:t xml:space="preserve">) </w:t>
      </w:r>
      <w:r w:rsidRPr="00EE5722">
        <w:rPr>
          <w:sz w:val="26"/>
          <w:szCs w:val="26"/>
        </w:rPr>
        <w:t xml:space="preserve">from third party suppliers through competitive </w:t>
      </w:r>
      <w:r w:rsidR="001273FD">
        <w:rPr>
          <w:sz w:val="26"/>
          <w:szCs w:val="26"/>
        </w:rPr>
        <w:t>requests for proposals (RFP</w:t>
      </w:r>
      <w:r w:rsidRPr="00EE5722">
        <w:rPr>
          <w:sz w:val="26"/>
          <w:szCs w:val="26"/>
        </w:rPr>
        <w:t>).  A full requirements contract requires a supplier to provide energy, capacity, ancillary services, and any other services or products necessary to serve a specified perce</w:t>
      </w:r>
      <w:r w:rsidR="006C65FA">
        <w:rPr>
          <w:sz w:val="26"/>
          <w:szCs w:val="26"/>
        </w:rPr>
        <w:t>ntage of default service load twenty-four</w:t>
      </w:r>
      <w:r w:rsidRPr="00EE5722">
        <w:rPr>
          <w:sz w:val="26"/>
          <w:szCs w:val="26"/>
        </w:rPr>
        <w:t xml:space="preserve"> hours a day, for the term of the contract.  Because the contract is “load-following,” the amount of energy and other services and products a supplier must provide will va</w:t>
      </w:r>
      <w:r w:rsidR="00BE04E3">
        <w:rPr>
          <w:sz w:val="26"/>
          <w:szCs w:val="26"/>
        </w:rPr>
        <w:t>ry depending upon Duquesne</w:t>
      </w:r>
      <w:r w:rsidRPr="00EE5722">
        <w:rPr>
          <w:sz w:val="26"/>
          <w:szCs w:val="26"/>
        </w:rPr>
        <w:t>’s actual default service load.</w:t>
      </w:r>
    </w:p>
    <w:p w:rsidR="00EA2976" w:rsidRPr="00EE5722" w:rsidRDefault="00EA2976" w:rsidP="00EA2976">
      <w:pPr>
        <w:pStyle w:val="BodyText2"/>
        <w:spacing w:after="0" w:line="360" w:lineRule="auto"/>
        <w:rPr>
          <w:sz w:val="26"/>
          <w:szCs w:val="26"/>
        </w:rPr>
      </w:pPr>
    </w:p>
    <w:p w:rsidR="00747893" w:rsidRDefault="00EA2976" w:rsidP="00EA2976">
      <w:pPr>
        <w:pStyle w:val="BodyText2"/>
        <w:spacing w:after="0" w:line="360" w:lineRule="auto"/>
        <w:rPr>
          <w:sz w:val="26"/>
          <w:szCs w:val="26"/>
        </w:rPr>
      </w:pPr>
      <w:r w:rsidRPr="00EE5722">
        <w:rPr>
          <w:sz w:val="26"/>
          <w:szCs w:val="26"/>
        </w:rPr>
        <w:tab/>
      </w:r>
      <w:r w:rsidRPr="00EE5722">
        <w:rPr>
          <w:sz w:val="26"/>
          <w:szCs w:val="26"/>
        </w:rPr>
        <w:tab/>
        <w:t xml:space="preserve">The following table shows the proposed RFP </w:t>
      </w:r>
      <w:r w:rsidR="006E5599">
        <w:rPr>
          <w:sz w:val="26"/>
          <w:szCs w:val="26"/>
        </w:rPr>
        <w:t>d</w:t>
      </w:r>
      <w:r w:rsidRPr="00EE5722">
        <w:rPr>
          <w:sz w:val="26"/>
          <w:szCs w:val="26"/>
        </w:rPr>
        <w:t xml:space="preserve">ates, </w:t>
      </w:r>
      <w:r w:rsidR="006E5599">
        <w:rPr>
          <w:sz w:val="26"/>
          <w:szCs w:val="26"/>
        </w:rPr>
        <w:t>p</w:t>
      </w:r>
      <w:r w:rsidRPr="00EE5722">
        <w:rPr>
          <w:sz w:val="26"/>
          <w:szCs w:val="26"/>
        </w:rPr>
        <w:t xml:space="preserve">rocurement </w:t>
      </w:r>
      <w:r w:rsidR="006E5599">
        <w:rPr>
          <w:sz w:val="26"/>
          <w:szCs w:val="26"/>
        </w:rPr>
        <w:t>a</w:t>
      </w:r>
      <w:r w:rsidRPr="00EE5722">
        <w:rPr>
          <w:sz w:val="26"/>
          <w:szCs w:val="26"/>
        </w:rPr>
        <w:t xml:space="preserve">mounts, </w:t>
      </w:r>
      <w:r w:rsidR="006E5599">
        <w:rPr>
          <w:sz w:val="26"/>
          <w:szCs w:val="26"/>
        </w:rPr>
        <w:t>c</w:t>
      </w:r>
      <w:r w:rsidRPr="00EE5722">
        <w:rPr>
          <w:sz w:val="26"/>
          <w:szCs w:val="26"/>
        </w:rPr>
        <w:t xml:space="preserve">ontract </w:t>
      </w:r>
      <w:r w:rsidR="006E5599">
        <w:rPr>
          <w:sz w:val="26"/>
          <w:szCs w:val="26"/>
        </w:rPr>
        <w:t>t</w:t>
      </w:r>
      <w:r w:rsidRPr="00EE5722">
        <w:rPr>
          <w:sz w:val="26"/>
          <w:szCs w:val="26"/>
        </w:rPr>
        <w:t xml:space="preserve">erms and </w:t>
      </w:r>
      <w:r w:rsidR="006E5599">
        <w:rPr>
          <w:sz w:val="26"/>
          <w:szCs w:val="26"/>
        </w:rPr>
        <w:t>d</w:t>
      </w:r>
      <w:r w:rsidRPr="00EE5722">
        <w:rPr>
          <w:sz w:val="26"/>
          <w:szCs w:val="26"/>
        </w:rPr>
        <w:t xml:space="preserve">elivery </w:t>
      </w:r>
      <w:r w:rsidR="006E5599">
        <w:rPr>
          <w:sz w:val="26"/>
          <w:szCs w:val="26"/>
        </w:rPr>
        <w:t>p</w:t>
      </w:r>
      <w:r w:rsidRPr="00EE5722">
        <w:rPr>
          <w:sz w:val="26"/>
          <w:szCs w:val="26"/>
        </w:rPr>
        <w:t xml:space="preserve">eriods for </w:t>
      </w:r>
      <w:r w:rsidR="006E5599">
        <w:rPr>
          <w:sz w:val="26"/>
          <w:szCs w:val="26"/>
        </w:rPr>
        <w:t>r</w:t>
      </w:r>
      <w:r w:rsidRPr="00EE5722">
        <w:rPr>
          <w:sz w:val="26"/>
          <w:szCs w:val="26"/>
        </w:rPr>
        <w:t>esidential default service:</w:t>
      </w:r>
    </w:p>
    <w:p w:rsidR="00EA2976" w:rsidRPr="004A6EF1" w:rsidRDefault="00EA2976" w:rsidP="004A6EF1">
      <w:pPr>
        <w:autoSpaceDE/>
        <w:autoSpaceDN/>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880"/>
        <w:gridCol w:w="2160"/>
        <w:gridCol w:w="2628"/>
      </w:tblGrid>
      <w:tr w:rsidR="00EA2976" w:rsidRPr="00EE5722" w:rsidTr="00415028">
        <w:tc>
          <w:tcPr>
            <w:tcW w:w="1908" w:type="dxa"/>
            <w:tcBorders>
              <w:top w:val="single" w:sz="4" w:space="0" w:color="auto"/>
              <w:left w:val="single" w:sz="4" w:space="0" w:color="auto"/>
              <w:bottom w:val="single" w:sz="4" w:space="0" w:color="auto"/>
              <w:right w:val="single" w:sz="4" w:space="0" w:color="auto"/>
            </w:tcBorders>
            <w:hideMark/>
          </w:tcPr>
          <w:p w:rsidR="00EA2976" w:rsidRPr="00EE5722" w:rsidRDefault="00EA2976" w:rsidP="00EA2976">
            <w:pPr>
              <w:pStyle w:val="ListNumber"/>
              <w:keepNext/>
              <w:keepLines/>
              <w:spacing w:after="0" w:line="360" w:lineRule="auto"/>
              <w:ind w:left="0" w:firstLine="0"/>
              <w:rPr>
                <w:b/>
                <w:sz w:val="26"/>
                <w:szCs w:val="26"/>
              </w:rPr>
            </w:pPr>
            <w:r w:rsidRPr="00EE5722">
              <w:rPr>
                <w:b/>
                <w:sz w:val="26"/>
                <w:szCs w:val="26"/>
              </w:rPr>
              <w:t>RFP Date</w:t>
            </w:r>
          </w:p>
        </w:tc>
        <w:tc>
          <w:tcPr>
            <w:tcW w:w="2880" w:type="dxa"/>
            <w:tcBorders>
              <w:top w:val="single" w:sz="4" w:space="0" w:color="auto"/>
              <w:left w:val="single" w:sz="4" w:space="0" w:color="auto"/>
              <w:bottom w:val="single" w:sz="4" w:space="0" w:color="auto"/>
              <w:right w:val="single" w:sz="4" w:space="0" w:color="auto"/>
            </w:tcBorders>
            <w:hideMark/>
          </w:tcPr>
          <w:p w:rsidR="00EA2976" w:rsidRPr="00EE5722" w:rsidRDefault="00EA2976" w:rsidP="006E5599">
            <w:pPr>
              <w:pStyle w:val="ListNumber"/>
              <w:keepNext/>
              <w:keepLines/>
              <w:spacing w:after="0" w:line="240" w:lineRule="auto"/>
              <w:ind w:left="-18" w:firstLine="0"/>
              <w:rPr>
                <w:b/>
                <w:sz w:val="26"/>
                <w:szCs w:val="26"/>
              </w:rPr>
            </w:pPr>
            <w:r w:rsidRPr="00EE5722">
              <w:rPr>
                <w:b/>
                <w:sz w:val="26"/>
                <w:szCs w:val="26"/>
              </w:rPr>
              <w:t xml:space="preserve">Procurement </w:t>
            </w:r>
            <w:r w:rsidR="00982465" w:rsidRPr="00EE5722">
              <w:rPr>
                <w:b/>
                <w:sz w:val="26"/>
                <w:szCs w:val="26"/>
              </w:rPr>
              <w:t xml:space="preserve">        </w:t>
            </w:r>
            <w:r w:rsidR="006E5599">
              <w:rPr>
                <w:b/>
                <w:sz w:val="26"/>
                <w:szCs w:val="26"/>
              </w:rPr>
              <w:t xml:space="preserve">    </w:t>
            </w:r>
            <w:r w:rsidRPr="00EE5722">
              <w:rPr>
                <w:b/>
                <w:sz w:val="26"/>
                <w:szCs w:val="26"/>
              </w:rPr>
              <w:t>Amount</w:t>
            </w:r>
          </w:p>
        </w:tc>
        <w:tc>
          <w:tcPr>
            <w:tcW w:w="2160" w:type="dxa"/>
            <w:tcBorders>
              <w:top w:val="single" w:sz="4" w:space="0" w:color="auto"/>
              <w:left w:val="single" w:sz="4" w:space="0" w:color="auto"/>
              <w:bottom w:val="single" w:sz="4" w:space="0" w:color="auto"/>
              <w:right w:val="single" w:sz="4" w:space="0" w:color="auto"/>
            </w:tcBorders>
            <w:hideMark/>
          </w:tcPr>
          <w:p w:rsidR="00EA2976" w:rsidRPr="00EE5722" w:rsidRDefault="00EA2976" w:rsidP="006E5599">
            <w:pPr>
              <w:pStyle w:val="ListNumber"/>
              <w:keepNext/>
              <w:keepLines/>
              <w:spacing w:after="0" w:line="240" w:lineRule="auto"/>
              <w:ind w:left="0" w:firstLine="0"/>
              <w:rPr>
                <w:b/>
                <w:sz w:val="26"/>
                <w:szCs w:val="26"/>
              </w:rPr>
            </w:pPr>
            <w:r w:rsidRPr="00EE5722">
              <w:rPr>
                <w:b/>
                <w:sz w:val="26"/>
                <w:szCs w:val="26"/>
              </w:rPr>
              <w:t>Contract Term</w:t>
            </w:r>
          </w:p>
        </w:tc>
        <w:tc>
          <w:tcPr>
            <w:tcW w:w="2628" w:type="dxa"/>
            <w:tcBorders>
              <w:top w:val="single" w:sz="4" w:space="0" w:color="auto"/>
              <w:left w:val="single" w:sz="4" w:space="0" w:color="auto"/>
              <w:bottom w:val="single" w:sz="4" w:space="0" w:color="auto"/>
              <w:right w:val="single" w:sz="4" w:space="0" w:color="auto"/>
            </w:tcBorders>
            <w:hideMark/>
          </w:tcPr>
          <w:p w:rsidR="00EA2976" w:rsidRPr="00EE5722" w:rsidRDefault="00EA2976" w:rsidP="00EA2976">
            <w:pPr>
              <w:pStyle w:val="ListNumber"/>
              <w:keepNext/>
              <w:keepLines/>
              <w:spacing w:after="0" w:line="360" w:lineRule="auto"/>
              <w:ind w:left="0" w:firstLine="0"/>
              <w:rPr>
                <w:b/>
                <w:sz w:val="26"/>
                <w:szCs w:val="26"/>
              </w:rPr>
            </w:pPr>
            <w:r w:rsidRPr="00EE5722">
              <w:rPr>
                <w:b/>
                <w:sz w:val="26"/>
                <w:szCs w:val="26"/>
              </w:rPr>
              <w:t>Delivery Period</w:t>
            </w:r>
          </w:p>
        </w:tc>
      </w:tr>
      <w:tr w:rsidR="00EA2976" w:rsidRPr="00EE5722" w:rsidTr="00415028">
        <w:tc>
          <w:tcPr>
            <w:tcW w:w="1908" w:type="dxa"/>
            <w:tcBorders>
              <w:top w:val="single" w:sz="4" w:space="0" w:color="auto"/>
              <w:left w:val="single" w:sz="4" w:space="0" w:color="auto"/>
              <w:bottom w:val="single" w:sz="4" w:space="0" w:color="auto"/>
              <w:right w:val="single" w:sz="4" w:space="0" w:color="auto"/>
            </w:tcBorders>
            <w:hideMark/>
          </w:tcPr>
          <w:p w:rsidR="00EA2976" w:rsidRPr="00EE5722" w:rsidRDefault="00EA2976" w:rsidP="00EA2976">
            <w:pPr>
              <w:pStyle w:val="ListNumber"/>
              <w:keepNext/>
              <w:keepLines/>
              <w:numPr>
                <w:ilvl w:val="0"/>
                <w:numId w:val="0"/>
              </w:numPr>
              <w:spacing w:after="0" w:line="360" w:lineRule="auto"/>
              <w:rPr>
                <w:sz w:val="26"/>
                <w:szCs w:val="26"/>
              </w:rPr>
            </w:pPr>
            <w:r w:rsidRPr="00EE5722">
              <w:rPr>
                <w:sz w:val="26"/>
                <w:szCs w:val="26"/>
              </w:rPr>
              <w:t>November 2012</w:t>
            </w:r>
          </w:p>
        </w:tc>
        <w:tc>
          <w:tcPr>
            <w:tcW w:w="2880" w:type="dxa"/>
            <w:tcBorders>
              <w:top w:val="single" w:sz="4" w:space="0" w:color="auto"/>
              <w:left w:val="single" w:sz="4" w:space="0" w:color="auto"/>
              <w:bottom w:val="single" w:sz="4" w:space="0" w:color="auto"/>
              <w:right w:val="single" w:sz="4" w:space="0" w:color="auto"/>
            </w:tcBorders>
            <w:hideMark/>
          </w:tcPr>
          <w:p w:rsidR="00EA2976" w:rsidRPr="00EE5722" w:rsidRDefault="00EA2976" w:rsidP="00EA2976">
            <w:pPr>
              <w:pStyle w:val="ListNumber"/>
              <w:keepNext/>
              <w:keepLines/>
              <w:numPr>
                <w:ilvl w:val="0"/>
                <w:numId w:val="0"/>
              </w:numPr>
              <w:spacing w:after="0" w:line="360" w:lineRule="auto"/>
              <w:rPr>
                <w:sz w:val="26"/>
                <w:szCs w:val="26"/>
              </w:rPr>
            </w:pPr>
            <w:r w:rsidRPr="00EE5722">
              <w:rPr>
                <w:sz w:val="26"/>
                <w:szCs w:val="26"/>
              </w:rPr>
              <w:t>50%</w:t>
            </w:r>
          </w:p>
        </w:tc>
        <w:tc>
          <w:tcPr>
            <w:tcW w:w="2160" w:type="dxa"/>
            <w:tcBorders>
              <w:top w:val="single" w:sz="4" w:space="0" w:color="auto"/>
              <w:left w:val="single" w:sz="4" w:space="0" w:color="auto"/>
              <w:bottom w:val="single" w:sz="4" w:space="0" w:color="auto"/>
              <w:right w:val="single" w:sz="4" w:space="0" w:color="auto"/>
            </w:tcBorders>
            <w:hideMark/>
          </w:tcPr>
          <w:p w:rsidR="00EA2976" w:rsidRPr="00EE5722" w:rsidRDefault="00EA2976" w:rsidP="00EA2976">
            <w:pPr>
              <w:pStyle w:val="ListNumber"/>
              <w:keepNext/>
              <w:keepLines/>
              <w:numPr>
                <w:ilvl w:val="0"/>
                <w:numId w:val="0"/>
              </w:numPr>
              <w:spacing w:after="0" w:line="360" w:lineRule="auto"/>
              <w:rPr>
                <w:sz w:val="26"/>
                <w:szCs w:val="26"/>
              </w:rPr>
            </w:pPr>
            <w:r w:rsidRPr="00EE5722">
              <w:rPr>
                <w:sz w:val="26"/>
                <w:szCs w:val="26"/>
              </w:rPr>
              <w:t>12 Months</w:t>
            </w:r>
          </w:p>
        </w:tc>
        <w:tc>
          <w:tcPr>
            <w:tcW w:w="2628" w:type="dxa"/>
            <w:tcBorders>
              <w:top w:val="single" w:sz="4" w:space="0" w:color="auto"/>
              <w:left w:val="single" w:sz="4" w:space="0" w:color="auto"/>
              <w:bottom w:val="single" w:sz="4" w:space="0" w:color="auto"/>
              <w:right w:val="single" w:sz="4" w:space="0" w:color="auto"/>
            </w:tcBorders>
            <w:hideMark/>
          </w:tcPr>
          <w:p w:rsidR="00EA2976" w:rsidRPr="00EE5722" w:rsidRDefault="00EA2976" w:rsidP="00EA2976">
            <w:pPr>
              <w:pStyle w:val="ListNumber"/>
              <w:keepNext/>
              <w:keepLines/>
              <w:numPr>
                <w:ilvl w:val="0"/>
                <w:numId w:val="0"/>
              </w:numPr>
              <w:spacing w:after="0" w:line="360" w:lineRule="auto"/>
              <w:rPr>
                <w:sz w:val="26"/>
                <w:szCs w:val="26"/>
              </w:rPr>
            </w:pPr>
            <w:r w:rsidRPr="00EE5722">
              <w:rPr>
                <w:sz w:val="26"/>
                <w:szCs w:val="26"/>
              </w:rPr>
              <w:t>June 2013 – May 2014</w:t>
            </w:r>
          </w:p>
        </w:tc>
      </w:tr>
      <w:tr w:rsidR="00EA2976" w:rsidRPr="00EE5722" w:rsidTr="00415028">
        <w:tc>
          <w:tcPr>
            <w:tcW w:w="1908" w:type="dxa"/>
            <w:tcBorders>
              <w:top w:val="single" w:sz="4" w:space="0" w:color="auto"/>
              <w:left w:val="single" w:sz="4" w:space="0" w:color="auto"/>
              <w:bottom w:val="single" w:sz="4" w:space="0" w:color="auto"/>
              <w:right w:val="single" w:sz="4" w:space="0" w:color="auto"/>
            </w:tcBorders>
            <w:hideMark/>
          </w:tcPr>
          <w:p w:rsidR="00EA2976" w:rsidRPr="00EE5722" w:rsidRDefault="00EA2976" w:rsidP="00EA2976">
            <w:pPr>
              <w:pStyle w:val="ListNumber"/>
              <w:keepLines/>
              <w:numPr>
                <w:ilvl w:val="0"/>
                <w:numId w:val="0"/>
              </w:numPr>
              <w:spacing w:after="0" w:line="360" w:lineRule="auto"/>
              <w:rPr>
                <w:sz w:val="26"/>
                <w:szCs w:val="26"/>
              </w:rPr>
            </w:pPr>
            <w:r w:rsidRPr="00EE5722">
              <w:rPr>
                <w:sz w:val="26"/>
                <w:szCs w:val="26"/>
              </w:rPr>
              <w:t>April 2013</w:t>
            </w:r>
          </w:p>
        </w:tc>
        <w:tc>
          <w:tcPr>
            <w:tcW w:w="2880" w:type="dxa"/>
            <w:tcBorders>
              <w:top w:val="single" w:sz="4" w:space="0" w:color="auto"/>
              <w:left w:val="single" w:sz="4" w:space="0" w:color="auto"/>
              <w:bottom w:val="single" w:sz="4" w:space="0" w:color="auto"/>
              <w:right w:val="single" w:sz="4" w:space="0" w:color="auto"/>
            </w:tcBorders>
            <w:hideMark/>
          </w:tcPr>
          <w:p w:rsidR="00EA2976" w:rsidRPr="00EE5722" w:rsidRDefault="00EA2976" w:rsidP="00EA2976">
            <w:pPr>
              <w:pStyle w:val="ListNumber"/>
              <w:keepLines/>
              <w:numPr>
                <w:ilvl w:val="0"/>
                <w:numId w:val="0"/>
              </w:numPr>
              <w:spacing w:after="0" w:line="360" w:lineRule="auto"/>
              <w:rPr>
                <w:sz w:val="26"/>
                <w:szCs w:val="26"/>
              </w:rPr>
            </w:pPr>
            <w:r w:rsidRPr="00EE5722">
              <w:rPr>
                <w:sz w:val="26"/>
                <w:szCs w:val="26"/>
              </w:rPr>
              <w:t>50%</w:t>
            </w:r>
          </w:p>
        </w:tc>
        <w:tc>
          <w:tcPr>
            <w:tcW w:w="2160" w:type="dxa"/>
            <w:tcBorders>
              <w:top w:val="single" w:sz="4" w:space="0" w:color="auto"/>
              <w:left w:val="single" w:sz="4" w:space="0" w:color="auto"/>
              <w:bottom w:val="single" w:sz="4" w:space="0" w:color="auto"/>
              <w:right w:val="single" w:sz="4" w:space="0" w:color="auto"/>
            </w:tcBorders>
            <w:hideMark/>
          </w:tcPr>
          <w:p w:rsidR="00EA2976" w:rsidRPr="00EE5722" w:rsidRDefault="00EA2976" w:rsidP="00EA2976">
            <w:pPr>
              <w:pStyle w:val="ListNumber"/>
              <w:keepLines/>
              <w:numPr>
                <w:ilvl w:val="0"/>
                <w:numId w:val="0"/>
              </w:numPr>
              <w:spacing w:after="0" w:line="360" w:lineRule="auto"/>
              <w:rPr>
                <w:sz w:val="26"/>
                <w:szCs w:val="26"/>
              </w:rPr>
            </w:pPr>
            <w:r w:rsidRPr="00EE5722">
              <w:rPr>
                <w:sz w:val="26"/>
                <w:szCs w:val="26"/>
              </w:rPr>
              <w:t>12 Months</w:t>
            </w:r>
          </w:p>
        </w:tc>
        <w:tc>
          <w:tcPr>
            <w:tcW w:w="2628" w:type="dxa"/>
            <w:tcBorders>
              <w:top w:val="single" w:sz="4" w:space="0" w:color="auto"/>
              <w:left w:val="single" w:sz="4" w:space="0" w:color="auto"/>
              <w:bottom w:val="single" w:sz="4" w:space="0" w:color="auto"/>
              <w:right w:val="single" w:sz="4" w:space="0" w:color="auto"/>
            </w:tcBorders>
            <w:hideMark/>
          </w:tcPr>
          <w:p w:rsidR="00EA2976" w:rsidRPr="00EE5722" w:rsidRDefault="00EA2976" w:rsidP="00EA2976">
            <w:pPr>
              <w:pStyle w:val="ListNumber"/>
              <w:keepLines/>
              <w:numPr>
                <w:ilvl w:val="0"/>
                <w:numId w:val="0"/>
              </w:numPr>
              <w:spacing w:after="0" w:line="360" w:lineRule="auto"/>
              <w:rPr>
                <w:sz w:val="26"/>
                <w:szCs w:val="26"/>
              </w:rPr>
            </w:pPr>
            <w:r w:rsidRPr="00EE5722">
              <w:rPr>
                <w:sz w:val="26"/>
                <w:szCs w:val="26"/>
              </w:rPr>
              <w:t>June 2013 – May 2014</w:t>
            </w:r>
          </w:p>
        </w:tc>
      </w:tr>
      <w:tr w:rsidR="00EA2976" w:rsidRPr="00EE5722" w:rsidTr="00415028">
        <w:tc>
          <w:tcPr>
            <w:tcW w:w="1908" w:type="dxa"/>
            <w:tcBorders>
              <w:top w:val="single" w:sz="4" w:space="0" w:color="auto"/>
              <w:left w:val="single" w:sz="4" w:space="0" w:color="auto"/>
              <w:bottom w:val="single" w:sz="4" w:space="0" w:color="auto"/>
              <w:right w:val="single" w:sz="4" w:space="0" w:color="auto"/>
            </w:tcBorders>
            <w:hideMark/>
          </w:tcPr>
          <w:p w:rsidR="00EA2976" w:rsidRPr="00EE5722" w:rsidRDefault="00EA2976" w:rsidP="00EA2976">
            <w:pPr>
              <w:pStyle w:val="ListNumber"/>
              <w:keepLines/>
              <w:numPr>
                <w:ilvl w:val="0"/>
                <w:numId w:val="0"/>
              </w:numPr>
              <w:spacing w:after="0" w:line="360" w:lineRule="auto"/>
              <w:rPr>
                <w:sz w:val="26"/>
                <w:szCs w:val="26"/>
              </w:rPr>
            </w:pPr>
            <w:r w:rsidRPr="00EE5722">
              <w:rPr>
                <w:sz w:val="26"/>
                <w:szCs w:val="26"/>
              </w:rPr>
              <w:t>April 2013</w:t>
            </w:r>
          </w:p>
        </w:tc>
        <w:tc>
          <w:tcPr>
            <w:tcW w:w="2880" w:type="dxa"/>
            <w:tcBorders>
              <w:top w:val="single" w:sz="4" w:space="0" w:color="auto"/>
              <w:left w:val="single" w:sz="4" w:space="0" w:color="auto"/>
              <w:bottom w:val="single" w:sz="4" w:space="0" w:color="auto"/>
              <w:right w:val="single" w:sz="4" w:space="0" w:color="auto"/>
            </w:tcBorders>
            <w:hideMark/>
          </w:tcPr>
          <w:p w:rsidR="00EA2976" w:rsidRPr="00EE5722" w:rsidRDefault="00EA2976" w:rsidP="00EA2976">
            <w:pPr>
              <w:pStyle w:val="ListNumber"/>
              <w:keepLines/>
              <w:numPr>
                <w:ilvl w:val="0"/>
                <w:numId w:val="0"/>
              </w:numPr>
              <w:spacing w:after="0" w:line="360" w:lineRule="auto"/>
              <w:rPr>
                <w:sz w:val="26"/>
                <w:szCs w:val="26"/>
              </w:rPr>
            </w:pPr>
            <w:r w:rsidRPr="00EE5722">
              <w:rPr>
                <w:sz w:val="26"/>
                <w:szCs w:val="26"/>
              </w:rPr>
              <w:t>50%</w:t>
            </w:r>
          </w:p>
        </w:tc>
        <w:tc>
          <w:tcPr>
            <w:tcW w:w="2160" w:type="dxa"/>
            <w:tcBorders>
              <w:top w:val="single" w:sz="4" w:space="0" w:color="auto"/>
              <w:left w:val="single" w:sz="4" w:space="0" w:color="auto"/>
              <w:bottom w:val="single" w:sz="4" w:space="0" w:color="auto"/>
              <w:right w:val="single" w:sz="4" w:space="0" w:color="auto"/>
            </w:tcBorders>
            <w:hideMark/>
          </w:tcPr>
          <w:p w:rsidR="00EA2976" w:rsidRPr="00EE5722" w:rsidRDefault="00EA2976" w:rsidP="00EA2976">
            <w:pPr>
              <w:pStyle w:val="ListNumber"/>
              <w:keepLines/>
              <w:numPr>
                <w:ilvl w:val="0"/>
                <w:numId w:val="0"/>
              </w:numPr>
              <w:spacing w:after="0" w:line="360" w:lineRule="auto"/>
              <w:rPr>
                <w:sz w:val="26"/>
                <w:szCs w:val="26"/>
              </w:rPr>
            </w:pPr>
            <w:r w:rsidRPr="00EE5722">
              <w:rPr>
                <w:sz w:val="26"/>
                <w:szCs w:val="26"/>
              </w:rPr>
              <w:t>12 Months</w:t>
            </w:r>
          </w:p>
        </w:tc>
        <w:tc>
          <w:tcPr>
            <w:tcW w:w="2628" w:type="dxa"/>
            <w:tcBorders>
              <w:top w:val="single" w:sz="4" w:space="0" w:color="auto"/>
              <w:left w:val="single" w:sz="4" w:space="0" w:color="auto"/>
              <w:bottom w:val="single" w:sz="4" w:space="0" w:color="auto"/>
              <w:right w:val="single" w:sz="4" w:space="0" w:color="auto"/>
            </w:tcBorders>
            <w:hideMark/>
          </w:tcPr>
          <w:p w:rsidR="00EA2976" w:rsidRPr="00EE5722" w:rsidRDefault="00EA2976" w:rsidP="00EA2976">
            <w:pPr>
              <w:pStyle w:val="ListNumber"/>
              <w:keepLines/>
              <w:numPr>
                <w:ilvl w:val="0"/>
                <w:numId w:val="0"/>
              </w:numPr>
              <w:spacing w:after="0" w:line="360" w:lineRule="auto"/>
              <w:rPr>
                <w:sz w:val="26"/>
                <w:szCs w:val="26"/>
              </w:rPr>
            </w:pPr>
            <w:r w:rsidRPr="00EE5722">
              <w:rPr>
                <w:sz w:val="26"/>
                <w:szCs w:val="26"/>
              </w:rPr>
              <w:t>June 2014 – May 2015</w:t>
            </w:r>
          </w:p>
        </w:tc>
      </w:tr>
      <w:tr w:rsidR="00EA2976" w:rsidRPr="00EE5722" w:rsidTr="00415028">
        <w:tc>
          <w:tcPr>
            <w:tcW w:w="1908" w:type="dxa"/>
            <w:tcBorders>
              <w:top w:val="single" w:sz="4" w:space="0" w:color="auto"/>
              <w:left w:val="single" w:sz="4" w:space="0" w:color="auto"/>
              <w:bottom w:val="single" w:sz="4" w:space="0" w:color="auto"/>
              <w:right w:val="single" w:sz="4" w:space="0" w:color="auto"/>
            </w:tcBorders>
            <w:hideMark/>
          </w:tcPr>
          <w:p w:rsidR="00EA2976" w:rsidRPr="00EE5722" w:rsidRDefault="00EA2976" w:rsidP="00EA2976">
            <w:pPr>
              <w:pStyle w:val="ListNumber"/>
              <w:keepLines/>
              <w:numPr>
                <w:ilvl w:val="0"/>
                <w:numId w:val="0"/>
              </w:numPr>
              <w:spacing w:after="0" w:line="360" w:lineRule="auto"/>
              <w:rPr>
                <w:sz w:val="26"/>
                <w:szCs w:val="26"/>
              </w:rPr>
            </w:pPr>
            <w:r w:rsidRPr="00EE5722">
              <w:rPr>
                <w:sz w:val="26"/>
                <w:szCs w:val="26"/>
              </w:rPr>
              <w:t>November 2013</w:t>
            </w:r>
          </w:p>
        </w:tc>
        <w:tc>
          <w:tcPr>
            <w:tcW w:w="2880" w:type="dxa"/>
            <w:tcBorders>
              <w:top w:val="single" w:sz="4" w:space="0" w:color="auto"/>
              <w:left w:val="single" w:sz="4" w:space="0" w:color="auto"/>
              <w:bottom w:val="single" w:sz="4" w:space="0" w:color="auto"/>
              <w:right w:val="single" w:sz="4" w:space="0" w:color="auto"/>
            </w:tcBorders>
            <w:hideMark/>
          </w:tcPr>
          <w:p w:rsidR="00EA2976" w:rsidRPr="00EE5722" w:rsidRDefault="00EA2976" w:rsidP="00EA2976">
            <w:pPr>
              <w:pStyle w:val="ListNumber"/>
              <w:keepLines/>
              <w:numPr>
                <w:ilvl w:val="0"/>
                <w:numId w:val="0"/>
              </w:numPr>
              <w:spacing w:after="0" w:line="360" w:lineRule="auto"/>
              <w:rPr>
                <w:sz w:val="26"/>
                <w:szCs w:val="26"/>
              </w:rPr>
            </w:pPr>
            <w:r w:rsidRPr="00EE5722">
              <w:rPr>
                <w:sz w:val="26"/>
                <w:szCs w:val="26"/>
              </w:rPr>
              <w:t>25%</w:t>
            </w:r>
          </w:p>
        </w:tc>
        <w:tc>
          <w:tcPr>
            <w:tcW w:w="2160" w:type="dxa"/>
            <w:tcBorders>
              <w:top w:val="single" w:sz="4" w:space="0" w:color="auto"/>
              <w:left w:val="single" w:sz="4" w:space="0" w:color="auto"/>
              <w:bottom w:val="single" w:sz="4" w:space="0" w:color="auto"/>
              <w:right w:val="single" w:sz="4" w:space="0" w:color="auto"/>
            </w:tcBorders>
            <w:hideMark/>
          </w:tcPr>
          <w:p w:rsidR="00EA2976" w:rsidRPr="00EE5722" w:rsidRDefault="00EA2976" w:rsidP="00EA2976">
            <w:pPr>
              <w:pStyle w:val="ListNumber"/>
              <w:keepLines/>
              <w:numPr>
                <w:ilvl w:val="0"/>
                <w:numId w:val="0"/>
              </w:numPr>
              <w:spacing w:after="0" w:line="360" w:lineRule="auto"/>
              <w:rPr>
                <w:sz w:val="26"/>
                <w:szCs w:val="26"/>
              </w:rPr>
            </w:pPr>
            <w:r w:rsidRPr="00EE5722">
              <w:rPr>
                <w:sz w:val="26"/>
                <w:szCs w:val="26"/>
              </w:rPr>
              <w:t>12 Months</w:t>
            </w:r>
          </w:p>
        </w:tc>
        <w:tc>
          <w:tcPr>
            <w:tcW w:w="2628" w:type="dxa"/>
            <w:tcBorders>
              <w:top w:val="single" w:sz="4" w:space="0" w:color="auto"/>
              <w:left w:val="single" w:sz="4" w:space="0" w:color="auto"/>
              <w:bottom w:val="single" w:sz="4" w:space="0" w:color="auto"/>
              <w:right w:val="single" w:sz="4" w:space="0" w:color="auto"/>
            </w:tcBorders>
            <w:hideMark/>
          </w:tcPr>
          <w:p w:rsidR="00EA2976" w:rsidRPr="00EE5722" w:rsidRDefault="00EA2976" w:rsidP="00EA2976">
            <w:pPr>
              <w:pStyle w:val="ListNumber"/>
              <w:keepLines/>
              <w:numPr>
                <w:ilvl w:val="0"/>
                <w:numId w:val="0"/>
              </w:numPr>
              <w:spacing w:after="0" w:line="360" w:lineRule="auto"/>
              <w:rPr>
                <w:sz w:val="26"/>
                <w:szCs w:val="26"/>
              </w:rPr>
            </w:pPr>
            <w:r w:rsidRPr="00EE5722">
              <w:rPr>
                <w:sz w:val="26"/>
                <w:szCs w:val="26"/>
              </w:rPr>
              <w:t>June 2014 – May 2015</w:t>
            </w:r>
          </w:p>
        </w:tc>
      </w:tr>
      <w:tr w:rsidR="00EA2976" w:rsidRPr="00EE5722" w:rsidTr="00415028">
        <w:tc>
          <w:tcPr>
            <w:tcW w:w="1908" w:type="dxa"/>
            <w:tcBorders>
              <w:top w:val="single" w:sz="4" w:space="0" w:color="auto"/>
              <w:left w:val="single" w:sz="4" w:space="0" w:color="auto"/>
              <w:bottom w:val="single" w:sz="4" w:space="0" w:color="auto"/>
              <w:right w:val="single" w:sz="4" w:space="0" w:color="auto"/>
            </w:tcBorders>
            <w:hideMark/>
          </w:tcPr>
          <w:p w:rsidR="00EA2976" w:rsidRPr="00EE5722" w:rsidRDefault="00EA2976" w:rsidP="00EA2976">
            <w:pPr>
              <w:pStyle w:val="ListNumber"/>
              <w:keepLines/>
              <w:numPr>
                <w:ilvl w:val="0"/>
                <w:numId w:val="0"/>
              </w:numPr>
              <w:spacing w:after="0" w:line="360" w:lineRule="auto"/>
              <w:rPr>
                <w:sz w:val="26"/>
                <w:szCs w:val="26"/>
              </w:rPr>
            </w:pPr>
            <w:r w:rsidRPr="00EE5722">
              <w:rPr>
                <w:sz w:val="26"/>
                <w:szCs w:val="26"/>
              </w:rPr>
              <w:t>April 2014</w:t>
            </w:r>
          </w:p>
        </w:tc>
        <w:tc>
          <w:tcPr>
            <w:tcW w:w="2880" w:type="dxa"/>
            <w:tcBorders>
              <w:top w:val="single" w:sz="4" w:space="0" w:color="auto"/>
              <w:left w:val="single" w:sz="4" w:space="0" w:color="auto"/>
              <w:bottom w:val="single" w:sz="4" w:space="0" w:color="auto"/>
              <w:right w:val="single" w:sz="4" w:space="0" w:color="auto"/>
            </w:tcBorders>
            <w:hideMark/>
          </w:tcPr>
          <w:p w:rsidR="00EA2976" w:rsidRPr="00EE5722" w:rsidRDefault="00EA2976" w:rsidP="00EA2976">
            <w:pPr>
              <w:pStyle w:val="ListNumber"/>
              <w:keepLines/>
              <w:numPr>
                <w:ilvl w:val="0"/>
                <w:numId w:val="0"/>
              </w:numPr>
              <w:spacing w:after="0" w:line="360" w:lineRule="auto"/>
              <w:rPr>
                <w:sz w:val="26"/>
                <w:szCs w:val="26"/>
              </w:rPr>
            </w:pPr>
            <w:r w:rsidRPr="00EE5722">
              <w:rPr>
                <w:sz w:val="26"/>
                <w:szCs w:val="26"/>
              </w:rPr>
              <w:t>25%</w:t>
            </w:r>
          </w:p>
        </w:tc>
        <w:tc>
          <w:tcPr>
            <w:tcW w:w="2160" w:type="dxa"/>
            <w:tcBorders>
              <w:top w:val="single" w:sz="4" w:space="0" w:color="auto"/>
              <w:left w:val="single" w:sz="4" w:space="0" w:color="auto"/>
              <w:bottom w:val="single" w:sz="4" w:space="0" w:color="auto"/>
              <w:right w:val="single" w:sz="4" w:space="0" w:color="auto"/>
            </w:tcBorders>
            <w:hideMark/>
          </w:tcPr>
          <w:p w:rsidR="00EA2976" w:rsidRPr="00EE5722" w:rsidRDefault="00EA2976" w:rsidP="00EA2976">
            <w:pPr>
              <w:pStyle w:val="ListNumber"/>
              <w:keepLines/>
              <w:numPr>
                <w:ilvl w:val="0"/>
                <w:numId w:val="0"/>
              </w:numPr>
              <w:spacing w:after="0" w:line="360" w:lineRule="auto"/>
              <w:rPr>
                <w:sz w:val="26"/>
                <w:szCs w:val="26"/>
              </w:rPr>
            </w:pPr>
            <w:r w:rsidRPr="00EE5722">
              <w:rPr>
                <w:sz w:val="26"/>
                <w:szCs w:val="26"/>
              </w:rPr>
              <w:t>12 Months</w:t>
            </w:r>
          </w:p>
        </w:tc>
        <w:tc>
          <w:tcPr>
            <w:tcW w:w="2628" w:type="dxa"/>
            <w:tcBorders>
              <w:top w:val="single" w:sz="4" w:space="0" w:color="auto"/>
              <w:left w:val="single" w:sz="4" w:space="0" w:color="auto"/>
              <w:bottom w:val="single" w:sz="4" w:space="0" w:color="auto"/>
              <w:right w:val="single" w:sz="4" w:space="0" w:color="auto"/>
            </w:tcBorders>
            <w:hideMark/>
          </w:tcPr>
          <w:p w:rsidR="00EA2976" w:rsidRPr="00EE5722" w:rsidRDefault="00EA2976" w:rsidP="00EA2976">
            <w:pPr>
              <w:pStyle w:val="ListNumber"/>
              <w:keepLines/>
              <w:numPr>
                <w:ilvl w:val="0"/>
                <w:numId w:val="0"/>
              </w:numPr>
              <w:spacing w:after="0" w:line="360" w:lineRule="auto"/>
              <w:rPr>
                <w:sz w:val="26"/>
                <w:szCs w:val="26"/>
              </w:rPr>
            </w:pPr>
            <w:r w:rsidRPr="00EE5722">
              <w:rPr>
                <w:sz w:val="26"/>
                <w:szCs w:val="26"/>
              </w:rPr>
              <w:t>June 2014 – May 2015</w:t>
            </w:r>
          </w:p>
        </w:tc>
      </w:tr>
      <w:tr w:rsidR="00EA2976" w:rsidRPr="00EE5722" w:rsidTr="00415028">
        <w:tc>
          <w:tcPr>
            <w:tcW w:w="1908" w:type="dxa"/>
            <w:tcBorders>
              <w:top w:val="single" w:sz="4" w:space="0" w:color="auto"/>
              <w:left w:val="single" w:sz="4" w:space="0" w:color="auto"/>
              <w:bottom w:val="single" w:sz="4" w:space="0" w:color="auto"/>
              <w:right w:val="single" w:sz="4" w:space="0" w:color="auto"/>
            </w:tcBorders>
            <w:hideMark/>
          </w:tcPr>
          <w:p w:rsidR="00EA2976" w:rsidRPr="00EE5722" w:rsidRDefault="00EA2976" w:rsidP="00EA2976">
            <w:pPr>
              <w:pStyle w:val="ListNumber"/>
              <w:keepLines/>
              <w:numPr>
                <w:ilvl w:val="0"/>
                <w:numId w:val="0"/>
              </w:numPr>
              <w:spacing w:after="0" w:line="360" w:lineRule="auto"/>
              <w:rPr>
                <w:sz w:val="26"/>
                <w:szCs w:val="26"/>
              </w:rPr>
            </w:pPr>
            <w:r w:rsidRPr="00EE5722">
              <w:rPr>
                <w:sz w:val="26"/>
                <w:szCs w:val="26"/>
              </w:rPr>
              <w:t>April 2014</w:t>
            </w:r>
          </w:p>
        </w:tc>
        <w:tc>
          <w:tcPr>
            <w:tcW w:w="2880" w:type="dxa"/>
            <w:tcBorders>
              <w:top w:val="single" w:sz="4" w:space="0" w:color="auto"/>
              <w:left w:val="single" w:sz="4" w:space="0" w:color="auto"/>
              <w:bottom w:val="single" w:sz="4" w:space="0" w:color="auto"/>
              <w:right w:val="single" w:sz="4" w:space="0" w:color="auto"/>
            </w:tcBorders>
            <w:hideMark/>
          </w:tcPr>
          <w:p w:rsidR="00EA2976" w:rsidRPr="00EE5722" w:rsidRDefault="00EA2976" w:rsidP="00EA2976">
            <w:pPr>
              <w:pStyle w:val="ListNumber"/>
              <w:keepLines/>
              <w:numPr>
                <w:ilvl w:val="0"/>
                <w:numId w:val="0"/>
              </w:numPr>
              <w:spacing w:after="0" w:line="360" w:lineRule="auto"/>
              <w:rPr>
                <w:sz w:val="26"/>
                <w:szCs w:val="26"/>
              </w:rPr>
            </w:pPr>
            <w:r w:rsidRPr="00EE5722">
              <w:rPr>
                <w:sz w:val="26"/>
                <w:szCs w:val="26"/>
              </w:rPr>
              <w:t>25%</w:t>
            </w:r>
          </w:p>
        </w:tc>
        <w:tc>
          <w:tcPr>
            <w:tcW w:w="2160" w:type="dxa"/>
            <w:tcBorders>
              <w:top w:val="single" w:sz="4" w:space="0" w:color="auto"/>
              <w:left w:val="single" w:sz="4" w:space="0" w:color="auto"/>
              <w:bottom w:val="single" w:sz="4" w:space="0" w:color="auto"/>
              <w:right w:val="single" w:sz="4" w:space="0" w:color="auto"/>
            </w:tcBorders>
            <w:hideMark/>
          </w:tcPr>
          <w:p w:rsidR="00EA2976" w:rsidRPr="00EE5722" w:rsidRDefault="00EA2976" w:rsidP="00EA2976">
            <w:pPr>
              <w:pStyle w:val="ListNumber"/>
              <w:keepLines/>
              <w:numPr>
                <w:ilvl w:val="0"/>
                <w:numId w:val="0"/>
              </w:numPr>
              <w:spacing w:after="0" w:line="360" w:lineRule="auto"/>
              <w:rPr>
                <w:sz w:val="26"/>
                <w:szCs w:val="26"/>
              </w:rPr>
            </w:pPr>
            <w:r w:rsidRPr="00EE5722">
              <w:rPr>
                <w:sz w:val="26"/>
                <w:szCs w:val="26"/>
              </w:rPr>
              <w:t>12 Months</w:t>
            </w:r>
          </w:p>
        </w:tc>
        <w:tc>
          <w:tcPr>
            <w:tcW w:w="2628" w:type="dxa"/>
            <w:tcBorders>
              <w:top w:val="single" w:sz="4" w:space="0" w:color="auto"/>
              <w:left w:val="single" w:sz="4" w:space="0" w:color="auto"/>
              <w:bottom w:val="single" w:sz="4" w:space="0" w:color="auto"/>
              <w:right w:val="single" w:sz="4" w:space="0" w:color="auto"/>
            </w:tcBorders>
            <w:hideMark/>
          </w:tcPr>
          <w:p w:rsidR="00EA2976" w:rsidRPr="00EE5722" w:rsidRDefault="00EA2976" w:rsidP="00EA2976">
            <w:pPr>
              <w:pStyle w:val="ListNumber"/>
              <w:keepLines/>
              <w:numPr>
                <w:ilvl w:val="0"/>
                <w:numId w:val="0"/>
              </w:numPr>
              <w:spacing w:after="0" w:line="360" w:lineRule="auto"/>
              <w:rPr>
                <w:sz w:val="26"/>
                <w:szCs w:val="26"/>
              </w:rPr>
            </w:pPr>
            <w:r w:rsidRPr="00EE5722">
              <w:rPr>
                <w:sz w:val="26"/>
                <w:szCs w:val="26"/>
              </w:rPr>
              <w:t>June 2015 – May 2016</w:t>
            </w:r>
          </w:p>
        </w:tc>
      </w:tr>
    </w:tbl>
    <w:p w:rsidR="00EA2976" w:rsidRDefault="00650A88" w:rsidP="00270A3D">
      <w:pPr>
        <w:pStyle w:val="BodyText2"/>
        <w:spacing w:after="0" w:line="360" w:lineRule="auto"/>
        <w:rPr>
          <w:sz w:val="26"/>
          <w:szCs w:val="26"/>
        </w:rPr>
      </w:pPr>
      <w:r>
        <w:rPr>
          <w:sz w:val="26"/>
          <w:szCs w:val="26"/>
        </w:rPr>
        <w:t xml:space="preserve">Duquesne Exh. 1 at </w:t>
      </w:r>
      <w:r w:rsidR="00EA2976" w:rsidRPr="00EE5722">
        <w:rPr>
          <w:sz w:val="26"/>
          <w:szCs w:val="26"/>
        </w:rPr>
        <w:t>4.</w:t>
      </w:r>
    </w:p>
    <w:p w:rsidR="00EA2976" w:rsidRPr="00EE5722" w:rsidRDefault="00BE04E3" w:rsidP="003210CA">
      <w:pPr>
        <w:pStyle w:val="BodyText2"/>
        <w:spacing w:after="0" w:line="360" w:lineRule="auto"/>
        <w:rPr>
          <w:sz w:val="26"/>
          <w:szCs w:val="26"/>
        </w:rPr>
      </w:pPr>
      <w:r>
        <w:rPr>
          <w:sz w:val="26"/>
          <w:szCs w:val="26"/>
        </w:rPr>
        <w:lastRenderedPageBreak/>
        <w:tab/>
      </w:r>
      <w:r>
        <w:rPr>
          <w:sz w:val="26"/>
          <w:szCs w:val="26"/>
        </w:rPr>
        <w:tab/>
        <w:t>Duquesne</w:t>
      </w:r>
      <w:r w:rsidR="001273FD">
        <w:rPr>
          <w:sz w:val="26"/>
          <w:szCs w:val="26"/>
        </w:rPr>
        <w:t xml:space="preserve"> contended that</w:t>
      </w:r>
      <w:r w:rsidR="00EA2976" w:rsidRPr="00EE5722">
        <w:rPr>
          <w:sz w:val="26"/>
          <w:szCs w:val="26"/>
        </w:rPr>
        <w:t xml:space="preserve"> its</w:t>
      </w:r>
      <w:r w:rsidR="00747893">
        <w:rPr>
          <w:sz w:val="26"/>
          <w:szCs w:val="26"/>
        </w:rPr>
        <w:t xml:space="preserve"> proposed </w:t>
      </w:r>
      <w:r w:rsidR="006E5599">
        <w:rPr>
          <w:sz w:val="26"/>
          <w:szCs w:val="26"/>
        </w:rPr>
        <w:t>r</w:t>
      </w:r>
      <w:r w:rsidR="00747893">
        <w:rPr>
          <w:sz w:val="26"/>
          <w:szCs w:val="26"/>
        </w:rPr>
        <w:t>esidential procurement p</w:t>
      </w:r>
      <w:r w:rsidR="00EA2976" w:rsidRPr="00EE5722">
        <w:rPr>
          <w:sz w:val="26"/>
          <w:szCs w:val="26"/>
        </w:rPr>
        <w:t>lan will provide more market responsive rates than its curren</w:t>
      </w:r>
      <w:r w:rsidR="00747893">
        <w:rPr>
          <w:sz w:val="26"/>
          <w:szCs w:val="26"/>
        </w:rPr>
        <w:t xml:space="preserve">t </w:t>
      </w:r>
      <w:r w:rsidR="00EA2976" w:rsidRPr="00EE5722">
        <w:rPr>
          <w:sz w:val="26"/>
          <w:szCs w:val="26"/>
        </w:rPr>
        <w:t>default se</w:t>
      </w:r>
      <w:r w:rsidR="00747893">
        <w:rPr>
          <w:sz w:val="26"/>
          <w:szCs w:val="26"/>
        </w:rPr>
        <w:t>rvice plan</w:t>
      </w:r>
      <w:r w:rsidR="001273FD">
        <w:rPr>
          <w:sz w:val="26"/>
          <w:szCs w:val="26"/>
        </w:rPr>
        <w:t>,</w:t>
      </w:r>
      <w:r w:rsidR="00EA2976" w:rsidRPr="00EE5722">
        <w:rPr>
          <w:sz w:val="26"/>
          <w:szCs w:val="26"/>
        </w:rPr>
        <w:t xml:space="preserve"> whic</w:t>
      </w:r>
      <w:r w:rsidR="006C65FA">
        <w:rPr>
          <w:sz w:val="26"/>
          <w:szCs w:val="26"/>
        </w:rPr>
        <w:t>h provides a fixed rate for a twenty-nine</w:t>
      </w:r>
      <w:r w:rsidR="00EA2976" w:rsidRPr="00EE5722">
        <w:rPr>
          <w:sz w:val="26"/>
          <w:szCs w:val="26"/>
        </w:rPr>
        <w:t>-month period.  Resident</w:t>
      </w:r>
      <w:r w:rsidR="001273FD">
        <w:rPr>
          <w:sz w:val="26"/>
          <w:szCs w:val="26"/>
        </w:rPr>
        <w:t>ial default service rates would</w:t>
      </w:r>
      <w:r w:rsidR="006C65FA">
        <w:rPr>
          <w:sz w:val="26"/>
          <w:szCs w:val="26"/>
        </w:rPr>
        <w:t xml:space="preserve"> change every twelve</w:t>
      </w:r>
      <w:r w:rsidR="00EA2976" w:rsidRPr="00EE5722">
        <w:rPr>
          <w:sz w:val="26"/>
          <w:szCs w:val="26"/>
        </w:rPr>
        <w:t xml:space="preserve"> months to be consistent with the annual procurement</w:t>
      </w:r>
      <w:r>
        <w:rPr>
          <w:sz w:val="26"/>
          <w:szCs w:val="26"/>
        </w:rPr>
        <w:t xml:space="preserve">s.  In addition, Duquesne </w:t>
      </w:r>
      <w:r w:rsidR="00EA2976" w:rsidRPr="00EE5722">
        <w:rPr>
          <w:sz w:val="26"/>
          <w:szCs w:val="26"/>
        </w:rPr>
        <w:t>propos</w:t>
      </w:r>
      <w:r w:rsidR="001273FD">
        <w:rPr>
          <w:sz w:val="26"/>
          <w:szCs w:val="26"/>
        </w:rPr>
        <w:t>ed</w:t>
      </w:r>
      <w:r w:rsidR="00603978" w:rsidRPr="00EE5722">
        <w:rPr>
          <w:sz w:val="26"/>
          <w:szCs w:val="26"/>
        </w:rPr>
        <w:t xml:space="preserve"> to bid out the supply for r</w:t>
      </w:r>
      <w:r w:rsidR="00EA2976" w:rsidRPr="00EE5722">
        <w:rPr>
          <w:sz w:val="26"/>
          <w:szCs w:val="26"/>
        </w:rPr>
        <w:t>esidential customers as opposed to the administratively-</w:t>
      </w:r>
      <w:r w:rsidR="00397A99">
        <w:rPr>
          <w:sz w:val="26"/>
          <w:szCs w:val="26"/>
        </w:rPr>
        <w:t xml:space="preserve">determined rate under DSP V.  </w:t>
      </w:r>
      <w:r>
        <w:rPr>
          <w:sz w:val="26"/>
          <w:szCs w:val="26"/>
        </w:rPr>
        <w:t>Duquesne</w:t>
      </w:r>
      <w:r w:rsidR="00EA2976" w:rsidRPr="00EE5722">
        <w:rPr>
          <w:sz w:val="26"/>
          <w:szCs w:val="26"/>
        </w:rPr>
        <w:t xml:space="preserve"> a</w:t>
      </w:r>
      <w:r w:rsidR="001273FD">
        <w:rPr>
          <w:sz w:val="26"/>
          <w:szCs w:val="26"/>
        </w:rPr>
        <w:t>verred</w:t>
      </w:r>
      <w:r w:rsidR="00EA2976" w:rsidRPr="00EE5722">
        <w:rPr>
          <w:sz w:val="26"/>
          <w:szCs w:val="26"/>
        </w:rPr>
        <w:t xml:space="preserve"> </w:t>
      </w:r>
      <w:r w:rsidR="001273FD">
        <w:rPr>
          <w:sz w:val="26"/>
          <w:szCs w:val="26"/>
        </w:rPr>
        <w:t xml:space="preserve">that </w:t>
      </w:r>
      <w:r w:rsidR="00EA2976" w:rsidRPr="00EE5722">
        <w:rPr>
          <w:sz w:val="26"/>
          <w:szCs w:val="26"/>
        </w:rPr>
        <w:t xml:space="preserve">both factors </w:t>
      </w:r>
      <w:r w:rsidR="001273FD">
        <w:rPr>
          <w:sz w:val="26"/>
          <w:szCs w:val="26"/>
        </w:rPr>
        <w:t xml:space="preserve">would </w:t>
      </w:r>
      <w:r w:rsidR="00EA2976" w:rsidRPr="00EE5722">
        <w:rPr>
          <w:sz w:val="26"/>
          <w:szCs w:val="26"/>
        </w:rPr>
        <w:t>make its</w:t>
      </w:r>
      <w:r w:rsidR="00603978" w:rsidRPr="00EE5722">
        <w:rPr>
          <w:sz w:val="26"/>
          <w:szCs w:val="26"/>
        </w:rPr>
        <w:t xml:space="preserve"> r</w:t>
      </w:r>
      <w:r w:rsidR="00EA2976" w:rsidRPr="00EE5722">
        <w:rPr>
          <w:sz w:val="26"/>
          <w:szCs w:val="26"/>
        </w:rPr>
        <w:t>esidential default service rate more market-responsive t</w:t>
      </w:r>
      <w:r w:rsidR="005B7FE5">
        <w:rPr>
          <w:sz w:val="26"/>
          <w:szCs w:val="26"/>
        </w:rPr>
        <w:t xml:space="preserve">han the rate under its current </w:t>
      </w:r>
      <w:r w:rsidR="00EA2976" w:rsidRPr="00EE5722">
        <w:rPr>
          <w:sz w:val="26"/>
          <w:szCs w:val="26"/>
        </w:rPr>
        <w:t>defaul</w:t>
      </w:r>
      <w:r>
        <w:rPr>
          <w:sz w:val="26"/>
          <w:szCs w:val="26"/>
        </w:rPr>
        <w:t>t service plan.  Duquesne Exh.</w:t>
      </w:r>
      <w:r w:rsidR="005B7FE5">
        <w:rPr>
          <w:sz w:val="26"/>
          <w:szCs w:val="26"/>
        </w:rPr>
        <w:t xml:space="preserve"> </w:t>
      </w:r>
      <w:r>
        <w:rPr>
          <w:sz w:val="26"/>
          <w:szCs w:val="26"/>
        </w:rPr>
        <w:t xml:space="preserve">1 at </w:t>
      </w:r>
      <w:r w:rsidR="00EA2976" w:rsidRPr="00EE5722">
        <w:rPr>
          <w:sz w:val="26"/>
          <w:szCs w:val="26"/>
        </w:rPr>
        <w:t>6.</w:t>
      </w:r>
    </w:p>
    <w:p w:rsidR="00EA2976" w:rsidRPr="00EE5722" w:rsidRDefault="00EA2976" w:rsidP="00436BCE">
      <w:pPr>
        <w:pStyle w:val="BodyText2"/>
        <w:spacing w:after="0" w:line="360" w:lineRule="auto"/>
        <w:rPr>
          <w:sz w:val="26"/>
          <w:szCs w:val="26"/>
        </w:rPr>
      </w:pPr>
    </w:p>
    <w:p w:rsidR="00EA2976" w:rsidRPr="00EE5722" w:rsidRDefault="00EA2976" w:rsidP="00436BCE">
      <w:pPr>
        <w:pStyle w:val="BodyText2"/>
        <w:spacing w:after="0" w:line="360" w:lineRule="auto"/>
        <w:rPr>
          <w:sz w:val="26"/>
          <w:szCs w:val="26"/>
        </w:rPr>
      </w:pPr>
      <w:r w:rsidRPr="00EE5722">
        <w:rPr>
          <w:sz w:val="26"/>
          <w:szCs w:val="26"/>
        </w:rPr>
        <w:tab/>
      </w:r>
      <w:r w:rsidRPr="00EE5722">
        <w:rPr>
          <w:sz w:val="26"/>
          <w:szCs w:val="26"/>
        </w:rPr>
        <w:tab/>
      </w:r>
      <w:r w:rsidR="005B7FE5">
        <w:rPr>
          <w:sz w:val="26"/>
          <w:szCs w:val="26"/>
        </w:rPr>
        <w:t xml:space="preserve">According to </w:t>
      </w:r>
      <w:r w:rsidR="00BE04E3">
        <w:rPr>
          <w:sz w:val="26"/>
          <w:szCs w:val="26"/>
        </w:rPr>
        <w:t>Duquesne</w:t>
      </w:r>
      <w:r w:rsidR="005B7FE5">
        <w:rPr>
          <w:sz w:val="26"/>
          <w:szCs w:val="26"/>
        </w:rPr>
        <w:t>,</w:t>
      </w:r>
      <w:r w:rsidR="00603978" w:rsidRPr="00EE5722">
        <w:rPr>
          <w:sz w:val="26"/>
          <w:szCs w:val="26"/>
        </w:rPr>
        <w:t xml:space="preserve"> </w:t>
      </w:r>
      <w:r w:rsidR="00C04834">
        <w:rPr>
          <w:sz w:val="26"/>
          <w:szCs w:val="26"/>
        </w:rPr>
        <w:t xml:space="preserve">its </w:t>
      </w:r>
      <w:r w:rsidR="00603978" w:rsidRPr="00EE5722">
        <w:rPr>
          <w:sz w:val="26"/>
          <w:szCs w:val="26"/>
        </w:rPr>
        <w:t>r</w:t>
      </w:r>
      <w:r w:rsidRPr="00EE5722">
        <w:rPr>
          <w:sz w:val="26"/>
          <w:szCs w:val="26"/>
        </w:rPr>
        <w:t xml:space="preserve">esidential procurement plan also </w:t>
      </w:r>
      <w:r w:rsidR="00C04834">
        <w:rPr>
          <w:sz w:val="26"/>
          <w:szCs w:val="26"/>
        </w:rPr>
        <w:t>would provide</w:t>
      </w:r>
      <w:r w:rsidRPr="00EE5722">
        <w:rPr>
          <w:sz w:val="26"/>
          <w:szCs w:val="26"/>
        </w:rPr>
        <w:t xml:space="preserve"> reasonable rate stability.  For example, by simultaneously procuring some supply products for an upcoming </w:t>
      </w:r>
      <w:r w:rsidR="006E5599">
        <w:rPr>
          <w:sz w:val="26"/>
          <w:szCs w:val="26"/>
        </w:rPr>
        <w:t>twelve</w:t>
      </w:r>
      <w:r w:rsidR="00194D63" w:rsidRPr="00EE5722">
        <w:rPr>
          <w:sz w:val="26"/>
          <w:szCs w:val="26"/>
        </w:rPr>
        <w:noBreakHyphen/>
      </w:r>
      <w:r w:rsidRPr="00EE5722">
        <w:rPr>
          <w:sz w:val="26"/>
          <w:szCs w:val="26"/>
        </w:rPr>
        <w:t>month period an</w:t>
      </w:r>
      <w:r w:rsidR="006C65FA">
        <w:rPr>
          <w:sz w:val="26"/>
          <w:szCs w:val="26"/>
        </w:rPr>
        <w:t>d products for the subsequent twelve</w:t>
      </w:r>
      <w:r w:rsidRPr="00EE5722">
        <w:rPr>
          <w:sz w:val="26"/>
          <w:szCs w:val="26"/>
        </w:rPr>
        <w:t xml:space="preserve">-month period, the plan </w:t>
      </w:r>
      <w:r w:rsidR="00C04834">
        <w:rPr>
          <w:sz w:val="26"/>
          <w:szCs w:val="26"/>
        </w:rPr>
        <w:t>would incorporate</w:t>
      </w:r>
      <w:r w:rsidRPr="00EE5722">
        <w:rPr>
          <w:sz w:val="26"/>
          <w:szCs w:val="26"/>
        </w:rPr>
        <w:t xml:space="preserve"> a hedge against ener</w:t>
      </w:r>
      <w:r w:rsidR="00C04834">
        <w:rPr>
          <w:sz w:val="26"/>
          <w:szCs w:val="26"/>
        </w:rPr>
        <w:t>gy price movements that</w:t>
      </w:r>
      <w:r w:rsidRPr="00EE5722">
        <w:rPr>
          <w:sz w:val="26"/>
          <w:szCs w:val="26"/>
        </w:rPr>
        <w:t xml:space="preserve"> otherwise could result in la</w:t>
      </w:r>
      <w:r w:rsidR="00603978" w:rsidRPr="00EE5722">
        <w:rPr>
          <w:sz w:val="26"/>
          <w:szCs w:val="26"/>
        </w:rPr>
        <w:t>rge unanticipated increases in r</w:t>
      </w:r>
      <w:r w:rsidR="005B7FE5">
        <w:rPr>
          <w:sz w:val="26"/>
          <w:szCs w:val="26"/>
        </w:rPr>
        <w:t xml:space="preserve">esidential rates.  Duquesne St. </w:t>
      </w:r>
      <w:r w:rsidR="00BE04E3">
        <w:rPr>
          <w:sz w:val="26"/>
          <w:szCs w:val="26"/>
        </w:rPr>
        <w:t xml:space="preserve">2 at </w:t>
      </w:r>
      <w:r w:rsidRPr="00EE5722">
        <w:rPr>
          <w:sz w:val="26"/>
          <w:szCs w:val="26"/>
        </w:rPr>
        <w:t>8.  In addition, by not procuring all of the supply products within two months of the s</w:t>
      </w:r>
      <w:r w:rsidR="00C04834">
        <w:rPr>
          <w:sz w:val="26"/>
          <w:szCs w:val="26"/>
        </w:rPr>
        <w:t>tart of delivery, supply costs would be</w:t>
      </w:r>
      <w:r w:rsidR="005B7FE5">
        <w:rPr>
          <w:sz w:val="26"/>
          <w:szCs w:val="26"/>
        </w:rPr>
        <w:t xml:space="preserve"> locked-</w:t>
      </w:r>
      <w:r w:rsidRPr="00EE5722">
        <w:rPr>
          <w:sz w:val="26"/>
          <w:szCs w:val="26"/>
        </w:rPr>
        <w:t>in sooner</w:t>
      </w:r>
      <w:r w:rsidR="005B7FE5">
        <w:rPr>
          <w:sz w:val="26"/>
          <w:szCs w:val="26"/>
        </w:rPr>
        <w:t>,</w:t>
      </w:r>
      <w:r w:rsidRPr="00EE5722">
        <w:rPr>
          <w:sz w:val="26"/>
          <w:szCs w:val="26"/>
        </w:rPr>
        <w:t xml:space="preserve"> leading to less uncertainty about customers’ ra</w:t>
      </w:r>
      <w:r w:rsidR="00BE04E3">
        <w:rPr>
          <w:sz w:val="26"/>
          <w:szCs w:val="26"/>
        </w:rPr>
        <w:t xml:space="preserve">tes, and Duquesne </w:t>
      </w:r>
      <w:r w:rsidR="00C04834">
        <w:rPr>
          <w:sz w:val="26"/>
          <w:szCs w:val="26"/>
        </w:rPr>
        <w:t>would avoid</w:t>
      </w:r>
      <w:r w:rsidRPr="00EE5722">
        <w:rPr>
          <w:sz w:val="26"/>
          <w:szCs w:val="26"/>
        </w:rPr>
        <w:t xml:space="preserve"> relying upon single solicitations, soon before delivery begins, to procure a very large amount of the necessary default </w:t>
      </w:r>
      <w:r w:rsidR="00BE04E3">
        <w:rPr>
          <w:sz w:val="26"/>
          <w:szCs w:val="26"/>
        </w:rPr>
        <w:t>se</w:t>
      </w:r>
      <w:r w:rsidR="005B7FE5">
        <w:rPr>
          <w:sz w:val="26"/>
          <w:szCs w:val="26"/>
        </w:rPr>
        <w:t xml:space="preserve">rvice supply.  Duquesne St. </w:t>
      </w:r>
      <w:r w:rsidR="00BE04E3">
        <w:rPr>
          <w:sz w:val="26"/>
          <w:szCs w:val="26"/>
        </w:rPr>
        <w:t xml:space="preserve">8-SR at </w:t>
      </w:r>
      <w:r w:rsidRPr="00EE5722">
        <w:rPr>
          <w:sz w:val="26"/>
          <w:szCs w:val="26"/>
        </w:rPr>
        <w:t>11.</w:t>
      </w:r>
    </w:p>
    <w:p w:rsidR="00EA2976" w:rsidRPr="00EE5722" w:rsidRDefault="00EA2976" w:rsidP="00436BCE">
      <w:pPr>
        <w:pStyle w:val="BodyText2"/>
        <w:spacing w:after="0" w:line="360" w:lineRule="auto"/>
        <w:rPr>
          <w:sz w:val="26"/>
          <w:szCs w:val="26"/>
        </w:rPr>
      </w:pPr>
    </w:p>
    <w:p w:rsidR="00EA2976" w:rsidRPr="00EE5722" w:rsidRDefault="00EA2976" w:rsidP="003210CA">
      <w:pPr>
        <w:pStyle w:val="BodyText2"/>
        <w:spacing w:after="0" w:line="360" w:lineRule="auto"/>
        <w:rPr>
          <w:sz w:val="26"/>
          <w:szCs w:val="26"/>
        </w:rPr>
      </w:pPr>
      <w:r w:rsidRPr="00EE5722">
        <w:rPr>
          <w:sz w:val="26"/>
          <w:szCs w:val="26"/>
        </w:rPr>
        <w:tab/>
      </w:r>
      <w:r w:rsidRPr="00EE5722">
        <w:rPr>
          <w:sz w:val="26"/>
          <w:szCs w:val="26"/>
        </w:rPr>
        <w:tab/>
      </w:r>
      <w:r w:rsidR="00BE04E3">
        <w:rPr>
          <w:sz w:val="26"/>
          <w:szCs w:val="26"/>
        </w:rPr>
        <w:t>Duquesne</w:t>
      </w:r>
      <w:r w:rsidR="00C04834">
        <w:rPr>
          <w:sz w:val="26"/>
          <w:szCs w:val="26"/>
        </w:rPr>
        <w:t xml:space="preserve"> asserted</w:t>
      </w:r>
      <w:r w:rsidR="00603978" w:rsidRPr="00EE5722">
        <w:rPr>
          <w:sz w:val="26"/>
          <w:szCs w:val="26"/>
        </w:rPr>
        <w:t xml:space="preserve"> </w:t>
      </w:r>
      <w:r w:rsidR="00C04834">
        <w:rPr>
          <w:sz w:val="26"/>
          <w:szCs w:val="26"/>
        </w:rPr>
        <w:t xml:space="preserve">that </w:t>
      </w:r>
      <w:r w:rsidR="00603978" w:rsidRPr="00EE5722">
        <w:rPr>
          <w:sz w:val="26"/>
          <w:szCs w:val="26"/>
        </w:rPr>
        <w:t>p</w:t>
      </w:r>
      <w:r w:rsidRPr="00EE5722">
        <w:rPr>
          <w:sz w:val="26"/>
          <w:szCs w:val="26"/>
        </w:rPr>
        <w:t>rice stability and transparency are important, and can promote retail competition.  The price stability and transpa</w:t>
      </w:r>
      <w:r w:rsidR="00BE04E3">
        <w:rPr>
          <w:sz w:val="26"/>
          <w:szCs w:val="26"/>
        </w:rPr>
        <w:t>rency provided in Duquesne</w:t>
      </w:r>
      <w:r w:rsidRPr="00EE5722">
        <w:rPr>
          <w:sz w:val="26"/>
          <w:szCs w:val="26"/>
        </w:rPr>
        <w:t xml:space="preserve">’s current and prior default service plans </w:t>
      </w:r>
      <w:r w:rsidR="00603978" w:rsidRPr="00EE5722">
        <w:rPr>
          <w:sz w:val="26"/>
          <w:szCs w:val="26"/>
        </w:rPr>
        <w:t>successfully promoted r</w:t>
      </w:r>
      <w:r w:rsidRPr="00EE5722">
        <w:rPr>
          <w:sz w:val="26"/>
          <w:szCs w:val="26"/>
        </w:rPr>
        <w:t xml:space="preserve">esidential customer shopping in the Company’s service area, as EGSs currently serve approximately 43% of </w:t>
      </w:r>
      <w:r w:rsidR="005B7FE5">
        <w:rPr>
          <w:sz w:val="26"/>
          <w:szCs w:val="26"/>
        </w:rPr>
        <w:t xml:space="preserve">Duquesne’s </w:t>
      </w:r>
      <w:r w:rsidR="006E5599">
        <w:rPr>
          <w:sz w:val="26"/>
          <w:szCs w:val="26"/>
        </w:rPr>
        <w:t>r</w:t>
      </w:r>
      <w:r w:rsidRPr="00EE5722">
        <w:rPr>
          <w:sz w:val="26"/>
          <w:szCs w:val="26"/>
        </w:rPr>
        <w:t>esidential</w:t>
      </w:r>
      <w:r w:rsidR="005B7FE5">
        <w:rPr>
          <w:sz w:val="26"/>
          <w:szCs w:val="26"/>
        </w:rPr>
        <w:t xml:space="preserve"> customer load</w:t>
      </w:r>
      <w:r w:rsidR="006C65FA">
        <w:rPr>
          <w:sz w:val="26"/>
          <w:szCs w:val="26"/>
        </w:rPr>
        <w:t xml:space="preserve">.  </w:t>
      </w:r>
      <w:r w:rsidR="00C04834">
        <w:rPr>
          <w:sz w:val="26"/>
          <w:szCs w:val="26"/>
        </w:rPr>
        <w:t xml:space="preserve">Duquesne St. </w:t>
      </w:r>
      <w:r w:rsidR="00BE04E3">
        <w:rPr>
          <w:sz w:val="26"/>
          <w:szCs w:val="26"/>
        </w:rPr>
        <w:t xml:space="preserve">8-R at </w:t>
      </w:r>
      <w:r w:rsidRPr="00EE5722">
        <w:rPr>
          <w:sz w:val="26"/>
          <w:szCs w:val="26"/>
        </w:rPr>
        <w:t>41.</w:t>
      </w:r>
    </w:p>
    <w:p w:rsidR="00EA2976" w:rsidRPr="00EE5722" w:rsidRDefault="00EA2976" w:rsidP="00E3377E">
      <w:pPr>
        <w:autoSpaceDE/>
        <w:autoSpaceDN/>
        <w:rPr>
          <w:sz w:val="26"/>
          <w:szCs w:val="26"/>
        </w:rPr>
      </w:pPr>
    </w:p>
    <w:p w:rsidR="00884AFB" w:rsidRPr="00EE5722" w:rsidRDefault="007205BD" w:rsidP="000B0447">
      <w:pPr>
        <w:pStyle w:val="Heading5"/>
        <w:numPr>
          <w:ilvl w:val="0"/>
          <w:numId w:val="0"/>
        </w:numPr>
        <w:ind w:left="3600" w:hanging="720"/>
      </w:pPr>
      <w:bookmarkStart w:id="17" w:name="_Toc346705262"/>
      <w:r w:rsidRPr="00EE5722">
        <w:lastRenderedPageBreak/>
        <w:t>ii</w:t>
      </w:r>
      <w:r w:rsidR="00C04834">
        <w:t>.</w:t>
      </w:r>
      <w:r w:rsidR="00C04834">
        <w:tab/>
      </w:r>
      <w:r w:rsidR="00884AFB" w:rsidRPr="00EE5722">
        <w:t>Position</w:t>
      </w:r>
      <w:r w:rsidR="00C04834">
        <w:t>s of the Parties</w:t>
      </w:r>
      <w:bookmarkEnd w:id="17"/>
    </w:p>
    <w:p w:rsidR="007F42CA" w:rsidRPr="00EE5722" w:rsidRDefault="009964B4" w:rsidP="00B67E4B">
      <w:pPr>
        <w:pStyle w:val="BriefL3"/>
        <w:keepNext/>
        <w:numPr>
          <w:ilvl w:val="0"/>
          <w:numId w:val="0"/>
        </w:numPr>
        <w:spacing w:after="0" w:line="360" w:lineRule="auto"/>
        <w:rPr>
          <w:b/>
          <w:sz w:val="26"/>
          <w:szCs w:val="26"/>
        </w:rPr>
      </w:pPr>
      <w:r>
        <w:rPr>
          <w:b/>
          <w:sz w:val="26"/>
          <w:szCs w:val="26"/>
        </w:rPr>
        <w:tab/>
      </w:r>
      <w:r>
        <w:rPr>
          <w:b/>
          <w:sz w:val="26"/>
          <w:szCs w:val="26"/>
        </w:rPr>
        <w:tab/>
      </w:r>
      <w:r>
        <w:rPr>
          <w:b/>
          <w:sz w:val="26"/>
          <w:szCs w:val="26"/>
        </w:rPr>
        <w:tab/>
      </w:r>
      <w:r>
        <w:rPr>
          <w:b/>
          <w:sz w:val="26"/>
          <w:szCs w:val="26"/>
        </w:rPr>
        <w:tab/>
      </w:r>
    </w:p>
    <w:p w:rsidR="00493BC3" w:rsidRPr="00EE5722" w:rsidRDefault="00493BC3" w:rsidP="003210CA">
      <w:pPr>
        <w:spacing w:line="360" w:lineRule="auto"/>
        <w:rPr>
          <w:sz w:val="26"/>
          <w:szCs w:val="26"/>
        </w:rPr>
      </w:pPr>
      <w:r w:rsidRPr="00EE5722">
        <w:rPr>
          <w:sz w:val="26"/>
          <w:szCs w:val="26"/>
        </w:rPr>
        <w:tab/>
      </w:r>
      <w:r w:rsidRPr="00EE5722">
        <w:rPr>
          <w:sz w:val="26"/>
          <w:szCs w:val="26"/>
        </w:rPr>
        <w:tab/>
      </w:r>
      <w:r w:rsidR="00EA2E1D" w:rsidRPr="00EE5722">
        <w:rPr>
          <w:sz w:val="26"/>
          <w:szCs w:val="26"/>
        </w:rPr>
        <w:t>W</w:t>
      </w:r>
      <w:r w:rsidR="005B7FE5">
        <w:rPr>
          <w:sz w:val="26"/>
          <w:szCs w:val="26"/>
        </w:rPr>
        <w:t xml:space="preserve">hile the OCA </w:t>
      </w:r>
      <w:r w:rsidRPr="00EE5722">
        <w:rPr>
          <w:sz w:val="26"/>
          <w:szCs w:val="26"/>
        </w:rPr>
        <w:t>general</w:t>
      </w:r>
      <w:r w:rsidR="005B7FE5">
        <w:rPr>
          <w:sz w:val="26"/>
          <w:szCs w:val="26"/>
        </w:rPr>
        <w:t>ly agreed</w:t>
      </w:r>
      <w:r w:rsidRPr="00EE5722">
        <w:rPr>
          <w:sz w:val="26"/>
          <w:szCs w:val="26"/>
        </w:rPr>
        <w:t xml:space="preserve"> with the framework of Duquesne’s procurement plan, </w:t>
      </w:r>
      <w:r w:rsidR="00C04834">
        <w:rPr>
          <w:sz w:val="26"/>
          <w:szCs w:val="26"/>
        </w:rPr>
        <w:t xml:space="preserve">the </w:t>
      </w:r>
      <w:r w:rsidRPr="00EE5722">
        <w:rPr>
          <w:sz w:val="26"/>
          <w:szCs w:val="26"/>
        </w:rPr>
        <w:t>OCA recommend</w:t>
      </w:r>
      <w:r w:rsidR="00C04834">
        <w:rPr>
          <w:sz w:val="26"/>
          <w:szCs w:val="26"/>
        </w:rPr>
        <w:t>ed</w:t>
      </w:r>
      <w:r w:rsidRPr="00EE5722">
        <w:rPr>
          <w:sz w:val="26"/>
          <w:szCs w:val="26"/>
        </w:rPr>
        <w:t xml:space="preserve"> the addition of block and spot purchases as well as the </w:t>
      </w:r>
      <w:r w:rsidR="005B7FE5">
        <w:rPr>
          <w:sz w:val="26"/>
          <w:szCs w:val="26"/>
        </w:rPr>
        <w:t xml:space="preserve">lengthening of the term </w:t>
      </w:r>
      <w:r w:rsidRPr="00EE5722">
        <w:rPr>
          <w:sz w:val="26"/>
          <w:szCs w:val="26"/>
        </w:rPr>
        <w:t>of a small portion of the FRCs in order to provide a greater diversity of produc</w:t>
      </w:r>
      <w:r w:rsidR="00EA2E1D" w:rsidRPr="00EE5722">
        <w:rPr>
          <w:sz w:val="26"/>
          <w:szCs w:val="26"/>
        </w:rPr>
        <w:t xml:space="preserve">ts in the default supply mix.  </w:t>
      </w:r>
      <w:r w:rsidR="00C04834">
        <w:rPr>
          <w:sz w:val="26"/>
          <w:szCs w:val="26"/>
        </w:rPr>
        <w:t xml:space="preserve">The </w:t>
      </w:r>
      <w:r w:rsidRPr="00EE5722">
        <w:rPr>
          <w:sz w:val="26"/>
          <w:szCs w:val="26"/>
        </w:rPr>
        <w:t xml:space="preserve">OCA </w:t>
      </w:r>
      <w:r w:rsidR="00C04834">
        <w:rPr>
          <w:sz w:val="26"/>
          <w:szCs w:val="26"/>
        </w:rPr>
        <w:t>argued</w:t>
      </w:r>
      <w:r w:rsidR="00EA2E1D" w:rsidRPr="00EE5722">
        <w:rPr>
          <w:sz w:val="26"/>
          <w:szCs w:val="26"/>
        </w:rPr>
        <w:t xml:space="preserve"> </w:t>
      </w:r>
      <w:r w:rsidR="00C04834">
        <w:rPr>
          <w:sz w:val="26"/>
          <w:szCs w:val="26"/>
        </w:rPr>
        <w:t xml:space="preserve">that </w:t>
      </w:r>
      <w:r w:rsidR="00EA2E1D" w:rsidRPr="00EE5722">
        <w:rPr>
          <w:sz w:val="26"/>
          <w:szCs w:val="26"/>
        </w:rPr>
        <w:t xml:space="preserve">its </w:t>
      </w:r>
      <w:r w:rsidRPr="00EE5722">
        <w:rPr>
          <w:sz w:val="26"/>
          <w:szCs w:val="26"/>
        </w:rPr>
        <w:t xml:space="preserve">recommended modifications </w:t>
      </w:r>
      <w:r w:rsidR="00C04834">
        <w:rPr>
          <w:sz w:val="26"/>
          <w:szCs w:val="26"/>
        </w:rPr>
        <w:t xml:space="preserve">would </w:t>
      </w:r>
      <w:r w:rsidRPr="00EE5722">
        <w:rPr>
          <w:sz w:val="26"/>
          <w:szCs w:val="26"/>
        </w:rPr>
        <w:t xml:space="preserve">ensure </w:t>
      </w:r>
      <w:r w:rsidR="00C04834">
        <w:rPr>
          <w:sz w:val="26"/>
          <w:szCs w:val="26"/>
        </w:rPr>
        <w:t xml:space="preserve">that </w:t>
      </w:r>
      <w:r w:rsidR="00EA2E1D" w:rsidRPr="00EE5722">
        <w:rPr>
          <w:sz w:val="26"/>
          <w:szCs w:val="26"/>
        </w:rPr>
        <w:t>the Company</w:t>
      </w:r>
      <w:r w:rsidRPr="00EE5722">
        <w:rPr>
          <w:sz w:val="26"/>
          <w:szCs w:val="26"/>
        </w:rPr>
        <w:t xml:space="preserve"> includes a prudent mix of products designed to ensure reliable, stable service at the least cost over time pursuant to Act 129.  OCA St</w:t>
      </w:r>
      <w:r w:rsidR="00C04834">
        <w:rPr>
          <w:sz w:val="26"/>
          <w:szCs w:val="26"/>
        </w:rPr>
        <w:t>s</w:t>
      </w:r>
      <w:r w:rsidRPr="00EE5722">
        <w:rPr>
          <w:sz w:val="26"/>
          <w:szCs w:val="26"/>
        </w:rPr>
        <w:t xml:space="preserve">. 1, 1-R and 1-S.  </w:t>
      </w:r>
      <w:r w:rsidR="00EA2E1D" w:rsidRPr="00EE5722">
        <w:rPr>
          <w:sz w:val="26"/>
          <w:szCs w:val="26"/>
        </w:rPr>
        <w:t xml:space="preserve">In addition, </w:t>
      </w:r>
      <w:r w:rsidR="00C04834">
        <w:rPr>
          <w:sz w:val="26"/>
          <w:szCs w:val="26"/>
        </w:rPr>
        <w:t xml:space="preserve">the OCA submitted that </w:t>
      </w:r>
      <w:r w:rsidRPr="00EE5722">
        <w:rPr>
          <w:sz w:val="26"/>
          <w:szCs w:val="26"/>
        </w:rPr>
        <w:t>greater diversity is needed among Duquesne’s residenti</w:t>
      </w:r>
      <w:r w:rsidR="005B7FE5">
        <w:rPr>
          <w:sz w:val="26"/>
          <w:szCs w:val="26"/>
        </w:rPr>
        <w:t xml:space="preserve">al default supply products to meet the prudent mix standard </w:t>
      </w:r>
      <w:r w:rsidRPr="00EE5722">
        <w:rPr>
          <w:sz w:val="26"/>
          <w:szCs w:val="26"/>
        </w:rPr>
        <w:t>mandated b</w:t>
      </w:r>
      <w:r w:rsidR="005B7FE5">
        <w:rPr>
          <w:sz w:val="26"/>
          <w:szCs w:val="26"/>
        </w:rPr>
        <w:t>y Act 129</w:t>
      </w:r>
      <w:r w:rsidR="00F04B32">
        <w:rPr>
          <w:sz w:val="26"/>
          <w:szCs w:val="26"/>
        </w:rPr>
        <w:t>.</w:t>
      </w:r>
    </w:p>
    <w:p w:rsidR="00EA2E1D" w:rsidRPr="00EE5722" w:rsidRDefault="00EA2E1D" w:rsidP="00436BCE">
      <w:pPr>
        <w:spacing w:line="360" w:lineRule="auto"/>
        <w:rPr>
          <w:sz w:val="26"/>
          <w:szCs w:val="26"/>
        </w:rPr>
      </w:pPr>
    </w:p>
    <w:p w:rsidR="00493BC3" w:rsidRPr="00EE5722" w:rsidRDefault="00493BC3" w:rsidP="00436BCE">
      <w:pPr>
        <w:spacing w:line="360" w:lineRule="auto"/>
        <w:rPr>
          <w:sz w:val="26"/>
          <w:szCs w:val="26"/>
        </w:rPr>
      </w:pPr>
      <w:r w:rsidRPr="00EE5722">
        <w:rPr>
          <w:sz w:val="26"/>
          <w:szCs w:val="26"/>
        </w:rPr>
        <w:tab/>
      </w:r>
      <w:r w:rsidRPr="00EE5722">
        <w:rPr>
          <w:sz w:val="26"/>
          <w:szCs w:val="26"/>
        </w:rPr>
        <w:tab/>
      </w:r>
      <w:r w:rsidR="005B7FE5">
        <w:rPr>
          <w:sz w:val="26"/>
          <w:szCs w:val="26"/>
        </w:rPr>
        <w:t>T</w:t>
      </w:r>
      <w:r w:rsidR="00C04834">
        <w:rPr>
          <w:sz w:val="26"/>
          <w:szCs w:val="26"/>
        </w:rPr>
        <w:t xml:space="preserve">he </w:t>
      </w:r>
      <w:r w:rsidRPr="00EE5722">
        <w:rPr>
          <w:sz w:val="26"/>
          <w:szCs w:val="26"/>
        </w:rPr>
        <w:t>OCA proposed two mod</w:t>
      </w:r>
      <w:r w:rsidR="005B7FE5">
        <w:rPr>
          <w:sz w:val="26"/>
          <w:szCs w:val="26"/>
        </w:rPr>
        <w:t>ifications</w:t>
      </w:r>
      <w:r w:rsidR="00EA2E1D" w:rsidRPr="00EE5722">
        <w:rPr>
          <w:sz w:val="26"/>
          <w:szCs w:val="26"/>
        </w:rPr>
        <w:t xml:space="preserve">: (1) </w:t>
      </w:r>
      <w:r w:rsidR="005B7FE5">
        <w:rPr>
          <w:sz w:val="26"/>
          <w:szCs w:val="26"/>
        </w:rPr>
        <w:t xml:space="preserve">that approximately 17% </w:t>
      </w:r>
      <w:r w:rsidRPr="00EE5722">
        <w:rPr>
          <w:sz w:val="26"/>
          <w:szCs w:val="26"/>
        </w:rPr>
        <w:t>of the residential default service</w:t>
      </w:r>
      <w:r w:rsidR="005B7FE5">
        <w:rPr>
          <w:sz w:val="26"/>
          <w:szCs w:val="26"/>
        </w:rPr>
        <w:t xml:space="preserve"> load (4 of 24 tranches) </w:t>
      </w:r>
      <w:r w:rsidRPr="00EE5722">
        <w:rPr>
          <w:sz w:val="26"/>
          <w:szCs w:val="26"/>
        </w:rPr>
        <w:t>be procured through two-year FRCs rather than the one-y</w:t>
      </w:r>
      <w:r w:rsidR="005B7FE5">
        <w:rPr>
          <w:sz w:val="26"/>
          <w:szCs w:val="26"/>
        </w:rPr>
        <w:t>ear FRCs</w:t>
      </w:r>
      <w:r w:rsidR="00EA2E1D" w:rsidRPr="00EE5722">
        <w:rPr>
          <w:sz w:val="26"/>
          <w:szCs w:val="26"/>
        </w:rPr>
        <w:t xml:space="preserve">; and (2) </w:t>
      </w:r>
      <w:r w:rsidR="005B7FE5">
        <w:rPr>
          <w:sz w:val="26"/>
          <w:szCs w:val="26"/>
        </w:rPr>
        <w:t>that approximately 21%</w:t>
      </w:r>
      <w:r w:rsidRPr="00EE5722">
        <w:rPr>
          <w:sz w:val="26"/>
          <w:szCs w:val="26"/>
        </w:rPr>
        <w:t xml:space="preserve"> (5 of 24 tranches) of the residential default service loa</w:t>
      </w:r>
      <w:r w:rsidR="005B7FE5">
        <w:rPr>
          <w:sz w:val="26"/>
          <w:szCs w:val="26"/>
        </w:rPr>
        <w:t xml:space="preserve">d in each year of DSP VI </w:t>
      </w:r>
      <w:r w:rsidRPr="00EE5722">
        <w:rPr>
          <w:sz w:val="26"/>
          <w:szCs w:val="26"/>
        </w:rPr>
        <w:t xml:space="preserve">be served through a block and spot supply arrangement.  This </w:t>
      </w:r>
      <w:r w:rsidR="005B7FE5">
        <w:rPr>
          <w:sz w:val="26"/>
          <w:szCs w:val="26"/>
        </w:rPr>
        <w:t>latter proposed modification</w:t>
      </w:r>
      <w:r w:rsidR="001F1EAA" w:rsidRPr="00EE5722">
        <w:rPr>
          <w:sz w:val="26"/>
          <w:szCs w:val="26"/>
        </w:rPr>
        <w:t xml:space="preserve"> </w:t>
      </w:r>
      <w:r w:rsidRPr="00EE5722">
        <w:rPr>
          <w:sz w:val="26"/>
          <w:szCs w:val="26"/>
        </w:rPr>
        <w:t>would be in lieu of</w:t>
      </w:r>
      <w:r w:rsidR="005B7FE5">
        <w:rPr>
          <w:sz w:val="26"/>
          <w:szCs w:val="26"/>
        </w:rPr>
        <w:t xml:space="preserve"> Duquesne’s proposed 100%</w:t>
      </w:r>
      <w:r w:rsidRPr="00EE5722">
        <w:rPr>
          <w:sz w:val="26"/>
          <w:szCs w:val="26"/>
        </w:rPr>
        <w:t xml:space="preserve"> reliance on FRCs.  </w:t>
      </w:r>
      <w:r w:rsidR="00C04834">
        <w:rPr>
          <w:sz w:val="26"/>
          <w:szCs w:val="26"/>
        </w:rPr>
        <w:t xml:space="preserve">The </w:t>
      </w:r>
      <w:r w:rsidR="001F1EAA" w:rsidRPr="00EE5722">
        <w:rPr>
          <w:sz w:val="26"/>
          <w:szCs w:val="26"/>
        </w:rPr>
        <w:t xml:space="preserve">OCA noted that, </w:t>
      </w:r>
      <w:r w:rsidRPr="00EE5722">
        <w:rPr>
          <w:sz w:val="26"/>
          <w:szCs w:val="26"/>
        </w:rPr>
        <w:t xml:space="preserve">should </w:t>
      </w:r>
      <w:r w:rsidR="001F1EAA" w:rsidRPr="00EE5722">
        <w:rPr>
          <w:sz w:val="26"/>
          <w:szCs w:val="26"/>
        </w:rPr>
        <w:t>the</w:t>
      </w:r>
      <w:r w:rsidRPr="00EE5722">
        <w:rPr>
          <w:sz w:val="26"/>
          <w:szCs w:val="26"/>
        </w:rPr>
        <w:t xml:space="preserve"> </w:t>
      </w:r>
      <w:r w:rsidR="005B7FE5">
        <w:rPr>
          <w:sz w:val="26"/>
          <w:szCs w:val="26"/>
        </w:rPr>
        <w:t>Commission not adopt its</w:t>
      </w:r>
      <w:r w:rsidR="00436BCE" w:rsidRPr="00EE5722">
        <w:rPr>
          <w:sz w:val="26"/>
          <w:szCs w:val="26"/>
        </w:rPr>
        <w:t xml:space="preserve"> </w:t>
      </w:r>
      <w:r w:rsidRPr="00EE5722">
        <w:rPr>
          <w:sz w:val="26"/>
          <w:szCs w:val="26"/>
        </w:rPr>
        <w:t xml:space="preserve">block and spot recommendation, </w:t>
      </w:r>
      <w:r w:rsidR="00C04834">
        <w:rPr>
          <w:sz w:val="26"/>
          <w:szCs w:val="26"/>
        </w:rPr>
        <w:t xml:space="preserve">the </w:t>
      </w:r>
      <w:r w:rsidR="001F1EAA" w:rsidRPr="00EE5722">
        <w:rPr>
          <w:sz w:val="26"/>
          <w:szCs w:val="26"/>
        </w:rPr>
        <w:t>OCA</w:t>
      </w:r>
      <w:r w:rsidRPr="00EE5722">
        <w:rPr>
          <w:sz w:val="26"/>
          <w:szCs w:val="26"/>
        </w:rPr>
        <w:t xml:space="preserve"> would continue to urge</w:t>
      </w:r>
      <w:r w:rsidR="001F1EAA" w:rsidRPr="00EE5722">
        <w:rPr>
          <w:sz w:val="26"/>
          <w:szCs w:val="26"/>
        </w:rPr>
        <w:t xml:space="preserve"> </w:t>
      </w:r>
      <w:r w:rsidR="00C04834">
        <w:rPr>
          <w:sz w:val="26"/>
          <w:szCs w:val="26"/>
        </w:rPr>
        <w:t xml:space="preserve">that </w:t>
      </w:r>
      <w:r w:rsidR="001F1EAA" w:rsidRPr="00EE5722">
        <w:rPr>
          <w:sz w:val="26"/>
          <w:szCs w:val="26"/>
        </w:rPr>
        <w:t>the Commission adopt</w:t>
      </w:r>
      <w:r w:rsidRPr="00EE5722">
        <w:rPr>
          <w:sz w:val="26"/>
          <w:szCs w:val="26"/>
        </w:rPr>
        <w:t xml:space="preserve"> </w:t>
      </w:r>
      <w:r w:rsidR="005B7FE5">
        <w:rPr>
          <w:sz w:val="26"/>
          <w:szCs w:val="26"/>
        </w:rPr>
        <w:t>its proposal to add</w:t>
      </w:r>
      <w:r w:rsidRPr="00EE5722">
        <w:rPr>
          <w:sz w:val="26"/>
          <w:szCs w:val="26"/>
        </w:rPr>
        <w:t xml:space="preserve"> two-ye</w:t>
      </w:r>
      <w:r w:rsidR="005B7FE5">
        <w:rPr>
          <w:sz w:val="26"/>
          <w:szCs w:val="26"/>
        </w:rPr>
        <w:t xml:space="preserve">ar FRCs to the portfolio.  </w:t>
      </w:r>
      <w:r w:rsidRPr="00EE5722">
        <w:rPr>
          <w:sz w:val="26"/>
          <w:szCs w:val="26"/>
        </w:rPr>
        <w:t>OCA St. 1 at 19.</w:t>
      </w:r>
      <w:r w:rsidR="001F1EAA" w:rsidRPr="00EE5722">
        <w:rPr>
          <w:sz w:val="26"/>
          <w:szCs w:val="26"/>
        </w:rPr>
        <w:t xml:space="preserve">  </w:t>
      </w:r>
      <w:r w:rsidR="00C04834">
        <w:rPr>
          <w:sz w:val="26"/>
          <w:szCs w:val="26"/>
        </w:rPr>
        <w:t xml:space="preserve">The </w:t>
      </w:r>
      <w:r w:rsidR="001F1EAA" w:rsidRPr="00EE5722">
        <w:rPr>
          <w:sz w:val="26"/>
          <w:szCs w:val="26"/>
        </w:rPr>
        <w:t>O</w:t>
      </w:r>
      <w:r w:rsidR="00C04834">
        <w:rPr>
          <w:sz w:val="26"/>
          <w:szCs w:val="26"/>
        </w:rPr>
        <w:t>CA submitted</w:t>
      </w:r>
      <w:r w:rsidRPr="00EE5722">
        <w:rPr>
          <w:sz w:val="26"/>
          <w:szCs w:val="26"/>
        </w:rPr>
        <w:t xml:space="preserve"> that the adoption of </w:t>
      </w:r>
      <w:r w:rsidR="00436BCE" w:rsidRPr="00EE5722">
        <w:rPr>
          <w:sz w:val="26"/>
          <w:szCs w:val="26"/>
        </w:rPr>
        <w:t>these</w:t>
      </w:r>
      <w:r w:rsidR="00C04834">
        <w:rPr>
          <w:sz w:val="26"/>
          <w:szCs w:val="26"/>
        </w:rPr>
        <w:t xml:space="preserve"> modifications would</w:t>
      </w:r>
      <w:r w:rsidRPr="00EE5722">
        <w:rPr>
          <w:sz w:val="26"/>
          <w:szCs w:val="26"/>
        </w:rPr>
        <w:t xml:space="preserve"> allow the Company’s procurement plan for residential customers to more closely adhere to the statutory requirement that default supply represent a prudent mix of contracts designed to ensure adequate and reliable service at least</w:t>
      </w:r>
      <w:r w:rsidR="00F04B32">
        <w:rPr>
          <w:sz w:val="26"/>
          <w:szCs w:val="26"/>
        </w:rPr>
        <w:t xml:space="preserve"> cost to customers over time</w:t>
      </w:r>
      <w:r w:rsidR="00270A3D">
        <w:rPr>
          <w:sz w:val="26"/>
          <w:szCs w:val="26"/>
        </w:rPr>
        <w:t>.</w:t>
      </w:r>
    </w:p>
    <w:p w:rsidR="00297E8C" w:rsidRPr="00EE5722" w:rsidRDefault="00297E8C" w:rsidP="00436BCE">
      <w:pPr>
        <w:spacing w:line="360" w:lineRule="auto"/>
        <w:rPr>
          <w:sz w:val="26"/>
          <w:szCs w:val="26"/>
        </w:rPr>
      </w:pPr>
    </w:p>
    <w:p w:rsidR="00681D9C" w:rsidRDefault="00297E8C" w:rsidP="000A26C1">
      <w:pPr>
        <w:tabs>
          <w:tab w:val="left" w:pos="0"/>
        </w:tabs>
        <w:spacing w:line="360" w:lineRule="auto"/>
        <w:rPr>
          <w:sz w:val="26"/>
          <w:szCs w:val="26"/>
        </w:rPr>
      </w:pPr>
      <w:r w:rsidRPr="00EE5722">
        <w:rPr>
          <w:sz w:val="26"/>
          <w:szCs w:val="26"/>
        </w:rPr>
        <w:tab/>
      </w:r>
      <w:r w:rsidRPr="00EE5722">
        <w:rPr>
          <w:sz w:val="26"/>
          <w:szCs w:val="26"/>
        </w:rPr>
        <w:tab/>
        <w:t xml:space="preserve">The basis for </w:t>
      </w:r>
      <w:r w:rsidR="00C04834">
        <w:rPr>
          <w:sz w:val="26"/>
          <w:szCs w:val="26"/>
        </w:rPr>
        <w:t xml:space="preserve">the </w:t>
      </w:r>
      <w:r w:rsidRPr="00EE5722">
        <w:rPr>
          <w:sz w:val="26"/>
          <w:szCs w:val="26"/>
        </w:rPr>
        <w:t xml:space="preserve">OCA’s recommendation that a portion of the FRCs purchased for residential load have a two-year rather than a one-year term is that the two-year FRCs: (1) would provide an additional product that would enhance compliance with Act 129 by building product diversity; (2) would allow Duquesne to take advantage of </w:t>
      </w:r>
      <w:r w:rsidRPr="00EE5722">
        <w:rPr>
          <w:sz w:val="26"/>
          <w:szCs w:val="26"/>
        </w:rPr>
        <w:lastRenderedPageBreak/>
        <w:t>favorable current forward market prices; and (3) could provide some degree of hedging against unantici</w:t>
      </w:r>
      <w:r w:rsidR="00436BCE" w:rsidRPr="00EE5722">
        <w:rPr>
          <w:sz w:val="26"/>
          <w:szCs w:val="26"/>
        </w:rPr>
        <w:t xml:space="preserve">pated future price increases.  </w:t>
      </w:r>
      <w:r w:rsidRPr="00EE5722">
        <w:rPr>
          <w:sz w:val="26"/>
          <w:szCs w:val="26"/>
        </w:rPr>
        <w:t>OCA St. 1 at 15.</w:t>
      </w:r>
      <w:r w:rsidR="005B7FE5">
        <w:rPr>
          <w:sz w:val="26"/>
          <w:szCs w:val="26"/>
        </w:rPr>
        <w:t xml:space="preserve">  </w:t>
      </w:r>
      <w:r w:rsidR="00C04834">
        <w:rPr>
          <w:sz w:val="26"/>
          <w:szCs w:val="26"/>
        </w:rPr>
        <w:t>The OCA contended that</w:t>
      </w:r>
      <w:r w:rsidR="00436BCE" w:rsidRPr="00EE5722">
        <w:rPr>
          <w:sz w:val="26"/>
          <w:szCs w:val="26"/>
        </w:rPr>
        <w:t xml:space="preserve"> its recommendation to purchase a mix of one-year and two-year F</w:t>
      </w:r>
      <w:r w:rsidR="00C04834">
        <w:rPr>
          <w:sz w:val="26"/>
          <w:szCs w:val="26"/>
        </w:rPr>
        <w:t>RC</w:t>
      </w:r>
      <w:r w:rsidR="005B7FE5">
        <w:rPr>
          <w:sz w:val="26"/>
          <w:szCs w:val="26"/>
        </w:rPr>
        <w:t xml:space="preserve">s </w:t>
      </w:r>
      <w:r w:rsidR="00C04834">
        <w:rPr>
          <w:sz w:val="26"/>
          <w:szCs w:val="26"/>
        </w:rPr>
        <w:t>was</w:t>
      </w:r>
      <w:r w:rsidR="00436BCE" w:rsidRPr="00EE5722">
        <w:rPr>
          <w:sz w:val="26"/>
          <w:szCs w:val="26"/>
        </w:rPr>
        <w:t xml:space="preserve"> no more speculative than the Company’s recommendation to purchase only one-year</w:t>
      </w:r>
      <w:r w:rsidR="005B7FE5">
        <w:rPr>
          <w:sz w:val="26"/>
          <w:szCs w:val="26"/>
        </w:rPr>
        <w:t xml:space="preserve"> FRCs.</w:t>
      </w:r>
      <w:r w:rsidR="00C04834">
        <w:rPr>
          <w:sz w:val="26"/>
          <w:szCs w:val="26"/>
        </w:rPr>
        <w:t xml:space="preserve"> The OCA suggested</w:t>
      </w:r>
      <w:r w:rsidR="00436BCE" w:rsidRPr="00EE5722">
        <w:rPr>
          <w:sz w:val="26"/>
          <w:szCs w:val="26"/>
        </w:rPr>
        <w:t xml:space="preserve"> </w:t>
      </w:r>
      <w:r w:rsidR="00C04834">
        <w:rPr>
          <w:sz w:val="26"/>
          <w:szCs w:val="26"/>
        </w:rPr>
        <w:t xml:space="preserve">that </w:t>
      </w:r>
      <w:r w:rsidR="00436BCE" w:rsidRPr="00EE5722">
        <w:rPr>
          <w:sz w:val="26"/>
          <w:szCs w:val="26"/>
        </w:rPr>
        <w:t>“the market be relied upon, with the recognition that product diversification provides a measure of risk mitigation and that</w:t>
      </w:r>
      <w:r w:rsidR="00187D6E">
        <w:rPr>
          <w:sz w:val="26"/>
          <w:szCs w:val="26"/>
        </w:rPr>
        <w:t>,</w:t>
      </w:r>
      <w:r w:rsidR="00436BCE" w:rsidRPr="00EE5722">
        <w:rPr>
          <w:sz w:val="26"/>
          <w:szCs w:val="26"/>
        </w:rPr>
        <w:t xml:space="preserve"> based on historical prices, the risk of potential price increases from current futures levels is greater than the risk of potential price declines.”  </w:t>
      </w:r>
      <w:r w:rsidR="00C04834">
        <w:rPr>
          <w:sz w:val="26"/>
          <w:szCs w:val="26"/>
        </w:rPr>
        <w:t>OCA St. 1-</w:t>
      </w:r>
      <w:r w:rsidR="00D96EB9">
        <w:rPr>
          <w:sz w:val="26"/>
          <w:szCs w:val="26"/>
        </w:rPr>
        <w:t>S at 20.</w:t>
      </w:r>
    </w:p>
    <w:p w:rsidR="00297E8C" w:rsidRPr="000A26C1" w:rsidRDefault="00D96EB9" w:rsidP="000A26C1">
      <w:pPr>
        <w:tabs>
          <w:tab w:val="left" w:pos="0"/>
        </w:tabs>
        <w:spacing w:line="360" w:lineRule="auto"/>
        <w:rPr>
          <w:sz w:val="26"/>
          <w:szCs w:val="26"/>
        </w:rPr>
      </w:pPr>
      <w:r>
        <w:rPr>
          <w:sz w:val="26"/>
          <w:szCs w:val="26"/>
        </w:rPr>
        <w:t xml:space="preserve">  </w:t>
      </w:r>
    </w:p>
    <w:p w:rsidR="00297E8C" w:rsidRPr="00EE5722" w:rsidRDefault="00155068" w:rsidP="00137716">
      <w:pPr>
        <w:spacing w:line="360" w:lineRule="auto"/>
        <w:rPr>
          <w:sz w:val="26"/>
          <w:szCs w:val="26"/>
        </w:rPr>
      </w:pPr>
      <w:r w:rsidRPr="00EE5722">
        <w:rPr>
          <w:sz w:val="26"/>
          <w:szCs w:val="26"/>
        </w:rPr>
        <w:tab/>
      </w:r>
      <w:r w:rsidRPr="00EE5722">
        <w:rPr>
          <w:sz w:val="26"/>
          <w:szCs w:val="26"/>
        </w:rPr>
        <w:tab/>
      </w:r>
      <w:r w:rsidR="00C04834">
        <w:rPr>
          <w:sz w:val="26"/>
          <w:szCs w:val="26"/>
        </w:rPr>
        <w:t xml:space="preserve">The </w:t>
      </w:r>
      <w:r w:rsidR="00297E8C" w:rsidRPr="00EE5722">
        <w:rPr>
          <w:sz w:val="26"/>
          <w:szCs w:val="26"/>
        </w:rPr>
        <w:t xml:space="preserve">OCA’s second </w:t>
      </w:r>
      <w:r w:rsidR="00D96EB9">
        <w:rPr>
          <w:sz w:val="26"/>
          <w:szCs w:val="26"/>
        </w:rPr>
        <w:t xml:space="preserve">proposed modification </w:t>
      </w:r>
      <w:r w:rsidR="00C04834">
        <w:rPr>
          <w:sz w:val="26"/>
          <w:szCs w:val="26"/>
        </w:rPr>
        <w:t>wa</w:t>
      </w:r>
      <w:r w:rsidR="00297E8C" w:rsidRPr="00EE5722">
        <w:rPr>
          <w:sz w:val="26"/>
          <w:szCs w:val="26"/>
        </w:rPr>
        <w:t xml:space="preserve">s to add a block and spot </w:t>
      </w:r>
      <w:r w:rsidR="00BE04E3">
        <w:rPr>
          <w:sz w:val="26"/>
          <w:szCs w:val="26"/>
        </w:rPr>
        <w:t>component to complement Duquesne</w:t>
      </w:r>
      <w:r w:rsidR="00297E8C" w:rsidRPr="00EE5722">
        <w:rPr>
          <w:sz w:val="26"/>
          <w:szCs w:val="26"/>
        </w:rPr>
        <w:t xml:space="preserve">’s sole reliance on FRCs.  Specifically, </w:t>
      </w:r>
      <w:r w:rsidR="00223870">
        <w:rPr>
          <w:sz w:val="26"/>
          <w:szCs w:val="26"/>
        </w:rPr>
        <w:t xml:space="preserve">the </w:t>
      </w:r>
      <w:r w:rsidR="00297E8C" w:rsidRPr="00EE5722">
        <w:rPr>
          <w:sz w:val="26"/>
          <w:szCs w:val="26"/>
        </w:rPr>
        <w:t xml:space="preserve">OCA proposed </w:t>
      </w:r>
      <w:r w:rsidR="00223870">
        <w:rPr>
          <w:sz w:val="26"/>
          <w:szCs w:val="26"/>
        </w:rPr>
        <w:t xml:space="preserve">that </w:t>
      </w:r>
      <w:r w:rsidR="00297E8C" w:rsidRPr="00EE5722">
        <w:rPr>
          <w:sz w:val="26"/>
          <w:szCs w:val="26"/>
        </w:rPr>
        <w:t xml:space="preserve">Duquesne acquire one-year block energy products, that is, </w:t>
      </w:r>
      <w:r w:rsidR="00187D6E">
        <w:rPr>
          <w:sz w:val="26"/>
          <w:szCs w:val="26"/>
        </w:rPr>
        <w:t>twelve</w:t>
      </w:r>
      <w:r w:rsidR="00297E8C" w:rsidRPr="00EE5722">
        <w:rPr>
          <w:sz w:val="26"/>
          <w:szCs w:val="26"/>
        </w:rPr>
        <w:t>-month on-peak and off-p</w:t>
      </w:r>
      <w:r w:rsidR="006C65FA">
        <w:rPr>
          <w:sz w:val="26"/>
          <w:szCs w:val="26"/>
        </w:rPr>
        <w:t xml:space="preserve">eak strips (or alternatively, </w:t>
      </w:r>
      <w:r w:rsidR="00187D6E">
        <w:rPr>
          <w:sz w:val="26"/>
          <w:szCs w:val="26"/>
        </w:rPr>
        <w:t>twelve</w:t>
      </w:r>
      <w:r w:rsidR="00297E8C" w:rsidRPr="00EE5722">
        <w:rPr>
          <w:sz w:val="26"/>
          <w:szCs w:val="26"/>
        </w:rPr>
        <w:t xml:space="preserve">-month on-peak and </w:t>
      </w:r>
      <w:r w:rsidR="00187D6E">
        <w:rPr>
          <w:sz w:val="26"/>
          <w:szCs w:val="26"/>
        </w:rPr>
        <w:t>twelve</w:t>
      </w:r>
      <w:r w:rsidR="00297E8C" w:rsidRPr="00EE5722">
        <w:rPr>
          <w:sz w:val="26"/>
          <w:szCs w:val="26"/>
        </w:rPr>
        <w:t>-month all</w:t>
      </w:r>
      <w:r w:rsidR="00D96EB9">
        <w:rPr>
          <w:sz w:val="26"/>
          <w:szCs w:val="26"/>
        </w:rPr>
        <w:t xml:space="preserve">-hours strips), with </w:t>
      </w:r>
      <w:r w:rsidR="00297E8C" w:rsidRPr="00EE5722">
        <w:rPr>
          <w:sz w:val="26"/>
          <w:szCs w:val="26"/>
        </w:rPr>
        <w:t>balancing energ</w:t>
      </w:r>
      <w:r w:rsidR="00D96EB9">
        <w:rPr>
          <w:sz w:val="26"/>
          <w:szCs w:val="26"/>
        </w:rPr>
        <w:t xml:space="preserve">y from the spot market </w:t>
      </w:r>
      <w:r w:rsidR="00297E8C" w:rsidRPr="00EE5722">
        <w:rPr>
          <w:sz w:val="26"/>
          <w:szCs w:val="26"/>
        </w:rPr>
        <w:t>w</w:t>
      </w:r>
      <w:r w:rsidR="00D96EB9">
        <w:rPr>
          <w:sz w:val="26"/>
          <w:szCs w:val="26"/>
        </w:rPr>
        <w:t xml:space="preserve">hen load would exceed the </w:t>
      </w:r>
      <w:r w:rsidR="00297E8C" w:rsidRPr="00EE5722">
        <w:rPr>
          <w:sz w:val="26"/>
          <w:szCs w:val="26"/>
        </w:rPr>
        <w:t xml:space="preserve">block.  </w:t>
      </w:r>
      <w:r w:rsidR="00223870">
        <w:rPr>
          <w:sz w:val="26"/>
          <w:szCs w:val="26"/>
        </w:rPr>
        <w:t xml:space="preserve">The </w:t>
      </w:r>
      <w:r w:rsidR="00C30901" w:rsidRPr="00EE5722">
        <w:rPr>
          <w:sz w:val="26"/>
          <w:szCs w:val="26"/>
        </w:rPr>
        <w:t xml:space="preserve">OCA </w:t>
      </w:r>
      <w:r w:rsidR="00223870">
        <w:rPr>
          <w:sz w:val="26"/>
          <w:szCs w:val="26"/>
        </w:rPr>
        <w:t>contended</w:t>
      </w:r>
      <w:r w:rsidRPr="00EE5722">
        <w:rPr>
          <w:sz w:val="26"/>
          <w:szCs w:val="26"/>
        </w:rPr>
        <w:t xml:space="preserve"> </w:t>
      </w:r>
      <w:r w:rsidR="00D96EB9">
        <w:rPr>
          <w:sz w:val="26"/>
          <w:szCs w:val="26"/>
        </w:rPr>
        <w:t xml:space="preserve">that </w:t>
      </w:r>
      <w:r w:rsidRPr="00EE5722">
        <w:rPr>
          <w:sz w:val="26"/>
          <w:szCs w:val="26"/>
        </w:rPr>
        <w:t>the</w:t>
      </w:r>
      <w:r w:rsidR="00D96EB9">
        <w:rPr>
          <w:sz w:val="26"/>
          <w:szCs w:val="26"/>
        </w:rPr>
        <w:t xml:space="preserve"> two advantages to adding a block and spot component would be</w:t>
      </w:r>
      <w:r w:rsidR="00BB3B01" w:rsidRPr="00EE5722">
        <w:rPr>
          <w:sz w:val="26"/>
          <w:szCs w:val="26"/>
        </w:rPr>
        <w:t xml:space="preserve">: </w:t>
      </w:r>
      <w:r w:rsidRPr="00EE5722">
        <w:rPr>
          <w:sz w:val="26"/>
          <w:szCs w:val="26"/>
        </w:rPr>
        <w:t xml:space="preserve"> (1)</w:t>
      </w:r>
      <w:r w:rsidR="00D96EB9">
        <w:rPr>
          <w:sz w:val="26"/>
          <w:szCs w:val="26"/>
        </w:rPr>
        <w:t xml:space="preserve"> to </w:t>
      </w:r>
      <w:r w:rsidR="00297E8C" w:rsidRPr="00EE5722">
        <w:rPr>
          <w:sz w:val="26"/>
          <w:szCs w:val="26"/>
        </w:rPr>
        <w:t>provide a great</w:t>
      </w:r>
      <w:r w:rsidR="00D96EB9">
        <w:rPr>
          <w:sz w:val="26"/>
          <w:szCs w:val="26"/>
        </w:rPr>
        <w:t>er mix of supply elements in Duquesne’s residential</w:t>
      </w:r>
      <w:r w:rsidR="00297E8C" w:rsidRPr="00EE5722">
        <w:rPr>
          <w:sz w:val="26"/>
          <w:szCs w:val="26"/>
        </w:rPr>
        <w:t xml:space="preserve"> portfolio</w:t>
      </w:r>
      <w:r w:rsidRPr="00EE5722">
        <w:rPr>
          <w:sz w:val="26"/>
          <w:szCs w:val="26"/>
        </w:rPr>
        <w:t xml:space="preserve">; and (2) </w:t>
      </w:r>
      <w:r w:rsidR="004A6EF1">
        <w:rPr>
          <w:sz w:val="26"/>
          <w:szCs w:val="26"/>
        </w:rPr>
        <w:t>to conform more closely to</w:t>
      </w:r>
      <w:r w:rsidR="00D96EB9">
        <w:rPr>
          <w:sz w:val="26"/>
          <w:szCs w:val="26"/>
        </w:rPr>
        <w:t xml:space="preserve"> the requirements of Act 129</w:t>
      </w:r>
      <w:r w:rsidR="00297E8C" w:rsidRPr="00EE5722">
        <w:rPr>
          <w:sz w:val="26"/>
          <w:szCs w:val="26"/>
        </w:rPr>
        <w:t>.</w:t>
      </w:r>
      <w:r w:rsidR="00223870">
        <w:rPr>
          <w:sz w:val="26"/>
          <w:szCs w:val="26"/>
        </w:rPr>
        <w:t xml:space="preserve">  </w:t>
      </w:r>
      <w:r w:rsidR="00297E8C" w:rsidRPr="00EE5722">
        <w:rPr>
          <w:sz w:val="26"/>
          <w:szCs w:val="26"/>
        </w:rPr>
        <w:t>OCA St. 1 at 9.</w:t>
      </w:r>
      <w:r w:rsidR="00297E8C" w:rsidRPr="00EE5722">
        <w:rPr>
          <w:rStyle w:val="FootnoteReference"/>
          <w:sz w:val="26"/>
          <w:szCs w:val="26"/>
        </w:rPr>
        <w:t xml:space="preserve"> </w:t>
      </w:r>
      <w:r w:rsidR="00D96EB9">
        <w:rPr>
          <w:sz w:val="26"/>
          <w:szCs w:val="26"/>
        </w:rPr>
        <w:t xml:space="preserve">  </w:t>
      </w:r>
    </w:p>
    <w:p w:rsidR="00BE1713" w:rsidRPr="00EE5722" w:rsidRDefault="00BE1713" w:rsidP="00436BCE">
      <w:pPr>
        <w:tabs>
          <w:tab w:val="left" w:pos="0"/>
        </w:tabs>
        <w:spacing w:line="360" w:lineRule="auto"/>
        <w:rPr>
          <w:sz w:val="26"/>
          <w:szCs w:val="26"/>
        </w:rPr>
      </w:pPr>
    </w:p>
    <w:p w:rsidR="00B67E4B" w:rsidRDefault="00297E8C" w:rsidP="00223870">
      <w:pPr>
        <w:tabs>
          <w:tab w:val="left" w:pos="0"/>
        </w:tabs>
        <w:spacing w:line="360" w:lineRule="auto"/>
        <w:rPr>
          <w:sz w:val="26"/>
          <w:szCs w:val="26"/>
        </w:rPr>
      </w:pPr>
      <w:r w:rsidRPr="00EE5722">
        <w:rPr>
          <w:sz w:val="26"/>
          <w:szCs w:val="26"/>
        </w:rPr>
        <w:tab/>
      </w:r>
      <w:r w:rsidRPr="00EE5722">
        <w:rPr>
          <w:sz w:val="26"/>
          <w:szCs w:val="26"/>
        </w:rPr>
        <w:tab/>
      </w:r>
      <w:r w:rsidR="00223870">
        <w:rPr>
          <w:sz w:val="26"/>
          <w:szCs w:val="26"/>
        </w:rPr>
        <w:t xml:space="preserve">The </w:t>
      </w:r>
      <w:r w:rsidRPr="00EE5722">
        <w:rPr>
          <w:sz w:val="26"/>
          <w:szCs w:val="26"/>
        </w:rPr>
        <w:t>OCA note</w:t>
      </w:r>
      <w:r w:rsidR="00223870">
        <w:rPr>
          <w:sz w:val="26"/>
          <w:szCs w:val="26"/>
        </w:rPr>
        <w:t>d that</w:t>
      </w:r>
      <w:r w:rsidRPr="00EE5722">
        <w:rPr>
          <w:sz w:val="26"/>
          <w:szCs w:val="26"/>
        </w:rPr>
        <w:t xml:space="preserve"> the Commission declined to adopt </w:t>
      </w:r>
      <w:r w:rsidR="00223870">
        <w:rPr>
          <w:sz w:val="26"/>
          <w:szCs w:val="26"/>
        </w:rPr>
        <w:t xml:space="preserve">the </w:t>
      </w:r>
      <w:r w:rsidRPr="00EE5722">
        <w:rPr>
          <w:sz w:val="26"/>
          <w:szCs w:val="26"/>
        </w:rPr>
        <w:t xml:space="preserve">OCA’s recommendation to use block and spot purchasing </w:t>
      </w:r>
      <w:r w:rsidR="00D96EB9">
        <w:rPr>
          <w:sz w:val="26"/>
          <w:szCs w:val="26"/>
        </w:rPr>
        <w:t>in the recent default service proceeding</w:t>
      </w:r>
      <w:r w:rsidR="004A6054" w:rsidRPr="00EE5722">
        <w:rPr>
          <w:sz w:val="26"/>
          <w:szCs w:val="26"/>
        </w:rPr>
        <w:t xml:space="preserve"> involving the First</w:t>
      </w:r>
      <w:r w:rsidRPr="00EE5722">
        <w:rPr>
          <w:sz w:val="26"/>
          <w:szCs w:val="26"/>
        </w:rPr>
        <w:t>Energy operating companies</w:t>
      </w:r>
      <w:r w:rsidR="00D96EB9">
        <w:rPr>
          <w:sz w:val="26"/>
          <w:szCs w:val="26"/>
        </w:rPr>
        <w:t xml:space="preserve">.  </w:t>
      </w:r>
      <w:r w:rsidR="00D96EB9" w:rsidRPr="006A7D2A">
        <w:rPr>
          <w:i/>
          <w:sz w:val="26"/>
          <w:szCs w:val="26"/>
        </w:rPr>
        <w:t>Joint Petition of Metropolitan Edison Company, Pennsylvania Electric Company, Pennsylvania Power Company and West Penn Power Company for Approval of their Default Service Programs</w:t>
      </w:r>
      <w:r w:rsidR="00270A3D">
        <w:rPr>
          <w:sz w:val="26"/>
          <w:szCs w:val="26"/>
        </w:rPr>
        <w:t>,</w:t>
      </w:r>
      <w:r w:rsidR="00D96EB9" w:rsidRPr="006A7D2A">
        <w:rPr>
          <w:sz w:val="26"/>
          <w:szCs w:val="26"/>
        </w:rPr>
        <w:t xml:space="preserve"> Docket Nos. P-2011-2273650, </w:t>
      </w:r>
      <w:r w:rsidR="00D96EB9" w:rsidRPr="006A7D2A">
        <w:rPr>
          <w:i/>
          <w:sz w:val="26"/>
          <w:szCs w:val="26"/>
        </w:rPr>
        <w:t>et al.</w:t>
      </w:r>
      <w:r w:rsidR="00FB2A39">
        <w:rPr>
          <w:sz w:val="26"/>
          <w:szCs w:val="26"/>
        </w:rPr>
        <w:t xml:space="preserve"> </w:t>
      </w:r>
      <w:r w:rsidR="00D96EB9" w:rsidRPr="006A7D2A">
        <w:rPr>
          <w:sz w:val="26"/>
          <w:szCs w:val="26"/>
        </w:rPr>
        <w:t>(Order entered August 16, 2012)</w:t>
      </w:r>
      <w:r w:rsidR="00FB2A39">
        <w:rPr>
          <w:sz w:val="26"/>
          <w:szCs w:val="26"/>
        </w:rPr>
        <w:t xml:space="preserve"> </w:t>
      </w:r>
      <w:r w:rsidR="00B67E4B">
        <w:rPr>
          <w:sz w:val="26"/>
          <w:szCs w:val="26"/>
        </w:rPr>
        <w:br w:type="page"/>
      </w:r>
    </w:p>
    <w:p w:rsidR="00884AFB" w:rsidRPr="00223870" w:rsidRDefault="00FB2A39" w:rsidP="00223870">
      <w:pPr>
        <w:tabs>
          <w:tab w:val="left" w:pos="0"/>
        </w:tabs>
        <w:spacing w:line="360" w:lineRule="auto"/>
        <w:rPr>
          <w:sz w:val="26"/>
          <w:szCs w:val="26"/>
        </w:rPr>
      </w:pPr>
      <w:r>
        <w:rPr>
          <w:sz w:val="26"/>
          <w:szCs w:val="26"/>
        </w:rPr>
        <w:lastRenderedPageBreak/>
        <w:t>(</w:t>
      </w:r>
      <w:r w:rsidRPr="00FB2A39">
        <w:rPr>
          <w:i/>
          <w:sz w:val="26"/>
          <w:szCs w:val="26"/>
        </w:rPr>
        <w:t xml:space="preserve">FirstEnergy DSP </w:t>
      </w:r>
      <w:r>
        <w:rPr>
          <w:i/>
          <w:sz w:val="26"/>
          <w:szCs w:val="26"/>
        </w:rPr>
        <w:t>Order</w:t>
      </w:r>
      <w:r>
        <w:rPr>
          <w:sz w:val="26"/>
          <w:szCs w:val="26"/>
        </w:rPr>
        <w:t>)</w:t>
      </w:r>
      <w:r w:rsidR="00D96EB9" w:rsidRPr="006A7D2A">
        <w:rPr>
          <w:sz w:val="26"/>
          <w:szCs w:val="26"/>
        </w:rPr>
        <w:t>.</w:t>
      </w:r>
      <w:r w:rsidR="00681D9C">
        <w:rPr>
          <w:rStyle w:val="FootnoteReference"/>
          <w:sz w:val="26"/>
          <w:szCs w:val="26"/>
        </w:rPr>
        <w:footnoteReference w:id="2"/>
      </w:r>
      <w:r w:rsidR="00D36362">
        <w:rPr>
          <w:sz w:val="26"/>
          <w:szCs w:val="26"/>
        </w:rPr>
        <w:t xml:space="preserve">  </w:t>
      </w:r>
      <w:r w:rsidR="00B27770" w:rsidRPr="00EE5722">
        <w:rPr>
          <w:sz w:val="26"/>
          <w:szCs w:val="26"/>
        </w:rPr>
        <w:t xml:space="preserve">However, </w:t>
      </w:r>
      <w:r w:rsidR="00223870">
        <w:rPr>
          <w:sz w:val="26"/>
          <w:szCs w:val="26"/>
        </w:rPr>
        <w:t>the OCA pointed</w:t>
      </w:r>
      <w:r w:rsidR="00B27770" w:rsidRPr="00EE5722">
        <w:rPr>
          <w:sz w:val="26"/>
          <w:szCs w:val="26"/>
        </w:rPr>
        <w:t xml:space="preserve"> out</w:t>
      </w:r>
      <w:r w:rsidR="00297E8C" w:rsidRPr="00EE5722">
        <w:rPr>
          <w:sz w:val="26"/>
          <w:szCs w:val="26"/>
        </w:rPr>
        <w:t xml:space="preserve"> the Commission specifically stated it did not intend to establish a precedent in that proceeding regarding the utilization of block procurements for default service.</w:t>
      </w:r>
      <w:r w:rsidR="00297E8C" w:rsidRPr="00EE5722">
        <w:rPr>
          <w:rStyle w:val="FootnoteReference"/>
          <w:sz w:val="26"/>
          <w:szCs w:val="26"/>
        </w:rPr>
        <w:footnoteReference w:id="3"/>
      </w:r>
      <w:r>
        <w:rPr>
          <w:sz w:val="26"/>
          <w:szCs w:val="26"/>
        </w:rPr>
        <w:t xml:space="preserve"> </w:t>
      </w:r>
      <w:r w:rsidR="00297E8C" w:rsidRPr="00EE5722">
        <w:rPr>
          <w:sz w:val="26"/>
          <w:szCs w:val="26"/>
        </w:rPr>
        <w:t xml:space="preserve">Nevertheless, if the Commission again </w:t>
      </w:r>
      <w:r w:rsidR="00223870">
        <w:rPr>
          <w:sz w:val="26"/>
          <w:szCs w:val="26"/>
        </w:rPr>
        <w:t>were to decline</w:t>
      </w:r>
      <w:r w:rsidR="00297E8C" w:rsidRPr="00EE5722">
        <w:rPr>
          <w:sz w:val="26"/>
          <w:szCs w:val="26"/>
        </w:rPr>
        <w:t xml:space="preserve"> to adopt </w:t>
      </w:r>
      <w:r w:rsidR="00223870">
        <w:rPr>
          <w:sz w:val="26"/>
          <w:szCs w:val="26"/>
        </w:rPr>
        <w:t xml:space="preserve">the </w:t>
      </w:r>
      <w:r w:rsidR="00297E8C" w:rsidRPr="00EE5722">
        <w:rPr>
          <w:sz w:val="26"/>
          <w:szCs w:val="26"/>
        </w:rPr>
        <w:t xml:space="preserve">OCA’s </w:t>
      </w:r>
      <w:r>
        <w:rPr>
          <w:sz w:val="26"/>
          <w:szCs w:val="26"/>
        </w:rPr>
        <w:t xml:space="preserve">block procurement </w:t>
      </w:r>
      <w:r w:rsidR="00297E8C" w:rsidRPr="00EE5722">
        <w:rPr>
          <w:sz w:val="26"/>
          <w:szCs w:val="26"/>
        </w:rPr>
        <w:t xml:space="preserve">recommendation, </w:t>
      </w:r>
      <w:r w:rsidR="00223870">
        <w:rPr>
          <w:sz w:val="26"/>
          <w:szCs w:val="26"/>
        </w:rPr>
        <w:t xml:space="preserve">the </w:t>
      </w:r>
      <w:r w:rsidR="00297E8C" w:rsidRPr="00EE5722">
        <w:rPr>
          <w:sz w:val="26"/>
          <w:szCs w:val="26"/>
        </w:rPr>
        <w:t xml:space="preserve">OCA </w:t>
      </w:r>
      <w:r w:rsidR="00223870">
        <w:rPr>
          <w:sz w:val="26"/>
          <w:szCs w:val="26"/>
        </w:rPr>
        <w:t>contended</w:t>
      </w:r>
      <w:r w:rsidR="00297E8C" w:rsidRPr="00EE5722">
        <w:rPr>
          <w:sz w:val="26"/>
          <w:szCs w:val="26"/>
        </w:rPr>
        <w:t xml:space="preserve"> the Commission should adopt </w:t>
      </w:r>
      <w:r>
        <w:rPr>
          <w:sz w:val="26"/>
          <w:szCs w:val="26"/>
        </w:rPr>
        <w:t>it</w:t>
      </w:r>
      <w:r w:rsidR="00297E8C" w:rsidRPr="00EE5722">
        <w:rPr>
          <w:sz w:val="26"/>
          <w:szCs w:val="26"/>
        </w:rPr>
        <w:t xml:space="preserve">s proposal for using </w:t>
      </w:r>
      <w:r w:rsidR="00F04B32">
        <w:rPr>
          <w:sz w:val="26"/>
          <w:szCs w:val="26"/>
        </w:rPr>
        <w:t>a mix of one and two-year FRCs.</w:t>
      </w:r>
    </w:p>
    <w:p w:rsidR="001C6FC2" w:rsidRPr="00EE5722" w:rsidRDefault="001C6FC2" w:rsidP="001C6FC2">
      <w:pPr>
        <w:tabs>
          <w:tab w:val="left" w:pos="0"/>
        </w:tabs>
        <w:spacing w:line="360" w:lineRule="auto"/>
        <w:rPr>
          <w:b/>
          <w:sz w:val="26"/>
          <w:szCs w:val="26"/>
        </w:rPr>
      </w:pPr>
    </w:p>
    <w:p w:rsidR="001C6FC2" w:rsidRPr="00EE5722" w:rsidRDefault="00223870" w:rsidP="00270A3D">
      <w:pPr>
        <w:pStyle w:val="BodyText2"/>
        <w:spacing w:after="0" w:line="360" w:lineRule="auto"/>
        <w:ind w:firstLine="1440"/>
        <w:rPr>
          <w:sz w:val="26"/>
          <w:szCs w:val="26"/>
        </w:rPr>
      </w:pPr>
      <w:r>
        <w:rPr>
          <w:sz w:val="26"/>
          <w:szCs w:val="26"/>
        </w:rPr>
        <w:t>RESA proposed</w:t>
      </w:r>
      <w:r w:rsidR="00137716">
        <w:rPr>
          <w:sz w:val="26"/>
          <w:szCs w:val="26"/>
        </w:rPr>
        <w:t xml:space="preserve"> a portfolio mix of 50% twelve</w:t>
      </w:r>
      <w:r w:rsidR="001C6FC2" w:rsidRPr="00EE5722">
        <w:rPr>
          <w:sz w:val="26"/>
          <w:szCs w:val="26"/>
        </w:rPr>
        <w:t>-month</w:t>
      </w:r>
      <w:r w:rsidR="00FB2A39">
        <w:rPr>
          <w:sz w:val="26"/>
          <w:szCs w:val="26"/>
        </w:rPr>
        <w:t xml:space="preserve"> and 50% </w:t>
      </w:r>
      <w:r w:rsidR="00137716">
        <w:rPr>
          <w:sz w:val="26"/>
          <w:szCs w:val="26"/>
        </w:rPr>
        <w:t>three</w:t>
      </w:r>
      <w:r w:rsidR="00FB2A39">
        <w:rPr>
          <w:sz w:val="26"/>
          <w:szCs w:val="26"/>
        </w:rPr>
        <w:t>-month FRCs</w:t>
      </w:r>
      <w:r w:rsidR="001C6FC2" w:rsidRPr="00EE5722">
        <w:rPr>
          <w:sz w:val="26"/>
          <w:szCs w:val="26"/>
        </w:rPr>
        <w:t xml:space="preserve">, </w:t>
      </w:r>
      <w:r w:rsidR="00FB2A39">
        <w:rPr>
          <w:sz w:val="26"/>
          <w:szCs w:val="26"/>
        </w:rPr>
        <w:t>with</w:t>
      </w:r>
      <w:r w:rsidR="00FB2A39" w:rsidRPr="00EE5722">
        <w:rPr>
          <w:sz w:val="26"/>
          <w:szCs w:val="26"/>
        </w:rPr>
        <w:t xml:space="preserve"> </w:t>
      </w:r>
      <w:r w:rsidR="001C6FC2" w:rsidRPr="00EE5722">
        <w:rPr>
          <w:sz w:val="26"/>
          <w:szCs w:val="26"/>
        </w:rPr>
        <w:t>the terms of both the</w:t>
      </w:r>
      <w:r w:rsidR="00137716">
        <w:rPr>
          <w:sz w:val="26"/>
          <w:szCs w:val="26"/>
        </w:rPr>
        <w:t xml:space="preserve"> twelve</w:t>
      </w:r>
      <w:r w:rsidR="00FB2A39">
        <w:rPr>
          <w:sz w:val="26"/>
          <w:szCs w:val="26"/>
        </w:rPr>
        <w:t xml:space="preserve">-month and </w:t>
      </w:r>
      <w:r w:rsidR="00137716">
        <w:rPr>
          <w:sz w:val="26"/>
          <w:szCs w:val="26"/>
        </w:rPr>
        <w:t>three</w:t>
      </w:r>
      <w:r w:rsidR="00FB2A39">
        <w:rPr>
          <w:sz w:val="26"/>
          <w:szCs w:val="26"/>
        </w:rPr>
        <w:t xml:space="preserve">-month contracts </w:t>
      </w:r>
      <w:r w:rsidR="001C6FC2" w:rsidRPr="00EE5722">
        <w:rPr>
          <w:sz w:val="26"/>
          <w:szCs w:val="26"/>
        </w:rPr>
        <w:t>e</w:t>
      </w:r>
      <w:r>
        <w:rPr>
          <w:sz w:val="26"/>
          <w:szCs w:val="26"/>
        </w:rPr>
        <w:t>nd</w:t>
      </w:r>
      <w:r w:rsidR="00FB2A39">
        <w:rPr>
          <w:sz w:val="26"/>
          <w:szCs w:val="26"/>
        </w:rPr>
        <w:t>ing</w:t>
      </w:r>
      <w:r>
        <w:rPr>
          <w:sz w:val="26"/>
          <w:szCs w:val="26"/>
        </w:rPr>
        <w:t xml:space="preserve"> on May 31, 2015.  RESA argued</w:t>
      </w:r>
      <w:r w:rsidR="001C6FC2" w:rsidRPr="00EE5722">
        <w:rPr>
          <w:sz w:val="26"/>
          <w:szCs w:val="26"/>
        </w:rPr>
        <w:t xml:space="preserve"> </w:t>
      </w:r>
      <w:r>
        <w:rPr>
          <w:sz w:val="26"/>
          <w:szCs w:val="26"/>
        </w:rPr>
        <w:t xml:space="preserve">that </w:t>
      </w:r>
      <w:r w:rsidR="001C6FC2" w:rsidRPr="00EE5722">
        <w:rPr>
          <w:sz w:val="26"/>
          <w:szCs w:val="26"/>
        </w:rPr>
        <w:t>the inclusio</w:t>
      </w:r>
      <w:r>
        <w:rPr>
          <w:sz w:val="26"/>
          <w:szCs w:val="26"/>
        </w:rPr>
        <w:t>n of quarterly procurements would</w:t>
      </w:r>
      <w:r w:rsidR="001C6FC2" w:rsidRPr="00EE5722">
        <w:rPr>
          <w:sz w:val="26"/>
          <w:szCs w:val="26"/>
        </w:rPr>
        <w:t xml:space="preserve"> result in default service rates that more accurately reflect the underlying wholesale cost of electricity and, in turn, enable customers to reap the benefits of a m</w:t>
      </w:r>
      <w:r w:rsidR="00F04B32">
        <w:rPr>
          <w:sz w:val="26"/>
          <w:szCs w:val="26"/>
        </w:rPr>
        <w:t>ore competitive retail market.</w:t>
      </w:r>
      <w:r w:rsidR="00A870CA">
        <w:rPr>
          <w:sz w:val="26"/>
          <w:szCs w:val="26"/>
        </w:rPr>
        <w:t xml:space="preserve">  </w:t>
      </w:r>
      <w:r>
        <w:rPr>
          <w:sz w:val="26"/>
          <w:szCs w:val="26"/>
        </w:rPr>
        <w:t>RESA contended</w:t>
      </w:r>
      <w:r w:rsidR="001C6FC2" w:rsidRPr="00EE5722">
        <w:rPr>
          <w:sz w:val="26"/>
          <w:szCs w:val="26"/>
        </w:rPr>
        <w:t xml:space="preserve"> that, since the Commiss</w:t>
      </w:r>
      <w:r w:rsidR="00FB2A39">
        <w:rPr>
          <w:sz w:val="26"/>
          <w:szCs w:val="26"/>
        </w:rPr>
        <w:t xml:space="preserve">ion has </w:t>
      </w:r>
      <w:r w:rsidR="001C6FC2" w:rsidRPr="00EE5722">
        <w:rPr>
          <w:sz w:val="26"/>
          <w:szCs w:val="26"/>
        </w:rPr>
        <w:t xml:space="preserve">indicated </w:t>
      </w:r>
      <w:r w:rsidR="00FB2A39">
        <w:rPr>
          <w:sz w:val="26"/>
          <w:szCs w:val="26"/>
        </w:rPr>
        <w:t xml:space="preserve">that residential default service is to be supplied through </w:t>
      </w:r>
      <w:r w:rsidR="00137716">
        <w:rPr>
          <w:sz w:val="26"/>
          <w:szCs w:val="26"/>
        </w:rPr>
        <w:t>100% three</w:t>
      </w:r>
      <w:r w:rsidR="001C6FC2" w:rsidRPr="00EE5722">
        <w:rPr>
          <w:sz w:val="26"/>
          <w:szCs w:val="26"/>
        </w:rPr>
        <w:t xml:space="preserve">-month contracts </w:t>
      </w:r>
      <w:r w:rsidR="00FB2A39">
        <w:rPr>
          <w:sz w:val="26"/>
          <w:szCs w:val="26"/>
        </w:rPr>
        <w:t xml:space="preserve">beginning in 2015, </w:t>
      </w:r>
      <w:r w:rsidR="00137716">
        <w:rPr>
          <w:sz w:val="26"/>
          <w:szCs w:val="26"/>
        </w:rPr>
        <w:t>its proposed blend of twelve-month and three</w:t>
      </w:r>
      <w:r w:rsidR="001C6FC2" w:rsidRPr="00EE5722">
        <w:rPr>
          <w:sz w:val="26"/>
          <w:szCs w:val="26"/>
        </w:rPr>
        <w:t>-month contracts would mean the quarterly default service rate changes would be cushioned</w:t>
      </w:r>
      <w:r w:rsidR="00FB2A39">
        <w:rPr>
          <w:sz w:val="26"/>
          <w:szCs w:val="26"/>
        </w:rPr>
        <w:t>,</w:t>
      </w:r>
      <w:r w:rsidR="001C6FC2" w:rsidRPr="00EE5722">
        <w:rPr>
          <w:sz w:val="26"/>
          <w:szCs w:val="26"/>
        </w:rPr>
        <w:t xml:space="preserve"> since only 50% of the load would be bid out quarterly.</w:t>
      </w:r>
    </w:p>
    <w:p w:rsidR="001C6FC2" w:rsidRPr="00EE5722" w:rsidRDefault="001C6FC2" w:rsidP="00270A3D">
      <w:pPr>
        <w:pStyle w:val="BodyText2"/>
        <w:spacing w:after="0" w:line="360" w:lineRule="auto"/>
        <w:rPr>
          <w:sz w:val="26"/>
          <w:szCs w:val="26"/>
        </w:rPr>
      </w:pPr>
    </w:p>
    <w:p w:rsidR="001C6FC2" w:rsidRPr="00A870CA" w:rsidRDefault="00223870" w:rsidP="00A870CA">
      <w:pPr>
        <w:pStyle w:val="BodyText2"/>
        <w:spacing w:line="360" w:lineRule="auto"/>
        <w:ind w:firstLine="1440"/>
        <w:rPr>
          <w:bCs/>
          <w:sz w:val="26"/>
          <w:szCs w:val="26"/>
        </w:rPr>
      </w:pPr>
      <w:r>
        <w:rPr>
          <w:sz w:val="26"/>
          <w:szCs w:val="26"/>
        </w:rPr>
        <w:t>RESA opposed</w:t>
      </w:r>
      <w:r w:rsidR="001C6FC2" w:rsidRPr="00EE5722">
        <w:rPr>
          <w:sz w:val="26"/>
          <w:szCs w:val="26"/>
        </w:rPr>
        <w:t xml:space="preserve"> </w:t>
      </w:r>
      <w:r w:rsidR="00270A3D">
        <w:rPr>
          <w:sz w:val="26"/>
          <w:szCs w:val="26"/>
        </w:rPr>
        <w:t xml:space="preserve">the </w:t>
      </w:r>
      <w:r w:rsidR="001C6FC2" w:rsidRPr="00EE5722">
        <w:rPr>
          <w:sz w:val="26"/>
          <w:szCs w:val="26"/>
        </w:rPr>
        <w:t>OCA’s requested modifications</w:t>
      </w:r>
      <w:r w:rsidR="00A870CA">
        <w:rPr>
          <w:sz w:val="26"/>
          <w:szCs w:val="26"/>
        </w:rPr>
        <w:t xml:space="preserve"> to the residential supply portfolio</w:t>
      </w:r>
      <w:r w:rsidR="001C6FC2" w:rsidRPr="00EE5722">
        <w:rPr>
          <w:sz w:val="26"/>
          <w:szCs w:val="26"/>
        </w:rPr>
        <w:t>, arguing that t</w:t>
      </w:r>
      <w:r w:rsidR="001C6FC2" w:rsidRPr="00EE5722">
        <w:rPr>
          <w:bCs/>
          <w:sz w:val="26"/>
          <w:szCs w:val="26"/>
        </w:rPr>
        <w:t>he inc</w:t>
      </w:r>
      <w:r w:rsidR="00FB2A39">
        <w:rPr>
          <w:bCs/>
          <w:sz w:val="26"/>
          <w:szCs w:val="26"/>
        </w:rPr>
        <w:t>lusion of block contracts would</w:t>
      </w:r>
      <w:r w:rsidR="001C6FC2" w:rsidRPr="00EE5722">
        <w:rPr>
          <w:bCs/>
          <w:sz w:val="26"/>
          <w:szCs w:val="26"/>
        </w:rPr>
        <w:t xml:space="preserve"> not result in prices that more consistently reflect the underlying wholesale market price changes.</w:t>
      </w:r>
      <w:r w:rsidR="00FB2A39">
        <w:rPr>
          <w:bCs/>
          <w:sz w:val="26"/>
          <w:szCs w:val="26"/>
        </w:rPr>
        <w:t xml:space="preserve"> </w:t>
      </w:r>
      <w:r w:rsidR="00A870CA">
        <w:rPr>
          <w:sz w:val="26"/>
          <w:szCs w:val="26"/>
        </w:rPr>
        <w:t xml:space="preserve"> </w:t>
      </w:r>
      <w:r>
        <w:rPr>
          <w:sz w:val="26"/>
          <w:szCs w:val="26"/>
        </w:rPr>
        <w:t>RESA asserted</w:t>
      </w:r>
      <w:r w:rsidR="001C6FC2" w:rsidRPr="00EE5722">
        <w:rPr>
          <w:sz w:val="26"/>
          <w:szCs w:val="26"/>
        </w:rPr>
        <w:t xml:space="preserve"> that market reflective default service prices are necessary to facilitate the deve</w:t>
      </w:r>
      <w:r w:rsidR="00A870CA">
        <w:rPr>
          <w:sz w:val="26"/>
          <w:szCs w:val="26"/>
        </w:rPr>
        <w:t xml:space="preserve">lopment of a </w:t>
      </w:r>
      <w:r w:rsidR="001C6FC2" w:rsidRPr="00EE5722">
        <w:rPr>
          <w:sz w:val="26"/>
          <w:szCs w:val="26"/>
        </w:rPr>
        <w:t>competitive retail marke</w:t>
      </w:r>
      <w:r w:rsidR="00A870CA">
        <w:rPr>
          <w:sz w:val="26"/>
          <w:szCs w:val="26"/>
        </w:rPr>
        <w:t xml:space="preserve">t. </w:t>
      </w:r>
    </w:p>
    <w:p w:rsidR="00223870" w:rsidRPr="00EE5722" w:rsidRDefault="00223870" w:rsidP="00C95999">
      <w:pPr>
        <w:spacing w:line="360" w:lineRule="auto"/>
        <w:ind w:firstLine="1440"/>
        <w:rPr>
          <w:sz w:val="26"/>
          <w:szCs w:val="26"/>
        </w:rPr>
      </w:pPr>
    </w:p>
    <w:p w:rsidR="00D160F3" w:rsidRDefault="00223870" w:rsidP="00C95999">
      <w:pPr>
        <w:spacing w:line="360" w:lineRule="auto"/>
        <w:ind w:firstLine="1440"/>
        <w:rPr>
          <w:sz w:val="26"/>
          <w:szCs w:val="26"/>
        </w:rPr>
      </w:pPr>
      <w:r>
        <w:rPr>
          <w:sz w:val="26"/>
          <w:szCs w:val="26"/>
        </w:rPr>
        <w:lastRenderedPageBreak/>
        <w:t>Citizen Power generally supported</w:t>
      </w:r>
      <w:r w:rsidRPr="00EE5722">
        <w:rPr>
          <w:sz w:val="26"/>
          <w:szCs w:val="26"/>
        </w:rPr>
        <w:t xml:space="preserve"> the use of one-</w:t>
      </w:r>
      <w:r w:rsidR="00A870CA">
        <w:rPr>
          <w:sz w:val="26"/>
          <w:szCs w:val="26"/>
        </w:rPr>
        <w:t xml:space="preserve">year </w:t>
      </w:r>
      <w:r w:rsidR="007651AE">
        <w:rPr>
          <w:sz w:val="26"/>
          <w:szCs w:val="26"/>
        </w:rPr>
        <w:t>FRC</w:t>
      </w:r>
      <w:r w:rsidR="00A870CA">
        <w:rPr>
          <w:sz w:val="26"/>
          <w:szCs w:val="26"/>
        </w:rPr>
        <w:t>s</w:t>
      </w:r>
      <w:r w:rsidRPr="00EE5722">
        <w:rPr>
          <w:sz w:val="26"/>
          <w:szCs w:val="26"/>
        </w:rPr>
        <w:t xml:space="preserve"> because these contracts provide a balanced amount of price stability and </w:t>
      </w:r>
      <w:r>
        <w:rPr>
          <w:sz w:val="26"/>
          <w:szCs w:val="26"/>
        </w:rPr>
        <w:t>price responsiveness.  It agreed</w:t>
      </w:r>
      <w:r w:rsidRPr="00EE5722">
        <w:rPr>
          <w:sz w:val="26"/>
          <w:szCs w:val="26"/>
        </w:rPr>
        <w:t xml:space="preserve"> with </w:t>
      </w:r>
      <w:r>
        <w:rPr>
          <w:sz w:val="26"/>
          <w:szCs w:val="26"/>
        </w:rPr>
        <w:t xml:space="preserve">the </w:t>
      </w:r>
      <w:r w:rsidRPr="00EE5722">
        <w:rPr>
          <w:sz w:val="26"/>
          <w:szCs w:val="26"/>
        </w:rPr>
        <w:t>OCA’s recommen</w:t>
      </w:r>
      <w:r w:rsidR="00A870CA">
        <w:rPr>
          <w:sz w:val="26"/>
          <w:szCs w:val="26"/>
        </w:rPr>
        <w:t xml:space="preserve">dation to include two-year </w:t>
      </w:r>
      <w:r w:rsidR="007651AE">
        <w:rPr>
          <w:sz w:val="26"/>
          <w:szCs w:val="26"/>
        </w:rPr>
        <w:t>FRC</w:t>
      </w:r>
      <w:r w:rsidRPr="00EE5722">
        <w:rPr>
          <w:sz w:val="26"/>
          <w:szCs w:val="26"/>
        </w:rPr>
        <w:t>s in the portfolio mix because the inclusion of a small number of these contracts would help smooth price differences between the first year and second year of the procurement that may result from a known large increase in the PJM</w:t>
      </w:r>
      <w:r w:rsidR="00270A3D">
        <w:rPr>
          <w:sz w:val="26"/>
          <w:szCs w:val="26"/>
        </w:rPr>
        <w:t xml:space="preserve"> Interconnection, L.L.C. (PJM)</w:t>
      </w:r>
      <w:r w:rsidRPr="00EE5722">
        <w:rPr>
          <w:sz w:val="26"/>
          <w:szCs w:val="26"/>
        </w:rPr>
        <w:t xml:space="preserve"> capacity prices. </w:t>
      </w:r>
      <w:r w:rsidR="00A870CA">
        <w:rPr>
          <w:sz w:val="26"/>
          <w:szCs w:val="26"/>
        </w:rPr>
        <w:t xml:space="preserve"> </w:t>
      </w:r>
      <w:r w:rsidRPr="00EE5722">
        <w:rPr>
          <w:sz w:val="26"/>
          <w:szCs w:val="26"/>
        </w:rPr>
        <w:t>Citize</w:t>
      </w:r>
      <w:r w:rsidR="00A870CA">
        <w:rPr>
          <w:sz w:val="26"/>
          <w:szCs w:val="26"/>
        </w:rPr>
        <w:t>n Power opposed RESA’s proposal to pro</w:t>
      </w:r>
      <w:r w:rsidR="00137716">
        <w:rPr>
          <w:sz w:val="26"/>
          <w:szCs w:val="26"/>
        </w:rPr>
        <w:t>cure 50% of the supply through three</w:t>
      </w:r>
      <w:r w:rsidR="00A870CA">
        <w:rPr>
          <w:sz w:val="26"/>
          <w:szCs w:val="26"/>
        </w:rPr>
        <w:t xml:space="preserve">-month contracts because it would (1) increase </w:t>
      </w:r>
      <w:r w:rsidRPr="00EE5722">
        <w:rPr>
          <w:sz w:val="26"/>
          <w:szCs w:val="26"/>
        </w:rPr>
        <w:t xml:space="preserve">the possibility of large price swings in response </w:t>
      </w:r>
      <w:r w:rsidR="00A870CA">
        <w:rPr>
          <w:sz w:val="26"/>
          <w:szCs w:val="26"/>
        </w:rPr>
        <w:t>to changing electricity prices, and (2) would make the Price-to-</w:t>
      </w:r>
      <w:r>
        <w:rPr>
          <w:sz w:val="26"/>
          <w:szCs w:val="26"/>
        </w:rPr>
        <w:t>Compare (PTC</w:t>
      </w:r>
      <w:r w:rsidRPr="00EE5722">
        <w:rPr>
          <w:sz w:val="26"/>
          <w:szCs w:val="26"/>
        </w:rPr>
        <w:t xml:space="preserve">) a moving target, potentially discouraging potential customers </w:t>
      </w:r>
      <w:r w:rsidR="00A870CA">
        <w:rPr>
          <w:sz w:val="26"/>
          <w:szCs w:val="26"/>
        </w:rPr>
        <w:t>who are accustom</w:t>
      </w:r>
      <w:r w:rsidRPr="00EE5722">
        <w:rPr>
          <w:sz w:val="26"/>
          <w:szCs w:val="26"/>
        </w:rPr>
        <w:t>ed to more stable default service.</w:t>
      </w:r>
    </w:p>
    <w:p w:rsidR="00223870" w:rsidRDefault="00223870" w:rsidP="00C95999">
      <w:pPr>
        <w:spacing w:line="360" w:lineRule="auto"/>
        <w:ind w:firstLine="1440"/>
        <w:rPr>
          <w:sz w:val="26"/>
          <w:szCs w:val="26"/>
        </w:rPr>
      </w:pPr>
    </w:p>
    <w:p w:rsidR="00223870" w:rsidRPr="00EE5722" w:rsidRDefault="00223870" w:rsidP="00223870">
      <w:pPr>
        <w:spacing w:line="360" w:lineRule="auto"/>
        <w:ind w:firstLine="1440"/>
        <w:rPr>
          <w:sz w:val="26"/>
          <w:szCs w:val="26"/>
        </w:rPr>
      </w:pPr>
      <w:r>
        <w:rPr>
          <w:sz w:val="26"/>
          <w:szCs w:val="26"/>
        </w:rPr>
        <w:t xml:space="preserve">Dominion </w:t>
      </w:r>
      <w:r w:rsidRPr="00EE5722">
        <w:rPr>
          <w:sz w:val="26"/>
          <w:szCs w:val="26"/>
        </w:rPr>
        <w:t>support</w:t>
      </w:r>
      <w:r w:rsidR="00146E05">
        <w:rPr>
          <w:sz w:val="26"/>
          <w:szCs w:val="26"/>
        </w:rPr>
        <w:t>ed</w:t>
      </w:r>
      <w:r w:rsidR="00A870CA">
        <w:rPr>
          <w:sz w:val="26"/>
          <w:szCs w:val="26"/>
        </w:rPr>
        <w:t xml:space="preserve"> Duquesne’s plan for 100% </w:t>
      </w:r>
      <w:r w:rsidR="007651AE">
        <w:rPr>
          <w:sz w:val="26"/>
          <w:szCs w:val="26"/>
        </w:rPr>
        <w:t>FRC</w:t>
      </w:r>
      <w:r w:rsidR="00A870CA">
        <w:rPr>
          <w:sz w:val="26"/>
          <w:szCs w:val="26"/>
        </w:rPr>
        <w:t>s</w:t>
      </w:r>
      <w:r w:rsidRPr="00EE5722">
        <w:rPr>
          <w:sz w:val="26"/>
          <w:szCs w:val="26"/>
        </w:rPr>
        <w:t>, staged over time, because it provides the least amount of risk for ratepayers in the current market regime.  Because long-term prices continue to trade at premiums compared to sho</w:t>
      </w:r>
      <w:r>
        <w:rPr>
          <w:sz w:val="26"/>
          <w:szCs w:val="26"/>
        </w:rPr>
        <w:t xml:space="preserve">rt-term prices, Dominion </w:t>
      </w:r>
      <w:r w:rsidRPr="00EE5722">
        <w:rPr>
          <w:sz w:val="26"/>
          <w:szCs w:val="26"/>
        </w:rPr>
        <w:t>believe</w:t>
      </w:r>
      <w:r w:rsidR="00146E05">
        <w:rPr>
          <w:sz w:val="26"/>
          <w:szCs w:val="26"/>
        </w:rPr>
        <w:t>d</w:t>
      </w:r>
      <w:r w:rsidRPr="00EE5722">
        <w:rPr>
          <w:sz w:val="26"/>
          <w:szCs w:val="26"/>
        </w:rPr>
        <w:t xml:space="preserve"> </w:t>
      </w:r>
      <w:r w:rsidR="00146E05">
        <w:rPr>
          <w:sz w:val="26"/>
          <w:szCs w:val="26"/>
        </w:rPr>
        <w:t>that Duquesne’s plan i</w:t>
      </w:r>
      <w:r w:rsidRPr="00EE5722">
        <w:rPr>
          <w:sz w:val="26"/>
          <w:szCs w:val="26"/>
        </w:rPr>
        <w:t>s logical and prudent and meet</w:t>
      </w:r>
      <w:r w:rsidR="00F04B32">
        <w:rPr>
          <w:sz w:val="26"/>
          <w:szCs w:val="26"/>
        </w:rPr>
        <w:t>s the least cost requirements.</w:t>
      </w:r>
    </w:p>
    <w:p w:rsidR="00223870" w:rsidRPr="00EE5722" w:rsidRDefault="00223870" w:rsidP="00223870">
      <w:pPr>
        <w:spacing w:line="360" w:lineRule="auto"/>
        <w:ind w:firstLine="720"/>
        <w:rPr>
          <w:sz w:val="26"/>
          <w:szCs w:val="26"/>
        </w:rPr>
      </w:pPr>
    </w:p>
    <w:p w:rsidR="00223870" w:rsidRDefault="00223870" w:rsidP="00BB7B99">
      <w:pPr>
        <w:spacing w:line="360" w:lineRule="auto"/>
        <w:ind w:firstLine="720"/>
        <w:rPr>
          <w:sz w:val="26"/>
          <w:szCs w:val="26"/>
        </w:rPr>
      </w:pPr>
      <w:r>
        <w:rPr>
          <w:sz w:val="26"/>
          <w:szCs w:val="26"/>
        </w:rPr>
        <w:tab/>
        <w:t xml:space="preserve">Dominion </w:t>
      </w:r>
      <w:r w:rsidR="00A870CA">
        <w:rPr>
          <w:sz w:val="26"/>
          <w:szCs w:val="26"/>
        </w:rPr>
        <w:t xml:space="preserve">opposed the OCA’s proposal to purchase </w:t>
      </w:r>
      <w:r w:rsidRPr="00EE5722">
        <w:rPr>
          <w:sz w:val="26"/>
          <w:szCs w:val="26"/>
        </w:rPr>
        <w:t>block power and submit</w:t>
      </w:r>
      <w:r w:rsidR="00146E05">
        <w:rPr>
          <w:sz w:val="26"/>
          <w:szCs w:val="26"/>
        </w:rPr>
        <w:t>ted</w:t>
      </w:r>
      <w:r w:rsidRPr="00EE5722">
        <w:rPr>
          <w:sz w:val="26"/>
          <w:szCs w:val="26"/>
        </w:rPr>
        <w:t xml:space="preserve"> that mixing in block power </w:t>
      </w:r>
      <w:r w:rsidR="00A870CA">
        <w:rPr>
          <w:sz w:val="26"/>
          <w:szCs w:val="26"/>
        </w:rPr>
        <w:t>would present</w:t>
      </w:r>
      <w:r w:rsidRPr="00EE5722">
        <w:rPr>
          <w:sz w:val="26"/>
          <w:szCs w:val="26"/>
        </w:rPr>
        <w:t xml:space="preserve"> additional risks for full requirements providers who are</w:t>
      </w:r>
      <w:r w:rsidR="00BB7B99">
        <w:rPr>
          <w:sz w:val="26"/>
          <w:szCs w:val="26"/>
        </w:rPr>
        <w:t xml:space="preserve"> left serving the peak loads.  </w:t>
      </w:r>
      <w:r w:rsidRPr="00EE5722">
        <w:rPr>
          <w:sz w:val="26"/>
          <w:szCs w:val="26"/>
        </w:rPr>
        <w:t xml:space="preserve">In </w:t>
      </w:r>
      <w:r>
        <w:rPr>
          <w:sz w:val="26"/>
          <w:szCs w:val="26"/>
        </w:rPr>
        <w:t xml:space="preserve">addition, Dominion </w:t>
      </w:r>
      <w:r w:rsidRPr="00EE5722">
        <w:rPr>
          <w:sz w:val="26"/>
          <w:szCs w:val="26"/>
        </w:rPr>
        <w:t>agree</w:t>
      </w:r>
      <w:r w:rsidR="00146E05">
        <w:rPr>
          <w:sz w:val="26"/>
          <w:szCs w:val="26"/>
        </w:rPr>
        <w:t>d</w:t>
      </w:r>
      <w:r w:rsidRPr="00EE5722">
        <w:rPr>
          <w:sz w:val="26"/>
          <w:szCs w:val="26"/>
        </w:rPr>
        <w:t xml:space="preserve"> with </w:t>
      </w:r>
      <w:r w:rsidR="00146E05">
        <w:rPr>
          <w:sz w:val="26"/>
          <w:szCs w:val="26"/>
        </w:rPr>
        <w:t>the Company that utilities that</w:t>
      </w:r>
      <w:r w:rsidRPr="00EE5722">
        <w:rPr>
          <w:sz w:val="26"/>
          <w:szCs w:val="26"/>
        </w:rPr>
        <w:t xml:space="preserve"> have mixed block purchases with full requirements purchases have had difficulty accurately predicting their default service prices, possibly leading to large over- or under-collections, which can cause larg</w:t>
      </w:r>
      <w:r w:rsidR="00BB7B99">
        <w:rPr>
          <w:sz w:val="26"/>
          <w:szCs w:val="26"/>
        </w:rPr>
        <w:t>e swings in the PTC</w:t>
      </w:r>
      <w:r w:rsidRPr="00EE5722">
        <w:rPr>
          <w:sz w:val="26"/>
          <w:szCs w:val="26"/>
        </w:rPr>
        <w:t xml:space="preserve"> and a great degree of unnecessary confusion in the retail market when dealing with everyday ele</w:t>
      </w:r>
      <w:r w:rsidR="00146E05">
        <w:rPr>
          <w:sz w:val="26"/>
          <w:szCs w:val="26"/>
        </w:rPr>
        <w:t>c</w:t>
      </w:r>
      <w:r w:rsidR="00BB7B99">
        <w:rPr>
          <w:sz w:val="26"/>
          <w:szCs w:val="26"/>
        </w:rPr>
        <w:t xml:space="preserve">tricity customers.  </w:t>
      </w:r>
      <w:r>
        <w:rPr>
          <w:sz w:val="26"/>
          <w:szCs w:val="26"/>
        </w:rPr>
        <w:t xml:space="preserve">Thus, Dominion </w:t>
      </w:r>
      <w:r w:rsidRPr="00EE5722">
        <w:rPr>
          <w:sz w:val="26"/>
          <w:szCs w:val="26"/>
        </w:rPr>
        <w:t>submit</w:t>
      </w:r>
      <w:r w:rsidR="00146E05">
        <w:rPr>
          <w:sz w:val="26"/>
          <w:szCs w:val="26"/>
        </w:rPr>
        <w:t>ted</w:t>
      </w:r>
      <w:r w:rsidRPr="00EE5722">
        <w:rPr>
          <w:sz w:val="26"/>
          <w:szCs w:val="26"/>
        </w:rPr>
        <w:t xml:space="preserve"> that laddering one-year purchases, as Duquesne proposed, </w:t>
      </w:r>
      <w:r w:rsidR="00BB7B99">
        <w:rPr>
          <w:sz w:val="26"/>
          <w:szCs w:val="26"/>
        </w:rPr>
        <w:t xml:space="preserve">would </w:t>
      </w:r>
      <w:r w:rsidR="00141E6B">
        <w:rPr>
          <w:sz w:val="26"/>
          <w:szCs w:val="26"/>
        </w:rPr>
        <w:t>provide</w:t>
      </w:r>
      <w:r w:rsidR="00BB7B99">
        <w:rPr>
          <w:sz w:val="26"/>
          <w:szCs w:val="26"/>
        </w:rPr>
        <w:t xml:space="preserve"> adequate diversity and </w:t>
      </w:r>
      <w:r w:rsidRPr="00EE5722">
        <w:rPr>
          <w:sz w:val="26"/>
          <w:szCs w:val="26"/>
        </w:rPr>
        <w:t>a reasona</w:t>
      </w:r>
      <w:r w:rsidR="00BB7B99">
        <w:rPr>
          <w:sz w:val="26"/>
          <w:szCs w:val="26"/>
        </w:rPr>
        <w:t>bly predictable PTC.</w:t>
      </w:r>
    </w:p>
    <w:p w:rsidR="00146E05" w:rsidRDefault="00146E05" w:rsidP="00223870">
      <w:pPr>
        <w:spacing w:line="360" w:lineRule="auto"/>
        <w:ind w:firstLine="1440"/>
        <w:rPr>
          <w:sz w:val="26"/>
          <w:szCs w:val="26"/>
        </w:rPr>
      </w:pPr>
    </w:p>
    <w:p w:rsidR="00146E05" w:rsidRPr="00EE5722" w:rsidRDefault="00146E05" w:rsidP="00270A3D">
      <w:pPr>
        <w:pStyle w:val="BodyTextFirstLine5DS"/>
        <w:spacing w:line="360" w:lineRule="auto"/>
        <w:jc w:val="left"/>
        <w:rPr>
          <w:sz w:val="26"/>
          <w:szCs w:val="26"/>
        </w:rPr>
      </w:pPr>
      <w:r>
        <w:rPr>
          <w:sz w:val="26"/>
          <w:szCs w:val="26"/>
        </w:rPr>
        <w:lastRenderedPageBreak/>
        <w:t xml:space="preserve"> </w:t>
      </w:r>
      <w:r>
        <w:rPr>
          <w:sz w:val="26"/>
          <w:szCs w:val="26"/>
        </w:rPr>
        <w:tab/>
      </w:r>
      <w:r w:rsidRPr="00EE5722">
        <w:rPr>
          <w:sz w:val="26"/>
          <w:szCs w:val="26"/>
        </w:rPr>
        <w:t>In gene</w:t>
      </w:r>
      <w:r>
        <w:rPr>
          <w:sz w:val="26"/>
          <w:szCs w:val="26"/>
        </w:rPr>
        <w:t>ral, FES supported Duquesne</w:t>
      </w:r>
      <w:r w:rsidRPr="00EE5722">
        <w:rPr>
          <w:sz w:val="26"/>
          <w:szCs w:val="26"/>
        </w:rPr>
        <w:t>'s u</w:t>
      </w:r>
      <w:r w:rsidR="007651AE">
        <w:rPr>
          <w:sz w:val="26"/>
          <w:szCs w:val="26"/>
        </w:rPr>
        <w:t>se of FRC</w:t>
      </w:r>
      <w:r w:rsidRPr="00EE5722">
        <w:rPr>
          <w:sz w:val="26"/>
          <w:szCs w:val="26"/>
        </w:rPr>
        <w:t>s, which are well-known to bidders and bene</w:t>
      </w:r>
      <w:r>
        <w:rPr>
          <w:sz w:val="26"/>
          <w:szCs w:val="26"/>
        </w:rPr>
        <w:t>ficial for customers.  FES averred that</w:t>
      </w:r>
      <w:r w:rsidR="007651AE">
        <w:rPr>
          <w:sz w:val="26"/>
          <w:szCs w:val="26"/>
        </w:rPr>
        <w:t xml:space="preserve"> FRCs enable</w:t>
      </w:r>
      <w:r w:rsidRPr="00EE5722">
        <w:rPr>
          <w:sz w:val="26"/>
          <w:szCs w:val="26"/>
        </w:rPr>
        <w:t xml:space="preserve"> default service suppliers to insulate the default service customer from various risks relating to price uncertainty, volumetric uncertainty, customer shopping, and other sources</w:t>
      </w:r>
      <w:r w:rsidR="007651AE">
        <w:rPr>
          <w:sz w:val="26"/>
          <w:szCs w:val="26"/>
        </w:rPr>
        <w:t>.  As a result, FRC</w:t>
      </w:r>
      <w:r w:rsidRPr="00EE5722">
        <w:rPr>
          <w:sz w:val="26"/>
          <w:szCs w:val="26"/>
        </w:rPr>
        <w:t xml:space="preserve">s provide </w:t>
      </w:r>
      <w:r w:rsidR="00BB7B99">
        <w:rPr>
          <w:sz w:val="26"/>
          <w:szCs w:val="26"/>
        </w:rPr>
        <w:t xml:space="preserve">consumers with price certainty </w:t>
      </w:r>
      <w:r w:rsidRPr="00EE5722">
        <w:rPr>
          <w:sz w:val="26"/>
          <w:szCs w:val="26"/>
        </w:rPr>
        <w:t>while providing customers with a benchmark</w:t>
      </w:r>
      <w:r w:rsidR="00BB7B99">
        <w:rPr>
          <w:sz w:val="26"/>
          <w:szCs w:val="26"/>
        </w:rPr>
        <w:t xml:space="preserve"> price with which customers </w:t>
      </w:r>
      <w:r w:rsidRPr="00EE5722">
        <w:rPr>
          <w:sz w:val="26"/>
          <w:szCs w:val="26"/>
        </w:rPr>
        <w:t xml:space="preserve">more easily </w:t>
      </w:r>
      <w:r w:rsidR="00BB7B99">
        <w:rPr>
          <w:sz w:val="26"/>
          <w:szCs w:val="26"/>
        </w:rPr>
        <w:t xml:space="preserve">can </w:t>
      </w:r>
      <w:r w:rsidRPr="00EE5722">
        <w:rPr>
          <w:sz w:val="26"/>
          <w:szCs w:val="26"/>
        </w:rPr>
        <w:t>evaluate competit</w:t>
      </w:r>
      <w:r w:rsidR="00BB7B99">
        <w:rPr>
          <w:sz w:val="26"/>
          <w:szCs w:val="26"/>
        </w:rPr>
        <w:t xml:space="preserve">ive retail offers. </w:t>
      </w:r>
    </w:p>
    <w:p w:rsidR="00146E05" w:rsidRPr="00EE5722" w:rsidRDefault="00146E05" w:rsidP="00270A3D">
      <w:pPr>
        <w:pStyle w:val="BodyTextFirstLine5DS"/>
        <w:spacing w:line="360" w:lineRule="auto"/>
        <w:jc w:val="left"/>
        <w:rPr>
          <w:sz w:val="26"/>
          <w:szCs w:val="26"/>
        </w:rPr>
      </w:pPr>
    </w:p>
    <w:p w:rsidR="00146E05" w:rsidRPr="00EE5722" w:rsidRDefault="00146E05" w:rsidP="00146E05">
      <w:pPr>
        <w:pStyle w:val="BodyTextFirstLine5DS"/>
        <w:spacing w:line="360" w:lineRule="auto"/>
        <w:ind w:firstLine="1440"/>
        <w:jc w:val="left"/>
        <w:rPr>
          <w:sz w:val="26"/>
          <w:szCs w:val="26"/>
        </w:rPr>
      </w:pPr>
      <w:r w:rsidRPr="00EE5722">
        <w:rPr>
          <w:sz w:val="26"/>
          <w:szCs w:val="26"/>
        </w:rPr>
        <w:t xml:space="preserve">FES </w:t>
      </w:r>
      <w:r w:rsidR="00BB7B99">
        <w:rPr>
          <w:sz w:val="26"/>
          <w:szCs w:val="26"/>
        </w:rPr>
        <w:t xml:space="preserve">also </w:t>
      </w:r>
      <w:r>
        <w:rPr>
          <w:sz w:val="26"/>
          <w:szCs w:val="26"/>
        </w:rPr>
        <w:t>opposed the</w:t>
      </w:r>
      <w:r w:rsidR="00BB7B99">
        <w:rPr>
          <w:sz w:val="26"/>
          <w:szCs w:val="26"/>
        </w:rPr>
        <w:t xml:space="preserve"> OCA’s </w:t>
      </w:r>
      <w:r>
        <w:rPr>
          <w:sz w:val="26"/>
          <w:szCs w:val="26"/>
        </w:rPr>
        <w:t xml:space="preserve">recommendations because they </w:t>
      </w:r>
      <w:r w:rsidR="00BB7B99">
        <w:rPr>
          <w:sz w:val="26"/>
          <w:szCs w:val="26"/>
        </w:rPr>
        <w:t xml:space="preserve">would </w:t>
      </w:r>
      <w:r w:rsidRPr="00EE5722">
        <w:rPr>
          <w:sz w:val="26"/>
          <w:szCs w:val="26"/>
        </w:rPr>
        <w:t>reduce the amount of residential default supply that Duquesn</w:t>
      </w:r>
      <w:r>
        <w:rPr>
          <w:sz w:val="26"/>
          <w:szCs w:val="26"/>
        </w:rPr>
        <w:t xml:space="preserve">e </w:t>
      </w:r>
      <w:r w:rsidR="00BB7B99">
        <w:rPr>
          <w:sz w:val="26"/>
          <w:szCs w:val="26"/>
        </w:rPr>
        <w:t xml:space="preserve">procures through </w:t>
      </w:r>
      <w:r w:rsidR="007651AE">
        <w:rPr>
          <w:sz w:val="26"/>
          <w:szCs w:val="26"/>
        </w:rPr>
        <w:t>FRC</w:t>
      </w:r>
      <w:r w:rsidR="00BB7B99">
        <w:rPr>
          <w:sz w:val="26"/>
          <w:szCs w:val="26"/>
        </w:rPr>
        <w:t>s</w:t>
      </w:r>
      <w:r>
        <w:rPr>
          <w:sz w:val="26"/>
          <w:szCs w:val="26"/>
        </w:rPr>
        <w:t>.  In addition, FES opposed</w:t>
      </w:r>
      <w:r w:rsidRPr="00EE5722">
        <w:rPr>
          <w:sz w:val="26"/>
          <w:szCs w:val="26"/>
        </w:rPr>
        <w:t xml:space="preserve"> RESA's re</w:t>
      </w:r>
      <w:r>
        <w:rPr>
          <w:sz w:val="26"/>
          <w:szCs w:val="26"/>
        </w:rPr>
        <w:t>commendation that Duquesne</w:t>
      </w:r>
      <w:r w:rsidRPr="00EE5722">
        <w:rPr>
          <w:sz w:val="26"/>
          <w:szCs w:val="26"/>
        </w:rPr>
        <w:t xml:space="preserve">'s procurement of default supply for </w:t>
      </w:r>
      <w:r w:rsidR="00187D6E">
        <w:rPr>
          <w:sz w:val="26"/>
          <w:szCs w:val="26"/>
        </w:rPr>
        <w:t>r</w:t>
      </w:r>
      <w:r w:rsidRPr="00EE5722">
        <w:rPr>
          <w:sz w:val="26"/>
          <w:szCs w:val="26"/>
        </w:rPr>
        <w:t>esidential customers be la</w:t>
      </w:r>
      <w:r w:rsidR="00137716">
        <w:rPr>
          <w:sz w:val="26"/>
          <w:szCs w:val="26"/>
        </w:rPr>
        <w:t>rgely dependent on three</w:t>
      </w:r>
      <w:r w:rsidRPr="00EE5722">
        <w:rPr>
          <w:sz w:val="26"/>
          <w:szCs w:val="26"/>
        </w:rPr>
        <w:t>-month contracts.</w:t>
      </w:r>
    </w:p>
    <w:p w:rsidR="00146E05" w:rsidRPr="00EE5722" w:rsidRDefault="00146E05" w:rsidP="00146E05">
      <w:pPr>
        <w:pStyle w:val="BodyTextFirstLine5DS"/>
        <w:spacing w:line="360" w:lineRule="auto"/>
        <w:ind w:firstLine="0"/>
        <w:jc w:val="left"/>
        <w:rPr>
          <w:sz w:val="26"/>
          <w:szCs w:val="26"/>
        </w:rPr>
      </w:pPr>
    </w:p>
    <w:p w:rsidR="00146E05" w:rsidRPr="00EE5722" w:rsidRDefault="00137716" w:rsidP="00146E05">
      <w:pPr>
        <w:pStyle w:val="BodyTextFirstLine5DS"/>
        <w:spacing w:line="360" w:lineRule="auto"/>
        <w:ind w:firstLine="1440"/>
        <w:jc w:val="left"/>
        <w:rPr>
          <w:sz w:val="26"/>
          <w:szCs w:val="26"/>
          <w:highlight w:val="green"/>
        </w:rPr>
      </w:pPr>
      <w:r>
        <w:rPr>
          <w:sz w:val="26"/>
          <w:szCs w:val="26"/>
        </w:rPr>
        <w:t>FES not</w:t>
      </w:r>
      <w:r w:rsidR="00146E05">
        <w:rPr>
          <w:sz w:val="26"/>
          <w:szCs w:val="26"/>
        </w:rPr>
        <w:t>ed that</w:t>
      </w:r>
      <w:r w:rsidR="00146E05" w:rsidRPr="00EE5722">
        <w:rPr>
          <w:sz w:val="26"/>
          <w:szCs w:val="26"/>
        </w:rPr>
        <w:t xml:space="preserve"> </w:t>
      </w:r>
      <w:r w:rsidR="001C3148">
        <w:rPr>
          <w:sz w:val="26"/>
          <w:szCs w:val="26"/>
        </w:rPr>
        <w:t>the Commission issued a Secretarial Letter (</w:t>
      </w:r>
      <w:r w:rsidR="001C3148" w:rsidRPr="003E2F24">
        <w:rPr>
          <w:i/>
          <w:sz w:val="26"/>
          <w:szCs w:val="26"/>
        </w:rPr>
        <w:t>End-State Secretarial Letter</w:t>
      </w:r>
      <w:r w:rsidR="001C3148">
        <w:rPr>
          <w:sz w:val="26"/>
          <w:szCs w:val="26"/>
        </w:rPr>
        <w:t>)</w:t>
      </w:r>
      <w:r w:rsidR="005B4963">
        <w:rPr>
          <w:sz w:val="26"/>
          <w:szCs w:val="26"/>
        </w:rPr>
        <w:t xml:space="preserve"> </w:t>
      </w:r>
      <w:r w:rsidR="001C3148">
        <w:rPr>
          <w:sz w:val="26"/>
          <w:szCs w:val="26"/>
        </w:rPr>
        <w:t>in its</w:t>
      </w:r>
      <w:r w:rsidR="00146E05">
        <w:rPr>
          <w:sz w:val="26"/>
          <w:szCs w:val="26"/>
        </w:rPr>
        <w:t xml:space="preserve"> Retail Markets Investigation (RMI</w:t>
      </w:r>
      <w:r w:rsidR="001C3148">
        <w:rPr>
          <w:sz w:val="26"/>
          <w:szCs w:val="26"/>
        </w:rPr>
        <w:t>)</w:t>
      </w:r>
      <w:r w:rsidR="005B4963">
        <w:rPr>
          <w:rStyle w:val="FootnoteReference"/>
          <w:sz w:val="26"/>
          <w:szCs w:val="26"/>
        </w:rPr>
        <w:footnoteReference w:id="4"/>
      </w:r>
      <w:r w:rsidR="001C3148">
        <w:rPr>
          <w:sz w:val="26"/>
          <w:szCs w:val="26"/>
        </w:rPr>
        <w:t xml:space="preserve"> on </w:t>
      </w:r>
      <w:r w:rsidR="00146E05" w:rsidRPr="00EE5722">
        <w:rPr>
          <w:sz w:val="26"/>
          <w:szCs w:val="26"/>
        </w:rPr>
        <w:t>September 27, 2012</w:t>
      </w:r>
      <w:r w:rsidR="00146E05">
        <w:rPr>
          <w:sz w:val="26"/>
          <w:szCs w:val="26"/>
        </w:rPr>
        <w:t>,</w:t>
      </w:r>
      <w:r w:rsidR="00146E05" w:rsidRPr="00EE5722">
        <w:rPr>
          <w:sz w:val="26"/>
          <w:szCs w:val="26"/>
        </w:rPr>
        <w:t xml:space="preserve"> </w:t>
      </w:r>
      <w:r w:rsidR="001C3148">
        <w:rPr>
          <w:sz w:val="26"/>
          <w:szCs w:val="26"/>
        </w:rPr>
        <w:t>indicating</w:t>
      </w:r>
      <w:r w:rsidR="001C3148" w:rsidRPr="00EE5722">
        <w:rPr>
          <w:sz w:val="26"/>
          <w:szCs w:val="26"/>
        </w:rPr>
        <w:t xml:space="preserve"> that the end</w:t>
      </w:r>
      <w:r w:rsidR="00187D6E">
        <w:rPr>
          <w:sz w:val="26"/>
          <w:szCs w:val="26"/>
        </w:rPr>
        <w:t>-</w:t>
      </w:r>
      <w:r w:rsidR="001C3148" w:rsidRPr="00EE5722">
        <w:rPr>
          <w:sz w:val="26"/>
          <w:szCs w:val="26"/>
        </w:rPr>
        <w:t xml:space="preserve">state default service product for </w:t>
      </w:r>
      <w:r w:rsidR="00187D6E">
        <w:rPr>
          <w:sz w:val="26"/>
          <w:szCs w:val="26"/>
        </w:rPr>
        <w:t>r</w:t>
      </w:r>
      <w:r w:rsidR="001C3148" w:rsidRPr="00EE5722">
        <w:rPr>
          <w:sz w:val="26"/>
          <w:szCs w:val="26"/>
        </w:rPr>
        <w:t>esidential and Small C&amp;I customers below 1</w:t>
      </w:r>
      <w:r>
        <w:rPr>
          <w:sz w:val="26"/>
          <w:szCs w:val="26"/>
        </w:rPr>
        <w:t>00 kW will be three</w:t>
      </w:r>
      <w:r w:rsidR="001C3148">
        <w:rPr>
          <w:sz w:val="26"/>
          <w:szCs w:val="26"/>
        </w:rPr>
        <w:t>-month contracts;</w:t>
      </w:r>
      <w:r w:rsidR="001C3148" w:rsidRPr="00EE5722">
        <w:rPr>
          <w:sz w:val="26"/>
          <w:szCs w:val="26"/>
        </w:rPr>
        <w:t xml:space="preserve"> that t</w:t>
      </w:r>
      <w:r w:rsidR="001C3148">
        <w:rPr>
          <w:sz w:val="26"/>
          <w:szCs w:val="26"/>
        </w:rPr>
        <w:t>he t</w:t>
      </w:r>
      <w:r w:rsidR="001C3148" w:rsidRPr="00EE5722">
        <w:rPr>
          <w:sz w:val="26"/>
          <w:szCs w:val="26"/>
        </w:rPr>
        <w:t>ransition is pl</w:t>
      </w:r>
      <w:r w:rsidR="001C3148">
        <w:rPr>
          <w:sz w:val="26"/>
          <w:szCs w:val="26"/>
        </w:rPr>
        <w:t>anned to occur on June 1, 2015;</w:t>
      </w:r>
      <w:r w:rsidR="001C3148" w:rsidRPr="00EE5722">
        <w:rPr>
          <w:sz w:val="26"/>
          <w:szCs w:val="26"/>
        </w:rPr>
        <w:t xml:space="preserve"> and that this end</w:t>
      </w:r>
      <w:r w:rsidR="00187D6E">
        <w:rPr>
          <w:sz w:val="26"/>
          <w:szCs w:val="26"/>
        </w:rPr>
        <w:t>-</w:t>
      </w:r>
      <w:r w:rsidR="001C3148" w:rsidRPr="00EE5722">
        <w:rPr>
          <w:sz w:val="26"/>
          <w:szCs w:val="26"/>
        </w:rPr>
        <w:t>state will be preceded by a statewide consumer education campaign.</w:t>
      </w:r>
      <w:r w:rsidR="005B4963">
        <w:rPr>
          <w:sz w:val="26"/>
          <w:szCs w:val="26"/>
        </w:rPr>
        <w:t xml:space="preserve">  FES states that </w:t>
      </w:r>
      <w:r w:rsidR="00146E05" w:rsidRPr="00EE5722">
        <w:rPr>
          <w:sz w:val="26"/>
          <w:szCs w:val="26"/>
        </w:rPr>
        <w:t>RESA's proposal would implement the Commission's proposed end</w:t>
      </w:r>
      <w:r w:rsidR="00187D6E">
        <w:rPr>
          <w:sz w:val="26"/>
          <w:szCs w:val="26"/>
        </w:rPr>
        <w:t>-</w:t>
      </w:r>
      <w:r w:rsidR="00146E05" w:rsidRPr="00EE5722">
        <w:rPr>
          <w:sz w:val="26"/>
          <w:szCs w:val="26"/>
        </w:rPr>
        <w:t>state immediately, without the benefit of prior consumer education.</w:t>
      </w:r>
      <w:r w:rsidR="005B4963">
        <w:rPr>
          <w:sz w:val="26"/>
          <w:szCs w:val="26"/>
        </w:rPr>
        <w:t xml:space="preserve">  </w:t>
      </w:r>
    </w:p>
    <w:p w:rsidR="00B36A52" w:rsidRPr="00EE5722" w:rsidRDefault="00B36A52" w:rsidP="009964B4">
      <w:pPr>
        <w:pStyle w:val="BodyTextFirstLine5DS"/>
        <w:spacing w:line="360" w:lineRule="auto"/>
        <w:ind w:firstLine="0"/>
        <w:jc w:val="left"/>
        <w:rPr>
          <w:sz w:val="26"/>
          <w:szCs w:val="26"/>
        </w:rPr>
      </w:pPr>
    </w:p>
    <w:p w:rsidR="00F12E23" w:rsidRPr="00EE5722" w:rsidRDefault="00B36A52" w:rsidP="00B36A52">
      <w:pPr>
        <w:spacing w:line="360" w:lineRule="auto"/>
        <w:ind w:firstLine="1440"/>
        <w:rPr>
          <w:sz w:val="26"/>
          <w:szCs w:val="26"/>
        </w:rPr>
      </w:pPr>
      <w:r>
        <w:rPr>
          <w:sz w:val="26"/>
          <w:szCs w:val="26"/>
        </w:rPr>
        <w:t xml:space="preserve">The </w:t>
      </w:r>
      <w:r w:rsidRPr="00EE5722">
        <w:rPr>
          <w:sz w:val="26"/>
          <w:szCs w:val="26"/>
        </w:rPr>
        <w:t>OSBA</w:t>
      </w:r>
      <w:r>
        <w:rPr>
          <w:sz w:val="26"/>
          <w:szCs w:val="26"/>
        </w:rPr>
        <w:t>, CA</w:t>
      </w:r>
      <w:r w:rsidR="008F3443">
        <w:rPr>
          <w:sz w:val="26"/>
          <w:szCs w:val="26"/>
        </w:rPr>
        <w:t>USE, DII and Constellation</w:t>
      </w:r>
      <w:r>
        <w:rPr>
          <w:sz w:val="26"/>
          <w:szCs w:val="26"/>
        </w:rPr>
        <w:t xml:space="preserve"> took</w:t>
      </w:r>
      <w:r w:rsidRPr="00EE5722">
        <w:rPr>
          <w:sz w:val="26"/>
          <w:szCs w:val="26"/>
        </w:rPr>
        <w:t xml:space="preserve"> no position on this issue.</w:t>
      </w:r>
    </w:p>
    <w:p w:rsidR="003C38EE" w:rsidRPr="009964B4" w:rsidRDefault="009964B4" w:rsidP="009964B4">
      <w:pPr>
        <w:spacing w:line="360" w:lineRule="auto"/>
        <w:rPr>
          <w:sz w:val="26"/>
          <w:szCs w:val="26"/>
        </w:rPr>
      </w:pPr>
      <w:r>
        <w:rPr>
          <w:sz w:val="26"/>
          <w:szCs w:val="26"/>
        </w:rPr>
        <w:tab/>
      </w:r>
      <w:r>
        <w:rPr>
          <w:sz w:val="26"/>
          <w:szCs w:val="26"/>
        </w:rPr>
        <w:tab/>
      </w:r>
      <w:r>
        <w:rPr>
          <w:sz w:val="26"/>
          <w:szCs w:val="26"/>
        </w:rPr>
        <w:tab/>
      </w:r>
      <w:r>
        <w:rPr>
          <w:sz w:val="26"/>
          <w:szCs w:val="26"/>
        </w:rPr>
        <w:tab/>
      </w:r>
    </w:p>
    <w:p w:rsidR="005A3CD5" w:rsidRPr="00FF390A" w:rsidRDefault="000B0447" w:rsidP="00A23D0F">
      <w:pPr>
        <w:pStyle w:val="Heading5"/>
        <w:numPr>
          <w:ilvl w:val="0"/>
          <w:numId w:val="0"/>
        </w:numPr>
        <w:ind w:left="3600" w:hanging="720"/>
      </w:pPr>
      <w:bookmarkStart w:id="18" w:name="_Toc346705263"/>
      <w:r>
        <w:lastRenderedPageBreak/>
        <w:t>iii.</w:t>
      </w:r>
      <w:r>
        <w:tab/>
      </w:r>
      <w:r w:rsidR="00C40B2C">
        <w:t>ALJ’s Recommendation</w:t>
      </w:r>
      <w:bookmarkEnd w:id="18"/>
      <w:r w:rsidR="00403F75">
        <w:t xml:space="preserve"> </w:t>
      </w:r>
    </w:p>
    <w:p w:rsidR="003C38EE" w:rsidRPr="00EE5722" w:rsidRDefault="003C38EE" w:rsidP="00A23D0F">
      <w:pPr>
        <w:keepNext/>
        <w:tabs>
          <w:tab w:val="left" w:pos="0"/>
        </w:tabs>
        <w:spacing w:line="360" w:lineRule="auto"/>
        <w:rPr>
          <w:b/>
          <w:sz w:val="26"/>
          <w:szCs w:val="26"/>
          <w:u w:val="single"/>
        </w:rPr>
      </w:pPr>
    </w:p>
    <w:p w:rsidR="00137716" w:rsidRDefault="003C38EE" w:rsidP="00137716">
      <w:pPr>
        <w:spacing w:line="360" w:lineRule="auto"/>
        <w:ind w:firstLine="720"/>
        <w:rPr>
          <w:color w:val="000000" w:themeColor="text1"/>
          <w:sz w:val="26"/>
          <w:szCs w:val="26"/>
        </w:rPr>
      </w:pPr>
      <w:r w:rsidRPr="00EE5722">
        <w:rPr>
          <w:color w:val="000000" w:themeColor="text1"/>
          <w:sz w:val="26"/>
          <w:szCs w:val="26"/>
        </w:rPr>
        <w:tab/>
      </w:r>
      <w:r w:rsidR="00C40B2C">
        <w:rPr>
          <w:color w:val="000000" w:themeColor="text1"/>
          <w:sz w:val="26"/>
          <w:szCs w:val="26"/>
        </w:rPr>
        <w:t>The ALJ recommended that Du</w:t>
      </w:r>
      <w:r w:rsidR="00A77895">
        <w:rPr>
          <w:color w:val="000000" w:themeColor="text1"/>
          <w:sz w:val="26"/>
          <w:szCs w:val="26"/>
        </w:rPr>
        <w:t xml:space="preserve">quesne’s proposal to acquire supply for </w:t>
      </w:r>
      <w:r w:rsidR="00187D6E">
        <w:rPr>
          <w:color w:val="000000" w:themeColor="text1"/>
          <w:sz w:val="26"/>
          <w:szCs w:val="26"/>
        </w:rPr>
        <w:t>r</w:t>
      </w:r>
      <w:r w:rsidR="00A77895">
        <w:rPr>
          <w:color w:val="000000" w:themeColor="text1"/>
          <w:sz w:val="26"/>
          <w:szCs w:val="26"/>
        </w:rPr>
        <w:t xml:space="preserve">esidential </w:t>
      </w:r>
      <w:r w:rsidR="00403F75">
        <w:rPr>
          <w:color w:val="000000" w:themeColor="text1"/>
          <w:sz w:val="26"/>
          <w:szCs w:val="26"/>
        </w:rPr>
        <w:t xml:space="preserve">default service </w:t>
      </w:r>
      <w:r w:rsidR="00A77895">
        <w:rPr>
          <w:color w:val="000000" w:themeColor="text1"/>
          <w:sz w:val="26"/>
          <w:szCs w:val="26"/>
        </w:rPr>
        <w:t xml:space="preserve">customers be approved.  </w:t>
      </w:r>
      <w:r w:rsidR="00263652">
        <w:rPr>
          <w:color w:val="000000" w:themeColor="text1"/>
          <w:sz w:val="26"/>
          <w:szCs w:val="26"/>
        </w:rPr>
        <w:t xml:space="preserve">The ALJ concluded that </w:t>
      </w:r>
      <w:r w:rsidR="009C04BD">
        <w:rPr>
          <w:color w:val="000000" w:themeColor="text1"/>
          <w:sz w:val="26"/>
          <w:szCs w:val="26"/>
        </w:rPr>
        <w:t>Duquesne</w:t>
      </w:r>
      <w:r w:rsidRPr="00EE5722">
        <w:rPr>
          <w:color w:val="000000" w:themeColor="text1"/>
          <w:sz w:val="26"/>
          <w:szCs w:val="26"/>
        </w:rPr>
        <w:t xml:space="preserve">’s plan mitigates the risk of procuring the entirety of its default supply </w:t>
      </w:r>
      <w:r w:rsidR="00263652">
        <w:rPr>
          <w:color w:val="000000" w:themeColor="text1"/>
          <w:sz w:val="26"/>
          <w:szCs w:val="26"/>
        </w:rPr>
        <w:t>at the peak</w:t>
      </w:r>
      <w:r w:rsidR="00403F75">
        <w:rPr>
          <w:color w:val="000000" w:themeColor="text1"/>
          <w:sz w:val="26"/>
          <w:szCs w:val="26"/>
        </w:rPr>
        <w:t xml:space="preserve"> of the market and </w:t>
      </w:r>
      <w:r w:rsidR="00263652">
        <w:rPr>
          <w:color w:val="000000" w:themeColor="text1"/>
          <w:sz w:val="26"/>
          <w:szCs w:val="26"/>
        </w:rPr>
        <w:t xml:space="preserve">provides </w:t>
      </w:r>
      <w:r w:rsidRPr="00EE5722">
        <w:rPr>
          <w:color w:val="000000" w:themeColor="text1"/>
          <w:sz w:val="26"/>
          <w:szCs w:val="26"/>
        </w:rPr>
        <w:t xml:space="preserve">more stability in the default service rate.  </w:t>
      </w:r>
      <w:r w:rsidR="00263652">
        <w:rPr>
          <w:color w:val="000000" w:themeColor="text1"/>
          <w:sz w:val="26"/>
          <w:szCs w:val="26"/>
        </w:rPr>
        <w:t xml:space="preserve">Noting that </w:t>
      </w:r>
      <w:r w:rsidR="00650A88">
        <w:rPr>
          <w:color w:val="000000" w:themeColor="text1"/>
          <w:sz w:val="26"/>
          <w:szCs w:val="26"/>
        </w:rPr>
        <w:t xml:space="preserve">Duquesne </w:t>
      </w:r>
      <w:r w:rsidR="00403F75">
        <w:rPr>
          <w:color w:val="000000" w:themeColor="text1"/>
          <w:sz w:val="26"/>
          <w:szCs w:val="26"/>
        </w:rPr>
        <w:t xml:space="preserve">wants one-year </w:t>
      </w:r>
      <w:r w:rsidR="00263652">
        <w:rPr>
          <w:color w:val="000000" w:themeColor="text1"/>
          <w:sz w:val="26"/>
          <w:szCs w:val="26"/>
        </w:rPr>
        <w:t xml:space="preserve">contracts; </w:t>
      </w:r>
      <w:r w:rsidRPr="00EE5722">
        <w:rPr>
          <w:color w:val="000000" w:themeColor="text1"/>
          <w:sz w:val="26"/>
          <w:szCs w:val="26"/>
        </w:rPr>
        <w:t>OCA wants a mix of one- and two-year contracts</w:t>
      </w:r>
      <w:r w:rsidR="00263652">
        <w:rPr>
          <w:color w:val="000000" w:themeColor="text1"/>
          <w:sz w:val="26"/>
          <w:szCs w:val="26"/>
        </w:rPr>
        <w:t xml:space="preserve">; and </w:t>
      </w:r>
      <w:r w:rsidRPr="00EE5722">
        <w:rPr>
          <w:color w:val="000000" w:themeColor="text1"/>
          <w:sz w:val="26"/>
          <w:szCs w:val="26"/>
        </w:rPr>
        <w:t>RESA wants qua</w:t>
      </w:r>
      <w:r w:rsidR="00263652">
        <w:rPr>
          <w:color w:val="000000" w:themeColor="text1"/>
          <w:sz w:val="26"/>
          <w:szCs w:val="26"/>
        </w:rPr>
        <w:t>rterly and a</w:t>
      </w:r>
      <w:r w:rsidR="00403F75">
        <w:rPr>
          <w:color w:val="000000" w:themeColor="text1"/>
          <w:sz w:val="26"/>
          <w:szCs w:val="26"/>
        </w:rPr>
        <w:t xml:space="preserve">nnual contracts, the ALJ concluded </w:t>
      </w:r>
      <w:r w:rsidRPr="00EE5722">
        <w:rPr>
          <w:color w:val="000000" w:themeColor="text1"/>
          <w:sz w:val="26"/>
          <w:szCs w:val="26"/>
        </w:rPr>
        <w:t xml:space="preserve">that Duquesne’s plan provides the least amount of risk for consumers in the current market.  </w:t>
      </w:r>
      <w:r w:rsidR="00263652">
        <w:rPr>
          <w:color w:val="000000" w:themeColor="text1"/>
          <w:sz w:val="26"/>
          <w:szCs w:val="26"/>
        </w:rPr>
        <w:t>The ALJ stated that RESA failed</w:t>
      </w:r>
      <w:r w:rsidRPr="00EE5722">
        <w:rPr>
          <w:color w:val="000000" w:themeColor="text1"/>
          <w:sz w:val="26"/>
          <w:szCs w:val="26"/>
        </w:rPr>
        <w:t xml:space="preserve"> to explain why</w:t>
      </w:r>
      <w:r w:rsidR="00263652">
        <w:rPr>
          <w:color w:val="000000" w:themeColor="text1"/>
          <w:sz w:val="26"/>
          <w:szCs w:val="26"/>
        </w:rPr>
        <w:t xml:space="preserve"> it would be appropriate </w:t>
      </w:r>
      <w:r w:rsidRPr="00EE5722">
        <w:rPr>
          <w:color w:val="000000" w:themeColor="text1"/>
          <w:sz w:val="26"/>
          <w:szCs w:val="26"/>
        </w:rPr>
        <w:t>to maximize the freque</w:t>
      </w:r>
      <w:r w:rsidR="00263652">
        <w:rPr>
          <w:color w:val="000000" w:themeColor="text1"/>
          <w:sz w:val="26"/>
          <w:szCs w:val="26"/>
        </w:rPr>
        <w:t>ncy of rate changes when</w:t>
      </w:r>
      <w:r w:rsidR="009C04BD">
        <w:rPr>
          <w:color w:val="000000" w:themeColor="text1"/>
          <w:sz w:val="26"/>
          <w:szCs w:val="26"/>
        </w:rPr>
        <w:t xml:space="preserve"> Duquesne </w:t>
      </w:r>
      <w:r w:rsidRPr="00EE5722">
        <w:rPr>
          <w:color w:val="000000" w:themeColor="text1"/>
          <w:sz w:val="26"/>
          <w:szCs w:val="26"/>
        </w:rPr>
        <w:t>still has a large percentage of residential default service customers who need to be educated on the benefits of competitive retail markets</w:t>
      </w:r>
      <w:r w:rsidR="00263652">
        <w:rPr>
          <w:color w:val="000000" w:themeColor="text1"/>
          <w:sz w:val="26"/>
          <w:szCs w:val="26"/>
        </w:rPr>
        <w:t>,</w:t>
      </w:r>
      <w:r w:rsidRPr="00EE5722">
        <w:rPr>
          <w:color w:val="000000" w:themeColor="text1"/>
          <w:sz w:val="26"/>
          <w:szCs w:val="26"/>
        </w:rPr>
        <w:t xml:space="preserve"> and </w:t>
      </w:r>
      <w:r w:rsidR="00263652">
        <w:rPr>
          <w:color w:val="000000" w:themeColor="text1"/>
          <w:sz w:val="26"/>
          <w:szCs w:val="26"/>
        </w:rPr>
        <w:t xml:space="preserve">need </w:t>
      </w:r>
      <w:r w:rsidRPr="00EE5722">
        <w:rPr>
          <w:color w:val="000000" w:themeColor="text1"/>
          <w:sz w:val="26"/>
          <w:szCs w:val="26"/>
        </w:rPr>
        <w:t>a stable default service price with which to compare competing offers.</w:t>
      </w:r>
      <w:r w:rsidR="00263652">
        <w:rPr>
          <w:color w:val="000000" w:themeColor="text1"/>
          <w:sz w:val="26"/>
          <w:szCs w:val="26"/>
        </w:rPr>
        <w:t xml:space="preserve"> </w:t>
      </w:r>
      <w:r w:rsidR="00B67E4B">
        <w:rPr>
          <w:color w:val="000000" w:themeColor="text1"/>
          <w:sz w:val="26"/>
          <w:szCs w:val="26"/>
        </w:rPr>
        <w:t xml:space="preserve"> </w:t>
      </w:r>
      <w:r w:rsidR="00137716">
        <w:rPr>
          <w:color w:val="000000" w:themeColor="text1"/>
          <w:sz w:val="26"/>
          <w:szCs w:val="26"/>
        </w:rPr>
        <w:t>R.D. at 28.</w:t>
      </w:r>
    </w:p>
    <w:p w:rsidR="0011411D" w:rsidRDefault="00263652" w:rsidP="00137716">
      <w:pPr>
        <w:spacing w:line="360" w:lineRule="auto"/>
        <w:ind w:firstLine="720"/>
        <w:rPr>
          <w:color w:val="000000" w:themeColor="text1"/>
          <w:sz w:val="26"/>
          <w:szCs w:val="26"/>
        </w:rPr>
      </w:pPr>
      <w:r>
        <w:rPr>
          <w:color w:val="000000" w:themeColor="text1"/>
          <w:sz w:val="26"/>
          <w:szCs w:val="26"/>
        </w:rPr>
        <w:t xml:space="preserve"> </w:t>
      </w:r>
    </w:p>
    <w:p w:rsidR="0011411D" w:rsidRPr="00403F75" w:rsidRDefault="00403F75" w:rsidP="00270A3D">
      <w:pPr>
        <w:spacing w:line="360" w:lineRule="auto"/>
        <w:ind w:firstLine="1440"/>
        <w:rPr>
          <w:sz w:val="26"/>
          <w:szCs w:val="26"/>
        </w:rPr>
      </w:pPr>
      <w:r>
        <w:rPr>
          <w:color w:val="000000" w:themeColor="text1"/>
          <w:sz w:val="26"/>
          <w:szCs w:val="26"/>
        </w:rPr>
        <w:t>The ALJ concluded that</w:t>
      </w:r>
      <w:r w:rsidRPr="00403F75">
        <w:rPr>
          <w:sz w:val="26"/>
          <w:szCs w:val="26"/>
        </w:rPr>
        <w:t xml:space="preserve"> </w:t>
      </w:r>
      <w:r w:rsidRPr="00EE5722">
        <w:rPr>
          <w:sz w:val="26"/>
          <w:szCs w:val="26"/>
        </w:rPr>
        <w:t xml:space="preserve">Duquesne’s plan provides the least amount of risk for ratepayers </w:t>
      </w:r>
      <w:r w:rsidR="00137716">
        <w:rPr>
          <w:sz w:val="26"/>
          <w:szCs w:val="26"/>
        </w:rPr>
        <w:t>in the current market regime.  The ALJ stated that</w:t>
      </w:r>
      <w:r w:rsidR="00187D6E">
        <w:rPr>
          <w:sz w:val="26"/>
          <w:szCs w:val="26"/>
        </w:rPr>
        <w:t>,</w:t>
      </w:r>
      <w:r w:rsidR="00137716">
        <w:rPr>
          <w:sz w:val="26"/>
          <w:szCs w:val="26"/>
        </w:rPr>
        <w:t xml:space="preserve"> b</w:t>
      </w:r>
      <w:r w:rsidRPr="00EE5722">
        <w:rPr>
          <w:sz w:val="26"/>
          <w:szCs w:val="26"/>
        </w:rPr>
        <w:t>ecause long-term prices continue to trade at premiums compared to short-term prices, Duquesne’s plan is logical and prudent and meets</w:t>
      </w:r>
      <w:r w:rsidR="00137716">
        <w:rPr>
          <w:sz w:val="26"/>
          <w:szCs w:val="26"/>
        </w:rPr>
        <w:t xml:space="preserve"> the least cost requirements.  According to the ALJ, p</w:t>
      </w:r>
      <w:r w:rsidRPr="00EE5722">
        <w:rPr>
          <w:sz w:val="26"/>
          <w:szCs w:val="26"/>
        </w:rPr>
        <w:t>urchases of block power present additional ri</w:t>
      </w:r>
      <w:r>
        <w:rPr>
          <w:sz w:val="26"/>
          <w:szCs w:val="26"/>
        </w:rPr>
        <w:t xml:space="preserve">sks of recovery, and </w:t>
      </w:r>
      <w:r w:rsidRPr="00EE5722">
        <w:rPr>
          <w:sz w:val="26"/>
          <w:szCs w:val="26"/>
        </w:rPr>
        <w:t>mixing in block power presents additional risks for full requirements providers who ar</w:t>
      </w:r>
      <w:r>
        <w:rPr>
          <w:sz w:val="26"/>
          <w:szCs w:val="26"/>
        </w:rPr>
        <w:t>e left serving the peak loads.</w:t>
      </w:r>
      <w:r w:rsidR="00137716">
        <w:rPr>
          <w:sz w:val="26"/>
          <w:szCs w:val="26"/>
        </w:rPr>
        <w:t xml:space="preserve">  </w:t>
      </w:r>
      <w:r>
        <w:rPr>
          <w:sz w:val="26"/>
          <w:szCs w:val="26"/>
        </w:rPr>
        <w:t>The ALJ opined that e</w:t>
      </w:r>
      <w:r w:rsidRPr="00EE5722">
        <w:rPr>
          <w:sz w:val="26"/>
          <w:szCs w:val="26"/>
        </w:rPr>
        <w:t xml:space="preserve">ventually, </w:t>
      </w:r>
      <w:r>
        <w:rPr>
          <w:sz w:val="26"/>
          <w:szCs w:val="26"/>
        </w:rPr>
        <w:t>in the next DSP</w:t>
      </w:r>
      <w:r w:rsidRPr="00EE5722">
        <w:rPr>
          <w:sz w:val="26"/>
          <w:szCs w:val="26"/>
        </w:rPr>
        <w:t xml:space="preserve"> for D</w:t>
      </w:r>
      <w:r>
        <w:rPr>
          <w:sz w:val="26"/>
          <w:szCs w:val="26"/>
        </w:rPr>
        <w:t>uquesne, laddering contracts would</w:t>
      </w:r>
      <w:r w:rsidRPr="00EE5722">
        <w:rPr>
          <w:sz w:val="26"/>
          <w:szCs w:val="26"/>
        </w:rPr>
        <w:t xml:space="preserve"> be a good idea to assist with transitioning consumers and the market to a more market-reflective shopping environm</w:t>
      </w:r>
      <w:r>
        <w:rPr>
          <w:sz w:val="26"/>
          <w:szCs w:val="26"/>
        </w:rPr>
        <w:t xml:space="preserve">ent.  However, </w:t>
      </w:r>
      <w:r w:rsidRPr="00EE5722">
        <w:rPr>
          <w:sz w:val="26"/>
          <w:szCs w:val="26"/>
        </w:rPr>
        <w:t>to maintain price stability and co</w:t>
      </w:r>
      <w:r>
        <w:rPr>
          <w:sz w:val="26"/>
          <w:szCs w:val="26"/>
        </w:rPr>
        <w:t>nfidence in the retail market, the ALJ</w:t>
      </w:r>
      <w:r w:rsidRPr="00EE5722">
        <w:rPr>
          <w:sz w:val="26"/>
          <w:szCs w:val="26"/>
        </w:rPr>
        <w:t xml:space="preserve"> recommend</w:t>
      </w:r>
      <w:r>
        <w:rPr>
          <w:sz w:val="26"/>
          <w:szCs w:val="26"/>
        </w:rPr>
        <w:t>ed that</w:t>
      </w:r>
      <w:r w:rsidRPr="00EE5722">
        <w:rPr>
          <w:sz w:val="26"/>
          <w:szCs w:val="26"/>
        </w:rPr>
        <w:t xml:space="preserve"> D</w:t>
      </w:r>
      <w:r>
        <w:rPr>
          <w:sz w:val="26"/>
          <w:szCs w:val="26"/>
        </w:rPr>
        <w:t>uquesne</w:t>
      </w:r>
      <w:r w:rsidRPr="00EE5722">
        <w:rPr>
          <w:sz w:val="26"/>
          <w:szCs w:val="26"/>
        </w:rPr>
        <w:t>’s proposal herein should be approved.</w:t>
      </w:r>
      <w:r w:rsidR="00137716">
        <w:rPr>
          <w:sz w:val="26"/>
          <w:szCs w:val="26"/>
        </w:rPr>
        <w:t xml:space="preserve">  R.D. at 28-29.</w:t>
      </w:r>
    </w:p>
    <w:p w:rsidR="0011411D" w:rsidRDefault="009964B4" w:rsidP="00270A3D">
      <w:pPr>
        <w:spacing w:line="360" w:lineRule="auto"/>
        <w:rPr>
          <w:color w:val="000000" w:themeColor="text1"/>
          <w:sz w:val="26"/>
          <w:szCs w:val="26"/>
        </w:rPr>
      </w:pP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p>
    <w:p w:rsidR="0011411D" w:rsidRPr="000B0447" w:rsidRDefault="000B0447" w:rsidP="00A23D0F">
      <w:pPr>
        <w:pStyle w:val="Heading5"/>
        <w:numPr>
          <w:ilvl w:val="0"/>
          <w:numId w:val="0"/>
        </w:numPr>
        <w:ind w:left="3600" w:hanging="720"/>
      </w:pPr>
      <w:bookmarkStart w:id="19" w:name="_Toc346705264"/>
      <w:r>
        <w:lastRenderedPageBreak/>
        <w:t>iv.</w:t>
      </w:r>
      <w:r>
        <w:tab/>
      </w:r>
      <w:r w:rsidR="0011411D" w:rsidRPr="000B0447">
        <w:t>Exceptions</w:t>
      </w:r>
      <w:bookmarkEnd w:id="19"/>
    </w:p>
    <w:p w:rsidR="0011411D" w:rsidRDefault="0011411D" w:rsidP="00A23D0F">
      <w:pPr>
        <w:keepNext/>
        <w:spacing w:line="360" w:lineRule="auto"/>
        <w:rPr>
          <w:b/>
          <w:color w:val="000000" w:themeColor="text1"/>
          <w:sz w:val="26"/>
          <w:szCs w:val="26"/>
        </w:rPr>
      </w:pPr>
    </w:p>
    <w:p w:rsidR="0011411D" w:rsidRDefault="0011411D" w:rsidP="0011411D">
      <w:pPr>
        <w:spacing w:line="360" w:lineRule="auto"/>
        <w:rPr>
          <w:color w:val="000000" w:themeColor="text1"/>
          <w:sz w:val="26"/>
          <w:szCs w:val="26"/>
        </w:rPr>
      </w:pPr>
      <w:r>
        <w:rPr>
          <w:color w:val="000000" w:themeColor="text1"/>
          <w:sz w:val="26"/>
          <w:szCs w:val="26"/>
        </w:rPr>
        <w:t xml:space="preserve"> </w:t>
      </w:r>
      <w:r>
        <w:rPr>
          <w:color w:val="000000" w:themeColor="text1"/>
          <w:sz w:val="26"/>
          <w:szCs w:val="26"/>
        </w:rPr>
        <w:tab/>
        <w:t xml:space="preserve"> </w:t>
      </w:r>
      <w:r>
        <w:rPr>
          <w:color w:val="000000" w:themeColor="text1"/>
          <w:sz w:val="26"/>
          <w:szCs w:val="26"/>
        </w:rPr>
        <w:tab/>
        <w:t xml:space="preserve">The OCA argues that the ALJ erred in rejecting the OCA’s proposal to include a small portion of two-year full requirements contracts in its residential default service procurement.  The OCA </w:t>
      </w:r>
      <w:r w:rsidR="00137716">
        <w:rPr>
          <w:color w:val="000000" w:themeColor="text1"/>
          <w:sz w:val="26"/>
          <w:szCs w:val="26"/>
        </w:rPr>
        <w:t xml:space="preserve">claims that </w:t>
      </w:r>
      <w:r w:rsidR="00A67A04">
        <w:rPr>
          <w:color w:val="000000" w:themeColor="text1"/>
          <w:sz w:val="26"/>
          <w:szCs w:val="26"/>
        </w:rPr>
        <w:t>this recommendation serves two purposes:  (1) it provides an additional product in Duquesne’s portfolio that better conforms to the requ</w:t>
      </w:r>
      <w:r w:rsidR="004C2F4B">
        <w:rPr>
          <w:color w:val="000000" w:themeColor="text1"/>
          <w:sz w:val="26"/>
          <w:szCs w:val="26"/>
        </w:rPr>
        <w:t xml:space="preserve">irements of Act 129; and (2) </w:t>
      </w:r>
      <w:r w:rsidR="00A67A04">
        <w:rPr>
          <w:color w:val="000000" w:themeColor="text1"/>
          <w:sz w:val="26"/>
          <w:szCs w:val="26"/>
        </w:rPr>
        <w:t xml:space="preserve">it hedges potential price increases in </w:t>
      </w:r>
      <w:r w:rsidR="00B71E4F">
        <w:rPr>
          <w:color w:val="000000" w:themeColor="text1"/>
          <w:sz w:val="26"/>
          <w:szCs w:val="26"/>
        </w:rPr>
        <w:t>PJM.</w:t>
      </w:r>
      <w:r w:rsidR="00A67A04">
        <w:rPr>
          <w:color w:val="000000" w:themeColor="text1"/>
          <w:sz w:val="26"/>
          <w:szCs w:val="26"/>
        </w:rPr>
        <w:t xml:space="preserve"> </w:t>
      </w:r>
      <w:r w:rsidR="00EB7B72">
        <w:rPr>
          <w:color w:val="000000" w:themeColor="text1"/>
          <w:sz w:val="26"/>
          <w:szCs w:val="26"/>
        </w:rPr>
        <w:t xml:space="preserve"> The OCA notes that </w:t>
      </w:r>
      <w:r w:rsidR="00A67A04">
        <w:rPr>
          <w:color w:val="000000" w:themeColor="text1"/>
          <w:sz w:val="26"/>
          <w:szCs w:val="26"/>
        </w:rPr>
        <w:t xml:space="preserve">current forward prices </w:t>
      </w:r>
      <w:r w:rsidR="00EB7B72">
        <w:rPr>
          <w:color w:val="000000" w:themeColor="text1"/>
          <w:sz w:val="26"/>
          <w:szCs w:val="26"/>
        </w:rPr>
        <w:t xml:space="preserve">in PJM </w:t>
      </w:r>
      <w:r w:rsidR="00A67A04">
        <w:rPr>
          <w:color w:val="000000" w:themeColor="text1"/>
          <w:sz w:val="26"/>
          <w:szCs w:val="26"/>
        </w:rPr>
        <w:t>are f</w:t>
      </w:r>
      <w:r w:rsidR="00EB7B72">
        <w:rPr>
          <w:color w:val="000000" w:themeColor="text1"/>
          <w:sz w:val="26"/>
          <w:szCs w:val="26"/>
        </w:rPr>
        <w:t xml:space="preserve">avorable to consumers, and </w:t>
      </w:r>
      <w:r w:rsidR="00A67A04">
        <w:rPr>
          <w:color w:val="000000" w:themeColor="text1"/>
          <w:sz w:val="26"/>
          <w:szCs w:val="26"/>
        </w:rPr>
        <w:t>disagrees with the ALJ’s conclusion that “Duquesne’s plan provides the least amount of risk for consumers in t</w:t>
      </w:r>
      <w:r w:rsidR="00CF6610">
        <w:rPr>
          <w:color w:val="000000" w:themeColor="text1"/>
          <w:sz w:val="26"/>
          <w:szCs w:val="26"/>
        </w:rPr>
        <w:t>h</w:t>
      </w:r>
      <w:r w:rsidR="00137716">
        <w:rPr>
          <w:color w:val="000000" w:themeColor="text1"/>
          <w:sz w:val="26"/>
          <w:szCs w:val="26"/>
        </w:rPr>
        <w:t xml:space="preserve">e current market.”  </w:t>
      </w:r>
      <w:r w:rsidR="00CF6610">
        <w:rPr>
          <w:color w:val="000000" w:themeColor="text1"/>
          <w:sz w:val="26"/>
          <w:szCs w:val="26"/>
        </w:rPr>
        <w:t>OCA Exc. at 4</w:t>
      </w:r>
      <w:r w:rsidR="00137716">
        <w:rPr>
          <w:color w:val="000000" w:themeColor="text1"/>
          <w:sz w:val="26"/>
          <w:szCs w:val="26"/>
        </w:rPr>
        <w:t>-6</w:t>
      </w:r>
      <w:r w:rsidR="00CF6610">
        <w:rPr>
          <w:color w:val="000000" w:themeColor="text1"/>
          <w:sz w:val="26"/>
          <w:szCs w:val="26"/>
        </w:rPr>
        <w:t>.</w:t>
      </w:r>
    </w:p>
    <w:p w:rsidR="00A67A04" w:rsidRDefault="00A67A04" w:rsidP="0011411D">
      <w:pPr>
        <w:spacing w:line="360" w:lineRule="auto"/>
        <w:rPr>
          <w:color w:val="000000" w:themeColor="text1"/>
          <w:sz w:val="26"/>
          <w:szCs w:val="26"/>
        </w:rPr>
      </w:pPr>
    </w:p>
    <w:p w:rsidR="00A67A04" w:rsidRDefault="00A67A04" w:rsidP="0011411D">
      <w:pPr>
        <w:spacing w:line="360" w:lineRule="auto"/>
        <w:rPr>
          <w:color w:val="000000" w:themeColor="text1"/>
          <w:sz w:val="26"/>
          <w:szCs w:val="26"/>
        </w:rPr>
      </w:pPr>
      <w:r>
        <w:rPr>
          <w:color w:val="000000" w:themeColor="text1"/>
          <w:sz w:val="26"/>
          <w:szCs w:val="26"/>
        </w:rPr>
        <w:tab/>
      </w:r>
      <w:r>
        <w:rPr>
          <w:color w:val="000000" w:themeColor="text1"/>
          <w:sz w:val="26"/>
          <w:szCs w:val="26"/>
        </w:rPr>
        <w:tab/>
        <w:t xml:space="preserve">The OCA disputes Duquesne’s argument that including two-year </w:t>
      </w:r>
      <w:r w:rsidRPr="00141E6B">
        <w:rPr>
          <w:color w:val="000000" w:themeColor="text1"/>
          <w:sz w:val="26"/>
          <w:szCs w:val="26"/>
        </w:rPr>
        <w:t>F</w:t>
      </w:r>
      <w:r w:rsidR="007651AE" w:rsidRPr="00141E6B">
        <w:rPr>
          <w:color w:val="000000" w:themeColor="text1"/>
          <w:sz w:val="26"/>
          <w:szCs w:val="26"/>
        </w:rPr>
        <w:t>RC</w:t>
      </w:r>
      <w:r w:rsidRPr="00141E6B">
        <w:rPr>
          <w:color w:val="000000" w:themeColor="text1"/>
          <w:sz w:val="26"/>
          <w:szCs w:val="26"/>
        </w:rPr>
        <w:t>s</w:t>
      </w:r>
      <w:r>
        <w:rPr>
          <w:color w:val="000000" w:themeColor="text1"/>
          <w:sz w:val="26"/>
          <w:szCs w:val="26"/>
        </w:rPr>
        <w:t xml:space="preserve"> in its residential default service portfolio equates to </w:t>
      </w:r>
      <w:r w:rsidR="00EB7B72">
        <w:rPr>
          <w:color w:val="000000" w:themeColor="text1"/>
          <w:sz w:val="26"/>
          <w:szCs w:val="26"/>
        </w:rPr>
        <w:t>market speculation.  The OCA points out that, while it does not know if the inclusio</w:t>
      </w:r>
      <w:r w:rsidR="00141E6B">
        <w:rPr>
          <w:color w:val="000000" w:themeColor="text1"/>
          <w:sz w:val="26"/>
          <w:szCs w:val="26"/>
        </w:rPr>
        <w:t>n of some two-year cont</w:t>
      </w:r>
      <w:r w:rsidR="004C2F4B">
        <w:rPr>
          <w:color w:val="000000" w:themeColor="text1"/>
          <w:sz w:val="26"/>
          <w:szCs w:val="26"/>
        </w:rPr>
        <w:t>r</w:t>
      </w:r>
      <w:r w:rsidR="00141E6B">
        <w:rPr>
          <w:color w:val="000000" w:themeColor="text1"/>
          <w:sz w:val="26"/>
          <w:szCs w:val="26"/>
        </w:rPr>
        <w:t>acts would</w:t>
      </w:r>
      <w:r w:rsidR="00EB7B72">
        <w:rPr>
          <w:color w:val="000000" w:themeColor="text1"/>
          <w:sz w:val="26"/>
          <w:szCs w:val="26"/>
        </w:rPr>
        <w:t xml:space="preserve"> prove beneficial to customers, neither does Duquesne know whether limiting the port</w:t>
      </w:r>
      <w:r w:rsidR="00141E6B">
        <w:rPr>
          <w:color w:val="000000" w:themeColor="text1"/>
          <w:sz w:val="26"/>
          <w:szCs w:val="26"/>
        </w:rPr>
        <w:t>folio to one-year contracts would</w:t>
      </w:r>
      <w:r w:rsidR="00EB7B72">
        <w:rPr>
          <w:color w:val="000000" w:themeColor="text1"/>
          <w:sz w:val="26"/>
          <w:szCs w:val="26"/>
        </w:rPr>
        <w:t xml:space="preserve"> be preferable.  The OCA states that its proposal was not based on an assessment of future market prices; rather, the OCA’s suggestion was based on the recognition that produce diversification provides a measure of</w:t>
      </w:r>
      <w:r w:rsidR="00CF6610">
        <w:rPr>
          <w:color w:val="000000" w:themeColor="text1"/>
          <w:sz w:val="26"/>
          <w:szCs w:val="26"/>
        </w:rPr>
        <w:t xml:space="preserve"> risk mitigation.  The OCA refers to</w:t>
      </w:r>
      <w:r w:rsidR="00EB7B72">
        <w:rPr>
          <w:color w:val="000000" w:themeColor="text1"/>
          <w:sz w:val="26"/>
          <w:szCs w:val="26"/>
        </w:rPr>
        <w:t xml:space="preserve"> the testimony of its witness that “based on historical prices, the risk of potential price increases from current futures levels is greater than the risk of potential price de</w:t>
      </w:r>
      <w:r w:rsidR="00137716">
        <w:rPr>
          <w:color w:val="000000" w:themeColor="text1"/>
          <w:sz w:val="26"/>
          <w:szCs w:val="26"/>
        </w:rPr>
        <w:t xml:space="preserve">clines.”  </w:t>
      </w:r>
      <w:r w:rsidR="00CF6610">
        <w:rPr>
          <w:color w:val="000000" w:themeColor="text1"/>
          <w:sz w:val="26"/>
          <w:szCs w:val="26"/>
        </w:rPr>
        <w:t>OCA Exc. at 5.</w:t>
      </w:r>
    </w:p>
    <w:p w:rsidR="00C826BE" w:rsidRPr="00933A72" w:rsidRDefault="00C826BE" w:rsidP="00E73094">
      <w:pPr>
        <w:spacing w:line="360" w:lineRule="auto"/>
        <w:rPr>
          <w:sz w:val="26"/>
          <w:szCs w:val="26"/>
        </w:rPr>
      </w:pPr>
    </w:p>
    <w:p w:rsidR="001273FD" w:rsidRDefault="00933A72" w:rsidP="00403F75">
      <w:pPr>
        <w:spacing w:line="360" w:lineRule="auto"/>
        <w:ind w:firstLine="1440"/>
        <w:rPr>
          <w:sz w:val="26"/>
          <w:szCs w:val="26"/>
        </w:rPr>
      </w:pPr>
      <w:r>
        <w:rPr>
          <w:sz w:val="26"/>
          <w:szCs w:val="26"/>
        </w:rPr>
        <w:t xml:space="preserve">The OCA </w:t>
      </w:r>
      <w:r w:rsidRPr="00933A72">
        <w:rPr>
          <w:sz w:val="26"/>
          <w:szCs w:val="26"/>
        </w:rPr>
        <w:t>further note</w:t>
      </w:r>
      <w:r>
        <w:rPr>
          <w:sz w:val="26"/>
          <w:szCs w:val="26"/>
        </w:rPr>
        <w:t>s</w:t>
      </w:r>
      <w:r w:rsidRPr="00933A72">
        <w:rPr>
          <w:sz w:val="26"/>
          <w:szCs w:val="26"/>
        </w:rPr>
        <w:t xml:space="preserve"> that</w:t>
      </w:r>
      <w:r w:rsidR="00141E6B">
        <w:rPr>
          <w:sz w:val="26"/>
          <w:szCs w:val="26"/>
        </w:rPr>
        <w:t>,</w:t>
      </w:r>
      <w:r w:rsidRPr="00933A72">
        <w:rPr>
          <w:sz w:val="26"/>
          <w:szCs w:val="26"/>
        </w:rPr>
        <w:t xml:space="preserve"> in the recently concluded default service proceedings involving PECO Energy and the FirstEnergy operating companies, the Commission approved residential supply portfolios that included a com</w:t>
      </w:r>
      <w:r w:rsidR="007651AE">
        <w:rPr>
          <w:sz w:val="26"/>
          <w:szCs w:val="26"/>
        </w:rPr>
        <w:t>bination of one and two-year FRC</w:t>
      </w:r>
      <w:r w:rsidRPr="00933A72">
        <w:rPr>
          <w:sz w:val="26"/>
          <w:szCs w:val="26"/>
        </w:rPr>
        <w:t xml:space="preserve">s. </w:t>
      </w:r>
      <w:r w:rsidR="00141E6B">
        <w:rPr>
          <w:sz w:val="26"/>
          <w:szCs w:val="26"/>
        </w:rPr>
        <w:t xml:space="preserve"> </w:t>
      </w:r>
      <w:r w:rsidR="00141E6B" w:rsidRPr="00141E6B">
        <w:rPr>
          <w:i/>
          <w:sz w:val="26"/>
          <w:szCs w:val="26"/>
        </w:rPr>
        <w:t>FirstEnergy DSP Order</w:t>
      </w:r>
      <w:r w:rsidR="00141E6B">
        <w:rPr>
          <w:sz w:val="26"/>
          <w:szCs w:val="26"/>
        </w:rPr>
        <w:t xml:space="preserve"> at 25-26; </w:t>
      </w:r>
      <w:r w:rsidR="00141E6B" w:rsidRPr="006A7D2A">
        <w:rPr>
          <w:i/>
          <w:sz w:val="26"/>
          <w:szCs w:val="26"/>
        </w:rPr>
        <w:t>Petition of PECO Energy Company for Approval of its Default Service Program II</w:t>
      </w:r>
      <w:r w:rsidR="00141E6B" w:rsidRPr="006A7D2A">
        <w:rPr>
          <w:sz w:val="26"/>
          <w:szCs w:val="26"/>
        </w:rPr>
        <w:t xml:space="preserve">, </w:t>
      </w:r>
      <w:r w:rsidR="00141E6B">
        <w:rPr>
          <w:sz w:val="26"/>
          <w:szCs w:val="26"/>
        </w:rPr>
        <w:t xml:space="preserve">Docket No. P-2012-2283641 </w:t>
      </w:r>
      <w:r w:rsidR="00141E6B" w:rsidRPr="006A7D2A">
        <w:rPr>
          <w:sz w:val="26"/>
          <w:szCs w:val="26"/>
        </w:rPr>
        <w:t>(Order entered October 12, 2012)</w:t>
      </w:r>
      <w:r w:rsidR="00141E6B">
        <w:rPr>
          <w:sz w:val="26"/>
          <w:szCs w:val="26"/>
        </w:rPr>
        <w:t xml:space="preserve"> (</w:t>
      </w:r>
      <w:r w:rsidR="00141E6B" w:rsidRPr="00141E6B">
        <w:rPr>
          <w:i/>
          <w:sz w:val="26"/>
          <w:szCs w:val="26"/>
        </w:rPr>
        <w:t>PECO DSP Order</w:t>
      </w:r>
      <w:r w:rsidR="00141E6B">
        <w:rPr>
          <w:sz w:val="26"/>
          <w:szCs w:val="26"/>
        </w:rPr>
        <w:t xml:space="preserve">) at 17.  </w:t>
      </w:r>
      <w:r w:rsidRPr="00933A72">
        <w:rPr>
          <w:sz w:val="26"/>
          <w:szCs w:val="26"/>
        </w:rPr>
        <w:t xml:space="preserve">The OCA submits that the arguments raised by Duquesne against the inclusion of two-year contracts for a portion of </w:t>
      </w:r>
      <w:r w:rsidRPr="00933A72">
        <w:rPr>
          <w:sz w:val="26"/>
          <w:szCs w:val="26"/>
        </w:rPr>
        <w:lastRenderedPageBreak/>
        <w:t xml:space="preserve">its residential default service portfolio are not persuasive and that the Commission has found a mix of one and two-year contracts to be appropriate for residential customers in other default service proceedings.  For these reasons, the OCA submits </w:t>
      </w:r>
      <w:r w:rsidR="00141E6B">
        <w:rPr>
          <w:sz w:val="26"/>
          <w:szCs w:val="26"/>
        </w:rPr>
        <w:t xml:space="preserve">that </w:t>
      </w:r>
      <w:r w:rsidRPr="00933A72">
        <w:rPr>
          <w:sz w:val="26"/>
          <w:szCs w:val="26"/>
        </w:rPr>
        <w:t xml:space="preserve">the Commission should reject the ALJ’s recommendation to adopt </w:t>
      </w:r>
      <w:r w:rsidR="00CF6610">
        <w:rPr>
          <w:sz w:val="26"/>
          <w:szCs w:val="26"/>
        </w:rPr>
        <w:t>Duquesne’s proposal to utilize</w:t>
      </w:r>
      <w:r w:rsidR="007651AE">
        <w:rPr>
          <w:sz w:val="26"/>
          <w:szCs w:val="26"/>
        </w:rPr>
        <w:t xml:space="preserve"> one-year FRC</w:t>
      </w:r>
      <w:r w:rsidRPr="00933A72">
        <w:rPr>
          <w:sz w:val="26"/>
          <w:szCs w:val="26"/>
        </w:rPr>
        <w:t>s exclusively</w:t>
      </w:r>
      <w:r w:rsidR="00187D6E">
        <w:rPr>
          <w:sz w:val="26"/>
          <w:szCs w:val="26"/>
        </w:rPr>
        <w:t>,</w:t>
      </w:r>
      <w:r w:rsidRPr="00933A72">
        <w:rPr>
          <w:sz w:val="26"/>
          <w:szCs w:val="26"/>
        </w:rPr>
        <w:t xml:space="preserve"> and instead adopt the OCA’s proposal for adding two-</w:t>
      </w:r>
      <w:r w:rsidR="007651AE">
        <w:rPr>
          <w:sz w:val="26"/>
          <w:szCs w:val="26"/>
        </w:rPr>
        <w:t>year FRC</w:t>
      </w:r>
      <w:r w:rsidR="00CF6610">
        <w:rPr>
          <w:sz w:val="26"/>
          <w:szCs w:val="26"/>
        </w:rPr>
        <w:t>s for a small portion (four of twenty-four</w:t>
      </w:r>
      <w:r w:rsidRPr="00933A72">
        <w:rPr>
          <w:sz w:val="26"/>
          <w:szCs w:val="26"/>
        </w:rPr>
        <w:t xml:space="preserve"> tranches) of Duquesne’s residential default service portfolio.  </w:t>
      </w:r>
      <w:r w:rsidR="00CF6610">
        <w:rPr>
          <w:sz w:val="26"/>
          <w:szCs w:val="26"/>
        </w:rPr>
        <w:t>OCA Exc. at 6.</w:t>
      </w:r>
    </w:p>
    <w:p w:rsidR="00A23D0F" w:rsidRDefault="00A23D0F" w:rsidP="00403F75">
      <w:pPr>
        <w:spacing w:line="360" w:lineRule="auto"/>
        <w:ind w:firstLine="1440"/>
        <w:rPr>
          <w:sz w:val="26"/>
          <w:szCs w:val="26"/>
        </w:rPr>
      </w:pPr>
    </w:p>
    <w:p w:rsidR="006B151B" w:rsidRDefault="006B151B" w:rsidP="00403F75">
      <w:pPr>
        <w:spacing w:line="360" w:lineRule="auto"/>
        <w:ind w:firstLine="1440"/>
        <w:rPr>
          <w:sz w:val="26"/>
          <w:szCs w:val="26"/>
        </w:rPr>
      </w:pPr>
      <w:r>
        <w:rPr>
          <w:sz w:val="26"/>
          <w:szCs w:val="26"/>
        </w:rPr>
        <w:t xml:space="preserve">With regard to the OCA’s proposal to include block and spot products in Duquesne’s </w:t>
      </w:r>
      <w:r w:rsidR="00187D6E">
        <w:rPr>
          <w:sz w:val="26"/>
          <w:szCs w:val="26"/>
        </w:rPr>
        <w:t>r</w:t>
      </w:r>
      <w:r>
        <w:rPr>
          <w:sz w:val="26"/>
          <w:szCs w:val="26"/>
        </w:rPr>
        <w:t xml:space="preserve">esidential portfolio, the OCA states that, while it will not except to the ALJ’s recommendation, it asks that the Commission indicate that it </w:t>
      </w:r>
      <w:r w:rsidR="004C2F4B">
        <w:rPr>
          <w:sz w:val="26"/>
          <w:szCs w:val="26"/>
        </w:rPr>
        <w:t xml:space="preserve">is </w:t>
      </w:r>
      <w:r>
        <w:rPr>
          <w:sz w:val="26"/>
          <w:szCs w:val="26"/>
        </w:rPr>
        <w:t>not establishing precedent for the use of block and spot supply in the future.  OCA Exc. at 2.</w:t>
      </w:r>
    </w:p>
    <w:p w:rsidR="00A77895" w:rsidRPr="001273FD" w:rsidRDefault="00A77895" w:rsidP="001273FD">
      <w:pPr>
        <w:spacing w:line="360" w:lineRule="auto"/>
        <w:ind w:firstLine="1440"/>
        <w:jc w:val="both"/>
        <w:rPr>
          <w:sz w:val="26"/>
          <w:szCs w:val="26"/>
        </w:rPr>
      </w:pPr>
    </w:p>
    <w:p w:rsidR="00854C15" w:rsidRPr="00E73094" w:rsidRDefault="00A77895" w:rsidP="000A26C1">
      <w:pPr>
        <w:pStyle w:val="BodyText2"/>
        <w:spacing w:line="360" w:lineRule="auto"/>
        <w:ind w:firstLine="720"/>
        <w:rPr>
          <w:sz w:val="26"/>
          <w:szCs w:val="26"/>
        </w:rPr>
      </w:pPr>
      <w:r>
        <w:rPr>
          <w:sz w:val="26"/>
          <w:szCs w:val="26"/>
        </w:rPr>
        <w:t xml:space="preserve"> </w:t>
      </w:r>
      <w:r>
        <w:rPr>
          <w:sz w:val="26"/>
          <w:szCs w:val="26"/>
        </w:rPr>
        <w:tab/>
      </w:r>
      <w:r w:rsidR="00E73094">
        <w:rPr>
          <w:sz w:val="26"/>
          <w:szCs w:val="26"/>
        </w:rPr>
        <w:t xml:space="preserve">In its Exceptions, </w:t>
      </w:r>
      <w:r w:rsidR="001273FD" w:rsidRPr="001273FD">
        <w:rPr>
          <w:sz w:val="26"/>
          <w:szCs w:val="26"/>
        </w:rPr>
        <w:t xml:space="preserve">RESA argues that the ALJ erred in rejecting RESA’s proposal </w:t>
      </w:r>
      <w:r w:rsidR="00E73094">
        <w:rPr>
          <w:sz w:val="26"/>
          <w:szCs w:val="26"/>
        </w:rPr>
        <w:t>to utilize a blend of 50% twelve</w:t>
      </w:r>
      <w:r w:rsidR="00A56F24">
        <w:rPr>
          <w:sz w:val="26"/>
          <w:szCs w:val="26"/>
        </w:rPr>
        <w:t xml:space="preserve">-month </w:t>
      </w:r>
      <w:r w:rsidR="00E73094">
        <w:rPr>
          <w:sz w:val="26"/>
          <w:szCs w:val="26"/>
        </w:rPr>
        <w:t>and 50% three</w:t>
      </w:r>
      <w:r w:rsidR="00A56F24">
        <w:rPr>
          <w:sz w:val="26"/>
          <w:szCs w:val="26"/>
        </w:rPr>
        <w:t>-month</w:t>
      </w:r>
      <w:r w:rsidR="001273FD" w:rsidRPr="001273FD">
        <w:rPr>
          <w:sz w:val="26"/>
          <w:szCs w:val="26"/>
        </w:rPr>
        <w:t xml:space="preserve"> contracts</w:t>
      </w:r>
      <w:r w:rsidR="00A56F24">
        <w:rPr>
          <w:sz w:val="26"/>
          <w:szCs w:val="26"/>
        </w:rPr>
        <w:t>, with quarterly PTC changes</w:t>
      </w:r>
      <w:r w:rsidR="001273FD" w:rsidRPr="001273FD">
        <w:rPr>
          <w:sz w:val="26"/>
          <w:szCs w:val="26"/>
        </w:rPr>
        <w:t>.</w:t>
      </w:r>
      <w:r w:rsidR="00A56F24">
        <w:rPr>
          <w:sz w:val="26"/>
          <w:szCs w:val="26"/>
        </w:rPr>
        <w:t xml:space="preserve">  RESA argues that t</w:t>
      </w:r>
      <w:r w:rsidR="001273FD" w:rsidRPr="001273FD">
        <w:rPr>
          <w:sz w:val="26"/>
          <w:szCs w:val="26"/>
        </w:rPr>
        <w:t>he ALJ’s recommendatio</w:t>
      </w:r>
      <w:r w:rsidR="00F04B32">
        <w:rPr>
          <w:sz w:val="26"/>
          <w:szCs w:val="26"/>
        </w:rPr>
        <w:t>n is wrong for several reasons.</w:t>
      </w:r>
      <w:r w:rsidR="000A26C1">
        <w:rPr>
          <w:sz w:val="26"/>
          <w:szCs w:val="26"/>
        </w:rPr>
        <w:t xml:space="preserve">  </w:t>
      </w:r>
      <w:r w:rsidR="00A56F24">
        <w:rPr>
          <w:sz w:val="26"/>
          <w:szCs w:val="26"/>
        </w:rPr>
        <w:t xml:space="preserve">RESA argues that </w:t>
      </w:r>
      <w:r w:rsidR="001273FD" w:rsidRPr="001273FD">
        <w:rPr>
          <w:sz w:val="26"/>
          <w:szCs w:val="26"/>
        </w:rPr>
        <w:t>the ALJ misappli</w:t>
      </w:r>
      <w:r w:rsidR="00A56F24">
        <w:rPr>
          <w:sz w:val="26"/>
          <w:szCs w:val="26"/>
        </w:rPr>
        <w:t xml:space="preserve">ed the statutory standard by placing </w:t>
      </w:r>
      <w:r w:rsidR="001273FD" w:rsidRPr="001273FD">
        <w:rPr>
          <w:sz w:val="26"/>
          <w:szCs w:val="26"/>
        </w:rPr>
        <w:t xml:space="preserve"> “price stability” ahead of the specific statutory elements relating to the provision of default service</w:t>
      </w:r>
      <w:r w:rsidR="00A56F24">
        <w:rPr>
          <w:sz w:val="26"/>
          <w:szCs w:val="26"/>
        </w:rPr>
        <w:t xml:space="preserve">.  Those statutory elements </w:t>
      </w:r>
      <w:r w:rsidR="001273FD" w:rsidRPr="001273FD">
        <w:rPr>
          <w:sz w:val="26"/>
          <w:szCs w:val="26"/>
        </w:rPr>
        <w:t>do not include “price stability.”</w:t>
      </w:r>
      <w:r w:rsidR="00A56F24">
        <w:rPr>
          <w:sz w:val="26"/>
          <w:szCs w:val="26"/>
        </w:rPr>
        <w:t xml:space="preserve">  T</w:t>
      </w:r>
      <w:r w:rsidR="001273FD" w:rsidRPr="001273FD">
        <w:rPr>
          <w:sz w:val="26"/>
          <w:szCs w:val="26"/>
        </w:rPr>
        <w:t xml:space="preserve">he </w:t>
      </w:r>
      <w:r w:rsidR="00187D6E">
        <w:rPr>
          <w:sz w:val="26"/>
          <w:szCs w:val="26"/>
        </w:rPr>
        <w:t xml:space="preserve">Competition </w:t>
      </w:r>
      <w:r w:rsidR="001273FD" w:rsidRPr="001273FD">
        <w:rPr>
          <w:sz w:val="26"/>
          <w:szCs w:val="26"/>
        </w:rPr>
        <w:t>Act requires default ser</w:t>
      </w:r>
      <w:r w:rsidR="00A56F24">
        <w:rPr>
          <w:sz w:val="26"/>
          <w:szCs w:val="26"/>
        </w:rPr>
        <w:t xml:space="preserve">vice providers </w:t>
      </w:r>
      <w:r w:rsidR="001273FD" w:rsidRPr="001273FD">
        <w:rPr>
          <w:sz w:val="26"/>
          <w:szCs w:val="26"/>
        </w:rPr>
        <w:t>to acquire electric energy through a “prudent mix” of resources designed: (i) to provide adequate and reliable service; (ii) to provide the least cost to customers over time; and, (iii) to achieve these results through competitive processes which includes auctions, requests for proposals and/or bilateral agreements.</w:t>
      </w:r>
      <w:r w:rsidR="00A56F24">
        <w:rPr>
          <w:sz w:val="26"/>
          <w:szCs w:val="26"/>
        </w:rPr>
        <w:t xml:space="preserve">  Although the ALJ </w:t>
      </w:r>
      <w:r w:rsidR="001273FD" w:rsidRPr="001273FD">
        <w:rPr>
          <w:sz w:val="26"/>
          <w:szCs w:val="26"/>
        </w:rPr>
        <w:t>recognize</w:t>
      </w:r>
      <w:r w:rsidR="00A56F24">
        <w:rPr>
          <w:sz w:val="26"/>
          <w:szCs w:val="26"/>
        </w:rPr>
        <w:t xml:space="preserve">d </w:t>
      </w:r>
      <w:r w:rsidR="001273FD" w:rsidRPr="001273FD">
        <w:rPr>
          <w:sz w:val="26"/>
          <w:szCs w:val="26"/>
        </w:rPr>
        <w:t xml:space="preserve">this, </w:t>
      </w:r>
      <w:r w:rsidR="00A56F24">
        <w:rPr>
          <w:sz w:val="26"/>
          <w:szCs w:val="26"/>
        </w:rPr>
        <w:t>the ALJ layered</w:t>
      </w:r>
      <w:r w:rsidR="001273FD" w:rsidRPr="001273FD">
        <w:rPr>
          <w:sz w:val="26"/>
          <w:szCs w:val="26"/>
        </w:rPr>
        <w:t xml:space="preserve"> “price stability” on top of these statutory requirements to conclude that the default service plan must provide price stability without consideration of the impact on the competitive market or on the resulting default service rate.</w:t>
      </w:r>
      <w:r w:rsidR="00E73094">
        <w:rPr>
          <w:sz w:val="26"/>
          <w:szCs w:val="26"/>
        </w:rPr>
        <w:t xml:space="preserve">  RESA Exc. at 3-9.</w:t>
      </w:r>
    </w:p>
    <w:p w:rsidR="00403F75" w:rsidRPr="00403F75" w:rsidRDefault="00403F75" w:rsidP="005479F7">
      <w:pPr>
        <w:pStyle w:val="BodyText2"/>
        <w:spacing w:line="360" w:lineRule="auto"/>
        <w:ind w:firstLine="720"/>
        <w:rPr>
          <w:sz w:val="26"/>
          <w:szCs w:val="26"/>
        </w:rPr>
      </w:pPr>
    </w:p>
    <w:p w:rsidR="00293AC6" w:rsidRDefault="00A77895" w:rsidP="00293AC6">
      <w:pPr>
        <w:pStyle w:val="BodyText2"/>
        <w:spacing w:line="360" w:lineRule="auto"/>
        <w:ind w:firstLine="720"/>
        <w:rPr>
          <w:sz w:val="26"/>
          <w:szCs w:val="26"/>
        </w:rPr>
      </w:pPr>
      <w:r>
        <w:rPr>
          <w:sz w:val="26"/>
          <w:szCs w:val="26"/>
        </w:rPr>
        <w:lastRenderedPageBreak/>
        <w:t xml:space="preserve"> </w:t>
      </w:r>
      <w:r>
        <w:rPr>
          <w:sz w:val="26"/>
          <w:szCs w:val="26"/>
        </w:rPr>
        <w:tab/>
      </w:r>
      <w:r w:rsidR="00E73094">
        <w:rPr>
          <w:sz w:val="26"/>
          <w:szCs w:val="26"/>
        </w:rPr>
        <w:t>RESA opines</w:t>
      </w:r>
      <w:r w:rsidR="00A56F24">
        <w:rPr>
          <w:sz w:val="26"/>
          <w:szCs w:val="26"/>
        </w:rPr>
        <w:t xml:space="preserve"> that t</w:t>
      </w:r>
      <w:r w:rsidR="001273FD" w:rsidRPr="001273FD">
        <w:rPr>
          <w:sz w:val="26"/>
          <w:szCs w:val="26"/>
        </w:rPr>
        <w:t xml:space="preserve">he concept of price stability was referenced in the </w:t>
      </w:r>
      <w:r w:rsidR="00A56F24">
        <w:rPr>
          <w:sz w:val="26"/>
          <w:szCs w:val="26"/>
        </w:rPr>
        <w:t>P</w:t>
      </w:r>
      <w:r w:rsidR="001273FD" w:rsidRPr="00A56F24">
        <w:rPr>
          <w:sz w:val="26"/>
          <w:szCs w:val="26"/>
        </w:rPr>
        <w:t>reamble</w:t>
      </w:r>
      <w:r w:rsidR="001273FD" w:rsidRPr="001273FD">
        <w:rPr>
          <w:sz w:val="26"/>
          <w:szCs w:val="26"/>
        </w:rPr>
        <w:t xml:space="preserve"> to Act 129, which was </w:t>
      </w:r>
      <w:r w:rsidR="001273FD" w:rsidRPr="00A56F24">
        <w:rPr>
          <w:sz w:val="26"/>
          <w:szCs w:val="26"/>
        </w:rPr>
        <w:t>not</w:t>
      </w:r>
      <w:r w:rsidR="001273FD" w:rsidRPr="001273FD">
        <w:rPr>
          <w:sz w:val="26"/>
          <w:szCs w:val="26"/>
        </w:rPr>
        <w:t xml:space="preserve"> incorporated into the text of the Competition Act.  The Commission has addressed the relationship between the language in the Competition Act’s statutor</w:t>
      </w:r>
      <w:r w:rsidR="00A56F24">
        <w:rPr>
          <w:sz w:val="26"/>
          <w:szCs w:val="26"/>
        </w:rPr>
        <w:t>y text and the language in the P</w:t>
      </w:r>
      <w:r w:rsidR="001273FD" w:rsidRPr="001273FD">
        <w:rPr>
          <w:sz w:val="26"/>
          <w:szCs w:val="26"/>
        </w:rPr>
        <w:t>reamble t</w:t>
      </w:r>
      <w:r w:rsidR="00A56F24">
        <w:rPr>
          <w:sz w:val="26"/>
          <w:szCs w:val="26"/>
        </w:rPr>
        <w:t xml:space="preserve">o Act 129 </w:t>
      </w:r>
      <w:r w:rsidR="001273FD" w:rsidRPr="001273FD">
        <w:rPr>
          <w:sz w:val="26"/>
          <w:szCs w:val="26"/>
        </w:rPr>
        <w:t>in the context of reviewing default service plans.  In</w:t>
      </w:r>
      <w:r w:rsidR="001A3096">
        <w:rPr>
          <w:sz w:val="26"/>
          <w:szCs w:val="26"/>
        </w:rPr>
        <w:t xml:space="preserve"> the</w:t>
      </w:r>
      <w:r w:rsidR="001273FD" w:rsidRPr="001273FD">
        <w:rPr>
          <w:sz w:val="26"/>
          <w:szCs w:val="26"/>
        </w:rPr>
        <w:t xml:space="preserve"> </w:t>
      </w:r>
      <w:r w:rsidR="00A56F24" w:rsidRPr="00A56F24">
        <w:rPr>
          <w:i/>
          <w:sz w:val="26"/>
          <w:szCs w:val="26"/>
        </w:rPr>
        <w:t>Pike County DSP Order</w:t>
      </w:r>
      <w:r w:rsidR="001A3096">
        <w:rPr>
          <w:sz w:val="26"/>
          <w:szCs w:val="26"/>
        </w:rPr>
        <w:t xml:space="preserve"> proceeding,</w:t>
      </w:r>
      <w:r w:rsidR="00A56F24">
        <w:rPr>
          <w:sz w:val="26"/>
          <w:szCs w:val="26"/>
        </w:rPr>
        <w:t xml:space="preserve"> the OCA</w:t>
      </w:r>
      <w:r w:rsidR="001273FD" w:rsidRPr="001273FD">
        <w:rPr>
          <w:sz w:val="26"/>
          <w:szCs w:val="26"/>
        </w:rPr>
        <w:t xml:space="preserve"> offered a modification to the pro</w:t>
      </w:r>
      <w:r w:rsidR="00A56F24">
        <w:rPr>
          <w:sz w:val="26"/>
          <w:szCs w:val="26"/>
        </w:rPr>
        <w:t>posed default service plan that</w:t>
      </w:r>
      <w:r w:rsidR="001273FD" w:rsidRPr="001273FD">
        <w:rPr>
          <w:sz w:val="26"/>
          <w:szCs w:val="26"/>
        </w:rPr>
        <w:t xml:space="preserve"> would have resulted in a h</w:t>
      </w:r>
      <w:r w:rsidR="00A56F24">
        <w:rPr>
          <w:sz w:val="26"/>
          <w:szCs w:val="26"/>
        </w:rPr>
        <w:t>igher default service rate but that would have provided price stability.</w:t>
      </w:r>
      <w:r w:rsidR="001273FD" w:rsidRPr="001273FD">
        <w:rPr>
          <w:sz w:val="26"/>
          <w:szCs w:val="26"/>
        </w:rPr>
        <w:t xml:space="preserve">  In reviewing the applicable standard, the Commission correctly recognized that:</w:t>
      </w:r>
    </w:p>
    <w:p w:rsidR="00293AC6" w:rsidRDefault="001273FD" w:rsidP="004C2F4B">
      <w:pPr>
        <w:pStyle w:val="Quote"/>
        <w:spacing w:after="0"/>
        <w:rPr>
          <w:sz w:val="26"/>
          <w:szCs w:val="26"/>
        </w:rPr>
      </w:pPr>
      <w:r w:rsidRPr="001273FD">
        <w:rPr>
          <w:sz w:val="26"/>
          <w:szCs w:val="26"/>
        </w:rPr>
        <w:t xml:space="preserve">[t]he rules of statutory construction dictate that the findings and declarations found in the Preamble of a statute </w:t>
      </w:r>
      <w:r w:rsidRPr="001273FD">
        <w:rPr>
          <w:i/>
          <w:sz w:val="26"/>
          <w:szCs w:val="26"/>
        </w:rPr>
        <w:t>do not take precedence over the specific statutory provisions contained in the law</w:t>
      </w:r>
      <w:r w:rsidRPr="001273FD">
        <w:rPr>
          <w:sz w:val="26"/>
          <w:szCs w:val="26"/>
        </w:rPr>
        <w:t>, but the rules of statutory construction provide that the Preamble may be considered in the construction of a statute.</w:t>
      </w:r>
      <w:r w:rsidRPr="001273FD">
        <w:rPr>
          <w:rStyle w:val="FootnoteReference"/>
          <w:sz w:val="26"/>
          <w:szCs w:val="26"/>
        </w:rPr>
        <w:footnoteReference w:id="5"/>
      </w:r>
    </w:p>
    <w:p w:rsidR="00E73094" w:rsidRPr="00E73094" w:rsidRDefault="00E73094" w:rsidP="004C2F4B">
      <w:pPr>
        <w:pStyle w:val="BodyTextContinued"/>
        <w:spacing w:after="0" w:line="360" w:lineRule="auto"/>
      </w:pPr>
    </w:p>
    <w:p w:rsidR="00854C15" w:rsidRPr="00E73094" w:rsidRDefault="001273FD" w:rsidP="001273FD">
      <w:pPr>
        <w:pStyle w:val="BodyText2"/>
        <w:spacing w:line="360" w:lineRule="auto"/>
        <w:rPr>
          <w:sz w:val="26"/>
          <w:szCs w:val="26"/>
        </w:rPr>
      </w:pPr>
      <w:r w:rsidRPr="001273FD">
        <w:rPr>
          <w:sz w:val="26"/>
          <w:szCs w:val="26"/>
        </w:rPr>
        <w:t xml:space="preserve">In applying this standard, the Commission concluded that “the ALJ relied too heavily upon the Preamble to Act 129 in recommending [adoption of </w:t>
      </w:r>
      <w:r w:rsidR="004C2F4B">
        <w:rPr>
          <w:sz w:val="26"/>
          <w:szCs w:val="26"/>
        </w:rPr>
        <w:t xml:space="preserve">the </w:t>
      </w:r>
      <w:r w:rsidRPr="001273FD">
        <w:rPr>
          <w:sz w:val="26"/>
          <w:szCs w:val="26"/>
        </w:rPr>
        <w:t>OCA’s proposal].”</w:t>
      </w:r>
      <w:r w:rsidRPr="001273FD">
        <w:rPr>
          <w:rStyle w:val="FootnoteReference"/>
          <w:sz w:val="26"/>
          <w:szCs w:val="26"/>
        </w:rPr>
        <w:footnoteReference w:id="6"/>
      </w:r>
      <w:r w:rsidRPr="001273FD">
        <w:rPr>
          <w:sz w:val="26"/>
          <w:szCs w:val="26"/>
        </w:rPr>
        <w:t xml:space="preserve"> </w:t>
      </w:r>
      <w:r w:rsidR="00A77895">
        <w:rPr>
          <w:sz w:val="26"/>
          <w:szCs w:val="26"/>
        </w:rPr>
        <w:t xml:space="preserve">  </w:t>
      </w:r>
      <w:r w:rsidR="00BE0724">
        <w:rPr>
          <w:sz w:val="26"/>
          <w:szCs w:val="26"/>
        </w:rPr>
        <w:t>RESA argues that, l</w:t>
      </w:r>
      <w:r w:rsidRPr="001273FD">
        <w:rPr>
          <w:sz w:val="26"/>
          <w:szCs w:val="26"/>
        </w:rPr>
        <w:t xml:space="preserve">ike the </w:t>
      </w:r>
      <w:r w:rsidRPr="001273FD">
        <w:rPr>
          <w:i/>
          <w:sz w:val="26"/>
          <w:szCs w:val="26"/>
        </w:rPr>
        <w:t>Pike County</w:t>
      </w:r>
      <w:r w:rsidRPr="001273FD">
        <w:rPr>
          <w:sz w:val="26"/>
          <w:szCs w:val="26"/>
        </w:rPr>
        <w:t xml:space="preserve"> case, adopting the procurement plan recommended by Duques</w:t>
      </w:r>
      <w:r w:rsidR="00BE0724">
        <w:rPr>
          <w:sz w:val="26"/>
          <w:szCs w:val="26"/>
        </w:rPr>
        <w:t>ne and endorsed by the ALJ would</w:t>
      </w:r>
      <w:r w:rsidRPr="001273FD">
        <w:rPr>
          <w:sz w:val="26"/>
          <w:szCs w:val="26"/>
        </w:rPr>
        <w:t xml:space="preserve"> have the effect of elevating the policy objectives </w:t>
      </w:r>
      <w:r w:rsidR="00BE0724">
        <w:rPr>
          <w:sz w:val="26"/>
          <w:szCs w:val="26"/>
        </w:rPr>
        <w:t xml:space="preserve">in the Act 129 Preamble </w:t>
      </w:r>
      <w:r w:rsidRPr="001273FD">
        <w:rPr>
          <w:sz w:val="26"/>
          <w:szCs w:val="26"/>
        </w:rPr>
        <w:t>over the express statutory requirements.  This is because the primary, if not the sole, ba</w:t>
      </w:r>
      <w:r w:rsidR="00BE0724">
        <w:rPr>
          <w:sz w:val="26"/>
          <w:szCs w:val="26"/>
        </w:rPr>
        <w:t>sis upon which the ALJ dismissed</w:t>
      </w:r>
      <w:r w:rsidRPr="001273FD">
        <w:rPr>
          <w:sz w:val="26"/>
          <w:szCs w:val="26"/>
        </w:rPr>
        <w:t xml:space="preserve"> RESA’s proposed modifications </w:t>
      </w:r>
      <w:r w:rsidR="00187D6E">
        <w:rPr>
          <w:sz w:val="26"/>
          <w:szCs w:val="26"/>
        </w:rPr>
        <w:t>wa</w:t>
      </w:r>
      <w:r w:rsidRPr="001273FD">
        <w:rPr>
          <w:sz w:val="26"/>
          <w:szCs w:val="26"/>
        </w:rPr>
        <w:t>s her conclusion that Duquesne’s proposal all</w:t>
      </w:r>
      <w:r w:rsidR="00E73094">
        <w:rPr>
          <w:sz w:val="26"/>
          <w:szCs w:val="26"/>
        </w:rPr>
        <w:t>ows for more price stability.  RESA avers that t</w:t>
      </w:r>
      <w:r w:rsidRPr="001273FD">
        <w:rPr>
          <w:sz w:val="26"/>
          <w:szCs w:val="26"/>
        </w:rPr>
        <w:t xml:space="preserve">he </w:t>
      </w:r>
      <w:r w:rsidR="00187D6E">
        <w:rPr>
          <w:sz w:val="26"/>
          <w:szCs w:val="26"/>
        </w:rPr>
        <w:t xml:space="preserve">fact that a </w:t>
      </w:r>
      <w:r w:rsidRPr="001273FD">
        <w:rPr>
          <w:sz w:val="26"/>
          <w:szCs w:val="26"/>
        </w:rPr>
        <w:t>proposal offers “more stability” than another proposal is not sufficient under the</w:t>
      </w:r>
      <w:r w:rsidR="00E73094">
        <w:rPr>
          <w:sz w:val="26"/>
          <w:szCs w:val="26"/>
        </w:rPr>
        <w:t xml:space="preserve"> statute.  According to RESA, t</w:t>
      </w:r>
      <w:r w:rsidRPr="001273FD">
        <w:rPr>
          <w:sz w:val="26"/>
          <w:szCs w:val="26"/>
        </w:rPr>
        <w:t>he inescapable conclusion is that th</w:t>
      </w:r>
      <w:r w:rsidR="00BE0724">
        <w:rPr>
          <w:sz w:val="26"/>
          <w:szCs w:val="26"/>
        </w:rPr>
        <w:t xml:space="preserve">e ALJ has elevated the </w:t>
      </w:r>
      <w:r w:rsidRPr="001273FD">
        <w:rPr>
          <w:sz w:val="26"/>
          <w:szCs w:val="26"/>
        </w:rPr>
        <w:t xml:space="preserve">policy standard </w:t>
      </w:r>
      <w:r w:rsidR="00BE0724">
        <w:rPr>
          <w:sz w:val="26"/>
          <w:szCs w:val="26"/>
        </w:rPr>
        <w:t xml:space="preserve">in the Preamble </w:t>
      </w:r>
      <w:r w:rsidRPr="001273FD">
        <w:rPr>
          <w:sz w:val="26"/>
          <w:szCs w:val="26"/>
        </w:rPr>
        <w:t>over the statutory requirements, thereby rendering the statutory requirements virtually non-existent.</w:t>
      </w:r>
      <w:r w:rsidR="00E73094">
        <w:rPr>
          <w:sz w:val="26"/>
          <w:szCs w:val="26"/>
        </w:rPr>
        <w:t xml:space="preserve">  RESA Exc. at 4-5.</w:t>
      </w:r>
    </w:p>
    <w:p w:rsidR="00B71E4F" w:rsidRPr="00B71E4F" w:rsidRDefault="00B71E4F" w:rsidP="001273FD">
      <w:pPr>
        <w:pStyle w:val="BodyText2"/>
        <w:spacing w:line="360" w:lineRule="auto"/>
        <w:rPr>
          <w:sz w:val="26"/>
          <w:szCs w:val="26"/>
        </w:rPr>
      </w:pPr>
    </w:p>
    <w:p w:rsidR="001273FD" w:rsidRPr="00BE0724" w:rsidRDefault="00A77895" w:rsidP="004C2F4B">
      <w:pPr>
        <w:pStyle w:val="BodyText2"/>
        <w:spacing w:after="0" w:line="360" w:lineRule="auto"/>
        <w:ind w:firstLine="720"/>
        <w:rPr>
          <w:sz w:val="26"/>
          <w:szCs w:val="26"/>
        </w:rPr>
      </w:pPr>
      <w:r>
        <w:rPr>
          <w:i/>
          <w:sz w:val="26"/>
          <w:szCs w:val="26"/>
        </w:rPr>
        <w:t xml:space="preserve"> </w:t>
      </w:r>
      <w:r>
        <w:rPr>
          <w:i/>
          <w:sz w:val="26"/>
          <w:szCs w:val="26"/>
        </w:rPr>
        <w:tab/>
      </w:r>
      <w:r w:rsidR="00E73094">
        <w:rPr>
          <w:sz w:val="26"/>
          <w:szCs w:val="26"/>
        </w:rPr>
        <w:t xml:space="preserve">Next, </w:t>
      </w:r>
      <w:r w:rsidR="00BE0724">
        <w:rPr>
          <w:sz w:val="26"/>
          <w:szCs w:val="26"/>
        </w:rPr>
        <w:t xml:space="preserve">RESA argues that </w:t>
      </w:r>
      <w:r w:rsidR="001273FD" w:rsidRPr="001273FD">
        <w:rPr>
          <w:sz w:val="26"/>
          <w:szCs w:val="26"/>
        </w:rPr>
        <w:t xml:space="preserve">the ALJ’s recommendation ignores the evidentiary record in this proceeding.  RESA presented evidence that the inclusion of quarterly procurements </w:t>
      </w:r>
      <w:r w:rsidR="00187D6E">
        <w:rPr>
          <w:sz w:val="26"/>
          <w:szCs w:val="26"/>
        </w:rPr>
        <w:t>would</w:t>
      </w:r>
      <w:r w:rsidR="001273FD" w:rsidRPr="001273FD">
        <w:rPr>
          <w:sz w:val="26"/>
          <w:szCs w:val="26"/>
        </w:rPr>
        <w:t xml:space="preserve"> result in default service rates that more accurately reflect the underlying wholesale cost of electricity and, in turn, enable customers to reap the benefits of a more competitive retail market.  RESA showed that market reflective default service prices are necessary to facilitate the development of a robust</w:t>
      </w:r>
      <w:r w:rsidR="00187D6E">
        <w:rPr>
          <w:sz w:val="26"/>
          <w:szCs w:val="26"/>
        </w:rPr>
        <w:t>,</w:t>
      </w:r>
      <w:r w:rsidR="001273FD" w:rsidRPr="001273FD">
        <w:rPr>
          <w:sz w:val="26"/>
          <w:szCs w:val="26"/>
        </w:rPr>
        <w:t xml:space="preserve"> </w:t>
      </w:r>
      <w:r w:rsidR="001273FD" w:rsidRPr="00187D6E">
        <w:rPr>
          <w:sz w:val="26"/>
          <w:szCs w:val="26"/>
        </w:rPr>
        <w:t>sustainable</w:t>
      </w:r>
      <w:r w:rsidR="001273FD" w:rsidRPr="001273FD">
        <w:rPr>
          <w:sz w:val="26"/>
          <w:szCs w:val="26"/>
        </w:rPr>
        <w:t xml:space="preserve"> competitive retail market </w:t>
      </w:r>
      <w:r w:rsidR="00187D6E">
        <w:rPr>
          <w:sz w:val="26"/>
          <w:szCs w:val="26"/>
        </w:rPr>
        <w:t xml:space="preserve">that is </w:t>
      </w:r>
      <w:r w:rsidR="001273FD" w:rsidRPr="001273FD">
        <w:rPr>
          <w:sz w:val="26"/>
          <w:szCs w:val="26"/>
        </w:rPr>
        <w:t xml:space="preserve">devoid of “boom/bust” cycles and that will provide </w:t>
      </w:r>
      <w:r w:rsidR="00187D6E">
        <w:rPr>
          <w:sz w:val="26"/>
          <w:szCs w:val="26"/>
        </w:rPr>
        <w:t>a</w:t>
      </w:r>
      <w:r w:rsidR="001273FD" w:rsidRPr="001273FD">
        <w:rPr>
          <w:sz w:val="26"/>
          <w:szCs w:val="26"/>
        </w:rPr>
        <w:t xml:space="preserve"> myriad of </w:t>
      </w:r>
      <w:r w:rsidR="00E73094">
        <w:rPr>
          <w:sz w:val="26"/>
          <w:szCs w:val="26"/>
        </w:rPr>
        <w:t xml:space="preserve">product and service offerings, </w:t>
      </w:r>
      <w:r w:rsidR="001273FD" w:rsidRPr="001273FD">
        <w:rPr>
          <w:sz w:val="26"/>
          <w:szCs w:val="26"/>
        </w:rPr>
        <w:t xml:space="preserve">including those that offer various levels of price certainty and </w:t>
      </w:r>
      <w:r w:rsidR="00E73094">
        <w:rPr>
          <w:sz w:val="26"/>
          <w:szCs w:val="26"/>
        </w:rPr>
        <w:t xml:space="preserve">predictability, </w:t>
      </w:r>
      <w:r w:rsidR="001273FD" w:rsidRPr="001273FD">
        <w:rPr>
          <w:sz w:val="26"/>
          <w:szCs w:val="26"/>
        </w:rPr>
        <w:t>from which customers can choose.</w:t>
      </w:r>
      <w:r w:rsidR="001273FD" w:rsidRPr="001273FD">
        <w:rPr>
          <w:rStyle w:val="FootnoteReference"/>
          <w:sz w:val="26"/>
          <w:szCs w:val="26"/>
        </w:rPr>
        <w:footnoteReference w:id="7"/>
      </w:r>
      <w:r w:rsidR="001273FD" w:rsidRPr="001273FD">
        <w:rPr>
          <w:sz w:val="26"/>
          <w:szCs w:val="26"/>
        </w:rPr>
        <w:t xml:space="preserve">  Yet, </w:t>
      </w:r>
      <w:r w:rsidR="00E73094">
        <w:rPr>
          <w:sz w:val="26"/>
          <w:szCs w:val="26"/>
        </w:rPr>
        <w:t xml:space="preserve">according to RESA, </w:t>
      </w:r>
      <w:r w:rsidR="001273FD" w:rsidRPr="001273FD">
        <w:rPr>
          <w:sz w:val="26"/>
          <w:szCs w:val="26"/>
        </w:rPr>
        <w:t>the ALJ in her disposition makes no reference to the statutory necessity to develop a sustainable, robust competitive market; rather, she simply opines that current default service customers may have their own reasons for not shopping, or may be too busy to bother with shopping for electricity, and that those customers should have the least risk and</w:t>
      </w:r>
      <w:r w:rsidR="00BE0724">
        <w:rPr>
          <w:sz w:val="26"/>
          <w:szCs w:val="26"/>
        </w:rPr>
        <w:t xml:space="preserve"> most stable prices available.  RESA argues that denying its </w:t>
      </w:r>
      <w:r w:rsidR="001273FD" w:rsidRPr="001273FD">
        <w:rPr>
          <w:sz w:val="26"/>
          <w:szCs w:val="26"/>
        </w:rPr>
        <w:t xml:space="preserve"> proposal on those grounds ignores the Competition Act’s mandate to create a competitive electricity market. </w:t>
      </w:r>
      <w:r w:rsidR="00E73094">
        <w:rPr>
          <w:sz w:val="26"/>
          <w:szCs w:val="26"/>
        </w:rPr>
        <w:t xml:space="preserve">  RESA Exc. at</w:t>
      </w:r>
      <w:r w:rsidR="00B67E4B">
        <w:rPr>
          <w:sz w:val="26"/>
          <w:szCs w:val="26"/>
          <w:lang w:val="en-US"/>
        </w:rPr>
        <w:t> </w:t>
      </w:r>
      <w:r w:rsidR="00E73094">
        <w:rPr>
          <w:sz w:val="26"/>
          <w:szCs w:val="26"/>
        </w:rPr>
        <w:t>5-6.</w:t>
      </w:r>
      <w:r w:rsidR="001273FD" w:rsidRPr="001273FD">
        <w:rPr>
          <w:sz w:val="26"/>
          <w:szCs w:val="26"/>
        </w:rPr>
        <w:t xml:space="preserve"> </w:t>
      </w:r>
    </w:p>
    <w:p w:rsidR="00A77895" w:rsidRPr="00A77895" w:rsidRDefault="00A77895" w:rsidP="004C2F4B">
      <w:pPr>
        <w:pStyle w:val="BodyText2"/>
        <w:spacing w:after="0" w:line="360" w:lineRule="auto"/>
        <w:ind w:firstLine="720"/>
        <w:rPr>
          <w:sz w:val="26"/>
          <w:szCs w:val="26"/>
        </w:rPr>
      </w:pPr>
    </w:p>
    <w:p w:rsidR="001273FD" w:rsidRPr="00E73094" w:rsidRDefault="00A77895" w:rsidP="00A77895">
      <w:pPr>
        <w:pStyle w:val="BodyText2"/>
        <w:spacing w:line="360" w:lineRule="auto"/>
        <w:ind w:firstLine="720"/>
        <w:rPr>
          <w:sz w:val="26"/>
          <w:szCs w:val="26"/>
        </w:rPr>
      </w:pPr>
      <w:r>
        <w:rPr>
          <w:i/>
          <w:sz w:val="26"/>
          <w:szCs w:val="26"/>
        </w:rPr>
        <w:t xml:space="preserve"> </w:t>
      </w:r>
      <w:r>
        <w:rPr>
          <w:i/>
          <w:sz w:val="26"/>
          <w:szCs w:val="26"/>
        </w:rPr>
        <w:tab/>
      </w:r>
      <w:r w:rsidR="00BE0724">
        <w:rPr>
          <w:sz w:val="26"/>
          <w:szCs w:val="26"/>
        </w:rPr>
        <w:t xml:space="preserve">RESA </w:t>
      </w:r>
      <w:r w:rsidR="00E73094">
        <w:rPr>
          <w:sz w:val="26"/>
          <w:szCs w:val="26"/>
        </w:rPr>
        <w:t xml:space="preserve">also </w:t>
      </w:r>
      <w:r w:rsidR="00BE0724">
        <w:rPr>
          <w:sz w:val="26"/>
          <w:szCs w:val="26"/>
        </w:rPr>
        <w:t xml:space="preserve">argues that </w:t>
      </w:r>
      <w:r w:rsidR="001273FD" w:rsidRPr="001273FD">
        <w:rPr>
          <w:sz w:val="26"/>
          <w:szCs w:val="26"/>
        </w:rPr>
        <w:t>the ALJ relies in part on unsuppo</w:t>
      </w:r>
      <w:r w:rsidR="00E73094">
        <w:rPr>
          <w:sz w:val="26"/>
          <w:szCs w:val="26"/>
        </w:rPr>
        <w:t xml:space="preserve">rted, backwards reasoning.  RESA notes that the ALJ </w:t>
      </w:r>
      <w:r w:rsidR="001273FD" w:rsidRPr="001273FD">
        <w:rPr>
          <w:sz w:val="26"/>
          <w:szCs w:val="26"/>
        </w:rPr>
        <w:t>states that RESA’s proposal for quarterly and annual contracts will compromise price stability “too far, resulting in customers who refuse to shop due to the lack of predictability beyond the three months and the need for almost constant monito</w:t>
      </w:r>
      <w:r w:rsidR="00BE0724">
        <w:rPr>
          <w:sz w:val="26"/>
          <w:szCs w:val="26"/>
        </w:rPr>
        <w:t>ring of retail market rates.”</w:t>
      </w:r>
      <w:r w:rsidR="004C2F4B">
        <w:rPr>
          <w:rStyle w:val="FootnoteReference"/>
          <w:sz w:val="26"/>
          <w:szCs w:val="26"/>
        </w:rPr>
        <w:footnoteReference w:id="8"/>
      </w:r>
      <w:r w:rsidR="00BE0724">
        <w:rPr>
          <w:sz w:val="26"/>
          <w:szCs w:val="26"/>
        </w:rPr>
        <w:t xml:space="preserve">  RESA submits that the ALJ mistakenly </w:t>
      </w:r>
      <w:r w:rsidR="001273FD" w:rsidRPr="001273FD">
        <w:rPr>
          <w:sz w:val="26"/>
          <w:szCs w:val="26"/>
        </w:rPr>
        <w:t xml:space="preserve">assumes that all switching is based on price, and RESA presented evidence </w:t>
      </w:r>
      <w:r w:rsidR="001273FD" w:rsidRPr="001273FD">
        <w:rPr>
          <w:sz w:val="26"/>
          <w:szCs w:val="26"/>
        </w:rPr>
        <w:lastRenderedPageBreak/>
        <w:t>that such is not the case.</w:t>
      </w:r>
      <w:r w:rsidR="001273FD" w:rsidRPr="001273FD">
        <w:rPr>
          <w:rStyle w:val="FootnoteReference"/>
          <w:sz w:val="26"/>
          <w:szCs w:val="26"/>
        </w:rPr>
        <w:footnoteReference w:id="9"/>
      </w:r>
      <w:r w:rsidR="001273FD" w:rsidRPr="001273FD">
        <w:rPr>
          <w:sz w:val="26"/>
          <w:szCs w:val="26"/>
        </w:rPr>
        <w:t xml:space="preserve">  </w:t>
      </w:r>
      <w:r w:rsidR="00BE0724">
        <w:rPr>
          <w:sz w:val="26"/>
          <w:szCs w:val="26"/>
        </w:rPr>
        <w:t xml:space="preserve">RESA also submits that the ALJ </w:t>
      </w:r>
      <w:r w:rsidR="001273FD" w:rsidRPr="001273FD">
        <w:rPr>
          <w:sz w:val="26"/>
          <w:szCs w:val="26"/>
        </w:rPr>
        <w:t>mistake</w:t>
      </w:r>
      <w:r w:rsidR="00BE0724">
        <w:rPr>
          <w:sz w:val="26"/>
          <w:szCs w:val="26"/>
        </w:rPr>
        <w:t>nly</w:t>
      </w:r>
      <w:r w:rsidR="001273FD" w:rsidRPr="001273FD">
        <w:rPr>
          <w:sz w:val="26"/>
          <w:szCs w:val="26"/>
        </w:rPr>
        <w:t xml:space="preserve"> </w:t>
      </w:r>
      <w:r w:rsidR="00BE0724">
        <w:rPr>
          <w:sz w:val="26"/>
          <w:szCs w:val="26"/>
        </w:rPr>
        <w:t>concludes that rate changes four times per year would</w:t>
      </w:r>
      <w:r w:rsidR="001273FD" w:rsidRPr="001273FD">
        <w:rPr>
          <w:sz w:val="26"/>
          <w:szCs w:val="26"/>
        </w:rPr>
        <w:t xml:space="preserve"> result in custome</w:t>
      </w:r>
      <w:r w:rsidR="00BE0724">
        <w:rPr>
          <w:sz w:val="26"/>
          <w:szCs w:val="26"/>
        </w:rPr>
        <w:t xml:space="preserve">r paralysis.  </w:t>
      </w:r>
      <w:r w:rsidR="001273FD" w:rsidRPr="001273FD">
        <w:rPr>
          <w:sz w:val="26"/>
          <w:szCs w:val="26"/>
        </w:rPr>
        <w:t xml:space="preserve">RESA </w:t>
      </w:r>
      <w:r w:rsidR="00BE0724">
        <w:rPr>
          <w:sz w:val="26"/>
          <w:szCs w:val="26"/>
        </w:rPr>
        <w:t xml:space="preserve">submits </w:t>
      </w:r>
      <w:r w:rsidR="001273FD" w:rsidRPr="001273FD">
        <w:rPr>
          <w:sz w:val="26"/>
          <w:szCs w:val="26"/>
        </w:rPr>
        <w:t>that the opposite is true because the rate will better reflect market prices and lead to a sustainable competitive market place with numerous EGSs offering a my</w:t>
      </w:r>
      <w:r w:rsidR="00C027A8">
        <w:rPr>
          <w:sz w:val="26"/>
          <w:szCs w:val="26"/>
        </w:rPr>
        <w:t>riad of products and services.</w:t>
      </w:r>
      <w:r w:rsidR="00E73094">
        <w:rPr>
          <w:sz w:val="26"/>
          <w:szCs w:val="26"/>
        </w:rPr>
        <w:t xml:space="preserve">  RESA Exc. at 7-8.</w:t>
      </w:r>
    </w:p>
    <w:p w:rsidR="00A77895" w:rsidRDefault="00A77895" w:rsidP="001273FD">
      <w:pPr>
        <w:pStyle w:val="BodyText2"/>
        <w:spacing w:line="360" w:lineRule="auto"/>
        <w:rPr>
          <w:i/>
          <w:sz w:val="26"/>
          <w:szCs w:val="26"/>
        </w:rPr>
      </w:pPr>
    </w:p>
    <w:p w:rsidR="001273FD" w:rsidRPr="00E73094" w:rsidRDefault="00A77895" w:rsidP="00A77895">
      <w:pPr>
        <w:pStyle w:val="BodyText2"/>
        <w:spacing w:line="360" w:lineRule="auto"/>
        <w:ind w:firstLine="720"/>
        <w:rPr>
          <w:sz w:val="26"/>
          <w:szCs w:val="26"/>
        </w:rPr>
      </w:pPr>
      <w:r>
        <w:rPr>
          <w:i/>
          <w:sz w:val="26"/>
          <w:szCs w:val="26"/>
        </w:rPr>
        <w:t xml:space="preserve"> </w:t>
      </w:r>
      <w:r>
        <w:rPr>
          <w:i/>
          <w:sz w:val="26"/>
          <w:szCs w:val="26"/>
        </w:rPr>
        <w:tab/>
      </w:r>
      <w:r w:rsidR="00BE0724">
        <w:rPr>
          <w:sz w:val="26"/>
          <w:szCs w:val="26"/>
        </w:rPr>
        <w:t xml:space="preserve">RESA argues that </w:t>
      </w:r>
      <w:r w:rsidR="001273FD" w:rsidRPr="001273FD">
        <w:rPr>
          <w:sz w:val="26"/>
          <w:szCs w:val="26"/>
        </w:rPr>
        <w:t xml:space="preserve">the ALJ incorrectly recommends </w:t>
      </w:r>
      <w:r w:rsidR="00153CB6">
        <w:rPr>
          <w:sz w:val="26"/>
          <w:szCs w:val="26"/>
        </w:rPr>
        <w:t xml:space="preserve">the </w:t>
      </w:r>
      <w:r w:rsidR="00187D6E">
        <w:rPr>
          <w:sz w:val="26"/>
          <w:szCs w:val="26"/>
        </w:rPr>
        <w:t xml:space="preserve">adoption of </w:t>
      </w:r>
      <w:r w:rsidR="001273FD" w:rsidRPr="001273FD">
        <w:rPr>
          <w:sz w:val="26"/>
          <w:szCs w:val="26"/>
        </w:rPr>
        <w:t>Duquesne’s plan on the premise that the plan ensures the “least amount of risk to cons</w:t>
      </w:r>
      <w:r w:rsidR="00BE0724">
        <w:rPr>
          <w:sz w:val="26"/>
          <w:szCs w:val="26"/>
        </w:rPr>
        <w:t>umers in the current market.”</w:t>
      </w:r>
      <w:r w:rsidR="00740CF5">
        <w:rPr>
          <w:rStyle w:val="FootnoteReference"/>
          <w:sz w:val="26"/>
          <w:szCs w:val="26"/>
        </w:rPr>
        <w:footnoteReference w:id="10"/>
      </w:r>
      <w:r w:rsidR="00BE0724">
        <w:rPr>
          <w:sz w:val="26"/>
          <w:szCs w:val="26"/>
        </w:rPr>
        <w:t xml:space="preserve">  RESA argues that t</w:t>
      </w:r>
      <w:r w:rsidR="001273FD" w:rsidRPr="001273FD">
        <w:rPr>
          <w:sz w:val="26"/>
          <w:szCs w:val="26"/>
        </w:rPr>
        <w:t>he Competition Act do</w:t>
      </w:r>
      <w:r w:rsidR="00BE0724">
        <w:rPr>
          <w:sz w:val="26"/>
          <w:szCs w:val="26"/>
        </w:rPr>
        <w:t>es not say anything about a DSP</w:t>
      </w:r>
      <w:r w:rsidR="001273FD" w:rsidRPr="001273FD">
        <w:rPr>
          <w:sz w:val="26"/>
          <w:szCs w:val="26"/>
        </w:rPr>
        <w:t xml:space="preserve"> being the “least risk” to consumers</w:t>
      </w:r>
      <w:r w:rsidR="00BE0724">
        <w:rPr>
          <w:sz w:val="26"/>
          <w:szCs w:val="26"/>
        </w:rPr>
        <w:t>, and that this criterion</w:t>
      </w:r>
      <w:r w:rsidR="001273FD" w:rsidRPr="001273FD">
        <w:rPr>
          <w:sz w:val="26"/>
          <w:szCs w:val="26"/>
        </w:rPr>
        <w:t xml:space="preserve"> does not exist in either the statute or other applicable regulations or orders.  </w:t>
      </w:r>
      <w:r w:rsidR="00D82BC4">
        <w:rPr>
          <w:sz w:val="26"/>
          <w:szCs w:val="26"/>
        </w:rPr>
        <w:t>RESA submits that,</w:t>
      </w:r>
      <w:r w:rsidR="001273FD" w:rsidRPr="001273FD">
        <w:rPr>
          <w:sz w:val="26"/>
          <w:szCs w:val="26"/>
        </w:rPr>
        <w:t xml:space="preserve"> to the extent t</w:t>
      </w:r>
      <w:r w:rsidR="00D82BC4">
        <w:rPr>
          <w:sz w:val="26"/>
          <w:szCs w:val="26"/>
        </w:rPr>
        <w:t xml:space="preserve">hat customers view quarterly procurements and PTC changes </w:t>
      </w:r>
      <w:r w:rsidR="001273FD" w:rsidRPr="001273FD">
        <w:rPr>
          <w:sz w:val="26"/>
          <w:szCs w:val="26"/>
        </w:rPr>
        <w:t xml:space="preserve">as too risky, they </w:t>
      </w:r>
      <w:r w:rsidR="00D82BC4">
        <w:rPr>
          <w:sz w:val="26"/>
          <w:szCs w:val="26"/>
        </w:rPr>
        <w:t>can turn to the competitive marketplace.</w:t>
      </w:r>
      <w:r w:rsidR="00E73094">
        <w:rPr>
          <w:sz w:val="26"/>
          <w:szCs w:val="26"/>
        </w:rPr>
        <w:t xml:space="preserve">  RESA Exc. at 8.</w:t>
      </w:r>
    </w:p>
    <w:p w:rsidR="00A77895" w:rsidRDefault="00A77895" w:rsidP="001273FD">
      <w:pPr>
        <w:spacing w:line="360" w:lineRule="auto"/>
        <w:rPr>
          <w:i/>
          <w:sz w:val="26"/>
          <w:szCs w:val="26"/>
        </w:rPr>
      </w:pPr>
    </w:p>
    <w:p w:rsidR="001273FD" w:rsidRDefault="00A77895" w:rsidP="00A77895">
      <w:pPr>
        <w:spacing w:line="360" w:lineRule="auto"/>
        <w:ind w:firstLine="720"/>
        <w:rPr>
          <w:sz w:val="26"/>
          <w:szCs w:val="26"/>
        </w:rPr>
      </w:pPr>
      <w:r>
        <w:rPr>
          <w:i/>
          <w:sz w:val="26"/>
          <w:szCs w:val="26"/>
        </w:rPr>
        <w:t xml:space="preserve"> </w:t>
      </w:r>
      <w:r>
        <w:rPr>
          <w:i/>
          <w:sz w:val="26"/>
          <w:szCs w:val="26"/>
        </w:rPr>
        <w:tab/>
      </w:r>
      <w:r w:rsidR="00876F9B">
        <w:rPr>
          <w:sz w:val="26"/>
          <w:szCs w:val="26"/>
        </w:rPr>
        <w:t xml:space="preserve">Finally, </w:t>
      </w:r>
      <w:r w:rsidR="00D82BC4">
        <w:rPr>
          <w:sz w:val="26"/>
          <w:szCs w:val="26"/>
        </w:rPr>
        <w:t xml:space="preserve">RESA argues that its </w:t>
      </w:r>
      <w:r w:rsidR="001273FD" w:rsidRPr="001273FD">
        <w:rPr>
          <w:sz w:val="26"/>
          <w:szCs w:val="26"/>
        </w:rPr>
        <w:t>residential procurement proposal is consistent with the Commission’s now-stated goal for the default service e</w:t>
      </w:r>
      <w:r w:rsidR="00DC36CB">
        <w:rPr>
          <w:sz w:val="26"/>
          <w:szCs w:val="26"/>
        </w:rPr>
        <w:t xml:space="preserve">nd state.  As articulated in </w:t>
      </w:r>
      <w:r w:rsidR="008C0799">
        <w:rPr>
          <w:sz w:val="26"/>
          <w:szCs w:val="26"/>
        </w:rPr>
        <w:t>the</w:t>
      </w:r>
      <w:r w:rsidR="001273FD" w:rsidRPr="001273FD">
        <w:rPr>
          <w:sz w:val="26"/>
          <w:szCs w:val="26"/>
        </w:rPr>
        <w:t xml:space="preserve"> </w:t>
      </w:r>
      <w:r w:rsidR="00DC36CB" w:rsidRPr="00DC36CB">
        <w:rPr>
          <w:i/>
          <w:sz w:val="26"/>
          <w:szCs w:val="26"/>
        </w:rPr>
        <w:t>Investigation of Pennsylvania’s Retail Electricity Market: End State Default Service</w:t>
      </w:r>
      <w:r w:rsidR="00DC36CB" w:rsidRPr="00FF390A">
        <w:rPr>
          <w:sz w:val="26"/>
          <w:szCs w:val="26"/>
        </w:rPr>
        <w:t>, Docket No. I-2011-2237952 (Tentative Order entered November 8, 2012) (</w:t>
      </w:r>
      <w:r w:rsidR="00DC36CB" w:rsidRPr="00DC36CB">
        <w:rPr>
          <w:i/>
          <w:sz w:val="26"/>
          <w:szCs w:val="26"/>
        </w:rPr>
        <w:t>End-State Tentative Order</w:t>
      </w:r>
      <w:r w:rsidR="00DC36CB">
        <w:rPr>
          <w:sz w:val="26"/>
          <w:szCs w:val="26"/>
        </w:rPr>
        <w:t>)</w:t>
      </w:r>
      <w:r w:rsidR="00DC36CB">
        <w:rPr>
          <w:i/>
          <w:sz w:val="26"/>
          <w:szCs w:val="26"/>
        </w:rPr>
        <w:t xml:space="preserve"> </w:t>
      </w:r>
      <w:r w:rsidR="001273FD" w:rsidRPr="001273FD">
        <w:rPr>
          <w:sz w:val="26"/>
          <w:szCs w:val="26"/>
        </w:rPr>
        <w:t>at 17, the residential and small commercial (below 100 kW) default service supply would be procured via 100% fix</w:t>
      </w:r>
      <w:r w:rsidR="00282414">
        <w:rPr>
          <w:sz w:val="26"/>
          <w:szCs w:val="26"/>
        </w:rPr>
        <w:t>ed, quarterly contracts.  RESA submits that its</w:t>
      </w:r>
      <w:r w:rsidR="00876F9B">
        <w:rPr>
          <w:sz w:val="26"/>
          <w:szCs w:val="26"/>
        </w:rPr>
        <w:t xml:space="preserve"> blend of 50% twelve-month and 50% three</w:t>
      </w:r>
      <w:r w:rsidR="001273FD" w:rsidRPr="001273FD">
        <w:rPr>
          <w:sz w:val="26"/>
          <w:szCs w:val="26"/>
        </w:rPr>
        <w:t>-month contracts would provide a reasonable transition to such an end</w:t>
      </w:r>
      <w:r w:rsidR="00187D6E">
        <w:rPr>
          <w:sz w:val="26"/>
          <w:szCs w:val="26"/>
        </w:rPr>
        <w:t>-</w:t>
      </w:r>
      <w:r w:rsidR="001273FD" w:rsidRPr="001273FD">
        <w:rPr>
          <w:sz w:val="26"/>
          <w:szCs w:val="26"/>
        </w:rPr>
        <w:t xml:space="preserve">state.  Moreover, </w:t>
      </w:r>
      <w:r w:rsidR="00876F9B">
        <w:rPr>
          <w:sz w:val="26"/>
          <w:szCs w:val="26"/>
        </w:rPr>
        <w:t>RESA avers that</w:t>
      </w:r>
      <w:r w:rsidR="00187D6E">
        <w:rPr>
          <w:sz w:val="26"/>
          <w:szCs w:val="26"/>
        </w:rPr>
        <w:t>,</w:t>
      </w:r>
      <w:r w:rsidR="00876F9B">
        <w:rPr>
          <w:sz w:val="26"/>
          <w:szCs w:val="26"/>
        </w:rPr>
        <w:t xml:space="preserve"> </w:t>
      </w:r>
      <w:r w:rsidR="001273FD" w:rsidRPr="001273FD">
        <w:rPr>
          <w:sz w:val="26"/>
          <w:szCs w:val="26"/>
        </w:rPr>
        <w:t xml:space="preserve">to the extent that the ALJ and others deem quarterly default service price changes as too unstable, the Commission, by issuing the </w:t>
      </w:r>
      <w:r w:rsidR="008C0799">
        <w:rPr>
          <w:i/>
          <w:sz w:val="26"/>
          <w:szCs w:val="26"/>
        </w:rPr>
        <w:t xml:space="preserve">End-State </w:t>
      </w:r>
      <w:r w:rsidR="001273FD" w:rsidRPr="001273FD">
        <w:rPr>
          <w:i/>
          <w:sz w:val="26"/>
          <w:szCs w:val="26"/>
        </w:rPr>
        <w:t>Tentative Order</w:t>
      </w:r>
      <w:r w:rsidR="001273FD" w:rsidRPr="001273FD">
        <w:rPr>
          <w:sz w:val="26"/>
          <w:szCs w:val="26"/>
        </w:rPr>
        <w:t xml:space="preserve">, would appear to </w:t>
      </w:r>
      <w:r w:rsidR="001273FD" w:rsidRPr="001273FD">
        <w:rPr>
          <w:sz w:val="26"/>
          <w:szCs w:val="26"/>
        </w:rPr>
        <w:lastRenderedPageBreak/>
        <w:t>disagree, as the Commission envisions an end</w:t>
      </w:r>
      <w:r w:rsidR="00187D6E">
        <w:rPr>
          <w:sz w:val="26"/>
          <w:szCs w:val="26"/>
        </w:rPr>
        <w:t>-</w:t>
      </w:r>
      <w:r w:rsidR="001273FD" w:rsidRPr="001273FD">
        <w:rPr>
          <w:sz w:val="26"/>
          <w:szCs w:val="26"/>
        </w:rPr>
        <w:t>state that would allow 100% of the residential default service rate to change every three months.</w:t>
      </w:r>
      <w:r w:rsidR="00876F9B">
        <w:rPr>
          <w:sz w:val="26"/>
          <w:szCs w:val="26"/>
        </w:rPr>
        <w:t xml:space="preserve">  RESA Exc. at 8-9.</w:t>
      </w:r>
      <w:r w:rsidR="00282414">
        <w:rPr>
          <w:sz w:val="26"/>
          <w:szCs w:val="26"/>
        </w:rPr>
        <w:t xml:space="preserve">  </w:t>
      </w:r>
    </w:p>
    <w:p w:rsidR="00A77895" w:rsidRPr="00A77895" w:rsidRDefault="00A77895" w:rsidP="00A77895">
      <w:pPr>
        <w:spacing w:line="360" w:lineRule="auto"/>
        <w:ind w:firstLine="720"/>
        <w:rPr>
          <w:b/>
          <w:sz w:val="26"/>
          <w:szCs w:val="26"/>
        </w:rPr>
      </w:pPr>
    </w:p>
    <w:p w:rsidR="00A77895" w:rsidRDefault="000B0447" w:rsidP="00A23D0F">
      <w:pPr>
        <w:pStyle w:val="Heading5"/>
        <w:numPr>
          <w:ilvl w:val="0"/>
          <w:numId w:val="0"/>
        </w:numPr>
        <w:ind w:left="3600" w:hanging="720"/>
      </w:pPr>
      <w:bookmarkStart w:id="20" w:name="_Toc346705265"/>
      <w:r>
        <w:t>v.</w:t>
      </w:r>
      <w:r>
        <w:tab/>
      </w:r>
      <w:r w:rsidR="00A77895" w:rsidRPr="00A77895">
        <w:t>Reply Exceptions</w:t>
      </w:r>
      <w:bookmarkEnd w:id="20"/>
    </w:p>
    <w:p w:rsidR="00C826BE" w:rsidRDefault="00C826BE" w:rsidP="00A23D0F">
      <w:pPr>
        <w:pStyle w:val="ListParagraph"/>
        <w:keepNext/>
        <w:spacing w:line="360" w:lineRule="auto"/>
        <w:ind w:left="2880"/>
        <w:rPr>
          <w:b/>
          <w:sz w:val="26"/>
          <w:szCs w:val="26"/>
        </w:rPr>
      </w:pPr>
    </w:p>
    <w:p w:rsidR="005663DB" w:rsidRDefault="005663DB" w:rsidP="002A604D">
      <w:pPr>
        <w:pStyle w:val="BodyText2"/>
        <w:spacing w:line="360" w:lineRule="auto"/>
        <w:ind w:firstLine="1440"/>
        <w:rPr>
          <w:sz w:val="26"/>
          <w:szCs w:val="26"/>
        </w:rPr>
      </w:pPr>
      <w:r w:rsidRPr="00C826BE">
        <w:rPr>
          <w:sz w:val="26"/>
          <w:szCs w:val="26"/>
        </w:rPr>
        <w:t>In its Reply Exceptions, Duquesne argues that the ALJ’s recommendation to approve Duquesne’s proposed procurement plan for Resident</w:t>
      </w:r>
      <w:r w:rsidR="00CF714C">
        <w:rPr>
          <w:sz w:val="26"/>
          <w:szCs w:val="26"/>
        </w:rPr>
        <w:t>ial customers should be adopted;</w:t>
      </w:r>
      <w:r w:rsidRPr="00C826BE">
        <w:rPr>
          <w:sz w:val="26"/>
          <w:szCs w:val="26"/>
        </w:rPr>
        <w:t xml:space="preserve"> </w:t>
      </w:r>
      <w:r w:rsidR="00CF714C">
        <w:rPr>
          <w:sz w:val="26"/>
          <w:szCs w:val="26"/>
        </w:rPr>
        <w:t xml:space="preserve">that </w:t>
      </w:r>
      <w:r w:rsidR="00282414">
        <w:rPr>
          <w:sz w:val="26"/>
          <w:szCs w:val="26"/>
        </w:rPr>
        <w:t xml:space="preserve">the </w:t>
      </w:r>
      <w:r w:rsidR="00876F9B">
        <w:rPr>
          <w:sz w:val="26"/>
          <w:szCs w:val="26"/>
        </w:rPr>
        <w:t>OCA’s request for two</w:t>
      </w:r>
      <w:r w:rsidR="00CF714C">
        <w:rPr>
          <w:sz w:val="26"/>
          <w:szCs w:val="26"/>
        </w:rPr>
        <w:t xml:space="preserve">-year contracts </w:t>
      </w:r>
      <w:r w:rsidR="00187D6E">
        <w:rPr>
          <w:sz w:val="26"/>
          <w:szCs w:val="26"/>
        </w:rPr>
        <w:t xml:space="preserve">should </w:t>
      </w:r>
      <w:r w:rsidR="00CF714C">
        <w:rPr>
          <w:sz w:val="26"/>
          <w:szCs w:val="26"/>
        </w:rPr>
        <w:t xml:space="preserve">be rejected; </w:t>
      </w:r>
      <w:r w:rsidRPr="00C826BE">
        <w:rPr>
          <w:sz w:val="26"/>
          <w:szCs w:val="26"/>
        </w:rPr>
        <w:t>and that RESA’s prop</w:t>
      </w:r>
      <w:r w:rsidR="00876F9B">
        <w:rPr>
          <w:sz w:val="26"/>
          <w:szCs w:val="26"/>
        </w:rPr>
        <w:t>osal for ninety</w:t>
      </w:r>
      <w:r w:rsidR="00282414">
        <w:rPr>
          <w:sz w:val="26"/>
          <w:szCs w:val="26"/>
        </w:rPr>
        <w:t xml:space="preserve">-day contracts </w:t>
      </w:r>
      <w:r w:rsidR="00876F9B">
        <w:rPr>
          <w:sz w:val="26"/>
          <w:szCs w:val="26"/>
        </w:rPr>
        <w:t xml:space="preserve">should be rejected.  </w:t>
      </w:r>
      <w:r w:rsidR="00CF714C">
        <w:rPr>
          <w:sz w:val="26"/>
          <w:szCs w:val="26"/>
        </w:rPr>
        <w:t xml:space="preserve">With regard to RESA’s Exceptions, Duquesne explains that </w:t>
      </w:r>
      <w:r w:rsidRPr="00C826BE">
        <w:rPr>
          <w:sz w:val="26"/>
          <w:szCs w:val="26"/>
        </w:rPr>
        <w:t xml:space="preserve">RESA </w:t>
      </w:r>
      <w:r w:rsidR="00CF714C">
        <w:rPr>
          <w:sz w:val="26"/>
          <w:szCs w:val="26"/>
        </w:rPr>
        <w:t>is pressing</w:t>
      </w:r>
      <w:r w:rsidRPr="00C826BE">
        <w:rPr>
          <w:sz w:val="26"/>
          <w:szCs w:val="26"/>
        </w:rPr>
        <w:t xml:space="preserve"> its unp</w:t>
      </w:r>
      <w:r w:rsidR="00876F9B">
        <w:rPr>
          <w:sz w:val="26"/>
          <w:szCs w:val="26"/>
        </w:rPr>
        <w:t>recedented proposal to employ ninety</w:t>
      </w:r>
      <w:r w:rsidRPr="00C826BE">
        <w:rPr>
          <w:sz w:val="26"/>
          <w:szCs w:val="26"/>
        </w:rPr>
        <w:t xml:space="preserve">-day supply products for half of the load of </w:t>
      </w:r>
      <w:r w:rsidR="00187D6E">
        <w:rPr>
          <w:sz w:val="26"/>
          <w:szCs w:val="26"/>
        </w:rPr>
        <w:t>r</w:t>
      </w:r>
      <w:r w:rsidRPr="00C826BE">
        <w:rPr>
          <w:sz w:val="26"/>
          <w:szCs w:val="26"/>
        </w:rPr>
        <w:t>esidenti</w:t>
      </w:r>
      <w:r w:rsidR="00876F9B">
        <w:rPr>
          <w:sz w:val="26"/>
          <w:szCs w:val="26"/>
        </w:rPr>
        <w:t>al default service customers.  According to Duquesne, t</w:t>
      </w:r>
      <w:r w:rsidRPr="00C826BE">
        <w:rPr>
          <w:sz w:val="26"/>
          <w:szCs w:val="26"/>
        </w:rPr>
        <w:t xml:space="preserve">he effect of this proposal would be to move Duquesne’s </w:t>
      </w:r>
      <w:r w:rsidR="00187D6E">
        <w:rPr>
          <w:sz w:val="26"/>
          <w:szCs w:val="26"/>
        </w:rPr>
        <w:t>r</w:t>
      </w:r>
      <w:r w:rsidRPr="00C826BE">
        <w:rPr>
          <w:sz w:val="26"/>
          <w:szCs w:val="26"/>
        </w:rPr>
        <w:t>esidentia</w:t>
      </w:r>
      <w:r w:rsidR="00876F9B">
        <w:rPr>
          <w:sz w:val="26"/>
          <w:szCs w:val="26"/>
        </w:rPr>
        <w:t>l default service rate from a twenty-nine</w:t>
      </w:r>
      <w:r w:rsidRPr="00C826BE">
        <w:rPr>
          <w:sz w:val="26"/>
          <w:szCs w:val="26"/>
        </w:rPr>
        <w:t xml:space="preserve">-month fixed rate under DSP V to quarterly rates under DSP VI.  In contrast, Duquesne proposes, and all other Parties support, annual rate changes for </w:t>
      </w:r>
      <w:r w:rsidR="00187D6E">
        <w:rPr>
          <w:sz w:val="26"/>
          <w:szCs w:val="26"/>
        </w:rPr>
        <w:t>r</w:t>
      </w:r>
      <w:r w:rsidRPr="00C826BE">
        <w:rPr>
          <w:sz w:val="26"/>
          <w:szCs w:val="26"/>
        </w:rPr>
        <w:t>esidential customers, based primarily on one-year full requirements products.</w:t>
      </w:r>
      <w:r w:rsidRPr="00C826BE">
        <w:rPr>
          <w:rStyle w:val="FootnoteReference"/>
          <w:sz w:val="26"/>
          <w:szCs w:val="26"/>
        </w:rPr>
        <w:footnoteReference w:id="11"/>
      </w:r>
      <w:r w:rsidR="00282414">
        <w:rPr>
          <w:sz w:val="26"/>
          <w:szCs w:val="26"/>
        </w:rPr>
        <w:t xml:space="preserve">  Duquesne states that t</w:t>
      </w:r>
      <w:r w:rsidRPr="00C826BE">
        <w:rPr>
          <w:sz w:val="26"/>
          <w:szCs w:val="26"/>
        </w:rPr>
        <w:t xml:space="preserve">he determination of the term of the products and the frequency of rate changes for </w:t>
      </w:r>
      <w:r w:rsidR="00187D6E">
        <w:rPr>
          <w:sz w:val="26"/>
          <w:szCs w:val="26"/>
        </w:rPr>
        <w:t>r</w:t>
      </w:r>
      <w:r w:rsidRPr="00C826BE">
        <w:rPr>
          <w:sz w:val="26"/>
          <w:szCs w:val="26"/>
        </w:rPr>
        <w:t xml:space="preserve">esidential customers is one of the critical issues before the Commission in this case.  All Parties other than RESA believe that annual rate changes for Duquesne’s </w:t>
      </w:r>
      <w:r w:rsidR="00187D6E">
        <w:rPr>
          <w:sz w:val="26"/>
          <w:szCs w:val="26"/>
        </w:rPr>
        <w:t>r</w:t>
      </w:r>
      <w:r w:rsidRPr="00C826BE">
        <w:rPr>
          <w:sz w:val="26"/>
          <w:szCs w:val="26"/>
        </w:rPr>
        <w:t xml:space="preserve">esidential customers are in the best interest of default service customers </w:t>
      </w:r>
      <w:r w:rsidRPr="00282414">
        <w:rPr>
          <w:sz w:val="26"/>
          <w:szCs w:val="26"/>
        </w:rPr>
        <w:t>and</w:t>
      </w:r>
      <w:r w:rsidRPr="00C826BE">
        <w:rPr>
          <w:sz w:val="26"/>
          <w:szCs w:val="26"/>
        </w:rPr>
        <w:t xml:space="preserve"> the continued development of the competitive retail market in Duquesne’s service territory, which has among the highest levels of shopping in the Commonwealth and in the nation.  With regard to competition, Duquesne note</w:t>
      </w:r>
      <w:r w:rsidR="00876F9B">
        <w:rPr>
          <w:sz w:val="26"/>
          <w:szCs w:val="26"/>
        </w:rPr>
        <w:t xml:space="preserve">s </w:t>
      </w:r>
      <w:r w:rsidRPr="00C826BE">
        <w:rPr>
          <w:sz w:val="26"/>
          <w:szCs w:val="26"/>
        </w:rPr>
        <w:t xml:space="preserve">that annual </w:t>
      </w:r>
      <w:r w:rsidR="00583866">
        <w:rPr>
          <w:sz w:val="26"/>
          <w:szCs w:val="26"/>
        </w:rPr>
        <w:t>r</w:t>
      </w:r>
      <w:r w:rsidRPr="00C826BE">
        <w:rPr>
          <w:sz w:val="26"/>
          <w:szCs w:val="26"/>
        </w:rPr>
        <w:t xml:space="preserve">esidential PTC changes will permit it to provide an Opt-In Program in June 2013 that will guarantee savings to customers until June 1, 2014.  As the ALJ recognized, such a program, which is supported by major EGSs serving </w:t>
      </w:r>
      <w:r w:rsidR="00583866">
        <w:rPr>
          <w:sz w:val="26"/>
          <w:szCs w:val="26"/>
        </w:rPr>
        <w:t>r</w:t>
      </w:r>
      <w:r w:rsidRPr="00C826BE">
        <w:rPr>
          <w:sz w:val="26"/>
          <w:szCs w:val="26"/>
        </w:rPr>
        <w:t xml:space="preserve">esidential customers in </w:t>
      </w:r>
      <w:r w:rsidRPr="00C826BE">
        <w:rPr>
          <w:sz w:val="26"/>
          <w:szCs w:val="26"/>
        </w:rPr>
        <w:lastRenderedPageBreak/>
        <w:t xml:space="preserve">Duquesne’s service territory, is far more likely to attract customers to shop than RESA’s </w:t>
      </w:r>
      <w:r w:rsidR="00282414">
        <w:rPr>
          <w:sz w:val="26"/>
          <w:szCs w:val="26"/>
        </w:rPr>
        <w:t xml:space="preserve">Opt-In Program </w:t>
      </w:r>
      <w:r w:rsidRPr="00C826BE">
        <w:rPr>
          <w:sz w:val="26"/>
          <w:szCs w:val="26"/>
        </w:rPr>
        <w:t>proposal for 4 months of savings and an unknown price at the time of enrollment for a subsequent 8-month period.  R.D. at 72.</w:t>
      </w:r>
    </w:p>
    <w:p w:rsidR="005663DB" w:rsidRPr="00876F9B" w:rsidRDefault="002A604D" w:rsidP="002A604D">
      <w:pPr>
        <w:pStyle w:val="BodyText2"/>
        <w:spacing w:line="360" w:lineRule="auto"/>
        <w:ind w:firstLine="1440"/>
        <w:rPr>
          <w:sz w:val="26"/>
          <w:szCs w:val="26"/>
        </w:rPr>
      </w:pPr>
      <w:r>
        <w:rPr>
          <w:sz w:val="26"/>
          <w:szCs w:val="26"/>
        </w:rPr>
        <w:t xml:space="preserve">Duquesne states that </w:t>
      </w:r>
      <w:r w:rsidR="005663DB" w:rsidRPr="00C826BE">
        <w:rPr>
          <w:sz w:val="26"/>
          <w:szCs w:val="26"/>
        </w:rPr>
        <w:t>RESA’s principal argument in suppo</w:t>
      </w:r>
      <w:r w:rsidR="00876F9B">
        <w:rPr>
          <w:sz w:val="26"/>
          <w:szCs w:val="26"/>
        </w:rPr>
        <w:t>rt of ninety</w:t>
      </w:r>
      <w:r w:rsidR="00403F75">
        <w:rPr>
          <w:sz w:val="26"/>
          <w:szCs w:val="26"/>
        </w:rPr>
        <w:noBreakHyphen/>
        <w:t>day contracts</w:t>
      </w:r>
      <w:r w:rsidR="005663DB" w:rsidRPr="00C826BE">
        <w:rPr>
          <w:sz w:val="26"/>
          <w:szCs w:val="26"/>
        </w:rPr>
        <w:t xml:space="preserve"> is that this will avoid a boom or bust cycle in customer shopping.  However, R</w:t>
      </w:r>
      <w:r w:rsidR="00282414">
        <w:rPr>
          <w:sz w:val="26"/>
          <w:szCs w:val="26"/>
        </w:rPr>
        <w:t xml:space="preserve">ESA has not shown </w:t>
      </w:r>
      <w:r w:rsidR="005663DB" w:rsidRPr="00C826BE">
        <w:rPr>
          <w:sz w:val="26"/>
          <w:szCs w:val="26"/>
        </w:rPr>
        <w:t>that one-year procurements will be any less effective in advancing competiti</w:t>
      </w:r>
      <w:r w:rsidR="00876F9B">
        <w:rPr>
          <w:sz w:val="26"/>
          <w:szCs w:val="26"/>
        </w:rPr>
        <w:t>on than RESA’s combination of ninety</w:t>
      </w:r>
      <w:r w:rsidR="005663DB" w:rsidRPr="00C826BE">
        <w:rPr>
          <w:sz w:val="26"/>
          <w:szCs w:val="26"/>
        </w:rPr>
        <w:t>-day and one-year procurements.</w:t>
      </w:r>
      <w:r>
        <w:rPr>
          <w:sz w:val="26"/>
          <w:szCs w:val="26"/>
        </w:rPr>
        <w:t xml:space="preserve">  </w:t>
      </w:r>
      <w:r w:rsidR="005663DB" w:rsidRPr="00C826BE">
        <w:rPr>
          <w:sz w:val="26"/>
          <w:szCs w:val="26"/>
        </w:rPr>
        <w:t xml:space="preserve">RESA contends, incorrectly, that it has shown through evidence that quarterly procurements will increase shopping.  To attempt to prove this point, RESA relied on an increase in shopping by Maryland Type II customers.  RESA St. 1 at 10.  However, </w:t>
      </w:r>
      <w:r w:rsidR="00876F9B">
        <w:rPr>
          <w:sz w:val="26"/>
          <w:szCs w:val="26"/>
        </w:rPr>
        <w:t xml:space="preserve">Duquesne avers that, </w:t>
      </w:r>
      <w:r w:rsidR="005663DB" w:rsidRPr="00C826BE">
        <w:rPr>
          <w:sz w:val="26"/>
          <w:szCs w:val="26"/>
        </w:rPr>
        <w:t>as recognized by the ALJ, these customers are equivalent to Duquesne’s Medium C&amp;I custom</w:t>
      </w:r>
      <w:r w:rsidR="00876F9B">
        <w:rPr>
          <w:sz w:val="26"/>
          <w:szCs w:val="26"/>
        </w:rPr>
        <w:t>ers with demands over 300 kW.  Duquesne states that e</w:t>
      </w:r>
      <w:r w:rsidR="005663DB" w:rsidRPr="00C826BE">
        <w:rPr>
          <w:sz w:val="26"/>
          <w:szCs w:val="26"/>
        </w:rPr>
        <w:t>vidence submitted by other Parties demonstrated that the increases in shopping in Maryland had nothing to do with the frequency of default service price changes</w:t>
      </w:r>
      <w:r>
        <w:rPr>
          <w:sz w:val="26"/>
          <w:szCs w:val="26"/>
        </w:rPr>
        <w:t>,</w:t>
      </w:r>
      <w:r w:rsidR="005663DB" w:rsidRPr="00C826BE">
        <w:rPr>
          <w:sz w:val="26"/>
          <w:szCs w:val="26"/>
        </w:rPr>
        <w:t xml:space="preserve"> but </w:t>
      </w:r>
      <w:r>
        <w:rPr>
          <w:sz w:val="26"/>
          <w:szCs w:val="26"/>
        </w:rPr>
        <w:t xml:space="preserve">rather </w:t>
      </w:r>
      <w:r w:rsidR="005663DB" w:rsidRPr="00C826BE">
        <w:rPr>
          <w:sz w:val="26"/>
          <w:szCs w:val="26"/>
        </w:rPr>
        <w:t>was a result of increases in marke</w:t>
      </w:r>
      <w:r w:rsidR="00876F9B">
        <w:rPr>
          <w:sz w:val="26"/>
          <w:szCs w:val="26"/>
        </w:rPr>
        <w:t>t prices.  Duquesne argues that, i</w:t>
      </w:r>
      <w:r>
        <w:rPr>
          <w:sz w:val="26"/>
          <w:szCs w:val="26"/>
        </w:rPr>
        <w:t xml:space="preserve">n fact, there </w:t>
      </w:r>
      <w:r w:rsidR="005663DB" w:rsidRPr="00C826BE">
        <w:rPr>
          <w:sz w:val="26"/>
          <w:szCs w:val="26"/>
        </w:rPr>
        <w:t xml:space="preserve">also </w:t>
      </w:r>
      <w:r>
        <w:rPr>
          <w:sz w:val="26"/>
          <w:szCs w:val="26"/>
        </w:rPr>
        <w:t xml:space="preserve">were </w:t>
      </w:r>
      <w:r w:rsidR="005663DB" w:rsidRPr="00C826BE">
        <w:rPr>
          <w:sz w:val="26"/>
          <w:szCs w:val="26"/>
        </w:rPr>
        <w:t>significant increases in shopping for residential and smaller commercial customers over the same periods</w:t>
      </w:r>
      <w:r>
        <w:rPr>
          <w:sz w:val="26"/>
          <w:szCs w:val="26"/>
        </w:rPr>
        <w:t>,</w:t>
      </w:r>
      <w:r w:rsidR="005663DB" w:rsidRPr="00C826BE">
        <w:rPr>
          <w:sz w:val="26"/>
          <w:szCs w:val="26"/>
        </w:rPr>
        <w:t xml:space="preserve"> even though default service prices for those customers were based on one and two-year procurements, and there were</w:t>
      </w:r>
      <w:r w:rsidR="00876F9B">
        <w:rPr>
          <w:sz w:val="26"/>
          <w:szCs w:val="26"/>
        </w:rPr>
        <w:t xml:space="preserve"> less frequent price changes.  Duquesne R.Exc. at 3-4.</w:t>
      </w:r>
    </w:p>
    <w:p w:rsidR="00C826BE" w:rsidRPr="00C826BE" w:rsidRDefault="00C826BE" w:rsidP="002A604D">
      <w:pPr>
        <w:pStyle w:val="BodyText2"/>
        <w:spacing w:line="360" w:lineRule="auto"/>
        <w:ind w:firstLine="1440"/>
        <w:rPr>
          <w:sz w:val="26"/>
          <w:szCs w:val="26"/>
        </w:rPr>
      </w:pPr>
    </w:p>
    <w:p w:rsidR="005663DB" w:rsidRPr="006C1B39" w:rsidRDefault="002A604D" w:rsidP="00740CF5">
      <w:pPr>
        <w:pStyle w:val="BodyText2"/>
        <w:spacing w:after="0" w:line="360" w:lineRule="auto"/>
        <w:ind w:firstLine="1440"/>
        <w:rPr>
          <w:sz w:val="26"/>
          <w:szCs w:val="26"/>
        </w:rPr>
      </w:pPr>
      <w:r>
        <w:rPr>
          <w:sz w:val="26"/>
          <w:szCs w:val="26"/>
        </w:rPr>
        <w:t xml:space="preserve">Duquesne submits that </w:t>
      </w:r>
      <w:r w:rsidR="005663DB" w:rsidRPr="00C826BE">
        <w:rPr>
          <w:sz w:val="26"/>
          <w:szCs w:val="26"/>
        </w:rPr>
        <w:t>RESA also has not explained how its proposal meets t</w:t>
      </w:r>
      <w:r w:rsidR="00876F9B">
        <w:rPr>
          <w:sz w:val="26"/>
          <w:szCs w:val="26"/>
        </w:rPr>
        <w:t xml:space="preserve">he standards of Act 129.  </w:t>
      </w:r>
      <w:r w:rsidR="005663DB" w:rsidRPr="00C826BE">
        <w:rPr>
          <w:sz w:val="26"/>
          <w:szCs w:val="26"/>
        </w:rPr>
        <w:t xml:space="preserve">Duquesne </w:t>
      </w:r>
      <w:r>
        <w:rPr>
          <w:sz w:val="26"/>
          <w:szCs w:val="26"/>
        </w:rPr>
        <w:t xml:space="preserve">notes that the Commission </w:t>
      </w:r>
      <w:r w:rsidR="005663DB" w:rsidRPr="00C826BE">
        <w:rPr>
          <w:sz w:val="26"/>
          <w:szCs w:val="26"/>
        </w:rPr>
        <w:t xml:space="preserve">consistently </w:t>
      </w:r>
      <w:r>
        <w:rPr>
          <w:sz w:val="26"/>
          <w:szCs w:val="26"/>
        </w:rPr>
        <w:t>has relied</w:t>
      </w:r>
      <w:r w:rsidR="005663DB" w:rsidRPr="00C826BE">
        <w:rPr>
          <w:sz w:val="26"/>
          <w:szCs w:val="26"/>
        </w:rPr>
        <w:t xml:space="preserve"> on one-year and two-year procurements to</w:t>
      </w:r>
      <w:r w:rsidR="00876F9B">
        <w:rPr>
          <w:sz w:val="26"/>
          <w:szCs w:val="26"/>
        </w:rPr>
        <w:t xml:space="preserve"> meet Act 129 requirements for r</w:t>
      </w:r>
      <w:r w:rsidR="005663DB" w:rsidRPr="00C826BE">
        <w:rPr>
          <w:sz w:val="26"/>
          <w:szCs w:val="26"/>
        </w:rPr>
        <w:t>esidential customers and to meet the Act 129 standard of least cost over time.</w:t>
      </w:r>
      <w:r w:rsidR="005663DB" w:rsidRPr="00C826BE">
        <w:rPr>
          <w:rStyle w:val="FootnoteReference"/>
          <w:sz w:val="26"/>
          <w:szCs w:val="26"/>
        </w:rPr>
        <w:footnoteReference w:id="12"/>
      </w:r>
      <w:r w:rsidR="00876F9B">
        <w:rPr>
          <w:sz w:val="26"/>
          <w:szCs w:val="26"/>
        </w:rPr>
        <w:t xml:space="preserve">  </w:t>
      </w:r>
      <w:r w:rsidR="00876F9B">
        <w:rPr>
          <w:sz w:val="26"/>
          <w:szCs w:val="26"/>
        </w:rPr>
        <w:lastRenderedPageBreak/>
        <w:t xml:space="preserve">Duquesne avers that, </w:t>
      </w:r>
      <w:r w:rsidR="005663DB" w:rsidRPr="00C826BE">
        <w:rPr>
          <w:sz w:val="26"/>
          <w:szCs w:val="26"/>
        </w:rPr>
        <w:t>in th</w:t>
      </w:r>
      <w:r>
        <w:rPr>
          <w:sz w:val="26"/>
          <w:szCs w:val="26"/>
        </w:rPr>
        <w:t>e Commission’s recent proceedings involving FirstEnergy and PECO,</w:t>
      </w:r>
      <w:r w:rsidR="005663DB" w:rsidRPr="00C826BE">
        <w:rPr>
          <w:sz w:val="26"/>
          <w:szCs w:val="26"/>
        </w:rPr>
        <w:t xml:space="preserve"> the Commission approved the use of primarily one </w:t>
      </w:r>
      <w:r w:rsidR="005663DB" w:rsidRPr="002A604D">
        <w:rPr>
          <w:sz w:val="26"/>
          <w:szCs w:val="26"/>
        </w:rPr>
        <w:t>and</w:t>
      </w:r>
      <w:r w:rsidR="005663DB" w:rsidRPr="00C826BE">
        <w:rPr>
          <w:sz w:val="26"/>
          <w:szCs w:val="26"/>
        </w:rPr>
        <w:t xml:space="preserve"> </w:t>
      </w:r>
      <w:r w:rsidR="00876F9B">
        <w:rPr>
          <w:sz w:val="26"/>
          <w:szCs w:val="26"/>
        </w:rPr>
        <w:t>two-year procurements to serve r</w:t>
      </w:r>
      <w:r w:rsidR="005663DB" w:rsidRPr="00C826BE">
        <w:rPr>
          <w:sz w:val="26"/>
          <w:szCs w:val="26"/>
        </w:rPr>
        <w:t xml:space="preserve">esidential customers.  </w:t>
      </w:r>
      <w:r>
        <w:rPr>
          <w:i/>
          <w:sz w:val="26"/>
          <w:szCs w:val="26"/>
        </w:rPr>
        <w:t xml:space="preserve">FirstEnergy DSP </w:t>
      </w:r>
      <w:r w:rsidR="005663DB" w:rsidRPr="00C826BE">
        <w:rPr>
          <w:i/>
          <w:sz w:val="26"/>
          <w:szCs w:val="26"/>
        </w:rPr>
        <w:t>Order</w:t>
      </w:r>
      <w:r>
        <w:rPr>
          <w:sz w:val="26"/>
          <w:szCs w:val="26"/>
        </w:rPr>
        <w:t xml:space="preserve"> at </w:t>
      </w:r>
      <w:r w:rsidR="005663DB" w:rsidRPr="00C826BE">
        <w:rPr>
          <w:sz w:val="26"/>
          <w:szCs w:val="26"/>
        </w:rPr>
        <w:t xml:space="preserve">25-26; </w:t>
      </w:r>
      <w:r w:rsidR="005663DB" w:rsidRPr="00C826BE">
        <w:rPr>
          <w:i/>
          <w:sz w:val="26"/>
          <w:szCs w:val="26"/>
        </w:rPr>
        <w:t>PE</w:t>
      </w:r>
      <w:r>
        <w:rPr>
          <w:i/>
          <w:sz w:val="26"/>
          <w:szCs w:val="26"/>
        </w:rPr>
        <w:t xml:space="preserve">CO DSP Order </w:t>
      </w:r>
      <w:r>
        <w:rPr>
          <w:sz w:val="26"/>
          <w:szCs w:val="26"/>
        </w:rPr>
        <w:t xml:space="preserve">at </w:t>
      </w:r>
      <w:r w:rsidR="005663DB" w:rsidRPr="00C826BE">
        <w:rPr>
          <w:sz w:val="26"/>
          <w:szCs w:val="26"/>
        </w:rPr>
        <w:t xml:space="preserve">12-17.  </w:t>
      </w:r>
      <w:r w:rsidR="00876F9B">
        <w:rPr>
          <w:sz w:val="26"/>
          <w:szCs w:val="26"/>
        </w:rPr>
        <w:t xml:space="preserve">Duquesne opines that </w:t>
      </w:r>
      <w:r w:rsidR="005663DB" w:rsidRPr="00C826BE">
        <w:rPr>
          <w:sz w:val="26"/>
          <w:szCs w:val="26"/>
        </w:rPr>
        <w:t>RESA advances the incongruous argument that more default service rate changes are needed in Duquesne’s service territory because there is more shopping in this terri</w:t>
      </w:r>
      <w:r w:rsidR="00876F9B">
        <w:rPr>
          <w:sz w:val="26"/>
          <w:szCs w:val="26"/>
        </w:rPr>
        <w:t>tory.  The Company disagrees, arguing that s</w:t>
      </w:r>
      <w:r w:rsidR="005663DB" w:rsidRPr="00C826BE">
        <w:rPr>
          <w:sz w:val="26"/>
          <w:szCs w:val="26"/>
        </w:rPr>
        <w:t>hopping is more likely to be enh</w:t>
      </w:r>
      <w:r w:rsidR="006C1B39">
        <w:rPr>
          <w:sz w:val="26"/>
          <w:szCs w:val="26"/>
        </w:rPr>
        <w:t>anced by substantial savings.  Duquesne notes that, a</w:t>
      </w:r>
      <w:r w:rsidR="005663DB" w:rsidRPr="00C826BE">
        <w:rPr>
          <w:sz w:val="26"/>
          <w:szCs w:val="26"/>
        </w:rPr>
        <w:t>s recognized by the ALJ, a frequently changing default service price may cause small customer uncertainty about the ability to achieve savings in the competitive market, thereby discouraging small customers from shopping with a competitive supplier.</w:t>
      </w:r>
      <w:r w:rsidR="006C1B39">
        <w:rPr>
          <w:sz w:val="26"/>
          <w:szCs w:val="26"/>
        </w:rPr>
        <w:t xml:space="preserve">  Duquesne R.Exc. at 4-5.</w:t>
      </w:r>
    </w:p>
    <w:p w:rsidR="00C826BE" w:rsidRPr="00C826BE" w:rsidRDefault="00C826BE" w:rsidP="00740CF5">
      <w:pPr>
        <w:pStyle w:val="BodyText2"/>
        <w:spacing w:after="0" w:line="360" w:lineRule="auto"/>
        <w:rPr>
          <w:sz w:val="26"/>
          <w:szCs w:val="26"/>
        </w:rPr>
      </w:pPr>
    </w:p>
    <w:p w:rsidR="005663DB" w:rsidRPr="006C1B39" w:rsidRDefault="005663DB" w:rsidP="00740CF5">
      <w:pPr>
        <w:pStyle w:val="BodyText2"/>
        <w:spacing w:after="0" w:line="360" w:lineRule="auto"/>
        <w:ind w:firstLine="1440"/>
        <w:rPr>
          <w:sz w:val="26"/>
          <w:szCs w:val="26"/>
        </w:rPr>
      </w:pPr>
      <w:r w:rsidRPr="00C826BE">
        <w:rPr>
          <w:sz w:val="26"/>
          <w:szCs w:val="26"/>
        </w:rPr>
        <w:t xml:space="preserve">Finally, </w:t>
      </w:r>
      <w:r w:rsidR="006C1B39">
        <w:rPr>
          <w:sz w:val="26"/>
          <w:szCs w:val="26"/>
        </w:rPr>
        <w:t xml:space="preserve">Duquesne notes that </w:t>
      </w:r>
      <w:r w:rsidRPr="00C826BE">
        <w:rPr>
          <w:sz w:val="26"/>
          <w:szCs w:val="26"/>
        </w:rPr>
        <w:t>RESA contends</w:t>
      </w:r>
      <w:r w:rsidR="006C1B39">
        <w:rPr>
          <w:sz w:val="26"/>
          <w:szCs w:val="26"/>
        </w:rPr>
        <w:t xml:space="preserve"> that its mix of ninety-day and one-year products for r</w:t>
      </w:r>
      <w:r w:rsidRPr="00C826BE">
        <w:rPr>
          <w:sz w:val="26"/>
          <w:szCs w:val="26"/>
        </w:rPr>
        <w:t>esidential default service customers is a</w:t>
      </w:r>
      <w:r w:rsidR="006C1B39">
        <w:rPr>
          <w:sz w:val="26"/>
          <w:szCs w:val="26"/>
        </w:rPr>
        <w:t xml:space="preserve"> reasonable transition to all ninety</w:t>
      </w:r>
      <w:r w:rsidRPr="00C826BE">
        <w:rPr>
          <w:sz w:val="26"/>
          <w:szCs w:val="26"/>
        </w:rPr>
        <w:t xml:space="preserve">-day products </w:t>
      </w:r>
      <w:r w:rsidRPr="006C1B39">
        <w:rPr>
          <w:sz w:val="26"/>
          <w:szCs w:val="26"/>
        </w:rPr>
        <w:t>as proposed</w:t>
      </w:r>
      <w:r w:rsidRPr="00C826BE">
        <w:rPr>
          <w:sz w:val="26"/>
          <w:szCs w:val="26"/>
        </w:rPr>
        <w:t xml:space="preserve"> in the Commissi</w:t>
      </w:r>
      <w:r w:rsidR="008C0799">
        <w:rPr>
          <w:sz w:val="26"/>
          <w:szCs w:val="26"/>
        </w:rPr>
        <w:t xml:space="preserve">on’s </w:t>
      </w:r>
      <w:r w:rsidR="008C0799" w:rsidRPr="008C0799">
        <w:rPr>
          <w:i/>
          <w:sz w:val="26"/>
          <w:szCs w:val="26"/>
        </w:rPr>
        <w:t>End</w:t>
      </w:r>
      <w:r w:rsidR="00583866">
        <w:rPr>
          <w:i/>
          <w:sz w:val="26"/>
          <w:szCs w:val="26"/>
        </w:rPr>
        <w:t>-</w:t>
      </w:r>
      <w:r w:rsidR="008C0799" w:rsidRPr="008C0799">
        <w:rPr>
          <w:i/>
          <w:sz w:val="26"/>
          <w:szCs w:val="26"/>
        </w:rPr>
        <w:t>State Tentative Order</w:t>
      </w:r>
      <w:r w:rsidRPr="00C826BE">
        <w:rPr>
          <w:sz w:val="26"/>
          <w:szCs w:val="26"/>
        </w:rPr>
        <w:t>.  Duquesne disagrees for several reasons.  First, even if it</w:t>
      </w:r>
      <w:r w:rsidR="006C1B39">
        <w:rPr>
          <w:sz w:val="26"/>
          <w:szCs w:val="26"/>
        </w:rPr>
        <w:t xml:space="preserve"> is assumed that </w:t>
      </w:r>
      <w:r w:rsidR="00583866">
        <w:rPr>
          <w:sz w:val="26"/>
          <w:szCs w:val="26"/>
        </w:rPr>
        <w:t xml:space="preserve">exclusive reliance on </w:t>
      </w:r>
      <w:r w:rsidR="006C1B39">
        <w:rPr>
          <w:sz w:val="26"/>
          <w:szCs w:val="26"/>
        </w:rPr>
        <w:t>ninety</w:t>
      </w:r>
      <w:r w:rsidRPr="00C826BE">
        <w:rPr>
          <w:sz w:val="26"/>
          <w:szCs w:val="26"/>
        </w:rPr>
        <w:t xml:space="preserve">-day </w:t>
      </w:r>
      <w:r w:rsidR="006C1B39">
        <w:rPr>
          <w:sz w:val="26"/>
          <w:szCs w:val="26"/>
        </w:rPr>
        <w:t>products for r</w:t>
      </w:r>
      <w:r w:rsidRPr="00C826BE">
        <w:rPr>
          <w:sz w:val="26"/>
          <w:szCs w:val="26"/>
        </w:rPr>
        <w:t xml:space="preserve">esidential customers is adopted as the </w:t>
      </w:r>
      <w:r w:rsidR="00583866">
        <w:rPr>
          <w:sz w:val="26"/>
          <w:szCs w:val="26"/>
        </w:rPr>
        <w:t>e</w:t>
      </w:r>
      <w:r w:rsidRPr="00C826BE">
        <w:rPr>
          <w:sz w:val="26"/>
          <w:szCs w:val="26"/>
        </w:rPr>
        <w:t>nd</w:t>
      </w:r>
      <w:r w:rsidR="00583866">
        <w:rPr>
          <w:sz w:val="26"/>
          <w:szCs w:val="26"/>
        </w:rPr>
        <w:t>-s</w:t>
      </w:r>
      <w:r w:rsidRPr="00C826BE">
        <w:rPr>
          <w:sz w:val="26"/>
          <w:szCs w:val="26"/>
        </w:rPr>
        <w:t>tate, a better transition would be to mo</w:t>
      </w:r>
      <w:r w:rsidR="006C1B39">
        <w:rPr>
          <w:sz w:val="26"/>
          <w:szCs w:val="26"/>
        </w:rPr>
        <w:t xml:space="preserve">ve </w:t>
      </w:r>
      <w:r w:rsidR="00583866">
        <w:rPr>
          <w:sz w:val="26"/>
          <w:szCs w:val="26"/>
        </w:rPr>
        <w:t>r</w:t>
      </w:r>
      <w:r w:rsidR="006C1B39">
        <w:rPr>
          <w:sz w:val="26"/>
          <w:szCs w:val="26"/>
        </w:rPr>
        <w:t>esidential customers from twenty-nine</w:t>
      </w:r>
      <w:r w:rsidRPr="00C826BE">
        <w:rPr>
          <w:sz w:val="26"/>
          <w:szCs w:val="26"/>
        </w:rPr>
        <w:t xml:space="preserve">-month fixed rates in DSP V to one-year rates in DSP VI and then to quarterly rates in DSP VII.  </w:t>
      </w:r>
      <w:r w:rsidR="006C1B39">
        <w:rPr>
          <w:sz w:val="26"/>
          <w:szCs w:val="26"/>
        </w:rPr>
        <w:t xml:space="preserve">According to Duquesne, </w:t>
      </w:r>
      <w:r w:rsidRPr="00C826BE">
        <w:rPr>
          <w:sz w:val="26"/>
          <w:szCs w:val="26"/>
        </w:rPr>
        <w:t>RESA’</w:t>
      </w:r>
      <w:r w:rsidR="006C1B39">
        <w:rPr>
          <w:sz w:val="26"/>
          <w:szCs w:val="26"/>
        </w:rPr>
        <w:t>s proposal to move from twenty-nine</w:t>
      </w:r>
      <w:r w:rsidRPr="00C826BE">
        <w:rPr>
          <w:sz w:val="26"/>
          <w:szCs w:val="26"/>
        </w:rPr>
        <w:t>-month</w:t>
      </w:r>
      <w:r w:rsidR="001331AB">
        <w:rPr>
          <w:sz w:val="26"/>
          <w:szCs w:val="26"/>
        </w:rPr>
        <w:t xml:space="preserve"> rates to quarterly rates</w:t>
      </w:r>
      <w:r w:rsidRPr="00C826BE">
        <w:rPr>
          <w:sz w:val="26"/>
          <w:szCs w:val="26"/>
        </w:rPr>
        <w:t xml:space="preserve"> in DSP VI is</w:t>
      </w:r>
      <w:r w:rsidR="006C1B39">
        <w:rPr>
          <w:sz w:val="26"/>
          <w:szCs w:val="26"/>
        </w:rPr>
        <w:t xml:space="preserve"> no transition at all.  </w:t>
      </w:r>
      <w:r w:rsidR="001331AB">
        <w:rPr>
          <w:sz w:val="26"/>
          <w:szCs w:val="26"/>
        </w:rPr>
        <w:t xml:space="preserve">Duquesne </w:t>
      </w:r>
      <w:r w:rsidR="006C1B39">
        <w:rPr>
          <w:sz w:val="26"/>
          <w:szCs w:val="26"/>
        </w:rPr>
        <w:t xml:space="preserve">also </w:t>
      </w:r>
      <w:r w:rsidR="001331AB">
        <w:rPr>
          <w:sz w:val="26"/>
          <w:szCs w:val="26"/>
        </w:rPr>
        <w:t xml:space="preserve">submits that </w:t>
      </w:r>
      <w:r w:rsidRPr="00C826BE">
        <w:rPr>
          <w:sz w:val="26"/>
          <w:szCs w:val="26"/>
        </w:rPr>
        <w:t xml:space="preserve">it is not appropriate to create a transition to an </w:t>
      </w:r>
      <w:r w:rsidR="00583866">
        <w:rPr>
          <w:sz w:val="26"/>
          <w:szCs w:val="26"/>
        </w:rPr>
        <w:t>e</w:t>
      </w:r>
      <w:r w:rsidRPr="00C826BE">
        <w:rPr>
          <w:sz w:val="26"/>
          <w:szCs w:val="26"/>
        </w:rPr>
        <w:t>nd</w:t>
      </w:r>
      <w:r w:rsidR="00583866">
        <w:rPr>
          <w:sz w:val="26"/>
          <w:szCs w:val="26"/>
        </w:rPr>
        <w:t>-s</w:t>
      </w:r>
      <w:r w:rsidRPr="00C826BE">
        <w:rPr>
          <w:sz w:val="26"/>
          <w:szCs w:val="26"/>
        </w:rPr>
        <w:t xml:space="preserve">tate for default service when there is no final </w:t>
      </w:r>
      <w:r w:rsidRPr="00BA05E9">
        <w:rPr>
          <w:sz w:val="26"/>
          <w:szCs w:val="26"/>
        </w:rPr>
        <w:t xml:space="preserve">determination of the </w:t>
      </w:r>
      <w:r w:rsidR="00583866">
        <w:rPr>
          <w:sz w:val="26"/>
          <w:szCs w:val="26"/>
        </w:rPr>
        <w:t>e</w:t>
      </w:r>
      <w:r w:rsidRPr="00BA05E9">
        <w:rPr>
          <w:sz w:val="26"/>
          <w:szCs w:val="26"/>
        </w:rPr>
        <w:t>nd</w:t>
      </w:r>
      <w:r w:rsidR="00583866">
        <w:rPr>
          <w:sz w:val="26"/>
          <w:szCs w:val="26"/>
        </w:rPr>
        <w:t>-s</w:t>
      </w:r>
      <w:r w:rsidRPr="00BA05E9">
        <w:rPr>
          <w:sz w:val="26"/>
          <w:szCs w:val="26"/>
        </w:rPr>
        <w:t xml:space="preserve">tate model. </w:t>
      </w:r>
      <w:r w:rsidR="006C1B39">
        <w:rPr>
          <w:sz w:val="26"/>
          <w:szCs w:val="26"/>
        </w:rPr>
        <w:t xml:space="preserve">  Duquesne R.Exc. at 5-6.</w:t>
      </w:r>
    </w:p>
    <w:p w:rsidR="00BA05E9" w:rsidRPr="00BA05E9" w:rsidRDefault="00BA05E9" w:rsidP="00740CF5">
      <w:pPr>
        <w:pStyle w:val="BodyText2"/>
        <w:spacing w:after="0" w:line="360" w:lineRule="auto"/>
        <w:ind w:firstLine="1440"/>
        <w:jc w:val="both"/>
        <w:rPr>
          <w:sz w:val="26"/>
          <w:szCs w:val="26"/>
        </w:rPr>
      </w:pPr>
    </w:p>
    <w:p w:rsidR="00C826BE" w:rsidRDefault="00CF714C" w:rsidP="00740CF5">
      <w:pPr>
        <w:pStyle w:val="BodyText2"/>
        <w:spacing w:after="0" w:line="360" w:lineRule="auto"/>
        <w:ind w:firstLine="1440"/>
        <w:rPr>
          <w:sz w:val="26"/>
          <w:szCs w:val="26"/>
        </w:rPr>
      </w:pPr>
      <w:r w:rsidRPr="00BA05E9">
        <w:rPr>
          <w:sz w:val="26"/>
          <w:szCs w:val="26"/>
        </w:rPr>
        <w:t>With regard to the OCA’</w:t>
      </w:r>
      <w:r w:rsidR="006B151B">
        <w:rPr>
          <w:sz w:val="26"/>
          <w:szCs w:val="26"/>
        </w:rPr>
        <w:t xml:space="preserve">s argument </w:t>
      </w:r>
      <w:r w:rsidRPr="00BA05E9">
        <w:rPr>
          <w:sz w:val="26"/>
          <w:szCs w:val="26"/>
        </w:rPr>
        <w:t>that the cha</w:t>
      </w:r>
      <w:r w:rsidR="00403F75">
        <w:rPr>
          <w:sz w:val="26"/>
          <w:szCs w:val="26"/>
        </w:rPr>
        <w:t xml:space="preserve">nge in retail prices of 10% to reflect </w:t>
      </w:r>
      <w:r w:rsidRPr="00BA05E9">
        <w:rPr>
          <w:sz w:val="26"/>
          <w:szCs w:val="26"/>
        </w:rPr>
        <w:t xml:space="preserve">the </w:t>
      </w:r>
      <w:r w:rsidR="00403F75">
        <w:rPr>
          <w:sz w:val="26"/>
          <w:szCs w:val="26"/>
        </w:rPr>
        <w:t xml:space="preserve">change in </w:t>
      </w:r>
      <w:r w:rsidR="00BA05E9" w:rsidRPr="00BA05E9">
        <w:rPr>
          <w:sz w:val="26"/>
          <w:szCs w:val="26"/>
        </w:rPr>
        <w:t xml:space="preserve">PJM </w:t>
      </w:r>
      <w:r w:rsidR="00403F75">
        <w:rPr>
          <w:sz w:val="26"/>
          <w:szCs w:val="26"/>
        </w:rPr>
        <w:t>capacity charges</w:t>
      </w:r>
      <w:r w:rsidRPr="00BA05E9">
        <w:rPr>
          <w:sz w:val="26"/>
          <w:szCs w:val="26"/>
        </w:rPr>
        <w:t xml:space="preserve"> is not sufficient to justify </w:t>
      </w:r>
      <w:r w:rsidR="006B151B">
        <w:rPr>
          <w:sz w:val="26"/>
          <w:szCs w:val="26"/>
        </w:rPr>
        <w:t xml:space="preserve">the </w:t>
      </w:r>
      <w:r w:rsidRPr="00BA05E9">
        <w:rPr>
          <w:sz w:val="26"/>
          <w:szCs w:val="26"/>
        </w:rPr>
        <w:t>use of back-to-</w:t>
      </w:r>
      <w:r w:rsidR="006B151B">
        <w:rPr>
          <w:sz w:val="26"/>
          <w:szCs w:val="26"/>
        </w:rPr>
        <w:t>back one-year contracts</w:t>
      </w:r>
      <w:r w:rsidR="00BA05E9" w:rsidRPr="00BA05E9">
        <w:rPr>
          <w:sz w:val="26"/>
          <w:szCs w:val="26"/>
        </w:rPr>
        <w:t xml:space="preserve">, Duquesne believes that its </w:t>
      </w:r>
      <w:r w:rsidRPr="00BA05E9">
        <w:rPr>
          <w:sz w:val="26"/>
          <w:szCs w:val="26"/>
        </w:rPr>
        <w:t>proposal provides the hedging benefits of a two-year contract but provides for a market-based rate adjustment for known and significant capacity cost increases in the second year of DSP VI.  A 10% increase in retail prices could significantly affect competition</w:t>
      </w:r>
      <w:r w:rsidR="001331AB">
        <w:rPr>
          <w:sz w:val="26"/>
          <w:szCs w:val="26"/>
        </w:rPr>
        <w:t>,</w:t>
      </w:r>
      <w:r w:rsidRPr="00BA05E9">
        <w:rPr>
          <w:sz w:val="26"/>
          <w:szCs w:val="26"/>
        </w:rPr>
        <w:t xml:space="preserve"> as EGSs will have to p</w:t>
      </w:r>
      <w:r w:rsidR="00BA05E9" w:rsidRPr="00BA05E9">
        <w:rPr>
          <w:sz w:val="26"/>
          <w:szCs w:val="26"/>
        </w:rPr>
        <w:t xml:space="preserve">ay the higher </w:t>
      </w:r>
      <w:r w:rsidR="00BA05E9" w:rsidRPr="00BA05E9">
        <w:rPr>
          <w:sz w:val="26"/>
          <w:szCs w:val="26"/>
        </w:rPr>
        <w:lastRenderedPageBreak/>
        <w:t>capacity cost</w:t>
      </w:r>
      <w:r w:rsidR="001331AB">
        <w:rPr>
          <w:sz w:val="26"/>
          <w:szCs w:val="26"/>
        </w:rPr>
        <w:t>s</w:t>
      </w:r>
      <w:r w:rsidR="00BA05E9" w:rsidRPr="00BA05E9">
        <w:rPr>
          <w:sz w:val="26"/>
          <w:szCs w:val="26"/>
        </w:rPr>
        <w:t xml:space="preserve"> in </w:t>
      </w:r>
      <w:r w:rsidR="001331AB">
        <w:rPr>
          <w:sz w:val="26"/>
          <w:szCs w:val="26"/>
        </w:rPr>
        <w:t>the second year of DSP VI</w:t>
      </w:r>
      <w:r w:rsidRPr="00BA05E9">
        <w:rPr>
          <w:sz w:val="26"/>
          <w:szCs w:val="26"/>
        </w:rPr>
        <w:t>.  A two-year procurement would blend that cost over a two-year contract price and be less ma</w:t>
      </w:r>
      <w:r w:rsidR="00BA05E9" w:rsidRPr="00BA05E9">
        <w:rPr>
          <w:sz w:val="26"/>
          <w:szCs w:val="26"/>
        </w:rPr>
        <w:t>rket responsive.  Duquesne</w:t>
      </w:r>
      <w:r w:rsidRPr="00BA05E9">
        <w:rPr>
          <w:sz w:val="26"/>
          <w:szCs w:val="26"/>
        </w:rPr>
        <w:t xml:space="preserve">’s proposed back-to-back one-year contracts purchased at the same time provide an energy hedge similar to the two-year contracts approved by the Commission in the </w:t>
      </w:r>
      <w:r w:rsidR="001331AB" w:rsidRPr="001331AB">
        <w:rPr>
          <w:i/>
          <w:sz w:val="26"/>
          <w:szCs w:val="26"/>
        </w:rPr>
        <w:t>FirstEnergy DSP Order</w:t>
      </w:r>
      <w:r w:rsidR="001331AB">
        <w:rPr>
          <w:sz w:val="26"/>
          <w:szCs w:val="26"/>
        </w:rPr>
        <w:t xml:space="preserve"> </w:t>
      </w:r>
      <w:r w:rsidRPr="00BA05E9">
        <w:rPr>
          <w:sz w:val="26"/>
          <w:szCs w:val="26"/>
        </w:rPr>
        <w:t xml:space="preserve">and </w:t>
      </w:r>
      <w:r w:rsidR="001331AB">
        <w:rPr>
          <w:sz w:val="26"/>
          <w:szCs w:val="26"/>
        </w:rPr>
        <w:t xml:space="preserve">the </w:t>
      </w:r>
      <w:r w:rsidRPr="001331AB">
        <w:rPr>
          <w:i/>
          <w:sz w:val="26"/>
          <w:szCs w:val="26"/>
        </w:rPr>
        <w:t>PECO</w:t>
      </w:r>
      <w:r w:rsidR="001331AB" w:rsidRPr="001331AB">
        <w:rPr>
          <w:i/>
          <w:sz w:val="26"/>
          <w:szCs w:val="26"/>
        </w:rPr>
        <w:t xml:space="preserve"> DSP Order</w:t>
      </w:r>
      <w:r w:rsidR="001331AB">
        <w:rPr>
          <w:sz w:val="26"/>
          <w:szCs w:val="26"/>
        </w:rPr>
        <w:t>, and provide</w:t>
      </w:r>
      <w:r w:rsidRPr="00BA05E9">
        <w:rPr>
          <w:sz w:val="26"/>
          <w:szCs w:val="26"/>
        </w:rPr>
        <w:t xml:space="preserve"> more market responsive rates to better track the market costs to serve customers in each year of the default service period.</w:t>
      </w:r>
      <w:r w:rsidR="00BB2A34">
        <w:rPr>
          <w:sz w:val="26"/>
          <w:szCs w:val="26"/>
        </w:rPr>
        <w:t xml:space="preserve">  Duquesne R.Exc. at 7-8.</w:t>
      </w:r>
      <w:r w:rsidRPr="00BA05E9">
        <w:rPr>
          <w:sz w:val="26"/>
          <w:szCs w:val="26"/>
        </w:rPr>
        <w:t xml:space="preserve">  </w:t>
      </w:r>
    </w:p>
    <w:p w:rsidR="00BA05E9" w:rsidRPr="00BA05E9" w:rsidRDefault="00BA05E9" w:rsidP="00740CF5">
      <w:pPr>
        <w:pStyle w:val="BodyText2"/>
        <w:spacing w:after="0" w:line="360" w:lineRule="auto"/>
        <w:ind w:firstLine="1440"/>
        <w:rPr>
          <w:sz w:val="26"/>
          <w:szCs w:val="26"/>
        </w:rPr>
      </w:pPr>
    </w:p>
    <w:p w:rsidR="0086435D" w:rsidRDefault="00FF390A" w:rsidP="00F7788E">
      <w:pPr>
        <w:pStyle w:val="FootnoteText"/>
        <w:spacing w:line="360" w:lineRule="auto"/>
        <w:ind w:firstLine="1440"/>
        <w:rPr>
          <w:sz w:val="26"/>
          <w:szCs w:val="26"/>
        </w:rPr>
      </w:pPr>
      <w:r>
        <w:rPr>
          <w:sz w:val="26"/>
          <w:szCs w:val="26"/>
        </w:rPr>
        <w:t>In its Reply Exceptions, t</w:t>
      </w:r>
      <w:r w:rsidRPr="00FF390A">
        <w:rPr>
          <w:sz w:val="26"/>
          <w:szCs w:val="26"/>
        </w:rPr>
        <w:t xml:space="preserve">he OCA asserts that the ALJ properly rejected RESA’s proposal to replace Duquesne’s </w:t>
      </w:r>
      <w:r w:rsidR="00583866">
        <w:rPr>
          <w:sz w:val="26"/>
          <w:szCs w:val="26"/>
        </w:rPr>
        <w:t>r</w:t>
      </w:r>
      <w:r w:rsidRPr="00FF390A">
        <w:rPr>
          <w:sz w:val="26"/>
          <w:szCs w:val="26"/>
        </w:rPr>
        <w:t>esidential default service portfol</w:t>
      </w:r>
      <w:r>
        <w:rPr>
          <w:sz w:val="26"/>
          <w:szCs w:val="26"/>
        </w:rPr>
        <w:t xml:space="preserve">io of 100% </w:t>
      </w:r>
      <w:r w:rsidR="00583866">
        <w:rPr>
          <w:sz w:val="26"/>
          <w:szCs w:val="26"/>
        </w:rPr>
        <w:t>twelve</w:t>
      </w:r>
      <w:r>
        <w:rPr>
          <w:sz w:val="26"/>
          <w:szCs w:val="26"/>
        </w:rPr>
        <w:t>-month contracts wi</w:t>
      </w:r>
      <w:r w:rsidRPr="00FF390A">
        <w:rPr>
          <w:sz w:val="26"/>
          <w:szCs w:val="26"/>
        </w:rPr>
        <w:t xml:space="preserve">th 50% </w:t>
      </w:r>
      <w:r w:rsidR="00583866">
        <w:rPr>
          <w:sz w:val="26"/>
          <w:szCs w:val="26"/>
        </w:rPr>
        <w:t>twelve</w:t>
      </w:r>
      <w:r w:rsidRPr="00FF390A">
        <w:rPr>
          <w:sz w:val="26"/>
          <w:szCs w:val="26"/>
        </w:rPr>
        <w:t xml:space="preserve">-month contracts and 50% </w:t>
      </w:r>
      <w:r w:rsidR="00583866">
        <w:rPr>
          <w:sz w:val="26"/>
          <w:szCs w:val="26"/>
        </w:rPr>
        <w:t>three</w:t>
      </w:r>
      <w:r w:rsidRPr="00FF390A">
        <w:rPr>
          <w:sz w:val="26"/>
          <w:szCs w:val="26"/>
        </w:rPr>
        <w:t>-month contracts.</w:t>
      </w:r>
      <w:r w:rsidR="001331AB">
        <w:rPr>
          <w:sz w:val="26"/>
          <w:szCs w:val="26"/>
        </w:rPr>
        <w:t xml:space="preserve">  </w:t>
      </w:r>
      <w:r>
        <w:rPr>
          <w:sz w:val="26"/>
          <w:szCs w:val="26"/>
        </w:rPr>
        <w:t xml:space="preserve">The ALJ </w:t>
      </w:r>
      <w:r w:rsidR="001331AB">
        <w:rPr>
          <w:sz w:val="26"/>
          <w:szCs w:val="26"/>
        </w:rPr>
        <w:t>rejected RESA’s proposal</w:t>
      </w:r>
      <w:r w:rsidR="007A4DC4" w:rsidRPr="00FF390A">
        <w:rPr>
          <w:sz w:val="26"/>
          <w:szCs w:val="26"/>
        </w:rPr>
        <w:t>, finding that, “Duquesne Light’s plan mitigates the risk of procuring the entirety of its default supply at the peak of the market.  This plan allows for more stability in the default service rate.”</w:t>
      </w:r>
      <w:r w:rsidR="0086435D">
        <w:rPr>
          <w:sz w:val="26"/>
          <w:szCs w:val="26"/>
        </w:rPr>
        <w:t xml:space="preserve"> </w:t>
      </w:r>
      <w:r w:rsidR="007A4DC4" w:rsidRPr="00FF390A">
        <w:rPr>
          <w:sz w:val="26"/>
          <w:szCs w:val="26"/>
        </w:rPr>
        <w:t xml:space="preserve"> </w:t>
      </w:r>
      <w:r w:rsidR="0086435D" w:rsidRPr="00740CF5">
        <w:rPr>
          <w:sz w:val="26"/>
          <w:szCs w:val="26"/>
        </w:rPr>
        <w:t>R.D. at 28</w:t>
      </w:r>
      <w:r w:rsidR="00583866">
        <w:rPr>
          <w:sz w:val="26"/>
          <w:szCs w:val="26"/>
        </w:rPr>
        <w:t>;</w:t>
      </w:r>
      <w:r w:rsidR="00BB2A34">
        <w:rPr>
          <w:sz w:val="26"/>
          <w:szCs w:val="26"/>
        </w:rPr>
        <w:t xml:space="preserve"> </w:t>
      </w:r>
      <w:r w:rsidR="0003286C">
        <w:rPr>
          <w:sz w:val="26"/>
          <w:szCs w:val="26"/>
        </w:rPr>
        <w:t xml:space="preserve">OCA R.Exc. at 3.  </w:t>
      </w:r>
    </w:p>
    <w:p w:rsidR="00BB2A34" w:rsidRPr="00740CF5" w:rsidRDefault="00BB2A34" w:rsidP="0086435D">
      <w:pPr>
        <w:pStyle w:val="FootnoteText"/>
        <w:spacing w:line="360" w:lineRule="auto"/>
        <w:ind w:firstLine="720"/>
        <w:rPr>
          <w:sz w:val="26"/>
          <w:szCs w:val="26"/>
        </w:rPr>
      </w:pPr>
    </w:p>
    <w:p w:rsidR="0086435D" w:rsidRPr="0086435D" w:rsidRDefault="007A4DC4" w:rsidP="00FF390A">
      <w:pPr>
        <w:spacing w:line="360" w:lineRule="auto"/>
        <w:ind w:firstLine="1440"/>
        <w:rPr>
          <w:sz w:val="26"/>
          <w:szCs w:val="26"/>
        </w:rPr>
      </w:pPr>
      <w:r w:rsidRPr="00FF390A">
        <w:rPr>
          <w:sz w:val="26"/>
          <w:szCs w:val="26"/>
        </w:rPr>
        <w:t>The ALJ also found that Duquesne’s plan provides the least amount of risk for consumers in the current market, and is “logical and prudent and meets the least cost requirements.”</w:t>
      </w:r>
      <w:r w:rsidR="0086435D">
        <w:rPr>
          <w:sz w:val="26"/>
          <w:szCs w:val="26"/>
        </w:rPr>
        <w:t xml:space="preserve"> </w:t>
      </w:r>
      <w:r w:rsidR="0086435D">
        <w:rPr>
          <w:i/>
          <w:sz w:val="26"/>
          <w:szCs w:val="26"/>
        </w:rPr>
        <w:t>Id.</w:t>
      </w:r>
      <w:r w:rsidR="0086435D">
        <w:rPr>
          <w:sz w:val="26"/>
          <w:szCs w:val="26"/>
        </w:rPr>
        <w:t xml:space="preserve"> </w:t>
      </w:r>
      <w:r w:rsidRPr="00FF390A">
        <w:rPr>
          <w:sz w:val="26"/>
          <w:szCs w:val="26"/>
        </w:rPr>
        <w:t xml:space="preserve"> The ALJ further stated that, “</w:t>
      </w:r>
      <w:r w:rsidR="00583866">
        <w:rPr>
          <w:sz w:val="26"/>
          <w:szCs w:val="26"/>
        </w:rPr>
        <w:t>[t]</w:t>
      </w:r>
      <w:r w:rsidRPr="00FF390A">
        <w:rPr>
          <w:sz w:val="26"/>
          <w:szCs w:val="26"/>
        </w:rPr>
        <w:t>o use quarterly and annual contracts will compromise price stability too far, resulting in customers who refuse to shop due to lack of predictability beyond three months and the need for almost constant monitoring of retail market rates.”</w:t>
      </w:r>
      <w:r w:rsidR="0086435D">
        <w:rPr>
          <w:sz w:val="26"/>
          <w:szCs w:val="26"/>
        </w:rPr>
        <w:t xml:space="preserve">  </w:t>
      </w:r>
      <w:r w:rsidR="0086435D">
        <w:rPr>
          <w:i/>
          <w:sz w:val="26"/>
          <w:szCs w:val="26"/>
        </w:rPr>
        <w:t xml:space="preserve">Id. </w:t>
      </w:r>
      <w:r w:rsidR="0086435D" w:rsidRPr="0086435D">
        <w:rPr>
          <w:sz w:val="26"/>
          <w:szCs w:val="26"/>
        </w:rPr>
        <w:t>at 28-29</w:t>
      </w:r>
      <w:r w:rsidR="00583866">
        <w:rPr>
          <w:sz w:val="26"/>
          <w:szCs w:val="26"/>
        </w:rPr>
        <w:t>;</w:t>
      </w:r>
      <w:r w:rsidRPr="0086435D">
        <w:rPr>
          <w:sz w:val="26"/>
          <w:szCs w:val="26"/>
        </w:rPr>
        <w:t xml:space="preserve"> </w:t>
      </w:r>
      <w:r w:rsidR="0003286C">
        <w:rPr>
          <w:sz w:val="26"/>
          <w:szCs w:val="26"/>
        </w:rPr>
        <w:t>OCA R.Exc. at 4.</w:t>
      </w:r>
    </w:p>
    <w:p w:rsidR="00FF390A" w:rsidRDefault="007A4DC4" w:rsidP="00FF390A">
      <w:pPr>
        <w:spacing w:line="360" w:lineRule="auto"/>
        <w:ind w:firstLine="1440"/>
        <w:rPr>
          <w:sz w:val="26"/>
          <w:szCs w:val="26"/>
        </w:rPr>
      </w:pPr>
      <w:r w:rsidRPr="00FF390A">
        <w:rPr>
          <w:sz w:val="26"/>
          <w:szCs w:val="26"/>
        </w:rPr>
        <w:t xml:space="preserve"> </w:t>
      </w:r>
    </w:p>
    <w:p w:rsidR="007A4DC4" w:rsidRDefault="007A4DC4" w:rsidP="001331AB">
      <w:pPr>
        <w:spacing w:line="360" w:lineRule="auto"/>
        <w:ind w:firstLine="1440"/>
        <w:rPr>
          <w:sz w:val="26"/>
          <w:szCs w:val="26"/>
        </w:rPr>
      </w:pPr>
      <w:r w:rsidRPr="00FF390A">
        <w:rPr>
          <w:sz w:val="26"/>
          <w:szCs w:val="26"/>
        </w:rPr>
        <w:t>The OCA submits that RESA’s arguments are incorrect.  Initially, the OCA notes that the ALJ explicitly</w:t>
      </w:r>
      <w:r w:rsidR="001331AB">
        <w:rPr>
          <w:sz w:val="26"/>
          <w:szCs w:val="26"/>
        </w:rPr>
        <w:t xml:space="preserve"> determined that Duquesne’s DSP</w:t>
      </w:r>
      <w:r w:rsidRPr="00FF390A">
        <w:rPr>
          <w:sz w:val="26"/>
          <w:szCs w:val="26"/>
        </w:rPr>
        <w:t xml:space="preserve"> “meets the least cost </w:t>
      </w:r>
      <w:r w:rsidR="0086435D">
        <w:rPr>
          <w:sz w:val="26"/>
          <w:szCs w:val="26"/>
        </w:rPr>
        <w:t xml:space="preserve">requirements” of Act 129.  </w:t>
      </w:r>
      <w:r w:rsidR="00583866">
        <w:rPr>
          <w:sz w:val="26"/>
          <w:szCs w:val="26"/>
        </w:rPr>
        <w:t>R.D.</w:t>
      </w:r>
      <w:r w:rsidR="0086435D">
        <w:rPr>
          <w:i/>
          <w:sz w:val="26"/>
          <w:szCs w:val="26"/>
        </w:rPr>
        <w:t xml:space="preserve"> </w:t>
      </w:r>
      <w:r w:rsidRPr="00FF390A">
        <w:rPr>
          <w:sz w:val="26"/>
          <w:szCs w:val="26"/>
        </w:rPr>
        <w:t xml:space="preserve">at 28.  That the ALJ also factored in considerations of price stability in reaching her decision is not legally flawed as RESA suggests.  On the contrary, the OCA submits that the ALJ’s consideration of price stability is entirely consistent with Pennsylvania law.  The General Assembly made specific policy findings </w:t>
      </w:r>
      <w:r w:rsidRPr="00FF390A">
        <w:rPr>
          <w:sz w:val="26"/>
          <w:szCs w:val="26"/>
        </w:rPr>
        <w:lastRenderedPageBreak/>
        <w:t>and declarations in passing Act 129 that were set forth in the Preamble.  The Preamble to Act 129 provides very specific guidance as to the purpose of Act 129 and the goals that have been set by the General Assembly for each default service provider to achieve.  Specifically, the General Assembly declared</w:t>
      </w:r>
      <w:r w:rsidR="00FF390A">
        <w:rPr>
          <w:sz w:val="26"/>
          <w:szCs w:val="26"/>
        </w:rPr>
        <w:t xml:space="preserve"> as follows</w:t>
      </w:r>
      <w:r w:rsidRPr="00FF390A">
        <w:rPr>
          <w:sz w:val="26"/>
          <w:szCs w:val="26"/>
        </w:rPr>
        <w:t>:</w:t>
      </w:r>
    </w:p>
    <w:p w:rsidR="007A4DC4" w:rsidRPr="00FF390A" w:rsidRDefault="007A4DC4" w:rsidP="00FF390A">
      <w:pPr>
        <w:ind w:left="1440" w:right="1440"/>
        <w:rPr>
          <w:sz w:val="26"/>
          <w:szCs w:val="26"/>
        </w:rPr>
      </w:pPr>
      <w:r w:rsidRPr="00FF390A">
        <w:rPr>
          <w:sz w:val="26"/>
          <w:szCs w:val="26"/>
        </w:rPr>
        <w:t xml:space="preserve">(1)  The health, safety and prosperity of all citizens of this Commonwealth are inherently dependent upon the availability of adequate, reliable, affordable, efficient and environmentally sustainable electric service at the least cost, </w:t>
      </w:r>
      <w:r w:rsidRPr="00FF390A">
        <w:rPr>
          <w:i/>
          <w:sz w:val="26"/>
          <w:szCs w:val="26"/>
        </w:rPr>
        <w:t>taking into account any benefits of price stability over time</w:t>
      </w:r>
      <w:r w:rsidRPr="00FF390A">
        <w:rPr>
          <w:sz w:val="26"/>
          <w:szCs w:val="26"/>
        </w:rPr>
        <w:t xml:space="preserve"> and the impact on the environment.</w:t>
      </w:r>
    </w:p>
    <w:p w:rsidR="007A4DC4" w:rsidRPr="00FF390A" w:rsidRDefault="007A4DC4" w:rsidP="00FF390A">
      <w:pPr>
        <w:pStyle w:val="ListParagraph"/>
        <w:ind w:left="1440" w:right="1440" w:firstLine="1440"/>
        <w:rPr>
          <w:sz w:val="26"/>
          <w:szCs w:val="26"/>
        </w:rPr>
      </w:pPr>
    </w:p>
    <w:p w:rsidR="007A4DC4" w:rsidRPr="00FF390A" w:rsidRDefault="007A4DC4" w:rsidP="00FF390A">
      <w:pPr>
        <w:pStyle w:val="ListParagraph"/>
        <w:ind w:left="1440" w:right="1440"/>
        <w:rPr>
          <w:sz w:val="26"/>
          <w:szCs w:val="26"/>
        </w:rPr>
      </w:pPr>
      <w:r w:rsidRPr="00FF390A">
        <w:rPr>
          <w:sz w:val="26"/>
          <w:szCs w:val="26"/>
        </w:rPr>
        <w:t xml:space="preserve">(2)  It is in the public interest to adopt energy efficiency and conservation measures and to implement energy procurement requirements designed to </w:t>
      </w:r>
      <w:r w:rsidRPr="00FF390A">
        <w:rPr>
          <w:i/>
          <w:sz w:val="26"/>
          <w:szCs w:val="26"/>
        </w:rPr>
        <w:t>ensure that electricity obtained reduces the possibility of electric price instability</w:t>
      </w:r>
      <w:r w:rsidRPr="00FF390A">
        <w:rPr>
          <w:sz w:val="26"/>
          <w:szCs w:val="26"/>
        </w:rPr>
        <w:t>, promotes economic growth and ensures affordable and available electric service to all residents.</w:t>
      </w:r>
    </w:p>
    <w:p w:rsidR="007A4DC4" w:rsidRPr="00FF390A" w:rsidRDefault="007A4DC4" w:rsidP="00FF390A">
      <w:pPr>
        <w:pStyle w:val="ListParagraph"/>
        <w:spacing w:line="360" w:lineRule="auto"/>
        <w:ind w:left="2880" w:firstLine="1440"/>
        <w:rPr>
          <w:sz w:val="26"/>
          <w:szCs w:val="26"/>
        </w:rPr>
      </w:pPr>
    </w:p>
    <w:p w:rsidR="00C570B6" w:rsidRDefault="007A4DC4" w:rsidP="00FF390A">
      <w:pPr>
        <w:spacing w:line="360" w:lineRule="auto"/>
        <w:rPr>
          <w:sz w:val="26"/>
          <w:szCs w:val="26"/>
        </w:rPr>
      </w:pPr>
      <w:r w:rsidRPr="00FF390A">
        <w:rPr>
          <w:sz w:val="26"/>
          <w:szCs w:val="26"/>
        </w:rPr>
        <w:t xml:space="preserve">Preamble to Act 129, 2008 Pa. Laws 129 (emphasis added).  The Commission’s </w:t>
      </w:r>
      <w:r w:rsidR="00DC36CB" w:rsidRPr="00DC36CB">
        <w:rPr>
          <w:i/>
          <w:sz w:val="26"/>
          <w:szCs w:val="26"/>
        </w:rPr>
        <w:t>Act 129 Final Rulemaking Order</w:t>
      </w:r>
      <w:r w:rsidR="00DC36CB">
        <w:rPr>
          <w:sz w:val="26"/>
          <w:szCs w:val="26"/>
        </w:rPr>
        <w:t xml:space="preserve"> </w:t>
      </w:r>
      <w:r w:rsidR="00FF390A">
        <w:rPr>
          <w:sz w:val="26"/>
          <w:szCs w:val="26"/>
        </w:rPr>
        <w:t xml:space="preserve">in turn </w:t>
      </w:r>
      <w:r w:rsidRPr="00FF390A">
        <w:rPr>
          <w:sz w:val="26"/>
          <w:szCs w:val="26"/>
        </w:rPr>
        <w:t>provide</w:t>
      </w:r>
      <w:r w:rsidR="00DC36CB">
        <w:rPr>
          <w:sz w:val="26"/>
          <w:szCs w:val="26"/>
        </w:rPr>
        <w:t>s</w:t>
      </w:r>
      <w:r w:rsidRPr="00FF390A">
        <w:rPr>
          <w:sz w:val="26"/>
          <w:szCs w:val="26"/>
        </w:rPr>
        <w:t>:</w:t>
      </w:r>
    </w:p>
    <w:p w:rsidR="00DC36CB" w:rsidRPr="00FF390A" w:rsidRDefault="00DC36CB" w:rsidP="00FF390A">
      <w:pPr>
        <w:spacing w:line="360" w:lineRule="auto"/>
        <w:rPr>
          <w:sz w:val="26"/>
          <w:szCs w:val="26"/>
        </w:rPr>
      </w:pPr>
    </w:p>
    <w:p w:rsidR="007A4DC4" w:rsidRPr="00FF390A" w:rsidRDefault="007A4DC4" w:rsidP="00FF390A">
      <w:pPr>
        <w:ind w:left="1440" w:right="1440"/>
        <w:rPr>
          <w:sz w:val="26"/>
          <w:szCs w:val="26"/>
        </w:rPr>
      </w:pPr>
      <w:r w:rsidRPr="00FF390A">
        <w:rPr>
          <w:sz w:val="26"/>
          <w:szCs w:val="26"/>
        </w:rPr>
        <w:t>We disagree with RESA’s overall recommendations as to the proper interpretation of the “least cost” standard as mandating that default service rates approximate, on a prospective basis, the market price of energy.  Such an interpretation would signal retention of the “prevailing market price” standard that has been expressly replaced under Act 129.  Moreover, this interpretation conflicts with the Act 129 objective of achieving price stability which dictates consideration of a range of energy products, not just those that necessarily reflect the market price of electricity at a given point in time.  Price stability benefits are very important to some customer groups in that exposing them to significant price volatility through general reliance on short term pricing would be inconsistent with Act 129 objectives.</w:t>
      </w:r>
    </w:p>
    <w:p w:rsidR="007A4DC4" w:rsidRPr="00FF390A" w:rsidRDefault="007A4DC4" w:rsidP="00FF390A">
      <w:pPr>
        <w:spacing w:line="360" w:lineRule="auto"/>
        <w:ind w:firstLine="1440"/>
        <w:rPr>
          <w:sz w:val="26"/>
          <w:szCs w:val="26"/>
        </w:rPr>
      </w:pPr>
    </w:p>
    <w:p w:rsidR="007A4DC4" w:rsidRDefault="00DC36CB" w:rsidP="00FF390A">
      <w:pPr>
        <w:spacing w:line="360" w:lineRule="auto"/>
        <w:rPr>
          <w:sz w:val="26"/>
          <w:szCs w:val="26"/>
        </w:rPr>
      </w:pPr>
      <w:r w:rsidRPr="00DC36CB">
        <w:rPr>
          <w:i/>
          <w:sz w:val="26"/>
          <w:szCs w:val="26"/>
        </w:rPr>
        <w:t xml:space="preserve">Act 129 </w:t>
      </w:r>
      <w:r w:rsidR="007A4DC4" w:rsidRPr="00DC36CB">
        <w:rPr>
          <w:i/>
          <w:sz w:val="26"/>
          <w:szCs w:val="26"/>
        </w:rPr>
        <w:t>Final Rulemaking Order</w:t>
      </w:r>
      <w:r w:rsidR="00FF390A" w:rsidRPr="00FF390A">
        <w:rPr>
          <w:sz w:val="26"/>
          <w:szCs w:val="26"/>
        </w:rPr>
        <w:t xml:space="preserve"> at 39-40</w:t>
      </w:r>
      <w:r w:rsidR="007A4DC4" w:rsidRPr="00FF390A">
        <w:rPr>
          <w:sz w:val="26"/>
          <w:szCs w:val="26"/>
        </w:rPr>
        <w:t>.  The Commission further recognized the benefits of rate stability as it relates to the “least cost over time” standard, as follows:</w:t>
      </w:r>
    </w:p>
    <w:p w:rsidR="00C570B6" w:rsidRPr="00FF390A" w:rsidRDefault="00C570B6" w:rsidP="00FF390A">
      <w:pPr>
        <w:spacing w:line="360" w:lineRule="auto"/>
        <w:rPr>
          <w:sz w:val="26"/>
          <w:szCs w:val="26"/>
        </w:rPr>
      </w:pPr>
    </w:p>
    <w:p w:rsidR="007A4DC4" w:rsidRPr="00FF390A" w:rsidRDefault="007A4DC4" w:rsidP="00C570B6">
      <w:pPr>
        <w:ind w:left="1440" w:right="1440"/>
        <w:rPr>
          <w:sz w:val="26"/>
          <w:szCs w:val="26"/>
        </w:rPr>
      </w:pPr>
      <w:r w:rsidRPr="00FF390A">
        <w:rPr>
          <w:sz w:val="26"/>
          <w:szCs w:val="26"/>
        </w:rPr>
        <w:t xml:space="preserve">In our view, a default service plan that meets the “least cost over time” standard should not have, as its singular focus, the achievement of the absolute lowest cost over the default service plan time frame but rather a cost for power that is both relatively stable and also economical relative to other options.  In this regard, we agree with those points raised by both PECO and PPL.  To reiterate our prior point, the “least cost over time” standard should not be viewed as synonymous with maximizing market timing benefits at the expense of </w:t>
      </w:r>
      <w:r w:rsidRPr="0086435D">
        <w:rPr>
          <w:i/>
          <w:sz w:val="26"/>
          <w:szCs w:val="26"/>
        </w:rPr>
        <w:t>price stability</w:t>
      </w:r>
      <w:r w:rsidRPr="00FF390A">
        <w:rPr>
          <w:sz w:val="26"/>
          <w:szCs w:val="26"/>
        </w:rPr>
        <w:t xml:space="preserve"> and economy.</w:t>
      </w:r>
    </w:p>
    <w:p w:rsidR="00C570B6" w:rsidRDefault="00C570B6" w:rsidP="00C570B6">
      <w:pPr>
        <w:spacing w:line="360" w:lineRule="auto"/>
        <w:rPr>
          <w:sz w:val="26"/>
          <w:szCs w:val="26"/>
        </w:rPr>
      </w:pPr>
    </w:p>
    <w:p w:rsidR="007A4DC4" w:rsidRDefault="00DC36CB" w:rsidP="00C570B6">
      <w:pPr>
        <w:spacing w:line="360" w:lineRule="auto"/>
        <w:rPr>
          <w:sz w:val="26"/>
          <w:szCs w:val="26"/>
        </w:rPr>
      </w:pPr>
      <w:r>
        <w:rPr>
          <w:i/>
          <w:sz w:val="26"/>
          <w:szCs w:val="26"/>
        </w:rPr>
        <w:t>Id.</w:t>
      </w:r>
      <w:r w:rsidR="007A4DC4" w:rsidRPr="00FF390A">
        <w:rPr>
          <w:sz w:val="26"/>
          <w:szCs w:val="26"/>
        </w:rPr>
        <w:t xml:space="preserve"> at 40-41 (emphasis added).  The Commission elaborated on the importance of price stability, noting that the reliance on short term pricing is not consistent with Act 129:   </w:t>
      </w:r>
    </w:p>
    <w:p w:rsidR="00C570B6" w:rsidRPr="00FF390A" w:rsidRDefault="00C570B6" w:rsidP="00C570B6">
      <w:pPr>
        <w:spacing w:line="360" w:lineRule="auto"/>
        <w:rPr>
          <w:sz w:val="26"/>
          <w:szCs w:val="26"/>
        </w:rPr>
      </w:pPr>
    </w:p>
    <w:p w:rsidR="007A4DC4" w:rsidRPr="00FF390A" w:rsidRDefault="007A4DC4" w:rsidP="00C570B6">
      <w:pPr>
        <w:ind w:left="1440" w:right="1440"/>
        <w:rPr>
          <w:sz w:val="26"/>
          <w:szCs w:val="26"/>
        </w:rPr>
      </w:pPr>
      <w:r w:rsidRPr="00FF390A">
        <w:rPr>
          <w:sz w:val="26"/>
          <w:szCs w:val="26"/>
        </w:rPr>
        <w:t xml:space="preserve">Price stability benefits are very important to some customer groups, so </w:t>
      </w:r>
      <w:r w:rsidRPr="0086435D">
        <w:rPr>
          <w:i/>
          <w:sz w:val="26"/>
          <w:szCs w:val="26"/>
        </w:rPr>
        <w:t>an interpretation of “least cost” that mandates subjecting all default service customers to significant price volatility through general reliance on short term pricing is inconsistent with Act 129’s objectives.</w:t>
      </w:r>
      <w:r w:rsidRPr="00FF390A">
        <w:rPr>
          <w:sz w:val="26"/>
          <w:szCs w:val="26"/>
        </w:rPr>
        <w:t xml:space="preserve">   </w:t>
      </w:r>
    </w:p>
    <w:p w:rsidR="00C570B6" w:rsidRDefault="00C570B6" w:rsidP="00C570B6">
      <w:pPr>
        <w:spacing w:line="360" w:lineRule="auto"/>
        <w:rPr>
          <w:sz w:val="26"/>
          <w:szCs w:val="26"/>
        </w:rPr>
      </w:pPr>
    </w:p>
    <w:p w:rsidR="007A4DC4" w:rsidRPr="00FF390A" w:rsidRDefault="00DC36CB" w:rsidP="0003286C">
      <w:pPr>
        <w:spacing w:line="360" w:lineRule="auto"/>
        <w:rPr>
          <w:sz w:val="26"/>
          <w:szCs w:val="26"/>
        </w:rPr>
      </w:pPr>
      <w:r w:rsidRPr="00DC36CB">
        <w:rPr>
          <w:i/>
          <w:sz w:val="26"/>
          <w:szCs w:val="26"/>
        </w:rPr>
        <w:t xml:space="preserve">Id. </w:t>
      </w:r>
      <w:r w:rsidR="007A4DC4" w:rsidRPr="00FF390A">
        <w:rPr>
          <w:sz w:val="26"/>
          <w:szCs w:val="26"/>
        </w:rPr>
        <w:t>at 41 (emphasis added)</w:t>
      </w:r>
      <w:r w:rsidR="00583866">
        <w:rPr>
          <w:sz w:val="26"/>
          <w:szCs w:val="26"/>
        </w:rPr>
        <w:t>;</w:t>
      </w:r>
      <w:r w:rsidR="0003286C">
        <w:rPr>
          <w:sz w:val="26"/>
          <w:szCs w:val="26"/>
        </w:rPr>
        <w:t xml:space="preserve"> OCA R.Exc. at 4-6.</w:t>
      </w:r>
      <w:r w:rsidR="007A4DC4" w:rsidRPr="00FF390A">
        <w:rPr>
          <w:sz w:val="26"/>
          <w:szCs w:val="26"/>
        </w:rPr>
        <w:t xml:space="preserve">  </w:t>
      </w:r>
    </w:p>
    <w:p w:rsidR="007A4DC4" w:rsidRPr="00FF390A" w:rsidRDefault="007A4DC4" w:rsidP="0003286C">
      <w:pPr>
        <w:pStyle w:val="ListParagraph"/>
        <w:spacing w:line="360" w:lineRule="auto"/>
        <w:ind w:left="2880" w:firstLine="1440"/>
        <w:rPr>
          <w:sz w:val="26"/>
          <w:szCs w:val="26"/>
        </w:rPr>
      </w:pPr>
    </w:p>
    <w:p w:rsidR="007A4DC4" w:rsidRPr="00FF390A" w:rsidRDefault="00464493" w:rsidP="0003286C">
      <w:pPr>
        <w:spacing w:line="360" w:lineRule="auto"/>
        <w:ind w:firstLine="1440"/>
        <w:rPr>
          <w:sz w:val="26"/>
          <w:szCs w:val="26"/>
        </w:rPr>
      </w:pPr>
      <w:r>
        <w:rPr>
          <w:sz w:val="26"/>
          <w:szCs w:val="26"/>
        </w:rPr>
        <w:t xml:space="preserve">According to the OCA, </w:t>
      </w:r>
      <w:r w:rsidR="007A4DC4" w:rsidRPr="00FF390A">
        <w:rPr>
          <w:sz w:val="26"/>
          <w:szCs w:val="26"/>
        </w:rPr>
        <w:t xml:space="preserve">RESA would have the ALJ and the Commission ignore or downplay Act 129 </w:t>
      </w:r>
      <w:r w:rsidR="00DC36CB">
        <w:rPr>
          <w:sz w:val="26"/>
          <w:szCs w:val="26"/>
        </w:rPr>
        <w:t>and the Commission’s own r</w:t>
      </w:r>
      <w:r w:rsidR="007A4DC4" w:rsidRPr="00FF390A">
        <w:rPr>
          <w:sz w:val="26"/>
          <w:szCs w:val="26"/>
        </w:rPr>
        <w:t xml:space="preserve">egulations when considering a default service procurement plan.  Yet, </w:t>
      </w:r>
      <w:r>
        <w:rPr>
          <w:sz w:val="26"/>
          <w:szCs w:val="26"/>
        </w:rPr>
        <w:t xml:space="preserve">the OCA argues that </w:t>
      </w:r>
      <w:r w:rsidR="007A4DC4" w:rsidRPr="00FF390A">
        <w:rPr>
          <w:sz w:val="26"/>
          <w:szCs w:val="26"/>
        </w:rPr>
        <w:t xml:space="preserve">RESA has provided no reason for the Commission or the ALJ to overlook legislative intent </w:t>
      </w:r>
      <w:r w:rsidR="00DC36CB">
        <w:rPr>
          <w:sz w:val="26"/>
          <w:szCs w:val="26"/>
        </w:rPr>
        <w:t>or the Commission’s r</w:t>
      </w:r>
      <w:r w:rsidR="007A4DC4" w:rsidRPr="00FF390A">
        <w:rPr>
          <w:sz w:val="26"/>
          <w:szCs w:val="26"/>
        </w:rPr>
        <w:t>egulations when applying th</w:t>
      </w:r>
      <w:r w:rsidR="00583866">
        <w:rPr>
          <w:sz w:val="26"/>
          <w:szCs w:val="26"/>
        </w:rPr>
        <w:t>e</w:t>
      </w:r>
      <w:r w:rsidR="007A4DC4" w:rsidRPr="00FF390A">
        <w:rPr>
          <w:sz w:val="26"/>
          <w:szCs w:val="26"/>
        </w:rPr>
        <w:t xml:space="preserve"> statute.  The OCA submits that</w:t>
      </w:r>
      <w:r w:rsidR="00DC36CB">
        <w:rPr>
          <w:sz w:val="26"/>
          <w:szCs w:val="26"/>
        </w:rPr>
        <w:t>,</w:t>
      </w:r>
      <w:r w:rsidR="007A4DC4" w:rsidRPr="00FF390A">
        <w:rPr>
          <w:sz w:val="26"/>
          <w:szCs w:val="26"/>
        </w:rPr>
        <w:t xml:space="preserve"> by considering price stability, the ALJ did not raise the language of the Preamble above the language of the statute as </w:t>
      </w:r>
      <w:r>
        <w:rPr>
          <w:sz w:val="26"/>
          <w:szCs w:val="26"/>
        </w:rPr>
        <w:t>RESA contends.  Rather, the ALJ</w:t>
      </w:r>
      <w:r w:rsidR="007A4DC4" w:rsidRPr="00FF390A">
        <w:rPr>
          <w:sz w:val="26"/>
          <w:szCs w:val="26"/>
        </w:rPr>
        <w:t xml:space="preserve"> reviewed the applicable statutory and regulatory provisions in </w:t>
      </w:r>
      <w:r>
        <w:rPr>
          <w:sz w:val="26"/>
          <w:szCs w:val="26"/>
        </w:rPr>
        <w:t xml:space="preserve">a </w:t>
      </w:r>
      <w:r w:rsidR="007A4DC4" w:rsidRPr="00FF390A">
        <w:rPr>
          <w:sz w:val="26"/>
          <w:szCs w:val="26"/>
        </w:rPr>
        <w:t xml:space="preserve">manner fully consistent with the law. </w:t>
      </w:r>
      <w:r w:rsidR="00BB2A34">
        <w:rPr>
          <w:sz w:val="26"/>
          <w:szCs w:val="26"/>
        </w:rPr>
        <w:t xml:space="preserve"> OCA R.Exc. at 6.</w:t>
      </w:r>
    </w:p>
    <w:p w:rsidR="00C570B6" w:rsidRDefault="007A4DC4" w:rsidP="00464493">
      <w:pPr>
        <w:spacing w:line="360" w:lineRule="auto"/>
        <w:ind w:firstLine="1440"/>
        <w:rPr>
          <w:sz w:val="26"/>
          <w:szCs w:val="26"/>
        </w:rPr>
      </w:pPr>
      <w:r w:rsidRPr="00FF390A">
        <w:rPr>
          <w:sz w:val="26"/>
          <w:szCs w:val="26"/>
        </w:rPr>
        <w:tab/>
      </w:r>
      <w:r w:rsidRPr="00FF390A">
        <w:rPr>
          <w:sz w:val="26"/>
          <w:szCs w:val="26"/>
        </w:rPr>
        <w:tab/>
      </w:r>
    </w:p>
    <w:p w:rsidR="007A4DC4" w:rsidRDefault="00DC36CB" w:rsidP="00FF390A">
      <w:pPr>
        <w:spacing w:line="360" w:lineRule="auto"/>
        <w:ind w:firstLine="1440"/>
        <w:rPr>
          <w:sz w:val="26"/>
          <w:szCs w:val="26"/>
        </w:rPr>
      </w:pPr>
      <w:r>
        <w:rPr>
          <w:sz w:val="26"/>
          <w:szCs w:val="26"/>
        </w:rPr>
        <w:t>The OCA submits that, g</w:t>
      </w:r>
      <w:r w:rsidR="007A4DC4" w:rsidRPr="00FF390A">
        <w:rPr>
          <w:sz w:val="26"/>
          <w:szCs w:val="26"/>
        </w:rPr>
        <w:t>iven the Commission’s clear direction that price stability is an important considerat</w:t>
      </w:r>
      <w:r>
        <w:rPr>
          <w:sz w:val="26"/>
          <w:szCs w:val="26"/>
        </w:rPr>
        <w:t>ion under Act 129</w:t>
      </w:r>
      <w:r w:rsidR="007A4DC4" w:rsidRPr="00FF390A">
        <w:rPr>
          <w:sz w:val="26"/>
          <w:szCs w:val="26"/>
        </w:rPr>
        <w:t xml:space="preserve">, the ALJ’s determination in this case </w:t>
      </w:r>
      <w:r w:rsidR="007A4DC4" w:rsidRPr="00FF390A">
        <w:rPr>
          <w:sz w:val="26"/>
          <w:szCs w:val="26"/>
        </w:rPr>
        <w:lastRenderedPageBreak/>
        <w:t xml:space="preserve">was clearly reasonable and appropriate.  The ALJ correctly found stability to be an important factor in evaluating Duquesne’s default service plan.  Doing so was not improper as RESA asserts, but was a reasonable application of the statute.  The ALJ’s review of the Preamble for use in determining the appropriate legal standards in this proceeding was appropriate and legally supportable. </w:t>
      </w:r>
      <w:r w:rsidR="0003286C">
        <w:rPr>
          <w:sz w:val="26"/>
          <w:szCs w:val="26"/>
        </w:rPr>
        <w:t xml:space="preserve"> OCA R.Exc. at 6-7.</w:t>
      </w:r>
    </w:p>
    <w:p w:rsidR="00C570B6" w:rsidRPr="00FF390A" w:rsidRDefault="00C570B6" w:rsidP="00FF390A">
      <w:pPr>
        <w:spacing w:line="360" w:lineRule="auto"/>
        <w:ind w:firstLine="1440"/>
        <w:rPr>
          <w:sz w:val="26"/>
          <w:szCs w:val="26"/>
        </w:rPr>
      </w:pPr>
    </w:p>
    <w:p w:rsidR="00C570B6" w:rsidRDefault="007A4DC4" w:rsidP="00423761">
      <w:pPr>
        <w:spacing w:line="360" w:lineRule="auto"/>
        <w:ind w:firstLine="1440"/>
        <w:rPr>
          <w:sz w:val="26"/>
          <w:szCs w:val="26"/>
        </w:rPr>
      </w:pPr>
      <w:r w:rsidRPr="00FF390A">
        <w:rPr>
          <w:sz w:val="26"/>
          <w:szCs w:val="26"/>
        </w:rPr>
        <w:t xml:space="preserve">Moreover, the OCA submits that Duquesne’s default service rate </w:t>
      </w:r>
      <w:r w:rsidRPr="00FF390A">
        <w:rPr>
          <w:i/>
          <w:sz w:val="26"/>
          <w:szCs w:val="26"/>
        </w:rPr>
        <w:t xml:space="preserve">is </w:t>
      </w:r>
      <w:r w:rsidRPr="00FF390A">
        <w:rPr>
          <w:sz w:val="26"/>
          <w:szCs w:val="26"/>
        </w:rPr>
        <w:t xml:space="preserve">market-reflective.  </w:t>
      </w:r>
      <w:r w:rsidR="00423761">
        <w:rPr>
          <w:sz w:val="26"/>
          <w:szCs w:val="26"/>
        </w:rPr>
        <w:t>The OCA argues that t</w:t>
      </w:r>
      <w:r w:rsidRPr="00FF390A">
        <w:rPr>
          <w:sz w:val="26"/>
          <w:szCs w:val="26"/>
        </w:rPr>
        <w:t>he generation purchased for default service is procured from the competitive wholesale market that serves both EDCs and EGSs in Pennsylvania</w:t>
      </w:r>
      <w:r w:rsidR="00DC36CB">
        <w:rPr>
          <w:sz w:val="26"/>
          <w:szCs w:val="26"/>
        </w:rPr>
        <w:t>,</w:t>
      </w:r>
      <w:r w:rsidRPr="00FF390A">
        <w:rPr>
          <w:sz w:val="26"/>
          <w:szCs w:val="26"/>
        </w:rPr>
        <w:t xml:space="preserve"> and the price paid by an EDC reflects market conditions for the product procured.  </w:t>
      </w:r>
      <w:r w:rsidR="00423761">
        <w:rPr>
          <w:sz w:val="26"/>
          <w:szCs w:val="26"/>
        </w:rPr>
        <w:t xml:space="preserve">According to the OCA, </w:t>
      </w:r>
      <w:r w:rsidRPr="00FF390A">
        <w:rPr>
          <w:sz w:val="26"/>
          <w:szCs w:val="26"/>
        </w:rPr>
        <w:t>RESA’s proposal would unnecessarily increase the risk and volatility of the default service price.</w:t>
      </w:r>
      <w:r w:rsidR="00423761">
        <w:rPr>
          <w:sz w:val="26"/>
          <w:szCs w:val="26"/>
        </w:rPr>
        <w:t xml:space="preserve">  OCA R.Exc. at 8.</w:t>
      </w:r>
      <w:r w:rsidRPr="00FF390A">
        <w:rPr>
          <w:sz w:val="26"/>
          <w:szCs w:val="26"/>
        </w:rPr>
        <w:t xml:space="preserve"> </w:t>
      </w:r>
    </w:p>
    <w:p w:rsidR="007A4DC4" w:rsidRPr="00FF390A" w:rsidRDefault="007A4DC4" w:rsidP="00C570B6">
      <w:pPr>
        <w:spacing w:line="360" w:lineRule="auto"/>
        <w:rPr>
          <w:sz w:val="26"/>
          <w:szCs w:val="26"/>
        </w:rPr>
      </w:pPr>
      <w:r w:rsidRPr="00FF390A">
        <w:rPr>
          <w:sz w:val="26"/>
          <w:szCs w:val="26"/>
        </w:rPr>
        <w:t xml:space="preserve">  </w:t>
      </w:r>
    </w:p>
    <w:p w:rsidR="00C570B6" w:rsidRPr="00423761" w:rsidRDefault="00DC36CB" w:rsidP="00A06375">
      <w:pPr>
        <w:spacing w:line="360" w:lineRule="auto"/>
        <w:ind w:firstLine="1440"/>
        <w:rPr>
          <w:i/>
          <w:sz w:val="26"/>
          <w:szCs w:val="26"/>
        </w:rPr>
      </w:pPr>
      <w:r>
        <w:rPr>
          <w:sz w:val="26"/>
          <w:szCs w:val="26"/>
        </w:rPr>
        <w:t xml:space="preserve">The OCA also disagrees with </w:t>
      </w:r>
      <w:r w:rsidR="007A4DC4" w:rsidRPr="00FF390A">
        <w:rPr>
          <w:sz w:val="26"/>
          <w:szCs w:val="26"/>
        </w:rPr>
        <w:t>RESA</w:t>
      </w:r>
      <w:r>
        <w:rPr>
          <w:sz w:val="26"/>
          <w:szCs w:val="26"/>
        </w:rPr>
        <w:t>’s argument</w:t>
      </w:r>
      <w:r w:rsidR="007A4DC4" w:rsidRPr="00FF390A">
        <w:rPr>
          <w:sz w:val="26"/>
          <w:szCs w:val="26"/>
        </w:rPr>
        <w:t xml:space="preserve"> that its residential procurement proposal should be adopted because it is consistent with the Commission’s goal</w:t>
      </w:r>
      <w:r w:rsidR="008C0799">
        <w:rPr>
          <w:sz w:val="26"/>
          <w:szCs w:val="26"/>
        </w:rPr>
        <w:t>s as articulated in the</w:t>
      </w:r>
      <w:r>
        <w:rPr>
          <w:sz w:val="26"/>
          <w:szCs w:val="26"/>
        </w:rPr>
        <w:t xml:space="preserve"> </w:t>
      </w:r>
      <w:r w:rsidRPr="00DC36CB">
        <w:rPr>
          <w:i/>
          <w:sz w:val="26"/>
          <w:szCs w:val="26"/>
        </w:rPr>
        <w:t xml:space="preserve">End-State </w:t>
      </w:r>
      <w:r w:rsidR="007A4DC4" w:rsidRPr="00DC36CB">
        <w:rPr>
          <w:i/>
          <w:sz w:val="26"/>
          <w:szCs w:val="26"/>
        </w:rPr>
        <w:t>Tentative Order</w:t>
      </w:r>
      <w:r w:rsidR="007A4DC4" w:rsidRPr="00FF390A">
        <w:rPr>
          <w:sz w:val="26"/>
          <w:szCs w:val="26"/>
        </w:rPr>
        <w:t>.  The OCA submits that RESA’s reasoning on this point is in error.  The</w:t>
      </w:r>
      <w:r w:rsidR="008C0799">
        <w:rPr>
          <w:sz w:val="26"/>
          <w:szCs w:val="26"/>
        </w:rPr>
        <w:t xml:space="preserve"> Commission specifically stated</w:t>
      </w:r>
      <w:r w:rsidR="007A4DC4" w:rsidRPr="00FF390A">
        <w:rPr>
          <w:sz w:val="26"/>
          <w:szCs w:val="26"/>
        </w:rPr>
        <w:t xml:space="preserve"> that the end</w:t>
      </w:r>
      <w:r w:rsidR="00583866">
        <w:rPr>
          <w:sz w:val="26"/>
          <w:szCs w:val="26"/>
        </w:rPr>
        <w:t>-</w:t>
      </w:r>
      <w:r w:rsidR="007A4DC4" w:rsidRPr="00FF390A">
        <w:rPr>
          <w:sz w:val="26"/>
          <w:szCs w:val="26"/>
        </w:rPr>
        <w:t xml:space="preserve">state proposal will require legislative changes.  </w:t>
      </w:r>
      <w:r w:rsidRPr="00DC36CB">
        <w:rPr>
          <w:i/>
          <w:sz w:val="26"/>
          <w:szCs w:val="26"/>
        </w:rPr>
        <w:t>End-State Tentative Order</w:t>
      </w:r>
      <w:r w:rsidRPr="00FF390A">
        <w:rPr>
          <w:sz w:val="26"/>
          <w:szCs w:val="26"/>
        </w:rPr>
        <w:t xml:space="preserve"> </w:t>
      </w:r>
      <w:r w:rsidR="007A4DC4" w:rsidRPr="00FF390A">
        <w:rPr>
          <w:sz w:val="26"/>
          <w:szCs w:val="26"/>
        </w:rPr>
        <w:t xml:space="preserve">at 12.  </w:t>
      </w:r>
      <w:r w:rsidR="00423761">
        <w:rPr>
          <w:sz w:val="26"/>
          <w:szCs w:val="26"/>
        </w:rPr>
        <w:t>According to the OCA, t</w:t>
      </w:r>
      <w:r w:rsidR="007A4DC4" w:rsidRPr="00FF390A">
        <w:rPr>
          <w:sz w:val="26"/>
          <w:szCs w:val="26"/>
        </w:rPr>
        <w:t xml:space="preserve">he current law supports the determination made by the ALJ in favor of the longer-term, more stable default service contracts proposed by Duquesne.  Moreover, </w:t>
      </w:r>
      <w:r w:rsidR="00423761">
        <w:rPr>
          <w:sz w:val="26"/>
          <w:szCs w:val="26"/>
        </w:rPr>
        <w:t xml:space="preserve">the OCA asserts that </w:t>
      </w:r>
      <w:r w:rsidR="007A4DC4" w:rsidRPr="00FF390A">
        <w:rPr>
          <w:sz w:val="26"/>
          <w:szCs w:val="26"/>
        </w:rPr>
        <w:t>the use of three</w:t>
      </w:r>
      <w:r w:rsidR="00583866">
        <w:rPr>
          <w:sz w:val="26"/>
          <w:szCs w:val="26"/>
        </w:rPr>
        <w:t>-</w:t>
      </w:r>
      <w:r w:rsidR="007A4DC4" w:rsidRPr="00FF390A">
        <w:rPr>
          <w:sz w:val="26"/>
          <w:szCs w:val="26"/>
        </w:rPr>
        <w:t xml:space="preserve">month contracts is not necessary or desirable in this default service period regardless of the possible transition to a different default service model.  </w:t>
      </w:r>
      <w:r w:rsidR="00423761">
        <w:rPr>
          <w:sz w:val="26"/>
          <w:szCs w:val="26"/>
        </w:rPr>
        <w:t>The OCA opines that a</w:t>
      </w:r>
      <w:r w:rsidR="007A4DC4" w:rsidRPr="00FF390A">
        <w:rPr>
          <w:sz w:val="26"/>
          <w:szCs w:val="26"/>
        </w:rPr>
        <w:t xml:space="preserve">ny possible transition would require a myriad of issues to be addressed including </w:t>
      </w:r>
      <w:r w:rsidR="00423761">
        <w:rPr>
          <w:sz w:val="26"/>
          <w:szCs w:val="26"/>
        </w:rPr>
        <w:t xml:space="preserve">the </w:t>
      </w:r>
      <w:r w:rsidR="007A4DC4" w:rsidRPr="00FF390A">
        <w:rPr>
          <w:sz w:val="26"/>
          <w:szCs w:val="26"/>
        </w:rPr>
        <w:t>proper method of implementing the transition.</w:t>
      </w:r>
    </w:p>
    <w:p w:rsidR="007A4DC4" w:rsidRPr="00FF390A" w:rsidRDefault="007A4DC4" w:rsidP="00A06375">
      <w:pPr>
        <w:spacing w:line="360" w:lineRule="auto"/>
        <w:ind w:firstLine="1440"/>
        <w:rPr>
          <w:sz w:val="26"/>
          <w:szCs w:val="26"/>
        </w:rPr>
      </w:pPr>
      <w:r w:rsidRPr="00FF390A">
        <w:rPr>
          <w:sz w:val="26"/>
          <w:szCs w:val="26"/>
        </w:rPr>
        <w:t xml:space="preserve"> </w:t>
      </w:r>
    </w:p>
    <w:p w:rsidR="00EC0648" w:rsidRPr="00423761" w:rsidRDefault="00EC0648" w:rsidP="00423761">
      <w:pPr>
        <w:pStyle w:val="BodyText2"/>
        <w:spacing w:after="0" w:line="360" w:lineRule="auto"/>
        <w:ind w:firstLine="1440"/>
        <w:rPr>
          <w:sz w:val="26"/>
          <w:szCs w:val="26"/>
        </w:rPr>
      </w:pPr>
      <w:r w:rsidRPr="00EC0648">
        <w:rPr>
          <w:sz w:val="26"/>
          <w:szCs w:val="26"/>
        </w:rPr>
        <w:t xml:space="preserve">In its Reply Exceptions, RESA argues that the OCA contends incorrectly that the ALJ erred in not requiring Duquesne to include two-year default service supply contracts in the residential portfolio mix.  RESA submits that the ALJ correctly rejected two-year contracts although, as RESA explained in its Exceptions, the ALJ erred in </w:t>
      </w:r>
      <w:r w:rsidRPr="00EC0648">
        <w:rPr>
          <w:sz w:val="26"/>
          <w:szCs w:val="26"/>
        </w:rPr>
        <w:lastRenderedPageBreak/>
        <w:t>adopting Duq</w:t>
      </w:r>
      <w:r w:rsidR="00423761">
        <w:rPr>
          <w:sz w:val="26"/>
          <w:szCs w:val="26"/>
        </w:rPr>
        <w:t>uesne’s portfolio proposal of twelve</w:t>
      </w:r>
      <w:r w:rsidRPr="00EC0648">
        <w:rPr>
          <w:sz w:val="26"/>
          <w:szCs w:val="26"/>
        </w:rPr>
        <w:t>-month contracts and rejecti</w:t>
      </w:r>
      <w:r w:rsidR="00423761">
        <w:rPr>
          <w:sz w:val="26"/>
          <w:szCs w:val="26"/>
        </w:rPr>
        <w:t>ng RESA’s proposal of blended twelve-month and three</w:t>
      </w:r>
      <w:r w:rsidRPr="00EC0648">
        <w:rPr>
          <w:sz w:val="26"/>
          <w:szCs w:val="26"/>
        </w:rPr>
        <w:t>-month contracts.</w:t>
      </w:r>
      <w:r w:rsidR="00423761">
        <w:rPr>
          <w:sz w:val="26"/>
          <w:szCs w:val="26"/>
        </w:rPr>
        <w:t xml:space="preserve">  RESA R. Exc. at 3-4.  </w:t>
      </w:r>
    </w:p>
    <w:p w:rsidR="00EC0648" w:rsidRPr="00EC0648" w:rsidRDefault="00EC0648" w:rsidP="00423761">
      <w:pPr>
        <w:pStyle w:val="BodyText2"/>
        <w:spacing w:after="0" w:line="360" w:lineRule="auto"/>
        <w:ind w:firstLine="1440"/>
        <w:rPr>
          <w:sz w:val="26"/>
          <w:szCs w:val="26"/>
        </w:rPr>
      </w:pPr>
      <w:r w:rsidRPr="00EC0648">
        <w:rPr>
          <w:sz w:val="26"/>
          <w:szCs w:val="26"/>
        </w:rPr>
        <w:t xml:space="preserve">  </w:t>
      </w:r>
    </w:p>
    <w:p w:rsidR="00A06375" w:rsidRPr="00423761" w:rsidRDefault="008C0799" w:rsidP="00423761">
      <w:pPr>
        <w:pStyle w:val="BodyText2"/>
        <w:spacing w:after="0" w:line="360" w:lineRule="auto"/>
        <w:ind w:firstLine="1440"/>
        <w:rPr>
          <w:sz w:val="26"/>
          <w:szCs w:val="26"/>
        </w:rPr>
      </w:pPr>
      <w:r>
        <w:rPr>
          <w:sz w:val="26"/>
          <w:szCs w:val="26"/>
        </w:rPr>
        <w:t>RESA argues that, i</w:t>
      </w:r>
      <w:r w:rsidR="00EC0648" w:rsidRPr="00EC0648">
        <w:rPr>
          <w:sz w:val="26"/>
          <w:szCs w:val="26"/>
        </w:rPr>
        <w:t xml:space="preserve">n advocating for two-year contracts and being accused of trying to “second guess,” “time,” or “beat the market,” the </w:t>
      </w:r>
      <w:r>
        <w:rPr>
          <w:sz w:val="26"/>
          <w:szCs w:val="26"/>
        </w:rPr>
        <w:t xml:space="preserve">OCA conceded </w:t>
      </w:r>
      <w:r w:rsidR="00EC0648" w:rsidRPr="00EC0648">
        <w:rPr>
          <w:sz w:val="26"/>
          <w:szCs w:val="26"/>
        </w:rPr>
        <w:t>that it did not know whether the inclusion of two-year contracts would result in market reflective default ser</w:t>
      </w:r>
      <w:r>
        <w:rPr>
          <w:sz w:val="26"/>
          <w:szCs w:val="26"/>
        </w:rPr>
        <w:t xml:space="preserve">vice rates.  </w:t>
      </w:r>
      <w:r w:rsidR="00423761">
        <w:rPr>
          <w:sz w:val="26"/>
          <w:szCs w:val="26"/>
        </w:rPr>
        <w:t>RESA asserts that t</w:t>
      </w:r>
      <w:r w:rsidR="00EC0648" w:rsidRPr="00EC0648">
        <w:rPr>
          <w:sz w:val="26"/>
          <w:szCs w:val="26"/>
        </w:rPr>
        <w:t>he OCA also conceded that its recommended mix of one-year and two-year contracts “is no more speculative than the Company’s recommendation to purchase only one year [contracts].”</w:t>
      </w:r>
      <w:r w:rsidR="00EC0648" w:rsidRPr="00EC0648">
        <w:rPr>
          <w:rStyle w:val="FootnoteReference"/>
          <w:sz w:val="26"/>
          <w:szCs w:val="26"/>
        </w:rPr>
        <w:footnoteReference w:id="13"/>
      </w:r>
      <w:r w:rsidR="00EC0648" w:rsidRPr="00EC0648">
        <w:rPr>
          <w:sz w:val="26"/>
          <w:szCs w:val="26"/>
        </w:rPr>
        <w:t xml:space="preserve">  Thus, </w:t>
      </w:r>
      <w:r>
        <w:rPr>
          <w:sz w:val="26"/>
          <w:szCs w:val="26"/>
        </w:rPr>
        <w:t xml:space="preserve">RESA submits that </w:t>
      </w:r>
      <w:r w:rsidR="00EC0648" w:rsidRPr="00EC0648">
        <w:rPr>
          <w:sz w:val="26"/>
          <w:szCs w:val="26"/>
        </w:rPr>
        <w:t>the evidence showed that the inclusion of one-year and/or two-year contracts would ensure a disconnect between the locked-in default</w:t>
      </w:r>
      <w:r>
        <w:rPr>
          <w:sz w:val="26"/>
          <w:szCs w:val="26"/>
        </w:rPr>
        <w:t xml:space="preserve"> service rate and market prices.  RESA repeats its argument that </w:t>
      </w:r>
      <w:r w:rsidR="00EC0648" w:rsidRPr="00EC0648">
        <w:rPr>
          <w:sz w:val="26"/>
          <w:szCs w:val="26"/>
        </w:rPr>
        <w:t>on</w:t>
      </w:r>
      <w:r>
        <w:rPr>
          <w:sz w:val="26"/>
          <w:szCs w:val="26"/>
        </w:rPr>
        <w:t>e-year and two-year contracts are</w:t>
      </w:r>
      <w:r w:rsidR="00EC0648" w:rsidRPr="00EC0648">
        <w:rPr>
          <w:sz w:val="26"/>
          <w:szCs w:val="26"/>
        </w:rPr>
        <w:t xml:space="preserve"> inconsistent with the Commission’s recently-explained vision for the default service end state, which includes quarterly procurements for residential default service.  RESA</w:t>
      </w:r>
      <w:r>
        <w:rPr>
          <w:sz w:val="26"/>
          <w:szCs w:val="26"/>
        </w:rPr>
        <w:t xml:space="preserve"> submits that it</w:t>
      </w:r>
      <w:r w:rsidR="00EC0648" w:rsidRPr="00EC0648">
        <w:rPr>
          <w:sz w:val="26"/>
          <w:szCs w:val="26"/>
        </w:rPr>
        <w:t>s recommendation for blended one-year and quarterly contracts is a reasonable transition to that goal and should be approved, and neither Duquesne’s nor the OCA’s residential procurement plans should be adopted.</w:t>
      </w:r>
      <w:r w:rsidR="00423761">
        <w:rPr>
          <w:sz w:val="26"/>
          <w:szCs w:val="26"/>
        </w:rPr>
        <w:t xml:space="preserve">  </w:t>
      </w:r>
      <w:r w:rsidR="00423761">
        <w:rPr>
          <w:i/>
          <w:sz w:val="26"/>
          <w:szCs w:val="26"/>
        </w:rPr>
        <w:t xml:space="preserve">Id. </w:t>
      </w:r>
      <w:r w:rsidR="00423761">
        <w:rPr>
          <w:sz w:val="26"/>
          <w:szCs w:val="26"/>
        </w:rPr>
        <w:t>at 4.</w:t>
      </w:r>
    </w:p>
    <w:p w:rsidR="006B151B" w:rsidRPr="006B151B" w:rsidRDefault="006B151B" w:rsidP="00423761">
      <w:pPr>
        <w:pStyle w:val="BodyText2"/>
        <w:spacing w:after="0" w:line="360" w:lineRule="auto"/>
        <w:ind w:firstLine="1440"/>
        <w:rPr>
          <w:sz w:val="26"/>
          <w:szCs w:val="26"/>
        </w:rPr>
      </w:pPr>
    </w:p>
    <w:p w:rsidR="00A06375" w:rsidRDefault="00A06375" w:rsidP="006B151B">
      <w:pPr>
        <w:spacing w:line="360" w:lineRule="auto"/>
        <w:ind w:firstLine="1440"/>
        <w:rPr>
          <w:sz w:val="26"/>
          <w:szCs w:val="26"/>
        </w:rPr>
      </w:pPr>
      <w:r w:rsidRPr="00A06375">
        <w:rPr>
          <w:sz w:val="26"/>
          <w:szCs w:val="26"/>
        </w:rPr>
        <w:t>In its Reply Exceptions, Dominion argues that the ALJ correctly rejected RE</w:t>
      </w:r>
      <w:r w:rsidR="008C0799">
        <w:rPr>
          <w:sz w:val="26"/>
          <w:szCs w:val="26"/>
        </w:rPr>
        <w:t xml:space="preserve">SA’s proposal.  Dominion notes that under Duquesne’s proposed DSP VI, the residential </w:t>
      </w:r>
      <w:r w:rsidRPr="00A06375">
        <w:rPr>
          <w:sz w:val="26"/>
          <w:szCs w:val="26"/>
        </w:rPr>
        <w:t>PTC would change only twice during the two-year program.  This annual price change meshes with Duquesne’s proposed RME Programs that would operate on a one year basis, a</w:t>
      </w:r>
      <w:r w:rsidR="00423761">
        <w:rPr>
          <w:sz w:val="26"/>
          <w:szCs w:val="26"/>
        </w:rPr>
        <w:t xml:space="preserve">nd would allow for the price </w:t>
      </w:r>
      <w:r w:rsidRPr="00A06375">
        <w:rPr>
          <w:sz w:val="26"/>
          <w:szCs w:val="26"/>
        </w:rPr>
        <w:t>stability that is important to the OCA with regard to the guarantee of discounts.</w:t>
      </w:r>
      <w:r w:rsidR="00423761">
        <w:rPr>
          <w:sz w:val="26"/>
          <w:szCs w:val="26"/>
        </w:rPr>
        <w:t xml:space="preserve">  Dominion R.</w:t>
      </w:r>
      <w:r w:rsidR="0010494B">
        <w:rPr>
          <w:sz w:val="26"/>
          <w:szCs w:val="26"/>
        </w:rPr>
        <w:t>Exc. at 3</w:t>
      </w:r>
      <w:r w:rsidR="00423761">
        <w:rPr>
          <w:sz w:val="26"/>
          <w:szCs w:val="26"/>
        </w:rPr>
        <w:t xml:space="preserve">.  </w:t>
      </w:r>
    </w:p>
    <w:p w:rsidR="00A06375" w:rsidRPr="00A06375" w:rsidRDefault="00A06375" w:rsidP="00A06375">
      <w:pPr>
        <w:spacing w:line="360" w:lineRule="auto"/>
        <w:ind w:firstLine="1440"/>
        <w:rPr>
          <w:sz w:val="26"/>
          <w:szCs w:val="26"/>
        </w:rPr>
      </w:pPr>
    </w:p>
    <w:p w:rsidR="00A06375" w:rsidRDefault="004757CD" w:rsidP="00A06375">
      <w:pPr>
        <w:spacing w:line="360" w:lineRule="auto"/>
        <w:ind w:firstLine="1440"/>
        <w:rPr>
          <w:sz w:val="26"/>
          <w:szCs w:val="26"/>
        </w:rPr>
      </w:pPr>
      <w:r>
        <w:rPr>
          <w:sz w:val="26"/>
          <w:szCs w:val="26"/>
        </w:rPr>
        <w:lastRenderedPageBreak/>
        <w:t xml:space="preserve">Dominion disputes </w:t>
      </w:r>
      <w:r w:rsidR="008C0799">
        <w:rPr>
          <w:sz w:val="26"/>
          <w:szCs w:val="26"/>
        </w:rPr>
        <w:t xml:space="preserve">RESA’s concern that </w:t>
      </w:r>
      <w:r w:rsidR="00A06375" w:rsidRPr="00A06375">
        <w:rPr>
          <w:sz w:val="26"/>
          <w:szCs w:val="26"/>
        </w:rPr>
        <w:t>price stabi</w:t>
      </w:r>
      <w:r w:rsidR="008C0799">
        <w:rPr>
          <w:sz w:val="26"/>
          <w:szCs w:val="26"/>
        </w:rPr>
        <w:t xml:space="preserve">lity is not a valid objective because </w:t>
      </w:r>
      <w:r>
        <w:rPr>
          <w:sz w:val="26"/>
          <w:szCs w:val="26"/>
        </w:rPr>
        <w:t xml:space="preserve">it </w:t>
      </w:r>
      <w:r w:rsidR="00A06375" w:rsidRPr="00A06375">
        <w:rPr>
          <w:sz w:val="26"/>
          <w:szCs w:val="26"/>
        </w:rPr>
        <w:t>does not comport with RESA’s belief that the overarching purpose of</w:t>
      </w:r>
      <w:r>
        <w:rPr>
          <w:sz w:val="26"/>
          <w:szCs w:val="26"/>
        </w:rPr>
        <w:t xml:space="preserve"> a</w:t>
      </w:r>
      <w:r w:rsidR="00A06375" w:rsidRPr="00A06375">
        <w:rPr>
          <w:sz w:val="26"/>
          <w:szCs w:val="26"/>
        </w:rPr>
        <w:t xml:space="preserve"> procurement plan is to provide market respon</w:t>
      </w:r>
      <w:r>
        <w:rPr>
          <w:sz w:val="26"/>
          <w:szCs w:val="26"/>
        </w:rPr>
        <w:t xml:space="preserve">sive prices to customers.  Dominion states that </w:t>
      </w:r>
      <w:r w:rsidR="00A06375" w:rsidRPr="00A06375">
        <w:rPr>
          <w:sz w:val="26"/>
          <w:szCs w:val="26"/>
        </w:rPr>
        <w:t>RESA fa</w:t>
      </w:r>
      <w:r w:rsidR="00D7362A">
        <w:rPr>
          <w:sz w:val="26"/>
          <w:szCs w:val="26"/>
        </w:rPr>
        <w:t>ils to acknowledge</w:t>
      </w:r>
      <w:r>
        <w:rPr>
          <w:sz w:val="26"/>
          <w:szCs w:val="26"/>
        </w:rPr>
        <w:t xml:space="preserve"> </w:t>
      </w:r>
      <w:r w:rsidR="00A06375" w:rsidRPr="00A06375">
        <w:rPr>
          <w:sz w:val="26"/>
          <w:szCs w:val="26"/>
        </w:rPr>
        <w:t>that</w:t>
      </w:r>
      <w:r w:rsidR="001944C6">
        <w:rPr>
          <w:sz w:val="26"/>
          <w:szCs w:val="26"/>
        </w:rPr>
        <w:t>,</w:t>
      </w:r>
      <w:r w:rsidR="00A06375" w:rsidRPr="00A06375">
        <w:rPr>
          <w:sz w:val="26"/>
          <w:szCs w:val="26"/>
        </w:rPr>
        <w:t xml:space="preserve"> when one states that prices should be “market responsive</w:t>
      </w:r>
      <w:r>
        <w:rPr>
          <w:sz w:val="26"/>
          <w:szCs w:val="26"/>
        </w:rPr>
        <w:t xml:space="preserve">” </w:t>
      </w:r>
      <w:r w:rsidR="00A06375" w:rsidRPr="00A06375">
        <w:rPr>
          <w:sz w:val="26"/>
          <w:szCs w:val="26"/>
        </w:rPr>
        <w:t xml:space="preserve">one must consider the relevant market.  </w:t>
      </w:r>
      <w:r w:rsidR="0010494B">
        <w:rPr>
          <w:sz w:val="26"/>
          <w:szCs w:val="26"/>
        </w:rPr>
        <w:t xml:space="preserve">Dominion avers that </w:t>
      </w:r>
      <w:r w:rsidR="00A06375" w:rsidRPr="00A06375">
        <w:rPr>
          <w:sz w:val="26"/>
          <w:szCs w:val="26"/>
        </w:rPr>
        <w:t>if one wants prices to be reflective of the instantaneous wholesale market price, the obvious solution would be to put all c</w:t>
      </w:r>
      <w:r w:rsidR="00423761">
        <w:rPr>
          <w:sz w:val="26"/>
          <w:szCs w:val="26"/>
        </w:rPr>
        <w:t xml:space="preserve">ustomers on real-time pricing, </w:t>
      </w:r>
      <w:r w:rsidR="00A06375" w:rsidRPr="00A06375">
        <w:rPr>
          <w:sz w:val="26"/>
          <w:szCs w:val="26"/>
        </w:rPr>
        <w:t xml:space="preserve">which is the only price that includes no risk premium to account for future change and which will provide customers with the most market reflective price.  </w:t>
      </w:r>
      <w:r w:rsidR="0010494B">
        <w:rPr>
          <w:sz w:val="26"/>
          <w:szCs w:val="26"/>
        </w:rPr>
        <w:t>According to Dominion, a</w:t>
      </w:r>
      <w:r w:rsidR="00A06375" w:rsidRPr="00A06375">
        <w:rPr>
          <w:sz w:val="26"/>
          <w:szCs w:val="26"/>
        </w:rPr>
        <w:t>t some point, however, the regulator must exercise judgment and determine what level of volatility is appropri</w:t>
      </w:r>
      <w:r w:rsidR="00423761">
        <w:rPr>
          <w:sz w:val="26"/>
          <w:szCs w:val="26"/>
        </w:rPr>
        <w:t>ate for a default service plan,</w:t>
      </w:r>
      <w:r w:rsidR="00A06375" w:rsidRPr="00A06375">
        <w:rPr>
          <w:sz w:val="26"/>
          <w:szCs w:val="26"/>
        </w:rPr>
        <w:t xml:space="preserve"> particularly for residential customers whose tolerance for risk may be considerably less than that of commercial or industrial customers.</w:t>
      </w:r>
      <w:r w:rsidR="0010494B">
        <w:rPr>
          <w:sz w:val="26"/>
          <w:szCs w:val="26"/>
        </w:rPr>
        <w:t xml:space="preserve">  </w:t>
      </w:r>
      <w:r w:rsidR="0010494B">
        <w:rPr>
          <w:i/>
          <w:sz w:val="26"/>
          <w:szCs w:val="26"/>
        </w:rPr>
        <w:t xml:space="preserve">Id. </w:t>
      </w:r>
      <w:r w:rsidR="0010494B">
        <w:rPr>
          <w:sz w:val="26"/>
          <w:szCs w:val="26"/>
        </w:rPr>
        <w:t>at 3-4.</w:t>
      </w:r>
      <w:r w:rsidR="00A06375" w:rsidRPr="00A06375">
        <w:rPr>
          <w:sz w:val="26"/>
          <w:szCs w:val="26"/>
        </w:rPr>
        <w:t xml:space="preserve">  </w:t>
      </w:r>
    </w:p>
    <w:p w:rsidR="00A06375" w:rsidRPr="00A06375" w:rsidRDefault="00A06375" w:rsidP="00A06375">
      <w:pPr>
        <w:spacing w:line="360" w:lineRule="auto"/>
        <w:ind w:firstLine="1440"/>
        <w:rPr>
          <w:sz w:val="26"/>
          <w:szCs w:val="26"/>
        </w:rPr>
      </w:pPr>
    </w:p>
    <w:p w:rsidR="00A06375" w:rsidRPr="0010494B" w:rsidRDefault="005479F7" w:rsidP="0010494B">
      <w:pPr>
        <w:spacing w:line="360" w:lineRule="auto"/>
        <w:ind w:firstLine="1440"/>
        <w:rPr>
          <w:sz w:val="26"/>
          <w:szCs w:val="26"/>
        </w:rPr>
      </w:pPr>
      <w:r>
        <w:rPr>
          <w:sz w:val="26"/>
          <w:szCs w:val="26"/>
        </w:rPr>
        <w:t>Dominion characte</w:t>
      </w:r>
      <w:r w:rsidR="00D7362A">
        <w:rPr>
          <w:sz w:val="26"/>
          <w:szCs w:val="26"/>
        </w:rPr>
        <w:t xml:space="preserve">rizes </w:t>
      </w:r>
      <w:r w:rsidR="00A06375" w:rsidRPr="00A06375">
        <w:rPr>
          <w:sz w:val="26"/>
          <w:szCs w:val="26"/>
        </w:rPr>
        <w:t>RESA</w:t>
      </w:r>
      <w:r w:rsidR="00D7362A">
        <w:rPr>
          <w:sz w:val="26"/>
          <w:szCs w:val="26"/>
        </w:rPr>
        <w:t>’s proposal regarding</w:t>
      </w:r>
      <w:r w:rsidR="00A06375" w:rsidRPr="00A06375">
        <w:rPr>
          <w:sz w:val="26"/>
          <w:szCs w:val="26"/>
        </w:rPr>
        <w:t xml:space="preserve"> </w:t>
      </w:r>
      <w:r w:rsidR="001944C6">
        <w:rPr>
          <w:sz w:val="26"/>
          <w:szCs w:val="26"/>
        </w:rPr>
        <w:t>ninety</w:t>
      </w:r>
      <w:r w:rsidR="00D7362A">
        <w:rPr>
          <w:sz w:val="26"/>
          <w:szCs w:val="26"/>
        </w:rPr>
        <w:t xml:space="preserve">-day procurements as </w:t>
      </w:r>
      <w:r w:rsidR="00A06375" w:rsidRPr="00A06375">
        <w:rPr>
          <w:sz w:val="26"/>
          <w:szCs w:val="26"/>
        </w:rPr>
        <w:t xml:space="preserve">injecting obvious and unnecessary volatility into default service prices in the guise of adding market reflectivity.  </w:t>
      </w:r>
      <w:r w:rsidR="0010494B">
        <w:rPr>
          <w:sz w:val="26"/>
          <w:szCs w:val="26"/>
        </w:rPr>
        <w:t>Dominion states that</w:t>
      </w:r>
      <w:r w:rsidR="001944C6">
        <w:rPr>
          <w:sz w:val="26"/>
          <w:szCs w:val="26"/>
        </w:rPr>
        <w:t>,</w:t>
      </w:r>
      <w:r w:rsidR="0010494B">
        <w:rPr>
          <w:sz w:val="26"/>
          <w:szCs w:val="26"/>
        </w:rPr>
        <w:t xml:space="preserve"> w</w:t>
      </w:r>
      <w:r w:rsidR="00A06375" w:rsidRPr="00A06375">
        <w:rPr>
          <w:sz w:val="26"/>
          <w:szCs w:val="26"/>
        </w:rPr>
        <w:t>hile it is true that quarterly reconciliation and quarterly PTC changes have been the norm for some time now, the procurements themselves have been a much more diversified mix</w:t>
      </w:r>
      <w:r w:rsidR="00D7362A">
        <w:rPr>
          <w:sz w:val="26"/>
          <w:szCs w:val="26"/>
        </w:rPr>
        <w:t>,</w:t>
      </w:r>
      <w:r w:rsidR="00A06375" w:rsidRPr="00A06375">
        <w:rPr>
          <w:sz w:val="26"/>
          <w:szCs w:val="26"/>
        </w:rPr>
        <w:t xml:space="preserve"> which does not always mesh well with t</w:t>
      </w:r>
      <w:r w:rsidR="0010494B">
        <w:rPr>
          <w:sz w:val="26"/>
          <w:szCs w:val="26"/>
        </w:rPr>
        <w:t>he inherent volatility of the ninety</w:t>
      </w:r>
      <w:r w:rsidR="00A06375" w:rsidRPr="00A06375">
        <w:rPr>
          <w:sz w:val="26"/>
          <w:szCs w:val="26"/>
        </w:rPr>
        <w:t xml:space="preserve">-day reconciliation process employed under the current regulations.  </w:t>
      </w:r>
      <w:r w:rsidR="0010494B">
        <w:rPr>
          <w:sz w:val="26"/>
          <w:szCs w:val="26"/>
        </w:rPr>
        <w:t>Dominion opines that i</w:t>
      </w:r>
      <w:r w:rsidR="00A06375" w:rsidRPr="00A06375">
        <w:rPr>
          <w:sz w:val="26"/>
          <w:szCs w:val="26"/>
        </w:rPr>
        <w:t>t also is true that</w:t>
      </w:r>
      <w:r w:rsidR="001944C6">
        <w:rPr>
          <w:sz w:val="26"/>
          <w:szCs w:val="26"/>
        </w:rPr>
        <w:t>,</w:t>
      </w:r>
      <w:r w:rsidR="00A06375" w:rsidRPr="00A06375">
        <w:rPr>
          <w:sz w:val="26"/>
          <w:szCs w:val="26"/>
        </w:rPr>
        <w:t xml:space="preserve"> under the current scheme, shopping is not stellar.  </w:t>
      </w:r>
      <w:r w:rsidR="0010494B">
        <w:rPr>
          <w:sz w:val="26"/>
          <w:szCs w:val="26"/>
        </w:rPr>
        <w:t>According to Dominion, t</w:t>
      </w:r>
      <w:r w:rsidR="00A06375" w:rsidRPr="00A06375">
        <w:rPr>
          <w:sz w:val="26"/>
          <w:szCs w:val="26"/>
        </w:rPr>
        <w:t>he primary cause of the shopping levels however, is the competitive benchmark itself, a reconciled default service price, not the underlying procurement methodology.</w:t>
      </w:r>
      <w:r w:rsidR="0010494B">
        <w:rPr>
          <w:sz w:val="26"/>
          <w:szCs w:val="26"/>
        </w:rPr>
        <w:t xml:space="preserve">  </w:t>
      </w:r>
      <w:r w:rsidR="0010494B">
        <w:rPr>
          <w:i/>
          <w:sz w:val="26"/>
          <w:szCs w:val="26"/>
        </w:rPr>
        <w:t xml:space="preserve">Id. </w:t>
      </w:r>
      <w:r w:rsidR="0010494B">
        <w:rPr>
          <w:sz w:val="26"/>
          <w:szCs w:val="26"/>
        </w:rPr>
        <w:t>at 4.</w:t>
      </w:r>
    </w:p>
    <w:p w:rsidR="006B151B" w:rsidRDefault="006B151B" w:rsidP="0010494B">
      <w:pPr>
        <w:spacing w:line="360" w:lineRule="auto"/>
        <w:ind w:firstLine="1440"/>
        <w:rPr>
          <w:sz w:val="26"/>
          <w:szCs w:val="26"/>
        </w:rPr>
      </w:pPr>
    </w:p>
    <w:p w:rsidR="005676FE" w:rsidRDefault="00250E24" w:rsidP="005676FE">
      <w:pPr>
        <w:pStyle w:val="BodyTextFirstLine5DS"/>
        <w:spacing w:line="360" w:lineRule="auto"/>
        <w:ind w:firstLine="1440"/>
        <w:jc w:val="left"/>
        <w:rPr>
          <w:sz w:val="26"/>
          <w:szCs w:val="26"/>
        </w:rPr>
      </w:pPr>
      <w:r w:rsidRPr="007F3A65">
        <w:rPr>
          <w:sz w:val="26"/>
          <w:szCs w:val="26"/>
        </w:rPr>
        <w:t xml:space="preserve">In its Reply Exceptions, FES argues that the ALJ correctly rejected RESA’s </w:t>
      </w:r>
      <w:r w:rsidR="0010494B">
        <w:rPr>
          <w:sz w:val="26"/>
          <w:szCs w:val="26"/>
        </w:rPr>
        <w:t>proposal to replace Duquesne’s residential portfolio of 100% twelve-month contracts with 50% twelve</w:t>
      </w:r>
      <w:r w:rsidRPr="007F3A65">
        <w:rPr>
          <w:sz w:val="26"/>
          <w:szCs w:val="26"/>
        </w:rPr>
        <w:t>-</w:t>
      </w:r>
      <w:r w:rsidR="0010494B">
        <w:rPr>
          <w:sz w:val="26"/>
          <w:szCs w:val="26"/>
        </w:rPr>
        <w:t>month contracts and 50% three</w:t>
      </w:r>
      <w:r w:rsidRPr="007F3A65">
        <w:rPr>
          <w:sz w:val="26"/>
          <w:szCs w:val="26"/>
        </w:rPr>
        <w:t>-month contracts, w</w:t>
      </w:r>
      <w:r w:rsidR="00D4648B">
        <w:rPr>
          <w:sz w:val="26"/>
          <w:szCs w:val="26"/>
        </w:rPr>
        <w:t xml:space="preserve">ith quarterly PTC adjustments. </w:t>
      </w:r>
      <w:r w:rsidR="0010494B">
        <w:rPr>
          <w:sz w:val="26"/>
          <w:szCs w:val="26"/>
        </w:rPr>
        <w:t xml:space="preserve"> </w:t>
      </w:r>
      <w:r w:rsidR="005676FE">
        <w:rPr>
          <w:sz w:val="26"/>
          <w:szCs w:val="26"/>
        </w:rPr>
        <w:t xml:space="preserve">FES argues that </w:t>
      </w:r>
      <w:r w:rsidR="005676FE" w:rsidRPr="007F3A65">
        <w:rPr>
          <w:sz w:val="26"/>
          <w:szCs w:val="26"/>
        </w:rPr>
        <w:t>RESA is incorrect to suggest that price stability is not among the require</w:t>
      </w:r>
      <w:r w:rsidR="005676FE">
        <w:rPr>
          <w:sz w:val="26"/>
          <w:szCs w:val="26"/>
        </w:rPr>
        <w:t>ments by which DSPs</w:t>
      </w:r>
      <w:r w:rsidR="005676FE" w:rsidRPr="007F3A65">
        <w:rPr>
          <w:sz w:val="26"/>
          <w:szCs w:val="26"/>
        </w:rPr>
        <w:t xml:space="preserve"> are evaluated under Act 129.  </w:t>
      </w:r>
      <w:r w:rsidRPr="007F3A65">
        <w:rPr>
          <w:sz w:val="26"/>
          <w:szCs w:val="26"/>
        </w:rPr>
        <w:t>According</w:t>
      </w:r>
      <w:r w:rsidR="005676FE">
        <w:rPr>
          <w:sz w:val="26"/>
          <w:szCs w:val="26"/>
        </w:rPr>
        <w:t xml:space="preserve"> to FES</w:t>
      </w:r>
      <w:r w:rsidRPr="007F3A65">
        <w:rPr>
          <w:sz w:val="26"/>
          <w:szCs w:val="26"/>
        </w:rPr>
        <w:t xml:space="preserve">, </w:t>
      </w:r>
      <w:r w:rsidRPr="007F3A65">
        <w:rPr>
          <w:sz w:val="26"/>
          <w:szCs w:val="26"/>
        </w:rPr>
        <w:lastRenderedPageBreak/>
        <w:t>it is RESA that is elevating a non-statutory consideration above Act 129’s statutory requirements.</w:t>
      </w:r>
      <w:r w:rsidR="005676FE" w:rsidRPr="005676FE">
        <w:rPr>
          <w:sz w:val="26"/>
          <w:szCs w:val="26"/>
        </w:rPr>
        <w:t xml:space="preserve"> </w:t>
      </w:r>
      <w:r w:rsidR="005676FE">
        <w:rPr>
          <w:sz w:val="26"/>
          <w:szCs w:val="26"/>
        </w:rPr>
        <w:t xml:space="preserve"> FES R.Exc. at 5-8.  </w:t>
      </w:r>
    </w:p>
    <w:p w:rsidR="007F3A65" w:rsidRDefault="007F3A65" w:rsidP="005676FE">
      <w:pPr>
        <w:pStyle w:val="BodyTextFirstLine5DS"/>
        <w:spacing w:line="360" w:lineRule="auto"/>
        <w:ind w:firstLine="0"/>
        <w:jc w:val="left"/>
        <w:rPr>
          <w:sz w:val="26"/>
          <w:szCs w:val="26"/>
        </w:rPr>
      </w:pPr>
    </w:p>
    <w:p w:rsidR="00250E24" w:rsidRDefault="003D684F" w:rsidP="007F3A65">
      <w:pPr>
        <w:pStyle w:val="BodyTextFirstLine5DS"/>
        <w:spacing w:line="360" w:lineRule="auto"/>
        <w:ind w:firstLine="1440"/>
        <w:jc w:val="left"/>
        <w:rPr>
          <w:sz w:val="26"/>
          <w:szCs w:val="26"/>
        </w:rPr>
      </w:pPr>
      <w:r>
        <w:rPr>
          <w:sz w:val="26"/>
          <w:szCs w:val="26"/>
        </w:rPr>
        <w:t>FES submits that, u</w:t>
      </w:r>
      <w:r w:rsidR="007F3A65" w:rsidRPr="007F3A65">
        <w:rPr>
          <w:sz w:val="26"/>
          <w:szCs w:val="26"/>
        </w:rPr>
        <w:t xml:space="preserve">nlike RESA, the ALJ </w:t>
      </w:r>
      <w:r w:rsidR="00250E24" w:rsidRPr="007F3A65">
        <w:rPr>
          <w:sz w:val="26"/>
          <w:szCs w:val="26"/>
        </w:rPr>
        <w:t xml:space="preserve">properly considered </w:t>
      </w:r>
      <w:r w:rsidR="00250E24" w:rsidRPr="005676FE">
        <w:rPr>
          <w:sz w:val="26"/>
          <w:szCs w:val="26"/>
        </w:rPr>
        <w:t>all</w:t>
      </w:r>
      <w:r w:rsidR="00250E24" w:rsidRPr="007F3A65">
        <w:rPr>
          <w:sz w:val="26"/>
          <w:szCs w:val="26"/>
        </w:rPr>
        <w:t xml:space="preserve"> the sta</w:t>
      </w:r>
      <w:r>
        <w:rPr>
          <w:sz w:val="26"/>
          <w:szCs w:val="26"/>
        </w:rPr>
        <w:t xml:space="preserve">tutory requirements applicable to </w:t>
      </w:r>
      <w:r w:rsidR="00250E24" w:rsidRPr="007F3A65">
        <w:rPr>
          <w:sz w:val="26"/>
          <w:szCs w:val="26"/>
        </w:rPr>
        <w:t xml:space="preserve">default </w:t>
      </w:r>
      <w:r>
        <w:rPr>
          <w:sz w:val="26"/>
          <w:szCs w:val="26"/>
        </w:rPr>
        <w:t xml:space="preserve">service, including </w:t>
      </w:r>
      <w:r w:rsidR="00250E24" w:rsidRPr="007F3A65">
        <w:rPr>
          <w:sz w:val="26"/>
          <w:szCs w:val="26"/>
        </w:rPr>
        <w:t>a “prudent mix” of resources designed to provide adequate and reliable service at the least cost to customers over time, in addition to statutory considerations of the competitive m</w:t>
      </w:r>
      <w:r>
        <w:rPr>
          <w:sz w:val="26"/>
          <w:szCs w:val="26"/>
        </w:rPr>
        <w:t xml:space="preserve">arket.  </w:t>
      </w:r>
      <w:r w:rsidR="005676FE">
        <w:rPr>
          <w:sz w:val="26"/>
          <w:szCs w:val="26"/>
        </w:rPr>
        <w:t>FES states that t</w:t>
      </w:r>
      <w:r w:rsidR="007F3A65" w:rsidRPr="007F3A65">
        <w:rPr>
          <w:sz w:val="26"/>
          <w:szCs w:val="26"/>
        </w:rPr>
        <w:t>he ALJ applied</w:t>
      </w:r>
      <w:r w:rsidR="00250E24" w:rsidRPr="007F3A65">
        <w:rPr>
          <w:sz w:val="26"/>
          <w:szCs w:val="26"/>
        </w:rPr>
        <w:t xml:space="preserve"> these requirements to the re</w:t>
      </w:r>
      <w:r w:rsidR="007F3A65" w:rsidRPr="007F3A65">
        <w:rPr>
          <w:sz w:val="26"/>
          <w:szCs w:val="26"/>
        </w:rPr>
        <w:t>cord evidence, and concluded</w:t>
      </w:r>
      <w:r>
        <w:rPr>
          <w:sz w:val="26"/>
          <w:szCs w:val="26"/>
        </w:rPr>
        <w:t xml:space="preserve"> </w:t>
      </w:r>
      <w:r w:rsidR="00250E24" w:rsidRPr="007F3A65">
        <w:rPr>
          <w:sz w:val="26"/>
          <w:szCs w:val="26"/>
        </w:rPr>
        <w:t xml:space="preserve">that Duquesne’s plan is logical and prudent and meets the least cost requirements “[b]ecause long-term prices continue to trade at premiums compared to short-term prices . . . .”  R.D. at 40.  Thus, </w:t>
      </w:r>
      <w:r w:rsidR="005676FE">
        <w:rPr>
          <w:sz w:val="26"/>
          <w:szCs w:val="26"/>
        </w:rPr>
        <w:t xml:space="preserve">according to FES, </w:t>
      </w:r>
      <w:r w:rsidR="00250E24" w:rsidRPr="007F3A65">
        <w:rPr>
          <w:sz w:val="26"/>
          <w:szCs w:val="26"/>
        </w:rPr>
        <w:t xml:space="preserve">the ALJ did in fact weigh the pros and cons of the competing proposals against </w:t>
      </w:r>
      <w:r w:rsidR="00250E24" w:rsidRPr="005676FE">
        <w:rPr>
          <w:sz w:val="26"/>
          <w:szCs w:val="26"/>
        </w:rPr>
        <w:t>all t</w:t>
      </w:r>
      <w:r w:rsidR="00250E24" w:rsidRPr="007F3A65">
        <w:rPr>
          <w:sz w:val="26"/>
          <w:szCs w:val="26"/>
        </w:rPr>
        <w:t>he criteria legally required for approving default service procurement plans and found RESA’s wanting.</w:t>
      </w:r>
      <w:r w:rsidR="005676FE">
        <w:rPr>
          <w:sz w:val="26"/>
          <w:szCs w:val="26"/>
        </w:rPr>
        <w:t xml:space="preserve">  FES R.Exc. at 8.</w:t>
      </w:r>
    </w:p>
    <w:p w:rsidR="003210CA" w:rsidRDefault="003210CA" w:rsidP="007F3A65">
      <w:pPr>
        <w:pStyle w:val="BodyTextFirstLine5DS"/>
        <w:spacing w:line="360" w:lineRule="auto"/>
        <w:ind w:firstLine="1440"/>
        <w:jc w:val="left"/>
        <w:rPr>
          <w:sz w:val="26"/>
          <w:szCs w:val="26"/>
        </w:rPr>
      </w:pPr>
    </w:p>
    <w:p w:rsidR="00250E24" w:rsidRDefault="007651AE" w:rsidP="00E023FA">
      <w:pPr>
        <w:pStyle w:val="BodyTextFirstLine5DS"/>
        <w:spacing w:line="360" w:lineRule="auto"/>
        <w:ind w:firstLine="1440"/>
        <w:jc w:val="left"/>
        <w:rPr>
          <w:sz w:val="26"/>
          <w:szCs w:val="26"/>
        </w:rPr>
      </w:pPr>
      <w:r>
        <w:rPr>
          <w:sz w:val="26"/>
          <w:szCs w:val="26"/>
        </w:rPr>
        <w:t xml:space="preserve">FES </w:t>
      </w:r>
      <w:r w:rsidR="00E023FA">
        <w:rPr>
          <w:sz w:val="26"/>
          <w:szCs w:val="26"/>
        </w:rPr>
        <w:t xml:space="preserve">claims that it </w:t>
      </w:r>
      <w:r>
        <w:rPr>
          <w:sz w:val="26"/>
          <w:szCs w:val="26"/>
        </w:rPr>
        <w:t>presented evidence that FRC</w:t>
      </w:r>
      <w:r w:rsidR="003C36EB">
        <w:rPr>
          <w:sz w:val="26"/>
          <w:szCs w:val="26"/>
        </w:rPr>
        <w:t>s are important in</w:t>
      </w:r>
      <w:r w:rsidR="00250E24" w:rsidRPr="007F3A65">
        <w:rPr>
          <w:sz w:val="26"/>
          <w:szCs w:val="26"/>
        </w:rPr>
        <w:t xml:space="preserve"> providing customers wi</w:t>
      </w:r>
      <w:r w:rsidR="003C36EB">
        <w:rPr>
          <w:sz w:val="26"/>
          <w:szCs w:val="26"/>
        </w:rPr>
        <w:t xml:space="preserve">th relative price stability, </w:t>
      </w:r>
      <w:r w:rsidR="00250E24" w:rsidRPr="007F3A65">
        <w:rPr>
          <w:sz w:val="26"/>
          <w:szCs w:val="26"/>
        </w:rPr>
        <w:t>facilitating customers' evaluation of</w:t>
      </w:r>
      <w:r w:rsidR="003C36EB">
        <w:rPr>
          <w:sz w:val="26"/>
          <w:szCs w:val="26"/>
        </w:rPr>
        <w:t xml:space="preserve"> </w:t>
      </w:r>
      <w:r w:rsidR="00250E24" w:rsidRPr="007F3A65">
        <w:rPr>
          <w:sz w:val="26"/>
          <w:szCs w:val="26"/>
        </w:rPr>
        <w:t>retai</w:t>
      </w:r>
      <w:r w:rsidR="003C36EB">
        <w:rPr>
          <w:sz w:val="26"/>
          <w:szCs w:val="26"/>
        </w:rPr>
        <w:t xml:space="preserve">l offers from suppliers, and </w:t>
      </w:r>
      <w:r w:rsidR="00250E24" w:rsidRPr="007F3A65">
        <w:rPr>
          <w:sz w:val="26"/>
          <w:szCs w:val="26"/>
        </w:rPr>
        <w:t>enabling retail suppliers to develop a wider variety of short- and longer-term pro</w:t>
      </w:r>
      <w:r w:rsidR="003C36EB">
        <w:rPr>
          <w:sz w:val="26"/>
          <w:szCs w:val="26"/>
        </w:rPr>
        <w:t xml:space="preserve">ducts to improve upon a </w:t>
      </w:r>
      <w:r w:rsidR="00250E24" w:rsidRPr="007F3A65">
        <w:rPr>
          <w:sz w:val="26"/>
          <w:szCs w:val="26"/>
        </w:rPr>
        <w:t xml:space="preserve">default service product.  </w:t>
      </w:r>
      <w:r w:rsidR="00E023FA">
        <w:rPr>
          <w:sz w:val="26"/>
          <w:szCs w:val="26"/>
        </w:rPr>
        <w:t>FES avers that RESA's heavy emphasis on three</w:t>
      </w:r>
      <w:r w:rsidR="00250E24" w:rsidRPr="007F3A65">
        <w:rPr>
          <w:sz w:val="26"/>
          <w:szCs w:val="26"/>
        </w:rPr>
        <w:t>-month contracts and achieving "market-responsive" rates would result in potentially significant qua</w:t>
      </w:r>
      <w:r w:rsidR="007F3A65" w:rsidRPr="007F3A65">
        <w:rPr>
          <w:sz w:val="26"/>
          <w:szCs w:val="26"/>
        </w:rPr>
        <w:t>rterly changes in Duquesne</w:t>
      </w:r>
      <w:r w:rsidR="00E023FA">
        <w:rPr>
          <w:sz w:val="26"/>
          <w:szCs w:val="26"/>
        </w:rPr>
        <w:t>'s r</w:t>
      </w:r>
      <w:r w:rsidR="00250E24" w:rsidRPr="007F3A65">
        <w:rPr>
          <w:sz w:val="26"/>
          <w:szCs w:val="26"/>
        </w:rPr>
        <w:t>esidential defa</w:t>
      </w:r>
      <w:r w:rsidR="007F3A65" w:rsidRPr="007F3A65">
        <w:rPr>
          <w:sz w:val="26"/>
          <w:szCs w:val="26"/>
        </w:rPr>
        <w:t xml:space="preserve">ult service rates.  </w:t>
      </w:r>
      <w:r w:rsidR="00E023FA">
        <w:rPr>
          <w:i/>
          <w:sz w:val="26"/>
          <w:szCs w:val="26"/>
        </w:rPr>
        <w:t xml:space="preserve">See </w:t>
      </w:r>
      <w:r w:rsidR="007F3A65" w:rsidRPr="007F3A65">
        <w:rPr>
          <w:sz w:val="26"/>
          <w:szCs w:val="26"/>
        </w:rPr>
        <w:t>FES St.</w:t>
      </w:r>
      <w:r w:rsidR="001944C6">
        <w:rPr>
          <w:sz w:val="26"/>
          <w:szCs w:val="26"/>
        </w:rPr>
        <w:t xml:space="preserve"> </w:t>
      </w:r>
      <w:r w:rsidR="00250E24" w:rsidRPr="007F3A65">
        <w:rPr>
          <w:sz w:val="26"/>
          <w:szCs w:val="26"/>
        </w:rPr>
        <w:t xml:space="preserve">1-R at 8.  </w:t>
      </w:r>
      <w:r w:rsidR="00E023FA">
        <w:rPr>
          <w:sz w:val="26"/>
          <w:szCs w:val="26"/>
        </w:rPr>
        <w:t xml:space="preserve">FES asserts that </w:t>
      </w:r>
      <w:r w:rsidR="00250E24" w:rsidRPr="007F3A65">
        <w:rPr>
          <w:sz w:val="26"/>
          <w:szCs w:val="26"/>
        </w:rPr>
        <w:t>RESA has not explained why it is appropriate to maximize the frequency of potentially significant default servi</w:t>
      </w:r>
      <w:r w:rsidR="003C36EB">
        <w:rPr>
          <w:sz w:val="26"/>
          <w:szCs w:val="26"/>
        </w:rPr>
        <w:t>ce rate changes in Duquesne</w:t>
      </w:r>
      <w:r w:rsidR="00250E24" w:rsidRPr="007F3A65">
        <w:rPr>
          <w:sz w:val="26"/>
          <w:szCs w:val="26"/>
        </w:rPr>
        <w:t>'s service territory with many customers remaining on default service and in need of further education on the benefits of competitive retail markets, as well as a s</w:t>
      </w:r>
      <w:r w:rsidR="003C36EB">
        <w:rPr>
          <w:sz w:val="26"/>
          <w:szCs w:val="26"/>
        </w:rPr>
        <w:t>table default service price against</w:t>
      </w:r>
      <w:r w:rsidR="00250E24" w:rsidRPr="007F3A65">
        <w:rPr>
          <w:sz w:val="26"/>
          <w:szCs w:val="26"/>
        </w:rPr>
        <w:t xml:space="preserve"> which to evaluate comp</w:t>
      </w:r>
      <w:r w:rsidR="00E023FA">
        <w:rPr>
          <w:sz w:val="26"/>
          <w:szCs w:val="26"/>
        </w:rPr>
        <w:t>etitive offers.  FES R.Exc. at 9-10.</w:t>
      </w:r>
    </w:p>
    <w:p w:rsidR="007F3A65" w:rsidRPr="007F3A65" w:rsidRDefault="007F3A65" w:rsidP="007F3A65">
      <w:pPr>
        <w:pStyle w:val="BodyTextFirstLine5DS"/>
        <w:spacing w:line="360" w:lineRule="auto"/>
        <w:ind w:firstLine="1440"/>
        <w:jc w:val="left"/>
        <w:rPr>
          <w:sz w:val="26"/>
          <w:szCs w:val="26"/>
        </w:rPr>
      </w:pPr>
    </w:p>
    <w:p w:rsidR="00250E24" w:rsidRDefault="00250E24" w:rsidP="007F3A65">
      <w:pPr>
        <w:pStyle w:val="BodyTextFirstLine5DS"/>
        <w:spacing w:line="360" w:lineRule="auto"/>
        <w:ind w:firstLine="1440"/>
        <w:jc w:val="left"/>
        <w:rPr>
          <w:sz w:val="26"/>
          <w:szCs w:val="26"/>
        </w:rPr>
      </w:pPr>
      <w:r w:rsidRPr="007F3A65">
        <w:rPr>
          <w:sz w:val="26"/>
          <w:szCs w:val="26"/>
        </w:rPr>
        <w:t>Contrary to RESA's assertions, FES believes that current s</w:t>
      </w:r>
      <w:r w:rsidR="007F3A65" w:rsidRPr="007F3A65">
        <w:rPr>
          <w:sz w:val="26"/>
          <w:szCs w:val="26"/>
        </w:rPr>
        <w:t>hopping levels in Duquesne</w:t>
      </w:r>
      <w:r w:rsidRPr="007F3A65">
        <w:rPr>
          <w:sz w:val="26"/>
          <w:szCs w:val="26"/>
        </w:rPr>
        <w:t xml:space="preserve">'s territory indicate that default service price stability </w:t>
      </w:r>
      <w:r w:rsidR="003C36EB">
        <w:rPr>
          <w:sz w:val="26"/>
          <w:szCs w:val="26"/>
        </w:rPr>
        <w:t xml:space="preserve">has </w:t>
      </w:r>
      <w:r w:rsidRPr="007F3A65">
        <w:rPr>
          <w:sz w:val="26"/>
          <w:szCs w:val="26"/>
        </w:rPr>
        <w:t xml:space="preserve">contributed to </w:t>
      </w:r>
      <w:r w:rsidRPr="007F3A65">
        <w:rPr>
          <w:sz w:val="26"/>
          <w:szCs w:val="26"/>
        </w:rPr>
        <w:lastRenderedPageBreak/>
        <w:t xml:space="preserve">customers becoming more comfortable with EGS generation service.  </w:t>
      </w:r>
      <w:r w:rsidR="00E023FA">
        <w:rPr>
          <w:sz w:val="26"/>
          <w:szCs w:val="26"/>
        </w:rPr>
        <w:t>FES avers that</w:t>
      </w:r>
      <w:r w:rsidRPr="007F3A65">
        <w:rPr>
          <w:sz w:val="26"/>
          <w:szCs w:val="26"/>
        </w:rPr>
        <w:t xml:space="preserve"> over the term of </w:t>
      </w:r>
      <w:r w:rsidR="007F3A65" w:rsidRPr="007F3A65">
        <w:rPr>
          <w:sz w:val="26"/>
          <w:szCs w:val="26"/>
        </w:rPr>
        <w:t>Duquesne</w:t>
      </w:r>
      <w:r w:rsidRPr="007F3A65">
        <w:rPr>
          <w:sz w:val="26"/>
          <w:szCs w:val="26"/>
        </w:rPr>
        <w:t>'s current default service progr</w:t>
      </w:r>
      <w:r w:rsidR="00C37B7F">
        <w:rPr>
          <w:sz w:val="26"/>
          <w:szCs w:val="26"/>
        </w:rPr>
        <w:t>am (DSP</w:t>
      </w:r>
      <w:r w:rsidR="007F3A65" w:rsidRPr="007F3A65">
        <w:rPr>
          <w:sz w:val="26"/>
          <w:szCs w:val="26"/>
        </w:rPr>
        <w:t xml:space="preserve"> V</w:t>
      </w:r>
      <w:r w:rsidR="00E023FA">
        <w:rPr>
          <w:sz w:val="26"/>
          <w:szCs w:val="26"/>
        </w:rPr>
        <w:t>), the number of r</w:t>
      </w:r>
      <w:r w:rsidRPr="007F3A65">
        <w:rPr>
          <w:sz w:val="26"/>
          <w:szCs w:val="26"/>
        </w:rPr>
        <w:t xml:space="preserve">esidential accounts that have switched to a competitive supplier has increased from 22% to 37%.  </w:t>
      </w:r>
      <w:r w:rsidR="00E023FA">
        <w:rPr>
          <w:sz w:val="26"/>
          <w:szCs w:val="26"/>
        </w:rPr>
        <w:t>FES notes that t</w:t>
      </w:r>
      <w:r w:rsidRPr="007F3A65">
        <w:rPr>
          <w:sz w:val="26"/>
          <w:szCs w:val="26"/>
        </w:rPr>
        <w:t>his increase in shopping has occurred during a period of relatively stable default service pricing</w:t>
      </w:r>
      <w:r w:rsidRPr="007F3A65">
        <w:rPr>
          <w:sz w:val="26"/>
          <w:szCs w:val="26"/>
          <w:vertAlign w:val="superscript"/>
        </w:rPr>
        <w:footnoteReference w:id="14"/>
      </w:r>
      <w:r w:rsidR="00E023FA">
        <w:rPr>
          <w:sz w:val="26"/>
          <w:szCs w:val="26"/>
        </w:rPr>
        <w:t xml:space="preserve"> for r</w:t>
      </w:r>
      <w:r w:rsidRPr="007F3A65">
        <w:rPr>
          <w:sz w:val="26"/>
          <w:szCs w:val="26"/>
        </w:rPr>
        <w:t xml:space="preserve">esidential customers.  </w:t>
      </w:r>
      <w:r w:rsidRPr="007F3A65">
        <w:rPr>
          <w:i/>
          <w:sz w:val="26"/>
          <w:szCs w:val="26"/>
        </w:rPr>
        <w:t xml:space="preserve">See </w:t>
      </w:r>
      <w:r w:rsidRPr="007F3A65">
        <w:rPr>
          <w:sz w:val="26"/>
          <w:szCs w:val="26"/>
        </w:rPr>
        <w:t>FES Ex</w:t>
      </w:r>
      <w:r w:rsidR="007F3A65" w:rsidRPr="007F3A65">
        <w:rPr>
          <w:sz w:val="26"/>
          <w:szCs w:val="26"/>
        </w:rPr>
        <w:t>h</w:t>
      </w:r>
      <w:r w:rsidRPr="007F3A65">
        <w:rPr>
          <w:sz w:val="26"/>
          <w:szCs w:val="26"/>
        </w:rPr>
        <w:t>. TCB-4.  In addit</w:t>
      </w:r>
      <w:r w:rsidR="003C36EB">
        <w:rPr>
          <w:sz w:val="26"/>
          <w:szCs w:val="26"/>
        </w:rPr>
        <w:t xml:space="preserve">ion to an increase in </w:t>
      </w:r>
      <w:r w:rsidR="007F3A65" w:rsidRPr="007F3A65">
        <w:rPr>
          <w:sz w:val="26"/>
          <w:szCs w:val="26"/>
        </w:rPr>
        <w:t xml:space="preserve">shopping, Duquesne </w:t>
      </w:r>
      <w:r w:rsidRPr="007F3A65">
        <w:rPr>
          <w:sz w:val="26"/>
          <w:szCs w:val="26"/>
        </w:rPr>
        <w:t>also noted that it has achieved high levels of EGS participation and customer shopping without exposing small customers to "significant rate increases and short-term market price volatility."  FES Ex</w:t>
      </w:r>
      <w:r w:rsidR="007F3A65" w:rsidRPr="007F3A65">
        <w:rPr>
          <w:sz w:val="26"/>
          <w:szCs w:val="26"/>
        </w:rPr>
        <w:t xml:space="preserve">h. TCB-7 (Duquesne </w:t>
      </w:r>
      <w:r w:rsidRPr="007F3A65">
        <w:rPr>
          <w:sz w:val="26"/>
          <w:szCs w:val="26"/>
        </w:rPr>
        <w:t xml:space="preserve">Response to FES-I-8 and FES-I-9).  </w:t>
      </w:r>
      <w:r w:rsidR="00E023FA">
        <w:rPr>
          <w:sz w:val="26"/>
          <w:szCs w:val="26"/>
        </w:rPr>
        <w:t>FES opines that t</w:t>
      </w:r>
      <w:r w:rsidRPr="007F3A65">
        <w:rPr>
          <w:sz w:val="26"/>
          <w:szCs w:val="26"/>
        </w:rPr>
        <w:t>his information sh</w:t>
      </w:r>
      <w:r w:rsidR="007F3A65" w:rsidRPr="007F3A65">
        <w:rPr>
          <w:sz w:val="26"/>
          <w:szCs w:val="26"/>
        </w:rPr>
        <w:t xml:space="preserve">ows that customers and EGSs </w:t>
      </w:r>
      <w:r w:rsidRPr="007F3A65">
        <w:rPr>
          <w:sz w:val="26"/>
          <w:szCs w:val="26"/>
        </w:rPr>
        <w:t xml:space="preserve">clearly </w:t>
      </w:r>
      <w:r w:rsidR="007F3A65" w:rsidRPr="007F3A65">
        <w:rPr>
          <w:sz w:val="26"/>
          <w:szCs w:val="26"/>
        </w:rPr>
        <w:t xml:space="preserve">are </w:t>
      </w:r>
      <w:r w:rsidRPr="007F3A65">
        <w:rPr>
          <w:sz w:val="26"/>
          <w:szCs w:val="26"/>
        </w:rPr>
        <w:t xml:space="preserve">comfortable with participation in the retail market </w:t>
      </w:r>
      <w:r w:rsidR="007F3A65" w:rsidRPr="007F3A65">
        <w:rPr>
          <w:sz w:val="26"/>
          <w:szCs w:val="26"/>
        </w:rPr>
        <w:t>in Duquesne</w:t>
      </w:r>
      <w:r w:rsidRPr="007F3A65">
        <w:rPr>
          <w:sz w:val="26"/>
          <w:szCs w:val="26"/>
        </w:rPr>
        <w:t>’s service territory</w:t>
      </w:r>
      <w:r w:rsidR="003C36EB">
        <w:rPr>
          <w:sz w:val="26"/>
          <w:szCs w:val="26"/>
        </w:rPr>
        <w:t>,</w:t>
      </w:r>
      <w:r w:rsidRPr="007F3A65">
        <w:rPr>
          <w:sz w:val="26"/>
          <w:szCs w:val="26"/>
        </w:rPr>
        <w:t xml:space="preserve"> and </w:t>
      </w:r>
      <w:r w:rsidR="003C36EB">
        <w:rPr>
          <w:sz w:val="26"/>
          <w:szCs w:val="26"/>
        </w:rPr>
        <w:t xml:space="preserve">that </w:t>
      </w:r>
      <w:r w:rsidRPr="007F3A65">
        <w:rPr>
          <w:sz w:val="26"/>
          <w:szCs w:val="26"/>
        </w:rPr>
        <w:t>there is no reason to remove the default service price stability that is promoting this behavior.</w:t>
      </w:r>
      <w:r w:rsidR="007F3A65" w:rsidRPr="007F3A65">
        <w:rPr>
          <w:sz w:val="26"/>
          <w:szCs w:val="26"/>
        </w:rPr>
        <w:t xml:space="preserve">  FES </w:t>
      </w:r>
      <w:r w:rsidR="00E023FA">
        <w:rPr>
          <w:sz w:val="26"/>
          <w:szCs w:val="26"/>
        </w:rPr>
        <w:t>R.Exc. at 10-11.</w:t>
      </w:r>
    </w:p>
    <w:p w:rsidR="00A23D0F" w:rsidRDefault="00A23D0F" w:rsidP="007F3A65">
      <w:pPr>
        <w:pStyle w:val="BodyTextFirstLine5DS"/>
        <w:spacing w:line="360" w:lineRule="auto"/>
        <w:ind w:firstLine="1440"/>
        <w:jc w:val="left"/>
        <w:rPr>
          <w:sz w:val="26"/>
          <w:szCs w:val="26"/>
        </w:rPr>
      </w:pPr>
    </w:p>
    <w:p w:rsidR="007F3A65" w:rsidRPr="007F3A65" w:rsidRDefault="00E023FA" w:rsidP="007F3A65">
      <w:pPr>
        <w:pStyle w:val="BodyTextDS"/>
        <w:spacing w:line="360" w:lineRule="auto"/>
        <w:ind w:firstLine="1440"/>
        <w:jc w:val="left"/>
        <w:rPr>
          <w:sz w:val="26"/>
          <w:szCs w:val="26"/>
        </w:rPr>
      </w:pPr>
      <w:r>
        <w:rPr>
          <w:sz w:val="26"/>
          <w:szCs w:val="26"/>
        </w:rPr>
        <w:t>Lastly, FES notes that RESA claimed</w:t>
      </w:r>
      <w:r w:rsidR="00250E24" w:rsidRPr="007F3A65">
        <w:rPr>
          <w:sz w:val="26"/>
          <w:szCs w:val="26"/>
        </w:rPr>
        <w:t xml:space="preserve"> that its residential procurement proposal is consistent with “the Commission’s now-stated goal for the default service end state.”</w:t>
      </w:r>
      <w:r w:rsidR="003C36EB">
        <w:rPr>
          <w:sz w:val="26"/>
          <w:szCs w:val="26"/>
        </w:rPr>
        <w:t xml:space="preserve">  </w:t>
      </w:r>
      <w:r>
        <w:rPr>
          <w:sz w:val="26"/>
          <w:szCs w:val="26"/>
        </w:rPr>
        <w:t>FES explained that t</w:t>
      </w:r>
      <w:r w:rsidR="00250E24" w:rsidRPr="007F3A65">
        <w:rPr>
          <w:sz w:val="26"/>
          <w:szCs w:val="26"/>
        </w:rPr>
        <w:t xml:space="preserve">he Commission issued </w:t>
      </w:r>
      <w:r w:rsidR="003C36EB">
        <w:rPr>
          <w:sz w:val="26"/>
          <w:szCs w:val="26"/>
        </w:rPr>
        <w:t xml:space="preserve">the </w:t>
      </w:r>
      <w:r w:rsidR="003C36EB" w:rsidRPr="003C36EB">
        <w:rPr>
          <w:i/>
          <w:sz w:val="26"/>
          <w:szCs w:val="26"/>
        </w:rPr>
        <w:t xml:space="preserve">End-State </w:t>
      </w:r>
      <w:r w:rsidR="00250E24" w:rsidRPr="003C36EB">
        <w:rPr>
          <w:i/>
          <w:sz w:val="26"/>
          <w:szCs w:val="26"/>
        </w:rPr>
        <w:t>Tentative Order</w:t>
      </w:r>
      <w:r w:rsidR="003C36EB">
        <w:rPr>
          <w:sz w:val="26"/>
          <w:szCs w:val="26"/>
        </w:rPr>
        <w:t xml:space="preserve"> </w:t>
      </w:r>
      <w:r w:rsidR="00250E24" w:rsidRPr="007F3A65">
        <w:rPr>
          <w:sz w:val="26"/>
          <w:szCs w:val="26"/>
        </w:rPr>
        <w:t>on November 8, 2012</w:t>
      </w:r>
      <w:r>
        <w:rPr>
          <w:sz w:val="26"/>
          <w:szCs w:val="26"/>
        </w:rPr>
        <w:t>,</w:t>
      </w:r>
      <w:r w:rsidR="003C36EB">
        <w:rPr>
          <w:sz w:val="26"/>
          <w:szCs w:val="26"/>
        </w:rPr>
        <w:t xml:space="preserve"> </w:t>
      </w:r>
      <w:r w:rsidR="00250E24" w:rsidRPr="007F3A65">
        <w:rPr>
          <w:sz w:val="26"/>
          <w:szCs w:val="26"/>
        </w:rPr>
        <w:t>and invited comments on the many issues addressed therein</w:t>
      </w:r>
      <w:r w:rsidR="001944C6">
        <w:rPr>
          <w:sz w:val="26"/>
          <w:szCs w:val="26"/>
        </w:rPr>
        <w:t xml:space="preserve">.  </w:t>
      </w:r>
      <w:r w:rsidR="00317F2D">
        <w:rPr>
          <w:sz w:val="26"/>
          <w:szCs w:val="26"/>
        </w:rPr>
        <w:t xml:space="preserve">FES states that </w:t>
      </w:r>
      <w:r>
        <w:rPr>
          <w:sz w:val="26"/>
          <w:szCs w:val="26"/>
        </w:rPr>
        <w:t>t</w:t>
      </w:r>
      <w:r w:rsidR="00250E24" w:rsidRPr="007F3A65">
        <w:rPr>
          <w:sz w:val="26"/>
          <w:szCs w:val="26"/>
        </w:rPr>
        <w:t xml:space="preserve">he </w:t>
      </w:r>
      <w:r w:rsidR="00317F2D" w:rsidRPr="00317F2D">
        <w:rPr>
          <w:i/>
          <w:sz w:val="26"/>
          <w:szCs w:val="26"/>
        </w:rPr>
        <w:t xml:space="preserve">End-State </w:t>
      </w:r>
      <w:r w:rsidR="00250E24" w:rsidRPr="00317F2D">
        <w:rPr>
          <w:i/>
          <w:sz w:val="26"/>
          <w:szCs w:val="26"/>
        </w:rPr>
        <w:t>Tentative Order</w:t>
      </w:r>
      <w:r w:rsidR="00250E24" w:rsidRPr="007F3A65">
        <w:rPr>
          <w:sz w:val="26"/>
          <w:szCs w:val="26"/>
        </w:rPr>
        <w:t xml:space="preserve"> has no application to default service plans effective from June 1, 2013 to June 1, 2015, such as the one being litigated in this proceeding.  Further, </w:t>
      </w:r>
      <w:r>
        <w:rPr>
          <w:sz w:val="26"/>
          <w:szCs w:val="26"/>
        </w:rPr>
        <w:t xml:space="preserve">FES opines that </w:t>
      </w:r>
      <w:r w:rsidR="00250E24" w:rsidRPr="007F3A65">
        <w:rPr>
          <w:sz w:val="26"/>
          <w:szCs w:val="26"/>
        </w:rPr>
        <w:t>the design of default service beginning June 1, 2015</w:t>
      </w:r>
      <w:r w:rsidR="00317F2D">
        <w:rPr>
          <w:sz w:val="26"/>
          <w:szCs w:val="26"/>
        </w:rPr>
        <w:t>,</w:t>
      </w:r>
      <w:r w:rsidR="00250E24" w:rsidRPr="007F3A65">
        <w:rPr>
          <w:sz w:val="26"/>
          <w:szCs w:val="26"/>
        </w:rPr>
        <w:t xml:space="preserve"> is not nearly as settled as RESA asserts.  </w:t>
      </w:r>
      <w:r>
        <w:rPr>
          <w:sz w:val="26"/>
          <w:szCs w:val="26"/>
        </w:rPr>
        <w:t>According to FES, i</w:t>
      </w:r>
      <w:r w:rsidR="00250E24" w:rsidRPr="007F3A65">
        <w:rPr>
          <w:sz w:val="26"/>
          <w:szCs w:val="26"/>
        </w:rPr>
        <w:t xml:space="preserve">t is far from certain that the final version of end-state default service will be identical to that set forth in the </w:t>
      </w:r>
      <w:r w:rsidR="00317F2D" w:rsidRPr="00317F2D">
        <w:rPr>
          <w:i/>
          <w:sz w:val="26"/>
          <w:szCs w:val="26"/>
        </w:rPr>
        <w:t xml:space="preserve">End-State </w:t>
      </w:r>
      <w:r w:rsidR="00250E24" w:rsidRPr="00317F2D">
        <w:rPr>
          <w:i/>
          <w:sz w:val="26"/>
          <w:szCs w:val="26"/>
        </w:rPr>
        <w:t>Tentative Order</w:t>
      </w:r>
      <w:r w:rsidR="00250E24" w:rsidRPr="007F3A65">
        <w:rPr>
          <w:sz w:val="26"/>
          <w:szCs w:val="26"/>
        </w:rPr>
        <w:t xml:space="preserve">.  Even assuming, </w:t>
      </w:r>
      <w:r w:rsidR="00250E24" w:rsidRPr="007F3A65">
        <w:rPr>
          <w:i/>
          <w:sz w:val="26"/>
          <w:szCs w:val="26"/>
        </w:rPr>
        <w:t>arguendo</w:t>
      </w:r>
      <w:r w:rsidR="00250E24" w:rsidRPr="007F3A65">
        <w:rPr>
          <w:sz w:val="26"/>
          <w:szCs w:val="26"/>
        </w:rPr>
        <w:t xml:space="preserve">, that the end-state were settled, </w:t>
      </w:r>
      <w:r w:rsidR="00C37B7F">
        <w:rPr>
          <w:sz w:val="26"/>
          <w:szCs w:val="26"/>
        </w:rPr>
        <w:t xml:space="preserve">FES claims </w:t>
      </w:r>
      <w:r w:rsidR="00250E24" w:rsidRPr="007F3A65">
        <w:rPr>
          <w:sz w:val="26"/>
          <w:szCs w:val="26"/>
        </w:rPr>
        <w:t xml:space="preserve">it is instructive that one of the items prominent in the </w:t>
      </w:r>
      <w:r w:rsidR="00317F2D" w:rsidRPr="00317F2D">
        <w:rPr>
          <w:i/>
          <w:sz w:val="26"/>
          <w:szCs w:val="26"/>
        </w:rPr>
        <w:t xml:space="preserve">End-State </w:t>
      </w:r>
      <w:r w:rsidR="00250E24" w:rsidRPr="00317F2D">
        <w:rPr>
          <w:i/>
          <w:sz w:val="26"/>
          <w:szCs w:val="26"/>
        </w:rPr>
        <w:t>Tentative Order</w:t>
      </w:r>
      <w:r w:rsidR="00250E24" w:rsidRPr="007F3A65">
        <w:rPr>
          <w:sz w:val="26"/>
          <w:szCs w:val="26"/>
        </w:rPr>
        <w:t xml:space="preserve"> is the provision for statewide consumer education prior to the June 1, 2015 transition, the primary audience for which would be residential and small business </w:t>
      </w:r>
      <w:r w:rsidR="00250E24" w:rsidRPr="007F3A65">
        <w:rPr>
          <w:sz w:val="26"/>
          <w:szCs w:val="26"/>
        </w:rPr>
        <w:lastRenderedPageBreak/>
        <w:t>customers.</w:t>
      </w:r>
      <w:r w:rsidR="00250E24" w:rsidRPr="007F3A65">
        <w:rPr>
          <w:rStyle w:val="FootnoteReference"/>
          <w:sz w:val="26"/>
          <w:szCs w:val="26"/>
        </w:rPr>
        <w:footnoteReference w:id="15"/>
      </w:r>
      <w:r w:rsidR="00250E24" w:rsidRPr="007F3A65">
        <w:rPr>
          <w:sz w:val="26"/>
          <w:szCs w:val="26"/>
        </w:rPr>
        <w:t xml:space="preserve">  </w:t>
      </w:r>
      <w:r w:rsidR="00C37B7F">
        <w:rPr>
          <w:sz w:val="26"/>
          <w:szCs w:val="26"/>
        </w:rPr>
        <w:t>FES asserts that t</w:t>
      </w:r>
      <w:r w:rsidR="00250E24" w:rsidRPr="007F3A65">
        <w:rPr>
          <w:sz w:val="26"/>
          <w:szCs w:val="26"/>
        </w:rPr>
        <w:t>he Commission ha</w:t>
      </w:r>
      <w:r w:rsidR="00317F2D">
        <w:rPr>
          <w:sz w:val="26"/>
          <w:szCs w:val="26"/>
        </w:rPr>
        <w:t xml:space="preserve">s recognized throughout the Retail Markets Investigation </w:t>
      </w:r>
      <w:r w:rsidR="00250E24" w:rsidRPr="007F3A65">
        <w:rPr>
          <w:sz w:val="26"/>
          <w:szCs w:val="26"/>
        </w:rPr>
        <w:t>that consumer education is a c</w:t>
      </w:r>
      <w:r w:rsidR="00317F2D">
        <w:rPr>
          <w:sz w:val="26"/>
          <w:szCs w:val="26"/>
        </w:rPr>
        <w:t>ritically important component to</w:t>
      </w:r>
      <w:r w:rsidR="00250E24" w:rsidRPr="007F3A65">
        <w:rPr>
          <w:sz w:val="26"/>
          <w:szCs w:val="26"/>
        </w:rPr>
        <w:t xml:space="preserve"> the success of retail shopping in Pennsylvania.  </w:t>
      </w:r>
      <w:r w:rsidR="00C37B7F">
        <w:rPr>
          <w:sz w:val="26"/>
          <w:szCs w:val="26"/>
        </w:rPr>
        <w:t>FES maintains that the a</w:t>
      </w:r>
      <w:r w:rsidR="00250E24" w:rsidRPr="007F3A65">
        <w:rPr>
          <w:sz w:val="26"/>
          <w:szCs w:val="26"/>
        </w:rPr>
        <w:t xml:space="preserve">doption </w:t>
      </w:r>
      <w:r w:rsidR="00C37B7F">
        <w:rPr>
          <w:sz w:val="26"/>
          <w:szCs w:val="26"/>
        </w:rPr>
        <w:t>of RESA’s extreme proposal for r</w:t>
      </w:r>
      <w:r w:rsidR="00250E24" w:rsidRPr="007F3A65">
        <w:rPr>
          <w:sz w:val="26"/>
          <w:szCs w:val="26"/>
        </w:rPr>
        <w:t>esidential default service procuremen</w:t>
      </w:r>
      <w:r w:rsidR="007F3A65" w:rsidRPr="007F3A65">
        <w:rPr>
          <w:sz w:val="26"/>
          <w:szCs w:val="26"/>
        </w:rPr>
        <w:t xml:space="preserve">ts in the current </w:t>
      </w:r>
      <w:r w:rsidR="00317F2D">
        <w:rPr>
          <w:sz w:val="26"/>
          <w:szCs w:val="26"/>
        </w:rPr>
        <w:t>proceeding</w:t>
      </w:r>
      <w:r w:rsidR="007F3A65" w:rsidRPr="007F3A65">
        <w:rPr>
          <w:sz w:val="26"/>
          <w:szCs w:val="26"/>
        </w:rPr>
        <w:t xml:space="preserve"> would</w:t>
      </w:r>
      <w:r w:rsidR="00250E24" w:rsidRPr="007F3A65">
        <w:rPr>
          <w:sz w:val="26"/>
          <w:szCs w:val="26"/>
        </w:rPr>
        <w:t xml:space="preserve"> undermine the Commission’s recognized need for customer education before such time, if ever, that small default service customers begin experiencing frequent, potentially significant changes in the PTC.</w:t>
      </w:r>
      <w:r w:rsidR="00C37B7F">
        <w:rPr>
          <w:sz w:val="26"/>
          <w:szCs w:val="26"/>
        </w:rPr>
        <w:t xml:space="preserve">  FES R.Exc. at 11-12.</w:t>
      </w:r>
    </w:p>
    <w:p w:rsidR="0094607A" w:rsidRDefault="0094607A" w:rsidP="007F3A65">
      <w:pPr>
        <w:pStyle w:val="BodyTextDS"/>
        <w:spacing w:line="360" w:lineRule="auto"/>
        <w:ind w:firstLine="1440"/>
        <w:jc w:val="left"/>
        <w:rPr>
          <w:sz w:val="26"/>
          <w:szCs w:val="26"/>
        </w:rPr>
      </w:pPr>
    </w:p>
    <w:p w:rsidR="0094607A" w:rsidRPr="007F3A65" w:rsidRDefault="0094607A" w:rsidP="003210CA">
      <w:pPr>
        <w:pStyle w:val="BodyTextDS"/>
        <w:spacing w:line="360" w:lineRule="auto"/>
        <w:ind w:firstLine="1440"/>
        <w:jc w:val="left"/>
        <w:rPr>
          <w:sz w:val="26"/>
          <w:szCs w:val="26"/>
        </w:rPr>
      </w:pPr>
      <w:r>
        <w:rPr>
          <w:sz w:val="26"/>
          <w:szCs w:val="26"/>
        </w:rPr>
        <w:t>In its Reply Exceptions, Citizen Power argues that the ALJ properly rejected RESA’s proposal to replace half of Duquesne’s residential p</w:t>
      </w:r>
      <w:r w:rsidR="00C37B7F">
        <w:rPr>
          <w:sz w:val="26"/>
          <w:szCs w:val="26"/>
        </w:rPr>
        <w:t>ortfolio of twelve</w:t>
      </w:r>
      <w:r>
        <w:rPr>
          <w:sz w:val="26"/>
          <w:szCs w:val="26"/>
        </w:rPr>
        <w:t xml:space="preserve">-month contracts with </w:t>
      </w:r>
      <w:r w:rsidR="00C37B7F">
        <w:rPr>
          <w:sz w:val="26"/>
          <w:szCs w:val="26"/>
        </w:rPr>
        <w:t>three</w:t>
      </w:r>
      <w:r>
        <w:rPr>
          <w:sz w:val="26"/>
          <w:szCs w:val="26"/>
        </w:rPr>
        <w:t xml:space="preserve">-month contracts.  Citizen Power argues that the ALJ did not elevate Act 129’s objective of price stability over Act 129’s statutory requirement of fostering a competitive market, as RESA alleges.  If the ALJ had done so, Citizen Power submits that she would have recommended approval of the OCA’s proposal to include two-year contracts in the residential portfolio.  Instead, the ALJ concluded that a gradual move to market-responsive rates would foster competition by instilling confidence in the market.  Citizen Power submits that Duquesne’s residential </w:t>
      </w:r>
      <w:r w:rsidR="00B867B1">
        <w:rPr>
          <w:sz w:val="26"/>
          <w:szCs w:val="26"/>
        </w:rPr>
        <w:t>customers currently</w:t>
      </w:r>
      <w:r w:rsidR="00C37B7F">
        <w:rPr>
          <w:sz w:val="26"/>
          <w:szCs w:val="26"/>
        </w:rPr>
        <w:t xml:space="preserve"> have a PTC that is fixed for twenty-nine</w:t>
      </w:r>
      <w:r w:rsidR="00B867B1">
        <w:rPr>
          <w:sz w:val="26"/>
          <w:szCs w:val="26"/>
        </w:rPr>
        <w:t xml:space="preserve"> months; the ALJ’</w:t>
      </w:r>
      <w:r w:rsidR="00C37B7F">
        <w:rPr>
          <w:sz w:val="26"/>
          <w:szCs w:val="26"/>
        </w:rPr>
        <w:t>s recommendation to move to a twelve</w:t>
      </w:r>
      <w:r w:rsidR="00B867B1">
        <w:rPr>
          <w:sz w:val="26"/>
          <w:szCs w:val="26"/>
        </w:rPr>
        <w:t>-month PTC is consistent with the Commission’s goal of fostering competition.  Citizen Power argues that RESA’s Exception should be denied.</w:t>
      </w:r>
      <w:r w:rsidR="00B67E4B">
        <w:rPr>
          <w:sz w:val="26"/>
          <w:szCs w:val="26"/>
        </w:rPr>
        <w:t xml:space="preserve">  Citizen Power R.Exc. at </w:t>
      </w:r>
      <w:r w:rsidR="00C37B7F">
        <w:rPr>
          <w:sz w:val="26"/>
          <w:szCs w:val="26"/>
        </w:rPr>
        <w:t xml:space="preserve">3-4.  </w:t>
      </w:r>
    </w:p>
    <w:p w:rsidR="00A77895" w:rsidRPr="00A77895" w:rsidRDefault="00A77895" w:rsidP="00C37B7F">
      <w:pPr>
        <w:pStyle w:val="ListParagraph"/>
        <w:spacing w:line="360" w:lineRule="auto"/>
        <w:ind w:left="2880"/>
        <w:rPr>
          <w:b/>
          <w:sz w:val="26"/>
          <w:szCs w:val="26"/>
        </w:rPr>
      </w:pPr>
    </w:p>
    <w:p w:rsidR="00293AC6" w:rsidRPr="000B0447" w:rsidRDefault="000B0447" w:rsidP="000B0447">
      <w:pPr>
        <w:pStyle w:val="Heading5"/>
        <w:numPr>
          <w:ilvl w:val="0"/>
          <w:numId w:val="0"/>
        </w:numPr>
        <w:ind w:left="3600" w:hanging="720"/>
      </w:pPr>
      <w:bookmarkStart w:id="21" w:name="_Toc346705266"/>
      <w:r>
        <w:t>vi.</w:t>
      </w:r>
      <w:r>
        <w:tab/>
      </w:r>
      <w:r w:rsidR="00A77895" w:rsidRPr="000B0447">
        <w:t>Disposition</w:t>
      </w:r>
      <w:bookmarkEnd w:id="21"/>
    </w:p>
    <w:p w:rsidR="00B71E4F" w:rsidRPr="00D4648B" w:rsidRDefault="00B71E4F" w:rsidP="00B71E4F">
      <w:pPr>
        <w:pStyle w:val="ListParagraph"/>
        <w:spacing w:line="360" w:lineRule="auto"/>
        <w:ind w:left="3600"/>
        <w:rPr>
          <w:b/>
          <w:sz w:val="26"/>
          <w:szCs w:val="26"/>
        </w:rPr>
      </w:pPr>
    </w:p>
    <w:p w:rsidR="00293AC6" w:rsidRDefault="00293AC6" w:rsidP="00293AC6">
      <w:pPr>
        <w:spacing w:line="360" w:lineRule="auto"/>
        <w:ind w:firstLine="1440"/>
        <w:rPr>
          <w:sz w:val="26"/>
          <w:szCs w:val="26"/>
        </w:rPr>
      </w:pPr>
      <w:r w:rsidRPr="00293AC6">
        <w:rPr>
          <w:sz w:val="26"/>
          <w:szCs w:val="26"/>
        </w:rPr>
        <w:lastRenderedPageBreak/>
        <w:t>The Commission rigorously addressed the criteria for the procurement of default ser</w:t>
      </w:r>
      <w:r>
        <w:rPr>
          <w:sz w:val="26"/>
          <w:szCs w:val="26"/>
        </w:rPr>
        <w:t>vice supplies in t</w:t>
      </w:r>
      <w:r w:rsidRPr="00293AC6">
        <w:rPr>
          <w:sz w:val="26"/>
          <w:szCs w:val="26"/>
        </w:rPr>
        <w:t xml:space="preserve">he </w:t>
      </w:r>
      <w:r w:rsidRPr="00293AC6">
        <w:rPr>
          <w:i/>
          <w:sz w:val="26"/>
          <w:szCs w:val="26"/>
        </w:rPr>
        <w:t>Act 129 Final Rulemaking Order</w:t>
      </w:r>
      <w:r w:rsidRPr="00293AC6">
        <w:rPr>
          <w:sz w:val="26"/>
          <w:szCs w:val="26"/>
        </w:rPr>
        <w:t xml:space="preserve"> </w:t>
      </w:r>
      <w:r>
        <w:rPr>
          <w:sz w:val="26"/>
          <w:szCs w:val="26"/>
        </w:rPr>
        <w:t>proceeding, where the Commission concluded</w:t>
      </w:r>
      <w:r w:rsidRPr="00293AC6">
        <w:rPr>
          <w:sz w:val="26"/>
          <w:szCs w:val="26"/>
        </w:rPr>
        <w:t xml:space="preserve">, </w:t>
      </w:r>
      <w:r w:rsidRPr="00293AC6">
        <w:rPr>
          <w:i/>
          <w:sz w:val="26"/>
          <w:szCs w:val="26"/>
        </w:rPr>
        <w:t>inter alia</w:t>
      </w:r>
      <w:r>
        <w:rPr>
          <w:sz w:val="26"/>
          <w:szCs w:val="26"/>
        </w:rPr>
        <w:t>, as follows</w:t>
      </w:r>
      <w:r w:rsidRPr="00293AC6">
        <w:rPr>
          <w:sz w:val="26"/>
          <w:szCs w:val="26"/>
        </w:rPr>
        <w:t xml:space="preserve">: </w:t>
      </w:r>
    </w:p>
    <w:p w:rsidR="00293AC6" w:rsidRPr="00293AC6" w:rsidRDefault="00293AC6" w:rsidP="00293AC6">
      <w:pPr>
        <w:spacing w:line="360" w:lineRule="auto"/>
        <w:ind w:firstLine="1440"/>
        <w:rPr>
          <w:sz w:val="26"/>
          <w:szCs w:val="26"/>
        </w:rPr>
      </w:pPr>
    </w:p>
    <w:p w:rsidR="00293AC6" w:rsidRPr="00293AC6" w:rsidRDefault="00293AC6" w:rsidP="00293AC6">
      <w:pPr>
        <w:ind w:left="1440" w:right="1440"/>
        <w:rPr>
          <w:sz w:val="26"/>
          <w:szCs w:val="26"/>
        </w:rPr>
      </w:pPr>
      <w:r w:rsidRPr="00293AC6">
        <w:rPr>
          <w:sz w:val="26"/>
          <w:szCs w:val="26"/>
        </w:rPr>
        <w:t>As stated earlier in this Order, the “least cost over time” standard should not be confused with the presumption that default prices will always equal the lowest cost price for power at any particular point in time.  In implementing default service standards, the Commission must be concerned about rate stability as well as other considerations such as ensuring a “prudent mix” of supply and ensuring safe and reliable service.  In our view, a default service plan that meets the “least cost over time” standard should not have, as its singular focus, the achievement of the absolute lowest cost over the default service plan time frame but rather a cost for power that is both relatively stable and also economical relative to other options.  In this regard, we agree with those points raised by both PECO and PPL.  To reiterate our prior point, the “least cost over time” standard should not be viewed as synonymous with maximizing market timing benefits at the expense of price stability and economy.</w:t>
      </w:r>
    </w:p>
    <w:p w:rsidR="00293AC6" w:rsidRDefault="00293AC6" w:rsidP="00293AC6">
      <w:pPr>
        <w:spacing w:line="360" w:lineRule="auto"/>
        <w:rPr>
          <w:i/>
          <w:sz w:val="26"/>
          <w:szCs w:val="26"/>
        </w:rPr>
      </w:pPr>
    </w:p>
    <w:p w:rsidR="00293AC6" w:rsidRPr="00293AC6" w:rsidRDefault="00293AC6" w:rsidP="00293AC6">
      <w:pPr>
        <w:spacing w:line="360" w:lineRule="auto"/>
        <w:rPr>
          <w:i/>
          <w:sz w:val="26"/>
          <w:szCs w:val="26"/>
        </w:rPr>
      </w:pPr>
      <w:r w:rsidRPr="00293AC6">
        <w:rPr>
          <w:i/>
          <w:sz w:val="26"/>
          <w:szCs w:val="26"/>
        </w:rPr>
        <w:t xml:space="preserve">Act 129 Final Rulemaking Order </w:t>
      </w:r>
      <w:r w:rsidRPr="00293AC6">
        <w:rPr>
          <w:sz w:val="26"/>
          <w:szCs w:val="26"/>
        </w:rPr>
        <w:t>at 40</w:t>
      </w:r>
      <w:r w:rsidR="001A3096">
        <w:rPr>
          <w:sz w:val="26"/>
          <w:szCs w:val="26"/>
        </w:rPr>
        <w:t>-41</w:t>
      </w:r>
      <w:r w:rsidRPr="00293AC6">
        <w:rPr>
          <w:i/>
          <w:sz w:val="26"/>
          <w:szCs w:val="26"/>
        </w:rPr>
        <w:t>.</w:t>
      </w:r>
    </w:p>
    <w:p w:rsidR="00293AC6" w:rsidRPr="00293AC6" w:rsidRDefault="00293AC6" w:rsidP="00293AC6">
      <w:pPr>
        <w:pStyle w:val="ListParagraph"/>
        <w:spacing w:line="360" w:lineRule="auto"/>
        <w:ind w:left="3600"/>
        <w:rPr>
          <w:sz w:val="26"/>
          <w:szCs w:val="26"/>
        </w:rPr>
      </w:pPr>
    </w:p>
    <w:p w:rsidR="00910042" w:rsidRDefault="00293AC6" w:rsidP="00293AC6">
      <w:pPr>
        <w:spacing w:line="360" w:lineRule="auto"/>
        <w:ind w:firstLine="1440"/>
        <w:rPr>
          <w:sz w:val="26"/>
          <w:szCs w:val="26"/>
        </w:rPr>
      </w:pPr>
      <w:r w:rsidRPr="00293AC6">
        <w:rPr>
          <w:sz w:val="26"/>
          <w:szCs w:val="26"/>
        </w:rPr>
        <w:t xml:space="preserve">In consideration of the record developed in this proceeding, we find that the procurement plan </w:t>
      </w:r>
      <w:r w:rsidR="00910042">
        <w:rPr>
          <w:sz w:val="26"/>
          <w:szCs w:val="26"/>
        </w:rPr>
        <w:t xml:space="preserve">for </w:t>
      </w:r>
      <w:r w:rsidR="001944C6">
        <w:rPr>
          <w:sz w:val="26"/>
          <w:szCs w:val="26"/>
        </w:rPr>
        <w:t>r</w:t>
      </w:r>
      <w:r w:rsidR="00910042">
        <w:rPr>
          <w:sz w:val="26"/>
          <w:szCs w:val="26"/>
        </w:rPr>
        <w:t xml:space="preserve">esidential customers that was </w:t>
      </w:r>
      <w:r w:rsidRPr="00293AC6">
        <w:rPr>
          <w:sz w:val="26"/>
          <w:szCs w:val="26"/>
        </w:rPr>
        <w:t xml:space="preserve">proposed by Duquesne, and recommended </w:t>
      </w:r>
      <w:r>
        <w:rPr>
          <w:sz w:val="26"/>
          <w:szCs w:val="26"/>
        </w:rPr>
        <w:t xml:space="preserve">for approval </w:t>
      </w:r>
      <w:r w:rsidRPr="00293AC6">
        <w:rPr>
          <w:sz w:val="26"/>
          <w:szCs w:val="26"/>
        </w:rPr>
        <w:t>by the ALJ,</w:t>
      </w:r>
      <w:r w:rsidR="00910042">
        <w:rPr>
          <w:sz w:val="26"/>
          <w:szCs w:val="26"/>
        </w:rPr>
        <w:t xml:space="preserve"> </w:t>
      </w:r>
      <w:r w:rsidRPr="00293AC6">
        <w:rPr>
          <w:sz w:val="26"/>
          <w:szCs w:val="26"/>
        </w:rPr>
        <w:t xml:space="preserve">is reasonable and should be adopted.  We conclude that Duquesne’s proposal to purchase one-year full requirements contracts, staged over time, </w:t>
      </w:r>
      <w:r w:rsidR="00910042">
        <w:rPr>
          <w:sz w:val="26"/>
          <w:szCs w:val="26"/>
        </w:rPr>
        <w:t>appropriately balances Act 129’s goal</w:t>
      </w:r>
      <w:r w:rsidRPr="00293AC6">
        <w:rPr>
          <w:sz w:val="26"/>
          <w:szCs w:val="26"/>
        </w:rPr>
        <w:t xml:space="preserve"> of rate stability and the least cost over time</w:t>
      </w:r>
      <w:r>
        <w:rPr>
          <w:sz w:val="26"/>
          <w:szCs w:val="26"/>
        </w:rPr>
        <w:t xml:space="preserve"> requirement.  Duquesne’s proposal </w:t>
      </w:r>
      <w:r w:rsidRPr="00293AC6">
        <w:rPr>
          <w:sz w:val="26"/>
          <w:szCs w:val="26"/>
        </w:rPr>
        <w:t xml:space="preserve">provides adequate diversity </w:t>
      </w:r>
      <w:r w:rsidR="00910042">
        <w:rPr>
          <w:sz w:val="26"/>
          <w:szCs w:val="26"/>
        </w:rPr>
        <w:t xml:space="preserve">of supply </w:t>
      </w:r>
      <w:r w:rsidRPr="00293AC6">
        <w:rPr>
          <w:sz w:val="26"/>
          <w:szCs w:val="26"/>
        </w:rPr>
        <w:t>and a reasona</w:t>
      </w:r>
      <w:r>
        <w:rPr>
          <w:sz w:val="26"/>
          <w:szCs w:val="26"/>
        </w:rPr>
        <w:t>bly predictable PTC,</w:t>
      </w:r>
      <w:r w:rsidRPr="00293AC6">
        <w:rPr>
          <w:sz w:val="26"/>
          <w:szCs w:val="26"/>
        </w:rPr>
        <w:t xml:space="preserve"> and thus is an acceptable plan for the </w:t>
      </w:r>
      <w:r w:rsidR="00910042">
        <w:rPr>
          <w:sz w:val="26"/>
          <w:szCs w:val="26"/>
        </w:rPr>
        <w:t>forth</w:t>
      </w:r>
      <w:r w:rsidRPr="00293AC6">
        <w:rPr>
          <w:sz w:val="26"/>
          <w:szCs w:val="26"/>
        </w:rPr>
        <w:t xml:space="preserve">coming period.  </w:t>
      </w:r>
    </w:p>
    <w:p w:rsidR="00910042" w:rsidRDefault="00910042" w:rsidP="00293AC6">
      <w:pPr>
        <w:spacing w:line="360" w:lineRule="auto"/>
        <w:ind w:firstLine="1440"/>
        <w:rPr>
          <w:sz w:val="26"/>
          <w:szCs w:val="26"/>
        </w:rPr>
      </w:pPr>
    </w:p>
    <w:p w:rsidR="00293AC6" w:rsidRDefault="00293AC6" w:rsidP="00293AC6">
      <w:pPr>
        <w:spacing w:line="360" w:lineRule="auto"/>
        <w:ind w:firstLine="1440"/>
        <w:rPr>
          <w:sz w:val="26"/>
          <w:szCs w:val="26"/>
        </w:rPr>
      </w:pPr>
      <w:r w:rsidRPr="00293AC6">
        <w:rPr>
          <w:sz w:val="26"/>
          <w:szCs w:val="26"/>
        </w:rPr>
        <w:t>It is important to note that</w:t>
      </w:r>
      <w:r w:rsidR="00910042">
        <w:rPr>
          <w:sz w:val="26"/>
          <w:szCs w:val="26"/>
        </w:rPr>
        <w:t>,</w:t>
      </w:r>
      <w:r w:rsidRPr="00293AC6">
        <w:rPr>
          <w:sz w:val="26"/>
          <w:szCs w:val="26"/>
        </w:rPr>
        <w:t xml:space="preserve"> in this DSP </w:t>
      </w:r>
      <w:r w:rsidR="00910042">
        <w:rPr>
          <w:sz w:val="26"/>
          <w:szCs w:val="26"/>
        </w:rPr>
        <w:t xml:space="preserve">VI </w:t>
      </w:r>
      <w:r w:rsidRPr="00293AC6">
        <w:rPr>
          <w:sz w:val="26"/>
          <w:szCs w:val="26"/>
        </w:rPr>
        <w:t>proceeding, Duquesne is transit</w:t>
      </w:r>
      <w:r>
        <w:rPr>
          <w:sz w:val="26"/>
          <w:szCs w:val="26"/>
        </w:rPr>
        <w:t>ioning from a DSP that currently provides</w:t>
      </w:r>
      <w:r w:rsidRPr="00293AC6">
        <w:rPr>
          <w:sz w:val="26"/>
          <w:szCs w:val="26"/>
        </w:rPr>
        <w:t xml:space="preserve"> for a fixed rate for a </w:t>
      </w:r>
      <w:r w:rsidR="001944C6">
        <w:rPr>
          <w:sz w:val="26"/>
          <w:szCs w:val="26"/>
        </w:rPr>
        <w:t>twenty-nine</w:t>
      </w:r>
      <w:r w:rsidRPr="00293AC6">
        <w:rPr>
          <w:sz w:val="26"/>
          <w:szCs w:val="26"/>
        </w:rPr>
        <w:t xml:space="preserve">-month </w:t>
      </w:r>
      <w:r w:rsidRPr="00293AC6">
        <w:rPr>
          <w:sz w:val="26"/>
          <w:szCs w:val="26"/>
        </w:rPr>
        <w:lastRenderedPageBreak/>
        <w:t xml:space="preserve">period to a more market responsive rate beginning on June 1, 2013. </w:t>
      </w:r>
      <w:r w:rsidR="00910042">
        <w:rPr>
          <w:sz w:val="26"/>
          <w:szCs w:val="26"/>
        </w:rPr>
        <w:t xml:space="preserve"> We agree</w:t>
      </w:r>
      <w:r w:rsidRPr="00293AC6">
        <w:rPr>
          <w:sz w:val="26"/>
          <w:szCs w:val="26"/>
        </w:rPr>
        <w:t xml:space="preserve"> with FES that RESA’s heavy reliance on three-month procurements </w:t>
      </w:r>
      <w:r w:rsidR="00910042">
        <w:rPr>
          <w:sz w:val="26"/>
          <w:szCs w:val="26"/>
        </w:rPr>
        <w:t>for Duquesne’s DSP VI would</w:t>
      </w:r>
      <w:r w:rsidRPr="00293AC6">
        <w:rPr>
          <w:sz w:val="26"/>
          <w:szCs w:val="26"/>
        </w:rPr>
        <w:t xml:space="preserve"> not allow for a reasonable transition fro</w:t>
      </w:r>
      <w:r w:rsidR="00910042">
        <w:rPr>
          <w:sz w:val="26"/>
          <w:szCs w:val="26"/>
        </w:rPr>
        <w:t xml:space="preserve">m Duquesne’s current </w:t>
      </w:r>
      <w:r w:rsidR="001944C6">
        <w:rPr>
          <w:sz w:val="26"/>
          <w:szCs w:val="26"/>
        </w:rPr>
        <w:t>twenty-nine</w:t>
      </w:r>
      <w:r w:rsidRPr="00293AC6">
        <w:rPr>
          <w:sz w:val="26"/>
          <w:szCs w:val="26"/>
        </w:rPr>
        <w:t xml:space="preserve">-month </w:t>
      </w:r>
      <w:r w:rsidR="00910042">
        <w:rPr>
          <w:sz w:val="26"/>
          <w:szCs w:val="26"/>
        </w:rPr>
        <w:t>fixed PTC</w:t>
      </w:r>
      <w:r>
        <w:rPr>
          <w:sz w:val="26"/>
          <w:szCs w:val="26"/>
        </w:rPr>
        <w:t xml:space="preserve"> to the</w:t>
      </w:r>
      <w:r w:rsidRPr="00293AC6">
        <w:rPr>
          <w:sz w:val="26"/>
          <w:szCs w:val="26"/>
        </w:rPr>
        <w:t xml:space="preserve"> Commission’s proposal recently identified</w:t>
      </w:r>
      <w:r w:rsidR="00C37B7F">
        <w:rPr>
          <w:sz w:val="26"/>
          <w:szCs w:val="26"/>
        </w:rPr>
        <w:t xml:space="preserve"> in the</w:t>
      </w:r>
      <w:r>
        <w:rPr>
          <w:sz w:val="26"/>
          <w:szCs w:val="26"/>
        </w:rPr>
        <w:t xml:space="preserve"> </w:t>
      </w:r>
      <w:r w:rsidRPr="00293AC6">
        <w:rPr>
          <w:i/>
          <w:sz w:val="26"/>
          <w:szCs w:val="26"/>
        </w:rPr>
        <w:t>End-State Tentative Order</w:t>
      </w:r>
      <w:r w:rsidR="00910042">
        <w:rPr>
          <w:i/>
          <w:sz w:val="26"/>
          <w:szCs w:val="26"/>
        </w:rPr>
        <w:t>.</w:t>
      </w:r>
      <w:r w:rsidR="00910042">
        <w:rPr>
          <w:sz w:val="26"/>
          <w:szCs w:val="26"/>
        </w:rPr>
        <w:t xml:space="preserve">  If this proposal is finalized after consideration of the comments filed by interested parties, EDCs will be required</w:t>
      </w:r>
      <w:r w:rsidRPr="00293AC6">
        <w:rPr>
          <w:sz w:val="26"/>
          <w:szCs w:val="26"/>
        </w:rPr>
        <w:t xml:space="preserve"> to rely on three-month contracts</w:t>
      </w:r>
      <w:r>
        <w:rPr>
          <w:sz w:val="26"/>
          <w:szCs w:val="26"/>
        </w:rPr>
        <w:t xml:space="preserve"> for future </w:t>
      </w:r>
      <w:r w:rsidR="001944C6">
        <w:rPr>
          <w:sz w:val="26"/>
          <w:szCs w:val="26"/>
        </w:rPr>
        <w:t>r</w:t>
      </w:r>
      <w:r w:rsidRPr="00293AC6">
        <w:rPr>
          <w:sz w:val="26"/>
          <w:szCs w:val="26"/>
        </w:rPr>
        <w:t>esidential procurements</w:t>
      </w:r>
      <w:r w:rsidR="00910042">
        <w:rPr>
          <w:sz w:val="26"/>
          <w:szCs w:val="26"/>
        </w:rPr>
        <w:t xml:space="preserve"> beginning June 1, 2015</w:t>
      </w:r>
      <w:r w:rsidRPr="00293AC6">
        <w:rPr>
          <w:sz w:val="26"/>
          <w:szCs w:val="26"/>
        </w:rPr>
        <w:t xml:space="preserve">.  </w:t>
      </w:r>
      <w:r w:rsidR="00DB485C">
        <w:rPr>
          <w:sz w:val="26"/>
          <w:szCs w:val="26"/>
        </w:rPr>
        <w:t xml:space="preserve">Therefore, although we agree with RESA’s argument that quarterly procurements would result in default service rates that more accurately reflect current market prices, we agree with FES that moving from the current twenty-nine month fixed PTC to a three month PTC would be </w:t>
      </w:r>
      <w:r w:rsidR="002C4D4D">
        <w:rPr>
          <w:sz w:val="26"/>
          <w:szCs w:val="26"/>
        </w:rPr>
        <w:t>too abrupt.</w:t>
      </w:r>
    </w:p>
    <w:p w:rsidR="002421C8" w:rsidRDefault="002421C8" w:rsidP="00293AC6">
      <w:pPr>
        <w:spacing w:line="360" w:lineRule="auto"/>
        <w:ind w:firstLine="1440"/>
        <w:rPr>
          <w:sz w:val="26"/>
          <w:szCs w:val="26"/>
        </w:rPr>
      </w:pPr>
    </w:p>
    <w:p w:rsidR="00910042" w:rsidRDefault="002421C8" w:rsidP="00293AC6">
      <w:pPr>
        <w:spacing w:line="360" w:lineRule="auto"/>
        <w:ind w:firstLine="1440"/>
        <w:rPr>
          <w:color w:val="000000" w:themeColor="text1"/>
          <w:sz w:val="26"/>
          <w:szCs w:val="26"/>
        </w:rPr>
      </w:pPr>
      <w:r>
        <w:rPr>
          <w:color w:val="000000" w:themeColor="text1"/>
          <w:sz w:val="26"/>
          <w:szCs w:val="26"/>
        </w:rPr>
        <w:t xml:space="preserve">With regard to the OCA’s proposal to include a small portion of two-year full requirements contracts in </w:t>
      </w:r>
      <w:r w:rsidR="001944C6">
        <w:rPr>
          <w:color w:val="000000" w:themeColor="text1"/>
          <w:sz w:val="26"/>
          <w:szCs w:val="26"/>
        </w:rPr>
        <w:t>the</w:t>
      </w:r>
      <w:r>
        <w:rPr>
          <w:color w:val="000000" w:themeColor="text1"/>
          <w:sz w:val="26"/>
          <w:szCs w:val="26"/>
        </w:rPr>
        <w:t xml:space="preserve"> residential default service procurement, we </w:t>
      </w:r>
      <w:r w:rsidR="00C27E6D" w:rsidRPr="00AB3943">
        <w:rPr>
          <w:sz w:val="26"/>
          <w:szCs w:val="26"/>
        </w:rPr>
        <w:t>further find that the OCA</w:t>
      </w:r>
      <w:r w:rsidR="00C27E6D">
        <w:rPr>
          <w:sz w:val="26"/>
          <w:szCs w:val="26"/>
        </w:rPr>
        <w:t xml:space="preserve">’s recommendation </w:t>
      </w:r>
      <w:r w:rsidR="00C27E6D" w:rsidRPr="00AB3943">
        <w:rPr>
          <w:sz w:val="26"/>
          <w:szCs w:val="26"/>
        </w:rPr>
        <w:t xml:space="preserve">would </w:t>
      </w:r>
      <w:r w:rsidR="00C27E6D">
        <w:rPr>
          <w:sz w:val="26"/>
          <w:szCs w:val="26"/>
        </w:rPr>
        <w:t>result in a</w:t>
      </w:r>
      <w:r w:rsidR="00C27E6D" w:rsidRPr="00AB3943">
        <w:rPr>
          <w:sz w:val="26"/>
          <w:szCs w:val="26"/>
        </w:rPr>
        <w:t xml:space="preserve"> disconnect between th</w:t>
      </w:r>
      <w:r w:rsidR="00C27E6D">
        <w:rPr>
          <w:sz w:val="26"/>
          <w:szCs w:val="26"/>
        </w:rPr>
        <w:t>e PTC</w:t>
      </w:r>
      <w:r w:rsidR="00C27E6D" w:rsidRPr="00AB3943">
        <w:rPr>
          <w:sz w:val="26"/>
          <w:szCs w:val="26"/>
        </w:rPr>
        <w:t xml:space="preserve"> and market prices.</w:t>
      </w:r>
      <w:r w:rsidR="00C27E6D">
        <w:rPr>
          <w:sz w:val="26"/>
          <w:szCs w:val="26"/>
        </w:rPr>
        <w:t xml:space="preserve">  While the two-year procurements proposed by the OCA certainly </w:t>
      </w:r>
      <w:r w:rsidR="003879DC">
        <w:rPr>
          <w:sz w:val="26"/>
          <w:szCs w:val="26"/>
        </w:rPr>
        <w:t>would provide a measure of</w:t>
      </w:r>
      <w:r w:rsidR="00C27E6D">
        <w:rPr>
          <w:sz w:val="26"/>
          <w:szCs w:val="26"/>
        </w:rPr>
        <w:t xml:space="preserve"> rate stability, we do not believe that this proposal would best balance the goal of price stability with the least cost over time requirement.</w:t>
      </w:r>
    </w:p>
    <w:p w:rsidR="002421C8" w:rsidRDefault="002421C8" w:rsidP="00293AC6">
      <w:pPr>
        <w:spacing w:line="360" w:lineRule="auto"/>
        <w:ind w:firstLine="1440"/>
        <w:rPr>
          <w:sz w:val="26"/>
          <w:szCs w:val="26"/>
        </w:rPr>
      </w:pPr>
    </w:p>
    <w:p w:rsidR="002421C8" w:rsidRDefault="00910042" w:rsidP="00B05591">
      <w:pPr>
        <w:pStyle w:val="BriefL3"/>
        <w:numPr>
          <w:ilvl w:val="0"/>
          <w:numId w:val="0"/>
        </w:numPr>
        <w:spacing w:after="0" w:line="360" w:lineRule="auto"/>
        <w:ind w:firstLine="1440"/>
        <w:rPr>
          <w:sz w:val="26"/>
          <w:szCs w:val="26"/>
        </w:rPr>
      </w:pPr>
      <w:r>
        <w:rPr>
          <w:sz w:val="26"/>
          <w:szCs w:val="26"/>
        </w:rPr>
        <w:t xml:space="preserve">With regard to the OCA’s proposal to add a block and spot power component to the default service portfolio for </w:t>
      </w:r>
      <w:r w:rsidR="001944C6">
        <w:rPr>
          <w:sz w:val="26"/>
          <w:szCs w:val="26"/>
        </w:rPr>
        <w:t>r</w:t>
      </w:r>
      <w:r>
        <w:rPr>
          <w:sz w:val="26"/>
          <w:szCs w:val="26"/>
        </w:rPr>
        <w:t>esidential customers</w:t>
      </w:r>
      <w:r w:rsidR="00293AC6">
        <w:rPr>
          <w:sz w:val="26"/>
          <w:szCs w:val="26"/>
        </w:rPr>
        <w:t xml:space="preserve">, </w:t>
      </w:r>
      <w:r>
        <w:rPr>
          <w:sz w:val="26"/>
          <w:szCs w:val="26"/>
        </w:rPr>
        <w:t>we note that the OCA has not excepted to the ALJ’s recommendation to reject this proposal.  C</w:t>
      </w:r>
      <w:r w:rsidR="00293AC6">
        <w:rPr>
          <w:sz w:val="26"/>
          <w:szCs w:val="26"/>
        </w:rPr>
        <w:t>onsistent with</w:t>
      </w:r>
      <w:r>
        <w:rPr>
          <w:sz w:val="26"/>
          <w:szCs w:val="26"/>
        </w:rPr>
        <w:t xml:space="preserve"> recent Commission decisions</w:t>
      </w:r>
      <w:r w:rsidR="00293AC6" w:rsidRPr="00EE5722">
        <w:rPr>
          <w:sz w:val="26"/>
          <w:szCs w:val="26"/>
        </w:rPr>
        <w:t xml:space="preserve"> in the </w:t>
      </w:r>
      <w:r w:rsidR="002421C8">
        <w:rPr>
          <w:sz w:val="26"/>
          <w:szCs w:val="26"/>
        </w:rPr>
        <w:t>FirstEnergy and PECO DSP proceedings</w:t>
      </w:r>
      <w:r w:rsidR="00293AC6" w:rsidRPr="00EE5722">
        <w:rPr>
          <w:sz w:val="26"/>
          <w:szCs w:val="26"/>
        </w:rPr>
        <w:t>, default service plans, at least for the 2013 to 2015 period, should not include block or spot power</w:t>
      </w:r>
      <w:r w:rsidR="002421C8">
        <w:rPr>
          <w:sz w:val="26"/>
          <w:szCs w:val="26"/>
        </w:rPr>
        <w:t xml:space="preserve"> as recommended by the OC</w:t>
      </w:r>
      <w:r w:rsidR="00293AC6">
        <w:rPr>
          <w:sz w:val="26"/>
          <w:szCs w:val="26"/>
        </w:rPr>
        <w:t>A</w:t>
      </w:r>
      <w:r w:rsidR="00293AC6" w:rsidRPr="00EE5722">
        <w:rPr>
          <w:sz w:val="26"/>
          <w:szCs w:val="26"/>
        </w:rPr>
        <w:t>, due to the volatility that such wholesale products can bring to default service rates</w:t>
      </w:r>
      <w:r w:rsidR="002421C8">
        <w:rPr>
          <w:sz w:val="26"/>
          <w:szCs w:val="26"/>
        </w:rPr>
        <w:t xml:space="preserve">.  </w:t>
      </w:r>
      <w:r w:rsidR="002421C8" w:rsidRPr="002421C8">
        <w:rPr>
          <w:i/>
          <w:sz w:val="26"/>
          <w:szCs w:val="26"/>
        </w:rPr>
        <w:t>FirstEnergy DSP Order</w:t>
      </w:r>
      <w:r w:rsidR="002421C8">
        <w:rPr>
          <w:sz w:val="26"/>
          <w:szCs w:val="26"/>
        </w:rPr>
        <w:t xml:space="preserve"> at </w:t>
      </w:r>
      <w:r w:rsidR="001A3096">
        <w:rPr>
          <w:sz w:val="26"/>
          <w:szCs w:val="26"/>
        </w:rPr>
        <w:t>22</w:t>
      </w:r>
      <w:r w:rsidR="002421C8">
        <w:rPr>
          <w:sz w:val="26"/>
          <w:szCs w:val="26"/>
        </w:rPr>
        <w:t xml:space="preserve">; </w:t>
      </w:r>
      <w:r w:rsidR="002421C8" w:rsidRPr="002421C8">
        <w:rPr>
          <w:i/>
          <w:sz w:val="26"/>
          <w:szCs w:val="26"/>
        </w:rPr>
        <w:t>PECO DSP Order</w:t>
      </w:r>
      <w:r w:rsidR="002421C8">
        <w:rPr>
          <w:sz w:val="26"/>
          <w:szCs w:val="26"/>
        </w:rPr>
        <w:t xml:space="preserve"> at </w:t>
      </w:r>
      <w:r w:rsidR="001A3096">
        <w:rPr>
          <w:sz w:val="26"/>
          <w:szCs w:val="26"/>
        </w:rPr>
        <w:t>16</w:t>
      </w:r>
      <w:r w:rsidR="002421C8">
        <w:rPr>
          <w:sz w:val="26"/>
          <w:szCs w:val="26"/>
        </w:rPr>
        <w:t>.  We will, however, grant the OCA’s request by indicating that our decision on this issue is not meant to establish precedent on the use of block and spot supply for future DSPs.</w:t>
      </w:r>
    </w:p>
    <w:p w:rsidR="002421C8" w:rsidRDefault="002421C8" w:rsidP="00910042">
      <w:pPr>
        <w:pStyle w:val="BriefL3"/>
        <w:numPr>
          <w:ilvl w:val="0"/>
          <w:numId w:val="0"/>
        </w:numPr>
        <w:spacing w:after="0" w:line="360" w:lineRule="auto"/>
        <w:ind w:firstLine="2160"/>
        <w:rPr>
          <w:sz w:val="26"/>
          <w:szCs w:val="26"/>
        </w:rPr>
      </w:pPr>
    </w:p>
    <w:p w:rsidR="00933A72" w:rsidRPr="00025282" w:rsidRDefault="00293AC6" w:rsidP="007B5209">
      <w:pPr>
        <w:pStyle w:val="BriefL3"/>
        <w:numPr>
          <w:ilvl w:val="0"/>
          <w:numId w:val="0"/>
        </w:numPr>
        <w:spacing w:after="0" w:line="360" w:lineRule="auto"/>
        <w:ind w:firstLine="1440"/>
        <w:rPr>
          <w:sz w:val="26"/>
          <w:szCs w:val="26"/>
        </w:rPr>
      </w:pPr>
      <w:r>
        <w:rPr>
          <w:sz w:val="26"/>
          <w:szCs w:val="26"/>
        </w:rPr>
        <w:lastRenderedPageBreak/>
        <w:t>Accor</w:t>
      </w:r>
      <w:r w:rsidR="002421C8">
        <w:rPr>
          <w:sz w:val="26"/>
          <w:szCs w:val="26"/>
        </w:rPr>
        <w:t>dingly, the Exceptions of the OC</w:t>
      </w:r>
      <w:r>
        <w:rPr>
          <w:sz w:val="26"/>
          <w:szCs w:val="26"/>
        </w:rPr>
        <w:t xml:space="preserve">A and RESA are denied on this issue, consistent with the foregoing discussion. </w:t>
      </w:r>
      <w:r w:rsidRPr="00912DE0">
        <w:rPr>
          <w:sz w:val="26"/>
          <w:szCs w:val="26"/>
        </w:rPr>
        <w:t xml:space="preserve">   </w:t>
      </w:r>
    </w:p>
    <w:p w:rsidR="003C38EE" w:rsidRPr="00EE5722" w:rsidRDefault="003C38EE" w:rsidP="003C38EE">
      <w:pPr>
        <w:tabs>
          <w:tab w:val="left" w:pos="0"/>
        </w:tabs>
        <w:spacing w:line="360" w:lineRule="auto"/>
        <w:rPr>
          <w:b/>
          <w:sz w:val="26"/>
          <w:szCs w:val="26"/>
          <w:u w:val="single"/>
        </w:rPr>
      </w:pPr>
    </w:p>
    <w:p w:rsidR="00F5394E" w:rsidRPr="00EE5722" w:rsidRDefault="00284737" w:rsidP="00A23D0F">
      <w:pPr>
        <w:pStyle w:val="Heading4"/>
        <w:numPr>
          <w:ilvl w:val="0"/>
          <w:numId w:val="0"/>
        </w:numPr>
        <w:ind w:left="2160"/>
      </w:pPr>
      <w:bookmarkStart w:id="22" w:name="_Toc337116675"/>
      <w:bookmarkStart w:id="23" w:name="_Toc346705267"/>
      <w:r>
        <w:t>b.</w:t>
      </w:r>
      <w:r>
        <w:tab/>
      </w:r>
      <w:r w:rsidR="00297E8C" w:rsidRPr="00EE5722">
        <w:t>Procurement Dates</w:t>
      </w:r>
      <w:bookmarkEnd w:id="22"/>
      <w:bookmarkEnd w:id="23"/>
    </w:p>
    <w:p w:rsidR="00297E8C" w:rsidRPr="00EE5722" w:rsidRDefault="00297E8C" w:rsidP="00A23D0F">
      <w:pPr>
        <w:pStyle w:val="Heading4"/>
        <w:numPr>
          <w:ilvl w:val="0"/>
          <w:numId w:val="0"/>
        </w:numPr>
        <w:ind w:left="2160"/>
      </w:pPr>
    </w:p>
    <w:p w:rsidR="00884AFB" w:rsidRPr="00EE5722" w:rsidRDefault="00297E8C" w:rsidP="00A23D0F">
      <w:pPr>
        <w:pStyle w:val="Heading5"/>
        <w:numPr>
          <w:ilvl w:val="0"/>
          <w:numId w:val="15"/>
        </w:numPr>
      </w:pPr>
      <w:bookmarkStart w:id="24" w:name="_Toc337116677"/>
      <w:bookmarkStart w:id="25" w:name="_Toc346705268"/>
      <w:r w:rsidRPr="00EE5722">
        <w:t>Duquesne’s Proposal</w:t>
      </w:r>
      <w:bookmarkEnd w:id="24"/>
      <w:bookmarkEnd w:id="25"/>
    </w:p>
    <w:p w:rsidR="00F5394E" w:rsidRPr="00EE5722" w:rsidRDefault="00F5394E" w:rsidP="00A23D0F">
      <w:pPr>
        <w:pStyle w:val="BodyText2"/>
        <w:keepNext/>
        <w:spacing w:after="0" w:line="360" w:lineRule="auto"/>
        <w:ind w:left="2880"/>
        <w:rPr>
          <w:sz w:val="26"/>
          <w:szCs w:val="26"/>
        </w:rPr>
      </w:pPr>
    </w:p>
    <w:p w:rsidR="00F5394E" w:rsidRPr="00F04B32" w:rsidRDefault="005479F7" w:rsidP="003C38EE">
      <w:pPr>
        <w:pStyle w:val="BodyText2"/>
        <w:spacing w:after="0" w:line="360" w:lineRule="auto"/>
        <w:ind w:firstLine="1440"/>
        <w:rPr>
          <w:sz w:val="26"/>
          <w:szCs w:val="26"/>
        </w:rPr>
      </w:pPr>
      <w:r>
        <w:rPr>
          <w:sz w:val="26"/>
          <w:szCs w:val="26"/>
        </w:rPr>
        <w:t xml:space="preserve">Duquesne </w:t>
      </w:r>
      <w:r w:rsidR="00A77895">
        <w:rPr>
          <w:sz w:val="26"/>
          <w:szCs w:val="26"/>
        </w:rPr>
        <w:t>contended that</w:t>
      </w:r>
      <w:r w:rsidR="00F5394E" w:rsidRPr="00EE5722">
        <w:rPr>
          <w:sz w:val="26"/>
          <w:szCs w:val="26"/>
        </w:rPr>
        <w:t xml:space="preserve"> its procurement dates were carefully integrated with the product delivery periods </w:t>
      </w:r>
      <w:r w:rsidR="00303DA5">
        <w:rPr>
          <w:sz w:val="26"/>
          <w:szCs w:val="26"/>
        </w:rPr>
        <w:t xml:space="preserve">to provide </w:t>
      </w:r>
      <w:r w:rsidR="00F5394E" w:rsidRPr="00EE5722">
        <w:rPr>
          <w:sz w:val="26"/>
          <w:szCs w:val="26"/>
        </w:rPr>
        <w:t>hedging and price stability benefits for</w:t>
      </w:r>
      <w:r>
        <w:rPr>
          <w:sz w:val="26"/>
          <w:szCs w:val="26"/>
        </w:rPr>
        <w:t xml:space="preserve"> customers.  </w:t>
      </w:r>
      <w:r w:rsidR="00303DA5">
        <w:rPr>
          <w:sz w:val="26"/>
          <w:szCs w:val="26"/>
        </w:rPr>
        <w:t>Procuring</w:t>
      </w:r>
      <w:r>
        <w:rPr>
          <w:sz w:val="26"/>
          <w:szCs w:val="26"/>
        </w:rPr>
        <w:t xml:space="preserve"> c</w:t>
      </w:r>
      <w:r w:rsidR="00F5394E" w:rsidRPr="00EE5722">
        <w:rPr>
          <w:sz w:val="26"/>
          <w:szCs w:val="26"/>
        </w:rPr>
        <w:t>onsecutive one-year prod</w:t>
      </w:r>
      <w:r w:rsidR="00303DA5">
        <w:rPr>
          <w:sz w:val="26"/>
          <w:szCs w:val="26"/>
        </w:rPr>
        <w:t xml:space="preserve">ucts </w:t>
      </w:r>
      <w:r>
        <w:rPr>
          <w:sz w:val="26"/>
          <w:szCs w:val="26"/>
        </w:rPr>
        <w:t>on the same date is important in providing</w:t>
      </w:r>
      <w:r w:rsidR="00F5394E" w:rsidRPr="00EE5722">
        <w:rPr>
          <w:sz w:val="26"/>
          <w:szCs w:val="26"/>
        </w:rPr>
        <w:t xml:space="preserve"> certain price stability benefits</w:t>
      </w:r>
      <w:r w:rsidR="009C04BD">
        <w:rPr>
          <w:sz w:val="26"/>
          <w:szCs w:val="26"/>
        </w:rPr>
        <w:t xml:space="preserve"> for customers.  Duquesne </w:t>
      </w:r>
      <w:r w:rsidR="00A77895">
        <w:rPr>
          <w:sz w:val="26"/>
          <w:szCs w:val="26"/>
        </w:rPr>
        <w:t>argued</w:t>
      </w:r>
      <w:r w:rsidR="00F5394E" w:rsidRPr="00EE5722">
        <w:rPr>
          <w:sz w:val="26"/>
          <w:szCs w:val="26"/>
        </w:rPr>
        <w:t xml:space="preserve"> that its proposed supply portfolio</w:t>
      </w:r>
      <w:r>
        <w:rPr>
          <w:sz w:val="26"/>
          <w:szCs w:val="26"/>
        </w:rPr>
        <w:t xml:space="preserve"> provides a </w:t>
      </w:r>
      <w:r w:rsidR="00F5394E" w:rsidRPr="00EE5722">
        <w:rPr>
          <w:sz w:val="26"/>
          <w:szCs w:val="26"/>
        </w:rPr>
        <w:t xml:space="preserve">type of hedge against uncertain future market price movements </w:t>
      </w:r>
      <w:r>
        <w:rPr>
          <w:sz w:val="26"/>
          <w:szCs w:val="26"/>
        </w:rPr>
        <w:t xml:space="preserve">similar </w:t>
      </w:r>
      <w:r w:rsidR="00F5394E" w:rsidRPr="00EE5722">
        <w:rPr>
          <w:sz w:val="26"/>
          <w:szCs w:val="26"/>
        </w:rPr>
        <w:t>to that which would be provided</w:t>
      </w:r>
      <w:r w:rsidR="00F04B32">
        <w:rPr>
          <w:sz w:val="26"/>
          <w:szCs w:val="26"/>
        </w:rPr>
        <w:t xml:space="preserve"> by a two-year supply product.</w:t>
      </w:r>
    </w:p>
    <w:p w:rsidR="00F5394E" w:rsidRPr="00EE5722" w:rsidRDefault="00F5394E" w:rsidP="00F5394E">
      <w:pPr>
        <w:pStyle w:val="BodyText2"/>
        <w:spacing w:line="360" w:lineRule="auto"/>
        <w:rPr>
          <w:sz w:val="26"/>
          <w:szCs w:val="26"/>
        </w:rPr>
      </w:pPr>
    </w:p>
    <w:p w:rsidR="00F5394E" w:rsidRPr="00F04B32" w:rsidRDefault="00A77895" w:rsidP="00B05591">
      <w:pPr>
        <w:pStyle w:val="BodyText2"/>
        <w:spacing w:after="0" w:line="360" w:lineRule="auto"/>
        <w:ind w:firstLine="1440"/>
        <w:rPr>
          <w:sz w:val="26"/>
          <w:szCs w:val="26"/>
        </w:rPr>
      </w:pPr>
      <w:r>
        <w:rPr>
          <w:sz w:val="26"/>
          <w:szCs w:val="26"/>
        </w:rPr>
        <w:t>The Company argued that</w:t>
      </w:r>
      <w:r w:rsidR="00F5394E" w:rsidRPr="00EE5722">
        <w:rPr>
          <w:sz w:val="26"/>
          <w:szCs w:val="26"/>
        </w:rPr>
        <w:t xml:space="preserve"> the Commission should reject RESA’s proposal </w:t>
      </w:r>
      <w:r w:rsidR="00303DA5">
        <w:rPr>
          <w:sz w:val="26"/>
          <w:szCs w:val="26"/>
        </w:rPr>
        <w:t>to reduce the procureme</w:t>
      </w:r>
      <w:r w:rsidR="00B05591">
        <w:rPr>
          <w:sz w:val="26"/>
          <w:szCs w:val="26"/>
        </w:rPr>
        <w:t>nt lead times to no more than sixty</w:t>
      </w:r>
      <w:r w:rsidR="00303DA5">
        <w:rPr>
          <w:sz w:val="26"/>
          <w:szCs w:val="26"/>
        </w:rPr>
        <w:t xml:space="preserve"> days before</w:t>
      </w:r>
      <w:r w:rsidR="00B05591">
        <w:rPr>
          <w:sz w:val="26"/>
          <w:szCs w:val="26"/>
        </w:rPr>
        <w:t xml:space="preserve"> the start of a delivery period </w:t>
      </w:r>
      <w:r w:rsidR="00F5394E" w:rsidRPr="00EE5722">
        <w:rPr>
          <w:sz w:val="26"/>
          <w:szCs w:val="26"/>
        </w:rPr>
        <w:t xml:space="preserve">because, if adopted, the Company more likely will be required to rely on a single solicitation, soon before a given delivery period, for large </w:t>
      </w:r>
      <w:r w:rsidR="00303DA5">
        <w:rPr>
          <w:sz w:val="26"/>
          <w:szCs w:val="26"/>
        </w:rPr>
        <w:t xml:space="preserve">amounts of default supply.  This </w:t>
      </w:r>
      <w:r w:rsidR="00F5394E" w:rsidRPr="00EE5722">
        <w:rPr>
          <w:sz w:val="26"/>
          <w:szCs w:val="26"/>
        </w:rPr>
        <w:t>could have adverse consequences for customers under unforeseen circumstan</w:t>
      </w:r>
      <w:r w:rsidR="009C04BD">
        <w:rPr>
          <w:sz w:val="26"/>
          <w:szCs w:val="26"/>
        </w:rPr>
        <w:t xml:space="preserve">ces.  However, Duquesne </w:t>
      </w:r>
      <w:r>
        <w:rPr>
          <w:sz w:val="26"/>
          <w:szCs w:val="26"/>
        </w:rPr>
        <w:t>asked</w:t>
      </w:r>
      <w:r w:rsidR="00F5394E" w:rsidRPr="00EE5722">
        <w:rPr>
          <w:sz w:val="26"/>
          <w:szCs w:val="26"/>
        </w:rPr>
        <w:t xml:space="preserve"> that, if the Commission accepts RESA’s proposal to reduce the procurement</w:t>
      </w:r>
      <w:r w:rsidR="00303DA5">
        <w:rPr>
          <w:sz w:val="26"/>
          <w:szCs w:val="26"/>
        </w:rPr>
        <w:t xml:space="preserve"> lead times</w:t>
      </w:r>
      <w:r w:rsidR="00F5394E" w:rsidRPr="00EE5722">
        <w:rPr>
          <w:sz w:val="26"/>
          <w:szCs w:val="26"/>
        </w:rPr>
        <w:t xml:space="preserve">, the Commission should treat the two April 2013 procurements of supply for the June 2013 – May 2014 period and the June 2014 </w:t>
      </w:r>
      <w:r w:rsidR="00B05591">
        <w:rPr>
          <w:sz w:val="26"/>
          <w:szCs w:val="26"/>
        </w:rPr>
        <w:t>– May 2015 period as a single twenty-four</w:t>
      </w:r>
      <w:r w:rsidR="00F5394E" w:rsidRPr="00EE5722">
        <w:rPr>
          <w:sz w:val="26"/>
          <w:szCs w:val="26"/>
        </w:rPr>
        <w:t>-month “product” and reta</w:t>
      </w:r>
      <w:r w:rsidR="00303DA5">
        <w:rPr>
          <w:sz w:val="26"/>
          <w:szCs w:val="26"/>
        </w:rPr>
        <w:t>in the April 2013 procurement</w:t>
      </w:r>
      <w:r w:rsidR="00F5394E" w:rsidRPr="00EE5722">
        <w:rPr>
          <w:sz w:val="26"/>
          <w:szCs w:val="26"/>
        </w:rPr>
        <w:t>.  Similarly, if the Commission accepts RESA’s proposal to reduce the procuremen</w:t>
      </w:r>
      <w:r w:rsidR="00B05591">
        <w:rPr>
          <w:sz w:val="26"/>
          <w:szCs w:val="26"/>
        </w:rPr>
        <w:t>t lead times to no more than sixty</w:t>
      </w:r>
      <w:r w:rsidR="00F5394E" w:rsidRPr="00EE5722">
        <w:rPr>
          <w:sz w:val="26"/>
          <w:szCs w:val="26"/>
        </w:rPr>
        <w:t xml:space="preserve"> days from the start of the delivery period, then the Commission </w:t>
      </w:r>
      <w:r w:rsidR="00303DA5">
        <w:rPr>
          <w:sz w:val="26"/>
          <w:szCs w:val="26"/>
        </w:rPr>
        <w:t xml:space="preserve">also should </w:t>
      </w:r>
      <w:r w:rsidR="00F5394E" w:rsidRPr="00EE5722">
        <w:rPr>
          <w:sz w:val="26"/>
          <w:szCs w:val="26"/>
        </w:rPr>
        <w:t xml:space="preserve">treat the two April 2014 procurements of supply for the June 2014 – May 2015 period and the June 2015 </w:t>
      </w:r>
      <w:r w:rsidR="00B05591">
        <w:rPr>
          <w:sz w:val="26"/>
          <w:szCs w:val="26"/>
        </w:rPr>
        <w:t>– May 2016 period as a single twenty-four</w:t>
      </w:r>
      <w:r w:rsidR="00F5394E" w:rsidRPr="00EE5722">
        <w:rPr>
          <w:sz w:val="26"/>
          <w:szCs w:val="26"/>
        </w:rPr>
        <w:t>-month “product” and retain the April 2014 procuremen</w:t>
      </w:r>
      <w:r w:rsidR="00F04B32">
        <w:rPr>
          <w:sz w:val="26"/>
          <w:szCs w:val="26"/>
        </w:rPr>
        <w:t>t date for these products.</w:t>
      </w:r>
    </w:p>
    <w:p w:rsidR="00F5394E" w:rsidRPr="00EE5722" w:rsidRDefault="00F5394E" w:rsidP="00B05591">
      <w:pPr>
        <w:pStyle w:val="BodyText2"/>
        <w:spacing w:after="0" w:line="360" w:lineRule="auto"/>
        <w:rPr>
          <w:sz w:val="26"/>
          <w:szCs w:val="26"/>
        </w:rPr>
      </w:pPr>
    </w:p>
    <w:p w:rsidR="00F5394E" w:rsidRPr="00F04B32" w:rsidRDefault="00F5394E" w:rsidP="00B05591">
      <w:pPr>
        <w:pStyle w:val="BodyText2"/>
        <w:spacing w:after="0" w:line="360" w:lineRule="auto"/>
        <w:ind w:firstLine="1440"/>
        <w:rPr>
          <w:sz w:val="26"/>
          <w:szCs w:val="26"/>
        </w:rPr>
      </w:pPr>
      <w:r w:rsidRPr="00EE5722">
        <w:rPr>
          <w:sz w:val="26"/>
          <w:szCs w:val="26"/>
        </w:rPr>
        <w:t>If the Commission rejects the Company’s back-up proposal described above to treat simultaneous one-year procurements as one</w:t>
      </w:r>
      <w:r w:rsidR="00650A88">
        <w:rPr>
          <w:sz w:val="26"/>
          <w:szCs w:val="26"/>
        </w:rPr>
        <w:t xml:space="preserve"> “product,” then Duquesne </w:t>
      </w:r>
      <w:r w:rsidR="00A77895">
        <w:rPr>
          <w:sz w:val="26"/>
          <w:szCs w:val="26"/>
        </w:rPr>
        <w:t>recommended</w:t>
      </w:r>
      <w:r w:rsidR="00303DA5">
        <w:rPr>
          <w:sz w:val="26"/>
          <w:szCs w:val="26"/>
        </w:rPr>
        <w:t xml:space="preserve"> that the simultaneously-</w:t>
      </w:r>
      <w:r w:rsidRPr="00EE5722">
        <w:rPr>
          <w:sz w:val="26"/>
          <w:szCs w:val="26"/>
        </w:rPr>
        <w:t>procured one-year products be replaced with two year products.  This would satisfy both RESA’s recommendation to reduce the procurem</w:t>
      </w:r>
      <w:r w:rsidR="00B05591">
        <w:rPr>
          <w:sz w:val="26"/>
          <w:szCs w:val="26"/>
        </w:rPr>
        <w:t>ent lead time to no more than sixty</w:t>
      </w:r>
      <w:r w:rsidRPr="00EE5722">
        <w:rPr>
          <w:sz w:val="26"/>
          <w:szCs w:val="26"/>
        </w:rPr>
        <w:t xml:space="preserve"> days, </w:t>
      </w:r>
      <w:r w:rsidR="001944C6">
        <w:rPr>
          <w:sz w:val="26"/>
          <w:szCs w:val="26"/>
        </w:rPr>
        <w:t>as well as</w:t>
      </w:r>
      <w:r w:rsidRPr="00EE5722">
        <w:rPr>
          <w:sz w:val="26"/>
          <w:szCs w:val="26"/>
        </w:rPr>
        <w:t xml:space="preserve"> the OCA’s request for two-year products.  In addition, it </w:t>
      </w:r>
      <w:r w:rsidR="00303DA5">
        <w:rPr>
          <w:sz w:val="26"/>
          <w:szCs w:val="26"/>
        </w:rPr>
        <w:t xml:space="preserve">also would </w:t>
      </w:r>
      <w:r w:rsidRPr="00EE5722">
        <w:rPr>
          <w:sz w:val="26"/>
          <w:szCs w:val="26"/>
        </w:rPr>
        <w:t>ensure that the price stability benefits of these carefully planned procu</w:t>
      </w:r>
      <w:r w:rsidR="009C04BD">
        <w:rPr>
          <w:sz w:val="26"/>
          <w:szCs w:val="26"/>
        </w:rPr>
        <w:t>rement timings in Duquesne</w:t>
      </w:r>
      <w:r w:rsidR="00F04B32">
        <w:rPr>
          <w:sz w:val="26"/>
          <w:szCs w:val="26"/>
        </w:rPr>
        <w:t xml:space="preserve">’s </w:t>
      </w:r>
      <w:r w:rsidR="001944C6">
        <w:rPr>
          <w:sz w:val="26"/>
          <w:szCs w:val="26"/>
        </w:rPr>
        <w:t>DSP</w:t>
      </w:r>
      <w:r w:rsidR="00F04B32">
        <w:rPr>
          <w:sz w:val="26"/>
          <w:szCs w:val="26"/>
        </w:rPr>
        <w:t xml:space="preserve"> would be retained.</w:t>
      </w:r>
    </w:p>
    <w:p w:rsidR="00F5394E" w:rsidRPr="00EE5722" w:rsidRDefault="00F5394E" w:rsidP="00B05591">
      <w:pPr>
        <w:pStyle w:val="BodyText2"/>
        <w:spacing w:after="0" w:line="360" w:lineRule="auto"/>
        <w:rPr>
          <w:sz w:val="26"/>
          <w:szCs w:val="26"/>
        </w:rPr>
      </w:pPr>
    </w:p>
    <w:p w:rsidR="00F5394E" w:rsidRPr="00EE5722" w:rsidRDefault="00686F16" w:rsidP="00F5394E">
      <w:pPr>
        <w:pStyle w:val="BodyText2"/>
        <w:spacing w:line="360" w:lineRule="auto"/>
        <w:ind w:firstLine="1440"/>
        <w:rPr>
          <w:sz w:val="26"/>
          <w:szCs w:val="26"/>
        </w:rPr>
      </w:pPr>
      <w:r>
        <w:rPr>
          <w:sz w:val="26"/>
          <w:szCs w:val="26"/>
        </w:rPr>
        <w:t>The Company argued that</w:t>
      </w:r>
      <w:r w:rsidR="00F5394E" w:rsidRPr="00EE5722">
        <w:rPr>
          <w:sz w:val="26"/>
          <w:szCs w:val="26"/>
        </w:rPr>
        <w:t xml:space="preserve"> its propo</w:t>
      </w:r>
      <w:r w:rsidR="00B05591">
        <w:rPr>
          <w:sz w:val="26"/>
          <w:szCs w:val="26"/>
        </w:rPr>
        <w:t>sal to have some back-to-back twelve</w:t>
      </w:r>
      <w:r w:rsidR="00F5394E" w:rsidRPr="00EE5722">
        <w:rPr>
          <w:sz w:val="26"/>
          <w:szCs w:val="26"/>
        </w:rPr>
        <w:t xml:space="preserve">-month products procured at the same time </w:t>
      </w:r>
      <w:r w:rsidR="001944C6">
        <w:rPr>
          <w:sz w:val="26"/>
          <w:szCs w:val="26"/>
        </w:rPr>
        <w:t>would</w:t>
      </w:r>
      <w:r w:rsidR="00F5394E" w:rsidRPr="00EE5722">
        <w:rPr>
          <w:sz w:val="26"/>
          <w:szCs w:val="26"/>
        </w:rPr>
        <w:t xml:space="preserve"> produce more market responsive rates than</w:t>
      </w:r>
      <w:r w:rsidR="0048466B">
        <w:rPr>
          <w:sz w:val="26"/>
          <w:szCs w:val="26"/>
        </w:rPr>
        <w:t xml:space="preserve"> would</w:t>
      </w:r>
      <w:r w:rsidR="00F5394E" w:rsidRPr="00EE5722">
        <w:rPr>
          <w:sz w:val="26"/>
          <w:szCs w:val="26"/>
        </w:rPr>
        <w:t xml:space="preserve"> </w:t>
      </w:r>
      <w:r w:rsidR="003C591F">
        <w:rPr>
          <w:sz w:val="26"/>
          <w:szCs w:val="26"/>
        </w:rPr>
        <w:t xml:space="preserve">the </w:t>
      </w:r>
      <w:r w:rsidR="00F5394E" w:rsidRPr="00EE5722">
        <w:rPr>
          <w:sz w:val="26"/>
          <w:szCs w:val="26"/>
        </w:rPr>
        <w:t>inclusion of two-year products, while providing a similar hedge against unexpected increases in energy prices.  The Company’s proposal</w:t>
      </w:r>
      <w:r w:rsidR="00B05591">
        <w:rPr>
          <w:sz w:val="26"/>
          <w:szCs w:val="26"/>
        </w:rPr>
        <w:t xml:space="preserve"> to procure some back-to-back twelve</w:t>
      </w:r>
      <w:r w:rsidR="00F5394E" w:rsidRPr="00EE5722">
        <w:rPr>
          <w:sz w:val="26"/>
          <w:szCs w:val="26"/>
        </w:rPr>
        <w:t xml:space="preserve">-month products at the same time balances </w:t>
      </w:r>
      <w:r>
        <w:rPr>
          <w:sz w:val="26"/>
          <w:szCs w:val="26"/>
        </w:rPr>
        <w:t xml:space="preserve">the </w:t>
      </w:r>
      <w:r w:rsidR="00F5394E" w:rsidRPr="00EE5722">
        <w:rPr>
          <w:sz w:val="26"/>
          <w:szCs w:val="26"/>
        </w:rPr>
        <w:t>OCA’s interest in hedging against uncertain future market price movements with two-year contracts and RESA’s interest in having more market r</w:t>
      </w:r>
      <w:r w:rsidR="009C04BD">
        <w:rPr>
          <w:sz w:val="26"/>
          <w:szCs w:val="26"/>
        </w:rPr>
        <w:t>esponsive rates.  Duquesne</w:t>
      </w:r>
      <w:r w:rsidR="00F5394E" w:rsidRPr="00EE5722">
        <w:rPr>
          <w:sz w:val="26"/>
          <w:szCs w:val="26"/>
        </w:rPr>
        <w:t>’s plan allows the PTC to reflect market energy and capacity prices in each year of the plan while providing a reasonable level of rate stability</w:t>
      </w:r>
      <w:r w:rsidR="009C04BD">
        <w:rPr>
          <w:sz w:val="26"/>
          <w:szCs w:val="26"/>
        </w:rPr>
        <w:t xml:space="preserve">.  Consequently, Duquesne </w:t>
      </w:r>
      <w:r>
        <w:rPr>
          <w:sz w:val="26"/>
          <w:szCs w:val="26"/>
        </w:rPr>
        <w:t>submitted that</w:t>
      </w:r>
      <w:r w:rsidR="00F5394E" w:rsidRPr="00EE5722">
        <w:rPr>
          <w:sz w:val="26"/>
          <w:szCs w:val="26"/>
        </w:rPr>
        <w:t xml:space="preserve"> its proposal should be approved.</w:t>
      </w:r>
    </w:p>
    <w:p w:rsidR="00F5394E" w:rsidRPr="00EE5722" w:rsidRDefault="00F5394E" w:rsidP="00F5394E">
      <w:pPr>
        <w:rPr>
          <w:sz w:val="26"/>
          <w:szCs w:val="26"/>
        </w:rPr>
      </w:pPr>
    </w:p>
    <w:p w:rsidR="00BE1713" w:rsidRPr="00EE5722" w:rsidRDefault="000B0447" w:rsidP="000B0447">
      <w:pPr>
        <w:pStyle w:val="Heading5"/>
        <w:numPr>
          <w:ilvl w:val="0"/>
          <w:numId w:val="0"/>
        </w:numPr>
        <w:ind w:left="3600" w:hanging="720"/>
      </w:pPr>
      <w:bookmarkStart w:id="26" w:name="_Toc346705269"/>
      <w:r>
        <w:t>ii.</w:t>
      </w:r>
      <w:r>
        <w:tab/>
      </w:r>
      <w:r w:rsidR="00F5394E" w:rsidRPr="00EE5722">
        <w:t>Position</w:t>
      </w:r>
      <w:r w:rsidR="00686F16">
        <w:t>s of the Parties</w:t>
      </w:r>
      <w:bookmarkEnd w:id="26"/>
    </w:p>
    <w:p w:rsidR="00F5394E" w:rsidRPr="00EE5722" w:rsidRDefault="00F5394E" w:rsidP="00F5394E">
      <w:pPr>
        <w:pStyle w:val="ListParagraph"/>
        <w:tabs>
          <w:tab w:val="left" w:pos="0"/>
        </w:tabs>
        <w:spacing w:line="360" w:lineRule="auto"/>
        <w:ind w:left="2880"/>
        <w:rPr>
          <w:sz w:val="26"/>
          <w:szCs w:val="26"/>
        </w:rPr>
      </w:pPr>
    </w:p>
    <w:p w:rsidR="00297E8C" w:rsidRPr="00EE5722" w:rsidRDefault="00297E8C" w:rsidP="00F5394E">
      <w:pPr>
        <w:tabs>
          <w:tab w:val="left" w:pos="0"/>
        </w:tabs>
        <w:spacing w:line="360" w:lineRule="auto"/>
        <w:rPr>
          <w:sz w:val="26"/>
          <w:szCs w:val="26"/>
        </w:rPr>
      </w:pPr>
      <w:r w:rsidRPr="00EE5722">
        <w:rPr>
          <w:sz w:val="26"/>
          <w:szCs w:val="26"/>
        </w:rPr>
        <w:tab/>
      </w:r>
      <w:r w:rsidRPr="00EE5722">
        <w:rPr>
          <w:sz w:val="26"/>
          <w:szCs w:val="26"/>
        </w:rPr>
        <w:tab/>
      </w:r>
      <w:r w:rsidR="00686F16">
        <w:rPr>
          <w:sz w:val="26"/>
          <w:szCs w:val="26"/>
        </w:rPr>
        <w:t xml:space="preserve">The </w:t>
      </w:r>
      <w:r w:rsidRPr="00EE5722">
        <w:rPr>
          <w:sz w:val="26"/>
          <w:szCs w:val="26"/>
        </w:rPr>
        <w:t xml:space="preserve">OCA </w:t>
      </w:r>
      <w:r w:rsidR="00686F16">
        <w:rPr>
          <w:sz w:val="26"/>
          <w:szCs w:val="26"/>
        </w:rPr>
        <w:t>contended</w:t>
      </w:r>
      <w:r w:rsidR="00306F27" w:rsidRPr="00EE5722">
        <w:rPr>
          <w:sz w:val="26"/>
          <w:szCs w:val="26"/>
        </w:rPr>
        <w:t xml:space="preserve"> that lad</w:t>
      </w:r>
      <w:r w:rsidRPr="00EE5722">
        <w:rPr>
          <w:sz w:val="26"/>
          <w:szCs w:val="26"/>
        </w:rPr>
        <w:t xml:space="preserve">dering contracts </w:t>
      </w:r>
      <w:r w:rsidR="00667EEC" w:rsidRPr="00EE5722">
        <w:rPr>
          <w:sz w:val="26"/>
          <w:szCs w:val="26"/>
        </w:rPr>
        <w:t xml:space="preserve">as </w:t>
      </w:r>
      <w:r w:rsidRPr="00EE5722">
        <w:rPr>
          <w:sz w:val="26"/>
          <w:szCs w:val="26"/>
        </w:rPr>
        <w:t xml:space="preserve">proposed is desirable </w:t>
      </w:r>
      <w:r w:rsidR="00306F27" w:rsidRPr="00EE5722">
        <w:rPr>
          <w:sz w:val="26"/>
          <w:szCs w:val="26"/>
        </w:rPr>
        <w:t>because</w:t>
      </w:r>
      <w:r w:rsidRPr="00EE5722">
        <w:rPr>
          <w:sz w:val="26"/>
          <w:szCs w:val="26"/>
        </w:rPr>
        <w:t xml:space="preserve"> it helps </w:t>
      </w:r>
      <w:r w:rsidR="00306F27" w:rsidRPr="00EE5722">
        <w:rPr>
          <w:sz w:val="26"/>
          <w:szCs w:val="26"/>
        </w:rPr>
        <w:t xml:space="preserve">to </w:t>
      </w:r>
      <w:r w:rsidR="00303DA5">
        <w:rPr>
          <w:sz w:val="26"/>
          <w:szCs w:val="26"/>
        </w:rPr>
        <w:t xml:space="preserve">manage the </w:t>
      </w:r>
      <w:r w:rsidRPr="00EE5722">
        <w:rPr>
          <w:sz w:val="26"/>
          <w:szCs w:val="26"/>
        </w:rPr>
        <w:t>p</w:t>
      </w:r>
      <w:r w:rsidR="00303DA5">
        <w:rPr>
          <w:sz w:val="26"/>
          <w:szCs w:val="26"/>
        </w:rPr>
        <w:t xml:space="preserve">rice risk faced by </w:t>
      </w:r>
      <w:r w:rsidR="003C591F">
        <w:rPr>
          <w:sz w:val="26"/>
          <w:szCs w:val="26"/>
        </w:rPr>
        <w:t>r</w:t>
      </w:r>
      <w:r w:rsidR="00303DA5">
        <w:rPr>
          <w:sz w:val="26"/>
          <w:szCs w:val="26"/>
        </w:rPr>
        <w:t>esidential default s</w:t>
      </w:r>
      <w:r w:rsidRPr="00EE5722">
        <w:rPr>
          <w:sz w:val="26"/>
          <w:szCs w:val="26"/>
        </w:rPr>
        <w:t>ervice customers</w:t>
      </w:r>
      <w:r w:rsidR="00306F27" w:rsidRPr="00EE5722">
        <w:rPr>
          <w:sz w:val="26"/>
          <w:szCs w:val="26"/>
        </w:rPr>
        <w:t xml:space="preserve">.  </w:t>
      </w:r>
      <w:r w:rsidR="00B05591">
        <w:rPr>
          <w:sz w:val="26"/>
          <w:szCs w:val="26"/>
        </w:rPr>
        <w:t>Therefore, t</w:t>
      </w:r>
      <w:r w:rsidR="00686F16">
        <w:rPr>
          <w:sz w:val="26"/>
          <w:szCs w:val="26"/>
        </w:rPr>
        <w:t>he OCA supported</w:t>
      </w:r>
      <w:r w:rsidRPr="00EE5722">
        <w:rPr>
          <w:sz w:val="26"/>
          <w:szCs w:val="26"/>
        </w:rPr>
        <w:t xml:space="preserve"> Duquesne’s procurement schedule</w:t>
      </w:r>
      <w:r w:rsidR="00F04B32">
        <w:rPr>
          <w:sz w:val="26"/>
          <w:szCs w:val="26"/>
        </w:rPr>
        <w:t>.</w:t>
      </w:r>
      <w:r w:rsidR="00B05591">
        <w:rPr>
          <w:sz w:val="26"/>
          <w:szCs w:val="26"/>
        </w:rPr>
        <w:t xml:space="preserve">  OCA St. 1 at 17.</w:t>
      </w:r>
    </w:p>
    <w:p w:rsidR="00BE1713" w:rsidRPr="00EE5722" w:rsidRDefault="00BE1713" w:rsidP="00F5394E">
      <w:pPr>
        <w:tabs>
          <w:tab w:val="left" w:pos="0"/>
        </w:tabs>
        <w:spacing w:line="360" w:lineRule="auto"/>
        <w:rPr>
          <w:sz w:val="26"/>
          <w:szCs w:val="26"/>
        </w:rPr>
      </w:pPr>
    </w:p>
    <w:p w:rsidR="00306F27" w:rsidRPr="00EE5722" w:rsidRDefault="00297E8C" w:rsidP="00F5394E">
      <w:pPr>
        <w:tabs>
          <w:tab w:val="left" w:pos="0"/>
        </w:tabs>
        <w:spacing w:line="360" w:lineRule="auto"/>
        <w:rPr>
          <w:sz w:val="26"/>
          <w:szCs w:val="26"/>
        </w:rPr>
      </w:pPr>
      <w:r w:rsidRPr="00EE5722">
        <w:rPr>
          <w:sz w:val="26"/>
          <w:szCs w:val="26"/>
        </w:rPr>
        <w:tab/>
      </w:r>
      <w:r w:rsidRPr="00EE5722">
        <w:rPr>
          <w:sz w:val="26"/>
          <w:szCs w:val="26"/>
        </w:rPr>
        <w:tab/>
      </w:r>
      <w:r w:rsidR="00686F16">
        <w:rPr>
          <w:sz w:val="26"/>
          <w:szCs w:val="26"/>
        </w:rPr>
        <w:t xml:space="preserve">The </w:t>
      </w:r>
      <w:r w:rsidRPr="00EE5722">
        <w:rPr>
          <w:sz w:val="26"/>
          <w:szCs w:val="26"/>
        </w:rPr>
        <w:t xml:space="preserve">OCA </w:t>
      </w:r>
      <w:r w:rsidR="00686F16">
        <w:rPr>
          <w:sz w:val="26"/>
          <w:szCs w:val="26"/>
        </w:rPr>
        <w:t>opined that</w:t>
      </w:r>
      <w:r w:rsidR="00B05591">
        <w:rPr>
          <w:sz w:val="26"/>
          <w:szCs w:val="26"/>
        </w:rPr>
        <w:t xml:space="preserve"> RESA’s proposal </w:t>
      </w:r>
      <w:r w:rsidR="00306F27" w:rsidRPr="00EE5722">
        <w:rPr>
          <w:sz w:val="26"/>
          <w:szCs w:val="26"/>
        </w:rPr>
        <w:t>for lea</w:t>
      </w:r>
      <w:r w:rsidR="00B05591">
        <w:rPr>
          <w:sz w:val="26"/>
          <w:szCs w:val="26"/>
        </w:rPr>
        <w:t xml:space="preserve">d times of two months or less </w:t>
      </w:r>
      <w:r w:rsidR="00306F27" w:rsidRPr="00EE5722">
        <w:rPr>
          <w:sz w:val="26"/>
          <w:szCs w:val="26"/>
        </w:rPr>
        <w:t>i</w:t>
      </w:r>
      <w:r w:rsidRPr="00EE5722">
        <w:rPr>
          <w:sz w:val="26"/>
          <w:szCs w:val="26"/>
        </w:rPr>
        <w:t xml:space="preserve">s not reasonable and </w:t>
      </w:r>
      <w:r w:rsidR="00A35470">
        <w:rPr>
          <w:sz w:val="26"/>
          <w:szCs w:val="26"/>
        </w:rPr>
        <w:t xml:space="preserve">would </w:t>
      </w:r>
      <w:r w:rsidRPr="00EE5722">
        <w:rPr>
          <w:sz w:val="26"/>
          <w:szCs w:val="26"/>
        </w:rPr>
        <w:t>expose</w:t>
      </w:r>
      <w:r w:rsidR="00B05591">
        <w:rPr>
          <w:sz w:val="26"/>
          <w:szCs w:val="26"/>
        </w:rPr>
        <w:t xml:space="preserve"> r</w:t>
      </w:r>
      <w:r w:rsidRPr="00EE5722">
        <w:rPr>
          <w:sz w:val="26"/>
          <w:szCs w:val="26"/>
        </w:rPr>
        <w:t>eside</w:t>
      </w:r>
      <w:r w:rsidR="00306F27" w:rsidRPr="00EE5722">
        <w:rPr>
          <w:sz w:val="26"/>
          <w:szCs w:val="26"/>
        </w:rPr>
        <w:t xml:space="preserve">ntial customers to greater risk because the proposal </w:t>
      </w:r>
      <w:r w:rsidR="00A35470">
        <w:rPr>
          <w:sz w:val="26"/>
          <w:szCs w:val="26"/>
        </w:rPr>
        <w:t>would</w:t>
      </w:r>
      <w:r w:rsidRPr="00EE5722">
        <w:rPr>
          <w:sz w:val="26"/>
          <w:szCs w:val="26"/>
        </w:rPr>
        <w:t xml:space="preserve"> not allow for diversity in the timing of the procurements</w:t>
      </w:r>
      <w:r w:rsidR="00306F27" w:rsidRPr="00EE5722">
        <w:rPr>
          <w:sz w:val="26"/>
          <w:szCs w:val="26"/>
        </w:rPr>
        <w:t xml:space="preserve">.  This approach </w:t>
      </w:r>
      <w:r w:rsidR="00A35470">
        <w:rPr>
          <w:sz w:val="26"/>
          <w:szCs w:val="26"/>
        </w:rPr>
        <w:lastRenderedPageBreak/>
        <w:t xml:space="preserve">would </w:t>
      </w:r>
      <w:r w:rsidR="00B05591">
        <w:rPr>
          <w:sz w:val="26"/>
          <w:szCs w:val="26"/>
        </w:rPr>
        <w:t>expose r</w:t>
      </w:r>
      <w:r w:rsidR="00A35470">
        <w:rPr>
          <w:sz w:val="26"/>
          <w:szCs w:val="26"/>
        </w:rPr>
        <w:t>esidential default s</w:t>
      </w:r>
      <w:r w:rsidRPr="00EE5722">
        <w:rPr>
          <w:sz w:val="26"/>
          <w:szCs w:val="26"/>
        </w:rPr>
        <w:t>ervice customers to more “market timing” risk than is necessary.  The schedule proposed by the Compa</w:t>
      </w:r>
      <w:r w:rsidR="00686F16">
        <w:rPr>
          <w:sz w:val="26"/>
          <w:szCs w:val="26"/>
        </w:rPr>
        <w:t xml:space="preserve">ny, which </w:t>
      </w:r>
      <w:r w:rsidR="003C591F">
        <w:rPr>
          <w:sz w:val="26"/>
          <w:szCs w:val="26"/>
        </w:rPr>
        <w:t xml:space="preserve">the </w:t>
      </w:r>
      <w:r w:rsidR="00686F16">
        <w:rPr>
          <w:sz w:val="26"/>
          <w:szCs w:val="26"/>
        </w:rPr>
        <w:t>OCA generally supported</w:t>
      </w:r>
      <w:r w:rsidR="00A35470">
        <w:rPr>
          <w:sz w:val="26"/>
          <w:szCs w:val="26"/>
        </w:rPr>
        <w:t>, would</w:t>
      </w:r>
      <w:r w:rsidRPr="00EE5722">
        <w:rPr>
          <w:sz w:val="26"/>
          <w:szCs w:val="26"/>
        </w:rPr>
        <w:t xml:space="preserve"> help to mitigate the “market timing” risk problem of having procurements that are too close together in time.</w:t>
      </w:r>
      <w:r w:rsidR="00306F27" w:rsidRPr="00EE5722">
        <w:rPr>
          <w:sz w:val="26"/>
          <w:szCs w:val="26"/>
        </w:rPr>
        <w:t xml:space="preserve">  </w:t>
      </w:r>
      <w:r w:rsidR="00F04B32">
        <w:rPr>
          <w:sz w:val="26"/>
          <w:szCs w:val="26"/>
        </w:rPr>
        <w:t>OCA St. 1-R at 4.</w:t>
      </w:r>
    </w:p>
    <w:p w:rsidR="00F5394E" w:rsidRPr="00EE5722" w:rsidRDefault="00306F27" w:rsidP="00A35470">
      <w:pPr>
        <w:tabs>
          <w:tab w:val="left" w:pos="0"/>
        </w:tabs>
        <w:spacing w:line="360" w:lineRule="auto"/>
        <w:rPr>
          <w:sz w:val="26"/>
          <w:szCs w:val="26"/>
        </w:rPr>
      </w:pPr>
      <w:r w:rsidRPr="00EE5722">
        <w:rPr>
          <w:sz w:val="26"/>
          <w:szCs w:val="26"/>
        </w:rPr>
        <w:tab/>
      </w:r>
    </w:p>
    <w:p w:rsidR="00E91B86" w:rsidRPr="00A23D0F" w:rsidRDefault="00297E8C" w:rsidP="00A23D0F">
      <w:pPr>
        <w:spacing w:line="360" w:lineRule="auto"/>
        <w:rPr>
          <w:sz w:val="26"/>
          <w:szCs w:val="26"/>
        </w:rPr>
      </w:pPr>
      <w:r w:rsidRPr="00EE5722">
        <w:t xml:space="preserve">  </w:t>
      </w:r>
      <w:r w:rsidR="00E91B86" w:rsidRPr="00EE5722">
        <w:tab/>
      </w:r>
      <w:r w:rsidR="00E91B86" w:rsidRPr="00A23D0F">
        <w:rPr>
          <w:sz w:val="26"/>
          <w:szCs w:val="26"/>
        </w:rPr>
        <w:t>RESA proposed a procurement plan that provides for lea</w:t>
      </w:r>
      <w:r w:rsidR="00B05591" w:rsidRPr="00A23D0F">
        <w:rPr>
          <w:sz w:val="26"/>
          <w:szCs w:val="26"/>
        </w:rPr>
        <w:t xml:space="preserve">d times of no more than two </w:t>
      </w:r>
      <w:r w:rsidR="00E91B86" w:rsidRPr="00A23D0F">
        <w:rPr>
          <w:sz w:val="26"/>
          <w:szCs w:val="26"/>
        </w:rPr>
        <w:t>months for each procurement,</w:t>
      </w:r>
      <w:r w:rsidR="00E91B86" w:rsidRPr="00A23D0F">
        <w:rPr>
          <w:sz w:val="26"/>
          <w:szCs w:val="26"/>
          <w:vertAlign w:val="superscript"/>
        </w:rPr>
        <w:footnoteReference w:id="16"/>
      </w:r>
      <w:r w:rsidR="00E91B86" w:rsidRPr="00A23D0F">
        <w:rPr>
          <w:sz w:val="26"/>
          <w:szCs w:val="26"/>
          <w:vertAlign w:val="superscript"/>
        </w:rPr>
        <w:t xml:space="preserve"> </w:t>
      </w:r>
      <w:r w:rsidR="00E91B86" w:rsidRPr="00A23D0F">
        <w:rPr>
          <w:sz w:val="26"/>
          <w:szCs w:val="26"/>
        </w:rPr>
        <w:t>in contrast to Duquesne’s proposal, in which some procurements are close in time to delivery and o</w:t>
      </w:r>
      <w:r w:rsidR="00B05591" w:rsidRPr="00A23D0F">
        <w:rPr>
          <w:sz w:val="26"/>
          <w:szCs w:val="26"/>
        </w:rPr>
        <w:t>thers have lag times of up to fourteen</w:t>
      </w:r>
      <w:r w:rsidR="00E91B86" w:rsidRPr="00A23D0F">
        <w:rPr>
          <w:sz w:val="26"/>
          <w:szCs w:val="26"/>
        </w:rPr>
        <w:t xml:space="preserve"> months.</w:t>
      </w:r>
      <w:r w:rsidR="00E91B86" w:rsidRPr="00A23D0F">
        <w:rPr>
          <w:sz w:val="26"/>
          <w:szCs w:val="26"/>
          <w:vertAlign w:val="superscript"/>
        </w:rPr>
        <w:footnoteReference w:id="17"/>
      </w:r>
      <w:r w:rsidR="00686F16" w:rsidRPr="00A23D0F">
        <w:rPr>
          <w:sz w:val="26"/>
          <w:szCs w:val="26"/>
        </w:rPr>
        <w:t xml:space="preserve">  RESA contended that</w:t>
      </w:r>
      <w:r w:rsidR="00E91B86" w:rsidRPr="00A23D0F">
        <w:rPr>
          <w:sz w:val="26"/>
          <w:szCs w:val="26"/>
        </w:rPr>
        <w:t xml:space="preserve"> its proposal for two-month l</w:t>
      </w:r>
      <w:r w:rsidR="00B05591" w:rsidRPr="00A23D0F">
        <w:rPr>
          <w:sz w:val="26"/>
          <w:szCs w:val="26"/>
        </w:rPr>
        <w:t>ead times would allow Duquesne seven</w:t>
      </w:r>
      <w:r w:rsidR="00E91B86" w:rsidRPr="00A23D0F">
        <w:rPr>
          <w:sz w:val="26"/>
          <w:szCs w:val="26"/>
        </w:rPr>
        <w:t xml:space="preserve"> to </w:t>
      </w:r>
      <w:r w:rsidR="00B05591" w:rsidRPr="00A23D0F">
        <w:rPr>
          <w:sz w:val="26"/>
          <w:szCs w:val="26"/>
        </w:rPr>
        <w:t>ten</w:t>
      </w:r>
      <w:r w:rsidR="00E91B86" w:rsidRPr="00A23D0F">
        <w:rPr>
          <w:sz w:val="26"/>
          <w:szCs w:val="26"/>
        </w:rPr>
        <w:t xml:space="preserve"> business days to ca</w:t>
      </w:r>
      <w:r w:rsidR="00A35470" w:rsidRPr="00A23D0F">
        <w:rPr>
          <w:sz w:val="26"/>
          <w:szCs w:val="26"/>
        </w:rPr>
        <w:t>lculate the new PTC</w:t>
      </w:r>
      <w:r w:rsidR="00E91B86" w:rsidRPr="00A23D0F">
        <w:rPr>
          <w:sz w:val="26"/>
          <w:szCs w:val="26"/>
        </w:rPr>
        <w:t>, and provide</w:t>
      </w:r>
      <w:r w:rsidR="00B05591" w:rsidRPr="00A23D0F">
        <w:rPr>
          <w:sz w:val="26"/>
          <w:szCs w:val="26"/>
        </w:rPr>
        <w:t xml:space="preserve"> EGSs forty-five</w:t>
      </w:r>
      <w:r w:rsidR="00E91B86" w:rsidRPr="00A23D0F">
        <w:rPr>
          <w:sz w:val="26"/>
          <w:szCs w:val="26"/>
        </w:rPr>
        <w:t xml:space="preserve"> days to adjust to the new PTC.</w:t>
      </w:r>
      <w:r w:rsidR="00E91B86" w:rsidRPr="00A23D0F">
        <w:rPr>
          <w:sz w:val="26"/>
          <w:szCs w:val="26"/>
          <w:vertAlign w:val="superscript"/>
        </w:rPr>
        <w:footnoteReference w:id="18"/>
      </w:r>
      <w:r w:rsidR="00686F16" w:rsidRPr="00A23D0F">
        <w:rPr>
          <w:sz w:val="26"/>
          <w:szCs w:val="26"/>
        </w:rPr>
        <w:t xml:space="preserve">  RESA argued that</w:t>
      </w:r>
      <w:r w:rsidR="00E91B86" w:rsidRPr="00A23D0F">
        <w:rPr>
          <w:sz w:val="26"/>
          <w:szCs w:val="26"/>
        </w:rPr>
        <w:t xml:space="preserve"> its proposal is designed to make de</w:t>
      </w:r>
      <w:r w:rsidR="00B05591" w:rsidRPr="00A23D0F">
        <w:rPr>
          <w:sz w:val="26"/>
          <w:szCs w:val="26"/>
        </w:rPr>
        <w:t xml:space="preserve">fault service rates more market </w:t>
      </w:r>
      <w:r w:rsidR="00E91B86" w:rsidRPr="00A23D0F">
        <w:rPr>
          <w:sz w:val="26"/>
          <w:szCs w:val="26"/>
        </w:rPr>
        <w:t>reflective to encourage retail competition and foster the availability of an array of electric power options for customers.  The longer the lag between procurement and delivery, the more likely the default service rate will not be market reflective.</w:t>
      </w:r>
      <w:r w:rsidR="00E91B86" w:rsidRPr="00A23D0F">
        <w:rPr>
          <w:sz w:val="26"/>
          <w:szCs w:val="26"/>
          <w:vertAlign w:val="superscript"/>
        </w:rPr>
        <w:footnoteReference w:id="19"/>
      </w:r>
    </w:p>
    <w:p w:rsidR="00346FF1" w:rsidRPr="00EE5722" w:rsidRDefault="00346FF1" w:rsidP="00A23D0F">
      <w:pPr>
        <w:pStyle w:val="Normal1"/>
      </w:pPr>
    </w:p>
    <w:p w:rsidR="00F12E23" w:rsidRPr="00A23D0F" w:rsidRDefault="00686F16" w:rsidP="00A23D0F">
      <w:pPr>
        <w:spacing w:line="360" w:lineRule="auto"/>
        <w:rPr>
          <w:sz w:val="26"/>
          <w:szCs w:val="26"/>
        </w:rPr>
      </w:pPr>
      <w:r>
        <w:t xml:space="preserve"> </w:t>
      </w:r>
      <w:r>
        <w:tab/>
      </w:r>
      <w:r w:rsidRPr="00A23D0F">
        <w:rPr>
          <w:sz w:val="26"/>
          <w:szCs w:val="26"/>
        </w:rPr>
        <w:t xml:space="preserve">Citizen Power argued that, by acquiring default service supply at different times for the same time period, Duquesne is trying to mitigate the risk of procuring all of its default supply at the peak of the market.  Duquesne took a similar approach in </w:t>
      </w:r>
      <w:r w:rsidR="00A35470" w:rsidRPr="00A23D0F">
        <w:rPr>
          <w:sz w:val="26"/>
          <w:szCs w:val="26"/>
        </w:rPr>
        <w:t>proposing to procure</w:t>
      </w:r>
      <w:r w:rsidRPr="00A23D0F">
        <w:rPr>
          <w:sz w:val="26"/>
          <w:szCs w:val="26"/>
        </w:rPr>
        <w:t xml:space="preserve"> its “overhang” procurement in April 2014 for the period June 2015 through May 2016, which necessarily will be combined with future procurements.  Citizen Power agreed with this approach, since it is consistent with the goal of procuring default service at the least cost over time. Specifically, the procurement of default service at only one point in time carries with it a risk that the resulting rate with be abnormally high because </w:t>
      </w:r>
      <w:r w:rsidRPr="00A23D0F">
        <w:rPr>
          <w:sz w:val="26"/>
          <w:szCs w:val="26"/>
        </w:rPr>
        <w:lastRenderedPageBreak/>
        <w:t>of poor market timing.  This is not to say that price at a certain point in time is not the “actual” or “market” price.  Instead, it is more an acknowledgement that the likelihood of obtaining a price that is a</w:t>
      </w:r>
      <w:r w:rsidR="00B05591" w:rsidRPr="00A23D0F">
        <w:rPr>
          <w:sz w:val="26"/>
          <w:szCs w:val="26"/>
        </w:rPr>
        <w:t>n outlier is greater if there is</w:t>
      </w:r>
      <w:r w:rsidRPr="00A23D0F">
        <w:rPr>
          <w:sz w:val="26"/>
          <w:szCs w:val="26"/>
        </w:rPr>
        <w:t xml:space="preserve"> one sample instead of two.  In order to meet the least cost standard, it is reasonable to attempt to reduce the chance of obtaining an outlying price by using more than one procurement date.</w:t>
      </w:r>
    </w:p>
    <w:p w:rsidR="00F12E23" w:rsidRPr="00EE5722" w:rsidRDefault="00F12E23" w:rsidP="00D24A77">
      <w:pPr>
        <w:pStyle w:val="BodyText"/>
        <w:spacing w:after="0" w:line="360" w:lineRule="auto"/>
        <w:ind w:left="360" w:firstLine="0"/>
        <w:rPr>
          <w:sz w:val="26"/>
          <w:szCs w:val="26"/>
        </w:rPr>
      </w:pPr>
    </w:p>
    <w:p w:rsidR="00F12E23" w:rsidRPr="00EE5722" w:rsidRDefault="00F12E23" w:rsidP="00B05591">
      <w:pPr>
        <w:pStyle w:val="BodyText2"/>
        <w:spacing w:after="0" w:line="360" w:lineRule="auto"/>
        <w:rPr>
          <w:sz w:val="26"/>
          <w:szCs w:val="26"/>
        </w:rPr>
      </w:pPr>
      <w:r w:rsidRPr="00EE5722">
        <w:rPr>
          <w:sz w:val="26"/>
          <w:szCs w:val="26"/>
        </w:rPr>
        <w:tab/>
      </w:r>
      <w:r w:rsidR="00E84FB5">
        <w:rPr>
          <w:sz w:val="26"/>
          <w:szCs w:val="26"/>
        </w:rPr>
        <w:t xml:space="preserve"> </w:t>
      </w:r>
      <w:r w:rsidR="00E84FB5">
        <w:rPr>
          <w:sz w:val="26"/>
          <w:szCs w:val="26"/>
        </w:rPr>
        <w:tab/>
        <w:t xml:space="preserve">The </w:t>
      </w:r>
      <w:r w:rsidRPr="00EE5722">
        <w:rPr>
          <w:sz w:val="26"/>
          <w:szCs w:val="26"/>
        </w:rPr>
        <w:t>OSBA</w:t>
      </w:r>
      <w:r w:rsidR="00E84FB5">
        <w:rPr>
          <w:sz w:val="26"/>
          <w:szCs w:val="26"/>
        </w:rPr>
        <w:t>, CAUSE, DII, Dominion, FES,</w:t>
      </w:r>
      <w:r w:rsidRPr="00EE5722">
        <w:rPr>
          <w:sz w:val="26"/>
          <w:szCs w:val="26"/>
        </w:rPr>
        <w:t xml:space="preserve"> </w:t>
      </w:r>
      <w:r w:rsidR="008F3443">
        <w:rPr>
          <w:sz w:val="26"/>
          <w:szCs w:val="26"/>
        </w:rPr>
        <w:t xml:space="preserve">and Constellation </w:t>
      </w:r>
      <w:r w:rsidR="00E84FB5">
        <w:rPr>
          <w:sz w:val="26"/>
          <w:szCs w:val="26"/>
        </w:rPr>
        <w:t xml:space="preserve">took no </w:t>
      </w:r>
      <w:r w:rsidRPr="00EE5722">
        <w:rPr>
          <w:sz w:val="26"/>
          <w:szCs w:val="26"/>
        </w:rPr>
        <w:t>position on this issue.</w:t>
      </w:r>
    </w:p>
    <w:p w:rsidR="00E00915" w:rsidRDefault="00E00915" w:rsidP="006D07BB">
      <w:pPr>
        <w:pStyle w:val="Normal1"/>
      </w:pPr>
    </w:p>
    <w:p w:rsidR="004A6054" w:rsidRDefault="00115AB3" w:rsidP="00115AB3">
      <w:pPr>
        <w:pStyle w:val="Heading5"/>
        <w:numPr>
          <w:ilvl w:val="0"/>
          <w:numId w:val="0"/>
        </w:numPr>
        <w:ind w:left="2880"/>
      </w:pPr>
      <w:bookmarkStart w:id="27" w:name="_Toc346705270"/>
      <w:r>
        <w:t>iii.</w:t>
      </w:r>
      <w:r>
        <w:tab/>
      </w:r>
      <w:r w:rsidR="00F30B79" w:rsidRPr="00B05591">
        <w:t>ALJ’s Recommendation</w:t>
      </w:r>
      <w:bookmarkEnd w:id="27"/>
      <w:r w:rsidR="001F6751" w:rsidRPr="00B05591">
        <w:t xml:space="preserve"> </w:t>
      </w:r>
    </w:p>
    <w:p w:rsidR="00B05591" w:rsidRPr="00B05591" w:rsidRDefault="00B05591" w:rsidP="006D07BB">
      <w:pPr>
        <w:pStyle w:val="Normal1"/>
      </w:pPr>
    </w:p>
    <w:p w:rsidR="008F2A6C" w:rsidRPr="00B05591" w:rsidRDefault="00F30B79" w:rsidP="00302EFD">
      <w:pPr>
        <w:pStyle w:val="PlainText"/>
        <w:spacing w:line="360" w:lineRule="auto"/>
        <w:ind w:firstLine="1440"/>
        <w:rPr>
          <w:rFonts w:ascii="Times New Roman" w:hAnsi="Times New Roman"/>
          <w:sz w:val="26"/>
          <w:szCs w:val="26"/>
        </w:rPr>
      </w:pPr>
      <w:r>
        <w:rPr>
          <w:rFonts w:ascii="Times New Roman" w:hAnsi="Times New Roman"/>
          <w:sz w:val="26"/>
          <w:szCs w:val="26"/>
        </w:rPr>
        <w:t xml:space="preserve">The ALJ </w:t>
      </w:r>
      <w:r w:rsidR="008F2A6C" w:rsidRPr="00EE5722">
        <w:rPr>
          <w:rFonts w:ascii="Times New Roman" w:hAnsi="Times New Roman"/>
          <w:sz w:val="26"/>
          <w:szCs w:val="26"/>
        </w:rPr>
        <w:t>reco</w:t>
      </w:r>
      <w:r w:rsidR="009C04BD">
        <w:rPr>
          <w:rFonts w:ascii="Times New Roman" w:hAnsi="Times New Roman"/>
          <w:sz w:val="26"/>
          <w:szCs w:val="26"/>
        </w:rPr>
        <w:t>mmend</w:t>
      </w:r>
      <w:r>
        <w:rPr>
          <w:rFonts w:ascii="Times New Roman" w:hAnsi="Times New Roman"/>
          <w:sz w:val="26"/>
          <w:szCs w:val="26"/>
        </w:rPr>
        <w:t>ed</w:t>
      </w:r>
      <w:r w:rsidR="009C04BD">
        <w:rPr>
          <w:rFonts w:ascii="Times New Roman" w:hAnsi="Times New Roman"/>
          <w:sz w:val="26"/>
          <w:szCs w:val="26"/>
        </w:rPr>
        <w:t xml:space="preserve"> approval of Duquesne</w:t>
      </w:r>
      <w:r w:rsidR="008F2A6C" w:rsidRPr="00EE5722">
        <w:rPr>
          <w:rFonts w:ascii="Times New Roman" w:hAnsi="Times New Roman"/>
          <w:sz w:val="26"/>
          <w:szCs w:val="26"/>
        </w:rPr>
        <w:t>’s proposal to have back-to-back twelve-month products procured at the same time, and reject</w:t>
      </w:r>
      <w:r w:rsidR="006E035E" w:rsidRPr="00EE5722">
        <w:rPr>
          <w:rFonts w:ascii="Times New Roman" w:hAnsi="Times New Roman"/>
          <w:sz w:val="26"/>
          <w:szCs w:val="26"/>
        </w:rPr>
        <w:t>ion of</w:t>
      </w:r>
      <w:r w:rsidR="00A35470">
        <w:rPr>
          <w:rFonts w:ascii="Times New Roman" w:hAnsi="Times New Roman"/>
          <w:sz w:val="26"/>
          <w:szCs w:val="26"/>
        </w:rPr>
        <w:t xml:space="preserve"> RESA’s proposal to shorten</w:t>
      </w:r>
      <w:r w:rsidR="008F2A6C" w:rsidRPr="00EE5722">
        <w:rPr>
          <w:rFonts w:ascii="Times New Roman" w:hAnsi="Times New Roman"/>
          <w:sz w:val="26"/>
          <w:szCs w:val="26"/>
        </w:rPr>
        <w:t xml:space="preserve"> the time between procurement and the sta</w:t>
      </w:r>
      <w:r w:rsidR="00A35470">
        <w:rPr>
          <w:rFonts w:ascii="Times New Roman" w:hAnsi="Times New Roman"/>
          <w:sz w:val="26"/>
          <w:szCs w:val="26"/>
        </w:rPr>
        <w:t xml:space="preserve">rt of the delivery period to </w:t>
      </w:r>
      <w:r w:rsidR="00B05591">
        <w:rPr>
          <w:rFonts w:ascii="Times New Roman" w:hAnsi="Times New Roman"/>
          <w:sz w:val="26"/>
          <w:szCs w:val="26"/>
        </w:rPr>
        <w:t>no more than sixty</w:t>
      </w:r>
      <w:r w:rsidR="008F2A6C" w:rsidRPr="00EE5722">
        <w:rPr>
          <w:rFonts w:ascii="Times New Roman" w:hAnsi="Times New Roman"/>
          <w:sz w:val="26"/>
          <w:szCs w:val="26"/>
        </w:rPr>
        <w:t xml:space="preserve"> days.  The </w:t>
      </w:r>
      <w:r>
        <w:rPr>
          <w:rFonts w:ascii="Times New Roman" w:hAnsi="Times New Roman"/>
          <w:sz w:val="26"/>
          <w:szCs w:val="26"/>
        </w:rPr>
        <w:t xml:space="preserve">ALJ concluded that the </w:t>
      </w:r>
      <w:r w:rsidR="008F2A6C" w:rsidRPr="00EE5722">
        <w:rPr>
          <w:rFonts w:ascii="Times New Roman" w:hAnsi="Times New Roman"/>
          <w:sz w:val="26"/>
          <w:szCs w:val="26"/>
        </w:rPr>
        <w:t>Company’s proposal balances the need for more mark</w:t>
      </w:r>
      <w:r w:rsidR="00A35470">
        <w:rPr>
          <w:rFonts w:ascii="Times New Roman" w:hAnsi="Times New Roman"/>
          <w:sz w:val="26"/>
          <w:szCs w:val="26"/>
        </w:rPr>
        <w:t xml:space="preserve">et responsive rates with the need to provide </w:t>
      </w:r>
      <w:r w:rsidR="008F2A6C" w:rsidRPr="00EE5722">
        <w:rPr>
          <w:rFonts w:ascii="Times New Roman" w:hAnsi="Times New Roman"/>
          <w:sz w:val="26"/>
          <w:szCs w:val="26"/>
        </w:rPr>
        <w:t xml:space="preserve">a hedge against unexpected energy price increases.  </w:t>
      </w:r>
      <w:r w:rsidR="00B05591">
        <w:rPr>
          <w:rFonts w:ascii="Times New Roman" w:hAnsi="Times New Roman"/>
          <w:sz w:val="26"/>
          <w:szCs w:val="26"/>
        </w:rPr>
        <w:t>The ALJ found that t</w:t>
      </w:r>
      <w:r w:rsidR="008F2A6C" w:rsidRPr="00EE5722">
        <w:rPr>
          <w:rFonts w:ascii="Times New Roman" w:hAnsi="Times New Roman"/>
          <w:sz w:val="26"/>
          <w:szCs w:val="26"/>
        </w:rPr>
        <w:t>his balance allows the PTC to reflect</w:t>
      </w:r>
      <w:r w:rsidR="00A35470">
        <w:rPr>
          <w:rFonts w:ascii="Times New Roman" w:hAnsi="Times New Roman"/>
          <w:sz w:val="26"/>
          <w:szCs w:val="26"/>
        </w:rPr>
        <w:t xml:space="preserve"> the market prices in each year of the DSP</w:t>
      </w:r>
      <w:r w:rsidR="008F2A6C" w:rsidRPr="00EE5722">
        <w:rPr>
          <w:rFonts w:ascii="Times New Roman" w:hAnsi="Times New Roman"/>
          <w:sz w:val="26"/>
          <w:szCs w:val="26"/>
        </w:rPr>
        <w:t xml:space="preserve"> while providing a reaso</w:t>
      </w:r>
      <w:r w:rsidR="00F04B32">
        <w:rPr>
          <w:rFonts w:ascii="Times New Roman" w:hAnsi="Times New Roman"/>
          <w:sz w:val="26"/>
          <w:szCs w:val="26"/>
        </w:rPr>
        <w:t>nable level of rate stability.</w:t>
      </w:r>
      <w:r w:rsidR="00B05591">
        <w:rPr>
          <w:rFonts w:ascii="Times New Roman" w:hAnsi="Times New Roman"/>
          <w:sz w:val="26"/>
          <w:szCs w:val="26"/>
        </w:rPr>
        <w:t xml:space="preserve">  R.D. at 33-34.</w:t>
      </w:r>
    </w:p>
    <w:p w:rsidR="00F30B79" w:rsidRDefault="00F30B79" w:rsidP="005D3B49">
      <w:pPr>
        <w:pStyle w:val="PlainText"/>
        <w:spacing w:line="360" w:lineRule="auto"/>
        <w:ind w:firstLine="1440"/>
        <w:rPr>
          <w:rFonts w:ascii="Times New Roman" w:hAnsi="Times New Roman"/>
          <w:sz w:val="26"/>
          <w:szCs w:val="26"/>
        </w:rPr>
      </w:pPr>
    </w:p>
    <w:p w:rsidR="00F30B79" w:rsidRPr="00696483" w:rsidRDefault="003B259B" w:rsidP="003B259B">
      <w:pPr>
        <w:pStyle w:val="Heading5"/>
        <w:numPr>
          <w:ilvl w:val="0"/>
          <w:numId w:val="0"/>
        </w:numPr>
        <w:ind w:left="3600" w:hanging="720"/>
      </w:pPr>
      <w:bookmarkStart w:id="28" w:name="_Toc346705271"/>
      <w:r>
        <w:t>iv.</w:t>
      </w:r>
      <w:r>
        <w:tab/>
      </w:r>
      <w:r w:rsidR="00F30B79" w:rsidRPr="00696483">
        <w:t>Exceptions</w:t>
      </w:r>
      <w:bookmarkEnd w:id="28"/>
    </w:p>
    <w:p w:rsidR="00696483" w:rsidRDefault="00696483" w:rsidP="00E97355">
      <w:pPr>
        <w:pStyle w:val="PlainText"/>
        <w:spacing w:line="360" w:lineRule="auto"/>
        <w:rPr>
          <w:rFonts w:ascii="Times New Roman" w:hAnsi="Times New Roman"/>
          <w:sz w:val="26"/>
          <w:szCs w:val="26"/>
        </w:rPr>
      </w:pPr>
    </w:p>
    <w:p w:rsidR="00A72BA4" w:rsidRPr="00A23D0F" w:rsidRDefault="00696483" w:rsidP="00A23D0F">
      <w:pPr>
        <w:spacing w:line="360" w:lineRule="auto"/>
        <w:rPr>
          <w:sz w:val="26"/>
          <w:szCs w:val="26"/>
        </w:rPr>
      </w:pPr>
      <w:r>
        <w:t xml:space="preserve"> </w:t>
      </w:r>
      <w:r>
        <w:tab/>
      </w:r>
      <w:r w:rsidR="00A35470" w:rsidRPr="00A23D0F">
        <w:rPr>
          <w:sz w:val="26"/>
          <w:szCs w:val="26"/>
        </w:rPr>
        <w:t xml:space="preserve">In its Exceptions, </w:t>
      </w:r>
      <w:r w:rsidRPr="00A23D0F">
        <w:rPr>
          <w:sz w:val="26"/>
          <w:szCs w:val="26"/>
        </w:rPr>
        <w:t xml:space="preserve">RESA argues that the ALJ erred in approving Duquesne’s </w:t>
      </w:r>
      <w:r w:rsidR="005D3B49" w:rsidRPr="00A23D0F">
        <w:rPr>
          <w:sz w:val="26"/>
          <w:szCs w:val="26"/>
        </w:rPr>
        <w:t>proposal to have back-to-back twelve</w:t>
      </w:r>
      <w:r w:rsidRPr="00A23D0F">
        <w:rPr>
          <w:sz w:val="26"/>
          <w:szCs w:val="26"/>
        </w:rPr>
        <w:t xml:space="preserve">-month residential products procured at the same time, and in rejecting RESA’s proposal to shorten the </w:t>
      </w:r>
      <w:r w:rsidR="00A35470" w:rsidRPr="00A23D0F">
        <w:rPr>
          <w:sz w:val="26"/>
          <w:szCs w:val="26"/>
        </w:rPr>
        <w:t xml:space="preserve">procurement lead time to </w:t>
      </w:r>
      <w:r w:rsidR="005D3B49" w:rsidRPr="00A23D0F">
        <w:rPr>
          <w:sz w:val="26"/>
          <w:szCs w:val="26"/>
        </w:rPr>
        <w:t>sixty</w:t>
      </w:r>
      <w:r w:rsidRPr="00A23D0F">
        <w:rPr>
          <w:sz w:val="26"/>
          <w:szCs w:val="26"/>
        </w:rPr>
        <w:t xml:space="preserve"> days.  </w:t>
      </w:r>
      <w:r w:rsidR="00F81312" w:rsidRPr="00A23D0F">
        <w:rPr>
          <w:sz w:val="26"/>
          <w:szCs w:val="26"/>
        </w:rPr>
        <w:t xml:space="preserve">RESA states that </w:t>
      </w:r>
      <w:r w:rsidR="00A72BA4" w:rsidRPr="00A23D0F">
        <w:rPr>
          <w:sz w:val="26"/>
          <w:szCs w:val="26"/>
        </w:rPr>
        <w:t>Duquesne</w:t>
      </w:r>
      <w:r w:rsidR="00F81312" w:rsidRPr="00A23D0F">
        <w:rPr>
          <w:sz w:val="26"/>
          <w:szCs w:val="26"/>
        </w:rPr>
        <w:t xml:space="preserve">’s proposed procurement schedule </w:t>
      </w:r>
      <w:r w:rsidR="00A72BA4" w:rsidRPr="00A23D0F">
        <w:rPr>
          <w:sz w:val="26"/>
          <w:szCs w:val="26"/>
        </w:rPr>
        <w:t>includes at least</w:t>
      </w:r>
      <w:r w:rsidR="00F81312" w:rsidRPr="00A23D0F">
        <w:rPr>
          <w:sz w:val="26"/>
          <w:szCs w:val="26"/>
        </w:rPr>
        <w:t xml:space="preserve"> two </w:t>
      </w:r>
      <w:r w:rsidR="00F81312" w:rsidRPr="00A23D0F">
        <w:rPr>
          <w:sz w:val="26"/>
          <w:szCs w:val="26"/>
        </w:rPr>
        <w:lastRenderedPageBreak/>
        <w:t>contracts procured fourteen</w:t>
      </w:r>
      <w:r w:rsidR="00A72BA4" w:rsidRPr="00A23D0F">
        <w:rPr>
          <w:sz w:val="26"/>
          <w:szCs w:val="26"/>
        </w:rPr>
        <w:t xml:space="preserve"> months in advance of delivery.</w:t>
      </w:r>
      <w:r w:rsidR="00A72BA4" w:rsidRPr="00A23D0F">
        <w:rPr>
          <w:sz w:val="26"/>
          <w:szCs w:val="26"/>
          <w:vertAlign w:val="superscript"/>
        </w:rPr>
        <w:footnoteReference w:id="20"/>
      </w:r>
      <w:r w:rsidR="00A35470" w:rsidRPr="00A23D0F">
        <w:rPr>
          <w:sz w:val="26"/>
          <w:szCs w:val="26"/>
          <w:vertAlign w:val="superscript"/>
        </w:rPr>
        <w:t xml:space="preserve"> </w:t>
      </w:r>
      <w:r w:rsidR="00A35470" w:rsidRPr="00A23D0F">
        <w:rPr>
          <w:sz w:val="26"/>
          <w:szCs w:val="26"/>
        </w:rPr>
        <w:t xml:space="preserve"> RESA proposed a </w:t>
      </w:r>
      <w:r w:rsidR="00A72BA4" w:rsidRPr="00A23D0F">
        <w:rPr>
          <w:sz w:val="26"/>
          <w:szCs w:val="26"/>
        </w:rPr>
        <w:t xml:space="preserve">plan that provides for </w:t>
      </w:r>
      <w:r w:rsidR="00A35470" w:rsidRPr="00A23D0F">
        <w:rPr>
          <w:sz w:val="26"/>
          <w:szCs w:val="26"/>
        </w:rPr>
        <w:t xml:space="preserve">procurement </w:t>
      </w:r>
      <w:r w:rsidR="00A72BA4" w:rsidRPr="00A23D0F">
        <w:rPr>
          <w:sz w:val="26"/>
          <w:szCs w:val="26"/>
        </w:rPr>
        <w:t>lea</w:t>
      </w:r>
      <w:r w:rsidR="00A35470" w:rsidRPr="00A23D0F">
        <w:rPr>
          <w:sz w:val="26"/>
          <w:szCs w:val="26"/>
        </w:rPr>
        <w:t>d times of no more than two months</w:t>
      </w:r>
      <w:r w:rsidR="00A72BA4" w:rsidRPr="00A23D0F">
        <w:rPr>
          <w:sz w:val="26"/>
          <w:szCs w:val="26"/>
        </w:rPr>
        <w:t>.</w:t>
      </w:r>
      <w:r w:rsidR="00A72BA4" w:rsidRPr="00A23D0F">
        <w:rPr>
          <w:sz w:val="26"/>
          <w:szCs w:val="26"/>
          <w:vertAlign w:val="superscript"/>
        </w:rPr>
        <w:footnoteReference w:id="21"/>
      </w:r>
      <w:r w:rsidR="00A72BA4" w:rsidRPr="00A23D0F">
        <w:rPr>
          <w:sz w:val="26"/>
          <w:szCs w:val="26"/>
        </w:rPr>
        <w:t xml:space="preserve">  </w:t>
      </w:r>
      <w:r w:rsidR="00F81312" w:rsidRPr="00A23D0F">
        <w:rPr>
          <w:sz w:val="26"/>
          <w:szCs w:val="26"/>
        </w:rPr>
        <w:t>RESA avers that the ALJ mistakenly determined</w:t>
      </w:r>
      <w:r w:rsidR="00302EFD" w:rsidRPr="00A23D0F">
        <w:rPr>
          <w:sz w:val="26"/>
          <w:szCs w:val="26"/>
        </w:rPr>
        <w:t xml:space="preserve"> that procuring back-to-back twelve</w:t>
      </w:r>
      <w:r w:rsidR="00A72BA4" w:rsidRPr="00A23D0F">
        <w:rPr>
          <w:sz w:val="26"/>
          <w:szCs w:val="26"/>
        </w:rPr>
        <w:t>-month products at the same time properly balances the need for market responsive rates while still providing customers with a hedge against unexpected energy price increases.</w:t>
      </w:r>
      <w:r w:rsidR="00A72BA4" w:rsidRPr="00A23D0F">
        <w:rPr>
          <w:vertAlign w:val="superscript"/>
        </w:rPr>
        <w:footnoteReference w:id="22"/>
      </w:r>
      <w:r w:rsidR="00F81312" w:rsidRPr="00A23D0F">
        <w:rPr>
          <w:sz w:val="26"/>
          <w:szCs w:val="26"/>
        </w:rPr>
        <w:t xml:space="preserve">  RESA submits that t</w:t>
      </w:r>
      <w:r w:rsidR="00A72BA4" w:rsidRPr="00A23D0F">
        <w:rPr>
          <w:sz w:val="26"/>
          <w:szCs w:val="26"/>
        </w:rPr>
        <w:t>he ALJ’s recommendation is inconsistent with the record evi</w:t>
      </w:r>
      <w:r w:rsidR="00F04B32" w:rsidRPr="00A23D0F">
        <w:rPr>
          <w:sz w:val="26"/>
          <w:szCs w:val="26"/>
        </w:rPr>
        <w:t>dence and Commission precedent.</w:t>
      </w:r>
      <w:r w:rsidR="00302EFD" w:rsidRPr="00A23D0F">
        <w:rPr>
          <w:sz w:val="26"/>
          <w:szCs w:val="26"/>
        </w:rPr>
        <w:t xml:space="preserve">  RESA Exc. at 9-11.  </w:t>
      </w:r>
    </w:p>
    <w:p w:rsidR="00E97355" w:rsidRPr="00A72BA4" w:rsidRDefault="00E97355" w:rsidP="006D07BB">
      <w:pPr>
        <w:pStyle w:val="Normal1"/>
      </w:pPr>
    </w:p>
    <w:p w:rsidR="00A72BA4" w:rsidRPr="00A23D0F" w:rsidRDefault="00E97355" w:rsidP="00A23D0F">
      <w:pPr>
        <w:spacing w:line="360" w:lineRule="auto"/>
        <w:rPr>
          <w:sz w:val="26"/>
          <w:szCs w:val="26"/>
        </w:rPr>
      </w:pPr>
      <w:r>
        <w:t xml:space="preserve"> </w:t>
      </w:r>
      <w:r w:rsidRPr="00A23D0F">
        <w:rPr>
          <w:sz w:val="26"/>
          <w:szCs w:val="26"/>
        </w:rPr>
        <w:tab/>
      </w:r>
      <w:r w:rsidR="00F81312" w:rsidRPr="00A23D0F">
        <w:rPr>
          <w:sz w:val="26"/>
          <w:szCs w:val="26"/>
        </w:rPr>
        <w:t>RESA submits that its</w:t>
      </w:r>
      <w:r w:rsidR="00A72BA4" w:rsidRPr="00A23D0F">
        <w:rPr>
          <w:sz w:val="26"/>
          <w:szCs w:val="26"/>
        </w:rPr>
        <w:t xml:space="preserve"> proposal is consistent with the </w:t>
      </w:r>
      <w:r w:rsidR="00F81312" w:rsidRPr="00A23D0F">
        <w:rPr>
          <w:sz w:val="26"/>
          <w:szCs w:val="26"/>
        </w:rPr>
        <w:t>FirstEnergy DSP</w:t>
      </w:r>
      <w:r w:rsidR="00A72BA4" w:rsidRPr="00A23D0F">
        <w:rPr>
          <w:sz w:val="26"/>
          <w:szCs w:val="26"/>
        </w:rPr>
        <w:t xml:space="preserve"> Order, in which the Commission reaffirmed the benefits of shorter procurement lead times, </w:t>
      </w:r>
      <w:r w:rsidR="00F81312" w:rsidRPr="00A23D0F">
        <w:rPr>
          <w:sz w:val="26"/>
          <w:szCs w:val="26"/>
        </w:rPr>
        <w:t>and stated</w:t>
      </w:r>
      <w:r w:rsidR="00A72BA4" w:rsidRPr="00A23D0F">
        <w:rPr>
          <w:sz w:val="26"/>
          <w:szCs w:val="26"/>
        </w:rPr>
        <w:t xml:space="preserve"> that, “[w]e concur with RESA that shortening the procurement lag time will increase the probability that default service rates are more reflective of current market rates.”</w:t>
      </w:r>
      <w:r w:rsidR="00A72BA4" w:rsidRPr="00A23D0F">
        <w:rPr>
          <w:sz w:val="26"/>
          <w:szCs w:val="26"/>
          <w:vertAlign w:val="superscript"/>
        </w:rPr>
        <w:footnoteReference w:id="23"/>
      </w:r>
      <w:r w:rsidR="00A72BA4" w:rsidRPr="00A23D0F">
        <w:rPr>
          <w:sz w:val="26"/>
          <w:szCs w:val="26"/>
        </w:rPr>
        <w:t xml:space="preserve">  Consistent with</w:t>
      </w:r>
      <w:r w:rsidR="00F81312" w:rsidRPr="00A23D0F">
        <w:rPr>
          <w:sz w:val="26"/>
          <w:szCs w:val="26"/>
        </w:rPr>
        <w:t xml:space="preserve"> the</w:t>
      </w:r>
      <w:r w:rsidR="00A72BA4" w:rsidRPr="00A23D0F">
        <w:rPr>
          <w:sz w:val="26"/>
          <w:szCs w:val="26"/>
        </w:rPr>
        <w:t xml:space="preserve"> </w:t>
      </w:r>
      <w:r w:rsidR="00F81312" w:rsidRPr="00A23D0F">
        <w:rPr>
          <w:sz w:val="26"/>
          <w:szCs w:val="26"/>
        </w:rPr>
        <w:t>FirstEnergy DSP Order</w:t>
      </w:r>
      <w:r w:rsidR="00A72BA4" w:rsidRPr="00A23D0F">
        <w:rPr>
          <w:sz w:val="26"/>
          <w:szCs w:val="26"/>
        </w:rPr>
        <w:t>, RESA testified in this case that the longer the lag between procurement a</w:t>
      </w:r>
      <w:r w:rsidR="00F81312" w:rsidRPr="00A23D0F">
        <w:rPr>
          <w:sz w:val="26"/>
          <w:szCs w:val="26"/>
        </w:rPr>
        <w:t>nd delivery, the more likely a</w:t>
      </w:r>
      <w:r w:rsidR="00A72BA4" w:rsidRPr="00A23D0F">
        <w:rPr>
          <w:sz w:val="26"/>
          <w:szCs w:val="26"/>
        </w:rPr>
        <w:t xml:space="preserve"> default service rate will not be market reflective.</w:t>
      </w:r>
      <w:r w:rsidR="00A72BA4" w:rsidRPr="00A23D0F">
        <w:rPr>
          <w:sz w:val="26"/>
          <w:szCs w:val="26"/>
          <w:vertAlign w:val="superscript"/>
        </w:rPr>
        <w:footnoteReference w:id="24"/>
      </w:r>
      <w:r w:rsidR="00F81312" w:rsidRPr="00A23D0F">
        <w:rPr>
          <w:sz w:val="26"/>
          <w:szCs w:val="26"/>
        </w:rPr>
        <w:t xml:space="preserve">  RESA disagrees with </w:t>
      </w:r>
      <w:r w:rsidR="00A72BA4" w:rsidRPr="00A23D0F">
        <w:rPr>
          <w:sz w:val="26"/>
          <w:szCs w:val="26"/>
        </w:rPr>
        <w:t>Duquesne</w:t>
      </w:r>
      <w:r w:rsidR="00F81312" w:rsidRPr="00A23D0F">
        <w:rPr>
          <w:sz w:val="26"/>
          <w:szCs w:val="26"/>
        </w:rPr>
        <w:t xml:space="preserve">’s </w:t>
      </w:r>
      <w:r w:rsidR="00302EFD" w:rsidRPr="00A23D0F">
        <w:rPr>
          <w:sz w:val="26"/>
          <w:szCs w:val="26"/>
        </w:rPr>
        <w:t>argument that procurements fourteen</w:t>
      </w:r>
      <w:r w:rsidR="00A72BA4" w:rsidRPr="00A23D0F">
        <w:rPr>
          <w:sz w:val="26"/>
          <w:szCs w:val="26"/>
        </w:rPr>
        <w:t xml:space="preserve"> months pri</w:t>
      </w:r>
      <w:r w:rsidR="00F81312" w:rsidRPr="00A23D0F">
        <w:rPr>
          <w:sz w:val="26"/>
          <w:szCs w:val="26"/>
        </w:rPr>
        <w:t xml:space="preserve">or to delivery will </w:t>
      </w:r>
      <w:r w:rsidR="00A72BA4" w:rsidRPr="00A23D0F">
        <w:rPr>
          <w:sz w:val="26"/>
          <w:szCs w:val="26"/>
        </w:rPr>
        <w:t>result in default service rates in each year that will “better</w:t>
      </w:r>
      <w:r w:rsidR="00A72BA4" w:rsidRPr="00A72BA4">
        <w:t xml:space="preserve"> </w:t>
      </w:r>
      <w:r w:rsidR="00A72BA4" w:rsidRPr="00A23D0F">
        <w:rPr>
          <w:sz w:val="26"/>
          <w:szCs w:val="26"/>
        </w:rPr>
        <w:t>reflect contemporaneous market prices….”</w:t>
      </w:r>
      <w:r w:rsidR="00A72BA4" w:rsidRPr="00A23D0F">
        <w:rPr>
          <w:sz w:val="26"/>
          <w:szCs w:val="26"/>
          <w:vertAlign w:val="superscript"/>
        </w:rPr>
        <w:footnoteReference w:id="25"/>
      </w:r>
      <w:r w:rsidR="00F81312" w:rsidRPr="00A23D0F">
        <w:rPr>
          <w:sz w:val="26"/>
          <w:szCs w:val="26"/>
        </w:rPr>
        <w:t xml:space="preserve">  RESA asserts that there is no </w:t>
      </w:r>
      <w:r w:rsidR="00A72BA4" w:rsidRPr="00A23D0F">
        <w:rPr>
          <w:sz w:val="26"/>
          <w:szCs w:val="26"/>
        </w:rPr>
        <w:t xml:space="preserve">way of knowing what prices </w:t>
      </w:r>
      <w:r w:rsidR="00302EFD" w:rsidRPr="00A23D0F">
        <w:rPr>
          <w:sz w:val="26"/>
          <w:szCs w:val="26"/>
        </w:rPr>
        <w:t>will be fourteen</w:t>
      </w:r>
      <w:r w:rsidR="00F81312" w:rsidRPr="00A23D0F">
        <w:rPr>
          <w:sz w:val="26"/>
          <w:szCs w:val="26"/>
        </w:rPr>
        <w:t xml:space="preserve"> months in advance; </w:t>
      </w:r>
      <w:r w:rsidR="00A72BA4" w:rsidRPr="00A23D0F">
        <w:rPr>
          <w:sz w:val="26"/>
          <w:szCs w:val="26"/>
        </w:rPr>
        <w:t xml:space="preserve">therefore </w:t>
      </w:r>
      <w:r w:rsidR="00F81312" w:rsidRPr="00A23D0F">
        <w:rPr>
          <w:sz w:val="26"/>
          <w:szCs w:val="26"/>
        </w:rPr>
        <w:t xml:space="preserve">one </w:t>
      </w:r>
      <w:r w:rsidR="00A72BA4" w:rsidRPr="00A23D0F">
        <w:rPr>
          <w:sz w:val="26"/>
          <w:szCs w:val="26"/>
        </w:rPr>
        <w:t>cannot state with any certainty that a contract procured that far in advance will reflect actual m</w:t>
      </w:r>
      <w:r w:rsidR="00F81312" w:rsidRPr="00A23D0F">
        <w:rPr>
          <w:sz w:val="26"/>
          <w:szCs w:val="26"/>
        </w:rPr>
        <w:t>arket prices during</w:t>
      </w:r>
      <w:r w:rsidR="00A72BA4" w:rsidRPr="00A23D0F">
        <w:rPr>
          <w:sz w:val="26"/>
          <w:szCs w:val="26"/>
        </w:rPr>
        <w:t xml:space="preserve"> the time of delivery.</w:t>
      </w:r>
      <w:r w:rsidR="00302EFD" w:rsidRPr="00A23D0F">
        <w:rPr>
          <w:sz w:val="26"/>
          <w:szCs w:val="26"/>
        </w:rPr>
        <w:t xml:space="preserve">  RESA Exc. at 10.</w:t>
      </w:r>
    </w:p>
    <w:p w:rsidR="00E97355" w:rsidRPr="00A23D0F" w:rsidRDefault="00E97355" w:rsidP="00A23D0F">
      <w:pPr>
        <w:spacing w:line="360" w:lineRule="auto"/>
        <w:rPr>
          <w:sz w:val="26"/>
          <w:szCs w:val="26"/>
        </w:rPr>
      </w:pPr>
    </w:p>
    <w:p w:rsidR="00A72BA4" w:rsidRPr="00A23D0F" w:rsidRDefault="00E97355" w:rsidP="00A23D0F">
      <w:pPr>
        <w:spacing w:line="360" w:lineRule="auto"/>
        <w:rPr>
          <w:sz w:val="26"/>
          <w:szCs w:val="26"/>
        </w:rPr>
      </w:pPr>
      <w:r w:rsidRPr="00A23D0F">
        <w:rPr>
          <w:sz w:val="26"/>
          <w:szCs w:val="26"/>
        </w:rPr>
        <w:t xml:space="preserve"> </w:t>
      </w:r>
      <w:r w:rsidRPr="00A23D0F">
        <w:rPr>
          <w:sz w:val="26"/>
          <w:szCs w:val="26"/>
        </w:rPr>
        <w:tab/>
      </w:r>
      <w:r w:rsidR="00A72BA4" w:rsidRPr="00A23D0F">
        <w:rPr>
          <w:sz w:val="26"/>
          <w:szCs w:val="26"/>
        </w:rPr>
        <w:t xml:space="preserve">In addition, </w:t>
      </w:r>
      <w:r w:rsidR="00F81312" w:rsidRPr="00A23D0F">
        <w:rPr>
          <w:sz w:val="26"/>
          <w:szCs w:val="26"/>
        </w:rPr>
        <w:t xml:space="preserve">RESA argues that </w:t>
      </w:r>
      <w:r w:rsidR="00A72BA4" w:rsidRPr="00A23D0F">
        <w:rPr>
          <w:sz w:val="26"/>
          <w:szCs w:val="26"/>
        </w:rPr>
        <w:t>Duquesn</w:t>
      </w:r>
      <w:r w:rsidR="00302EFD" w:rsidRPr="00A23D0F">
        <w:rPr>
          <w:sz w:val="26"/>
          <w:szCs w:val="26"/>
        </w:rPr>
        <w:t>e’s argument that contracting fourteen</w:t>
      </w:r>
      <w:r w:rsidR="00A72BA4" w:rsidRPr="00A23D0F">
        <w:rPr>
          <w:sz w:val="26"/>
          <w:szCs w:val="26"/>
        </w:rPr>
        <w:t xml:space="preserve"> months in advance </w:t>
      </w:r>
      <w:r w:rsidR="00F81312" w:rsidRPr="00A23D0F">
        <w:rPr>
          <w:sz w:val="26"/>
          <w:szCs w:val="26"/>
        </w:rPr>
        <w:t xml:space="preserve">of delivery </w:t>
      </w:r>
      <w:r w:rsidR="00A72BA4" w:rsidRPr="00A23D0F">
        <w:rPr>
          <w:sz w:val="26"/>
          <w:szCs w:val="26"/>
        </w:rPr>
        <w:t xml:space="preserve">will act as a hedge is misplaced.  Duquesne admits that, </w:t>
      </w:r>
      <w:r w:rsidR="00A72BA4" w:rsidRPr="00A23D0F">
        <w:rPr>
          <w:sz w:val="26"/>
          <w:szCs w:val="26"/>
        </w:rPr>
        <w:lastRenderedPageBreak/>
        <w:t>with these procurements, supply is “locked up for the entire two-year period at the same time</w:t>
      </w:r>
      <w:r w:rsidR="003C591F" w:rsidRPr="00A23D0F">
        <w:rPr>
          <w:sz w:val="26"/>
          <w:szCs w:val="26"/>
        </w:rPr>
        <w:t xml:space="preserve">.”  </w:t>
      </w:r>
      <w:r w:rsidR="00A72BA4" w:rsidRPr="00A23D0F">
        <w:rPr>
          <w:sz w:val="26"/>
          <w:szCs w:val="26"/>
        </w:rPr>
        <w:t xml:space="preserve">Yet, Duquesne adamantly opposed </w:t>
      </w:r>
      <w:r w:rsidR="00F81312" w:rsidRPr="00A23D0F">
        <w:rPr>
          <w:sz w:val="26"/>
          <w:szCs w:val="26"/>
        </w:rPr>
        <w:t xml:space="preserve">the </w:t>
      </w:r>
      <w:r w:rsidR="00302EFD" w:rsidRPr="00A23D0F">
        <w:rPr>
          <w:sz w:val="26"/>
          <w:szCs w:val="26"/>
        </w:rPr>
        <w:t>OCA’s proposal for two</w:t>
      </w:r>
      <w:r w:rsidR="00A72BA4" w:rsidRPr="00A23D0F">
        <w:rPr>
          <w:sz w:val="26"/>
          <w:szCs w:val="26"/>
        </w:rPr>
        <w:t>-year contracts in this proceeding, arguing that OCA’s proposal should be rejected because it “equates to market speculation, in an effort to ‘second guess,’ ‘time,’ or ‘beat the market.’”</w:t>
      </w:r>
      <w:r w:rsidR="00A72BA4" w:rsidRPr="005915E1">
        <w:rPr>
          <w:vertAlign w:val="superscript"/>
        </w:rPr>
        <w:footnoteReference w:id="26"/>
      </w:r>
      <w:r w:rsidR="00F81312" w:rsidRPr="00A23D0F">
        <w:rPr>
          <w:sz w:val="26"/>
          <w:szCs w:val="26"/>
        </w:rPr>
        <w:t xml:space="preserve">  RESA asserts that Duquesne cannot </w:t>
      </w:r>
      <w:r w:rsidR="00A72BA4" w:rsidRPr="00A23D0F">
        <w:rPr>
          <w:sz w:val="26"/>
          <w:szCs w:val="26"/>
        </w:rPr>
        <w:t>consistently argue that its proposed timing for procurements would provide a hedge against uncertain futu</w:t>
      </w:r>
      <w:r w:rsidR="00F81312" w:rsidRPr="00A23D0F">
        <w:rPr>
          <w:sz w:val="26"/>
          <w:szCs w:val="26"/>
        </w:rPr>
        <w:t>re market prices.  RESA argues that t</w:t>
      </w:r>
      <w:r w:rsidR="00A72BA4" w:rsidRPr="00A23D0F">
        <w:rPr>
          <w:sz w:val="26"/>
          <w:szCs w:val="26"/>
        </w:rPr>
        <w:t xml:space="preserve">he ALJ’s recommendation should be rejected and </w:t>
      </w:r>
      <w:r w:rsidR="00F81312" w:rsidRPr="00A23D0F">
        <w:rPr>
          <w:sz w:val="26"/>
          <w:szCs w:val="26"/>
        </w:rPr>
        <w:t xml:space="preserve">that </w:t>
      </w:r>
      <w:r w:rsidR="00A72BA4" w:rsidRPr="00A23D0F">
        <w:rPr>
          <w:sz w:val="26"/>
          <w:szCs w:val="26"/>
        </w:rPr>
        <w:t xml:space="preserve">RESA’s proposal for shorter </w:t>
      </w:r>
      <w:r w:rsidR="00F04B32" w:rsidRPr="00A23D0F">
        <w:rPr>
          <w:sz w:val="26"/>
          <w:szCs w:val="26"/>
        </w:rPr>
        <w:t>lag times should be adopted.</w:t>
      </w:r>
      <w:r w:rsidR="00302EFD" w:rsidRPr="00A23D0F">
        <w:rPr>
          <w:sz w:val="26"/>
          <w:szCs w:val="26"/>
        </w:rPr>
        <w:t xml:space="preserve">  RESA Exc. at 10-11.</w:t>
      </w:r>
    </w:p>
    <w:p w:rsidR="00E97355" w:rsidRPr="00A72BA4" w:rsidRDefault="00E97355" w:rsidP="006D07BB">
      <w:pPr>
        <w:pStyle w:val="Normal1"/>
      </w:pPr>
    </w:p>
    <w:p w:rsidR="00E97355" w:rsidRDefault="003B259B" w:rsidP="003B259B">
      <w:pPr>
        <w:pStyle w:val="Heading5"/>
        <w:numPr>
          <w:ilvl w:val="0"/>
          <w:numId w:val="0"/>
        </w:numPr>
        <w:ind w:left="3600" w:hanging="720"/>
      </w:pPr>
      <w:bookmarkStart w:id="29" w:name="_Toc346705272"/>
      <w:r>
        <w:t>v.</w:t>
      </w:r>
      <w:r>
        <w:tab/>
      </w:r>
      <w:r w:rsidR="00E97355" w:rsidRPr="00085ECA">
        <w:t>Reply Exceptions</w:t>
      </w:r>
      <w:bookmarkEnd w:id="29"/>
    </w:p>
    <w:p w:rsidR="00E45557" w:rsidRPr="00085ECA" w:rsidRDefault="00E45557" w:rsidP="00E45557">
      <w:pPr>
        <w:pStyle w:val="ListParagraph"/>
        <w:spacing w:line="360" w:lineRule="auto"/>
        <w:ind w:left="2880"/>
        <w:rPr>
          <w:b/>
          <w:sz w:val="26"/>
          <w:szCs w:val="26"/>
        </w:rPr>
      </w:pPr>
    </w:p>
    <w:p w:rsidR="00A22558" w:rsidRPr="00403BF2" w:rsidRDefault="00A22558" w:rsidP="00A71F37">
      <w:pPr>
        <w:pStyle w:val="BodyText2"/>
        <w:spacing w:after="0" w:line="360" w:lineRule="auto"/>
        <w:ind w:firstLine="1440"/>
        <w:rPr>
          <w:sz w:val="26"/>
          <w:szCs w:val="26"/>
        </w:rPr>
      </w:pPr>
      <w:r w:rsidRPr="00E45557">
        <w:rPr>
          <w:sz w:val="26"/>
          <w:szCs w:val="26"/>
        </w:rPr>
        <w:t xml:space="preserve">In its Reply Exceptions, Duquesne argues that the Commission should deny RESA’s Exception to the ALJ’s recommended approval of back-to-back </w:t>
      </w:r>
      <w:r w:rsidR="003C591F">
        <w:rPr>
          <w:sz w:val="26"/>
          <w:szCs w:val="26"/>
        </w:rPr>
        <w:t>r</w:t>
      </w:r>
      <w:r w:rsidRPr="00E45557">
        <w:rPr>
          <w:sz w:val="26"/>
          <w:szCs w:val="26"/>
        </w:rPr>
        <w:t xml:space="preserve">esidential </w:t>
      </w:r>
      <w:r w:rsidR="003C591F">
        <w:rPr>
          <w:sz w:val="26"/>
          <w:szCs w:val="26"/>
        </w:rPr>
        <w:t>procurements</w:t>
      </w:r>
      <w:r w:rsidRPr="00E45557">
        <w:rPr>
          <w:sz w:val="26"/>
          <w:szCs w:val="26"/>
        </w:rPr>
        <w:t xml:space="preserve">.  Duquesne explains that it considered including two-year contracts in its </w:t>
      </w:r>
      <w:r w:rsidR="003C591F">
        <w:rPr>
          <w:sz w:val="26"/>
          <w:szCs w:val="26"/>
        </w:rPr>
        <w:t>r</w:t>
      </w:r>
      <w:r w:rsidRPr="00E45557">
        <w:rPr>
          <w:sz w:val="26"/>
          <w:szCs w:val="26"/>
        </w:rPr>
        <w:t>esid</w:t>
      </w:r>
      <w:r w:rsidR="00F81312">
        <w:rPr>
          <w:sz w:val="26"/>
          <w:szCs w:val="26"/>
        </w:rPr>
        <w:t>ential procurement plan</w:t>
      </w:r>
      <w:r w:rsidRPr="00E45557">
        <w:rPr>
          <w:sz w:val="26"/>
          <w:szCs w:val="26"/>
        </w:rPr>
        <w:t xml:space="preserve">. </w:t>
      </w:r>
      <w:r w:rsidR="00E45557" w:rsidRPr="00E45557">
        <w:rPr>
          <w:sz w:val="26"/>
          <w:szCs w:val="26"/>
        </w:rPr>
        <w:t xml:space="preserve"> However, Duquesne </w:t>
      </w:r>
      <w:r w:rsidRPr="00E45557">
        <w:rPr>
          <w:sz w:val="26"/>
          <w:szCs w:val="26"/>
        </w:rPr>
        <w:t>recognized that there is a known, significant increase in PJM</w:t>
      </w:r>
      <w:r w:rsidR="002B4A56">
        <w:rPr>
          <w:sz w:val="26"/>
          <w:szCs w:val="26"/>
        </w:rPr>
        <w:t xml:space="preserve"> capacity costs of about $10/MW</w:t>
      </w:r>
      <w:r w:rsidRPr="00E45557">
        <w:rPr>
          <w:sz w:val="26"/>
          <w:szCs w:val="26"/>
        </w:rPr>
        <w:t xml:space="preserve"> on June 1, 2014, the start of the second year of DSP VI.  This equates to about a 10% increase in retail prices on June</w:t>
      </w:r>
      <w:r w:rsidR="00B67E4B">
        <w:rPr>
          <w:sz w:val="26"/>
          <w:szCs w:val="26"/>
          <w:lang w:val="en-US"/>
        </w:rPr>
        <w:t> </w:t>
      </w:r>
      <w:r w:rsidRPr="00E45557">
        <w:rPr>
          <w:sz w:val="26"/>
          <w:szCs w:val="26"/>
        </w:rPr>
        <w:t>1, 2014.  OCA St. 1-</w:t>
      </w:r>
      <w:r w:rsidR="00E45557" w:rsidRPr="00E45557">
        <w:rPr>
          <w:sz w:val="26"/>
          <w:szCs w:val="26"/>
        </w:rPr>
        <w:t xml:space="preserve">S at </w:t>
      </w:r>
      <w:r w:rsidRPr="00E45557">
        <w:rPr>
          <w:sz w:val="26"/>
          <w:szCs w:val="26"/>
        </w:rPr>
        <w:t>20-21.  In order to make rates more</w:t>
      </w:r>
      <w:r w:rsidR="00E45557" w:rsidRPr="00E45557">
        <w:rPr>
          <w:sz w:val="26"/>
          <w:szCs w:val="26"/>
        </w:rPr>
        <w:t xml:space="preserve"> market responsive, Duquesne </w:t>
      </w:r>
      <w:r w:rsidRPr="00E45557">
        <w:rPr>
          <w:sz w:val="26"/>
          <w:szCs w:val="26"/>
        </w:rPr>
        <w:t>proposed to obtain a portion of the DSP VI supply through simultaneously procured back-to-back one-year contracts</w:t>
      </w:r>
      <w:r w:rsidR="00F81312">
        <w:rPr>
          <w:sz w:val="26"/>
          <w:szCs w:val="26"/>
        </w:rPr>
        <w:t>,</w:t>
      </w:r>
      <w:r w:rsidRPr="00E45557">
        <w:rPr>
          <w:sz w:val="26"/>
          <w:szCs w:val="26"/>
        </w:rPr>
        <w:t xml:space="preserve"> rather than through two-year contracts.  Under this approach, a one-year contract is obtained for each year of the two-year period at the same time.  The benefits of this approach are to provide an energy hedge similar to that provided by two-year contracts</w:t>
      </w:r>
      <w:r w:rsidR="00F81312">
        <w:rPr>
          <w:sz w:val="26"/>
          <w:szCs w:val="26"/>
        </w:rPr>
        <w:t>,</w:t>
      </w:r>
      <w:r w:rsidRPr="00E45557">
        <w:rPr>
          <w:sz w:val="26"/>
          <w:szCs w:val="26"/>
        </w:rPr>
        <w:t xml:space="preserve"> while also creating more market responsive rates that reflect the known change in capacity prices at the beginning of the second year of DSP VI.</w:t>
      </w:r>
      <w:r w:rsidR="00403BF2">
        <w:rPr>
          <w:sz w:val="26"/>
          <w:szCs w:val="26"/>
        </w:rPr>
        <w:t xml:space="preserve">  Duquesne R.Exc. at 6.  </w:t>
      </w:r>
    </w:p>
    <w:p w:rsidR="00E45557" w:rsidRPr="00E45557" w:rsidRDefault="00E45557" w:rsidP="00A71F37">
      <w:pPr>
        <w:pStyle w:val="BodyText2"/>
        <w:spacing w:after="0" w:line="360" w:lineRule="auto"/>
        <w:ind w:firstLine="1440"/>
        <w:rPr>
          <w:sz w:val="26"/>
          <w:szCs w:val="26"/>
        </w:rPr>
      </w:pPr>
    </w:p>
    <w:p w:rsidR="00A22558" w:rsidRDefault="00F81312" w:rsidP="00E45557">
      <w:pPr>
        <w:pStyle w:val="BodyText2"/>
        <w:spacing w:line="360" w:lineRule="auto"/>
        <w:ind w:firstLine="1440"/>
        <w:rPr>
          <w:sz w:val="26"/>
          <w:szCs w:val="26"/>
          <w:lang w:val="en-US"/>
        </w:rPr>
      </w:pPr>
      <w:r>
        <w:rPr>
          <w:sz w:val="26"/>
          <w:szCs w:val="26"/>
        </w:rPr>
        <w:lastRenderedPageBreak/>
        <w:t xml:space="preserve">Duquesne submits that </w:t>
      </w:r>
      <w:r w:rsidR="00A22558" w:rsidRPr="00E45557">
        <w:rPr>
          <w:sz w:val="26"/>
          <w:szCs w:val="26"/>
        </w:rPr>
        <w:t>RESA</w:t>
      </w:r>
      <w:r>
        <w:rPr>
          <w:sz w:val="26"/>
          <w:szCs w:val="26"/>
        </w:rPr>
        <w:t>’s argument that this</w:t>
      </w:r>
      <w:r w:rsidR="00A22558" w:rsidRPr="00E45557">
        <w:rPr>
          <w:sz w:val="26"/>
          <w:szCs w:val="26"/>
        </w:rPr>
        <w:t xml:space="preserve"> approach has the</w:t>
      </w:r>
      <w:r w:rsidR="00911506">
        <w:rPr>
          <w:sz w:val="26"/>
          <w:szCs w:val="26"/>
        </w:rPr>
        <w:t xml:space="preserve"> effect of a two-year contract fails </w:t>
      </w:r>
      <w:r w:rsidR="00403BF2">
        <w:rPr>
          <w:sz w:val="26"/>
          <w:szCs w:val="26"/>
        </w:rPr>
        <w:t xml:space="preserve">to note </w:t>
      </w:r>
      <w:r w:rsidR="00A22558" w:rsidRPr="00E45557">
        <w:rPr>
          <w:sz w:val="26"/>
          <w:szCs w:val="26"/>
        </w:rPr>
        <w:t>the separation of the two years</w:t>
      </w:r>
      <w:r w:rsidR="00911506">
        <w:rPr>
          <w:sz w:val="26"/>
          <w:szCs w:val="26"/>
        </w:rPr>
        <w:t>, which</w:t>
      </w:r>
      <w:r w:rsidR="00A22558" w:rsidRPr="00E45557">
        <w:rPr>
          <w:sz w:val="26"/>
          <w:szCs w:val="26"/>
        </w:rPr>
        <w:t xml:space="preserve"> prope</w:t>
      </w:r>
      <w:r w:rsidR="00E45557" w:rsidRPr="00E45557">
        <w:rPr>
          <w:sz w:val="26"/>
          <w:szCs w:val="26"/>
        </w:rPr>
        <w:t xml:space="preserve">rly provides a price change to reflect </w:t>
      </w:r>
      <w:r w:rsidR="00A22558" w:rsidRPr="00E45557">
        <w:rPr>
          <w:sz w:val="26"/>
          <w:szCs w:val="26"/>
        </w:rPr>
        <w:t xml:space="preserve">the </w:t>
      </w:r>
      <w:r w:rsidR="00911506">
        <w:rPr>
          <w:sz w:val="26"/>
          <w:szCs w:val="26"/>
        </w:rPr>
        <w:t xml:space="preserve">known </w:t>
      </w:r>
      <w:r w:rsidR="00A22558" w:rsidRPr="00E45557">
        <w:rPr>
          <w:sz w:val="26"/>
          <w:szCs w:val="26"/>
        </w:rPr>
        <w:t>change in</w:t>
      </w:r>
      <w:r w:rsidR="00E45557" w:rsidRPr="00E45557">
        <w:rPr>
          <w:sz w:val="26"/>
          <w:szCs w:val="26"/>
        </w:rPr>
        <w:t xml:space="preserve"> </w:t>
      </w:r>
      <w:r w:rsidR="00911506">
        <w:rPr>
          <w:sz w:val="26"/>
          <w:szCs w:val="26"/>
        </w:rPr>
        <w:t xml:space="preserve">PJM </w:t>
      </w:r>
      <w:r w:rsidR="00E45557" w:rsidRPr="00E45557">
        <w:rPr>
          <w:sz w:val="26"/>
          <w:szCs w:val="26"/>
        </w:rPr>
        <w:t xml:space="preserve">capacity prices.  RESA Exc. at </w:t>
      </w:r>
      <w:r w:rsidR="00A22558" w:rsidRPr="00E45557">
        <w:rPr>
          <w:sz w:val="26"/>
          <w:szCs w:val="26"/>
        </w:rPr>
        <w:t xml:space="preserve">10.  </w:t>
      </w:r>
      <w:r w:rsidR="00911506">
        <w:rPr>
          <w:sz w:val="26"/>
          <w:szCs w:val="26"/>
        </w:rPr>
        <w:t xml:space="preserve">Duquesne notes that, while RESA argues that the Commission in the </w:t>
      </w:r>
      <w:r w:rsidR="00911506" w:rsidRPr="00911506">
        <w:rPr>
          <w:i/>
          <w:sz w:val="26"/>
          <w:szCs w:val="26"/>
        </w:rPr>
        <w:t>FirstEnergy DSP Order</w:t>
      </w:r>
      <w:r w:rsidR="00A22558" w:rsidRPr="00E45557">
        <w:rPr>
          <w:sz w:val="26"/>
          <w:szCs w:val="26"/>
        </w:rPr>
        <w:t xml:space="preserve"> stated that procurements must be no earlier than five months </w:t>
      </w:r>
      <w:r w:rsidR="00911506">
        <w:rPr>
          <w:sz w:val="26"/>
          <w:szCs w:val="26"/>
        </w:rPr>
        <w:t xml:space="preserve">prior to the delivery date, RESA </w:t>
      </w:r>
      <w:r w:rsidR="00A22558" w:rsidRPr="00E45557">
        <w:rPr>
          <w:sz w:val="26"/>
          <w:szCs w:val="26"/>
        </w:rPr>
        <w:t>fails to note that the Commission also approved two-year contra</w:t>
      </w:r>
      <w:r w:rsidR="00403BF2">
        <w:rPr>
          <w:sz w:val="26"/>
          <w:szCs w:val="26"/>
        </w:rPr>
        <w:t>cts for r</w:t>
      </w:r>
      <w:r w:rsidR="00911506">
        <w:rPr>
          <w:sz w:val="26"/>
          <w:szCs w:val="26"/>
        </w:rPr>
        <w:t xml:space="preserve">esidential customers.  </w:t>
      </w:r>
      <w:r w:rsidR="00911506">
        <w:rPr>
          <w:i/>
          <w:sz w:val="26"/>
          <w:szCs w:val="26"/>
        </w:rPr>
        <w:t xml:space="preserve">FirstEnergy DSP </w:t>
      </w:r>
      <w:r w:rsidR="00A22558" w:rsidRPr="00E45557">
        <w:rPr>
          <w:i/>
          <w:sz w:val="26"/>
          <w:szCs w:val="26"/>
        </w:rPr>
        <w:t>Order</w:t>
      </w:r>
      <w:r w:rsidR="00911506">
        <w:rPr>
          <w:sz w:val="26"/>
          <w:szCs w:val="26"/>
        </w:rPr>
        <w:t xml:space="preserve">  at </w:t>
      </w:r>
      <w:r w:rsidR="00A22558" w:rsidRPr="00E45557">
        <w:rPr>
          <w:sz w:val="26"/>
          <w:szCs w:val="26"/>
        </w:rPr>
        <w:t>25-26.  Whether a two-year contract is procured</w:t>
      </w:r>
      <w:r w:rsidR="00911506">
        <w:rPr>
          <w:sz w:val="26"/>
          <w:szCs w:val="26"/>
        </w:rPr>
        <w:t xml:space="preserve">, as in the case of FirstEnergy’s approved </w:t>
      </w:r>
      <w:r w:rsidR="00A22558" w:rsidRPr="00E45557">
        <w:rPr>
          <w:sz w:val="26"/>
          <w:szCs w:val="26"/>
        </w:rPr>
        <w:t xml:space="preserve">plan, or whether simultaneous back-to-back </w:t>
      </w:r>
      <w:r w:rsidR="00911506">
        <w:rPr>
          <w:sz w:val="26"/>
          <w:szCs w:val="26"/>
        </w:rPr>
        <w:t xml:space="preserve">one-year </w:t>
      </w:r>
      <w:r w:rsidR="00A22558" w:rsidRPr="00E45557">
        <w:rPr>
          <w:sz w:val="26"/>
          <w:szCs w:val="26"/>
        </w:rPr>
        <w:t>contract</w:t>
      </w:r>
      <w:r w:rsidR="00E45557" w:rsidRPr="00E45557">
        <w:rPr>
          <w:sz w:val="26"/>
          <w:szCs w:val="26"/>
        </w:rPr>
        <w:t>s are procured as Duquesne</w:t>
      </w:r>
      <w:r w:rsidR="00A22558" w:rsidRPr="00E45557">
        <w:rPr>
          <w:sz w:val="26"/>
          <w:szCs w:val="26"/>
        </w:rPr>
        <w:t xml:space="preserve"> proposes, the same aggregate supply is being procured at th</w:t>
      </w:r>
      <w:r w:rsidR="00911506">
        <w:rPr>
          <w:sz w:val="26"/>
          <w:szCs w:val="26"/>
        </w:rPr>
        <w:t xml:space="preserve">e same time.  </w:t>
      </w:r>
      <w:r w:rsidR="00E45557" w:rsidRPr="00E45557">
        <w:rPr>
          <w:sz w:val="26"/>
          <w:szCs w:val="26"/>
        </w:rPr>
        <w:t xml:space="preserve">Duquesne </w:t>
      </w:r>
      <w:r w:rsidR="00A22558" w:rsidRPr="00E45557">
        <w:rPr>
          <w:sz w:val="26"/>
          <w:szCs w:val="26"/>
        </w:rPr>
        <w:t>is proposing to procure this aggregate supply with a lead time of less than two months before delivery of the aggregate supply begins.</w:t>
      </w:r>
      <w:r w:rsidR="00A22558" w:rsidRPr="00E45557">
        <w:rPr>
          <w:rStyle w:val="FootnoteReference"/>
          <w:sz w:val="26"/>
          <w:szCs w:val="26"/>
        </w:rPr>
        <w:footnoteReference w:id="27"/>
      </w:r>
      <w:r w:rsidR="00A22558" w:rsidRPr="00E45557">
        <w:rPr>
          <w:sz w:val="26"/>
          <w:szCs w:val="26"/>
        </w:rPr>
        <w:t xml:space="preserve">  Furthermore, </w:t>
      </w:r>
      <w:r w:rsidR="00403BF2">
        <w:rPr>
          <w:sz w:val="26"/>
          <w:szCs w:val="26"/>
        </w:rPr>
        <w:t xml:space="preserve">according to Duquesne, </w:t>
      </w:r>
      <w:r w:rsidR="00A22558" w:rsidRPr="00E45557">
        <w:rPr>
          <w:sz w:val="26"/>
          <w:szCs w:val="26"/>
        </w:rPr>
        <w:t>the simultaneous procurement of back-to-back one-year contracts will provide for more market responsive rates than the procurem</w:t>
      </w:r>
      <w:r w:rsidR="00E45557" w:rsidRPr="00E45557">
        <w:rPr>
          <w:sz w:val="26"/>
          <w:szCs w:val="26"/>
        </w:rPr>
        <w:t xml:space="preserve">ent of two-year contracts </w:t>
      </w:r>
      <w:r w:rsidR="00911506">
        <w:rPr>
          <w:sz w:val="26"/>
          <w:szCs w:val="26"/>
        </w:rPr>
        <w:t xml:space="preserve">due to </w:t>
      </w:r>
      <w:r w:rsidR="00A22558" w:rsidRPr="00E45557">
        <w:rPr>
          <w:sz w:val="26"/>
          <w:szCs w:val="26"/>
        </w:rPr>
        <w:t>the known changes in capacity prices during the two-year period.</w:t>
      </w:r>
      <w:r w:rsidR="00403BF2">
        <w:rPr>
          <w:sz w:val="26"/>
          <w:szCs w:val="26"/>
        </w:rPr>
        <w:t xml:space="preserve">  Duquesne R.Exc. at 6-7.</w:t>
      </w:r>
    </w:p>
    <w:p w:rsidR="005915E1" w:rsidRPr="005915E1" w:rsidRDefault="005915E1" w:rsidP="00E45557">
      <w:pPr>
        <w:pStyle w:val="BodyText2"/>
        <w:spacing w:line="360" w:lineRule="auto"/>
        <w:ind w:firstLine="1440"/>
        <w:rPr>
          <w:sz w:val="26"/>
          <w:szCs w:val="26"/>
          <w:lang w:val="en-US"/>
        </w:rPr>
      </w:pPr>
    </w:p>
    <w:p w:rsidR="00EA5474" w:rsidRPr="005379A2" w:rsidRDefault="00EA5474" w:rsidP="00536B0D">
      <w:pPr>
        <w:spacing w:line="360" w:lineRule="auto"/>
        <w:ind w:firstLine="1440"/>
        <w:rPr>
          <w:sz w:val="26"/>
          <w:szCs w:val="26"/>
        </w:rPr>
      </w:pPr>
      <w:r w:rsidRPr="00EA5474">
        <w:rPr>
          <w:sz w:val="26"/>
          <w:szCs w:val="26"/>
        </w:rPr>
        <w:t xml:space="preserve">In its Reply Exceptions, the OCA argues that </w:t>
      </w:r>
      <w:r w:rsidR="005379A2">
        <w:rPr>
          <w:sz w:val="26"/>
          <w:szCs w:val="26"/>
        </w:rPr>
        <w:t>t</w:t>
      </w:r>
      <w:r w:rsidRPr="00EA5474">
        <w:rPr>
          <w:sz w:val="26"/>
          <w:szCs w:val="26"/>
        </w:rPr>
        <w:t>he ALJ properly rejected RESA’s proposal to shorten the interval between procurement and delivery of default supply contracts to</w:t>
      </w:r>
      <w:r>
        <w:rPr>
          <w:sz w:val="26"/>
          <w:szCs w:val="26"/>
        </w:rPr>
        <w:t xml:space="preserve"> </w:t>
      </w:r>
      <w:r w:rsidR="00403BF2">
        <w:rPr>
          <w:sz w:val="26"/>
          <w:szCs w:val="26"/>
        </w:rPr>
        <w:t>sixty</w:t>
      </w:r>
      <w:r w:rsidR="005379A2">
        <w:rPr>
          <w:sz w:val="26"/>
          <w:szCs w:val="26"/>
        </w:rPr>
        <w:t xml:space="preserve"> days.  </w:t>
      </w:r>
      <w:r w:rsidR="00536B0D">
        <w:rPr>
          <w:sz w:val="26"/>
          <w:szCs w:val="26"/>
        </w:rPr>
        <w:t>Wit</w:t>
      </w:r>
      <w:r w:rsidRPr="005379A2">
        <w:rPr>
          <w:sz w:val="26"/>
          <w:szCs w:val="26"/>
        </w:rPr>
        <w:t xml:space="preserve">h respect to record evidence, </w:t>
      </w:r>
      <w:r w:rsidR="00536B0D">
        <w:rPr>
          <w:sz w:val="26"/>
          <w:szCs w:val="26"/>
        </w:rPr>
        <w:t>the OCA asserts that both Duquesne and itself</w:t>
      </w:r>
      <w:r w:rsidRPr="005379A2">
        <w:rPr>
          <w:sz w:val="26"/>
          <w:szCs w:val="26"/>
        </w:rPr>
        <w:t xml:space="preserve"> presented testimony that clearly supports the ALJ’s recommendation.  Inasmuch as the ALJ based her decision on the need to establish a balance, the OCA submits that the record contains more than sufficient evidence to support her determination.  With respect to whether the ALJ’s decision accords with </w:t>
      </w:r>
      <w:r w:rsidRPr="005379A2">
        <w:rPr>
          <w:sz w:val="26"/>
          <w:szCs w:val="26"/>
        </w:rPr>
        <w:lastRenderedPageBreak/>
        <w:t xml:space="preserve">Commission precedent, RESA cites </w:t>
      </w:r>
      <w:r w:rsidR="00911506">
        <w:rPr>
          <w:sz w:val="26"/>
          <w:szCs w:val="26"/>
        </w:rPr>
        <w:t xml:space="preserve">the </w:t>
      </w:r>
      <w:r w:rsidR="00911506" w:rsidRPr="00911506">
        <w:rPr>
          <w:i/>
          <w:sz w:val="26"/>
          <w:szCs w:val="26"/>
        </w:rPr>
        <w:t>FirstEnergy DSP Order</w:t>
      </w:r>
      <w:r w:rsidR="00911506">
        <w:rPr>
          <w:sz w:val="26"/>
          <w:szCs w:val="26"/>
        </w:rPr>
        <w:t xml:space="preserve">, where </w:t>
      </w:r>
      <w:r w:rsidRPr="005379A2">
        <w:rPr>
          <w:sz w:val="26"/>
          <w:szCs w:val="26"/>
        </w:rPr>
        <w:t>the Commission directed these Companies to shorten the lead time of the</w:t>
      </w:r>
      <w:r w:rsidR="00911506">
        <w:rPr>
          <w:sz w:val="26"/>
          <w:szCs w:val="26"/>
        </w:rPr>
        <w:t xml:space="preserve">ir procurements.  The OCA </w:t>
      </w:r>
      <w:r w:rsidRPr="005379A2">
        <w:rPr>
          <w:sz w:val="26"/>
          <w:szCs w:val="26"/>
        </w:rPr>
        <w:t>note</w:t>
      </w:r>
      <w:r w:rsidR="00911506">
        <w:rPr>
          <w:sz w:val="26"/>
          <w:szCs w:val="26"/>
        </w:rPr>
        <w:t>s</w:t>
      </w:r>
      <w:r w:rsidRPr="005379A2">
        <w:rPr>
          <w:sz w:val="26"/>
          <w:szCs w:val="26"/>
        </w:rPr>
        <w:t>, however, that the Commission specifically declined to adopt the lead times recommended by RESA</w:t>
      </w:r>
      <w:r w:rsidR="00536B0D">
        <w:rPr>
          <w:sz w:val="26"/>
          <w:szCs w:val="26"/>
        </w:rPr>
        <w:t xml:space="preserve">.  </w:t>
      </w:r>
      <w:r w:rsidRPr="005379A2">
        <w:rPr>
          <w:sz w:val="26"/>
          <w:szCs w:val="26"/>
        </w:rPr>
        <w:t xml:space="preserve">The </w:t>
      </w:r>
      <w:r w:rsidR="00911506">
        <w:rPr>
          <w:sz w:val="26"/>
          <w:szCs w:val="26"/>
        </w:rPr>
        <w:t xml:space="preserve">OCA submits that the </w:t>
      </w:r>
      <w:r w:rsidR="00911506" w:rsidRPr="00911506">
        <w:rPr>
          <w:i/>
          <w:sz w:val="26"/>
          <w:szCs w:val="26"/>
        </w:rPr>
        <w:t>First</w:t>
      </w:r>
      <w:r w:rsidRPr="00911506">
        <w:rPr>
          <w:i/>
          <w:sz w:val="26"/>
          <w:szCs w:val="26"/>
        </w:rPr>
        <w:t>Energy DSP Order</w:t>
      </w:r>
      <w:r w:rsidRPr="005379A2">
        <w:rPr>
          <w:sz w:val="26"/>
          <w:szCs w:val="26"/>
        </w:rPr>
        <w:t xml:space="preserve"> serves as no precedent in support of RESA’s proposal. </w:t>
      </w:r>
      <w:r w:rsidR="00536B0D">
        <w:rPr>
          <w:sz w:val="26"/>
          <w:szCs w:val="26"/>
        </w:rPr>
        <w:t xml:space="preserve"> OCA R.Exc. at 1-3.</w:t>
      </w:r>
      <w:r w:rsidRPr="005379A2">
        <w:rPr>
          <w:sz w:val="26"/>
          <w:szCs w:val="26"/>
        </w:rPr>
        <w:t xml:space="preserve"> </w:t>
      </w:r>
    </w:p>
    <w:p w:rsidR="005379A2" w:rsidRDefault="005379A2" w:rsidP="00536B0D">
      <w:pPr>
        <w:spacing w:line="360" w:lineRule="auto"/>
        <w:rPr>
          <w:sz w:val="26"/>
          <w:szCs w:val="26"/>
        </w:rPr>
      </w:pPr>
    </w:p>
    <w:p w:rsidR="00E97355" w:rsidRPr="00A77895" w:rsidRDefault="003B259B" w:rsidP="003B259B">
      <w:pPr>
        <w:pStyle w:val="Heading5"/>
        <w:numPr>
          <w:ilvl w:val="0"/>
          <w:numId w:val="0"/>
        </w:numPr>
        <w:ind w:left="3600" w:hanging="720"/>
      </w:pPr>
      <w:bookmarkStart w:id="30" w:name="_Toc346705273"/>
      <w:r>
        <w:t>vi.</w:t>
      </w:r>
      <w:r>
        <w:tab/>
      </w:r>
      <w:r w:rsidR="00E97355" w:rsidRPr="00A77895">
        <w:t>Disposition</w:t>
      </w:r>
      <w:bookmarkEnd w:id="30"/>
    </w:p>
    <w:p w:rsidR="00696483" w:rsidRDefault="00696483" w:rsidP="0053233F">
      <w:pPr>
        <w:pStyle w:val="PlainText"/>
        <w:spacing w:line="360" w:lineRule="auto"/>
        <w:ind w:firstLine="1440"/>
        <w:rPr>
          <w:rFonts w:ascii="Times New Roman" w:hAnsi="Times New Roman"/>
          <w:sz w:val="26"/>
          <w:szCs w:val="26"/>
        </w:rPr>
      </w:pPr>
    </w:p>
    <w:p w:rsidR="0053233F" w:rsidRPr="00871414" w:rsidRDefault="0053233F" w:rsidP="00284935">
      <w:pPr>
        <w:pStyle w:val="BriefL3"/>
        <w:numPr>
          <w:ilvl w:val="0"/>
          <w:numId w:val="0"/>
        </w:numPr>
        <w:spacing w:after="0" w:line="360" w:lineRule="auto"/>
        <w:ind w:firstLine="1440"/>
        <w:rPr>
          <w:sz w:val="26"/>
          <w:szCs w:val="26"/>
        </w:rPr>
      </w:pPr>
      <w:r w:rsidRPr="00BE427F">
        <w:rPr>
          <w:sz w:val="26"/>
          <w:szCs w:val="26"/>
        </w:rPr>
        <w:t>Up</w:t>
      </w:r>
      <w:r>
        <w:rPr>
          <w:sz w:val="26"/>
          <w:szCs w:val="26"/>
        </w:rPr>
        <w:t>on our</w:t>
      </w:r>
      <w:r w:rsidRPr="00BE427F">
        <w:rPr>
          <w:sz w:val="26"/>
          <w:szCs w:val="26"/>
        </w:rPr>
        <w:t xml:space="preserve"> review of the evidence of record, </w:t>
      </w:r>
      <w:r>
        <w:rPr>
          <w:sz w:val="26"/>
          <w:szCs w:val="26"/>
        </w:rPr>
        <w:t>we are persuaded by the arguments of RESA that shortening the procurement l</w:t>
      </w:r>
      <w:r w:rsidR="003C591F">
        <w:rPr>
          <w:sz w:val="26"/>
          <w:szCs w:val="26"/>
        </w:rPr>
        <w:t>ead</w:t>
      </w:r>
      <w:r>
        <w:rPr>
          <w:sz w:val="26"/>
          <w:szCs w:val="26"/>
        </w:rPr>
        <w:t xml:space="preserve"> time will increase the probability that default service rates </w:t>
      </w:r>
      <w:r w:rsidR="003C591F">
        <w:rPr>
          <w:sz w:val="26"/>
          <w:szCs w:val="26"/>
        </w:rPr>
        <w:t>will be</w:t>
      </w:r>
      <w:r>
        <w:rPr>
          <w:sz w:val="26"/>
          <w:szCs w:val="26"/>
        </w:rPr>
        <w:t xml:space="preserve"> more reflective of current market conditions.  While we further agree that the fourteen-month l</w:t>
      </w:r>
      <w:r w:rsidR="003C591F">
        <w:rPr>
          <w:sz w:val="26"/>
          <w:szCs w:val="26"/>
        </w:rPr>
        <w:t>ead</w:t>
      </w:r>
      <w:r>
        <w:rPr>
          <w:sz w:val="26"/>
          <w:szCs w:val="26"/>
        </w:rPr>
        <w:t xml:space="preserve"> proposed by the Company for certain procurements is too long, we are not inclined to adopt the specific two-month lead time recommended by RESA.  Consistent with our determination in the </w:t>
      </w:r>
      <w:r>
        <w:rPr>
          <w:i/>
          <w:sz w:val="26"/>
          <w:szCs w:val="26"/>
        </w:rPr>
        <w:t>FirstEnergy DSP Order,</w:t>
      </w:r>
      <w:r>
        <w:rPr>
          <w:sz w:val="26"/>
          <w:szCs w:val="26"/>
        </w:rPr>
        <w:t xml:space="preserve"> we shall allow Duquesne to determine the appropriate timing for its default service procurements, but shall direct that no procurements be made more than five months prior to the time the Company is scheduled to first provide service under those procurements.  </w:t>
      </w:r>
      <w:r w:rsidR="002C4D4D">
        <w:rPr>
          <w:sz w:val="26"/>
          <w:szCs w:val="26"/>
        </w:rPr>
        <w:t xml:space="preserve">We note that this will require modifications to the dates of four of the six RFPs that Duquesne has proposed for residential default service, including the proposed November 2012 RFP for the June 2013-May 2014 delivery period.  </w:t>
      </w:r>
      <w:r>
        <w:rPr>
          <w:sz w:val="26"/>
          <w:szCs w:val="26"/>
        </w:rPr>
        <w:t xml:space="preserve">Accordingly, the Exceptions of RESA on this issue are granted, in part, consistent with the foregoing discussion.  </w:t>
      </w:r>
    </w:p>
    <w:p w:rsidR="00297E8C" w:rsidRPr="00EE5722" w:rsidRDefault="00297E8C" w:rsidP="00115AB3">
      <w:pPr>
        <w:pStyle w:val="Heading4"/>
        <w:numPr>
          <w:ilvl w:val="0"/>
          <w:numId w:val="0"/>
        </w:numPr>
        <w:ind w:left="2880" w:hanging="720"/>
      </w:pPr>
      <w:bookmarkStart w:id="31" w:name="_Toc337116681"/>
      <w:bookmarkStart w:id="32" w:name="_Toc346705274"/>
      <w:r w:rsidRPr="00EE5722">
        <w:t>c.</w:t>
      </w:r>
      <w:r w:rsidRPr="00EE5722">
        <w:tab/>
        <w:t xml:space="preserve">Reserving </w:t>
      </w:r>
      <w:r w:rsidR="00E97355">
        <w:t>Supply f</w:t>
      </w:r>
      <w:r w:rsidR="004A6EF1">
        <w:t xml:space="preserve">or </w:t>
      </w:r>
      <w:r w:rsidRPr="00EE5722">
        <w:t>Opt-In Customer</w:t>
      </w:r>
      <w:bookmarkEnd w:id="31"/>
      <w:r w:rsidR="00CA51CB">
        <w:t>s</w:t>
      </w:r>
      <w:bookmarkEnd w:id="32"/>
    </w:p>
    <w:p w:rsidR="00E00915" w:rsidRPr="00EE5722" w:rsidRDefault="00E00915" w:rsidP="00F12E23">
      <w:pPr>
        <w:spacing w:line="360" w:lineRule="auto"/>
        <w:rPr>
          <w:sz w:val="26"/>
          <w:szCs w:val="26"/>
        </w:rPr>
      </w:pPr>
    </w:p>
    <w:p w:rsidR="00E00915" w:rsidRPr="00EE5722" w:rsidRDefault="009C04BD" w:rsidP="00115AB3">
      <w:pPr>
        <w:pStyle w:val="Heading5"/>
      </w:pPr>
      <w:bookmarkStart w:id="33" w:name="_Toc346705275"/>
      <w:r>
        <w:t>Duquesne</w:t>
      </w:r>
      <w:r w:rsidR="00E00915" w:rsidRPr="00EE5722">
        <w:t>’s Proposal</w:t>
      </w:r>
      <w:bookmarkEnd w:id="33"/>
    </w:p>
    <w:p w:rsidR="00E00915" w:rsidRPr="00EE5722" w:rsidRDefault="00E00915" w:rsidP="00F12E23">
      <w:pPr>
        <w:pStyle w:val="BodyText2"/>
        <w:spacing w:after="0" w:line="360" w:lineRule="auto"/>
        <w:ind w:firstLine="1440"/>
        <w:rPr>
          <w:sz w:val="26"/>
          <w:szCs w:val="26"/>
        </w:rPr>
      </w:pPr>
    </w:p>
    <w:p w:rsidR="00E00915" w:rsidRPr="00EE5722" w:rsidRDefault="00E97355" w:rsidP="00CA51CB">
      <w:pPr>
        <w:pStyle w:val="BodyText2"/>
        <w:spacing w:after="0" w:line="360" w:lineRule="auto"/>
        <w:ind w:firstLine="1440"/>
        <w:rPr>
          <w:sz w:val="26"/>
          <w:szCs w:val="26"/>
        </w:rPr>
      </w:pPr>
      <w:r>
        <w:rPr>
          <w:sz w:val="26"/>
          <w:szCs w:val="26"/>
        </w:rPr>
        <w:t>The Company recommended that</w:t>
      </w:r>
      <w:r w:rsidR="00E00915" w:rsidRPr="00EE5722">
        <w:rPr>
          <w:sz w:val="26"/>
          <w:szCs w:val="26"/>
        </w:rPr>
        <w:t xml:space="preserve"> the Commission reject </w:t>
      </w:r>
      <w:r>
        <w:rPr>
          <w:sz w:val="26"/>
          <w:szCs w:val="26"/>
        </w:rPr>
        <w:t xml:space="preserve">the </w:t>
      </w:r>
      <w:r w:rsidR="00E00915" w:rsidRPr="00EE5722">
        <w:rPr>
          <w:sz w:val="26"/>
          <w:szCs w:val="26"/>
        </w:rPr>
        <w:t>OCA’s pro</w:t>
      </w:r>
      <w:r w:rsidR="00284935">
        <w:rPr>
          <w:sz w:val="26"/>
          <w:szCs w:val="26"/>
        </w:rPr>
        <w:t>posal to reduce the number of twelve</w:t>
      </w:r>
      <w:r w:rsidR="00E00915" w:rsidRPr="00EE5722">
        <w:rPr>
          <w:sz w:val="26"/>
          <w:szCs w:val="26"/>
        </w:rPr>
        <w:t>-month residential tranches by 20% in the first year of the pl</w:t>
      </w:r>
      <w:r w:rsidR="00CA51CB">
        <w:rPr>
          <w:sz w:val="26"/>
          <w:szCs w:val="26"/>
        </w:rPr>
        <w:t xml:space="preserve">an to account for potential Opt-In </w:t>
      </w:r>
      <w:r w:rsidR="00E00915" w:rsidRPr="00EE5722">
        <w:rPr>
          <w:sz w:val="26"/>
          <w:szCs w:val="26"/>
        </w:rPr>
        <w:t>Progr</w:t>
      </w:r>
      <w:r w:rsidR="009C04BD">
        <w:rPr>
          <w:sz w:val="26"/>
          <w:szCs w:val="26"/>
        </w:rPr>
        <w:t xml:space="preserve">am load.  First, Duquesne </w:t>
      </w:r>
      <w:r>
        <w:rPr>
          <w:sz w:val="26"/>
          <w:szCs w:val="26"/>
        </w:rPr>
        <w:t>pointed</w:t>
      </w:r>
      <w:r w:rsidR="00E00915" w:rsidRPr="00EE5722">
        <w:rPr>
          <w:sz w:val="26"/>
          <w:szCs w:val="26"/>
        </w:rPr>
        <w:t xml:space="preserve"> </w:t>
      </w:r>
      <w:r w:rsidR="00E00915" w:rsidRPr="00EE5722">
        <w:rPr>
          <w:sz w:val="26"/>
          <w:szCs w:val="26"/>
        </w:rPr>
        <w:lastRenderedPageBreak/>
        <w:t xml:space="preserve">out </w:t>
      </w:r>
      <w:r>
        <w:rPr>
          <w:sz w:val="26"/>
          <w:szCs w:val="26"/>
        </w:rPr>
        <w:t xml:space="preserve">that the </w:t>
      </w:r>
      <w:r w:rsidR="00E00915" w:rsidRPr="00EE5722">
        <w:rPr>
          <w:sz w:val="26"/>
          <w:szCs w:val="26"/>
        </w:rPr>
        <w:t xml:space="preserve">OCA made a similar proposal in </w:t>
      </w:r>
      <w:r w:rsidR="004A6054" w:rsidRPr="00EE5722">
        <w:rPr>
          <w:sz w:val="26"/>
          <w:szCs w:val="26"/>
        </w:rPr>
        <w:t>First</w:t>
      </w:r>
      <w:r w:rsidR="00CA51CB">
        <w:rPr>
          <w:sz w:val="26"/>
          <w:szCs w:val="26"/>
        </w:rPr>
        <w:t>Energy</w:t>
      </w:r>
      <w:r w:rsidR="00E00915" w:rsidRPr="00EE5722">
        <w:rPr>
          <w:sz w:val="26"/>
          <w:szCs w:val="26"/>
        </w:rPr>
        <w:t>’</w:t>
      </w:r>
      <w:r w:rsidR="00CA51CB">
        <w:rPr>
          <w:sz w:val="26"/>
          <w:szCs w:val="26"/>
        </w:rPr>
        <w:t>s</w:t>
      </w:r>
      <w:r w:rsidR="00E00915" w:rsidRPr="00EE5722">
        <w:rPr>
          <w:sz w:val="26"/>
          <w:szCs w:val="26"/>
        </w:rPr>
        <w:t xml:space="preserve"> recent default service proceeding, and the Commission rejected </w:t>
      </w:r>
      <w:r>
        <w:rPr>
          <w:sz w:val="26"/>
          <w:szCs w:val="26"/>
        </w:rPr>
        <w:t xml:space="preserve">the </w:t>
      </w:r>
      <w:r w:rsidR="00E00915" w:rsidRPr="00EE5722">
        <w:rPr>
          <w:sz w:val="26"/>
          <w:szCs w:val="26"/>
        </w:rPr>
        <w:t xml:space="preserve">OCA’s proposal there.  </w:t>
      </w:r>
      <w:r w:rsidR="00CA51CB" w:rsidRPr="00CA51CB">
        <w:rPr>
          <w:i/>
          <w:sz w:val="26"/>
          <w:szCs w:val="26"/>
        </w:rPr>
        <w:t>FirstEnergy DSP Order</w:t>
      </w:r>
      <w:r w:rsidR="00CA51CB">
        <w:rPr>
          <w:sz w:val="26"/>
          <w:szCs w:val="26"/>
        </w:rPr>
        <w:t xml:space="preserve"> at </w:t>
      </w:r>
      <w:r w:rsidR="00284935">
        <w:rPr>
          <w:sz w:val="26"/>
          <w:szCs w:val="26"/>
        </w:rPr>
        <w:t>29</w:t>
      </w:r>
      <w:r w:rsidR="00CA51CB">
        <w:rPr>
          <w:sz w:val="26"/>
          <w:szCs w:val="26"/>
        </w:rPr>
        <w:t xml:space="preserve">.  </w:t>
      </w:r>
      <w:r w:rsidR="00E00915" w:rsidRPr="00EE5722">
        <w:rPr>
          <w:sz w:val="26"/>
          <w:szCs w:val="26"/>
        </w:rPr>
        <w:t xml:space="preserve">Furthermore, </w:t>
      </w:r>
      <w:r w:rsidR="00CA51CB">
        <w:rPr>
          <w:sz w:val="26"/>
          <w:szCs w:val="26"/>
        </w:rPr>
        <w:t xml:space="preserve">Duquesne stated that </w:t>
      </w:r>
      <w:r w:rsidR="00E00915" w:rsidRPr="00EE5722">
        <w:rPr>
          <w:sz w:val="26"/>
          <w:szCs w:val="26"/>
        </w:rPr>
        <w:t xml:space="preserve">it does not appear that a similar proposal made by </w:t>
      </w:r>
      <w:r>
        <w:rPr>
          <w:sz w:val="26"/>
          <w:szCs w:val="26"/>
        </w:rPr>
        <w:t xml:space="preserve">the </w:t>
      </w:r>
      <w:r w:rsidR="00E00915" w:rsidRPr="00EE5722">
        <w:rPr>
          <w:sz w:val="26"/>
          <w:szCs w:val="26"/>
        </w:rPr>
        <w:t>OCA was approved in the</w:t>
      </w:r>
      <w:r w:rsidR="00CA51CB">
        <w:rPr>
          <w:sz w:val="26"/>
          <w:szCs w:val="26"/>
        </w:rPr>
        <w:t xml:space="preserve"> binding poll (</w:t>
      </w:r>
      <w:r w:rsidR="00CA51CB" w:rsidRPr="00CA51CB">
        <w:rPr>
          <w:i/>
          <w:sz w:val="26"/>
          <w:szCs w:val="26"/>
        </w:rPr>
        <w:t>PECO Binding Poll</w:t>
      </w:r>
      <w:r w:rsidR="00CA51CB">
        <w:rPr>
          <w:sz w:val="26"/>
          <w:szCs w:val="26"/>
        </w:rPr>
        <w:t xml:space="preserve">) that was conducted by the Commission prior to the issuance of the </w:t>
      </w:r>
      <w:r w:rsidR="00E00915" w:rsidRPr="00EE5722">
        <w:rPr>
          <w:sz w:val="26"/>
          <w:szCs w:val="26"/>
        </w:rPr>
        <w:t xml:space="preserve"> </w:t>
      </w:r>
      <w:r w:rsidR="00E00915" w:rsidRPr="00EE5722">
        <w:rPr>
          <w:i/>
          <w:sz w:val="26"/>
          <w:szCs w:val="26"/>
        </w:rPr>
        <w:t xml:space="preserve">PECO </w:t>
      </w:r>
      <w:r w:rsidR="00CA51CB">
        <w:rPr>
          <w:i/>
          <w:sz w:val="26"/>
          <w:szCs w:val="26"/>
        </w:rPr>
        <w:t>DSP Order</w:t>
      </w:r>
      <w:r w:rsidR="00E00915" w:rsidRPr="00EE5722">
        <w:rPr>
          <w:sz w:val="26"/>
          <w:szCs w:val="26"/>
        </w:rPr>
        <w:t xml:space="preserve">. </w:t>
      </w:r>
      <w:r w:rsidR="00E00915" w:rsidRPr="00EE5722">
        <w:rPr>
          <w:i/>
          <w:sz w:val="26"/>
          <w:szCs w:val="26"/>
        </w:rPr>
        <w:t xml:space="preserve"> PECO Binding Poll</w:t>
      </w:r>
      <w:r w:rsidR="00E00915" w:rsidRPr="00EE5722">
        <w:rPr>
          <w:sz w:val="26"/>
          <w:szCs w:val="26"/>
        </w:rPr>
        <w:t>, Issue No. 1.</w:t>
      </w:r>
      <w:r w:rsidR="00CA51CB">
        <w:rPr>
          <w:sz w:val="26"/>
          <w:szCs w:val="26"/>
        </w:rPr>
        <w:t xml:space="preserve">  </w:t>
      </w:r>
      <w:r>
        <w:rPr>
          <w:sz w:val="26"/>
          <w:szCs w:val="26"/>
        </w:rPr>
        <w:t>The Company contended</w:t>
      </w:r>
      <w:r w:rsidR="00E00915" w:rsidRPr="00EE5722">
        <w:rPr>
          <w:sz w:val="26"/>
          <w:szCs w:val="26"/>
        </w:rPr>
        <w:t xml:space="preserve"> </w:t>
      </w:r>
      <w:r>
        <w:rPr>
          <w:sz w:val="26"/>
          <w:szCs w:val="26"/>
        </w:rPr>
        <w:t xml:space="preserve">that the </w:t>
      </w:r>
      <w:r w:rsidR="00E00915" w:rsidRPr="00EE5722">
        <w:rPr>
          <w:sz w:val="26"/>
          <w:szCs w:val="26"/>
        </w:rPr>
        <w:t>OCA’s proposal should be rejected for the same reasons the Commission rejected it</w:t>
      </w:r>
      <w:r w:rsidR="009C04BD">
        <w:rPr>
          <w:sz w:val="26"/>
          <w:szCs w:val="26"/>
        </w:rPr>
        <w:t xml:space="preserve"> previously.  Duquesne</w:t>
      </w:r>
      <w:r w:rsidR="00E00915" w:rsidRPr="00EE5722">
        <w:rPr>
          <w:sz w:val="26"/>
          <w:szCs w:val="26"/>
        </w:rPr>
        <w:t>’s proposal to include twelve-m</w:t>
      </w:r>
      <w:r w:rsidR="00CA51CB">
        <w:rPr>
          <w:sz w:val="26"/>
          <w:szCs w:val="26"/>
        </w:rPr>
        <w:t>onth FRCs</w:t>
      </w:r>
      <w:r w:rsidR="00E00915" w:rsidRPr="00EE5722">
        <w:rPr>
          <w:sz w:val="26"/>
          <w:szCs w:val="26"/>
        </w:rPr>
        <w:t xml:space="preserve"> in the resid</w:t>
      </w:r>
      <w:r w:rsidR="00CA51CB">
        <w:rPr>
          <w:sz w:val="26"/>
          <w:szCs w:val="26"/>
        </w:rPr>
        <w:t>ential default service plan would</w:t>
      </w:r>
      <w:r w:rsidR="00E00915" w:rsidRPr="00EE5722">
        <w:rPr>
          <w:sz w:val="26"/>
          <w:szCs w:val="26"/>
        </w:rPr>
        <w:t xml:space="preserve"> mitigate risks associated with </w:t>
      </w:r>
      <w:r w:rsidR="00CA51CB">
        <w:rPr>
          <w:sz w:val="26"/>
          <w:szCs w:val="26"/>
        </w:rPr>
        <w:t>the one-year duration of the Opt-In</w:t>
      </w:r>
      <w:r w:rsidR="00E00915" w:rsidRPr="00EE5722">
        <w:rPr>
          <w:sz w:val="26"/>
          <w:szCs w:val="26"/>
        </w:rPr>
        <w:t xml:space="preserve"> Progra</w:t>
      </w:r>
      <w:r w:rsidR="009C04BD">
        <w:rPr>
          <w:sz w:val="26"/>
          <w:szCs w:val="26"/>
        </w:rPr>
        <w:t xml:space="preserve">m.  In addition, Duquesne </w:t>
      </w:r>
      <w:r>
        <w:rPr>
          <w:sz w:val="26"/>
          <w:szCs w:val="26"/>
        </w:rPr>
        <w:t>pointed</w:t>
      </w:r>
      <w:r w:rsidR="00E00915" w:rsidRPr="00EE5722">
        <w:rPr>
          <w:sz w:val="26"/>
          <w:szCs w:val="26"/>
        </w:rPr>
        <w:t xml:space="preserve"> out it did not propose to acquire block supplies</w:t>
      </w:r>
      <w:r w:rsidR="00CA51CB">
        <w:rPr>
          <w:sz w:val="26"/>
          <w:szCs w:val="26"/>
        </w:rPr>
        <w:t>,</w:t>
      </w:r>
      <w:r w:rsidR="00E00915" w:rsidRPr="00EE5722">
        <w:rPr>
          <w:sz w:val="26"/>
          <w:szCs w:val="26"/>
        </w:rPr>
        <w:t xml:space="preserve"> so it will n</w:t>
      </w:r>
      <w:r w:rsidR="00CA51CB">
        <w:rPr>
          <w:sz w:val="26"/>
          <w:szCs w:val="26"/>
        </w:rPr>
        <w:t>ot have unneeded supplies if Opt-In</w:t>
      </w:r>
      <w:r w:rsidR="00E00915" w:rsidRPr="00EE5722">
        <w:rPr>
          <w:sz w:val="26"/>
          <w:szCs w:val="26"/>
        </w:rPr>
        <w:t xml:space="preserve"> Program participation is greater than expected.</w:t>
      </w:r>
    </w:p>
    <w:p w:rsidR="00E00915" w:rsidRPr="00EE5722" w:rsidRDefault="00E00915" w:rsidP="00E00915">
      <w:pPr>
        <w:pStyle w:val="BodyText2"/>
        <w:spacing w:line="360" w:lineRule="auto"/>
        <w:rPr>
          <w:sz w:val="26"/>
          <w:szCs w:val="26"/>
        </w:rPr>
      </w:pPr>
    </w:p>
    <w:p w:rsidR="0084672B" w:rsidRDefault="009C04BD" w:rsidP="00284935">
      <w:pPr>
        <w:pStyle w:val="BodyText2"/>
        <w:spacing w:after="0" w:line="360" w:lineRule="auto"/>
        <w:ind w:firstLine="1440"/>
        <w:rPr>
          <w:sz w:val="26"/>
          <w:szCs w:val="26"/>
          <w:lang w:val="en-US"/>
        </w:rPr>
      </w:pPr>
      <w:r>
        <w:rPr>
          <w:sz w:val="26"/>
          <w:szCs w:val="26"/>
        </w:rPr>
        <w:t xml:space="preserve">In addition, Duquesne </w:t>
      </w:r>
      <w:r w:rsidR="00E97355">
        <w:rPr>
          <w:sz w:val="26"/>
          <w:szCs w:val="26"/>
        </w:rPr>
        <w:t>contended</w:t>
      </w:r>
      <w:r w:rsidR="00E00915" w:rsidRPr="00EE5722">
        <w:rPr>
          <w:sz w:val="26"/>
          <w:szCs w:val="26"/>
        </w:rPr>
        <w:t xml:space="preserve"> </w:t>
      </w:r>
      <w:r w:rsidR="00E97355">
        <w:rPr>
          <w:sz w:val="26"/>
          <w:szCs w:val="26"/>
        </w:rPr>
        <w:t xml:space="preserve">that the </w:t>
      </w:r>
      <w:r w:rsidR="00E00915" w:rsidRPr="00EE5722">
        <w:rPr>
          <w:sz w:val="26"/>
          <w:szCs w:val="26"/>
        </w:rPr>
        <w:t xml:space="preserve">OCA’s proposal should </w:t>
      </w:r>
      <w:r w:rsidR="00CA51CB">
        <w:rPr>
          <w:sz w:val="26"/>
          <w:szCs w:val="26"/>
        </w:rPr>
        <w:t>be rejected because: (1) it would</w:t>
      </w:r>
      <w:r w:rsidR="00E00915" w:rsidRPr="00EE5722">
        <w:rPr>
          <w:sz w:val="26"/>
          <w:szCs w:val="26"/>
        </w:rPr>
        <w:t xml:space="preserve"> leave a significant amount of default service load completely unhedged for an extended period of time; (2) it could lead to substantially higher supply costs if market prices increase during the unhedged period; (3) it could lead to significant over/under collections balances; (4) it unreasonably shifts risks to default service customers; and (5) it reduces the compatibility between the resident</w:t>
      </w:r>
      <w:r w:rsidR="00CA51CB">
        <w:rPr>
          <w:sz w:val="26"/>
          <w:szCs w:val="26"/>
        </w:rPr>
        <w:t>ial default service rate and Opt-In</w:t>
      </w:r>
      <w:r w:rsidR="00E00915" w:rsidRPr="00EE5722">
        <w:rPr>
          <w:sz w:val="26"/>
          <w:szCs w:val="26"/>
        </w:rPr>
        <w:t xml:space="preserve"> Program offering by making it impossible</w:t>
      </w:r>
      <w:r w:rsidR="00CA51CB">
        <w:rPr>
          <w:sz w:val="26"/>
          <w:szCs w:val="26"/>
        </w:rPr>
        <w:t xml:space="preserve"> to offer both a fixed price Opt-In</w:t>
      </w:r>
      <w:r w:rsidR="00E00915" w:rsidRPr="00EE5722">
        <w:rPr>
          <w:sz w:val="26"/>
          <w:szCs w:val="26"/>
        </w:rPr>
        <w:t xml:space="preserve"> product and guaranteed savings o</w:t>
      </w:r>
      <w:r w:rsidR="00CA51CB">
        <w:rPr>
          <w:sz w:val="26"/>
          <w:szCs w:val="26"/>
        </w:rPr>
        <w:t>ver the Opt-In</w:t>
      </w:r>
      <w:r w:rsidR="00E00915" w:rsidRPr="00EE5722">
        <w:rPr>
          <w:sz w:val="26"/>
          <w:szCs w:val="26"/>
        </w:rPr>
        <w:t xml:space="preserve"> Program term.</w:t>
      </w:r>
      <w:r w:rsidR="00E21DCF" w:rsidRPr="00EE5722">
        <w:rPr>
          <w:sz w:val="26"/>
          <w:szCs w:val="26"/>
        </w:rPr>
        <w:t xml:space="preserve">  </w:t>
      </w:r>
      <w:r w:rsidR="00E97355">
        <w:rPr>
          <w:sz w:val="26"/>
          <w:szCs w:val="26"/>
        </w:rPr>
        <w:t xml:space="preserve">Duquesne St. </w:t>
      </w:r>
      <w:r>
        <w:rPr>
          <w:sz w:val="26"/>
          <w:szCs w:val="26"/>
        </w:rPr>
        <w:t xml:space="preserve">8-R at </w:t>
      </w:r>
      <w:r w:rsidR="00E00915" w:rsidRPr="00EE5722">
        <w:rPr>
          <w:sz w:val="26"/>
          <w:szCs w:val="26"/>
        </w:rPr>
        <w:t>12-21</w:t>
      </w:r>
      <w:r w:rsidR="00E97355">
        <w:rPr>
          <w:sz w:val="26"/>
          <w:szCs w:val="26"/>
        </w:rPr>
        <w:t xml:space="preserve">; Duquesne St. </w:t>
      </w:r>
      <w:r>
        <w:rPr>
          <w:sz w:val="26"/>
          <w:szCs w:val="26"/>
        </w:rPr>
        <w:t xml:space="preserve">8-RJ at </w:t>
      </w:r>
      <w:r w:rsidR="00E00915" w:rsidRPr="00EE5722">
        <w:rPr>
          <w:sz w:val="26"/>
          <w:szCs w:val="26"/>
        </w:rPr>
        <w:t>12.</w:t>
      </w:r>
    </w:p>
    <w:p w:rsidR="005915E1" w:rsidRPr="005915E1" w:rsidRDefault="005915E1" w:rsidP="00284935">
      <w:pPr>
        <w:pStyle w:val="BodyText2"/>
        <w:spacing w:after="0" w:line="360" w:lineRule="auto"/>
        <w:ind w:firstLine="1440"/>
        <w:rPr>
          <w:sz w:val="26"/>
          <w:szCs w:val="26"/>
          <w:lang w:val="en-US"/>
        </w:rPr>
      </w:pPr>
    </w:p>
    <w:p w:rsidR="00E00915" w:rsidRDefault="00E00915" w:rsidP="00115AB3">
      <w:pPr>
        <w:pStyle w:val="Heading5"/>
      </w:pPr>
      <w:bookmarkStart w:id="34" w:name="_Toc346705276"/>
      <w:r w:rsidRPr="00EE5722">
        <w:t>Position</w:t>
      </w:r>
      <w:r w:rsidR="00E97355">
        <w:t>s of the Parties</w:t>
      </w:r>
      <w:bookmarkEnd w:id="34"/>
    </w:p>
    <w:p w:rsidR="00B67E4B" w:rsidRPr="00B67E4B" w:rsidRDefault="00B67E4B" w:rsidP="00B67E4B">
      <w:pPr>
        <w:spacing w:line="360" w:lineRule="auto"/>
        <w:rPr>
          <w:b/>
          <w:sz w:val="26"/>
          <w:szCs w:val="26"/>
        </w:rPr>
      </w:pPr>
    </w:p>
    <w:p w:rsidR="00297E8C" w:rsidRPr="00EE5722" w:rsidRDefault="00306F27" w:rsidP="00E00915">
      <w:pPr>
        <w:spacing w:line="360" w:lineRule="auto"/>
        <w:rPr>
          <w:sz w:val="26"/>
          <w:szCs w:val="26"/>
        </w:rPr>
      </w:pPr>
      <w:r w:rsidRPr="00EE5722">
        <w:rPr>
          <w:sz w:val="26"/>
          <w:szCs w:val="26"/>
        </w:rPr>
        <w:tab/>
      </w:r>
      <w:r w:rsidRPr="00EE5722">
        <w:rPr>
          <w:sz w:val="26"/>
          <w:szCs w:val="26"/>
        </w:rPr>
        <w:tab/>
      </w:r>
      <w:r w:rsidR="00E97355">
        <w:rPr>
          <w:sz w:val="26"/>
          <w:szCs w:val="26"/>
        </w:rPr>
        <w:t xml:space="preserve">The </w:t>
      </w:r>
      <w:r w:rsidR="00297E8C" w:rsidRPr="00EE5722">
        <w:rPr>
          <w:sz w:val="26"/>
          <w:szCs w:val="26"/>
        </w:rPr>
        <w:t xml:space="preserve">OCA </w:t>
      </w:r>
      <w:r w:rsidR="00E97355">
        <w:rPr>
          <w:sz w:val="26"/>
          <w:szCs w:val="26"/>
        </w:rPr>
        <w:t>argued that</w:t>
      </w:r>
      <w:r w:rsidR="00297E8C" w:rsidRPr="00EE5722">
        <w:rPr>
          <w:sz w:val="26"/>
          <w:szCs w:val="26"/>
        </w:rPr>
        <w:t xml:space="preserve"> the Company’s DSP must be designed to achieve least cost to customers over t</w:t>
      </w:r>
      <w:r w:rsidR="00CA51CB">
        <w:rPr>
          <w:sz w:val="26"/>
          <w:szCs w:val="26"/>
        </w:rPr>
        <w:t xml:space="preserve">ime.  To achieve that goal, </w:t>
      </w:r>
      <w:r w:rsidR="00297E8C" w:rsidRPr="00EE5722">
        <w:rPr>
          <w:sz w:val="26"/>
          <w:szCs w:val="26"/>
        </w:rPr>
        <w:t>procurements must be conducted in a stable environment without adding excessive risks to wholesale de</w:t>
      </w:r>
      <w:r w:rsidR="00CA51CB">
        <w:rPr>
          <w:sz w:val="26"/>
          <w:szCs w:val="26"/>
        </w:rPr>
        <w:t xml:space="preserve">fault suppliers that would </w:t>
      </w:r>
      <w:r w:rsidR="00297E8C" w:rsidRPr="00EE5722">
        <w:rPr>
          <w:sz w:val="26"/>
          <w:szCs w:val="26"/>
        </w:rPr>
        <w:t xml:space="preserve">impact default service rates.  In order to protect the default service procurement </w:t>
      </w:r>
      <w:r w:rsidR="00297E8C" w:rsidRPr="00EE5722">
        <w:rPr>
          <w:sz w:val="26"/>
          <w:szCs w:val="26"/>
        </w:rPr>
        <w:lastRenderedPageBreak/>
        <w:t xml:space="preserve">process </w:t>
      </w:r>
      <w:r w:rsidR="00CA51CB">
        <w:rPr>
          <w:sz w:val="26"/>
          <w:szCs w:val="26"/>
        </w:rPr>
        <w:t>in light of the proposed Opt-In Program</w:t>
      </w:r>
      <w:r w:rsidR="00297E8C" w:rsidRPr="00EE5722">
        <w:rPr>
          <w:sz w:val="26"/>
          <w:szCs w:val="26"/>
        </w:rPr>
        <w:t xml:space="preserve">, </w:t>
      </w:r>
      <w:r w:rsidR="00E97355">
        <w:rPr>
          <w:sz w:val="26"/>
          <w:szCs w:val="26"/>
        </w:rPr>
        <w:t xml:space="preserve">the </w:t>
      </w:r>
      <w:r w:rsidR="00297E8C" w:rsidRPr="00EE5722">
        <w:rPr>
          <w:sz w:val="26"/>
          <w:szCs w:val="26"/>
        </w:rPr>
        <w:t xml:space="preserve">OCA </w:t>
      </w:r>
      <w:r w:rsidRPr="00EE5722">
        <w:rPr>
          <w:sz w:val="26"/>
          <w:szCs w:val="26"/>
        </w:rPr>
        <w:t>suggested</w:t>
      </w:r>
      <w:r w:rsidR="00297E8C" w:rsidRPr="00EE5722">
        <w:rPr>
          <w:sz w:val="26"/>
          <w:szCs w:val="26"/>
        </w:rPr>
        <w:t xml:space="preserve"> a mechanism </w:t>
      </w:r>
      <w:r w:rsidRPr="00EE5722">
        <w:rPr>
          <w:sz w:val="26"/>
          <w:szCs w:val="26"/>
        </w:rPr>
        <w:t xml:space="preserve">to substantially mitigate </w:t>
      </w:r>
      <w:r w:rsidR="00CA51CB">
        <w:rPr>
          <w:sz w:val="26"/>
          <w:szCs w:val="26"/>
        </w:rPr>
        <w:t>the open-</w:t>
      </w:r>
      <w:r w:rsidR="00297E8C" w:rsidRPr="00EE5722">
        <w:rPr>
          <w:sz w:val="26"/>
          <w:szCs w:val="26"/>
        </w:rPr>
        <w:t>ended risk</w:t>
      </w:r>
      <w:r w:rsidR="00CA51CB">
        <w:rPr>
          <w:sz w:val="26"/>
          <w:szCs w:val="26"/>
        </w:rPr>
        <w:t>s to default service wholesale suppliers</w:t>
      </w:r>
      <w:r w:rsidR="00F04B32">
        <w:rPr>
          <w:sz w:val="26"/>
          <w:szCs w:val="26"/>
        </w:rPr>
        <w:t>.</w:t>
      </w:r>
      <w:r w:rsidR="00CA51CB">
        <w:rPr>
          <w:sz w:val="26"/>
          <w:szCs w:val="26"/>
        </w:rPr>
        <w:t xml:space="preserve">  </w:t>
      </w:r>
      <w:r w:rsidR="00E97355">
        <w:rPr>
          <w:sz w:val="26"/>
          <w:szCs w:val="26"/>
        </w:rPr>
        <w:t>The OCA pointed</w:t>
      </w:r>
      <w:r w:rsidRPr="00EE5722">
        <w:rPr>
          <w:sz w:val="26"/>
          <w:szCs w:val="26"/>
        </w:rPr>
        <w:t xml:space="preserve"> out </w:t>
      </w:r>
      <w:r w:rsidR="00E97355">
        <w:rPr>
          <w:sz w:val="26"/>
          <w:szCs w:val="26"/>
        </w:rPr>
        <w:t xml:space="preserve">that </w:t>
      </w:r>
      <w:r w:rsidRPr="00EE5722">
        <w:rPr>
          <w:sz w:val="26"/>
          <w:szCs w:val="26"/>
        </w:rPr>
        <w:t>t</w:t>
      </w:r>
      <w:r w:rsidR="00297E8C" w:rsidRPr="00EE5722">
        <w:rPr>
          <w:sz w:val="26"/>
          <w:szCs w:val="26"/>
        </w:rPr>
        <w:t xml:space="preserve">he </w:t>
      </w:r>
      <w:r w:rsidR="00B64F3F" w:rsidRPr="00EE5722">
        <w:rPr>
          <w:sz w:val="26"/>
          <w:szCs w:val="26"/>
        </w:rPr>
        <w:t>O</w:t>
      </w:r>
      <w:r w:rsidR="00297E8C" w:rsidRPr="00EE5722">
        <w:rPr>
          <w:sz w:val="26"/>
          <w:szCs w:val="26"/>
        </w:rPr>
        <w:t>pt-</w:t>
      </w:r>
      <w:r w:rsidR="00B64F3F" w:rsidRPr="00EE5722">
        <w:rPr>
          <w:sz w:val="26"/>
          <w:szCs w:val="26"/>
        </w:rPr>
        <w:t>I</w:t>
      </w:r>
      <w:r w:rsidR="00297E8C" w:rsidRPr="00EE5722">
        <w:rPr>
          <w:sz w:val="26"/>
          <w:szCs w:val="26"/>
        </w:rPr>
        <w:t xml:space="preserve">n </w:t>
      </w:r>
      <w:r w:rsidR="00B64F3F" w:rsidRPr="00EE5722">
        <w:rPr>
          <w:sz w:val="26"/>
          <w:szCs w:val="26"/>
        </w:rPr>
        <w:t>P</w:t>
      </w:r>
      <w:r w:rsidR="00297E8C" w:rsidRPr="00EE5722">
        <w:rPr>
          <w:sz w:val="26"/>
          <w:szCs w:val="26"/>
        </w:rPr>
        <w:t>rogram is unlike any program in any other electric choice state</w:t>
      </w:r>
      <w:r w:rsidR="00A12F2C">
        <w:rPr>
          <w:sz w:val="26"/>
          <w:szCs w:val="26"/>
        </w:rPr>
        <w:t>,</w:t>
      </w:r>
      <w:r w:rsidRPr="00EE5722">
        <w:rPr>
          <w:sz w:val="26"/>
          <w:szCs w:val="26"/>
        </w:rPr>
        <w:t xml:space="preserve"> a</w:t>
      </w:r>
      <w:r w:rsidR="00A12F2C">
        <w:rPr>
          <w:sz w:val="26"/>
          <w:szCs w:val="26"/>
        </w:rPr>
        <w:t>nd therefore</w:t>
      </w:r>
      <w:r w:rsidRPr="00EE5722">
        <w:rPr>
          <w:sz w:val="26"/>
          <w:szCs w:val="26"/>
        </w:rPr>
        <w:t xml:space="preserve"> </w:t>
      </w:r>
      <w:r w:rsidR="00297E8C" w:rsidRPr="00EE5722">
        <w:rPr>
          <w:sz w:val="26"/>
          <w:szCs w:val="26"/>
        </w:rPr>
        <w:t xml:space="preserve">caution is warranted to avoid the introduction of significant volumetric risks to the wholesale suppliers that could limit the number of bidders or result in illusory savings for customers.  </w:t>
      </w:r>
    </w:p>
    <w:p w:rsidR="00BE1713" w:rsidRPr="00EE5722" w:rsidRDefault="00BE1713" w:rsidP="00436BCE">
      <w:pPr>
        <w:spacing w:line="360" w:lineRule="auto"/>
        <w:rPr>
          <w:sz w:val="26"/>
          <w:szCs w:val="26"/>
        </w:rPr>
      </w:pPr>
    </w:p>
    <w:p w:rsidR="00297E8C" w:rsidRPr="00EE5722" w:rsidRDefault="00297E8C" w:rsidP="00284935">
      <w:pPr>
        <w:spacing w:line="360" w:lineRule="auto"/>
        <w:rPr>
          <w:sz w:val="26"/>
          <w:szCs w:val="26"/>
        </w:rPr>
      </w:pPr>
      <w:r w:rsidRPr="00EE5722">
        <w:rPr>
          <w:sz w:val="26"/>
          <w:szCs w:val="26"/>
        </w:rPr>
        <w:tab/>
      </w:r>
      <w:r w:rsidRPr="00EE5722">
        <w:rPr>
          <w:sz w:val="26"/>
          <w:szCs w:val="26"/>
        </w:rPr>
        <w:tab/>
      </w:r>
      <w:r w:rsidR="00E97355">
        <w:rPr>
          <w:sz w:val="26"/>
          <w:szCs w:val="26"/>
        </w:rPr>
        <w:t xml:space="preserve">The </w:t>
      </w:r>
      <w:r w:rsidRPr="00EE5722">
        <w:rPr>
          <w:sz w:val="26"/>
          <w:szCs w:val="26"/>
        </w:rPr>
        <w:t>OCA recom</w:t>
      </w:r>
      <w:r w:rsidR="00CA51CB">
        <w:rPr>
          <w:sz w:val="26"/>
          <w:szCs w:val="26"/>
        </w:rPr>
        <w:t xml:space="preserve">mended a procedure by which </w:t>
      </w:r>
      <w:r w:rsidRPr="00EE5722">
        <w:rPr>
          <w:sz w:val="26"/>
          <w:szCs w:val="26"/>
        </w:rPr>
        <w:t xml:space="preserve">wholesale bidders would not be exposed to the </w:t>
      </w:r>
      <w:r w:rsidR="00CA51CB">
        <w:rPr>
          <w:sz w:val="26"/>
          <w:szCs w:val="26"/>
        </w:rPr>
        <w:t>volumetric risk created by the Opt-In Program</w:t>
      </w:r>
      <w:r w:rsidR="00306F27" w:rsidRPr="00EE5722">
        <w:rPr>
          <w:sz w:val="26"/>
          <w:szCs w:val="26"/>
        </w:rPr>
        <w:t xml:space="preserve"> through a </w:t>
      </w:r>
      <w:r w:rsidRPr="00EE5722">
        <w:rPr>
          <w:sz w:val="26"/>
          <w:szCs w:val="26"/>
        </w:rPr>
        <w:t>“hold back” of supply</w:t>
      </w:r>
      <w:r w:rsidR="00306F27" w:rsidRPr="00EE5722">
        <w:rPr>
          <w:sz w:val="26"/>
          <w:szCs w:val="26"/>
        </w:rPr>
        <w:t xml:space="preserve">.  </w:t>
      </w:r>
      <w:r w:rsidR="00E97355">
        <w:rPr>
          <w:sz w:val="26"/>
          <w:szCs w:val="26"/>
        </w:rPr>
        <w:t xml:space="preserve">The </w:t>
      </w:r>
      <w:r w:rsidR="00306F27" w:rsidRPr="00EE5722">
        <w:rPr>
          <w:sz w:val="26"/>
          <w:szCs w:val="26"/>
        </w:rPr>
        <w:t>OCA opined</w:t>
      </w:r>
      <w:r w:rsidRPr="00EE5722">
        <w:rPr>
          <w:sz w:val="26"/>
          <w:szCs w:val="26"/>
        </w:rPr>
        <w:t xml:space="preserve"> </w:t>
      </w:r>
      <w:r w:rsidR="00CA51CB">
        <w:rPr>
          <w:sz w:val="26"/>
          <w:szCs w:val="26"/>
        </w:rPr>
        <w:t xml:space="preserve">that </w:t>
      </w:r>
      <w:r w:rsidRPr="00EE5722">
        <w:rPr>
          <w:sz w:val="26"/>
          <w:szCs w:val="26"/>
        </w:rPr>
        <w:t>full requirements bidde</w:t>
      </w:r>
      <w:r w:rsidR="00CA51CB">
        <w:rPr>
          <w:sz w:val="26"/>
          <w:szCs w:val="26"/>
        </w:rPr>
        <w:t xml:space="preserve">rs would be assured that the </w:t>
      </w:r>
      <w:r w:rsidR="00A12F2C">
        <w:rPr>
          <w:sz w:val="26"/>
          <w:szCs w:val="26"/>
        </w:rPr>
        <w:t>size of the tranches would be</w:t>
      </w:r>
      <w:r w:rsidRPr="00EE5722">
        <w:rPr>
          <w:sz w:val="26"/>
          <w:szCs w:val="26"/>
        </w:rPr>
        <w:t xml:space="preserve"> fix</w:t>
      </w:r>
      <w:r w:rsidR="00284935">
        <w:rPr>
          <w:sz w:val="26"/>
          <w:szCs w:val="26"/>
        </w:rPr>
        <w:t>ed at the expected fifty-five</w:t>
      </w:r>
      <w:r w:rsidR="00F04B32">
        <w:rPr>
          <w:sz w:val="26"/>
          <w:szCs w:val="26"/>
        </w:rPr>
        <w:t xml:space="preserve"> MW size.</w:t>
      </w:r>
      <w:r w:rsidR="00CA51CB">
        <w:rPr>
          <w:sz w:val="26"/>
          <w:szCs w:val="26"/>
        </w:rPr>
        <w:t xml:space="preserve">  </w:t>
      </w:r>
      <w:r w:rsidR="00E97355">
        <w:rPr>
          <w:sz w:val="26"/>
          <w:szCs w:val="26"/>
        </w:rPr>
        <w:t>The OCA argued that</w:t>
      </w:r>
      <w:r w:rsidR="006F011C" w:rsidRPr="00EE5722">
        <w:rPr>
          <w:sz w:val="26"/>
          <w:szCs w:val="26"/>
        </w:rPr>
        <w:t xml:space="preserve"> its </w:t>
      </w:r>
      <w:r w:rsidRPr="00EE5722">
        <w:rPr>
          <w:sz w:val="26"/>
          <w:szCs w:val="26"/>
        </w:rPr>
        <w:t>proposal would ensure that the ou</w:t>
      </w:r>
      <w:r w:rsidR="00CA51CB">
        <w:rPr>
          <w:sz w:val="26"/>
          <w:szCs w:val="26"/>
        </w:rPr>
        <w:t xml:space="preserve">tcome of the Opt-in </w:t>
      </w:r>
      <w:r w:rsidRPr="00EE5722">
        <w:rPr>
          <w:sz w:val="26"/>
          <w:szCs w:val="26"/>
        </w:rPr>
        <w:t>P</w:t>
      </w:r>
      <w:r w:rsidR="00CA51CB">
        <w:rPr>
          <w:sz w:val="26"/>
          <w:szCs w:val="26"/>
        </w:rPr>
        <w:t>rogram subscription process would</w:t>
      </w:r>
      <w:r w:rsidRPr="00EE5722">
        <w:rPr>
          <w:sz w:val="26"/>
          <w:szCs w:val="26"/>
        </w:rPr>
        <w:t xml:space="preserve"> have no effect o</w:t>
      </w:r>
      <w:r w:rsidR="00284935">
        <w:rPr>
          <w:sz w:val="26"/>
          <w:szCs w:val="26"/>
        </w:rPr>
        <w:t>n the amount of MW (or MWh</w:t>
      </w:r>
      <w:r w:rsidR="00CA51CB">
        <w:rPr>
          <w:sz w:val="26"/>
          <w:szCs w:val="26"/>
        </w:rPr>
        <w:t>) of default s</w:t>
      </w:r>
      <w:r w:rsidRPr="00EE5722">
        <w:rPr>
          <w:sz w:val="26"/>
          <w:szCs w:val="26"/>
        </w:rPr>
        <w:t>ervice load served by the winning wholesale FRC suppliers.  OCA St. 1 at 21-22.</w:t>
      </w:r>
      <w:r w:rsidR="00A12F2C">
        <w:rPr>
          <w:sz w:val="26"/>
          <w:szCs w:val="26"/>
        </w:rPr>
        <w:t xml:space="preserve">  </w:t>
      </w:r>
      <w:r w:rsidR="006F62A7">
        <w:rPr>
          <w:sz w:val="26"/>
          <w:szCs w:val="26"/>
        </w:rPr>
        <w:t>The OCA explained that</w:t>
      </w:r>
      <w:r w:rsidR="006F011C" w:rsidRPr="00EE5722">
        <w:rPr>
          <w:sz w:val="26"/>
          <w:szCs w:val="26"/>
        </w:rPr>
        <w:t xml:space="preserve"> </w:t>
      </w:r>
      <w:r w:rsidRPr="00EE5722">
        <w:rPr>
          <w:sz w:val="26"/>
          <w:szCs w:val="26"/>
        </w:rPr>
        <w:t>unfil</w:t>
      </w:r>
      <w:r w:rsidR="00A12F2C">
        <w:rPr>
          <w:sz w:val="26"/>
          <w:szCs w:val="26"/>
        </w:rPr>
        <w:t>led tranches held back for the Opt-In P</w:t>
      </w:r>
      <w:r w:rsidRPr="00EE5722">
        <w:rPr>
          <w:sz w:val="26"/>
          <w:szCs w:val="26"/>
        </w:rPr>
        <w:t>rogram would be offered back to winning wholesale bidders</w:t>
      </w:r>
      <w:r w:rsidR="00A12F2C">
        <w:rPr>
          <w:sz w:val="26"/>
          <w:szCs w:val="26"/>
        </w:rPr>
        <w:t xml:space="preserve"> </w:t>
      </w:r>
      <w:r w:rsidR="006F011C" w:rsidRPr="00EE5722">
        <w:rPr>
          <w:sz w:val="26"/>
          <w:szCs w:val="26"/>
        </w:rPr>
        <w:t xml:space="preserve">in the event the </w:t>
      </w:r>
      <w:r w:rsidR="00B64F3F" w:rsidRPr="00EE5722">
        <w:rPr>
          <w:sz w:val="26"/>
          <w:szCs w:val="26"/>
        </w:rPr>
        <w:t>O</w:t>
      </w:r>
      <w:r w:rsidR="006F011C" w:rsidRPr="00EE5722">
        <w:rPr>
          <w:sz w:val="26"/>
          <w:szCs w:val="26"/>
        </w:rPr>
        <w:t>pt-</w:t>
      </w:r>
      <w:r w:rsidR="00B64F3F" w:rsidRPr="00EE5722">
        <w:rPr>
          <w:sz w:val="26"/>
          <w:szCs w:val="26"/>
        </w:rPr>
        <w:t>I</w:t>
      </w:r>
      <w:r w:rsidR="006F011C" w:rsidRPr="00EE5722">
        <w:rPr>
          <w:sz w:val="26"/>
          <w:szCs w:val="26"/>
        </w:rPr>
        <w:t xml:space="preserve">n </w:t>
      </w:r>
      <w:r w:rsidR="00B64F3F" w:rsidRPr="00EE5722">
        <w:rPr>
          <w:sz w:val="26"/>
          <w:szCs w:val="26"/>
        </w:rPr>
        <w:t>P</w:t>
      </w:r>
      <w:r w:rsidR="006F011C" w:rsidRPr="00EE5722">
        <w:rPr>
          <w:sz w:val="26"/>
          <w:szCs w:val="26"/>
        </w:rPr>
        <w:t xml:space="preserve">rogram does not </w:t>
      </w:r>
      <w:r w:rsidR="00284935">
        <w:rPr>
          <w:sz w:val="26"/>
          <w:szCs w:val="26"/>
        </w:rPr>
        <w:t>reach a 20% participation level.</w:t>
      </w:r>
      <w:r w:rsidRPr="00EE5722">
        <w:rPr>
          <w:sz w:val="26"/>
          <w:szCs w:val="26"/>
        </w:rPr>
        <w:t xml:space="preserve">  OCA St. 1 at 23.  </w:t>
      </w:r>
    </w:p>
    <w:p w:rsidR="00BE1713" w:rsidRPr="00EE5722" w:rsidRDefault="00297E8C" w:rsidP="00284935">
      <w:pPr>
        <w:spacing w:line="360" w:lineRule="auto"/>
        <w:rPr>
          <w:sz w:val="26"/>
          <w:szCs w:val="26"/>
        </w:rPr>
      </w:pPr>
      <w:r w:rsidRPr="00EE5722">
        <w:rPr>
          <w:sz w:val="26"/>
          <w:szCs w:val="26"/>
        </w:rPr>
        <w:tab/>
      </w:r>
    </w:p>
    <w:p w:rsidR="00884AFB" w:rsidRPr="006F62A7" w:rsidRDefault="00BE1713" w:rsidP="006F62A7">
      <w:pPr>
        <w:spacing w:line="360" w:lineRule="auto"/>
        <w:rPr>
          <w:sz w:val="26"/>
          <w:szCs w:val="26"/>
        </w:rPr>
      </w:pPr>
      <w:r w:rsidRPr="00EE5722">
        <w:rPr>
          <w:sz w:val="26"/>
          <w:szCs w:val="26"/>
        </w:rPr>
        <w:tab/>
      </w:r>
      <w:r w:rsidR="00297E8C" w:rsidRPr="00EE5722">
        <w:rPr>
          <w:sz w:val="26"/>
          <w:szCs w:val="26"/>
        </w:rPr>
        <w:tab/>
      </w:r>
      <w:r w:rsidR="006F62A7">
        <w:rPr>
          <w:sz w:val="26"/>
          <w:szCs w:val="26"/>
        </w:rPr>
        <w:t>The OCA submitted that</w:t>
      </w:r>
      <w:r w:rsidR="00297E8C" w:rsidRPr="00EE5722">
        <w:rPr>
          <w:sz w:val="26"/>
          <w:szCs w:val="26"/>
        </w:rPr>
        <w:t xml:space="preserve"> </w:t>
      </w:r>
      <w:r w:rsidR="006F011C" w:rsidRPr="00EE5722">
        <w:rPr>
          <w:sz w:val="26"/>
          <w:szCs w:val="26"/>
        </w:rPr>
        <w:t>its</w:t>
      </w:r>
      <w:r w:rsidR="00297E8C" w:rsidRPr="00EE5722">
        <w:rPr>
          <w:sz w:val="26"/>
          <w:szCs w:val="26"/>
        </w:rPr>
        <w:t xml:space="preserve"> proposal </w:t>
      </w:r>
      <w:r w:rsidR="00A12F2C">
        <w:rPr>
          <w:sz w:val="26"/>
          <w:szCs w:val="26"/>
        </w:rPr>
        <w:t>would address</w:t>
      </w:r>
      <w:r w:rsidR="00297E8C" w:rsidRPr="00EE5722">
        <w:rPr>
          <w:sz w:val="26"/>
          <w:szCs w:val="26"/>
        </w:rPr>
        <w:t xml:space="preserve"> the potential negative impact an open-ended </w:t>
      </w:r>
      <w:r w:rsidR="0052141E" w:rsidRPr="00EE5722">
        <w:rPr>
          <w:sz w:val="26"/>
          <w:szCs w:val="26"/>
        </w:rPr>
        <w:t>O</w:t>
      </w:r>
      <w:r w:rsidR="00297E8C" w:rsidRPr="00EE5722">
        <w:rPr>
          <w:sz w:val="26"/>
          <w:szCs w:val="26"/>
        </w:rPr>
        <w:t>pt-</w:t>
      </w:r>
      <w:r w:rsidR="0052141E" w:rsidRPr="00EE5722">
        <w:rPr>
          <w:sz w:val="26"/>
          <w:szCs w:val="26"/>
        </w:rPr>
        <w:t>I</w:t>
      </w:r>
      <w:r w:rsidR="00297E8C" w:rsidRPr="00EE5722">
        <w:rPr>
          <w:sz w:val="26"/>
          <w:szCs w:val="26"/>
        </w:rPr>
        <w:t xml:space="preserve">n </w:t>
      </w:r>
      <w:r w:rsidR="0052141E" w:rsidRPr="00EE5722">
        <w:rPr>
          <w:sz w:val="26"/>
          <w:szCs w:val="26"/>
        </w:rPr>
        <w:t>P</w:t>
      </w:r>
      <w:r w:rsidR="00297E8C" w:rsidRPr="00EE5722">
        <w:rPr>
          <w:sz w:val="26"/>
          <w:szCs w:val="26"/>
        </w:rPr>
        <w:t>rogram could have on default service pr</w:t>
      </w:r>
      <w:r w:rsidR="006F62A7">
        <w:rPr>
          <w:sz w:val="26"/>
          <w:szCs w:val="26"/>
        </w:rPr>
        <w:t xml:space="preserve">ocurement.  While </w:t>
      </w:r>
      <w:r w:rsidR="00A12F2C">
        <w:rPr>
          <w:sz w:val="26"/>
          <w:szCs w:val="26"/>
        </w:rPr>
        <w:t xml:space="preserve">the </w:t>
      </w:r>
      <w:r w:rsidR="006F62A7">
        <w:rPr>
          <w:sz w:val="26"/>
          <w:szCs w:val="26"/>
        </w:rPr>
        <w:t>OCA recognized</w:t>
      </w:r>
      <w:r w:rsidR="00297E8C" w:rsidRPr="00EE5722">
        <w:rPr>
          <w:sz w:val="26"/>
          <w:szCs w:val="26"/>
        </w:rPr>
        <w:t xml:space="preserve"> that the Commission did not adopt a similar recommendation in the </w:t>
      </w:r>
      <w:r w:rsidR="00297E8C" w:rsidRPr="006F62A7">
        <w:rPr>
          <w:i/>
          <w:sz w:val="26"/>
          <w:szCs w:val="26"/>
        </w:rPr>
        <w:t>FirstEnergy DSP Order</w:t>
      </w:r>
      <w:r w:rsidR="005969AB" w:rsidRPr="00EE5722">
        <w:rPr>
          <w:sz w:val="26"/>
          <w:szCs w:val="26"/>
          <w:u w:val="single"/>
        </w:rPr>
        <w:fldChar w:fldCharType="begin"/>
      </w:r>
      <w:r w:rsidR="00297E8C" w:rsidRPr="00EE5722">
        <w:rPr>
          <w:sz w:val="26"/>
          <w:szCs w:val="26"/>
        </w:rPr>
        <w:instrText xml:space="preserve"> TA \s "FirstEnergy DSP Order" </w:instrText>
      </w:r>
      <w:r w:rsidR="005969AB" w:rsidRPr="00EE5722">
        <w:rPr>
          <w:sz w:val="26"/>
          <w:szCs w:val="26"/>
          <w:u w:val="single"/>
        </w:rPr>
        <w:fldChar w:fldCharType="end"/>
      </w:r>
      <w:r w:rsidR="00297E8C" w:rsidRPr="00EE5722">
        <w:rPr>
          <w:sz w:val="26"/>
          <w:szCs w:val="26"/>
        </w:rPr>
        <w:t xml:space="preserve">, </w:t>
      </w:r>
      <w:r w:rsidR="006F62A7">
        <w:rPr>
          <w:sz w:val="26"/>
          <w:szCs w:val="26"/>
        </w:rPr>
        <w:t>the OCA submitted</w:t>
      </w:r>
      <w:r w:rsidR="00A12F2C">
        <w:rPr>
          <w:sz w:val="26"/>
          <w:szCs w:val="26"/>
        </w:rPr>
        <w:t xml:space="preserve"> that its proposal is </w:t>
      </w:r>
      <w:r w:rsidR="00297E8C" w:rsidRPr="00EE5722">
        <w:rPr>
          <w:sz w:val="26"/>
          <w:szCs w:val="26"/>
        </w:rPr>
        <w:t xml:space="preserve">necessary to avoid improperly increasing the price of default service.  </w:t>
      </w:r>
      <w:r w:rsidR="006F011C" w:rsidRPr="00EE5722">
        <w:rPr>
          <w:sz w:val="26"/>
          <w:szCs w:val="26"/>
        </w:rPr>
        <w:t>The</w:t>
      </w:r>
      <w:r w:rsidR="006F62A7">
        <w:rPr>
          <w:sz w:val="26"/>
          <w:szCs w:val="26"/>
        </w:rPr>
        <w:t xml:space="preserve"> “hold back” proposal would</w:t>
      </w:r>
      <w:r w:rsidR="00A12F2C">
        <w:rPr>
          <w:sz w:val="26"/>
          <w:szCs w:val="26"/>
        </w:rPr>
        <w:t xml:space="preserve"> allow for a successful Opt-In Program</w:t>
      </w:r>
      <w:r w:rsidR="00297E8C" w:rsidRPr="00EE5722">
        <w:rPr>
          <w:sz w:val="26"/>
          <w:szCs w:val="26"/>
        </w:rPr>
        <w:t xml:space="preserve"> while helping to ensure that default service procurements do not </w:t>
      </w:r>
      <w:r w:rsidR="003C591F">
        <w:rPr>
          <w:sz w:val="26"/>
          <w:szCs w:val="26"/>
        </w:rPr>
        <w:t>result in</w:t>
      </w:r>
      <w:r w:rsidR="00297E8C" w:rsidRPr="00EE5722">
        <w:rPr>
          <w:sz w:val="26"/>
          <w:szCs w:val="26"/>
        </w:rPr>
        <w:t xml:space="preserve"> unreasonable risk adders and limited bidder interest to the detriment of default service customers.  As such, </w:t>
      </w:r>
      <w:r w:rsidR="006F62A7">
        <w:rPr>
          <w:sz w:val="26"/>
          <w:szCs w:val="26"/>
        </w:rPr>
        <w:t>the OCA supported</w:t>
      </w:r>
      <w:r w:rsidR="00297E8C" w:rsidRPr="00EE5722">
        <w:rPr>
          <w:sz w:val="26"/>
          <w:szCs w:val="26"/>
        </w:rPr>
        <w:t xml:space="preserve"> the inclusion of </w:t>
      </w:r>
      <w:r w:rsidR="006F011C" w:rsidRPr="00EE5722">
        <w:rPr>
          <w:sz w:val="26"/>
          <w:szCs w:val="26"/>
        </w:rPr>
        <w:t>this</w:t>
      </w:r>
      <w:r w:rsidR="00297E8C" w:rsidRPr="00EE5722">
        <w:rPr>
          <w:sz w:val="26"/>
          <w:szCs w:val="26"/>
        </w:rPr>
        <w:t xml:space="preserve"> proposal in the Company’s default service procurement plan.</w:t>
      </w:r>
    </w:p>
    <w:p w:rsidR="00884AFB" w:rsidRPr="00EE5722" w:rsidRDefault="00884AFB" w:rsidP="00F47475">
      <w:pPr>
        <w:pStyle w:val="BodyText"/>
        <w:spacing w:after="0" w:line="360" w:lineRule="auto"/>
        <w:ind w:left="0" w:firstLine="0"/>
        <w:rPr>
          <w:sz w:val="26"/>
          <w:szCs w:val="26"/>
        </w:rPr>
      </w:pPr>
    </w:p>
    <w:p w:rsidR="00E90FC9" w:rsidRPr="00EE5722" w:rsidRDefault="00E90FC9" w:rsidP="002A28F7">
      <w:pPr>
        <w:pStyle w:val="BodyText2"/>
        <w:spacing w:after="0" w:line="360" w:lineRule="auto"/>
        <w:rPr>
          <w:bCs/>
          <w:sz w:val="26"/>
          <w:szCs w:val="26"/>
        </w:rPr>
      </w:pPr>
      <w:r w:rsidRPr="00EE5722">
        <w:rPr>
          <w:sz w:val="26"/>
          <w:szCs w:val="26"/>
        </w:rPr>
        <w:lastRenderedPageBreak/>
        <w:tab/>
      </w:r>
      <w:r w:rsidRPr="00EE5722">
        <w:rPr>
          <w:sz w:val="26"/>
          <w:szCs w:val="26"/>
        </w:rPr>
        <w:tab/>
      </w:r>
      <w:r w:rsidR="006F62A7">
        <w:rPr>
          <w:bCs/>
          <w:sz w:val="26"/>
          <w:szCs w:val="26"/>
        </w:rPr>
        <w:t>RESA opposed the</w:t>
      </w:r>
      <w:r w:rsidRPr="00EE5722">
        <w:rPr>
          <w:bCs/>
          <w:sz w:val="26"/>
          <w:szCs w:val="26"/>
        </w:rPr>
        <w:t xml:space="preserve"> OCA’s</w:t>
      </w:r>
      <w:r w:rsidR="00284935">
        <w:rPr>
          <w:bCs/>
          <w:sz w:val="26"/>
          <w:szCs w:val="26"/>
        </w:rPr>
        <w:t xml:space="preserve"> proposal to “hold back” </w:t>
      </w:r>
      <w:r w:rsidRPr="00EE5722">
        <w:rPr>
          <w:bCs/>
          <w:sz w:val="26"/>
          <w:szCs w:val="26"/>
        </w:rPr>
        <w:t xml:space="preserve">some tranches of the residential default service supply until after the Opt-In </w:t>
      </w:r>
      <w:r w:rsidR="0091132B" w:rsidRPr="00EE5722">
        <w:rPr>
          <w:bCs/>
          <w:sz w:val="26"/>
          <w:szCs w:val="26"/>
        </w:rPr>
        <w:t>P</w:t>
      </w:r>
      <w:r w:rsidRPr="00EE5722">
        <w:rPr>
          <w:bCs/>
          <w:sz w:val="26"/>
          <w:szCs w:val="26"/>
        </w:rPr>
        <w:t xml:space="preserve">rogram’s customer enrollment period concludes.  </w:t>
      </w:r>
      <w:r w:rsidR="006F62A7">
        <w:rPr>
          <w:bCs/>
          <w:sz w:val="26"/>
          <w:szCs w:val="26"/>
        </w:rPr>
        <w:t>RESA averred that</w:t>
      </w:r>
      <w:r w:rsidRPr="00EE5722">
        <w:rPr>
          <w:bCs/>
          <w:sz w:val="26"/>
          <w:szCs w:val="26"/>
        </w:rPr>
        <w:t xml:space="preserve"> adoption of </w:t>
      </w:r>
      <w:r w:rsidR="006F62A7">
        <w:rPr>
          <w:bCs/>
          <w:sz w:val="26"/>
          <w:szCs w:val="26"/>
        </w:rPr>
        <w:t xml:space="preserve">the </w:t>
      </w:r>
      <w:r w:rsidRPr="00EE5722">
        <w:rPr>
          <w:bCs/>
          <w:sz w:val="26"/>
          <w:szCs w:val="26"/>
        </w:rPr>
        <w:t xml:space="preserve">OCA’s proposal </w:t>
      </w:r>
      <w:r w:rsidR="00A12F2C">
        <w:rPr>
          <w:bCs/>
          <w:sz w:val="26"/>
          <w:szCs w:val="26"/>
        </w:rPr>
        <w:t>would have</w:t>
      </w:r>
      <w:r w:rsidRPr="00EE5722">
        <w:rPr>
          <w:bCs/>
          <w:sz w:val="26"/>
          <w:szCs w:val="26"/>
        </w:rPr>
        <w:t xml:space="preserve"> the potential to</w:t>
      </w:r>
      <w:r w:rsidR="00284935">
        <w:rPr>
          <w:bCs/>
          <w:sz w:val="26"/>
          <w:szCs w:val="26"/>
        </w:rPr>
        <w:t>:</w:t>
      </w:r>
      <w:r w:rsidRPr="00EE5722">
        <w:rPr>
          <w:bCs/>
          <w:sz w:val="26"/>
          <w:szCs w:val="26"/>
        </w:rPr>
        <w:t xml:space="preserve"> (1) contribute to rate shock and create a large deferred cost recovery balance</w:t>
      </w:r>
      <w:r w:rsidR="00F86BF3" w:rsidRPr="00EE5722">
        <w:rPr>
          <w:bCs/>
          <w:sz w:val="26"/>
          <w:szCs w:val="26"/>
        </w:rPr>
        <w:t>;</w:t>
      </w:r>
      <w:r w:rsidRPr="00EE5722">
        <w:rPr>
          <w:bCs/>
          <w:sz w:val="26"/>
          <w:szCs w:val="26"/>
        </w:rPr>
        <w:t xml:space="preserve"> and (2)</w:t>
      </w:r>
      <w:r w:rsidR="00F86BF3" w:rsidRPr="00EE5722">
        <w:rPr>
          <w:bCs/>
          <w:sz w:val="26"/>
          <w:szCs w:val="26"/>
        </w:rPr>
        <w:t> </w:t>
      </w:r>
      <w:r w:rsidRPr="00EE5722">
        <w:rPr>
          <w:bCs/>
          <w:sz w:val="26"/>
          <w:szCs w:val="26"/>
        </w:rPr>
        <w:t>impose additional costs due to the potential need to separately procure additional supply</w:t>
      </w:r>
      <w:r w:rsidR="003C591F" w:rsidRPr="00EE5722">
        <w:rPr>
          <w:bCs/>
          <w:sz w:val="26"/>
          <w:szCs w:val="26"/>
        </w:rPr>
        <w:t xml:space="preserve">.  </w:t>
      </w:r>
      <w:r w:rsidR="00A12F2C">
        <w:rPr>
          <w:bCs/>
          <w:sz w:val="26"/>
          <w:szCs w:val="26"/>
        </w:rPr>
        <w:t>According to RESA, t</w:t>
      </w:r>
      <w:r w:rsidR="006F62A7">
        <w:rPr>
          <w:bCs/>
          <w:sz w:val="26"/>
          <w:szCs w:val="26"/>
        </w:rPr>
        <w:t xml:space="preserve">he </w:t>
      </w:r>
      <w:r w:rsidRPr="00EE5722">
        <w:rPr>
          <w:bCs/>
          <w:sz w:val="26"/>
          <w:szCs w:val="26"/>
        </w:rPr>
        <w:t>OCA’s propos</w:t>
      </w:r>
      <w:r w:rsidR="00A12F2C">
        <w:rPr>
          <w:bCs/>
          <w:sz w:val="26"/>
          <w:szCs w:val="26"/>
        </w:rPr>
        <w:t xml:space="preserve">al </w:t>
      </w:r>
      <w:r w:rsidRPr="00EE5722">
        <w:rPr>
          <w:bCs/>
          <w:sz w:val="26"/>
          <w:szCs w:val="26"/>
        </w:rPr>
        <w:t xml:space="preserve">actually </w:t>
      </w:r>
      <w:r w:rsidR="00A12F2C">
        <w:rPr>
          <w:bCs/>
          <w:sz w:val="26"/>
          <w:szCs w:val="26"/>
        </w:rPr>
        <w:t>would</w:t>
      </w:r>
      <w:r w:rsidR="00284935">
        <w:rPr>
          <w:bCs/>
          <w:sz w:val="26"/>
          <w:szCs w:val="26"/>
        </w:rPr>
        <w:t xml:space="preserve"> </w:t>
      </w:r>
      <w:r w:rsidR="00A12F2C">
        <w:rPr>
          <w:bCs/>
          <w:sz w:val="26"/>
          <w:szCs w:val="26"/>
        </w:rPr>
        <w:t>shift risk to customers rather than reduce risk, and could impose</w:t>
      </w:r>
      <w:r w:rsidRPr="00EE5722">
        <w:rPr>
          <w:bCs/>
          <w:sz w:val="26"/>
          <w:szCs w:val="26"/>
        </w:rPr>
        <w:t xml:space="preserve"> a</w:t>
      </w:r>
      <w:r w:rsidR="00A12F2C">
        <w:rPr>
          <w:bCs/>
          <w:sz w:val="26"/>
          <w:szCs w:val="26"/>
        </w:rPr>
        <w:t>dditional costs on customers</w:t>
      </w:r>
      <w:r w:rsidRPr="00EE5722">
        <w:rPr>
          <w:bCs/>
          <w:sz w:val="26"/>
          <w:szCs w:val="26"/>
        </w:rPr>
        <w:t>.</w:t>
      </w:r>
      <w:r w:rsidRPr="00EE5722">
        <w:rPr>
          <w:rStyle w:val="FootnoteReference"/>
          <w:bCs/>
          <w:sz w:val="26"/>
          <w:szCs w:val="26"/>
        </w:rPr>
        <w:footnoteReference w:id="28"/>
      </w:r>
      <w:r w:rsidRPr="00EE5722">
        <w:rPr>
          <w:bCs/>
          <w:sz w:val="26"/>
          <w:szCs w:val="26"/>
        </w:rPr>
        <w:t xml:space="preserve"> </w:t>
      </w:r>
    </w:p>
    <w:p w:rsidR="00E90FC9" w:rsidRPr="00EE5722" w:rsidRDefault="00E90FC9" w:rsidP="002A28F7">
      <w:pPr>
        <w:pStyle w:val="BodyText2"/>
        <w:spacing w:after="0" w:line="360" w:lineRule="auto"/>
        <w:rPr>
          <w:bCs/>
          <w:sz w:val="26"/>
          <w:szCs w:val="26"/>
        </w:rPr>
      </w:pPr>
    </w:p>
    <w:p w:rsidR="006D4D99" w:rsidRDefault="00E90FC9" w:rsidP="00284935">
      <w:pPr>
        <w:pStyle w:val="BodyText2"/>
        <w:spacing w:after="0" w:line="360" w:lineRule="auto"/>
        <w:rPr>
          <w:sz w:val="26"/>
          <w:szCs w:val="26"/>
        </w:rPr>
      </w:pPr>
      <w:r w:rsidRPr="00EE5722">
        <w:rPr>
          <w:bCs/>
          <w:sz w:val="26"/>
          <w:szCs w:val="26"/>
        </w:rPr>
        <w:tab/>
      </w:r>
      <w:r w:rsidRPr="00EE5722">
        <w:rPr>
          <w:bCs/>
          <w:sz w:val="26"/>
          <w:szCs w:val="26"/>
        </w:rPr>
        <w:tab/>
      </w:r>
      <w:r w:rsidR="006F62A7">
        <w:rPr>
          <w:sz w:val="26"/>
          <w:szCs w:val="26"/>
        </w:rPr>
        <w:t xml:space="preserve">The </w:t>
      </w:r>
      <w:r w:rsidR="006D4D99" w:rsidRPr="00EE5722">
        <w:rPr>
          <w:sz w:val="26"/>
          <w:szCs w:val="26"/>
        </w:rPr>
        <w:t>OSBA</w:t>
      </w:r>
      <w:r w:rsidR="006F62A7">
        <w:rPr>
          <w:sz w:val="26"/>
          <w:szCs w:val="26"/>
        </w:rPr>
        <w:t>, CAUSE, Citizen Power, DII, Domin</w:t>
      </w:r>
      <w:r w:rsidR="008F3443">
        <w:rPr>
          <w:sz w:val="26"/>
          <w:szCs w:val="26"/>
        </w:rPr>
        <w:t>ion, FES and Constellation</w:t>
      </w:r>
      <w:r w:rsidR="006F62A7">
        <w:rPr>
          <w:sz w:val="26"/>
          <w:szCs w:val="26"/>
        </w:rPr>
        <w:t xml:space="preserve"> took</w:t>
      </w:r>
      <w:r w:rsidR="006D4D99" w:rsidRPr="00EE5722">
        <w:rPr>
          <w:sz w:val="26"/>
          <w:szCs w:val="26"/>
        </w:rPr>
        <w:t xml:space="preserve"> no position on this issue.</w:t>
      </w:r>
    </w:p>
    <w:p w:rsidR="006F62A7" w:rsidRPr="006F62A7" w:rsidRDefault="006F62A7" w:rsidP="00284935">
      <w:pPr>
        <w:pStyle w:val="BodyText2"/>
        <w:spacing w:after="0" w:line="360" w:lineRule="auto"/>
        <w:rPr>
          <w:sz w:val="26"/>
          <w:szCs w:val="26"/>
        </w:rPr>
      </w:pPr>
    </w:p>
    <w:p w:rsidR="00DD6125" w:rsidRPr="006F62A7" w:rsidRDefault="006F62A7" w:rsidP="00115AB3">
      <w:pPr>
        <w:pStyle w:val="Heading5"/>
      </w:pPr>
      <w:bookmarkStart w:id="35" w:name="_Toc346705277"/>
      <w:r w:rsidRPr="00F30B79">
        <w:t>ALJ’s Recommendation</w:t>
      </w:r>
      <w:bookmarkEnd w:id="35"/>
      <w:r w:rsidR="00284935">
        <w:t xml:space="preserve"> </w:t>
      </w:r>
    </w:p>
    <w:p w:rsidR="00A965C4" w:rsidRPr="00EE5722" w:rsidRDefault="00A965C4" w:rsidP="00284935">
      <w:pPr>
        <w:pStyle w:val="ListParagraph"/>
        <w:autoSpaceDE/>
        <w:autoSpaceDN/>
        <w:spacing w:line="360" w:lineRule="auto"/>
        <w:ind w:left="0"/>
        <w:rPr>
          <w:sz w:val="26"/>
          <w:szCs w:val="26"/>
        </w:rPr>
      </w:pPr>
    </w:p>
    <w:p w:rsidR="001F6751" w:rsidRDefault="009C04BD" w:rsidP="00A92BA8">
      <w:pPr>
        <w:spacing w:line="360" w:lineRule="auto"/>
        <w:ind w:firstLine="720"/>
        <w:rPr>
          <w:sz w:val="26"/>
          <w:szCs w:val="26"/>
        </w:rPr>
      </w:pPr>
      <w:r>
        <w:rPr>
          <w:sz w:val="26"/>
          <w:szCs w:val="26"/>
        </w:rPr>
        <w:tab/>
      </w:r>
      <w:r w:rsidR="006F62A7">
        <w:rPr>
          <w:sz w:val="26"/>
          <w:szCs w:val="26"/>
        </w:rPr>
        <w:t xml:space="preserve">The ALJ recommended that Duquesne’s proposal </w:t>
      </w:r>
      <w:r w:rsidR="001F6751">
        <w:rPr>
          <w:sz w:val="26"/>
          <w:szCs w:val="26"/>
        </w:rPr>
        <w:t>for acquiring sup</w:t>
      </w:r>
      <w:r w:rsidR="00284935">
        <w:rPr>
          <w:sz w:val="26"/>
          <w:szCs w:val="26"/>
        </w:rPr>
        <w:t>ply for r</w:t>
      </w:r>
      <w:r w:rsidR="001F6751">
        <w:rPr>
          <w:sz w:val="26"/>
          <w:szCs w:val="26"/>
        </w:rPr>
        <w:t xml:space="preserve">esidential default service customers </w:t>
      </w:r>
      <w:r w:rsidR="006F62A7">
        <w:rPr>
          <w:sz w:val="26"/>
          <w:szCs w:val="26"/>
        </w:rPr>
        <w:t xml:space="preserve">be approved.  </w:t>
      </w:r>
      <w:r w:rsidR="001F6751">
        <w:rPr>
          <w:sz w:val="26"/>
          <w:szCs w:val="26"/>
        </w:rPr>
        <w:t xml:space="preserve">By implication, the ALJ recommended that the OCA’s proposal to delay procuring supply for 20% of the </w:t>
      </w:r>
      <w:r w:rsidR="003C591F">
        <w:rPr>
          <w:sz w:val="26"/>
          <w:szCs w:val="26"/>
        </w:rPr>
        <w:t>r</w:t>
      </w:r>
      <w:r w:rsidR="001F6751">
        <w:rPr>
          <w:sz w:val="26"/>
          <w:szCs w:val="26"/>
        </w:rPr>
        <w:t>esidential tranches for the first of the two-year DSP be rejected.</w:t>
      </w:r>
      <w:r w:rsidR="00284935">
        <w:rPr>
          <w:sz w:val="26"/>
          <w:szCs w:val="26"/>
        </w:rPr>
        <w:t xml:space="preserve">  R.D. at 39.</w:t>
      </w:r>
    </w:p>
    <w:p w:rsidR="006F62A7" w:rsidRDefault="006F62A7" w:rsidP="002A28F7">
      <w:pPr>
        <w:pStyle w:val="BodyText"/>
        <w:spacing w:after="0" w:line="360" w:lineRule="auto"/>
        <w:ind w:left="0" w:firstLine="0"/>
        <w:rPr>
          <w:sz w:val="26"/>
          <w:szCs w:val="26"/>
        </w:rPr>
      </w:pPr>
    </w:p>
    <w:p w:rsidR="006F62A7" w:rsidRDefault="006F62A7" w:rsidP="00115AB3">
      <w:pPr>
        <w:pStyle w:val="Heading5"/>
      </w:pPr>
      <w:bookmarkStart w:id="36" w:name="_Toc346705278"/>
      <w:r w:rsidRPr="006F62A7">
        <w:t>Exceptions</w:t>
      </w:r>
      <w:r w:rsidR="001F6751">
        <w:t xml:space="preserve"> and Reply Exceptions</w:t>
      </w:r>
      <w:bookmarkEnd w:id="36"/>
    </w:p>
    <w:p w:rsidR="006F62A7" w:rsidRDefault="006F62A7" w:rsidP="006F62A7">
      <w:pPr>
        <w:pStyle w:val="BodyText"/>
        <w:spacing w:after="0" w:line="360" w:lineRule="auto"/>
        <w:ind w:left="2880" w:firstLine="0"/>
        <w:rPr>
          <w:b/>
          <w:sz w:val="26"/>
          <w:szCs w:val="26"/>
        </w:rPr>
      </w:pPr>
    </w:p>
    <w:p w:rsidR="00085ECA" w:rsidRPr="0022422F" w:rsidRDefault="00085ECA" w:rsidP="00284935">
      <w:pPr>
        <w:pStyle w:val="BodyText"/>
        <w:spacing w:after="0" w:line="360" w:lineRule="auto"/>
        <w:ind w:left="0" w:firstLine="720"/>
        <w:rPr>
          <w:sz w:val="26"/>
          <w:szCs w:val="26"/>
        </w:rPr>
      </w:pPr>
      <w:r>
        <w:rPr>
          <w:sz w:val="26"/>
          <w:szCs w:val="26"/>
        </w:rPr>
        <w:t xml:space="preserve"> </w:t>
      </w:r>
      <w:r>
        <w:rPr>
          <w:sz w:val="26"/>
          <w:szCs w:val="26"/>
        </w:rPr>
        <w:tab/>
        <w:t xml:space="preserve">No Party filed Exceptions to the ALJ’s recommendation to reject the OCA’s proposal </w:t>
      </w:r>
      <w:r w:rsidR="00284935">
        <w:rPr>
          <w:sz w:val="26"/>
          <w:szCs w:val="26"/>
        </w:rPr>
        <w:t>to reduce the number of twelve</w:t>
      </w:r>
      <w:r w:rsidRPr="00EE5722">
        <w:rPr>
          <w:sz w:val="26"/>
          <w:szCs w:val="26"/>
        </w:rPr>
        <w:t xml:space="preserve">-month residential tranches by 20% in the first year of the plan to account </w:t>
      </w:r>
      <w:r w:rsidR="00450770">
        <w:rPr>
          <w:sz w:val="26"/>
          <w:szCs w:val="26"/>
        </w:rPr>
        <w:t>for potential Opt-In</w:t>
      </w:r>
      <w:r w:rsidRPr="00EE5722">
        <w:rPr>
          <w:sz w:val="26"/>
          <w:szCs w:val="26"/>
        </w:rPr>
        <w:t xml:space="preserve"> Progr</w:t>
      </w:r>
      <w:r>
        <w:rPr>
          <w:sz w:val="26"/>
          <w:szCs w:val="26"/>
        </w:rPr>
        <w:t>am load.</w:t>
      </w:r>
      <w:r w:rsidR="0022422F">
        <w:rPr>
          <w:sz w:val="26"/>
          <w:szCs w:val="26"/>
        </w:rPr>
        <w:t xml:space="preserve">  The OCA explains that its hold-back proposal was only one of two mechanisms that it proposed to mitigate the price impacts of the Opt-In Program on default service supply contracts.  The second mechanism proposed by the OCA was the Opt-In customer participation cap of 20%.  </w:t>
      </w:r>
      <w:r w:rsidR="0022422F">
        <w:rPr>
          <w:sz w:val="26"/>
          <w:szCs w:val="26"/>
        </w:rPr>
        <w:lastRenderedPageBreak/>
        <w:t>The OCA explains that, in the absence of the hold-back of supply, a 20% customer participation cap is essential.  The OCA will except to the ALJ’s recommendation on the customer participation cap issue rather than the ALJ’s recommendation to reject its hold-back proposal.  OCA Exc. at 2-3.</w:t>
      </w:r>
    </w:p>
    <w:p w:rsidR="00085ECA" w:rsidRPr="00A77895" w:rsidRDefault="00085ECA" w:rsidP="00284935">
      <w:pPr>
        <w:pStyle w:val="ListParagraph"/>
        <w:spacing w:line="360" w:lineRule="auto"/>
        <w:ind w:left="2880"/>
        <w:rPr>
          <w:b/>
          <w:sz w:val="26"/>
          <w:szCs w:val="26"/>
        </w:rPr>
      </w:pPr>
    </w:p>
    <w:p w:rsidR="00085ECA" w:rsidRDefault="00085ECA" w:rsidP="00115AB3">
      <w:pPr>
        <w:pStyle w:val="Heading5"/>
      </w:pPr>
      <w:bookmarkStart w:id="37" w:name="_Toc346705279"/>
      <w:r w:rsidRPr="00A77895">
        <w:t>Disposition</w:t>
      </w:r>
      <w:bookmarkEnd w:id="37"/>
    </w:p>
    <w:p w:rsidR="00F82083" w:rsidRPr="00A77895" w:rsidRDefault="00F82083" w:rsidP="00F82083">
      <w:pPr>
        <w:pStyle w:val="ListParagraph"/>
        <w:spacing w:line="360" w:lineRule="auto"/>
        <w:ind w:left="3600"/>
        <w:rPr>
          <w:b/>
          <w:sz w:val="26"/>
          <w:szCs w:val="26"/>
        </w:rPr>
      </w:pPr>
    </w:p>
    <w:p w:rsidR="003C38EE" w:rsidRDefault="00DE014E" w:rsidP="00284935">
      <w:pPr>
        <w:pStyle w:val="BodyText"/>
        <w:spacing w:after="0" w:line="360" w:lineRule="auto"/>
        <w:ind w:left="0"/>
        <w:rPr>
          <w:sz w:val="26"/>
          <w:szCs w:val="26"/>
        </w:rPr>
      </w:pPr>
      <w:r>
        <w:rPr>
          <w:sz w:val="26"/>
          <w:szCs w:val="26"/>
        </w:rPr>
        <w:t xml:space="preserve">Considering that no Party filed Exceptions to the ALJ’s recommendation, </w:t>
      </w:r>
      <w:r w:rsidR="00284935">
        <w:rPr>
          <w:sz w:val="26"/>
          <w:szCs w:val="26"/>
        </w:rPr>
        <w:t>and that this recommendation is reasonable, we shall adopt the ALJ’s</w:t>
      </w:r>
      <w:r>
        <w:rPr>
          <w:sz w:val="26"/>
          <w:szCs w:val="26"/>
        </w:rPr>
        <w:t xml:space="preserve"> recommendation on this issue without further comment.</w:t>
      </w:r>
    </w:p>
    <w:p w:rsidR="00EA3978" w:rsidRPr="00EE5722" w:rsidRDefault="00EA3978" w:rsidP="00284935">
      <w:pPr>
        <w:pStyle w:val="BodyText"/>
        <w:spacing w:after="0" w:line="360" w:lineRule="auto"/>
        <w:ind w:left="0" w:firstLine="0"/>
        <w:rPr>
          <w:sz w:val="26"/>
          <w:szCs w:val="26"/>
        </w:rPr>
      </w:pPr>
    </w:p>
    <w:p w:rsidR="00EE639F" w:rsidRPr="00EE5722" w:rsidRDefault="00EE639F" w:rsidP="00115AB3">
      <w:pPr>
        <w:pStyle w:val="Heading3"/>
      </w:pPr>
      <w:bookmarkStart w:id="38" w:name="_Toc346705280"/>
      <w:r w:rsidRPr="00EE5722">
        <w:t>2.</w:t>
      </w:r>
      <w:r w:rsidRPr="00EE5722">
        <w:tab/>
        <w:t xml:space="preserve">Small </w:t>
      </w:r>
      <w:r w:rsidR="00457F90" w:rsidRPr="00EE5722">
        <w:t>C&amp;I</w:t>
      </w:r>
      <w:r w:rsidRPr="00EE5722">
        <w:t xml:space="preserve"> Procurement</w:t>
      </w:r>
      <w:bookmarkEnd w:id="38"/>
    </w:p>
    <w:p w:rsidR="0069731A" w:rsidRPr="00EE5722" w:rsidRDefault="00884AFB" w:rsidP="0069731A">
      <w:pPr>
        <w:pStyle w:val="BriefL3"/>
        <w:numPr>
          <w:ilvl w:val="0"/>
          <w:numId w:val="0"/>
        </w:numPr>
        <w:spacing w:after="0" w:line="360" w:lineRule="auto"/>
        <w:ind w:left="2160" w:hanging="720"/>
        <w:outlineLvl w:val="9"/>
        <w:rPr>
          <w:b/>
          <w:sz w:val="26"/>
          <w:szCs w:val="26"/>
        </w:rPr>
      </w:pPr>
      <w:r w:rsidRPr="00EE5722">
        <w:rPr>
          <w:b/>
          <w:sz w:val="26"/>
          <w:szCs w:val="26"/>
        </w:rPr>
        <w:tab/>
      </w:r>
    </w:p>
    <w:p w:rsidR="00692C19" w:rsidRPr="00EE5722" w:rsidRDefault="00890304" w:rsidP="00115AB3">
      <w:pPr>
        <w:pStyle w:val="Heading4"/>
        <w:numPr>
          <w:ilvl w:val="0"/>
          <w:numId w:val="0"/>
        </w:numPr>
        <w:ind w:left="2880" w:hanging="720"/>
      </w:pPr>
      <w:bookmarkStart w:id="39" w:name="_Toc346705281"/>
      <w:r w:rsidRPr="00EE5722">
        <w:t>a</w:t>
      </w:r>
      <w:r w:rsidR="009C04BD">
        <w:t>.</w:t>
      </w:r>
      <w:r w:rsidR="009C04BD">
        <w:tab/>
        <w:t>Duquesne</w:t>
      </w:r>
      <w:r w:rsidR="00692C19" w:rsidRPr="00EE5722">
        <w:t>’s Proposal</w:t>
      </w:r>
      <w:bookmarkEnd w:id="39"/>
    </w:p>
    <w:p w:rsidR="00337800" w:rsidRPr="00EE5722" w:rsidRDefault="00337800" w:rsidP="00415028">
      <w:pPr>
        <w:pStyle w:val="BodyText"/>
        <w:spacing w:after="0" w:line="360" w:lineRule="auto"/>
        <w:ind w:left="360" w:firstLine="0"/>
        <w:rPr>
          <w:sz w:val="26"/>
          <w:szCs w:val="26"/>
        </w:rPr>
      </w:pPr>
    </w:p>
    <w:p w:rsidR="00337800" w:rsidRDefault="00337800" w:rsidP="00772B8D">
      <w:pPr>
        <w:pStyle w:val="BodyText2"/>
        <w:spacing w:after="0" w:line="360" w:lineRule="auto"/>
        <w:ind w:left="360"/>
        <w:rPr>
          <w:sz w:val="26"/>
          <w:szCs w:val="26"/>
        </w:rPr>
      </w:pPr>
      <w:r w:rsidRPr="00EE5722">
        <w:rPr>
          <w:sz w:val="26"/>
          <w:szCs w:val="26"/>
        </w:rPr>
        <w:tab/>
      </w:r>
      <w:r w:rsidRPr="00EE5722">
        <w:rPr>
          <w:sz w:val="26"/>
          <w:szCs w:val="26"/>
        </w:rPr>
        <w:tab/>
      </w:r>
      <w:r w:rsidR="009C04BD">
        <w:rPr>
          <w:sz w:val="26"/>
          <w:szCs w:val="26"/>
        </w:rPr>
        <w:t xml:space="preserve">Duquesne </w:t>
      </w:r>
      <w:r w:rsidR="00EA3978">
        <w:rPr>
          <w:sz w:val="26"/>
          <w:szCs w:val="26"/>
        </w:rPr>
        <w:t>proposed</w:t>
      </w:r>
      <w:r w:rsidRPr="00EE5722">
        <w:rPr>
          <w:sz w:val="26"/>
          <w:szCs w:val="26"/>
        </w:rPr>
        <w:t xml:space="preserve"> to acquire default suppli</w:t>
      </w:r>
      <w:r w:rsidR="0022422F">
        <w:rPr>
          <w:sz w:val="26"/>
          <w:szCs w:val="26"/>
        </w:rPr>
        <w:t>es for Small C&amp;I customers (</w:t>
      </w:r>
      <w:r w:rsidRPr="00EE5722">
        <w:rPr>
          <w:sz w:val="26"/>
          <w:szCs w:val="26"/>
        </w:rPr>
        <w:t>monthly metered demands less than 25 kW</w:t>
      </w:r>
      <w:r w:rsidR="0022422F">
        <w:rPr>
          <w:sz w:val="26"/>
          <w:szCs w:val="26"/>
        </w:rPr>
        <w:t>)</w:t>
      </w:r>
      <w:r w:rsidR="00772B8D">
        <w:rPr>
          <w:sz w:val="26"/>
          <w:szCs w:val="26"/>
        </w:rPr>
        <w:t xml:space="preserve"> through twelve</w:t>
      </w:r>
      <w:r w:rsidRPr="00EE5722">
        <w:rPr>
          <w:sz w:val="26"/>
          <w:szCs w:val="26"/>
        </w:rPr>
        <w:t>-month, laddered full requirements contracts</w:t>
      </w:r>
      <w:r w:rsidR="001939FA" w:rsidRPr="00EE5722">
        <w:rPr>
          <w:sz w:val="26"/>
          <w:szCs w:val="26"/>
        </w:rPr>
        <w:t>, using</w:t>
      </w:r>
      <w:r w:rsidRPr="00EE5722">
        <w:rPr>
          <w:sz w:val="26"/>
          <w:szCs w:val="26"/>
        </w:rPr>
        <w:t xml:space="preserve"> one </w:t>
      </w:r>
      <w:r w:rsidR="00772B8D">
        <w:rPr>
          <w:sz w:val="26"/>
          <w:szCs w:val="26"/>
        </w:rPr>
        <w:t>six</w:t>
      </w:r>
      <w:r w:rsidRPr="00EE5722">
        <w:rPr>
          <w:sz w:val="26"/>
          <w:szCs w:val="26"/>
        </w:rPr>
        <w:t>-month contract for s</w:t>
      </w:r>
      <w:r w:rsidR="00772B8D">
        <w:rPr>
          <w:sz w:val="26"/>
          <w:szCs w:val="26"/>
        </w:rPr>
        <w:t>upply delivered from June 2013 to</w:t>
      </w:r>
      <w:r w:rsidRPr="00EE5722">
        <w:rPr>
          <w:sz w:val="26"/>
          <w:szCs w:val="26"/>
        </w:rPr>
        <w:t xml:space="preserve"> November 2013 </w:t>
      </w:r>
      <w:r w:rsidR="001939FA" w:rsidRPr="00EE5722">
        <w:rPr>
          <w:sz w:val="26"/>
          <w:szCs w:val="26"/>
        </w:rPr>
        <w:t>to</w:t>
      </w:r>
      <w:r w:rsidRPr="00EE5722">
        <w:rPr>
          <w:sz w:val="26"/>
          <w:szCs w:val="26"/>
        </w:rPr>
        <w:t xml:space="preserve"> start the laddering process.</w:t>
      </w:r>
    </w:p>
    <w:p w:rsidR="009C04BD" w:rsidRPr="009C04BD" w:rsidRDefault="009C04BD" w:rsidP="00415028">
      <w:pPr>
        <w:pStyle w:val="BodyText2"/>
        <w:spacing w:after="0" w:line="360" w:lineRule="auto"/>
        <w:ind w:left="360"/>
        <w:rPr>
          <w:sz w:val="26"/>
          <w:szCs w:val="26"/>
        </w:rPr>
      </w:pPr>
    </w:p>
    <w:p w:rsidR="00337800" w:rsidRPr="00EE5722" w:rsidRDefault="00337800" w:rsidP="00415028">
      <w:pPr>
        <w:pStyle w:val="BodyText2"/>
        <w:spacing w:after="0" w:line="360" w:lineRule="auto"/>
        <w:ind w:left="360"/>
        <w:rPr>
          <w:sz w:val="26"/>
          <w:szCs w:val="26"/>
        </w:rPr>
      </w:pPr>
      <w:r w:rsidRPr="00EE5722">
        <w:rPr>
          <w:sz w:val="26"/>
          <w:szCs w:val="26"/>
        </w:rPr>
        <w:tab/>
      </w:r>
      <w:r w:rsidRPr="00EE5722">
        <w:rPr>
          <w:sz w:val="26"/>
          <w:szCs w:val="26"/>
        </w:rPr>
        <w:tab/>
        <w:t xml:space="preserve">The following table shows </w:t>
      </w:r>
      <w:r w:rsidR="009C04BD">
        <w:rPr>
          <w:sz w:val="26"/>
          <w:szCs w:val="26"/>
        </w:rPr>
        <w:t>Duquesne</w:t>
      </w:r>
      <w:r w:rsidRPr="00EE5722">
        <w:rPr>
          <w:sz w:val="26"/>
          <w:szCs w:val="26"/>
        </w:rPr>
        <w:t xml:space="preserve">’s proposed RFP </w:t>
      </w:r>
      <w:r w:rsidR="003C591F">
        <w:rPr>
          <w:sz w:val="26"/>
          <w:szCs w:val="26"/>
        </w:rPr>
        <w:t>d</w:t>
      </w:r>
      <w:r w:rsidRPr="00EE5722">
        <w:rPr>
          <w:sz w:val="26"/>
          <w:szCs w:val="26"/>
        </w:rPr>
        <w:t xml:space="preserve">ates, </w:t>
      </w:r>
      <w:r w:rsidR="003C591F">
        <w:rPr>
          <w:sz w:val="26"/>
          <w:szCs w:val="26"/>
        </w:rPr>
        <w:t>p</w:t>
      </w:r>
      <w:r w:rsidRPr="00EE5722">
        <w:rPr>
          <w:sz w:val="26"/>
          <w:szCs w:val="26"/>
        </w:rPr>
        <w:t xml:space="preserve">rocurement </w:t>
      </w:r>
      <w:r w:rsidR="003C591F">
        <w:rPr>
          <w:sz w:val="26"/>
          <w:szCs w:val="26"/>
        </w:rPr>
        <w:t>a</w:t>
      </w:r>
      <w:r w:rsidRPr="00EE5722">
        <w:rPr>
          <w:sz w:val="26"/>
          <w:szCs w:val="26"/>
        </w:rPr>
        <w:t xml:space="preserve">mounts, </w:t>
      </w:r>
      <w:r w:rsidR="003C591F">
        <w:rPr>
          <w:sz w:val="26"/>
          <w:szCs w:val="26"/>
        </w:rPr>
        <w:t>c</w:t>
      </w:r>
      <w:r w:rsidRPr="00EE5722">
        <w:rPr>
          <w:sz w:val="26"/>
          <w:szCs w:val="26"/>
        </w:rPr>
        <w:t xml:space="preserve">ontract </w:t>
      </w:r>
      <w:r w:rsidR="003C591F">
        <w:rPr>
          <w:sz w:val="26"/>
          <w:szCs w:val="26"/>
        </w:rPr>
        <w:t>t</w:t>
      </w:r>
      <w:r w:rsidRPr="00EE5722">
        <w:rPr>
          <w:sz w:val="26"/>
          <w:szCs w:val="26"/>
        </w:rPr>
        <w:t>erms and delivery periods for Small C&amp;I default service:</w:t>
      </w:r>
    </w:p>
    <w:p w:rsidR="00337800" w:rsidRPr="00EE5722" w:rsidRDefault="00337800" w:rsidP="00415028">
      <w:pPr>
        <w:pStyle w:val="BodyText2"/>
        <w:spacing w:after="0" w:line="360" w:lineRule="auto"/>
        <w:ind w:left="360"/>
        <w:rPr>
          <w:sz w:val="26"/>
          <w:szCs w:val="26"/>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2683"/>
        <w:gridCol w:w="2350"/>
        <w:gridCol w:w="3112"/>
      </w:tblGrid>
      <w:tr w:rsidR="00337800" w:rsidRPr="00EE5722" w:rsidTr="00415028">
        <w:tc>
          <w:tcPr>
            <w:tcW w:w="1889" w:type="dxa"/>
            <w:tcBorders>
              <w:top w:val="single" w:sz="4" w:space="0" w:color="auto"/>
              <w:left w:val="single" w:sz="4" w:space="0" w:color="auto"/>
              <w:bottom w:val="single" w:sz="4" w:space="0" w:color="auto"/>
              <w:right w:val="single" w:sz="4" w:space="0" w:color="auto"/>
            </w:tcBorders>
            <w:hideMark/>
          </w:tcPr>
          <w:p w:rsidR="00337800" w:rsidRPr="00EE5722" w:rsidRDefault="00337800" w:rsidP="009A739B">
            <w:pPr>
              <w:pStyle w:val="ListNumber"/>
              <w:keepNext/>
              <w:keepLines/>
              <w:numPr>
                <w:ilvl w:val="0"/>
                <w:numId w:val="3"/>
              </w:numPr>
              <w:spacing w:before="120" w:line="240" w:lineRule="auto"/>
              <w:jc w:val="center"/>
              <w:rPr>
                <w:b/>
                <w:sz w:val="26"/>
                <w:szCs w:val="26"/>
              </w:rPr>
            </w:pPr>
            <w:r w:rsidRPr="00EE5722">
              <w:rPr>
                <w:b/>
                <w:sz w:val="26"/>
                <w:szCs w:val="26"/>
              </w:rPr>
              <w:lastRenderedPageBreak/>
              <w:t>RFP Date</w:t>
            </w:r>
          </w:p>
        </w:tc>
        <w:tc>
          <w:tcPr>
            <w:tcW w:w="2583" w:type="dxa"/>
            <w:tcBorders>
              <w:top w:val="single" w:sz="4" w:space="0" w:color="auto"/>
              <w:left w:val="single" w:sz="4" w:space="0" w:color="auto"/>
              <w:bottom w:val="single" w:sz="4" w:space="0" w:color="auto"/>
              <w:right w:val="single" w:sz="4" w:space="0" w:color="auto"/>
            </w:tcBorders>
            <w:hideMark/>
          </w:tcPr>
          <w:p w:rsidR="00337800" w:rsidRPr="00EE5722" w:rsidRDefault="00337800">
            <w:pPr>
              <w:pStyle w:val="ListNumber"/>
              <w:keepNext/>
              <w:keepLines/>
              <w:spacing w:before="120" w:line="240" w:lineRule="auto"/>
              <w:ind w:firstLine="0"/>
              <w:jc w:val="center"/>
              <w:rPr>
                <w:b/>
                <w:sz w:val="26"/>
                <w:szCs w:val="26"/>
              </w:rPr>
            </w:pPr>
            <w:r w:rsidRPr="00EE5722">
              <w:rPr>
                <w:b/>
                <w:sz w:val="26"/>
                <w:szCs w:val="26"/>
              </w:rPr>
              <w:t>Procurement Amount</w:t>
            </w:r>
          </w:p>
        </w:tc>
        <w:tc>
          <w:tcPr>
            <w:tcW w:w="1889" w:type="dxa"/>
            <w:tcBorders>
              <w:top w:val="single" w:sz="4" w:space="0" w:color="auto"/>
              <w:left w:val="single" w:sz="4" w:space="0" w:color="auto"/>
              <w:bottom w:val="single" w:sz="4" w:space="0" w:color="auto"/>
              <w:right w:val="single" w:sz="4" w:space="0" w:color="auto"/>
            </w:tcBorders>
            <w:hideMark/>
          </w:tcPr>
          <w:p w:rsidR="00337800" w:rsidRPr="00EE5722" w:rsidRDefault="00337800">
            <w:pPr>
              <w:pStyle w:val="ListNumber"/>
              <w:keepNext/>
              <w:keepLines/>
              <w:spacing w:before="120" w:line="240" w:lineRule="auto"/>
              <w:ind w:firstLine="0"/>
              <w:jc w:val="center"/>
              <w:rPr>
                <w:b/>
                <w:sz w:val="26"/>
                <w:szCs w:val="26"/>
              </w:rPr>
            </w:pPr>
            <w:r w:rsidRPr="00EE5722">
              <w:rPr>
                <w:b/>
                <w:sz w:val="26"/>
                <w:szCs w:val="26"/>
              </w:rPr>
              <w:t>Contract Term</w:t>
            </w:r>
          </w:p>
        </w:tc>
        <w:tc>
          <w:tcPr>
            <w:tcW w:w="3647" w:type="dxa"/>
            <w:tcBorders>
              <w:top w:val="single" w:sz="4" w:space="0" w:color="auto"/>
              <w:left w:val="single" w:sz="4" w:space="0" w:color="auto"/>
              <w:bottom w:val="single" w:sz="4" w:space="0" w:color="auto"/>
              <w:right w:val="single" w:sz="4" w:space="0" w:color="auto"/>
            </w:tcBorders>
            <w:hideMark/>
          </w:tcPr>
          <w:p w:rsidR="00337800" w:rsidRPr="00EE5722" w:rsidRDefault="00337800">
            <w:pPr>
              <w:pStyle w:val="ListNumber"/>
              <w:keepNext/>
              <w:keepLines/>
              <w:spacing w:before="120" w:line="240" w:lineRule="auto"/>
              <w:ind w:firstLine="0"/>
              <w:jc w:val="center"/>
              <w:rPr>
                <w:b/>
                <w:sz w:val="26"/>
                <w:szCs w:val="26"/>
              </w:rPr>
            </w:pPr>
            <w:r w:rsidRPr="00EE5722">
              <w:rPr>
                <w:b/>
                <w:sz w:val="26"/>
                <w:szCs w:val="26"/>
              </w:rPr>
              <w:t>Delivery Period</w:t>
            </w:r>
          </w:p>
        </w:tc>
      </w:tr>
      <w:tr w:rsidR="00337800" w:rsidRPr="00EE5722" w:rsidTr="00415028">
        <w:tc>
          <w:tcPr>
            <w:tcW w:w="1889" w:type="dxa"/>
            <w:tcBorders>
              <w:top w:val="single" w:sz="4" w:space="0" w:color="auto"/>
              <w:left w:val="single" w:sz="4" w:space="0" w:color="auto"/>
              <w:bottom w:val="single" w:sz="4" w:space="0" w:color="auto"/>
              <w:right w:val="single" w:sz="4" w:space="0" w:color="auto"/>
            </w:tcBorders>
            <w:hideMark/>
          </w:tcPr>
          <w:p w:rsidR="00337800" w:rsidRPr="00EE5722" w:rsidRDefault="00337800" w:rsidP="00337800">
            <w:pPr>
              <w:pStyle w:val="ListNumber"/>
              <w:keepNext/>
              <w:keepLines/>
              <w:numPr>
                <w:ilvl w:val="0"/>
                <w:numId w:val="0"/>
              </w:numPr>
              <w:spacing w:before="120" w:line="240" w:lineRule="auto"/>
              <w:ind w:left="504"/>
              <w:jc w:val="both"/>
              <w:rPr>
                <w:sz w:val="26"/>
                <w:szCs w:val="26"/>
              </w:rPr>
            </w:pPr>
            <w:r w:rsidRPr="00EE5722">
              <w:rPr>
                <w:sz w:val="26"/>
                <w:szCs w:val="26"/>
              </w:rPr>
              <w:t>November 2012</w:t>
            </w:r>
          </w:p>
        </w:tc>
        <w:tc>
          <w:tcPr>
            <w:tcW w:w="2583" w:type="dxa"/>
            <w:tcBorders>
              <w:top w:val="single" w:sz="4" w:space="0" w:color="auto"/>
              <w:left w:val="single" w:sz="4" w:space="0" w:color="auto"/>
              <w:bottom w:val="single" w:sz="4" w:space="0" w:color="auto"/>
              <w:right w:val="single" w:sz="4" w:space="0" w:color="auto"/>
            </w:tcBorders>
            <w:hideMark/>
          </w:tcPr>
          <w:p w:rsidR="00337800" w:rsidRPr="00EE5722" w:rsidRDefault="00337800" w:rsidP="00337800">
            <w:pPr>
              <w:pStyle w:val="ListNumber"/>
              <w:keepNext/>
              <w:keepLines/>
              <w:numPr>
                <w:ilvl w:val="0"/>
                <w:numId w:val="0"/>
              </w:numPr>
              <w:spacing w:before="120" w:line="240" w:lineRule="auto"/>
              <w:ind w:left="504"/>
              <w:jc w:val="center"/>
              <w:rPr>
                <w:sz w:val="26"/>
                <w:szCs w:val="26"/>
              </w:rPr>
            </w:pPr>
            <w:r w:rsidRPr="00EE5722">
              <w:rPr>
                <w:sz w:val="26"/>
                <w:szCs w:val="26"/>
              </w:rPr>
              <w:t>50%</w:t>
            </w:r>
          </w:p>
        </w:tc>
        <w:tc>
          <w:tcPr>
            <w:tcW w:w="1889" w:type="dxa"/>
            <w:tcBorders>
              <w:top w:val="single" w:sz="4" w:space="0" w:color="auto"/>
              <w:left w:val="single" w:sz="4" w:space="0" w:color="auto"/>
              <w:bottom w:val="single" w:sz="4" w:space="0" w:color="auto"/>
              <w:right w:val="single" w:sz="4" w:space="0" w:color="auto"/>
            </w:tcBorders>
            <w:hideMark/>
          </w:tcPr>
          <w:p w:rsidR="00337800" w:rsidRPr="00EE5722" w:rsidRDefault="00337800" w:rsidP="00337800">
            <w:pPr>
              <w:pStyle w:val="ListNumber"/>
              <w:keepNext/>
              <w:keepLines/>
              <w:numPr>
                <w:ilvl w:val="0"/>
                <w:numId w:val="0"/>
              </w:numPr>
              <w:spacing w:before="120" w:line="240" w:lineRule="auto"/>
              <w:ind w:left="504"/>
              <w:jc w:val="center"/>
              <w:rPr>
                <w:sz w:val="26"/>
                <w:szCs w:val="26"/>
              </w:rPr>
            </w:pPr>
            <w:r w:rsidRPr="00EE5722">
              <w:rPr>
                <w:sz w:val="26"/>
                <w:szCs w:val="26"/>
              </w:rPr>
              <w:t>6 months</w:t>
            </w:r>
          </w:p>
        </w:tc>
        <w:tc>
          <w:tcPr>
            <w:tcW w:w="3647" w:type="dxa"/>
            <w:tcBorders>
              <w:top w:val="single" w:sz="4" w:space="0" w:color="auto"/>
              <w:left w:val="single" w:sz="4" w:space="0" w:color="auto"/>
              <w:bottom w:val="single" w:sz="4" w:space="0" w:color="auto"/>
              <w:right w:val="single" w:sz="4" w:space="0" w:color="auto"/>
            </w:tcBorders>
            <w:hideMark/>
          </w:tcPr>
          <w:p w:rsidR="00337800" w:rsidRPr="00EE5722" w:rsidRDefault="00337800" w:rsidP="00337800">
            <w:pPr>
              <w:pStyle w:val="ListNumber"/>
              <w:keepNext/>
              <w:keepLines/>
              <w:numPr>
                <w:ilvl w:val="0"/>
                <w:numId w:val="0"/>
              </w:numPr>
              <w:spacing w:before="120" w:line="240" w:lineRule="auto"/>
              <w:ind w:left="504"/>
              <w:jc w:val="center"/>
              <w:rPr>
                <w:sz w:val="26"/>
                <w:szCs w:val="26"/>
              </w:rPr>
            </w:pPr>
            <w:r w:rsidRPr="00EE5722">
              <w:rPr>
                <w:sz w:val="26"/>
                <w:szCs w:val="26"/>
              </w:rPr>
              <w:t>June 2013 – November 2013</w:t>
            </w:r>
          </w:p>
        </w:tc>
      </w:tr>
      <w:tr w:rsidR="00337800" w:rsidRPr="00EE5722" w:rsidTr="00415028">
        <w:tc>
          <w:tcPr>
            <w:tcW w:w="1889" w:type="dxa"/>
            <w:tcBorders>
              <w:top w:val="single" w:sz="4" w:space="0" w:color="auto"/>
              <w:left w:val="single" w:sz="4" w:space="0" w:color="auto"/>
              <w:bottom w:val="single" w:sz="4" w:space="0" w:color="auto"/>
              <w:right w:val="single" w:sz="4" w:space="0" w:color="auto"/>
            </w:tcBorders>
            <w:hideMark/>
          </w:tcPr>
          <w:p w:rsidR="00337800" w:rsidRPr="00EE5722" w:rsidRDefault="00337800" w:rsidP="00337800">
            <w:pPr>
              <w:pStyle w:val="ListNumber"/>
              <w:keepNext/>
              <w:keepLines/>
              <w:numPr>
                <w:ilvl w:val="0"/>
                <w:numId w:val="0"/>
              </w:numPr>
              <w:spacing w:before="120" w:line="240" w:lineRule="auto"/>
              <w:ind w:left="504"/>
              <w:jc w:val="both"/>
              <w:rPr>
                <w:sz w:val="26"/>
                <w:szCs w:val="26"/>
              </w:rPr>
            </w:pPr>
            <w:r w:rsidRPr="00EE5722">
              <w:rPr>
                <w:sz w:val="26"/>
                <w:szCs w:val="26"/>
              </w:rPr>
              <w:t>April 2013</w:t>
            </w:r>
          </w:p>
        </w:tc>
        <w:tc>
          <w:tcPr>
            <w:tcW w:w="2583" w:type="dxa"/>
            <w:tcBorders>
              <w:top w:val="single" w:sz="4" w:space="0" w:color="auto"/>
              <w:left w:val="single" w:sz="4" w:space="0" w:color="auto"/>
              <w:bottom w:val="single" w:sz="4" w:space="0" w:color="auto"/>
              <w:right w:val="single" w:sz="4" w:space="0" w:color="auto"/>
            </w:tcBorders>
            <w:hideMark/>
          </w:tcPr>
          <w:p w:rsidR="00337800" w:rsidRPr="00EE5722" w:rsidRDefault="00337800" w:rsidP="00337800">
            <w:pPr>
              <w:pStyle w:val="ListNumber"/>
              <w:keepNext/>
              <w:keepLines/>
              <w:numPr>
                <w:ilvl w:val="0"/>
                <w:numId w:val="0"/>
              </w:numPr>
              <w:spacing w:before="120" w:line="240" w:lineRule="auto"/>
              <w:ind w:left="504"/>
              <w:jc w:val="center"/>
              <w:rPr>
                <w:sz w:val="26"/>
                <w:szCs w:val="26"/>
              </w:rPr>
            </w:pPr>
            <w:r w:rsidRPr="00EE5722">
              <w:rPr>
                <w:sz w:val="26"/>
                <w:szCs w:val="26"/>
              </w:rPr>
              <w:t>50%</w:t>
            </w:r>
          </w:p>
        </w:tc>
        <w:tc>
          <w:tcPr>
            <w:tcW w:w="1889" w:type="dxa"/>
            <w:tcBorders>
              <w:top w:val="single" w:sz="4" w:space="0" w:color="auto"/>
              <w:left w:val="single" w:sz="4" w:space="0" w:color="auto"/>
              <w:bottom w:val="single" w:sz="4" w:space="0" w:color="auto"/>
              <w:right w:val="single" w:sz="4" w:space="0" w:color="auto"/>
            </w:tcBorders>
            <w:hideMark/>
          </w:tcPr>
          <w:p w:rsidR="00337800" w:rsidRPr="00EE5722" w:rsidRDefault="00337800" w:rsidP="00337800">
            <w:pPr>
              <w:pStyle w:val="ListNumber"/>
              <w:keepNext/>
              <w:keepLines/>
              <w:numPr>
                <w:ilvl w:val="0"/>
                <w:numId w:val="0"/>
              </w:numPr>
              <w:spacing w:before="120" w:line="240" w:lineRule="auto"/>
              <w:ind w:left="504"/>
              <w:jc w:val="center"/>
              <w:rPr>
                <w:sz w:val="26"/>
                <w:szCs w:val="26"/>
              </w:rPr>
            </w:pPr>
            <w:r w:rsidRPr="00EE5722">
              <w:rPr>
                <w:sz w:val="26"/>
                <w:szCs w:val="26"/>
              </w:rPr>
              <w:t>12 months</w:t>
            </w:r>
          </w:p>
        </w:tc>
        <w:tc>
          <w:tcPr>
            <w:tcW w:w="3647" w:type="dxa"/>
            <w:tcBorders>
              <w:top w:val="single" w:sz="4" w:space="0" w:color="auto"/>
              <w:left w:val="single" w:sz="4" w:space="0" w:color="auto"/>
              <w:bottom w:val="single" w:sz="4" w:space="0" w:color="auto"/>
              <w:right w:val="single" w:sz="4" w:space="0" w:color="auto"/>
            </w:tcBorders>
            <w:hideMark/>
          </w:tcPr>
          <w:p w:rsidR="00337800" w:rsidRPr="00EE5722" w:rsidRDefault="00337800" w:rsidP="00337800">
            <w:pPr>
              <w:pStyle w:val="ListNumber"/>
              <w:keepNext/>
              <w:keepLines/>
              <w:numPr>
                <w:ilvl w:val="0"/>
                <w:numId w:val="0"/>
              </w:numPr>
              <w:spacing w:before="120" w:line="240" w:lineRule="auto"/>
              <w:ind w:left="504"/>
              <w:jc w:val="center"/>
              <w:rPr>
                <w:sz w:val="26"/>
                <w:szCs w:val="26"/>
              </w:rPr>
            </w:pPr>
            <w:r w:rsidRPr="00EE5722">
              <w:rPr>
                <w:sz w:val="26"/>
                <w:szCs w:val="26"/>
              </w:rPr>
              <w:t>June 2013 – May 2014</w:t>
            </w:r>
          </w:p>
        </w:tc>
      </w:tr>
      <w:tr w:rsidR="00337800" w:rsidRPr="00EE5722" w:rsidTr="00415028">
        <w:tc>
          <w:tcPr>
            <w:tcW w:w="1889" w:type="dxa"/>
            <w:tcBorders>
              <w:top w:val="single" w:sz="4" w:space="0" w:color="auto"/>
              <w:left w:val="single" w:sz="4" w:space="0" w:color="auto"/>
              <w:bottom w:val="single" w:sz="4" w:space="0" w:color="auto"/>
              <w:right w:val="single" w:sz="4" w:space="0" w:color="auto"/>
            </w:tcBorders>
            <w:hideMark/>
          </w:tcPr>
          <w:p w:rsidR="00337800" w:rsidRPr="00EE5722" w:rsidRDefault="00337800" w:rsidP="00337800">
            <w:pPr>
              <w:pStyle w:val="ListNumber"/>
              <w:keepNext/>
              <w:keepLines/>
              <w:numPr>
                <w:ilvl w:val="0"/>
                <w:numId w:val="0"/>
              </w:numPr>
              <w:spacing w:before="120" w:line="240" w:lineRule="auto"/>
              <w:ind w:left="504"/>
              <w:jc w:val="both"/>
              <w:rPr>
                <w:sz w:val="26"/>
                <w:szCs w:val="26"/>
              </w:rPr>
            </w:pPr>
            <w:r w:rsidRPr="00EE5722">
              <w:rPr>
                <w:sz w:val="26"/>
                <w:szCs w:val="26"/>
              </w:rPr>
              <w:t>November 2013</w:t>
            </w:r>
          </w:p>
        </w:tc>
        <w:tc>
          <w:tcPr>
            <w:tcW w:w="2583" w:type="dxa"/>
            <w:tcBorders>
              <w:top w:val="single" w:sz="4" w:space="0" w:color="auto"/>
              <w:left w:val="single" w:sz="4" w:space="0" w:color="auto"/>
              <w:bottom w:val="single" w:sz="4" w:space="0" w:color="auto"/>
              <w:right w:val="single" w:sz="4" w:space="0" w:color="auto"/>
            </w:tcBorders>
            <w:hideMark/>
          </w:tcPr>
          <w:p w:rsidR="00337800" w:rsidRPr="00EE5722" w:rsidRDefault="00337800" w:rsidP="00337800">
            <w:pPr>
              <w:pStyle w:val="ListNumber"/>
              <w:keepNext/>
              <w:keepLines/>
              <w:numPr>
                <w:ilvl w:val="0"/>
                <w:numId w:val="0"/>
              </w:numPr>
              <w:spacing w:before="120" w:line="240" w:lineRule="auto"/>
              <w:ind w:left="504"/>
              <w:jc w:val="center"/>
              <w:rPr>
                <w:sz w:val="26"/>
                <w:szCs w:val="26"/>
              </w:rPr>
            </w:pPr>
            <w:r w:rsidRPr="00EE5722">
              <w:rPr>
                <w:sz w:val="26"/>
                <w:szCs w:val="26"/>
              </w:rPr>
              <w:t>50%</w:t>
            </w:r>
          </w:p>
        </w:tc>
        <w:tc>
          <w:tcPr>
            <w:tcW w:w="1889" w:type="dxa"/>
            <w:tcBorders>
              <w:top w:val="single" w:sz="4" w:space="0" w:color="auto"/>
              <w:left w:val="single" w:sz="4" w:space="0" w:color="auto"/>
              <w:bottom w:val="single" w:sz="4" w:space="0" w:color="auto"/>
              <w:right w:val="single" w:sz="4" w:space="0" w:color="auto"/>
            </w:tcBorders>
            <w:hideMark/>
          </w:tcPr>
          <w:p w:rsidR="00337800" w:rsidRPr="00EE5722" w:rsidRDefault="00337800" w:rsidP="00337800">
            <w:pPr>
              <w:pStyle w:val="ListNumber"/>
              <w:keepNext/>
              <w:keepLines/>
              <w:numPr>
                <w:ilvl w:val="0"/>
                <w:numId w:val="0"/>
              </w:numPr>
              <w:spacing w:before="120" w:line="240" w:lineRule="auto"/>
              <w:ind w:left="504"/>
              <w:jc w:val="center"/>
              <w:rPr>
                <w:sz w:val="26"/>
                <w:szCs w:val="26"/>
              </w:rPr>
            </w:pPr>
            <w:r w:rsidRPr="00EE5722">
              <w:rPr>
                <w:sz w:val="26"/>
                <w:szCs w:val="26"/>
              </w:rPr>
              <w:t>12 months</w:t>
            </w:r>
          </w:p>
        </w:tc>
        <w:tc>
          <w:tcPr>
            <w:tcW w:w="3647" w:type="dxa"/>
            <w:tcBorders>
              <w:top w:val="single" w:sz="4" w:space="0" w:color="auto"/>
              <w:left w:val="single" w:sz="4" w:space="0" w:color="auto"/>
              <w:bottom w:val="single" w:sz="4" w:space="0" w:color="auto"/>
              <w:right w:val="single" w:sz="4" w:space="0" w:color="auto"/>
            </w:tcBorders>
            <w:hideMark/>
          </w:tcPr>
          <w:p w:rsidR="00337800" w:rsidRPr="00EE5722" w:rsidRDefault="00337800" w:rsidP="00337800">
            <w:pPr>
              <w:pStyle w:val="ListNumber"/>
              <w:keepNext/>
              <w:keepLines/>
              <w:numPr>
                <w:ilvl w:val="0"/>
                <w:numId w:val="0"/>
              </w:numPr>
              <w:spacing w:before="120" w:line="240" w:lineRule="auto"/>
              <w:ind w:left="504"/>
              <w:jc w:val="center"/>
              <w:rPr>
                <w:sz w:val="26"/>
                <w:szCs w:val="26"/>
              </w:rPr>
            </w:pPr>
            <w:r w:rsidRPr="00EE5722">
              <w:rPr>
                <w:sz w:val="26"/>
                <w:szCs w:val="26"/>
              </w:rPr>
              <w:t>December 2013 – November 2014</w:t>
            </w:r>
          </w:p>
        </w:tc>
      </w:tr>
      <w:tr w:rsidR="00337800" w:rsidRPr="00EE5722" w:rsidTr="00415028">
        <w:tc>
          <w:tcPr>
            <w:tcW w:w="1889" w:type="dxa"/>
            <w:tcBorders>
              <w:top w:val="single" w:sz="4" w:space="0" w:color="auto"/>
              <w:left w:val="single" w:sz="4" w:space="0" w:color="auto"/>
              <w:bottom w:val="single" w:sz="4" w:space="0" w:color="auto"/>
              <w:right w:val="single" w:sz="4" w:space="0" w:color="auto"/>
            </w:tcBorders>
            <w:hideMark/>
          </w:tcPr>
          <w:p w:rsidR="00337800" w:rsidRPr="00EE5722" w:rsidRDefault="00337800" w:rsidP="00337800">
            <w:pPr>
              <w:pStyle w:val="ListNumber"/>
              <w:keepNext/>
              <w:keepLines/>
              <w:numPr>
                <w:ilvl w:val="0"/>
                <w:numId w:val="0"/>
              </w:numPr>
              <w:spacing w:before="120" w:line="240" w:lineRule="auto"/>
              <w:ind w:left="504"/>
              <w:jc w:val="both"/>
              <w:rPr>
                <w:sz w:val="26"/>
                <w:szCs w:val="26"/>
              </w:rPr>
            </w:pPr>
            <w:r w:rsidRPr="00EE5722">
              <w:rPr>
                <w:sz w:val="26"/>
                <w:szCs w:val="26"/>
              </w:rPr>
              <w:t>April 2014</w:t>
            </w:r>
          </w:p>
        </w:tc>
        <w:tc>
          <w:tcPr>
            <w:tcW w:w="2583" w:type="dxa"/>
            <w:tcBorders>
              <w:top w:val="single" w:sz="4" w:space="0" w:color="auto"/>
              <w:left w:val="single" w:sz="4" w:space="0" w:color="auto"/>
              <w:bottom w:val="single" w:sz="4" w:space="0" w:color="auto"/>
              <w:right w:val="single" w:sz="4" w:space="0" w:color="auto"/>
            </w:tcBorders>
            <w:hideMark/>
          </w:tcPr>
          <w:p w:rsidR="00337800" w:rsidRPr="00EE5722" w:rsidRDefault="00337800" w:rsidP="00337800">
            <w:pPr>
              <w:pStyle w:val="ListNumber"/>
              <w:keepNext/>
              <w:keepLines/>
              <w:numPr>
                <w:ilvl w:val="0"/>
                <w:numId w:val="0"/>
              </w:numPr>
              <w:spacing w:before="120" w:line="240" w:lineRule="auto"/>
              <w:ind w:left="504"/>
              <w:jc w:val="center"/>
              <w:rPr>
                <w:sz w:val="26"/>
                <w:szCs w:val="26"/>
              </w:rPr>
            </w:pPr>
            <w:r w:rsidRPr="00EE5722">
              <w:rPr>
                <w:sz w:val="26"/>
                <w:szCs w:val="26"/>
              </w:rPr>
              <w:t>50%</w:t>
            </w:r>
          </w:p>
        </w:tc>
        <w:tc>
          <w:tcPr>
            <w:tcW w:w="1889" w:type="dxa"/>
            <w:tcBorders>
              <w:top w:val="single" w:sz="4" w:space="0" w:color="auto"/>
              <w:left w:val="single" w:sz="4" w:space="0" w:color="auto"/>
              <w:bottom w:val="single" w:sz="4" w:space="0" w:color="auto"/>
              <w:right w:val="single" w:sz="4" w:space="0" w:color="auto"/>
            </w:tcBorders>
            <w:hideMark/>
          </w:tcPr>
          <w:p w:rsidR="00337800" w:rsidRPr="00EE5722" w:rsidRDefault="00337800" w:rsidP="009A739B">
            <w:pPr>
              <w:pStyle w:val="ListNumber"/>
              <w:keepNext/>
              <w:keepLines/>
              <w:numPr>
                <w:ilvl w:val="0"/>
                <w:numId w:val="4"/>
              </w:numPr>
              <w:spacing w:before="120" w:line="240" w:lineRule="auto"/>
              <w:jc w:val="center"/>
              <w:rPr>
                <w:sz w:val="26"/>
                <w:szCs w:val="26"/>
              </w:rPr>
            </w:pPr>
            <w:r w:rsidRPr="00EE5722">
              <w:rPr>
                <w:sz w:val="26"/>
                <w:szCs w:val="26"/>
              </w:rPr>
              <w:t>months</w:t>
            </w:r>
          </w:p>
        </w:tc>
        <w:tc>
          <w:tcPr>
            <w:tcW w:w="3647" w:type="dxa"/>
            <w:tcBorders>
              <w:top w:val="single" w:sz="4" w:space="0" w:color="auto"/>
              <w:left w:val="single" w:sz="4" w:space="0" w:color="auto"/>
              <w:bottom w:val="single" w:sz="4" w:space="0" w:color="auto"/>
              <w:right w:val="single" w:sz="4" w:space="0" w:color="auto"/>
            </w:tcBorders>
            <w:hideMark/>
          </w:tcPr>
          <w:p w:rsidR="00337800" w:rsidRPr="00EE5722" w:rsidRDefault="00337800" w:rsidP="00337800">
            <w:pPr>
              <w:pStyle w:val="ListNumber"/>
              <w:keepNext/>
              <w:keepLines/>
              <w:numPr>
                <w:ilvl w:val="0"/>
                <w:numId w:val="0"/>
              </w:numPr>
              <w:spacing w:before="120" w:line="240" w:lineRule="auto"/>
              <w:ind w:left="504"/>
              <w:jc w:val="center"/>
              <w:rPr>
                <w:sz w:val="26"/>
                <w:szCs w:val="26"/>
              </w:rPr>
            </w:pPr>
            <w:r w:rsidRPr="00EE5722">
              <w:rPr>
                <w:sz w:val="26"/>
                <w:szCs w:val="26"/>
              </w:rPr>
              <w:t>June 2014 – May 2015</w:t>
            </w:r>
          </w:p>
        </w:tc>
      </w:tr>
      <w:tr w:rsidR="00337800" w:rsidRPr="00EE5722" w:rsidTr="00415028">
        <w:tc>
          <w:tcPr>
            <w:tcW w:w="1889" w:type="dxa"/>
            <w:tcBorders>
              <w:top w:val="single" w:sz="4" w:space="0" w:color="auto"/>
              <w:left w:val="single" w:sz="4" w:space="0" w:color="auto"/>
              <w:bottom w:val="single" w:sz="4" w:space="0" w:color="auto"/>
              <w:right w:val="single" w:sz="4" w:space="0" w:color="auto"/>
            </w:tcBorders>
            <w:hideMark/>
          </w:tcPr>
          <w:p w:rsidR="00337800" w:rsidRPr="00EE5722" w:rsidRDefault="00337800" w:rsidP="00337800">
            <w:pPr>
              <w:pStyle w:val="ListNumber"/>
              <w:keepLines/>
              <w:numPr>
                <w:ilvl w:val="0"/>
                <w:numId w:val="0"/>
              </w:numPr>
              <w:spacing w:before="120" w:line="240" w:lineRule="auto"/>
              <w:ind w:left="504"/>
              <w:jc w:val="both"/>
              <w:rPr>
                <w:sz w:val="26"/>
                <w:szCs w:val="26"/>
              </w:rPr>
            </w:pPr>
            <w:r w:rsidRPr="00EE5722">
              <w:rPr>
                <w:sz w:val="26"/>
                <w:szCs w:val="26"/>
              </w:rPr>
              <w:t>November 2014</w:t>
            </w:r>
          </w:p>
        </w:tc>
        <w:tc>
          <w:tcPr>
            <w:tcW w:w="2583" w:type="dxa"/>
            <w:tcBorders>
              <w:top w:val="single" w:sz="4" w:space="0" w:color="auto"/>
              <w:left w:val="single" w:sz="4" w:space="0" w:color="auto"/>
              <w:bottom w:val="single" w:sz="4" w:space="0" w:color="auto"/>
              <w:right w:val="single" w:sz="4" w:space="0" w:color="auto"/>
            </w:tcBorders>
            <w:hideMark/>
          </w:tcPr>
          <w:p w:rsidR="00337800" w:rsidRPr="00EE5722" w:rsidRDefault="00337800" w:rsidP="00337800">
            <w:pPr>
              <w:pStyle w:val="ListNumber"/>
              <w:keepLines/>
              <w:numPr>
                <w:ilvl w:val="0"/>
                <w:numId w:val="0"/>
              </w:numPr>
              <w:spacing w:before="120" w:line="240" w:lineRule="auto"/>
              <w:ind w:left="504"/>
              <w:jc w:val="center"/>
              <w:rPr>
                <w:sz w:val="26"/>
                <w:szCs w:val="26"/>
              </w:rPr>
            </w:pPr>
            <w:r w:rsidRPr="00EE5722">
              <w:rPr>
                <w:sz w:val="26"/>
                <w:szCs w:val="26"/>
              </w:rPr>
              <w:t>50%</w:t>
            </w:r>
          </w:p>
        </w:tc>
        <w:tc>
          <w:tcPr>
            <w:tcW w:w="1889" w:type="dxa"/>
            <w:tcBorders>
              <w:top w:val="single" w:sz="4" w:space="0" w:color="auto"/>
              <w:left w:val="single" w:sz="4" w:space="0" w:color="auto"/>
              <w:bottom w:val="single" w:sz="4" w:space="0" w:color="auto"/>
              <w:right w:val="single" w:sz="4" w:space="0" w:color="auto"/>
            </w:tcBorders>
            <w:hideMark/>
          </w:tcPr>
          <w:p w:rsidR="00337800" w:rsidRPr="00EE5722" w:rsidRDefault="00337800" w:rsidP="00337800">
            <w:pPr>
              <w:pStyle w:val="ListNumber"/>
              <w:keepLines/>
              <w:numPr>
                <w:ilvl w:val="0"/>
                <w:numId w:val="0"/>
              </w:numPr>
              <w:spacing w:before="120" w:line="240" w:lineRule="auto"/>
              <w:ind w:left="504"/>
              <w:jc w:val="center"/>
              <w:rPr>
                <w:sz w:val="26"/>
                <w:szCs w:val="26"/>
              </w:rPr>
            </w:pPr>
            <w:r w:rsidRPr="00EE5722">
              <w:rPr>
                <w:sz w:val="26"/>
                <w:szCs w:val="26"/>
              </w:rPr>
              <w:t>12 months</w:t>
            </w:r>
          </w:p>
        </w:tc>
        <w:tc>
          <w:tcPr>
            <w:tcW w:w="3647" w:type="dxa"/>
            <w:tcBorders>
              <w:top w:val="single" w:sz="4" w:space="0" w:color="auto"/>
              <w:left w:val="single" w:sz="4" w:space="0" w:color="auto"/>
              <w:bottom w:val="single" w:sz="4" w:space="0" w:color="auto"/>
              <w:right w:val="single" w:sz="4" w:space="0" w:color="auto"/>
            </w:tcBorders>
            <w:hideMark/>
          </w:tcPr>
          <w:p w:rsidR="00337800" w:rsidRPr="00EE5722" w:rsidRDefault="00337800" w:rsidP="00337800">
            <w:pPr>
              <w:pStyle w:val="ListNumber"/>
              <w:keepLines/>
              <w:numPr>
                <w:ilvl w:val="0"/>
                <w:numId w:val="0"/>
              </w:numPr>
              <w:spacing w:before="120" w:line="240" w:lineRule="auto"/>
              <w:ind w:left="504"/>
              <w:jc w:val="center"/>
              <w:rPr>
                <w:sz w:val="26"/>
                <w:szCs w:val="26"/>
              </w:rPr>
            </w:pPr>
            <w:r w:rsidRPr="00EE5722">
              <w:rPr>
                <w:sz w:val="26"/>
                <w:szCs w:val="26"/>
              </w:rPr>
              <w:t>December 2014 – November 2015</w:t>
            </w:r>
          </w:p>
        </w:tc>
      </w:tr>
    </w:tbl>
    <w:p w:rsidR="00337800" w:rsidRPr="00EE5722" w:rsidRDefault="00EA3978" w:rsidP="00EA3978">
      <w:pPr>
        <w:pStyle w:val="BodyText2"/>
        <w:spacing w:after="0" w:line="360" w:lineRule="auto"/>
        <w:rPr>
          <w:sz w:val="26"/>
          <w:szCs w:val="26"/>
        </w:rPr>
      </w:pPr>
      <w:r>
        <w:rPr>
          <w:sz w:val="26"/>
          <w:szCs w:val="26"/>
        </w:rPr>
        <w:t xml:space="preserve">Duquesne Exh. </w:t>
      </w:r>
      <w:r w:rsidR="00650A88">
        <w:rPr>
          <w:sz w:val="26"/>
          <w:szCs w:val="26"/>
        </w:rPr>
        <w:t xml:space="preserve">1 at </w:t>
      </w:r>
      <w:r w:rsidR="00337800" w:rsidRPr="00EE5722">
        <w:rPr>
          <w:sz w:val="26"/>
          <w:szCs w:val="26"/>
        </w:rPr>
        <w:t>9.</w:t>
      </w:r>
    </w:p>
    <w:p w:rsidR="00457F90" w:rsidRPr="00EE5722" w:rsidRDefault="00457F90" w:rsidP="00415028">
      <w:pPr>
        <w:pStyle w:val="BodyText2"/>
        <w:spacing w:after="0" w:line="360" w:lineRule="auto"/>
        <w:ind w:left="360"/>
        <w:rPr>
          <w:sz w:val="26"/>
          <w:szCs w:val="26"/>
        </w:rPr>
      </w:pPr>
    </w:p>
    <w:p w:rsidR="00337800" w:rsidRPr="00EE5722" w:rsidRDefault="00337800" w:rsidP="003C591F">
      <w:pPr>
        <w:pStyle w:val="BodyText2"/>
        <w:spacing w:after="0" w:line="360" w:lineRule="auto"/>
        <w:rPr>
          <w:sz w:val="26"/>
          <w:szCs w:val="26"/>
        </w:rPr>
      </w:pPr>
      <w:r w:rsidRPr="00EE5722">
        <w:rPr>
          <w:sz w:val="26"/>
          <w:szCs w:val="26"/>
        </w:rPr>
        <w:tab/>
      </w:r>
      <w:r w:rsidRPr="00EE5722">
        <w:rPr>
          <w:sz w:val="26"/>
          <w:szCs w:val="26"/>
        </w:rPr>
        <w:tab/>
      </w:r>
      <w:r w:rsidR="009C04BD">
        <w:rPr>
          <w:sz w:val="26"/>
          <w:szCs w:val="26"/>
        </w:rPr>
        <w:t>Duquesne</w:t>
      </w:r>
      <w:r w:rsidR="00EA3978">
        <w:rPr>
          <w:sz w:val="26"/>
          <w:szCs w:val="26"/>
        </w:rPr>
        <w:t xml:space="preserve"> averred that</w:t>
      </w:r>
      <w:r w:rsidR="001939FA" w:rsidRPr="00EE5722">
        <w:rPr>
          <w:sz w:val="26"/>
          <w:szCs w:val="26"/>
        </w:rPr>
        <w:t xml:space="preserve"> its</w:t>
      </w:r>
      <w:r w:rsidRPr="00EE5722">
        <w:rPr>
          <w:sz w:val="26"/>
          <w:szCs w:val="26"/>
        </w:rPr>
        <w:t xml:space="preserve"> Small C&amp;I procurement plan provides a balance between providing stable rates and providing market responsive pricing.  The </w:t>
      </w:r>
      <w:r w:rsidR="0022422F">
        <w:rPr>
          <w:sz w:val="26"/>
          <w:szCs w:val="26"/>
        </w:rPr>
        <w:t xml:space="preserve">Small C&amp;I procurement plan would include </w:t>
      </w:r>
      <w:r w:rsidR="00772B8D">
        <w:rPr>
          <w:sz w:val="26"/>
          <w:szCs w:val="26"/>
        </w:rPr>
        <w:t>six</w:t>
      </w:r>
      <w:r w:rsidRPr="00EE5722">
        <w:rPr>
          <w:sz w:val="26"/>
          <w:szCs w:val="26"/>
        </w:rPr>
        <w:t>-mont</w:t>
      </w:r>
      <w:r w:rsidR="0022422F">
        <w:rPr>
          <w:sz w:val="26"/>
          <w:szCs w:val="26"/>
        </w:rPr>
        <w:t>h rate changes that would</w:t>
      </w:r>
      <w:r w:rsidRPr="00EE5722">
        <w:rPr>
          <w:sz w:val="26"/>
          <w:szCs w:val="26"/>
        </w:rPr>
        <w:t xml:space="preserve"> allow rates to change more frequently in response to changes in market prices.  The proposed procurement approach for Small C&amp;I customers is similar to the approach currently being used for Medium C&amp;I customers under DSP V and is part of the Company’s transition to more frequent rate adjustments for sma</w:t>
      </w:r>
      <w:r w:rsidR="009C04BD">
        <w:rPr>
          <w:sz w:val="26"/>
          <w:szCs w:val="26"/>
        </w:rPr>
        <w:t>ll</w:t>
      </w:r>
      <w:r w:rsidR="0022422F">
        <w:rPr>
          <w:sz w:val="26"/>
          <w:szCs w:val="26"/>
        </w:rPr>
        <w:t xml:space="preserve">er customers.  Duquesne St. </w:t>
      </w:r>
      <w:r w:rsidR="009C04BD">
        <w:rPr>
          <w:sz w:val="26"/>
          <w:szCs w:val="26"/>
        </w:rPr>
        <w:t xml:space="preserve">2 at </w:t>
      </w:r>
      <w:r w:rsidRPr="00EE5722">
        <w:rPr>
          <w:sz w:val="26"/>
          <w:szCs w:val="26"/>
        </w:rPr>
        <w:t>12.</w:t>
      </w:r>
    </w:p>
    <w:p w:rsidR="00337800" w:rsidRPr="00EE5722" w:rsidRDefault="00337800" w:rsidP="003C591F">
      <w:pPr>
        <w:pStyle w:val="BodyText"/>
        <w:spacing w:after="0" w:line="360" w:lineRule="auto"/>
        <w:ind w:left="0" w:firstLine="0"/>
        <w:rPr>
          <w:sz w:val="26"/>
          <w:szCs w:val="26"/>
        </w:rPr>
      </w:pPr>
    </w:p>
    <w:p w:rsidR="00884AFB" w:rsidRPr="00EE5722" w:rsidRDefault="00457F90" w:rsidP="00115AB3">
      <w:pPr>
        <w:pStyle w:val="Heading4"/>
        <w:numPr>
          <w:ilvl w:val="0"/>
          <w:numId w:val="0"/>
        </w:numPr>
        <w:ind w:left="2880" w:hanging="720"/>
      </w:pPr>
      <w:bookmarkStart w:id="40" w:name="_Toc346705282"/>
      <w:r w:rsidRPr="00EE5722">
        <w:t>b</w:t>
      </w:r>
      <w:r w:rsidR="00EA3978">
        <w:t>.</w:t>
      </w:r>
      <w:r w:rsidR="00EA3978">
        <w:tab/>
      </w:r>
      <w:r w:rsidR="00884AFB" w:rsidRPr="00EE5722">
        <w:t>Position</w:t>
      </w:r>
      <w:r w:rsidR="00EA3978">
        <w:t>s of the Parties</w:t>
      </w:r>
      <w:bookmarkEnd w:id="40"/>
    </w:p>
    <w:p w:rsidR="00297E8C" w:rsidRPr="00EE5722" w:rsidRDefault="00297E8C" w:rsidP="00457F90">
      <w:pPr>
        <w:pStyle w:val="BodyText"/>
        <w:spacing w:after="0" w:line="360" w:lineRule="auto"/>
        <w:ind w:left="360" w:firstLine="0"/>
        <w:rPr>
          <w:sz w:val="26"/>
          <w:szCs w:val="26"/>
        </w:rPr>
      </w:pPr>
    </w:p>
    <w:p w:rsidR="00EA3978" w:rsidRPr="00EE5722" w:rsidRDefault="00297E8C" w:rsidP="00EA3978">
      <w:pPr>
        <w:pStyle w:val="ListParagraph"/>
        <w:autoSpaceDE/>
        <w:autoSpaceDN/>
        <w:spacing w:line="360" w:lineRule="auto"/>
        <w:ind w:left="0"/>
        <w:rPr>
          <w:sz w:val="26"/>
          <w:szCs w:val="26"/>
        </w:rPr>
      </w:pPr>
      <w:r w:rsidRPr="00EE5722">
        <w:rPr>
          <w:sz w:val="26"/>
          <w:szCs w:val="26"/>
        </w:rPr>
        <w:tab/>
      </w:r>
      <w:r w:rsidR="00EA3978">
        <w:rPr>
          <w:sz w:val="26"/>
          <w:szCs w:val="26"/>
        </w:rPr>
        <w:t xml:space="preserve"> </w:t>
      </w:r>
      <w:r w:rsidR="00EA3978">
        <w:rPr>
          <w:sz w:val="26"/>
          <w:szCs w:val="26"/>
        </w:rPr>
        <w:tab/>
        <w:t>RESA recommended that</w:t>
      </w:r>
      <w:r w:rsidR="00EA3978" w:rsidRPr="00EE5722">
        <w:rPr>
          <w:sz w:val="26"/>
          <w:szCs w:val="26"/>
        </w:rPr>
        <w:t xml:space="preserve"> the Commission direct Duquesne to modify its proposed portfolio to mirror its portfolio fo</w:t>
      </w:r>
      <w:r w:rsidR="00772B8D">
        <w:rPr>
          <w:sz w:val="26"/>
          <w:szCs w:val="26"/>
        </w:rPr>
        <w:t>r residential customers:  50% twelve</w:t>
      </w:r>
      <w:r w:rsidR="00EA3978" w:rsidRPr="00EE5722">
        <w:rPr>
          <w:sz w:val="26"/>
          <w:szCs w:val="26"/>
        </w:rPr>
        <w:t>-month contracts, 50% quarterly contracts, with the PTC being adjusted quarterly.</w:t>
      </w:r>
      <w:r w:rsidR="00EA3978" w:rsidRPr="00EE5722">
        <w:rPr>
          <w:rStyle w:val="FootnoteReference"/>
          <w:sz w:val="26"/>
          <w:szCs w:val="26"/>
        </w:rPr>
        <w:footnoteReference w:id="29"/>
      </w:r>
      <w:r w:rsidR="00EA3978" w:rsidRPr="00EE5722">
        <w:rPr>
          <w:sz w:val="26"/>
          <w:szCs w:val="26"/>
        </w:rPr>
        <w:t xml:space="preserve">  </w:t>
      </w:r>
      <w:r w:rsidR="00EA3978">
        <w:rPr>
          <w:sz w:val="26"/>
          <w:szCs w:val="26"/>
        </w:rPr>
        <w:t>RESA asserted that</w:t>
      </w:r>
      <w:r w:rsidR="00EA3978" w:rsidRPr="00EE5722">
        <w:rPr>
          <w:sz w:val="26"/>
          <w:szCs w:val="26"/>
        </w:rPr>
        <w:t xml:space="preserve"> this adjustment makes sense because</w:t>
      </w:r>
      <w:r w:rsidR="0022422F">
        <w:rPr>
          <w:sz w:val="26"/>
          <w:szCs w:val="26"/>
        </w:rPr>
        <w:t xml:space="preserve">, as of May 2012, </w:t>
      </w:r>
      <w:r w:rsidR="00EA3978" w:rsidRPr="00EE5722">
        <w:rPr>
          <w:sz w:val="26"/>
          <w:szCs w:val="26"/>
        </w:rPr>
        <w:t xml:space="preserve">30.4% of Duquesne’s </w:t>
      </w:r>
      <w:r w:rsidR="00EA3978" w:rsidRPr="00EE5722">
        <w:rPr>
          <w:sz w:val="26"/>
          <w:szCs w:val="26"/>
        </w:rPr>
        <w:lastRenderedPageBreak/>
        <w:t>Small C&amp;I customers, (representing 39% of the load) have switched to alternative suppliers</w:t>
      </w:r>
      <w:r w:rsidR="003C591F">
        <w:rPr>
          <w:sz w:val="26"/>
          <w:szCs w:val="26"/>
        </w:rPr>
        <w:t xml:space="preserve"> </w:t>
      </w:r>
      <w:r w:rsidR="00772B8D">
        <w:rPr>
          <w:sz w:val="26"/>
          <w:szCs w:val="26"/>
        </w:rPr>
        <w:t>and forty-six</w:t>
      </w:r>
      <w:r w:rsidR="00EA3978" w:rsidRPr="00EE5722">
        <w:rPr>
          <w:sz w:val="26"/>
          <w:szCs w:val="26"/>
        </w:rPr>
        <w:t xml:space="preserve"> EGSs actively serve load in Duquesne’s service territory.</w:t>
      </w:r>
      <w:r w:rsidR="00EA3978" w:rsidRPr="00EE5722">
        <w:rPr>
          <w:rStyle w:val="FootnoteReference"/>
          <w:sz w:val="26"/>
          <w:szCs w:val="26"/>
        </w:rPr>
        <w:footnoteReference w:id="30"/>
      </w:r>
    </w:p>
    <w:p w:rsidR="00EA3978" w:rsidRPr="00EE5722" w:rsidRDefault="00EA3978" w:rsidP="00EA3978">
      <w:pPr>
        <w:pStyle w:val="BodyText2"/>
        <w:spacing w:after="0" w:line="360" w:lineRule="auto"/>
        <w:rPr>
          <w:sz w:val="26"/>
          <w:szCs w:val="26"/>
        </w:rPr>
      </w:pPr>
    </w:p>
    <w:p w:rsidR="00EA3978" w:rsidRPr="00EE5722" w:rsidRDefault="00EA3978" w:rsidP="00EA3978">
      <w:pPr>
        <w:pStyle w:val="BodyText2"/>
        <w:spacing w:after="0" w:line="360" w:lineRule="auto"/>
        <w:rPr>
          <w:sz w:val="26"/>
          <w:szCs w:val="26"/>
        </w:rPr>
      </w:pPr>
      <w:r>
        <w:rPr>
          <w:sz w:val="26"/>
          <w:szCs w:val="26"/>
        </w:rPr>
        <w:tab/>
      </w:r>
      <w:r>
        <w:rPr>
          <w:sz w:val="26"/>
          <w:szCs w:val="26"/>
        </w:rPr>
        <w:tab/>
      </w:r>
      <w:r w:rsidR="00B90CFB">
        <w:rPr>
          <w:sz w:val="26"/>
          <w:szCs w:val="26"/>
        </w:rPr>
        <w:t>RESA argued that</w:t>
      </w:r>
      <w:r w:rsidRPr="00EE5722">
        <w:rPr>
          <w:sz w:val="26"/>
          <w:szCs w:val="26"/>
        </w:rPr>
        <w:t xml:space="preserve"> its</w:t>
      </w:r>
      <w:r>
        <w:rPr>
          <w:sz w:val="26"/>
          <w:szCs w:val="26"/>
        </w:rPr>
        <w:t xml:space="preserve"> recommendations we</w:t>
      </w:r>
      <w:r w:rsidRPr="00EE5722">
        <w:rPr>
          <w:sz w:val="26"/>
          <w:szCs w:val="26"/>
        </w:rPr>
        <w:t xml:space="preserve">re designed to enhance the market responsiveness of the underlying supply mix, which better supports sustainable retail competition and </w:t>
      </w:r>
      <w:r w:rsidR="00B90CFB">
        <w:rPr>
          <w:sz w:val="26"/>
          <w:szCs w:val="26"/>
        </w:rPr>
        <w:t xml:space="preserve">ultimately benefits consumers. </w:t>
      </w:r>
      <w:r w:rsidR="00772B8D">
        <w:rPr>
          <w:sz w:val="26"/>
          <w:szCs w:val="26"/>
        </w:rPr>
        <w:t xml:space="preserve"> </w:t>
      </w:r>
      <w:r w:rsidRPr="00EE5722">
        <w:rPr>
          <w:sz w:val="26"/>
          <w:szCs w:val="26"/>
        </w:rPr>
        <w:t>RESA</w:t>
      </w:r>
      <w:r>
        <w:rPr>
          <w:sz w:val="26"/>
          <w:szCs w:val="26"/>
        </w:rPr>
        <w:t xml:space="preserve"> contended that</w:t>
      </w:r>
      <w:r w:rsidRPr="00EE5722">
        <w:rPr>
          <w:sz w:val="26"/>
          <w:szCs w:val="26"/>
        </w:rPr>
        <w:t xml:space="preserve"> its Small C&amp;I proposal offers sufficient rate stability.  To the extent consumers want pricing that offers more “stability” than the </w:t>
      </w:r>
      <w:r w:rsidR="00B90CFB">
        <w:rPr>
          <w:sz w:val="26"/>
          <w:szCs w:val="26"/>
        </w:rPr>
        <w:t xml:space="preserve">default service price, they would be able to buy power from an EGS </w:t>
      </w:r>
      <w:r w:rsidRPr="00EE5722">
        <w:rPr>
          <w:sz w:val="26"/>
          <w:szCs w:val="26"/>
        </w:rPr>
        <w:t>in a more robust sustainable competitive retail electricity market.</w:t>
      </w:r>
      <w:r w:rsidRPr="00EE5722">
        <w:rPr>
          <w:rStyle w:val="FootnoteReference"/>
          <w:sz w:val="26"/>
          <w:szCs w:val="26"/>
        </w:rPr>
        <w:footnoteReference w:id="31"/>
      </w:r>
      <w:r w:rsidRPr="00EE5722">
        <w:rPr>
          <w:sz w:val="26"/>
          <w:szCs w:val="26"/>
        </w:rPr>
        <w:t xml:space="preserve">  </w:t>
      </w:r>
      <w:r>
        <w:rPr>
          <w:sz w:val="26"/>
          <w:szCs w:val="26"/>
        </w:rPr>
        <w:t>RESA requested that</w:t>
      </w:r>
      <w:r w:rsidRPr="00EE5722">
        <w:rPr>
          <w:sz w:val="26"/>
          <w:szCs w:val="26"/>
        </w:rPr>
        <w:t xml:space="preserve"> the Commission direct Duquesne to util</w:t>
      </w:r>
      <w:r w:rsidR="00772B8D">
        <w:rPr>
          <w:sz w:val="26"/>
          <w:szCs w:val="26"/>
        </w:rPr>
        <w:t>ize l</w:t>
      </w:r>
      <w:r w:rsidR="003C591F">
        <w:rPr>
          <w:sz w:val="26"/>
          <w:szCs w:val="26"/>
        </w:rPr>
        <w:t>ead</w:t>
      </w:r>
      <w:r w:rsidR="00772B8D">
        <w:rPr>
          <w:sz w:val="26"/>
          <w:szCs w:val="26"/>
        </w:rPr>
        <w:t xml:space="preserve"> times of no more than sixty</w:t>
      </w:r>
      <w:r w:rsidRPr="00EE5722">
        <w:rPr>
          <w:sz w:val="26"/>
          <w:szCs w:val="26"/>
        </w:rPr>
        <w:t xml:space="preserve"> days between the RFP date and the date of delivery of each contract.</w:t>
      </w:r>
    </w:p>
    <w:p w:rsidR="00297E8C" w:rsidRPr="00EE5722" w:rsidRDefault="00297E8C" w:rsidP="00457F90">
      <w:pPr>
        <w:pStyle w:val="BodyText2"/>
        <w:spacing w:after="0" w:line="360" w:lineRule="auto"/>
        <w:ind w:left="1080"/>
        <w:rPr>
          <w:sz w:val="26"/>
          <w:szCs w:val="26"/>
        </w:rPr>
      </w:pPr>
    </w:p>
    <w:p w:rsidR="00297E8C" w:rsidRDefault="00EA3978" w:rsidP="004A6EF1">
      <w:pPr>
        <w:pStyle w:val="BodyText2"/>
        <w:spacing w:after="0" w:line="360" w:lineRule="auto"/>
        <w:rPr>
          <w:sz w:val="26"/>
          <w:szCs w:val="26"/>
        </w:rPr>
      </w:pPr>
      <w:r>
        <w:rPr>
          <w:sz w:val="26"/>
          <w:szCs w:val="26"/>
        </w:rPr>
        <w:t xml:space="preserve"> </w:t>
      </w:r>
      <w:r>
        <w:rPr>
          <w:sz w:val="26"/>
          <w:szCs w:val="26"/>
        </w:rPr>
        <w:tab/>
        <w:t xml:space="preserve"> </w:t>
      </w:r>
      <w:r>
        <w:rPr>
          <w:sz w:val="26"/>
          <w:szCs w:val="26"/>
        </w:rPr>
        <w:tab/>
        <w:t>The OSBA agreed</w:t>
      </w:r>
      <w:r w:rsidRPr="00EE5722">
        <w:rPr>
          <w:sz w:val="26"/>
          <w:szCs w:val="26"/>
        </w:rPr>
        <w:t xml:space="preserve"> with the Company’s proposed procurement strategy for the Small C&amp;I procurement group because it continues to provide reasonable price stability for Small C&amp;I default service customers.</w:t>
      </w:r>
      <w:r w:rsidR="00B90CFB">
        <w:rPr>
          <w:sz w:val="26"/>
          <w:szCs w:val="26"/>
        </w:rPr>
        <w:t xml:space="preserve">  </w:t>
      </w:r>
      <w:r>
        <w:rPr>
          <w:sz w:val="26"/>
          <w:szCs w:val="26"/>
        </w:rPr>
        <w:t>The OSBA noted</w:t>
      </w:r>
      <w:r w:rsidRPr="00EE5722">
        <w:rPr>
          <w:sz w:val="26"/>
          <w:szCs w:val="26"/>
        </w:rPr>
        <w:t xml:space="preserve"> that </w:t>
      </w:r>
      <w:r>
        <w:rPr>
          <w:sz w:val="26"/>
          <w:szCs w:val="26"/>
        </w:rPr>
        <w:t>Duquesne recognized</w:t>
      </w:r>
      <w:r w:rsidRPr="00EE5722">
        <w:rPr>
          <w:sz w:val="26"/>
          <w:szCs w:val="26"/>
        </w:rPr>
        <w:t xml:space="preserve"> the need to provide Small C&amp;I customers “some level of rate stability moving from one default service plan to another.”</w:t>
      </w:r>
      <w:r w:rsidRPr="00EE5722">
        <w:rPr>
          <w:rStyle w:val="FootnoteReference"/>
          <w:sz w:val="26"/>
          <w:szCs w:val="26"/>
        </w:rPr>
        <w:footnoteReference w:id="32"/>
      </w:r>
      <w:r w:rsidRPr="00EE5722">
        <w:rPr>
          <w:sz w:val="26"/>
          <w:szCs w:val="26"/>
        </w:rPr>
        <w:t xml:space="preserve">  Laddering the Smal</w:t>
      </w:r>
      <w:r w:rsidR="00B90CFB">
        <w:rPr>
          <w:sz w:val="26"/>
          <w:szCs w:val="26"/>
        </w:rPr>
        <w:t>l C&amp;I procurement contracts would</w:t>
      </w:r>
      <w:r w:rsidRPr="00EE5722">
        <w:rPr>
          <w:sz w:val="26"/>
          <w:szCs w:val="26"/>
        </w:rPr>
        <w:t xml:space="preserve"> limit the turnover in default service supply to 50% (of the total supply) at each procurement.  </w:t>
      </w:r>
      <w:r>
        <w:rPr>
          <w:sz w:val="26"/>
          <w:szCs w:val="26"/>
        </w:rPr>
        <w:t>The OSBA submitted</w:t>
      </w:r>
      <w:r w:rsidRPr="00EE5722">
        <w:rPr>
          <w:sz w:val="26"/>
          <w:szCs w:val="26"/>
        </w:rPr>
        <w:t xml:space="preserve"> that price stability should remain an important consideration in the design of a default service procurement plan, and that Duqu</w:t>
      </w:r>
      <w:r w:rsidR="00B90CFB">
        <w:rPr>
          <w:sz w:val="26"/>
          <w:szCs w:val="26"/>
        </w:rPr>
        <w:t xml:space="preserve">esne’s proposed approach </w:t>
      </w:r>
      <w:r w:rsidRPr="00EE5722">
        <w:rPr>
          <w:sz w:val="26"/>
          <w:szCs w:val="26"/>
        </w:rPr>
        <w:t>result</w:t>
      </w:r>
      <w:r w:rsidR="00B90CFB">
        <w:rPr>
          <w:sz w:val="26"/>
          <w:szCs w:val="26"/>
        </w:rPr>
        <w:t>s</w:t>
      </w:r>
      <w:r w:rsidRPr="00EE5722">
        <w:rPr>
          <w:sz w:val="26"/>
          <w:szCs w:val="26"/>
        </w:rPr>
        <w:t xml:space="preserve"> in reasonable price stability for Small C&amp;I default service customers over the 2013-2015 default service period.</w:t>
      </w:r>
    </w:p>
    <w:p w:rsidR="007A1A33" w:rsidRPr="007A1A33" w:rsidRDefault="007A1A33" w:rsidP="004A6EF1">
      <w:pPr>
        <w:pStyle w:val="BodyText2"/>
        <w:spacing w:after="0" w:line="360" w:lineRule="auto"/>
        <w:rPr>
          <w:sz w:val="26"/>
          <w:szCs w:val="26"/>
        </w:rPr>
      </w:pPr>
    </w:p>
    <w:p w:rsidR="00EA3978" w:rsidRDefault="00EA3978" w:rsidP="00EA3978">
      <w:pPr>
        <w:pStyle w:val="BodyTextFirstLine5DS"/>
        <w:spacing w:line="360" w:lineRule="auto"/>
        <w:jc w:val="left"/>
        <w:rPr>
          <w:sz w:val="26"/>
          <w:szCs w:val="26"/>
        </w:rPr>
      </w:pPr>
      <w:r>
        <w:rPr>
          <w:sz w:val="26"/>
          <w:szCs w:val="26"/>
        </w:rPr>
        <w:lastRenderedPageBreak/>
        <w:t xml:space="preserve"> </w:t>
      </w:r>
      <w:r>
        <w:rPr>
          <w:sz w:val="26"/>
          <w:szCs w:val="26"/>
        </w:rPr>
        <w:tab/>
        <w:t>FES argued that</w:t>
      </w:r>
      <w:r w:rsidRPr="00EE5722">
        <w:rPr>
          <w:sz w:val="26"/>
          <w:szCs w:val="26"/>
        </w:rPr>
        <w:t xml:space="preserve"> the Commission should reject RESA's recommended portfolio for Small C&amp;I customers for the same reasons </w:t>
      </w:r>
      <w:r w:rsidR="00B90CFB">
        <w:rPr>
          <w:sz w:val="26"/>
          <w:szCs w:val="26"/>
        </w:rPr>
        <w:t xml:space="preserve">that RESA’s </w:t>
      </w:r>
      <w:r w:rsidRPr="00EE5722">
        <w:rPr>
          <w:sz w:val="26"/>
          <w:szCs w:val="26"/>
        </w:rPr>
        <w:t>recommended portfolio for Residential customers</w:t>
      </w:r>
      <w:r w:rsidR="00B90CFB">
        <w:rPr>
          <w:sz w:val="26"/>
          <w:szCs w:val="26"/>
        </w:rPr>
        <w:t xml:space="preserve"> should be rejected</w:t>
      </w:r>
      <w:r w:rsidRPr="00EE5722">
        <w:rPr>
          <w:sz w:val="26"/>
          <w:szCs w:val="26"/>
        </w:rPr>
        <w:t xml:space="preserve">.  While RESA's proposed quarterly changes in default service rates is the maximum frequency allowed for Small C&amp;I customers under Act 129, 66 Pa. C.S. § 2807(e)(7), 70% of Small C&amp;I customers were still on default service as of May 2012.  </w:t>
      </w:r>
      <w:r w:rsidRPr="00772B8D">
        <w:rPr>
          <w:i/>
          <w:sz w:val="26"/>
          <w:szCs w:val="26"/>
        </w:rPr>
        <w:t>See</w:t>
      </w:r>
      <w:r>
        <w:rPr>
          <w:sz w:val="26"/>
          <w:szCs w:val="26"/>
        </w:rPr>
        <w:t xml:space="preserve"> FES Exh. TCB-4 (Duquesne </w:t>
      </w:r>
      <w:r w:rsidRPr="00EE5722">
        <w:rPr>
          <w:sz w:val="26"/>
          <w:szCs w:val="26"/>
        </w:rPr>
        <w:t>Response to RESA-I-2).  RESA'</w:t>
      </w:r>
      <w:r w:rsidR="00B90CFB">
        <w:rPr>
          <w:sz w:val="26"/>
          <w:szCs w:val="26"/>
        </w:rPr>
        <w:t>s proposal would impose the Commission’s end-state p</w:t>
      </w:r>
      <w:r w:rsidRPr="00EE5722">
        <w:rPr>
          <w:sz w:val="26"/>
          <w:szCs w:val="26"/>
        </w:rPr>
        <w:t xml:space="preserve">roposal for Small C&amp;I customers as set forth in the </w:t>
      </w:r>
      <w:r w:rsidR="003E2F24">
        <w:rPr>
          <w:sz w:val="26"/>
          <w:szCs w:val="26"/>
        </w:rPr>
        <w:t xml:space="preserve">Commission's </w:t>
      </w:r>
      <w:r w:rsidR="003E2F24" w:rsidRPr="003E2F24">
        <w:rPr>
          <w:i/>
          <w:sz w:val="26"/>
          <w:szCs w:val="26"/>
        </w:rPr>
        <w:t xml:space="preserve">End-State </w:t>
      </w:r>
      <w:r w:rsidRPr="003E2F24">
        <w:rPr>
          <w:i/>
          <w:sz w:val="26"/>
          <w:szCs w:val="26"/>
        </w:rPr>
        <w:t>Secretarial Letter</w:t>
      </w:r>
      <w:r w:rsidRPr="00EE5722">
        <w:rPr>
          <w:sz w:val="26"/>
          <w:szCs w:val="26"/>
        </w:rPr>
        <w:t xml:space="preserve">, without the benefits of the transition period consumer education.  </w:t>
      </w:r>
      <w:r w:rsidR="00772B8D">
        <w:rPr>
          <w:sz w:val="26"/>
          <w:szCs w:val="26"/>
        </w:rPr>
        <w:t>FES asserted that the evidence demonstrated</w:t>
      </w:r>
      <w:r w:rsidRPr="00EE5722">
        <w:rPr>
          <w:sz w:val="26"/>
          <w:szCs w:val="26"/>
        </w:rPr>
        <w:t xml:space="preserve"> that price stability is no bar to shopping, as Small C&amp;I customer switching increased from 21% to 30% o</w:t>
      </w:r>
      <w:r>
        <w:rPr>
          <w:sz w:val="26"/>
          <w:szCs w:val="26"/>
        </w:rPr>
        <w:t>ver the course of Duquesne</w:t>
      </w:r>
      <w:r w:rsidR="00772B8D">
        <w:rPr>
          <w:sz w:val="26"/>
          <w:szCs w:val="26"/>
        </w:rPr>
        <w:t>'s DSP</w:t>
      </w:r>
      <w:r w:rsidRPr="00EE5722">
        <w:rPr>
          <w:sz w:val="26"/>
          <w:szCs w:val="26"/>
        </w:rPr>
        <w:t xml:space="preserve"> V program.  FES Ex</w:t>
      </w:r>
      <w:r>
        <w:rPr>
          <w:sz w:val="26"/>
          <w:szCs w:val="26"/>
        </w:rPr>
        <w:t xml:space="preserve">h. TCB-4 (Duquesne </w:t>
      </w:r>
      <w:r w:rsidRPr="00EE5722">
        <w:rPr>
          <w:sz w:val="26"/>
          <w:szCs w:val="26"/>
        </w:rPr>
        <w:t xml:space="preserve">Response to RESA-I-2).  Accordingly, </w:t>
      </w:r>
      <w:r>
        <w:rPr>
          <w:sz w:val="26"/>
          <w:szCs w:val="26"/>
        </w:rPr>
        <w:t xml:space="preserve">FES recommended that </w:t>
      </w:r>
      <w:r w:rsidRPr="00EE5722">
        <w:rPr>
          <w:sz w:val="26"/>
          <w:szCs w:val="26"/>
        </w:rPr>
        <w:t>RESA's recommended default s</w:t>
      </w:r>
      <w:r>
        <w:rPr>
          <w:sz w:val="26"/>
          <w:szCs w:val="26"/>
        </w:rPr>
        <w:t xml:space="preserve">upply contract portfolio </w:t>
      </w:r>
      <w:r w:rsidRPr="00EE5722">
        <w:rPr>
          <w:sz w:val="26"/>
          <w:szCs w:val="26"/>
        </w:rPr>
        <w:t>be rejected.</w:t>
      </w:r>
    </w:p>
    <w:p w:rsidR="00EA3978" w:rsidRPr="00EE5722" w:rsidRDefault="00EA3978" w:rsidP="00EA3978">
      <w:pPr>
        <w:pStyle w:val="BodyTextFirstLine5DS"/>
        <w:spacing w:line="360" w:lineRule="auto"/>
        <w:jc w:val="left"/>
        <w:rPr>
          <w:sz w:val="26"/>
          <w:szCs w:val="26"/>
        </w:rPr>
      </w:pPr>
    </w:p>
    <w:p w:rsidR="00504B9D" w:rsidRDefault="00EA3978" w:rsidP="00772B8D">
      <w:pPr>
        <w:autoSpaceDE/>
        <w:autoSpaceDN/>
        <w:spacing w:line="360" w:lineRule="auto"/>
        <w:ind w:firstLine="720"/>
        <w:rPr>
          <w:b/>
          <w:sz w:val="26"/>
          <w:szCs w:val="26"/>
        </w:rPr>
      </w:pPr>
      <w:r>
        <w:rPr>
          <w:sz w:val="26"/>
          <w:szCs w:val="26"/>
        </w:rPr>
        <w:t xml:space="preserve"> </w:t>
      </w:r>
      <w:r>
        <w:rPr>
          <w:sz w:val="26"/>
          <w:szCs w:val="26"/>
        </w:rPr>
        <w:tab/>
        <w:t xml:space="preserve">The OCA, </w:t>
      </w:r>
      <w:r w:rsidRPr="00EE5722">
        <w:rPr>
          <w:sz w:val="26"/>
          <w:szCs w:val="26"/>
        </w:rPr>
        <w:t>CAUSE</w:t>
      </w:r>
      <w:r>
        <w:rPr>
          <w:sz w:val="26"/>
          <w:szCs w:val="26"/>
        </w:rPr>
        <w:t>, Citizen Power, DII, D</w:t>
      </w:r>
      <w:r w:rsidR="008F3443">
        <w:rPr>
          <w:sz w:val="26"/>
          <w:szCs w:val="26"/>
        </w:rPr>
        <w:t xml:space="preserve">ominion and Constellation </w:t>
      </w:r>
      <w:r>
        <w:rPr>
          <w:sz w:val="26"/>
          <w:szCs w:val="26"/>
        </w:rPr>
        <w:t>took</w:t>
      </w:r>
      <w:r w:rsidRPr="00EE5722">
        <w:rPr>
          <w:sz w:val="26"/>
          <w:szCs w:val="26"/>
        </w:rPr>
        <w:t xml:space="preserve"> no position on this issue.</w:t>
      </w:r>
      <w:r w:rsidR="00836054" w:rsidRPr="00EE5722">
        <w:rPr>
          <w:b/>
          <w:sz w:val="26"/>
          <w:szCs w:val="26"/>
        </w:rPr>
        <w:tab/>
      </w:r>
    </w:p>
    <w:p w:rsidR="00504B9D" w:rsidRDefault="00504B9D" w:rsidP="00772B8D">
      <w:pPr>
        <w:autoSpaceDE/>
        <w:autoSpaceDN/>
        <w:spacing w:line="360" w:lineRule="auto"/>
        <w:ind w:firstLine="720"/>
        <w:rPr>
          <w:b/>
          <w:sz w:val="26"/>
          <w:szCs w:val="26"/>
        </w:rPr>
      </w:pPr>
    </w:p>
    <w:p w:rsidR="00884AFB" w:rsidRPr="00EE5722" w:rsidRDefault="00457F90" w:rsidP="00115AB3">
      <w:pPr>
        <w:pStyle w:val="Heading4"/>
        <w:numPr>
          <w:ilvl w:val="0"/>
          <w:numId w:val="0"/>
        </w:numPr>
        <w:ind w:left="2880" w:hanging="720"/>
      </w:pPr>
      <w:bookmarkStart w:id="41" w:name="_Toc346705283"/>
      <w:r w:rsidRPr="00EE5722">
        <w:t>c</w:t>
      </w:r>
      <w:r w:rsidR="00EA3978">
        <w:t>.</w:t>
      </w:r>
      <w:r w:rsidR="00EA3978">
        <w:tab/>
        <w:t>ALJ’s Recommendation</w:t>
      </w:r>
      <w:bookmarkEnd w:id="41"/>
      <w:r w:rsidR="00F82083">
        <w:t xml:space="preserve"> </w:t>
      </w:r>
    </w:p>
    <w:p w:rsidR="001F1EAA" w:rsidRPr="00EE5722" w:rsidRDefault="001F1EAA" w:rsidP="00457F90">
      <w:pPr>
        <w:pStyle w:val="ListParagraph"/>
        <w:autoSpaceDE/>
        <w:autoSpaceDN/>
        <w:spacing w:line="360" w:lineRule="auto"/>
        <w:ind w:left="0"/>
        <w:rPr>
          <w:sz w:val="26"/>
          <w:szCs w:val="26"/>
        </w:rPr>
      </w:pPr>
    </w:p>
    <w:p w:rsidR="00EA3978" w:rsidRPr="00EE5722" w:rsidRDefault="00E90FC9" w:rsidP="00EA3978">
      <w:pPr>
        <w:pStyle w:val="BodyText"/>
        <w:spacing w:after="0" w:line="360" w:lineRule="auto"/>
        <w:ind w:left="0" w:firstLine="0"/>
        <w:rPr>
          <w:sz w:val="26"/>
          <w:szCs w:val="26"/>
        </w:rPr>
      </w:pPr>
      <w:r w:rsidRPr="00EE5722">
        <w:rPr>
          <w:sz w:val="26"/>
          <w:szCs w:val="26"/>
        </w:rPr>
        <w:tab/>
      </w:r>
      <w:r w:rsidRPr="00EE5722">
        <w:rPr>
          <w:sz w:val="26"/>
          <w:szCs w:val="26"/>
        </w:rPr>
        <w:tab/>
      </w:r>
      <w:r w:rsidR="00EA3978">
        <w:rPr>
          <w:sz w:val="26"/>
          <w:szCs w:val="26"/>
        </w:rPr>
        <w:t xml:space="preserve">The ALJ </w:t>
      </w:r>
      <w:r w:rsidR="00EA3978" w:rsidRPr="00EE5722">
        <w:rPr>
          <w:sz w:val="26"/>
          <w:szCs w:val="26"/>
        </w:rPr>
        <w:t>recommend</w:t>
      </w:r>
      <w:r w:rsidR="00EA3978">
        <w:rPr>
          <w:sz w:val="26"/>
          <w:szCs w:val="26"/>
        </w:rPr>
        <w:t>ed</w:t>
      </w:r>
      <w:r w:rsidR="00EA3978" w:rsidRPr="00EE5722">
        <w:rPr>
          <w:sz w:val="26"/>
          <w:szCs w:val="26"/>
        </w:rPr>
        <w:t xml:space="preserve"> approval of D</w:t>
      </w:r>
      <w:r w:rsidR="00EA3978">
        <w:rPr>
          <w:sz w:val="26"/>
          <w:szCs w:val="26"/>
        </w:rPr>
        <w:t>uquesne</w:t>
      </w:r>
      <w:r w:rsidR="00EA3978" w:rsidRPr="00EE5722">
        <w:rPr>
          <w:sz w:val="26"/>
          <w:szCs w:val="26"/>
        </w:rPr>
        <w:t>’s plan to ladder one-year contracts after one six-month contract for the reasons suggested by D</w:t>
      </w:r>
      <w:r w:rsidR="00EA3978">
        <w:rPr>
          <w:sz w:val="26"/>
          <w:szCs w:val="26"/>
        </w:rPr>
        <w:t>uquesne</w:t>
      </w:r>
      <w:r w:rsidR="00EA3978" w:rsidRPr="00EE5722">
        <w:rPr>
          <w:sz w:val="26"/>
          <w:szCs w:val="26"/>
        </w:rPr>
        <w:t>.  The</w:t>
      </w:r>
      <w:r w:rsidR="00B90CFB">
        <w:rPr>
          <w:sz w:val="26"/>
          <w:szCs w:val="26"/>
        </w:rPr>
        <w:t xml:space="preserve"> ALJ concluded that the </w:t>
      </w:r>
      <w:r w:rsidR="00EA3978" w:rsidRPr="00EE5722">
        <w:rPr>
          <w:sz w:val="26"/>
          <w:szCs w:val="26"/>
        </w:rPr>
        <w:t>Company’s plan will provide price stability while moving this load towards greater market responsiveness.</w:t>
      </w:r>
      <w:r w:rsidR="00772B8D">
        <w:rPr>
          <w:sz w:val="26"/>
          <w:szCs w:val="26"/>
        </w:rPr>
        <w:t xml:space="preserve">  R.D. at 43.</w:t>
      </w:r>
    </w:p>
    <w:p w:rsidR="009A564A" w:rsidRPr="00EE5722" w:rsidRDefault="009A564A" w:rsidP="00457F90">
      <w:pPr>
        <w:pStyle w:val="ListParagraph"/>
        <w:autoSpaceDE/>
        <w:autoSpaceDN/>
        <w:spacing w:line="360" w:lineRule="auto"/>
        <w:ind w:left="0"/>
        <w:rPr>
          <w:sz w:val="26"/>
          <w:szCs w:val="26"/>
        </w:rPr>
      </w:pPr>
    </w:p>
    <w:p w:rsidR="006D4D99" w:rsidRPr="00EE5722" w:rsidRDefault="00457F90" w:rsidP="00115AB3">
      <w:pPr>
        <w:pStyle w:val="Heading4"/>
        <w:numPr>
          <w:ilvl w:val="0"/>
          <w:numId w:val="0"/>
        </w:numPr>
        <w:ind w:left="2880" w:hanging="720"/>
      </w:pPr>
      <w:bookmarkStart w:id="42" w:name="_Toc346705284"/>
      <w:r w:rsidRPr="00EE5722">
        <w:t>d</w:t>
      </w:r>
      <w:r w:rsidR="00EA3978">
        <w:t>.</w:t>
      </w:r>
      <w:r w:rsidR="00EA3978">
        <w:tab/>
        <w:t>Exceptions</w:t>
      </w:r>
      <w:bookmarkEnd w:id="42"/>
    </w:p>
    <w:p w:rsidR="006D4D99" w:rsidRDefault="006D4D99" w:rsidP="00457F90">
      <w:pPr>
        <w:pStyle w:val="BodyText"/>
        <w:spacing w:after="0" w:line="360" w:lineRule="auto"/>
        <w:ind w:left="0" w:firstLine="0"/>
        <w:rPr>
          <w:sz w:val="26"/>
          <w:szCs w:val="26"/>
        </w:rPr>
      </w:pPr>
    </w:p>
    <w:p w:rsidR="00C84D5B" w:rsidRDefault="00836D01" w:rsidP="00772B8D">
      <w:pPr>
        <w:pStyle w:val="BodyText2"/>
        <w:spacing w:after="0" w:line="360" w:lineRule="auto"/>
        <w:rPr>
          <w:sz w:val="26"/>
          <w:szCs w:val="26"/>
        </w:rPr>
      </w:pPr>
      <w:r>
        <w:rPr>
          <w:sz w:val="26"/>
          <w:szCs w:val="26"/>
        </w:rPr>
        <w:tab/>
      </w:r>
      <w:r>
        <w:rPr>
          <w:sz w:val="26"/>
          <w:szCs w:val="26"/>
        </w:rPr>
        <w:tab/>
      </w:r>
      <w:r w:rsidR="00772B8D">
        <w:rPr>
          <w:sz w:val="26"/>
          <w:szCs w:val="26"/>
        </w:rPr>
        <w:t xml:space="preserve">In its Exceptions, </w:t>
      </w:r>
      <w:r>
        <w:rPr>
          <w:sz w:val="26"/>
          <w:szCs w:val="26"/>
        </w:rPr>
        <w:t>RESA argues that t</w:t>
      </w:r>
      <w:r w:rsidR="00772B8D">
        <w:rPr>
          <w:sz w:val="26"/>
          <w:szCs w:val="26"/>
        </w:rPr>
        <w:t>he ALJ erred in rejecting its</w:t>
      </w:r>
      <w:r>
        <w:rPr>
          <w:sz w:val="26"/>
          <w:szCs w:val="26"/>
        </w:rPr>
        <w:t xml:space="preserve"> proposal to replace Duquesne’s propose</w:t>
      </w:r>
      <w:r w:rsidR="00772B8D">
        <w:rPr>
          <w:sz w:val="26"/>
          <w:szCs w:val="26"/>
        </w:rPr>
        <w:t>d Small C&amp;I portfolio of 100% twelve-month contracts with 50% twelve-month and 50% three</w:t>
      </w:r>
      <w:r>
        <w:rPr>
          <w:sz w:val="26"/>
          <w:szCs w:val="26"/>
        </w:rPr>
        <w:t>-month contracts</w:t>
      </w:r>
      <w:r w:rsidRPr="00C84D5B">
        <w:rPr>
          <w:sz w:val="26"/>
          <w:szCs w:val="26"/>
        </w:rPr>
        <w:t>.</w:t>
      </w:r>
      <w:r w:rsidR="00C84D5B">
        <w:rPr>
          <w:sz w:val="26"/>
          <w:szCs w:val="26"/>
        </w:rPr>
        <w:t xml:space="preserve">  </w:t>
      </w:r>
      <w:r w:rsidR="00B90CFB">
        <w:rPr>
          <w:sz w:val="26"/>
          <w:szCs w:val="26"/>
        </w:rPr>
        <w:t>For S</w:t>
      </w:r>
      <w:r w:rsidR="00C84D5B" w:rsidRPr="00C84D5B">
        <w:rPr>
          <w:sz w:val="26"/>
          <w:szCs w:val="26"/>
        </w:rPr>
        <w:t xml:space="preserve">mall C&amp;I customers, </w:t>
      </w:r>
      <w:r w:rsidR="00772B8D">
        <w:rPr>
          <w:bCs/>
          <w:sz w:val="26"/>
          <w:szCs w:val="26"/>
        </w:rPr>
        <w:lastRenderedPageBreak/>
        <w:t>Duquesne proposed to procure twelve</w:t>
      </w:r>
      <w:r w:rsidR="00C84D5B" w:rsidRPr="00C84D5B">
        <w:rPr>
          <w:bCs/>
          <w:sz w:val="26"/>
          <w:szCs w:val="26"/>
        </w:rPr>
        <w:t>-month laddered contracts, with 50% of the default service supply being bid out at a time.</w:t>
      </w:r>
      <w:r w:rsidR="00C84D5B" w:rsidRPr="00C84D5B">
        <w:rPr>
          <w:rStyle w:val="FootnoteReference"/>
          <w:bCs/>
          <w:sz w:val="26"/>
          <w:szCs w:val="26"/>
        </w:rPr>
        <w:footnoteReference w:id="33"/>
      </w:r>
      <w:r w:rsidR="00B90CFB">
        <w:rPr>
          <w:bCs/>
          <w:sz w:val="26"/>
          <w:szCs w:val="26"/>
        </w:rPr>
        <w:t xml:space="preserve">  The retail PTC would be </w:t>
      </w:r>
      <w:r w:rsidR="00C84D5B" w:rsidRPr="00C84D5B">
        <w:rPr>
          <w:bCs/>
          <w:sz w:val="26"/>
          <w:szCs w:val="26"/>
        </w:rPr>
        <w:t>reset twice per year, in contrast to the current once per year.</w:t>
      </w:r>
      <w:r w:rsidR="00C84D5B" w:rsidRPr="00C84D5B">
        <w:rPr>
          <w:sz w:val="26"/>
          <w:szCs w:val="26"/>
        </w:rPr>
        <w:t xml:space="preserve"> </w:t>
      </w:r>
      <w:r w:rsidR="00B90CFB">
        <w:rPr>
          <w:sz w:val="26"/>
          <w:szCs w:val="26"/>
        </w:rPr>
        <w:t xml:space="preserve"> </w:t>
      </w:r>
      <w:r w:rsidR="00C84D5B" w:rsidRPr="00C84D5B">
        <w:rPr>
          <w:sz w:val="26"/>
          <w:szCs w:val="26"/>
        </w:rPr>
        <w:t>RESA recommended that Duqu</w:t>
      </w:r>
      <w:r w:rsidR="00B90CFB">
        <w:rPr>
          <w:sz w:val="26"/>
          <w:szCs w:val="26"/>
        </w:rPr>
        <w:t>esne be directed to modify its S</w:t>
      </w:r>
      <w:r w:rsidR="00C84D5B" w:rsidRPr="00C84D5B">
        <w:rPr>
          <w:sz w:val="26"/>
          <w:szCs w:val="26"/>
        </w:rPr>
        <w:t>mall C&amp;I proposal to b</w:t>
      </w:r>
      <w:r w:rsidR="00B90CFB">
        <w:rPr>
          <w:sz w:val="26"/>
          <w:szCs w:val="26"/>
        </w:rPr>
        <w:t xml:space="preserve">e the same as its proposal for </w:t>
      </w:r>
      <w:r w:rsidR="003C591F">
        <w:rPr>
          <w:sz w:val="26"/>
          <w:szCs w:val="26"/>
        </w:rPr>
        <w:t>r</w:t>
      </w:r>
      <w:r w:rsidR="00772B8D">
        <w:rPr>
          <w:sz w:val="26"/>
          <w:szCs w:val="26"/>
        </w:rPr>
        <w:t>esidential customers:  50% twelve</w:t>
      </w:r>
      <w:r w:rsidR="00C84D5B" w:rsidRPr="00C84D5B">
        <w:rPr>
          <w:sz w:val="26"/>
          <w:szCs w:val="26"/>
        </w:rPr>
        <w:t>-month contracts, 50% quarterly contracts, with the PTC being adjusted quarterly.</w:t>
      </w:r>
      <w:r w:rsidR="00C84D5B" w:rsidRPr="00C84D5B">
        <w:rPr>
          <w:rStyle w:val="FootnoteReference"/>
          <w:sz w:val="26"/>
          <w:szCs w:val="26"/>
        </w:rPr>
        <w:footnoteReference w:id="34"/>
      </w:r>
      <w:r w:rsidR="00B90CFB">
        <w:rPr>
          <w:sz w:val="26"/>
          <w:szCs w:val="26"/>
        </w:rPr>
        <w:t xml:space="preserve">  According to RESA, t</w:t>
      </w:r>
      <w:r w:rsidR="00C84D5B" w:rsidRPr="00C84D5B">
        <w:rPr>
          <w:sz w:val="26"/>
          <w:szCs w:val="26"/>
        </w:rPr>
        <w:t xml:space="preserve">his recommendation makes </w:t>
      </w:r>
      <w:r w:rsidR="00B90CFB">
        <w:rPr>
          <w:sz w:val="26"/>
          <w:szCs w:val="26"/>
        </w:rPr>
        <w:t>sense because a large number of Duquesne’s S</w:t>
      </w:r>
      <w:r w:rsidR="00C84D5B" w:rsidRPr="00C84D5B">
        <w:rPr>
          <w:sz w:val="26"/>
          <w:szCs w:val="26"/>
        </w:rPr>
        <w:t>mall C&amp;I c</w:t>
      </w:r>
      <w:r w:rsidR="00B90CFB">
        <w:rPr>
          <w:sz w:val="26"/>
          <w:szCs w:val="26"/>
        </w:rPr>
        <w:t xml:space="preserve">ustomers </w:t>
      </w:r>
      <w:r w:rsidR="00C84D5B" w:rsidRPr="00C84D5B">
        <w:rPr>
          <w:sz w:val="26"/>
          <w:szCs w:val="26"/>
        </w:rPr>
        <w:t>have switched to EGSs.</w:t>
      </w:r>
      <w:r w:rsidR="00C84D5B" w:rsidRPr="00C84D5B">
        <w:rPr>
          <w:rStyle w:val="FootnoteReference"/>
          <w:sz w:val="26"/>
          <w:szCs w:val="26"/>
        </w:rPr>
        <w:footnoteReference w:id="35"/>
      </w:r>
      <w:r w:rsidR="00911D84">
        <w:rPr>
          <w:sz w:val="26"/>
          <w:szCs w:val="26"/>
        </w:rPr>
        <w:t xml:space="preserve">  RESA Exc. at</w:t>
      </w:r>
      <w:r w:rsidR="00911D84">
        <w:rPr>
          <w:sz w:val="26"/>
          <w:szCs w:val="26"/>
          <w:lang w:val="en-US"/>
        </w:rPr>
        <w:t> </w:t>
      </w:r>
      <w:r w:rsidR="00E77B8C">
        <w:rPr>
          <w:sz w:val="26"/>
          <w:szCs w:val="26"/>
        </w:rPr>
        <w:t xml:space="preserve">11.  </w:t>
      </w:r>
    </w:p>
    <w:p w:rsidR="00B90CFB" w:rsidRPr="00B90CFB" w:rsidRDefault="00B90CFB" w:rsidP="00772B8D">
      <w:pPr>
        <w:pStyle w:val="BodyText2"/>
        <w:spacing w:after="0" w:line="360" w:lineRule="auto"/>
        <w:rPr>
          <w:sz w:val="26"/>
          <w:szCs w:val="26"/>
        </w:rPr>
      </w:pPr>
    </w:p>
    <w:p w:rsidR="00C84D5B" w:rsidRPr="00E77B8C" w:rsidRDefault="00C84D5B" w:rsidP="00E77B8C">
      <w:pPr>
        <w:pStyle w:val="BodyText2"/>
        <w:spacing w:after="0" w:line="360" w:lineRule="auto"/>
        <w:ind w:firstLine="1440"/>
        <w:rPr>
          <w:sz w:val="26"/>
          <w:szCs w:val="26"/>
        </w:rPr>
      </w:pPr>
      <w:r w:rsidRPr="00C84D5B">
        <w:rPr>
          <w:sz w:val="26"/>
          <w:szCs w:val="26"/>
        </w:rPr>
        <w:t>For the reasons stated abov</w:t>
      </w:r>
      <w:r w:rsidR="00B90CFB">
        <w:rPr>
          <w:sz w:val="26"/>
          <w:szCs w:val="26"/>
        </w:rPr>
        <w:t xml:space="preserve">e relating to </w:t>
      </w:r>
      <w:r w:rsidR="00E77B8C">
        <w:rPr>
          <w:sz w:val="26"/>
          <w:szCs w:val="26"/>
        </w:rPr>
        <w:t>r</w:t>
      </w:r>
      <w:r w:rsidRPr="00C84D5B">
        <w:rPr>
          <w:sz w:val="26"/>
          <w:szCs w:val="26"/>
        </w:rPr>
        <w:t>esidential customers,</w:t>
      </w:r>
      <w:r w:rsidR="00B90CFB">
        <w:rPr>
          <w:sz w:val="26"/>
          <w:szCs w:val="26"/>
        </w:rPr>
        <w:t xml:space="preserve"> RESA submits that the ALJ’s rejection of RESA’s S</w:t>
      </w:r>
      <w:r w:rsidRPr="00C84D5B">
        <w:rPr>
          <w:sz w:val="26"/>
          <w:szCs w:val="26"/>
        </w:rPr>
        <w:t xml:space="preserve">mall C&amp;I proposal on the basis of price stability is incorrect both legally and factually, and </w:t>
      </w:r>
      <w:r w:rsidR="003C591F">
        <w:rPr>
          <w:sz w:val="26"/>
          <w:szCs w:val="26"/>
        </w:rPr>
        <w:t>that its</w:t>
      </w:r>
      <w:r w:rsidRPr="00C84D5B">
        <w:rPr>
          <w:sz w:val="26"/>
          <w:szCs w:val="26"/>
        </w:rPr>
        <w:t xml:space="preserve"> proposal provides the better transition to t</w:t>
      </w:r>
      <w:r w:rsidR="00BA2F8F">
        <w:rPr>
          <w:sz w:val="26"/>
          <w:szCs w:val="26"/>
        </w:rPr>
        <w:t>he proposed default service end-state for S</w:t>
      </w:r>
      <w:r w:rsidRPr="00C84D5B">
        <w:rPr>
          <w:sz w:val="26"/>
          <w:szCs w:val="26"/>
        </w:rPr>
        <w:t>mall C&amp;I c</w:t>
      </w:r>
      <w:r w:rsidR="00BA2F8F">
        <w:rPr>
          <w:sz w:val="26"/>
          <w:szCs w:val="26"/>
        </w:rPr>
        <w:t xml:space="preserve">ustomers.  RESA argues that </w:t>
      </w:r>
      <w:r w:rsidRPr="00C84D5B">
        <w:rPr>
          <w:sz w:val="26"/>
          <w:szCs w:val="26"/>
        </w:rPr>
        <w:t>Duquesne’s proposal does not go far enough towards establishing market reflective default service rates to attain the goal of a robust, sustainable, competitive market.</w:t>
      </w:r>
      <w:r w:rsidRPr="00C84D5B">
        <w:rPr>
          <w:rStyle w:val="FootnoteReference"/>
          <w:sz w:val="26"/>
          <w:szCs w:val="26"/>
        </w:rPr>
        <w:footnoteReference w:id="36"/>
      </w:r>
      <w:r w:rsidR="00E77B8C">
        <w:rPr>
          <w:sz w:val="26"/>
          <w:szCs w:val="26"/>
        </w:rPr>
        <w:t xml:space="preserve">  </w:t>
      </w:r>
      <w:r w:rsidR="00E77B8C">
        <w:rPr>
          <w:i/>
          <w:sz w:val="26"/>
          <w:szCs w:val="26"/>
        </w:rPr>
        <w:t xml:space="preserve">Id. </w:t>
      </w:r>
      <w:r w:rsidR="00E77B8C">
        <w:rPr>
          <w:sz w:val="26"/>
          <w:szCs w:val="26"/>
        </w:rPr>
        <w:t>at 11-12.</w:t>
      </w:r>
    </w:p>
    <w:p w:rsidR="00C84D5B" w:rsidRPr="00C027A8" w:rsidRDefault="00C84D5B" w:rsidP="00E77B8C">
      <w:pPr>
        <w:pStyle w:val="BodyText2"/>
        <w:spacing w:after="0" w:line="360" w:lineRule="auto"/>
        <w:ind w:firstLine="720"/>
        <w:rPr>
          <w:sz w:val="26"/>
          <w:szCs w:val="26"/>
        </w:rPr>
      </w:pPr>
    </w:p>
    <w:p w:rsidR="00C84D5B" w:rsidRPr="00E77B8C" w:rsidRDefault="00C84D5B" w:rsidP="00E77B8C">
      <w:pPr>
        <w:pStyle w:val="BodyText2"/>
        <w:spacing w:after="0" w:line="360" w:lineRule="auto"/>
        <w:ind w:firstLine="720"/>
        <w:rPr>
          <w:sz w:val="26"/>
          <w:szCs w:val="26"/>
        </w:rPr>
      </w:pPr>
      <w:r>
        <w:rPr>
          <w:sz w:val="26"/>
          <w:szCs w:val="26"/>
        </w:rPr>
        <w:t xml:space="preserve"> </w:t>
      </w:r>
      <w:r>
        <w:rPr>
          <w:sz w:val="26"/>
          <w:szCs w:val="26"/>
        </w:rPr>
        <w:tab/>
      </w:r>
      <w:r w:rsidR="00E77B8C">
        <w:rPr>
          <w:sz w:val="26"/>
          <w:szCs w:val="26"/>
        </w:rPr>
        <w:t>RESA</w:t>
      </w:r>
      <w:r w:rsidRPr="00C84D5B">
        <w:rPr>
          <w:sz w:val="26"/>
          <w:szCs w:val="26"/>
        </w:rPr>
        <w:t xml:space="preserve"> </w:t>
      </w:r>
      <w:r w:rsidR="00BA2F8F">
        <w:rPr>
          <w:sz w:val="26"/>
          <w:szCs w:val="26"/>
        </w:rPr>
        <w:t xml:space="preserve">states that its </w:t>
      </w:r>
      <w:r w:rsidRPr="00C84D5B">
        <w:rPr>
          <w:sz w:val="26"/>
          <w:szCs w:val="26"/>
        </w:rPr>
        <w:t xml:space="preserve">recommendations are designed to enhance the market responsiveness of </w:t>
      </w:r>
      <w:r w:rsidR="00BA2F8F">
        <w:rPr>
          <w:sz w:val="26"/>
          <w:szCs w:val="26"/>
        </w:rPr>
        <w:t xml:space="preserve">the underlying supply mix to better support </w:t>
      </w:r>
      <w:r w:rsidRPr="00C84D5B">
        <w:rPr>
          <w:sz w:val="26"/>
          <w:szCs w:val="26"/>
        </w:rPr>
        <w:t>re</w:t>
      </w:r>
      <w:r w:rsidR="00BA2F8F">
        <w:rPr>
          <w:sz w:val="26"/>
          <w:szCs w:val="26"/>
        </w:rPr>
        <w:t>tail competition and benefit</w:t>
      </w:r>
      <w:r w:rsidR="00E77B8C">
        <w:rPr>
          <w:sz w:val="26"/>
          <w:szCs w:val="26"/>
        </w:rPr>
        <w:t xml:space="preserve"> consumers.  RESA</w:t>
      </w:r>
      <w:r w:rsidRPr="00C84D5B">
        <w:rPr>
          <w:sz w:val="26"/>
          <w:szCs w:val="26"/>
        </w:rPr>
        <w:t xml:space="preserve"> </w:t>
      </w:r>
      <w:r w:rsidR="00BA2F8F">
        <w:rPr>
          <w:sz w:val="26"/>
          <w:szCs w:val="26"/>
        </w:rPr>
        <w:t>submits that its S</w:t>
      </w:r>
      <w:r w:rsidRPr="00C84D5B">
        <w:rPr>
          <w:sz w:val="26"/>
          <w:szCs w:val="26"/>
        </w:rPr>
        <w:t xml:space="preserve">mall C&amp;I proposal offers sufficient rate stability in that it blends </w:t>
      </w:r>
      <w:r w:rsidR="00E77B8C">
        <w:rPr>
          <w:sz w:val="26"/>
          <w:szCs w:val="26"/>
        </w:rPr>
        <w:t>three</w:t>
      </w:r>
      <w:r w:rsidRPr="00C84D5B">
        <w:rPr>
          <w:sz w:val="26"/>
          <w:szCs w:val="26"/>
        </w:rPr>
        <w:t xml:space="preserve">-month and </w:t>
      </w:r>
      <w:r w:rsidR="00E77B8C">
        <w:rPr>
          <w:sz w:val="26"/>
          <w:szCs w:val="26"/>
        </w:rPr>
        <w:t>twelve</w:t>
      </w:r>
      <w:r w:rsidRPr="00C84D5B">
        <w:rPr>
          <w:sz w:val="26"/>
          <w:szCs w:val="26"/>
        </w:rPr>
        <w:t xml:space="preserve">-month contracts.  </w:t>
      </w:r>
      <w:r w:rsidR="00E77B8C">
        <w:rPr>
          <w:sz w:val="26"/>
          <w:szCs w:val="26"/>
        </w:rPr>
        <w:t>According to RESA, t</w:t>
      </w:r>
      <w:r w:rsidRPr="00C84D5B">
        <w:rPr>
          <w:sz w:val="26"/>
          <w:szCs w:val="26"/>
        </w:rPr>
        <w:t xml:space="preserve">o the extent consumers want pricing that offers more or less “stability” than the default </w:t>
      </w:r>
      <w:r w:rsidRPr="00C84D5B">
        <w:rPr>
          <w:sz w:val="26"/>
          <w:szCs w:val="26"/>
        </w:rPr>
        <w:lastRenderedPageBreak/>
        <w:t xml:space="preserve">service rate, they will </w:t>
      </w:r>
      <w:r w:rsidR="00E77B8C">
        <w:rPr>
          <w:sz w:val="26"/>
          <w:szCs w:val="26"/>
        </w:rPr>
        <w:t xml:space="preserve">be able to choose that product </w:t>
      </w:r>
      <w:r w:rsidRPr="00C84D5B">
        <w:rPr>
          <w:sz w:val="26"/>
          <w:szCs w:val="26"/>
        </w:rPr>
        <w:t>in a more robust sustainable competitive retail electricity market.</w:t>
      </w:r>
      <w:r w:rsidRPr="00C84D5B">
        <w:rPr>
          <w:rStyle w:val="FootnoteReference"/>
          <w:sz w:val="26"/>
          <w:szCs w:val="26"/>
        </w:rPr>
        <w:footnoteReference w:id="37"/>
      </w:r>
      <w:r w:rsidR="00E77B8C">
        <w:rPr>
          <w:sz w:val="26"/>
          <w:szCs w:val="26"/>
        </w:rPr>
        <w:t xml:space="preserve">  </w:t>
      </w:r>
      <w:r w:rsidR="00E77B8C">
        <w:rPr>
          <w:i/>
          <w:sz w:val="26"/>
          <w:szCs w:val="26"/>
        </w:rPr>
        <w:t xml:space="preserve">Id. </w:t>
      </w:r>
      <w:r w:rsidR="00E77B8C" w:rsidRPr="00E77B8C">
        <w:rPr>
          <w:sz w:val="26"/>
          <w:szCs w:val="26"/>
        </w:rPr>
        <w:t>at 12</w:t>
      </w:r>
      <w:r w:rsidR="00E77B8C">
        <w:rPr>
          <w:sz w:val="26"/>
          <w:szCs w:val="26"/>
        </w:rPr>
        <w:t>.</w:t>
      </w:r>
    </w:p>
    <w:p w:rsidR="00F82083" w:rsidRDefault="00C84D5B" w:rsidP="00E77B8C">
      <w:pPr>
        <w:pStyle w:val="BodyText2"/>
        <w:spacing w:after="0" w:line="360" w:lineRule="auto"/>
        <w:ind w:firstLine="720"/>
        <w:rPr>
          <w:sz w:val="26"/>
          <w:szCs w:val="26"/>
        </w:rPr>
      </w:pPr>
      <w:r>
        <w:rPr>
          <w:sz w:val="26"/>
          <w:szCs w:val="26"/>
        </w:rPr>
        <w:t xml:space="preserve"> </w:t>
      </w:r>
    </w:p>
    <w:p w:rsidR="009A3008" w:rsidRPr="00E77B8C" w:rsidRDefault="00C84D5B" w:rsidP="00E77B8C">
      <w:pPr>
        <w:pStyle w:val="BodyText2"/>
        <w:spacing w:after="0" w:line="360" w:lineRule="auto"/>
        <w:ind w:firstLine="720"/>
        <w:rPr>
          <w:sz w:val="26"/>
          <w:szCs w:val="26"/>
        </w:rPr>
      </w:pPr>
      <w:r>
        <w:rPr>
          <w:sz w:val="26"/>
          <w:szCs w:val="26"/>
        </w:rPr>
        <w:tab/>
      </w:r>
      <w:r w:rsidRPr="00C84D5B">
        <w:rPr>
          <w:sz w:val="26"/>
          <w:szCs w:val="26"/>
        </w:rPr>
        <w:t>Finally, like RES</w:t>
      </w:r>
      <w:r w:rsidR="00BA2F8F">
        <w:rPr>
          <w:sz w:val="26"/>
          <w:szCs w:val="26"/>
        </w:rPr>
        <w:t xml:space="preserve">A’s recommendations for </w:t>
      </w:r>
      <w:r w:rsidR="003C591F">
        <w:rPr>
          <w:sz w:val="26"/>
          <w:szCs w:val="26"/>
        </w:rPr>
        <w:t>r</w:t>
      </w:r>
      <w:r w:rsidRPr="00C84D5B">
        <w:rPr>
          <w:sz w:val="26"/>
          <w:szCs w:val="26"/>
        </w:rPr>
        <w:t>e</w:t>
      </w:r>
      <w:r w:rsidR="00BA2F8F">
        <w:rPr>
          <w:sz w:val="26"/>
          <w:szCs w:val="26"/>
        </w:rPr>
        <w:t>sidential procurements, RESA asserts that its S</w:t>
      </w:r>
      <w:r w:rsidRPr="00C84D5B">
        <w:rPr>
          <w:sz w:val="26"/>
          <w:szCs w:val="26"/>
        </w:rPr>
        <w:t>mall C&amp;I recommendations makes sense because of the Commission’s recent</w:t>
      </w:r>
      <w:r w:rsidR="00BA2F8F">
        <w:rPr>
          <w:sz w:val="26"/>
          <w:szCs w:val="26"/>
        </w:rPr>
        <w:t xml:space="preserve"> </w:t>
      </w:r>
      <w:r w:rsidR="00BA2F8F" w:rsidRPr="00BA2F8F">
        <w:rPr>
          <w:i/>
          <w:sz w:val="26"/>
          <w:szCs w:val="26"/>
        </w:rPr>
        <w:t xml:space="preserve">End-State </w:t>
      </w:r>
      <w:r w:rsidRPr="00BA2F8F">
        <w:rPr>
          <w:i/>
          <w:sz w:val="26"/>
          <w:szCs w:val="26"/>
        </w:rPr>
        <w:t>T</w:t>
      </w:r>
      <w:r w:rsidRPr="00C84D5B">
        <w:rPr>
          <w:i/>
          <w:sz w:val="26"/>
          <w:szCs w:val="26"/>
        </w:rPr>
        <w:t>entative Order</w:t>
      </w:r>
      <w:r w:rsidR="00BA2F8F">
        <w:rPr>
          <w:sz w:val="26"/>
          <w:szCs w:val="26"/>
        </w:rPr>
        <w:t>, which</w:t>
      </w:r>
      <w:r w:rsidRPr="00C84D5B">
        <w:rPr>
          <w:sz w:val="26"/>
          <w:szCs w:val="26"/>
        </w:rPr>
        <w:t xml:space="preserve"> describes an end</w:t>
      </w:r>
      <w:r w:rsidR="003C591F">
        <w:rPr>
          <w:sz w:val="26"/>
          <w:szCs w:val="26"/>
        </w:rPr>
        <w:t>-</w:t>
      </w:r>
      <w:r w:rsidRPr="00C84D5B">
        <w:rPr>
          <w:sz w:val="26"/>
          <w:szCs w:val="26"/>
        </w:rPr>
        <w:t>state for default service that includes quarterly default service contract</w:t>
      </w:r>
      <w:r w:rsidR="00BA2F8F">
        <w:rPr>
          <w:sz w:val="26"/>
          <w:szCs w:val="26"/>
        </w:rPr>
        <w:t>s for Small C&amp;I customers.  RESA states that its</w:t>
      </w:r>
      <w:r w:rsidRPr="00C84D5B">
        <w:rPr>
          <w:sz w:val="26"/>
          <w:szCs w:val="26"/>
        </w:rPr>
        <w:t xml:space="preserve"> proposed plan</w:t>
      </w:r>
      <w:r w:rsidR="00BA2F8F">
        <w:rPr>
          <w:sz w:val="26"/>
          <w:szCs w:val="26"/>
        </w:rPr>
        <w:t xml:space="preserve"> </w:t>
      </w:r>
      <w:r w:rsidRPr="00C84D5B">
        <w:rPr>
          <w:sz w:val="26"/>
          <w:szCs w:val="26"/>
        </w:rPr>
        <w:t>provides a reasonable tr</w:t>
      </w:r>
      <w:r w:rsidR="00E77B8C">
        <w:rPr>
          <w:sz w:val="26"/>
          <w:szCs w:val="26"/>
        </w:rPr>
        <w:t xml:space="preserve">ansition </w:t>
      </w:r>
      <w:r w:rsidRPr="00C84D5B">
        <w:rPr>
          <w:sz w:val="26"/>
          <w:szCs w:val="26"/>
        </w:rPr>
        <w:t>to that end</w:t>
      </w:r>
      <w:r w:rsidR="003C591F">
        <w:rPr>
          <w:sz w:val="26"/>
          <w:szCs w:val="26"/>
        </w:rPr>
        <w:t>-</w:t>
      </w:r>
      <w:r w:rsidRPr="00C84D5B">
        <w:rPr>
          <w:sz w:val="26"/>
          <w:szCs w:val="26"/>
        </w:rPr>
        <w:t>state.</w:t>
      </w:r>
      <w:r w:rsidR="00E77B8C">
        <w:rPr>
          <w:sz w:val="26"/>
          <w:szCs w:val="26"/>
        </w:rPr>
        <w:t xml:space="preserve">  </w:t>
      </w:r>
      <w:r w:rsidR="00E77B8C">
        <w:rPr>
          <w:i/>
          <w:sz w:val="26"/>
          <w:szCs w:val="26"/>
        </w:rPr>
        <w:t>Id.</w:t>
      </w:r>
      <w:r w:rsidR="00E77B8C">
        <w:rPr>
          <w:sz w:val="26"/>
          <w:szCs w:val="26"/>
        </w:rPr>
        <w:t xml:space="preserve"> </w:t>
      </w:r>
    </w:p>
    <w:p w:rsidR="009A3008" w:rsidRPr="00EE5722" w:rsidRDefault="009A3008" w:rsidP="00E77B8C">
      <w:pPr>
        <w:pStyle w:val="BodyText"/>
        <w:spacing w:after="0" w:line="360" w:lineRule="auto"/>
        <w:ind w:left="0" w:firstLine="0"/>
        <w:rPr>
          <w:sz w:val="26"/>
          <w:szCs w:val="26"/>
        </w:rPr>
      </w:pPr>
    </w:p>
    <w:p w:rsidR="006D4D99" w:rsidRDefault="00457F90" w:rsidP="00115AB3">
      <w:pPr>
        <w:pStyle w:val="Heading4"/>
        <w:numPr>
          <w:ilvl w:val="0"/>
          <w:numId w:val="0"/>
        </w:numPr>
        <w:ind w:left="2880" w:hanging="720"/>
      </w:pPr>
      <w:bookmarkStart w:id="43" w:name="_Toc346705285"/>
      <w:r w:rsidRPr="00EE5722">
        <w:t>e</w:t>
      </w:r>
      <w:r w:rsidR="00EA3978">
        <w:t>.</w:t>
      </w:r>
      <w:r w:rsidR="00EA3978">
        <w:tab/>
        <w:t>Reply Exceptions</w:t>
      </w:r>
      <w:bookmarkEnd w:id="43"/>
    </w:p>
    <w:p w:rsidR="00465660" w:rsidRDefault="00465660" w:rsidP="00E77B8C">
      <w:pPr>
        <w:pStyle w:val="BodyText2"/>
        <w:spacing w:line="360" w:lineRule="auto"/>
      </w:pPr>
    </w:p>
    <w:p w:rsidR="00465660" w:rsidRPr="00465660" w:rsidRDefault="00465660" w:rsidP="00465660">
      <w:pPr>
        <w:pStyle w:val="BodyText2"/>
        <w:spacing w:line="360" w:lineRule="auto"/>
        <w:ind w:firstLine="1440"/>
        <w:rPr>
          <w:sz w:val="26"/>
          <w:szCs w:val="26"/>
        </w:rPr>
      </w:pPr>
      <w:r w:rsidRPr="00465660">
        <w:rPr>
          <w:sz w:val="26"/>
          <w:szCs w:val="26"/>
        </w:rPr>
        <w:t>In its Reply Exceptions, Duquesne states that RESA</w:t>
      </w:r>
      <w:r w:rsidR="00E77B8C">
        <w:rPr>
          <w:sz w:val="26"/>
          <w:szCs w:val="26"/>
        </w:rPr>
        <w:t>’s proposal to use a mix of ninety</w:t>
      </w:r>
      <w:r w:rsidRPr="00465660">
        <w:rPr>
          <w:sz w:val="26"/>
          <w:szCs w:val="26"/>
        </w:rPr>
        <w:t>-day and one-year products for Small C&amp;I customers should be rejected for the reasons</w:t>
      </w:r>
      <w:r w:rsidR="00BA2F8F">
        <w:rPr>
          <w:sz w:val="26"/>
          <w:szCs w:val="26"/>
        </w:rPr>
        <w:t xml:space="preserve"> set forth above regarding </w:t>
      </w:r>
      <w:r w:rsidR="00E77B8C">
        <w:rPr>
          <w:sz w:val="26"/>
          <w:szCs w:val="26"/>
        </w:rPr>
        <w:t>RESA’s similar proposal for r</w:t>
      </w:r>
      <w:r w:rsidRPr="00465660">
        <w:rPr>
          <w:sz w:val="26"/>
          <w:szCs w:val="26"/>
        </w:rPr>
        <w:t xml:space="preserve">esidential customers.  Duquesne R.Exc. at 9. </w:t>
      </w:r>
    </w:p>
    <w:p w:rsidR="00C17BFB" w:rsidRPr="00EE5722" w:rsidRDefault="00C17BFB" w:rsidP="00457F90">
      <w:pPr>
        <w:pStyle w:val="BriefL3"/>
        <w:numPr>
          <w:ilvl w:val="0"/>
          <w:numId w:val="0"/>
        </w:numPr>
        <w:spacing w:after="0" w:line="360" w:lineRule="auto"/>
        <w:ind w:left="720" w:firstLine="720"/>
        <w:rPr>
          <w:b/>
          <w:sz w:val="26"/>
          <w:szCs w:val="26"/>
        </w:rPr>
      </w:pPr>
    </w:p>
    <w:p w:rsidR="00C17BFB" w:rsidRPr="00E77B8C" w:rsidRDefault="00C17BFB" w:rsidP="001409BD">
      <w:pPr>
        <w:pStyle w:val="BodyText2"/>
        <w:spacing w:after="0" w:line="360" w:lineRule="auto"/>
        <w:ind w:firstLine="1440"/>
        <w:rPr>
          <w:sz w:val="26"/>
          <w:szCs w:val="26"/>
        </w:rPr>
      </w:pPr>
      <w:r w:rsidRPr="00C17BFB">
        <w:rPr>
          <w:sz w:val="26"/>
          <w:szCs w:val="26"/>
        </w:rPr>
        <w:t>In its Reply Exceptions, the OSBA argues that the ALJ correctly rejected RESA’s proposal to replace th</w:t>
      </w:r>
      <w:r w:rsidR="00E77B8C">
        <w:rPr>
          <w:sz w:val="26"/>
          <w:szCs w:val="26"/>
        </w:rPr>
        <w:t>e Small C&amp;I portfolio of 100% twelve-month contracts with 50% twelve</w:t>
      </w:r>
      <w:r w:rsidRPr="00C17BFB">
        <w:rPr>
          <w:sz w:val="26"/>
          <w:szCs w:val="26"/>
        </w:rPr>
        <w:t xml:space="preserve">-month and 50% </w:t>
      </w:r>
      <w:r w:rsidR="00E77B8C">
        <w:rPr>
          <w:sz w:val="26"/>
          <w:szCs w:val="26"/>
        </w:rPr>
        <w:t xml:space="preserve">three-month contracts.  </w:t>
      </w:r>
      <w:r w:rsidRPr="00C17BFB">
        <w:rPr>
          <w:sz w:val="26"/>
          <w:szCs w:val="26"/>
        </w:rPr>
        <w:t>The OSBA explains that</w:t>
      </w:r>
      <w:r w:rsidR="00BA2F8F">
        <w:rPr>
          <w:sz w:val="26"/>
          <w:szCs w:val="26"/>
        </w:rPr>
        <w:t>, under</w:t>
      </w:r>
      <w:r w:rsidRPr="00C17BFB">
        <w:rPr>
          <w:sz w:val="26"/>
          <w:szCs w:val="26"/>
        </w:rPr>
        <w:t xml:space="preserve"> </w:t>
      </w:r>
      <w:r w:rsidR="00BA2F8F">
        <w:rPr>
          <w:sz w:val="26"/>
          <w:szCs w:val="26"/>
        </w:rPr>
        <w:t>Duquesne’s proposal, d</w:t>
      </w:r>
      <w:r w:rsidRPr="00C17BFB">
        <w:rPr>
          <w:sz w:val="26"/>
          <w:szCs w:val="26"/>
        </w:rPr>
        <w:t xml:space="preserve">efault service rates would be reset twice per year and reconciled on an annual basis.  </w:t>
      </w:r>
      <w:r w:rsidR="00E77B8C">
        <w:rPr>
          <w:sz w:val="26"/>
          <w:szCs w:val="26"/>
        </w:rPr>
        <w:t>The OSBA notes that a</w:t>
      </w:r>
      <w:r w:rsidRPr="00C17BFB">
        <w:rPr>
          <w:sz w:val="26"/>
          <w:szCs w:val="26"/>
        </w:rPr>
        <w:t xml:space="preserve">ll Small C&amp;I default service supply would be provided via </w:t>
      </w:r>
      <w:r w:rsidR="00BA2F8F">
        <w:rPr>
          <w:sz w:val="26"/>
          <w:szCs w:val="26"/>
        </w:rPr>
        <w:t>one-year fixed price FRCs</w:t>
      </w:r>
      <w:r w:rsidRPr="00C17BFB">
        <w:rPr>
          <w:sz w:val="26"/>
          <w:szCs w:val="26"/>
        </w:rPr>
        <w:t xml:space="preserve"> that would be awarded as the result of an RFP-based procurement.</w:t>
      </w:r>
      <w:r w:rsidRPr="00C17BFB">
        <w:rPr>
          <w:rStyle w:val="FootnoteReference"/>
          <w:sz w:val="26"/>
          <w:szCs w:val="26"/>
        </w:rPr>
        <w:footnoteReference w:id="38"/>
      </w:r>
      <w:r w:rsidR="00E77B8C">
        <w:rPr>
          <w:sz w:val="26"/>
          <w:szCs w:val="26"/>
        </w:rPr>
        <w:t xml:space="preserve">  OSBA R.Exc. at 3.</w:t>
      </w:r>
    </w:p>
    <w:p w:rsidR="00C17BFB" w:rsidRPr="00C17BFB" w:rsidRDefault="00C17BFB" w:rsidP="001409BD">
      <w:pPr>
        <w:pStyle w:val="BodyText2"/>
        <w:spacing w:after="0" w:line="360" w:lineRule="auto"/>
        <w:ind w:firstLine="1440"/>
        <w:rPr>
          <w:sz w:val="26"/>
          <w:szCs w:val="26"/>
        </w:rPr>
      </w:pPr>
    </w:p>
    <w:p w:rsidR="00C17BFB" w:rsidRPr="001409BD" w:rsidRDefault="001409BD" w:rsidP="001409BD">
      <w:pPr>
        <w:pStyle w:val="BodyText2"/>
        <w:spacing w:after="0" w:line="360" w:lineRule="auto"/>
        <w:ind w:firstLine="1440"/>
        <w:rPr>
          <w:sz w:val="26"/>
          <w:szCs w:val="26"/>
        </w:rPr>
      </w:pPr>
      <w:r>
        <w:rPr>
          <w:sz w:val="26"/>
          <w:szCs w:val="26"/>
        </w:rPr>
        <w:lastRenderedPageBreak/>
        <w:t>According to the OSBA, u</w:t>
      </w:r>
      <w:r w:rsidR="00C17BFB" w:rsidRPr="00C17BFB">
        <w:rPr>
          <w:sz w:val="26"/>
          <w:szCs w:val="26"/>
        </w:rPr>
        <w:t>nder the Company’s curre</w:t>
      </w:r>
      <w:r w:rsidR="00E77B8C">
        <w:rPr>
          <w:sz w:val="26"/>
          <w:szCs w:val="26"/>
        </w:rPr>
        <w:t>nt default service program (DSP</w:t>
      </w:r>
      <w:r w:rsidR="00C17BFB" w:rsidRPr="00C17BFB">
        <w:rPr>
          <w:sz w:val="26"/>
          <w:szCs w:val="26"/>
        </w:rPr>
        <w:t xml:space="preserve"> V), Duquesne is author</w:t>
      </w:r>
      <w:r w:rsidR="00BA2F8F">
        <w:rPr>
          <w:sz w:val="26"/>
          <w:szCs w:val="26"/>
        </w:rPr>
        <w:t xml:space="preserve">ized to use a mix of FRCs </w:t>
      </w:r>
      <w:r>
        <w:rPr>
          <w:sz w:val="26"/>
          <w:szCs w:val="26"/>
        </w:rPr>
        <w:t>ranging from five months to seventeen</w:t>
      </w:r>
      <w:r w:rsidR="00C17BFB" w:rsidRPr="00C17BFB">
        <w:rPr>
          <w:sz w:val="26"/>
          <w:szCs w:val="26"/>
        </w:rPr>
        <w:t xml:space="preserve"> months in length to serve Small C&amp;I customers.  </w:t>
      </w:r>
      <w:r>
        <w:rPr>
          <w:sz w:val="26"/>
          <w:szCs w:val="26"/>
        </w:rPr>
        <w:t>The OSBA explains that p</w:t>
      </w:r>
      <w:r w:rsidR="00C17BFB" w:rsidRPr="00C17BFB">
        <w:rPr>
          <w:sz w:val="26"/>
          <w:szCs w:val="26"/>
        </w:rPr>
        <w:t>rocurements generally take place between one and seven months prior to the delivery of energy, and the</w:t>
      </w:r>
      <w:r>
        <w:rPr>
          <w:sz w:val="26"/>
          <w:szCs w:val="26"/>
        </w:rPr>
        <w:t xml:space="preserve"> contracts are not overlapping or laddered</w:t>
      </w:r>
      <w:r w:rsidR="00C17BFB" w:rsidRPr="00C17BFB">
        <w:rPr>
          <w:sz w:val="26"/>
          <w:szCs w:val="26"/>
        </w:rPr>
        <w:t>.  Default service rates are reset once per year</w:t>
      </w:r>
      <w:r w:rsidR="003C591F" w:rsidRPr="00C17BFB">
        <w:rPr>
          <w:sz w:val="26"/>
          <w:szCs w:val="26"/>
        </w:rPr>
        <w:t>.</w:t>
      </w:r>
      <w:r w:rsidR="003C591F">
        <w:rPr>
          <w:sz w:val="26"/>
          <w:szCs w:val="26"/>
        </w:rPr>
        <w:t xml:space="preserve"> </w:t>
      </w:r>
      <w:r w:rsidR="003C591F" w:rsidRPr="00C17BFB">
        <w:rPr>
          <w:sz w:val="26"/>
          <w:szCs w:val="26"/>
        </w:rPr>
        <w:t xml:space="preserve"> </w:t>
      </w:r>
      <w:r w:rsidR="00BA2F8F">
        <w:rPr>
          <w:sz w:val="26"/>
          <w:szCs w:val="26"/>
        </w:rPr>
        <w:t>C</w:t>
      </w:r>
      <w:r>
        <w:rPr>
          <w:sz w:val="26"/>
          <w:szCs w:val="26"/>
        </w:rPr>
        <w:t>ompared to DSP</w:t>
      </w:r>
      <w:r w:rsidR="00C17BFB" w:rsidRPr="00C17BFB">
        <w:rPr>
          <w:sz w:val="26"/>
          <w:szCs w:val="26"/>
        </w:rPr>
        <w:t xml:space="preserve"> V, </w:t>
      </w:r>
      <w:r>
        <w:rPr>
          <w:sz w:val="26"/>
          <w:szCs w:val="26"/>
        </w:rPr>
        <w:t xml:space="preserve">the OSBA maintains that </w:t>
      </w:r>
      <w:r w:rsidR="00C17BFB" w:rsidRPr="00C17BFB">
        <w:rPr>
          <w:sz w:val="26"/>
          <w:szCs w:val="26"/>
        </w:rPr>
        <w:t xml:space="preserve">the Company has proposed to adjust Small C&amp;I default service rates more frequently, and </w:t>
      </w:r>
      <w:r w:rsidR="00BA2F8F">
        <w:rPr>
          <w:sz w:val="26"/>
          <w:szCs w:val="26"/>
        </w:rPr>
        <w:t xml:space="preserve">to </w:t>
      </w:r>
      <w:r w:rsidR="00C17BFB" w:rsidRPr="00C17BFB">
        <w:rPr>
          <w:sz w:val="26"/>
          <w:szCs w:val="26"/>
        </w:rPr>
        <w:t>procure default service supply closer to the deli</w:t>
      </w:r>
      <w:r w:rsidR="00BA2F8F">
        <w:rPr>
          <w:sz w:val="26"/>
          <w:szCs w:val="26"/>
        </w:rPr>
        <w:t xml:space="preserve">very date of the energy.  As such, the Company proposes </w:t>
      </w:r>
      <w:r w:rsidR="00C17BFB" w:rsidRPr="00C17BFB">
        <w:rPr>
          <w:sz w:val="26"/>
          <w:szCs w:val="26"/>
        </w:rPr>
        <w:t>to make Small C&amp;I default service rates m</w:t>
      </w:r>
      <w:r>
        <w:rPr>
          <w:sz w:val="26"/>
          <w:szCs w:val="26"/>
        </w:rPr>
        <w:t>ore market responsive under DSP</w:t>
      </w:r>
      <w:r w:rsidR="00C17BFB" w:rsidRPr="00C17BFB">
        <w:rPr>
          <w:sz w:val="26"/>
          <w:szCs w:val="26"/>
        </w:rPr>
        <w:t xml:space="preserve"> VI.</w:t>
      </w:r>
      <w:r w:rsidR="00C17BFB" w:rsidRPr="00C17BFB">
        <w:rPr>
          <w:rStyle w:val="FootnoteReference"/>
          <w:sz w:val="26"/>
          <w:szCs w:val="26"/>
        </w:rPr>
        <w:footnoteReference w:id="39"/>
      </w:r>
      <w:r>
        <w:rPr>
          <w:sz w:val="26"/>
          <w:szCs w:val="26"/>
        </w:rPr>
        <w:t xml:space="preserve">  </w:t>
      </w:r>
      <w:r>
        <w:rPr>
          <w:i/>
          <w:sz w:val="26"/>
          <w:szCs w:val="26"/>
        </w:rPr>
        <w:t>Id.</w:t>
      </w:r>
      <w:r w:rsidR="003C591F">
        <w:rPr>
          <w:i/>
          <w:sz w:val="26"/>
          <w:szCs w:val="26"/>
        </w:rPr>
        <w:t xml:space="preserve"> </w:t>
      </w:r>
      <w:r>
        <w:rPr>
          <w:sz w:val="26"/>
          <w:szCs w:val="26"/>
        </w:rPr>
        <w:t>at 3-4.</w:t>
      </w:r>
    </w:p>
    <w:p w:rsidR="00C17BFB" w:rsidRPr="00C17BFB" w:rsidRDefault="00C17BFB" w:rsidP="001409BD">
      <w:pPr>
        <w:pStyle w:val="BodyText2"/>
        <w:spacing w:after="0" w:line="360" w:lineRule="auto"/>
        <w:ind w:firstLine="1440"/>
        <w:rPr>
          <w:sz w:val="26"/>
          <w:szCs w:val="26"/>
        </w:rPr>
      </w:pPr>
    </w:p>
    <w:p w:rsidR="00C17BFB" w:rsidRPr="001409BD" w:rsidRDefault="00BA2F8F" w:rsidP="001409BD">
      <w:pPr>
        <w:pStyle w:val="BodyText2"/>
        <w:spacing w:after="0" w:line="360" w:lineRule="auto"/>
        <w:ind w:firstLine="1440"/>
        <w:rPr>
          <w:sz w:val="26"/>
          <w:szCs w:val="26"/>
        </w:rPr>
      </w:pPr>
      <w:r>
        <w:rPr>
          <w:sz w:val="26"/>
          <w:szCs w:val="26"/>
        </w:rPr>
        <w:t xml:space="preserve">The OSBA </w:t>
      </w:r>
      <w:r w:rsidR="00C17BFB" w:rsidRPr="00C17BFB">
        <w:rPr>
          <w:sz w:val="26"/>
          <w:szCs w:val="26"/>
        </w:rPr>
        <w:t>believe</w:t>
      </w:r>
      <w:r>
        <w:rPr>
          <w:sz w:val="26"/>
          <w:szCs w:val="26"/>
        </w:rPr>
        <w:t>s</w:t>
      </w:r>
      <w:r w:rsidR="00C17BFB" w:rsidRPr="00C17BFB">
        <w:rPr>
          <w:sz w:val="26"/>
          <w:szCs w:val="26"/>
        </w:rPr>
        <w:t xml:space="preserve"> that price stability should remain an important consideration in the design of a default service procurement plan, and that Duquesne’s proposed approach should result in reasonable price stability for Small C&amp;I default service customers over the 2013-2015 default service period.  The OSBA </w:t>
      </w:r>
      <w:r w:rsidR="001409BD">
        <w:rPr>
          <w:sz w:val="26"/>
          <w:szCs w:val="26"/>
        </w:rPr>
        <w:t>states that</w:t>
      </w:r>
      <w:r w:rsidR="00C17BFB" w:rsidRPr="00C17BFB">
        <w:rPr>
          <w:sz w:val="26"/>
          <w:szCs w:val="26"/>
        </w:rPr>
        <w:t xml:space="preserve"> RESA’s proposal “would deemphasize and/or minimize price stability in favor of making default service rates more reflective of current market prices.”</w:t>
      </w:r>
      <w:r w:rsidR="00C17BFB" w:rsidRPr="00C17BFB">
        <w:rPr>
          <w:rStyle w:val="FootnoteReference"/>
          <w:sz w:val="26"/>
          <w:szCs w:val="26"/>
        </w:rPr>
        <w:footnoteReference w:id="40"/>
      </w:r>
      <w:r w:rsidR="001409BD">
        <w:rPr>
          <w:sz w:val="26"/>
          <w:szCs w:val="26"/>
        </w:rPr>
        <w:t xml:space="preserve">  The OSBA opines that </w:t>
      </w:r>
      <w:r w:rsidR="00DB0120">
        <w:rPr>
          <w:sz w:val="26"/>
          <w:szCs w:val="26"/>
        </w:rPr>
        <w:t xml:space="preserve">Act 129 </w:t>
      </w:r>
      <w:r w:rsidR="00C17BFB" w:rsidRPr="00C17BFB">
        <w:rPr>
          <w:sz w:val="26"/>
          <w:szCs w:val="26"/>
        </w:rPr>
        <w:t xml:space="preserve">replaced the “current market price” standard with the requirement that </w:t>
      </w:r>
      <w:r w:rsidR="00DB0120">
        <w:rPr>
          <w:sz w:val="26"/>
          <w:szCs w:val="26"/>
        </w:rPr>
        <w:t xml:space="preserve">an EDC’s procurement plan </w:t>
      </w:r>
      <w:r w:rsidR="00C17BFB" w:rsidRPr="00C17BFB">
        <w:rPr>
          <w:sz w:val="26"/>
          <w:szCs w:val="26"/>
        </w:rPr>
        <w:t>ensure adequate and reliable service through a “prudent mix of contracts…designed to ensure…the least cost to [default service] customers over time.”</w:t>
      </w:r>
      <w:r w:rsidR="00C17BFB" w:rsidRPr="00C17BFB">
        <w:rPr>
          <w:rStyle w:val="FootnoteReference"/>
          <w:sz w:val="26"/>
          <w:szCs w:val="26"/>
        </w:rPr>
        <w:footnoteReference w:id="41"/>
      </w:r>
      <w:r w:rsidR="00C17BFB" w:rsidRPr="00C17BFB">
        <w:rPr>
          <w:sz w:val="26"/>
          <w:szCs w:val="26"/>
        </w:rPr>
        <w:t xml:space="preserve">  </w:t>
      </w:r>
      <w:r w:rsidR="00DB0120">
        <w:rPr>
          <w:sz w:val="26"/>
          <w:szCs w:val="26"/>
        </w:rPr>
        <w:t xml:space="preserve">The OSBA submits that </w:t>
      </w:r>
      <w:r w:rsidR="00C17BFB" w:rsidRPr="00C17BFB">
        <w:rPr>
          <w:sz w:val="26"/>
          <w:szCs w:val="26"/>
        </w:rPr>
        <w:t>RESA’s narrow focus on current market prices when procuring default supply is misplaced.</w:t>
      </w:r>
      <w:r w:rsidR="001409BD">
        <w:rPr>
          <w:sz w:val="26"/>
          <w:szCs w:val="26"/>
        </w:rPr>
        <w:t xml:space="preserve">  </w:t>
      </w:r>
      <w:r w:rsidR="001409BD">
        <w:rPr>
          <w:i/>
          <w:sz w:val="26"/>
          <w:szCs w:val="26"/>
        </w:rPr>
        <w:t xml:space="preserve">Id. </w:t>
      </w:r>
      <w:r w:rsidR="001409BD">
        <w:rPr>
          <w:sz w:val="26"/>
          <w:szCs w:val="26"/>
        </w:rPr>
        <w:t>at 4-5.</w:t>
      </w:r>
    </w:p>
    <w:p w:rsidR="00475D38" w:rsidRPr="00475D38" w:rsidRDefault="00475D38" w:rsidP="001409BD">
      <w:pPr>
        <w:pStyle w:val="BodyText2"/>
        <w:spacing w:after="0" w:line="360" w:lineRule="auto"/>
        <w:ind w:firstLine="1440"/>
        <w:rPr>
          <w:sz w:val="26"/>
          <w:szCs w:val="26"/>
        </w:rPr>
      </w:pPr>
    </w:p>
    <w:p w:rsidR="00C17BFB" w:rsidRDefault="001409BD" w:rsidP="00A20C4A">
      <w:pPr>
        <w:pStyle w:val="BodyText2"/>
        <w:spacing w:after="0" w:line="360" w:lineRule="auto"/>
        <w:ind w:firstLine="1440"/>
        <w:rPr>
          <w:sz w:val="26"/>
          <w:szCs w:val="26"/>
          <w:lang w:val="en-US"/>
        </w:rPr>
      </w:pPr>
      <w:r>
        <w:rPr>
          <w:sz w:val="26"/>
          <w:szCs w:val="26"/>
        </w:rPr>
        <w:lastRenderedPageBreak/>
        <w:t xml:space="preserve">With regard to RESA’s Exceptions citing to </w:t>
      </w:r>
      <w:r w:rsidR="00C17BFB" w:rsidRPr="00C17BFB">
        <w:rPr>
          <w:sz w:val="26"/>
          <w:szCs w:val="26"/>
        </w:rPr>
        <w:t>the</w:t>
      </w:r>
      <w:r w:rsidR="0025632E">
        <w:rPr>
          <w:sz w:val="26"/>
          <w:szCs w:val="26"/>
        </w:rPr>
        <w:t xml:space="preserve"> </w:t>
      </w:r>
      <w:r w:rsidR="0025632E" w:rsidRPr="0025632E">
        <w:rPr>
          <w:i/>
          <w:sz w:val="26"/>
          <w:szCs w:val="26"/>
        </w:rPr>
        <w:t>End</w:t>
      </w:r>
      <w:r w:rsidR="0025632E" w:rsidRPr="0025632E">
        <w:rPr>
          <w:i/>
          <w:sz w:val="26"/>
          <w:szCs w:val="26"/>
        </w:rPr>
        <w:noBreakHyphen/>
        <w:t>State</w:t>
      </w:r>
      <w:r w:rsidR="0025632E">
        <w:rPr>
          <w:i/>
          <w:sz w:val="26"/>
          <w:szCs w:val="26"/>
        </w:rPr>
        <w:t xml:space="preserve"> </w:t>
      </w:r>
      <w:r w:rsidR="00C17BFB" w:rsidRPr="0025632E">
        <w:rPr>
          <w:i/>
          <w:sz w:val="26"/>
          <w:szCs w:val="26"/>
        </w:rPr>
        <w:t>T</w:t>
      </w:r>
      <w:r w:rsidR="00C17BFB" w:rsidRPr="00C17BFB">
        <w:rPr>
          <w:i/>
          <w:sz w:val="26"/>
          <w:szCs w:val="26"/>
        </w:rPr>
        <w:t>entative Order</w:t>
      </w:r>
      <w:r>
        <w:rPr>
          <w:sz w:val="26"/>
          <w:szCs w:val="26"/>
        </w:rPr>
        <w:t xml:space="preserve">, </w:t>
      </w:r>
      <w:r w:rsidR="0025632E">
        <w:rPr>
          <w:sz w:val="26"/>
          <w:szCs w:val="26"/>
        </w:rPr>
        <w:t xml:space="preserve">the OSBA </w:t>
      </w:r>
      <w:r>
        <w:rPr>
          <w:sz w:val="26"/>
          <w:szCs w:val="26"/>
        </w:rPr>
        <w:t xml:space="preserve">notes </w:t>
      </w:r>
      <w:r w:rsidR="0025632E">
        <w:rPr>
          <w:sz w:val="26"/>
          <w:szCs w:val="26"/>
        </w:rPr>
        <w:t>that this is a tentative order that</w:t>
      </w:r>
      <w:r w:rsidR="00C17BFB" w:rsidRPr="00C17BFB">
        <w:rPr>
          <w:sz w:val="26"/>
          <w:szCs w:val="26"/>
        </w:rPr>
        <w:t xml:space="preserve"> may be further modified after vetting by interested parties, and is not supposed to become effective in whatever final form until “after the expiration of the current default service plans that are currently pending review/approval by the Commission” in 2015.</w:t>
      </w:r>
      <w:r w:rsidR="0025632E">
        <w:rPr>
          <w:rStyle w:val="FootnoteReference"/>
          <w:sz w:val="26"/>
          <w:szCs w:val="26"/>
        </w:rPr>
        <w:t xml:space="preserve"> </w:t>
      </w:r>
      <w:r w:rsidR="0025632E" w:rsidRPr="0025632E">
        <w:rPr>
          <w:i/>
          <w:sz w:val="26"/>
          <w:szCs w:val="26"/>
        </w:rPr>
        <w:t xml:space="preserve"> End</w:t>
      </w:r>
      <w:r w:rsidR="0025632E" w:rsidRPr="0025632E">
        <w:rPr>
          <w:i/>
          <w:sz w:val="26"/>
          <w:szCs w:val="26"/>
        </w:rPr>
        <w:noBreakHyphen/>
        <w:t>State</w:t>
      </w:r>
      <w:r w:rsidR="0025632E">
        <w:rPr>
          <w:i/>
          <w:sz w:val="26"/>
          <w:szCs w:val="26"/>
        </w:rPr>
        <w:t xml:space="preserve"> </w:t>
      </w:r>
      <w:r w:rsidR="0025632E" w:rsidRPr="0025632E">
        <w:rPr>
          <w:i/>
          <w:sz w:val="26"/>
          <w:szCs w:val="26"/>
        </w:rPr>
        <w:t>T</w:t>
      </w:r>
      <w:r w:rsidR="0025632E" w:rsidRPr="00C17BFB">
        <w:rPr>
          <w:i/>
          <w:sz w:val="26"/>
          <w:szCs w:val="26"/>
        </w:rPr>
        <w:t>entative Order</w:t>
      </w:r>
      <w:r w:rsidR="0025632E">
        <w:rPr>
          <w:sz w:val="26"/>
          <w:szCs w:val="26"/>
        </w:rPr>
        <w:t xml:space="preserve"> at 12.</w:t>
      </w:r>
      <w:r w:rsidR="00A20C4A">
        <w:rPr>
          <w:sz w:val="26"/>
          <w:szCs w:val="26"/>
        </w:rPr>
        <w:t xml:space="preserve">  </w:t>
      </w:r>
      <w:r w:rsidR="0025632E">
        <w:rPr>
          <w:sz w:val="26"/>
          <w:szCs w:val="26"/>
        </w:rPr>
        <w:t>The OSBA agrees with Duquesne</w:t>
      </w:r>
      <w:r w:rsidR="00C17BFB" w:rsidRPr="00C17BFB">
        <w:rPr>
          <w:sz w:val="26"/>
          <w:szCs w:val="26"/>
        </w:rPr>
        <w:t>’s propos</w:t>
      </w:r>
      <w:r w:rsidR="0025632E">
        <w:rPr>
          <w:sz w:val="26"/>
          <w:szCs w:val="26"/>
        </w:rPr>
        <w:t xml:space="preserve">ed procurement strategy for Small C&amp;I customers </w:t>
      </w:r>
      <w:r w:rsidR="00C17BFB" w:rsidRPr="00C17BFB">
        <w:rPr>
          <w:sz w:val="26"/>
          <w:szCs w:val="26"/>
        </w:rPr>
        <w:t>because it continues to provide reasonable price stab</w:t>
      </w:r>
      <w:r w:rsidR="0025632E">
        <w:rPr>
          <w:sz w:val="26"/>
          <w:szCs w:val="26"/>
        </w:rPr>
        <w:t>ility</w:t>
      </w:r>
      <w:r w:rsidR="00C17BFB" w:rsidRPr="00C17BFB">
        <w:rPr>
          <w:sz w:val="26"/>
          <w:szCs w:val="26"/>
        </w:rPr>
        <w:t>.</w:t>
      </w:r>
      <w:r w:rsidR="00C17BFB" w:rsidRPr="00C17BFB">
        <w:rPr>
          <w:rStyle w:val="FootnoteReference"/>
          <w:sz w:val="26"/>
          <w:szCs w:val="26"/>
        </w:rPr>
        <w:footnoteReference w:id="42"/>
      </w:r>
      <w:r w:rsidR="00475D38">
        <w:rPr>
          <w:sz w:val="26"/>
          <w:szCs w:val="26"/>
        </w:rPr>
        <w:t xml:space="preserve">  </w:t>
      </w:r>
      <w:r w:rsidR="00A20C4A">
        <w:rPr>
          <w:i/>
          <w:sz w:val="26"/>
          <w:szCs w:val="26"/>
        </w:rPr>
        <w:t xml:space="preserve">Id. </w:t>
      </w:r>
      <w:r w:rsidR="00A20C4A">
        <w:rPr>
          <w:sz w:val="26"/>
          <w:szCs w:val="26"/>
        </w:rPr>
        <w:t>at 5-6.</w:t>
      </w:r>
    </w:p>
    <w:p w:rsidR="005915E1" w:rsidRPr="005915E1" w:rsidRDefault="005915E1" w:rsidP="00A20C4A">
      <w:pPr>
        <w:pStyle w:val="BodyText2"/>
        <w:spacing w:after="0" w:line="360" w:lineRule="auto"/>
        <w:ind w:firstLine="1440"/>
        <w:rPr>
          <w:sz w:val="26"/>
          <w:szCs w:val="26"/>
          <w:lang w:val="en-US"/>
        </w:rPr>
      </w:pPr>
    </w:p>
    <w:p w:rsidR="00D121CD" w:rsidRDefault="00D121CD" w:rsidP="00D121CD">
      <w:pPr>
        <w:pStyle w:val="BodyTextFirstLine5DS"/>
        <w:spacing w:line="360" w:lineRule="auto"/>
        <w:ind w:firstLine="1440"/>
        <w:jc w:val="left"/>
        <w:rPr>
          <w:sz w:val="26"/>
          <w:szCs w:val="26"/>
        </w:rPr>
      </w:pPr>
      <w:r w:rsidRPr="00D121CD">
        <w:rPr>
          <w:sz w:val="26"/>
          <w:szCs w:val="26"/>
        </w:rPr>
        <w:t>In its Reply Exceptions, FES argues that the ALJ correctly rejected RESA’s proposal to replace Duquesne’s propose</w:t>
      </w:r>
      <w:r w:rsidR="00AF2FA9">
        <w:rPr>
          <w:sz w:val="26"/>
          <w:szCs w:val="26"/>
        </w:rPr>
        <w:t>d Small C&amp;I portfolio of 100% twelve-month contracts with 50% twelve</w:t>
      </w:r>
      <w:r w:rsidRPr="00D121CD">
        <w:rPr>
          <w:sz w:val="26"/>
          <w:szCs w:val="26"/>
        </w:rPr>
        <w:t>-month contracts and 50%</w:t>
      </w:r>
      <w:r w:rsidR="00AF2FA9">
        <w:rPr>
          <w:sz w:val="26"/>
          <w:szCs w:val="26"/>
        </w:rPr>
        <w:t xml:space="preserve"> three</w:t>
      </w:r>
      <w:r w:rsidR="0025632E">
        <w:rPr>
          <w:sz w:val="26"/>
          <w:szCs w:val="26"/>
        </w:rPr>
        <w:t>-month contracts.</w:t>
      </w:r>
      <w:r w:rsidR="004656EE">
        <w:rPr>
          <w:sz w:val="26"/>
          <w:szCs w:val="26"/>
        </w:rPr>
        <w:t xml:space="preserve">  </w:t>
      </w:r>
      <w:r w:rsidR="009E54CB">
        <w:rPr>
          <w:sz w:val="26"/>
          <w:szCs w:val="26"/>
        </w:rPr>
        <w:t>FES argues that</w:t>
      </w:r>
      <w:r w:rsidR="00B708DB">
        <w:rPr>
          <w:sz w:val="26"/>
          <w:szCs w:val="26"/>
        </w:rPr>
        <w:t xml:space="preserve"> </w:t>
      </w:r>
      <w:r w:rsidRPr="00D121CD">
        <w:rPr>
          <w:sz w:val="26"/>
          <w:szCs w:val="26"/>
        </w:rPr>
        <w:t xml:space="preserve">RESA's recommended portfolio for Small C&amp;I customers should be rejected for the same reasons as its recommended portfolio for </w:t>
      </w:r>
      <w:r w:rsidR="00BA32AC">
        <w:rPr>
          <w:sz w:val="26"/>
          <w:szCs w:val="26"/>
        </w:rPr>
        <w:t>r</w:t>
      </w:r>
      <w:r w:rsidRPr="00D121CD">
        <w:rPr>
          <w:sz w:val="26"/>
          <w:szCs w:val="26"/>
        </w:rPr>
        <w:t xml:space="preserve">esidential customers.  </w:t>
      </w:r>
      <w:r w:rsidR="004656EE">
        <w:rPr>
          <w:sz w:val="26"/>
          <w:szCs w:val="26"/>
        </w:rPr>
        <w:t>According to FES, d</w:t>
      </w:r>
      <w:r w:rsidRPr="00D121CD">
        <w:rPr>
          <w:sz w:val="26"/>
          <w:szCs w:val="26"/>
        </w:rPr>
        <w:t>efau</w:t>
      </w:r>
      <w:r w:rsidR="004656EE">
        <w:rPr>
          <w:sz w:val="26"/>
          <w:szCs w:val="26"/>
        </w:rPr>
        <w:t>lt service largely dependent on three</w:t>
      </w:r>
      <w:r w:rsidRPr="00D121CD">
        <w:rPr>
          <w:sz w:val="26"/>
          <w:szCs w:val="26"/>
        </w:rPr>
        <w:t xml:space="preserve">-month contracts could result in significant quarterly changes in rates, and would not provide the rate stability that Small C&amp;I customers require during the transition to end-state default service.  </w:t>
      </w:r>
      <w:r w:rsidR="004656EE">
        <w:rPr>
          <w:sz w:val="26"/>
          <w:szCs w:val="26"/>
        </w:rPr>
        <w:t xml:space="preserve">FES notes that </w:t>
      </w:r>
      <w:r w:rsidR="009E54CB">
        <w:rPr>
          <w:sz w:val="26"/>
          <w:szCs w:val="26"/>
        </w:rPr>
        <w:t>end</w:t>
      </w:r>
      <w:r w:rsidR="00BA32AC">
        <w:rPr>
          <w:sz w:val="26"/>
          <w:szCs w:val="26"/>
        </w:rPr>
        <w:t>-</w:t>
      </w:r>
      <w:r w:rsidR="009E54CB">
        <w:rPr>
          <w:sz w:val="26"/>
          <w:szCs w:val="26"/>
        </w:rPr>
        <w:t>state</w:t>
      </w:r>
      <w:r w:rsidRPr="00D121CD">
        <w:rPr>
          <w:sz w:val="26"/>
          <w:szCs w:val="26"/>
        </w:rPr>
        <w:t xml:space="preserve">, as set forth in the </w:t>
      </w:r>
      <w:r w:rsidR="009E54CB" w:rsidRPr="009E54CB">
        <w:rPr>
          <w:i/>
          <w:sz w:val="26"/>
          <w:szCs w:val="26"/>
        </w:rPr>
        <w:t xml:space="preserve">End-State </w:t>
      </w:r>
      <w:r w:rsidRPr="009E54CB">
        <w:rPr>
          <w:i/>
          <w:sz w:val="26"/>
          <w:szCs w:val="26"/>
        </w:rPr>
        <w:t>Tentative Order</w:t>
      </w:r>
      <w:r w:rsidRPr="00D121CD">
        <w:rPr>
          <w:sz w:val="26"/>
          <w:szCs w:val="26"/>
        </w:rPr>
        <w:t xml:space="preserve">, is to procure supply to serve Small C&amp;I customers through </w:t>
      </w:r>
      <w:r w:rsidR="004656EE">
        <w:rPr>
          <w:sz w:val="26"/>
          <w:szCs w:val="26"/>
        </w:rPr>
        <w:t>three</w:t>
      </w:r>
      <w:r w:rsidRPr="00D121CD">
        <w:rPr>
          <w:sz w:val="26"/>
          <w:szCs w:val="26"/>
        </w:rPr>
        <w:t xml:space="preserve">-month contracts starting June 1, 2015, only after there has been </w:t>
      </w:r>
      <w:r w:rsidR="009E54CB">
        <w:rPr>
          <w:sz w:val="26"/>
          <w:szCs w:val="26"/>
        </w:rPr>
        <w:t xml:space="preserve">a period of </w:t>
      </w:r>
      <w:r w:rsidRPr="00D121CD">
        <w:rPr>
          <w:sz w:val="26"/>
          <w:szCs w:val="26"/>
        </w:rPr>
        <w:t>consumer education.</w:t>
      </w:r>
      <w:r w:rsidR="004656EE">
        <w:rPr>
          <w:sz w:val="26"/>
          <w:szCs w:val="26"/>
        </w:rPr>
        <w:t xml:space="preserve">  FES asserts that RESA's proposal to begin the three</w:t>
      </w:r>
      <w:r w:rsidRPr="00D121CD">
        <w:rPr>
          <w:sz w:val="26"/>
          <w:szCs w:val="26"/>
        </w:rPr>
        <w:t xml:space="preserve">-month contracts on June 1, 2013, without the vital consumer education, is premature.  </w:t>
      </w:r>
      <w:r w:rsidR="004656EE">
        <w:rPr>
          <w:sz w:val="26"/>
          <w:szCs w:val="26"/>
        </w:rPr>
        <w:t>According to FES, t</w:t>
      </w:r>
      <w:r w:rsidRPr="00D121CD">
        <w:rPr>
          <w:sz w:val="26"/>
          <w:szCs w:val="26"/>
        </w:rPr>
        <w:t>he evidence demonstrates that relative price stability is no bar to shopping, as Small C&amp;I customer switching increased from 21% to 30% over the course of Duquesne's</w:t>
      </w:r>
      <w:r w:rsidR="007E774C">
        <w:rPr>
          <w:sz w:val="26"/>
          <w:szCs w:val="26"/>
        </w:rPr>
        <w:t xml:space="preserve"> DSP</w:t>
      </w:r>
      <w:r w:rsidR="009E54CB">
        <w:rPr>
          <w:sz w:val="26"/>
          <w:szCs w:val="26"/>
        </w:rPr>
        <w:t xml:space="preserve"> V program</w:t>
      </w:r>
      <w:r w:rsidRPr="00D121CD">
        <w:rPr>
          <w:sz w:val="26"/>
          <w:szCs w:val="26"/>
        </w:rPr>
        <w:t>.</w:t>
      </w:r>
      <w:r w:rsidR="004656EE">
        <w:rPr>
          <w:sz w:val="26"/>
          <w:szCs w:val="26"/>
        </w:rPr>
        <w:t xml:space="preserve"> </w:t>
      </w:r>
      <w:r w:rsidR="004656EE" w:rsidRPr="004656EE">
        <w:rPr>
          <w:sz w:val="26"/>
          <w:szCs w:val="26"/>
        </w:rPr>
        <w:t xml:space="preserve"> </w:t>
      </w:r>
      <w:r w:rsidR="004656EE">
        <w:rPr>
          <w:sz w:val="26"/>
          <w:szCs w:val="26"/>
        </w:rPr>
        <w:t>FES R.Exc. at 12-13.</w:t>
      </w:r>
    </w:p>
    <w:p w:rsidR="00D121CD" w:rsidRPr="00D121CD" w:rsidRDefault="00D121CD" w:rsidP="00D121CD">
      <w:pPr>
        <w:pStyle w:val="BodyTextFirstLine5DS"/>
        <w:spacing w:line="360" w:lineRule="auto"/>
        <w:ind w:firstLine="1440"/>
        <w:jc w:val="left"/>
        <w:rPr>
          <w:sz w:val="26"/>
          <w:szCs w:val="26"/>
        </w:rPr>
      </w:pPr>
    </w:p>
    <w:p w:rsidR="0084672B" w:rsidRDefault="00457F90" w:rsidP="005915E1">
      <w:pPr>
        <w:pStyle w:val="Heading4"/>
        <w:numPr>
          <w:ilvl w:val="0"/>
          <w:numId w:val="0"/>
        </w:numPr>
        <w:ind w:left="2880" w:hanging="720"/>
      </w:pPr>
      <w:bookmarkStart w:id="44" w:name="_Toc346705286"/>
      <w:r w:rsidRPr="00EE5722">
        <w:lastRenderedPageBreak/>
        <w:t>f</w:t>
      </w:r>
      <w:r w:rsidR="006D4D99" w:rsidRPr="00EE5722">
        <w:t>.</w:t>
      </w:r>
      <w:r w:rsidR="006D4D99" w:rsidRPr="00EE5722">
        <w:tab/>
      </w:r>
      <w:r w:rsidR="00EA3978">
        <w:t>Disposition</w:t>
      </w:r>
      <w:bookmarkEnd w:id="44"/>
    </w:p>
    <w:p w:rsidR="004A6EF1" w:rsidRDefault="004A6EF1" w:rsidP="005915E1">
      <w:pPr>
        <w:pStyle w:val="BriefL3"/>
        <w:keepNext/>
        <w:numPr>
          <w:ilvl w:val="0"/>
          <w:numId w:val="0"/>
        </w:numPr>
        <w:spacing w:after="0" w:line="360" w:lineRule="auto"/>
        <w:ind w:left="1440" w:firstLine="720"/>
        <w:rPr>
          <w:b/>
          <w:sz w:val="26"/>
          <w:szCs w:val="26"/>
        </w:rPr>
      </w:pPr>
    </w:p>
    <w:p w:rsidR="004A6EF1" w:rsidRDefault="007A1A33" w:rsidP="007A1A33">
      <w:pPr>
        <w:pStyle w:val="BriefL3"/>
        <w:numPr>
          <w:ilvl w:val="0"/>
          <w:numId w:val="0"/>
        </w:numPr>
        <w:spacing w:after="0" w:line="360" w:lineRule="auto"/>
        <w:ind w:firstLine="1440"/>
        <w:rPr>
          <w:sz w:val="26"/>
          <w:szCs w:val="26"/>
        </w:rPr>
      </w:pPr>
      <w:r w:rsidRPr="006574AE">
        <w:rPr>
          <w:sz w:val="26"/>
          <w:szCs w:val="26"/>
        </w:rPr>
        <w:t>Upon our review of the evidence of record</w:t>
      </w:r>
      <w:r>
        <w:rPr>
          <w:sz w:val="26"/>
          <w:szCs w:val="26"/>
        </w:rPr>
        <w:t>, we find that the procurement plan proposed by Duquesne, and recommended by the ALJ, for Small C&amp;I customers is reasonable and should be adopted.  Consistent with our prio</w:t>
      </w:r>
      <w:r w:rsidR="007E774C">
        <w:rPr>
          <w:sz w:val="26"/>
          <w:szCs w:val="26"/>
        </w:rPr>
        <w:t>r determination with regard to r</w:t>
      </w:r>
      <w:r>
        <w:rPr>
          <w:sz w:val="26"/>
          <w:szCs w:val="26"/>
        </w:rPr>
        <w:t xml:space="preserve">esidential procurement, we conclude that Duquesne’s proposal to purchase twelve-month, laddered full requirements contracts appropriately balances the goals </w:t>
      </w:r>
      <w:r w:rsidR="007E774C">
        <w:rPr>
          <w:sz w:val="26"/>
          <w:szCs w:val="26"/>
        </w:rPr>
        <w:t xml:space="preserve">of </w:t>
      </w:r>
      <w:r>
        <w:rPr>
          <w:sz w:val="26"/>
          <w:szCs w:val="26"/>
        </w:rPr>
        <w:t>rate stability and the least cost over time, while moving Small C&amp;I</w:t>
      </w:r>
      <w:r w:rsidRPr="00EE5722">
        <w:rPr>
          <w:sz w:val="26"/>
          <w:szCs w:val="26"/>
        </w:rPr>
        <w:t xml:space="preserve"> load towar</w:t>
      </w:r>
      <w:r>
        <w:rPr>
          <w:sz w:val="26"/>
          <w:szCs w:val="26"/>
        </w:rPr>
        <w:t xml:space="preserve">ds greater market responsive pricing.  We further agree with FES that RESA’s proposal is premature as it would impose the proposal in our </w:t>
      </w:r>
      <w:r w:rsidRPr="007A1A33">
        <w:rPr>
          <w:i/>
          <w:sz w:val="26"/>
          <w:szCs w:val="26"/>
        </w:rPr>
        <w:t>End-State Tentative Order</w:t>
      </w:r>
      <w:r>
        <w:rPr>
          <w:sz w:val="26"/>
          <w:szCs w:val="26"/>
        </w:rPr>
        <w:t xml:space="preserve"> for Small C&amp;I customers without the benefits of consumer education during the transition period.</w:t>
      </w:r>
    </w:p>
    <w:p w:rsidR="00385A32" w:rsidRDefault="00385A32" w:rsidP="007A1A33">
      <w:pPr>
        <w:pStyle w:val="BriefL3"/>
        <w:numPr>
          <w:ilvl w:val="0"/>
          <w:numId w:val="0"/>
        </w:numPr>
        <w:spacing w:after="0" w:line="360" w:lineRule="auto"/>
        <w:ind w:firstLine="1440"/>
        <w:rPr>
          <w:sz w:val="26"/>
          <w:szCs w:val="26"/>
        </w:rPr>
      </w:pPr>
    </w:p>
    <w:p w:rsidR="00385A32" w:rsidRDefault="00385A32" w:rsidP="007A1A33">
      <w:pPr>
        <w:pStyle w:val="BriefL3"/>
        <w:numPr>
          <w:ilvl w:val="0"/>
          <w:numId w:val="0"/>
        </w:numPr>
        <w:spacing w:after="0" w:line="360" w:lineRule="auto"/>
        <w:ind w:firstLine="1440"/>
        <w:rPr>
          <w:sz w:val="26"/>
          <w:szCs w:val="26"/>
        </w:rPr>
      </w:pPr>
      <w:r>
        <w:rPr>
          <w:sz w:val="26"/>
          <w:szCs w:val="26"/>
        </w:rPr>
        <w:t>However, consistent with our prior disposition of residential default service issues, we determine that the lead time between a procurement date and the beginning of a delivery period should be no longer than five months.  We note that this will require modification to the proposed November 2012 RFP for the June 2013-November 2013 delivery period.  Accordingly, the Exceptions of RESA on this issue are granted in part and denied in part.</w:t>
      </w:r>
    </w:p>
    <w:p w:rsidR="00853D7E" w:rsidRDefault="00853D7E" w:rsidP="007A1A33">
      <w:pPr>
        <w:pStyle w:val="BriefL3"/>
        <w:numPr>
          <w:ilvl w:val="0"/>
          <w:numId w:val="0"/>
        </w:numPr>
        <w:spacing w:after="0" w:line="360" w:lineRule="auto"/>
        <w:ind w:firstLine="1440"/>
        <w:rPr>
          <w:b/>
          <w:sz w:val="26"/>
          <w:szCs w:val="26"/>
        </w:rPr>
      </w:pPr>
    </w:p>
    <w:p w:rsidR="00EE639F" w:rsidRPr="00EE5722" w:rsidRDefault="00EE639F" w:rsidP="00115AB3">
      <w:pPr>
        <w:pStyle w:val="Heading3"/>
      </w:pPr>
      <w:bookmarkStart w:id="45" w:name="_Toc346705287"/>
      <w:r w:rsidRPr="00EE5722">
        <w:t>3.</w:t>
      </w:r>
      <w:r w:rsidRPr="00EE5722">
        <w:tab/>
        <w:t>Medium C</w:t>
      </w:r>
      <w:r w:rsidR="00E92ABD" w:rsidRPr="00EE5722">
        <w:t>&amp;I</w:t>
      </w:r>
      <w:r w:rsidRPr="00EE5722">
        <w:t xml:space="preserve"> Procurement</w:t>
      </w:r>
      <w:bookmarkEnd w:id="45"/>
    </w:p>
    <w:p w:rsidR="00EE639F" w:rsidRPr="00EE5722" w:rsidRDefault="00EE639F" w:rsidP="00832033">
      <w:pPr>
        <w:pStyle w:val="BodyText"/>
        <w:spacing w:after="0" w:line="360" w:lineRule="auto"/>
        <w:ind w:left="360" w:hanging="360"/>
        <w:rPr>
          <w:sz w:val="26"/>
          <w:szCs w:val="26"/>
        </w:rPr>
      </w:pPr>
    </w:p>
    <w:p w:rsidR="00692C19" w:rsidRPr="00EE5722" w:rsidRDefault="00457F90" w:rsidP="00115AB3">
      <w:pPr>
        <w:pStyle w:val="Heading4"/>
        <w:numPr>
          <w:ilvl w:val="0"/>
          <w:numId w:val="0"/>
        </w:numPr>
        <w:ind w:left="2880" w:hanging="720"/>
      </w:pPr>
      <w:bookmarkStart w:id="46" w:name="_Toc346705288"/>
      <w:r w:rsidRPr="00EE5722">
        <w:t>a</w:t>
      </w:r>
      <w:r w:rsidR="009C04BD">
        <w:t>.</w:t>
      </w:r>
      <w:r w:rsidR="009C04BD">
        <w:tab/>
        <w:t>Duquesne</w:t>
      </w:r>
      <w:r w:rsidR="00692C19" w:rsidRPr="00EE5722">
        <w:t>’s Proposal</w:t>
      </w:r>
      <w:bookmarkEnd w:id="46"/>
    </w:p>
    <w:p w:rsidR="00337800" w:rsidRPr="00EE5722" w:rsidRDefault="00337800" w:rsidP="007E5B4B">
      <w:pPr>
        <w:pStyle w:val="BodyText"/>
        <w:spacing w:after="0" w:line="360" w:lineRule="auto"/>
        <w:ind w:left="360" w:hanging="360"/>
        <w:rPr>
          <w:sz w:val="26"/>
          <w:szCs w:val="26"/>
        </w:rPr>
      </w:pPr>
    </w:p>
    <w:p w:rsidR="001A3096" w:rsidRDefault="00337800" w:rsidP="007E5B4B">
      <w:pPr>
        <w:pStyle w:val="BodyText2"/>
        <w:tabs>
          <w:tab w:val="left" w:pos="0"/>
        </w:tabs>
        <w:spacing w:after="0" w:line="360" w:lineRule="auto"/>
        <w:rPr>
          <w:sz w:val="26"/>
          <w:szCs w:val="26"/>
        </w:rPr>
      </w:pPr>
      <w:r w:rsidRPr="00EE5722">
        <w:rPr>
          <w:sz w:val="26"/>
          <w:szCs w:val="26"/>
        </w:rPr>
        <w:tab/>
      </w:r>
      <w:r w:rsidRPr="00EE5722">
        <w:rPr>
          <w:sz w:val="26"/>
          <w:szCs w:val="26"/>
        </w:rPr>
        <w:tab/>
      </w:r>
      <w:r w:rsidR="009C04BD">
        <w:rPr>
          <w:sz w:val="26"/>
          <w:szCs w:val="26"/>
        </w:rPr>
        <w:t>Duquesne</w:t>
      </w:r>
      <w:r w:rsidRPr="00EE5722">
        <w:rPr>
          <w:sz w:val="26"/>
          <w:szCs w:val="26"/>
        </w:rPr>
        <w:t>’s Medium C&amp;I customers are those customers with monthly metered demands equal to or greater than 25 kW and l</w:t>
      </w:r>
      <w:r w:rsidR="009C04BD">
        <w:rPr>
          <w:sz w:val="26"/>
          <w:szCs w:val="26"/>
        </w:rPr>
        <w:t>ess than 300 kW.  Duquesne</w:t>
      </w:r>
      <w:r w:rsidRPr="00EE5722">
        <w:rPr>
          <w:sz w:val="26"/>
          <w:szCs w:val="26"/>
        </w:rPr>
        <w:t xml:space="preserve"> Ex</w:t>
      </w:r>
      <w:r w:rsidR="009C04BD">
        <w:rPr>
          <w:sz w:val="26"/>
          <w:szCs w:val="26"/>
        </w:rPr>
        <w:t>h</w:t>
      </w:r>
      <w:r w:rsidR="00C84D5B">
        <w:rPr>
          <w:sz w:val="26"/>
          <w:szCs w:val="26"/>
        </w:rPr>
        <w:t xml:space="preserve">. 1 at </w:t>
      </w:r>
      <w:r w:rsidRPr="00EE5722">
        <w:rPr>
          <w:sz w:val="26"/>
          <w:szCs w:val="26"/>
        </w:rPr>
        <w:t>11.  D</w:t>
      </w:r>
      <w:r w:rsidR="009C04BD">
        <w:rPr>
          <w:sz w:val="26"/>
          <w:szCs w:val="26"/>
        </w:rPr>
        <w:t xml:space="preserve">uquesne </w:t>
      </w:r>
      <w:r w:rsidRPr="00EE5722">
        <w:rPr>
          <w:sz w:val="26"/>
          <w:szCs w:val="26"/>
        </w:rPr>
        <w:t xml:space="preserve">proposes to obtain default service supply for Medium C&amp;I customers through full requirements contracts with </w:t>
      </w:r>
      <w:r w:rsidR="007E774C">
        <w:rPr>
          <w:sz w:val="26"/>
          <w:szCs w:val="26"/>
        </w:rPr>
        <w:t>six</w:t>
      </w:r>
      <w:r w:rsidRPr="00EE5722">
        <w:rPr>
          <w:sz w:val="26"/>
          <w:szCs w:val="26"/>
        </w:rPr>
        <w:t>-month terms, with no laddering.</w:t>
      </w:r>
      <w:r w:rsidR="007E5B4B" w:rsidRPr="00EE5722">
        <w:rPr>
          <w:sz w:val="26"/>
          <w:szCs w:val="26"/>
        </w:rPr>
        <w:t xml:space="preserve">  </w:t>
      </w:r>
      <w:r w:rsidRPr="00EE5722">
        <w:rPr>
          <w:sz w:val="26"/>
          <w:szCs w:val="26"/>
        </w:rPr>
        <w:t xml:space="preserve">The following table shows the proposed RFP </w:t>
      </w:r>
      <w:r w:rsidR="00BA32AC">
        <w:rPr>
          <w:sz w:val="26"/>
          <w:szCs w:val="26"/>
        </w:rPr>
        <w:t>d</w:t>
      </w:r>
      <w:r w:rsidRPr="00EE5722">
        <w:rPr>
          <w:sz w:val="26"/>
          <w:szCs w:val="26"/>
        </w:rPr>
        <w:t xml:space="preserve">ates, </w:t>
      </w:r>
      <w:r w:rsidR="00BA32AC">
        <w:rPr>
          <w:sz w:val="26"/>
          <w:szCs w:val="26"/>
        </w:rPr>
        <w:t>p</w:t>
      </w:r>
      <w:r w:rsidRPr="00EE5722">
        <w:rPr>
          <w:sz w:val="26"/>
          <w:szCs w:val="26"/>
        </w:rPr>
        <w:t xml:space="preserve">rocurement </w:t>
      </w:r>
      <w:r w:rsidR="00BA32AC">
        <w:rPr>
          <w:sz w:val="26"/>
          <w:szCs w:val="26"/>
        </w:rPr>
        <w:t>a</w:t>
      </w:r>
      <w:r w:rsidRPr="00EE5722">
        <w:rPr>
          <w:sz w:val="26"/>
          <w:szCs w:val="26"/>
        </w:rPr>
        <w:t xml:space="preserve">mounts, </w:t>
      </w:r>
      <w:r w:rsidR="00BA32AC">
        <w:rPr>
          <w:sz w:val="26"/>
          <w:szCs w:val="26"/>
        </w:rPr>
        <w:t>c</w:t>
      </w:r>
      <w:r w:rsidRPr="00EE5722">
        <w:rPr>
          <w:sz w:val="26"/>
          <w:szCs w:val="26"/>
        </w:rPr>
        <w:t xml:space="preserve">ontract </w:t>
      </w:r>
      <w:r w:rsidR="00BA32AC">
        <w:rPr>
          <w:sz w:val="26"/>
          <w:szCs w:val="26"/>
        </w:rPr>
        <w:t>t</w:t>
      </w:r>
      <w:r w:rsidRPr="00EE5722">
        <w:rPr>
          <w:sz w:val="26"/>
          <w:szCs w:val="26"/>
        </w:rPr>
        <w:t xml:space="preserve">erms and </w:t>
      </w:r>
      <w:r w:rsidR="00BA32AC">
        <w:rPr>
          <w:sz w:val="26"/>
          <w:szCs w:val="26"/>
        </w:rPr>
        <w:t>d</w:t>
      </w:r>
      <w:r w:rsidRPr="00EE5722">
        <w:rPr>
          <w:sz w:val="26"/>
          <w:szCs w:val="26"/>
        </w:rPr>
        <w:t xml:space="preserve">elivery </w:t>
      </w:r>
      <w:r w:rsidR="00BA32AC">
        <w:rPr>
          <w:sz w:val="26"/>
          <w:szCs w:val="26"/>
        </w:rPr>
        <w:t>p</w:t>
      </w:r>
      <w:r w:rsidRPr="00EE5722">
        <w:rPr>
          <w:sz w:val="26"/>
          <w:szCs w:val="26"/>
        </w:rPr>
        <w:t>eriods for Medium C&amp;I default service:</w:t>
      </w:r>
    </w:p>
    <w:p w:rsidR="001A3096" w:rsidRDefault="001A3096">
      <w:pPr>
        <w:autoSpaceDE/>
        <w:autoSpaceDN/>
        <w:rPr>
          <w:sz w:val="26"/>
          <w:szCs w:val="26"/>
        </w:rPr>
      </w:pPr>
    </w:p>
    <w:tbl>
      <w:tblPr>
        <w:tblStyle w:val="TableGrid"/>
        <w:tblW w:w="0" w:type="auto"/>
        <w:tblLook w:val="04A0" w:firstRow="1" w:lastRow="0" w:firstColumn="1" w:lastColumn="0" w:noHBand="0" w:noVBand="1"/>
      </w:tblPr>
      <w:tblGrid>
        <w:gridCol w:w="1908"/>
        <w:gridCol w:w="2250"/>
        <w:gridCol w:w="1710"/>
        <w:gridCol w:w="3708"/>
      </w:tblGrid>
      <w:tr w:rsidR="00F30A69" w:rsidRPr="00EE5722" w:rsidTr="007E774C">
        <w:tc>
          <w:tcPr>
            <w:tcW w:w="1908" w:type="dxa"/>
          </w:tcPr>
          <w:p w:rsidR="00F30A69" w:rsidRPr="00EE5722" w:rsidRDefault="00F30A69" w:rsidP="007E5B4B">
            <w:pPr>
              <w:pStyle w:val="BodyText2"/>
              <w:tabs>
                <w:tab w:val="left" w:pos="0"/>
              </w:tabs>
              <w:spacing w:after="0" w:line="360" w:lineRule="auto"/>
              <w:rPr>
                <w:b/>
                <w:sz w:val="26"/>
                <w:szCs w:val="26"/>
              </w:rPr>
            </w:pPr>
            <w:r w:rsidRPr="00EE5722">
              <w:rPr>
                <w:b/>
                <w:sz w:val="26"/>
                <w:szCs w:val="26"/>
              </w:rPr>
              <w:t>RFP Date</w:t>
            </w:r>
          </w:p>
        </w:tc>
        <w:tc>
          <w:tcPr>
            <w:tcW w:w="2250" w:type="dxa"/>
          </w:tcPr>
          <w:p w:rsidR="00F30A69" w:rsidRPr="00EE5722" w:rsidRDefault="00F30A69" w:rsidP="007E5B4B">
            <w:pPr>
              <w:pStyle w:val="BodyText2"/>
              <w:tabs>
                <w:tab w:val="left" w:pos="0"/>
              </w:tabs>
              <w:spacing w:after="0" w:line="360" w:lineRule="auto"/>
              <w:rPr>
                <w:b/>
                <w:sz w:val="26"/>
                <w:szCs w:val="26"/>
              </w:rPr>
            </w:pPr>
            <w:r w:rsidRPr="00EE5722">
              <w:rPr>
                <w:b/>
                <w:sz w:val="26"/>
                <w:szCs w:val="26"/>
              </w:rPr>
              <w:t>Procurement Amount</w:t>
            </w:r>
          </w:p>
        </w:tc>
        <w:tc>
          <w:tcPr>
            <w:tcW w:w="1710" w:type="dxa"/>
          </w:tcPr>
          <w:p w:rsidR="00F30A69" w:rsidRPr="00EE5722" w:rsidRDefault="00F30A69" w:rsidP="007E5B4B">
            <w:pPr>
              <w:pStyle w:val="BodyText2"/>
              <w:tabs>
                <w:tab w:val="left" w:pos="0"/>
              </w:tabs>
              <w:spacing w:after="0" w:line="360" w:lineRule="auto"/>
              <w:rPr>
                <w:b/>
                <w:sz w:val="26"/>
                <w:szCs w:val="26"/>
              </w:rPr>
            </w:pPr>
            <w:r w:rsidRPr="00EE5722">
              <w:rPr>
                <w:b/>
                <w:sz w:val="26"/>
                <w:szCs w:val="26"/>
              </w:rPr>
              <w:t>Contract Term</w:t>
            </w:r>
          </w:p>
        </w:tc>
        <w:tc>
          <w:tcPr>
            <w:tcW w:w="3708" w:type="dxa"/>
          </w:tcPr>
          <w:p w:rsidR="00F30A69" w:rsidRPr="00EE5722" w:rsidRDefault="00F30A69" w:rsidP="007E5B4B">
            <w:pPr>
              <w:pStyle w:val="BodyText2"/>
              <w:tabs>
                <w:tab w:val="left" w:pos="0"/>
              </w:tabs>
              <w:spacing w:after="0" w:line="360" w:lineRule="auto"/>
              <w:rPr>
                <w:b/>
                <w:sz w:val="26"/>
                <w:szCs w:val="26"/>
              </w:rPr>
            </w:pPr>
            <w:r w:rsidRPr="00EE5722">
              <w:rPr>
                <w:b/>
                <w:sz w:val="26"/>
                <w:szCs w:val="26"/>
              </w:rPr>
              <w:t>Delivery Period</w:t>
            </w:r>
          </w:p>
        </w:tc>
      </w:tr>
      <w:tr w:rsidR="00F30A69" w:rsidRPr="00EE5722" w:rsidTr="007E774C">
        <w:tc>
          <w:tcPr>
            <w:tcW w:w="1908" w:type="dxa"/>
          </w:tcPr>
          <w:p w:rsidR="00F30A69" w:rsidRPr="00EE5722" w:rsidRDefault="00F30A69" w:rsidP="007E774C">
            <w:pPr>
              <w:pStyle w:val="BodyText2"/>
              <w:tabs>
                <w:tab w:val="left" w:pos="0"/>
              </w:tabs>
              <w:spacing w:after="0" w:line="240" w:lineRule="auto"/>
              <w:rPr>
                <w:sz w:val="26"/>
                <w:szCs w:val="26"/>
              </w:rPr>
            </w:pPr>
            <w:r w:rsidRPr="00EE5722">
              <w:rPr>
                <w:sz w:val="26"/>
                <w:szCs w:val="26"/>
              </w:rPr>
              <w:t>November 2012</w:t>
            </w:r>
          </w:p>
        </w:tc>
        <w:tc>
          <w:tcPr>
            <w:tcW w:w="2250" w:type="dxa"/>
          </w:tcPr>
          <w:p w:rsidR="00F30A69" w:rsidRPr="00EE5722" w:rsidRDefault="00F30A69" w:rsidP="007E5B4B">
            <w:pPr>
              <w:pStyle w:val="BodyText2"/>
              <w:tabs>
                <w:tab w:val="left" w:pos="0"/>
              </w:tabs>
              <w:spacing w:after="0" w:line="360" w:lineRule="auto"/>
              <w:rPr>
                <w:sz w:val="26"/>
                <w:szCs w:val="26"/>
              </w:rPr>
            </w:pPr>
            <w:r w:rsidRPr="00EE5722">
              <w:rPr>
                <w:sz w:val="26"/>
                <w:szCs w:val="26"/>
              </w:rPr>
              <w:t>50%</w:t>
            </w:r>
          </w:p>
        </w:tc>
        <w:tc>
          <w:tcPr>
            <w:tcW w:w="1710" w:type="dxa"/>
          </w:tcPr>
          <w:p w:rsidR="00F30A69" w:rsidRPr="00EE5722" w:rsidRDefault="00F30A69" w:rsidP="007E5B4B">
            <w:pPr>
              <w:pStyle w:val="BodyText2"/>
              <w:tabs>
                <w:tab w:val="left" w:pos="0"/>
              </w:tabs>
              <w:spacing w:after="0" w:line="360" w:lineRule="auto"/>
              <w:rPr>
                <w:sz w:val="26"/>
                <w:szCs w:val="26"/>
              </w:rPr>
            </w:pPr>
            <w:r w:rsidRPr="00EE5722">
              <w:rPr>
                <w:sz w:val="26"/>
                <w:szCs w:val="26"/>
              </w:rPr>
              <w:t>6 months</w:t>
            </w:r>
          </w:p>
        </w:tc>
        <w:tc>
          <w:tcPr>
            <w:tcW w:w="3708" w:type="dxa"/>
          </w:tcPr>
          <w:p w:rsidR="00F30A69" w:rsidRPr="00EE5722" w:rsidRDefault="00F30A69" w:rsidP="007E774C">
            <w:pPr>
              <w:pStyle w:val="BodyText2"/>
              <w:tabs>
                <w:tab w:val="left" w:pos="0"/>
              </w:tabs>
              <w:spacing w:after="0" w:line="240" w:lineRule="auto"/>
              <w:rPr>
                <w:sz w:val="26"/>
                <w:szCs w:val="26"/>
              </w:rPr>
            </w:pPr>
            <w:r w:rsidRPr="00EE5722">
              <w:rPr>
                <w:sz w:val="26"/>
                <w:szCs w:val="26"/>
              </w:rPr>
              <w:t>December 2012-November 2013</w:t>
            </w:r>
          </w:p>
        </w:tc>
      </w:tr>
      <w:tr w:rsidR="00F30A69" w:rsidRPr="00EE5722" w:rsidTr="007E774C">
        <w:tc>
          <w:tcPr>
            <w:tcW w:w="1908" w:type="dxa"/>
          </w:tcPr>
          <w:p w:rsidR="00F30A69" w:rsidRPr="00EE5722" w:rsidRDefault="00F30A69" w:rsidP="007E5B4B">
            <w:pPr>
              <w:pStyle w:val="BodyText2"/>
              <w:tabs>
                <w:tab w:val="left" w:pos="0"/>
              </w:tabs>
              <w:spacing w:after="0" w:line="360" w:lineRule="auto"/>
              <w:rPr>
                <w:sz w:val="26"/>
                <w:szCs w:val="26"/>
              </w:rPr>
            </w:pPr>
            <w:r w:rsidRPr="00EE5722">
              <w:rPr>
                <w:sz w:val="26"/>
                <w:szCs w:val="26"/>
              </w:rPr>
              <w:t>April 2013</w:t>
            </w:r>
          </w:p>
        </w:tc>
        <w:tc>
          <w:tcPr>
            <w:tcW w:w="2250" w:type="dxa"/>
          </w:tcPr>
          <w:p w:rsidR="00F30A69" w:rsidRPr="00EE5722" w:rsidRDefault="00F30A69" w:rsidP="007E5B4B">
            <w:pPr>
              <w:pStyle w:val="BodyText2"/>
              <w:tabs>
                <w:tab w:val="left" w:pos="0"/>
              </w:tabs>
              <w:spacing w:after="0" w:line="360" w:lineRule="auto"/>
              <w:rPr>
                <w:sz w:val="26"/>
                <w:szCs w:val="26"/>
              </w:rPr>
            </w:pPr>
            <w:r w:rsidRPr="00EE5722">
              <w:rPr>
                <w:sz w:val="26"/>
                <w:szCs w:val="26"/>
              </w:rPr>
              <w:t>50%</w:t>
            </w:r>
          </w:p>
        </w:tc>
        <w:tc>
          <w:tcPr>
            <w:tcW w:w="1710" w:type="dxa"/>
          </w:tcPr>
          <w:p w:rsidR="00F30A69" w:rsidRPr="00EE5722" w:rsidRDefault="00F30A69" w:rsidP="007E5B4B">
            <w:pPr>
              <w:pStyle w:val="BodyText2"/>
              <w:tabs>
                <w:tab w:val="left" w:pos="0"/>
              </w:tabs>
              <w:spacing w:after="0" w:line="360" w:lineRule="auto"/>
              <w:rPr>
                <w:sz w:val="26"/>
                <w:szCs w:val="26"/>
              </w:rPr>
            </w:pPr>
            <w:r w:rsidRPr="00EE5722">
              <w:rPr>
                <w:sz w:val="26"/>
                <w:szCs w:val="26"/>
              </w:rPr>
              <w:t>6 months</w:t>
            </w:r>
          </w:p>
        </w:tc>
        <w:tc>
          <w:tcPr>
            <w:tcW w:w="3708" w:type="dxa"/>
          </w:tcPr>
          <w:p w:rsidR="00F30A69" w:rsidRPr="00EE5722" w:rsidRDefault="00F30A69" w:rsidP="007E5B4B">
            <w:pPr>
              <w:pStyle w:val="BodyText2"/>
              <w:tabs>
                <w:tab w:val="left" w:pos="0"/>
              </w:tabs>
              <w:spacing w:after="0" w:line="360" w:lineRule="auto"/>
              <w:rPr>
                <w:sz w:val="26"/>
                <w:szCs w:val="26"/>
              </w:rPr>
            </w:pPr>
            <w:r w:rsidRPr="00EE5722">
              <w:rPr>
                <w:sz w:val="26"/>
                <w:szCs w:val="26"/>
              </w:rPr>
              <w:t>June 2013 – November 2013</w:t>
            </w:r>
          </w:p>
        </w:tc>
      </w:tr>
      <w:tr w:rsidR="00F30A69" w:rsidRPr="00EE5722" w:rsidTr="007E774C">
        <w:tc>
          <w:tcPr>
            <w:tcW w:w="1908" w:type="dxa"/>
          </w:tcPr>
          <w:p w:rsidR="00F30A69" w:rsidRPr="00EE5722" w:rsidRDefault="00F30A69" w:rsidP="007E5B4B">
            <w:pPr>
              <w:pStyle w:val="BodyText2"/>
              <w:tabs>
                <w:tab w:val="left" w:pos="0"/>
              </w:tabs>
              <w:spacing w:after="0" w:line="360" w:lineRule="auto"/>
              <w:rPr>
                <w:sz w:val="26"/>
                <w:szCs w:val="26"/>
              </w:rPr>
            </w:pPr>
            <w:r w:rsidRPr="00EE5722">
              <w:rPr>
                <w:sz w:val="26"/>
                <w:szCs w:val="26"/>
              </w:rPr>
              <w:t>November 2013</w:t>
            </w:r>
          </w:p>
        </w:tc>
        <w:tc>
          <w:tcPr>
            <w:tcW w:w="2250" w:type="dxa"/>
          </w:tcPr>
          <w:p w:rsidR="00F30A69" w:rsidRPr="00EE5722" w:rsidRDefault="00F30A69" w:rsidP="007E5B4B">
            <w:pPr>
              <w:pStyle w:val="BodyText2"/>
              <w:tabs>
                <w:tab w:val="left" w:pos="0"/>
              </w:tabs>
              <w:spacing w:after="0" w:line="360" w:lineRule="auto"/>
              <w:rPr>
                <w:sz w:val="26"/>
                <w:szCs w:val="26"/>
              </w:rPr>
            </w:pPr>
            <w:r w:rsidRPr="00EE5722">
              <w:rPr>
                <w:sz w:val="26"/>
                <w:szCs w:val="26"/>
              </w:rPr>
              <w:t>100%</w:t>
            </w:r>
          </w:p>
        </w:tc>
        <w:tc>
          <w:tcPr>
            <w:tcW w:w="1710" w:type="dxa"/>
          </w:tcPr>
          <w:p w:rsidR="00F30A69" w:rsidRPr="00EE5722" w:rsidRDefault="00F30A69" w:rsidP="007E5B4B">
            <w:pPr>
              <w:pStyle w:val="BodyText2"/>
              <w:tabs>
                <w:tab w:val="left" w:pos="0"/>
              </w:tabs>
              <w:spacing w:after="0" w:line="360" w:lineRule="auto"/>
              <w:rPr>
                <w:sz w:val="26"/>
                <w:szCs w:val="26"/>
              </w:rPr>
            </w:pPr>
            <w:r w:rsidRPr="00EE5722">
              <w:rPr>
                <w:sz w:val="26"/>
                <w:szCs w:val="26"/>
              </w:rPr>
              <w:t>6 months</w:t>
            </w:r>
          </w:p>
        </w:tc>
        <w:tc>
          <w:tcPr>
            <w:tcW w:w="3708" w:type="dxa"/>
          </w:tcPr>
          <w:p w:rsidR="00F30A69" w:rsidRPr="00EE5722" w:rsidRDefault="00F30A69" w:rsidP="007E5B4B">
            <w:pPr>
              <w:pStyle w:val="BodyText2"/>
              <w:tabs>
                <w:tab w:val="left" w:pos="0"/>
              </w:tabs>
              <w:spacing w:after="0" w:line="360" w:lineRule="auto"/>
              <w:rPr>
                <w:sz w:val="26"/>
                <w:szCs w:val="26"/>
              </w:rPr>
            </w:pPr>
            <w:r w:rsidRPr="00EE5722">
              <w:rPr>
                <w:sz w:val="26"/>
                <w:szCs w:val="26"/>
              </w:rPr>
              <w:t>December 2013 – May 2014</w:t>
            </w:r>
          </w:p>
        </w:tc>
      </w:tr>
      <w:tr w:rsidR="00F30A69" w:rsidRPr="00EE5722" w:rsidTr="007E774C">
        <w:tc>
          <w:tcPr>
            <w:tcW w:w="1908" w:type="dxa"/>
          </w:tcPr>
          <w:p w:rsidR="00F30A69" w:rsidRPr="00EE5722" w:rsidRDefault="00F30A69" w:rsidP="007E5B4B">
            <w:pPr>
              <w:pStyle w:val="BodyText2"/>
              <w:tabs>
                <w:tab w:val="left" w:pos="0"/>
              </w:tabs>
              <w:spacing w:after="0" w:line="360" w:lineRule="auto"/>
              <w:rPr>
                <w:sz w:val="26"/>
                <w:szCs w:val="26"/>
              </w:rPr>
            </w:pPr>
            <w:r w:rsidRPr="00EE5722">
              <w:rPr>
                <w:sz w:val="26"/>
                <w:szCs w:val="26"/>
              </w:rPr>
              <w:t>April 2014</w:t>
            </w:r>
          </w:p>
        </w:tc>
        <w:tc>
          <w:tcPr>
            <w:tcW w:w="2250" w:type="dxa"/>
          </w:tcPr>
          <w:p w:rsidR="00F30A69" w:rsidRPr="00EE5722" w:rsidRDefault="00F30A69" w:rsidP="007E5B4B">
            <w:pPr>
              <w:pStyle w:val="BodyText2"/>
              <w:tabs>
                <w:tab w:val="left" w:pos="0"/>
              </w:tabs>
              <w:spacing w:after="0" w:line="360" w:lineRule="auto"/>
              <w:rPr>
                <w:sz w:val="26"/>
                <w:szCs w:val="26"/>
              </w:rPr>
            </w:pPr>
            <w:r w:rsidRPr="00EE5722">
              <w:rPr>
                <w:sz w:val="26"/>
                <w:szCs w:val="26"/>
              </w:rPr>
              <w:t>100%</w:t>
            </w:r>
          </w:p>
        </w:tc>
        <w:tc>
          <w:tcPr>
            <w:tcW w:w="1710" w:type="dxa"/>
          </w:tcPr>
          <w:p w:rsidR="00F30A69" w:rsidRPr="00EE5722" w:rsidRDefault="00F30A69" w:rsidP="007E5B4B">
            <w:pPr>
              <w:pStyle w:val="BodyText2"/>
              <w:tabs>
                <w:tab w:val="left" w:pos="0"/>
              </w:tabs>
              <w:spacing w:after="0" w:line="360" w:lineRule="auto"/>
              <w:rPr>
                <w:sz w:val="26"/>
                <w:szCs w:val="26"/>
              </w:rPr>
            </w:pPr>
            <w:r w:rsidRPr="00EE5722">
              <w:rPr>
                <w:sz w:val="26"/>
                <w:szCs w:val="26"/>
              </w:rPr>
              <w:t>6 months</w:t>
            </w:r>
          </w:p>
        </w:tc>
        <w:tc>
          <w:tcPr>
            <w:tcW w:w="3708" w:type="dxa"/>
          </w:tcPr>
          <w:p w:rsidR="00F30A69" w:rsidRPr="00EE5722" w:rsidRDefault="00F30A69" w:rsidP="00F30A69">
            <w:pPr>
              <w:pStyle w:val="BodyText2"/>
              <w:tabs>
                <w:tab w:val="left" w:pos="0"/>
              </w:tabs>
              <w:spacing w:after="0" w:line="360" w:lineRule="auto"/>
              <w:rPr>
                <w:sz w:val="26"/>
                <w:szCs w:val="26"/>
              </w:rPr>
            </w:pPr>
            <w:r w:rsidRPr="00EE5722">
              <w:rPr>
                <w:sz w:val="26"/>
                <w:szCs w:val="26"/>
              </w:rPr>
              <w:t>June 2014 – November 2014</w:t>
            </w:r>
          </w:p>
        </w:tc>
      </w:tr>
      <w:tr w:rsidR="00F30A69" w:rsidRPr="00EE5722" w:rsidTr="007E774C">
        <w:tc>
          <w:tcPr>
            <w:tcW w:w="1908" w:type="dxa"/>
          </w:tcPr>
          <w:p w:rsidR="00F30A69" w:rsidRPr="00EE5722" w:rsidRDefault="00F30A69" w:rsidP="007E5B4B">
            <w:pPr>
              <w:pStyle w:val="BodyText2"/>
              <w:tabs>
                <w:tab w:val="left" w:pos="0"/>
              </w:tabs>
              <w:spacing w:after="0" w:line="360" w:lineRule="auto"/>
              <w:rPr>
                <w:sz w:val="26"/>
                <w:szCs w:val="26"/>
              </w:rPr>
            </w:pPr>
            <w:r w:rsidRPr="00EE5722">
              <w:rPr>
                <w:sz w:val="26"/>
                <w:szCs w:val="26"/>
              </w:rPr>
              <w:t xml:space="preserve">November 2014 </w:t>
            </w:r>
          </w:p>
        </w:tc>
        <w:tc>
          <w:tcPr>
            <w:tcW w:w="2250" w:type="dxa"/>
          </w:tcPr>
          <w:p w:rsidR="00F30A69" w:rsidRPr="00EE5722" w:rsidRDefault="00F30A69" w:rsidP="007E5B4B">
            <w:pPr>
              <w:pStyle w:val="BodyText2"/>
              <w:tabs>
                <w:tab w:val="left" w:pos="0"/>
              </w:tabs>
              <w:spacing w:after="0" w:line="360" w:lineRule="auto"/>
              <w:rPr>
                <w:sz w:val="26"/>
                <w:szCs w:val="26"/>
              </w:rPr>
            </w:pPr>
            <w:r w:rsidRPr="00EE5722">
              <w:rPr>
                <w:sz w:val="26"/>
                <w:szCs w:val="26"/>
              </w:rPr>
              <w:t>100%</w:t>
            </w:r>
          </w:p>
        </w:tc>
        <w:tc>
          <w:tcPr>
            <w:tcW w:w="1710" w:type="dxa"/>
          </w:tcPr>
          <w:p w:rsidR="00F30A69" w:rsidRPr="00EE5722" w:rsidRDefault="00F30A69" w:rsidP="007E5B4B">
            <w:pPr>
              <w:pStyle w:val="BodyText2"/>
              <w:tabs>
                <w:tab w:val="left" w:pos="0"/>
              </w:tabs>
              <w:spacing w:after="0" w:line="360" w:lineRule="auto"/>
              <w:rPr>
                <w:sz w:val="26"/>
                <w:szCs w:val="26"/>
              </w:rPr>
            </w:pPr>
            <w:r w:rsidRPr="00EE5722">
              <w:rPr>
                <w:sz w:val="26"/>
                <w:szCs w:val="26"/>
              </w:rPr>
              <w:t>6 months</w:t>
            </w:r>
          </w:p>
        </w:tc>
        <w:tc>
          <w:tcPr>
            <w:tcW w:w="3708" w:type="dxa"/>
          </w:tcPr>
          <w:p w:rsidR="00F30A69" w:rsidRPr="00EE5722" w:rsidRDefault="00F30A69" w:rsidP="007E5B4B">
            <w:pPr>
              <w:pStyle w:val="BodyText2"/>
              <w:tabs>
                <w:tab w:val="left" w:pos="0"/>
              </w:tabs>
              <w:spacing w:after="0" w:line="360" w:lineRule="auto"/>
              <w:rPr>
                <w:sz w:val="26"/>
                <w:szCs w:val="26"/>
              </w:rPr>
            </w:pPr>
            <w:r w:rsidRPr="00EE5722">
              <w:rPr>
                <w:sz w:val="26"/>
                <w:szCs w:val="26"/>
              </w:rPr>
              <w:t>December 2014 – May 2015</w:t>
            </w:r>
          </w:p>
        </w:tc>
      </w:tr>
    </w:tbl>
    <w:p w:rsidR="00337800" w:rsidRPr="00EE5722" w:rsidRDefault="00C84D5B" w:rsidP="007E774C">
      <w:pPr>
        <w:pStyle w:val="BodyText2"/>
        <w:spacing w:after="0" w:line="360" w:lineRule="auto"/>
        <w:rPr>
          <w:sz w:val="26"/>
          <w:szCs w:val="26"/>
        </w:rPr>
      </w:pPr>
      <w:r>
        <w:rPr>
          <w:sz w:val="26"/>
          <w:szCs w:val="26"/>
        </w:rPr>
        <w:t xml:space="preserve">Duquesne Exh. </w:t>
      </w:r>
      <w:r w:rsidR="00650A88">
        <w:rPr>
          <w:sz w:val="26"/>
          <w:szCs w:val="26"/>
        </w:rPr>
        <w:t xml:space="preserve">1 at </w:t>
      </w:r>
      <w:r w:rsidR="00337800" w:rsidRPr="00EE5722">
        <w:rPr>
          <w:sz w:val="26"/>
          <w:szCs w:val="26"/>
        </w:rPr>
        <w:t>12.</w:t>
      </w:r>
    </w:p>
    <w:p w:rsidR="00337800" w:rsidRPr="00EE5722" w:rsidRDefault="00337800" w:rsidP="007E774C">
      <w:pPr>
        <w:pStyle w:val="BodyText2"/>
        <w:spacing w:after="0" w:line="360" w:lineRule="auto"/>
        <w:rPr>
          <w:sz w:val="26"/>
          <w:szCs w:val="26"/>
        </w:rPr>
      </w:pPr>
    </w:p>
    <w:p w:rsidR="00337800" w:rsidRPr="00EE5722" w:rsidRDefault="00337800" w:rsidP="00457F90">
      <w:pPr>
        <w:pStyle w:val="BodyText2"/>
        <w:spacing w:after="0" w:line="360" w:lineRule="auto"/>
        <w:rPr>
          <w:sz w:val="26"/>
          <w:szCs w:val="26"/>
        </w:rPr>
      </w:pPr>
      <w:r w:rsidRPr="00EE5722">
        <w:rPr>
          <w:sz w:val="26"/>
          <w:szCs w:val="26"/>
        </w:rPr>
        <w:tab/>
      </w:r>
      <w:r w:rsidRPr="00EE5722">
        <w:rPr>
          <w:sz w:val="26"/>
          <w:szCs w:val="26"/>
        </w:rPr>
        <w:tab/>
        <w:t xml:space="preserve">The </w:t>
      </w:r>
      <w:r w:rsidR="00C84D5B">
        <w:rPr>
          <w:sz w:val="26"/>
          <w:szCs w:val="26"/>
        </w:rPr>
        <w:t>Company averred that</w:t>
      </w:r>
      <w:r w:rsidRPr="00EE5722">
        <w:rPr>
          <w:sz w:val="26"/>
          <w:szCs w:val="26"/>
        </w:rPr>
        <w:t xml:space="preserve"> its </w:t>
      </w:r>
      <w:r w:rsidR="00B40BC3" w:rsidRPr="00EE5722">
        <w:rPr>
          <w:sz w:val="26"/>
          <w:szCs w:val="26"/>
        </w:rPr>
        <w:t xml:space="preserve">proposed </w:t>
      </w:r>
      <w:r w:rsidRPr="00EE5722">
        <w:rPr>
          <w:sz w:val="26"/>
          <w:szCs w:val="26"/>
        </w:rPr>
        <w:t xml:space="preserve">procurement methodology for Medium C&amp;I customers </w:t>
      </w:r>
      <w:r w:rsidR="00B40BC3" w:rsidRPr="00EE5722">
        <w:rPr>
          <w:sz w:val="26"/>
          <w:szCs w:val="26"/>
        </w:rPr>
        <w:t xml:space="preserve">under the DSP VI Plan </w:t>
      </w:r>
      <w:r w:rsidRPr="00EE5722">
        <w:rPr>
          <w:sz w:val="26"/>
          <w:szCs w:val="26"/>
        </w:rPr>
        <w:t xml:space="preserve">is more market responsive than under the DSP V Plan.  The supply plan for Medium C&amp;I customers moves from one-year contracts under DSP V to </w:t>
      </w:r>
      <w:r w:rsidR="007E774C">
        <w:rPr>
          <w:sz w:val="26"/>
          <w:szCs w:val="26"/>
        </w:rPr>
        <w:t>six</w:t>
      </w:r>
      <w:r w:rsidR="00204963" w:rsidRPr="00EE5722">
        <w:rPr>
          <w:sz w:val="26"/>
          <w:szCs w:val="26"/>
        </w:rPr>
        <w:t>-month</w:t>
      </w:r>
      <w:r w:rsidR="009E54CB">
        <w:rPr>
          <w:sz w:val="26"/>
          <w:szCs w:val="26"/>
        </w:rPr>
        <w:t xml:space="preserve"> contracts </w:t>
      </w:r>
      <w:r w:rsidRPr="00EE5722">
        <w:rPr>
          <w:sz w:val="26"/>
          <w:szCs w:val="26"/>
        </w:rPr>
        <w:t>and remov</w:t>
      </w:r>
      <w:r w:rsidR="00911D84">
        <w:rPr>
          <w:sz w:val="26"/>
          <w:szCs w:val="26"/>
        </w:rPr>
        <w:t>es the laddering offered in DSP</w:t>
      </w:r>
      <w:r w:rsidR="00911D84">
        <w:rPr>
          <w:sz w:val="26"/>
          <w:szCs w:val="26"/>
          <w:lang w:val="en-US"/>
        </w:rPr>
        <w:t> </w:t>
      </w:r>
      <w:r w:rsidRPr="00EE5722">
        <w:rPr>
          <w:sz w:val="26"/>
          <w:szCs w:val="26"/>
        </w:rPr>
        <w:t xml:space="preserve">V.  </w:t>
      </w:r>
      <w:r w:rsidR="009E54CB">
        <w:rPr>
          <w:sz w:val="26"/>
          <w:szCs w:val="26"/>
        </w:rPr>
        <w:t>A</w:t>
      </w:r>
      <w:r w:rsidR="009E54CB" w:rsidRPr="00EE5722">
        <w:rPr>
          <w:sz w:val="26"/>
          <w:szCs w:val="26"/>
        </w:rPr>
        <w:t>ll procurement</w:t>
      </w:r>
      <w:r w:rsidR="007E774C">
        <w:rPr>
          <w:sz w:val="26"/>
          <w:szCs w:val="26"/>
        </w:rPr>
        <w:t>s will be conducted within sixty</w:t>
      </w:r>
      <w:r w:rsidR="009E54CB" w:rsidRPr="00EE5722">
        <w:rPr>
          <w:sz w:val="26"/>
          <w:szCs w:val="26"/>
        </w:rPr>
        <w:t xml:space="preserve"> days of the delivery date.</w:t>
      </w:r>
      <w:r w:rsidR="009E54CB">
        <w:rPr>
          <w:sz w:val="26"/>
          <w:szCs w:val="26"/>
        </w:rPr>
        <w:t xml:space="preserve">  </w:t>
      </w:r>
      <w:r w:rsidRPr="00EE5722">
        <w:rPr>
          <w:sz w:val="26"/>
          <w:szCs w:val="26"/>
        </w:rPr>
        <w:t>These changes are made to reflect the growing sophistication of Medium C&amp;I customers with co</w:t>
      </w:r>
      <w:r w:rsidR="009E54CB">
        <w:rPr>
          <w:sz w:val="26"/>
          <w:szCs w:val="26"/>
        </w:rPr>
        <w:t>mpetitive options, as 66% of this</w:t>
      </w:r>
      <w:r w:rsidRPr="00EE5722">
        <w:rPr>
          <w:sz w:val="26"/>
          <w:szCs w:val="26"/>
        </w:rPr>
        <w:t xml:space="preserve"> load already receives supply from an EGS</w:t>
      </w:r>
      <w:r w:rsidR="009E54CB">
        <w:rPr>
          <w:sz w:val="26"/>
          <w:szCs w:val="26"/>
        </w:rPr>
        <w:t xml:space="preserve">.  </w:t>
      </w:r>
    </w:p>
    <w:p w:rsidR="00337800" w:rsidRPr="00EE5722" w:rsidRDefault="00337800" w:rsidP="00457F90">
      <w:pPr>
        <w:pStyle w:val="BodyText"/>
        <w:spacing w:after="0" w:line="360" w:lineRule="auto"/>
        <w:ind w:left="0" w:firstLine="0"/>
        <w:rPr>
          <w:sz w:val="26"/>
          <w:szCs w:val="26"/>
        </w:rPr>
      </w:pPr>
    </w:p>
    <w:p w:rsidR="00884AFB" w:rsidRDefault="00015A3B" w:rsidP="00015A3B">
      <w:pPr>
        <w:pStyle w:val="Heading4"/>
        <w:numPr>
          <w:ilvl w:val="0"/>
          <w:numId w:val="0"/>
        </w:numPr>
        <w:ind w:left="2160"/>
      </w:pPr>
      <w:bookmarkStart w:id="47" w:name="_Toc346705289"/>
      <w:r>
        <w:t>b.</w:t>
      </w:r>
      <w:r>
        <w:tab/>
      </w:r>
      <w:r w:rsidR="00884AFB" w:rsidRPr="00EE5722">
        <w:t>Position</w:t>
      </w:r>
      <w:r w:rsidR="00C84D5B">
        <w:t>s of the Parties</w:t>
      </w:r>
      <w:bookmarkEnd w:id="47"/>
    </w:p>
    <w:p w:rsidR="00C84D5B" w:rsidRPr="00EE5722" w:rsidRDefault="00C84D5B" w:rsidP="001B46BB">
      <w:pPr>
        <w:pStyle w:val="BriefL3"/>
        <w:numPr>
          <w:ilvl w:val="0"/>
          <w:numId w:val="0"/>
        </w:numPr>
        <w:spacing w:after="0" w:line="360" w:lineRule="auto"/>
        <w:ind w:left="2160"/>
        <w:rPr>
          <w:b/>
          <w:sz w:val="26"/>
          <w:szCs w:val="26"/>
        </w:rPr>
      </w:pPr>
    </w:p>
    <w:p w:rsidR="00C84D5B" w:rsidRPr="00EE5722" w:rsidRDefault="00894AD3" w:rsidP="001B46BB">
      <w:pPr>
        <w:spacing w:line="360" w:lineRule="auto"/>
        <w:ind w:firstLine="720"/>
        <w:rPr>
          <w:sz w:val="26"/>
          <w:szCs w:val="26"/>
        </w:rPr>
      </w:pPr>
      <w:r>
        <w:rPr>
          <w:sz w:val="26"/>
          <w:szCs w:val="26"/>
        </w:rPr>
        <w:t xml:space="preserve"> </w:t>
      </w:r>
      <w:r>
        <w:rPr>
          <w:sz w:val="26"/>
          <w:szCs w:val="26"/>
        </w:rPr>
        <w:tab/>
        <w:t>RESA argued that Medium C&amp;I customers sh</w:t>
      </w:r>
      <w:r w:rsidR="00C84D5B" w:rsidRPr="00EE5722">
        <w:rPr>
          <w:sz w:val="26"/>
          <w:szCs w:val="26"/>
        </w:rPr>
        <w:t>ould be served through quarterly procurement</w:t>
      </w:r>
      <w:r>
        <w:rPr>
          <w:sz w:val="26"/>
          <w:szCs w:val="26"/>
        </w:rPr>
        <w:t>s, in which 100% of the load would be bid out every three months, with quarterly PTC adjustments</w:t>
      </w:r>
      <w:r w:rsidR="001B46BB">
        <w:rPr>
          <w:sz w:val="26"/>
          <w:szCs w:val="26"/>
        </w:rPr>
        <w:t>.</w:t>
      </w:r>
      <w:r>
        <w:rPr>
          <w:rStyle w:val="normal-c6"/>
          <w:sz w:val="26"/>
          <w:szCs w:val="26"/>
        </w:rPr>
        <w:t xml:space="preserve">  </w:t>
      </w:r>
      <w:r>
        <w:rPr>
          <w:sz w:val="26"/>
          <w:szCs w:val="26"/>
        </w:rPr>
        <w:t>RESA did</w:t>
      </w:r>
      <w:r w:rsidRPr="00EE5722">
        <w:rPr>
          <w:sz w:val="26"/>
          <w:szCs w:val="26"/>
        </w:rPr>
        <w:t xml:space="preserve"> not object to the timing of these procurements, which are two months in advan</w:t>
      </w:r>
      <w:r w:rsidR="007E774C">
        <w:rPr>
          <w:sz w:val="26"/>
          <w:szCs w:val="26"/>
        </w:rPr>
        <w:t>ce of delivery and within the sixty</w:t>
      </w:r>
      <w:r w:rsidRPr="00EE5722">
        <w:rPr>
          <w:sz w:val="26"/>
          <w:szCs w:val="26"/>
        </w:rPr>
        <w:t>-day window that RESA proposed for all procure</w:t>
      </w:r>
      <w:r>
        <w:rPr>
          <w:sz w:val="26"/>
          <w:szCs w:val="26"/>
        </w:rPr>
        <w:t>ments.</w:t>
      </w:r>
    </w:p>
    <w:p w:rsidR="00C84D5B" w:rsidRPr="00EE5722" w:rsidRDefault="00C84D5B" w:rsidP="00C84D5B">
      <w:pPr>
        <w:spacing w:line="360" w:lineRule="auto"/>
        <w:ind w:firstLine="720"/>
        <w:rPr>
          <w:sz w:val="26"/>
          <w:szCs w:val="26"/>
        </w:rPr>
      </w:pPr>
    </w:p>
    <w:p w:rsidR="00C84D5B" w:rsidRPr="00EE5722" w:rsidRDefault="001B46BB" w:rsidP="001B46BB">
      <w:pPr>
        <w:spacing w:line="360" w:lineRule="auto"/>
        <w:ind w:firstLine="720"/>
        <w:rPr>
          <w:sz w:val="26"/>
          <w:szCs w:val="26"/>
        </w:rPr>
      </w:pPr>
      <w:r>
        <w:rPr>
          <w:sz w:val="26"/>
          <w:szCs w:val="26"/>
        </w:rPr>
        <w:tab/>
        <w:t>RESA argued that the</w:t>
      </w:r>
      <w:r w:rsidR="00894AD3">
        <w:rPr>
          <w:sz w:val="26"/>
          <w:szCs w:val="26"/>
        </w:rPr>
        <w:t xml:space="preserve"> OS</w:t>
      </w:r>
      <w:r w:rsidR="007E774C">
        <w:rPr>
          <w:sz w:val="26"/>
          <w:szCs w:val="26"/>
        </w:rPr>
        <w:t xml:space="preserve">BA’s proposal </w:t>
      </w:r>
      <w:r w:rsidR="00894AD3">
        <w:rPr>
          <w:sz w:val="26"/>
          <w:szCs w:val="26"/>
        </w:rPr>
        <w:t>would be</w:t>
      </w:r>
      <w:r w:rsidR="00C84D5B" w:rsidRPr="00EE5722">
        <w:rPr>
          <w:sz w:val="26"/>
          <w:szCs w:val="26"/>
        </w:rPr>
        <w:t xml:space="preserve"> a step backwards for the de</w:t>
      </w:r>
      <w:r w:rsidR="00894AD3">
        <w:rPr>
          <w:sz w:val="26"/>
          <w:szCs w:val="26"/>
        </w:rPr>
        <w:t xml:space="preserve">velopment of competitive </w:t>
      </w:r>
      <w:r w:rsidR="00C84D5B" w:rsidRPr="00EE5722">
        <w:rPr>
          <w:sz w:val="26"/>
          <w:szCs w:val="26"/>
        </w:rPr>
        <w:t>markets</w:t>
      </w:r>
      <w:r w:rsidR="00894AD3">
        <w:rPr>
          <w:sz w:val="26"/>
          <w:szCs w:val="26"/>
        </w:rPr>
        <w:t>, and would</w:t>
      </w:r>
      <w:r w:rsidR="00C84D5B" w:rsidRPr="00EE5722">
        <w:rPr>
          <w:sz w:val="26"/>
          <w:szCs w:val="26"/>
        </w:rPr>
        <w:t xml:space="preserve"> result in default service rates that are </w:t>
      </w:r>
      <w:r w:rsidR="00C84D5B" w:rsidRPr="007E774C">
        <w:rPr>
          <w:sz w:val="26"/>
          <w:szCs w:val="26"/>
        </w:rPr>
        <w:t xml:space="preserve">less </w:t>
      </w:r>
      <w:r w:rsidR="00C84D5B" w:rsidRPr="00EE5722">
        <w:rPr>
          <w:sz w:val="26"/>
          <w:szCs w:val="26"/>
        </w:rPr>
        <w:t>market reflective than those proposed by Duquesne (</w:t>
      </w:r>
      <w:r w:rsidR="007E774C">
        <w:rPr>
          <w:sz w:val="26"/>
          <w:szCs w:val="26"/>
        </w:rPr>
        <w:t>six</w:t>
      </w:r>
      <w:r w:rsidR="00C84D5B" w:rsidRPr="00EE5722">
        <w:rPr>
          <w:sz w:val="26"/>
          <w:szCs w:val="26"/>
        </w:rPr>
        <w:t xml:space="preserve">-month contracts/PTC </w:t>
      </w:r>
      <w:r w:rsidR="00C84D5B" w:rsidRPr="00EE5722">
        <w:rPr>
          <w:sz w:val="26"/>
          <w:szCs w:val="26"/>
        </w:rPr>
        <w:lastRenderedPageBreak/>
        <w:t>adju</w:t>
      </w:r>
      <w:r w:rsidR="007E774C">
        <w:rPr>
          <w:sz w:val="26"/>
          <w:szCs w:val="26"/>
        </w:rPr>
        <w:t>stments) and by RESA (three</w:t>
      </w:r>
      <w:r w:rsidR="00894AD3">
        <w:rPr>
          <w:sz w:val="26"/>
          <w:szCs w:val="26"/>
        </w:rPr>
        <w:t xml:space="preserve">-month </w:t>
      </w:r>
      <w:r w:rsidR="00C84D5B" w:rsidRPr="00EE5722">
        <w:rPr>
          <w:sz w:val="26"/>
          <w:szCs w:val="26"/>
        </w:rPr>
        <w:t>contracts/PTC adjustments).</w:t>
      </w:r>
      <w:r w:rsidR="00C84D5B" w:rsidRPr="00EE5722">
        <w:rPr>
          <w:rStyle w:val="FootnoteReference"/>
          <w:sz w:val="26"/>
          <w:szCs w:val="26"/>
        </w:rPr>
        <w:footnoteReference w:id="43"/>
      </w:r>
      <w:r w:rsidR="00C84D5B" w:rsidRPr="00EE5722">
        <w:rPr>
          <w:sz w:val="26"/>
          <w:szCs w:val="26"/>
        </w:rPr>
        <w:t xml:space="preserve">  With more than two-thirds of Duquesne’s Medium C&amp;I c</w:t>
      </w:r>
      <w:r>
        <w:rPr>
          <w:sz w:val="26"/>
          <w:szCs w:val="26"/>
        </w:rPr>
        <w:t>ustomers shopping, RESA con</w:t>
      </w:r>
      <w:r w:rsidR="00894AD3">
        <w:rPr>
          <w:sz w:val="26"/>
          <w:szCs w:val="26"/>
        </w:rPr>
        <w:t xml:space="preserve">tended </w:t>
      </w:r>
      <w:r w:rsidR="00C84D5B" w:rsidRPr="00EE5722">
        <w:rPr>
          <w:sz w:val="26"/>
          <w:szCs w:val="26"/>
        </w:rPr>
        <w:t xml:space="preserve">these customers </w:t>
      </w:r>
      <w:r w:rsidR="00894AD3">
        <w:rPr>
          <w:sz w:val="26"/>
          <w:szCs w:val="26"/>
        </w:rPr>
        <w:t xml:space="preserve">should be transitioned to the </w:t>
      </w:r>
      <w:r w:rsidR="00C84D5B" w:rsidRPr="00EE5722">
        <w:rPr>
          <w:sz w:val="26"/>
          <w:szCs w:val="26"/>
        </w:rPr>
        <w:t>c</w:t>
      </w:r>
      <w:r w:rsidR="00894AD3">
        <w:rPr>
          <w:sz w:val="26"/>
          <w:szCs w:val="26"/>
        </w:rPr>
        <w:t>ompetitive market</w:t>
      </w:r>
      <w:r w:rsidR="00C84D5B" w:rsidRPr="00EE5722">
        <w:rPr>
          <w:sz w:val="26"/>
          <w:szCs w:val="26"/>
        </w:rPr>
        <w:t xml:space="preserve">. </w:t>
      </w:r>
    </w:p>
    <w:p w:rsidR="001B46BB" w:rsidRDefault="001B46BB" w:rsidP="001B46BB">
      <w:pPr>
        <w:pStyle w:val="BodyText"/>
        <w:spacing w:after="0" w:line="360" w:lineRule="auto"/>
        <w:ind w:left="0" w:firstLine="0"/>
        <w:rPr>
          <w:sz w:val="26"/>
          <w:szCs w:val="26"/>
        </w:rPr>
      </w:pPr>
    </w:p>
    <w:p w:rsidR="001B46BB" w:rsidRPr="00894AD3" w:rsidRDefault="001B46BB" w:rsidP="00894AD3">
      <w:pPr>
        <w:pStyle w:val="BodyText"/>
        <w:spacing w:after="0" w:line="360" w:lineRule="auto"/>
        <w:ind w:left="0" w:firstLine="720"/>
        <w:rPr>
          <w:sz w:val="26"/>
          <w:szCs w:val="26"/>
        </w:rPr>
      </w:pPr>
      <w:r>
        <w:rPr>
          <w:sz w:val="26"/>
          <w:szCs w:val="26"/>
        </w:rPr>
        <w:t xml:space="preserve"> </w:t>
      </w:r>
      <w:r>
        <w:rPr>
          <w:sz w:val="26"/>
          <w:szCs w:val="26"/>
        </w:rPr>
        <w:tab/>
        <w:t>The OSBA generally agreed</w:t>
      </w:r>
      <w:r w:rsidRPr="00EE5722">
        <w:rPr>
          <w:sz w:val="26"/>
          <w:szCs w:val="26"/>
        </w:rPr>
        <w:t xml:space="preserve"> with the Company’s proposed procurement </w:t>
      </w:r>
      <w:r w:rsidR="00894AD3">
        <w:rPr>
          <w:sz w:val="26"/>
          <w:szCs w:val="26"/>
        </w:rPr>
        <w:t>plan for Medium C&amp;I customers</w:t>
      </w:r>
      <w:r>
        <w:rPr>
          <w:sz w:val="26"/>
          <w:szCs w:val="26"/>
        </w:rPr>
        <w:t>,</w:t>
      </w:r>
      <w:r w:rsidR="00F04B32">
        <w:rPr>
          <w:sz w:val="26"/>
          <w:szCs w:val="26"/>
        </w:rPr>
        <w:t xml:space="preserve"> with one exception.</w:t>
      </w:r>
      <w:r w:rsidR="00894AD3">
        <w:rPr>
          <w:sz w:val="26"/>
          <w:szCs w:val="26"/>
        </w:rPr>
        <w:t xml:space="preserve">  </w:t>
      </w:r>
      <w:r>
        <w:rPr>
          <w:sz w:val="26"/>
          <w:szCs w:val="26"/>
        </w:rPr>
        <w:t>The OSBA contended that</w:t>
      </w:r>
      <w:r w:rsidRPr="00EE5722">
        <w:rPr>
          <w:sz w:val="26"/>
          <w:szCs w:val="26"/>
        </w:rPr>
        <w:t xml:space="preserve"> the continued development</w:t>
      </w:r>
      <w:r w:rsidR="00894AD3">
        <w:rPr>
          <w:sz w:val="26"/>
          <w:szCs w:val="26"/>
        </w:rPr>
        <w:t xml:space="preserve"> of a competitive market </w:t>
      </w:r>
      <w:r w:rsidRPr="00EE5722">
        <w:rPr>
          <w:sz w:val="26"/>
          <w:szCs w:val="26"/>
        </w:rPr>
        <w:t>does not obviate the need for price stability for Duques</w:t>
      </w:r>
      <w:r w:rsidR="00894AD3">
        <w:rPr>
          <w:sz w:val="26"/>
          <w:szCs w:val="26"/>
        </w:rPr>
        <w:t xml:space="preserve">ne’s Medium C&amp;I </w:t>
      </w:r>
      <w:r w:rsidRPr="00EE5722">
        <w:rPr>
          <w:sz w:val="26"/>
          <w:szCs w:val="26"/>
        </w:rPr>
        <w:t>customers.  Price stability should remain an important consideration when designing a default service procurement plan.</w:t>
      </w:r>
      <w:r w:rsidRPr="00EE5722">
        <w:rPr>
          <w:rStyle w:val="FootnoteReference"/>
          <w:sz w:val="26"/>
          <w:szCs w:val="26"/>
        </w:rPr>
        <w:footnoteReference w:id="44"/>
      </w:r>
      <w:r w:rsidR="007E774C">
        <w:rPr>
          <w:sz w:val="26"/>
          <w:szCs w:val="26"/>
        </w:rPr>
        <w:t xml:space="preserve">  Duquesne’s proposal for DSP</w:t>
      </w:r>
      <w:r w:rsidRPr="00EE5722">
        <w:rPr>
          <w:sz w:val="26"/>
          <w:szCs w:val="26"/>
        </w:rPr>
        <w:t xml:space="preserve"> VI would have 100% of the default service supply for Medium C&amp;I customers turn over every six months beginning in December 2013.  </w:t>
      </w:r>
      <w:r w:rsidR="00CC2F44">
        <w:rPr>
          <w:sz w:val="26"/>
          <w:szCs w:val="26"/>
        </w:rPr>
        <w:t>The OSBA opined that s</w:t>
      </w:r>
      <w:r w:rsidRPr="00EE5722">
        <w:rPr>
          <w:sz w:val="26"/>
          <w:szCs w:val="26"/>
        </w:rPr>
        <w:t>uch a complete turnover could lead to unreasonable default service price volatility, depending on the movement in market prices.</w:t>
      </w:r>
    </w:p>
    <w:p w:rsidR="001B46BB" w:rsidRPr="00EE5722" w:rsidRDefault="001B46BB" w:rsidP="001B46BB">
      <w:pPr>
        <w:pStyle w:val="BodyText2"/>
        <w:spacing w:after="0" w:line="360" w:lineRule="auto"/>
        <w:rPr>
          <w:sz w:val="26"/>
          <w:szCs w:val="26"/>
        </w:rPr>
      </w:pPr>
    </w:p>
    <w:p w:rsidR="001B46BB" w:rsidRPr="00894AD3" w:rsidRDefault="001B46BB" w:rsidP="00894AD3">
      <w:pPr>
        <w:pStyle w:val="BodyText2"/>
        <w:spacing w:after="0" w:line="360" w:lineRule="auto"/>
        <w:rPr>
          <w:sz w:val="26"/>
          <w:szCs w:val="26"/>
        </w:rPr>
      </w:pPr>
      <w:r w:rsidRPr="00EE5722">
        <w:rPr>
          <w:sz w:val="26"/>
          <w:szCs w:val="26"/>
        </w:rPr>
        <w:tab/>
      </w:r>
      <w:r w:rsidRPr="00EE5722">
        <w:rPr>
          <w:sz w:val="26"/>
          <w:szCs w:val="26"/>
        </w:rPr>
        <w:tab/>
        <w:t>As a</w:t>
      </w:r>
      <w:r>
        <w:rPr>
          <w:sz w:val="26"/>
          <w:szCs w:val="26"/>
        </w:rPr>
        <w:t>n alternative, the OSBA recommended</w:t>
      </w:r>
      <w:r w:rsidRPr="00EE5722">
        <w:rPr>
          <w:sz w:val="26"/>
          <w:szCs w:val="26"/>
        </w:rPr>
        <w:t xml:space="preserve"> a compromise in which Duquesne would utilize one-year (non-laddered) contracts to acquire 100% of the Medium C&amp;I default service supply.  This approach is similar to </w:t>
      </w:r>
      <w:r w:rsidR="00894AD3">
        <w:rPr>
          <w:sz w:val="26"/>
          <w:szCs w:val="26"/>
        </w:rPr>
        <w:t xml:space="preserve">the </w:t>
      </w:r>
      <w:r w:rsidRPr="00EE5722">
        <w:rPr>
          <w:sz w:val="26"/>
          <w:szCs w:val="26"/>
        </w:rPr>
        <w:t>p</w:t>
      </w:r>
      <w:r w:rsidR="00CC2F44">
        <w:rPr>
          <w:sz w:val="26"/>
          <w:szCs w:val="26"/>
        </w:rPr>
        <w:t>rocurement plan approved in DSP</w:t>
      </w:r>
      <w:r w:rsidRPr="00EE5722">
        <w:rPr>
          <w:sz w:val="26"/>
          <w:szCs w:val="26"/>
        </w:rPr>
        <w:t xml:space="preserve"> V, except for the elimination of laddered contracts.  Under </w:t>
      </w:r>
      <w:r>
        <w:rPr>
          <w:sz w:val="26"/>
          <w:szCs w:val="26"/>
        </w:rPr>
        <w:t xml:space="preserve">the </w:t>
      </w:r>
      <w:r w:rsidRPr="00EE5722">
        <w:rPr>
          <w:sz w:val="26"/>
          <w:szCs w:val="26"/>
        </w:rPr>
        <w:t>OSBA’s alternative proposal, al</w:t>
      </w:r>
      <w:r w:rsidR="00894AD3">
        <w:rPr>
          <w:sz w:val="26"/>
          <w:szCs w:val="26"/>
        </w:rPr>
        <w:t xml:space="preserve">l procurements should </w:t>
      </w:r>
      <w:r w:rsidRPr="00EE5722">
        <w:rPr>
          <w:sz w:val="26"/>
          <w:szCs w:val="26"/>
        </w:rPr>
        <w:t>take place no more than two months prior to delivery of the default supply</w:t>
      </w:r>
      <w:r w:rsidR="00894AD3">
        <w:rPr>
          <w:sz w:val="26"/>
          <w:szCs w:val="26"/>
        </w:rPr>
        <w:t>,</w:t>
      </w:r>
      <w:r w:rsidRPr="00EE5722">
        <w:rPr>
          <w:sz w:val="26"/>
          <w:szCs w:val="26"/>
        </w:rPr>
        <w:t xml:space="preserve"> just as under Duquesne’s proposal.</w:t>
      </w:r>
    </w:p>
    <w:p w:rsidR="001B46BB" w:rsidRPr="001B46BB" w:rsidRDefault="001B46BB" w:rsidP="001B46BB">
      <w:pPr>
        <w:pStyle w:val="BodyText"/>
        <w:spacing w:after="0" w:line="360" w:lineRule="auto"/>
        <w:ind w:left="0" w:firstLine="0"/>
        <w:rPr>
          <w:sz w:val="26"/>
          <w:szCs w:val="26"/>
        </w:rPr>
      </w:pPr>
    </w:p>
    <w:p w:rsidR="00BB6494" w:rsidRDefault="001B46BB" w:rsidP="001B46BB">
      <w:pPr>
        <w:pStyle w:val="BodyTextFirstLine5DS"/>
        <w:spacing w:line="360" w:lineRule="auto"/>
        <w:jc w:val="left"/>
        <w:rPr>
          <w:sz w:val="26"/>
          <w:szCs w:val="26"/>
        </w:rPr>
      </w:pPr>
      <w:r>
        <w:rPr>
          <w:sz w:val="26"/>
          <w:szCs w:val="26"/>
        </w:rPr>
        <w:t xml:space="preserve"> </w:t>
      </w:r>
      <w:r>
        <w:rPr>
          <w:sz w:val="26"/>
          <w:szCs w:val="26"/>
        </w:rPr>
        <w:tab/>
        <w:t>FES supported the</w:t>
      </w:r>
      <w:r w:rsidRPr="00EE5722">
        <w:rPr>
          <w:sz w:val="26"/>
          <w:szCs w:val="26"/>
        </w:rPr>
        <w:t xml:space="preserve"> OSBA's proposal that Medium C&amp;I customer default supply be obtained via one-year, non-laddered</w:t>
      </w:r>
      <w:r w:rsidR="007651AE">
        <w:rPr>
          <w:sz w:val="26"/>
          <w:szCs w:val="26"/>
        </w:rPr>
        <w:t>, FRC</w:t>
      </w:r>
      <w:r w:rsidR="00CC2F44">
        <w:rPr>
          <w:sz w:val="26"/>
          <w:szCs w:val="26"/>
        </w:rPr>
        <w:t xml:space="preserve">s.  </w:t>
      </w:r>
      <w:r>
        <w:rPr>
          <w:sz w:val="26"/>
          <w:szCs w:val="26"/>
        </w:rPr>
        <w:tab/>
        <w:t>FES argued that</w:t>
      </w:r>
      <w:r w:rsidRPr="00EE5722">
        <w:rPr>
          <w:sz w:val="26"/>
          <w:szCs w:val="26"/>
        </w:rPr>
        <w:t xml:space="preserve"> RESA's proposal would not allow</w:t>
      </w:r>
      <w:r w:rsidR="0059070F">
        <w:rPr>
          <w:sz w:val="26"/>
          <w:szCs w:val="26"/>
        </w:rPr>
        <w:t xml:space="preserve"> a reasonable transition to end-</w:t>
      </w:r>
      <w:r w:rsidRPr="00EE5722">
        <w:rPr>
          <w:sz w:val="26"/>
          <w:szCs w:val="26"/>
        </w:rPr>
        <w:t>state default service for the smal</w:t>
      </w:r>
      <w:r>
        <w:rPr>
          <w:sz w:val="26"/>
          <w:szCs w:val="26"/>
        </w:rPr>
        <w:t>lest customers in Duquesne</w:t>
      </w:r>
      <w:r w:rsidRPr="00EE5722">
        <w:rPr>
          <w:sz w:val="26"/>
          <w:szCs w:val="26"/>
        </w:rPr>
        <w:t xml:space="preserve">'s Medium C&amp;I class and should be rejected.  </w:t>
      </w:r>
      <w:r w:rsidR="00CC2F44">
        <w:rPr>
          <w:sz w:val="26"/>
          <w:szCs w:val="26"/>
        </w:rPr>
        <w:t>According to FES, the evidence demonstrated</w:t>
      </w:r>
      <w:r w:rsidRPr="00EE5722">
        <w:rPr>
          <w:sz w:val="26"/>
          <w:szCs w:val="26"/>
        </w:rPr>
        <w:t xml:space="preserve"> that the p</w:t>
      </w:r>
      <w:r>
        <w:rPr>
          <w:sz w:val="26"/>
          <w:szCs w:val="26"/>
        </w:rPr>
        <w:t>rice stability of Duquesne</w:t>
      </w:r>
      <w:r w:rsidR="00CC2F44">
        <w:rPr>
          <w:sz w:val="26"/>
          <w:szCs w:val="26"/>
        </w:rPr>
        <w:t>'s DSP</w:t>
      </w:r>
      <w:r w:rsidRPr="00EE5722">
        <w:rPr>
          <w:sz w:val="26"/>
          <w:szCs w:val="26"/>
        </w:rPr>
        <w:t xml:space="preserve"> V plan has </w:t>
      </w:r>
      <w:r w:rsidRPr="00EE5722">
        <w:rPr>
          <w:sz w:val="26"/>
          <w:szCs w:val="26"/>
        </w:rPr>
        <w:lastRenderedPageBreak/>
        <w:t xml:space="preserve">presented no bar to shopping, </w:t>
      </w:r>
      <w:r w:rsidR="0059070F">
        <w:rPr>
          <w:sz w:val="26"/>
          <w:szCs w:val="26"/>
        </w:rPr>
        <w:t>as Medium C&amp;I customer shopping</w:t>
      </w:r>
      <w:r w:rsidRPr="00EE5722">
        <w:rPr>
          <w:sz w:val="26"/>
          <w:szCs w:val="26"/>
        </w:rPr>
        <w:t xml:space="preserve"> increased from 45% to 57% o</w:t>
      </w:r>
      <w:r>
        <w:rPr>
          <w:sz w:val="26"/>
          <w:szCs w:val="26"/>
        </w:rPr>
        <w:t>ver the course of Duquesne</w:t>
      </w:r>
      <w:r w:rsidR="00CC2F44">
        <w:rPr>
          <w:sz w:val="26"/>
          <w:szCs w:val="26"/>
        </w:rPr>
        <w:t>'s DSP</w:t>
      </w:r>
      <w:r w:rsidRPr="00EE5722">
        <w:rPr>
          <w:sz w:val="26"/>
          <w:szCs w:val="26"/>
        </w:rPr>
        <w:t xml:space="preserve"> V program.</w:t>
      </w:r>
      <w:r w:rsidR="0059070F">
        <w:rPr>
          <w:sz w:val="26"/>
          <w:szCs w:val="26"/>
        </w:rPr>
        <w:t xml:space="preserve">  </w:t>
      </w:r>
    </w:p>
    <w:p w:rsidR="00CC2F44" w:rsidRPr="00EE5722" w:rsidRDefault="00CC2F44" w:rsidP="001B46BB">
      <w:pPr>
        <w:pStyle w:val="BodyTextFirstLine5DS"/>
        <w:spacing w:line="360" w:lineRule="auto"/>
        <w:jc w:val="left"/>
        <w:rPr>
          <w:sz w:val="26"/>
          <w:szCs w:val="26"/>
        </w:rPr>
      </w:pPr>
    </w:p>
    <w:p w:rsidR="00457F90" w:rsidRDefault="00BB6494" w:rsidP="00BB6494">
      <w:pPr>
        <w:pStyle w:val="BodyText2"/>
        <w:spacing w:after="0" w:line="360" w:lineRule="auto"/>
        <w:ind w:firstLine="720"/>
        <w:rPr>
          <w:sz w:val="26"/>
          <w:szCs w:val="26"/>
        </w:rPr>
      </w:pPr>
      <w:r>
        <w:rPr>
          <w:sz w:val="26"/>
          <w:szCs w:val="26"/>
        </w:rPr>
        <w:t xml:space="preserve"> </w:t>
      </w:r>
      <w:r>
        <w:rPr>
          <w:sz w:val="26"/>
          <w:szCs w:val="26"/>
        </w:rPr>
        <w:tab/>
        <w:t xml:space="preserve">The OCA, </w:t>
      </w:r>
      <w:r w:rsidRPr="00EE5722">
        <w:rPr>
          <w:sz w:val="26"/>
          <w:szCs w:val="26"/>
        </w:rPr>
        <w:t>CAUSE</w:t>
      </w:r>
      <w:r>
        <w:rPr>
          <w:sz w:val="26"/>
          <w:szCs w:val="26"/>
        </w:rPr>
        <w:t xml:space="preserve">, Citizen Power, DII, </w:t>
      </w:r>
      <w:r w:rsidR="008F3443">
        <w:rPr>
          <w:sz w:val="26"/>
          <w:szCs w:val="26"/>
        </w:rPr>
        <w:t xml:space="preserve">Dominion and Constellation </w:t>
      </w:r>
      <w:r>
        <w:rPr>
          <w:sz w:val="26"/>
          <w:szCs w:val="26"/>
        </w:rPr>
        <w:t>took</w:t>
      </w:r>
      <w:r w:rsidRPr="00EE5722">
        <w:rPr>
          <w:sz w:val="26"/>
          <w:szCs w:val="26"/>
        </w:rPr>
        <w:t xml:space="preserve"> no position on this issue.</w:t>
      </w:r>
    </w:p>
    <w:p w:rsidR="00BB6494" w:rsidRPr="00BB6494" w:rsidRDefault="00BB6494" w:rsidP="00E3377E">
      <w:pPr>
        <w:autoSpaceDE/>
        <w:autoSpaceDN/>
        <w:rPr>
          <w:sz w:val="26"/>
          <w:szCs w:val="26"/>
        </w:rPr>
      </w:pPr>
    </w:p>
    <w:p w:rsidR="00884AFB" w:rsidRPr="00EE5722" w:rsidRDefault="00457F90" w:rsidP="0059070F">
      <w:pPr>
        <w:pStyle w:val="BriefL3"/>
        <w:numPr>
          <w:ilvl w:val="0"/>
          <w:numId w:val="0"/>
        </w:numPr>
        <w:spacing w:after="0" w:line="360" w:lineRule="auto"/>
        <w:ind w:left="1440" w:firstLine="720"/>
        <w:rPr>
          <w:b/>
          <w:sz w:val="26"/>
          <w:szCs w:val="26"/>
        </w:rPr>
      </w:pPr>
      <w:bookmarkStart w:id="48" w:name="_Toc346705290"/>
      <w:r w:rsidRPr="00115AB3">
        <w:rPr>
          <w:rStyle w:val="Heading4Char"/>
        </w:rPr>
        <w:t>c</w:t>
      </w:r>
      <w:r w:rsidR="00884AFB" w:rsidRPr="00115AB3">
        <w:rPr>
          <w:rStyle w:val="Heading4Char"/>
        </w:rPr>
        <w:t>.</w:t>
      </w:r>
      <w:r w:rsidR="00884AFB" w:rsidRPr="00115AB3">
        <w:rPr>
          <w:rStyle w:val="Heading4Char"/>
        </w:rPr>
        <w:tab/>
      </w:r>
      <w:r w:rsidR="001B46BB" w:rsidRPr="00115AB3">
        <w:rPr>
          <w:rStyle w:val="Heading4Char"/>
        </w:rPr>
        <w:t>ALJ’s Recommendation</w:t>
      </w:r>
      <w:bookmarkEnd w:id="48"/>
      <w:r w:rsidR="00A57532">
        <w:rPr>
          <w:b/>
          <w:sz w:val="26"/>
          <w:szCs w:val="26"/>
        </w:rPr>
        <w:t xml:space="preserve"> </w:t>
      </w:r>
    </w:p>
    <w:p w:rsidR="00E90FC9" w:rsidRPr="00EE5722" w:rsidRDefault="00FD6EF7" w:rsidP="00BB6494">
      <w:pPr>
        <w:spacing w:line="360" w:lineRule="auto"/>
        <w:rPr>
          <w:sz w:val="26"/>
          <w:szCs w:val="26"/>
          <w:u w:val="single"/>
        </w:rPr>
      </w:pPr>
      <w:r w:rsidRPr="00EE5722">
        <w:rPr>
          <w:sz w:val="26"/>
          <w:szCs w:val="26"/>
        </w:rPr>
        <w:tab/>
      </w:r>
    </w:p>
    <w:p w:rsidR="006D4D99" w:rsidRDefault="009C5FC9" w:rsidP="003C4D7A">
      <w:pPr>
        <w:pStyle w:val="BodyText2"/>
        <w:spacing w:after="0" w:line="360" w:lineRule="auto"/>
        <w:ind w:firstLine="720"/>
        <w:rPr>
          <w:color w:val="000000" w:themeColor="text1"/>
          <w:sz w:val="26"/>
          <w:szCs w:val="26"/>
        </w:rPr>
      </w:pPr>
      <w:r>
        <w:rPr>
          <w:color w:val="000000" w:themeColor="text1"/>
          <w:sz w:val="26"/>
          <w:szCs w:val="26"/>
        </w:rPr>
        <w:t xml:space="preserve"> </w:t>
      </w:r>
      <w:r>
        <w:rPr>
          <w:color w:val="000000" w:themeColor="text1"/>
          <w:sz w:val="26"/>
          <w:szCs w:val="26"/>
        </w:rPr>
        <w:tab/>
        <w:t>According to t</w:t>
      </w:r>
      <w:r w:rsidR="00BB6494">
        <w:rPr>
          <w:color w:val="000000" w:themeColor="text1"/>
          <w:sz w:val="26"/>
          <w:szCs w:val="26"/>
        </w:rPr>
        <w:t>he ALJ</w:t>
      </w:r>
      <w:r>
        <w:rPr>
          <w:color w:val="000000" w:themeColor="text1"/>
          <w:sz w:val="26"/>
          <w:szCs w:val="26"/>
        </w:rPr>
        <w:t xml:space="preserve">, </w:t>
      </w:r>
      <w:r w:rsidR="0059070F">
        <w:rPr>
          <w:color w:val="000000" w:themeColor="text1"/>
          <w:sz w:val="26"/>
          <w:szCs w:val="26"/>
        </w:rPr>
        <w:t>some custom</w:t>
      </w:r>
      <w:r w:rsidR="00BB6494" w:rsidRPr="00EE5722">
        <w:rPr>
          <w:color w:val="000000" w:themeColor="text1"/>
          <w:sz w:val="26"/>
          <w:szCs w:val="26"/>
        </w:rPr>
        <w:t>ers will shop and</w:t>
      </w:r>
      <w:r>
        <w:rPr>
          <w:color w:val="000000" w:themeColor="text1"/>
          <w:sz w:val="26"/>
          <w:szCs w:val="26"/>
        </w:rPr>
        <w:t>, after examining</w:t>
      </w:r>
      <w:r w:rsidR="00BB6494" w:rsidRPr="00EE5722">
        <w:rPr>
          <w:color w:val="000000" w:themeColor="text1"/>
          <w:sz w:val="26"/>
          <w:szCs w:val="26"/>
        </w:rPr>
        <w:t xml:space="preserve"> the </w:t>
      </w:r>
      <w:r>
        <w:rPr>
          <w:color w:val="000000" w:themeColor="text1"/>
          <w:sz w:val="26"/>
          <w:szCs w:val="26"/>
        </w:rPr>
        <w:t xml:space="preserve">energy products available, </w:t>
      </w:r>
      <w:r w:rsidR="00BB6494" w:rsidRPr="00EE5722">
        <w:rPr>
          <w:color w:val="000000" w:themeColor="text1"/>
          <w:sz w:val="26"/>
          <w:szCs w:val="26"/>
        </w:rPr>
        <w:t xml:space="preserve">still remain with the </w:t>
      </w:r>
      <w:r w:rsidR="0059070F">
        <w:rPr>
          <w:color w:val="000000" w:themeColor="text1"/>
          <w:sz w:val="26"/>
          <w:szCs w:val="26"/>
        </w:rPr>
        <w:t xml:space="preserve">default service provider.  </w:t>
      </w:r>
      <w:r w:rsidR="00CC2F44">
        <w:rPr>
          <w:color w:val="000000" w:themeColor="text1"/>
          <w:sz w:val="26"/>
          <w:szCs w:val="26"/>
        </w:rPr>
        <w:t>The ALJ stated that c</w:t>
      </w:r>
      <w:r w:rsidR="0059070F">
        <w:rPr>
          <w:color w:val="000000" w:themeColor="text1"/>
          <w:sz w:val="26"/>
          <w:szCs w:val="26"/>
        </w:rPr>
        <w:t>usto</w:t>
      </w:r>
      <w:r w:rsidR="00BB6494" w:rsidRPr="00EE5722">
        <w:rPr>
          <w:color w:val="000000" w:themeColor="text1"/>
          <w:sz w:val="26"/>
          <w:szCs w:val="26"/>
        </w:rPr>
        <w:t xml:space="preserve">mers who remain on default service </w:t>
      </w:r>
      <w:r w:rsidR="00BB6494" w:rsidRPr="0059070F">
        <w:rPr>
          <w:color w:val="000000" w:themeColor="text1"/>
          <w:sz w:val="26"/>
          <w:szCs w:val="26"/>
        </w:rPr>
        <w:t>may</w:t>
      </w:r>
      <w:r w:rsidR="00BB6494" w:rsidRPr="00EE5722">
        <w:rPr>
          <w:color w:val="000000" w:themeColor="text1"/>
          <w:sz w:val="26"/>
          <w:szCs w:val="26"/>
        </w:rPr>
        <w:t xml:space="preserve"> be shoppers </w:t>
      </w:r>
      <w:r w:rsidR="0059070F">
        <w:rPr>
          <w:color w:val="000000" w:themeColor="text1"/>
          <w:sz w:val="26"/>
          <w:szCs w:val="26"/>
        </w:rPr>
        <w:t>that</w:t>
      </w:r>
      <w:r w:rsidR="00BB6494" w:rsidRPr="00EE5722">
        <w:rPr>
          <w:color w:val="000000" w:themeColor="text1"/>
          <w:sz w:val="26"/>
          <w:szCs w:val="26"/>
        </w:rPr>
        <w:t xml:space="preserve"> did not find an offer attractive enough to entice them away from defau</w:t>
      </w:r>
      <w:r w:rsidR="0059070F">
        <w:rPr>
          <w:color w:val="000000" w:themeColor="text1"/>
          <w:sz w:val="26"/>
          <w:szCs w:val="26"/>
        </w:rPr>
        <w:t>lt service, or they may be customers that</w:t>
      </w:r>
      <w:r w:rsidR="00BB6494" w:rsidRPr="00EE5722">
        <w:rPr>
          <w:color w:val="000000" w:themeColor="text1"/>
          <w:sz w:val="26"/>
          <w:szCs w:val="26"/>
        </w:rPr>
        <w:t xml:space="preserve"> are too timid to dip their toes</w:t>
      </w:r>
      <w:r w:rsidR="0059070F">
        <w:rPr>
          <w:color w:val="000000" w:themeColor="text1"/>
          <w:sz w:val="26"/>
          <w:szCs w:val="26"/>
        </w:rPr>
        <w:t xml:space="preserve"> into the competitive waters.  In the ALJ’s opinion, t</w:t>
      </w:r>
      <w:r w:rsidR="00BB6494" w:rsidRPr="00EE5722">
        <w:rPr>
          <w:color w:val="000000" w:themeColor="text1"/>
          <w:sz w:val="26"/>
          <w:szCs w:val="26"/>
        </w:rPr>
        <w:t>hese customers should not be burdened with a volatile rate</w:t>
      </w:r>
      <w:r>
        <w:rPr>
          <w:color w:val="000000" w:themeColor="text1"/>
          <w:sz w:val="26"/>
          <w:szCs w:val="26"/>
        </w:rPr>
        <w:t xml:space="preserve">, and therefore she </w:t>
      </w:r>
      <w:r w:rsidR="00BB6494" w:rsidRPr="00EE5722">
        <w:rPr>
          <w:color w:val="000000" w:themeColor="text1"/>
          <w:sz w:val="26"/>
          <w:szCs w:val="26"/>
        </w:rPr>
        <w:t>reco</w:t>
      </w:r>
      <w:r w:rsidR="00BB6494">
        <w:rPr>
          <w:color w:val="000000" w:themeColor="text1"/>
          <w:sz w:val="26"/>
          <w:szCs w:val="26"/>
        </w:rPr>
        <w:t>mmended approval of Duquesne</w:t>
      </w:r>
      <w:r w:rsidR="00BB6494" w:rsidRPr="00EE5722">
        <w:rPr>
          <w:color w:val="000000" w:themeColor="text1"/>
          <w:sz w:val="26"/>
          <w:szCs w:val="26"/>
        </w:rPr>
        <w:t>’</w:t>
      </w:r>
      <w:r>
        <w:rPr>
          <w:color w:val="000000" w:themeColor="text1"/>
          <w:sz w:val="26"/>
          <w:szCs w:val="26"/>
        </w:rPr>
        <w:t>s plan.  The ALJ concluded that t</w:t>
      </w:r>
      <w:r w:rsidR="00BB6494" w:rsidRPr="00EE5722">
        <w:rPr>
          <w:color w:val="000000" w:themeColor="text1"/>
          <w:sz w:val="26"/>
          <w:szCs w:val="26"/>
        </w:rPr>
        <w:t>here is</w:t>
      </w:r>
      <w:r>
        <w:rPr>
          <w:color w:val="000000" w:themeColor="text1"/>
          <w:sz w:val="26"/>
          <w:szCs w:val="26"/>
        </w:rPr>
        <w:t xml:space="preserve"> insufficient evidence to demonstrate that</w:t>
      </w:r>
      <w:r w:rsidR="00BB6494" w:rsidRPr="00EE5722">
        <w:rPr>
          <w:color w:val="000000" w:themeColor="text1"/>
          <w:sz w:val="26"/>
          <w:szCs w:val="26"/>
        </w:rPr>
        <w:t xml:space="preserve"> now </w:t>
      </w:r>
      <w:r>
        <w:rPr>
          <w:color w:val="000000" w:themeColor="text1"/>
          <w:sz w:val="26"/>
          <w:szCs w:val="26"/>
        </w:rPr>
        <w:t xml:space="preserve">would be </w:t>
      </w:r>
      <w:r w:rsidR="00BB6494" w:rsidRPr="00EE5722">
        <w:rPr>
          <w:color w:val="000000" w:themeColor="text1"/>
          <w:sz w:val="26"/>
          <w:szCs w:val="26"/>
        </w:rPr>
        <w:t>the appropriate time</w:t>
      </w:r>
      <w:r>
        <w:rPr>
          <w:color w:val="000000" w:themeColor="text1"/>
          <w:sz w:val="26"/>
          <w:szCs w:val="26"/>
        </w:rPr>
        <w:t xml:space="preserve"> to force 100% </w:t>
      </w:r>
      <w:r w:rsidR="00BB6494" w:rsidRPr="00EE5722">
        <w:rPr>
          <w:color w:val="000000" w:themeColor="text1"/>
          <w:sz w:val="26"/>
          <w:szCs w:val="26"/>
        </w:rPr>
        <w:t xml:space="preserve">shopping where only half of the Company’s customers in this class shop currently.  </w:t>
      </w:r>
      <w:r w:rsidR="00CC2F44">
        <w:rPr>
          <w:color w:val="000000" w:themeColor="text1"/>
          <w:sz w:val="26"/>
          <w:szCs w:val="26"/>
        </w:rPr>
        <w:t>According to the ALJ, t</w:t>
      </w:r>
      <w:r w:rsidR="00BB6494" w:rsidRPr="00EE5722">
        <w:rPr>
          <w:color w:val="000000" w:themeColor="text1"/>
          <w:sz w:val="26"/>
          <w:szCs w:val="26"/>
        </w:rPr>
        <w:t xml:space="preserve">he </w:t>
      </w:r>
      <w:r>
        <w:rPr>
          <w:color w:val="000000" w:themeColor="text1"/>
          <w:sz w:val="26"/>
          <w:szCs w:val="26"/>
        </w:rPr>
        <w:t>goal of 100% participation may be attainable in Duquesne’s</w:t>
      </w:r>
      <w:r w:rsidR="00BB6494" w:rsidRPr="00EE5722">
        <w:rPr>
          <w:color w:val="000000" w:themeColor="text1"/>
          <w:sz w:val="26"/>
          <w:szCs w:val="26"/>
        </w:rPr>
        <w:t xml:space="preserve"> ne</w:t>
      </w:r>
      <w:r>
        <w:rPr>
          <w:color w:val="000000" w:themeColor="text1"/>
          <w:sz w:val="26"/>
          <w:szCs w:val="26"/>
        </w:rPr>
        <w:t xml:space="preserve">xt plan period beginning in 2015, </w:t>
      </w:r>
      <w:r w:rsidR="00BB6494" w:rsidRPr="00EE5722">
        <w:rPr>
          <w:color w:val="000000" w:themeColor="text1"/>
          <w:sz w:val="26"/>
          <w:szCs w:val="26"/>
        </w:rPr>
        <w:t>at which time quarterly adju</w:t>
      </w:r>
      <w:r w:rsidR="00FC04E4">
        <w:rPr>
          <w:color w:val="000000" w:themeColor="text1"/>
          <w:sz w:val="26"/>
          <w:szCs w:val="26"/>
        </w:rPr>
        <w:t xml:space="preserve">stments may be added. </w:t>
      </w:r>
      <w:r w:rsidR="00CC2F44">
        <w:rPr>
          <w:color w:val="000000" w:themeColor="text1"/>
          <w:sz w:val="26"/>
          <w:szCs w:val="26"/>
        </w:rPr>
        <w:t xml:space="preserve"> R.D. at 48.</w:t>
      </w:r>
    </w:p>
    <w:p w:rsidR="00B708DB" w:rsidRDefault="00B708DB" w:rsidP="003C4D7A">
      <w:pPr>
        <w:pStyle w:val="BodyText2"/>
        <w:spacing w:after="0" w:line="360" w:lineRule="auto"/>
        <w:ind w:firstLine="720"/>
        <w:rPr>
          <w:color w:val="000000" w:themeColor="text1"/>
          <w:sz w:val="26"/>
          <w:szCs w:val="26"/>
        </w:rPr>
      </w:pPr>
    </w:p>
    <w:p w:rsidR="00793E14" w:rsidRDefault="003D32FF" w:rsidP="00115AB3">
      <w:pPr>
        <w:pStyle w:val="Heading4"/>
        <w:numPr>
          <w:ilvl w:val="0"/>
          <w:numId w:val="0"/>
        </w:numPr>
        <w:ind w:left="2880" w:hanging="720"/>
      </w:pPr>
      <w:bookmarkStart w:id="49" w:name="_Toc346705291"/>
      <w:r>
        <w:t>d.</w:t>
      </w:r>
      <w:r>
        <w:tab/>
      </w:r>
      <w:r w:rsidR="00B708DB">
        <w:t>Exception</w:t>
      </w:r>
      <w:r w:rsidR="00FC04E4">
        <w:t>s</w:t>
      </w:r>
      <w:bookmarkEnd w:id="49"/>
    </w:p>
    <w:p w:rsidR="00E3377E" w:rsidRPr="00E3377E" w:rsidRDefault="00E3377E" w:rsidP="003C4D7A">
      <w:pPr>
        <w:pStyle w:val="BodyText2"/>
        <w:spacing w:after="0" w:line="360" w:lineRule="auto"/>
        <w:ind w:left="2520"/>
        <w:rPr>
          <w:color w:val="000000" w:themeColor="text1"/>
          <w:sz w:val="26"/>
          <w:szCs w:val="26"/>
        </w:rPr>
      </w:pPr>
    </w:p>
    <w:p w:rsidR="00793E14" w:rsidRDefault="00A57532" w:rsidP="003C4D7A">
      <w:pPr>
        <w:spacing w:line="360" w:lineRule="auto"/>
        <w:ind w:firstLine="1440"/>
        <w:rPr>
          <w:sz w:val="26"/>
          <w:szCs w:val="26"/>
        </w:rPr>
      </w:pPr>
      <w:r>
        <w:rPr>
          <w:sz w:val="26"/>
          <w:szCs w:val="26"/>
        </w:rPr>
        <w:t xml:space="preserve">In its Exceptions, </w:t>
      </w:r>
      <w:r w:rsidR="00793E14">
        <w:rPr>
          <w:sz w:val="26"/>
          <w:szCs w:val="26"/>
        </w:rPr>
        <w:t>RESA argues that th</w:t>
      </w:r>
      <w:r w:rsidR="00B708DB">
        <w:rPr>
          <w:sz w:val="26"/>
          <w:szCs w:val="26"/>
        </w:rPr>
        <w:t xml:space="preserve">e ALJ erred in rejecting its </w:t>
      </w:r>
      <w:r w:rsidR="00793E14">
        <w:rPr>
          <w:sz w:val="26"/>
          <w:szCs w:val="26"/>
        </w:rPr>
        <w:t>proposal to replace Duquesne’s proposed Medi</w:t>
      </w:r>
      <w:r w:rsidR="003C4D7A">
        <w:rPr>
          <w:sz w:val="26"/>
          <w:szCs w:val="26"/>
        </w:rPr>
        <w:t>um C&amp;I portfolio of 100% six-month contracts with 100% three</w:t>
      </w:r>
      <w:r w:rsidR="004A6EF1">
        <w:rPr>
          <w:sz w:val="26"/>
          <w:szCs w:val="26"/>
        </w:rPr>
        <w:noBreakHyphen/>
      </w:r>
      <w:r w:rsidR="00793E14">
        <w:rPr>
          <w:sz w:val="26"/>
          <w:szCs w:val="26"/>
        </w:rPr>
        <w:t>month contracts.</w:t>
      </w:r>
      <w:r w:rsidR="00793E14" w:rsidRPr="00793E14">
        <w:rPr>
          <w:rStyle w:val="FootnoteReference"/>
          <w:sz w:val="26"/>
          <w:szCs w:val="26"/>
        </w:rPr>
        <w:footnoteReference w:id="45"/>
      </w:r>
      <w:r w:rsidR="00B708DB">
        <w:rPr>
          <w:sz w:val="26"/>
          <w:szCs w:val="26"/>
        </w:rPr>
        <w:t xml:space="preserve">  According to RESA, t</w:t>
      </w:r>
      <w:r w:rsidR="00793E14" w:rsidRPr="00793E14">
        <w:rPr>
          <w:sz w:val="26"/>
          <w:szCs w:val="26"/>
        </w:rPr>
        <w:t xml:space="preserve">he ALJ recommended </w:t>
      </w:r>
      <w:r w:rsidR="00793E14" w:rsidRPr="00793E14">
        <w:rPr>
          <w:sz w:val="26"/>
          <w:szCs w:val="26"/>
        </w:rPr>
        <w:lastRenderedPageBreak/>
        <w:t>adoption of Duquesne’s proposal for two reasons</w:t>
      </w:r>
      <w:r w:rsidR="00793E14">
        <w:rPr>
          <w:sz w:val="26"/>
          <w:szCs w:val="26"/>
        </w:rPr>
        <w:t>, both wrong.  First, she stated</w:t>
      </w:r>
      <w:r w:rsidR="00793E14" w:rsidRPr="00793E14">
        <w:rPr>
          <w:sz w:val="26"/>
          <w:szCs w:val="26"/>
        </w:rPr>
        <w:t xml:space="preserve"> that default service customers might examine available EGS products and elect to remain on default service, and </w:t>
      </w:r>
      <w:r w:rsidR="00B708DB">
        <w:rPr>
          <w:sz w:val="26"/>
          <w:szCs w:val="26"/>
        </w:rPr>
        <w:t>that the</w:t>
      </w:r>
      <w:r w:rsidR="00793E14" w:rsidRPr="00793E14">
        <w:rPr>
          <w:sz w:val="26"/>
          <w:szCs w:val="26"/>
        </w:rPr>
        <w:t>se customers “should not be burdened with a volatile rate.”</w:t>
      </w:r>
      <w:r w:rsidR="00793E14" w:rsidRPr="00793E14">
        <w:rPr>
          <w:rStyle w:val="FootnoteReference"/>
          <w:sz w:val="26"/>
          <w:szCs w:val="26"/>
        </w:rPr>
        <w:footnoteReference w:id="46"/>
      </w:r>
      <w:r w:rsidR="00793E14">
        <w:rPr>
          <w:sz w:val="26"/>
          <w:szCs w:val="26"/>
        </w:rPr>
        <w:t xml:space="preserve">  Second, she concluded</w:t>
      </w:r>
      <w:r w:rsidR="00B708DB">
        <w:rPr>
          <w:sz w:val="26"/>
          <w:szCs w:val="26"/>
        </w:rPr>
        <w:t xml:space="preserve"> </w:t>
      </w:r>
      <w:r w:rsidR="00793E14" w:rsidRPr="00793E14">
        <w:rPr>
          <w:sz w:val="26"/>
          <w:szCs w:val="26"/>
        </w:rPr>
        <w:t>that RESA’s proposal would “force 100%</w:t>
      </w:r>
      <w:r w:rsidR="003D32FF">
        <w:rPr>
          <w:sz w:val="26"/>
          <w:szCs w:val="26"/>
        </w:rPr>
        <w:t xml:space="preserve"> </w:t>
      </w:r>
      <w:r w:rsidR="00793E14" w:rsidRPr="00793E14">
        <w:rPr>
          <w:sz w:val="26"/>
          <w:szCs w:val="26"/>
        </w:rPr>
        <w:t>participation in shopping ….” and “may result in precipitous drops in shopping due to lessened price stability.”</w:t>
      </w:r>
      <w:r w:rsidR="00793E14" w:rsidRPr="00793E14">
        <w:rPr>
          <w:rStyle w:val="FootnoteReference"/>
          <w:sz w:val="26"/>
          <w:szCs w:val="26"/>
        </w:rPr>
        <w:footnoteReference w:id="47"/>
      </w:r>
      <w:r w:rsidR="00B708DB">
        <w:rPr>
          <w:sz w:val="26"/>
          <w:szCs w:val="26"/>
        </w:rPr>
        <w:t xml:space="preserve"> </w:t>
      </w:r>
      <w:r w:rsidR="004A6EF1">
        <w:rPr>
          <w:sz w:val="26"/>
          <w:szCs w:val="26"/>
        </w:rPr>
        <w:t xml:space="preserve"> </w:t>
      </w:r>
      <w:r w:rsidR="00B708DB">
        <w:rPr>
          <w:sz w:val="26"/>
          <w:szCs w:val="26"/>
        </w:rPr>
        <w:t>RESA submits that t</w:t>
      </w:r>
      <w:r w:rsidR="00793E14" w:rsidRPr="00793E14">
        <w:rPr>
          <w:sz w:val="26"/>
          <w:szCs w:val="26"/>
        </w:rPr>
        <w:t>he record does not support these findings.</w:t>
      </w:r>
      <w:r w:rsidR="003C4D7A">
        <w:rPr>
          <w:sz w:val="26"/>
          <w:szCs w:val="26"/>
        </w:rPr>
        <w:t xml:space="preserve">  RESA Exc. at 12-13.  </w:t>
      </w:r>
    </w:p>
    <w:p w:rsidR="00793E14" w:rsidRPr="00793E14" w:rsidRDefault="00793E14" w:rsidP="003C4D7A">
      <w:pPr>
        <w:spacing w:line="360" w:lineRule="auto"/>
        <w:ind w:firstLine="720"/>
        <w:rPr>
          <w:sz w:val="26"/>
          <w:szCs w:val="26"/>
        </w:rPr>
      </w:pPr>
    </w:p>
    <w:p w:rsidR="00793E14" w:rsidRPr="003C4D7A" w:rsidRDefault="00793E14" w:rsidP="00793E14">
      <w:pPr>
        <w:spacing w:line="360" w:lineRule="auto"/>
        <w:ind w:firstLine="720"/>
        <w:rPr>
          <w:sz w:val="26"/>
          <w:szCs w:val="26"/>
        </w:rPr>
      </w:pPr>
      <w:r>
        <w:rPr>
          <w:sz w:val="26"/>
          <w:szCs w:val="26"/>
        </w:rPr>
        <w:t xml:space="preserve"> </w:t>
      </w:r>
      <w:r>
        <w:rPr>
          <w:sz w:val="26"/>
          <w:szCs w:val="26"/>
        </w:rPr>
        <w:tab/>
      </w:r>
      <w:r w:rsidR="00DE646A">
        <w:rPr>
          <w:sz w:val="26"/>
          <w:szCs w:val="26"/>
        </w:rPr>
        <w:t xml:space="preserve">First, </w:t>
      </w:r>
      <w:r w:rsidR="00B708DB">
        <w:rPr>
          <w:sz w:val="26"/>
          <w:szCs w:val="26"/>
        </w:rPr>
        <w:t xml:space="preserve">RESA submits that </w:t>
      </w:r>
      <w:r w:rsidR="00DE646A">
        <w:rPr>
          <w:sz w:val="26"/>
          <w:szCs w:val="26"/>
        </w:rPr>
        <w:t>no M</w:t>
      </w:r>
      <w:r w:rsidRPr="00793E14">
        <w:rPr>
          <w:sz w:val="26"/>
          <w:szCs w:val="26"/>
        </w:rPr>
        <w:t>edium C&amp;I customer is, or will be, “burdened” with a default service rate they do not want, because cu</w:t>
      </w:r>
      <w:r w:rsidR="003C4D7A">
        <w:rPr>
          <w:sz w:val="26"/>
          <w:szCs w:val="26"/>
        </w:rPr>
        <w:t>rrently there are forty-six</w:t>
      </w:r>
      <w:r w:rsidRPr="00793E14">
        <w:rPr>
          <w:sz w:val="26"/>
          <w:szCs w:val="26"/>
        </w:rPr>
        <w:t xml:space="preserve"> EGSs from which to choose.</w:t>
      </w:r>
      <w:r w:rsidRPr="00793E14">
        <w:rPr>
          <w:rStyle w:val="FootnoteReference"/>
          <w:sz w:val="26"/>
          <w:szCs w:val="26"/>
        </w:rPr>
        <w:footnoteReference w:id="48"/>
      </w:r>
      <w:r w:rsidR="00B708DB">
        <w:rPr>
          <w:sz w:val="26"/>
          <w:szCs w:val="26"/>
        </w:rPr>
        <w:t xml:space="preserve">  RESA argues that t</w:t>
      </w:r>
      <w:r w:rsidRPr="00793E14">
        <w:rPr>
          <w:sz w:val="26"/>
          <w:szCs w:val="26"/>
        </w:rPr>
        <w:t>here is no reason not to move forward with quarte</w:t>
      </w:r>
      <w:r w:rsidR="00B708DB">
        <w:rPr>
          <w:sz w:val="26"/>
          <w:szCs w:val="26"/>
        </w:rPr>
        <w:t>rly procurements when 57.6% of M</w:t>
      </w:r>
      <w:r w:rsidRPr="00793E14">
        <w:rPr>
          <w:sz w:val="26"/>
          <w:szCs w:val="26"/>
        </w:rPr>
        <w:t>edium C&amp;I customers and 67.5% of the load has already shopped.</w:t>
      </w:r>
      <w:r w:rsidRPr="00793E14">
        <w:rPr>
          <w:rStyle w:val="FootnoteReference"/>
          <w:sz w:val="26"/>
          <w:szCs w:val="26"/>
        </w:rPr>
        <w:footnoteReference w:id="49"/>
      </w:r>
      <w:r w:rsidRPr="00793E14">
        <w:rPr>
          <w:sz w:val="26"/>
          <w:szCs w:val="26"/>
        </w:rPr>
        <w:t xml:space="preserve"> At the same time, no customer will be “forced” to shop.  If a customer finds an of</w:t>
      </w:r>
      <w:r w:rsidR="003C4D7A">
        <w:rPr>
          <w:sz w:val="26"/>
          <w:szCs w:val="26"/>
        </w:rPr>
        <w:t xml:space="preserve">fer that entices </w:t>
      </w:r>
      <w:r w:rsidR="00BA32AC">
        <w:rPr>
          <w:sz w:val="26"/>
          <w:szCs w:val="26"/>
        </w:rPr>
        <w:t>the customer</w:t>
      </w:r>
      <w:r w:rsidR="003C4D7A">
        <w:rPr>
          <w:sz w:val="26"/>
          <w:szCs w:val="26"/>
        </w:rPr>
        <w:t xml:space="preserve"> to switch,</w:t>
      </w:r>
      <w:r w:rsidRPr="00793E14">
        <w:rPr>
          <w:sz w:val="26"/>
          <w:szCs w:val="26"/>
        </w:rPr>
        <w:t xml:space="preserve"> either because it is a price that is more or less stable than the default service rate, or because the offer includes other products and servi</w:t>
      </w:r>
      <w:r w:rsidR="003C4D7A">
        <w:rPr>
          <w:sz w:val="26"/>
          <w:szCs w:val="26"/>
        </w:rPr>
        <w:t>ces unrelated to price,</w:t>
      </w:r>
      <w:r w:rsidR="00B708DB">
        <w:rPr>
          <w:sz w:val="26"/>
          <w:szCs w:val="26"/>
        </w:rPr>
        <w:t xml:space="preserve"> then the customer</w:t>
      </w:r>
      <w:r w:rsidR="000D4054">
        <w:rPr>
          <w:sz w:val="26"/>
          <w:szCs w:val="26"/>
        </w:rPr>
        <w:t xml:space="preserve"> can switch; otherwise, the customer</w:t>
      </w:r>
      <w:r w:rsidRPr="00793E14">
        <w:rPr>
          <w:sz w:val="26"/>
          <w:szCs w:val="26"/>
        </w:rPr>
        <w:t xml:space="preserve"> can remain on default service.</w:t>
      </w:r>
      <w:r w:rsidR="003C4D7A">
        <w:rPr>
          <w:sz w:val="26"/>
          <w:szCs w:val="26"/>
        </w:rPr>
        <w:t xml:space="preserve">  </w:t>
      </w:r>
      <w:r w:rsidR="003C4D7A">
        <w:rPr>
          <w:i/>
          <w:sz w:val="26"/>
          <w:szCs w:val="26"/>
        </w:rPr>
        <w:t xml:space="preserve">Id. </w:t>
      </w:r>
      <w:r w:rsidR="003C4D7A">
        <w:rPr>
          <w:sz w:val="26"/>
          <w:szCs w:val="26"/>
        </w:rPr>
        <w:t>at 13.</w:t>
      </w:r>
    </w:p>
    <w:p w:rsidR="00793E14" w:rsidRPr="00793E14" w:rsidRDefault="00793E14" w:rsidP="00793E14">
      <w:pPr>
        <w:spacing w:line="360" w:lineRule="auto"/>
        <w:ind w:firstLine="720"/>
        <w:rPr>
          <w:sz w:val="26"/>
          <w:szCs w:val="26"/>
        </w:rPr>
      </w:pPr>
    </w:p>
    <w:p w:rsidR="00793E14" w:rsidRPr="003C4D7A" w:rsidRDefault="00793E14" w:rsidP="003C4D7A">
      <w:pPr>
        <w:spacing w:line="360" w:lineRule="auto"/>
        <w:ind w:firstLine="720"/>
        <w:rPr>
          <w:sz w:val="26"/>
          <w:szCs w:val="26"/>
        </w:rPr>
      </w:pPr>
      <w:r>
        <w:rPr>
          <w:sz w:val="26"/>
          <w:szCs w:val="26"/>
        </w:rPr>
        <w:t xml:space="preserve"> </w:t>
      </w:r>
      <w:r>
        <w:rPr>
          <w:sz w:val="26"/>
          <w:szCs w:val="26"/>
        </w:rPr>
        <w:tab/>
      </w:r>
      <w:r w:rsidRPr="00793E14">
        <w:rPr>
          <w:sz w:val="26"/>
          <w:szCs w:val="26"/>
        </w:rPr>
        <w:t xml:space="preserve">Second, </w:t>
      </w:r>
      <w:r w:rsidR="000D4054">
        <w:rPr>
          <w:sz w:val="26"/>
          <w:szCs w:val="26"/>
        </w:rPr>
        <w:t xml:space="preserve">RESA submits that </w:t>
      </w:r>
      <w:r w:rsidRPr="00793E14">
        <w:rPr>
          <w:sz w:val="26"/>
          <w:szCs w:val="26"/>
        </w:rPr>
        <w:t>the ALJ’s conclusio</w:t>
      </w:r>
      <w:r w:rsidR="000D4054">
        <w:rPr>
          <w:sz w:val="26"/>
          <w:szCs w:val="26"/>
        </w:rPr>
        <w:t>ns are inconsistent</w:t>
      </w:r>
      <w:r>
        <w:rPr>
          <w:sz w:val="26"/>
          <w:szCs w:val="26"/>
        </w:rPr>
        <w:t>.  On one hand, she concluded</w:t>
      </w:r>
      <w:r w:rsidR="000D4054">
        <w:rPr>
          <w:sz w:val="26"/>
          <w:szCs w:val="26"/>
        </w:rPr>
        <w:t xml:space="preserve"> </w:t>
      </w:r>
      <w:r w:rsidRPr="00793E14">
        <w:rPr>
          <w:sz w:val="26"/>
          <w:szCs w:val="26"/>
        </w:rPr>
        <w:t>that RESA’s plan ma</w:t>
      </w:r>
      <w:r w:rsidR="000D4054">
        <w:rPr>
          <w:sz w:val="26"/>
          <w:szCs w:val="26"/>
        </w:rPr>
        <w:t>y result in less switching for M</w:t>
      </w:r>
      <w:r w:rsidRPr="00793E14">
        <w:rPr>
          <w:sz w:val="26"/>
          <w:szCs w:val="26"/>
        </w:rPr>
        <w:t xml:space="preserve">edium C&amp;I customers.  </w:t>
      </w:r>
      <w:r>
        <w:rPr>
          <w:sz w:val="26"/>
          <w:szCs w:val="26"/>
        </w:rPr>
        <w:t>On the other hand, she concluded</w:t>
      </w:r>
      <w:r w:rsidRPr="00793E14">
        <w:rPr>
          <w:sz w:val="26"/>
          <w:szCs w:val="26"/>
        </w:rPr>
        <w:t xml:space="preserve"> that RESA’s plan would result in 100% forced shopping.  Thus, in the same paragraph, the ALJ finds that RESA’s proposal could result in less shopping and 100% shopping, two results </w:t>
      </w:r>
      <w:r w:rsidR="000D4054">
        <w:rPr>
          <w:sz w:val="26"/>
          <w:szCs w:val="26"/>
        </w:rPr>
        <w:t>that</w:t>
      </w:r>
      <w:r>
        <w:rPr>
          <w:sz w:val="26"/>
          <w:szCs w:val="26"/>
        </w:rPr>
        <w:t xml:space="preserve"> obviously cannot co-exist</w:t>
      </w:r>
      <w:r w:rsidRPr="00793E14">
        <w:rPr>
          <w:sz w:val="26"/>
          <w:szCs w:val="26"/>
        </w:rPr>
        <w:t>.</w:t>
      </w:r>
      <w:r w:rsidRPr="00793E14">
        <w:rPr>
          <w:rStyle w:val="FootnoteReference"/>
          <w:sz w:val="26"/>
          <w:szCs w:val="26"/>
        </w:rPr>
        <w:footnoteReference w:id="50"/>
      </w:r>
      <w:r w:rsidR="000D4054">
        <w:rPr>
          <w:sz w:val="26"/>
          <w:szCs w:val="26"/>
        </w:rPr>
        <w:t xml:space="preserve">  RESA states that M</w:t>
      </w:r>
      <w:r w:rsidRPr="00793E14">
        <w:rPr>
          <w:sz w:val="26"/>
          <w:szCs w:val="26"/>
        </w:rPr>
        <w:t xml:space="preserve">edium C&amp;I customers have proven to be sophisticated and not shy </w:t>
      </w:r>
      <w:r w:rsidRPr="00793E14">
        <w:rPr>
          <w:sz w:val="26"/>
          <w:szCs w:val="26"/>
        </w:rPr>
        <w:lastRenderedPageBreak/>
        <w:t>about taking advantage of market opportunities, and the time is right to transition these customers to quarterly procurements.</w:t>
      </w:r>
      <w:r w:rsidRPr="00793E14">
        <w:rPr>
          <w:rStyle w:val="FootnoteReference"/>
          <w:sz w:val="26"/>
          <w:szCs w:val="26"/>
        </w:rPr>
        <w:footnoteReference w:id="51"/>
      </w:r>
      <w:r w:rsidR="003C4D7A">
        <w:rPr>
          <w:sz w:val="26"/>
          <w:szCs w:val="26"/>
        </w:rPr>
        <w:t xml:space="preserve">  </w:t>
      </w:r>
      <w:r w:rsidR="003C4D7A">
        <w:rPr>
          <w:i/>
          <w:sz w:val="26"/>
          <w:szCs w:val="26"/>
        </w:rPr>
        <w:t xml:space="preserve">Id. </w:t>
      </w:r>
      <w:r w:rsidR="003C4D7A" w:rsidRPr="003C4D7A">
        <w:rPr>
          <w:sz w:val="26"/>
          <w:szCs w:val="26"/>
        </w:rPr>
        <w:t>at 13-14.</w:t>
      </w:r>
      <w:r w:rsidRPr="003C4D7A">
        <w:rPr>
          <w:sz w:val="26"/>
          <w:szCs w:val="26"/>
        </w:rPr>
        <w:t xml:space="preserve"> </w:t>
      </w:r>
    </w:p>
    <w:p w:rsidR="00793E14" w:rsidRPr="00793E14" w:rsidRDefault="00793E14" w:rsidP="003C4D7A">
      <w:pPr>
        <w:spacing w:line="360" w:lineRule="auto"/>
        <w:ind w:firstLine="720"/>
        <w:rPr>
          <w:sz w:val="26"/>
          <w:szCs w:val="26"/>
        </w:rPr>
      </w:pPr>
    </w:p>
    <w:p w:rsidR="00275A12" w:rsidRPr="006F1637" w:rsidRDefault="00793E14" w:rsidP="006519B8">
      <w:pPr>
        <w:spacing w:line="360" w:lineRule="auto"/>
        <w:ind w:firstLine="720"/>
        <w:rPr>
          <w:sz w:val="26"/>
          <w:szCs w:val="26"/>
        </w:rPr>
      </w:pPr>
      <w:r>
        <w:rPr>
          <w:sz w:val="26"/>
          <w:szCs w:val="26"/>
        </w:rPr>
        <w:t xml:space="preserve"> </w:t>
      </w:r>
      <w:r>
        <w:rPr>
          <w:sz w:val="26"/>
          <w:szCs w:val="26"/>
        </w:rPr>
        <w:tab/>
      </w:r>
      <w:r w:rsidRPr="00793E14">
        <w:rPr>
          <w:sz w:val="26"/>
          <w:szCs w:val="26"/>
        </w:rPr>
        <w:t xml:space="preserve">Finally, </w:t>
      </w:r>
      <w:r w:rsidR="000D4054">
        <w:rPr>
          <w:sz w:val="26"/>
          <w:szCs w:val="26"/>
        </w:rPr>
        <w:t>RESA argues that the ALJ’s recommendation i</w:t>
      </w:r>
      <w:r w:rsidRPr="00793E14">
        <w:rPr>
          <w:sz w:val="26"/>
          <w:szCs w:val="26"/>
        </w:rPr>
        <w:t xml:space="preserve">s inconsistent with the </w:t>
      </w:r>
      <w:r w:rsidR="000D4054">
        <w:rPr>
          <w:i/>
          <w:sz w:val="26"/>
          <w:szCs w:val="26"/>
        </w:rPr>
        <w:t xml:space="preserve">End-State </w:t>
      </w:r>
      <w:r w:rsidRPr="00793E14">
        <w:rPr>
          <w:i/>
          <w:sz w:val="26"/>
          <w:szCs w:val="26"/>
        </w:rPr>
        <w:t>Tentative Order</w:t>
      </w:r>
      <w:r w:rsidRPr="00793E14">
        <w:rPr>
          <w:sz w:val="26"/>
          <w:szCs w:val="26"/>
        </w:rPr>
        <w:t xml:space="preserve">.  </w:t>
      </w:r>
      <w:r w:rsidR="003C4D7A">
        <w:rPr>
          <w:sz w:val="26"/>
          <w:szCs w:val="26"/>
        </w:rPr>
        <w:t>RESA asserts that f</w:t>
      </w:r>
      <w:r w:rsidRPr="00793E14">
        <w:rPr>
          <w:sz w:val="26"/>
          <w:szCs w:val="26"/>
        </w:rPr>
        <w:t>or customers between 25 kW</w:t>
      </w:r>
      <w:r w:rsidR="000D4054">
        <w:rPr>
          <w:sz w:val="26"/>
          <w:szCs w:val="26"/>
        </w:rPr>
        <w:t xml:space="preserve"> and 100 kW, the </w:t>
      </w:r>
      <w:r w:rsidR="000D4054">
        <w:rPr>
          <w:i/>
          <w:sz w:val="26"/>
          <w:szCs w:val="26"/>
        </w:rPr>
        <w:t xml:space="preserve">End-State </w:t>
      </w:r>
      <w:r w:rsidR="000D4054" w:rsidRPr="00793E14">
        <w:rPr>
          <w:i/>
          <w:sz w:val="26"/>
          <w:szCs w:val="26"/>
        </w:rPr>
        <w:t>Tentative Order</w:t>
      </w:r>
      <w:r w:rsidR="000D4054">
        <w:rPr>
          <w:sz w:val="26"/>
          <w:szCs w:val="26"/>
        </w:rPr>
        <w:t xml:space="preserve"> proposes </w:t>
      </w:r>
      <w:r w:rsidRPr="00793E14">
        <w:rPr>
          <w:sz w:val="26"/>
          <w:szCs w:val="26"/>
        </w:rPr>
        <w:t xml:space="preserve">quarterly default service pricing, which is RESA’s proposal in this case.  </w:t>
      </w:r>
      <w:r w:rsidR="000D4054" w:rsidRPr="00793E14">
        <w:rPr>
          <w:sz w:val="26"/>
          <w:szCs w:val="26"/>
        </w:rPr>
        <w:t xml:space="preserve"> </w:t>
      </w:r>
      <w:r w:rsidR="003C4D7A">
        <w:rPr>
          <w:sz w:val="26"/>
          <w:szCs w:val="26"/>
        </w:rPr>
        <w:t>RESA contends that f</w:t>
      </w:r>
      <w:r w:rsidRPr="00793E14">
        <w:rPr>
          <w:sz w:val="26"/>
          <w:szCs w:val="26"/>
        </w:rPr>
        <w:t xml:space="preserve">or customers with demands of 100 kW or greater, the </w:t>
      </w:r>
      <w:r w:rsidR="000D4054">
        <w:rPr>
          <w:i/>
          <w:sz w:val="26"/>
          <w:szCs w:val="26"/>
        </w:rPr>
        <w:t xml:space="preserve">End-State </w:t>
      </w:r>
      <w:r w:rsidRPr="00793E14">
        <w:rPr>
          <w:i/>
          <w:sz w:val="26"/>
          <w:szCs w:val="26"/>
        </w:rPr>
        <w:t>Tentative Order</w:t>
      </w:r>
      <w:r w:rsidR="000D4054">
        <w:rPr>
          <w:sz w:val="26"/>
          <w:szCs w:val="26"/>
        </w:rPr>
        <w:t xml:space="preserve"> propose</w:t>
      </w:r>
      <w:r w:rsidRPr="00793E14">
        <w:rPr>
          <w:sz w:val="26"/>
          <w:szCs w:val="26"/>
        </w:rPr>
        <w:t>s hourly pricing.</w:t>
      </w:r>
      <w:r w:rsidRPr="00793E14">
        <w:rPr>
          <w:rStyle w:val="FootnoteReference"/>
          <w:sz w:val="26"/>
          <w:szCs w:val="26"/>
        </w:rPr>
        <w:footnoteReference w:id="52"/>
      </w:r>
      <w:r w:rsidRPr="00793E14">
        <w:rPr>
          <w:sz w:val="26"/>
          <w:szCs w:val="26"/>
        </w:rPr>
        <w:t xml:space="preserve">  The record reflects that approximately 73% of Duquesne’s customers </w:t>
      </w:r>
      <w:r w:rsidR="000D4054">
        <w:rPr>
          <w:sz w:val="26"/>
          <w:szCs w:val="26"/>
        </w:rPr>
        <w:t xml:space="preserve">between 100 kW and 300 kW had </w:t>
      </w:r>
      <w:r w:rsidRPr="00793E14">
        <w:rPr>
          <w:sz w:val="26"/>
          <w:szCs w:val="26"/>
        </w:rPr>
        <w:t>shopped as of May 2012.</w:t>
      </w:r>
      <w:r w:rsidRPr="00793E14">
        <w:rPr>
          <w:rStyle w:val="FootnoteReference"/>
          <w:sz w:val="26"/>
          <w:szCs w:val="26"/>
        </w:rPr>
        <w:footnoteReference w:id="53"/>
      </w:r>
      <w:r w:rsidR="000D4054">
        <w:rPr>
          <w:sz w:val="26"/>
          <w:szCs w:val="26"/>
        </w:rPr>
        <w:t xml:space="preserve">  RESA submits that t</w:t>
      </w:r>
      <w:r w:rsidRPr="00793E14">
        <w:rPr>
          <w:sz w:val="26"/>
          <w:szCs w:val="26"/>
        </w:rPr>
        <w:t>hese customers are ready for quarterly default s</w:t>
      </w:r>
      <w:r w:rsidR="000D4054">
        <w:rPr>
          <w:sz w:val="26"/>
          <w:szCs w:val="26"/>
        </w:rPr>
        <w:t xml:space="preserve">ervice pricing, which will </w:t>
      </w:r>
      <w:r w:rsidRPr="00793E14">
        <w:rPr>
          <w:sz w:val="26"/>
          <w:szCs w:val="26"/>
        </w:rPr>
        <w:t>provide a smooth transition to the envisioned end</w:t>
      </w:r>
      <w:r w:rsidR="00BA32AC">
        <w:rPr>
          <w:sz w:val="26"/>
          <w:szCs w:val="26"/>
        </w:rPr>
        <w:t>-</w:t>
      </w:r>
      <w:r w:rsidRPr="00793E14">
        <w:rPr>
          <w:sz w:val="26"/>
          <w:szCs w:val="26"/>
        </w:rPr>
        <w:t>state.</w:t>
      </w:r>
      <w:r w:rsidR="006F1637">
        <w:rPr>
          <w:sz w:val="26"/>
          <w:szCs w:val="26"/>
        </w:rPr>
        <w:t xml:space="preserve">  </w:t>
      </w:r>
      <w:r w:rsidR="006F1637">
        <w:rPr>
          <w:i/>
          <w:sz w:val="26"/>
          <w:szCs w:val="26"/>
        </w:rPr>
        <w:t>Id.</w:t>
      </w:r>
      <w:r w:rsidR="006F1637">
        <w:rPr>
          <w:sz w:val="26"/>
          <w:szCs w:val="26"/>
        </w:rPr>
        <w:t xml:space="preserve"> at 14.</w:t>
      </w:r>
    </w:p>
    <w:p w:rsidR="00275A12" w:rsidRPr="00275A12" w:rsidRDefault="00275A12" w:rsidP="006519B8">
      <w:pPr>
        <w:tabs>
          <w:tab w:val="right" w:leader="dot" w:pos="9360"/>
        </w:tabs>
        <w:spacing w:line="360" w:lineRule="auto"/>
        <w:ind w:left="2880" w:right="720" w:hanging="2160"/>
        <w:rPr>
          <w:b/>
          <w:sz w:val="26"/>
          <w:szCs w:val="26"/>
        </w:rPr>
      </w:pPr>
    </w:p>
    <w:p w:rsidR="00275A12" w:rsidRDefault="00275A12" w:rsidP="00DF734F">
      <w:pPr>
        <w:pStyle w:val="BodyTextFirstLine5DS"/>
        <w:spacing w:line="360" w:lineRule="auto"/>
        <w:jc w:val="left"/>
        <w:rPr>
          <w:sz w:val="26"/>
          <w:szCs w:val="26"/>
        </w:rPr>
      </w:pPr>
      <w:r>
        <w:rPr>
          <w:sz w:val="26"/>
          <w:szCs w:val="26"/>
        </w:rPr>
        <w:t xml:space="preserve"> </w:t>
      </w:r>
      <w:r>
        <w:rPr>
          <w:sz w:val="26"/>
          <w:szCs w:val="26"/>
        </w:rPr>
        <w:tab/>
      </w:r>
      <w:r w:rsidRPr="00275A12">
        <w:rPr>
          <w:sz w:val="26"/>
          <w:szCs w:val="26"/>
        </w:rPr>
        <w:t>FES excepts to the ALJ’s recommendation to adopt Duquesne’s proposed procurement plan for Medium C&amp;I customers</w:t>
      </w:r>
      <w:r w:rsidR="000D4054">
        <w:rPr>
          <w:sz w:val="26"/>
          <w:szCs w:val="26"/>
        </w:rPr>
        <w:t>,</w:t>
      </w:r>
      <w:r w:rsidR="00DF734F">
        <w:rPr>
          <w:sz w:val="26"/>
          <w:szCs w:val="26"/>
        </w:rPr>
        <w:t xml:space="preserve"> as opposed to the </w:t>
      </w:r>
      <w:r w:rsidRPr="00275A12">
        <w:rPr>
          <w:sz w:val="26"/>
          <w:szCs w:val="26"/>
        </w:rPr>
        <w:t>plan proposed by the OSBA.  FES</w:t>
      </w:r>
      <w:r w:rsidR="000D7033">
        <w:rPr>
          <w:sz w:val="26"/>
          <w:szCs w:val="26"/>
        </w:rPr>
        <w:t xml:space="preserve"> argues that the ALJ’s conclusion</w:t>
      </w:r>
      <w:r w:rsidRPr="00275A12">
        <w:rPr>
          <w:sz w:val="26"/>
          <w:szCs w:val="26"/>
        </w:rPr>
        <w:t xml:space="preserve"> that Duquesne’s proposal will result in less volatile rates than the plan proposed by </w:t>
      </w:r>
      <w:r w:rsidR="000D7033">
        <w:rPr>
          <w:sz w:val="26"/>
          <w:szCs w:val="26"/>
        </w:rPr>
        <w:t xml:space="preserve">the OSBA is </w:t>
      </w:r>
      <w:r w:rsidRPr="00275A12">
        <w:rPr>
          <w:sz w:val="26"/>
          <w:szCs w:val="26"/>
        </w:rPr>
        <w:t>incorrect.  For customers in the Medium C&amp;I class, which includes customers with peak demands greater than or equal to 25 kW but l</w:t>
      </w:r>
      <w:r w:rsidR="000D7033">
        <w:rPr>
          <w:sz w:val="26"/>
          <w:szCs w:val="26"/>
        </w:rPr>
        <w:t xml:space="preserve">ess than 300 kW, Duquesne </w:t>
      </w:r>
      <w:r w:rsidRPr="00275A12">
        <w:rPr>
          <w:sz w:val="26"/>
          <w:szCs w:val="26"/>
        </w:rPr>
        <w:t xml:space="preserve">proposes to procure default supply through </w:t>
      </w:r>
      <w:r w:rsidR="006519B8">
        <w:rPr>
          <w:sz w:val="26"/>
          <w:szCs w:val="26"/>
        </w:rPr>
        <w:t>six</w:t>
      </w:r>
      <w:r w:rsidR="000D4054">
        <w:rPr>
          <w:sz w:val="26"/>
          <w:szCs w:val="26"/>
        </w:rPr>
        <w:t>-month non-laddered, FRCs</w:t>
      </w:r>
      <w:r w:rsidRPr="00275A12">
        <w:rPr>
          <w:sz w:val="26"/>
          <w:szCs w:val="26"/>
        </w:rPr>
        <w:t>.  Duquesne would conduct competitive solicitations in April and November of each year, and as a result, Medium C&amp;I default service rates would change ev</w:t>
      </w:r>
      <w:r w:rsidR="000D7033">
        <w:rPr>
          <w:sz w:val="26"/>
          <w:szCs w:val="26"/>
        </w:rPr>
        <w:t>ery six</w:t>
      </w:r>
      <w:r w:rsidR="006519B8">
        <w:rPr>
          <w:sz w:val="26"/>
          <w:szCs w:val="26"/>
        </w:rPr>
        <w:t xml:space="preserve"> months.  FES Exc. at 18-19.</w:t>
      </w:r>
    </w:p>
    <w:p w:rsidR="000D7033" w:rsidRPr="00275A12" w:rsidRDefault="000D7033" w:rsidP="000D7033">
      <w:pPr>
        <w:pStyle w:val="BodyTextFirstLine5DS"/>
        <w:spacing w:line="360" w:lineRule="auto"/>
        <w:jc w:val="left"/>
        <w:rPr>
          <w:sz w:val="26"/>
          <w:szCs w:val="26"/>
        </w:rPr>
      </w:pPr>
    </w:p>
    <w:p w:rsidR="00135904" w:rsidRDefault="00275A12" w:rsidP="00DF734F">
      <w:pPr>
        <w:pStyle w:val="BodyTextFirstLine5DS"/>
        <w:spacing w:line="360" w:lineRule="auto"/>
        <w:ind w:firstLine="1440"/>
        <w:jc w:val="left"/>
        <w:rPr>
          <w:sz w:val="26"/>
          <w:szCs w:val="26"/>
        </w:rPr>
      </w:pPr>
      <w:r w:rsidRPr="00275A12">
        <w:rPr>
          <w:sz w:val="26"/>
          <w:szCs w:val="26"/>
        </w:rPr>
        <w:t>The OSBA proposed that Medium C&amp;I customer default supply be obtained via one-year, non-laddered</w:t>
      </w:r>
      <w:r w:rsidR="007651AE">
        <w:rPr>
          <w:sz w:val="26"/>
          <w:szCs w:val="26"/>
        </w:rPr>
        <w:t>, FRC</w:t>
      </w:r>
      <w:r w:rsidR="000D7033">
        <w:rPr>
          <w:sz w:val="26"/>
          <w:szCs w:val="26"/>
        </w:rPr>
        <w:t xml:space="preserve">s.  </w:t>
      </w:r>
      <w:r w:rsidR="006519B8">
        <w:rPr>
          <w:sz w:val="26"/>
          <w:szCs w:val="26"/>
        </w:rPr>
        <w:t>FES avers that</w:t>
      </w:r>
      <w:r w:rsidR="00BA32AC">
        <w:rPr>
          <w:sz w:val="26"/>
          <w:szCs w:val="26"/>
        </w:rPr>
        <w:t>,</w:t>
      </w:r>
      <w:r w:rsidR="006519B8">
        <w:rPr>
          <w:sz w:val="26"/>
          <w:szCs w:val="26"/>
        </w:rPr>
        <w:t xml:space="preserve"> w</w:t>
      </w:r>
      <w:r w:rsidRPr="00275A12">
        <w:rPr>
          <w:sz w:val="26"/>
          <w:szCs w:val="26"/>
        </w:rPr>
        <w:t xml:space="preserve">hile a substantial portion of </w:t>
      </w:r>
      <w:r w:rsidRPr="00275A12">
        <w:rPr>
          <w:sz w:val="26"/>
          <w:szCs w:val="26"/>
        </w:rPr>
        <w:lastRenderedPageBreak/>
        <w:t xml:space="preserve">Medium C&amp;I customers are shopping (66%), a significant minority still take default service (34%).  </w:t>
      </w:r>
      <w:r w:rsidR="006519B8">
        <w:rPr>
          <w:sz w:val="26"/>
          <w:szCs w:val="26"/>
        </w:rPr>
        <w:t>FES opines that u</w:t>
      </w:r>
      <w:r w:rsidRPr="00275A12">
        <w:rPr>
          <w:sz w:val="26"/>
          <w:szCs w:val="26"/>
        </w:rPr>
        <w:t xml:space="preserve">sing </w:t>
      </w:r>
      <w:r w:rsidR="000D7033">
        <w:rPr>
          <w:sz w:val="26"/>
          <w:szCs w:val="26"/>
        </w:rPr>
        <w:t xml:space="preserve">the OSBA’s </w:t>
      </w:r>
      <w:r w:rsidRPr="00275A12">
        <w:rPr>
          <w:sz w:val="26"/>
          <w:szCs w:val="26"/>
        </w:rPr>
        <w:t>one-year co</w:t>
      </w:r>
      <w:r w:rsidR="000D7033">
        <w:rPr>
          <w:sz w:val="26"/>
          <w:szCs w:val="26"/>
        </w:rPr>
        <w:t xml:space="preserve">ntracts instead of Duquesne’s </w:t>
      </w:r>
      <w:r w:rsidR="006519B8">
        <w:rPr>
          <w:sz w:val="26"/>
          <w:szCs w:val="26"/>
        </w:rPr>
        <w:t>six</w:t>
      </w:r>
      <w:r w:rsidRPr="00275A12">
        <w:rPr>
          <w:sz w:val="26"/>
          <w:szCs w:val="26"/>
        </w:rPr>
        <w:t>-month</w:t>
      </w:r>
      <w:r w:rsidR="000D7033">
        <w:rPr>
          <w:sz w:val="26"/>
          <w:szCs w:val="26"/>
        </w:rPr>
        <w:t xml:space="preserve"> contracts </w:t>
      </w:r>
      <w:r w:rsidRPr="00275A12">
        <w:rPr>
          <w:sz w:val="26"/>
          <w:szCs w:val="26"/>
        </w:rPr>
        <w:t>would result in greater price stability for thos</w:t>
      </w:r>
      <w:r w:rsidR="000D7033">
        <w:rPr>
          <w:sz w:val="26"/>
          <w:szCs w:val="26"/>
        </w:rPr>
        <w:t xml:space="preserve">e Medium C&amp;I customers that still take default service, while </w:t>
      </w:r>
      <w:r w:rsidRPr="00275A12">
        <w:rPr>
          <w:sz w:val="26"/>
          <w:szCs w:val="26"/>
        </w:rPr>
        <w:t>being more market-reflective for the</w:t>
      </w:r>
      <w:r w:rsidR="000D7033">
        <w:rPr>
          <w:sz w:val="26"/>
          <w:szCs w:val="26"/>
        </w:rPr>
        <w:t>se customers than Duquesne</w:t>
      </w:r>
      <w:r w:rsidR="006519B8">
        <w:rPr>
          <w:sz w:val="26"/>
          <w:szCs w:val="26"/>
        </w:rPr>
        <w:t>'s DSP</w:t>
      </w:r>
      <w:r w:rsidRPr="00275A12">
        <w:rPr>
          <w:sz w:val="26"/>
          <w:szCs w:val="26"/>
        </w:rPr>
        <w:t xml:space="preserve"> V procurement strategy.  </w:t>
      </w:r>
      <w:r w:rsidRPr="00275A12">
        <w:rPr>
          <w:i/>
          <w:sz w:val="26"/>
          <w:szCs w:val="26"/>
        </w:rPr>
        <w:t xml:space="preserve">Id. </w:t>
      </w:r>
      <w:r w:rsidR="006519B8">
        <w:rPr>
          <w:sz w:val="26"/>
          <w:szCs w:val="26"/>
        </w:rPr>
        <w:t>at 19.</w:t>
      </w:r>
    </w:p>
    <w:p w:rsidR="00135904" w:rsidRDefault="00135904" w:rsidP="00DF734F">
      <w:pPr>
        <w:pStyle w:val="BodyTextFirstLine5DS"/>
        <w:spacing w:line="360" w:lineRule="auto"/>
        <w:jc w:val="left"/>
        <w:rPr>
          <w:sz w:val="26"/>
          <w:szCs w:val="26"/>
        </w:rPr>
      </w:pPr>
    </w:p>
    <w:p w:rsidR="006917B7" w:rsidRPr="00EE5722" w:rsidRDefault="0094124C" w:rsidP="00115AB3">
      <w:pPr>
        <w:pStyle w:val="Heading4"/>
        <w:numPr>
          <w:ilvl w:val="0"/>
          <w:numId w:val="0"/>
        </w:numPr>
        <w:ind w:left="2880" w:hanging="720"/>
      </w:pPr>
      <w:bookmarkStart w:id="50" w:name="_Toc346705292"/>
      <w:r w:rsidRPr="00EE5722">
        <w:t>e</w:t>
      </w:r>
      <w:r>
        <w:t>.</w:t>
      </w:r>
      <w:r>
        <w:tab/>
        <w:t>Reply Exceptions</w:t>
      </w:r>
      <w:bookmarkEnd w:id="50"/>
    </w:p>
    <w:p w:rsidR="00231940" w:rsidRPr="0094124C" w:rsidRDefault="00231940" w:rsidP="008209CB">
      <w:pPr>
        <w:pStyle w:val="BriefL3"/>
        <w:numPr>
          <w:ilvl w:val="0"/>
          <w:numId w:val="0"/>
        </w:numPr>
        <w:spacing w:after="0" w:line="360" w:lineRule="auto"/>
        <w:ind w:left="2160" w:hanging="720"/>
        <w:rPr>
          <w:b/>
          <w:sz w:val="26"/>
          <w:szCs w:val="26"/>
        </w:rPr>
      </w:pPr>
    </w:p>
    <w:p w:rsidR="008B5FFE" w:rsidRPr="0094124C" w:rsidRDefault="008B5FFE" w:rsidP="00DF734F">
      <w:pPr>
        <w:pStyle w:val="BodyText2"/>
        <w:spacing w:after="0" w:line="360" w:lineRule="auto"/>
        <w:ind w:firstLine="1440"/>
        <w:rPr>
          <w:sz w:val="26"/>
          <w:szCs w:val="26"/>
        </w:rPr>
      </w:pPr>
      <w:r w:rsidRPr="00231940">
        <w:rPr>
          <w:sz w:val="26"/>
          <w:szCs w:val="26"/>
        </w:rPr>
        <w:t xml:space="preserve">In its Reply Exceptions, Duquesne argues that </w:t>
      </w:r>
      <w:r w:rsidR="00DF734F">
        <w:rPr>
          <w:sz w:val="26"/>
          <w:szCs w:val="26"/>
        </w:rPr>
        <w:t>RESA’s proposal to require ninety</w:t>
      </w:r>
      <w:r w:rsidR="0094124C">
        <w:rPr>
          <w:sz w:val="26"/>
          <w:szCs w:val="26"/>
        </w:rPr>
        <w:t>-day contracts</w:t>
      </w:r>
      <w:r w:rsidRPr="00231940">
        <w:rPr>
          <w:sz w:val="26"/>
          <w:szCs w:val="26"/>
        </w:rPr>
        <w:t>, and FES’s pr</w:t>
      </w:r>
      <w:r w:rsidR="0094124C">
        <w:rPr>
          <w:sz w:val="26"/>
          <w:szCs w:val="26"/>
        </w:rPr>
        <w:t>oposal to require one-year contra</w:t>
      </w:r>
      <w:r w:rsidRPr="00231940">
        <w:rPr>
          <w:sz w:val="26"/>
          <w:szCs w:val="26"/>
        </w:rPr>
        <w:t>cts for Medium C&amp;I customers</w:t>
      </w:r>
      <w:r w:rsidR="0094124C">
        <w:rPr>
          <w:sz w:val="26"/>
          <w:szCs w:val="26"/>
        </w:rPr>
        <w:t>,</w:t>
      </w:r>
      <w:r w:rsidRPr="00231940">
        <w:rPr>
          <w:sz w:val="26"/>
          <w:szCs w:val="26"/>
        </w:rPr>
        <w:t xml:space="preserve"> should be rejected.  Duquesne explains that it proposed to move Medium C&amp;I customers from one-year contracts laddered every six months to six-month contracts that are not laddered and t</w:t>
      </w:r>
      <w:r w:rsidR="00DF734F">
        <w:rPr>
          <w:sz w:val="26"/>
          <w:szCs w:val="26"/>
        </w:rPr>
        <w:t>hat are procured no more than sixty</w:t>
      </w:r>
      <w:r w:rsidRPr="00231940">
        <w:rPr>
          <w:sz w:val="26"/>
          <w:szCs w:val="26"/>
        </w:rPr>
        <w:t xml:space="preserve">-days prior to the delivery date.  </w:t>
      </w:r>
      <w:r w:rsidR="00DF734F">
        <w:rPr>
          <w:sz w:val="26"/>
          <w:szCs w:val="26"/>
        </w:rPr>
        <w:t>Duquesne states that t</w:t>
      </w:r>
      <w:r w:rsidRPr="00231940">
        <w:rPr>
          <w:sz w:val="26"/>
          <w:szCs w:val="26"/>
        </w:rPr>
        <w:t xml:space="preserve">his proposal was intended to make Medium C&amp;I default service rates more market responsive than those </w:t>
      </w:r>
      <w:r w:rsidR="00DF734F">
        <w:rPr>
          <w:sz w:val="26"/>
          <w:szCs w:val="26"/>
        </w:rPr>
        <w:t xml:space="preserve">under DSP V.  Duquesne R.Exc. at 9-10.  </w:t>
      </w:r>
    </w:p>
    <w:p w:rsidR="00231940" w:rsidRDefault="00231940" w:rsidP="00DF734F">
      <w:pPr>
        <w:pStyle w:val="BodyText2"/>
        <w:spacing w:after="0" w:line="360" w:lineRule="auto"/>
        <w:ind w:firstLine="1440"/>
        <w:rPr>
          <w:sz w:val="26"/>
          <w:szCs w:val="26"/>
        </w:rPr>
      </w:pPr>
    </w:p>
    <w:p w:rsidR="008B5FFE" w:rsidRPr="009250CD" w:rsidRDefault="008B5FFE" w:rsidP="009250CD">
      <w:pPr>
        <w:pStyle w:val="BodyText2"/>
        <w:spacing w:after="0" w:line="360" w:lineRule="auto"/>
        <w:ind w:firstLine="1440"/>
        <w:rPr>
          <w:sz w:val="26"/>
          <w:szCs w:val="26"/>
        </w:rPr>
      </w:pPr>
      <w:r w:rsidRPr="00231940">
        <w:rPr>
          <w:sz w:val="26"/>
          <w:szCs w:val="26"/>
        </w:rPr>
        <w:t xml:space="preserve">Duquesne submits that its proposal continues to follow its long-term process of making default service rates for each group more market responsive over a series of default service plans.  The process has contributed to high levels of customer confidence in competitive markets and high levels of shopping in Duquesne’s service territory.  </w:t>
      </w:r>
      <w:r w:rsidR="00DF734F">
        <w:rPr>
          <w:sz w:val="26"/>
          <w:szCs w:val="26"/>
        </w:rPr>
        <w:t xml:space="preserve">According to Duquesne, </w:t>
      </w:r>
      <w:r w:rsidRPr="00231940">
        <w:rPr>
          <w:sz w:val="26"/>
          <w:szCs w:val="26"/>
        </w:rPr>
        <w:t xml:space="preserve">RESA’s proposal moves too quickly, and FES’s position </w:t>
      </w:r>
      <w:r w:rsidR="0094124C">
        <w:rPr>
          <w:sz w:val="26"/>
          <w:szCs w:val="26"/>
        </w:rPr>
        <w:t xml:space="preserve">moves in the wrong direction.  </w:t>
      </w:r>
      <w:r w:rsidR="009250CD">
        <w:rPr>
          <w:i/>
          <w:sz w:val="26"/>
          <w:szCs w:val="26"/>
        </w:rPr>
        <w:t xml:space="preserve">Id. </w:t>
      </w:r>
      <w:r w:rsidR="009250CD">
        <w:rPr>
          <w:sz w:val="26"/>
          <w:szCs w:val="26"/>
        </w:rPr>
        <w:t>at 10.</w:t>
      </w:r>
    </w:p>
    <w:p w:rsidR="00BF1061" w:rsidRDefault="00BF1061" w:rsidP="009250CD">
      <w:pPr>
        <w:pStyle w:val="BriefL3"/>
        <w:numPr>
          <w:ilvl w:val="0"/>
          <w:numId w:val="0"/>
        </w:numPr>
        <w:spacing w:after="0" w:line="360" w:lineRule="auto"/>
        <w:ind w:left="1800"/>
        <w:rPr>
          <w:b/>
          <w:sz w:val="26"/>
          <w:szCs w:val="26"/>
        </w:rPr>
      </w:pPr>
    </w:p>
    <w:p w:rsidR="00DF0A85" w:rsidRPr="0094124C" w:rsidRDefault="00DF0A85" w:rsidP="009250CD">
      <w:pPr>
        <w:pStyle w:val="BodyText2"/>
        <w:spacing w:after="0" w:line="360" w:lineRule="auto"/>
        <w:ind w:firstLine="1440"/>
        <w:rPr>
          <w:sz w:val="26"/>
          <w:szCs w:val="26"/>
        </w:rPr>
      </w:pPr>
      <w:r w:rsidRPr="00C44B39">
        <w:rPr>
          <w:sz w:val="26"/>
          <w:szCs w:val="26"/>
        </w:rPr>
        <w:t>In its Reply Exceptions</w:t>
      </w:r>
      <w:r w:rsidR="0094124C">
        <w:rPr>
          <w:sz w:val="26"/>
          <w:szCs w:val="26"/>
        </w:rPr>
        <w:t>,</w:t>
      </w:r>
      <w:r w:rsidRPr="00C44B39">
        <w:rPr>
          <w:sz w:val="26"/>
          <w:szCs w:val="26"/>
        </w:rPr>
        <w:t xml:space="preserve"> the OSBA argues that the ALJ correctly rejected RESA’</w:t>
      </w:r>
      <w:r w:rsidR="00C44B39" w:rsidRPr="00C44B39">
        <w:rPr>
          <w:sz w:val="26"/>
          <w:szCs w:val="26"/>
        </w:rPr>
        <w:t xml:space="preserve">s proposal to mandate a </w:t>
      </w:r>
      <w:r w:rsidRPr="00C44B39">
        <w:rPr>
          <w:sz w:val="26"/>
          <w:szCs w:val="26"/>
        </w:rPr>
        <w:t xml:space="preserve">Medium C&amp;I portfolio </w:t>
      </w:r>
      <w:r w:rsidR="00C44B39" w:rsidRPr="00C44B39">
        <w:rPr>
          <w:sz w:val="26"/>
          <w:szCs w:val="26"/>
        </w:rPr>
        <w:t>consisting of</w:t>
      </w:r>
      <w:r w:rsidR="0094124C">
        <w:rPr>
          <w:sz w:val="26"/>
          <w:szCs w:val="26"/>
        </w:rPr>
        <w:t xml:space="preserve"> solely of</w:t>
      </w:r>
      <w:r w:rsidRPr="00C44B39">
        <w:rPr>
          <w:sz w:val="26"/>
          <w:szCs w:val="26"/>
        </w:rPr>
        <w:t xml:space="preserve"> </w:t>
      </w:r>
      <w:r w:rsidR="009250CD">
        <w:rPr>
          <w:sz w:val="26"/>
          <w:szCs w:val="26"/>
        </w:rPr>
        <w:t>three</w:t>
      </w:r>
      <w:r w:rsidRPr="00C44B39">
        <w:rPr>
          <w:sz w:val="26"/>
          <w:szCs w:val="26"/>
        </w:rPr>
        <w:t xml:space="preserve">-month contracts. </w:t>
      </w:r>
      <w:r w:rsidR="0063417A">
        <w:rPr>
          <w:sz w:val="26"/>
          <w:szCs w:val="26"/>
        </w:rPr>
        <w:t xml:space="preserve"> </w:t>
      </w:r>
      <w:r w:rsidR="00C44B39" w:rsidRPr="00C44B39">
        <w:rPr>
          <w:sz w:val="26"/>
          <w:szCs w:val="26"/>
        </w:rPr>
        <w:t xml:space="preserve">The OSBA explains that </w:t>
      </w:r>
      <w:r w:rsidRPr="00C44B39">
        <w:rPr>
          <w:sz w:val="26"/>
          <w:szCs w:val="26"/>
        </w:rPr>
        <w:t>D</w:t>
      </w:r>
      <w:r w:rsidR="0094124C">
        <w:rPr>
          <w:sz w:val="26"/>
          <w:szCs w:val="26"/>
        </w:rPr>
        <w:t>uquesne proposed that Medium C&amp;I d</w:t>
      </w:r>
      <w:r w:rsidRPr="00C44B39">
        <w:rPr>
          <w:sz w:val="26"/>
          <w:szCs w:val="26"/>
        </w:rPr>
        <w:t>efault service rates would be reset twice per year and reconciled on an an</w:t>
      </w:r>
      <w:r w:rsidR="009250CD">
        <w:rPr>
          <w:sz w:val="26"/>
          <w:szCs w:val="26"/>
        </w:rPr>
        <w:t>nual basis and that a</w:t>
      </w:r>
      <w:r w:rsidRPr="00C44B39">
        <w:rPr>
          <w:sz w:val="26"/>
          <w:szCs w:val="26"/>
        </w:rPr>
        <w:t xml:space="preserve">ll Medium </w:t>
      </w:r>
      <w:r w:rsidRPr="00C44B39">
        <w:rPr>
          <w:sz w:val="26"/>
          <w:szCs w:val="26"/>
        </w:rPr>
        <w:lastRenderedPageBreak/>
        <w:t xml:space="preserve">C&amp;I default service supply would be </w:t>
      </w:r>
      <w:r w:rsidR="0094124C">
        <w:rPr>
          <w:sz w:val="26"/>
          <w:szCs w:val="26"/>
        </w:rPr>
        <w:t>provided via six-month contracts</w:t>
      </w:r>
      <w:r w:rsidRPr="00C44B39">
        <w:rPr>
          <w:sz w:val="26"/>
          <w:szCs w:val="26"/>
        </w:rPr>
        <w:t>.</w:t>
      </w:r>
      <w:r w:rsidRPr="00C44B39">
        <w:rPr>
          <w:rStyle w:val="FootnoteReference"/>
          <w:sz w:val="26"/>
          <w:szCs w:val="26"/>
        </w:rPr>
        <w:footnoteReference w:id="54"/>
      </w:r>
      <w:r w:rsidR="0094124C">
        <w:rPr>
          <w:sz w:val="26"/>
          <w:szCs w:val="26"/>
        </w:rPr>
        <w:t xml:space="preserve">  </w:t>
      </w:r>
      <w:r w:rsidR="00DE646A">
        <w:rPr>
          <w:sz w:val="26"/>
          <w:szCs w:val="26"/>
        </w:rPr>
        <w:t>Duquesne</w:t>
      </w:r>
      <w:r w:rsidRPr="00C44B39">
        <w:rPr>
          <w:sz w:val="26"/>
          <w:szCs w:val="26"/>
        </w:rPr>
        <w:t xml:space="preserve"> argued that Medium C&amp;I customers exhibit growing sophistication with regard to competitive options, as evidenced by the fact that EGSs are now providing 66% of the total Me</w:t>
      </w:r>
      <w:r w:rsidR="0094124C">
        <w:rPr>
          <w:sz w:val="26"/>
          <w:szCs w:val="26"/>
        </w:rPr>
        <w:t xml:space="preserve">dium C&amp;I load, and </w:t>
      </w:r>
      <w:r w:rsidRPr="00C44B39">
        <w:rPr>
          <w:sz w:val="26"/>
          <w:szCs w:val="26"/>
        </w:rPr>
        <w:t>that Medium C&amp;I customers do not require as much price stability in their default serv</w:t>
      </w:r>
      <w:r w:rsidR="009250CD">
        <w:rPr>
          <w:sz w:val="26"/>
          <w:szCs w:val="26"/>
        </w:rPr>
        <w:t>ice rates as they did under DSP</w:t>
      </w:r>
      <w:r w:rsidRPr="00C44B39">
        <w:rPr>
          <w:sz w:val="26"/>
          <w:szCs w:val="26"/>
        </w:rPr>
        <w:t xml:space="preserve"> V.  </w:t>
      </w:r>
      <w:r w:rsidR="009250CD">
        <w:rPr>
          <w:sz w:val="26"/>
          <w:szCs w:val="26"/>
        </w:rPr>
        <w:t xml:space="preserve">According to the OSBA, </w:t>
      </w:r>
      <w:r w:rsidRPr="00C44B39">
        <w:rPr>
          <w:sz w:val="26"/>
          <w:szCs w:val="26"/>
        </w:rPr>
        <w:t>the Company’s proposed modifications are intended to deemphasize price stability in favor of making Medium C&amp;I default service rates more reflective of current market prices.</w:t>
      </w:r>
      <w:r w:rsidRPr="00C44B39">
        <w:rPr>
          <w:rStyle w:val="FootnoteReference"/>
          <w:sz w:val="26"/>
          <w:szCs w:val="26"/>
        </w:rPr>
        <w:footnoteReference w:id="55"/>
      </w:r>
      <w:r w:rsidR="009250CD" w:rsidRPr="009250CD">
        <w:rPr>
          <w:sz w:val="26"/>
          <w:szCs w:val="26"/>
        </w:rPr>
        <w:t xml:space="preserve"> </w:t>
      </w:r>
      <w:r w:rsidR="009250CD">
        <w:rPr>
          <w:sz w:val="26"/>
          <w:szCs w:val="26"/>
        </w:rPr>
        <w:t xml:space="preserve">OSBA R.Exc. at 6-7.  </w:t>
      </w:r>
    </w:p>
    <w:p w:rsidR="00C44B39" w:rsidRDefault="00C44B39" w:rsidP="009250CD">
      <w:pPr>
        <w:pStyle w:val="BodyText2"/>
        <w:spacing w:after="0" w:line="360" w:lineRule="auto"/>
        <w:ind w:firstLine="1440"/>
        <w:rPr>
          <w:sz w:val="26"/>
          <w:szCs w:val="26"/>
        </w:rPr>
      </w:pPr>
    </w:p>
    <w:p w:rsidR="00DF0A85" w:rsidRPr="00C44B39" w:rsidRDefault="009250CD" w:rsidP="009250CD">
      <w:pPr>
        <w:pStyle w:val="BodyText2"/>
        <w:spacing w:after="0" w:line="360" w:lineRule="auto"/>
        <w:ind w:firstLine="1440"/>
        <w:rPr>
          <w:sz w:val="26"/>
          <w:szCs w:val="26"/>
        </w:rPr>
      </w:pPr>
      <w:r>
        <w:rPr>
          <w:sz w:val="26"/>
          <w:szCs w:val="26"/>
        </w:rPr>
        <w:t xml:space="preserve">The </w:t>
      </w:r>
      <w:r w:rsidR="00DF0A85" w:rsidRPr="00C44B39">
        <w:rPr>
          <w:sz w:val="26"/>
          <w:szCs w:val="26"/>
        </w:rPr>
        <w:t xml:space="preserve">OSBA </w:t>
      </w:r>
      <w:r>
        <w:rPr>
          <w:sz w:val="26"/>
          <w:szCs w:val="26"/>
        </w:rPr>
        <w:t>claims that</w:t>
      </w:r>
      <w:r w:rsidR="00DF0A85" w:rsidRPr="00C44B39">
        <w:rPr>
          <w:sz w:val="26"/>
          <w:szCs w:val="26"/>
        </w:rPr>
        <w:t xml:space="preserve"> the continued development of a competitive retail supply market in the Company’s service territory does not obviate the need for price stability for Duquesne’s Medium C&amp;I default service customers.  </w:t>
      </w:r>
      <w:r>
        <w:rPr>
          <w:sz w:val="26"/>
          <w:szCs w:val="26"/>
        </w:rPr>
        <w:t xml:space="preserve">The OSBA states that </w:t>
      </w:r>
      <w:r w:rsidR="00DF0A85" w:rsidRPr="00C44B39">
        <w:rPr>
          <w:sz w:val="26"/>
          <w:szCs w:val="26"/>
        </w:rPr>
        <w:t>as the retail market for electric supply matures, Medium C&amp;I customers may be expected to ha</w:t>
      </w:r>
      <w:r w:rsidR="0094124C">
        <w:rPr>
          <w:sz w:val="26"/>
          <w:szCs w:val="26"/>
        </w:rPr>
        <w:t xml:space="preserve">ve more alternatives to </w:t>
      </w:r>
      <w:r w:rsidR="00DF0A85" w:rsidRPr="00C44B39">
        <w:rPr>
          <w:sz w:val="26"/>
          <w:szCs w:val="26"/>
        </w:rPr>
        <w:t>default service, and therefore more opportunities to purcha</w:t>
      </w:r>
      <w:r>
        <w:rPr>
          <w:sz w:val="26"/>
          <w:szCs w:val="26"/>
        </w:rPr>
        <w:t>se energy at a longer term</w:t>
      </w:r>
      <w:r w:rsidR="00DF0A85" w:rsidRPr="00C44B39">
        <w:rPr>
          <w:sz w:val="26"/>
          <w:szCs w:val="26"/>
        </w:rPr>
        <w:t xml:space="preserve"> fixed rate, if desired.  However, </w:t>
      </w:r>
      <w:r>
        <w:rPr>
          <w:sz w:val="26"/>
          <w:szCs w:val="26"/>
        </w:rPr>
        <w:t xml:space="preserve">the </w:t>
      </w:r>
      <w:r w:rsidR="00DF0A85" w:rsidRPr="00C44B39">
        <w:rPr>
          <w:sz w:val="26"/>
          <w:szCs w:val="26"/>
        </w:rPr>
        <w:t xml:space="preserve">OSBA </w:t>
      </w:r>
      <w:r>
        <w:rPr>
          <w:sz w:val="26"/>
          <w:szCs w:val="26"/>
        </w:rPr>
        <w:t>notes that</w:t>
      </w:r>
      <w:r w:rsidR="0094124C">
        <w:rPr>
          <w:sz w:val="26"/>
          <w:szCs w:val="26"/>
        </w:rPr>
        <w:t xml:space="preserve"> some customers may </w:t>
      </w:r>
      <w:r w:rsidR="00DF0A85" w:rsidRPr="00C44B39">
        <w:rPr>
          <w:sz w:val="26"/>
          <w:szCs w:val="26"/>
        </w:rPr>
        <w:t xml:space="preserve">shop but end up staying with default service because they do not receive an attractive offer.  </w:t>
      </w:r>
      <w:r>
        <w:rPr>
          <w:sz w:val="26"/>
          <w:szCs w:val="26"/>
        </w:rPr>
        <w:t>The OSBA maintains that</w:t>
      </w:r>
      <w:r w:rsidR="00BA32AC">
        <w:rPr>
          <w:sz w:val="26"/>
          <w:szCs w:val="26"/>
        </w:rPr>
        <w:t>,</w:t>
      </w:r>
      <w:r>
        <w:rPr>
          <w:sz w:val="26"/>
          <w:szCs w:val="26"/>
        </w:rPr>
        <w:t xml:space="preserve"> w</w:t>
      </w:r>
      <w:r w:rsidR="00DF0A85" w:rsidRPr="00C44B39">
        <w:rPr>
          <w:sz w:val="26"/>
          <w:szCs w:val="26"/>
        </w:rPr>
        <w:t xml:space="preserve">hatever their reasons for not shopping with an alternative supplier, those customers that remain on default service should not be saddled with an unnecessarily volatile rate. </w:t>
      </w:r>
      <w:r>
        <w:rPr>
          <w:sz w:val="26"/>
          <w:szCs w:val="26"/>
        </w:rPr>
        <w:t xml:space="preserve"> </w:t>
      </w:r>
      <w:r>
        <w:rPr>
          <w:i/>
          <w:sz w:val="26"/>
          <w:szCs w:val="26"/>
        </w:rPr>
        <w:t>Id.</w:t>
      </w:r>
      <w:r>
        <w:rPr>
          <w:sz w:val="26"/>
          <w:szCs w:val="26"/>
        </w:rPr>
        <w:t xml:space="preserve"> at 7. </w:t>
      </w:r>
      <w:r w:rsidR="00DF0A85" w:rsidRPr="00C44B39">
        <w:rPr>
          <w:sz w:val="26"/>
          <w:szCs w:val="26"/>
        </w:rPr>
        <w:t xml:space="preserve"> </w:t>
      </w:r>
    </w:p>
    <w:p w:rsidR="00C44B39" w:rsidRDefault="00C44B39" w:rsidP="009250CD">
      <w:pPr>
        <w:pStyle w:val="BodyText2"/>
        <w:spacing w:after="0" w:line="360" w:lineRule="auto"/>
        <w:ind w:firstLine="1440"/>
        <w:rPr>
          <w:sz w:val="26"/>
          <w:szCs w:val="26"/>
        </w:rPr>
      </w:pPr>
    </w:p>
    <w:p w:rsidR="00DF0A85" w:rsidRPr="009250CD" w:rsidRDefault="0094124C" w:rsidP="009250CD">
      <w:pPr>
        <w:pStyle w:val="BodyText2"/>
        <w:spacing w:after="0" w:line="360" w:lineRule="auto"/>
        <w:ind w:firstLine="1440"/>
        <w:rPr>
          <w:sz w:val="26"/>
          <w:szCs w:val="26"/>
        </w:rPr>
      </w:pPr>
      <w:r>
        <w:rPr>
          <w:sz w:val="26"/>
          <w:szCs w:val="26"/>
        </w:rPr>
        <w:t>The OSBA submits that p</w:t>
      </w:r>
      <w:r w:rsidR="00DF0A85" w:rsidRPr="00C44B39">
        <w:rPr>
          <w:sz w:val="26"/>
          <w:szCs w:val="26"/>
        </w:rPr>
        <w:t>rice stability should remain an important consideration when designing a default service procurement plan.</w:t>
      </w:r>
      <w:r w:rsidR="00DF0A85" w:rsidRPr="00C44B39">
        <w:rPr>
          <w:rStyle w:val="FootnoteReference"/>
          <w:sz w:val="26"/>
          <w:szCs w:val="26"/>
        </w:rPr>
        <w:footnoteReference w:id="56"/>
      </w:r>
      <w:r w:rsidR="009250CD">
        <w:rPr>
          <w:sz w:val="26"/>
          <w:szCs w:val="26"/>
        </w:rPr>
        <w:t xml:space="preserve">  Duquesne’s proposal for DSP</w:t>
      </w:r>
      <w:r w:rsidR="00DF0A85" w:rsidRPr="00C44B39">
        <w:rPr>
          <w:sz w:val="26"/>
          <w:szCs w:val="26"/>
        </w:rPr>
        <w:t xml:space="preserve"> VI would have 100% of the default service supply for Medium C&amp;I customers turn over every six months beginning in December 2013.  Such a complete turnover </w:t>
      </w:r>
      <w:r w:rsidR="00DF0A85" w:rsidRPr="00C44B39">
        <w:rPr>
          <w:sz w:val="26"/>
          <w:szCs w:val="26"/>
        </w:rPr>
        <w:lastRenderedPageBreak/>
        <w:t>could lead to unreasonable default service price volatility, depending on the movement in market prices.</w:t>
      </w:r>
      <w:r w:rsidR="009250CD">
        <w:rPr>
          <w:sz w:val="26"/>
          <w:szCs w:val="26"/>
        </w:rPr>
        <w:t xml:space="preserve">  </w:t>
      </w:r>
      <w:r w:rsidR="009250CD">
        <w:rPr>
          <w:i/>
          <w:sz w:val="26"/>
          <w:szCs w:val="26"/>
        </w:rPr>
        <w:t>Id</w:t>
      </w:r>
      <w:r w:rsidR="009250CD">
        <w:rPr>
          <w:sz w:val="26"/>
          <w:szCs w:val="26"/>
        </w:rPr>
        <w:t xml:space="preserve"> at 7-8.</w:t>
      </w:r>
    </w:p>
    <w:p w:rsidR="00C44B39" w:rsidRDefault="00C44B39" w:rsidP="009250CD">
      <w:pPr>
        <w:pStyle w:val="BodyText2"/>
        <w:spacing w:after="0" w:line="360" w:lineRule="auto"/>
        <w:ind w:firstLine="1440"/>
        <w:rPr>
          <w:sz w:val="26"/>
          <w:szCs w:val="26"/>
        </w:rPr>
      </w:pPr>
    </w:p>
    <w:p w:rsidR="00C44B39" w:rsidRPr="009250CD" w:rsidRDefault="00DF0A85" w:rsidP="0098786F">
      <w:pPr>
        <w:pStyle w:val="BodyText2"/>
        <w:spacing w:after="0" w:line="360" w:lineRule="auto"/>
        <w:ind w:firstLine="1440"/>
        <w:rPr>
          <w:sz w:val="26"/>
          <w:szCs w:val="26"/>
        </w:rPr>
      </w:pPr>
      <w:r w:rsidRPr="00C44B39">
        <w:rPr>
          <w:sz w:val="26"/>
          <w:szCs w:val="26"/>
        </w:rPr>
        <w:t>As an alternative, the OSBA recommended a compromise in which D</w:t>
      </w:r>
      <w:r w:rsidR="009250CD">
        <w:rPr>
          <w:sz w:val="26"/>
          <w:szCs w:val="26"/>
        </w:rPr>
        <w:t>uquesne would utilize one-year, non-laddered</w:t>
      </w:r>
      <w:r w:rsidRPr="00C44B39">
        <w:rPr>
          <w:sz w:val="26"/>
          <w:szCs w:val="26"/>
        </w:rPr>
        <w:t xml:space="preserve"> contracts to acquire 100% of the Medium C&amp;I default service supply.  This approach is similar to the p</w:t>
      </w:r>
      <w:r w:rsidR="009250CD">
        <w:rPr>
          <w:sz w:val="26"/>
          <w:szCs w:val="26"/>
        </w:rPr>
        <w:t xml:space="preserve">rocurement plan approved in DSP </w:t>
      </w:r>
      <w:r w:rsidRPr="00C44B39">
        <w:rPr>
          <w:sz w:val="26"/>
          <w:szCs w:val="26"/>
        </w:rPr>
        <w:t>V, except for the elimination of laddered contracts.  Under the OSBA’s alternative proposal, all procurements generally should take place no more than two months prior to delivery of the default supply, just as under Duquesne’s proposal.</w:t>
      </w:r>
      <w:r w:rsidR="009250CD">
        <w:rPr>
          <w:sz w:val="26"/>
          <w:szCs w:val="26"/>
        </w:rPr>
        <w:t xml:space="preserve">  </w:t>
      </w:r>
      <w:r w:rsidR="009250CD">
        <w:rPr>
          <w:i/>
          <w:sz w:val="26"/>
          <w:szCs w:val="26"/>
        </w:rPr>
        <w:t xml:space="preserve">Id. </w:t>
      </w:r>
      <w:r w:rsidR="009250CD">
        <w:rPr>
          <w:sz w:val="26"/>
          <w:szCs w:val="26"/>
        </w:rPr>
        <w:t>at 8.</w:t>
      </w:r>
    </w:p>
    <w:p w:rsidR="003E2F24" w:rsidRPr="003E2F24" w:rsidRDefault="003E2F24" w:rsidP="0098786F">
      <w:pPr>
        <w:pStyle w:val="BodyText2"/>
        <w:spacing w:after="0" w:line="360" w:lineRule="auto"/>
        <w:ind w:firstLine="1440"/>
        <w:rPr>
          <w:sz w:val="26"/>
          <w:szCs w:val="26"/>
        </w:rPr>
      </w:pPr>
    </w:p>
    <w:p w:rsidR="00256D10" w:rsidRPr="006D1808" w:rsidRDefault="00256D10" w:rsidP="00A55A51">
      <w:pPr>
        <w:pStyle w:val="BodyText2"/>
        <w:spacing w:after="0" w:line="360" w:lineRule="auto"/>
        <w:ind w:firstLine="1440"/>
        <w:rPr>
          <w:sz w:val="26"/>
          <w:szCs w:val="26"/>
        </w:rPr>
      </w:pPr>
      <w:r w:rsidRPr="006D1808">
        <w:rPr>
          <w:sz w:val="26"/>
          <w:szCs w:val="26"/>
        </w:rPr>
        <w:t>In its Reply Exceptions, RESA argues that FES’s Exception, which advocates adoption of the OSBA’s proposed procurement plan for Medium C&amp;I cu</w:t>
      </w:r>
      <w:r w:rsidR="00221FE9">
        <w:rPr>
          <w:sz w:val="26"/>
          <w:szCs w:val="26"/>
        </w:rPr>
        <w:t xml:space="preserve">stomers, should be denied.  </w:t>
      </w:r>
      <w:r w:rsidR="006F356E">
        <w:rPr>
          <w:sz w:val="26"/>
          <w:szCs w:val="26"/>
        </w:rPr>
        <w:t xml:space="preserve">According to RESA, </w:t>
      </w:r>
      <w:r w:rsidR="006D1808" w:rsidRPr="006D1808">
        <w:rPr>
          <w:sz w:val="26"/>
          <w:szCs w:val="26"/>
        </w:rPr>
        <w:t xml:space="preserve">the </w:t>
      </w:r>
      <w:r w:rsidRPr="006D1808">
        <w:rPr>
          <w:sz w:val="26"/>
          <w:szCs w:val="26"/>
        </w:rPr>
        <w:t>OSBA’s p</w:t>
      </w:r>
      <w:r w:rsidR="006D1808" w:rsidRPr="006D1808">
        <w:rPr>
          <w:sz w:val="26"/>
          <w:szCs w:val="26"/>
        </w:rPr>
        <w:t>roposal for M</w:t>
      </w:r>
      <w:r w:rsidRPr="006D1808">
        <w:rPr>
          <w:sz w:val="26"/>
          <w:szCs w:val="26"/>
        </w:rPr>
        <w:t xml:space="preserve">edium C&amp;I load </w:t>
      </w:r>
      <w:r w:rsidR="006D1808" w:rsidRPr="006D1808">
        <w:rPr>
          <w:sz w:val="26"/>
          <w:szCs w:val="26"/>
        </w:rPr>
        <w:t xml:space="preserve">would </w:t>
      </w:r>
      <w:r w:rsidR="00221FE9">
        <w:rPr>
          <w:sz w:val="26"/>
          <w:szCs w:val="26"/>
        </w:rPr>
        <w:t>represent a step backward</w:t>
      </w:r>
      <w:r w:rsidR="006D1808" w:rsidRPr="006D1808">
        <w:rPr>
          <w:sz w:val="26"/>
          <w:szCs w:val="26"/>
        </w:rPr>
        <w:t xml:space="preserve"> from</w:t>
      </w:r>
      <w:r w:rsidRPr="006D1808">
        <w:rPr>
          <w:sz w:val="26"/>
          <w:szCs w:val="26"/>
        </w:rPr>
        <w:t xml:space="preserve"> the de</w:t>
      </w:r>
      <w:r w:rsidR="006D1808" w:rsidRPr="006D1808">
        <w:rPr>
          <w:sz w:val="26"/>
          <w:szCs w:val="26"/>
        </w:rPr>
        <w:t xml:space="preserve">velopment of </w:t>
      </w:r>
      <w:r w:rsidRPr="006D1808">
        <w:rPr>
          <w:sz w:val="26"/>
          <w:szCs w:val="26"/>
        </w:rPr>
        <w:t>com</w:t>
      </w:r>
      <w:r w:rsidR="006D1808" w:rsidRPr="006D1808">
        <w:rPr>
          <w:sz w:val="26"/>
          <w:szCs w:val="26"/>
        </w:rPr>
        <w:t>petitive retail markets and would</w:t>
      </w:r>
      <w:r w:rsidRPr="006D1808">
        <w:rPr>
          <w:sz w:val="26"/>
          <w:szCs w:val="26"/>
        </w:rPr>
        <w:t xml:space="preserve"> result in default service rates that are </w:t>
      </w:r>
      <w:r w:rsidRPr="006D1808">
        <w:rPr>
          <w:i/>
          <w:sz w:val="26"/>
          <w:szCs w:val="26"/>
        </w:rPr>
        <w:t xml:space="preserve">less </w:t>
      </w:r>
      <w:r w:rsidRPr="006D1808">
        <w:rPr>
          <w:sz w:val="26"/>
          <w:szCs w:val="26"/>
        </w:rPr>
        <w:t>market reflective th</w:t>
      </w:r>
      <w:r w:rsidR="006F356E">
        <w:rPr>
          <w:sz w:val="26"/>
          <w:szCs w:val="26"/>
        </w:rPr>
        <w:t>an those proposed by Duquesne (six</w:t>
      </w:r>
      <w:r w:rsidRPr="006D1808">
        <w:rPr>
          <w:sz w:val="26"/>
          <w:szCs w:val="26"/>
        </w:rPr>
        <w:t>-month contracts/PTC adj</w:t>
      </w:r>
      <w:r w:rsidR="00221FE9">
        <w:rPr>
          <w:sz w:val="26"/>
          <w:szCs w:val="26"/>
        </w:rPr>
        <w:t>ustments)</w:t>
      </w:r>
      <w:r w:rsidRPr="006D1808">
        <w:rPr>
          <w:sz w:val="26"/>
          <w:szCs w:val="26"/>
        </w:rPr>
        <w:t>.</w:t>
      </w:r>
      <w:r w:rsidRPr="006D1808">
        <w:rPr>
          <w:sz w:val="26"/>
          <w:szCs w:val="26"/>
          <w:vertAlign w:val="superscript"/>
        </w:rPr>
        <w:footnoteReference w:id="57"/>
      </w:r>
      <w:r w:rsidRPr="006D1808">
        <w:rPr>
          <w:sz w:val="26"/>
          <w:szCs w:val="26"/>
        </w:rPr>
        <w:t xml:space="preserve">  </w:t>
      </w:r>
      <w:r w:rsidR="006D1808" w:rsidRPr="006D1808">
        <w:rPr>
          <w:sz w:val="26"/>
          <w:szCs w:val="26"/>
        </w:rPr>
        <w:t xml:space="preserve"> The only </w:t>
      </w:r>
      <w:r w:rsidRPr="006D1808">
        <w:rPr>
          <w:sz w:val="26"/>
          <w:szCs w:val="26"/>
        </w:rPr>
        <w:t xml:space="preserve">difference between </w:t>
      </w:r>
      <w:r w:rsidR="006D1808" w:rsidRPr="006D1808">
        <w:rPr>
          <w:sz w:val="26"/>
          <w:szCs w:val="26"/>
        </w:rPr>
        <w:t xml:space="preserve">the OSBA’s proposal </w:t>
      </w:r>
      <w:r w:rsidRPr="006D1808">
        <w:rPr>
          <w:sz w:val="26"/>
          <w:szCs w:val="26"/>
        </w:rPr>
        <w:t>and the current DSP is tha</w:t>
      </w:r>
      <w:r w:rsidR="006F356E">
        <w:rPr>
          <w:sz w:val="26"/>
          <w:szCs w:val="26"/>
        </w:rPr>
        <w:t>t, under the current DSP, the twelve</w:t>
      </w:r>
      <w:r w:rsidRPr="006D1808">
        <w:rPr>
          <w:sz w:val="26"/>
          <w:szCs w:val="26"/>
        </w:rPr>
        <w:t>-month con</w:t>
      </w:r>
      <w:r w:rsidR="006D1808" w:rsidRPr="006D1808">
        <w:rPr>
          <w:sz w:val="26"/>
          <w:szCs w:val="26"/>
        </w:rPr>
        <w:t>tracts are laddered, whereas under</w:t>
      </w:r>
      <w:r w:rsidRPr="006D1808">
        <w:rPr>
          <w:sz w:val="26"/>
          <w:szCs w:val="26"/>
        </w:rPr>
        <w:t xml:space="preserve"> </w:t>
      </w:r>
      <w:r w:rsidR="006D1808" w:rsidRPr="006D1808">
        <w:rPr>
          <w:sz w:val="26"/>
          <w:szCs w:val="26"/>
        </w:rPr>
        <w:t xml:space="preserve">the </w:t>
      </w:r>
      <w:r w:rsidRPr="006D1808">
        <w:rPr>
          <w:sz w:val="26"/>
          <w:szCs w:val="26"/>
        </w:rPr>
        <w:t>OSBA’s proposal they would not be laddered.</w:t>
      </w:r>
      <w:r w:rsidRPr="006D1808">
        <w:rPr>
          <w:sz w:val="26"/>
          <w:szCs w:val="26"/>
          <w:vertAlign w:val="superscript"/>
        </w:rPr>
        <w:footnoteReference w:id="58"/>
      </w:r>
      <w:r w:rsidRPr="006D1808">
        <w:rPr>
          <w:sz w:val="26"/>
          <w:szCs w:val="26"/>
        </w:rPr>
        <w:t xml:space="preserve">   In fact, under </w:t>
      </w:r>
      <w:r w:rsidR="006D1808" w:rsidRPr="006D1808">
        <w:rPr>
          <w:sz w:val="26"/>
          <w:szCs w:val="26"/>
        </w:rPr>
        <w:t xml:space="preserve">the </w:t>
      </w:r>
      <w:r w:rsidRPr="006D1808">
        <w:rPr>
          <w:sz w:val="26"/>
          <w:szCs w:val="26"/>
        </w:rPr>
        <w:t>OSBA’</w:t>
      </w:r>
      <w:r w:rsidR="006D1808" w:rsidRPr="006D1808">
        <w:rPr>
          <w:sz w:val="26"/>
          <w:szCs w:val="26"/>
        </w:rPr>
        <w:t xml:space="preserve">s proposal, the Medium C&amp;I </w:t>
      </w:r>
      <w:r w:rsidRPr="006D1808">
        <w:rPr>
          <w:sz w:val="26"/>
          <w:szCs w:val="26"/>
        </w:rPr>
        <w:t>contrac</w:t>
      </w:r>
      <w:r w:rsidR="006D1808" w:rsidRPr="006D1808">
        <w:rPr>
          <w:sz w:val="26"/>
          <w:szCs w:val="26"/>
        </w:rPr>
        <w:t>t durations and PTC adjustments would be the same as th</w:t>
      </w:r>
      <w:r w:rsidR="00221FE9">
        <w:rPr>
          <w:sz w:val="26"/>
          <w:szCs w:val="26"/>
        </w:rPr>
        <w:t xml:space="preserve">ose </w:t>
      </w:r>
      <w:r w:rsidR="006D1808" w:rsidRPr="006D1808">
        <w:rPr>
          <w:sz w:val="26"/>
          <w:szCs w:val="26"/>
        </w:rPr>
        <w:t xml:space="preserve">proposed for </w:t>
      </w:r>
      <w:r w:rsidR="006F356E">
        <w:rPr>
          <w:sz w:val="26"/>
          <w:szCs w:val="26"/>
        </w:rPr>
        <w:t>r</w:t>
      </w:r>
      <w:r w:rsidRPr="006D1808">
        <w:rPr>
          <w:sz w:val="26"/>
          <w:szCs w:val="26"/>
        </w:rPr>
        <w:t>esidential customers.</w:t>
      </w:r>
      <w:r w:rsidRPr="006D1808">
        <w:rPr>
          <w:sz w:val="26"/>
          <w:szCs w:val="26"/>
          <w:vertAlign w:val="superscript"/>
        </w:rPr>
        <w:footnoteReference w:id="59"/>
      </w:r>
      <w:r w:rsidR="006D1808" w:rsidRPr="006D1808">
        <w:rPr>
          <w:sz w:val="26"/>
          <w:szCs w:val="26"/>
        </w:rPr>
        <w:t xml:space="preserve">  </w:t>
      </w:r>
      <w:r w:rsidR="006F356E">
        <w:rPr>
          <w:sz w:val="26"/>
          <w:szCs w:val="26"/>
        </w:rPr>
        <w:t xml:space="preserve">RESA R.Exc. at 7-8.  </w:t>
      </w:r>
    </w:p>
    <w:p w:rsidR="00DF0A85" w:rsidRPr="006D1808" w:rsidRDefault="00DF0A85" w:rsidP="00A55A51">
      <w:pPr>
        <w:pStyle w:val="BriefL3"/>
        <w:numPr>
          <w:ilvl w:val="0"/>
          <w:numId w:val="0"/>
        </w:numPr>
        <w:spacing w:after="0" w:line="360" w:lineRule="auto"/>
        <w:ind w:left="1800"/>
        <w:rPr>
          <w:b/>
          <w:sz w:val="26"/>
          <w:szCs w:val="26"/>
        </w:rPr>
      </w:pPr>
    </w:p>
    <w:p w:rsidR="00BF1061" w:rsidRDefault="00BF1061" w:rsidP="0031198B">
      <w:pPr>
        <w:pStyle w:val="BodyTextFirstLine5DS"/>
        <w:spacing w:line="360" w:lineRule="auto"/>
        <w:ind w:firstLine="1440"/>
        <w:jc w:val="left"/>
        <w:rPr>
          <w:sz w:val="26"/>
          <w:szCs w:val="26"/>
        </w:rPr>
      </w:pPr>
      <w:r w:rsidRPr="00BF1061">
        <w:rPr>
          <w:sz w:val="26"/>
          <w:szCs w:val="26"/>
        </w:rPr>
        <w:t>In its Reply Exceptions, FES argues that the ALJ correctly rejected RESA’s proposal to replace Duquesn</w:t>
      </w:r>
      <w:r w:rsidR="00A55A51">
        <w:rPr>
          <w:sz w:val="26"/>
          <w:szCs w:val="26"/>
        </w:rPr>
        <w:t xml:space="preserve">e’s proposed portfolio of 100% six-month contracts with </w:t>
      </w:r>
      <w:r w:rsidR="00A55A51">
        <w:rPr>
          <w:sz w:val="26"/>
          <w:szCs w:val="26"/>
        </w:rPr>
        <w:lastRenderedPageBreak/>
        <w:t>100% three</w:t>
      </w:r>
      <w:r w:rsidRPr="00BF1061">
        <w:rPr>
          <w:sz w:val="26"/>
          <w:szCs w:val="26"/>
        </w:rPr>
        <w:t>-month contracts.  FES supports the OSBA's proposal that Medium C&amp;I customer d</w:t>
      </w:r>
      <w:r w:rsidR="00A55A51">
        <w:rPr>
          <w:sz w:val="26"/>
          <w:szCs w:val="26"/>
        </w:rPr>
        <w:t>efault supply be obtained via twelve</w:t>
      </w:r>
      <w:r w:rsidRPr="00BF1061">
        <w:rPr>
          <w:sz w:val="26"/>
          <w:szCs w:val="26"/>
        </w:rPr>
        <w:t>-mo</w:t>
      </w:r>
      <w:r w:rsidR="007651AE">
        <w:rPr>
          <w:sz w:val="26"/>
          <w:szCs w:val="26"/>
        </w:rPr>
        <w:t>nth, non-laddered, FRC</w:t>
      </w:r>
      <w:r w:rsidRPr="00BF1061">
        <w:rPr>
          <w:sz w:val="26"/>
          <w:szCs w:val="26"/>
        </w:rPr>
        <w:t xml:space="preserve">s.  OSBA St. 1 at 6.  </w:t>
      </w:r>
      <w:r w:rsidR="00A55A51">
        <w:rPr>
          <w:sz w:val="26"/>
          <w:szCs w:val="26"/>
        </w:rPr>
        <w:t>FES asserts that t</w:t>
      </w:r>
      <w:r w:rsidRPr="00BF1061">
        <w:rPr>
          <w:sz w:val="26"/>
          <w:szCs w:val="26"/>
        </w:rPr>
        <w:t>he OSBA's procurement strategy would be similar to t</w:t>
      </w:r>
      <w:r w:rsidR="00A55A51">
        <w:rPr>
          <w:sz w:val="26"/>
          <w:szCs w:val="26"/>
        </w:rPr>
        <w:t>hat utilized by Duquesne in DSP</w:t>
      </w:r>
      <w:r w:rsidRPr="00BF1061">
        <w:rPr>
          <w:sz w:val="26"/>
          <w:szCs w:val="26"/>
        </w:rPr>
        <w:t xml:space="preserve"> V, but would eliminate laddering of contracts, and would result in greater price stability for those Medium C&amp;I customers that choose to take default service than would Duquesne's proposal.  </w:t>
      </w:r>
      <w:r w:rsidR="00A55A51">
        <w:rPr>
          <w:sz w:val="26"/>
          <w:szCs w:val="26"/>
        </w:rPr>
        <w:t>FES opines that t</w:t>
      </w:r>
      <w:r w:rsidRPr="00BF1061">
        <w:rPr>
          <w:sz w:val="26"/>
          <w:szCs w:val="26"/>
        </w:rPr>
        <w:t>he OSBA’s proposal also would be more market-reflect</w:t>
      </w:r>
      <w:r w:rsidR="00A55A51">
        <w:rPr>
          <w:sz w:val="26"/>
          <w:szCs w:val="26"/>
        </w:rPr>
        <w:t>ive than Duquesne's current DSP</w:t>
      </w:r>
      <w:r w:rsidRPr="00BF1061">
        <w:rPr>
          <w:sz w:val="26"/>
          <w:szCs w:val="26"/>
        </w:rPr>
        <w:t xml:space="preserve"> V procurement strategy.</w:t>
      </w:r>
      <w:r w:rsidR="00A55A51" w:rsidRPr="00A55A51">
        <w:rPr>
          <w:sz w:val="26"/>
          <w:szCs w:val="26"/>
        </w:rPr>
        <w:t xml:space="preserve"> </w:t>
      </w:r>
      <w:r w:rsidR="00A55A51">
        <w:rPr>
          <w:sz w:val="26"/>
          <w:szCs w:val="26"/>
        </w:rPr>
        <w:t xml:space="preserve"> FES R.Exc. at 13-14.  </w:t>
      </w:r>
    </w:p>
    <w:p w:rsidR="00BF1061" w:rsidRPr="00BF1061" w:rsidRDefault="00BF1061" w:rsidP="0031198B">
      <w:pPr>
        <w:pStyle w:val="BodyTextFirstLine5DS"/>
        <w:spacing w:line="360" w:lineRule="auto"/>
        <w:ind w:firstLine="1440"/>
        <w:jc w:val="left"/>
        <w:rPr>
          <w:sz w:val="26"/>
          <w:szCs w:val="26"/>
        </w:rPr>
      </w:pPr>
    </w:p>
    <w:p w:rsidR="00BF1061" w:rsidRPr="0031198B" w:rsidRDefault="00221FE9" w:rsidP="00BF1061">
      <w:pPr>
        <w:pStyle w:val="BodyTextFirstLine5DS"/>
        <w:spacing w:line="360" w:lineRule="auto"/>
        <w:ind w:firstLine="1440"/>
        <w:jc w:val="left"/>
        <w:rPr>
          <w:sz w:val="26"/>
          <w:szCs w:val="26"/>
        </w:rPr>
      </w:pPr>
      <w:r>
        <w:rPr>
          <w:sz w:val="26"/>
          <w:szCs w:val="26"/>
        </w:rPr>
        <w:t xml:space="preserve">FES argues that </w:t>
      </w:r>
      <w:r w:rsidR="00BF1061" w:rsidRPr="00BF1061">
        <w:rPr>
          <w:sz w:val="26"/>
          <w:szCs w:val="26"/>
        </w:rPr>
        <w:t>RESA's proposal would not allow a reasonable transition to end</w:t>
      </w:r>
      <w:r w:rsidR="00BA32AC">
        <w:rPr>
          <w:sz w:val="26"/>
          <w:szCs w:val="26"/>
        </w:rPr>
        <w:t>-</w:t>
      </w:r>
      <w:r w:rsidR="00BF1061" w:rsidRPr="00BF1061">
        <w:rPr>
          <w:sz w:val="26"/>
          <w:szCs w:val="26"/>
        </w:rPr>
        <w:t xml:space="preserve">state default service for the smallest customers in Duquesne's Medium C&amp;I class and should be rejected.  While the Medium C&amp;I class includes customers with peak demands less than 300 kW, it also includes customers with peak demands as low as 25 kW.  Again, </w:t>
      </w:r>
      <w:r w:rsidR="00A55A51">
        <w:rPr>
          <w:sz w:val="26"/>
          <w:szCs w:val="26"/>
        </w:rPr>
        <w:t xml:space="preserve">FES argues that </w:t>
      </w:r>
      <w:r w:rsidR="00BF1061" w:rsidRPr="00BF1061">
        <w:rPr>
          <w:sz w:val="26"/>
          <w:szCs w:val="26"/>
        </w:rPr>
        <w:t>these smaller customers, as well as the retail marketers who compete to serve them, will benefit from a measure of stability that RESA's proposal does</w:t>
      </w:r>
      <w:r w:rsidR="00A55A51">
        <w:rPr>
          <w:sz w:val="26"/>
          <w:szCs w:val="26"/>
        </w:rPr>
        <w:t xml:space="preserve"> not afford.  According to FES, </w:t>
      </w:r>
      <w:r w:rsidR="00BF1061" w:rsidRPr="00BF1061">
        <w:rPr>
          <w:sz w:val="26"/>
          <w:szCs w:val="26"/>
        </w:rPr>
        <w:t>RES</w:t>
      </w:r>
      <w:r w:rsidR="00A55A51">
        <w:rPr>
          <w:sz w:val="26"/>
          <w:szCs w:val="26"/>
        </w:rPr>
        <w:t>A's proposed portfolio of 100% three</w:t>
      </w:r>
      <w:r w:rsidR="00BF1061" w:rsidRPr="00BF1061">
        <w:rPr>
          <w:sz w:val="26"/>
          <w:szCs w:val="26"/>
        </w:rPr>
        <w:t xml:space="preserve">-month contracts would implement the </w:t>
      </w:r>
      <w:r w:rsidRPr="00221FE9">
        <w:rPr>
          <w:i/>
          <w:sz w:val="26"/>
          <w:szCs w:val="26"/>
        </w:rPr>
        <w:t xml:space="preserve">End-State </w:t>
      </w:r>
      <w:r w:rsidR="00BF1061" w:rsidRPr="00221FE9">
        <w:rPr>
          <w:i/>
          <w:sz w:val="26"/>
          <w:szCs w:val="26"/>
        </w:rPr>
        <w:t>Tentative Order</w:t>
      </w:r>
      <w:r w:rsidR="00BF1061" w:rsidRPr="00BF1061">
        <w:rPr>
          <w:sz w:val="26"/>
          <w:szCs w:val="26"/>
        </w:rPr>
        <w:t xml:space="preserve"> pro</w:t>
      </w:r>
      <w:r>
        <w:rPr>
          <w:sz w:val="26"/>
          <w:szCs w:val="26"/>
        </w:rPr>
        <w:t xml:space="preserve">posed </w:t>
      </w:r>
      <w:r w:rsidR="00BF1061" w:rsidRPr="00BF1061">
        <w:rPr>
          <w:sz w:val="26"/>
          <w:szCs w:val="26"/>
        </w:rPr>
        <w:t xml:space="preserve">paradigm for customers between 25 kW and 99 kW, without any transition period or vital customer education.  </w:t>
      </w:r>
      <w:r w:rsidR="00A55A51">
        <w:rPr>
          <w:sz w:val="26"/>
          <w:szCs w:val="26"/>
        </w:rPr>
        <w:t>FE</w:t>
      </w:r>
      <w:r w:rsidR="00BA32AC">
        <w:rPr>
          <w:sz w:val="26"/>
          <w:szCs w:val="26"/>
        </w:rPr>
        <w:t>S</w:t>
      </w:r>
      <w:r w:rsidR="00A55A51">
        <w:rPr>
          <w:sz w:val="26"/>
          <w:szCs w:val="26"/>
        </w:rPr>
        <w:t xml:space="preserve"> asserts that t</w:t>
      </w:r>
      <w:r w:rsidR="00BF1061" w:rsidRPr="00BF1061">
        <w:rPr>
          <w:sz w:val="26"/>
          <w:szCs w:val="26"/>
        </w:rPr>
        <w:t>he evidence demonstrates that the relative pr</w:t>
      </w:r>
      <w:r w:rsidR="00A55A51">
        <w:rPr>
          <w:sz w:val="26"/>
          <w:szCs w:val="26"/>
        </w:rPr>
        <w:t>ice stability of Duquesne's DSP</w:t>
      </w:r>
      <w:r w:rsidR="00BF1061" w:rsidRPr="00BF1061">
        <w:rPr>
          <w:sz w:val="26"/>
          <w:szCs w:val="26"/>
        </w:rPr>
        <w:t xml:space="preserve"> V plan has presented no bar to shopping, as Medium C&amp;I customer switching increased from 45% to 57% ov</w:t>
      </w:r>
      <w:r w:rsidR="00A55A51">
        <w:rPr>
          <w:sz w:val="26"/>
          <w:szCs w:val="26"/>
        </w:rPr>
        <w:t>er the course of Duquesne's DSP</w:t>
      </w:r>
      <w:r w:rsidR="00BF1061" w:rsidRPr="00BF1061">
        <w:rPr>
          <w:sz w:val="26"/>
          <w:szCs w:val="26"/>
        </w:rPr>
        <w:t xml:space="preserve"> V program.  </w:t>
      </w:r>
      <w:r w:rsidR="0031198B">
        <w:rPr>
          <w:i/>
          <w:sz w:val="26"/>
          <w:szCs w:val="26"/>
        </w:rPr>
        <w:t>Id.</w:t>
      </w:r>
      <w:r w:rsidR="0031198B">
        <w:rPr>
          <w:sz w:val="26"/>
          <w:szCs w:val="26"/>
        </w:rPr>
        <w:t xml:space="preserve"> at 14.</w:t>
      </w:r>
    </w:p>
    <w:p w:rsidR="00135904" w:rsidRDefault="00135904" w:rsidP="00A31E89">
      <w:pPr>
        <w:pStyle w:val="BriefL3"/>
        <w:numPr>
          <w:ilvl w:val="0"/>
          <w:numId w:val="0"/>
        </w:numPr>
        <w:spacing w:after="0" w:line="360" w:lineRule="auto"/>
        <w:ind w:left="720" w:firstLine="720"/>
        <w:rPr>
          <w:b/>
          <w:sz w:val="26"/>
          <w:szCs w:val="26"/>
        </w:rPr>
      </w:pPr>
    </w:p>
    <w:p w:rsidR="006D4D99" w:rsidRDefault="00A31E89" w:rsidP="00115AB3">
      <w:pPr>
        <w:pStyle w:val="Heading4"/>
        <w:numPr>
          <w:ilvl w:val="0"/>
          <w:numId w:val="0"/>
        </w:numPr>
        <w:ind w:left="2880" w:hanging="720"/>
      </w:pPr>
      <w:bookmarkStart w:id="51" w:name="_Toc346705293"/>
      <w:r w:rsidRPr="00EE5722">
        <w:t>f</w:t>
      </w:r>
      <w:r w:rsidR="00BB6494">
        <w:t>.</w:t>
      </w:r>
      <w:r w:rsidR="00BB6494">
        <w:tab/>
        <w:t>Disposition</w:t>
      </w:r>
      <w:bookmarkEnd w:id="51"/>
    </w:p>
    <w:p w:rsidR="00647248" w:rsidRPr="00EE5722" w:rsidRDefault="00647248" w:rsidP="00221FE9">
      <w:pPr>
        <w:pStyle w:val="BriefL3"/>
        <w:numPr>
          <w:ilvl w:val="0"/>
          <w:numId w:val="0"/>
        </w:numPr>
        <w:spacing w:after="0" w:line="360" w:lineRule="auto"/>
        <w:ind w:left="1440" w:firstLine="720"/>
        <w:rPr>
          <w:b/>
          <w:sz w:val="26"/>
          <w:szCs w:val="26"/>
        </w:rPr>
      </w:pPr>
    </w:p>
    <w:p w:rsidR="001F0BD8" w:rsidRDefault="00647248" w:rsidP="002532B0">
      <w:pPr>
        <w:pStyle w:val="BodyText"/>
        <w:spacing w:after="0" w:line="360" w:lineRule="auto"/>
        <w:ind w:left="0"/>
        <w:rPr>
          <w:sz w:val="26"/>
          <w:szCs w:val="26"/>
          <w:lang w:val="en-US"/>
        </w:rPr>
      </w:pPr>
      <w:r>
        <w:rPr>
          <w:sz w:val="26"/>
          <w:szCs w:val="26"/>
        </w:rPr>
        <w:t xml:space="preserve">We are in agreement with Duquesne’s proposal to utilize full requirements contracts with six-month terms, without laddering, to obtain default service supply for Medium C&amp;I customers.  We support the recommendation of the ALJ to adopt Duquesne’s proposal as it represents a more market responsive DSP plan than that which currently is in place.  We reject the OSBA’s proposal, which was advocated by FES in its </w:t>
      </w:r>
      <w:r>
        <w:rPr>
          <w:sz w:val="26"/>
          <w:szCs w:val="26"/>
        </w:rPr>
        <w:lastRenderedPageBreak/>
        <w:t>Exceptions, as it represents a step backward in the development of more market responsive pricing.  We also reject RESA’s proposal for quarterly procurements, which in our vi</w:t>
      </w:r>
      <w:r w:rsidR="00DB485C">
        <w:rPr>
          <w:sz w:val="26"/>
          <w:szCs w:val="26"/>
        </w:rPr>
        <w:t>ew is premature</w:t>
      </w:r>
      <w:r>
        <w:rPr>
          <w:sz w:val="26"/>
          <w:szCs w:val="26"/>
        </w:rPr>
        <w:t xml:space="preserve">.  </w:t>
      </w:r>
    </w:p>
    <w:p w:rsidR="001F0BD8" w:rsidRDefault="001F0BD8" w:rsidP="002532B0">
      <w:pPr>
        <w:pStyle w:val="BodyText"/>
        <w:spacing w:after="0" w:line="360" w:lineRule="auto"/>
        <w:ind w:left="0"/>
        <w:rPr>
          <w:sz w:val="26"/>
          <w:szCs w:val="26"/>
          <w:lang w:val="en-US"/>
        </w:rPr>
      </w:pPr>
    </w:p>
    <w:p w:rsidR="006D4D99" w:rsidRPr="00EE5722" w:rsidRDefault="001F0BD8" w:rsidP="002532B0">
      <w:pPr>
        <w:pStyle w:val="BodyText"/>
        <w:spacing w:after="0" w:line="360" w:lineRule="auto"/>
        <w:ind w:left="0"/>
        <w:rPr>
          <w:sz w:val="26"/>
          <w:szCs w:val="26"/>
        </w:rPr>
      </w:pPr>
      <w:r>
        <w:rPr>
          <w:sz w:val="26"/>
          <w:szCs w:val="26"/>
          <w:lang w:val="en-US"/>
        </w:rPr>
        <w:t>However, consistent with our prior dispositions of residential and Small</w:t>
      </w:r>
      <w:r w:rsidR="00FA2A77">
        <w:rPr>
          <w:sz w:val="26"/>
          <w:szCs w:val="26"/>
          <w:lang w:val="en-US"/>
        </w:rPr>
        <w:t xml:space="preserve"> </w:t>
      </w:r>
      <w:r>
        <w:rPr>
          <w:sz w:val="26"/>
          <w:szCs w:val="26"/>
          <w:lang w:val="en-US"/>
        </w:rPr>
        <w:t>C&amp;I issues, we determine that the lead time between a procurement date and the beginning of a delivery period should be no</w:t>
      </w:r>
      <w:r w:rsidR="0054418A">
        <w:rPr>
          <w:sz w:val="26"/>
          <w:szCs w:val="26"/>
          <w:lang w:val="en-US"/>
        </w:rPr>
        <w:t xml:space="preserve"> longer than five months.</w:t>
      </w:r>
      <w:r>
        <w:rPr>
          <w:sz w:val="26"/>
          <w:szCs w:val="26"/>
          <w:lang w:val="en-US"/>
        </w:rPr>
        <w:t xml:space="preserve">  </w:t>
      </w:r>
      <w:r w:rsidR="00647248">
        <w:rPr>
          <w:sz w:val="26"/>
          <w:szCs w:val="26"/>
        </w:rPr>
        <w:t>Accordingly, the Exceptions of RESA and FES on this issue are denied.</w:t>
      </w:r>
    </w:p>
    <w:p w:rsidR="00F10CD3" w:rsidRPr="00EE5722" w:rsidRDefault="00F10CD3" w:rsidP="002532B0">
      <w:pPr>
        <w:autoSpaceDE/>
        <w:autoSpaceDN/>
        <w:spacing w:line="360" w:lineRule="auto"/>
        <w:rPr>
          <w:sz w:val="26"/>
          <w:szCs w:val="26"/>
        </w:rPr>
      </w:pPr>
    </w:p>
    <w:p w:rsidR="00EE639F" w:rsidRPr="00EE5722" w:rsidRDefault="00EE639F" w:rsidP="00115AB3">
      <w:pPr>
        <w:pStyle w:val="Heading3"/>
      </w:pPr>
      <w:bookmarkStart w:id="52" w:name="_Toc346705294"/>
      <w:r w:rsidRPr="00EE5722">
        <w:t>4.</w:t>
      </w:r>
      <w:r w:rsidRPr="00EE5722">
        <w:tab/>
        <w:t>Large C</w:t>
      </w:r>
      <w:r w:rsidR="0086394E" w:rsidRPr="00EE5722">
        <w:t>&amp;I</w:t>
      </w:r>
      <w:r w:rsidRPr="00EE5722">
        <w:t xml:space="preserve"> Procurement</w:t>
      </w:r>
      <w:bookmarkEnd w:id="52"/>
      <w:r w:rsidR="0063417A">
        <w:t xml:space="preserve"> </w:t>
      </w:r>
    </w:p>
    <w:p w:rsidR="00EE639F" w:rsidRPr="00EE5722" w:rsidRDefault="00EE639F" w:rsidP="00450770">
      <w:pPr>
        <w:pStyle w:val="BodyText"/>
        <w:spacing w:after="0" w:line="360" w:lineRule="auto"/>
        <w:ind w:left="0" w:firstLine="0"/>
        <w:rPr>
          <w:sz w:val="26"/>
          <w:szCs w:val="26"/>
        </w:rPr>
      </w:pPr>
    </w:p>
    <w:p w:rsidR="00F82083" w:rsidRDefault="00B708DB" w:rsidP="000541B1">
      <w:pPr>
        <w:pStyle w:val="BodyText"/>
        <w:spacing w:after="0" w:line="360" w:lineRule="auto"/>
        <w:ind w:left="0"/>
        <w:rPr>
          <w:sz w:val="26"/>
          <w:szCs w:val="26"/>
        </w:rPr>
      </w:pPr>
      <w:r>
        <w:rPr>
          <w:sz w:val="26"/>
          <w:szCs w:val="26"/>
        </w:rPr>
        <w:t>No P</w:t>
      </w:r>
      <w:r w:rsidR="0055352D" w:rsidRPr="00EE5722">
        <w:rPr>
          <w:sz w:val="26"/>
          <w:szCs w:val="26"/>
        </w:rPr>
        <w:t>arty raised any</w:t>
      </w:r>
      <w:r w:rsidR="00723BD6" w:rsidRPr="00EE5722">
        <w:rPr>
          <w:sz w:val="26"/>
          <w:szCs w:val="26"/>
        </w:rPr>
        <w:t xml:space="preserve"> unresolved</w:t>
      </w:r>
      <w:r>
        <w:rPr>
          <w:sz w:val="26"/>
          <w:szCs w:val="26"/>
        </w:rPr>
        <w:t xml:space="preserve"> Large C&amp;I procurement issues </w:t>
      </w:r>
      <w:r w:rsidR="00135904">
        <w:rPr>
          <w:sz w:val="26"/>
          <w:szCs w:val="26"/>
        </w:rPr>
        <w:t>in this proceeding</w:t>
      </w:r>
      <w:r w:rsidR="00720128">
        <w:rPr>
          <w:sz w:val="26"/>
          <w:szCs w:val="26"/>
        </w:rPr>
        <w:t xml:space="preserve">.  </w:t>
      </w:r>
      <w:r w:rsidR="00135904">
        <w:rPr>
          <w:sz w:val="26"/>
          <w:szCs w:val="26"/>
        </w:rPr>
        <w:t xml:space="preserve">The ALJ </w:t>
      </w:r>
      <w:r w:rsidR="00B918E3" w:rsidRPr="00EE5722">
        <w:rPr>
          <w:sz w:val="26"/>
          <w:szCs w:val="26"/>
        </w:rPr>
        <w:t>re</w:t>
      </w:r>
      <w:r w:rsidR="00832033" w:rsidRPr="00EE5722">
        <w:rPr>
          <w:sz w:val="26"/>
          <w:szCs w:val="26"/>
        </w:rPr>
        <w:t>co</w:t>
      </w:r>
      <w:r w:rsidR="00026DA4">
        <w:rPr>
          <w:sz w:val="26"/>
          <w:szCs w:val="26"/>
        </w:rPr>
        <w:t>mmend</w:t>
      </w:r>
      <w:r w:rsidR="00135904">
        <w:rPr>
          <w:sz w:val="26"/>
          <w:szCs w:val="26"/>
        </w:rPr>
        <w:t>ed</w:t>
      </w:r>
      <w:r w:rsidR="00026DA4">
        <w:rPr>
          <w:sz w:val="26"/>
          <w:szCs w:val="26"/>
        </w:rPr>
        <w:t xml:space="preserve"> approval of Duquesne</w:t>
      </w:r>
      <w:r w:rsidR="00B918E3" w:rsidRPr="00EE5722">
        <w:rPr>
          <w:sz w:val="26"/>
          <w:szCs w:val="26"/>
        </w:rPr>
        <w:t xml:space="preserve">’s </w:t>
      </w:r>
      <w:r w:rsidR="00135904">
        <w:rPr>
          <w:sz w:val="26"/>
          <w:szCs w:val="26"/>
        </w:rPr>
        <w:t xml:space="preserve">proposal to continue its current plan for obtaining default supply for Large C&amp;I </w:t>
      </w:r>
      <w:r w:rsidR="00723BD6" w:rsidRPr="00EE5722">
        <w:rPr>
          <w:sz w:val="26"/>
          <w:szCs w:val="26"/>
        </w:rPr>
        <w:t xml:space="preserve">default service customers </w:t>
      </w:r>
      <w:r w:rsidR="00135904">
        <w:rPr>
          <w:sz w:val="26"/>
          <w:szCs w:val="26"/>
        </w:rPr>
        <w:t xml:space="preserve">at </w:t>
      </w:r>
      <w:r w:rsidR="00723BD6" w:rsidRPr="00EE5722">
        <w:rPr>
          <w:sz w:val="26"/>
          <w:szCs w:val="26"/>
        </w:rPr>
        <w:t>day ahead spot prices.</w:t>
      </w:r>
      <w:r w:rsidR="00F82083" w:rsidRPr="00F82083">
        <w:rPr>
          <w:sz w:val="26"/>
          <w:szCs w:val="26"/>
        </w:rPr>
        <w:t xml:space="preserve"> </w:t>
      </w:r>
      <w:r w:rsidR="002532B0">
        <w:rPr>
          <w:sz w:val="26"/>
          <w:szCs w:val="26"/>
        </w:rPr>
        <w:t xml:space="preserve"> R.D. at 49.  </w:t>
      </w:r>
      <w:r w:rsidR="00F82083">
        <w:rPr>
          <w:sz w:val="26"/>
          <w:szCs w:val="26"/>
        </w:rPr>
        <w:t xml:space="preserve">Considering that no Party filed Exceptions to the ALJ’s recommendation, </w:t>
      </w:r>
      <w:r w:rsidR="002532B0">
        <w:rPr>
          <w:sz w:val="26"/>
          <w:szCs w:val="26"/>
        </w:rPr>
        <w:t xml:space="preserve">and that we find her recommendation reasonable, </w:t>
      </w:r>
      <w:r w:rsidR="00F82083">
        <w:rPr>
          <w:sz w:val="26"/>
          <w:szCs w:val="26"/>
        </w:rPr>
        <w:t>we shall adopt her recommendation on this issue without further comment.</w:t>
      </w:r>
    </w:p>
    <w:p w:rsidR="00A31E89" w:rsidRPr="00EE5722" w:rsidRDefault="00A31E89" w:rsidP="00450770">
      <w:pPr>
        <w:pStyle w:val="BodyText2"/>
        <w:spacing w:after="0" w:line="360" w:lineRule="auto"/>
        <w:rPr>
          <w:sz w:val="26"/>
          <w:szCs w:val="26"/>
        </w:rPr>
      </w:pPr>
    </w:p>
    <w:p w:rsidR="00EE639F" w:rsidRPr="00EE5722" w:rsidRDefault="004A6EF1" w:rsidP="00115AB3">
      <w:pPr>
        <w:pStyle w:val="Heading3"/>
      </w:pPr>
      <w:bookmarkStart w:id="53" w:name="_Toc346705295"/>
      <w:r>
        <w:t>5.</w:t>
      </w:r>
      <w:r>
        <w:tab/>
        <w:t xml:space="preserve">Default </w:t>
      </w:r>
      <w:r w:rsidR="00EC0648">
        <w:t xml:space="preserve">Supplier </w:t>
      </w:r>
      <w:r w:rsidR="00EE639F" w:rsidRPr="00EE5722">
        <w:t xml:space="preserve">Load </w:t>
      </w:r>
      <w:r w:rsidR="00B918E3" w:rsidRPr="00EE5722">
        <w:t>Cap</w:t>
      </w:r>
      <w:bookmarkEnd w:id="53"/>
    </w:p>
    <w:p w:rsidR="00EE639F" w:rsidRPr="00EE5722" w:rsidRDefault="00EE639F" w:rsidP="00911D84">
      <w:pPr>
        <w:pStyle w:val="BodyText"/>
        <w:keepNext/>
        <w:spacing w:after="0" w:line="360" w:lineRule="auto"/>
        <w:ind w:left="0" w:firstLine="0"/>
        <w:rPr>
          <w:sz w:val="26"/>
          <w:szCs w:val="26"/>
        </w:rPr>
      </w:pPr>
    </w:p>
    <w:p w:rsidR="00692C19" w:rsidRPr="00EE5722" w:rsidRDefault="00A31E89" w:rsidP="00115AB3">
      <w:pPr>
        <w:pStyle w:val="Heading4"/>
        <w:numPr>
          <w:ilvl w:val="0"/>
          <w:numId w:val="0"/>
        </w:numPr>
        <w:ind w:left="2880" w:hanging="720"/>
      </w:pPr>
      <w:bookmarkStart w:id="54" w:name="_Toc346705296"/>
      <w:r w:rsidRPr="00EE5722">
        <w:t>a</w:t>
      </w:r>
      <w:r w:rsidR="00026DA4">
        <w:t>.</w:t>
      </w:r>
      <w:r w:rsidR="00026DA4">
        <w:tab/>
        <w:t>Duquesne</w:t>
      </w:r>
      <w:r w:rsidR="00692C19" w:rsidRPr="00EE5722">
        <w:t>’s Proposal</w:t>
      </w:r>
      <w:bookmarkEnd w:id="54"/>
    </w:p>
    <w:p w:rsidR="0055352D" w:rsidRPr="00EE5722" w:rsidRDefault="0055352D" w:rsidP="00911D84">
      <w:pPr>
        <w:pStyle w:val="BodyText"/>
        <w:keepNext/>
        <w:spacing w:after="0" w:line="360" w:lineRule="auto"/>
        <w:ind w:left="0" w:firstLine="0"/>
        <w:rPr>
          <w:sz w:val="26"/>
          <w:szCs w:val="26"/>
        </w:rPr>
      </w:pPr>
    </w:p>
    <w:p w:rsidR="0055352D" w:rsidRPr="00026DA4" w:rsidRDefault="0055352D" w:rsidP="00692C19">
      <w:pPr>
        <w:pStyle w:val="BodyText2"/>
        <w:spacing w:after="0" w:line="360" w:lineRule="auto"/>
        <w:rPr>
          <w:sz w:val="26"/>
          <w:szCs w:val="26"/>
        </w:rPr>
      </w:pPr>
      <w:r w:rsidRPr="00EE5722">
        <w:rPr>
          <w:sz w:val="26"/>
          <w:szCs w:val="26"/>
        </w:rPr>
        <w:tab/>
      </w:r>
      <w:r w:rsidRPr="00EE5722">
        <w:rPr>
          <w:sz w:val="26"/>
          <w:szCs w:val="26"/>
        </w:rPr>
        <w:tab/>
      </w:r>
      <w:r w:rsidR="00026DA4">
        <w:rPr>
          <w:sz w:val="26"/>
          <w:szCs w:val="26"/>
        </w:rPr>
        <w:t xml:space="preserve">Duquesne </w:t>
      </w:r>
      <w:r w:rsidR="003C5728">
        <w:rPr>
          <w:sz w:val="26"/>
          <w:szCs w:val="26"/>
        </w:rPr>
        <w:t>proposed a 50% cap on the load</w:t>
      </w:r>
      <w:r w:rsidRPr="00EE5722">
        <w:rPr>
          <w:sz w:val="26"/>
          <w:szCs w:val="26"/>
        </w:rPr>
        <w:t xml:space="preserve"> that any supplier could be awarded in an RFP.  </w:t>
      </w:r>
      <w:r w:rsidR="00F25874">
        <w:rPr>
          <w:sz w:val="26"/>
          <w:szCs w:val="26"/>
        </w:rPr>
        <w:t>Under this proposal, n</w:t>
      </w:r>
      <w:r w:rsidRPr="00EE5722">
        <w:rPr>
          <w:sz w:val="26"/>
          <w:szCs w:val="26"/>
        </w:rPr>
        <w:t>o more than 50% of the tranches available for any procurement class (Residenti</w:t>
      </w:r>
      <w:r w:rsidR="003C5728">
        <w:rPr>
          <w:sz w:val="26"/>
          <w:szCs w:val="26"/>
        </w:rPr>
        <w:t>al, Small C&amp;I or Medium C&amp;I) could</w:t>
      </w:r>
      <w:r w:rsidRPr="00EE5722">
        <w:rPr>
          <w:sz w:val="26"/>
          <w:szCs w:val="26"/>
        </w:rPr>
        <w:t xml:space="preserve"> be awarded to any suppl</w:t>
      </w:r>
      <w:r w:rsidR="00026DA4">
        <w:rPr>
          <w:sz w:val="26"/>
          <w:szCs w:val="26"/>
        </w:rPr>
        <w:t xml:space="preserve">ier in any RFP.  Duquesne </w:t>
      </w:r>
      <w:r w:rsidRPr="00EE5722">
        <w:rPr>
          <w:sz w:val="26"/>
          <w:szCs w:val="26"/>
        </w:rPr>
        <w:t>Ex</w:t>
      </w:r>
      <w:r w:rsidR="00026DA4">
        <w:rPr>
          <w:sz w:val="26"/>
          <w:szCs w:val="26"/>
        </w:rPr>
        <w:t>h</w:t>
      </w:r>
      <w:r w:rsidR="00135904">
        <w:rPr>
          <w:sz w:val="26"/>
          <w:szCs w:val="26"/>
        </w:rPr>
        <w:t xml:space="preserve">. </w:t>
      </w:r>
      <w:r w:rsidR="00026DA4">
        <w:rPr>
          <w:sz w:val="26"/>
          <w:szCs w:val="26"/>
        </w:rPr>
        <w:t xml:space="preserve">1 at 14.  Duquesne </w:t>
      </w:r>
      <w:r w:rsidRPr="00EE5722">
        <w:rPr>
          <w:sz w:val="26"/>
          <w:szCs w:val="26"/>
        </w:rPr>
        <w:t>proposed a 50% load cap to ensure a diversity of default service suppliers and to reduce the impact of any single supplier’s default.</w:t>
      </w:r>
    </w:p>
    <w:p w:rsidR="0055352D" w:rsidRPr="00EE5722" w:rsidRDefault="0055352D" w:rsidP="00692C19">
      <w:pPr>
        <w:pStyle w:val="BodyText2"/>
        <w:spacing w:after="0" w:line="360" w:lineRule="auto"/>
        <w:rPr>
          <w:sz w:val="26"/>
          <w:szCs w:val="26"/>
        </w:rPr>
      </w:pPr>
    </w:p>
    <w:p w:rsidR="0055352D" w:rsidRPr="00EE5722" w:rsidRDefault="00135904" w:rsidP="00664776">
      <w:pPr>
        <w:pStyle w:val="BodyText2"/>
        <w:spacing w:after="0" w:line="360" w:lineRule="auto"/>
        <w:rPr>
          <w:sz w:val="26"/>
          <w:szCs w:val="26"/>
        </w:rPr>
      </w:pPr>
      <w:r>
        <w:rPr>
          <w:sz w:val="26"/>
          <w:szCs w:val="26"/>
        </w:rPr>
        <w:lastRenderedPageBreak/>
        <w:tab/>
      </w:r>
      <w:r>
        <w:rPr>
          <w:sz w:val="26"/>
          <w:szCs w:val="26"/>
        </w:rPr>
        <w:tab/>
      </w:r>
      <w:r w:rsidR="0055352D" w:rsidRPr="00EE5722">
        <w:rPr>
          <w:sz w:val="26"/>
          <w:szCs w:val="26"/>
        </w:rPr>
        <w:t>FES dis</w:t>
      </w:r>
      <w:r>
        <w:rPr>
          <w:sz w:val="26"/>
          <w:szCs w:val="26"/>
        </w:rPr>
        <w:t>agreed</w:t>
      </w:r>
      <w:r w:rsidR="0055352D" w:rsidRPr="00EE5722">
        <w:rPr>
          <w:sz w:val="26"/>
          <w:szCs w:val="26"/>
        </w:rPr>
        <w:t xml:space="preserve"> with </w:t>
      </w:r>
      <w:r>
        <w:rPr>
          <w:sz w:val="26"/>
          <w:szCs w:val="26"/>
        </w:rPr>
        <w:t>the</w:t>
      </w:r>
      <w:r w:rsidR="0055352D" w:rsidRPr="00EE5722">
        <w:rPr>
          <w:sz w:val="26"/>
          <w:szCs w:val="26"/>
        </w:rPr>
        <w:t xml:space="preserve"> proposed 50% load cap</w:t>
      </w:r>
      <w:r>
        <w:rPr>
          <w:sz w:val="26"/>
          <w:szCs w:val="26"/>
        </w:rPr>
        <w:t>.  FES argued that</w:t>
      </w:r>
      <w:r w:rsidR="0055352D" w:rsidRPr="00EE5722">
        <w:rPr>
          <w:sz w:val="26"/>
          <w:szCs w:val="26"/>
        </w:rPr>
        <w:t xml:space="preserve"> the load cap under DSP V was 75% and</w:t>
      </w:r>
      <w:r w:rsidR="003C5728">
        <w:rPr>
          <w:sz w:val="26"/>
          <w:szCs w:val="26"/>
        </w:rPr>
        <w:t xml:space="preserve"> that </w:t>
      </w:r>
      <w:r>
        <w:rPr>
          <w:sz w:val="26"/>
          <w:szCs w:val="26"/>
        </w:rPr>
        <w:t>a 50% load cap would</w:t>
      </w:r>
      <w:r w:rsidR="0055352D" w:rsidRPr="00EE5722">
        <w:rPr>
          <w:sz w:val="26"/>
          <w:szCs w:val="26"/>
        </w:rPr>
        <w:t xml:space="preserve"> increase </w:t>
      </w:r>
      <w:r w:rsidR="00BA5190">
        <w:rPr>
          <w:sz w:val="26"/>
          <w:szCs w:val="26"/>
        </w:rPr>
        <w:t>default service rates.  FES St</w:t>
      </w:r>
      <w:r>
        <w:rPr>
          <w:sz w:val="26"/>
          <w:szCs w:val="26"/>
        </w:rPr>
        <w:t xml:space="preserve">. 1 at </w:t>
      </w:r>
      <w:r w:rsidR="0055352D" w:rsidRPr="00EE5722">
        <w:rPr>
          <w:sz w:val="26"/>
          <w:szCs w:val="26"/>
        </w:rPr>
        <w:t xml:space="preserve">8-9.  </w:t>
      </w:r>
      <w:r w:rsidR="00026DA4">
        <w:rPr>
          <w:sz w:val="26"/>
          <w:szCs w:val="26"/>
        </w:rPr>
        <w:t xml:space="preserve">Duquesne </w:t>
      </w:r>
      <w:r>
        <w:rPr>
          <w:sz w:val="26"/>
          <w:szCs w:val="26"/>
        </w:rPr>
        <w:t xml:space="preserve">disagreed with FES </w:t>
      </w:r>
      <w:r w:rsidR="0055352D" w:rsidRPr="00EE5722">
        <w:rPr>
          <w:sz w:val="26"/>
          <w:szCs w:val="26"/>
        </w:rPr>
        <w:t>for several</w:t>
      </w:r>
      <w:r w:rsidR="00026DA4">
        <w:rPr>
          <w:sz w:val="26"/>
          <w:szCs w:val="26"/>
        </w:rPr>
        <w:t xml:space="preserve"> reasons.  First, Duquesne </w:t>
      </w:r>
      <w:r>
        <w:rPr>
          <w:sz w:val="26"/>
          <w:szCs w:val="26"/>
        </w:rPr>
        <w:t>argued that</w:t>
      </w:r>
      <w:r w:rsidR="0055352D" w:rsidRPr="00EE5722">
        <w:rPr>
          <w:sz w:val="26"/>
          <w:szCs w:val="26"/>
        </w:rPr>
        <w:t xml:space="preserve"> its proposed 50% load cap is consistent with the recent </w:t>
      </w:r>
      <w:r>
        <w:rPr>
          <w:sz w:val="26"/>
          <w:szCs w:val="26"/>
        </w:rPr>
        <w:t xml:space="preserve">Commission </w:t>
      </w:r>
      <w:r w:rsidR="0055352D" w:rsidRPr="00EE5722">
        <w:rPr>
          <w:sz w:val="26"/>
          <w:szCs w:val="26"/>
        </w:rPr>
        <w:t>de</w:t>
      </w:r>
      <w:r w:rsidR="003C5728">
        <w:rPr>
          <w:sz w:val="26"/>
          <w:szCs w:val="26"/>
        </w:rPr>
        <w:t xml:space="preserve">cision in FirstEnergy’s </w:t>
      </w:r>
      <w:r w:rsidR="0055352D" w:rsidRPr="00EE5722">
        <w:rPr>
          <w:sz w:val="26"/>
          <w:szCs w:val="26"/>
        </w:rPr>
        <w:t>default service proceeding, wherein</w:t>
      </w:r>
      <w:r w:rsidR="003C5728">
        <w:rPr>
          <w:sz w:val="26"/>
          <w:szCs w:val="26"/>
        </w:rPr>
        <w:t xml:space="preserve"> the Commission directed the FirstEnergy</w:t>
      </w:r>
      <w:r w:rsidR="0055352D" w:rsidRPr="00EE5722">
        <w:rPr>
          <w:sz w:val="26"/>
          <w:szCs w:val="26"/>
        </w:rPr>
        <w:t xml:space="preserve"> Companies to lower the load cap to 50%.  </w:t>
      </w:r>
      <w:r w:rsidR="003C5728">
        <w:rPr>
          <w:i/>
          <w:sz w:val="26"/>
          <w:szCs w:val="26"/>
        </w:rPr>
        <w:t xml:space="preserve">FirstEnergy DSP </w:t>
      </w:r>
      <w:r w:rsidR="0055352D" w:rsidRPr="00EE5722">
        <w:rPr>
          <w:i/>
          <w:sz w:val="26"/>
          <w:szCs w:val="26"/>
        </w:rPr>
        <w:t>Order</w:t>
      </w:r>
      <w:r>
        <w:rPr>
          <w:sz w:val="26"/>
          <w:szCs w:val="26"/>
        </w:rPr>
        <w:t xml:space="preserve"> at </w:t>
      </w:r>
      <w:r w:rsidR="003C5728">
        <w:rPr>
          <w:sz w:val="26"/>
          <w:szCs w:val="26"/>
        </w:rPr>
        <w:t>33</w:t>
      </w:r>
      <w:r w:rsidR="00664776">
        <w:rPr>
          <w:sz w:val="26"/>
          <w:szCs w:val="26"/>
        </w:rPr>
        <w:t xml:space="preserve"> (“by ensuring that there is a healthy level of supplier diversity, we believe that the competitive auctions will result in the lowest supply prices over the long run”)</w:t>
      </w:r>
      <w:r w:rsidR="00BA32AC">
        <w:rPr>
          <w:sz w:val="26"/>
          <w:szCs w:val="26"/>
        </w:rPr>
        <w:t>.</w:t>
      </w:r>
      <w:r w:rsidR="00664776">
        <w:rPr>
          <w:sz w:val="26"/>
          <w:szCs w:val="26"/>
        </w:rPr>
        <w:t xml:space="preserve">  </w:t>
      </w:r>
      <w:r w:rsidR="0055352D" w:rsidRPr="00EE5722">
        <w:rPr>
          <w:sz w:val="26"/>
          <w:szCs w:val="26"/>
        </w:rPr>
        <w:t xml:space="preserve">Similarly, a 50% load cap was approved by the Commission in the </w:t>
      </w:r>
      <w:r w:rsidR="0055352D" w:rsidRPr="00EE5722">
        <w:rPr>
          <w:i/>
          <w:sz w:val="26"/>
          <w:szCs w:val="26"/>
        </w:rPr>
        <w:t>PECO Binding Poll</w:t>
      </w:r>
      <w:r w:rsidR="0055352D" w:rsidRPr="00EE5722">
        <w:rPr>
          <w:sz w:val="26"/>
          <w:szCs w:val="26"/>
        </w:rPr>
        <w:t xml:space="preserve">.  </w:t>
      </w:r>
      <w:r w:rsidR="0055352D" w:rsidRPr="00EE5722">
        <w:rPr>
          <w:i/>
          <w:sz w:val="26"/>
          <w:szCs w:val="26"/>
        </w:rPr>
        <w:t>PECO Binding Poll</w:t>
      </w:r>
      <w:r w:rsidR="0055352D" w:rsidRPr="00EE5722">
        <w:rPr>
          <w:sz w:val="26"/>
          <w:szCs w:val="26"/>
        </w:rPr>
        <w:t>, Issue No. 5.</w:t>
      </w:r>
    </w:p>
    <w:p w:rsidR="00F52C48" w:rsidRPr="00EE5722" w:rsidRDefault="00F52C48" w:rsidP="00135904">
      <w:pPr>
        <w:pStyle w:val="BodyText2"/>
        <w:spacing w:after="0" w:line="360" w:lineRule="auto"/>
        <w:rPr>
          <w:sz w:val="26"/>
          <w:szCs w:val="26"/>
        </w:rPr>
      </w:pPr>
    </w:p>
    <w:p w:rsidR="001F1EAA" w:rsidRPr="000541B1" w:rsidRDefault="0055352D" w:rsidP="00A14704">
      <w:pPr>
        <w:pStyle w:val="BodyText2"/>
        <w:spacing w:after="0" w:line="360" w:lineRule="auto"/>
        <w:rPr>
          <w:i/>
          <w:sz w:val="26"/>
          <w:szCs w:val="26"/>
        </w:rPr>
      </w:pPr>
      <w:r w:rsidRPr="00EE5722">
        <w:rPr>
          <w:sz w:val="26"/>
          <w:szCs w:val="26"/>
        </w:rPr>
        <w:tab/>
      </w:r>
      <w:r w:rsidRPr="00EE5722">
        <w:rPr>
          <w:sz w:val="26"/>
          <w:szCs w:val="26"/>
        </w:rPr>
        <w:tab/>
      </w:r>
      <w:r w:rsidR="000368AB">
        <w:rPr>
          <w:sz w:val="26"/>
          <w:szCs w:val="26"/>
        </w:rPr>
        <w:t>Duquesne contended</w:t>
      </w:r>
      <w:r w:rsidRPr="00EE5722">
        <w:rPr>
          <w:sz w:val="26"/>
          <w:szCs w:val="26"/>
        </w:rPr>
        <w:t xml:space="preserve"> that in nine of the Company’s </w:t>
      </w:r>
      <w:r w:rsidR="000368AB">
        <w:rPr>
          <w:sz w:val="26"/>
          <w:szCs w:val="26"/>
        </w:rPr>
        <w:t xml:space="preserve">ten </w:t>
      </w:r>
      <w:r w:rsidRPr="00EE5722">
        <w:rPr>
          <w:sz w:val="26"/>
          <w:szCs w:val="26"/>
        </w:rPr>
        <w:t>RFPs</w:t>
      </w:r>
      <w:r w:rsidR="000368AB">
        <w:rPr>
          <w:sz w:val="26"/>
          <w:szCs w:val="26"/>
        </w:rPr>
        <w:t xml:space="preserve"> under DSP V</w:t>
      </w:r>
      <w:r w:rsidRPr="00EE5722">
        <w:rPr>
          <w:sz w:val="26"/>
          <w:szCs w:val="26"/>
        </w:rPr>
        <w:t xml:space="preserve"> in which a 75% load cap </w:t>
      </w:r>
      <w:r w:rsidR="000368AB">
        <w:rPr>
          <w:sz w:val="26"/>
          <w:szCs w:val="26"/>
        </w:rPr>
        <w:t xml:space="preserve">was </w:t>
      </w:r>
      <w:r w:rsidRPr="00EE5722">
        <w:rPr>
          <w:sz w:val="26"/>
          <w:szCs w:val="26"/>
        </w:rPr>
        <w:t>applied, there either would have been no change in the average clearing price or there would have been a change of less tha</w:t>
      </w:r>
      <w:r w:rsidR="000368AB">
        <w:rPr>
          <w:sz w:val="26"/>
          <w:szCs w:val="26"/>
        </w:rPr>
        <w:t xml:space="preserve">n 1% if </w:t>
      </w:r>
      <w:r w:rsidRPr="00EE5722">
        <w:rPr>
          <w:sz w:val="26"/>
          <w:szCs w:val="26"/>
        </w:rPr>
        <w:t xml:space="preserve">a 50% load cap </w:t>
      </w:r>
      <w:r w:rsidR="000368AB">
        <w:rPr>
          <w:sz w:val="26"/>
          <w:szCs w:val="26"/>
        </w:rPr>
        <w:t>had been applied</w:t>
      </w:r>
      <w:r w:rsidRPr="00EE5722">
        <w:rPr>
          <w:sz w:val="26"/>
          <w:szCs w:val="26"/>
        </w:rPr>
        <w:t xml:space="preserve">.  In addition, the other RFP’s average clearing price would have been less than 2% higher.  This potential minimal price difference is justified to ensure wholesale supplier diversity and </w:t>
      </w:r>
      <w:r w:rsidR="003C5728">
        <w:rPr>
          <w:sz w:val="26"/>
          <w:szCs w:val="26"/>
        </w:rPr>
        <w:t xml:space="preserve">to </w:t>
      </w:r>
      <w:r w:rsidRPr="00EE5722">
        <w:rPr>
          <w:sz w:val="26"/>
          <w:szCs w:val="26"/>
        </w:rPr>
        <w:t>minimize the risk associated with potential su</w:t>
      </w:r>
      <w:r w:rsidR="00026DA4">
        <w:rPr>
          <w:sz w:val="26"/>
          <w:szCs w:val="26"/>
        </w:rPr>
        <w:t>pp</w:t>
      </w:r>
      <w:r w:rsidR="000368AB">
        <w:rPr>
          <w:sz w:val="26"/>
          <w:szCs w:val="26"/>
        </w:rPr>
        <w:t xml:space="preserve">lier default.  Duquesne St. </w:t>
      </w:r>
      <w:r w:rsidR="00026DA4">
        <w:rPr>
          <w:sz w:val="26"/>
          <w:szCs w:val="26"/>
        </w:rPr>
        <w:t xml:space="preserve">3-RJ at </w:t>
      </w:r>
      <w:r w:rsidRPr="00EE5722">
        <w:rPr>
          <w:sz w:val="26"/>
          <w:szCs w:val="26"/>
        </w:rPr>
        <w:t xml:space="preserve">34-35.  The Company also noted this analysis assumes that lowering the current 75% load cap to a 50% load cap would not have encouraged more supplier participation and produced lower bid prices.  As noted by the Commission in the </w:t>
      </w:r>
      <w:r w:rsidR="003C5728">
        <w:rPr>
          <w:i/>
          <w:sz w:val="26"/>
          <w:szCs w:val="26"/>
        </w:rPr>
        <w:t xml:space="preserve">FirstEnergy DSP </w:t>
      </w:r>
      <w:r w:rsidRPr="00EE5722">
        <w:rPr>
          <w:i/>
          <w:sz w:val="26"/>
          <w:szCs w:val="26"/>
        </w:rPr>
        <w:t>Order</w:t>
      </w:r>
      <w:r w:rsidRPr="00EE5722">
        <w:rPr>
          <w:sz w:val="26"/>
          <w:szCs w:val="26"/>
        </w:rPr>
        <w:t>, a lower load cap could increase competition and lower bid prices, thereby eliminating any price differential.</w:t>
      </w:r>
      <w:r w:rsidR="000541B1">
        <w:rPr>
          <w:sz w:val="26"/>
          <w:szCs w:val="26"/>
        </w:rPr>
        <w:t xml:space="preserve">  </w:t>
      </w:r>
      <w:r w:rsidR="000541B1">
        <w:rPr>
          <w:i/>
          <w:sz w:val="26"/>
          <w:szCs w:val="26"/>
        </w:rPr>
        <w:t>Id.</w:t>
      </w:r>
    </w:p>
    <w:p w:rsidR="00720128" w:rsidRPr="00720128" w:rsidRDefault="00720128" w:rsidP="00A14704">
      <w:pPr>
        <w:pStyle w:val="BodyText2"/>
        <w:spacing w:after="0" w:line="360" w:lineRule="auto"/>
        <w:rPr>
          <w:sz w:val="26"/>
          <w:szCs w:val="26"/>
        </w:rPr>
      </w:pPr>
    </w:p>
    <w:p w:rsidR="000368AB" w:rsidRPr="000368AB" w:rsidRDefault="00720128" w:rsidP="00115AB3">
      <w:pPr>
        <w:pStyle w:val="Heading4"/>
        <w:numPr>
          <w:ilvl w:val="0"/>
          <w:numId w:val="0"/>
        </w:numPr>
        <w:ind w:left="2880" w:hanging="720"/>
      </w:pPr>
      <w:bookmarkStart w:id="55" w:name="_Toc346705297"/>
      <w:r w:rsidRPr="00EE5722">
        <w:t>b</w:t>
      </w:r>
      <w:r>
        <w:t>.</w:t>
      </w:r>
      <w:r>
        <w:tab/>
      </w:r>
      <w:r w:rsidRPr="00EE5722">
        <w:t>Position</w:t>
      </w:r>
      <w:r>
        <w:t>s of the Parties</w:t>
      </w:r>
      <w:bookmarkEnd w:id="55"/>
    </w:p>
    <w:p w:rsidR="00720128" w:rsidRDefault="00720128" w:rsidP="000368AB">
      <w:pPr>
        <w:pStyle w:val="BodyText2"/>
        <w:spacing w:after="0" w:line="360" w:lineRule="auto"/>
        <w:ind w:firstLine="1440"/>
        <w:rPr>
          <w:sz w:val="26"/>
          <w:szCs w:val="26"/>
        </w:rPr>
      </w:pPr>
    </w:p>
    <w:p w:rsidR="000368AB" w:rsidRDefault="000368AB" w:rsidP="000368AB">
      <w:pPr>
        <w:pStyle w:val="BodyText2"/>
        <w:spacing w:after="0" w:line="360" w:lineRule="auto"/>
        <w:ind w:firstLine="1440"/>
        <w:rPr>
          <w:sz w:val="26"/>
          <w:szCs w:val="26"/>
        </w:rPr>
      </w:pPr>
      <w:r>
        <w:rPr>
          <w:sz w:val="26"/>
          <w:szCs w:val="26"/>
        </w:rPr>
        <w:t xml:space="preserve">RESA supported </w:t>
      </w:r>
      <w:r w:rsidRPr="00EE5722">
        <w:rPr>
          <w:sz w:val="26"/>
          <w:szCs w:val="26"/>
        </w:rPr>
        <w:t xml:space="preserve">Duquesne’s proposal that no one wholesale supplier should be awarded more than 50% of the tranches available for any procurement class in </w:t>
      </w:r>
      <w:r w:rsidRPr="00EE5722">
        <w:rPr>
          <w:sz w:val="26"/>
          <w:szCs w:val="26"/>
        </w:rPr>
        <w:lastRenderedPageBreak/>
        <w:t>any RFP</w:t>
      </w:r>
      <w:r w:rsidR="00BA32AC" w:rsidRPr="00EE5722">
        <w:rPr>
          <w:sz w:val="26"/>
          <w:szCs w:val="26"/>
        </w:rPr>
        <w:t xml:space="preserve">.  </w:t>
      </w:r>
      <w:r w:rsidRPr="00EE5722">
        <w:rPr>
          <w:sz w:val="26"/>
          <w:szCs w:val="26"/>
        </w:rPr>
        <w:t>Wholesale supplier load caps are a competitive safeguard because they limit the EDC’s exposure to contract failure of any particular wholesale supplier.</w:t>
      </w:r>
      <w:r w:rsidRPr="00EE5722">
        <w:rPr>
          <w:rStyle w:val="FootnoteReference"/>
          <w:sz w:val="26"/>
          <w:szCs w:val="26"/>
        </w:rPr>
        <w:footnoteReference w:id="60"/>
      </w:r>
    </w:p>
    <w:p w:rsidR="000368AB" w:rsidRPr="000368AB" w:rsidRDefault="000368AB" w:rsidP="000368AB">
      <w:pPr>
        <w:pStyle w:val="BodyText2"/>
        <w:spacing w:after="0" w:line="360" w:lineRule="auto"/>
        <w:ind w:firstLine="1440"/>
        <w:rPr>
          <w:sz w:val="26"/>
          <w:szCs w:val="26"/>
        </w:rPr>
      </w:pPr>
    </w:p>
    <w:p w:rsidR="001D5698" w:rsidRDefault="000368AB" w:rsidP="000368AB">
      <w:pPr>
        <w:pStyle w:val="BriefL3"/>
        <w:numPr>
          <w:ilvl w:val="0"/>
          <w:numId w:val="0"/>
        </w:numPr>
        <w:spacing w:after="0" w:line="360" w:lineRule="auto"/>
        <w:ind w:firstLine="1440"/>
        <w:rPr>
          <w:sz w:val="26"/>
          <w:szCs w:val="26"/>
        </w:rPr>
      </w:pPr>
      <w:r>
        <w:rPr>
          <w:sz w:val="26"/>
          <w:szCs w:val="26"/>
        </w:rPr>
        <w:t>Citizen Power agreed</w:t>
      </w:r>
      <w:r w:rsidRPr="00EE5722">
        <w:rPr>
          <w:sz w:val="26"/>
          <w:szCs w:val="26"/>
        </w:rPr>
        <w:t xml:space="preserve"> with th</w:t>
      </w:r>
      <w:r w:rsidR="003C5728">
        <w:rPr>
          <w:sz w:val="26"/>
          <w:szCs w:val="26"/>
        </w:rPr>
        <w:t>e 50% load</w:t>
      </w:r>
      <w:r w:rsidRPr="00EE5722">
        <w:rPr>
          <w:sz w:val="26"/>
          <w:szCs w:val="26"/>
        </w:rPr>
        <w:t xml:space="preserve"> cap</w:t>
      </w:r>
      <w:r>
        <w:rPr>
          <w:sz w:val="26"/>
          <w:szCs w:val="26"/>
        </w:rPr>
        <w:t xml:space="preserve"> proposed by Duquesne</w:t>
      </w:r>
      <w:r w:rsidRPr="00EE5722">
        <w:rPr>
          <w:sz w:val="26"/>
          <w:szCs w:val="26"/>
        </w:rPr>
        <w:t>.</w:t>
      </w:r>
      <w:r>
        <w:rPr>
          <w:sz w:val="26"/>
          <w:szCs w:val="26"/>
        </w:rPr>
        <w:t xml:space="preserve">  Citizen Power contended that</w:t>
      </w:r>
      <w:r w:rsidR="003C5728">
        <w:rPr>
          <w:sz w:val="26"/>
          <w:szCs w:val="26"/>
        </w:rPr>
        <w:t xml:space="preserve"> a </w:t>
      </w:r>
      <w:r w:rsidRPr="00EE5722">
        <w:rPr>
          <w:sz w:val="26"/>
          <w:szCs w:val="26"/>
        </w:rPr>
        <w:t xml:space="preserve">cap encourages a broader range of suppliers to bid into the default </w:t>
      </w:r>
      <w:r w:rsidR="003C5728">
        <w:rPr>
          <w:sz w:val="26"/>
          <w:szCs w:val="26"/>
        </w:rPr>
        <w:t xml:space="preserve">service </w:t>
      </w:r>
      <w:r w:rsidRPr="00EE5722">
        <w:rPr>
          <w:sz w:val="26"/>
          <w:szCs w:val="26"/>
        </w:rPr>
        <w:t xml:space="preserve">procurement and reduces the impact if a single supplier defaults on an obligation. </w:t>
      </w:r>
      <w:r w:rsidR="000541B1">
        <w:rPr>
          <w:sz w:val="26"/>
          <w:szCs w:val="26"/>
        </w:rPr>
        <w:t xml:space="preserve"> </w:t>
      </w:r>
      <w:r w:rsidR="000541B1">
        <w:rPr>
          <w:i/>
          <w:sz w:val="26"/>
          <w:szCs w:val="26"/>
        </w:rPr>
        <w:t xml:space="preserve">See </w:t>
      </w:r>
      <w:r w:rsidRPr="00EE5722">
        <w:rPr>
          <w:sz w:val="26"/>
          <w:szCs w:val="26"/>
        </w:rPr>
        <w:t xml:space="preserve">Duquesne St. 2 at 17.  </w:t>
      </w:r>
    </w:p>
    <w:p w:rsidR="00504B9D" w:rsidRDefault="00504B9D" w:rsidP="000368AB">
      <w:pPr>
        <w:pStyle w:val="BriefL3"/>
        <w:numPr>
          <w:ilvl w:val="0"/>
          <w:numId w:val="0"/>
        </w:numPr>
        <w:spacing w:after="0" w:line="360" w:lineRule="auto"/>
        <w:ind w:firstLine="1440"/>
        <w:rPr>
          <w:sz w:val="26"/>
          <w:szCs w:val="26"/>
        </w:rPr>
      </w:pPr>
    </w:p>
    <w:p w:rsidR="000368AB" w:rsidRPr="00EE5722" w:rsidRDefault="000368AB" w:rsidP="000368AB">
      <w:pPr>
        <w:pStyle w:val="BodyText2"/>
        <w:spacing w:after="0" w:line="360" w:lineRule="auto"/>
        <w:ind w:firstLine="1440"/>
        <w:rPr>
          <w:sz w:val="26"/>
          <w:szCs w:val="26"/>
        </w:rPr>
      </w:pPr>
      <w:r w:rsidRPr="00EE5722">
        <w:rPr>
          <w:sz w:val="26"/>
          <w:szCs w:val="26"/>
        </w:rPr>
        <w:t>F</w:t>
      </w:r>
      <w:r>
        <w:rPr>
          <w:sz w:val="26"/>
          <w:szCs w:val="26"/>
        </w:rPr>
        <w:t>ES disagreed with Duquesne</w:t>
      </w:r>
      <w:r w:rsidRPr="00EE5722">
        <w:rPr>
          <w:sz w:val="26"/>
          <w:szCs w:val="26"/>
        </w:rPr>
        <w:t>'s proposal to reduce its wholesale load cap for Small and Medium C</w:t>
      </w:r>
      <w:r w:rsidR="003C5728">
        <w:rPr>
          <w:sz w:val="26"/>
          <w:szCs w:val="26"/>
        </w:rPr>
        <w:t xml:space="preserve">&amp;I customers from 75% </w:t>
      </w:r>
      <w:r>
        <w:rPr>
          <w:sz w:val="26"/>
          <w:szCs w:val="26"/>
        </w:rPr>
        <w:t>under</w:t>
      </w:r>
      <w:r w:rsidR="003C5728">
        <w:rPr>
          <w:sz w:val="26"/>
          <w:szCs w:val="26"/>
        </w:rPr>
        <w:t xml:space="preserve"> DSP</w:t>
      </w:r>
      <w:r w:rsidRPr="00EE5722">
        <w:rPr>
          <w:sz w:val="26"/>
          <w:szCs w:val="26"/>
        </w:rPr>
        <w:t xml:space="preserve"> V to 50%</w:t>
      </w:r>
      <w:r w:rsidR="003C5728">
        <w:rPr>
          <w:sz w:val="26"/>
          <w:szCs w:val="26"/>
        </w:rPr>
        <w:t xml:space="preserve"> under DSP VI</w:t>
      </w:r>
      <w:r w:rsidRPr="00EE5722">
        <w:rPr>
          <w:sz w:val="26"/>
          <w:szCs w:val="26"/>
        </w:rPr>
        <w:t>, and to es</w:t>
      </w:r>
      <w:r w:rsidR="000541B1">
        <w:rPr>
          <w:sz w:val="26"/>
          <w:szCs w:val="26"/>
        </w:rPr>
        <w:t>tablish a 50% load cap for its r</w:t>
      </w:r>
      <w:r w:rsidRPr="00EE5722">
        <w:rPr>
          <w:sz w:val="26"/>
          <w:szCs w:val="26"/>
        </w:rPr>
        <w:t>esidential custo</w:t>
      </w:r>
      <w:r>
        <w:rPr>
          <w:sz w:val="26"/>
          <w:szCs w:val="26"/>
        </w:rPr>
        <w:t>mer procurements.  FES submitted that</w:t>
      </w:r>
      <w:r w:rsidRPr="00EE5722">
        <w:rPr>
          <w:sz w:val="26"/>
          <w:szCs w:val="26"/>
        </w:rPr>
        <w:t xml:space="preserve"> there is </w:t>
      </w:r>
      <w:r w:rsidR="003C5728">
        <w:rPr>
          <w:sz w:val="26"/>
          <w:szCs w:val="26"/>
        </w:rPr>
        <w:t xml:space="preserve">no empirical </w:t>
      </w:r>
      <w:r w:rsidRPr="00EE5722">
        <w:rPr>
          <w:sz w:val="26"/>
          <w:szCs w:val="26"/>
        </w:rPr>
        <w:t>basis to justify the proposed 50% cap.  Further, this sign</w:t>
      </w:r>
      <w:r>
        <w:rPr>
          <w:sz w:val="26"/>
          <w:szCs w:val="26"/>
        </w:rPr>
        <w:t>ificant change in Duquesne</w:t>
      </w:r>
      <w:r w:rsidRPr="00EE5722">
        <w:rPr>
          <w:sz w:val="26"/>
          <w:szCs w:val="26"/>
        </w:rPr>
        <w:t>'s procurement strategy is not required by the Commission's default service directives and would p</w:t>
      </w:r>
      <w:r>
        <w:rPr>
          <w:sz w:val="26"/>
          <w:szCs w:val="26"/>
        </w:rPr>
        <w:t xml:space="preserve">revent Duquesne </w:t>
      </w:r>
      <w:r w:rsidRPr="00EE5722">
        <w:rPr>
          <w:sz w:val="26"/>
          <w:szCs w:val="26"/>
        </w:rPr>
        <w:t>from obtaining supply for default service at the least cost to cu</w:t>
      </w:r>
      <w:r>
        <w:rPr>
          <w:sz w:val="26"/>
          <w:szCs w:val="26"/>
        </w:rPr>
        <w:t xml:space="preserve">stomers over time.  FES St. </w:t>
      </w:r>
      <w:r w:rsidRPr="00EE5722">
        <w:rPr>
          <w:sz w:val="26"/>
          <w:szCs w:val="26"/>
        </w:rPr>
        <w:t>1 at 8-10.</w:t>
      </w:r>
    </w:p>
    <w:p w:rsidR="000368AB" w:rsidRPr="00EE5722" w:rsidRDefault="000368AB" w:rsidP="000368AB">
      <w:pPr>
        <w:pStyle w:val="BodyTextFirstLine5DS"/>
        <w:spacing w:line="360" w:lineRule="auto"/>
        <w:jc w:val="left"/>
        <w:rPr>
          <w:sz w:val="26"/>
          <w:szCs w:val="26"/>
        </w:rPr>
      </w:pPr>
    </w:p>
    <w:p w:rsidR="000368AB" w:rsidRPr="00EE5722" w:rsidRDefault="000368AB" w:rsidP="009B4D6E">
      <w:pPr>
        <w:pStyle w:val="BodyTextFirstLine5DS"/>
        <w:spacing w:line="360" w:lineRule="auto"/>
        <w:jc w:val="left"/>
        <w:rPr>
          <w:sz w:val="26"/>
          <w:szCs w:val="26"/>
        </w:rPr>
      </w:pPr>
      <w:r w:rsidRPr="00EE5722">
        <w:rPr>
          <w:sz w:val="26"/>
          <w:szCs w:val="26"/>
        </w:rPr>
        <w:tab/>
        <w:t>F</w:t>
      </w:r>
      <w:r>
        <w:rPr>
          <w:sz w:val="26"/>
          <w:szCs w:val="26"/>
        </w:rPr>
        <w:t>ES disagreed with Duquesne</w:t>
      </w:r>
      <w:r w:rsidRPr="00EE5722">
        <w:rPr>
          <w:sz w:val="26"/>
          <w:szCs w:val="26"/>
        </w:rPr>
        <w:t xml:space="preserve">'s suggestion that the Commission’s </w:t>
      </w:r>
      <w:r w:rsidRPr="00EE5722">
        <w:rPr>
          <w:i/>
          <w:sz w:val="26"/>
          <w:szCs w:val="26"/>
        </w:rPr>
        <w:t xml:space="preserve">IWP </w:t>
      </w:r>
      <w:r w:rsidR="003C5728">
        <w:rPr>
          <w:i/>
          <w:sz w:val="26"/>
          <w:szCs w:val="26"/>
        </w:rPr>
        <w:t xml:space="preserve">Final </w:t>
      </w:r>
      <w:r w:rsidRPr="00EE5722">
        <w:rPr>
          <w:i/>
          <w:sz w:val="26"/>
          <w:szCs w:val="26"/>
        </w:rPr>
        <w:t>Order</w:t>
      </w:r>
      <w:r w:rsidRPr="00EE5722">
        <w:rPr>
          <w:sz w:val="26"/>
          <w:szCs w:val="26"/>
        </w:rPr>
        <w:t xml:space="preserve"> justifies a 50% wholesale supplier cap.  </w:t>
      </w:r>
      <w:r w:rsidR="000541B1">
        <w:rPr>
          <w:sz w:val="26"/>
          <w:szCs w:val="26"/>
        </w:rPr>
        <w:t>FES stated that t</w:t>
      </w:r>
      <w:r w:rsidRPr="00EE5722">
        <w:rPr>
          <w:sz w:val="26"/>
          <w:szCs w:val="26"/>
        </w:rPr>
        <w:t xml:space="preserve">he </w:t>
      </w:r>
      <w:r w:rsidRPr="00EE5722">
        <w:rPr>
          <w:i/>
          <w:sz w:val="26"/>
          <w:szCs w:val="26"/>
        </w:rPr>
        <w:t xml:space="preserve">IWP </w:t>
      </w:r>
      <w:r w:rsidR="003C5728">
        <w:rPr>
          <w:i/>
          <w:sz w:val="26"/>
          <w:szCs w:val="26"/>
        </w:rPr>
        <w:t xml:space="preserve">Final </w:t>
      </w:r>
      <w:r w:rsidRPr="00EE5722">
        <w:rPr>
          <w:i/>
          <w:sz w:val="26"/>
          <w:szCs w:val="26"/>
        </w:rPr>
        <w:t>Order</w:t>
      </w:r>
      <w:r w:rsidRPr="00EE5722">
        <w:rPr>
          <w:sz w:val="26"/>
          <w:szCs w:val="26"/>
        </w:rPr>
        <w:t xml:space="preserve"> applies to the Retail Market Enhancement </w:t>
      </w:r>
      <w:r w:rsidR="00BA32AC">
        <w:rPr>
          <w:sz w:val="26"/>
          <w:szCs w:val="26"/>
        </w:rPr>
        <w:t xml:space="preserve">(RME) </w:t>
      </w:r>
      <w:r w:rsidRPr="00EE5722">
        <w:rPr>
          <w:sz w:val="26"/>
          <w:szCs w:val="26"/>
        </w:rPr>
        <w:t>P</w:t>
      </w:r>
      <w:r>
        <w:rPr>
          <w:sz w:val="26"/>
          <w:szCs w:val="26"/>
        </w:rPr>
        <w:t xml:space="preserve">rograms that Duquesne </w:t>
      </w:r>
      <w:r w:rsidRPr="00EE5722">
        <w:rPr>
          <w:sz w:val="26"/>
          <w:szCs w:val="26"/>
        </w:rPr>
        <w:t>has proposed, not w</w:t>
      </w:r>
      <w:r w:rsidR="000541B1">
        <w:rPr>
          <w:sz w:val="26"/>
          <w:szCs w:val="26"/>
        </w:rPr>
        <w:t xml:space="preserve">holesale procurements.  FES argued that </w:t>
      </w:r>
      <w:r w:rsidRPr="00EE5722">
        <w:rPr>
          <w:sz w:val="26"/>
          <w:szCs w:val="26"/>
        </w:rPr>
        <w:t xml:space="preserve">the </w:t>
      </w:r>
      <w:r w:rsidR="00462F07">
        <w:rPr>
          <w:i/>
          <w:sz w:val="26"/>
          <w:szCs w:val="26"/>
        </w:rPr>
        <w:t xml:space="preserve">FirstEnergy DSP </w:t>
      </w:r>
      <w:r w:rsidRPr="00EE5722">
        <w:rPr>
          <w:i/>
          <w:sz w:val="26"/>
          <w:szCs w:val="26"/>
        </w:rPr>
        <w:t>Order</w:t>
      </w:r>
      <w:r w:rsidRPr="00EE5722">
        <w:rPr>
          <w:sz w:val="26"/>
          <w:szCs w:val="26"/>
        </w:rPr>
        <w:t xml:space="preserve"> based a 50% load cap on the perceived situation specific to those four utilities' service territories.  It would not be correct </w:t>
      </w:r>
      <w:r w:rsidR="00462F07">
        <w:rPr>
          <w:sz w:val="26"/>
          <w:szCs w:val="26"/>
        </w:rPr>
        <w:t xml:space="preserve">to apply the same </w:t>
      </w:r>
      <w:r w:rsidRPr="00EE5722">
        <w:rPr>
          <w:sz w:val="26"/>
          <w:szCs w:val="26"/>
        </w:rPr>
        <w:t xml:space="preserve">load cap decision in that Order </w:t>
      </w:r>
      <w:r w:rsidR="000541B1">
        <w:rPr>
          <w:sz w:val="26"/>
          <w:szCs w:val="26"/>
        </w:rPr>
        <w:t xml:space="preserve">to this proceeding.  FES saw </w:t>
      </w:r>
      <w:r>
        <w:rPr>
          <w:sz w:val="26"/>
          <w:szCs w:val="26"/>
        </w:rPr>
        <w:t>no basis for Duquesne</w:t>
      </w:r>
      <w:r w:rsidRPr="00EE5722">
        <w:rPr>
          <w:sz w:val="26"/>
          <w:szCs w:val="26"/>
        </w:rPr>
        <w:t xml:space="preserve">'s concerns with supplier diversity.  FES is </w:t>
      </w:r>
      <w:r w:rsidR="000541B1">
        <w:rPr>
          <w:sz w:val="26"/>
          <w:szCs w:val="26"/>
        </w:rPr>
        <w:t xml:space="preserve">also </w:t>
      </w:r>
      <w:r w:rsidRPr="00EE5722">
        <w:rPr>
          <w:sz w:val="26"/>
          <w:szCs w:val="26"/>
        </w:rPr>
        <w:t>unaware of any lack of supplier</w:t>
      </w:r>
      <w:r>
        <w:rPr>
          <w:sz w:val="26"/>
          <w:szCs w:val="26"/>
        </w:rPr>
        <w:t xml:space="preserve"> participation in Duquesne</w:t>
      </w:r>
      <w:r w:rsidRPr="00EE5722">
        <w:rPr>
          <w:sz w:val="26"/>
          <w:szCs w:val="26"/>
        </w:rPr>
        <w:t>'s past solicitations, or that supplier default has</w:t>
      </w:r>
      <w:r>
        <w:rPr>
          <w:sz w:val="26"/>
          <w:szCs w:val="26"/>
        </w:rPr>
        <w:t xml:space="preserve"> been an issue in Duquesne</w:t>
      </w:r>
      <w:r w:rsidRPr="00EE5722">
        <w:rPr>
          <w:sz w:val="26"/>
          <w:szCs w:val="26"/>
        </w:rPr>
        <w:t>'s defa</w:t>
      </w:r>
      <w:r w:rsidR="000541B1">
        <w:rPr>
          <w:sz w:val="26"/>
          <w:szCs w:val="26"/>
        </w:rPr>
        <w:t xml:space="preserve">ult service supply.  According to FES, </w:t>
      </w:r>
      <w:r w:rsidRPr="00EE5722">
        <w:rPr>
          <w:sz w:val="26"/>
          <w:szCs w:val="26"/>
        </w:rPr>
        <w:t xml:space="preserve">there is a significant difference between an alleged near-default and </w:t>
      </w:r>
      <w:r w:rsidR="000541B1">
        <w:rPr>
          <w:sz w:val="26"/>
          <w:szCs w:val="26"/>
        </w:rPr>
        <w:t>an actual default</w:t>
      </w:r>
      <w:r w:rsidR="00BA32AC">
        <w:rPr>
          <w:sz w:val="26"/>
          <w:szCs w:val="26"/>
        </w:rPr>
        <w:t>,</w:t>
      </w:r>
      <w:r w:rsidR="000541B1">
        <w:rPr>
          <w:sz w:val="26"/>
          <w:szCs w:val="26"/>
        </w:rPr>
        <w:t xml:space="preserve"> and</w:t>
      </w:r>
      <w:r>
        <w:rPr>
          <w:sz w:val="26"/>
          <w:szCs w:val="26"/>
        </w:rPr>
        <w:t xml:space="preserve">  </w:t>
      </w:r>
      <w:r>
        <w:rPr>
          <w:sz w:val="26"/>
          <w:szCs w:val="26"/>
        </w:rPr>
        <w:lastRenderedPageBreak/>
        <w:t>Duquesne</w:t>
      </w:r>
      <w:r w:rsidRPr="00EE5722">
        <w:rPr>
          <w:sz w:val="26"/>
          <w:szCs w:val="26"/>
        </w:rPr>
        <w:t xml:space="preserve">'s alleged concern does not justify its proposal to reduce supplier load caps in the wholesale procurements.  </w:t>
      </w:r>
      <w:r>
        <w:rPr>
          <w:sz w:val="26"/>
          <w:szCs w:val="26"/>
        </w:rPr>
        <w:t xml:space="preserve">FES St. </w:t>
      </w:r>
      <w:r w:rsidRPr="00EE5722">
        <w:rPr>
          <w:sz w:val="26"/>
          <w:szCs w:val="26"/>
        </w:rPr>
        <w:t>1-R at 9</w:t>
      </w:r>
      <w:r>
        <w:rPr>
          <w:sz w:val="26"/>
          <w:szCs w:val="26"/>
        </w:rPr>
        <w:t xml:space="preserve">; FES St. </w:t>
      </w:r>
      <w:r w:rsidRPr="00EE5722">
        <w:rPr>
          <w:sz w:val="26"/>
          <w:szCs w:val="26"/>
        </w:rPr>
        <w:t>1-SR at 8.</w:t>
      </w:r>
    </w:p>
    <w:p w:rsidR="000368AB" w:rsidRPr="00EE5722" w:rsidRDefault="000368AB" w:rsidP="000368AB">
      <w:pPr>
        <w:pStyle w:val="BodyTextFirstLine5DS"/>
        <w:spacing w:line="360" w:lineRule="auto"/>
        <w:jc w:val="left"/>
        <w:rPr>
          <w:sz w:val="26"/>
          <w:szCs w:val="26"/>
        </w:rPr>
      </w:pPr>
    </w:p>
    <w:p w:rsidR="00884AFB" w:rsidRPr="00720128" w:rsidRDefault="000368AB" w:rsidP="00720128">
      <w:pPr>
        <w:pStyle w:val="BodyTextFirstLine5DS"/>
        <w:spacing w:line="360" w:lineRule="auto"/>
        <w:jc w:val="left"/>
        <w:rPr>
          <w:sz w:val="26"/>
          <w:szCs w:val="26"/>
        </w:rPr>
      </w:pPr>
      <w:r w:rsidRPr="00EE5722">
        <w:rPr>
          <w:sz w:val="26"/>
          <w:szCs w:val="26"/>
        </w:rPr>
        <w:tab/>
      </w:r>
      <w:r>
        <w:rPr>
          <w:sz w:val="26"/>
          <w:szCs w:val="26"/>
        </w:rPr>
        <w:t>FES noted that the</w:t>
      </w:r>
      <w:r w:rsidRPr="00EE5722">
        <w:rPr>
          <w:sz w:val="26"/>
          <w:szCs w:val="26"/>
        </w:rPr>
        <w:t xml:space="preserve"> OSB</w:t>
      </w:r>
      <w:r>
        <w:rPr>
          <w:sz w:val="26"/>
          <w:szCs w:val="26"/>
        </w:rPr>
        <w:t>A also argued</w:t>
      </w:r>
      <w:r w:rsidRPr="00EE5722">
        <w:rPr>
          <w:sz w:val="26"/>
          <w:szCs w:val="26"/>
        </w:rPr>
        <w:t xml:space="preserve"> that potential supplier default is a</w:t>
      </w:r>
      <w:r>
        <w:rPr>
          <w:sz w:val="26"/>
          <w:szCs w:val="26"/>
        </w:rPr>
        <w:t xml:space="preserve"> valid reason for Duquesne</w:t>
      </w:r>
      <w:r w:rsidR="00462F07">
        <w:rPr>
          <w:sz w:val="26"/>
          <w:szCs w:val="26"/>
        </w:rPr>
        <w:t xml:space="preserve">'s proposed </w:t>
      </w:r>
      <w:r w:rsidRPr="00EE5722">
        <w:rPr>
          <w:sz w:val="26"/>
          <w:szCs w:val="26"/>
        </w:rPr>
        <w:t xml:space="preserve">load caps, though </w:t>
      </w:r>
      <w:r>
        <w:rPr>
          <w:sz w:val="26"/>
          <w:szCs w:val="26"/>
        </w:rPr>
        <w:t>the OSBA did</w:t>
      </w:r>
      <w:r w:rsidRPr="00EE5722">
        <w:rPr>
          <w:sz w:val="26"/>
          <w:szCs w:val="26"/>
        </w:rPr>
        <w:t xml:space="preserve"> not reveal the basis for its assertion or provide any examples of supplier defa</w:t>
      </w:r>
      <w:r>
        <w:rPr>
          <w:sz w:val="26"/>
          <w:szCs w:val="26"/>
        </w:rPr>
        <w:t>ult that would justify Duquesne</w:t>
      </w:r>
      <w:r w:rsidR="00BA32AC">
        <w:rPr>
          <w:sz w:val="26"/>
          <w:szCs w:val="26"/>
        </w:rPr>
        <w:t>’s</w:t>
      </w:r>
      <w:r>
        <w:rPr>
          <w:sz w:val="26"/>
          <w:szCs w:val="26"/>
        </w:rPr>
        <w:t xml:space="preserve"> </w:t>
      </w:r>
      <w:r w:rsidRPr="00EE5722">
        <w:rPr>
          <w:sz w:val="26"/>
          <w:szCs w:val="26"/>
        </w:rPr>
        <w:t xml:space="preserve">reduced </w:t>
      </w:r>
      <w:r>
        <w:rPr>
          <w:sz w:val="26"/>
          <w:szCs w:val="26"/>
        </w:rPr>
        <w:t>load caps.  FES contended that the</w:t>
      </w:r>
      <w:r w:rsidRPr="00EE5722">
        <w:rPr>
          <w:sz w:val="26"/>
          <w:szCs w:val="26"/>
        </w:rPr>
        <w:t xml:space="preserve"> OSBA’s concern is best addressed through existing credit support requirements in order for wholesale suppliers </w:t>
      </w:r>
      <w:r>
        <w:rPr>
          <w:sz w:val="26"/>
          <w:szCs w:val="26"/>
        </w:rPr>
        <w:t>to participate in Duquesne</w:t>
      </w:r>
      <w:r w:rsidRPr="00EE5722">
        <w:rPr>
          <w:sz w:val="26"/>
          <w:szCs w:val="26"/>
        </w:rPr>
        <w:t>’s solicitations and serve default service load.  Artificially reducing the amount of load the lowest price supplier can serve is not an appropriate way to address thi</w:t>
      </w:r>
      <w:r>
        <w:rPr>
          <w:sz w:val="26"/>
          <w:szCs w:val="26"/>
        </w:rPr>
        <w:t xml:space="preserve">s potential issue.  FES St. </w:t>
      </w:r>
      <w:r w:rsidRPr="00EE5722">
        <w:rPr>
          <w:sz w:val="26"/>
          <w:szCs w:val="26"/>
        </w:rPr>
        <w:t>1-R at 9.</w:t>
      </w:r>
    </w:p>
    <w:p w:rsidR="001F1EAA" w:rsidRPr="00EE5722" w:rsidRDefault="001F1EAA" w:rsidP="00A14704">
      <w:pPr>
        <w:pStyle w:val="BodyText2"/>
        <w:spacing w:after="0" w:line="360" w:lineRule="auto"/>
        <w:rPr>
          <w:sz w:val="26"/>
          <w:szCs w:val="26"/>
        </w:rPr>
      </w:pPr>
    </w:p>
    <w:p w:rsidR="001F1EAA" w:rsidRDefault="001F1EAA" w:rsidP="00A14704">
      <w:pPr>
        <w:pStyle w:val="BodyText2"/>
        <w:spacing w:after="0" w:line="360" w:lineRule="auto"/>
        <w:rPr>
          <w:sz w:val="26"/>
          <w:szCs w:val="26"/>
        </w:rPr>
      </w:pPr>
      <w:r w:rsidRPr="00EE5722">
        <w:rPr>
          <w:sz w:val="26"/>
          <w:szCs w:val="26"/>
        </w:rPr>
        <w:tab/>
      </w:r>
      <w:r w:rsidR="001D5698" w:rsidRPr="00EE5722">
        <w:rPr>
          <w:sz w:val="26"/>
          <w:szCs w:val="26"/>
        </w:rPr>
        <w:tab/>
      </w:r>
      <w:r w:rsidR="000368AB">
        <w:rPr>
          <w:sz w:val="26"/>
          <w:szCs w:val="26"/>
        </w:rPr>
        <w:t xml:space="preserve">The </w:t>
      </w:r>
      <w:r w:rsidRPr="00EE5722">
        <w:rPr>
          <w:sz w:val="26"/>
          <w:szCs w:val="26"/>
        </w:rPr>
        <w:t>OCA</w:t>
      </w:r>
      <w:r w:rsidR="000368AB">
        <w:rPr>
          <w:sz w:val="26"/>
          <w:szCs w:val="26"/>
        </w:rPr>
        <w:t xml:space="preserve">, the OSBA, CAUSE, </w:t>
      </w:r>
      <w:r w:rsidR="00796076">
        <w:rPr>
          <w:sz w:val="26"/>
          <w:szCs w:val="26"/>
        </w:rPr>
        <w:t>DII, D</w:t>
      </w:r>
      <w:r w:rsidR="008F3443">
        <w:rPr>
          <w:sz w:val="26"/>
          <w:szCs w:val="26"/>
        </w:rPr>
        <w:t xml:space="preserve">ominion and Constellation </w:t>
      </w:r>
      <w:r w:rsidR="000368AB">
        <w:rPr>
          <w:sz w:val="26"/>
          <w:szCs w:val="26"/>
        </w:rPr>
        <w:t>took</w:t>
      </w:r>
      <w:r w:rsidRPr="00EE5722">
        <w:rPr>
          <w:sz w:val="26"/>
          <w:szCs w:val="26"/>
        </w:rPr>
        <w:t xml:space="preserve"> no position on this issue.</w:t>
      </w:r>
    </w:p>
    <w:p w:rsidR="00462F07" w:rsidRDefault="00462F07" w:rsidP="00A14704">
      <w:pPr>
        <w:pStyle w:val="BodyText2"/>
        <w:spacing w:after="0" w:line="360" w:lineRule="auto"/>
        <w:rPr>
          <w:sz w:val="26"/>
          <w:szCs w:val="26"/>
        </w:rPr>
      </w:pPr>
    </w:p>
    <w:p w:rsidR="00462F07" w:rsidRPr="00462F07" w:rsidRDefault="00462F07" w:rsidP="00115AB3">
      <w:pPr>
        <w:pStyle w:val="Heading4"/>
        <w:numPr>
          <w:ilvl w:val="0"/>
          <w:numId w:val="0"/>
        </w:numPr>
        <w:ind w:left="2880" w:hanging="720"/>
      </w:pPr>
      <w:bookmarkStart w:id="56" w:name="_Toc346705298"/>
      <w:r w:rsidRPr="00EE5722">
        <w:t>c.</w:t>
      </w:r>
      <w:r w:rsidRPr="00EE5722">
        <w:tab/>
      </w:r>
      <w:r>
        <w:t>ALJ’s Recommendation</w:t>
      </w:r>
      <w:bookmarkEnd w:id="56"/>
      <w:r>
        <w:t xml:space="preserve"> </w:t>
      </w:r>
    </w:p>
    <w:p w:rsidR="00796076" w:rsidRPr="00462F07" w:rsidRDefault="00796076" w:rsidP="00462F07">
      <w:pPr>
        <w:pStyle w:val="BriefL3"/>
        <w:numPr>
          <w:ilvl w:val="0"/>
          <w:numId w:val="0"/>
        </w:numPr>
        <w:spacing w:after="0" w:line="360" w:lineRule="auto"/>
        <w:rPr>
          <w:b/>
          <w:sz w:val="26"/>
          <w:szCs w:val="26"/>
        </w:rPr>
      </w:pPr>
    </w:p>
    <w:p w:rsidR="00134D42" w:rsidRPr="00134D42" w:rsidRDefault="00332002" w:rsidP="00134D42">
      <w:pPr>
        <w:pStyle w:val="BodyText2"/>
        <w:spacing w:after="0" w:line="360" w:lineRule="auto"/>
        <w:rPr>
          <w:sz w:val="26"/>
          <w:szCs w:val="26"/>
        </w:rPr>
      </w:pPr>
      <w:r w:rsidRPr="00EE5722">
        <w:rPr>
          <w:sz w:val="26"/>
          <w:szCs w:val="26"/>
        </w:rPr>
        <w:tab/>
      </w:r>
      <w:r w:rsidRPr="00EE5722">
        <w:rPr>
          <w:sz w:val="26"/>
          <w:szCs w:val="26"/>
        </w:rPr>
        <w:tab/>
      </w:r>
      <w:r w:rsidR="00796076">
        <w:rPr>
          <w:sz w:val="26"/>
          <w:szCs w:val="26"/>
        </w:rPr>
        <w:t xml:space="preserve">The ALJ </w:t>
      </w:r>
      <w:r w:rsidR="00796076" w:rsidRPr="00EE5722">
        <w:rPr>
          <w:sz w:val="26"/>
          <w:szCs w:val="26"/>
        </w:rPr>
        <w:t>recommend</w:t>
      </w:r>
      <w:r w:rsidR="00796076">
        <w:rPr>
          <w:sz w:val="26"/>
          <w:szCs w:val="26"/>
        </w:rPr>
        <w:t>ed</w:t>
      </w:r>
      <w:r w:rsidR="00796076" w:rsidRPr="00EE5722">
        <w:rPr>
          <w:sz w:val="26"/>
          <w:szCs w:val="26"/>
        </w:rPr>
        <w:t xml:space="preserve"> approval of D</w:t>
      </w:r>
      <w:r w:rsidR="00796076">
        <w:rPr>
          <w:sz w:val="26"/>
          <w:szCs w:val="26"/>
        </w:rPr>
        <w:t xml:space="preserve">uquesne’s proposed </w:t>
      </w:r>
      <w:r w:rsidR="00796076" w:rsidRPr="00EE5722">
        <w:rPr>
          <w:sz w:val="26"/>
          <w:szCs w:val="26"/>
        </w:rPr>
        <w:t>50%</w:t>
      </w:r>
      <w:r w:rsidR="00462F07">
        <w:rPr>
          <w:sz w:val="26"/>
          <w:szCs w:val="26"/>
        </w:rPr>
        <w:t xml:space="preserve"> supplier load cap.  The ALJ concluded that t</w:t>
      </w:r>
      <w:r w:rsidR="00796076" w:rsidRPr="00EE5722">
        <w:rPr>
          <w:sz w:val="26"/>
          <w:szCs w:val="26"/>
        </w:rPr>
        <w:t>his proposal provides for supplier dive</w:t>
      </w:r>
      <w:r w:rsidR="00462F07">
        <w:rPr>
          <w:sz w:val="26"/>
          <w:szCs w:val="26"/>
        </w:rPr>
        <w:t xml:space="preserve">rsity, limits </w:t>
      </w:r>
      <w:r w:rsidR="00796076" w:rsidRPr="00EE5722">
        <w:rPr>
          <w:sz w:val="26"/>
          <w:szCs w:val="26"/>
        </w:rPr>
        <w:t xml:space="preserve">exposure </w:t>
      </w:r>
      <w:r w:rsidR="00462F07">
        <w:rPr>
          <w:sz w:val="26"/>
          <w:szCs w:val="26"/>
        </w:rPr>
        <w:t xml:space="preserve">to supplier defaults, and is consistent </w:t>
      </w:r>
      <w:r w:rsidR="00796076">
        <w:rPr>
          <w:sz w:val="26"/>
          <w:szCs w:val="26"/>
        </w:rPr>
        <w:t xml:space="preserve">with previous </w:t>
      </w:r>
      <w:r w:rsidR="00796076" w:rsidRPr="00EE5722">
        <w:rPr>
          <w:sz w:val="26"/>
          <w:szCs w:val="26"/>
        </w:rPr>
        <w:t xml:space="preserve">Commission decisions.  </w:t>
      </w:r>
      <w:r w:rsidR="00134D42">
        <w:rPr>
          <w:sz w:val="26"/>
          <w:szCs w:val="26"/>
        </w:rPr>
        <w:t>According to the ALJ, a</w:t>
      </w:r>
      <w:r w:rsidR="00796076" w:rsidRPr="00EE5722">
        <w:rPr>
          <w:sz w:val="26"/>
          <w:szCs w:val="26"/>
        </w:rPr>
        <w:t xml:space="preserve"> lower load cap should increase competition and lower bid prices, and shouldn’t increase default service rates</w:t>
      </w:r>
      <w:r w:rsidR="00796076" w:rsidRPr="00134D42">
        <w:rPr>
          <w:sz w:val="26"/>
          <w:szCs w:val="26"/>
        </w:rPr>
        <w:t>.</w:t>
      </w:r>
      <w:r w:rsidR="00134D42" w:rsidRPr="00134D42">
        <w:rPr>
          <w:sz w:val="26"/>
          <w:szCs w:val="26"/>
        </w:rPr>
        <w:t xml:space="preserve">  R.D. at 52</w:t>
      </w:r>
      <w:r w:rsidR="00134D42">
        <w:rPr>
          <w:sz w:val="26"/>
          <w:szCs w:val="26"/>
        </w:rPr>
        <w:t>-53.</w:t>
      </w:r>
    </w:p>
    <w:p w:rsidR="00462F07" w:rsidRDefault="00462F07" w:rsidP="00A14704">
      <w:pPr>
        <w:pStyle w:val="BodyText2"/>
        <w:spacing w:after="0" w:line="360" w:lineRule="auto"/>
        <w:rPr>
          <w:sz w:val="26"/>
          <w:szCs w:val="26"/>
        </w:rPr>
      </w:pPr>
    </w:p>
    <w:p w:rsidR="00796076" w:rsidRPr="00462F07" w:rsidRDefault="00462F07" w:rsidP="00115AB3">
      <w:pPr>
        <w:pStyle w:val="Heading4"/>
        <w:numPr>
          <w:ilvl w:val="0"/>
          <w:numId w:val="0"/>
        </w:numPr>
        <w:ind w:left="2880" w:hanging="720"/>
      </w:pPr>
      <w:bookmarkStart w:id="57" w:name="_Toc346705299"/>
      <w:r w:rsidRPr="00EE5722">
        <w:t>d</w:t>
      </w:r>
      <w:r>
        <w:t>.</w:t>
      </w:r>
      <w:r>
        <w:tab/>
        <w:t>Exceptions</w:t>
      </w:r>
      <w:bookmarkEnd w:id="57"/>
    </w:p>
    <w:p w:rsidR="00CB04A0" w:rsidRPr="00462F07" w:rsidRDefault="00CB04A0" w:rsidP="00FD21F4">
      <w:pPr>
        <w:pStyle w:val="BriefL3"/>
        <w:numPr>
          <w:ilvl w:val="0"/>
          <w:numId w:val="0"/>
        </w:numPr>
        <w:spacing w:after="0" w:line="360" w:lineRule="auto"/>
        <w:ind w:left="11520"/>
        <w:rPr>
          <w:b/>
          <w:sz w:val="26"/>
          <w:szCs w:val="26"/>
        </w:rPr>
      </w:pPr>
    </w:p>
    <w:p w:rsidR="00CB04A0" w:rsidRPr="00134D42" w:rsidRDefault="00CB04A0" w:rsidP="00134D42">
      <w:pPr>
        <w:pStyle w:val="BodyText2"/>
        <w:spacing w:after="0" w:line="360" w:lineRule="auto"/>
        <w:ind w:firstLine="1440"/>
        <w:rPr>
          <w:sz w:val="26"/>
          <w:szCs w:val="26"/>
        </w:rPr>
      </w:pPr>
      <w:r w:rsidRPr="00FA2DE0">
        <w:rPr>
          <w:sz w:val="26"/>
          <w:szCs w:val="26"/>
        </w:rPr>
        <w:t xml:space="preserve">FES </w:t>
      </w:r>
      <w:r w:rsidR="00FA2DE0" w:rsidRPr="00FA2DE0">
        <w:rPr>
          <w:sz w:val="26"/>
          <w:szCs w:val="26"/>
        </w:rPr>
        <w:t>excepts to the ALJ</w:t>
      </w:r>
      <w:r w:rsidRPr="00FA2DE0">
        <w:rPr>
          <w:sz w:val="26"/>
          <w:szCs w:val="26"/>
        </w:rPr>
        <w:t xml:space="preserve">’s recommended adoption of </w:t>
      </w:r>
      <w:r w:rsidR="00FA2DE0" w:rsidRPr="00FA2DE0">
        <w:rPr>
          <w:sz w:val="26"/>
          <w:szCs w:val="26"/>
        </w:rPr>
        <w:t>Duquesne</w:t>
      </w:r>
      <w:r w:rsidRPr="00FA2DE0">
        <w:rPr>
          <w:sz w:val="26"/>
          <w:szCs w:val="26"/>
        </w:rPr>
        <w:t>'s proposal to reduce its wholesale supplier load cap for Small an</w:t>
      </w:r>
      <w:r w:rsidR="00FA2DE0" w:rsidRPr="00FA2DE0">
        <w:rPr>
          <w:sz w:val="26"/>
          <w:szCs w:val="26"/>
        </w:rPr>
        <w:t xml:space="preserve">d Medium C&amp;I customers from 75% </w:t>
      </w:r>
      <w:r w:rsidRPr="00FA2DE0">
        <w:rPr>
          <w:sz w:val="26"/>
          <w:szCs w:val="26"/>
        </w:rPr>
        <w:t>to 50%, and to es</w:t>
      </w:r>
      <w:r w:rsidR="00134D42">
        <w:rPr>
          <w:sz w:val="26"/>
          <w:szCs w:val="26"/>
        </w:rPr>
        <w:t>tablish a 50% load cap for its r</w:t>
      </w:r>
      <w:r w:rsidRPr="00FA2DE0">
        <w:rPr>
          <w:sz w:val="26"/>
          <w:szCs w:val="26"/>
        </w:rPr>
        <w:t>esi</w:t>
      </w:r>
      <w:r w:rsidR="00FA2DE0" w:rsidRPr="00FA2DE0">
        <w:rPr>
          <w:sz w:val="26"/>
          <w:szCs w:val="26"/>
        </w:rPr>
        <w:t xml:space="preserve">dential customer procurements.  FES argues that the ALJ’s conclusion that the </w:t>
      </w:r>
      <w:r w:rsidR="00462F07" w:rsidRPr="00462F07">
        <w:rPr>
          <w:i/>
          <w:sz w:val="26"/>
          <w:szCs w:val="26"/>
        </w:rPr>
        <w:t>FirstEnergy DSP Order</w:t>
      </w:r>
      <w:r w:rsidR="00462F07">
        <w:rPr>
          <w:sz w:val="26"/>
          <w:szCs w:val="26"/>
        </w:rPr>
        <w:t xml:space="preserve"> </w:t>
      </w:r>
      <w:r w:rsidR="00FA2DE0" w:rsidRPr="00FA2DE0">
        <w:rPr>
          <w:sz w:val="26"/>
          <w:szCs w:val="26"/>
        </w:rPr>
        <w:t xml:space="preserve">is controlling in this </w:t>
      </w:r>
      <w:r w:rsidR="00FA2DE0" w:rsidRPr="00FA2DE0">
        <w:rPr>
          <w:sz w:val="26"/>
          <w:szCs w:val="26"/>
        </w:rPr>
        <w:lastRenderedPageBreak/>
        <w:t>proceeding is erroneous.</w:t>
      </w:r>
      <w:r w:rsidR="00134D42">
        <w:rPr>
          <w:sz w:val="26"/>
          <w:szCs w:val="26"/>
        </w:rPr>
        <w:t xml:space="preserve">  FES asserts that </w:t>
      </w:r>
      <w:r w:rsidRPr="00FA2DE0">
        <w:rPr>
          <w:sz w:val="26"/>
          <w:szCs w:val="26"/>
        </w:rPr>
        <w:t>with regard to limiting consumers’ exposure to supplier default, the terms and conditions under which suppliers m</w:t>
      </w:r>
      <w:r w:rsidR="00FA2DE0">
        <w:rPr>
          <w:sz w:val="26"/>
          <w:szCs w:val="26"/>
        </w:rPr>
        <w:t>ay participate in Duquesne</w:t>
      </w:r>
      <w:r w:rsidRPr="00FA2DE0">
        <w:rPr>
          <w:sz w:val="26"/>
          <w:szCs w:val="26"/>
        </w:rPr>
        <w:t>'s wholesale procurements contain substantial credit</w:t>
      </w:r>
      <w:r w:rsidR="00D20917">
        <w:rPr>
          <w:sz w:val="26"/>
          <w:szCs w:val="26"/>
        </w:rPr>
        <w:t xml:space="preserve"> protections</w:t>
      </w:r>
      <w:r w:rsidRPr="00FA2DE0">
        <w:rPr>
          <w:sz w:val="26"/>
          <w:szCs w:val="26"/>
        </w:rPr>
        <w:t xml:space="preserve">.  </w:t>
      </w:r>
      <w:r w:rsidR="00134D42">
        <w:rPr>
          <w:i/>
          <w:sz w:val="26"/>
          <w:szCs w:val="26"/>
        </w:rPr>
        <w:t xml:space="preserve">See </w:t>
      </w:r>
      <w:r w:rsidR="00FA2DE0">
        <w:rPr>
          <w:sz w:val="26"/>
          <w:szCs w:val="26"/>
        </w:rPr>
        <w:t>FES St. 1</w:t>
      </w:r>
      <w:r w:rsidR="00BA32AC">
        <w:rPr>
          <w:sz w:val="26"/>
          <w:szCs w:val="26"/>
        </w:rPr>
        <w:noBreakHyphen/>
      </w:r>
      <w:r w:rsidR="00FA2DE0">
        <w:rPr>
          <w:sz w:val="26"/>
          <w:szCs w:val="26"/>
        </w:rPr>
        <w:t xml:space="preserve">R at 9.  While Duquesne </w:t>
      </w:r>
      <w:r w:rsidRPr="00FA2DE0">
        <w:rPr>
          <w:sz w:val="26"/>
          <w:szCs w:val="26"/>
        </w:rPr>
        <w:t xml:space="preserve">contends that reduced load caps are necessitated by the risk of supplier default, and offered hearsay testimony concerning </w:t>
      </w:r>
      <w:r w:rsidR="00332E9E">
        <w:rPr>
          <w:sz w:val="26"/>
          <w:szCs w:val="26"/>
        </w:rPr>
        <w:t xml:space="preserve">an alleged </w:t>
      </w:r>
      <w:r w:rsidRPr="00FA2DE0">
        <w:rPr>
          <w:sz w:val="26"/>
          <w:szCs w:val="26"/>
        </w:rPr>
        <w:t xml:space="preserve">incident of </w:t>
      </w:r>
      <w:r w:rsidR="00332E9E">
        <w:rPr>
          <w:sz w:val="26"/>
          <w:szCs w:val="26"/>
        </w:rPr>
        <w:t>near-</w:t>
      </w:r>
      <w:r w:rsidRPr="00FA2DE0">
        <w:rPr>
          <w:sz w:val="26"/>
          <w:szCs w:val="26"/>
        </w:rPr>
        <w:t xml:space="preserve">default nearly ten years ago in DSP II, </w:t>
      </w:r>
      <w:r w:rsidR="00FA2DE0">
        <w:rPr>
          <w:sz w:val="26"/>
          <w:szCs w:val="26"/>
        </w:rPr>
        <w:t xml:space="preserve">Duquesne St. </w:t>
      </w:r>
      <w:r w:rsidRPr="00FA2DE0">
        <w:rPr>
          <w:sz w:val="26"/>
          <w:szCs w:val="26"/>
        </w:rPr>
        <w:t xml:space="preserve">3-R at 28, FES explained in </w:t>
      </w:r>
      <w:r w:rsidR="00FA2DE0">
        <w:rPr>
          <w:sz w:val="26"/>
          <w:szCs w:val="26"/>
        </w:rPr>
        <w:t xml:space="preserve">its </w:t>
      </w:r>
      <w:r w:rsidRPr="00FA2DE0">
        <w:rPr>
          <w:sz w:val="26"/>
          <w:szCs w:val="26"/>
        </w:rPr>
        <w:t>testimony that no default supplier has in fact defaulted on its supp</w:t>
      </w:r>
      <w:r w:rsidR="00FA2DE0">
        <w:rPr>
          <w:sz w:val="26"/>
          <w:szCs w:val="26"/>
        </w:rPr>
        <w:t>ly obligations to Duquesne</w:t>
      </w:r>
      <w:r w:rsidRPr="00FA2DE0">
        <w:rPr>
          <w:sz w:val="26"/>
          <w:szCs w:val="26"/>
        </w:rPr>
        <w:t xml:space="preserve">.  </w:t>
      </w:r>
      <w:r w:rsidR="00134D42">
        <w:rPr>
          <w:sz w:val="26"/>
          <w:szCs w:val="26"/>
        </w:rPr>
        <w:t>FES maintains that t</w:t>
      </w:r>
      <w:r w:rsidRPr="00FA2DE0">
        <w:rPr>
          <w:sz w:val="26"/>
          <w:szCs w:val="26"/>
        </w:rPr>
        <w:t xml:space="preserve">here is a significant difference between an alleged near-default and an actual default.  </w:t>
      </w:r>
      <w:r w:rsidR="00FA2DE0">
        <w:rPr>
          <w:sz w:val="26"/>
          <w:szCs w:val="26"/>
        </w:rPr>
        <w:t>FES submits that Duquesne</w:t>
      </w:r>
      <w:r w:rsidRPr="00FA2DE0">
        <w:rPr>
          <w:sz w:val="26"/>
          <w:szCs w:val="26"/>
        </w:rPr>
        <w:t>’s customers should not be penalized through higher rates, based o</w:t>
      </w:r>
      <w:r w:rsidR="00FA2DE0">
        <w:rPr>
          <w:sz w:val="26"/>
          <w:szCs w:val="26"/>
        </w:rPr>
        <w:t xml:space="preserve">n something that Duquesne </w:t>
      </w:r>
      <w:r w:rsidR="00D20917">
        <w:rPr>
          <w:sz w:val="26"/>
          <w:szCs w:val="26"/>
        </w:rPr>
        <w:t>contends nearly happened.  FES submits that t</w:t>
      </w:r>
      <w:r w:rsidRPr="00FA2DE0">
        <w:rPr>
          <w:sz w:val="26"/>
          <w:szCs w:val="26"/>
        </w:rPr>
        <w:t>he evidence</w:t>
      </w:r>
      <w:r w:rsidR="00FA2DE0">
        <w:rPr>
          <w:sz w:val="26"/>
          <w:szCs w:val="26"/>
        </w:rPr>
        <w:t xml:space="preserve"> does not justify Duquesne</w:t>
      </w:r>
      <w:r w:rsidRPr="00FA2DE0">
        <w:rPr>
          <w:sz w:val="26"/>
          <w:szCs w:val="26"/>
        </w:rPr>
        <w:t>'s proposal to reduce supplier load caps in the wholesale procurements.</w:t>
      </w:r>
      <w:r w:rsidR="00134D42">
        <w:rPr>
          <w:sz w:val="26"/>
          <w:szCs w:val="26"/>
        </w:rPr>
        <w:t xml:space="preserve">  FES. Exc. at 5-6.  </w:t>
      </w:r>
    </w:p>
    <w:p w:rsidR="00FA2DE0" w:rsidRPr="00FA2DE0" w:rsidRDefault="00FA2DE0" w:rsidP="00134D42">
      <w:pPr>
        <w:pStyle w:val="BodyText2"/>
        <w:spacing w:after="0" w:line="360" w:lineRule="auto"/>
        <w:ind w:firstLine="1440"/>
        <w:rPr>
          <w:sz w:val="26"/>
          <w:szCs w:val="26"/>
        </w:rPr>
      </w:pPr>
    </w:p>
    <w:p w:rsidR="004706DF" w:rsidRDefault="00D20917" w:rsidP="00332E9E">
      <w:pPr>
        <w:pStyle w:val="BodyText2"/>
        <w:spacing w:after="0" w:line="360" w:lineRule="auto"/>
        <w:ind w:firstLine="1440"/>
        <w:rPr>
          <w:sz w:val="26"/>
          <w:szCs w:val="26"/>
        </w:rPr>
      </w:pPr>
      <w:r>
        <w:rPr>
          <w:sz w:val="26"/>
          <w:szCs w:val="26"/>
        </w:rPr>
        <w:t xml:space="preserve">FES submits that the Commission’s conclusion  in the </w:t>
      </w:r>
      <w:r w:rsidRPr="00D20917">
        <w:rPr>
          <w:i/>
          <w:sz w:val="26"/>
          <w:szCs w:val="26"/>
        </w:rPr>
        <w:t xml:space="preserve">FirstEnergy DSP </w:t>
      </w:r>
      <w:r w:rsidR="00CB04A0" w:rsidRPr="00D20917">
        <w:rPr>
          <w:i/>
          <w:sz w:val="26"/>
          <w:szCs w:val="26"/>
        </w:rPr>
        <w:t>Order</w:t>
      </w:r>
      <w:r>
        <w:rPr>
          <w:sz w:val="26"/>
          <w:szCs w:val="26"/>
        </w:rPr>
        <w:t xml:space="preserve"> </w:t>
      </w:r>
      <w:r w:rsidR="00CB04A0" w:rsidRPr="00FA2DE0">
        <w:rPr>
          <w:sz w:val="26"/>
          <w:szCs w:val="26"/>
        </w:rPr>
        <w:t>regarding default supply load caps was bas</w:t>
      </w:r>
      <w:r w:rsidR="00FA2DE0">
        <w:rPr>
          <w:sz w:val="26"/>
          <w:szCs w:val="26"/>
        </w:rPr>
        <w:t xml:space="preserve">ed on perceptions that </w:t>
      </w:r>
      <w:r w:rsidR="00CB04A0" w:rsidRPr="00FA2DE0">
        <w:rPr>
          <w:sz w:val="26"/>
          <w:szCs w:val="26"/>
        </w:rPr>
        <w:t xml:space="preserve">were specific to the four affiliated </w:t>
      </w:r>
      <w:r w:rsidR="00FA2DE0">
        <w:rPr>
          <w:sz w:val="26"/>
          <w:szCs w:val="26"/>
        </w:rPr>
        <w:t>EDCs</w:t>
      </w:r>
      <w:r w:rsidR="00CB04A0" w:rsidRPr="00FA2DE0">
        <w:rPr>
          <w:sz w:val="26"/>
          <w:szCs w:val="26"/>
        </w:rPr>
        <w:t xml:space="preserve"> in that proceeding.</w:t>
      </w:r>
      <w:r>
        <w:rPr>
          <w:rStyle w:val="FootnoteReference"/>
          <w:sz w:val="26"/>
          <w:szCs w:val="26"/>
        </w:rPr>
        <w:t xml:space="preserve"> </w:t>
      </w:r>
      <w:r w:rsidR="00CB04A0" w:rsidRPr="00FA2DE0">
        <w:rPr>
          <w:sz w:val="26"/>
          <w:szCs w:val="26"/>
        </w:rPr>
        <w:t xml:space="preserve"> </w:t>
      </w:r>
      <w:r w:rsidR="00332E9E">
        <w:rPr>
          <w:sz w:val="26"/>
          <w:szCs w:val="26"/>
        </w:rPr>
        <w:t>Also, FES asserts that t</w:t>
      </w:r>
      <w:r w:rsidR="00CB04A0" w:rsidRPr="00FA2DE0">
        <w:rPr>
          <w:sz w:val="26"/>
          <w:szCs w:val="26"/>
        </w:rPr>
        <w:t>he</w:t>
      </w:r>
      <w:r>
        <w:rPr>
          <w:sz w:val="26"/>
          <w:szCs w:val="26"/>
        </w:rPr>
        <w:t xml:space="preserve"> Commission stated in the</w:t>
      </w:r>
      <w:r w:rsidR="00CB04A0" w:rsidRPr="00FA2DE0">
        <w:rPr>
          <w:sz w:val="26"/>
          <w:szCs w:val="26"/>
        </w:rPr>
        <w:t xml:space="preserve"> </w:t>
      </w:r>
      <w:r w:rsidR="00CB04A0" w:rsidRPr="00D20917">
        <w:rPr>
          <w:i/>
          <w:sz w:val="26"/>
          <w:szCs w:val="26"/>
        </w:rPr>
        <w:t xml:space="preserve">PECO </w:t>
      </w:r>
      <w:r w:rsidRPr="00D20917">
        <w:rPr>
          <w:i/>
          <w:sz w:val="26"/>
          <w:szCs w:val="26"/>
        </w:rPr>
        <w:t xml:space="preserve">DSP </w:t>
      </w:r>
      <w:r w:rsidR="00CB04A0" w:rsidRPr="00D20917">
        <w:rPr>
          <w:i/>
          <w:sz w:val="26"/>
          <w:szCs w:val="26"/>
        </w:rPr>
        <w:t>Order</w:t>
      </w:r>
      <w:r>
        <w:rPr>
          <w:sz w:val="26"/>
          <w:szCs w:val="26"/>
        </w:rPr>
        <w:t xml:space="preserve"> </w:t>
      </w:r>
      <w:r w:rsidR="00CB04A0" w:rsidRPr="00FA2DE0">
        <w:rPr>
          <w:sz w:val="26"/>
          <w:szCs w:val="26"/>
        </w:rPr>
        <w:t xml:space="preserve">that the 50% supplier load cap limited “potential market power” by increasing supplier participation in wholesale procurements in “large EDC service territories.”  </w:t>
      </w:r>
      <w:r w:rsidR="00CB04A0" w:rsidRPr="00D20917">
        <w:rPr>
          <w:i/>
          <w:sz w:val="26"/>
          <w:szCs w:val="26"/>
        </w:rPr>
        <w:t xml:space="preserve">PECO </w:t>
      </w:r>
      <w:r w:rsidRPr="00D20917">
        <w:rPr>
          <w:i/>
          <w:sz w:val="26"/>
          <w:szCs w:val="26"/>
        </w:rPr>
        <w:t xml:space="preserve">DSP </w:t>
      </w:r>
      <w:r w:rsidR="00CB04A0" w:rsidRPr="00D20917">
        <w:rPr>
          <w:i/>
          <w:sz w:val="26"/>
          <w:szCs w:val="26"/>
        </w:rPr>
        <w:t>Order</w:t>
      </w:r>
      <w:r w:rsidR="00CB04A0" w:rsidRPr="00FA2DE0">
        <w:rPr>
          <w:sz w:val="26"/>
          <w:szCs w:val="26"/>
        </w:rPr>
        <w:t xml:space="preserve"> at 41.</w:t>
      </w:r>
      <w:r w:rsidR="00332E9E">
        <w:rPr>
          <w:sz w:val="26"/>
          <w:szCs w:val="26"/>
        </w:rPr>
        <w:t xml:space="preserve">  </w:t>
      </w:r>
      <w:r>
        <w:rPr>
          <w:sz w:val="26"/>
          <w:szCs w:val="26"/>
        </w:rPr>
        <w:t xml:space="preserve">FES argues that these two cases </w:t>
      </w:r>
      <w:r w:rsidR="00CB04A0" w:rsidRPr="00FA2DE0">
        <w:rPr>
          <w:sz w:val="26"/>
          <w:szCs w:val="26"/>
        </w:rPr>
        <w:t>have no</w:t>
      </w:r>
      <w:r w:rsidR="00FA2DE0">
        <w:rPr>
          <w:sz w:val="26"/>
          <w:szCs w:val="26"/>
        </w:rPr>
        <w:t xml:space="preserve"> applicability to Duquesne.  </w:t>
      </w:r>
      <w:r w:rsidR="00332E9E">
        <w:rPr>
          <w:sz w:val="26"/>
          <w:szCs w:val="26"/>
        </w:rPr>
        <w:t>FES opines that d</w:t>
      </w:r>
      <w:r w:rsidR="00CB04A0" w:rsidRPr="00FA2DE0">
        <w:rPr>
          <w:sz w:val="26"/>
          <w:szCs w:val="26"/>
        </w:rPr>
        <w:t>ifferent circumstances in EDC service territories should be considered in individual EDC default service proceedings when determining the appropriate level (if any) of supplier load caps, including the experience with caps in effect during prior DSP time periods, past supplier participation in wholesale procurements and whether the level of the effective load caps had any negative or positive effect on customer pricing.</w:t>
      </w:r>
      <w:r w:rsidR="00332E9E">
        <w:rPr>
          <w:sz w:val="26"/>
          <w:szCs w:val="26"/>
        </w:rPr>
        <w:t xml:space="preserve">  </w:t>
      </w:r>
      <w:r w:rsidR="00332E9E">
        <w:rPr>
          <w:i/>
          <w:sz w:val="26"/>
          <w:szCs w:val="26"/>
        </w:rPr>
        <w:t xml:space="preserve">Id. </w:t>
      </w:r>
      <w:r w:rsidR="00332E9E">
        <w:rPr>
          <w:sz w:val="26"/>
          <w:szCs w:val="26"/>
        </w:rPr>
        <w:t>at 6-7.</w:t>
      </w:r>
    </w:p>
    <w:p w:rsidR="00332E9E" w:rsidRPr="004706DF" w:rsidRDefault="00332E9E" w:rsidP="00332E9E">
      <w:pPr>
        <w:pStyle w:val="BodyText2"/>
        <w:spacing w:after="0" w:line="360" w:lineRule="auto"/>
        <w:ind w:firstLine="1440"/>
        <w:rPr>
          <w:sz w:val="26"/>
          <w:szCs w:val="26"/>
        </w:rPr>
      </w:pPr>
    </w:p>
    <w:p w:rsidR="00CB04A0" w:rsidRPr="00332E9E" w:rsidRDefault="004706DF" w:rsidP="00FA2DE0">
      <w:pPr>
        <w:pStyle w:val="BodyTextFirstLine5DS"/>
        <w:spacing w:line="360" w:lineRule="auto"/>
        <w:ind w:firstLine="1440"/>
        <w:jc w:val="left"/>
        <w:rPr>
          <w:sz w:val="26"/>
          <w:szCs w:val="26"/>
        </w:rPr>
      </w:pPr>
      <w:r>
        <w:rPr>
          <w:sz w:val="26"/>
          <w:szCs w:val="26"/>
        </w:rPr>
        <w:t xml:space="preserve">Third, </w:t>
      </w:r>
      <w:r w:rsidR="003E5B4B">
        <w:rPr>
          <w:sz w:val="26"/>
          <w:szCs w:val="26"/>
        </w:rPr>
        <w:t xml:space="preserve">FES submits that </w:t>
      </w:r>
      <w:r>
        <w:rPr>
          <w:sz w:val="26"/>
          <w:szCs w:val="26"/>
        </w:rPr>
        <w:t>the ALJ</w:t>
      </w:r>
      <w:r w:rsidR="00CB04A0" w:rsidRPr="00FA2DE0">
        <w:rPr>
          <w:sz w:val="26"/>
          <w:szCs w:val="26"/>
        </w:rPr>
        <w:t>’s stated ground of increasing competition as a basis for establishing the load cap in this proceeding is unsupported.  There is no evidence i</w:t>
      </w:r>
      <w:r>
        <w:rPr>
          <w:sz w:val="26"/>
          <w:szCs w:val="26"/>
        </w:rPr>
        <w:t>n the record that Duquesne</w:t>
      </w:r>
      <w:r w:rsidR="00CB04A0" w:rsidRPr="00FA2DE0">
        <w:rPr>
          <w:sz w:val="26"/>
          <w:szCs w:val="26"/>
        </w:rPr>
        <w:t xml:space="preserve">’s wholesale procurements have suffered from a lack </w:t>
      </w:r>
      <w:r w:rsidR="00CB04A0" w:rsidRPr="00FA2DE0">
        <w:rPr>
          <w:sz w:val="26"/>
          <w:szCs w:val="26"/>
        </w:rPr>
        <w:lastRenderedPageBreak/>
        <w:t>of supplier participation, or that reduced load caps will result in an increase in the number of suppliers participating in those procurements.</w:t>
      </w:r>
      <w:r w:rsidR="00332E9E">
        <w:rPr>
          <w:sz w:val="26"/>
          <w:szCs w:val="26"/>
        </w:rPr>
        <w:t xml:space="preserve">  </w:t>
      </w:r>
      <w:r w:rsidR="00332E9E">
        <w:rPr>
          <w:i/>
          <w:sz w:val="26"/>
          <w:szCs w:val="26"/>
        </w:rPr>
        <w:t xml:space="preserve">Id. </w:t>
      </w:r>
      <w:r w:rsidR="00332E9E">
        <w:rPr>
          <w:sz w:val="26"/>
          <w:szCs w:val="26"/>
        </w:rPr>
        <w:t>at 7.</w:t>
      </w:r>
    </w:p>
    <w:p w:rsidR="004706DF" w:rsidRPr="00FA2DE0" w:rsidRDefault="004706DF" w:rsidP="00FA2DE0">
      <w:pPr>
        <w:pStyle w:val="BodyTextFirstLine5DS"/>
        <w:spacing w:line="360" w:lineRule="auto"/>
        <w:ind w:firstLine="1440"/>
        <w:jc w:val="left"/>
        <w:rPr>
          <w:sz w:val="26"/>
          <w:szCs w:val="26"/>
        </w:rPr>
      </w:pPr>
    </w:p>
    <w:p w:rsidR="004706DF" w:rsidRPr="00332E9E" w:rsidRDefault="004706DF" w:rsidP="00B12160">
      <w:pPr>
        <w:pStyle w:val="BodyTextFirstLine5DS"/>
        <w:spacing w:line="360" w:lineRule="auto"/>
        <w:ind w:firstLine="1440"/>
        <w:jc w:val="left"/>
        <w:rPr>
          <w:sz w:val="26"/>
          <w:szCs w:val="26"/>
        </w:rPr>
      </w:pPr>
      <w:r>
        <w:rPr>
          <w:sz w:val="26"/>
          <w:szCs w:val="26"/>
        </w:rPr>
        <w:t>Fo</w:t>
      </w:r>
      <w:r w:rsidR="003E5B4B">
        <w:rPr>
          <w:sz w:val="26"/>
          <w:szCs w:val="26"/>
        </w:rPr>
        <w:t xml:space="preserve">urth, the ALJ </w:t>
      </w:r>
      <w:r>
        <w:rPr>
          <w:sz w:val="26"/>
          <w:szCs w:val="26"/>
        </w:rPr>
        <w:t>asserted</w:t>
      </w:r>
      <w:r w:rsidR="00CB04A0" w:rsidRPr="00FA2DE0">
        <w:rPr>
          <w:sz w:val="26"/>
          <w:szCs w:val="26"/>
        </w:rPr>
        <w:t xml:space="preserve"> that reduced load caps will result in “lower bid prices” and “shouldn’t increase default</w:t>
      </w:r>
      <w:r w:rsidR="003E5B4B">
        <w:rPr>
          <w:sz w:val="26"/>
          <w:szCs w:val="26"/>
        </w:rPr>
        <w:t xml:space="preserve"> service rates.”  R.D. at 53.  FES submits that t</w:t>
      </w:r>
      <w:r w:rsidR="00CB04A0" w:rsidRPr="00FA2DE0">
        <w:rPr>
          <w:sz w:val="26"/>
          <w:szCs w:val="26"/>
        </w:rPr>
        <w:t xml:space="preserve">hese findings are unsupportable, and in fact are directly contradicted by the evidence in this proceeding.  </w:t>
      </w:r>
      <w:r w:rsidR="00332E9E">
        <w:rPr>
          <w:sz w:val="26"/>
          <w:szCs w:val="26"/>
        </w:rPr>
        <w:t>FES asserts that l</w:t>
      </w:r>
      <w:r w:rsidR="00CB04A0" w:rsidRPr="00FA2DE0">
        <w:rPr>
          <w:sz w:val="26"/>
          <w:szCs w:val="26"/>
        </w:rPr>
        <w:t>oad caps prevent the default service provider from achieving the lowest price in supply</w:t>
      </w:r>
      <w:r w:rsidR="003E5B4B">
        <w:rPr>
          <w:sz w:val="26"/>
          <w:szCs w:val="26"/>
        </w:rPr>
        <w:t xml:space="preserve"> procurements</w:t>
      </w:r>
      <w:r w:rsidR="00CB04A0" w:rsidRPr="00FA2DE0">
        <w:rPr>
          <w:sz w:val="26"/>
          <w:szCs w:val="26"/>
        </w:rPr>
        <w:t>.</w:t>
      </w:r>
      <w:r>
        <w:rPr>
          <w:sz w:val="26"/>
          <w:szCs w:val="26"/>
        </w:rPr>
        <w:t xml:space="preserve">  FES St.</w:t>
      </w:r>
      <w:r w:rsidR="00CB04A0" w:rsidRPr="00FA2DE0">
        <w:rPr>
          <w:sz w:val="26"/>
          <w:szCs w:val="26"/>
        </w:rPr>
        <w:t xml:space="preserve"> 1 at 9.</w:t>
      </w:r>
      <w:r w:rsidR="003E5B4B">
        <w:rPr>
          <w:sz w:val="26"/>
          <w:szCs w:val="26"/>
        </w:rPr>
        <w:t xml:space="preserve">  FES states that </w:t>
      </w:r>
      <w:r>
        <w:rPr>
          <w:sz w:val="26"/>
          <w:szCs w:val="26"/>
        </w:rPr>
        <w:t xml:space="preserve">Duquesne </w:t>
      </w:r>
      <w:r w:rsidR="003E5B4B">
        <w:rPr>
          <w:sz w:val="26"/>
          <w:szCs w:val="26"/>
        </w:rPr>
        <w:t xml:space="preserve">in fact </w:t>
      </w:r>
      <w:r w:rsidR="00CB04A0" w:rsidRPr="00FA2DE0">
        <w:rPr>
          <w:sz w:val="26"/>
          <w:szCs w:val="26"/>
        </w:rPr>
        <w:t>ac</w:t>
      </w:r>
      <w:r w:rsidR="00332E9E">
        <w:rPr>
          <w:sz w:val="26"/>
          <w:szCs w:val="26"/>
        </w:rPr>
        <w:t>knowledged that some of its DSP</w:t>
      </w:r>
      <w:r w:rsidR="00CB04A0" w:rsidRPr="00FA2DE0">
        <w:rPr>
          <w:sz w:val="26"/>
          <w:szCs w:val="26"/>
        </w:rPr>
        <w:t xml:space="preserve"> V RFPs would have resulted in higher prices had a 50% load cap been used at that time rather than the 75% load cap that was in effect for its Small and Medium</w:t>
      </w:r>
      <w:r>
        <w:rPr>
          <w:sz w:val="26"/>
          <w:szCs w:val="26"/>
        </w:rPr>
        <w:t xml:space="preserve"> C&amp;I customers.  Duquesne M.B. at 40.  </w:t>
      </w:r>
      <w:r w:rsidR="003E5B4B">
        <w:rPr>
          <w:sz w:val="26"/>
          <w:szCs w:val="26"/>
        </w:rPr>
        <w:t>FES submits that even a</w:t>
      </w:r>
      <w:r w:rsidR="00CB04A0" w:rsidRPr="00FA2DE0">
        <w:rPr>
          <w:sz w:val="26"/>
          <w:szCs w:val="26"/>
        </w:rPr>
        <w:t xml:space="preserve"> single percent change in the price of generat</w:t>
      </w:r>
      <w:r w:rsidR="003E5B4B">
        <w:rPr>
          <w:sz w:val="26"/>
          <w:szCs w:val="26"/>
        </w:rPr>
        <w:t xml:space="preserve">ion is significant.  </w:t>
      </w:r>
      <w:r>
        <w:rPr>
          <w:sz w:val="26"/>
          <w:szCs w:val="26"/>
        </w:rPr>
        <w:t>Thus, Duquesne</w:t>
      </w:r>
      <w:r w:rsidR="00CB04A0" w:rsidRPr="00FA2DE0">
        <w:rPr>
          <w:sz w:val="26"/>
          <w:szCs w:val="26"/>
        </w:rPr>
        <w:t>’s own acknowledgement contr</w:t>
      </w:r>
      <w:r>
        <w:rPr>
          <w:sz w:val="26"/>
          <w:szCs w:val="26"/>
        </w:rPr>
        <w:t>adicts the statement in the Recommended Decision</w:t>
      </w:r>
      <w:r w:rsidR="00CB04A0" w:rsidRPr="00FA2DE0">
        <w:rPr>
          <w:sz w:val="26"/>
          <w:szCs w:val="26"/>
        </w:rPr>
        <w:t xml:space="preserve"> that reducing default supply loa</w:t>
      </w:r>
      <w:r w:rsidR="003E5B4B">
        <w:rPr>
          <w:sz w:val="26"/>
          <w:szCs w:val="26"/>
        </w:rPr>
        <w:t>d caps will result in lower</w:t>
      </w:r>
      <w:r w:rsidR="00CB04A0" w:rsidRPr="00FA2DE0">
        <w:rPr>
          <w:sz w:val="26"/>
          <w:szCs w:val="26"/>
        </w:rPr>
        <w:t xml:space="preserve"> price supply prices.</w:t>
      </w:r>
      <w:r w:rsidR="00332E9E">
        <w:rPr>
          <w:sz w:val="26"/>
          <w:szCs w:val="26"/>
        </w:rPr>
        <w:t xml:space="preserve">  </w:t>
      </w:r>
      <w:r w:rsidR="00332E9E">
        <w:rPr>
          <w:i/>
          <w:sz w:val="26"/>
          <w:szCs w:val="26"/>
        </w:rPr>
        <w:t xml:space="preserve">Id. </w:t>
      </w:r>
      <w:r w:rsidR="00332E9E">
        <w:rPr>
          <w:sz w:val="26"/>
          <w:szCs w:val="26"/>
        </w:rPr>
        <w:t>at 8.</w:t>
      </w:r>
    </w:p>
    <w:p w:rsidR="0082170D" w:rsidRPr="004706DF" w:rsidRDefault="0082170D" w:rsidP="00B12160">
      <w:pPr>
        <w:pStyle w:val="BodyTextFirstLine5DS"/>
        <w:spacing w:line="360" w:lineRule="auto"/>
        <w:ind w:firstLine="1440"/>
        <w:jc w:val="left"/>
        <w:rPr>
          <w:sz w:val="26"/>
          <w:szCs w:val="26"/>
        </w:rPr>
      </w:pPr>
    </w:p>
    <w:p w:rsidR="00CB04A0" w:rsidRPr="0085773A" w:rsidRDefault="003E5B4B" w:rsidP="0085773A">
      <w:pPr>
        <w:pStyle w:val="BodyText2"/>
        <w:spacing w:after="0" w:line="360" w:lineRule="auto"/>
        <w:ind w:firstLine="1440"/>
        <w:rPr>
          <w:sz w:val="26"/>
          <w:szCs w:val="26"/>
        </w:rPr>
      </w:pPr>
      <w:r>
        <w:rPr>
          <w:sz w:val="26"/>
          <w:szCs w:val="26"/>
        </w:rPr>
        <w:t xml:space="preserve">Finally, FES asserts that </w:t>
      </w:r>
      <w:r w:rsidR="00CB04A0" w:rsidRPr="00FA2DE0">
        <w:rPr>
          <w:sz w:val="26"/>
          <w:szCs w:val="26"/>
        </w:rPr>
        <w:t>adopt</w:t>
      </w:r>
      <w:r w:rsidR="004706DF">
        <w:rPr>
          <w:sz w:val="26"/>
          <w:szCs w:val="26"/>
        </w:rPr>
        <w:t>ion of the reduced load cap would</w:t>
      </w:r>
      <w:r w:rsidR="00CB04A0" w:rsidRPr="00FA2DE0">
        <w:rPr>
          <w:sz w:val="26"/>
          <w:szCs w:val="26"/>
        </w:rPr>
        <w:t xml:space="preserve"> adversely impact the level of savin</w:t>
      </w:r>
      <w:r w:rsidR="004706DF">
        <w:rPr>
          <w:sz w:val="26"/>
          <w:szCs w:val="26"/>
        </w:rPr>
        <w:t>gs resulting from Duquesne</w:t>
      </w:r>
      <w:r w:rsidR="00CB04A0" w:rsidRPr="00FA2DE0">
        <w:rPr>
          <w:sz w:val="26"/>
          <w:szCs w:val="26"/>
        </w:rPr>
        <w:t xml:space="preserve">’s RME Programs, since the percentage discounts in the programs will </w:t>
      </w:r>
      <w:r w:rsidR="004706DF">
        <w:rPr>
          <w:sz w:val="26"/>
          <w:szCs w:val="26"/>
        </w:rPr>
        <w:t>be based on Duquesne</w:t>
      </w:r>
      <w:r w:rsidR="00CB04A0" w:rsidRPr="00FA2DE0">
        <w:rPr>
          <w:sz w:val="26"/>
          <w:szCs w:val="26"/>
        </w:rPr>
        <w:t xml:space="preserve">’s PTC.  </w:t>
      </w:r>
      <w:r w:rsidR="004706DF">
        <w:rPr>
          <w:sz w:val="26"/>
          <w:szCs w:val="26"/>
        </w:rPr>
        <w:t xml:space="preserve">Therefore, </w:t>
      </w:r>
      <w:r>
        <w:rPr>
          <w:sz w:val="26"/>
          <w:szCs w:val="26"/>
        </w:rPr>
        <w:t xml:space="preserve">FES argues that </w:t>
      </w:r>
      <w:r w:rsidR="004706DF">
        <w:rPr>
          <w:sz w:val="26"/>
          <w:szCs w:val="26"/>
        </w:rPr>
        <w:t>adoption of the ALJ</w:t>
      </w:r>
      <w:r w:rsidR="00CB04A0" w:rsidRPr="00FA2DE0">
        <w:rPr>
          <w:sz w:val="26"/>
          <w:szCs w:val="26"/>
        </w:rPr>
        <w:t xml:space="preserve">’s recommended reduced default supply </w:t>
      </w:r>
      <w:r>
        <w:rPr>
          <w:sz w:val="26"/>
          <w:szCs w:val="26"/>
        </w:rPr>
        <w:t xml:space="preserve">load caps would </w:t>
      </w:r>
      <w:r w:rsidR="004706DF">
        <w:rPr>
          <w:sz w:val="26"/>
          <w:szCs w:val="26"/>
        </w:rPr>
        <w:t>penalize both Duquesne</w:t>
      </w:r>
      <w:r w:rsidR="00CB04A0" w:rsidRPr="00FA2DE0">
        <w:rPr>
          <w:sz w:val="26"/>
          <w:szCs w:val="26"/>
        </w:rPr>
        <w:t>’s default service customers and participants in the RME Programs through higher prices.</w:t>
      </w:r>
      <w:r w:rsidR="0085773A">
        <w:rPr>
          <w:sz w:val="26"/>
          <w:szCs w:val="26"/>
        </w:rPr>
        <w:t xml:space="preserve">  </w:t>
      </w:r>
      <w:r w:rsidR="0085773A">
        <w:rPr>
          <w:i/>
          <w:sz w:val="26"/>
          <w:szCs w:val="26"/>
        </w:rPr>
        <w:t>Id.</w:t>
      </w:r>
      <w:r w:rsidR="0085773A">
        <w:rPr>
          <w:sz w:val="26"/>
          <w:szCs w:val="26"/>
        </w:rPr>
        <w:t xml:space="preserve"> at 9.</w:t>
      </w:r>
    </w:p>
    <w:p w:rsidR="00796076" w:rsidRPr="00EE5722" w:rsidRDefault="00796076" w:rsidP="00796076">
      <w:pPr>
        <w:pStyle w:val="BodyText"/>
        <w:spacing w:after="0" w:line="360" w:lineRule="auto"/>
        <w:ind w:left="0"/>
        <w:rPr>
          <w:sz w:val="26"/>
          <w:szCs w:val="26"/>
        </w:rPr>
      </w:pPr>
    </w:p>
    <w:p w:rsidR="0084672B" w:rsidRDefault="00115AB3" w:rsidP="00115AB3">
      <w:pPr>
        <w:pStyle w:val="Heading4"/>
        <w:numPr>
          <w:ilvl w:val="0"/>
          <w:numId w:val="0"/>
        </w:numPr>
        <w:ind w:left="2880" w:hanging="720"/>
      </w:pPr>
      <w:bookmarkStart w:id="58" w:name="_Toc346705300"/>
      <w:r>
        <w:t>e.</w:t>
      </w:r>
      <w:r>
        <w:tab/>
      </w:r>
      <w:r w:rsidR="000368AB" w:rsidRPr="00EE5FB7">
        <w:t>Reply Exceptions</w:t>
      </w:r>
      <w:bookmarkEnd w:id="58"/>
    </w:p>
    <w:p w:rsidR="00EE5FB7" w:rsidRPr="00EE5FB7" w:rsidRDefault="00EE5FB7" w:rsidP="00EE5FB7">
      <w:pPr>
        <w:pStyle w:val="BriefL3"/>
        <w:numPr>
          <w:ilvl w:val="0"/>
          <w:numId w:val="0"/>
        </w:numPr>
        <w:spacing w:after="0" w:line="360" w:lineRule="auto"/>
        <w:ind w:left="3240"/>
        <w:rPr>
          <w:b/>
          <w:sz w:val="26"/>
          <w:szCs w:val="26"/>
        </w:rPr>
      </w:pPr>
    </w:p>
    <w:p w:rsidR="00796076" w:rsidRDefault="00450770" w:rsidP="0085773A">
      <w:pPr>
        <w:pStyle w:val="BodyText2"/>
        <w:spacing w:after="0" w:line="360" w:lineRule="auto"/>
        <w:ind w:firstLine="1440"/>
        <w:rPr>
          <w:sz w:val="26"/>
          <w:szCs w:val="26"/>
        </w:rPr>
      </w:pPr>
      <w:r w:rsidRPr="00EE5FB7">
        <w:rPr>
          <w:sz w:val="26"/>
          <w:szCs w:val="26"/>
        </w:rPr>
        <w:t>In its Reply Excep</w:t>
      </w:r>
      <w:r w:rsidR="0085773A">
        <w:rPr>
          <w:sz w:val="26"/>
          <w:szCs w:val="26"/>
        </w:rPr>
        <w:t xml:space="preserve">tions, Duquesne argues that </w:t>
      </w:r>
      <w:r w:rsidRPr="00EE5FB7">
        <w:rPr>
          <w:sz w:val="26"/>
          <w:szCs w:val="26"/>
        </w:rPr>
        <w:t>FES’s Exception to Duquesne’s proposed supplier load cap should be denied.  Duquesne proposed that no supplier be awarded more than 50% of the tranches in any RFP fo</w:t>
      </w:r>
      <w:r w:rsidR="00EE5FB7" w:rsidRPr="00EE5FB7">
        <w:rPr>
          <w:sz w:val="26"/>
          <w:szCs w:val="26"/>
        </w:rPr>
        <w:t xml:space="preserve">r default service procurement.  </w:t>
      </w:r>
      <w:r w:rsidRPr="00EE5FB7">
        <w:rPr>
          <w:sz w:val="26"/>
          <w:szCs w:val="26"/>
        </w:rPr>
        <w:t>Contrary to FES’</w:t>
      </w:r>
      <w:r w:rsidR="00EE5FB7" w:rsidRPr="00EE5FB7">
        <w:rPr>
          <w:sz w:val="26"/>
          <w:szCs w:val="26"/>
        </w:rPr>
        <w:t>s</w:t>
      </w:r>
      <w:r w:rsidRPr="00EE5FB7">
        <w:rPr>
          <w:sz w:val="26"/>
          <w:szCs w:val="26"/>
        </w:rPr>
        <w:t xml:space="preserve"> contentions, the evi</w:t>
      </w:r>
      <w:r w:rsidR="00FD21F4">
        <w:rPr>
          <w:sz w:val="26"/>
          <w:szCs w:val="26"/>
        </w:rPr>
        <w:t xml:space="preserve">dence establishes that load caps have </w:t>
      </w:r>
      <w:r w:rsidRPr="00EE5FB7">
        <w:rPr>
          <w:sz w:val="26"/>
          <w:szCs w:val="26"/>
        </w:rPr>
        <w:lastRenderedPageBreak/>
        <w:t xml:space="preserve">no </w:t>
      </w:r>
      <w:r w:rsidR="00FD21F4">
        <w:rPr>
          <w:sz w:val="26"/>
          <w:szCs w:val="26"/>
        </w:rPr>
        <w:t xml:space="preserve">significant effect </w:t>
      </w:r>
      <w:r w:rsidRPr="00EE5FB7">
        <w:rPr>
          <w:sz w:val="26"/>
          <w:szCs w:val="26"/>
        </w:rPr>
        <w:t>on default service prices and a lower load cap may actually lower prices by encouraging greater supplier participation a</w:t>
      </w:r>
      <w:r w:rsidR="00EE5FB7" w:rsidRPr="00EE5FB7">
        <w:rPr>
          <w:sz w:val="26"/>
          <w:szCs w:val="26"/>
        </w:rPr>
        <w:t xml:space="preserve">nd competition.  Duquesne </w:t>
      </w:r>
      <w:r w:rsidRPr="00EE5FB7">
        <w:rPr>
          <w:sz w:val="26"/>
          <w:szCs w:val="26"/>
        </w:rPr>
        <w:t>M</w:t>
      </w:r>
      <w:r w:rsidR="00EE5FB7" w:rsidRPr="00EE5FB7">
        <w:rPr>
          <w:sz w:val="26"/>
          <w:szCs w:val="26"/>
        </w:rPr>
        <w:t>.</w:t>
      </w:r>
      <w:r w:rsidRPr="00EE5FB7">
        <w:rPr>
          <w:sz w:val="26"/>
          <w:szCs w:val="26"/>
        </w:rPr>
        <w:t>B</w:t>
      </w:r>
      <w:r w:rsidR="00EE5FB7" w:rsidRPr="00EE5FB7">
        <w:rPr>
          <w:sz w:val="26"/>
          <w:szCs w:val="26"/>
        </w:rPr>
        <w:t xml:space="preserve">. at </w:t>
      </w:r>
      <w:r w:rsidRPr="00EE5FB7">
        <w:rPr>
          <w:sz w:val="26"/>
          <w:szCs w:val="26"/>
        </w:rPr>
        <w:t xml:space="preserve">40-41.  </w:t>
      </w:r>
      <w:r w:rsidR="0085773A">
        <w:rPr>
          <w:sz w:val="26"/>
          <w:szCs w:val="26"/>
        </w:rPr>
        <w:t xml:space="preserve">According to Duquesne, </w:t>
      </w:r>
      <w:r w:rsidRPr="00EE5FB7">
        <w:rPr>
          <w:sz w:val="26"/>
          <w:szCs w:val="26"/>
        </w:rPr>
        <w:t>FES offers no new argument to those rejected by the Commission in approvi</w:t>
      </w:r>
      <w:r w:rsidR="0085773A">
        <w:rPr>
          <w:sz w:val="26"/>
          <w:szCs w:val="26"/>
        </w:rPr>
        <w:t xml:space="preserve">ng identical load caps in the </w:t>
      </w:r>
      <w:r w:rsidR="007B55F6">
        <w:rPr>
          <w:sz w:val="26"/>
          <w:szCs w:val="26"/>
        </w:rPr>
        <w:t>FirstEnergy</w:t>
      </w:r>
      <w:r w:rsidRPr="00EE5FB7">
        <w:rPr>
          <w:sz w:val="26"/>
          <w:szCs w:val="26"/>
        </w:rPr>
        <w:t xml:space="preserve"> and PECO cases.  </w:t>
      </w:r>
      <w:r w:rsidR="0085773A">
        <w:rPr>
          <w:i/>
          <w:sz w:val="26"/>
          <w:szCs w:val="26"/>
        </w:rPr>
        <w:t>FirstEnergy DSP</w:t>
      </w:r>
      <w:r w:rsidRPr="00EE5FB7">
        <w:rPr>
          <w:i/>
          <w:sz w:val="26"/>
          <w:szCs w:val="26"/>
        </w:rPr>
        <w:t xml:space="preserve"> Order</w:t>
      </w:r>
      <w:r w:rsidR="00EE5FB7" w:rsidRPr="00EE5FB7">
        <w:rPr>
          <w:sz w:val="26"/>
          <w:szCs w:val="26"/>
        </w:rPr>
        <w:t xml:space="preserve"> at </w:t>
      </w:r>
      <w:r w:rsidRPr="00EE5FB7">
        <w:rPr>
          <w:sz w:val="26"/>
          <w:szCs w:val="26"/>
        </w:rPr>
        <w:t xml:space="preserve">33; </w:t>
      </w:r>
      <w:r w:rsidRPr="00EE5FB7">
        <w:rPr>
          <w:i/>
          <w:sz w:val="26"/>
          <w:szCs w:val="26"/>
        </w:rPr>
        <w:t xml:space="preserve">PECO </w:t>
      </w:r>
      <w:r w:rsidR="0085773A">
        <w:rPr>
          <w:i/>
          <w:sz w:val="26"/>
          <w:szCs w:val="26"/>
        </w:rPr>
        <w:t xml:space="preserve">DSP </w:t>
      </w:r>
      <w:r w:rsidRPr="00EE5FB7">
        <w:rPr>
          <w:i/>
          <w:sz w:val="26"/>
          <w:szCs w:val="26"/>
        </w:rPr>
        <w:t>Order</w:t>
      </w:r>
      <w:r w:rsidR="00EE5FB7" w:rsidRPr="00EE5FB7">
        <w:rPr>
          <w:sz w:val="26"/>
          <w:szCs w:val="26"/>
        </w:rPr>
        <w:t xml:space="preserve"> at </w:t>
      </w:r>
      <w:r w:rsidRPr="00EE5FB7">
        <w:rPr>
          <w:sz w:val="26"/>
          <w:szCs w:val="26"/>
        </w:rPr>
        <w:t xml:space="preserve">41.  </w:t>
      </w:r>
      <w:r w:rsidR="0085773A">
        <w:rPr>
          <w:sz w:val="26"/>
          <w:szCs w:val="26"/>
        </w:rPr>
        <w:t xml:space="preserve">Duquesne R.Exc. at 10.  </w:t>
      </w:r>
    </w:p>
    <w:p w:rsidR="00EE5FB7" w:rsidRPr="00EE5FB7" w:rsidRDefault="00EE5FB7" w:rsidP="0085773A">
      <w:pPr>
        <w:pStyle w:val="BodyText2"/>
        <w:spacing w:after="0" w:line="360" w:lineRule="auto"/>
        <w:ind w:firstLine="1440"/>
        <w:rPr>
          <w:sz w:val="26"/>
          <w:szCs w:val="26"/>
        </w:rPr>
      </w:pPr>
    </w:p>
    <w:p w:rsidR="006D4D99" w:rsidRPr="00EE5FB7" w:rsidRDefault="00A14704" w:rsidP="00115AB3">
      <w:pPr>
        <w:pStyle w:val="Heading4"/>
        <w:numPr>
          <w:ilvl w:val="0"/>
          <w:numId w:val="0"/>
        </w:numPr>
        <w:ind w:left="2880" w:hanging="720"/>
      </w:pPr>
      <w:bookmarkStart w:id="59" w:name="_Toc346705301"/>
      <w:r w:rsidRPr="00EE5FB7">
        <w:t>f</w:t>
      </w:r>
      <w:r w:rsidR="000368AB" w:rsidRPr="00EE5FB7">
        <w:t>.</w:t>
      </w:r>
      <w:r w:rsidR="000368AB" w:rsidRPr="00EE5FB7">
        <w:tab/>
        <w:t>Disposition</w:t>
      </w:r>
      <w:bookmarkEnd w:id="59"/>
    </w:p>
    <w:p w:rsidR="006D4D99" w:rsidRPr="00EE5FB7" w:rsidRDefault="006D4D99" w:rsidP="00EE5FB7">
      <w:pPr>
        <w:pStyle w:val="BodyText"/>
        <w:spacing w:after="0" w:line="360" w:lineRule="auto"/>
        <w:ind w:left="0"/>
        <w:rPr>
          <w:sz w:val="26"/>
          <w:szCs w:val="26"/>
        </w:rPr>
      </w:pPr>
    </w:p>
    <w:p w:rsidR="00B918E3" w:rsidRDefault="0082170D" w:rsidP="001A3096">
      <w:pPr>
        <w:pStyle w:val="BodyText2"/>
        <w:spacing w:after="0" w:line="360" w:lineRule="auto"/>
        <w:ind w:firstLine="1440"/>
        <w:rPr>
          <w:sz w:val="26"/>
          <w:szCs w:val="26"/>
        </w:rPr>
      </w:pPr>
      <w:r>
        <w:rPr>
          <w:sz w:val="26"/>
          <w:szCs w:val="26"/>
        </w:rPr>
        <w:t>W</w:t>
      </w:r>
      <w:r w:rsidRPr="008D033C">
        <w:rPr>
          <w:sz w:val="26"/>
          <w:szCs w:val="26"/>
        </w:rPr>
        <w:t>e are in agreement with Duquesne</w:t>
      </w:r>
      <w:r>
        <w:rPr>
          <w:sz w:val="26"/>
          <w:szCs w:val="26"/>
        </w:rPr>
        <w:t xml:space="preserve">’s proposal, as well as the recommendation of the ALJ, that a 50% supplier load cap is reasonable and should be adopted.  We find that a 50% load cap will </w:t>
      </w:r>
      <w:r w:rsidRPr="00EE5722">
        <w:rPr>
          <w:sz w:val="26"/>
          <w:szCs w:val="26"/>
        </w:rPr>
        <w:t xml:space="preserve">ensure a diversity of </w:t>
      </w:r>
      <w:r>
        <w:rPr>
          <w:sz w:val="26"/>
          <w:szCs w:val="26"/>
        </w:rPr>
        <w:t>default service suppliers and will serve to</w:t>
      </w:r>
      <w:r w:rsidRPr="00EE5722">
        <w:rPr>
          <w:sz w:val="26"/>
          <w:szCs w:val="26"/>
        </w:rPr>
        <w:t xml:space="preserve"> reduce the impact of any single supplier’s default.</w:t>
      </w:r>
      <w:r>
        <w:rPr>
          <w:sz w:val="26"/>
          <w:szCs w:val="26"/>
        </w:rPr>
        <w:t xml:space="preserve">  We note that this determination is consistent with our recent </w:t>
      </w:r>
      <w:r w:rsidRPr="00EE5722">
        <w:rPr>
          <w:sz w:val="26"/>
          <w:szCs w:val="26"/>
        </w:rPr>
        <w:t>decision</w:t>
      </w:r>
      <w:r>
        <w:rPr>
          <w:sz w:val="26"/>
          <w:szCs w:val="26"/>
        </w:rPr>
        <w:t>s</w:t>
      </w:r>
      <w:r w:rsidRPr="00EE5722">
        <w:rPr>
          <w:sz w:val="26"/>
          <w:szCs w:val="26"/>
        </w:rPr>
        <w:t xml:space="preserve"> in the </w:t>
      </w:r>
      <w:r>
        <w:rPr>
          <w:i/>
          <w:sz w:val="26"/>
          <w:szCs w:val="26"/>
        </w:rPr>
        <w:t>FirstEnerg</w:t>
      </w:r>
      <w:r w:rsidRPr="0082170D">
        <w:rPr>
          <w:i/>
          <w:sz w:val="26"/>
          <w:szCs w:val="26"/>
        </w:rPr>
        <w:t>y DSP Order</w:t>
      </w:r>
      <w:r>
        <w:rPr>
          <w:sz w:val="26"/>
          <w:szCs w:val="26"/>
        </w:rPr>
        <w:t xml:space="preserve"> as well as </w:t>
      </w:r>
      <w:r w:rsidR="0085773A">
        <w:rPr>
          <w:sz w:val="26"/>
          <w:szCs w:val="26"/>
        </w:rPr>
        <w:t xml:space="preserve">the </w:t>
      </w:r>
      <w:r>
        <w:rPr>
          <w:i/>
          <w:sz w:val="26"/>
          <w:szCs w:val="26"/>
        </w:rPr>
        <w:t>PE</w:t>
      </w:r>
      <w:r w:rsidRPr="0082170D">
        <w:rPr>
          <w:i/>
          <w:sz w:val="26"/>
          <w:szCs w:val="26"/>
        </w:rPr>
        <w:t>CO DSP Order</w:t>
      </w:r>
      <w:r>
        <w:rPr>
          <w:sz w:val="26"/>
          <w:szCs w:val="26"/>
        </w:rPr>
        <w:t xml:space="preserve">.  As we stated in the </w:t>
      </w:r>
      <w:r>
        <w:rPr>
          <w:i/>
          <w:sz w:val="26"/>
          <w:szCs w:val="26"/>
        </w:rPr>
        <w:t xml:space="preserve">PECO DSP </w:t>
      </w:r>
      <w:r w:rsidRPr="0082170D">
        <w:rPr>
          <w:i/>
          <w:sz w:val="26"/>
          <w:szCs w:val="26"/>
        </w:rPr>
        <w:t>Order</w:t>
      </w:r>
      <w:r w:rsidR="00BA32AC">
        <w:rPr>
          <w:sz w:val="26"/>
          <w:szCs w:val="26"/>
        </w:rPr>
        <w:t xml:space="preserve"> at 40-41</w:t>
      </w:r>
      <w:r>
        <w:rPr>
          <w:sz w:val="26"/>
          <w:szCs w:val="26"/>
        </w:rPr>
        <w:t xml:space="preserve">, a policy that encourages the participation of additional suppliers by providing the opportunity to develop a customer base, is consistent with our desire to continue to foster a robust competitive energy market.  Accordingly, the Exceptions of FES on this issue are denied and the ALJ’s recommendation to establish a supplier load cap of </w:t>
      </w:r>
      <w:r w:rsidR="00015A3B">
        <w:rPr>
          <w:sz w:val="26"/>
          <w:szCs w:val="26"/>
          <w:lang w:val="en-US"/>
        </w:rPr>
        <w:t>50%</w:t>
      </w:r>
      <w:r>
        <w:rPr>
          <w:sz w:val="26"/>
          <w:szCs w:val="26"/>
        </w:rPr>
        <w:t xml:space="preserve"> is adopted.</w:t>
      </w:r>
      <w:r w:rsidR="00723BD6" w:rsidRPr="00EE5FB7">
        <w:rPr>
          <w:sz w:val="26"/>
          <w:szCs w:val="26"/>
        </w:rPr>
        <w:tab/>
      </w:r>
    </w:p>
    <w:p w:rsidR="0085773A" w:rsidRPr="001A3096" w:rsidRDefault="0085773A" w:rsidP="001A3096">
      <w:pPr>
        <w:pStyle w:val="BodyText2"/>
        <w:spacing w:after="0" w:line="360" w:lineRule="auto"/>
        <w:ind w:firstLine="1440"/>
        <w:rPr>
          <w:sz w:val="26"/>
          <w:szCs w:val="26"/>
        </w:rPr>
      </w:pPr>
    </w:p>
    <w:p w:rsidR="00EE639F" w:rsidRPr="00EE5722" w:rsidRDefault="00EE639F" w:rsidP="00115AB3">
      <w:pPr>
        <w:pStyle w:val="Heading3"/>
      </w:pPr>
      <w:bookmarkStart w:id="60" w:name="_Toc346705302"/>
      <w:r w:rsidRPr="00115AB3">
        <w:t>6.</w:t>
      </w:r>
      <w:r w:rsidRPr="00115AB3">
        <w:tab/>
      </w:r>
      <w:r w:rsidR="00720128" w:rsidRPr="00115AB3">
        <w:t>Procurements for Delivery After</w:t>
      </w:r>
      <w:r w:rsidRPr="00115AB3">
        <w:t xml:space="preserve"> May 31, 2015</w:t>
      </w:r>
      <w:bookmarkEnd w:id="60"/>
    </w:p>
    <w:p w:rsidR="00EE639F" w:rsidRPr="00EE5722" w:rsidRDefault="00EE639F" w:rsidP="0085773A">
      <w:pPr>
        <w:pStyle w:val="BodyText"/>
        <w:spacing w:after="0" w:line="360" w:lineRule="auto"/>
        <w:ind w:left="0" w:firstLine="0"/>
        <w:rPr>
          <w:sz w:val="26"/>
          <w:szCs w:val="26"/>
        </w:rPr>
      </w:pPr>
    </w:p>
    <w:p w:rsidR="00692C19" w:rsidRPr="00EE5722" w:rsidRDefault="00A14704" w:rsidP="00115AB3">
      <w:pPr>
        <w:pStyle w:val="Heading4"/>
        <w:numPr>
          <w:ilvl w:val="0"/>
          <w:numId w:val="0"/>
        </w:numPr>
        <w:ind w:left="2880" w:hanging="720"/>
      </w:pPr>
      <w:bookmarkStart w:id="61" w:name="_Toc346705303"/>
      <w:r w:rsidRPr="00EE5722">
        <w:t>a</w:t>
      </w:r>
      <w:r w:rsidR="00026DA4">
        <w:t>.</w:t>
      </w:r>
      <w:r w:rsidR="00026DA4">
        <w:tab/>
        <w:t>Duquesne</w:t>
      </w:r>
      <w:r w:rsidR="00692C19" w:rsidRPr="00EE5722">
        <w:t>’s Proposal</w:t>
      </w:r>
      <w:bookmarkEnd w:id="61"/>
    </w:p>
    <w:p w:rsidR="0055352D" w:rsidRPr="00EE5722" w:rsidRDefault="0055352D" w:rsidP="0085773A">
      <w:pPr>
        <w:pStyle w:val="BodyText"/>
        <w:spacing w:after="0" w:line="360" w:lineRule="auto"/>
        <w:ind w:left="0" w:firstLine="0"/>
        <w:rPr>
          <w:sz w:val="26"/>
          <w:szCs w:val="26"/>
        </w:rPr>
      </w:pPr>
    </w:p>
    <w:p w:rsidR="0055352D" w:rsidRPr="00EE5722" w:rsidRDefault="0055352D" w:rsidP="0085773A">
      <w:pPr>
        <w:pStyle w:val="BodyText2"/>
        <w:spacing w:after="0" w:line="360" w:lineRule="auto"/>
        <w:rPr>
          <w:sz w:val="26"/>
          <w:szCs w:val="26"/>
        </w:rPr>
      </w:pPr>
      <w:r w:rsidRPr="00EE5722">
        <w:rPr>
          <w:sz w:val="26"/>
          <w:szCs w:val="26"/>
        </w:rPr>
        <w:tab/>
      </w:r>
      <w:r w:rsidRPr="00EE5722">
        <w:rPr>
          <w:sz w:val="26"/>
          <w:szCs w:val="26"/>
        </w:rPr>
        <w:tab/>
      </w:r>
      <w:r w:rsidR="00026DA4">
        <w:rPr>
          <w:sz w:val="26"/>
          <w:szCs w:val="26"/>
        </w:rPr>
        <w:t xml:space="preserve">Duquesne </w:t>
      </w:r>
      <w:r w:rsidRPr="00EE5722">
        <w:rPr>
          <w:sz w:val="26"/>
          <w:szCs w:val="26"/>
        </w:rPr>
        <w:t>proposed to acquire a limited amount of default supplies for delivery after May 31, 201</w:t>
      </w:r>
      <w:r w:rsidR="00026DA4">
        <w:rPr>
          <w:sz w:val="26"/>
          <w:szCs w:val="26"/>
        </w:rPr>
        <w:t>5.  Specifically, Duquesne</w:t>
      </w:r>
      <w:r w:rsidRPr="00EE5722">
        <w:rPr>
          <w:sz w:val="26"/>
          <w:szCs w:val="26"/>
        </w:rPr>
        <w:t xml:space="preserve"> proposed to acquire 25% of </w:t>
      </w:r>
      <w:r w:rsidR="00B12160">
        <w:rPr>
          <w:sz w:val="26"/>
          <w:szCs w:val="26"/>
        </w:rPr>
        <w:t xml:space="preserve">the default service supply for </w:t>
      </w:r>
      <w:r w:rsidR="00BA32AC">
        <w:rPr>
          <w:sz w:val="26"/>
          <w:szCs w:val="26"/>
        </w:rPr>
        <w:t>r</w:t>
      </w:r>
      <w:r w:rsidRPr="00EE5722">
        <w:rPr>
          <w:sz w:val="26"/>
          <w:szCs w:val="26"/>
        </w:rPr>
        <w:t>esidential customers for the June 2015</w:t>
      </w:r>
      <w:r w:rsidR="006D4CBC" w:rsidRPr="00EE5722">
        <w:rPr>
          <w:sz w:val="26"/>
          <w:szCs w:val="26"/>
        </w:rPr>
        <w:t> </w:t>
      </w:r>
      <w:r w:rsidRPr="00EE5722">
        <w:rPr>
          <w:sz w:val="26"/>
          <w:szCs w:val="26"/>
        </w:rPr>
        <w:t>– May 2016 period</w:t>
      </w:r>
      <w:r w:rsidR="00796076">
        <w:rPr>
          <w:sz w:val="26"/>
          <w:szCs w:val="26"/>
        </w:rPr>
        <w:t>,</w:t>
      </w:r>
      <w:r w:rsidRPr="00EE5722">
        <w:rPr>
          <w:sz w:val="26"/>
          <w:szCs w:val="26"/>
        </w:rPr>
        <w:t xml:space="preserve"> and to acquire 50% of the default service supp</w:t>
      </w:r>
      <w:r w:rsidR="00796076">
        <w:rPr>
          <w:sz w:val="26"/>
          <w:szCs w:val="26"/>
        </w:rPr>
        <w:t>ly for Small C&amp;I customers for the</w:t>
      </w:r>
      <w:r w:rsidR="0085773A">
        <w:rPr>
          <w:sz w:val="26"/>
          <w:szCs w:val="26"/>
        </w:rPr>
        <w:t xml:space="preserve"> six</w:t>
      </w:r>
      <w:r w:rsidR="00911D84">
        <w:rPr>
          <w:sz w:val="26"/>
          <w:szCs w:val="26"/>
        </w:rPr>
        <w:t xml:space="preserve">-month period June 2015 </w:t>
      </w:r>
      <w:r w:rsidR="00911D84">
        <w:rPr>
          <w:sz w:val="26"/>
          <w:szCs w:val="26"/>
          <w:lang w:val="en-US"/>
        </w:rPr>
        <w:t xml:space="preserve">– </w:t>
      </w:r>
      <w:r w:rsidR="00026DA4">
        <w:rPr>
          <w:sz w:val="26"/>
          <w:szCs w:val="26"/>
        </w:rPr>
        <w:t xml:space="preserve">November 2015.  Duquesne </w:t>
      </w:r>
      <w:r w:rsidRPr="00EE5722">
        <w:rPr>
          <w:sz w:val="26"/>
          <w:szCs w:val="26"/>
        </w:rPr>
        <w:t>explained that</w:t>
      </w:r>
      <w:r w:rsidR="00B12160">
        <w:rPr>
          <w:sz w:val="26"/>
          <w:szCs w:val="26"/>
        </w:rPr>
        <w:t xml:space="preserve"> acquiring a portion of supply past May 31,</w:t>
      </w:r>
      <w:r w:rsidRPr="00EE5722">
        <w:rPr>
          <w:sz w:val="26"/>
          <w:szCs w:val="26"/>
        </w:rPr>
        <w:t xml:space="preserve"> 2015</w:t>
      </w:r>
      <w:r w:rsidR="00B12160">
        <w:rPr>
          <w:sz w:val="26"/>
          <w:szCs w:val="26"/>
        </w:rPr>
        <w:t>,</w:t>
      </w:r>
      <w:r w:rsidRPr="00EE5722">
        <w:rPr>
          <w:sz w:val="26"/>
          <w:szCs w:val="26"/>
        </w:rPr>
        <w:t xml:space="preserve"> would provide additional rate stability for </w:t>
      </w:r>
      <w:r w:rsidR="00BA32AC">
        <w:rPr>
          <w:sz w:val="26"/>
          <w:szCs w:val="26"/>
        </w:rPr>
        <w:t>r</w:t>
      </w:r>
      <w:r w:rsidRPr="00EE5722">
        <w:rPr>
          <w:sz w:val="26"/>
          <w:szCs w:val="26"/>
        </w:rPr>
        <w:t xml:space="preserve">esidential and </w:t>
      </w:r>
      <w:r w:rsidRPr="00EE5722">
        <w:rPr>
          <w:sz w:val="26"/>
          <w:szCs w:val="26"/>
        </w:rPr>
        <w:lastRenderedPageBreak/>
        <w:t xml:space="preserve">Small C&amp;I default service customers.  </w:t>
      </w:r>
      <w:r w:rsidR="00026DA4">
        <w:rPr>
          <w:sz w:val="26"/>
          <w:szCs w:val="26"/>
        </w:rPr>
        <w:t xml:space="preserve">In its Petition, Duquesne </w:t>
      </w:r>
      <w:r w:rsidRPr="00EE5722">
        <w:rPr>
          <w:sz w:val="26"/>
          <w:szCs w:val="26"/>
        </w:rPr>
        <w:t xml:space="preserve">noted </w:t>
      </w:r>
      <w:r w:rsidR="00796076">
        <w:rPr>
          <w:sz w:val="26"/>
          <w:szCs w:val="26"/>
        </w:rPr>
        <w:t xml:space="preserve">that </w:t>
      </w:r>
      <w:r w:rsidRPr="00EE5722">
        <w:rPr>
          <w:sz w:val="26"/>
          <w:szCs w:val="26"/>
        </w:rPr>
        <w:t xml:space="preserve">these </w:t>
      </w:r>
      <w:r w:rsidR="00796076">
        <w:rPr>
          <w:sz w:val="26"/>
          <w:szCs w:val="26"/>
        </w:rPr>
        <w:t xml:space="preserve">planned </w:t>
      </w:r>
      <w:r w:rsidRPr="00EE5722">
        <w:rPr>
          <w:sz w:val="26"/>
          <w:szCs w:val="26"/>
        </w:rPr>
        <w:t xml:space="preserve">procurements could be revised by the Commission in the event legal or regulatory changes </w:t>
      </w:r>
      <w:r w:rsidR="003B2D25" w:rsidRPr="00EE5722">
        <w:rPr>
          <w:sz w:val="26"/>
          <w:szCs w:val="26"/>
        </w:rPr>
        <w:t>alter</w:t>
      </w:r>
      <w:r w:rsidRPr="00EE5722">
        <w:rPr>
          <w:sz w:val="26"/>
          <w:szCs w:val="26"/>
        </w:rPr>
        <w:t xml:space="preserve"> the nature of default </w:t>
      </w:r>
      <w:r w:rsidR="00026DA4">
        <w:rPr>
          <w:sz w:val="26"/>
          <w:szCs w:val="26"/>
        </w:rPr>
        <w:t xml:space="preserve">service or change Duquesne’s role as DSP.  Duquesne </w:t>
      </w:r>
      <w:r w:rsidRPr="00EE5722">
        <w:rPr>
          <w:sz w:val="26"/>
          <w:szCs w:val="26"/>
        </w:rPr>
        <w:t>Ex</w:t>
      </w:r>
      <w:r w:rsidR="00026DA4">
        <w:rPr>
          <w:sz w:val="26"/>
          <w:szCs w:val="26"/>
        </w:rPr>
        <w:t>h</w:t>
      </w:r>
      <w:r w:rsidR="00796076">
        <w:rPr>
          <w:sz w:val="26"/>
          <w:szCs w:val="26"/>
        </w:rPr>
        <w:t xml:space="preserve">. </w:t>
      </w:r>
      <w:r w:rsidR="00026DA4">
        <w:rPr>
          <w:sz w:val="26"/>
          <w:szCs w:val="26"/>
        </w:rPr>
        <w:t xml:space="preserve">1 at </w:t>
      </w:r>
      <w:r w:rsidRPr="00EE5722">
        <w:rPr>
          <w:sz w:val="26"/>
          <w:szCs w:val="26"/>
        </w:rPr>
        <w:t>6.</w:t>
      </w:r>
    </w:p>
    <w:p w:rsidR="0055352D" w:rsidRPr="00EE5722" w:rsidRDefault="0055352D" w:rsidP="00692C19">
      <w:pPr>
        <w:pStyle w:val="BodyText2"/>
        <w:spacing w:after="0" w:line="360" w:lineRule="auto"/>
        <w:rPr>
          <w:sz w:val="26"/>
          <w:szCs w:val="26"/>
        </w:rPr>
      </w:pPr>
    </w:p>
    <w:p w:rsidR="0055352D" w:rsidRPr="00EE5722" w:rsidRDefault="00796076" w:rsidP="00692C19">
      <w:pPr>
        <w:pStyle w:val="BodyText2"/>
        <w:spacing w:after="0" w:line="360" w:lineRule="auto"/>
        <w:rPr>
          <w:sz w:val="26"/>
          <w:szCs w:val="26"/>
        </w:rPr>
      </w:pPr>
      <w:r>
        <w:rPr>
          <w:sz w:val="26"/>
          <w:szCs w:val="26"/>
        </w:rPr>
        <w:tab/>
      </w:r>
      <w:r>
        <w:rPr>
          <w:sz w:val="26"/>
          <w:szCs w:val="26"/>
        </w:rPr>
        <w:tab/>
        <w:t xml:space="preserve">Duquesne </w:t>
      </w:r>
      <w:r w:rsidR="0055352D" w:rsidRPr="00EE5722">
        <w:rPr>
          <w:sz w:val="26"/>
          <w:szCs w:val="26"/>
        </w:rPr>
        <w:t xml:space="preserve">noted </w:t>
      </w:r>
      <w:r>
        <w:rPr>
          <w:sz w:val="26"/>
          <w:szCs w:val="26"/>
        </w:rPr>
        <w:t xml:space="preserve">that </w:t>
      </w:r>
      <w:r w:rsidR="00B12160">
        <w:rPr>
          <w:sz w:val="26"/>
          <w:szCs w:val="26"/>
        </w:rPr>
        <w:t>RESA opposed</w:t>
      </w:r>
      <w:r w:rsidR="0055352D" w:rsidRPr="00EE5722">
        <w:rPr>
          <w:sz w:val="26"/>
          <w:szCs w:val="26"/>
        </w:rPr>
        <w:t xml:space="preserve"> </w:t>
      </w:r>
      <w:r>
        <w:rPr>
          <w:sz w:val="26"/>
          <w:szCs w:val="26"/>
        </w:rPr>
        <w:t>the</w:t>
      </w:r>
      <w:r w:rsidR="0055352D" w:rsidRPr="00EE5722">
        <w:rPr>
          <w:sz w:val="26"/>
          <w:szCs w:val="26"/>
        </w:rPr>
        <w:t xml:space="preserve"> proposal to acquire a minimal portion of default supplies past May 31, 2015</w:t>
      </w:r>
      <w:r>
        <w:rPr>
          <w:sz w:val="26"/>
          <w:szCs w:val="26"/>
        </w:rPr>
        <w:t>,</w:t>
      </w:r>
      <w:r w:rsidR="0055352D" w:rsidRPr="00EE5722">
        <w:rPr>
          <w:sz w:val="26"/>
          <w:szCs w:val="26"/>
        </w:rPr>
        <w:t xml:space="preserve"> and instead prefers a hard stop with all contracts expir</w:t>
      </w:r>
      <w:r>
        <w:rPr>
          <w:sz w:val="26"/>
          <w:szCs w:val="26"/>
        </w:rPr>
        <w:t xml:space="preserve">ing on this date.  RESA St. 1 at </w:t>
      </w:r>
      <w:r w:rsidR="0055352D" w:rsidRPr="00EE5722">
        <w:rPr>
          <w:sz w:val="26"/>
          <w:szCs w:val="26"/>
        </w:rPr>
        <w:t>4.  Duquesne</w:t>
      </w:r>
      <w:r w:rsidR="00026DA4">
        <w:rPr>
          <w:sz w:val="26"/>
          <w:szCs w:val="26"/>
        </w:rPr>
        <w:t xml:space="preserve"> </w:t>
      </w:r>
      <w:r>
        <w:rPr>
          <w:sz w:val="26"/>
          <w:szCs w:val="26"/>
        </w:rPr>
        <w:t>contended that</w:t>
      </w:r>
      <w:r w:rsidR="0055352D" w:rsidRPr="00EE5722">
        <w:rPr>
          <w:sz w:val="26"/>
          <w:szCs w:val="26"/>
        </w:rPr>
        <w:t xml:space="preserve"> RESA’s proposal is not prudent given the condit</w:t>
      </w:r>
      <w:r w:rsidR="00026DA4">
        <w:rPr>
          <w:sz w:val="26"/>
          <w:szCs w:val="26"/>
        </w:rPr>
        <w:t xml:space="preserve">ions under which Duquesne </w:t>
      </w:r>
      <w:r w:rsidR="003B2D25" w:rsidRPr="00EE5722">
        <w:rPr>
          <w:sz w:val="26"/>
          <w:szCs w:val="26"/>
        </w:rPr>
        <w:t xml:space="preserve">would </w:t>
      </w:r>
      <w:r w:rsidR="0055352D" w:rsidRPr="00EE5722">
        <w:rPr>
          <w:sz w:val="26"/>
          <w:szCs w:val="26"/>
        </w:rPr>
        <w:t>acquire default service supplies past May 3</w:t>
      </w:r>
      <w:r w:rsidR="00026DA4">
        <w:rPr>
          <w:sz w:val="26"/>
          <w:szCs w:val="26"/>
        </w:rPr>
        <w:t xml:space="preserve">1, 2015.  First, Duquesne </w:t>
      </w:r>
      <w:r>
        <w:rPr>
          <w:sz w:val="26"/>
          <w:szCs w:val="26"/>
        </w:rPr>
        <w:t>argued that</w:t>
      </w:r>
      <w:r w:rsidR="0055352D" w:rsidRPr="00EE5722">
        <w:rPr>
          <w:sz w:val="26"/>
          <w:szCs w:val="26"/>
        </w:rPr>
        <w:t xml:space="preserve"> it </w:t>
      </w:r>
      <w:r w:rsidR="00B12160">
        <w:rPr>
          <w:sz w:val="26"/>
          <w:szCs w:val="26"/>
        </w:rPr>
        <w:t>limited the amount of supply</w:t>
      </w:r>
      <w:r w:rsidR="0055352D" w:rsidRPr="00EE5722">
        <w:rPr>
          <w:sz w:val="26"/>
          <w:szCs w:val="26"/>
        </w:rPr>
        <w:t xml:space="preserve"> it will acquire past May 31, 2015</w:t>
      </w:r>
      <w:r w:rsidR="00B12160">
        <w:rPr>
          <w:sz w:val="26"/>
          <w:szCs w:val="26"/>
        </w:rPr>
        <w:t>,</w:t>
      </w:r>
      <w:r w:rsidR="0055352D" w:rsidRPr="00EE5722">
        <w:rPr>
          <w:sz w:val="26"/>
          <w:szCs w:val="26"/>
        </w:rPr>
        <w:t xml:space="preserve"> because this limitation will provide some rate stability for customers and allow </w:t>
      </w:r>
      <w:r w:rsidR="003B2D25" w:rsidRPr="00EE5722">
        <w:rPr>
          <w:sz w:val="26"/>
          <w:szCs w:val="26"/>
        </w:rPr>
        <w:t xml:space="preserve">for </w:t>
      </w:r>
      <w:r w:rsidR="0055352D" w:rsidRPr="00EE5722">
        <w:rPr>
          <w:sz w:val="26"/>
          <w:szCs w:val="26"/>
        </w:rPr>
        <w:t>considerable flexibility a</w:t>
      </w:r>
      <w:r w:rsidR="00B12160">
        <w:rPr>
          <w:sz w:val="26"/>
          <w:szCs w:val="26"/>
        </w:rPr>
        <w:t xml:space="preserve">fter May 31, 2015.  Second, </w:t>
      </w:r>
      <w:r>
        <w:rPr>
          <w:sz w:val="26"/>
          <w:szCs w:val="26"/>
        </w:rPr>
        <w:t>Duquesne noted that</w:t>
      </w:r>
      <w:r w:rsidR="0055352D" w:rsidRPr="00EE5722">
        <w:rPr>
          <w:sz w:val="26"/>
          <w:szCs w:val="26"/>
        </w:rPr>
        <w:t xml:space="preserve"> the Commission could modify these procurements in 2014 if the regulatory model changes significantly.  Third, </w:t>
      </w:r>
      <w:r>
        <w:rPr>
          <w:sz w:val="26"/>
          <w:szCs w:val="26"/>
        </w:rPr>
        <w:t>Duquesne pointed</w:t>
      </w:r>
      <w:r w:rsidR="001543F6" w:rsidRPr="00EE5722">
        <w:rPr>
          <w:sz w:val="26"/>
          <w:szCs w:val="26"/>
        </w:rPr>
        <w:t xml:space="preserve"> out </w:t>
      </w:r>
      <w:r>
        <w:rPr>
          <w:sz w:val="26"/>
          <w:szCs w:val="26"/>
        </w:rPr>
        <w:t xml:space="preserve">that </w:t>
      </w:r>
      <w:r w:rsidR="001543F6" w:rsidRPr="00EE5722">
        <w:rPr>
          <w:sz w:val="26"/>
          <w:szCs w:val="26"/>
        </w:rPr>
        <w:t>its</w:t>
      </w:r>
      <w:r w:rsidR="0055352D" w:rsidRPr="00EE5722">
        <w:rPr>
          <w:sz w:val="26"/>
          <w:szCs w:val="26"/>
        </w:rPr>
        <w:t xml:space="preserve"> Supply Master Agreement includes provisions under which its obligations may </w:t>
      </w:r>
      <w:r w:rsidR="00026DA4">
        <w:rPr>
          <w:sz w:val="26"/>
          <w:szCs w:val="26"/>
        </w:rPr>
        <w:t xml:space="preserve">be transferred.  Duquesne </w:t>
      </w:r>
      <w:r>
        <w:rPr>
          <w:sz w:val="26"/>
          <w:szCs w:val="26"/>
        </w:rPr>
        <w:t xml:space="preserve">Exh. JEW-1, § </w:t>
      </w:r>
      <w:r w:rsidR="0055352D" w:rsidRPr="00EE5722">
        <w:rPr>
          <w:sz w:val="26"/>
          <w:szCs w:val="26"/>
        </w:rPr>
        <w:t>16.7.</w:t>
      </w:r>
    </w:p>
    <w:p w:rsidR="001543F6" w:rsidRPr="00EE5722" w:rsidRDefault="001543F6" w:rsidP="00692C19">
      <w:pPr>
        <w:pStyle w:val="BodyText2"/>
        <w:spacing w:after="0" w:line="360" w:lineRule="auto"/>
        <w:rPr>
          <w:sz w:val="26"/>
          <w:szCs w:val="26"/>
        </w:rPr>
      </w:pPr>
    </w:p>
    <w:p w:rsidR="0055352D" w:rsidRDefault="00026DA4" w:rsidP="00692C19">
      <w:pPr>
        <w:pStyle w:val="BodyText2"/>
        <w:spacing w:after="0" w:line="360" w:lineRule="auto"/>
        <w:rPr>
          <w:sz w:val="26"/>
          <w:szCs w:val="26"/>
        </w:rPr>
      </w:pPr>
      <w:r>
        <w:rPr>
          <w:sz w:val="26"/>
          <w:szCs w:val="26"/>
        </w:rPr>
        <w:tab/>
      </w:r>
      <w:r>
        <w:rPr>
          <w:sz w:val="26"/>
          <w:szCs w:val="26"/>
        </w:rPr>
        <w:tab/>
        <w:t xml:space="preserve">Duquesne </w:t>
      </w:r>
      <w:r w:rsidR="00796076">
        <w:rPr>
          <w:sz w:val="26"/>
          <w:szCs w:val="26"/>
        </w:rPr>
        <w:t>noted that</w:t>
      </w:r>
      <w:r w:rsidR="001543F6" w:rsidRPr="00EE5722">
        <w:rPr>
          <w:sz w:val="26"/>
          <w:szCs w:val="26"/>
        </w:rPr>
        <w:t xml:space="preserve"> </w:t>
      </w:r>
      <w:r w:rsidR="0055352D" w:rsidRPr="00EE5722">
        <w:rPr>
          <w:sz w:val="26"/>
          <w:szCs w:val="26"/>
        </w:rPr>
        <w:t xml:space="preserve">the Commission rejected the use of contracts that extend beyond May 2015 in the </w:t>
      </w:r>
      <w:r w:rsidR="00B12160">
        <w:rPr>
          <w:i/>
          <w:sz w:val="26"/>
          <w:szCs w:val="26"/>
        </w:rPr>
        <w:t>FirstEnergy DSP</w:t>
      </w:r>
      <w:r w:rsidR="0055352D" w:rsidRPr="00EE5722">
        <w:rPr>
          <w:i/>
          <w:sz w:val="26"/>
          <w:szCs w:val="26"/>
        </w:rPr>
        <w:t xml:space="preserve"> Order,</w:t>
      </w:r>
      <w:r w:rsidR="00F92776">
        <w:rPr>
          <w:sz w:val="26"/>
          <w:szCs w:val="26"/>
        </w:rPr>
        <w:t xml:space="preserve"> but </w:t>
      </w:r>
      <w:r w:rsidR="0055352D" w:rsidRPr="00EE5722">
        <w:rPr>
          <w:sz w:val="26"/>
          <w:szCs w:val="26"/>
        </w:rPr>
        <w:t>accepted t</w:t>
      </w:r>
      <w:r w:rsidR="00F92776">
        <w:rPr>
          <w:sz w:val="26"/>
          <w:szCs w:val="26"/>
        </w:rPr>
        <w:t xml:space="preserve">he use of contracts that extend </w:t>
      </w:r>
      <w:r w:rsidR="0055352D" w:rsidRPr="00EE5722">
        <w:rPr>
          <w:sz w:val="26"/>
          <w:szCs w:val="26"/>
        </w:rPr>
        <w:t xml:space="preserve">beyond May 2015 in the </w:t>
      </w:r>
      <w:r w:rsidR="0055352D" w:rsidRPr="00EE5722">
        <w:rPr>
          <w:i/>
          <w:sz w:val="26"/>
          <w:szCs w:val="26"/>
        </w:rPr>
        <w:t>PECO Binding Poll</w:t>
      </w:r>
      <w:r w:rsidR="0055352D" w:rsidRPr="00EE5722">
        <w:rPr>
          <w:sz w:val="26"/>
          <w:szCs w:val="26"/>
        </w:rPr>
        <w:t xml:space="preserve">.  </w:t>
      </w:r>
      <w:r w:rsidR="00B12160">
        <w:rPr>
          <w:i/>
          <w:sz w:val="26"/>
          <w:szCs w:val="26"/>
        </w:rPr>
        <w:t>FirstEnergy DSP</w:t>
      </w:r>
      <w:r w:rsidR="0055352D" w:rsidRPr="00EE5722">
        <w:rPr>
          <w:i/>
          <w:sz w:val="26"/>
          <w:szCs w:val="26"/>
        </w:rPr>
        <w:t xml:space="preserve"> Order</w:t>
      </w:r>
      <w:r w:rsidR="0055352D" w:rsidRPr="00EE5722">
        <w:rPr>
          <w:sz w:val="26"/>
          <w:szCs w:val="26"/>
        </w:rPr>
        <w:t xml:space="preserve"> at 27; </w:t>
      </w:r>
      <w:r w:rsidR="0055352D" w:rsidRPr="00EE5722">
        <w:rPr>
          <w:i/>
          <w:sz w:val="26"/>
          <w:szCs w:val="26"/>
        </w:rPr>
        <w:t>PECO Binding Poll</w:t>
      </w:r>
      <w:r w:rsidR="0055352D" w:rsidRPr="00EE5722">
        <w:rPr>
          <w:sz w:val="26"/>
          <w:szCs w:val="26"/>
        </w:rPr>
        <w:t>, Issue No. 4.  In the</w:t>
      </w:r>
      <w:r w:rsidR="00B12160">
        <w:rPr>
          <w:sz w:val="26"/>
          <w:szCs w:val="26"/>
        </w:rPr>
        <w:t xml:space="preserve"> FirstEnergy proceeding</w:t>
      </w:r>
      <w:r w:rsidR="0055352D" w:rsidRPr="00EE5722">
        <w:rPr>
          <w:sz w:val="26"/>
          <w:szCs w:val="26"/>
        </w:rPr>
        <w:t xml:space="preserve">, </w:t>
      </w:r>
      <w:r w:rsidR="00F92776">
        <w:rPr>
          <w:sz w:val="26"/>
          <w:szCs w:val="26"/>
        </w:rPr>
        <w:t xml:space="preserve">the </w:t>
      </w:r>
      <w:r w:rsidR="0055352D" w:rsidRPr="00EE5722">
        <w:rPr>
          <w:sz w:val="26"/>
          <w:szCs w:val="26"/>
        </w:rPr>
        <w:t xml:space="preserve">OCA and </w:t>
      </w:r>
      <w:r w:rsidR="00F92776">
        <w:rPr>
          <w:sz w:val="26"/>
          <w:szCs w:val="26"/>
        </w:rPr>
        <w:t xml:space="preserve">the </w:t>
      </w:r>
      <w:r w:rsidR="0055352D" w:rsidRPr="00EE5722">
        <w:rPr>
          <w:sz w:val="26"/>
          <w:szCs w:val="26"/>
        </w:rPr>
        <w:t>OSBA proposed to include supply contracts that extended beyond May 20</w:t>
      </w:r>
      <w:r w:rsidR="00B12160">
        <w:rPr>
          <w:sz w:val="26"/>
          <w:szCs w:val="26"/>
        </w:rPr>
        <w:t>15, which was contrary to the FirstEnergy</w:t>
      </w:r>
      <w:r w:rsidR="0055352D" w:rsidRPr="00EE5722">
        <w:rPr>
          <w:sz w:val="26"/>
          <w:szCs w:val="26"/>
        </w:rPr>
        <w:t xml:space="preserve"> Companies’ procurement plan, and </w:t>
      </w:r>
      <w:r w:rsidR="003B2D25" w:rsidRPr="00EE5722">
        <w:rPr>
          <w:sz w:val="26"/>
          <w:szCs w:val="26"/>
        </w:rPr>
        <w:t xml:space="preserve">these </w:t>
      </w:r>
      <w:r w:rsidR="0055352D" w:rsidRPr="00EE5722">
        <w:rPr>
          <w:sz w:val="26"/>
          <w:szCs w:val="26"/>
        </w:rPr>
        <w:t>proposals were denied.  In the PECO proceeding, PECO’s procurement plan included contracts that extended beyond May 2015, and the Commission accepted PECO’s proposals.</w:t>
      </w:r>
    </w:p>
    <w:p w:rsidR="00F92776" w:rsidRPr="00F92776" w:rsidRDefault="00F92776" w:rsidP="00692C19">
      <w:pPr>
        <w:pStyle w:val="BodyText2"/>
        <w:spacing w:after="0" w:line="360" w:lineRule="auto"/>
        <w:rPr>
          <w:sz w:val="26"/>
          <w:szCs w:val="26"/>
        </w:rPr>
      </w:pPr>
    </w:p>
    <w:p w:rsidR="00F92776" w:rsidRPr="00EE5722" w:rsidRDefault="00F92776" w:rsidP="005915E1">
      <w:pPr>
        <w:pStyle w:val="Heading4"/>
        <w:numPr>
          <w:ilvl w:val="0"/>
          <w:numId w:val="0"/>
        </w:numPr>
        <w:ind w:left="2880" w:hanging="720"/>
      </w:pPr>
      <w:bookmarkStart w:id="62" w:name="_Toc346705304"/>
      <w:r w:rsidRPr="00EE5722">
        <w:lastRenderedPageBreak/>
        <w:t>b</w:t>
      </w:r>
      <w:r>
        <w:t>.</w:t>
      </w:r>
      <w:r>
        <w:tab/>
      </w:r>
      <w:r w:rsidRPr="00EE5722">
        <w:t>Position</w:t>
      </w:r>
      <w:r>
        <w:t>s of the Parties</w:t>
      </w:r>
      <w:bookmarkEnd w:id="62"/>
    </w:p>
    <w:p w:rsidR="00F92776" w:rsidRDefault="00F92776" w:rsidP="005915E1">
      <w:pPr>
        <w:keepNext/>
        <w:tabs>
          <w:tab w:val="left" w:pos="0"/>
        </w:tabs>
        <w:spacing w:line="360" w:lineRule="auto"/>
        <w:ind w:firstLine="1440"/>
        <w:rPr>
          <w:sz w:val="26"/>
          <w:szCs w:val="26"/>
        </w:rPr>
      </w:pPr>
    </w:p>
    <w:p w:rsidR="00F92776" w:rsidRPr="00EE5722" w:rsidRDefault="00F92776" w:rsidP="00F92776">
      <w:pPr>
        <w:tabs>
          <w:tab w:val="left" w:pos="0"/>
        </w:tabs>
        <w:spacing w:line="360" w:lineRule="auto"/>
        <w:ind w:firstLine="1440"/>
        <w:rPr>
          <w:sz w:val="26"/>
          <w:szCs w:val="26"/>
        </w:rPr>
      </w:pPr>
      <w:r>
        <w:rPr>
          <w:sz w:val="26"/>
          <w:szCs w:val="26"/>
        </w:rPr>
        <w:t xml:space="preserve">The OCA </w:t>
      </w:r>
      <w:r w:rsidRPr="00EE5722">
        <w:rPr>
          <w:sz w:val="26"/>
          <w:szCs w:val="26"/>
        </w:rPr>
        <w:t>support</w:t>
      </w:r>
      <w:r>
        <w:rPr>
          <w:sz w:val="26"/>
          <w:szCs w:val="26"/>
        </w:rPr>
        <w:t xml:space="preserve">ed </w:t>
      </w:r>
      <w:r w:rsidRPr="00EE5722">
        <w:rPr>
          <w:sz w:val="26"/>
          <w:szCs w:val="26"/>
        </w:rPr>
        <w:t>the Company’s proposal as a reasonable and measured way of overcoming the hard sto</w:t>
      </w:r>
      <w:r>
        <w:rPr>
          <w:sz w:val="26"/>
          <w:szCs w:val="26"/>
        </w:rPr>
        <w:t>p problem, saying that Duquesne</w:t>
      </w:r>
      <w:r w:rsidRPr="00EE5722">
        <w:rPr>
          <w:sz w:val="26"/>
          <w:szCs w:val="26"/>
        </w:rPr>
        <w:t>’s proposal, “would allow for a smoother transition to the subsequent [default service] plan period than would be the case absent such a procurement approach.</w:t>
      </w:r>
      <w:r>
        <w:rPr>
          <w:sz w:val="26"/>
          <w:szCs w:val="26"/>
        </w:rPr>
        <w:t>”  OCA St. 1 at 9.</w:t>
      </w:r>
    </w:p>
    <w:p w:rsidR="00F92776" w:rsidRPr="00EE5722" w:rsidRDefault="00F92776" w:rsidP="00F92776">
      <w:pPr>
        <w:tabs>
          <w:tab w:val="left" w:pos="0"/>
        </w:tabs>
        <w:spacing w:line="360" w:lineRule="auto"/>
        <w:rPr>
          <w:sz w:val="26"/>
          <w:szCs w:val="26"/>
        </w:rPr>
      </w:pPr>
    </w:p>
    <w:p w:rsidR="00F92776" w:rsidRDefault="00F92776" w:rsidP="00720128">
      <w:pPr>
        <w:pStyle w:val="BriefL3"/>
        <w:numPr>
          <w:ilvl w:val="0"/>
          <w:numId w:val="0"/>
        </w:numPr>
        <w:spacing w:after="0" w:line="360" w:lineRule="auto"/>
        <w:ind w:firstLine="1440"/>
        <w:rPr>
          <w:sz w:val="26"/>
          <w:szCs w:val="26"/>
        </w:rPr>
      </w:pPr>
      <w:r>
        <w:rPr>
          <w:sz w:val="26"/>
          <w:szCs w:val="26"/>
        </w:rPr>
        <w:t xml:space="preserve">The </w:t>
      </w:r>
      <w:r w:rsidRPr="00EE5722">
        <w:rPr>
          <w:sz w:val="26"/>
          <w:szCs w:val="26"/>
        </w:rPr>
        <w:t>OCA observed there is no reason why the small portion of the overall residential default service portfolio that would be served after May 31, 2015</w:t>
      </w:r>
      <w:r w:rsidR="00A41958">
        <w:rPr>
          <w:sz w:val="26"/>
          <w:szCs w:val="26"/>
        </w:rPr>
        <w:t>,</w:t>
      </w:r>
      <w:r w:rsidRPr="00EE5722">
        <w:rPr>
          <w:sz w:val="26"/>
          <w:szCs w:val="26"/>
        </w:rPr>
        <w:t xml:space="preserve"> from a pre-existing supply contract should interfere with any Commission determination regarding default service in 2015 and beyond.  </w:t>
      </w:r>
      <w:r>
        <w:rPr>
          <w:sz w:val="26"/>
          <w:szCs w:val="26"/>
        </w:rPr>
        <w:t xml:space="preserve">The </w:t>
      </w:r>
      <w:r w:rsidRPr="00EE5722">
        <w:rPr>
          <w:sz w:val="26"/>
          <w:szCs w:val="26"/>
        </w:rPr>
        <w:t>OCA</w:t>
      </w:r>
      <w:r>
        <w:rPr>
          <w:sz w:val="26"/>
          <w:szCs w:val="26"/>
        </w:rPr>
        <w:t xml:space="preserve"> averred that</w:t>
      </w:r>
      <w:r w:rsidRPr="00EE5722">
        <w:rPr>
          <w:sz w:val="26"/>
          <w:szCs w:val="26"/>
        </w:rPr>
        <w:t xml:space="preserve"> the supply contracts e</w:t>
      </w:r>
      <w:r>
        <w:rPr>
          <w:sz w:val="26"/>
          <w:szCs w:val="26"/>
        </w:rPr>
        <w:t>xtending beyond May 31, 2015</w:t>
      </w:r>
      <w:r w:rsidR="00A41958">
        <w:rPr>
          <w:sz w:val="26"/>
          <w:szCs w:val="26"/>
        </w:rPr>
        <w:t>,</w:t>
      </w:r>
      <w:r>
        <w:rPr>
          <w:sz w:val="26"/>
          <w:szCs w:val="26"/>
        </w:rPr>
        <w:t xml:space="preserve"> could be transferred to a</w:t>
      </w:r>
      <w:r w:rsidR="00A41958">
        <w:rPr>
          <w:sz w:val="26"/>
          <w:szCs w:val="26"/>
        </w:rPr>
        <w:t xml:space="preserve"> new default service supplier</w:t>
      </w:r>
      <w:r w:rsidRPr="00EE5722">
        <w:rPr>
          <w:sz w:val="26"/>
          <w:szCs w:val="26"/>
        </w:rPr>
        <w:t xml:space="preserve"> in the event the Commission decides </w:t>
      </w:r>
      <w:r>
        <w:rPr>
          <w:sz w:val="26"/>
          <w:szCs w:val="26"/>
        </w:rPr>
        <w:t xml:space="preserve">that </w:t>
      </w:r>
      <w:r w:rsidRPr="00EE5722">
        <w:rPr>
          <w:sz w:val="26"/>
          <w:szCs w:val="26"/>
        </w:rPr>
        <w:t>EDCs</w:t>
      </w:r>
      <w:r>
        <w:rPr>
          <w:sz w:val="26"/>
          <w:szCs w:val="26"/>
        </w:rPr>
        <w:t xml:space="preserve"> will</w:t>
      </w:r>
      <w:r w:rsidRPr="00EE5722">
        <w:rPr>
          <w:sz w:val="26"/>
          <w:szCs w:val="26"/>
        </w:rPr>
        <w:t xml:space="preserve"> not be </w:t>
      </w:r>
      <w:r w:rsidR="00BA32AC">
        <w:rPr>
          <w:sz w:val="26"/>
          <w:szCs w:val="26"/>
        </w:rPr>
        <w:t>d</w:t>
      </w:r>
      <w:r w:rsidRPr="00EE5722">
        <w:rPr>
          <w:sz w:val="26"/>
          <w:szCs w:val="26"/>
        </w:rPr>
        <w:t xml:space="preserve">efault </w:t>
      </w:r>
      <w:r w:rsidR="00BA32AC">
        <w:rPr>
          <w:sz w:val="26"/>
          <w:szCs w:val="26"/>
        </w:rPr>
        <w:t>s</w:t>
      </w:r>
      <w:r w:rsidRPr="00EE5722">
        <w:rPr>
          <w:sz w:val="26"/>
          <w:szCs w:val="26"/>
        </w:rPr>
        <w:t xml:space="preserve">ervice providers after June 1, 2015.  OCA St. 1-S at 7.   </w:t>
      </w:r>
      <w:r>
        <w:rPr>
          <w:sz w:val="26"/>
          <w:szCs w:val="26"/>
        </w:rPr>
        <w:t>The OCA contended that the concern RESA raised</w:t>
      </w:r>
      <w:r w:rsidR="00A41958">
        <w:rPr>
          <w:sz w:val="26"/>
          <w:szCs w:val="26"/>
        </w:rPr>
        <w:t xml:space="preserve"> </w:t>
      </w:r>
      <w:r w:rsidRPr="00EE5722">
        <w:rPr>
          <w:sz w:val="26"/>
          <w:szCs w:val="26"/>
        </w:rPr>
        <w:t>with regard to overhanging</w:t>
      </w:r>
      <w:r w:rsidR="00A41958">
        <w:rPr>
          <w:sz w:val="26"/>
          <w:szCs w:val="26"/>
        </w:rPr>
        <w:t xml:space="preserve"> contracts could be </w:t>
      </w:r>
      <w:r w:rsidRPr="00EE5722">
        <w:rPr>
          <w:sz w:val="26"/>
          <w:szCs w:val="26"/>
        </w:rPr>
        <w:t xml:space="preserve">addressed by making certain the contracts are assignable to a new default service provider if a new approach is adopted.  Therefore, there is no reason </w:t>
      </w:r>
      <w:r w:rsidR="00A41958">
        <w:rPr>
          <w:sz w:val="26"/>
          <w:szCs w:val="26"/>
        </w:rPr>
        <w:t xml:space="preserve">that Duquesne’s </w:t>
      </w:r>
      <w:r w:rsidR="00BA32AC">
        <w:rPr>
          <w:sz w:val="26"/>
          <w:szCs w:val="26"/>
        </w:rPr>
        <w:t>r</w:t>
      </w:r>
      <w:r w:rsidRPr="00EE5722">
        <w:rPr>
          <w:sz w:val="26"/>
          <w:szCs w:val="26"/>
        </w:rPr>
        <w:t>esidential customers should be denied the rate stabilizing effects that the overhang</w:t>
      </w:r>
      <w:r w:rsidR="00A41958">
        <w:rPr>
          <w:sz w:val="26"/>
          <w:szCs w:val="26"/>
        </w:rPr>
        <w:t>ing contracts would provide</w:t>
      </w:r>
      <w:r>
        <w:rPr>
          <w:sz w:val="26"/>
          <w:szCs w:val="26"/>
        </w:rPr>
        <w:t>.</w:t>
      </w:r>
    </w:p>
    <w:p w:rsidR="00504B9D" w:rsidRDefault="00504B9D" w:rsidP="00720128">
      <w:pPr>
        <w:pStyle w:val="BriefL3"/>
        <w:numPr>
          <w:ilvl w:val="0"/>
          <w:numId w:val="0"/>
        </w:numPr>
        <w:spacing w:after="0" w:line="360" w:lineRule="auto"/>
        <w:ind w:firstLine="1440"/>
        <w:rPr>
          <w:sz w:val="26"/>
          <w:szCs w:val="26"/>
        </w:rPr>
      </w:pPr>
    </w:p>
    <w:p w:rsidR="00F92776" w:rsidRPr="00A41958" w:rsidRDefault="00F92776" w:rsidP="00A41958">
      <w:pPr>
        <w:pStyle w:val="BodyText2"/>
        <w:spacing w:after="0" w:line="360" w:lineRule="auto"/>
        <w:ind w:firstLine="1440"/>
        <w:rPr>
          <w:sz w:val="26"/>
          <w:szCs w:val="26"/>
        </w:rPr>
      </w:pPr>
      <w:r>
        <w:rPr>
          <w:sz w:val="26"/>
          <w:szCs w:val="26"/>
        </w:rPr>
        <w:t>RESA opposed</w:t>
      </w:r>
      <w:r w:rsidR="00A41958">
        <w:rPr>
          <w:sz w:val="26"/>
          <w:szCs w:val="26"/>
        </w:rPr>
        <w:t xml:space="preserve"> </w:t>
      </w:r>
      <w:r w:rsidRPr="00EE5722">
        <w:rPr>
          <w:sz w:val="26"/>
          <w:szCs w:val="26"/>
        </w:rPr>
        <w:t xml:space="preserve">any procurement contracts </w:t>
      </w:r>
      <w:r w:rsidR="00A41958">
        <w:rPr>
          <w:sz w:val="26"/>
          <w:szCs w:val="26"/>
        </w:rPr>
        <w:t xml:space="preserve">that extend </w:t>
      </w:r>
      <w:r w:rsidRPr="00EE5722">
        <w:rPr>
          <w:sz w:val="26"/>
          <w:szCs w:val="26"/>
        </w:rPr>
        <w:t>beyond May 31</w:t>
      </w:r>
      <w:r w:rsidR="00BA32AC">
        <w:rPr>
          <w:sz w:val="26"/>
          <w:szCs w:val="26"/>
        </w:rPr>
        <w:t>,</w:t>
      </w:r>
      <w:r w:rsidRPr="00EE5722">
        <w:rPr>
          <w:sz w:val="26"/>
          <w:szCs w:val="26"/>
        </w:rPr>
        <w:t xml:space="preserve"> 2015.  </w:t>
      </w:r>
      <w:r>
        <w:rPr>
          <w:sz w:val="26"/>
          <w:szCs w:val="26"/>
        </w:rPr>
        <w:t>RESA contended</w:t>
      </w:r>
      <w:r w:rsidRPr="00EE5722">
        <w:rPr>
          <w:sz w:val="26"/>
          <w:szCs w:val="26"/>
        </w:rPr>
        <w:t xml:space="preserve"> the Retail M</w:t>
      </w:r>
      <w:r w:rsidR="00A41958">
        <w:rPr>
          <w:sz w:val="26"/>
          <w:szCs w:val="26"/>
        </w:rPr>
        <w:t xml:space="preserve">arkets Investigation </w:t>
      </w:r>
      <w:r w:rsidRPr="00EE5722">
        <w:rPr>
          <w:sz w:val="26"/>
          <w:szCs w:val="26"/>
        </w:rPr>
        <w:t xml:space="preserve">may lead to significant changes in the nature of </w:t>
      </w:r>
      <w:r w:rsidR="00A41958">
        <w:rPr>
          <w:sz w:val="26"/>
          <w:szCs w:val="26"/>
        </w:rPr>
        <w:t xml:space="preserve">the </w:t>
      </w:r>
      <w:r w:rsidRPr="00EE5722">
        <w:rPr>
          <w:sz w:val="26"/>
          <w:szCs w:val="26"/>
        </w:rPr>
        <w:t xml:space="preserve">procurement process for default service.  </w:t>
      </w:r>
      <w:r>
        <w:rPr>
          <w:sz w:val="26"/>
          <w:szCs w:val="26"/>
        </w:rPr>
        <w:t xml:space="preserve">RESA argued </w:t>
      </w:r>
      <w:r w:rsidR="00A41958">
        <w:rPr>
          <w:sz w:val="26"/>
          <w:szCs w:val="26"/>
        </w:rPr>
        <w:t xml:space="preserve">that </w:t>
      </w:r>
      <w:r>
        <w:rPr>
          <w:sz w:val="26"/>
          <w:szCs w:val="26"/>
        </w:rPr>
        <w:t>the prudent course would be</w:t>
      </w:r>
      <w:r w:rsidRPr="00EE5722">
        <w:rPr>
          <w:sz w:val="26"/>
          <w:szCs w:val="26"/>
        </w:rPr>
        <w:t xml:space="preserve"> to adopt a default service plan that ends with the c</w:t>
      </w:r>
      <w:r>
        <w:rPr>
          <w:sz w:val="26"/>
          <w:szCs w:val="26"/>
        </w:rPr>
        <w:t>urrent planning year end date.</w:t>
      </w:r>
      <w:r w:rsidR="00A41958">
        <w:rPr>
          <w:sz w:val="26"/>
          <w:szCs w:val="26"/>
        </w:rPr>
        <w:t xml:space="preserve">  </w:t>
      </w:r>
      <w:r>
        <w:rPr>
          <w:sz w:val="26"/>
          <w:szCs w:val="26"/>
        </w:rPr>
        <w:t>RESA contended that</w:t>
      </w:r>
      <w:r w:rsidRPr="00EE5722">
        <w:rPr>
          <w:sz w:val="26"/>
          <w:szCs w:val="26"/>
        </w:rPr>
        <w:t xml:space="preserve"> Duquesne’s proposal is directly contrary to the Commission’s objective outlined in its </w:t>
      </w:r>
      <w:r w:rsidRPr="00EE5722">
        <w:rPr>
          <w:i/>
          <w:sz w:val="26"/>
          <w:szCs w:val="26"/>
        </w:rPr>
        <w:t>RMI</w:t>
      </w:r>
      <w:r w:rsidRPr="00EE5722">
        <w:rPr>
          <w:sz w:val="26"/>
          <w:szCs w:val="26"/>
        </w:rPr>
        <w:t xml:space="preserve"> </w:t>
      </w:r>
      <w:r w:rsidRPr="00EE5722">
        <w:rPr>
          <w:i/>
          <w:sz w:val="26"/>
          <w:szCs w:val="26"/>
        </w:rPr>
        <w:t>Default Service Order</w:t>
      </w:r>
      <w:r w:rsidR="00A41958">
        <w:rPr>
          <w:sz w:val="26"/>
          <w:szCs w:val="26"/>
        </w:rPr>
        <w:t xml:space="preserve">.  RESA argued that Duquesne’s proposal would </w:t>
      </w:r>
      <w:r w:rsidRPr="00EE5722">
        <w:rPr>
          <w:sz w:val="26"/>
          <w:szCs w:val="26"/>
        </w:rPr>
        <w:t xml:space="preserve">complicate and extend the transition to quarterly contracts as envisioned in the recent </w:t>
      </w:r>
      <w:r w:rsidRPr="00EE5722">
        <w:rPr>
          <w:i/>
          <w:sz w:val="26"/>
          <w:szCs w:val="26"/>
        </w:rPr>
        <w:t>RMI End State Proposal</w:t>
      </w:r>
      <w:r w:rsidRPr="00EE5722">
        <w:rPr>
          <w:sz w:val="26"/>
          <w:szCs w:val="26"/>
        </w:rPr>
        <w:t>.</w:t>
      </w:r>
      <w:r w:rsidR="00A41958">
        <w:rPr>
          <w:sz w:val="26"/>
          <w:szCs w:val="26"/>
        </w:rPr>
        <w:t xml:space="preserve"> </w:t>
      </w:r>
    </w:p>
    <w:p w:rsidR="00F92776" w:rsidRPr="00EE5722" w:rsidRDefault="00F92776" w:rsidP="00F92776">
      <w:pPr>
        <w:pStyle w:val="BriefL3"/>
        <w:numPr>
          <w:ilvl w:val="0"/>
          <w:numId w:val="0"/>
        </w:numPr>
        <w:spacing w:after="0" w:line="360" w:lineRule="auto"/>
        <w:ind w:firstLine="1440"/>
        <w:rPr>
          <w:sz w:val="26"/>
          <w:szCs w:val="26"/>
        </w:rPr>
      </w:pPr>
    </w:p>
    <w:p w:rsidR="001F1EAA" w:rsidRPr="00EE5722" w:rsidRDefault="00F92776" w:rsidP="005915E1">
      <w:pPr>
        <w:pStyle w:val="BodyText"/>
        <w:widowControl/>
        <w:spacing w:after="0" w:line="360" w:lineRule="auto"/>
        <w:ind w:left="0"/>
        <w:rPr>
          <w:sz w:val="26"/>
          <w:szCs w:val="26"/>
        </w:rPr>
      </w:pPr>
      <w:r>
        <w:rPr>
          <w:sz w:val="26"/>
          <w:szCs w:val="26"/>
        </w:rPr>
        <w:lastRenderedPageBreak/>
        <w:t xml:space="preserve">The </w:t>
      </w:r>
      <w:r w:rsidRPr="00EE5722">
        <w:rPr>
          <w:sz w:val="26"/>
          <w:szCs w:val="26"/>
        </w:rPr>
        <w:t>OSB</w:t>
      </w:r>
      <w:r w:rsidR="00720128">
        <w:rPr>
          <w:sz w:val="26"/>
          <w:szCs w:val="26"/>
        </w:rPr>
        <w:t xml:space="preserve">A noted that Duquesne </w:t>
      </w:r>
      <w:r w:rsidRPr="00EE5722">
        <w:rPr>
          <w:sz w:val="26"/>
          <w:szCs w:val="26"/>
        </w:rPr>
        <w:t>did not propose to procure energy for Medium C&amp;I customers beyo</w:t>
      </w:r>
      <w:r w:rsidR="00720128">
        <w:rPr>
          <w:sz w:val="26"/>
          <w:szCs w:val="26"/>
        </w:rPr>
        <w:t xml:space="preserve">nd May 31, 2015, while its proposed procurement for </w:t>
      </w:r>
      <w:r w:rsidRPr="00EE5722">
        <w:rPr>
          <w:sz w:val="26"/>
          <w:szCs w:val="26"/>
        </w:rPr>
        <w:t>Small C</w:t>
      </w:r>
      <w:r w:rsidR="00720128">
        <w:rPr>
          <w:sz w:val="26"/>
          <w:szCs w:val="26"/>
        </w:rPr>
        <w:t xml:space="preserve">&amp;I customers includes </w:t>
      </w:r>
      <w:r w:rsidRPr="00EE5722">
        <w:rPr>
          <w:sz w:val="26"/>
          <w:szCs w:val="26"/>
        </w:rPr>
        <w:t>the acq</w:t>
      </w:r>
      <w:r w:rsidR="00720128">
        <w:rPr>
          <w:sz w:val="26"/>
          <w:szCs w:val="26"/>
        </w:rPr>
        <w:t xml:space="preserve">uisition of 50% of its supply </w:t>
      </w:r>
      <w:r w:rsidRPr="00EE5722">
        <w:rPr>
          <w:sz w:val="26"/>
          <w:szCs w:val="26"/>
        </w:rPr>
        <w:t>through November 30, 2015, or</w:t>
      </w:r>
      <w:r w:rsidR="0085773A">
        <w:rPr>
          <w:sz w:val="26"/>
          <w:szCs w:val="26"/>
        </w:rPr>
        <w:t xml:space="preserve"> six months beyond the DSP</w:t>
      </w:r>
      <w:r w:rsidRPr="00EE5722">
        <w:rPr>
          <w:sz w:val="26"/>
          <w:szCs w:val="26"/>
        </w:rPr>
        <w:t xml:space="preserve"> VI plan period.  However, in the event that legal or regulatory developments preclude Duquesne from continuing to serve as the default service provider after May 31, 2015, </w:t>
      </w:r>
      <w:r>
        <w:rPr>
          <w:sz w:val="26"/>
          <w:szCs w:val="26"/>
        </w:rPr>
        <w:t>the Commission could</w:t>
      </w:r>
      <w:r w:rsidRPr="00EE5722">
        <w:rPr>
          <w:sz w:val="26"/>
          <w:szCs w:val="26"/>
        </w:rPr>
        <w:t xml:space="preserve"> adjust the relevant (November 2014) Small C&amp;I procurement solicitation, as necessary.</w:t>
      </w:r>
    </w:p>
    <w:p w:rsidR="00F92776" w:rsidRPr="00EE5722" w:rsidRDefault="001F1EAA" w:rsidP="00F92776">
      <w:pPr>
        <w:tabs>
          <w:tab w:val="left" w:pos="0"/>
        </w:tabs>
        <w:spacing w:line="360" w:lineRule="auto"/>
        <w:rPr>
          <w:sz w:val="26"/>
          <w:szCs w:val="26"/>
        </w:rPr>
      </w:pPr>
      <w:r w:rsidRPr="00EE5722">
        <w:rPr>
          <w:sz w:val="26"/>
          <w:szCs w:val="26"/>
        </w:rPr>
        <w:tab/>
      </w:r>
      <w:r w:rsidRPr="00EE5722">
        <w:rPr>
          <w:sz w:val="26"/>
          <w:szCs w:val="26"/>
        </w:rPr>
        <w:tab/>
      </w:r>
    </w:p>
    <w:p w:rsidR="001F1EAA" w:rsidRDefault="00F92776" w:rsidP="00F92776">
      <w:pPr>
        <w:tabs>
          <w:tab w:val="left" w:pos="0"/>
        </w:tabs>
        <w:spacing w:line="360" w:lineRule="auto"/>
        <w:ind w:firstLine="1440"/>
        <w:rPr>
          <w:sz w:val="26"/>
          <w:szCs w:val="26"/>
        </w:rPr>
      </w:pPr>
      <w:r>
        <w:rPr>
          <w:sz w:val="26"/>
          <w:szCs w:val="26"/>
        </w:rPr>
        <w:t>Citizen Power recommended that</w:t>
      </w:r>
      <w:r w:rsidRPr="00EE5722">
        <w:rPr>
          <w:sz w:val="26"/>
          <w:szCs w:val="26"/>
        </w:rPr>
        <w:t xml:space="preserve"> the proposed “overhang” procurement should be approved because the proposed procurement date of April 2014 </w:t>
      </w:r>
      <w:r w:rsidR="00A41958">
        <w:rPr>
          <w:sz w:val="26"/>
          <w:szCs w:val="26"/>
        </w:rPr>
        <w:t xml:space="preserve">for Residential default service customers </w:t>
      </w:r>
      <w:r w:rsidRPr="00EE5722">
        <w:rPr>
          <w:sz w:val="26"/>
          <w:szCs w:val="26"/>
        </w:rPr>
        <w:t xml:space="preserve">is distant </w:t>
      </w:r>
      <w:r>
        <w:rPr>
          <w:sz w:val="26"/>
          <w:szCs w:val="26"/>
        </w:rPr>
        <w:t>enough that this procurement could</w:t>
      </w:r>
      <w:r w:rsidRPr="00EE5722">
        <w:rPr>
          <w:sz w:val="26"/>
          <w:szCs w:val="26"/>
        </w:rPr>
        <w:t xml:space="preserve"> be adjusted (or eliminated) based upon changes in the regulatory or statutory landscape.</w:t>
      </w:r>
    </w:p>
    <w:p w:rsidR="00D12B62" w:rsidRDefault="00D12B62" w:rsidP="00F92776">
      <w:pPr>
        <w:tabs>
          <w:tab w:val="left" w:pos="0"/>
        </w:tabs>
        <w:spacing w:line="360" w:lineRule="auto"/>
        <w:ind w:firstLine="1440"/>
        <w:rPr>
          <w:sz w:val="26"/>
          <w:szCs w:val="26"/>
        </w:rPr>
      </w:pPr>
    </w:p>
    <w:p w:rsidR="00F92776" w:rsidRPr="00EE5722" w:rsidRDefault="00F92776" w:rsidP="0085773A">
      <w:pPr>
        <w:tabs>
          <w:tab w:val="left" w:pos="0"/>
        </w:tabs>
        <w:spacing w:line="360" w:lineRule="auto"/>
        <w:ind w:firstLine="1440"/>
        <w:rPr>
          <w:sz w:val="26"/>
          <w:szCs w:val="26"/>
        </w:rPr>
      </w:pPr>
      <w:r>
        <w:rPr>
          <w:sz w:val="26"/>
          <w:szCs w:val="26"/>
        </w:rPr>
        <w:t>CAUSE,</w:t>
      </w:r>
      <w:r w:rsidRPr="00F92776">
        <w:rPr>
          <w:sz w:val="26"/>
          <w:szCs w:val="26"/>
        </w:rPr>
        <w:t xml:space="preserve"> </w:t>
      </w:r>
      <w:r>
        <w:rPr>
          <w:sz w:val="26"/>
          <w:szCs w:val="26"/>
        </w:rPr>
        <w:t xml:space="preserve">DII, </w:t>
      </w:r>
      <w:r w:rsidR="00873B16">
        <w:rPr>
          <w:sz w:val="26"/>
          <w:szCs w:val="26"/>
        </w:rPr>
        <w:t>Dominio</w:t>
      </w:r>
      <w:r w:rsidR="008F3443">
        <w:rPr>
          <w:sz w:val="26"/>
          <w:szCs w:val="26"/>
        </w:rPr>
        <w:t>n, FES and Constellation</w:t>
      </w:r>
      <w:r w:rsidR="00873B16">
        <w:rPr>
          <w:sz w:val="26"/>
          <w:szCs w:val="26"/>
        </w:rPr>
        <w:t xml:space="preserve"> </w:t>
      </w:r>
      <w:r>
        <w:rPr>
          <w:sz w:val="26"/>
          <w:szCs w:val="26"/>
        </w:rPr>
        <w:t xml:space="preserve">took </w:t>
      </w:r>
      <w:r w:rsidRPr="00EE5722">
        <w:rPr>
          <w:sz w:val="26"/>
          <w:szCs w:val="26"/>
        </w:rPr>
        <w:t>no position on this issue.</w:t>
      </w:r>
    </w:p>
    <w:p w:rsidR="00634542" w:rsidRPr="00EE5722" w:rsidRDefault="00634542" w:rsidP="0085773A">
      <w:pPr>
        <w:tabs>
          <w:tab w:val="left" w:pos="0"/>
        </w:tabs>
        <w:spacing w:line="360" w:lineRule="auto"/>
        <w:rPr>
          <w:sz w:val="26"/>
          <w:szCs w:val="26"/>
        </w:rPr>
      </w:pPr>
    </w:p>
    <w:p w:rsidR="00332002" w:rsidRDefault="00015A3B" w:rsidP="00015A3B">
      <w:pPr>
        <w:pStyle w:val="Heading4"/>
        <w:numPr>
          <w:ilvl w:val="0"/>
          <w:numId w:val="0"/>
        </w:numPr>
        <w:ind w:left="2160"/>
      </w:pPr>
      <w:bookmarkStart w:id="63" w:name="_Toc346705305"/>
      <w:r>
        <w:t>c.</w:t>
      </w:r>
      <w:r>
        <w:tab/>
      </w:r>
      <w:r w:rsidR="00F92776">
        <w:t>ALJ’s Recommendation</w:t>
      </w:r>
      <w:bookmarkEnd w:id="63"/>
      <w:r w:rsidR="00FC240D">
        <w:t xml:space="preserve"> </w:t>
      </w:r>
    </w:p>
    <w:p w:rsidR="00873B16" w:rsidRPr="00873B16" w:rsidRDefault="00873B16" w:rsidP="00873B16">
      <w:pPr>
        <w:pStyle w:val="BriefL3"/>
        <w:numPr>
          <w:ilvl w:val="0"/>
          <w:numId w:val="0"/>
        </w:numPr>
        <w:spacing w:after="0" w:line="360" w:lineRule="auto"/>
        <w:ind w:left="2160"/>
        <w:rPr>
          <w:b/>
          <w:sz w:val="26"/>
          <w:szCs w:val="26"/>
        </w:rPr>
      </w:pPr>
    </w:p>
    <w:p w:rsidR="00873B16" w:rsidRPr="00EE5722" w:rsidRDefault="00873B16" w:rsidP="00103AD3">
      <w:pPr>
        <w:pStyle w:val="BodyText"/>
        <w:spacing w:after="0" w:line="360" w:lineRule="auto"/>
        <w:ind w:left="0" w:firstLine="0"/>
        <w:rPr>
          <w:sz w:val="26"/>
          <w:szCs w:val="26"/>
        </w:rPr>
      </w:pPr>
      <w:r>
        <w:rPr>
          <w:sz w:val="26"/>
          <w:szCs w:val="26"/>
        </w:rPr>
        <w:tab/>
      </w:r>
      <w:r>
        <w:rPr>
          <w:sz w:val="26"/>
          <w:szCs w:val="26"/>
        </w:rPr>
        <w:tab/>
        <w:t>The ALJ recommended approval of Duquesne</w:t>
      </w:r>
      <w:r w:rsidRPr="00EE5722">
        <w:rPr>
          <w:sz w:val="26"/>
          <w:szCs w:val="26"/>
        </w:rPr>
        <w:t xml:space="preserve">’s proposal to “overhang” procurement beyond the end of this DSP term.  </w:t>
      </w:r>
      <w:r w:rsidR="0085773A">
        <w:rPr>
          <w:sz w:val="26"/>
          <w:szCs w:val="26"/>
        </w:rPr>
        <w:t>According to the ALJ, t</w:t>
      </w:r>
      <w:r w:rsidRPr="00EE5722">
        <w:rPr>
          <w:sz w:val="26"/>
          <w:szCs w:val="26"/>
        </w:rPr>
        <w:t>his provision provides for rate stability</w:t>
      </w:r>
      <w:r w:rsidR="00A41958">
        <w:rPr>
          <w:sz w:val="26"/>
          <w:szCs w:val="26"/>
        </w:rPr>
        <w:t xml:space="preserve">, and </w:t>
      </w:r>
      <w:r w:rsidRPr="00EE5722">
        <w:rPr>
          <w:sz w:val="26"/>
          <w:szCs w:val="26"/>
        </w:rPr>
        <w:t>the time frame is far enough</w:t>
      </w:r>
      <w:r w:rsidR="00A41958">
        <w:rPr>
          <w:sz w:val="26"/>
          <w:szCs w:val="26"/>
        </w:rPr>
        <w:t xml:space="preserve"> into the future that DSP VI could be re-designed</w:t>
      </w:r>
      <w:r w:rsidRPr="00EE5722">
        <w:rPr>
          <w:sz w:val="26"/>
          <w:szCs w:val="26"/>
        </w:rPr>
        <w:t xml:space="preserve"> should future conditions require changes.  In addition, </w:t>
      </w:r>
      <w:r w:rsidR="0085773A">
        <w:rPr>
          <w:sz w:val="26"/>
          <w:szCs w:val="26"/>
        </w:rPr>
        <w:t xml:space="preserve">the ALJ found that </w:t>
      </w:r>
      <w:r w:rsidRPr="00EE5722">
        <w:rPr>
          <w:sz w:val="26"/>
          <w:szCs w:val="26"/>
        </w:rPr>
        <w:t>this proposal is consistent with prior</w:t>
      </w:r>
      <w:r>
        <w:rPr>
          <w:sz w:val="26"/>
          <w:szCs w:val="26"/>
        </w:rPr>
        <w:t xml:space="preserve"> Commission decisions.</w:t>
      </w:r>
      <w:r w:rsidR="0085773A">
        <w:rPr>
          <w:sz w:val="26"/>
          <w:szCs w:val="26"/>
        </w:rPr>
        <w:t xml:space="preserve">  R.D. at 56.</w:t>
      </w:r>
    </w:p>
    <w:p w:rsidR="00FC240D" w:rsidRDefault="00015A3B" w:rsidP="00015A3B">
      <w:pPr>
        <w:pStyle w:val="Heading4"/>
        <w:numPr>
          <w:ilvl w:val="0"/>
          <w:numId w:val="0"/>
        </w:numPr>
        <w:ind w:left="2160"/>
      </w:pPr>
      <w:bookmarkStart w:id="64" w:name="_Toc346705306"/>
      <w:r>
        <w:t>d.</w:t>
      </w:r>
      <w:r>
        <w:tab/>
      </w:r>
      <w:r w:rsidR="00F92776">
        <w:t>Exceptions</w:t>
      </w:r>
      <w:bookmarkEnd w:id="64"/>
    </w:p>
    <w:p w:rsidR="00FC240D" w:rsidRPr="00FC240D" w:rsidRDefault="00FC240D" w:rsidP="00FC240D">
      <w:pPr>
        <w:pStyle w:val="BriefL3"/>
        <w:numPr>
          <w:ilvl w:val="0"/>
          <w:numId w:val="0"/>
        </w:numPr>
        <w:spacing w:after="0" w:line="360" w:lineRule="auto"/>
        <w:ind w:left="2160"/>
        <w:rPr>
          <w:sz w:val="26"/>
          <w:szCs w:val="26"/>
        </w:rPr>
      </w:pPr>
    </w:p>
    <w:p w:rsidR="00FC240D" w:rsidRPr="00360B73" w:rsidRDefault="00A41958" w:rsidP="00103AD3">
      <w:pPr>
        <w:pStyle w:val="BodyText2"/>
        <w:spacing w:after="0" w:line="360" w:lineRule="auto"/>
        <w:ind w:firstLine="1440"/>
        <w:rPr>
          <w:bCs/>
          <w:sz w:val="26"/>
          <w:szCs w:val="26"/>
        </w:rPr>
      </w:pPr>
      <w:r>
        <w:rPr>
          <w:sz w:val="26"/>
          <w:szCs w:val="26"/>
        </w:rPr>
        <w:t xml:space="preserve">In its Exceptions, RESA argues </w:t>
      </w:r>
      <w:r w:rsidR="00FC240D">
        <w:rPr>
          <w:bCs/>
          <w:sz w:val="26"/>
          <w:szCs w:val="26"/>
        </w:rPr>
        <w:t>that t</w:t>
      </w:r>
      <w:r w:rsidR="00FC240D" w:rsidRPr="00FC240D">
        <w:rPr>
          <w:bCs/>
          <w:sz w:val="26"/>
          <w:szCs w:val="26"/>
        </w:rPr>
        <w:t>he ALJ’s re</w:t>
      </w:r>
      <w:r w:rsidR="00736887">
        <w:rPr>
          <w:bCs/>
          <w:sz w:val="26"/>
          <w:szCs w:val="26"/>
        </w:rPr>
        <w:t xml:space="preserve">commendation should be rejected because </w:t>
      </w:r>
      <w:r w:rsidR="00FC240D" w:rsidRPr="00FC240D">
        <w:rPr>
          <w:bCs/>
          <w:sz w:val="26"/>
          <w:szCs w:val="26"/>
        </w:rPr>
        <w:t>t</w:t>
      </w:r>
      <w:r>
        <w:rPr>
          <w:bCs/>
          <w:sz w:val="26"/>
          <w:szCs w:val="26"/>
        </w:rPr>
        <w:t>he ALJ’s finding that there would</w:t>
      </w:r>
      <w:r w:rsidR="00FC240D" w:rsidRPr="00FC240D">
        <w:rPr>
          <w:bCs/>
          <w:sz w:val="26"/>
          <w:szCs w:val="26"/>
        </w:rPr>
        <w:t xml:space="preserve"> be sufficient time for the Commission to redesign Duquesne’s next DSP </w:t>
      </w:r>
      <w:r w:rsidR="00360B73">
        <w:rPr>
          <w:bCs/>
          <w:sz w:val="26"/>
          <w:szCs w:val="26"/>
        </w:rPr>
        <w:t xml:space="preserve">(DSP VII) </w:t>
      </w:r>
      <w:r w:rsidR="00FC240D" w:rsidRPr="00FC240D">
        <w:rPr>
          <w:bCs/>
          <w:sz w:val="26"/>
          <w:szCs w:val="26"/>
        </w:rPr>
        <w:t xml:space="preserve">prior to June 2015 and still avoid the proposed overhang contracts is not fully supported.  </w:t>
      </w:r>
      <w:r w:rsidR="00103AD3">
        <w:rPr>
          <w:bCs/>
          <w:sz w:val="26"/>
          <w:szCs w:val="26"/>
        </w:rPr>
        <w:t>RESA avers that t</w:t>
      </w:r>
      <w:r w:rsidR="00FC240D" w:rsidRPr="00FC240D">
        <w:rPr>
          <w:bCs/>
          <w:sz w:val="26"/>
          <w:szCs w:val="26"/>
        </w:rPr>
        <w:t xml:space="preserve">he </w:t>
      </w:r>
      <w:r w:rsidR="00FC240D" w:rsidRPr="00FC240D">
        <w:rPr>
          <w:bCs/>
          <w:sz w:val="26"/>
          <w:szCs w:val="26"/>
        </w:rPr>
        <w:lastRenderedPageBreak/>
        <w:t>Commissi</w:t>
      </w:r>
      <w:r w:rsidR="001E0954">
        <w:rPr>
          <w:bCs/>
          <w:sz w:val="26"/>
          <w:szCs w:val="26"/>
        </w:rPr>
        <w:t>on would need to act before the April 2014 procurement for residential supply</w:t>
      </w:r>
      <w:r w:rsidR="00FC240D" w:rsidRPr="00FC240D">
        <w:rPr>
          <w:bCs/>
          <w:sz w:val="26"/>
          <w:szCs w:val="26"/>
        </w:rPr>
        <w:t xml:space="preserve"> to address what the ALJ describes as “</w:t>
      </w:r>
      <w:r w:rsidR="001E0954">
        <w:rPr>
          <w:bCs/>
          <w:sz w:val="26"/>
          <w:szCs w:val="26"/>
        </w:rPr>
        <w:t>future conditions</w:t>
      </w:r>
      <w:r w:rsidR="00360B73">
        <w:rPr>
          <w:bCs/>
          <w:sz w:val="26"/>
          <w:szCs w:val="26"/>
        </w:rPr>
        <w:t>.”</w:t>
      </w:r>
      <w:r w:rsidR="001E0954">
        <w:rPr>
          <w:bCs/>
          <w:sz w:val="26"/>
          <w:szCs w:val="26"/>
        </w:rPr>
        <w:t xml:space="preserve">   According to RESA, there is no </w:t>
      </w:r>
      <w:r w:rsidR="00FC240D" w:rsidRPr="00FC240D">
        <w:rPr>
          <w:bCs/>
          <w:sz w:val="26"/>
          <w:szCs w:val="26"/>
        </w:rPr>
        <w:t xml:space="preserve">support </w:t>
      </w:r>
      <w:r w:rsidR="001E0954">
        <w:rPr>
          <w:bCs/>
          <w:sz w:val="26"/>
          <w:szCs w:val="26"/>
        </w:rPr>
        <w:t xml:space="preserve">for the ALJ’s finding that there would </w:t>
      </w:r>
      <w:r w:rsidR="00103AD3">
        <w:rPr>
          <w:bCs/>
          <w:sz w:val="26"/>
          <w:szCs w:val="26"/>
        </w:rPr>
        <w:t xml:space="preserve">be </w:t>
      </w:r>
      <w:r w:rsidR="00FC240D" w:rsidRPr="00FC240D">
        <w:rPr>
          <w:bCs/>
          <w:sz w:val="26"/>
          <w:szCs w:val="26"/>
        </w:rPr>
        <w:t xml:space="preserve">sufficient time for </w:t>
      </w:r>
      <w:r w:rsidR="001E0954">
        <w:rPr>
          <w:bCs/>
          <w:sz w:val="26"/>
          <w:szCs w:val="26"/>
        </w:rPr>
        <w:t>the Commission to redesign this procurement</w:t>
      </w:r>
      <w:r w:rsidR="00FC240D" w:rsidRPr="00FC240D">
        <w:rPr>
          <w:bCs/>
          <w:sz w:val="26"/>
          <w:szCs w:val="26"/>
        </w:rPr>
        <w:t>.</w:t>
      </w:r>
      <w:r w:rsidR="001E0954">
        <w:rPr>
          <w:bCs/>
          <w:sz w:val="26"/>
          <w:szCs w:val="26"/>
        </w:rPr>
        <w:t xml:space="preserve">  RESA also argues that there is no evidence that a “hard stop” </w:t>
      </w:r>
      <w:r w:rsidR="00FC240D" w:rsidRPr="00FC240D">
        <w:rPr>
          <w:bCs/>
          <w:sz w:val="26"/>
          <w:szCs w:val="26"/>
        </w:rPr>
        <w:t xml:space="preserve">would result in price instability at the end of the DSP, as the ALJ suggests.  </w:t>
      </w:r>
      <w:r w:rsidR="00103AD3">
        <w:rPr>
          <w:bCs/>
          <w:sz w:val="26"/>
          <w:szCs w:val="26"/>
        </w:rPr>
        <w:t xml:space="preserve">RESA Exc. at 14-16.  </w:t>
      </w:r>
    </w:p>
    <w:p w:rsidR="00FC240D" w:rsidRPr="00FC240D" w:rsidRDefault="00FC240D" w:rsidP="00103AD3">
      <w:pPr>
        <w:pStyle w:val="BodyText2"/>
        <w:spacing w:after="0" w:line="360" w:lineRule="auto"/>
        <w:ind w:firstLine="1440"/>
        <w:rPr>
          <w:bCs/>
          <w:sz w:val="26"/>
          <w:szCs w:val="26"/>
        </w:rPr>
      </w:pPr>
    </w:p>
    <w:p w:rsidR="00FC240D" w:rsidRPr="00103AD3" w:rsidRDefault="00360B73" w:rsidP="00103AD3">
      <w:pPr>
        <w:spacing w:line="360" w:lineRule="auto"/>
        <w:ind w:firstLine="1440"/>
        <w:rPr>
          <w:sz w:val="26"/>
          <w:szCs w:val="26"/>
        </w:rPr>
      </w:pPr>
      <w:r>
        <w:rPr>
          <w:bCs/>
          <w:sz w:val="26"/>
          <w:szCs w:val="26"/>
        </w:rPr>
        <w:t xml:space="preserve">RESA submits that the Commission rejected the OCA’s proposal for overhang contracts in the </w:t>
      </w:r>
      <w:r>
        <w:rPr>
          <w:bCs/>
          <w:i/>
          <w:sz w:val="26"/>
          <w:szCs w:val="26"/>
        </w:rPr>
        <w:t xml:space="preserve">FirstEnergy DSP </w:t>
      </w:r>
      <w:r w:rsidR="00FC240D" w:rsidRPr="00FC240D">
        <w:rPr>
          <w:bCs/>
          <w:i/>
          <w:sz w:val="26"/>
          <w:szCs w:val="26"/>
        </w:rPr>
        <w:t>Order</w:t>
      </w:r>
      <w:r w:rsidR="00103AD3">
        <w:rPr>
          <w:bCs/>
          <w:sz w:val="26"/>
          <w:szCs w:val="26"/>
        </w:rPr>
        <w:t>, holding that “utiliz</w:t>
      </w:r>
      <w:r w:rsidR="00FC240D" w:rsidRPr="00FC240D">
        <w:rPr>
          <w:bCs/>
          <w:sz w:val="26"/>
          <w:szCs w:val="26"/>
        </w:rPr>
        <w:t>[ing] shorter, more frequent procurements should ensure a smoother transition into the next procurement period without requiring that procurements extend beyond May 2015.”</w:t>
      </w:r>
      <w:r w:rsidR="00FC240D" w:rsidRPr="00FC240D">
        <w:rPr>
          <w:bCs/>
          <w:sz w:val="26"/>
          <w:szCs w:val="26"/>
          <w:vertAlign w:val="superscript"/>
        </w:rPr>
        <w:footnoteReference w:id="61"/>
      </w:r>
      <w:r>
        <w:rPr>
          <w:bCs/>
          <w:sz w:val="26"/>
          <w:szCs w:val="26"/>
        </w:rPr>
        <w:t xml:space="preserve">  RESA submits that the ALJ’s recommendation is </w:t>
      </w:r>
      <w:r w:rsidR="00FC240D" w:rsidRPr="00FC240D">
        <w:rPr>
          <w:bCs/>
          <w:sz w:val="26"/>
          <w:szCs w:val="26"/>
        </w:rPr>
        <w:t xml:space="preserve">contrary to the Commission’s objectives outlined in the </w:t>
      </w:r>
      <w:r>
        <w:rPr>
          <w:bCs/>
          <w:i/>
          <w:sz w:val="26"/>
          <w:szCs w:val="26"/>
        </w:rPr>
        <w:t xml:space="preserve">FirstEnergy DSP </w:t>
      </w:r>
      <w:r w:rsidR="00FC240D" w:rsidRPr="00FC240D">
        <w:rPr>
          <w:bCs/>
          <w:i/>
          <w:sz w:val="26"/>
          <w:szCs w:val="26"/>
        </w:rPr>
        <w:t>Order</w:t>
      </w:r>
      <w:r w:rsidR="00FC240D" w:rsidRPr="00FC240D">
        <w:rPr>
          <w:bCs/>
          <w:sz w:val="26"/>
          <w:szCs w:val="26"/>
        </w:rPr>
        <w:t>.</w:t>
      </w:r>
      <w:r w:rsidR="00FC240D" w:rsidRPr="00FC240D">
        <w:rPr>
          <w:sz w:val="26"/>
          <w:szCs w:val="26"/>
        </w:rPr>
        <w:t xml:space="preserve"> </w:t>
      </w:r>
      <w:r w:rsidR="00103AD3">
        <w:rPr>
          <w:sz w:val="26"/>
          <w:szCs w:val="26"/>
        </w:rPr>
        <w:t xml:space="preserve"> </w:t>
      </w:r>
      <w:r w:rsidR="00103AD3">
        <w:rPr>
          <w:i/>
          <w:sz w:val="26"/>
          <w:szCs w:val="26"/>
        </w:rPr>
        <w:t>Id.</w:t>
      </w:r>
      <w:r w:rsidR="00103AD3">
        <w:rPr>
          <w:sz w:val="26"/>
          <w:szCs w:val="26"/>
        </w:rPr>
        <w:t xml:space="preserve"> at 15-16.</w:t>
      </w:r>
    </w:p>
    <w:p w:rsidR="006D4D99" w:rsidRPr="00EE5722" w:rsidRDefault="006D4D99" w:rsidP="00A14704">
      <w:pPr>
        <w:pStyle w:val="BodyText"/>
        <w:spacing w:after="0" w:line="360" w:lineRule="auto"/>
        <w:ind w:left="0" w:firstLine="0"/>
        <w:rPr>
          <w:sz w:val="26"/>
          <w:szCs w:val="26"/>
        </w:rPr>
      </w:pPr>
    </w:p>
    <w:p w:rsidR="00F86C48" w:rsidRDefault="00015A3B" w:rsidP="00015A3B">
      <w:pPr>
        <w:pStyle w:val="Heading4"/>
        <w:numPr>
          <w:ilvl w:val="0"/>
          <w:numId w:val="0"/>
        </w:numPr>
        <w:ind w:left="2160"/>
      </w:pPr>
      <w:bookmarkStart w:id="65" w:name="_Toc346705307"/>
      <w:r>
        <w:t>e.</w:t>
      </w:r>
      <w:r>
        <w:tab/>
      </w:r>
      <w:r w:rsidR="00F92776">
        <w:t>Reply Exceptions</w:t>
      </w:r>
      <w:bookmarkEnd w:id="65"/>
    </w:p>
    <w:p w:rsidR="00564ADF" w:rsidRDefault="00564ADF" w:rsidP="00911D84">
      <w:pPr>
        <w:pStyle w:val="BriefL3"/>
        <w:keepNext/>
        <w:numPr>
          <w:ilvl w:val="0"/>
          <w:numId w:val="0"/>
        </w:numPr>
        <w:spacing w:after="0" w:line="360" w:lineRule="auto"/>
        <w:ind w:left="2160"/>
        <w:rPr>
          <w:b/>
          <w:sz w:val="26"/>
          <w:szCs w:val="26"/>
        </w:rPr>
      </w:pPr>
    </w:p>
    <w:p w:rsidR="008D2FBF" w:rsidRPr="00564ADF" w:rsidRDefault="008D2FBF" w:rsidP="002B7BA9">
      <w:pPr>
        <w:pStyle w:val="BodyText2"/>
        <w:spacing w:after="0" w:line="360" w:lineRule="auto"/>
        <w:ind w:firstLine="1440"/>
        <w:rPr>
          <w:sz w:val="26"/>
          <w:szCs w:val="26"/>
        </w:rPr>
      </w:pPr>
      <w:r w:rsidRPr="00564ADF">
        <w:rPr>
          <w:sz w:val="26"/>
          <w:szCs w:val="26"/>
        </w:rPr>
        <w:t xml:space="preserve">In its Reply Exceptions, Duquesne </w:t>
      </w:r>
      <w:r w:rsidR="00103AD3">
        <w:rPr>
          <w:sz w:val="26"/>
          <w:szCs w:val="26"/>
        </w:rPr>
        <w:t xml:space="preserve">states that the Commission should reject RESA’s </w:t>
      </w:r>
      <w:r w:rsidR="00413BF1">
        <w:rPr>
          <w:sz w:val="26"/>
          <w:szCs w:val="26"/>
        </w:rPr>
        <w:t>E</w:t>
      </w:r>
      <w:r w:rsidR="00103AD3">
        <w:rPr>
          <w:sz w:val="26"/>
          <w:szCs w:val="26"/>
        </w:rPr>
        <w:t>xception.</w:t>
      </w:r>
      <w:r w:rsidR="00564ADF">
        <w:rPr>
          <w:rStyle w:val="FootnoteReference"/>
          <w:sz w:val="26"/>
          <w:szCs w:val="26"/>
        </w:rPr>
        <w:footnoteReference w:id="62"/>
      </w:r>
      <w:r w:rsidR="00564ADF" w:rsidRPr="00564ADF">
        <w:rPr>
          <w:sz w:val="26"/>
          <w:szCs w:val="26"/>
        </w:rPr>
        <w:t xml:space="preserve">  </w:t>
      </w:r>
      <w:r w:rsidR="00103AD3">
        <w:rPr>
          <w:sz w:val="26"/>
          <w:szCs w:val="26"/>
        </w:rPr>
        <w:t xml:space="preserve">According to Duquesne, </w:t>
      </w:r>
      <w:r w:rsidRPr="00564ADF">
        <w:rPr>
          <w:sz w:val="26"/>
          <w:szCs w:val="26"/>
        </w:rPr>
        <w:t xml:space="preserve">RESA’s contention that there is </w:t>
      </w:r>
      <w:r w:rsidRPr="00564ADF">
        <w:rPr>
          <w:sz w:val="26"/>
          <w:szCs w:val="26"/>
        </w:rPr>
        <w:lastRenderedPageBreak/>
        <w:t xml:space="preserve">insufficient time </w:t>
      </w:r>
      <w:r w:rsidR="00564ADF" w:rsidRPr="00564ADF">
        <w:rPr>
          <w:sz w:val="26"/>
          <w:szCs w:val="26"/>
        </w:rPr>
        <w:t xml:space="preserve">for the Commission to modify a plan to procure </w:t>
      </w:r>
      <w:r w:rsidRPr="00564ADF">
        <w:rPr>
          <w:sz w:val="26"/>
          <w:szCs w:val="26"/>
        </w:rPr>
        <w:t>“overhang contracts”  (</w:t>
      </w:r>
      <w:r w:rsidRPr="00564ADF">
        <w:rPr>
          <w:i/>
          <w:sz w:val="26"/>
          <w:szCs w:val="26"/>
        </w:rPr>
        <w:t>i.e.</w:t>
      </w:r>
      <w:r w:rsidRPr="00564ADF">
        <w:rPr>
          <w:sz w:val="26"/>
          <w:szCs w:val="26"/>
        </w:rPr>
        <w:t xml:space="preserve">, contracts with deliveries extending beyond May 31, 2015) is unsupported.  Moreover, </w:t>
      </w:r>
      <w:r w:rsidR="00FD1CC7">
        <w:rPr>
          <w:sz w:val="26"/>
          <w:szCs w:val="26"/>
        </w:rPr>
        <w:t xml:space="preserve">Duquesne avers that </w:t>
      </w:r>
      <w:r w:rsidRPr="00564ADF">
        <w:rPr>
          <w:sz w:val="26"/>
          <w:szCs w:val="26"/>
        </w:rPr>
        <w:t>the Commission approved a similar overhang contract in</w:t>
      </w:r>
      <w:r w:rsidR="00413BF1">
        <w:rPr>
          <w:sz w:val="26"/>
          <w:szCs w:val="26"/>
        </w:rPr>
        <w:t xml:space="preserve"> the</w:t>
      </w:r>
      <w:r w:rsidRPr="00564ADF">
        <w:rPr>
          <w:sz w:val="26"/>
          <w:szCs w:val="26"/>
        </w:rPr>
        <w:t xml:space="preserve"> PECO </w:t>
      </w:r>
      <w:r w:rsidR="00413BF1">
        <w:rPr>
          <w:sz w:val="26"/>
          <w:szCs w:val="26"/>
        </w:rPr>
        <w:t xml:space="preserve">DSP proceeding </w:t>
      </w:r>
      <w:r w:rsidRPr="00564ADF">
        <w:rPr>
          <w:sz w:val="26"/>
          <w:szCs w:val="26"/>
        </w:rPr>
        <w:t>to pr</w:t>
      </w:r>
      <w:r w:rsidR="00FD1CC7">
        <w:rPr>
          <w:sz w:val="26"/>
          <w:szCs w:val="26"/>
        </w:rPr>
        <w:t>ovide some price stability for r</w:t>
      </w:r>
      <w:r w:rsidRPr="00564ADF">
        <w:rPr>
          <w:sz w:val="26"/>
          <w:szCs w:val="26"/>
        </w:rPr>
        <w:t xml:space="preserve">esidential customers into the next default service period.  </w:t>
      </w:r>
      <w:r w:rsidRPr="00564ADF">
        <w:rPr>
          <w:i/>
          <w:sz w:val="26"/>
          <w:szCs w:val="26"/>
        </w:rPr>
        <w:t xml:space="preserve">PECO </w:t>
      </w:r>
      <w:r w:rsidR="00360B73">
        <w:rPr>
          <w:i/>
          <w:sz w:val="26"/>
          <w:szCs w:val="26"/>
        </w:rPr>
        <w:t xml:space="preserve">DSP </w:t>
      </w:r>
      <w:r w:rsidRPr="00564ADF">
        <w:rPr>
          <w:i/>
          <w:sz w:val="26"/>
          <w:szCs w:val="26"/>
        </w:rPr>
        <w:t>Order</w:t>
      </w:r>
      <w:r w:rsidR="00360B73">
        <w:rPr>
          <w:sz w:val="26"/>
          <w:szCs w:val="26"/>
        </w:rPr>
        <w:t xml:space="preserve"> at </w:t>
      </w:r>
      <w:r w:rsidR="00564ADF">
        <w:rPr>
          <w:sz w:val="26"/>
          <w:szCs w:val="26"/>
        </w:rPr>
        <w:t xml:space="preserve">28-31.  </w:t>
      </w:r>
      <w:r w:rsidR="00103AD3">
        <w:rPr>
          <w:sz w:val="26"/>
          <w:szCs w:val="26"/>
        </w:rPr>
        <w:t>Duquesne R.Exc. at 8-9.</w:t>
      </w:r>
      <w:r w:rsidR="002B7BA9">
        <w:rPr>
          <w:sz w:val="26"/>
          <w:szCs w:val="26"/>
        </w:rPr>
        <w:t xml:space="preserve"> </w:t>
      </w:r>
      <w:r w:rsidR="00103AD3">
        <w:rPr>
          <w:sz w:val="26"/>
          <w:szCs w:val="26"/>
        </w:rPr>
        <w:t xml:space="preserve">  </w:t>
      </w:r>
    </w:p>
    <w:p w:rsidR="00F86C48" w:rsidRPr="00564ADF" w:rsidRDefault="00F86C48" w:rsidP="00564ADF">
      <w:pPr>
        <w:pStyle w:val="BriefL3"/>
        <w:numPr>
          <w:ilvl w:val="0"/>
          <w:numId w:val="0"/>
        </w:numPr>
        <w:spacing w:after="0" w:line="360" w:lineRule="auto"/>
        <w:ind w:left="2160" w:firstLine="1440"/>
        <w:rPr>
          <w:b/>
          <w:sz w:val="26"/>
          <w:szCs w:val="26"/>
        </w:rPr>
      </w:pPr>
    </w:p>
    <w:p w:rsidR="00F86C48" w:rsidRPr="00F86C48" w:rsidRDefault="00F86C48" w:rsidP="002B7BA9">
      <w:pPr>
        <w:pStyle w:val="BriefL3"/>
        <w:numPr>
          <w:ilvl w:val="0"/>
          <w:numId w:val="0"/>
        </w:numPr>
        <w:spacing w:after="0" w:line="360" w:lineRule="auto"/>
        <w:ind w:firstLine="1440"/>
        <w:outlineLvl w:val="9"/>
        <w:rPr>
          <w:sz w:val="26"/>
          <w:szCs w:val="26"/>
        </w:rPr>
      </w:pPr>
      <w:r w:rsidRPr="00F86C48">
        <w:rPr>
          <w:sz w:val="26"/>
          <w:szCs w:val="26"/>
        </w:rPr>
        <w:t>In its Reply Exceptions, the OCA argues that the ALJ properly rejecte</w:t>
      </w:r>
      <w:r w:rsidR="002B7BA9">
        <w:rPr>
          <w:sz w:val="26"/>
          <w:szCs w:val="26"/>
        </w:rPr>
        <w:t>d RESA’s proposal to eliminate r</w:t>
      </w:r>
      <w:r w:rsidRPr="00F86C48">
        <w:rPr>
          <w:sz w:val="26"/>
          <w:szCs w:val="26"/>
        </w:rPr>
        <w:t xml:space="preserve">esidential default supply contracts that extend beyond May 31, 2015.  </w:t>
      </w:r>
      <w:r w:rsidR="00983D1D">
        <w:rPr>
          <w:sz w:val="26"/>
          <w:szCs w:val="26"/>
        </w:rPr>
        <w:t xml:space="preserve">The OCA explains that </w:t>
      </w:r>
      <w:r w:rsidRPr="00F86C48">
        <w:rPr>
          <w:sz w:val="26"/>
          <w:szCs w:val="26"/>
        </w:rPr>
        <w:t>Duquesne’s proposal for procuring residential</w:t>
      </w:r>
      <w:r w:rsidR="00360B73">
        <w:rPr>
          <w:sz w:val="26"/>
          <w:szCs w:val="26"/>
        </w:rPr>
        <w:t xml:space="preserve"> default service supply includes</w:t>
      </w:r>
      <w:r w:rsidRPr="00F86C48">
        <w:rPr>
          <w:sz w:val="26"/>
          <w:szCs w:val="26"/>
        </w:rPr>
        <w:t xml:space="preserve"> acquiring, in April 2014, 25% of the supply needed for the June 2015 to May 2016 period, one year past the default service pe</w:t>
      </w:r>
      <w:r w:rsidR="00983D1D">
        <w:rPr>
          <w:sz w:val="26"/>
          <w:szCs w:val="26"/>
        </w:rPr>
        <w:t xml:space="preserve">riod under review.  Duquesne </w:t>
      </w:r>
      <w:r w:rsidRPr="00F86C48">
        <w:rPr>
          <w:sz w:val="26"/>
          <w:szCs w:val="26"/>
        </w:rPr>
        <w:t>pro</w:t>
      </w:r>
      <w:r w:rsidR="002B7BA9">
        <w:rPr>
          <w:sz w:val="26"/>
          <w:szCs w:val="26"/>
        </w:rPr>
        <w:t>posed this to avoid subjecting r</w:t>
      </w:r>
      <w:r w:rsidRPr="00F86C48">
        <w:rPr>
          <w:sz w:val="26"/>
          <w:szCs w:val="26"/>
        </w:rPr>
        <w:t>esidential customers to the potential rate volatility associated with having to replace a large portion of default service supply in a short period of time at the en</w:t>
      </w:r>
      <w:r w:rsidR="00360B73">
        <w:rPr>
          <w:sz w:val="26"/>
          <w:szCs w:val="26"/>
        </w:rPr>
        <w:t>d of DSP VI</w:t>
      </w:r>
      <w:r w:rsidRPr="00F86C48">
        <w:rPr>
          <w:sz w:val="26"/>
          <w:szCs w:val="26"/>
        </w:rPr>
        <w:t xml:space="preserve">.  Duquesne St. 2 at 10. The OCA supported </w:t>
      </w:r>
      <w:r w:rsidR="002B7BA9">
        <w:rPr>
          <w:sz w:val="26"/>
          <w:szCs w:val="26"/>
        </w:rPr>
        <w:t>this aspect of Duquesne’s plan while</w:t>
      </w:r>
      <w:r w:rsidRPr="00F86C48">
        <w:rPr>
          <w:sz w:val="26"/>
          <w:szCs w:val="26"/>
        </w:rPr>
        <w:t xml:space="preserve"> RESA opposed having any procurement contracts that extended beyon</w:t>
      </w:r>
      <w:r w:rsidR="00360B73">
        <w:rPr>
          <w:sz w:val="26"/>
          <w:szCs w:val="26"/>
        </w:rPr>
        <w:t xml:space="preserve">d May 31, 2015, and </w:t>
      </w:r>
      <w:r w:rsidR="002D309E">
        <w:rPr>
          <w:sz w:val="26"/>
          <w:szCs w:val="26"/>
        </w:rPr>
        <w:t xml:space="preserve">argued </w:t>
      </w:r>
      <w:r w:rsidRPr="00F86C48">
        <w:rPr>
          <w:sz w:val="26"/>
          <w:szCs w:val="26"/>
        </w:rPr>
        <w:t>that t</w:t>
      </w:r>
      <w:r w:rsidR="002D309E">
        <w:rPr>
          <w:sz w:val="26"/>
          <w:szCs w:val="26"/>
        </w:rPr>
        <w:t>here is no evidence that eliminating such contracts would</w:t>
      </w:r>
      <w:r w:rsidRPr="00F86C48">
        <w:rPr>
          <w:sz w:val="26"/>
          <w:szCs w:val="26"/>
        </w:rPr>
        <w:t xml:space="preserve"> cause price instability.   </w:t>
      </w:r>
      <w:r w:rsidR="002B7BA9">
        <w:rPr>
          <w:sz w:val="26"/>
          <w:szCs w:val="26"/>
        </w:rPr>
        <w:t xml:space="preserve">OCA R.Exc. at 9.  </w:t>
      </w:r>
    </w:p>
    <w:p w:rsidR="00F86C48" w:rsidRPr="00F86C48" w:rsidRDefault="00F86C48" w:rsidP="00F86C48">
      <w:pPr>
        <w:ind w:left="720"/>
        <w:jc w:val="both"/>
        <w:rPr>
          <w:sz w:val="26"/>
          <w:szCs w:val="26"/>
        </w:rPr>
      </w:pPr>
    </w:p>
    <w:p w:rsidR="00983D1D" w:rsidRPr="002B7BA9" w:rsidRDefault="00F86C48" w:rsidP="002B7BA9">
      <w:pPr>
        <w:spacing w:line="360" w:lineRule="auto"/>
        <w:ind w:firstLine="1440"/>
        <w:rPr>
          <w:bCs/>
          <w:sz w:val="26"/>
          <w:szCs w:val="26"/>
        </w:rPr>
      </w:pPr>
      <w:r w:rsidRPr="00F86C48">
        <w:rPr>
          <w:sz w:val="26"/>
          <w:szCs w:val="26"/>
        </w:rPr>
        <w:t xml:space="preserve">The </w:t>
      </w:r>
      <w:r w:rsidR="002D309E">
        <w:rPr>
          <w:sz w:val="26"/>
          <w:szCs w:val="26"/>
        </w:rPr>
        <w:t xml:space="preserve">OCA submits that the </w:t>
      </w:r>
      <w:r w:rsidRPr="00F86C48">
        <w:rPr>
          <w:sz w:val="26"/>
          <w:szCs w:val="26"/>
        </w:rPr>
        <w:t>ALJ’s finding that Duquesne’s overhanging contracts will provid</w:t>
      </w:r>
      <w:r w:rsidR="002B7BA9">
        <w:rPr>
          <w:sz w:val="26"/>
          <w:szCs w:val="26"/>
        </w:rPr>
        <w:t>e price stability benefits for r</w:t>
      </w:r>
      <w:r w:rsidRPr="00F86C48">
        <w:rPr>
          <w:sz w:val="26"/>
          <w:szCs w:val="26"/>
        </w:rPr>
        <w:t>esidential customers is supported by the testimony in this c</w:t>
      </w:r>
      <w:r w:rsidR="002D309E">
        <w:rPr>
          <w:sz w:val="26"/>
          <w:szCs w:val="26"/>
        </w:rPr>
        <w:t xml:space="preserve">ase.   The OCA also notes that the ALJ’s recommendation is consistent with the Commission’s decision in the </w:t>
      </w:r>
      <w:r w:rsidR="002D309E" w:rsidRPr="002D309E">
        <w:rPr>
          <w:i/>
          <w:sz w:val="26"/>
          <w:szCs w:val="26"/>
        </w:rPr>
        <w:t>PECO DSP Order</w:t>
      </w:r>
      <w:r w:rsidR="002D309E">
        <w:rPr>
          <w:sz w:val="26"/>
          <w:szCs w:val="26"/>
        </w:rPr>
        <w:t xml:space="preserve">, and </w:t>
      </w:r>
      <w:r w:rsidRPr="00F86C48">
        <w:rPr>
          <w:sz w:val="26"/>
          <w:szCs w:val="26"/>
        </w:rPr>
        <w:t xml:space="preserve">submits that the </w:t>
      </w:r>
      <w:r w:rsidR="00413BF1">
        <w:rPr>
          <w:sz w:val="26"/>
          <w:szCs w:val="26"/>
        </w:rPr>
        <w:t>E</w:t>
      </w:r>
      <w:r w:rsidRPr="00F86C48">
        <w:rPr>
          <w:sz w:val="26"/>
          <w:szCs w:val="26"/>
        </w:rPr>
        <w:t xml:space="preserve">xceptions raised by RESA to the ALJ’s recommendation concerning Duquesne’s overhanging contracts lack merit and should be rejected.  </w:t>
      </w:r>
      <w:r w:rsidR="002B7BA9">
        <w:rPr>
          <w:i/>
          <w:sz w:val="26"/>
          <w:szCs w:val="26"/>
        </w:rPr>
        <w:t xml:space="preserve">Id. </w:t>
      </w:r>
      <w:r w:rsidR="002B7BA9">
        <w:rPr>
          <w:sz w:val="26"/>
          <w:szCs w:val="26"/>
        </w:rPr>
        <w:t>at 9-10.</w:t>
      </w:r>
    </w:p>
    <w:p w:rsidR="00F133A7" w:rsidRPr="00F133A7" w:rsidRDefault="00F133A7" w:rsidP="00F86C48">
      <w:pPr>
        <w:pStyle w:val="BodyText2"/>
        <w:spacing w:after="0" w:line="360" w:lineRule="auto"/>
        <w:rPr>
          <w:sz w:val="26"/>
          <w:szCs w:val="26"/>
        </w:rPr>
      </w:pPr>
    </w:p>
    <w:p w:rsidR="00F133A7" w:rsidRPr="002D309E" w:rsidRDefault="00F133A7" w:rsidP="002D309E">
      <w:pPr>
        <w:pStyle w:val="BodyText2"/>
        <w:spacing w:line="360" w:lineRule="auto"/>
        <w:ind w:firstLine="1440"/>
        <w:rPr>
          <w:sz w:val="26"/>
          <w:szCs w:val="26"/>
        </w:rPr>
      </w:pPr>
      <w:r w:rsidRPr="00F133A7">
        <w:rPr>
          <w:sz w:val="26"/>
          <w:szCs w:val="26"/>
        </w:rPr>
        <w:t>In its Reply Exceptions, the OSBA argues that the ALJ correctly rejected RESA’s proposal to eliminate supply contracts beyond May 31, 2015</w:t>
      </w:r>
      <w:r w:rsidR="00413BF1">
        <w:rPr>
          <w:sz w:val="26"/>
          <w:szCs w:val="26"/>
        </w:rPr>
        <w:t xml:space="preserve">.  </w:t>
      </w:r>
      <w:r w:rsidR="002D309E">
        <w:rPr>
          <w:sz w:val="26"/>
          <w:szCs w:val="26"/>
        </w:rPr>
        <w:t xml:space="preserve">The OSBA notes that </w:t>
      </w:r>
      <w:r w:rsidRPr="00F133A7">
        <w:rPr>
          <w:sz w:val="26"/>
          <w:szCs w:val="26"/>
        </w:rPr>
        <w:t>Duquesne’s proposed S</w:t>
      </w:r>
      <w:r w:rsidR="002D309E">
        <w:rPr>
          <w:sz w:val="26"/>
          <w:szCs w:val="26"/>
        </w:rPr>
        <w:t>mall C&amp;I procurement plan</w:t>
      </w:r>
      <w:r w:rsidRPr="00F133A7">
        <w:rPr>
          <w:sz w:val="26"/>
          <w:szCs w:val="26"/>
        </w:rPr>
        <w:t xml:space="preserve"> prov</w:t>
      </w:r>
      <w:r w:rsidR="002D309E">
        <w:rPr>
          <w:sz w:val="26"/>
          <w:szCs w:val="26"/>
        </w:rPr>
        <w:t>ides</w:t>
      </w:r>
      <w:r w:rsidRPr="00F133A7">
        <w:rPr>
          <w:sz w:val="26"/>
          <w:szCs w:val="26"/>
        </w:rPr>
        <w:t xml:space="preserve"> for the acquisition of 50% of its supply for Small C&amp;I customers to extend through November 30, 201</w:t>
      </w:r>
      <w:r w:rsidR="002B7BA9">
        <w:rPr>
          <w:sz w:val="26"/>
          <w:szCs w:val="26"/>
        </w:rPr>
        <w:t xml:space="preserve">5, or six </w:t>
      </w:r>
      <w:r w:rsidR="002B7BA9">
        <w:rPr>
          <w:sz w:val="26"/>
          <w:szCs w:val="26"/>
        </w:rPr>
        <w:lastRenderedPageBreak/>
        <w:t>months beyond the DSP</w:t>
      </w:r>
      <w:r w:rsidRPr="00F133A7">
        <w:rPr>
          <w:sz w:val="26"/>
          <w:szCs w:val="26"/>
        </w:rPr>
        <w:t xml:space="preserve"> VI plan period.  However, in the event that legal or regulatory developments preclude Duquesne from continuing to serve as the default service provider after May 31, 2015, the Commission can adjust the relevant (November 2014) Small C&amp;I procurement solicitation, as necessary.</w:t>
      </w:r>
      <w:r w:rsidR="002D309E">
        <w:rPr>
          <w:sz w:val="26"/>
          <w:szCs w:val="26"/>
        </w:rPr>
        <w:t xml:space="preserve"> </w:t>
      </w:r>
      <w:r w:rsidR="002B7BA9">
        <w:rPr>
          <w:sz w:val="26"/>
          <w:szCs w:val="26"/>
        </w:rPr>
        <w:t xml:space="preserve"> OSBA R.Exc. at 10-11.  </w:t>
      </w:r>
    </w:p>
    <w:p w:rsidR="006D4D99" w:rsidRPr="00F86C48" w:rsidRDefault="00F86C48" w:rsidP="00F86C48">
      <w:pPr>
        <w:pStyle w:val="BodyText2"/>
        <w:spacing w:after="0" w:line="360" w:lineRule="auto"/>
        <w:rPr>
          <w:sz w:val="26"/>
          <w:szCs w:val="26"/>
        </w:rPr>
      </w:pPr>
      <w:r w:rsidRPr="00F86C48">
        <w:rPr>
          <w:sz w:val="26"/>
          <w:szCs w:val="26"/>
        </w:rPr>
        <w:t xml:space="preserve">  </w:t>
      </w:r>
    </w:p>
    <w:p w:rsidR="006D4D99" w:rsidRDefault="00015A3B" w:rsidP="00015A3B">
      <w:pPr>
        <w:pStyle w:val="Heading4"/>
        <w:numPr>
          <w:ilvl w:val="0"/>
          <w:numId w:val="0"/>
        </w:numPr>
        <w:ind w:left="2160"/>
      </w:pPr>
      <w:bookmarkStart w:id="66" w:name="_Toc346705308"/>
      <w:r>
        <w:t>f.</w:t>
      </w:r>
      <w:r>
        <w:tab/>
      </w:r>
      <w:r w:rsidR="00F92776">
        <w:t>Disposition</w:t>
      </w:r>
      <w:bookmarkEnd w:id="66"/>
    </w:p>
    <w:p w:rsidR="00E222FE" w:rsidRPr="00EE5722" w:rsidRDefault="00E222FE" w:rsidP="00E222FE">
      <w:pPr>
        <w:pStyle w:val="BriefL3"/>
        <w:numPr>
          <w:ilvl w:val="0"/>
          <w:numId w:val="0"/>
        </w:numPr>
        <w:spacing w:after="0" w:line="360" w:lineRule="auto"/>
        <w:ind w:left="2880"/>
        <w:rPr>
          <w:b/>
          <w:sz w:val="26"/>
          <w:szCs w:val="26"/>
        </w:rPr>
      </w:pPr>
    </w:p>
    <w:p w:rsidR="00892BC6" w:rsidRDefault="00892BC6" w:rsidP="00D614AE">
      <w:pPr>
        <w:spacing w:line="360" w:lineRule="auto"/>
        <w:ind w:firstLine="1440"/>
        <w:rPr>
          <w:sz w:val="26"/>
          <w:szCs w:val="26"/>
        </w:rPr>
      </w:pPr>
      <w:r>
        <w:rPr>
          <w:sz w:val="26"/>
          <w:szCs w:val="26"/>
        </w:rPr>
        <w:t xml:space="preserve">Upon further consideration of this issue, </w:t>
      </w:r>
      <w:r w:rsidR="00E222FE">
        <w:rPr>
          <w:sz w:val="26"/>
          <w:szCs w:val="26"/>
        </w:rPr>
        <w:t>w</w:t>
      </w:r>
      <w:r w:rsidR="00E222FE" w:rsidRPr="007A1077">
        <w:rPr>
          <w:sz w:val="26"/>
          <w:szCs w:val="26"/>
        </w:rPr>
        <w:t xml:space="preserve">e shall </w:t>
      </w:r>
      <w:r>
        <w:rPr>
          <w:sz w:val="26"/>
          <w:szCs w:val="26"/>
        </w:rPr>
        <w:t>reject</w:t>
      </w:r>
      <w:r w:rsidR="00E222FE" w:rsidRPr="007A1077">
        <w:rPr>
          <w:sz w:val="26"/>
          <w:szCs w:val="26"/>
        </w:rPr>
        <w:t xml:space="preserve"> Duquesne’s plan to </w:t>
      </w:r>
      <w:r>
        <w:rPr>
          <w:sz w:val="26"/>
          <w:szCs w:val="26"/>
        </w:rPr>
        <w:t>procure a limited number of contracts that extend beyond May 31, 201</w:t>
      </w:r>
      <w:r w:rsidR="00015A3B">
        <w:rPr>
          <w:sz w:val="26"/>
          <w:szCs w:val="26"/>
        </w:rPr>
        <w:t>5</w:t>
      </w:r>
      <w:r>
        <w:rPr>
          <w:sz w:val="26"/>
          <w:szCs w:val="26"/>
        </w:rPr>
        <w:t xml:space="preserve">, the end of this DSP period.  Instead, we will modify Duquesne’s proposed DSP to include a </w:t>
      </w:r>
      <w:r w:rsidR="00015A3B">
        <w:rPr>
          <w:sz w:val="26"/>
          <w:szCs w:val="26"/>
        </w:rPr>
        <w:t>“h</w:t>
      </w:r>
      <w:r>
        <w:rPr>
          <w:sz w:val="26"/>
          <w:szCs w:val="26"/>
        </w:rPr>
        <w:t>ard stop” on the procurements that we are authorizing by today’s Opinion and Order.  In other words, today we are authorizing only those procurements with delivery periods that end no later than May 31, 201</w:t>
      </w:r>
      <w:r w:rsidR="00015A3B">
        <w:rPr>
          <w:sz w:val="26"/>
          <w:szCs w:val="26"/>
        </w:rPr>
        <w:t>5</w:t>
      </w:r>
      <w:r>
        <w:rPr>
          <w:sz w:val="26"/>
          <w:szCs w:val="26"/>
        </w:rPr>
        <w:t xml:space="preserve">.  However, consistent with our determination in the </w:t>
      </w:r>
      <w:r>
        <w:rPr>
          <w:i/>
          <w:sz w:val="26"/>
          <w:szCs w:val="26"/>
        </w:rPr>
        <w:t xml:space="preserve">PECO DSP </w:t>
      </w:r>
      <w:r w:rsidRPr="00892BC6">
        <w:rPr>
          <w:i/>
          <w:sz w:val="26"/>
          <w:szCs w:val="26"/>
        </w:rPr>
        <w:t>Order</w:t>
      </w:r>
      <w:r>
        <w:rPr>
          <w:sz w:val="26"/>
          <w:szCs w:val="26"/>
        </w:rPr>
        <w:t xml:space="preserve">, we find that Duquesne’s DSP can be revisited in the event that there are no significant changes to Duquesne’s default service responsibilities as the end of this DSP period approaches.  In that event, Duquesne may petition the Commission for authorization to proceed with procurements with delivery periods that extend </w:t>
      </w:r>
      <w:r w:rsidR="00911D84">
        <w:rPr>
          <w:sz w:val="26"/>
          <w:szCs w:val="26"/>
        </w:rPr>
        <w:t>past May </w:t>
      </w:r>
      <w:r>
        <w:rPr>
          <w:sz w:val="26"/>
          <w:szCs w:val="26"/>
        </w:rPr>
        <w:t>31, 2015.</w:t>
      </w:r>
    </w:p>
    <w:p w:rsidR="00892BC6" w:rsidRDefault="00892BC6" w:rsidP="00D614AE">
      <w:pPr>
        <w:spacing w:line="360" w:lineRule="auto"/>
        <w:ind w:firstLine="1440"/>
        <w:rPr>
          <w:sz w:val="26"/>
          <w:szCs w:val="26"/>
        </w:rPr>
      </w:pPr>
    </w:p>
    <w:p w:rsidR="00712C85" w:rsidRDefault="00712C85" w:rsidP="00D614AE">
      <w:pPr>
        <w:spacing w:line="360" w:lineRule="auto"/>
        <w:ind w:firstLine="1440"/>
        <w:rPr>
          <w:sz w:val="26"/>
          <w:szCs w:val="26"/>
        </w:rPr>
      </w:pPr>
      <w:r>
        <w:rPr>
          <w:sz w:val="26"/>
          <w:szCs w:val="26"/>
        </w:rPr>
        <w:t xml:space="preserve">We recognize that this resolution differs from our resolution of this issue in the PECO DSP proceeding.  There, we authorized contracts with delivery  periods extending past May 31, 2015, but stated that PECO’s DSP could be redesigned to incorporate a “hard stop” if changes to default service responsibilities arise.  </w:t>
      </w:r>
      <w:r>
        <w:rPr>
          <w:i/>
          <w:sz w:val="26"/>
          <w:szCs w:val="26"/>
        </w:rPr>
        <w:t xml:space="preserve">PECO DSP Order </w:t>
      </w:r>
      <w:r>
        <w:rPr>
          <w:sz w:val="26"/>
          <w:szCs w:val="26"/>
        </w:rPr>
        <w:t>at 31.  Here, we are incorporating similar flexibility to respond to potential legislative amendments to the Competition Act, but are approaching it from the opposite direction.  Essentially, we are assuming that the Competition Act will be amended to change the default service responsibilities of the ED</w:t>
      </w:r>
      <w:r w:rsidR="00015A3B">
        <w:rPr>
          <w:sz w:val="26"/>
          <w:szCs w:val="26"/>
        </w:rPr>
        <w:t>Cs</w:t>
      </w:r>
      <w:r>
        <w:rPr>
          <w:sz w:val="26"/>
          <w:szCs w:val="26"/>
        </w:rPr>
        <w:t xml:space="preserve">, and that the prudent course would </w:t>
      </w:r>
      <w:r>
        <w:rPr>
          <w:sz w:val="26"/>
          <w:szCs w:val="26"/>
        </w:rPr>
        <w:lastRenderedPageBreak/>
        <w:t>be to impose a hard stop on Duquesne’s procurements to provide for a clean transition to another default service p</w:t>
      </w:r>
      <w:r w:rsidR="00FA2A77">
        <w:rPr>
          <w:sz w:val="26"/>
          <w:szCs w:val="26"/>
        </w:rPr>
        <w:t>lan</w:t>
      </w:r>
      <w:r>
        <w:rPr>
          <w:sz w:val="26"/>
          <w:szCs w:val="26"/>
        </w:rPr>
        <w:t xml:space="preserve"> at the end of DSP VI.</w:t>
      </w:r>
    </w:p>
    <w:p w:rsidR="00712C85" w:rsidRDefault="00712C85" w:rsidP="00D614AE">
      <w:pPr>
        <w:spacing w:line="360" w:lineRule="auto"/>
        <w:ind w:firstLine="1440"/>
        <w:rPr>
          <w:sz w:val="26"/>
          <w:szCs w:val="26"/>
        </w:rPr>
      </w:pPr>
    </w:p>
    <w:p w:rsidR="00892BC6" w:rsidRPr="007A1077" w:rsidRDefault="00CA04C1" w:rsidP="00D614AE">
      <w:pPr>
        <w:spacing w:line="360" w:lineRule="auto"/>
        <w:ind w:firstLine="1440"/>
        <w:rPr>
          <w:sz w:val="26"/>
          <w:szCs w:val="26"/>
        </w:rPr>
      </w:pPr>
      <w:r>
        <w:rPr>
          <w:sz w:val="26"/>
          <w:szCs w:val="26"/>
        </w:rPr>
        <w:t xml:space="preserve">However, in the event that such legislative amendments do not materialize, we would like to provide Duquesne with the option of procuring supply contracts that extend past May 31, 2015, as it has proposed.  Absent the consideration of the impact of potential legislative amendments, we would be in agreement with Duquesne, the OCA and the OSBA that this proposal would provide some rate stability for residential and Small C&amp;I customers, and would allow for considerable procurement flexibility beyond May 31, 2015.  Accordingly, we shall </w:t>
      </w:r>
      <w:r w:rsidR="008B4521">
        <w:rPr>
          <w:sz w:val="26"/>
          <w:szCs w:val="26"/>
        </w:rPr>
        <w:t>grant</w:t>
      </w:r>
      <w:r>
        <w:rPr>
          <w:sz w:val="26"/>
          <w:szCs w:val="26"/>
        </w:rPr>
        <w:t xml:space="preserve"> the Exceptions of RESA, in part, consistent with this discussion.  Although we will not adopt the recommendation of the ALJ to approve Duquesne’s proposal to include limited supply contracts extending beyond the end of this DSP period on May 31, 2015, we will provide an option to Duquesne to request approval of such contract</w:t>
      </w:r>
      <w:r w:rsidR="00015A3B">
        <w:rPr>
          <w:sz w:val="26"/>
          <w:szCs w:val="26"/>
        </w:rPr>
        <w:t>s</w:t>
      </w:r>
      <w:r>
        <w:rPr>
          <w:sz w:val="26"/>
          <w:szCs w:val="26"/>
        </w:rPr>
        <w:t xml:space="preserve"> closer to the end of the DSP VI period.</w:t>
      </w:r>
    </w:p>
    <w:p w:rsidR="00504B9D" w:rsidRPr="00EE5722" w:rsidRDefault="00504B9D" w:rsidP="008F2DA8">
      <w:pPr>
        <w:pStyle w:val="BodyText"/>
        <w:spacing w:after="0" w:line="360" w:lineRule="auto"/>
        <w:ind w:left="0" w:firstLine="0"/>
        <w:rPr>
          <w:sz w:val="26"/>
          <w:szCs w:val="26"/>
        </w:rPr>
      </w:pPr>
    </w:p>
    <w:p w:rsidR="00EE639F" w:rsidRPr="00EE5722" w:rsidRDefault="00DD1924" w:rsidP="00115AB3">
      <w:pPr>
        <w:pStyle w:val="Heading2"/>
        <w:keepNext/>
        <w:numPr>
          <w:ilvl w:val="0"/>
          <w:numId w:val="0"/>
        </w:numPr>
        <w:ind w:left="1440" w:hanging="720"/>
      </w:pPr>
      <w:bookmarkStart w:id="67" w:name="_Toc346705309"/>
      <w:r>
        <w:t>D</w:t>
      </w:r>
      <w:r w:rsidR="00EE639F" w:rsidRPr="00EE5722">
        <w:t>.</w:t>
      </w:r>
      <w:r w:rsidR="00EE639F" w:rsidRPr="00EE5722">
        <w:tab/>
      </w:r>
      <w:r w:rsidR="006146CB" w:rsidRPr="00EE5722">
        <w:t xml:space="preserve">Retail </w:t>
      </w:r>
      <w:r w:rsidR="008F2DA8" w:rsidRPr="00EE5722">
        <w:t xml:space="preserve">Market Enhancement </w:t>
      </w:r>
      <w:r w:rsidR="00EA5939">
        <w:t xml:space="preserve">(RME) </w:t>
      </w:r>
      <w:r w:rsidR="008F2DA8" w:rsidRPr="00EE5722">
        <w:t>Programs</w:t>
      </w:r>
      <w:bookmarkEnd w:id="67"/>
    </w:p>
    <w:p w:rsidR="00EE639F" w:rsidRPr="00EE5722" w:rsidRDefault="00EE639F" w:rsidP="00911D84">
      <w:pPr>
        <w:pStyle w:val="BodyText"/>
        <w:keepNext/>
        <w:spacing w:after="0" w:line="360" w:lineRule="auto"/>
        <w:ind w:left="0"/>
        <w:rPr>
          <w:b/>
          <w:sz w:val="26"/>
          <w:szCs w:val="26"/>
        </w:rPr>
      </w:pPr>
    </w:p>
    <w:p w:rsidR="00EE639F" w:rsidRPr="00EE5722" w:rsidRDefault="00504B9D" w:rsidP="00115AB3">
      <w:pPr>
        <w:pStyle w:val="Heading3"/>
      </w:pPr>
      <w:bookmarkStart w:id="68" w:name="_Toc346705310"/>
      <w:r>
        <w:t>1.</w:t>
      </w:r>
      <w:r>
        <w:tab/>
      </w:r>
      <w:r w:rsidR="00EE639F" w:rsidRPr="00EE5722">
        <w:t>Opt-In Program</w:t>
      </w:r>
      <w:bookmarkEnd w:id="68"/>
      <w:r w:rsidR="00EE639F" w:rsidRPr="00EE5722">
        <w:t xml:space="preserve"> </w:t>
      </w:r>
    </w:p>
    <w:p w:rsidR="00EE639F" w:rsidRPr="00EE5722" w:rsidRDefault="00EE639F" w:rsidP="00911D84">
      <w:pPr>
        <w:pStyle w:val="BriefL3"/>
        <w:keepNext/>
        <w:numPr>
          <w:ilvl w:val="0"/>
          <w:numId w:val="0"/>
        </w:numPr>
        <w:spacing w:after="0" w:line="360" w:lineRule="auto"/>
        <w:ind w:firstLine="720"/>
        <w:outlineLvl w:val="9"/>
        <w:rPr>
          <w:b/>
          <w:sz w:val="26"/>
          <w:szCs w:val="26"/>
        </w:rPr>
      </w:pPr>
    </w:p>
    <w:p w:rsidR="00EE639F" w:rsidRPr="00EE5722" w:rsidRDefault="00E46826" w:rsidP="00115AB3">
      <w:pPr>
        <w:pStyle w:val="Heading4"/>
        <w:numPr>
          <w:ilvl w:val="0"/>
          <w:numId w:val="0"/>
        </w:numPr>
        <w:ind w:left="2880" w:hanging="720"/>
      </w:pPr>
      <w:bookmarkStart w:id="69" w:name="_Toc346705311"/>
      <w:r>
        <w:t>a.</w:t>
      </w:r>
      <w:r>
        <w:tab/>
        <w:t>Auction versus Aggregation</w:t>
      </w:r>
      <w:r w:rsidR="00EE639F" w:rsidRPr="00EE5722">
        <w:t xml:space="preserve"> Program</w:t>
      </w:r>
      <w:bookmarkEnd w:id="69"/>
    </w:p>
    <w:p w:rsidR="0099674A" w:rsidRPr="00EE5722" w:rsidRDefault="0099674A" w:rsidP="00911D84">
      <w:pPr>
        <w:pStyle w:val="BriefL3"/>
        <w:keepNext/>
        <w:numPr>
          <w:ilvl w:val="0"/>
          <w:numId w:val="0"/>
        </w:numPr>
        <w:spacing w:after="0" w:line="360" w:lineRule="auto"/>
        <w:ind w:left="2160"/>
        <w:outlineLvl w:val="9"/>
        <w:rPr>
          <w:b/>
          <w:sz w:val="26"/>
          <w:szCs w:val="26"/>
        </w:rPr>
      </w:pPr>
    </w:p>
    <w:p w:rsidR="00EE639F" w:rsidRPr="00EE5722" w:rsidRDefault="008F2DA8" w:rsidP="00115AB3">
      <w:pPr>
        <w:pStyle w:val="Heading5"/>
        <w:numPr>
          <w:ilvl w:val="0"/>
          <w:numId w:val="0"/>
        </w:numPr>
        <w:ind w:left="3600" w:hanging="720"/>
      </w:pPr>
      <w:bookmarkStart w:id="70" w:name="_Toc346705312"/>
      <w:r w:rsidRPr="00EE5722">
        <w:t>i</w:t>
      </w:r>
      <w:r w:rsidR="000B0DA3" w:rsidRPr="00EE5722">
        <w:t>.</w:t>
      </w:r>
      <w:r w:rsidR="000B0DA3" w:rsidRPr="00EE5722">
        <w:tab/>
      </w:r>
      <w:r w:rsidR="00026DA4">
        <w:t>Duquesne</w:t>
      </w:r>
      <w:r w:rsidR="00EE639F" w:rsidRPr="00EE5722">
        <w:t>’s Propos</w:t>
      </w:r>
      <w:r w:rsidR="00BF767C" w:rsidRPr="00EE5722">
        <w:t>al</w:t>
      </w:r>
      <w:bookmarkEnd w:id="70"/>
    </w:p>
    <w:p w:rsidR="00EE639F" w:rsidRPr="00EE5722" w:rsidRDefault="00EE639F" w:rsidP="008F2DA8">
      <w:pPr>
        <w:pStyle w:val="BodyText"/>
        <w:spacing w:after="0" w:line="360" w:lineRule="auto"/>
        <w:ind w:left="0" w:firstLine="0"/>
        <w:rPr>
          <w:sz w:val="26"/>
          <w:szCs w:val="26"/>
        </w:rPr>
      </w:pPr>
    </w:p>
    <w:p w:rsidR="001543F6" w:rsidRPr="00EE5722" w:rsidRDefault="001543F6" w:rsidP="0097051A">
      <w:pPr>
        <w:pStyle w:val="BodyText2"/>
        <w:spacing w:after="0" w:line="360" w:lineRule="auto"/>
        <w:rPr>
          <w:sz w:val="26"/>
          <w:szCs w:val="26"/>
        </w:rPr>
      </w:pPr>
      <w:r w:rsidRPr="00EE5722">
        <w:rPr>
          <w:sz w:val="26"/>
          <w:szCs w:val="26"/>
        </w:rPr>
        <w:tab/>
      </w:r>
      <w:r w:rsidRPr="00EE5722">
        <w:rPr>
          <w:sz w:val="26"/>
          <w:szCs w:val="26"/>
        </w:rPr>
        <w:tab/>
      </w:r>
      <w:r w:rsidR="00026DA4">
        <w:rPr>
          <w:sz w:val="26"/>
          <w:szCs w:val="26"/>
        </w:rPr>
        <w:t xml:space="preserve">Duquesne </w:t>
      </w:r>
      <w:r w:rsidR="00EA5939">
        <w:rPr>
          <w:sz w:val="26"/>
          <w:szCs w:val="26"/>
        </w:rPr>
        <w:t>averred that</w:t>
      </w:r>
      <w:r w:rsidRPr="00EE5722">
        <w:rPr>
          <w:sz w:val="26"/>
          <w:szCs w:val="26"/>
        </w:rPr>
        <w:t xml:space="preserve"> it designed </w:t>
      </w:r>
      <w:r w:rsidR="00740026">
        <w:rPr>
          <w:sz w:val="26"/>
          <w:szCs w:val="26"/>
        </w:rPr>
        <w:t>its</w:t>
      </w:r>
      <w:r w:rsidRPr="00EE5722">
        <w:rPr>
          <w:sz w:val="26"/>
          <w:szCs w:val="26"/>
        </w:rPr>
        <w:t xml:space="preserve"> proposed </w:t>
      </w:r>
      <w:r w:rsidR="00EA5939">
        <w:rPr>
          <w:sz w:val="26"/>
          <w:szCs w:val="26"/>
        </w:rPr>
        <w:t xml:space="preserve">Retail Market Enhancement </w:t>
      </w:r>
      <w:r w:rsidRPr="00EE5722">
        <w:rPr>
          <w:sz w:val="26"/>
          <w:szCs w:val="26"/>
        </w:rPr>
        <w:t>Programs to balance the interests of customers and the benefits that such programs could produce in enhancing the already highly successful competitive market</w:t>
      </w:r>
      <w:r w:rsidR="00632E52" w:rsidRPr="00EE5722">
        <w:rPr>
          <w:sz w:val="26"/>
          <w:szCs w:val="26"/>
        </w:rPr>
        <w:t xml:space="preserve"> </w:t>
      </w:r>
      <w:r w:rsidRPr="00EE5722">
        <w:rPr>
          <w:sz w:val="26"/>
          <w:szCs w:val="26"/>
        </w:rPr>
        <w:t>place in its service territory.</w:t>
      </w:r>
      <w:r w:rsidR="00692C19" w:rsidRPr="00EE5722">
        <w:rPr>
          <w:sz w:val="26"/>
          <w:szCs w:val="26"/>
        </w:rPr>
        <w:t xml:space="preserve"> </w:t>
      </w:r>
      <w:r w:rsidRPr="00EE5722">
        <w:rPr>
          <w:sz w:val="26"/>
          <w:szCs w:val="26"/>
        </w:rPr>
        <w:t xml:space="preserve"> </w:t>
      </w:r>
      <w:r w:rsidR="00EA5939">
        <w:rPr>
          <w:sz w:val="26"/>
          <w:szCs w:val="26"/>
        </w:rPr>
        <w:t xml:space="preserve">Duquesne </w:t>
      </w:r>
      <w:r w:rsidRPr="00EE5722">
        <w:rPr>
          <w:sz w:val="26"/>
          <w:szCs w:val="26"/>
        </w:rPr>
        <w:t xml:space="preserve">designed its </w:t>
      </w:r>
      <w:r w:rsidR="00504B9D">
        <w:rPr>
          <w:sz w:val="26"/>
          <w:szCs w:val="26"/>
        </w:rPr>
        <w:t xml:space="preserve">Opt-In </w:t>
      </w:r>
      <w:r w:rsidRPr="00EE5722">
        <w:rPr>
          <w:sz w:val="26"/>
          <w:szCs w:val="26"/>
        </w:rPr>
        <w:t xml:space="preserve">Program to follow the guidelines provided by the Commission in the </w:t>
      </w:r>
      <w:r w:rsidR="00740026">
        <w:rPr>
          <w:i/>
          <w:sz w:val="26"/>
          <w:szCs w:val="26"/>
        </w:rPr>
        <w:t>IWP Final</w:t>
      </w:r>
      <w:r w:rsidRPr="00EE5722">
        <w:rPr>
          <w:i/>
          <w:sz w:val="26"/>
          <w:szCs w:val="26"/>
        </w:rPr>
        <w:t xml:space="preserve"> Order</w:t>
      </w:r>
      <w:r w:rsidRPr="00EE5722">
        <w:rPr>
          <w:sz w:val="26"/>
          <w:szCs w:val="26"/>
        </w:rPr>
        <w:t xml:space="preserve">, noting that the Commission authorized variances from the guidelines for good reason.  </w:t>
      </w:r>
      <w:r w:rsidR="00740026">
        <w:rPr>
          <w:i/>
          <w:sz w:val="26"/>
          <w:szCs w:val="26"/>
        </w:rPr>
        <w:t xml:space="preserve">IWP Final </w:t>
      </w:r>
      <w:r w:rsidRPr="00EE5722">
        <w:rPr>
          <w:i/>
          <w:sz w:val="26"/>
          <w:szCs w:val="26"/>
        </w:rPr>
        <w:t>Order</w:t>
      </w:r>
      <w:r w:rsidR="00740026">
        <w:rPr>
          <w:sz w:val="26"/>
          <w:szCs w:val="26"/>
        </w:rPr>
        <w:t xml:space="preserve"> at </w:t>
      </w:r>
      <w:r w:rsidR="00026DA4">
        <w:rPr>
          <w:sz w:val="26"/>
          <w:szCs w:val="26"/>
        </w:rPr>
        <w:t xml:space="preserve">6-7.  </w:t>
      </w:r>
      <w:r w:rsidR="00026DA4">
        <w:rPr>
          <w:sz w:val="26"/>
          <w:szCs w:val="26"/>
        </w:rPr>
        <w:lastRenderedPageBreak/>
        <w:t>Duquesne</w:t>
      </w:r>
      <w:r w:rsidRPr="00EE5722">
        <w:rPr>
          <w:sz w:val="26"/>
          <w:szCs w:val="26"/>
        </w:rPr>
        <w:t>’s proposal provides for:  (1) an RFP to determin</w:t>
      </w:r>
      <w:r w:rsidR="0097051A">
        <w:rPr>
          <w:sz w:val="26"/>
          <w:szCs w:val="26"/>
        </w:rPr>
        <w:t>e the winning EGS bidders for ten</w:t>
      </w:r>
      <w:r w:rsidRPr="00EE5722">
        <w:rPr>
          <w:sz w:val="26"/>
          <w:szCs w:val="26"/>
        </w:rPr>
        <w:t xml:space="preserve"> tranches of supply to serve customers that elect to partici</w:t>
      </w:r>
      <w:r w:rsidR="0097051A">
        <w:rPr>
          <w:sz w:val="26"/>
          <w:szCs w:val="26"/>
        </w:rPr>
        <w:t>pate; (2) a fixed price for a twelve</w:t>
      </w:r>
      <w:r w:rsidR="002C7890" w:rsidRPr="00EE5722">
        <w:rPr>
          <w:sz w:val="26"/>
          <w:szCs w:val="26"/>
        </w:rPr>
        <w:t>-</w:t>
      </w:r>
      <w:r w:rsidRPr="00EE5722">
        <w:rPr>
          <w:sz w:val="26"/>
          <w:szCs w:val="26"/>
        </w:rPr>
        <w:t xml:space="preserve">month period; (3) a minimum discount of 5% off the PTC at the time of the offer; (4) a $50 bonus payment; (5) a cap on customer participation of 50% of default service customers; and (6) a limit that prohibits any EGS from obtaining more than 50% of the customers that elect </w:t>
      </w:r>
      <w:r w:rsidR="00026DA4">
        <w:rPr>
          <w:sz w:val="26"/>
          <w:szCs w:val="26"/>
        </w:rPr>
        <w:t>to</w:t>
      </w:r>
      <w:r w:rsidR="00EA5939">
        <w:rPr>
          <w:sz w:val="26"/>
          <w:szCs w:val="26"/>
        </w:rPr>
        <w:t xml:space="preserve"> participate.  Duquesne St. </w:t>
      </w:r>
      <w:r w:rsidR="00026DA4">
        <w:rPr>
          <w:sz w:val="26"/>
          <w:szCs w:val="26"/>
        </w:rPr>
        <w:t xml:space="preserve">3 at  </w:t>
      </w:r>
      <w:r w:rsidRPr="00EE5722">
        <w:rPr>
          <w:sz w:val="26"/>
          <w:szCs w:val="26"/>
        </w:rPr>
        <w:t xml:space="preserve">14-28.  The only component </w:t>
      </w:r>
      <w:r w:rsidR="003B2D25" w:rsidRPr="00EE5722">
        <w:rPr>
          <w:sz w:val="26"/>
          <w:szCs w:val="26"/>
        </w:rPr>
        <w:t xml:space="preserve">of its plan </w:t>
      </w:r>
      <w:r w:rsidRPr="00EE5722">
        <w:rPr>
          <w:sz w:val="26"/>
          <w:szCs w:val="26"/>
        </w:rPr>
        <w:t>that deviates from the</w:t>
      </w:r>
      <w:r w:rsidR="0097051A">
        <w:rPr>
          <w:sz w:val="26"/>
          <w:szCs w:val="26"/>
        </w:rPr>
        <w:t xml:space="preserve"> Commission guidelines is the twelve</w:t>
      </w:r>
      <w:r w:rsidR="008F6D51" w:rsidRPr="00EE5722">
        <w:rPr>
          <w:sz w:val="26"/>
          <w:szCs w:val="26"/>
        </w:rPr>
        <w:t>-</w:t>
      </w:r>
      <w:r w:rsidRPr="00EE5722">
        <w:rPr>
          <w:sz w:val="26"/>
          <w:szCs w:val="26"/>
        </w:rPr>
        <w:t xml:space="preserve">month term, for reasons </w:t>
      </w:r>
      <w:r w:rsidR="00026DA4">
        <w:rPr>
          <w:sz w:val="26"/>
          <w:szCs w:val="26"/>
        </w:rPr>
        <w:t>Duquesne</w:t>
      </w:r>
      <w:r w:rsidR="003B2D25" w:rsidRPr="00EE5722">
        <w:rPr>
          <w:sz w:val="26"/>
          <w:szCs w:val="26"/>
        </w:rPr>
        <w:t xml:space="preserve"> </w:t>
      </w:r>
      <w:r w:rsidRPr="00EE5722">
        <w:rPr>
          <w:sz w:val="26"/>
          <w:szCs w:val="26"/>
        </w:rPr>
        <w:t>explained</w:t>
      </w:r>
      <w:r w:rsidR="003B2D25" w:rsidRPr="00EE5722">
        <w:rPr>
          <w:sz w:val="26"/>
          <w:szCs w:val="26"/>
        </w:rPr>
        <w:t xml:space="preserve"> make this proceeding different from the one envisioned in the guidelines</w:t>
      </w:r>
      <w:r w:rsidRPr="00EE5722">
        <w:rPr>
          <w:sz w:val="26"/>
          <w:szCs w:val="26"/>
        </w:rPr>
        <w:t>.</w:t>
      </w:r>
    </w:p>
    <w:p w:rsidR="00692C19" w:rsidRPr="00EE5722" w:rsidRDefault="00692C19" w:rsidP="00692C19">
      <w:pPr>
        <w:pStyle w:val="BodyText2"/>
        <w:spacing w:after="0" w:line="360" w:lineRule="auto"/>
        <w:rPr>
          <w:sz w:val="26"/>
          <w:szCs w:val="26"/>
        </w:rPr>
      </w:pPr>
      <w:r w:rsidRPr="00EE5722">
        <w:rPr>
          <w:sz w:val="26"/>
          <w:szCs w:val="26"/>
        </w:rPr>
        <w:tab/>
      </w:r>
    </w:p>
    <w:p w:rsidR="00D91550" w:rsidRPr="00EE5722" w:rsidRDefault="00692C19" w:rsidP="0097051A">
      <w:pPr>
        <w:pStyle w:val="BodyText2"/>
        <w:spacing w:after="0" w:line="360" w:lineRule="auto"/>
        <w:rPr>
          <w:sz w:val="26"/>
          <w:szCs w:val="26"/>
        </w:rPr>
      </w:pPr>
      <w:r w:rsidRPr="00EE5722">
        <w:rPr>
          <w:sz w:val="26"/>
          <w:szCs w:val="26"/>
        </w:rPr>
        <w:tab/>
      </w:r>
      <w:r w:rsidRPr="00EE5722">
        <w:rPr>
          <w:sz w:val="26"/>
          <w:szCs w:val="26"/>
        </w:rPr>
        <w:tab/>
      </w:r>
      <w:r w:rsidR="00644DFF">
        <w:rPr>
          <w:sz w:val="26"/>
          <w:szCs w:val="26"/>
        </w:rPr>
        <w:t>Duquesne’s</w:t>
      </w:r>
      <w:r w:rsidR="001543F6" w:rsidRPr="00EE5722">
        <w:rPr>
          <w:sz w:val="26"/>
          <w:szCs w:val="26"/>
        </w:rPr>
        <w:t xml:space="preserve"> proposed </w:t>
      </w:r>
      <w:r w:rsidR="00504B9D">
        <w:rPr>
          <w:sz w:val="26"/>
          <w:szCs w:val="26"/>
        </w:rPr>
        <w:t>Opt-In</w:t>
      </w:r>
      <w:r w:rsidR="00EA5939">
        <w:rPr>
          <w:sz w:val="26"/>
          <w:szCs w:val="26"/>
        </w:rPr>
        <w:t xml:space="preserve"> </w:t>
      </w:r>
      <w:r w:rsidR="00740026">
        <w:rPr>
          <w:sz w:val="26"/>
          <w:szCs w:val="26"/>
        </w:rPr>
        <w:t>P</w:t>
      </w:r>
      <w:r w:rsidR="001543F6" w:rsidRPr="00EE5722">
        <w:rPr>
          <w:sz w:val="26"/>
          <w:szCs w:val="26"/>
        </w:rPr>
        <w:t>rogram e</w:t>
      </w:r>
      <w:r w:rsidR="00740026">
        <w:rPr>
          <w:sz w:val="26"/>
          <w:szCs w:val="26"/>
        </w:rPr>
        <w:t>licited wide support from most P</w:t>
      </w:r>
      <w:r w:rsidR="001543F6" w:rsidRPr="00EE5722">
        <w:rPr>
          <w:sz w:val="26"/>
          <w:szCs w:val="26"/>
        </w:rPr>
        <w:t>a</w:t>
      </w:r>
      <w:r w:rsidR="00740026">
        <w:rPr>
          <w:sz w:val="26"/>
          <w:szCs w:val="26"/>
        </w:rPr>
        <w:t>rties to</w:t>
      </w:r>
      <w:r w:rsidR="001543F6" w:rsidRPr="00EE5722">
        <w:rPr>
          <w:sz w:val="26"/>
          <w:szCs w:val="26"/>
        </w:rPr>
        <w:t xml:space="preserve"> this proceeding, including EGSs and </w:t>
      </w:r>
      <w:r w:rsidR="00EA5939">
        <w:rPr>
          <w:sz w:val="26"/>
          <w:szCs w:val="26"/>
        </w:rPr>
        <w:t xml:space="preserve">the </w:t>
      </w:r>
      <w:r w:rsidR="001543F6" w:rsidRPr="00EE5722">
        <w:rPr>
          <w:sz w:val="26"/>
          <w:szCs w:val="26"/>
        </w:rPr>
        <w:t>OCA.  In contrast, RESA proposed</w:t>
      </w:r>
      <w:r w:rsidR="00026DA4">
        <w:rPr>
          <w:sz w:val="26"/>
          <w:szCs w:val="26"/>
        </w:rPr>
        <w:t xml:space="preserve"> broad changes to Duquesne</w:t>
      </w:r>
      <w:r w:rsidR="00EA5939">
        <w:rPr>
          <w:sz w:val="26"/>
          <w:szCs w:val="26"/>
        </w:rPr>
        <w:t xml:space="preserve">’s proposed </w:t>
      </w:r>
      <w:r w:rsidR="00740026">
        <w:rPr>
          <w:sz w:val="26"/>
          <w:szCs w:val="26"/>
        </w:rPr>
        <w:t>Opt-In P</w:t>
      </w:r>
      <w:r w:rsidR="00EA5939">
        <w:rPr>
          <w:sz w:val="26"/>
          <w:szCs w:val="26"/>
        </w:rPr>
        <w:t>rogram</w:t>
      </w:r>
      <w:r w:rsidR="00740026">
        <w:rPr>
          <w:sz w:val="26"/>
          <w:szCs w:val="26"/>
        </w:rPr>
        <w:t xml:space="preserve">, including </w:t>
      </w:r>
      <w:r w:rsidR="0097051A">
        <w:rPr>
          <w:sz w:val="26"/>
          <w:szCs w:val="26"/>
        </w:rPr>
        <w:t>a four</w:t>
      </w:r>
      <w:r w:rsidR="001543F6" w:rsidRPr="00EE5722">
        <w:rPr>
          <w:sz w:val="26"/>
          <w:szCs w:val="26"/>
        </w:rPr>
        <w:t xml:space="preserve">-month </w:t>
      </w:r>
      <w:r w:rsidR="0097051A">
        <w:rPr>
          <w:sz w:val="26"/>
          <w:szCs w:val="26"/>
        </w:rPr>
        <w:t>initial product followed by an eight</w:t>
      </w:r>
      <w:r w:rsidR="001543F6" w:rsidRPr="00EE5722">
        <w:rPr>
          <w:sz w:val="26"/>
          <w:szCs w:val="26"/>
        </w:rPr>
        <w:t>-month product at a price not known to the customer at the time of enrollment</w:t>
      </w:r>
      <w:r w:rsidR="00026DA4">
        <w:rPr>
          <w:sz w:val="26"/>
          <w:szCs w:val="26"/>
        </w:rPr>
        <w:t>.  Duquesne</w:t>
      </w:r>
      <w:r w:rsidR="00D91550" w:rsidRPr="00EE5722">
        <w:rPr>
          <w:sz w:val="26"/>
          <w:szCs w:val="26"/>
        </w:rPr>
        <w:t xml:space="preserve"> ave</w:t>
      </w:r>
      <w:r w:rsidR="00AE5B46" w:rsidRPr="00EE5722">
        <w:rPr>
          <w:sz w:val="26"/>
          <w:szCs w:val="26"/>
        </w:rPr>
        <w:t>r</w:t>
      </w:r>
      <w:r w:rsidR="00EA5939">
        <w:rPr>
          <w:sz w:val="26"/>
          <w:szCs w:val="26"/>
        </w:rPr>
        <w:t>red</w:t>
      </w:r>
      <w:r w:rsidR="00D91550" w:rsidRPr="00EE5722">
        <w:rPr>
          <w:sz w:val="26"/>
          <w:szCs w:val="26"/>
        </w:rPr>
        <w:t xml:space="preserve"> </w:t>
      </w:r>
      <w:r w:rsidR="00740026">
        <w:rPr>
          <w:sz w:val="26"/>
          <w:szCs w:val="26"/>
        </w:rPr>
        <w:t xml:space="preserve">that </w:t>
      </w:r>
      <w:r w:rsidR="00D91550" w:rsidRPr="00EE5722">
        <w:rPr>
          <w:sz w:val="26"/>
          <w:szCs w:val="26"/>
        </w:rPr>
        <w:t>its proposal is better because it advances the following goals and features:</w:t>
      </w:r>
    </w:p>
    <w:p w:rsidR="00D91550" w:rsidRPr="00EE5722" w:rsidRDefault="00D91550" w:rsidP="0097051A">
      <w:pPr>
        <w:pStyle w:val="BodyText2"/>
        <w:spacing w:after="0" w:line="360" w:lineRule="auto"/>
        <w:rPr>
          <w:sz w:val="26"/>
          <w:szCs w:val="26"/>
        </w:rPr>
      </w:pPr>
    </w:p>
    <w:p w:rsidR="00D91550" w:rsidRPr="00EE5722" w:rsidRDefault="00D91550" w:rsidP="00EA5939">
      <w:pPr>
        <w:pStyle w:val="BodyText2"/>
        <w:spacing w:after="0" w:line="240" w:lineRule="auto"/>
        <w:ind w:left="1440" w:right="1440"/>
        <w:rPr>
          <w:sz w:val="26"/>
          <w:szCs w:val="26"/>
        </w:rPr>
      </w:pPr>
      <w:r w:rsidRPr="00EE5722">
        <w:rPr>
          <w:sz w:val="26"/>
          <w:szCs w:val="26"/>
        </w:rPr>
        <w:t>1.</w:t>
      </w:r>
      <w:r w:rsidRPr="00EE5722">
        <w:rPr>
          <w:sz w:val="26"/>
          <w:szCs w:val="26"/>
        </w:rPr>
        <w:tab/>
        <w:t>Provides customer</w:t>
      </w:r>
      <w:r w:rsidR="0097051A">
        <w:rPr>
          <w:sz w:val="26"/>
          <w:szCs w:val="26"/>
        </w:rPr>
        <w:t>s with guaranteed savings for twelve</w:t>
      </w:r>
      <w:r w:rsidRPr="00EE5722">
        <w:rPr>
          <w:sz w:val="26"/>
          <w:szCs w:val="26"/>
        </w:rPr>
        <w:t xml:space="preserve"> months, versus </w:t>
      </w:r>
      <w:r w:rsidR="0097051A">
        <w:rPr>
          <w:sz w:val="26"/>
          <w:szCs w:val="26"/>
        </w:rPr>
        <w:t>four</w:t>
      </w:r>
      <w:r w:rsidR="00C8592B" w:rsidRPr="00EE5722">
        <w:rPr>
          <w:sz w:val="26"/>
          <w:szCs w:val="26"/>
        </w:rPr>
        <w:t> </w:t>
      </w:r>
      <w:r w:rsidRPr="00EE5722">
        <w:rPr>
          <w:sz w:val="26"/>
          <w:szCs w:val="26"/>
        </w:rPr>
        <w:t>months.</w:t>
      </w:r>
    </w:p>
    <w:p w:rsidR="00D91550" w:rsidRPr="00EE5722" w:rsidRDefault="00D91550" w:rsidP="00EA5939">
      <w:pPr>
        <w:pStyle w:val="BodyText2"/>
        <w:spacing w:after="0" w:line="240" w:lineRule="auto"/>
        <w:ind w:left="1440" w:right="1440"/>
        <w:rPr>
          <w:sz w:val="26"/>
          <w:szCs w:val="26"/>
        </w:rPr>
      </w:pPr>
    </w:p>
    <w:p w:rsidR="00D91550" w:rsidRPr="00EE5722" w:rsidRDefault="00D91550" w:rsidP="00EA5939">
      <w:pPr>
        <w:pStyle w:val="BodyText2"/>
        <w:spacing w:after="0" w:line="240" w:lineRule="auto"/>
        <w:ind w:left="1440" w:right="1440"/>
        <w:rPr>
          <w:sz w:val="26"/>
          <w:szCs w:val="26"/>
        </w:rPr>
      </w:pPr>
      <w:r w:rsidRPr="00EE5722">
        <w:rPr>
          <w:sz w:val="26"/>
          <w:szCs w:val="26"/>
        </w:rPr>
        <w:t>2.</w:t>
      </w:r>
      <w:r w:rsidRPr="00EE5722">
        <w:rPr>
          <w:sz w:val="26"/>
          <w:szCs w:val="26"/>
        </w:rPr>
        <w:tab/>
        <w:t>Provides greater price transparency to customers at the time of enrollmen</w:t>
      </w:r>
      <w:r w:rsidR="0097051A">
        <w:rPr>
          <w:sz w:val="26"/>
          <w:szCs w:val="26"/>
        </w:rPr>
        <w:t>t with a fixed rate known for twelve</w:t>
      </w:r>
      <w:r w:rsidRPr="00EE5722">
        <w:rPr>
          <w:sz w:val="26"/>
          <w:szCs w:val="26"/>
        </w:rPr>
        <w:t xml:space="preserve"> months, instead of an unknown fixed rate for </w:t>
      </w:r>
      <w:r w:rsidR="0097051A">
        <w:rPr>
          <w:sz w:val="26"/>
          <w:szCs w:val="26"/>
        </w:rPr>
        <w:t>eight</w:t>
      </w:r>
      <w:r w:rsidRPr="00EE5722">
        <w:rPr>
          <w:sz w:val="26"/>
          <w:szCs w:val="26"/>
        </w:rPr>
        <w:t xml:space="preserve"> months.</w:t>
      </w:r>
    </w:p>
    <w:p w:rsidR="00D91550" w:rsidRPr="00EE5722" w:rsidRDefault="00D91550" w:rsidP="00EA5939">
      <w:pPr>
        <w:pStyle w:val="BodyText2"/>
        <w:spacing w:after="0" w:line="240" w:lineRule="auto"/>
        <w:ind w:left="1440" w:right="1440"/>
        <w:rPr>
          <w:sz w:val="26"/>
          <w:szCs w:val="26"/>
        </w:rPr>
      </w:pPr>
    </w:p>
    <w:p w:rsidR="00D91550" w:rsidRPr="00EE5722" w:rsidRDefault="00D91550" w:rsidP="00EA5939">
      <w:pPr>
        <w:pStyle w:val="BodyText2"/>
        <w:spacing w:after="0" w:line="240" w:lineRule="auto"/>
        <w:ind w:left="1440" w:right="1440"/>
        <w:rPr>
          <w:sz w:val="26"/>
          <w:szCs w:val="26"/>
        </w:rPr>
      </w:pPr>
      <w:r w:rsidRPr="00EE5722">
        <w:rPr>
          <w:sz w:val="26"/>
          <w:szCs w:val="26"/>
        </w:rPr>
        <w:t>3.</w:t>
      </w:r>
      <w:r w:rsidRPr="00EE5722">
        <w:rPr>
          <w:sz w:val="26"/>
          <w:szCs w:val="26"/>
        </w:rPr>
        <w:tab/>
        <w:t xml:space="preserve">Provides </w:t>
      </w:r>
      <w:r w:rsidR="00740026">
        <w:rPr>
          <w:sz w:val="26"/>
          <w:szCs w:val="26"/>
        </w:rPr>
        <w:t xml:space="preserve">an </w:t>
      </w:r>
      <w:r w:rsidRPr="00EE5722">
        <w:rPr>
          <w:sz w:val="26"/>
          <w:szCs w:val="26"/>
        </w:rPr>
        <w:t xml:space="preserve">easier-to-understand product at enrollment with a single opt-in product using a known fixed </w:t>
      </w:r>
      <w:r w:rsidR="005B62CE" w:rsidRPr="00EE5722">
        <w:rPr>
          <w:sz w:val="26"/>
          <w:szCs w:val="26"/>
        </w:rPr>
        <w:t xml:space="preserve">period </w:t>
      </w:r>
      <w:r w:rsidR="00B5630B">
        <w:rPr>
          <w:sz w:val="26"/>
          <w:szCs w:val="26"/>
        </w:rPr>
        <w:t>for twelve</w:t>
      </w:r>
      <w:r w:rsidRPr="00EE5722">
        <w:rPr>
          <w:sz w:val="26"/>
          <w:szCs w:val="26"/>
        </w:rPr>
        <w:t xml:space="preserve"> months, versus two different products (opt-in for </w:t>
      </w:r>
      <w:r w:rsidR="00B5630B">
        <w:rPr>
          <w:sz w:val="26"/>
          <w:szCs w:val="26"/>
        </w:rPr>
        <w:t>four</w:t>
      </w:r>
      <w:r w:rsidRPr="00EE5722">
        <w:rPr>
          <w:sz w:val="26"/>
          <w:szCs w:val="26"/>
        </w:rPr>
        <w:t xml:space="preserve"> months followed by opt-out for </w:t>
      </w:r>
      <w:r w:rsidR="00B5630B">
        <w:rPr>
          <w:sz w:val="26"/>
          <w:szCs w:val="26"/>
        </w:rPr>
        <w:t>eight</w:t>
      </w:r>
      <w:r w:rsidRPr="00EE5722">
        <w:rPr>
          <w:sz w:val="26"/>
          <w:szCs w:val="26"/>
        </w:rPr>
        <w:t xml:space="preserve"> months).</w:t>
      </w:r>
    </w:p>
    <w:p w:rsidR="00D91550" w:rsidRPr="00EE5722" w:rsidRDefault="00D91550" w:rsidP="00EA5939">
      <w:pPr>
        <w:pStyle w:val="BodyText2"/>
        <w:spacing w:after="0" w:line="240" w:lineRule="auto"/>
        <w:ind w:left="1440" w:right="1440"/>
        <w:rPr>
          <w:sz w:val="26"/>
          <w:szCs w:val="26"/>
        </w:rPr>
      </w:pPr>
    </w:p>
    <w:p w:rsidR="00D91550" w:rsidRPr="00EE5722" w:rsidRDefault="00D91550" w:rsidP="00EA5939">
      <w:pPr>
        <w:pStyle w:val="BodyText2"/>
        <w:spacing w:after="0" w:line="240" w:lineRule="auto"/>
        <w:ind w:left="1440" w:right="1440"/>
        <w:rPr>
          <w:sz w:val="26"/>
          <w:szCs w:val="26"/>
        </w:rPr>
      </w:pPr>
      <w:r w:rsidRPr="00EE5722">
        <w:rPr>
          <w:sz w:val="26"/>
          <w:szCs w:val="26"/>
        </w:rPr>
        <w:t>4.</w:t>
      </w:r>
      <w:r w:rsidRPr="00EE5722">
        <w:rPr>
          <w:sz w:val="26"/>
          <w:szCs w:val="26"/>
        </w:rPr>
        <w:tab/>
        <w:t>Relies on competitive market to establish the pricing with the discount determined through competitive bids versus determined administratively.</w:t>
      </w:r>
    </w:p>
    <w:p w:rsidR="00D91550" w:rsidRPr="00EE5722" w:rsidRDefault="00D91550" w:rsidP="00EA5939">
      <w:pPr>
        <w:pStyle w:val="BodyText2"/>
        <w:spacing w:after="0" w:line="240" w:lineRule="auto"/>
        <w:ind w:left="1440" w:right="1440"/>
        <w:rPr>
          <w:sz w:val="26"/>
          <w:szCs w:val="26"/>
        </w:rPr>
      </w:pPr>
    </w:p>
    <w:p w:rsidR="00D91550" w:rsidRPr="00EE5722" w:rsidRDefault="00D91550" w:rsidP="00EA5939">
      <w:pPr>
        <w:pStyle w:val="BodyText2"/>
        <w:spacing w:after="0" w:line="240" w:lineRule="auto"/>
        <w:ind w:left="1440" w:right="1440"/>
        <w:rPr>
          <w:sz w:val="26"/>
          <w:szCs w:val="26"/>
        </w:rPr>
      </w:pPr>
      <w:r w:rsidRPr="00EE5722">
        <w:rPr>
          <w:sz w:val="26"/>
          <w:szCs w:val="26"/>
        </w:rPr>
        <w:lastRenderedPageBreak/>
        <w:t>5.</w:t>
      </w:r>
      <w:r w:rsidRPr="00EE5722">
        <w:rPr>
          <w:sz w:val="26"/>
          <w:szCs w:val="26"/>
        </w:rPr>
        <w:tab/>
        <w:t>Offers a $50 rebate aft</w:t>
      </w:r>
      <w:r w:rsidR="00740026">
        <w:rPr>
          <w:sz w:val="26"/>
          <w:szCs w:val="26"/>
        </w:rPr>
        <w:t xml:space="preserve">er </w:t>
      </w:r>
      <w:r w:rsidR="00B5630B">
        <w:rPr>
          <w:sz w:val="26"/>
          <w:szCs w:val="26"/>
        </w:rPr>
        <w:t>three months versus four</w:t>
      </w:r>
      <w:r w:rsidRPr="00EE5722">
        <w:rPr>
          <w:sz w:val="26"/>
          <w:szCs w:val="26"/>
        </w:rPr>
        <w:t xml:space="preserve"> months</w:t>
      </w:r>
      <w:r w:rsidR="00740026">
        <w:rPr>
          <w:sz w:val="26"/>
          <w:szCs w:val="26"/>
        </w:rPr>
        <w:t xml:space="preserve">, </w:t>
      </w:r>
      <w:r w:rsidRPr="00EE5722">
        <w:rPr>
          <w:sz w:val="26"/>
          <w:szCs w:val="26"/>
        </w:rPr>
        <w:t xml:space="preserve">coupled with consumer confusion that </w:t>
      </w:r>
      <w:r w:rsidR="00B5630B">
        <w:rPr>
          <w:sz w:val="26"/>
          <w:szCs w:val="26"/>
        </w:rPr>
        <w:t xml:space="preserve">a </w:t>
      </w:r>
      <w:r w:rsidRPr="00EE5722">
        <w:rPr>
          <w:sz w:val="26"/>
          <w:szCs w:val="26"/>
        </w:rPr>
        <w:t xml:space="preserve">$50 rebate is tied to accepting unknown </w:t>
      </w:r>
      <w:r w:rsidR="00B5630B">
        <w:rPr>
          <w:sz w:val="26"/>
          <w:szCs w:val="26"/>
        </w:rPr>
        <w:t>eight</w:t>
      </w:r>
      <w:r w:rsidR="00740026">
        <w:rPr>
          <w:sz w:val="26"/>
          <w:szCs w:val="26"/>
        </w:rPr>
        <w:t>-</w:t>
      </w:r>
      <w:r w:rsidRPr="00EE5722">
        <w:rPr>
          <w:sz w:val="26"/>
          <w:szCs w:val="26"/>
        </w:rPr>
        <w:t>month fixed rate.</w:t>
      </w:r>
    </w:p>
    <w:p w:rsidR="00D91550" w:rsidRPr="00EE5722" w:rsidRDefault="00D91550" w:rsidP="00EA5939">
      <w:pPr>
        <w:pStyle w:val="BodyText2"/>
        <w:spacing w:after="0" w:line="240" w:lineRule="auto"/>
        <w:ind w:left="1440" w:right="1440"/>
        <w:rPr>
          <w:sz w:val="26"/>
          <w:szCs w:val="26"/>
        </w:rPr>
      </w:pPr>
    </w:p>
    <w:p w:rsidR="00D91550" w:rsidRPr="00EE5722" w:rsidRDefault="00D91550" w:rsidP="00B5630B">
      <w:pPr>
        <w:pStyle w:val="BodyText2"/>
        <w:spacing w:after="0" w:line="240" w:lineRule="auto"/>
        <w:ind w:left="1440" w:right="1440"/>
        <w:rPr>
          <w:sz w:val="26"/>
          <w:szCs w:val="26"/>
        </w:rPr>
      </w:pPr>
      <w:r w:rsidRPr="00EE5722">
        <w:rPr>
          <w:sz w:val="26"/>
          <w:szCs w:val="26"/>
        </w:rPr>
        <w:t>6.</w:t>
      </w:r>
      <w:r w:rsidRPr="00EE5722">
        <w:rPr>
          <w:sz w:val="26"/>
          <w:szCs w:val="26"/>
        </w:rPr>
        <w:tab/>
        <w:t xml:space="preserve">Provides greater customer protection against “bait and switch” tactics because typical residential consumer would </w:t>
      </w:r>
      <w:r w:rsidR="00B5630B">
        <w:rPr>
          <w:sz w:val="26"/>
          <w:szCs w:val="26"/>
        </w:rPr>
        <w:t>have “no harm” protection for twelve</w:t>
      </w:r>
      <w:r w:rsidRPr="00EE5722">
        <w:rPr>
          <w:sz w:val="26"/>
          <w:szCs w:val="26"/>
        </w:rPr>
        <w:t xml:space="preserve"> months versus potential harm if consumer does not re-evaluate options after initial </w:t>
      </w:r>
      <w:r w:rsidR="00B5630B">
        <w:rPr>
          <w:sz w:val="26"/>
          <w:szCs w:val="26"/>
        </w:rPr>
        <w:t>four</w:t>
      </w:r>
      <w:r w:rsidR="00740026">
        <w:rPr>
          <w:sz w:val="26"/>
          <w:szCs w:val="26"/>
        </w:rPr>
        <w:noBreakHyphen/>
      </w:r>
      <w:r w:rsidRPr="00EE5722">
        <w:rPr>
          <w:sz w:val="26"/>
          <w:szCs w:val="26"/>
        </w:rPr>
        <w:t>month term.</w:t>
      </w:r>
    </w:p>
    <w:p w:rsidR="00322F2D" w:rsidRPr="00EE5722" w:rsidRDefault="00322F2D" w:rsidP="00B5630B">
      <w:pPr>
        <w:pStyle w:val="BodyText2"/>
        <w:spacing w:after="0" w:line="360" w:lineRule="auto"/>
        <w:ind w:left="1440" w:right="1440"/>
        <w:rPr>
          <w:sz w:val="26"/>
          <w:szCs w:val="26"/>
        </w:rPr>
      </w:pPr>
    </w:p>
    <w:p w:rsidR="00D91550" w:rsidRPr="00EE5722" w:rsidRDefault="00B3082C" w:rsidP="00EA5939">
      <w:pPr>
        <w:pStyle w:val="BodyText2"/>
        <w:spacing w:after="0" w:line="240" w:lineRule="auto"/>
        <w:ind w:left="1440" w:right="1440"/>
        <w:rPr>
          <w:sz w:val="26"/>
          <w:szCs w:val="26"/>
        </w:rPr>
      </w:pPr>
      <w:r w:rsidRPr="00EE5722">
        <w:rPr>
          <w:sz w:val="26"/>
          <w:szCs w:val="26"/>
        </w:rPr>
        <w:t>7.</w:t>
      </w:r>
      <w:r w:rsidRPr="00EE5722">
        <w:rPr>
          <w:sz w:val="26"/>
          <w:szCs w:val="26"/>
        </w:rPr>
        <w:tab/>
        <w:t xml:space="preserve">Encourages customer participation with greater guaranteed savings over a longer time period with a simple product versus a temporary benefit coupled with potential harm after </w:t>
      </w:r>
      <w:r w:rsidR="00345B47" w:rsidRPr="00EE5722">
        <w:rPr>
          <w:sz w:val="26"/>
          <w:szCs w:val="26"/>
        </w:rPr>
        <w:t>four</w:t>
      </w:r>
      <w:r w:rsidRPr="00EE5722">
        <w:rPr>
          <w:sz w:val="26"/>
          <w:szCs w:val="26"/>
        </w:rPr>
        <w:t xml:space="preserve"> months.</w:t>
      </w:r>
    </w:p>
    <w:p w:rsidR="00B3082C" w:rsidRPr="00EE5722" w:rsidRDefault="00B3082C" w:rsidP="00EA5939">
      <w:pPr>
        <w:pStyle w:val="BodyText2"/>
        <w:spacing w:after="0" w:line="240" w:lineRule="auto"/>
        <w:ind w:left="1440" w:right="1440"/>
        <w:rPr>
          <w:sz w:val="26"/>
          <w:szCs w:val="26"/>
        </w:rPr>
      </w:pPr>
    </w:p>
    <w:p w:rsidR="00B3082C" w:rsidRPr="00EE5722" w:rsidRDefault="00B3082C" w:rsidP="00EA5939">
      <w:pPr>
        <w:pStyle w:val="BodyText2"/>
        <w:spacing w:after="0" w:line="240" w:lineRule="auto"/>
        <w:ind w:left="1440" w:right="1440"/>
        <w:rPr>
          <w:sz w:val="26"/>
          <w:szCs w:val="26"/>
        </w:rPr>
      </w:pPr>
      <w:r w:rsidRPr="00EE5722">
        <w:rPr>
          <w:sz w:val="26"/>
          <w:szCs w:val="26"/>
        </w:rPr>
        <w:t>8.</w:t>
      </w:r>
      <w:r w:rsidRPr="00EE5722">
        <w:rPr>
          <w:sz w:val="26"/>
          <w:szCs w:val="26"/>
        </w:rPr>
        <w:tab/>
        <w:t>Favors a market-based allocation of customers and program costs to EGSs because allocation determined by competitive market based on number of tranches won by EGSs with flexibility to choose bid quantities versus allocation determined administrative</w:t>
      </w:r>
      <w:r w:rsidR="00740026">
        <w:rPr>
          <w:sz w:val="26"/>
          <w:szCs w:val="26"/>
        </w:rPr>
        <w:t>ly</w:t>
      </w:r>
      <w:r w:rsidRPr="00EE5722">
        <w:rPr>
          <w:sz w:val="26"/>
          <w:szCs w:val="26"/>
        </w:rPr>
        <w:t xml:space="preserve"> </w:t>
      </w:r>
      <w:r w:rsidR="003C07BF" w:rsidRPr="00EE5722">
        <w:rPr>
          <w:sz w:val="26"/>
          <w:szCs w:val="26"/>
        </w:rPr>
        <w:t>with no EGS flexibility and cost allocation depends on the number of other EGSs that participate.</w:t>
      </w:r>
    </w:p>
    <w:p w:rsidR="003C07BF" w:rsidRPr="00EE5722" w:rsidRDefault="003C07BF" w:rsidP="00EA5939">
      <w:pPr>
        <w:pStyle w:val="BodyText2"/>
        <w:spacing w:after="0" w:line="240" w:lineRule="auto"/>
        <w:ind w:left="1440" w:right="1440"/>
        <w:rPr>
          <w:sz w:val="26"/>
          <w:szCs w:val="26"/>
        </w:rPr>
      </w:pPr>
      <w:r w:rsidRPr="00EE5722">
        <w:rPr>
          <w:sz w:val="26"/>
          <w:szCs w:val="26"/>
        </w:rPr>
        <w:t>9.</w:t>
      </w:r>
      <w:r w:rsidRPr="00EE5722">
        <w:rPr>
          <w:sz w:val="26"/>
          <w:szCs w:val="26"/>
        </w:rPr>
        <w:tab/>
        <w:t>Provides unifor</w:t>
      </w:r>
      <w:r w:rsidR="00B5630B">
        <w:rPr>
          <w:sz w:val="26"/>
          <w:szCs w:val="26"/>
        </w:rPr>
        <w:t>m EGS product over the entire twelve</w:t>
      </w:r>
      <w:r w:rsidR="00102C05" w:rsidRPr="00EE5722">
        <w:rPr>
          <w:sz w:val="26"/>
          <w:szCs w:val="26"/>
        </w:rPr>
        <w:t>-</w:t>
      </w:r>
      <w:r w:rsidRPr="00EE5722">
        <w:rPr>
          <w:sz w:val="26"/>
          <w:szCs w:val="26"/>
        </w:rPr>
        <w:t>month period which is known at the ti</w:t>
      </w:r>
      <w:r w:rsidR="004C5B7E">
        <w:rPr>
          <w:sz w:val="26"/>
          <w:szCs w:val="26"/>
        </w:rPr>
        <w:t>me of enrollment that avoids Duquesne</w:t>
      </w:r>
      <w:r w:rsidRPr="00EE5722">
        <w:rPr>
          <w:sz w:val="26"/>
          <w:szCs w:val="26"/>
        </w:rPr>
        <w:t xml:space="preserve"> having to assign customers to EGSs with different rates versus di</w:t>
      </w:r>
      <w:r w:rsidR="00B5630B">
        <w:rPr>
          <w:sz w:val="26"/>
          <w:szCs w:val="26"/>
        </w:rPr>
        <w:t>scriminatory rates during the twelve</w:t>
      </w:r>
      <w:r w:rsidR="00102C05" w:rsidRPr="00EE5722">
        <w:rPr>
          <w:sz w:val="26"/>
          <w:szCs w:val="26"/>
        </w:rPr>
        <w:t>-</w:t>
      </w:r>
      <w:r w:rsidRPr="00EE5722">
        <w:rPr>
          <w:sz w:val="26"/>
          <w:szCs w:val="26"/>
        </w:rPr>
        <w:t xml:space="preserve">month contract term in which customers could face different fixed rates after </w:t>
      </w:r>
      <w:r w:rsidR="00B5630B">
        <w:rPr>
          <w:sz w:val="26"/>
          <w:szCs w:val="26"/>
        </w:rPr>
        <w:t>four</w:t>
      </w:r>
      <w:r w:rsidRPr="00EE5722">
        <w:rPr>
          <w:sz w:val="26"/>
          <w:szCs w:val="26"/>
        </w:rPr>
        <w:t xml:space="preserve"> months.</w:t>
      </w:r>
    </w:p>
    <w:p w:rsidR="00FA5A47" w:rsidRPr="00EE5722" w:rsidRDefault="003C07BF" w:rsidP="00EA5939">
      <w:pPr>
        <w:pStyle w:val="BodyText2"/>
        <w:spacing w:after="0" w:line="240" w:lineRule="auto"/>
        <w:ind w:left="1440" w:right="1440"/>
        <w:rPr>
          <w:sz w:val="26"/>
          <w:szCs w:val="26"/>
        </w:rPr>
      </w:pPr>
      <w:r w:rsidRPr="00EE5722">
        <w:rPr>
          <w:sz w:val="26"/>
          <w:szCs w:val="26"/>
        </w:rPr>
        <w:tab/>
      </w:r>
      <w:r w:rsidRPr="00EE5722">
        <w:rPr>
          <w:sz w:val="26"/>
          <w:szCs w:val="26"/>
        </w:rPr>
        <w:tab/>
      </w:r>
    </w:p>
    <w:p w:rsidR="003C07BF" w:rsidRDefault="003C07BF" w:rsidP="00EA5939">
      <w:pPr>
        <w:pStyle w:val="BodyText2"/>
        <w:spacing w:after="0" w:line="240" w:lineRule="auto"/>
        <w:ind w:left="1440" w:right="1440"/>
        <w:rPr>
          <w:sz w:val="26"/>
          <w:szCs w:val="26"/>
        </w:rPr>
      </w:pPr>
      <w:r w:rsidRPr="00EE5722">
        <w:rPr>
          <w:sz w:val="26"/>
          <w:szCs w:val="26"/>
        </w:rPr>
        <w:t>10.</w:t>
      </w:r>
      <w:r w:rsidRPr="00EE5722">
        <w:rPr>
          <w:sz w:val="26"/>
          <w:szCs w:val="26"/>
        </w:rPr>
        <w:tab/>
        <w:t xml:space="preserve">Supported by customer advocates with annual PTC and guaranteed savings versus RESA’s plan which </w:t>
      </w:r>
      <w:r w:rsidR="00740026">
        <w:rPr>
          <w:sz w:val="26"/>
          <w:szCs w:val="26"/>
        </w:rPr>
        <w:t xml:space="preserve">the </w:t>
      </w:r>
      <w:r w:rsidRPr="00EE5722">
        <w:rPr>
          <w:sz w:val="26"/>
          <w:szCs w:val="26"/>
        </w:rPr>
        <w:t>OCA opposes if no guaranteed savings.</w:t>
      </w:r>
    </w:p>
    <w:p w:rsidR="00EA5939" w:rsidRPr="00EE5722" w:rsidRDefault="00EA5939" w:rsidP="00EA5939">
      <w:pPr>
        <w:pStyle w:val="BodyText2"/>
        <w:spacing w:after="0" w:line="240" w:lineRule="auto"/>
        <w:ind w:left="1440" w:right="1440"/>
        <w:rPr>
          <w:sz w:val="26"/>
          <w:szCs w:val="26"/>
        </w:rPr>
      </w:pPr>
    </w:p>
    <w:p w:rsidR="001543F6" w:rsidRPr="00EE5722" w:rsidRDefault="00EA5939" w:rsidP="00B5630B">
      <w:pPr>
        <w:pStyle w:val="BodyText2"/>
        <w:spacing w:after="0" w:line="360" w:lineRule="auto"/>
        <w:rPr>
          <w:sz w:val="26"/>
          <w:szCs w:val="26"/>
        </w:rPr>
      </w:pPr>
      <w:r>
        <w:rPr>
          <w:sz w:val="26"/>
          <w:szCs w:val="26"/>
        </w:rPr>
        <w:t xml:space="preserve">Duquesne St. </w:t>
      </w:r>
      <w:r w:rsidR="00026DA4">
        <w:rPr>
          <w:sz w:val="26"/>
          <w:szCs w:val="26"/>
        </w:rPr>
        <w:t xml:space="preserve">3-RJ at </w:t>
      </w:r>
      <w:r w:rsidR="001543F6" w:rsidRPr="00EE5722">
        <w:rPr>
          <w:sz w:val="26"/>
          <w:szCs w:val="26"/>
        </w:rPr>
        <w:t>4-5.</w:t>
      </w:r>
    </w:p>
    <w:p w:rsidR="003C07BF" w:rsidRPr="00EE5722" w:rsidRDefault="003C07BF" w:rsidP="00415028">
      <w:pPr>
        <w:pStyle w:val="BodyText2"/>
        <w:spacing w:after="0" w:line="360" w:lineRule="auto"/>
        <w:ind w:left="720"/>
        <w:rPr>
          <w:sz w:val="26"/>
          <w:szCs w:val="26"/>
        </w:rPr>
      </w:pPr>
    </w:p>
    <w:p w:rsidR="00A6292E" w:rsidRPr="00973347" w:rsidRDefault="001543F6" w:rsidP="003C07BF">
      <w:pPr>
        <w:pStyle w:val="BodyText2"/>
        <w:spacing w:after="0" w:line="360" w:lineRule="auto"/>
        <w:rPr>
          <w:sz w:val="26"/>
          <w:szCs w:val="26"/>
        </w:rPr>
      </w:pPr>
      <w:r w:rsidRPr="00EE5722">
        <w:rPr>
          <w:sz w:val="26"/>
          <w:szCs w:val="26"/>
        </w:rPr>
        <w:tab/>
      </w:r>
      <w:r w:rsidRPr="00EE5722">
        <w:rPr>
          <w:sz w:val="26"/>
          <w:szCs w:val="26"/>
        </w:rPr>
        <w:tab/>
      </w:r>
      <w:r w:rsidR="00026DA4">
        <w:rPr>
          <w:sz w:val="26"/>
          <w:szCs w:val="26"/>
        </w:rPr>
        <w:t xml:space="preserve">Duquesne </w:t>
      </w:r>
      <w:r w:rsidR="00740026">
        <w:rPr>
          <w:sz w:val="26"/>
          <w:szCs w:val="26"/>
        </w:rPr>
        <w:t xml:space="preserve">avers that its proposed </w:t>
      </w:r>
      <w:r w:rsidR="00413BF1">
        <w:rPr>
          <w:sz w:val="26"/>
          <w:szCs w:val="26"/>
        </w:rPr>
        <w:t>Opt-In P</w:t>
      </w:r>
      <w:r w:rsidR="00740026">
        <w:rPr>
          <w:sz w:val="26"/>
          <w:szCs w:val="26"/>
        </w:rPr>
        <w:t xml:space="preserve">rogram </w:t>
      </w:r>
      <w:r w:rsidRPr="00EE5722">
        <w:rPr>
          <w:sz w:val="26"/>
          <w:szCs w:val="26"/>
        </w:rPr>
        <w:t>will better serve and protect the interests of customers</w:t>
      </w:r>
      <w:r w:rsidR="00740026">
        <w:rPr>
          <w:sz w:val="26"/>
          <w:szCs w:val="26"/>
        </w:rPr>
        <w:t>,</w:t>
      </w:r>
      <w:r w:rsidRPr="00EE5722">
        <w:rPr>
          <w:sz w:val="26"/>
          <w:szCs w:val="26"/>
        </w:rPr>
        <w:t xml:space="preserve"> and that</w:t>
      </w:r>
      <w:r w:rsidR="00740026">
        <w:rPr>
          <w:sz w:val="26"/>
          <w:szCs w:val="26"/>
        </w:rPr>
        <w:t xml:space="preserve"> its </w:t>
      </w:r>
      <w:r w:rsidR="00413BF1">
        <w:rPr>
          <w:sz w:val="26"/>
          <w:szCs w:val="26"/>
        </w:rPr>
        <w:t>P</w:t>
      </w:r>
      <w:r w:rsidR="00740026">
        <w:rPr>
          <w:sz w:val="26"/>
          <w:szCs w:val="26"/>
        </w:rPr>
        <w:t xml:space="preserve">rogram is </w:t>
      </w:r>
      <w:r w:rsidRPr="00EE5722">
        <w:rPr>
          <w:sz w:val="26"/>
          <w:szCs w:val="26"/>
        </w:rPr>
        <w:t xml:space="preserve">more likely to generate customer interest in shopping.  The Company </w:t>
      </w:r>
      <w:r w:rsidR="00A6292E" w:rsidRPr="00EE5722">
        <w:rPr>
          <w:sz w:val="26"/>
          <w:szCs w:val="26"/>
        </w:rPr>
        <w:t>acknowled</w:t>
      </w:r>
      <w:r w:rsidR="00415028" w:rsidRPr="00EE5722">
        <w:rPr>
          <w:sz w:val="26"/>
          <w:szCs w:val="26"/>
        </w:rPr>
        <w:t>g</w:t>
      </w:r>
      <w:r w:rsidR="00EA5939">
        <w:rPr>
          <w:sz w:val="26"/>
          <w:szCs w:val="26"/>
        </w:rPr>
        <w:t>ed</w:t>
      </w:r>
      <w:r w:rsidRPr="00EE5722">
        <w:rPr>
          <w:sz w:val="26"/>
          <w:szCs w:val="26"/>
        </w:rPr>
        <w:t xml:space="preserve"> </w:t>
      </w:r>
      <w:r w:rsidR="00EA5939">
        <w:rPr>
          <w:sz w:val="26"/>
          <w:szCs w:val="26"/>
        </w:rPr>
        <w:t xml:space="preserve">that </w:t>
      </w:r>
      <w:r w:rsidRPr="00EE5722">
        <w:rPr>
          <w:sz w:val="26"/>
          <w:szCs w:val="26"/>
        </w:rPr>
        <w:t>the Commission app</w:t>
      </w:r>
      <w:r w:rsidR="00740026">
        <w:rPr>
          <w:sz w:val="26"/>
          <w:szCs w:val="26"/>
        </w:rPr>
        <w:t xml:space="preserve">ears to have concluded in the </w:t>
      </w:r>
      <w:r w:rsidR="00740026" w:rsidRPr="00740026">
        <w:rPr>
          <w:i/>
          <w:sz w:val="26"/>
          <w:szCs w:val="26"/>
        </w:rPr>
        <w:t>FirstEnergy and PECO DSP Orders</w:t>
      </w:r>
      <w:r w:rsidR="00740026">
        <w:rPr>
          <w:sz w:val="26"/>
          <w:szCs w:val="26"/>
        </w:rPr>
        <w:t xml:space="preserve"> </w:t>
      </w:r>
      <w:r w:rsidRPr="00EE5722">
        <w:rPr>
          <w:sz w:val="26"/>
          <w:szCs w:val="26"/>
        </w:rPr>
        <w:t>that a shorter ini</w:t>
      </w:r>
      <w:r w:rsidR="00504B9D">
        <w:rPr>
          <w:sz w:val="26"/>
          <w:szCs w:val="26"/>
        </w:rPr>
        <w:t xml:space="preserve">tial </w:t>
      </w:r>
      <w:r w:rsidR="00504B9D">
        <w:rPr>
          <w:sz w:val="26"/>
          <w:szCs w:val="26"/>
        </w:rPr>
        <w:lastRenderedPageBreak/>
        <w:t xml:space="preserve">period for </w:t>
      </w:r>
      <w:r w:rsidR="00413BF1">
        <w:rPr>
          <w:sz w:val="26"/>
          <w:szCs w:val="26"/>
        </w:rPr>
        <w:t>O</w:t>
      </w:r>
      <w:r w:rsidR="00740026">
        <w:rPr>
          <w:sz w:val="26"/>
          <w:szCs w:val="26"/>
        </w:rPr>
        <w:t>pt-</w:t>
      </w:r>
      <w:r w:rsidR="00413BF1">
        <w:rPr>
          <w:sz w:val="26"/>
          <w:szCs w:val="26"/>
        </w:rPr>
        <w:t>I</w:t>
      </w:r>
      <w:r w:rsidR="00504B9D">
        <w:rPr>
          <w:sz w:val="26"/>
          <w:szCs w:val="26"/>
        </w:rPr>
        <w:t>n</w:t>
      </w:r>
      <w:r w:rsidRPr="00EE5722">
        <w:rPr>
          <w:sz w:val="26"/>
          <w:szCs w:val="26"/>
        </w:rPr>
        <w:t xml:space="preserve"> service is more likely to attract EGSs to this program.  However, </w:t>
      </w:r>
      <w:r w:rsidR="00026DA4">
        <w:rPr>
          <w:sz w:val="26"/>
          <w:szCs w:val="26"/>
        </w:rPr>
        <w:t xml:space="preserve">Duquesne </w:t>
      </w:r>
      <w:r w:rsidR="00EA5939">
        <w:rPr>
          <w:sz w:val="26"/>
          <w:szCs w:val="26"/>
        </w:rPr>
        <w:t>contended that</w:t>
      </w:r>
      <w:r w:rsidRPr="00EE5722">
        <w:rPr>
          <w:sz w:val="26"/>
          <w:szCs w:val="26"/>
        </w:rPr>
        <w:t xml:space="preserve"> the record evidence in this proceeding proves the</w:t>
      </w:r>
      <w:r w:rsidR="00740026">
        <w:rPr>
          <w:sz w:val="26"/>
          <w:szCs w:val="26"/>
        </w:rPr>
        <w:t xml:space="preserve"> major EGSs serving </w:t>
      </w:r>
      <w:r w:rsidR="00B5630B">
        <w:rPr>
          <w:sz w:val="26"/>
          <w:szCs w:val="26"/>
        </w:rPr>
        <w:t>r</w:t>
      </w:r>
      <w:r w:rsidRPr="00EE5722">
        <w:rPr>
          <w:sz w:val="26"/>
          <w:szCs w:val="26"/>
        </w:rPr>
        <w:t xml:space="preserve">esidential customers in </w:t>
      </w:r>
      <w:r w:rsidR="00740026">
        <w:rPr>
          <w:sz w:val="26"/>
          <w:szCs w:val="26"/>
        </w:rPr>
        <w:t>the</w:t>
      </w:r>
      <w:r w:rsidRPr="00EE5722">
        <w:rPr>
          <w:sz w:val="26"/>
          <w:szCs w:val="26"/>
        </w:rPr>
        <w:t xml:space="preserve"> Company’s service area support </w:t>
      </w:r>
      <w:r w:rsidR="00B5630B">
        <w:rPr>
          <w:sz w:val="26"/>
          <w:szCs w:val="26"/>
        </w:rPr>
        <w:t>the proposed fixed rate for a twelve</w:t>
      </w:r>
      <w:r w:rsidRPr="00EE5722">
        <w:rPr>
          <w:sz w:val="26"/>
          <w:szCs w:val="26"/>
        </w:rPr>
        <w:t>-month term and will participate in the proposed</w:t>
      </w:r>
      <w:r w:rsidR="00740026">
        <w:rPr>
          <w:sz w:val="26"/>
          <w:szCs w:val="26"/>
        </w:rPr>
        <w:t xml:space="preserve"> Opt-In P</w:t>
      </w:r>
      <w:r w:rsidR="00973347">
        <w:rPr>
          <w:sz w:val="26"/>
          <w:szCs w:val="26"/>
        </w:rPr>
        <w:t>rogram.</w:t>
      </w:r>
    </w:p>
    <w:p w:rsidR="00A6292E" w:rsidRPr="00EE5722" w:rsidRDefault="00A6292E" w:rsidP="003C07BF">
      <w:pPr>
        <w:pStyle w:val="BodyText2"/>
        <w:spacing w:after="0" w:line="360" w:lineRule="auto"/>
        <w:rPr>
          <w:sz w:val="26"/>
          <w:szCs w:val="26"/>
        </w:rPr>
      </w:pPr>
    </w:p>
    <w:p w:rsidR="001543F6" w:rsidRPr="00C027A8" w:rsidRDefault="00A6292E" w:rsidP="008F2DA8">
      <w:pPr>
        <w:pStyle w:val="BodyText2"/>
        <w:spacing w:after="0" w:line="360" w:lineRule="auto"/>
        <w:rPr>
          <w:sz w:val="26"/>
          <w:szCs w:val="26"/>
        </w:rPr>
      </w:pPr>
      <w:r w:rsidRPr="00EE5722">
        <w:rPr>
          <w:sz w:val="26"/>
          <w:szCs w:val="26"/>
        </w:rPr>
        <w:tab/>
      </w:r>
      <w:r w:rsidRPr="00EE5722">
        <w:rPr>
          <w:sz w:val="26"/>
          <w:szCs w:val="26"/>
        </w:rPr>
        <w:tab/>
      </w:r>
      <w:r w:rsidR="00026DA4">
        <w:rPr>
          <w:sz w:val="26"/>
          <w:szCs w:val="26"/>
        </w:rPr>
        <w:t>By adopting Duquesne</w:t>
      </w:r>
      <w:r w:rsidR="00504B9D">
        <w:rPr>
          <w:sz w:val="26"/>
          <w:szCs w:val="26"/>
        </w:rPr>
        <w:t>’s Opt-In</w:t>
      </w:r>
      <w:r w:rsidR="00740026">
        <w:rPr>
          <w:sz w:val="26"/>
          <w:szCs w:val="26"/>
        </w:rPr>
        <w:t xml:space="preserve"> Program</w:t>
      </w:r>
      <w:r w:rsidR="001543F6" w:rsidRPr="00EE5722">
        <w:rPr>
          <w:sz w:val="26"/>
          <w:szCs w:val="26"/>
        </w:rPr>
        <w:t xml:space="preserve">, </w:t>
      </w:r>
      <w:r w:rsidR="00740026">
        <w:rPr>
          <w:sz w:val="26"/>
          <w:szCs w:val="26"/>
        </w:rPr>
        <w:t>Duquesne</w:t>
      </w:r>
      <w:r w:rsidR="00EA5939">
        <w:rPr>
          <w:sz w:val="26"/>
          <w:szCs w:val="26"/>
        </w:rPr>
        <w:t xml:space="preserve"> averred that</w:t>
      </w:r>
      <w:r w:rsidRPr="00EE5722">
        <w:rPr>
          <w:sz w:val="26"/>
          <w:szCs w:val="26"/>
        </w:rPr>
        <w:t xml:space="preserve"> </w:t>
      </w:r>
      <w:r w:rsidR="001543F6" w:rsidRPr="00EE5722">
        <w:rPr>
          <w:sz w:val="26"/>
          <w:szCs w:val="26"/>
        </w:rPr>
        <w:t xml:space="preserve">the Commission will implement a program that is both likely to </w:t>
      </w:r>
      <w:r w:rsidRPr="00EE5722">
        <w:rPr>
          <w:sz w:val="26"/>
          <w:szCs w:val="26"/>
        </w:rPr>
        <w:t>succeed</w:t>
      </w:r>
      <w:r w:rsidR="001543F6" w:rsidRPr="00EE5722">
        <w:rPr>
          <w:sz w:val="26"/>
          <w:szCs w:val="26"/>
        </w:rPr>
        <w:t xml:space="preserve"> and will provide </w:t>
      </w:r>
      <w:r w:rsidR="00B5630B">
        <w:rPr>
          <w:sz w:val="26"/>
          <w:szCs w:val="26"/>
        </w:rPr>
        <w:t xml:space="preserve">customers, </w:t>
      </w:r>
      <w:r w:rsidR="003B6ACD" w:rsidRPr="00EE5722">
        <w:rPr>
          <w:sz w:val="26"/>
          <w:szCs w:val="26"/>
        </w:rPr>
        <w:t>who have</w:t>
      </w:r>
      <w:r w:rsidR="001543F6" w:rsidRPr="00EE5722">
        <w:rPr>
          <w:sz w:val="26"/>
          <w:szCs w:val="26"/>
        </w:rPr>
        <w:t xml:space="preserve"> not been inclined to shop </w:t>
      </w:r>
      <w:r w:rsidR="003B6ACD" w:rsidRPr="00EE5722">
        <w:rPr>
          <w:sz w:val="26"/>
          <w:szCs w:val="26"/>
        </w:rPr>
        <w:t>previously</w:t>
      </w:r>
      <w:r w:rsidR="00B5630B">
        <w:rPr>
          <w:sz w:val="26"/>
          <w:szCs w:val="26"/>
        </w:rPr>
        <w:t>,</w:t>
      </w:r>
      <w:r w:rsidR="003B6ACD" w:rsidRPr="00EE5722">
        <w:rPr>
          <w:sz w:val="26"/>
          <w:szCs w:val="26"/>
        </w:rPr>
        <w:t xml:space="preserve"> </w:t>
      </w:r>
      <w:r w:rsidR="001543F6" w:rsidRPr="00EE5722">
        <w:rPr>
          <w:sz w:val="26"/>
          <w:szCs w:val="26"/>
        </w:rPr>
        <w:t>with a positive experience in the competitive market.  Unlike other EDC default service plans that do not have a fixed annual PTC for reside</w:t>
      </w:r>
      <w:r w:rsidR="00026DA4">
        <w:rPr>
          <w:sz w:val="26"/>
          <w:szCs w:val="26"/>
        </w:rPr>
        <w:t xml:space="preserve">ntial customers, Duquesne </w:t>
      </w:r>
      <w:r w:rsidR="00504B9D">
        <w:rPr>
          <w:sz w:val="26"/>
          <w:szCs w:val="26"/>
        </w:rPr>
        <w:t>designed an Opt-In</w:t>
      </w:r>
      <w:r w:rsidR="001543F6" w:rsidRPr="00EE5722">
        <w:rPr>
          <w:sz w:val="26"/>
          <w:szCs w:val="26"/>
        </w:rPr>
        <w:t xml:space="preserve"> Program that allows EGSs to offer</w:t>
      </w:r>
      <w:r w:rsidR="00413BF1">
        <w:rPr>
          <w:sz w:val="26"/>
          <w:szCs w:val="26"/>
        </w:rPr>
        <w:t>,</w:t>
      </w:r>
      <w:r w:rsidR="001543F6" w:rsidRPr="00EE5722">
        <w:rPr>
          <w:sz w:val="26"/>
          <w:szCs w:val="26"/>
        </w:rPr>
        <w:t xml:space="preserve"> and </w:t>
      </w:r>
      <w:r w:rsidR="003B6ACD" w:rsidRPr="00EE5722">
        <w:rPr>
          <w:sz w:val="26"/>
          <w:szCs w:val="26"/>
        </w:rPr>
        <w:t>permi</w:t>
      </w:r>
      <w:r w:rsidR="003C07BF" w:rsidRPr="00EE5722">
        <w:rPr>
          <w:sz w:val="26"/>
          <w:szCs w:val="26"/>
        </w:rPr>
        <w:t>t</w:t>
      </w:r>
      <w:r w:rsidR="003B6ACD" w:rsidRPr="00EE5722">
        <w:rPr>
          <w:sz w:val="26"/>
          <w:szCs w:val="26"/>
        </w:rPr>
        <w:t xml:space="preserve">s </w:t>
      </w:r>
      <w:r w:rsidR="001543F6" w:rsidRPr="00EE5722">
        <w:rPr>
          <w:sz w:val="26"/>
          <w:szCs w:val="26"/>
        </w:rPr>
        <w:t>customers to recei</w:t>
      </w:r>
      <w:r w:rsidR="00B5630B">
        <w:rPr>
          <w:sz w:val="26"/>
          <w:szCs w:val="26"/>
        </w:rPr>
        <w:t>ve</w:t>
      </w:r>
      <w:r w:rsidR="00413BF1">
        <w:rPr>
          <w:sz w:val="26"/>
          <w:szCs w:val="26"/>
        </w:rPr>
        <w:t>,</w:t>
      </w:r>
      <w:r w:rsidR="00B5630B">
        <w:rPr>
          <w:sz w:val="26"/>
          <w:szCs w:val="26"/>
        </w:rPr>
        <w:t xml:space="preserve"> “guaranteed savings” over a twelve</w:t>
      </w:r>
      <w:r w:rsidR="00026DA4">
        <w:rPr>
          <w:sz w:val="26"/>
          <w:szCs w:val="26"/>
        </w:rPr>
        <w:t xml:space="preserve">-month period.  Duquesne </w:t>
      </w:r>
      <w:r w:rsidR="001543F6" w:rsidRPr="00EE5722">
        <w:rPr>
          <w:sz w:val="26"/>
          <w:szCs w:val="26"/>
        </w:rPr>
        <w:t xml:space="preserve">believes this path </w:t>
      </w:r>
      <w:r w:rsidR="003B6ACD" w:rsidRPr="00EE5722">
        <w:rPr>
          <w:sz w:val="26"/>
          <w:szCs w:val="26"/>
        </w:rPr>
        <w:t xml:space="preserve">is the best method </w:t>
      </w:r>
      <w:r w:rsidR="001543F6" w:rsidRPr="00EE5722">
        <w:rPr>
          <w:sz w:val="26"/>
          <w:szCs w:val="26"/>
        </w:rPr>
        <w:t>to enhanc</w:t>
      </w:r>
      <w:r w:rsidR="003B6ACD" w:rsidRPr="00EE5722">
        <w:rPr>
          <w:sz w:val="26"/>
          <w:szCs w:val="26"/>
        </w:rPr>
        <w:t>e</w:t>
      </w:r>
      <w:r w:rsidR="001543F6" w:rsidRPr="00EE5722">
        <w:rPr>
          <w:sz w:val="26"/>
          <w:szCs w:val="26"/>
        </w:rPr>
        <w:t xml:space="preserve"> competition and advanc</w:t>
      </w:r>
      <w:r w:rsidR="003B6ACD" w:rsidRPr="00EE5722">
        <w:rPr>
          <w:sz w:val="26"/>
          <w:szCs w:val="26"/>
        </w:rPr>
        <w:t>e</w:t>
      </w:r>
      <w:r w:rsidR="001543F6" w:rsidRPr="00EE5722">
        <w:rPr>
          <w:sz w:val="26"/>
          <w:szCs w:val="26"/>
        </w:rPr>
        <w:t xml:space="preserve"> the interes</w:t>
      </w:r>
      <w:r w:rsidR="00C027A8">
        <w:rPr>
          <w:sz w:val="26"/>
          <w:szCs w:val="26"/>
        </w:rPr>
        <w:t>ts of both customers and EGSs.</w:t>
      </w:r>
    </w:p>
    <w:p w:rsidR="0084672B" w:rsidRPr="00EE5722" w:rsidRDefault="0084672B">
      <w:pPr>
        <w:autoSpaceDE/>
        <w:autoSpaceDN/>
        <w:rPr>
          <w:b/>
          <w:sz w:val="26"/>
          <w:szCs w:val="26"/>
        </w:rPr>
      </w:pPr>
    </w:p>
    <w:p w:rsidR="00415028" w:rsidRPr="00EE5722" w:rsidRDefault="008F2DA8" w:rsidP="00115AB3">
      <w:pPr>
        <w:pStyle w:val="Heading5"/>
        <w:numPr>
          <w:ilvl w:val="0"/>
          <w:numId w:val="0"/>
        </w:numPr>
        <w:ind w:left="3600" w:hanging="720"/>
      </w:pPr>
      <w:bookmarkStart w:id="71" w:name="_Toc346705313"/>
      <w:r w:rsidRPr="00EE5722">
        <w:t>ii</w:t>
      </w:r>
      <w:r w:rsidR="00EA5939">
        <w:t>.</w:t>
      </w:r>
      <w:r w:rsidR="00EA5939">
        <w:tab/>
      </w:r>
      <w:r w:rsidR="00415028" w:rsidRPr="00EE5722">
        <w:t>Position</w:t>
      </w:r>
      <w:r w:rsidR="00EA5939">
        <w:t>s of the Parties</w:t>
      </w:r>
      <w:bookmarkEnd w:id="71"/>
    </w:p>
    <w:p w:rsidR="00415028" w:rsidRPr="00EE5722" w:rsidRDefault="00415028" w:rsidP="00911D84">
      <w:pPr>
        <w:pStyle w:val="BodyText"/>
        <w:keepNext/>
        <w:spacing w:after="0" w:line="360" w:lineRule="auto"/>
        <w:ind w:left="720" w:firstLine="0"/>
        <w:rPr>
          <w:sz w:val="26"/>
          <w:szCs w:val="26"/>
        </w:rPr>
      </w:pPr>
    </w:p>
    <w:p w:rsidR="004C177B" w:rsidRPr="00EE5722" w:rsidRDefault="00B6442F" w:rsidP="008F2DA8">
      <w:pPr>
        <w:pStyle w:val="Level2"/>
        <w:tabs>
          <w:tab w:val="left" w:pos="720"/>
        </w:tabs>
        <w:spacing w:line="360" w:lineRule="auto"/>
        <w:ind w:left="0" w:firstLine="1440"/>
        <w:jc w:val="left"/>
        <w:rPr>
          <w:sz w:val="26"/>
          <w:szCs w:val="26"/>
        </w:rPr>
      </w:pPr>
      <w:r>
        <w:rPr>
          <w:sz w:val="26"/>
          <w:szCs w:val="26"/>
        </w:rPr>
        <w:t>T</w:t>
      </w:r>
      <w:r w:rsidR="00EA5939">
        <w:rPr>
          <w:sz w:val="26"/>
          <w:szCs w:val="26"/>
        </w:rPr>
        <w:t xml:space="preserve">he </w:t>
      </w:r>
      <w:r>
        <w:rPr>
          <w:sz w:val="26"/>
          <w:szCs w:val="26"/>
        </w:rPr>
        <w:t xml:space="preserve">OCA stated that RESA presented, </w:t>
      </w:r>
      <w:r w:rsidRPr="00EE5722">
        <w:rPr>
          <w:sz w:val="26"/>
          <w:szCs w:val="26"/>
        </w:rPr>
        <w:t xml:space="preserve">for the first time, a number of proposals </w:t>
      </w:r>
      <w:r>
        <w:rPr>
          <w:sz w:val="26"/>
          <w:szCs w:val="26"/>
        </w:rPr>
        <w:t>in</w:t>
      </w:r>
      <w:r w:rsidR="00644DFF">
        <w:rPr>
          <w:sz w:val="26"/>
          <w:szCs w:val="26"/>
        </w:rPr>
        <w:t xml:space="preserve"> its Surrebuttal Testimony that</w:t>
      </w:r>
      <w:r>
        <w:rPr>
          <w:sz w:val="26"/>
          <w:szCs w:val="26"/>
        </w:rPr>
        <w:t xml:space="preserve"> reflected the Commission’s </w:t>
      </w:r>
      <w:r w:rsidRPr="00B6442F">
        <w:rPr>
          <w:i/>
          <w:sz w:val="26"/>
          <w:szCs w:val="26"/>
        </w:rPr>
        <w:t>FirstEnergy DSP Order</w:t>
      </w:r>
      <w:r>
        <w:rPr>
          <w:sz w:val="26"/>
          <w:szCs w:val="26"/>
        </w:rPr>
        <w:t xml:space="preserve">, which was issued on August 16, 2012, during the pendency of the instant proceeding.  RESA </w:t>
      </w:r>
      <w:r w:rsidRPr="00EE5722">
        <w:rPr>
          <w:sz w:val="26"/>
          <w:szCs w:val="26"/>
        </w:rPr>
        <w:t xml:space="preserve">recommended an aggregation program </w:t>
      </w:r>
      <w:r>
        <w:rPr>
          <w:sz w:val="26"/>
          <w:szCs w:val="26"/>
        </w:rPr>
        <w:t xml:space="preserve">rather than an auction program, </w:t>
      </w:r>
      <w:r w:rsidRPr="00EE5722">
        <w:rPr>
          <w:sz w:val="26"/>
          <w:szCs w:val="26"/>
        </w:rPr>
        <w:t xml:space="preserve">along the lines of the one adopted by </w:t>
      </w:r>
      <w:r>
        <w:rPr>
          <w:sz w:val="26"/>
          <w:szCs w:val="26"/>
        </w:rPr>
        <w:t>the Comm</w:t>
      </w:r>
      <w:r w:rsidR="00B5630B">
        <w:rPr>
          <w:sz w:val="26"/>
          <w:szCs w:val="26"/>
        </w:rPr>
        <w:t>ission for FirstEnergy, with a four</w:t>
      </w:r>
      <w:r>
        <w:rPr>
          <w:sz w:val="26"/>
          <w:szCs w:val="26"/>
        </w:rPr>
        <w:t>-</w:t>
      </w:r>
      <w:r w:rsidR="00B5630B">
        <w:rPr>
          <w:sz w:val="26"/>
          <w:szCs w:val="26"/>
        </w:rPr>
        <w:t>month discount of 5% and an eight</w:t>
      </w:r>
      <w:r w:rsidR="004C177B" w:rsidRPr="00EE5722">
        <w:rPr>
          <w:sz w:val="26"/>
          <w:szCs w:val="26"/>
        </w:rPr>
        <w:t>-month fixed-price produc</w:t>
      </w:r>
      <w:r>
        <w:rPr>
          <w:sz w:val="26"/>
          <w:szCs w:val="26"/>
        </w:rPr>
        <w:t xml:space="preserve">t.  Duquesne </w:t>
      </w:r>
      <w:r w:rsidR="004C177B" w:rsidRPr="00EE5722">
        <w:rPr>
          <w:sz w:val="26"/>
          <w:szCs w:val="26"/>
        </w:rPr>
        <w:t xml:space="preserve">was able to respond to </w:t>
      </w:r>
      <w:r>
        <w:rPr>
          <w:sz w:val="26"/>
          <w:szCs w:val="26"/>
        </w:rPr>
        <w:t>RESA’s S</w:t>
      </w:r>
      <w:r w:rsidR="003C07BF" w:rsidRPr="00EE5722">
        <w:rPr>
          <w:sz w:val="26"/>
          <w:szCs w:val="26"/>
        </w:rPr>
        <w:t>urrebuttal</w:t>
      </w:r>
      <w:r>
        <w:rPr>
          <w:sz w:val="26"/>
          <w:szCs w:val="26"/>
        </w:rPr>
        <w:t xml:space="preserve"> T</w:t>
      </w:r>
      <w:r w:rsidR="004C177B" w:rsidRPr="00EE5722">
        <w:rPr>
          <w:sz w:val="26"/>
          <w:szCs w:val="26"/>
        </w:rPr>
        <w:t>estimony i</w:t>
      </w:r>
      <w:r w:rsidR="00504B9D">
        <w:rPr>
          <w:sz w:val="26"/>
          <w:szCs w:val="26"/>
        </w:rPr>
        <w:t>n its rejoinder, but the other P</w:t>
      </w:r>
      <w:r w:rsidR="004C177B" w:rsidRPr="00EE5722">
        <w:rPr>
          <w:sz w:val="26"/>
          <w:szCs w:val="26"/>
        </w:rPr>
        <w:t xml:space="preserve">arties, including </w:t>
      </w:r>
      <w:r w:rsidR="00EA5939">
        <w:rPr>
          <w:sz w:val="26"/>
          <w:szCs w:val="26"/>
        </w:rPr>
        <w:t xml:space="preserve">the </w:t>
      </w:r>
      <w:r w:rsidR="004C177B" w:rsidRPr="00EE5722">
        <w:rPr>
          <w:sz w:val="26"/>
          <w:szCs w:val="26"/>
        </w:rPr>
        <w:t>OCA, were not afforded the oppor</w:t>
      </w:r>
      <w:r w:rsidR="00C027A8">
        <w:rPr>
          <w:sz w:val="26"/>
          <w:szCs w:val="26"/>
        </w:rPr>
        <w:t>tunity to present rejoinder.</w:t>
      </w:r>
    </w:p>
    <w:p w:rsidR="004C177B" w:rsidRPr="00EE5722" w:rsidRDefault="004C177B" w:rsidP="004C177B">
      <w:pPr>
        <w:pStyle w:val="Level2"/>
        <w:tabs>
          <w:tab w:val="left" w:pos="720"/>
        </w:tabs>
        <w:spacing w:line="360" w:lineRule="auto"/>
        <w:ind w:left="0" w:firstLine="1440"/>
        <w:jc w:val="left"/>
        <w:rPr>
          <w:sz w:val="26"/>
          <w:szCs w:val="26"/>
        </w:rPr>
      </w:pPr>
    </w:p>
    <w:p w:rsidR="00884AFB" w:rsidRDefault="00EA5939" w:rsidP="00644DFF">
      <w:pPr>
        <w:pStyle w:val="Level2"/>
        <w:tabs>
          <w:tab w:val="left" w:pos="720"/>
        </w:tabs>
        <w:spacing w:line="360" w:lineRule="auto"/>
        <w:ind w:left="0" w:firstLine="1440"/>
        <w:jc w:val="left"/>
        <w:rPr>
          <w:sz w:val="26"/>
          <w:szCs w:val="26"/>
        </w:rPr>
      </w:pPr>
      <w:r>
        <w:rPr>
          <w:sz w:val="26"/>
          <w:szCs w:val="26"/>
        </w:rPr>
        <w:t>The OCA submitted that</w:t>
      </w:r>
      <w:r w:rsidR="004C177B" w:rsidRPr="00EE5722">
        <w:rPr>
          <w:sz w:val="26"/>
          <w:szCs w:val="26"/>
        </w:rPr>
        <w:t xml:space="preserve"> Duquesne’s service territory and </w:t>
      </w:r>
      <w:r w:rsidR="003C07BF" w:rsidRPr="00EE5722">
        <w:rPr>
          <w:sz w:val="26"/>
          <w:szCs w:val="26"/>
        </w:rPr>
        <w:t xml:space="preserve">Duquesne’s proposed </w:t>
      </w:r>
      <w:r w:rsidR="004C177B" w:rsidRPr="00EE5722">
        <w:rPr>
          <w:sz w:val="26"/>
          <w:szCs w:val="26"/>
        </w:rPr>
        <w:t>plan are</w:t>
      </w:r>
      <w:r w:rsidR="00B6442F">
        <w:rPr>
          <w:sz w:val="26"/>
          <w:szCs w:val="26"/>
        </w:rPr>
        <w:t xml:space="preserve"> unique, which is why the p</w:t>
      </w:r>
      <w:r w:rsidR="004C177B" w:rsidRPr="00EE5722">
        <w:rPr>
          <w:sz w:val="26"/>
          <w:szCs w:val="26"/>
        </w:rPr>
        <w:t xml:space="preserve">roposed </w:t>
      </w:r>
      <w:r w:rsidR="00B6442F">
        <w:rPr>
          <w:sz w:val="26"/>
          <w:szCs w:val="26"/>
        </w:rPr>
        <w:t xml:space="preserve">Opt-In Program includes </w:t>
      </w:r>
      <w:r w:rsidR="004C177B" w:rsidRPr="00EE5722">
        <w:rPr>
          <w:sz w:val="26"/>
          <w:szCs w:val="26"/>
        </w:rPr>
        <w:t xml:space="preserve">rates </w:t>
      </w:r>
      <w:r w:rsidR="00B6442F">
        <w:rPr>
          <w:sz w:val="26"/>
          <w:szCs w:val="26"/>
        </w:rPr>
        <w:t xml:space="preserve">that are </w:t>
      </w:r>
      <w:r w:rsidR="004C177B" w:rsidRPr="00EE5722">
        <w:rPr>
          <w:sz w:val="26"/>
          <w:szCs w:val="26"/>
        </w:rPr>
        <w:t xml:space="preserve">adjusted and reconciled once a year.  Accordingly, </w:t>
      </w:r>
      <w:r>
        <w:rPr>
          <w:sz w:val="26"/>
          <w:szCs w:val="26"/>
        </w:rPr>
        <w:t>the OCA submitted that</w:t>
      </w:r>
      <w:r w:rsidR="00B6442F">
        <w:rPr>
          <w:sz w:val="26"/>
          <w:szCs w:val="26"/>
        </w:rPr>
        <w:t xml:space="preserve"> </w:t>
      </w:r>
      <w:r w:rsidR="004C177B" w:rsidRPr="00EE5722">
        <w:rPr>
          <w:sz w:val="26"/>
          <w:szCs w:val="26"/>
        </w:rPr>
        <w:t xml:space="preserve">the </w:t>
      </w:r>
      <w:r w:rsidR="004C177B" w:rsidRPr="00B6442F">
        <w:rPr>
          <w:i/>
          <w:sz w:val="26"/>
          <w:szCs w:val="26"/>
        </w:rPr>
        <w:t xml:space="preserve">FirstEnergy DSP </w:t>
      </w:r>
      <w:r w:rsidR="00B6442F" w:rsidRPr="00B6442F">
        <w:rPr>
          <w:i/>
          <w:sz w:val="26"/>
          <w:szCs w:val="26"/>
        </w:rPr>
        <w:t>Order</w:t>
      </w:r>
      <w:r w:rsidR="00B6442F">
        <w:rPr>
          <w:sz w:val="26"/>
          <w:szCs w:val="26"/>
        </w:rPr>
        <w:t xml:space="preserve"> </w:t>
      </w:r>
      <w:r w:rsidR="004C177B" w:rsidRPr="00EE5722">
        <w:rPr>
          <w:sz w:val="26"/>
          <w:szCs w:val="26"/>
        </w:rPr>
        <w:t>should not be treated as precedential and should not fully i</w:t>
      </w:r>
      <w:r w:rsidR="00B6442F">
        <w:rPr>
          <w:sz w:val="26"/>
          <w:szCs w:val="26"/>
        </w:rPr>
        <w:t xml:space="preserve">nform </w:t>
      </w:r>
      <w:r w:rsidR="00B6442F">
        <w:rPr>
          <w:sz w:val="26"/>
          <w:szCs w:val="26"/>
        </w:rPr>
        <w:lastRenderedPageBreak/>
        <w:t xml:space="preserve">the Commission’s </w:t>
      </w:r>
      <w:r w:rsidR="004C177B" w:rsidRPr="00EE5722">
        <w:rPr>
          <w:sz w:val="26"/>
          <w:szCs w:val="26"/>
        </w:rPr>
        <w:t>decisio</w:t>
      </w:r>
      <w:r w:rsidR="00B6442F">
        <w:rPr>
          <w:sz w:val="26"/>
          <w:szCs w:val="26"/>
        </w:rPr>
        <w:t>n in this proceeding</w:t>
      </w:r>
      <w:r w:rsidR="00C027A8">
        <w:rPr>
          <w:sz w:val="26"/>
          <w:szCs w:val="26"/>
        </w:rPr>
        <w:t>.</w:t>
      </w:r>
      <w:r w:rsidR="00644DFF">
        <w:rPr>
          <w:sz w:val="26"/>
          <w:szCs w:val="26"/>
        </w:rPr>
        <w:t xml:space="preserve">  </w:t>
      </w:r>
      <w:r w:rsidR="004C177B" w:rsidRPr="00EE5722">
        <w:rPr>
          <w:sz w:val="26"/>
          <w:szCs w:val="26"/>
        </w:rPr>
        <w:t xml:space="preserve">As to the issue of the use of an auction program or an aggregation program, </w:t>
      </w:r>
      <w:r>
        <w:rPr>
          <w:sz w:val="26"/>
          <w:szCs w:val="26"/>
        </w:rPr>
        <w:t>the OCA took</w:t>
      </w:r>
      <w:r w:rsidR="004C177B" w:rsidRPr="00EE5722">
        <w:rPr>
          <w:sz w:val="26"/>
          <w:szCs w:val="26"/>
        </w:rPr>
        <w:t xml:space="preserve"> no position with respect to the specific mechanism selected.  </w:t>
      </w:r>
      <w:r>
        <w:rPr>
          <w:sz w:val="26"/>
          <w:szCs w:val="26"/>
        </w:rPr>
        <w:t>The OCA submitted</w:t>
      </w:r>
      <w:r w:rsidR="004C177B" w:rsidRPr="00EE5722">
        <w:rPr>
          <w:sz w:val="26"/>
          <w:szCs w:val="26"/>
        </w:rPr>
        <w:t>, however, that the important consumer protection</w:t>
      </w:r>
      <w:r w:rsidR="00644DFF">
        <w:rPr>
          <w:sz w:val="26"/>
          <w:szCs w:val="26"/>
        </w:rPr>
        <w:t xml:space="preserve">s detailed in its testimony </w:t>
      </w:r>
      <w:r w:rsidR="004C177B" w:rsidRPr="00EE5722">
        <w:rPr>
          <w:sz w:val="26"/>
          <w:szCs w:val="26"/>
        </w:rPr>
        <w:t>should be adopted regardless of the type of Op</w:t>
      </w:r>
      <w:r w:rsidR="00884AFB" w:rsidRPr="00EE5722">
        <w:rPr>
          <w:sz w:val="26"/>
          <w:szCs w:val="26"/>
        </w:rPr>
        <w:t xml:space="preserve">t-In </w:t>
      </w:r>
      <w:r w:rsidR="00DF45BC" w:rsidRPr="00EE5722">
        <w:rPr>
          <w:sz w:val="26"/>
          <w:szCs w:val="26"/>
        </w:rPr>
        <w:t>P</w:t>
      </w:r>
      <w:r w:rsidR="00884AFB" w:rsidRPr="00EE5722">
        <w:rPr>
          <w:sz w:val="26"/>
          <w:szCs w:val="26"/>
        </w:rPr>
        <w:t>rogram that</w:t>
      </w:r>
      <w:r w:rsidR="00973347">
        <w:rPr>
          <w:sz w:val="26"/>
          <w:szCs w:val="26"/>
        </w:rPr>
        <w:t xml:space="preserve"> is selected.</w:t>
      </w:r>
    </w:p>
    <w:p w:rsidR="00EA5939" w:rsidRPr="00EE5722" w:rsidRDefault="00EA5939" w:rsidP="00884AFB">
      <w:pPr>
        <w:pStyle w:val="Level2"/>
        <w:tabs>
          <w:tab w:val="left" w:pos="720"/>
        </w:tabs>
        <w:spacing w:line="360" w:lineRule="auto"/>
        <w:ind w:left="0" w:firstLine="1440"/>
        <w:jc w:val="left"/>
        <w:rPr>
          <w:sz w:val="26"/>
          <w:szCs w:val="26"/>
        </w:rPr>
      </w:pPr>
    </w:p>
    <w:p w:rsidR="00884AFB" w:rsidRPr="00DA304D" w:rsidRDefault="00B6442F" w:rsidP="00644DFF">
      <w:pPr>
        <w:pStyle w:val="BodyText2"/>
        <w:spacing w:after="0" w:line="360" w:lineRule="auto"/>
        <w:ind w:firstLine="1440"/>
        <w:rPr>
          <w:sz w:val="26"/>
          <w:szCs w:val="26"/>
        </w:rPr>
      </w:pPr>
      <w:r>
        <w:rPr>
          <w:sz w:val="26"/>
          <w:szCs w:val="26"/>
        </w:rPr>
        <w:t>RESA argue</w:t>
      </w:r>
      <w:r w:rsidR="00413BF1">
        <w:rPr>
          <w:sz w:val="26"/>
          <w:szCs w:val="26"/>
        </w:rPr>
        <w:t>d</w:t>
      </w:r>
      <w:r>
        <w:rPr>
          <w:sz w:val="26"/>
          <w:szCs w:val="26"/>
        </w:rPr>
        <w:t xml:space="preserve"> that</w:t>
      </w:r>
      <w:r w:rsidR="005A6535">
        <w:rPr>
          <w:sz w:val="26"/>
          <w:szCs w:val="26"/>
        </w:rPr>
        <w:t xml:space="preserve"> opt-in p</w:t>
      </w:r>
      <w:r>
        <w:rPr>
          <w:sz w:val="26"/>
          <w:szCs w:val="26"/>
        </w:rPr>
        <w:t>rogram</w:t>
      </w:r>
      <w:r w:rsidR="005A6535">
        <w:rPr>
          <w:sz w:val="26"/>
          <w:szCs w:val="26"/>
        </w:rPr>
        <w:t>s</w:t>
      </w:r>
      <w:r>
        <w:rPr>
          <w:sz w:val="26"/>
          <w:szCs w:val="26"/>
        </w:rPr>
        <w:t xml:space="preserve"> should be </w:t>
      </w:r>
      <w:r w:rsidR="00EA5939" w:rsidRPr="00EE5722">
        <w:rPr>
          <w:sz w:val="26"/>
          <w:szCs w:val="26"/>
        </w:rPr>
        <w:t xml:space="preserve">adopted on a uniform basis in the service territories of all the EDCs with default service plans pending before the Commission.  </w:t>
      </w:r>
      <w:r w:rsidR="00EA5939">
        <w:rPr>
          <w:sz w:val="26"/>
          <w:szCs w:val="26"/>
        </w:rPr>
        <w:t>RESA contended that</w:t>
      </w:r>
      <w:r>
        <w:rPr>
          <w:sz w:val="26"/>
          <w:szCs w:val="26"/>
        </w:rPr>
        <w:t xml:space="preserve"> an </w:t>
      </w:r>
      <w:r w:rsidR="00EA5939" w:rsidRPr="00EE5722">
        <w:rPr>
          <w:sz w:val="26"/>
          <w:szCs w:val="26"/>
        </w:rPr>
        <w:t xml:space="preserve">aggregation approach, as adopted in the </w:t>
      </w:r>
      <w:r w:rsidR="00EA5939" w:rsidRPr="00EE5722">
        <w:rPr>
          <w:i/>
          <w:sz w:val="26"/>
          <w:szCs w:val="26"/>
        </w:rPr>
        <w:t>F</w:t>
      </w:r>
      <w:r>
        <w:rPr>
          <w:i/>
          <w:sz w:val="26"/>
          <w:szCs w:val="26"/>
        </w:rPr>
        <w:t>irstEnergy DSP Order</w:t>
      </w:r>
      <w:r w:rsidR="00644DFF">
        <w:rPr>
          <w:sz w:val="26"/>
          <w:szCs w:val="26"/>
        </w:rPr>
        <w:t>,</w:t>
      </w:r>
      <w:r>
        <w:rPr>
          <w:sz w:val="26"/>
          <w:szCs w:val="26"/>
        </w:rPr>
        <w:t xml:space="preserve"> </w:t>
      </w:r>
      <w:r w:rsidR="005538CD">
        <w:rPr>
          <w:sz w:val="26"/>
          <w:szCs w:val="26"/>
        </w:rPr>
        <w:t>would offer</w:t>
      </w:r>
      <w:r w:rsidR="00EA5939" w:rsidRPr="00EE5722">
        <w:rPr>
          <w:sz w:val="26"/>
          <w:szCs w:val="26"/>
        </w:rPr>
        <w:t xml:space="preserve"> customers an</w:t>
      </w:r>
      <w:r w:rsidR="00EA5939">
        <w:rPr>
          <w:sz w:val="26"/>
          <w:szCs w:val="26"/>
        </w:rPr>
        <w:t>d EGSs at least four benefits.</w:t>
      </w:r>
      <w:r w:rsidR="00644DFF">
        <w:rPr>
          <w:sz w:val="26"/>
          <w:szCs w:val="26"/>
        </w:rPr>
        <w:t xml:space="preserve">  </w:t>
      </w:r>
      <w:r w:rsidR="00EA5939" w:rsidRPr="00EE5722">
        <w:rPr>
          <w:sz w:val="26"/>
          <w:szCs w:val="26"/>
        </w:rPr>
        <w:t xml:space="preserve">First, </w:t>
      </w:r>
      <w:r>
        <w:rPr>
          <w:sz w:val="26"/>
          <w:szCs w:val="26"/>
        </w:rPr>
        <w:t>according to RESA, an</w:t>
      </w:r>
      <w:r w:rsidR="00EA5939" w:rsidRPr="00EE5722">
        <w:rPr>
          <w:sz w:val="26"/>
          <w:szCs w:val="26"/>
        </w:rPr>
        <w:t xml:space="preserve"> aggregati</w:t>
      </w:r>
      <w:r w:rsidR="005538CD">
        <w:rPr>
          <w:sz w:val="26"/>
          <w:szCs w:val="26"/>
        </w:rPr>
        <w:t xml:space="preserve">on approach would be </w:t>
      </w:r>
      <w:r w:rsidR="00EA5939" w:rsidRPr="00EE5722">
        <w:rPr>
          <w:sz w:val="26"/>
          <w:szCs w:val="26"/>
        </w:rPr>
        <w:t xml:space="preserve">more likely to attract robust EGS participation and alleviate any concerns that a lack of </w:t>
      </w:r>
      <w:r>
        <w:rPr>
          <w:sz w:val="26"/>
          <w:szCs w:val="26"/>
        </w:rPr>
        <w:t xml:space="preserve">EGS response might prevent the </w:t>
      </w:r>
      <w:r w:rsidR="00644DFF">
        <w:rPr>
          <w:sz w:val="26"/>
          <w:szCs w:val="26"/>
        </w:rPr>
        <w:t xml:space="preserve">Opt-In </w:t>
      </w:r>
      <w:r>
        <w:rPr>
          <w:sz w:val="26"/>
          <w:szCs w:val="26"/>
        </w:rPr>
        <w:t>P</w:t>
      </w:r>
      <w:r w:rsidR="00EA5939" w:rsidRPr="00EE5722">
        <w:rPr>
          <w:sz w:val="26"/>
          <w:szCs w:val="26"/>
        </w:rPr>
        <w:t>rogram from achieving its intended goal.</w:t>
      </w:r>
      <w:r>
        <w:rPr>
          <w:sz w:val="26"/>
          <w:szCs w:val="26"/>
        </w:rPr>
        <w:t xml:space="preserve">  Second, an</w:t>
      </w:r>
      <w:r w:rsidR="00EA5939" w:rsidRPr="00EE5722">
        <w:rPr>
          <w:sz w:val="26"/>
          <w:szCs w:val="26"/>
        </w:rPr>
        <w:t xml:space="preserve"> aggregation approach </w:t>
      </w:r>
      <w:r w:rsidR="005538CD">
        <w:rPr>
          <w:sz w:val="26"/>
          <w:szCs w:val="26"/>
        </w:rPr>
        <w:t xml:space="preserve">would </w:t>
      </w:r>
      <w:r w:rsidR="00EA5939" w:rsidRPr="00EE5722">
        <w:rPr>
          <w:sz w:val="26"/>
          <w:szCs w:val="26"/>
        </w:rPr>
        <w:t>off</w:t>
      </w:r>
      <w:r>
        <w:rPr>
          <w:sz w:val="26"/>
          <w:szCs w:val="26"/>
        </w:rPr>
        <w:t xml:space="preserve">er a consensus </w:t>
      </w:r>
      <w:r w:rsidR="00EA5939" w:rsidRPr="00EE5722">
        <w:rPr>
          <w:sz w:val="26"/>
          <w:szCs w:val="26"/>
        </w:rPr>
        <w:t>on certain issues o</w:t>
      </w:r>
      <w:r>
        <w:rPr>
          <w:sz w:val="26"/>
          <w:szCs w:val="26"/>
        </w:rPr>
        <w:t>f cost recovery</w:t>
      </w:r>
      <w:r w:rsidR="00EA5939" w:rsidRPr="00EE5722">
        <w:rPr>
          <w:sz w:val="26"/>
          <w:szCs w:val="26"/>
        </w:rPr>
        <w:t>.</w:t>
      </w:r>
      <w:r w:rsidR="00504B9D">
        <w:rPr>
          <w:sz w:val="26"/>
          <w:szCs w:val="26"/>
        </w:rPr>
        <w:t xml:space="preserve">  Third, a properly-designed </w:t>
      </w:r>
      <w:r w:rsidR="00EA5939" w:rsidRPr="00EE5722">
        <w:rPr>
          <w:sz w:val="26"/>
          <w:szCs w:val="26"/>
        </w:rPr>
        <w:t>aggregation program could incent competition and encourage EGSs to invest in and offer innovative products and service to customers.  Fourth</w:t>
      </w:r>
      <w:r w:rsidR="005538CD">
        <w:rPr>
          <w:sz w:val="26"/>
          <w:szCs w:val="26"/>
        </w:rPr>
        <w:t xml:space="preserve">, </w:t>
      </w:r>
      <w:r w:rsidR="00DA304D">
        <w:rPr>
          <w:sz w:val="26"/>
          <w:szCs w:val="26"/>
        </w:rPr>
        <w:t xml:space="preserve">an </w:t>
      </w:r>
      <w:r w:rsidR="00EA5939" w:rsidRPr="00EE5722">
        <w:rPr>
          <w:sz w:val="26"/>
          <w:szCs w:val="26"/>
        </w:rPr>
        <w:t xml:space="preserve">aggregation program </w:t>
      </w:r>
      <w:r w:rsidR="005538CD">
        <w:rPr>
          <w:sz w:val="26"/>
          <w:szCs w:val="26"/>
        </w:rPr>
        <w:t>would offer</w:t>
      </w:r>
      <w:r w:rsidR="00EA5939" w:rsidRPr="00EE5722">
        <w:rPr>
          <w:sz w:val="26"/>
          <w:szCs w:val="26"/>
        </w:rPr>
        <w:t xml:space="preserve"> the opportunity to achieve a higher degree of consistenc</w:t>
      </w:r>
      <w:r w:rsidR="00DA304D">
        <w:rPr>
          <w:sz w:val="26"/>
          <w:szCs w:val="26"/>
        </w:rPr>
        <w:t xml:space="preserve">y and uniformity between </w:t>
      </w:r>
      <w:r w:rsidR="005538CD">
        <w:rPr>
          <w:sz w:val="26"/>
          <w:szCs w:val="26"/>
        </w:rPr>
        <w:t>opt-i</w:t>
      </w:r>
      <w:r w:rsidR="00504B9D">
        <w:rPr>
          <w:sz w:val="26"/>
          <w:szCs w:val="26"/>
        </w:rPr>
        <w:t>n</w:t>
      </w:r>
      <w:r w:rsidR="00EA5939" w:rsidRPr="00EE5722">
        <w:rPr>
          <w:sz w:val="26"/>
          <w:szCs w:val="26"/>
        </w:rPr>
        <w:t xml:space="preserve"> program</w:t>
      </w:r>
      <w:r w:rsidR="00DA304D">
        <w:rPr>
          <w:sz w:val="26"/>
          <w:szCs w:val="26"/>
        </w:rPr>
        <w:t xml:space="preserve">s and </w:t>
      </w:r>
      <w:r w:rsidR="00EA5939" w:rsidRPr="00EE5722">
        <w:rPr>
          <w:sz w:val="26"/>
          <w:szCs w:val="26"/>
        </w:rPr>
        <w:t>standard offer referral program</w:t>
      </w:r>
      <w:r w:rsidR="00DA304D">
        <w:rPr>
          <w:sz w:val="26"/>
          <w:szCs w:val="26"/>
        </w:rPr>
        <w:t>s</w:t>
      </w:r>
      <w:r w:rsidR="00EA5939" w:rsidRPr="00EE5722">
        <w:rPr>
          <w:sz w:val="26"/>
          <w:szCs w:val="26"/>
        </w:rPr>
        <w:t xml:space="preserve"> across the various EDC service territories.</w:t>
      </w:r>
      <w:r w:rsidR="00DA304D">
        <w:rPr>
          <w:sz w:val="26"/>
          <w:szCs w:val="26"/>
        </w:rPr>
        <w:t xml:space="preserve">  </w:t>
      </w:r>
      <w:r w:rsidR="00EA5939">
        <w:rPr>
          <w:bCs/>
          <w:sz w:val="26"/>
          <w:szCs w:val="26"/>
        </w:rPr>
        <w:t>RESA recommended that</w:t>
      </w:r>
      <w:r w:rsidR="00EA5939" w:rsidRPr="00EE5722">
        <w:rPr>
          <w:bCs/>
          <w:sz w:val="26"/>
          <w:szCs w:val="26"/>
        </w:rPr>
        <w:t xml:space="preserve"> the Commission capitalize on the similarities between the programs by harmonizing them to an even greater extent and applying them in all EDC service territories.</w:t>
      </w:r>
      <w:r w:rsidR="00EA5939" w:rsidRPr="00EE5722">
        <w:rPr>
          <w:rStyle w:val="FootnoteReference"/>
          <w:bCs/>
          <w:sz w:val="26"/>
          <w:szCs w:val="26"/>
        </w:rPr>
        <w:footnoteReference w:id="63"/>
      </w:r>
    </w:p>
    <w:p w:rsidR="00ED5D2F" w:rsidRPr="00EE5722" w:rsidRDefault="00ED5D2F" w:rsidP="00644DFF">
      <w:pPr>
        <w:spacing w:line="360" w:lineRule="auto"/>
        <w:rPr>
          <w:sz w:val="26"/>
          <w:szCs w:val="26"/>
        </w:rPr>
      </w:pPr>
    </w:p>
    <w:p w:rsidR="00EA5939" w:rsidRDefault="00ED5D2F" w:rsidP="00ED5D2F">
      <w:pPr>
        <w:pStyle w:val="Level2"/>
        <w:tabs>
          <w:tab w:val="left" w:pos="720"/>
        </w:tabs>
        <w:spacing w:line="360" w:lineRule="auto"/>
        <w:ind w:left="0" w:firstLine="1440"/>
        <w:jc w:val="left"/>
        <w:rPr>
          <w:sz w:val="26"/>
          <w:szCs w:val="26"/>
        </w:rPr>
      </w:pPr>
      <w:r>
        <w:rPr>
          <w:sz w:val="26"/>
          <w:szCs w:val="26"/>
        </w:rPr>
        <w:t xml:space="preserve">Citizen Power did not take </w:t>
      </w:r>
      <w:r w:rsidRPr="00EE5722">
        <w:rPr>
          <w:sz w:val="26"/>
          <w:szCs w:val="26"/>
        </w:rPr>
        <w:t>a position reg</w:t>
      </w:r>
      <w:r w:rsidR="00644DFF">
        <w:rPr>
          <w:sz w:val="26"/>
          <w:szCs w:val="26"/>
        </w:rPr>
        <w:t>arding whether an auction or aggregation</w:t>
      </w:r>
      <w:r w:rsidRPr="00EE5722">
        <w:rPr>
          <w:sz w:val="26"/>
          <w:szCs w:val="26"/>
        </w:rPr>
        <w:t xml:space="preserve"> program </w:t>
      </w:r>
      <w:r w:rsidR="00644DFF">
        <w:rPr>
          <w:sz w:val="26"/>
          <w:szCs w:val="26"/>
        </w:rPr>
        <w:t>generally would be preferable</w:t>
      </w:r>
      <w:r>
        <w:rPr>
          <w:sz w:val="26"/>
          <w:szCs w:val="26"/>
        </w:rPr>
        <w:t xml:space="preserve">; however, Citizen Power </w:t>
      </w:r>
      <w:r w:rsidRPr="00EE5722">
        <w:rPr>
          <w:sz w:val="26"/>
          <w:szCs w:val="26"/>
        </w:rPr>
        <w:t>contend</w:t>
      </w:r>
      <w:r>
        <w:rPr>
          <w:sz w:val="26"/>
          <w:szCs w:val="26"/>
        </w:rPr>
        <w:t xml:space="preserve">ed that RESA’s </w:t>
      </w:r>
      <w:r w:rsidRPr="00EE5722">
        <w:rPr>
          <w:sz w:val="26"/>
          <w:szCs w:val="26"/>
        </w:rPr>
        <w:t xml:space="preserve">proposal should be rejected for many of </w:t>
      </w:r>
      <w:r>
        <w:rPr>
          <w:sz w:val="26"/>
          <w:szCs w:val="26"/>
        </w:rPr>
        <w:t>the reaso</w:t>
      </w:r>
      <w:r w:rsidR="00B5630B">
        <w:rPr>
          <w:sz w:val="26"/>
          <w:szCs w:val="26"/>
        </w:rPr>
        <w:t xml:space="preserve">ns outlined by Duquesne in its </w:t>
      </w:r>
      <w:r w:rsidRPr="00EE5722">
        <w:rPr>
          <w:sz w:val="26"/>
          <w:szCs w:val="26"/>
        </w:rPr>
        <w:t xml:space="preserve">Rejoinder Testimony.  </w:t>
      </w:r>
      <w:r w:rsidR="00B5630B">
        <w:rPr>
          <w:i/>
          <w:sz w:val="26"/>
          <w:szCs w:val="26"/>
        </w:rPr>
        <w:t xml:space="preserve">See </w:t>
      </w:r>
      <w:r w:rsidRPr="00EE5722">
        <w:rPr>
          <w:sz w:val="26"/>
          <w:szCs w:val="26"/>
        </w:rPr>
        <w:t>Duquesne St. 3-RJ at 4.</w:t>
      </w:r>
    </w:p>
    <w:p w:rsidR="00ED5D2F" w:rsidRPr="00EE5722" w:rsidRDefault="00ED5D2F" w:rsidP="00413BF1">
      <w:pPr>
        <w:spacing w:line="360" w:lineRule="auto"/>
        <w:ind w:firstLine="1440"/>
        <w:rPr>
          <w:sz w:val="26"/>
          <w:szCs w:val="26"/>
        </w:rPr>
      </w:pPr>
      <w:r>
        <w:rPr>
          <w:sz w:val="26"/>
          <w:szCs w:val="26"/>
        </w:rPr>
        <w:lastRenderedPageBreak/>
        <w:t>Dominion took</w:t>
      </w:r>
      <w:r w:rsidRPr="00EE5722">
        <w:rPr>
          <w:sz w:val="26"/>
          <w:szCs w:val="26"/>
        </w:rPr>
        <w:t xml:space="preserve"> the position </w:t>
      </w:r>
      <w:r w:rsidR="002F3EBE">
        <w:rPr>
          <w:sz w:val="26"/>
          <w:szCs w:val="26"/>
        </w:rPr>
        <w:t xml:space="preserve">that, if </w:t>
      </w:r>
      <w:r w:rsidRPr="00EE5722">
        <w:rPr>
          <w:sz w:val="26"/>
          <w:szCs w:val="26"/>
        </w:rPr>
        <w:t>the Commission intends to impose the</w:t>
      </w:r>
      <w:r w:rsidR="00644DFF">
        <w:rPr>
          <w:sz w:val="26"/>
          <w:szCs w:val="26"/>
        </w:rPr>
        <w:t xml:space="preserve"> style of program it adopted in the</w:t>
      </w:r>
      <w:r w:rsidRPr="00EE5722">
        <w:rPr>
          <w:sz w:val="26"/>
          <w:szCs w:val="26"/>
        </w:rPr>
        <w:t xml:space="preserve"> </w:t>
      </w:r>
      <w:r w:rsidR="00644DFF">
        <w:rPr>
          <w:i/>
          <w:sz w:val="26"/>
          <w:szCs w:val="26"/>
        </w:rPr>
        <w:t>FirstEnergy DSP</w:t>
      </w:r>
      <w:r w:rsidRPr="00EE5722">
        <w:rPr>
          <w:i/>
          <w:sz w:val="26"/>
          <w:szCs w:val="26"/>
        </w:rPr>
        <w:t xml:space="preserve"> Order</w:t>
      </w:r>
      <w:r w:rsidR="00644DFF">
        <w:rPr>
          <w:sz w:val="26"/>
          <w:szCs w:val="26"/>
        </w:rPr>
        <w:t xml:space="preserve"> </w:t>
      </w:r>
      <w:r w:rsidRPr="00EE5722">
        <w:rPr>
          <w:sz w:val="26"/>
          <w:szCs w:val="26"/>
        </w:rPr>
        <w:t>in all EDC service terr</w:t>
      </w:r>
      <w:r w:rsidR="002F3EBE">
        <w:rPr>
          <w:sz w:val="26"/>
          <w:szCs w:val="26"/>
        </w:rPr>
        <w:t>itories</w:t>
      </w:r>
      <w:r>
        <w:rPr>
          <w:sz w:val="26"/>
          <w:szCs w:val="26"/>
        </w:rPr>
        <w:t>, Dominion</w:t>
      </w:r>
      <w:r w:rsidRPr="00EE5722">
        <w:rPr>
          <w:sz w:val="26"/>
          <w:szCs w:val="26"/>
        </w:rPr>
        <w:t xml:space="preserve"> </w:t>
      </w:r>
      <w:r w:rsidR="00413BF1">
        <w:rPr>
          <w:sz w:val="26"/>
          <w:szCs w:val="26"/>
        </w:rPr>
        <w:t xml:space="preserve">would </w:t>
      </w:r>
      <w:r w:rsidRPr="00EE5722">
        <w:rPr>
          <w:sz w:val="26"/>
          <w:szCs w:val="26"/>
        </w:rPr>
        <w:t>support that result if</w:t>
      </w:r>
      <w:r w:rsidR="008D6590">
        <w:rPr>
          <w:sz w:val="26"/>
          <w:szCs w:val="26"/>
        </w:rPr>
        <w:t xml:space="preserve"> there are some modifications.  These modifications include </w:t>
      </w:r>
      <w:r w:rsidR="008D6590" w:rsidRPr="00EE5722">
        <w:rPr>
          <w:sz w:val="26"/>
          <w:szCs w:val="26"/>
        </w:rPr>
        <w:t>an assignm</w:t>
      </w:r>
      <w:r w:rsidR="008D6590">
        <w:rPr>
          <w:sz w:val="26"/>
          <w:szCs w:val="26"/>
        </w:rPr>
        <w:t>ent method by which all participating</w:t>
      </w:r>
      <w:r w:rsidR="008D6590" w:rsidRPr="00EE5722">
        <w:rPr>
          <w:sz w:val="26"/>
          <w:szCs w:val="26"/>
        </w:rPr>
        <w:t xml:space="preserve"> suppliers</w:t>
      </w:r>
      <w:r w:rsidR="008D6590">
        <w:rPr>
          <w:sz w:val="26"/>
          <w:szCs w:val="26"/>
        </w:rPr>
        <w:t xml:space="preserve"> would</w:t>
      </w:r>
      <w:r w:rsidR="008D6590" w:rsidRPr="00EE5722">
        <w:rPr>
          <w:sz w:val="26"/>
          <w:szCs w:val="26"/>
        </w:rPr>
        <w:t xml:space="preserve"> be allocated a </w:t>
      </w:r>
      <w:r w:rsidR="008D6590" w:rsidRPr="00EE5722">
        <w:rPr>
          <w:i/>
          <w:sz w:val="26"/>
          <w:szCs w:val="26"/>
        </w:rPr>
        <w:t>pro rata</w:t>
      </w:r>
      <w:r w:rsidR="008D6590" w:rsidRPr="00EE5722">
        <w:rPr>
          <w:sz w:val="26"/>
          <w:szCs w:val="26"/>
        </w:rPr>
        <w:t xml:space="preserve"> percentage of the </w:t>
      </w:r>
      <w:r w:rsidR="008D6590">
        <w:rPr>
          <w:sz w:val="26"/>
          <w:szCs w:val="26"/>
        </w:rPr>
        <w:t>participating customers.  Dominion also argued that p</w:t>
      </w:r>
      <w:r w:rsidR="008D6590" w:rsidRPr="002F3EBE">
        <w:rPr>
          <w:sz w:val="26"/>
          <w:szCs w:val="26"/>
        </w:rPr>
        <w:t>articipating suppliers should provide financial assurance that they are capable of p</w:t>
      </w:r>
      <w:r w:rsidR="00B5630B">
        <w:rPr>
          <w:sz w:val="26"/>
          <w:szCs w:val="26"/>
        </w:rPr>
        <w:t xml:space="preserve">roviding the fifty-dollar </w:t>
      </w:r>
      <w:r w:rsidR="008D6590" w:rsidRPr="002F3EBE">
        <w:rPr>
          <w:sz w:val="26"/>
          <w:szCs w:val="26"/>
        </w:rPr>
        <w:t>cash bonus to customers, either in the form of a performance bond or a cash deposit</w:t>
      </w:r>
      <w:r w:rsidR="008D6590">
        <w:rPr>
          <w:sz w:val="26"/>
          <w:szCs w:val="26"/>
        </w:rPr>
        <w:t xml:space="preserve">.  </w:t>
      </w:r>
      <w:r w:rsidRPr="00EE5722">
        <w:rPr>
          <w:sz w:val="26"/>
          <w:szCs w:val="26"/>
        </w:rPr>
        <w:t>Otherwise, except with regard to cost recovery and the level o</w:t>
      </w:r>
      <w:r>
        <w:rPr>
          <w:sz w:val="26"/>
          <w:szCs w:val="26"/>
        </w:rPr>
        <w:t xml:space="preserve">f the discount, Dominion </w:t>
      </w:r>
      <w:r w:rsidRPr="00EE5722">
        <w:rPr>
          <w:sz w:val="26"/>
          <w:szCs w:val="26"/>
        </w:rPr>
        <w:t>support</w:t>
      </w:r>
      <w:r>
        <w:rPr>
          <w:sz w:val="26"/>
          <w:szCs w:val="26"/>
        </w:rPr>
        <w:t>ed</w:t>
      </w:r>
      <w:r w:rsidRPr="00EE5722">
        <w:rPr>
          <w:sz w:val="26"/>
          <w:szCs w:val="26"/>
        </w:rPr>
        <w:t xml:space="preserve"> the Company’s proposal.</w:t>
      </w:r>
    </w:p>
    <w:p w:rsidR="00ED5D2F" w:rsidRDefault="00ED5D2F" w:rsidP="00ED5D2F">
      <w:pPr>
        <w:pStyle w:val="BodyTextFirstLine5DS"/>
        <w:spacing w:line="360" w:lineRule="auto"/>
        <w:ind w:firstLine="0"/>
        <w:jc w:val="left"/>
        <w:rPr>
          <w:rFonts w:eastAsia="Times New Roman"/>
          <w:sz w:val="26"/>
          <w:szCs w:val="26"/>
        </w:rPr>
      </w:pPr>
    </w:p>
    <w:p w:rsidR="00ED5D2F" w:rsidRDefault="008D6590" w:rsidP="00B5630B">
      <w:pPr>
        <w:pStyle w:val="BodyTextFirstLine5DS"/>
        <w:spacing w:line="360" w:lineRule="auto"/>
        <w:ind w:firstLine="1440"/>
        <w:jc w:val="left"/>
        <w:rPr>
          <w:sz w:val="26"/>
          <w:szCs w:val="26"/>
        </w:rPr>
      </w:pPr>
      <w:r>
        <w:rPr>
          <w:sz w:val="26"/>
          <w:szCs w:val="26"/>
        </w:rPr>
        <w:t xml:space="preserve">FES strongly supported </w:t>
      </w:r>
      <w:r w:rsidR="00ED5D2F" w:rsidRPr="00EE5722">
        <w:rPr>
          <w:sz w:val="26"/>
          <w:szCs w:val="26"/>
        </w:rPr>
        <w:t>some form of bidding competition</w:t>
      </w:r>
      <w:r>
        <w:rPr>
          <w:sz w:val="26"/>
          <w:szCs w:val="26"/>
        </w:rPr>
        <w:t xml:space="preserve"> for the Opt-In Program</w:t>
      </w:r>
      <w:r w:rsidR="00ED5D2F" w:rsidRPr="00EE5722">
        <w:rPr>
          <w:sz w:val="26"/>
          <w:szCs w:val="26"/>
        </w:rPr>
        <w:t>.  Without a bidding competition, the price</w:t>
      </w:r>
      <w:r>
        <w:rPr>
          <w:sz w:val="26"/>
          <w:szCs w:val="26"/>
        </w:rPr>
        <w:t xml:space="preserve"> to participating customers would</w:t>
      </w:r>
      <w:r w:rsidR="00ED5D2F" w:rsidRPr="00EE5722">
        <w:rPr>
          <w:sz w:val="26"/>
          <w:szCs w:val="26"/>
        </w:rPr>
        <w:t xml:space="preserve"> not provide the ma</w:t>
      </w:r>
      <w:r>
        <w:rPr>
          <w:sz w:val="26"/>
          <w:szCs w:val="26"/>
        </w:rPr>
        <w:t xml:space="preserve">ximum savings or </w:t>
      </w:r>
      <w:r w:rsidR="00ED5D2F" w:rsidRPr="00EE5722">
        <w:rPr>
          <w:sz w:val="26"/>
          <w:szCs w:val="26"/>
        </w:rPr>
        <w:t xml:space="preserve">deliver any benefits of </w:t>
      </w:r>
      <w:r>
        <w:rPr>
          <w:sz w:val="26"/>
          <w:szCs w:val="26"/>
        </w:rPr>
        <w:t>retail competition to customers. T</w:t>
      </w:r>
      <w:r w:rsidR="00ED5D2F">
        <w:rPr>
          <w:sz w:val="26"/>
          <w:szCs w:val="26"/>
        </w:rPr>
        <w:t>o date</w:t>
      </w:r>
      <w:r w:rsidR="00413BF1">
        <w:rPr>
          <w:sz w:val="26"/>
          <w:szCs w:val="26"/>
        </w:rPr>
        <w:t>,</w:t>
      </w:r>
      <w:r w:rsidR="00ED5D2F" w:rsidRPr="00EE5722">
        <w:rPr>
          <w:sz w:val="26"/>
          <w:szCs w:val="26"/>
        </w:rPr>
        <w:t xml:space="preserve"> there is no clear methodology for allocating customers among participating suppliers.  Consistent </w:t>
      </w:r>
      <w:r>
        <w:rPr>
          <w:sz w:val="26"/>
          <w:szCs w:val="26"/>
        </w:rPr>
        <w:t>with this position, FES argued that</w:t>
      </w:r>
      <w:r w:rsidR="00ED5D2F" w:rsidRPr="00EE5722">
        <w:rPr>
          <w:sz w:val="26"/>
          <w:szCs w:val="26"/>
        </w:rPr>
        <w:t xml:space="preserve"> th</w:t>
      </w:r>
      <w:r>
        <w:rPr>
          <w:sz w:val="26"/>
          <w:szCs w:val="26"/>
        </w:rPr>
        <w:t xml:space="preserve">e Program’s price should be </w:t>
      </w:r>
      <w:r w:rsidRPr="00B5630B">
        <w:rPr>
          <w:sz w:val="26"/>
          <w:szCs w:val="26"/>
        </w:rPr>
        <w:t>at least</w:t>
      </w:r>
      <w:r w:rsidR="00ED5D2F" w:rsidRPr="00B5630B">
        <w:rPr>
          <w:sz w:val="26"/>
          <w:szCs w:val="26"/>
        </w:rPr>
        <w:t xml:space="preserve"> </w:t>
      </w:r>
      <w:r w:rsidR="00ED5D2F" w:rsidRPr="00EE5722">
        <w:rPr>
          <w:sz w:val="26"/>
          <w:szCs w:val="26"/>
        </w:rPr>
        <w:t>5% below the PTC, as determined by a competitive bidding pro</w:t>
      </w:r>
      <w:r>
        <w:rPr>
          <w:sz w:val="26"/>
          <w:szCs w:val="26"/>
        </w:rPr>
        <w:t xml:space="preserve">cess.  </w:t>
      </w:r>
      <w:r w:rsidR="00ED5D2F">
        <w:rPr>
          <w:sz w:val="26"/>
          <w:szCs w:val="26"/>
        </w:rPr>
        <w:t xml:space="preserve">FES St. </w:t>
      </w:r>
      <w:r w:rsidR="00911D84">
        <w:rPr>
          <w:sz w:val="26"/>
          <w:szCs w:val="26"/>
        </w:rPr>
        <w:t>1-R at </w:t>
      </w:r>
      <w:r w:rsidR="00ED5D2F" w:rsidRPr="00EE5722">
        <w:rPr>
          <w:sz w:val="26"/>
          <w:szCs w:val="26"/>
        </w:rPr>
        <w:t>16-17.</w:t>
      </w:r>
    </w:p>
    <w:p w:rsidR="00943CB7" w:rsidRDefault="00943CB7" w:rsidP="00ED5D2F">
      <w:pPr>
        <w:pStyle w:val="BodyTextFirstLine5DS"/>
        <w:spacing w:line="360" w:lineRule="auto"/>
        <w:ind w:firstLine="1440"/>
        <w:jc w:val="left"/>
        <w:rPr>
          <w:sz w:val="26"/>
          <w:szCs w:val="26"/>
        </w:rPr>
      </w:pPr>
    </w:p>
    <w:p w:rsidR="00ED5D2F" w:rsidRPr="00EE5722" w:rsidRDefault="00ED5D2F" w:rsidP="00ED5D2F">
      <w:pPr>
        <w:pStyle w:val="BodyTextFirstLine5DS"/>
        <w:spacing w:line="360" w:lineRule="auto"/>
        <w:ind w:firstLine="1440"/>
        <w:jc w:val="left"/>
        <w:rPr>
          <w:sz w:val="26"/>
          <w:szCs w:val="26"/>
        </w:rPr>
      </w:pPr>
      <w:r>
        <w:rPr>
          <w:sz w:val="26"/>
          <w:szCs w:val="26"/>
        </w:rPr>
        <w:t>The O</w:t>
      </w:r>
      <w:r w:rsidR="008F3443">
        <w:rPr>
          <w:sz w:val="26"/>
          <w:szCs w:val="26"/>
        </w:rPr>
        <w:t>SBA, DII and Constellation</w:t>
      </w:r>
      <w:r>
        <w:rPr>
          <w:sz w:val="26"/>
          <w:szCs w:val="26"/>
        </w:rPr>
        <w:t xml:space="preserve"> took no position on this issue.</w:t>
      </w:r>
    </w:p>
    <w:p w:rsidR="00ED5D2F" w:rsidRPr="00EE5722" w:rsidRDefault="00ED5D2F" w:rsidP="00ED5D2F">
      <w:pPr>
        <w:pStyle w:val="Level2"/>
        <w:tabs>
          <w:tab w:val="left" w:pos="720"/>
        </w:tabs>
        <w:spacing w:line="360" w:lineRule="auto"/>
        <w:ind w:left="0" w:firstLine="1440"/>
        <w:jc w:val="left"/>
        <w:rPr>
          <w:sz w:val="26"/>
          <w:szCs w:val="26"/>
        </w:rPr>
      </w:pPr>
    </w:p>
    <w:p w:rsidR="00ED5D2F" w:rsidRPr="00ED5D2F" w:rsidRDefault="008F2DA8" w:rsidP="00115AB3">
      <w:pPr>
        <w:pStyle w:val="Heading5"/>
        <w:numPr>
          <w:ilvl w:val="0"/>
          <w:numId w:val="0"/>
        </w:numPr>
        <w:ind w:left="3600" w:hanging="720"/>
      </w:pPr>
      <w:bookmarkStart w:id="72" w:name="_Toc346705314"/>
      <w:r w:rsidRPr="00EE5722">
        <w:t>iii</w:t>
      </w:r>
      <w:r w:rsidR="00ED5D2F">
        <w:t>.</w:t>
      </w:r>
      <w:r w:rsidR="00ED5D2F">
        <w:tab/>
        <w:t>ALJ’s Recommendation</w:t>
      </w:r>
      <w:bookmarkEnd w:id="72"/>
      <w:r w:rsidR="003210CA">
        <w:t xml:space="preserve"> </w:t>
      </w:r>
    </w:p>
    <w:p w:rsidR="00ED5D2F" w:rsidRPr="00EE5722" w:rsidRDefault="00ED5D2F" w:rsidP="00ED5D2F">
      <w:pPr>
        <w:pStyle w:val="BodyText"/>
        <w:spacing w:after="0" w:line="360" w:lineRule="auto"/>
        <w:ind w:left="0" w:firstLine="0"/>
        <w:rPr>
          <w:sz w:val="26"/>
          <w:szCs w:val="26"/>
        </w:rPr>
      </w:pPr>
    </w:p>
    <w:p w:rsidR="00ED5D2F" w:rsidRPr="00EE5722" w:rsidRDefault="008D6590" w:rsidP="00805356">
      <w:pPr>
        <w:pStyle w:val="Level2"/>
        <w:tabs>
          <w:tab w:val="left" w:pos="720"/>
        </w:tabs>
        <w:spacing w:line="360" w:lineRule="auto"/>
        <w:ind w:left="0" w:firstLine="1440"/>
        <w:jc w:val="left"/>
        <w:rPr>
          <w:sz w:val="26"/>
          <w:szCs w:val="26"/>
        </w:rPr>
      </w:pPr>
      <w:r>
        <w:rPr>
          <w:sz w:val="26"/>
          <w:szCs w:val="26"/>
        </w:rPr>
        <w:t>The ALJ recommended adoption of Duquesne’s proposed auction process for the Opt-In Program.  T</w:t>
      </w:r>
      <w:r w:rsidR="00ED5D2F">
        <w:rPr>
          <w:sz w:val="26"/>
          <w:szCs w:val="26"/>
        </w:rPr>
        <w:t xml:space="preserve">he ALJ noted that Duquesne </w:t>
      </w:r>
      <w:r w:rsidR="00ED5D2F" w:rsidRPr="00EE5722">
        <w:rPr>
          <w:sz w:val="26"/>
          <w:szCs w:val="26"/>
        </w:rPr>
        <w:t>is un</w:t>
      </w:r>
      <w:r>
        <w:rPr>
          <w:sz w:val="26"/>
          <w:szCs w:val="26"/>
        </w:rPr>
        <w:t xml:space="preserve">iquely situated among </w:t>
      </w:r>
      <w:r w:rsidR="00ED5D2F" w:rsidRPr="00EE5722">
        <w:rPr>
          <w:sz w:val="26"/>
          <w:szCs w:val="26"/>
        </w:rPr>
        <w:t>large EDCs in Pe</w:t>
      </w:r>
      <w:r>
        <w:rPr>
          <w:sz w:val="26"/>
          <w:szCs w:val="26"/>
        </w:rPr>
        <w:t xml:space="preserve">nnsylvania because it </w:t>
      </w:r>
      <w:r w:rsidR="00ED5D2F" w:rsidRPr="00EE5722">
        <w:rPr>
          <w:sz w:val="26"/>
          <w:szCs w:val="26"/>
        </w:rPr>
        <w:t xml:space="preserve">has been out from under rate caps for many years and has robust customer shopping within its service territory. </w:t>
      </w:r>
      <w:r w:rsidRPr="00EE5722">
        <w:rPr>
          <w:sz w:val="26"/>
          <w:szCs w:val="26"/>
        </w:rPr>
        <w:t xml:space="preserve"> </w:t>
      </w:r>
      <w:r w:rsidR="00B5630B">
        <w:rPr>
          <w:sz w:val="26"/>
          <w:szCs w:val="26"/>
        </w:rPr>
        <w:t>According to the ALJ, t</w:t>
      </w:r>
      <w:r>
        <w:rPr>
          <w:sz w:val="26"/>
          <w:szCs w:val="26"/>
        </w:rPr>
        <w:t xml:space="preserve">he high level of retail migration in </w:t>
      </w:r>
      <w:r w:rsidR="00ED5D2F" w:rsidRPr="00EE5722">
        <w:rPr>
          <w:sz w:val="26"/>
          <w:szCs w:val="26"/>
        </w:rPr>
        <w:t>D</w:t>
      </w:r>
      <w:r w:rsidR="00ED5D2F">
        <w:rPr>
          <w:sz w:val="26"/>
          <w:szCs w:val="26"/>
        </w:rPr>
        <w:t>uquesne</w:t>
      </w:r>
      <w:r>
        <w:rPr>
          <w:sz w:val="26"/>
          <w:szCs w:val="26"/>
        </w:rPr>
        <w:t>’s service territory demonstrates that Duquesne</w:t>
      </w:r>
      <w:r w:rsidR="00ED5D2F">
        <w:rPr>
          <w:sz w:val="26"/>
          <w:szCs w:val="26"/>
        </w:rPr>
        <w:t xml:space="preserve"> </w:t>
      </w:r>
      <w:r w:rsidR="00C12C37">
        <w:rPr>
          <w:sz w:val="26"/>
          <w:szCs w:val="26"/>
        </w:rPr>
        <w:t xml:space="preserve">has a mature retail market.  The ALJ considered </w:t>
      </w:r>
      <w:r>
        <w:rPr>
          <w:sz w:val="26"/>
          <w:szCs w:val="26"/>
        </w:rPr>
        <w:t>the high level</w:t>
      </w:r>
      <w:r w:rsidR="00ED5D2F" w:rsidRPr="00EE5722">
        <w:rPr>
          <w:sz w:val="26"/>
          <w:szCs w:val="26"/>
        </w:rPr>
        <w:t xml:space="preserve"> of customer migration </w:t>
      </w:r>
      <w:r>
        <w:rPr>
          <w:sz w:val="26"/>
          <w:szCs w:val="26"/>
        </w:rPr>
        <w:t xml:space="preserve">and Duquesne’s </w:t>
      </w:r>
      <w:r w:rsidRPr="00EE5722">
        <w:rPr>
          <w:sz w:val="26"/>
          <w:szCs w:val="26"/>
        </w:rPr>
        <w:t xml:space="preserve">uniqueness in providing flat rates </w:t>
      </w:r>
      <w:r w:rsidR="00B5630B">
        <w:rPr>
          <w:sz w:val="26"/>
          <w:szCs w:val="26"/>
        </w:rPr>
        <w:t>to r</w:t>
      </w:r>
      <w:r w:rsidR="0090418C">
        <w:rPr>
          <w:sz w:val="26"/>
          <w:szCs w:val="26"/>
        </w:rPr>
        <w:t xml:space="preserve">esidential customers in its last DSP, </w:t>
      </w:r>
      <w:r w:rsidRPr="00EE5722">
        <w:rPr>
          <w:sz w:val="26"/>
          <w:szCs w:val="26"/>
        </w:rPr>
        <w:lastRenderedPageBreak/>
        <w:t>which s</w:t>
      </w:r>
      <w:r w:rsidR="0090418C">
        <w:rPr>
          <w:sz w:val="26"/>
          <w:szCs w:val="26"/>
        </w:rPr>
        <w:t xml:space="preserve">heltered its customers from </w:t>
      </w:r>
      <w:r w:rsidRPr="00EE5722">
        <w:rPr>
          <w:sz w:val="26"/>
          <w:szCs w:val="26"/>
        </w:rPr>
        <w:t>quarterly p</w:t>
      </w:r>
      <w:r w:rsidR="0090418C">
        <w:rPr>
          <w:sz w:val="26"/>
          <w:szCs w:val="26"/>
        </w:rPr>
        <w:t xml:space="preserve">rice changes, </w:t>
      </w:r>
      <w:r w:rsidR="00ED5D2F" w:rsidRPr="00EE5722">
        <w:rPr>
          <w:sz w:val="26"/>
          <w:szCs w:val="26"/>
        </w:rPr>
        <w:t xml:space="preserve">when considering which </w:t>
      </w:r>
      <w:r w:rsidR="0090418C">
        <w:rPr>
          <w:sz w:val="26"/>
          <w:szCs w:val="26"/>
        </w:rPr>
        <w:t>type of programs would increase the level of</w:t>
      </w:r>
      <w:r w:rsidR="00ED5D2F" w:rsidRPr="00EE5722">
        <w:rPr>
          <w:sz w:val="26"/>
          <w:szCs w:val="26"/>
        </w:rPr>
        <w:t xml:space="preserve"> shoppi</w:t>
      </w:r>
      <w:r w:rsidR="0090418C">
        <w:rPr>
          <w:sz w:val="26"/>
          <w:szCs w:val="26"/>
        </w:rPr>
        <w:t>ng in Duquesne’s service territory.</w:t>
      </w:r>
      <w:r w:rsidR="00805356">
        <w:rPr>
          <w:sz w:val="26"/>
          <w:szCs w:val="26"/>
        </w:rPr>
        <w:t xml:space="preserve">  R.D. at 65.</w:t>
      </w:r>
    </w:p>
    <w:p w:rsidR="00ED5D2F" w:rsidRPr="00EE5722" w:rsidRDefault="00ED5D2F" w:rsidP="00ED5D2F">
      <w:pPr>
        <w:pStyle w:val="Level2"/>
        <w:tabs>
          <w:tab w:val="left" w:pos="720"/>
        </w:tabs>
        <w:spacing w:line="360" w:lineRule="auto"/>
        <w:ind w:left="0" w:firstLine="1440"/>
        <w:jc w:val="left"/>
        <w:rPr>
          <w:sz w:val="26"/>
          <w:szCs w:val="26"/>
        </w:rPr>
      </w:pPr>
    </w:p>
    <w:p w:rsidR="00ED5D2F" w:rsidRPr="00DC5499" w:rsidRDefault="00C12C37" w:rsidP="00ED5D2F">
      <w:pPr>
        <w:pStyle w:val="Level2"/>
        <w:tabs>
          <w:tab w:val="left" w:pos="720"/>
        </w:tabs>
        <w:spacing w:line="360" w:lineRule="auto"/>
        <w:ind w:left="0" w:firstLine="1440"/>
        <w:jc w:val="left"/>
        <w:rPr>
          <w:sz w:val="26"/>
          <w:szCs w:val="26"/>
        </w:rPr>
      </w:pPr>
      <w:r>
        <w:rPr>
          <w:sz w:val="26"/>
          <w:szCs w:val="26"/>
        </w:rPr>
        <w:t xml:space="preserve">The ALJ concluded that </w:t>
      </w:r>
      <w:r w:rsidR="00ED5D2F" w:rsidRPr="00EE5722">
        <w:rPr>
          <w:sz w:val="26"/>
          <w:szCs w:val="26"/>
        </w:rPr>
        <w:t xml:space="preserve">RESA’s proposed </w:t>
      </w:r>
      <w:r>
        <w:rPr>
          <w:sz w:val="26"/>
          <w:szCs w:val="26"/>
        </w:rPr>
        <w:t>approach would</w:t>
      </w:r>
      <w:r w:rsidR="00ED5D2F" w:rsidRPr="00EE5722">
        <w:rPr>
          <w:sz w:val="26"/>
          <w:szCs w:val="26"/>
        </w:rPr>
        <w:t xml:space="preserve"> alienate and/or intimidate non-shopping customers, resulting in </w:t>
      </w:r>
      <w:r w:rsidR="00ED5D2F" w:rsidRPr="00DC5499">
        <w:rPr>
          <w:sz w:val="26"/>
          <w:szCs w:val="26"/>
        </w:rPr>
        <w:t>lower</w:t>
      </w:r>
      <w:r w:rsidR="0090418C" w:rsidRPr="00DC5499">
        <w:rPr>
          <w:sz w:val="26"/>
          <w:szCs w:val="26"/>
        </w:rPr>
        <w:t xml:space="preserve"> </w:t>
      </w:r>
      <w:r w:rsidR="0090418C">
        <w:rPr>
          <w:sz w:val="26"/>
          <w:szCs w:val="26"/>
        </w:rPr>
        <w:t>customer participation that would be</w:t>
      </w:r>
      <w:r w:rsidR="00ED5D2F" w:rsidRPr="00EE5722">
        <w:rPr>
          <w:sz w:val="26"/>
          <w:szCs w:val="26"/>
        </w:rPr>
        <w:t xml:space="preserve"> </w:t>
      </w:r>
      <w:r w:rsidR="00ED5D2F" w:rsidRPr="0090418C">
        <w:rPr>
          <w:sz w:val="26"/>
          <w:szCs w:val="26"/>
        </w:rPr>
        <w:t>contrary</w:t>
      </w:r>
      <w:r w:rsidR="00ED5D2F" w:rsidRPr="00EE5722">
        <w:rPr>
          <w:sz w:val="26"/>
          <w:szCs w:val="26"/>
        </w:rPr>
        <w:t xml:space="preserve"> to the primary goal in default service planning at this tim</w:t>
      </w:r>
      <w:r w:rsidR="0090418C">
        <w:rPr>
          <w:sz w:val="26"/>
          <w:szCs w:val="26"/>
        </w:rPr>
        <w:t xml:space="preserve">e.  The ALJ stated that </w:t>
      </w:r>
      <w:r w:rsidR="00ED5D2F" w:rsidRPr="00EE5722">
        <w:rPr>
          <w:sz w:val="26"/>
          <w:szCs w:val="26"/>
        </w:rPr>
        <w:t>D</w:t>
      </w:r>
      <w:r w:rsidR="00ED5D2F">
        <w:rPr>
          <w:sz w:val="26"/>
          <w:szCs w:val="26"/>
        </w:rPr>
        <w:t>uquesne</w:t>
      </w:r>
      <w:r w:rsidR="00ED5D2F" w:rsidRPr="00EE5722">
        <w:rPr>
          <w:sz w:val="26"/>
          <w:szCs w:val="26"/>
        </w:rPr>
        <w:t>’s con</w:t>
      </w:r>
      <w:r w:rsidR="0090418C">
        <w:rPr>
          <w:sz w:val="26"/>
          <w:szCs w:val="26"/>
        </w:rPr>
        <w:t xml:space="preserve">cerns </w:t>
      </w:r>
      <w:r w:rsidR="00ED5D2F" w:rsidRPr="00EE5722">
        <w:rPr>
          <w:sz w:val="26"/>
          <w:szCs w:val="26"/>
        </w:rPr>
        <w:t xml:space="preserve">are legitimate, and should be discussed and “fleshed out” more fully than was possible in this proceeding.  </w:t>
      </w:r>
      <w:r w:rsidR="0090418C">
        <w:rPr>
          <w:sz w:val="26"/>
          <w:szCs w:val="26"/>
        </w:rPr>
        <w:t xml:space="preserve">The ALJ also noted that Duquesne </w:t>
      </w:r>
      <w:r w:rsidR="00ED5D2F" w:rsidRPr="00EE5722">
        <w:rPr>
          <w:sz w:val="26"/>
          <w:szCs w:val="26"/>
        </w:rPr>
        <w:t xml:space="preserve">was the </w:t>
      </w:r>
      <w:r w:rsidR="00ED5D2F" w:rsidRPr="0090418C">
        <w:rPr>
          <w:sz w:val="26"/>
          <w:szCs w:val="26"/>
        </w:rPr>
        <w:t>only</w:t>
      </w:r>
      <w:r w:rsidR="00DC5499">
        <w:rPr>
          <w:sz w:val="26"/>
          <w:szCs w:val="26"/>
        </w:rPr>
        <w:t xml:space="preserve"> P</w:t>
      </w:r>
      <w:r w:rsidR="00ED5D2F" w:rsidRPr="00EE5722">
        <w:rPr>
          <w:sz w:val="26"/>
          <w:szCs w:val="26"/>
        </w:rPr>
        <w:t>arty in this proceeding afforded the due process opportunity to respond to RESA’s</w:t>
      </w:r>
      <w:r w:rsidR="00ED5D2F">
        <w:rPr>
          <w:sz w:val="26"/>
          <w:szCs w:val="26"/>
        </w:rPr>
        <w:t xml:space="preserve"> proposal.</w:t>
      </w:r>
      <w:r w:rsidR="00DC5499">
        <w:rPr>
          <w:sz w:val="26"/>
          <w:szCs w:val="26"/>
        </w:rPr>
        <w:t xml:space="preserve">  </w:t>
      </w:r>
      <w:r w:rsidR="00DC5499">
        <w:rPr>
          <w:i/>
          <w:sz w:val="26"/>
          <w:szCs w:val="26"/>
        </w:rPr>
        <w:t>Id.</w:t>
      </w:r>
    </w:p>
    <w:p w:rsidR="00ED5D2F" w:rsidRPr="00EE5722" w:rsidRDefault="00ED5D2F" w:rsidP="00ED5D2F">
      <w:pPr>
        <w:pStyle w:val="Level2"/>
        <w:tabs>
          <w:tab w:val="left" w:pos="720"/>
        </w:tabs>
        <w:spacing w:line="360" w:lineRule="auto"/>
        <w:ind w:left="0" w:firstLine="1440"/>
        <w:jc w:val="left"/>
        <w:rPr>
          <w:sz w:val="26"/>
          <w:szCs w:val="26"/>
        </w:rPr>
      </w:pPr>
    </w:p>
    <w:p w:rsidR="00ED5D2F" w:rsidRPr="00DC5499" w:rsidRDefault="0090418C" w:rsidP="00ED5D2F">
      <w:pPr>
        <w:pStyle w:val="Level2"/>
        <w:tabs>
          <w:tab w:val="left" w:pos="720"/>
        </w:tabs>
        <w:spacing w:line="360" w:lineRule="auto"/>
        <w:ind w:left="0" w:firstLine="1440"/>
        <w:jc w:val="left"/>
        <w:rPr>
          <w:sz w:val="26"/>
          <w:szCs w:val="26"/>
        </w:rPr>
      </w:pPr>
      <w:r>
        <w:rPr>
          <w:sz w:val="26"/>
          <w:szCs w:val="26"/>
        </w:rPr>
        <w:t>The ALJ concluded that t</w:t>
      </w:r>
      <w:r w:rsidR="00ED5D2F" w:rsidRPr="00EE5722">
        <w:rPr>
          <w:sz w:val="26"/>
          <w:szCs w:val="26"/>
        </w:rPr>
        <w:t>he Company’s proposal for retail market enhancement</w:t>
      </w:r>
      <w:r>
        <w:rPr>
          <w:sz w:val="26"/>
          <w:szCs w:val="26"/>
        </w:rPr>
        <w:t>s</w:t>
      </w:r>
      <w:r w:rsidR="00ED5D2F" w:rsidRPr="00EE5722">
        <w:rPr>
          <w:sz w:val="26"/>
          <w:szCs w:val="26"/>
        </w:rPr>
        <w:t xml:space="preserve"> is likely to succeed and to provide customer</w:t>
      </w:r>
      <w:r w:rsidR="00DC5499">
        <w:rPr>
          <w:sz w:val="26"/>
          <w:szCs w:val="26"/>
        </w:rPr>
        <w:t>s,</w:t>
      </w:r>
      <w:r w:rsidR="00ED5D2F" w:rsidRPr="00EE5722">
        <w:rPr>
          <w:sz w:val="26"/>
          <w:szCs w:val="26"/>
        </w:rPr>
        <w:t xml:space="preserve"> especially those who have not</w:t>
      </w:r>
      <w:r w:rsidR="00DC5499">
        <w:rPr>
          <w:sz w:val="26"/>
          <w:szCs w:val="26"/>
        </w:rPr>
        <w:t xml:space="preserve"> been inclined to shop to date,</w:t>
      </w:r>
      <w:r w:rsidR="00ED5D2F" w:rsidRPr="00EE5722">
        <w:rPr>
          <w:sz w:val="26"/>
          <w:szCs w:val="26"/>
        </w:rPr>
        <w:t xml:space="preserve"> with a positive experience in the competitive market.  </w:t>
      </w:r>
      <w:r w:rsidR="00DC5499">
        <w:rPr>
          <w:sz w:val="26"/>
          <w:szCs w:val="26"/>
        </w:rPr>
        <w:t>The ALJ found that</w:t>
      </w:r>
      <w:r w:rsidR="00413BF1">
        <w:rPr>
          <w:sz w:val="26"/>
          <w:szCs w:val="26"/>
        </w:rPr>
        <w:t>,</w:t>
      </w:r>
      <w:r w:rsidR="00DC5499">
        <w:rPr>
          <w:sz w:val="26"/>
          <w:szCs w:val="26"/>
        </w:rPr>
        <w:t xml:space="preserve"> u</w:t>
      </w:r>
      <w:r w:rsidR="00ED5D2F" w:rsidRPr="00EE5722">
        <w:rPr>
          <w:sz w:val="26"/>
          <w:szCs w:val="26"/>
        </w:rPr>
        <w:t>nlike other EDC default service plans that do not have a fixed annual PTC for resid</w:t>
      </w:r>
      <w:r w:rsidR="00ED5D2F">
        <w:rPr>
          <w:sz w:val="26"/>
          <w:szCs w:val="26"/>
        </w:rPr>
        <w:t>ential customers, Duquesne</w:t>
      </w:r>
      <w:r>
        <w:rPr>
          <w:sz w:val="26"/>
          <w:szCs w:val="26"/>
        </w:rPr>
        <w:t xml:space="preserve">’s Opt-In </w:t>
      </w:r>
      <w:r w:rsidR="00ED5D2F" w:rsidRPr="00EE5722">
        <w:rPr>
          <w:sz w:val="26"/>
          <w:szCs w:val="26"/>
        </w:rPr>
        <w:t xml:space="preserve">Program </w:t>
      </w:r>
      <w:r>
        <w:rPr>
          <w:sz w:val="26"/>
          <w:szCs w:val="26"/>
        </w:rPr>
        <w:t>would a</w:t>
      </w:r>
      <w:r w:rsidR="00DC5499">
        <w:rPr>
          <w:sz w:val="26"/>
          <w:szCs w:val="26"/>
        </w:rPr>
        <w:t>llow EGSs to offer,</w:t>
      </w:r>
      <w:r>
        <w:rPr>
          <w:sz w:val="26"/>
          <w:szCs w:val="26"/>
        </w:rPr>
        <w:t xml:space="preserve"> a</w:t>
      </w:r>
      <w:r w:rsidR="00DC5499">
        <w:rPr>
          <w:sz w:val="26"/>
          <w:szCs w:val="26"/>
        </w:rPr>
        <w:t>nd permit customers to receive,</w:t>
      </w:r>
      <w:r>
        <w:rPr>
          <w:sz w:val="26"/>
          <w:szCs w:val="26"/>
        </w:rPr>
        <w:t xml:space="preserve"> guaranteed savings</w:t>
      </w:r>
      <w:r w:rsidR="00ED5D2F" w:rsidRPr="00EE5722">
        <w:rPr>
          <w:sz w:val="26"/>
          <w:szCs w:val="26"/>
        </w:rPr>
        <w:t xml:space="preserve"> ov</w:t>
      </w:r>
      <w:r w:rsidR="00DC5499">
        <w:rPr>
          <w:sz w:val="26"/>
          <w:szCs w:val="26"/>
        </w:rPr>
        <w:t>er a twelve</w:t>
      </w:r>
      <w:r>
        <w:rPr>
          <w:sz w:val="26"/>
          <w:szCs w:val="26"/>
        </w:rPr>
        <w:t>-month period.  According to the ALJ, this approach</w:t>
      </w:r>
      <w:r w:rsidR="00ED5D2F" w:rsidRPr="00EE5722">
        <w:rPr>
          <w:sz w:val="26"/>
          <w:szCs w:val="26"/>
        </w:rPr>
        <w:t xml:space="preserve"> is the best method to enhance competition and advance the interests of both custo</w:t>
      </w:r>
      <w:r w:rsidR="00C12C37">
        <w:rPr>
          <w:sz w:val="26"/>
          <w:szCs w:val="26"/>
        </w:rPr>
        <w:t>mers and EGSs.  Therefore, the</w:t>
      </w:r>
      <w:r w:rsidR="00ED5D2F" w:rsidRPr="00EE5722">
        <w:rPr>
          <w:sz w:val="26"/>
          <w:szCs w:val="26"/>
        </w:rPr>
        <w:t xml:space="preserve"> </w:t>
      </w:r>
      <w:r w:rsidR="00C12C37">
        <w:rPr>
          <w:sz w:val="26"/>
          <w:szCs w:val="26"/>
        </w:rPr>
        <w:t xml:space="preserve">ALJ </w:t>
      </w:r>
      <w:r w:rsidR="00ED5D2F" w:rsidRPr="00EE5722">
        <w:rPr>
          <w:sz w:val="26"/>
          <w:szCs w:val="26"/>
        </w:rPr>
        <w:t>recommen</w:t>
      </w:r>
      <w:r w:rsidR="00ED5D2F">
        <w:rPr>
          <w:sz w:val="26"/>
          <w:szCs w:val="26"/>
        </w:rPr>
        <w:t>d</w:t>
      </w:r>
      <w:r w:rsidR="00C12C37">
        <w:rPr>
          <w:sz w:val="26"/>
          <w:szCs w:val="26"/>
        </w:rPr>
        <w:t>ed</w:t>
      </w:r>
      <w:r w:rsidR="00ED5D2F">
        <w:rPr>
          <w:sz w:val="26"/>
          <w:szCs w:val="26"/>
        </w:rPr>
        <w:t xml:space="preserve"> the approval of Duquesne</w:t>
      </w:r>
      <w:r>
        <w:rPr>
          <w:sz w:val="26"/>
          <w:szCs w:val="26"/>
        </w:rPr>
        <w:t xml:space="preserve">’s proposed </w:t>
      </w:r>
      <w:r w:rsidR="00ED5D2F">
        <w:rPr>
          <w:sz w:val="26"/>
          <w:szCs w:val="26"/>
        </w:rPr>
        <w:t>Opt-In Program.</w:t>
      </w:r>
      <w:r w:rsidR="00DC5499">
        <w:rPr>
          <w:sz w:val="26"/>
          <w:szCs w:val="26"/>
        </w:rPr>
        <w:t xml:space="preserve">  </w:t>
      </w:r>
      <w:r w:rsidR="00DC5499">
        <w:rPr>
          <w:i/>
          <w:sz w:val="26"/>
          <w:szCs w:val="26"/>
        </w:rPr>
        <w:t>Id.</w:t>
      </w:r>
      <w:r w:rsidR="00DC5499">
        <w:rPr>
          <w:sz w:val="26"/>
          <w:szCs w:val="26"/>
        </w:rPr>
        <w:t xml:space="preserve"> at 65-66.</w:t>
      </w:r>
    </w:p>
    <w:p w:rsidR="006D4D99" w:rsidRPr="00EE5722" w:rsidRDefault="006D4D99" w:rsidP="006D4D99">
      <w:pPr>
        <w:pStyle w:val="BodyText"/>
        <w:spacing w:after="0" w:line="360" w:lineRule="auto"/>
        <w:ind w:left="0" w:firstLine="0"/>
        <w:rPr>
          <w:sz w:val="26"/>
          <w:szCs w:val="26"/>
        </w:rPr>
      </w:pPr>
    </w:p>
    <w:p w:rsidR="006D4D99" w:rsidRPr="00EE5722" w:rsidRDefault="008F2DA8" w:rsidP="00115AB3">
      <w:pPr>
        <w:pStyle w:val="Heading5"/>
        <w:numPr>
          <w:ilvl w:val="0"/>
          <w:numId w:val="0"/>
        </w:numPr>
        <w:ind w:left="3600" w:hanging="720"/>
      </w:pPr>
      <w:bookmarkStart w:id="73" w:name="_Toc346705315"/>
      <w:r w:rsidRPr="00EE5722">
        <w:t>iv</w:t>
      </w:r>
      <w:r w:rsidR="00ED5D2F">
        <w:t>.</w:t>
      </w:r>
      <w:r w:rsidR="00ED5D2F">
        <w:tab/>
        <w:t>Exceptions</w:t>
      </w:r>
      <w:bookmarkEnd w:id="73"/>
    </w:p>
    <w:p w:rsidR="00623A3B" w:rsidRDefault="00623A3B" w:rsidP="000B0447">
      <w:pPr>
        <w:pStyle w:val="Heading3"/>
      </w:pPr>
    </w:p>
    <w:p w:rsidR="001240AD" w:rsidRPr="001240AD" w:rsidRDefault="00DC5499" w:rsidP="00F8248B">
      <w:pPr>
        <w:pStyle w:val="BodyText2"/>
        <w:spacing w:after="0" w:line="360" w:lineRule="auto"/>
        <w:ind w:firstLine="1440"/>
        <w:rPr>
          <w:sz w:val="26"/>
          <w:szCs w:val="26"/>
        </w:rPr>
      </w:pPr>
      <w:r>
        <w:rPr>
          <w:sz w:val="26"/>
          <w:szCs w:val="26"/>
        </w:rPr>
        <w:t xml:space="preserve">In its Exceptions, </w:t>
      </w:r>
      <w:r w:rsidR="00623A3B" w:rsidRPr="00623A3B">
        <w:rPr>
          <w:sz w:val="26"/>
          <w:szCs w:val="26"/>
        </w:rPr>
        <w:t>RESA argues that the ALJ erred in recommending appro</w:t>
      </w:r>
      <w:r>
        <w:rPr>
          <w:sz w:val="26"/>
          <w:szCs w:val="26"/>
        </w:rPr>
        <w:t xml:space="preserve">val of Duquesne’s proposed </w:t>
      </w:r>
      <w:r w:rsidR="0090418C">
        <w:rPr>
          <w:sz w:val="26"/>
          <w:szCs w:val="26"/>
        </w:rPr>
        <w:t xml:space="preserve">auction </w:t>
      </w:r>
      <w:r w:rsidR="00623A3B" w:rsidRPr="00623A3B">
        <w:rPr>
          <w:sz w:val="26"/>
          <w:szCs w:val="26"/>
        </w:rPr>
        <w:t>and re</w:t>
      </w:r>
      <w:r>
        <w:rPr>
          <w:sz w:val="26"/>
          <w:szCs w:val="26"/>
        </w:rPr>
        <w:t>jection of its</w:t>
      </w:r>
      <w:r w:rsidR="0090418C">
        <w:rPr>
          <w:sz w:val="26"/>
          <w:szCs w:val="26"/>
        </w:rPr>
        <w:t xml:space="preserve"> proposed aggregation approach for the Opt-In P</w:t>
      </w:r>
      <w:r w:rsidR="00623A3B" w:rsidRPr="00623A3B">
        <w:rPr>
          <w:sz w:val="26"/>
          <w:szCs w:val="26"/>
        </w:rPr>
        <w:t>rogram.</w:t>
      </w:r>
      <w:r w:rsidR="0090418C">
        <w:rPr>
          <w:sz w:val="26"/>
          <w:szCs w:val="26"/>
        </w:rPr>
        <w:t xml:space="preserve">  RESA relies on the </w:t>
      </w:r>
      <w:r w:rsidR="0090418C" w:rsidRPr="0090418C">
        <w:rPr>
          <w:i/>
          <w:sz w:val="26"/>
          <w:szCs w:val="26"/>
        </w:rPr>
        <w:t>FirstEnergy DSP Order</w:t>
      </w:r>
      <w:r w:rsidR="0090418C">
        <w:rPr>
          <w:sz w:val="26"/>
          <w:szCs w:val="26"/>
        </w:rPr>
        <w:t>, where</w:t>
      </w:r>
      <w:r w:rsidR="00623A3B" w:rsidRPr="00623A3B">
        <w:rPr>
          <w:sz w:val="26"/>
          <w:szCs w:val="26"/>
        </w:rPr>
        <w:t xml:space="preserve"> the Co</w:t>
      </w:r>
      <w:r w:rsidR="0090418C">
        <w:rPr>
          <w:sz w:val="26"/>
          <w:szCs w:val="26"/>
        </w:rPr>
        <w:t xml:space="preserve">mmission directed FirstEnergy </w:t>
      </w:r>
      <w:r w:rsidR="00623A3B" w:rsidRPr="00623A3B">
        <w:rPr>
          <w:sz w:val="26"/>
          <w:szCs w:val="26"/>
        </w:rPr>
        <w:t xml:space="preserve">to implement an “ROI Aggregation Program consisting of a one-year product comprised of five percent off the PTC at the time of enrollment for </w:t>
      </w:r>
      <w:r w:rsidR="00623A3B" w:rsidRPr="00623A3B">
        <w:rPr>
          <w:sz w:val="26"/>
          <w:szCs w:val="26"/>
        </w:rPr>
        <w:lastRenderedPageBreak/>
        <w:t>four months, a fixed price for the remaining eight months and the inclusion of a fifty dollar bonus.”</w:t>
      </w:r>
      <w:r w:rsidR="00623A3B" w:rsidRPr="00623A3B">
        <w:rPr>
          <w:sz w:val="26"/>
          <w:szCs w:val="26"/>
          <w:vertAlign w:val="superscript"/>
        </w:rPr>
        <w:footnoteReference w:id="64"/>
      </w:r>
      <w:r w:rsidR="00623A3B" w:rsidRPr="00623A3B">
        <w:rPr>
          <w:sz w:val="26"/>
          <w:szCs w:val="26"/>
        </w:rPr>
        <w:t xml:space="preserve">  </w:t>
      </w:r>
      <w:r w:rsidR="00A47559">
        <w:rPr>
          <w:sz w:val="26"/>
          <w:szCs w:val="26"/>
        </w:rPr>
        <w:t>RESA noted that t</w:t>
      </w:r>
      <w:r w:rsidR="0090418C">
        <w:rPr>
          <w:sz w:val="26"/>
          <w:szCs w:val="26"/>
        </w:rPr>
        <w:t xml:space="preserve">he Commission stated </w:t>
      </w:r>
      <w:r w:rsidR="00623A3B" w:rsidRPr="00623A3B">
        <w:rPr>
          <w:sz w:val="26"/>
          <w:szCs w:val="26"/>
        </w:rPr>
        <w:t>that this revised program would attract EGS support and participation</w:t>
      </w:r>
      <w:r w:rsidR="0090418C">
        <w:rPr>
          <w:sz w:val="26"/>
          <w:szCs w:val="26"/>
        </w:rPr>
        <w:t xml:space="preserve">, and noted that an auction was not needed because the </w:t>
      </w:r>
      <w:r w:rsidR="00623A3B" w:rsidRPr="00623A3B">
        <w:rPr>
          <w:sz w:val="26"/>
          <w:szCs w:val="26"/>
        </w:rPr>
        <w:t>opt-in product would be a standardized one</w:t>
      </w:r>
      <w:r w:rsidR="0090418C">
        <w:rPr>
          <w:sz w:val="26"/>
          <w:szCs w:val="26"/>
        </w:rPr>
        <w:t>,</w:t>
      </w:r>
      <w:r w:rsidR="00623A3B" w:rsidRPr="00623A3B">
        <w:rPr>
          <w:sz w:val="26"/>
          <w:szCs w:val="26"/>
        </w:rPr>
        <w:t xml:space="preserve"> consisting of the pre-determined 5% introductory discount for four months followed by a </w:t>
      </w:r>
      <w:r w:rsidR="004C1FDD">
        <w:rPr>
          <w:sz w:val="26"/>
          <w:szCs w:val="26"/>
        </w:rPr>
        <w:t xml:space="preserve">fixed price for eight months.  </w:t>
      </w:r>
      <w:r w:rsidR="00A47559">
        <w:rPr>
          <w:sz w:val="26"/>
          <w:szCs w:val="26"/>
        </w:rPr>
        <w:t>According to RESA, t</w:t>
      </w:r>
      <w:r w:rsidR="004C1FDD">
        <w:rPr>
          <w:sz w:val="26"/>
          <w:szCs w:val="26"/>
        </w:rPr>
        <w:t xml:space="preserve">he Commission also adopted an </w:t>
      </w:r>
      <w:r w:rsidR="00623A3B" w:rsidRPr="00623A3B">
        <w:rPr>
          <w:sz w:val="26"/>
          <w:szCs w:val="26"/>
        </w:rPr>
        <w:t>aggregation program</w:t>
      </w:r>
      <w:r w:rsidR="004C1FDD">
        <w:rPr>
          <w:sz w:val="26"/>
          <w:szCs w:val="26"/>
        </w:rPr>
        <w:t xml:space="preserve"> in the </w:t>
      </w:r>
      <w:r w:rsidR="004C1FDD" w:rsidRPr="004C1FDD">
        <w:rPr>
          <w:i/>
          <w:sz w:val="26"/>
          <w:szCs w:val="26"/>
        </w:rPr>
        <w:t>PECO DSP Order</w:t>
      </w:r>
      <w:r w:rsidR="00623A3B" w:rsidRPr="00623A3B">
        <w:rPr>
          <w:sz w:val="26"/>
          <w:szCs w:val="26"/>
        </w:rPr>
        <w:t>.</w:t>
      </w:r>
      <w:r w:rsidR="004C1FDD">
        <w:rPr>
          <w:sz w:val="26"/>
          <w:szCs w:val="26"/>
          <w:vertAlign w:val="superscript"/>
        </w:rPr>
        <w:t xml:space="preserve"> </w:t>
      </w:r>
      <w:r w:rsidR="004C1FDD">
        <w:rPr>
          <w:sz w:val="26"/>
          <w:szCs w:val="26"/>
        </w:rPr>
        <w:t xml:space="preserve"> </w:t>
      </w:r>
      <w:r w:rsidR="00B353C4">
        <w:rPr>
          <w:sz w:val="26"/>
          <w:szCs w:val="26"/>
        </w:rPr>
        <w:t xml:space="preserve">RESA submits that </w:t>
      </w:r>
      <w:r w:rsidR="00623A3B" w:rsidRPr="00623A3B">
        <w:rPr>
          <w:sz w:val="26"/>
          <w:szCs w:val="26"/>
        </w:rPr>
        <w:t xml:space="preserve">the Commission has decided that opt-in aggregation should be </w:t>
      </w:r>
      <w:r w:rsidR="00B353C4">
        <w:rPr>
          <w:sz w:val="26"/>
          <w:szCs w:val="26"/>
        </w:rPr>
        <w:t>adopted</w:t>
      </w:r>
      <w:r w:rsidR="00623A3B" w:rsidRPr="00623A3B">
        <w:rPr>
          <w:sz w:val="26"/>
          <w:szCs w:val="26"/>
        </w:rPr>
        <w:t>.</w:t>
      </w:r>
      <w:r>
        <w:rPr>
          <w:sz w:val="26"/>
          <w:szCs w:val="26"/>
        </w:rPr>
        <w:t xml:space="preserve">  RESA Exc. a</w:t>
      </w:r>
      <w:r w:rsidR="00A47559">
        <w:rPr>
          <w:sz w:val="26"/>
          <w:szCs w:val="26"/>
        </w:rPr>
        <w:t>t 16-17</w:t>
      </w:r>
      <w:r>
        <w:rPr>
          <w:sz w:val="26"/>
          <w:szCs w:val="26"/>
        </w:rPr>
        <w:t xml:space="preserve">.  </w:t>
      </w:r>
    </w:p>
    <w:p w:rsidR="00A47559" w:rsidRDefault="00A47559" w:rsidP="00A47559">
      <w:pPr>
        <w:pStyle w:val="BodyText2"/>
        <w:spacing w:after="0" w:line="360" w:lineRule="auto"/>
        <w:ind w:firstLine="1440"/>
        <w:rPr>
          <w:sz w:val="26"/>
          <w:szCs w:val="26"/>
        </w:rPr>
      </w:pPr>
    </w:p>
    <w:p w:rsidR="00B353C4" w:rsidRDefault="00623A3B" w:rsidP="00F8248B">
      <w:pPr>
        <w:pStyle w:val="BodyText2"/>
        <w:spacing w:after="0" w:line="360" w:lineRule="auto"/>
        <w:ind w:firstLine="1440"/>
        <w:rPr>
          <w:sz w:val="26"/>
          <w:szCs w:val="26"/>
        </w:rPr>
      </w:pPr>
      <w:r w:rsidRPr="00623A3B">
        <w:rPr>
          <w:sz w:val="26"/>
          <w:szCs w:val="26"/>
        </w:rPr>
        <w:t>RESA</w:t>
      </w:r>
      <w:r w:rsidR="004C1FDD" w:rsidRPr="004C1FDD">
        <w:rPr>
          <w:sz w:val="26"/>
          <w:szCs w:val="26"/>
        </w:rPr>
        <w:t xml:space="preserve"> </w:t>
      </w:r>
      <w:r w:rsidR="004C1FDD">
        <w:rPr>
          <w:sz w:val="26"/>
          <w:szCs w:val="26"/>
        </w:rPr>
        <w:t xml:space="preserve">provided an </w:t>
      </w:r>
      <w:r w:rsidR="004C1FDD" w:rsidRPr="00623A3B">
        <w:rPr>
          <w:sz w:val="26"/>
          <w:szCs w:val="26"/>
        </w:rPr>
        <w:t>assessmen</w:t>
      </w:r>
      <w:r w:rsidR="004C1FDD">
        <w:rPr>
          <w:sz w:val="26"/>
          <w:szCs w:val="26"/>
        </w:rPr>
        <w:t xml:space="preserve">t of the aggregation program </w:t>
      </w:r>
      <w:r w:rsidR="004C1FDD" w:rsidRPr="00623A3B">
        <w:rPr>
          <w:sz w:val="26"/>
          <w:szCs w:val="26"/>
        </w:rPr>
        <w:t xml:space="preserve">approved in the </w:t>
      </w:r>
      <w:r w:rsidR="004C1FDD">
        <w:rPr>
          <w:i/>
          <w:iCs/>
          <w:sz w:val="26"/>
          <w:szCs w:val="26"/>
        </w:rPr>
        <w:t>FirstEnergy DSP</w:t>
      </w:r>
      <w:r w:rsidR="004C1FDD" w:rsidRPr="00623A3B">
        <w:rPr>
          <w:i/>
          <w:iCs/>
          <w:sz w:val="26"/>
          <w:szCs w:val="26"/>
        </w:rPr>
        <w:t xml:space="preserve"> Order</w:t>
      </w:r>
      <w:r w:rsidR="004C1FDD" w:rsidRPr="00623A3B">
        <w:rPr>
          <w:sz w:val="26"/>
          <w:szCs w:val="26"/>
        </w:rPr>
        <w:t>, and provided details neces</w:t>
      </w:r>
      <w:r w:rsidR="004C1FDD">
        <w:rPr>
          <w:sz w:val="26"/>
          <w:szCs w:val="26"/>
        </w:rPr>
        <w:t>sary to implement such a program, in its Surrebuttal T</w:t>
      </w:r>
      <w:r w:rsidRPr="00623A3B">
        <w:rPr>
          <w:sz w:val="26"/>
          <w:szCs w:val="26"/>
        </w:rPr>
        <w:t xml:space="preserve">estimony filed </w:t>
      </w:r>
      <w:r w:rsidR="004C1FDD">
        <w:rPr>
          <w:sz w:val="26"/>
          <w:szCs w:val="26"/>
        </w:rPr>
        <w:t>on September 7, 2012.</w:t>
      </w:r>
      <w:r w:rsidRPr="00623A3B">
        <w:rPr>
          <w:sz w:val="26"/>
          <w:szCs w:val="26"/>
        </w:rPr>
        <w:t xml:space="preserve">  RESA explained </w:t>
      </w:r>
      <w:r w:rsidR="00F8248B">
        <w:rPr>
          <w:sz w:val="26"/>
          <w:szCs w:val="26"/>
        </w:rPr>
        <w:t xml:space="preserve">there were several </w:t>
      </w:r>
      <w:r w:rsidR="004C1FDD">
        <w:rPr>
          <w:sz w:val="26"/>
          <w:szCs w:val="26"/>
        </w:rPr>
        <w:t xml:space="preserve">benefits that an </w:t>
      </w:r>
      <w:r w:rsidRPr="00623A3B">
        <w:rPr>
          <w:sz w:val="26"/>
          <w:szCs w:val="26"/>
        </w:rPr>
        <w:t>aggregation program would provide to customers and EGSs.</w:t>
      </w:r>
      <w:r w:rsidR="004C1FDD">
        <w:rPr>
          <w:sz w:val="26"/>
          <w:szCs w:val="26"/>
        </w:rPr>
        <w:t xml:space="preserve"> </w:t>
      </w:r>
      <w:r w:rsidRPr="00623A3B">
        <w:rPr>
          <w:sz w:val="26"/>
          <w:szCs w:val="26"/>
        </w:rPr>
        <w:t>RESA suppor</w:t>
      </w:r>
      <w:r w:rsidR="004C1FDD">
        <w:rPr>
          <w:sz w:val="26"/>
          <w:szCs w:val="26"/>
        </w:rPr>
        <w:t xml:space="preserve">ts opt-in aggregation </w:t>
      </w:r>
      <w:r w:rsidRPr="00623A3B">
        <w:rPr>
          <w:sz w:val="26"/>
          <w:szCs w:val="26"/>
        </w:rPr>
        <w:t>program</w:t>
      </w:r>
      <w:r w:rsidR="004C1FDD">
        <w:rPr>
          <w:sz w:val="26"/>
          <w:szCs w:val="26"/>
        </w:rPr>
        <w:t>s and would like to see them</w:t>
      </w:r>
      <w:r w:rsidRPr="00623A3B">
        <w:rPr>
          <w:sz w:val="26"/>
          <w:szCs w:val="26"/>
        </w:rPr>
        <w:t xml:space="preserve"> adopted on a uniform basis in the service territories of all the EDCs with default service plans pending before the Commission.</w:t>
      </w:r>
      <w:r w:rsidRPr="00623A3B">
        <w:rPr>
          <w:rStyle w:val="FootnoteReference"/>
          <w:sz w:val="26"/>
          <w:szCs w:val="26"/>
        </w:rPr>
        <w:footnoteReference w:id="65"/>
      </w:r>
      <w:r>
        <w:rPr>
          <w:sz w:val="26"/>
          <w:szCs w:val="26"/>
        </w:rPr>
        <w:t xml:space="preserve"> </w:t>
      </w:r>
      <w:r w:rsidR="004C1FDD">
        <w:rPr>
          <w:sz w:val="26"/>
          <w:szCs w:val="26"/>
        </w:rPr>
        <w:t xml:space="preserve"> </w:t>
      </w:r>
      <w:r w:rsidR="00F8248B">
        <w:rPr>
          <w:i/>
          <w:sz w:val="26"/>
          <w:szCs w:val="26"/>
        </w:rPr>
        <w:t>Id.</w:t>
      </w:r>
      <w:r w:rsidR="00F8248B">
        <w:rPr>
          <w:sz w:val="26"/>
          <w:szCs w:val="26"/>
        </w:rPr>
        <w:t xml:space="preserve"> at 17.</w:t>
      </w:r>
      <w:r w:rsidR="004C1FDD">
        <w:rPr>
          <w:sz w:val="26"/>
          <w:szCs w:val="26"/>
        </w:rPr>
        <w:t xml:space="preserve"> </w:t>
      </w:r>
    </w:p>
    <w:p w:rsidR="00B353C4" w:rsidRDefault="00B353C4" w:rsidP="00F8248B">
      <w:pPr>
        <w:pStyle w:val="BodyText2"/>
        <w:spacing w:after="0" w:line="360" w:lineRule="auto"/>
        <w:ind w:firstLine="1440"/>
        <w:rPr>
          <w:sz w:val="26"/>
          <w:szCs w:val="26"/>
        </w:rPr>
      </w:pPr>
    </w:p>
    <w:p w:rsidR="00623A3B" w:rsidRPr="00F8248B" w:rsidRDefault="004C1FDD" w:rsidP="00D81A26">
      <w:pPr>
        <w:pStyle w:val="BodyText2"/>
        <w:spacing w:after="0" w:line="360" w:lineRule="auto"/>
        <w:ind w:firstLine="1440"/>
        <w:rPr>
          <w:sz w:val="26"/>
          <w:szCs w:val="26"/>
        </w:rPr>
      </w:pPr>
      <w:r>
        <w:rPr>
          <w:sz w:val="26"/>
          <w:szCs w:val="26"/>
        </w:rPr>
        <w:t>RESA argues that the</w:t>
      </w:r>
      <w:r w:rsidRPr="00623A3B">
        <w:rPr>
          <w:sz w:val="26"/>
          <w:szCs w:val="26"/>
        </w:rPr>
        <w:t xml:space="preserve"> </w:t>
      </w:r>
      <w:r w:rsidR="00623A3B" w:rsidRPr="00623A3B">
        <w:rPr>
          <w:sz w:val="26"/>
          <w:szCs w:val="26"/>
        </w:rPr>
        <w:t xml:space="preserve">four reasons </w:t>
      </w:r>
      <w:r>
        <w:rPr>
          <w:sz w:val="26"/>
          <w:szCs w:val="26"/>
        </w:rPr>
        <w:t xml:space="preserve">cited by the ALJ </w:t>
      </w:r>
      <w:r w:rsidR="00623A3B" w:rsidRPr="00623A3B">
        <w:rPr>
          <w:sz w:val="26"/>
          <w:szCs w:val="26"/>
        </w:rPr>
        <w:t>for her r</w:t>
      </w:r>
      <w:r>
        <w:rPr>
          <w:sz w:val="26"/>
          <w:szCs w:val="26"/>
        </w:rPr>
        <w:t xml:space="preserve">ecommendation to adopt Duquesne’s auction program were all </w:t>
      </w:r>
      <w:r w:rsidR="00623A3B" w:rsidRPr="00623A3B">
        <w:rPr>
          <w:sz w:val="26"/>
          <w:szCs w:val="26"/>
        </w:rPr>
        <w:t>flawed and should be rejected.</w:t>
      </w:r>
      <w:r>
        <w:rPr>
          <w:sz w:val="26"/>
          <w:szCs w:val="26"/>
        </w:rPr>
        <w:t xml:space="preserve">  First, </w:t>
      </w:r>
      <w:r w:rsidR="00F8248B">
        <w:rPr>
          <w:sz w:val="26"/>
          <w:szCs w:val="26"/>
        </w:rPr>
        <w:t xml:space="preserve">RESA asserts that </w:t>
      </w:r>
      <w:r>
        <w:rPr>
          <w:sz w:val="26"/>
          <w:szCs w:val="26"/>
        </w:rPr>
        <w:t xml:space="preserve">there is no </w:t>
      </w:r>
      <w:r w:rsidR="00623A3B" w:rsidRPr="00623A3B">
        <w:rPr>
          <w:sz w:val="26"/>
          <w:szCs w:val="26"/>
        </w:rPr>
        <w:t>reason to suggest that Duquesne should adopt an auction program simply b</w:t>
      </w:r>
      <w:r>
        <w:rPr>
          <w:sz w:val="26"/>
          <w:szCs w:val="26"/>
        </w:rPr>
        <w:t>ecause it has experienced high</w:t>
      </w:r>
      <w:r w:rsidR="00623A3B" w:rsidRPr="00623A3B">
        <w:rPr>
          <w:sz w:val="26"/>
          <w:szCs w:val="26"/>
        </w:rPr>
        <w:t xml:space="preserve"> </w:t>
      </w:r>
      <w:r>
        <w:rPr>
          <w:sz w:val="26"/>
          <w:szCs w:val="26"/>
        </w:rPr>
        <w:t>levels of residential shopping</w:t>
      </w:r>
      <w:r w:rsidR="00623A3B" w:rsidRPr="00623A3B">
        <w:rPr>
          <w:sz w:val="26"/>
          <w:szCs w:val="26"/>
        </w:rPr>
        <w:t xml:space="preserve">.  </w:t>
      </w:r>
      <w:r w:rsidR="00F8248B">
        <w:rPr>
          <w:sz w:val="26"/>
          <w:szCs w:val="26"/>
        </w:rPr>
        <w:t>RESA notes that e</w:t>
      </w:r>
      <w:r w:rsidR="00623A3B" w:rsidRPr="00623A3B">
        <w:rPr>
          <w:sz w:val="26"/>
          <w:szCs w:val="26"/>
        </w:rPr>
        <w:t>ven though 42.9% of Duquesne’s residential customers had shopped as of November 21, 2012, there are still approximately 300,000 customers on default service.</w:t>
      </w:r>
      <w:r w:rsidR="00623A3B" w:rsidRPr="00623A3B">
        <w:rPr>
          <w:rStyle w:val="FootnoteReference"/>
          <w:sz w:val="26"/>
          <w:szCs w:val="26"/>
        </w:rPr>
        <w:footnoteReference w:id="66"/>
      </w:r>
      <w:r w:rsidR="00B353C4">
        <w:rPr>
          <w:sz w:val="26"/>
          <w:szCs w:val="26"/>
        </w:rPr>
        <w:t xml:space="preserve">  RESA submits that a</w:t>
      </w:r>
      <w:r w:rsidR="00623A3B" w:rsidRPr="00623A3B">
        <w:rPr>
          <w:sz w:val="26"/>
          <w:szCs w:val="26"/>
        </w:rPr>
        <w:t>n aggregation program will do more to entice both customers and EG</w:t>
      </w:r>
      <w:r w:rsidR="00623A3B">
        <w:rPr>
          <w:sz w:val="26"/>
          <w:szCs w:val="26"/>
        </w:rPr>
        <w:t xml:space="preserve">Ss to participate.  </w:t>
      </w:r>
      <w:r w:rsidR="00623A3B" w:rsidRPr="00623A3B">
        <w:rPr>
          <w:sz w:val="26"/>
          <w:szCs w:val="26"/>
        </w:rPr>
        <w:t xml:space="preserve">Second, </w:t>
      </w:r>
      <w:r w:rsidR="00F8248B">
        <w:rPr>
          <w:sz w:val="26"/>
          <w:szCs w:val="26"/>
        </w:rPr>
        <w:t xml:space="preserve">RESA avers that </w:t>
      </w:r>
      <w:r w:rsidR="00623A3B" w:rsidRPr="00623A3B">
        <w:rPr>
          <w:sz w:val="26"/>
          <w:szCs w:val="26"/>
        </w:rPr>
        <w:t xml:space="preserve">the record does not support </w:t>
      </w:r>
      <w:r w:rsidR="00623A3B" w:rsidRPr="00623A3B">
        <w:rPr>
          <w:sz w:val="26"/>
          <w:szCs w:val="26"/>
        </w:rPr>
        <w:lastRenderedPageBreak/>
        <w:t>the ALJ’s finding that an agg</w:t>
      </w:r>
      <w:r w:rsidR="00B353C4">
        <w:rPr>
          <w:sz w:val="26"/>
          <w:szCs w:val="26"/>
        </w:rPr>
        <w:t>regation program will result in</w:t>
      </w:r>
      <w:r w:rsidR="00623A3B" w:rsidRPr="00623A3B">
        <w:rPr>
          <w:sz w:val="26"/>
          <w:szCs w:val="26"/>
        </w:rPr>
        <w:t xml:space="preserve"> lower participation than an auctio</w:t>
      </w:r>
      <w:r w:rsidR="00B353C4">
        <w:rPr>
          <w:sz w:val="26"/>
          <w:szCs w:val="26"/>
        </w:rPr>
        <w:t xml:space="preserve">n.  </w:t>
      </w:r>
      <w:r w:rsidR="00F8248B">
        <w:rPr>
          <w:sz w:val="26"/>
          <w:szCs w:val="26"/>
        </w:rPr>
        <w:t>RESA notes that a</w:t>
      </w:r>
      <w:r w:rsidR="00B353C4">
        <w:rPr>
          <w:sz w:val="26"/>
          <w:szCs w:val="26"/>
        </w:rPr>
        <w:t>lthough it is not clear</w:t>
      </w:r>
      <w:r w:rsidR="00623A3B" w:rsidRPr="00623A3B">
        <w:rPr>
          <w:sz w:val="26"/>
          <w:szCs w:val="26"/>
        </w:rPr>
        <w:t>, the ALJ may have based this finding on her recommendations relating to the appropriate discount rate, bonus payme</w:t>
      </w:r>
      <w:r w:rsidR="00B353C4">
        <w:rPr>
          <w:sz w:val="26"/>
          <w:szCs w:val="26"/>
        </w:rPr>
        <w:t xml:space="preserve">nt, and guaranteed savings.  Third, </w:t>
      </w:r>
      <w:r w:rsidR="00F8248B">
        <w:rPr>
          <w:sz w:val="26"/>
          <w:szCs w:val="26"/>
        </w:rPr>
        <w:t xml:space="preserve">RESA asserts that </w:t>
      </w:r>
      <w:r w:rsidR="00623A3B">
        <w:rPr>
          <w:sz w:val="26"/>
          <w:szCs w:val="26"/>
        </w:rPr>
        <w:t>the ALJ cited</w:t>
      </w:r>
      <w:r w:rsidR="00B353C4">
        <w:rPr>
          <w:sz w:val="26"/>
          <w:szCs w:val="26"/>
        </w:rPr>
        <w:t xml:space="preserve"> </w:t>
      </w:r>
      <w:r w:rsidR="00623A3B" w:rsidRPr="00623A3B">
        <w:rPr>
          <w:sz w:val="26"/>
          <w:szCs w:val="26"/>
        </w:rPr>
        <w:t>Duquesne’</w:t>
      </w:r>
      <w:r w:rsidR="00B353C4">
        <w:rPr>
          <w:sz w:val="26"/>
          <w:szCs w:val="26"/>
        </w:rPr>
        <w:t xml:space="preserve">s </w:t>
      </w:r>
      <w:r w:rsidR="00623A3B" w:rsidRPr="00623A3B">
        <w:rPr>
          <w:sz w:val="26"/>
          <w:szCs w:val="26"/>
        </w:rPr>
        <w:t>concerns that would need to be addressed before implementing an aggregation program</w:t>
      </w:r>
      <w:r w:rsidR="00B353C4">
        <w:rPr>
          <w:sz w:val="26"/>
          <w:szCs w:val="26"/>
        </w:rPr>
        <w:t xml:space="preserve">.  RESA states that </w:t>
      </w:r>
      <w:r w:rsidR="00413BF1">
        <w:rPr>
          <w:sz w:val="26"/>
          <w:szCs w:val="26"/>
        </w:rPr>
        <w:t>t</w:t>
      </w:r>
      <w:r w:rsidR="00623A3B" w:rsidRPr="00623A3B">
        <w:rPr>
          <w:sz w:val="26"/>
          <w:szCs w:val="26"/>
        </w:rPr>
        <w:t xml:space="preserve">he ALJ is wrong, as RESA’s testimony addressed these concerns.  </w:t>
      </w:r>
      <w:r w:rsidR="00B353C4">
        <w:rPr>
          <w:sz w:val="26"/>
          <w:szCs w:val="26"/>
        </w:rPr>
        <w:t>RESA submits that</w:t>
      </w:r>
      <w:r w:rsidR="00623A3B" w:rsidRPr="00623A3B">
        <w:rPr>
          <w:sz w:val="26"/>
          <w:szCs w:val="26"/>
        </w:rPr>
        <w:t>, in any event, none of these are the types of issues that should cause the Commission to deviate from its policy in favor of aggregation.</w:t>
      </w:r>
      <w:r w:rsidR="00B353C4">
        <w:rPr>
          <w:sz w:val="26"/>
          <w:szCs w:val="26"/>
        </w:rPr>
        <w:t xml:space="preserve">  Fourth, </w:t>
      </w:r>
      <w:r w:rsidR="00413BF1">
        <w:rPr>
          <w:sz w:val="26"/>
          <w:szCs w:val="26"/>
        </w:rPr>
        <w:t xml:space="preserve">with regard to the </w:t>
      </w:r>
      <w:r w:rsidR="00B353C4">
        <w:rPr>
          <w:sz w:val="26"/>
          <w:szCs w:val="26"/>
        </w:rPr>
        <w:t>ALJ</w:t>
      </w:r>
      <w:r w:rsidR="00413BF1">
        <w:rPr>
          <w:sz w:val="26"/>
          <w:szCs w:val="26"/>
        </w:rPr>
        <w:t>’s</w:t>
      </w:r>
      <w:r w:rsidR="00B353C4">
        <w:rPr>
          <w:sz w:val="26"/>
          <w:szCs w:val="26"/>
        </w:rPr>
        <w:t xml:space="preserve"> conclu</w:t>
      </w:r>
      <w:r w:rsidR="00413BF1">
        <w:rPr>
          <w:sz w:val="26"/>
          <w:szCs w:val="26"/>
        </w:rPr>
        <w:t>sion</w:t>
      </w:r>
      <w:r w:rsidR="00B353C4">
        <w:rPr>
          <w:sz w:val="26"/>
          <w:szCs w:val="26"/>
        </w:rPr>
        <w:t xml:space="preserve"> that P</w:t>
      </w:r>
      <w:r w:rsidR="00623A3B" w:rsidRPr="00623A3B">
        <w:rPr>
          <w:sz w:val="26"/>
          <w:szCs w:val="26"/>
        </w:rPr>
        <w:t>arties were deprived of due process by not b</w:t>
      </w:r>
      <w:r w:rsidR="00B353C4">
        <w:rPr>
          <w:sz w:val="26"/>
          <w:szCs w:val="26"/>
        </w:rPr>
        <w:t>eing able to respond to RESA’s Surrebuttal Testimony</w:t>
      </w:r>
      <w:r w:rsidR="00413BF1">
        <w:rPr>
          <w:sz w:val="26"/>
          <w:szCs w:val="26"/>
        </w:rPr>
        <w:t>,</w:t>
      </w:r>
      <w:r w:rsidR="00B353C4">
        <w:rPr>
          <w:sz w:val="26"/>
          <w:szCs w:val="26"/>
        </w:rPr>
        <w:t xml:space="preserve">  RESA argues that a</w:t>
      </w:r>
      <w:r w:rsidR="008F53E0">
        <w:rPr>
          <w:sz w:val="26"/>
          <w:szCs w:val="26"/>
        </w:rPr>
        <w:t>ny P</w:t>
      </w:r>
      <w:r w:rsidR="00623A3B" w:rsidRPr="00623A3B">
        <w:rPr>
          <w:sz w:val="26"/>
          <w:szCs w:val="26"/>
        </w:rPr>
        <w:t>arty could have cross examine</w:t>
      </w:r>
      <w:r w:rsidR="008F53E0">
        <w:rPr>
          <w:sz w:val="26"/>
          <w:szCs w:val="26"/>
        </w:rPr>
        <w:t>d RESA’s witness at the hearing</w:t>
      </w:r>
      <w:r w:rsidR="00623A3B" w:rsidRPr="00623A3B">
        <w:rPr>
          <w:sz w:val="26"/>
          <w:szCs w:val="26"/>
        </w:rPr>
        <w:t>, or sought to file rejoinder or have its own witness address th</w:t>
      </w:r>
      <w:r w:rsidR="008F53E0">
        <w:rPr>
          <w:sz w:val="26"/>
          <w:szCs w:val="26"/>
        </w:rPr>
        <w:t>e issue at the hearing, but no P</w:t>
      </w:r>
      <w:r w:rsidR="00623A3B" w:rsidRPr="00623A3B">
        <w:rPr>
          <w:sz w:val="26"/>
          <w:szCs w:val="26"/>
        </w:rPr>
        <w:t xml:space="preserve">arty elected to do </w:t>
      </w:r>
      <w:r w:rsidR="008F53E0">
        <w:rPr>
          <w:sz w:val="26"/>
          <w:szCs w:val="26"/>
        </w:rPr>
        <w:t xml:space="preserve">so even after receiving RESA’s Surrebuttal Testimony.  </w:t>
      </w:r>
      <w:r w:rsidR="00623A3B" w:rsidRPr="00623A3B">
        <w:rPr>
          <w:sz w:val="26"/>
          <w:szCs w:val="26"/>
        </w:rPr>
        <w:t>For these reasons, RESA requests that th</w:t>
      </w:r>
      <w:r w:rsidR="00473A03">
        <w:rPr>
          <w:sz w:val="26"/>
          <w:szCs w:val="26"/>
        </w:rPr>
        <w:t>e Commission adopt RESA’s Opt-In</w:t>
      </w:r>
      <w:r w:rsidR="008F53E0">
        <w:rPr>
          <w:sz w:val="26"/>
          <w:szCs w:val="26"/>
        </w:rPr>
        <w:t xml:space="preserve"> aggregation proposal</w:t>
      </w:r>
      <w:r w:rsidR="005577ED">
        <w:rPr>
          <w:sz w:val="26"/>
          <w:szCs w:val="26"/>
        </w:rPr>
        <w:t>.</w:t>
      </w:r>
      <w:r w:rsidR="00F8248B">
        <w:rPr>
          <w:sz w:val="26"/>
          <w:szCs w:val="26"/>
        </w:rPr>
        <w:t xml:space="preserve">  </w:t>
      </w:r>
      <w:r w:rsidR="00F8248B">
        <w:rPr>
          <w:i/>
          <w:sz w:val="26"/>
          <w:szCs w:val="26"/>
        </w:rPr>
        <w:t xml:space="preserve">Id. </w:t>
      </w:r>
      <w:r w:rsidR="00F8248B">
        <w:rPr>
          <w:sz w:val="26"/>
          <w:szCs w:val="26"/>
        </w:rPr>
        <w:t xml:space="preserve">at </w:t>
      </w:r>
      <w:r w:rsidR="00207439">
        <w:rPr>
          <w:sz w:val="26"/>
          <w:szCs w:val="26"/>
        </w:rPr>
        <w:t>18-21.</w:t>
      </w:r>
    </w:p>
    <w:p w:rsidR="006D4D99" w:rsidRPr="00ED5D2F" w:rsidRDefault="006D4D99" w:rsidP="00D81A26">
      <w:pPr>
        <w:pStyle w:val="BodyText2"/>
        <w:spacing w:after="0" w:line="360" w:lineRule="auto"/>
        <w:rPr>
          <w:sz w:val="26"/>
          <w:szCs w:val="26"/>
        </w:rPr>
      </w:pPr>
    </w:p>
    <w:p w:rsidR="006D4D99" w:rsidRDefault="008F2DA8" w:rsidP="00115AB3">
      <w:pPr>
        <w:pStyle w:val="Heading5"/>
        <w:numPr>
          <w:ilvl w:val="0"/>
          <w:numId w:val="0"/>
        </w:numPr>
        <w:ind w:left="3600" w:hanging="720"/>
      </w:pPr>
      <w:bookmarkStart w:id="74" w:name="_Toc346705316"/>
      <w:r w:rsidRPr="00EE5722">
        <w:t>v</w:t>
      </w:r>
      <w:r w:rsidR="00ED5D2F">
        <w:t>.</w:t>
      </w:r>
      <w:r w:rsidR="00ED5D2F">
        <w:tab/>
        <w:t>Reply Exceptions</w:t>
      </w:r>
      <w:bookmarkEnd w:id="74"/>
    </w:p>
    <w:p w:rsidR="00EC2B29" w:rsidRPr="003C7FAA" w:rsidRDefault="00EC2B29" w:rsidP="008A7D66">
      <w:pPr>
        <w:pStyle w:val="BriefL3"/>
        <w:numPr>
          <w:ilvl w:val="0"/>
          <w:numId w:val="0"/>
        </w:numPr>
        <w:spacing w:after="0" w:line="360" w:lineRule="auto"/>
        <w:ind w:left="1440" w:firstLine="1440"/>
        <w:rPr>
          <w:b/>
          <w:sz w:val="26"/>
          <w:szCs w:val="26"/>
        </w:rPr>
      </w:pPr>
    </w:p>
    <w:p w:rsidR="00BB3226" w:rsidRPr="00435F47" w:rsidRDefault="00BB3226" w:rsidP="00D81A26">
      <w:pPr>
        <w:pStyle w:val="BodyText2"/>
        <w:spacing w:after="0" w:line="360" w:lineRule="auto"/>
        <w:ind w:firstLine="1440"/>
        <w:rPr>
          <w:sz w:val="26"/>
          <w:szCs w:val="26"/>
        </w:rPr>
      </w:pPr>
      <w:r w:rsidRPr="00EC2B29">
        <w:rPr>
          <w:sz w:val="26"/>
          <w:szCs w:val="26"/>
        </w:rPr>
        <w:t>In its Reply Exceptions, Duquesne argues that the ALJ’s recommendation to app</w:t>
      </w:r>
      <w:r w:rsidR="00435F47">
        <w:rPr>
          <w:sz w:val="26"/>
          <w:szCs w:val="26"/>
        </w:rPr>
        <w:t xml:space="preserve">rove its proposed auction </w:t>
      </w:r>
      <w:r w:rsidRPr="00EC2B29">
        <w:rPr>
          <w:sz w:val="26"/>
          <w:szCs w:val="26"/>
        </w:rPr>
        <w:t>for the Opt-In Program, rather than an aggregation program, should be adopted.  Duquesne understands that the Commission has adopted an aggregation Opt-In P</w:t>
      </w:r>
      <w:r w:rsidR="008F53E0">
        <w:rPr>
          <w:sz w:val="26"/>
          <w:szCs w:val="26"/>
        </w:rPr>
        <w:t xml:space="preserve">rogram in both the FirstEnergy and </w:t>
      </w:r>
      <w:r w:rsidRPr="00EC2B29">
        <w:rPr>
          <w:sz w:val="26"/>
          <w:szCs w:val="26"/>
        </w:rPr>
        <w:t>PECO d</w:t>
      </w:r>
      <w:r w:rsidR="008F53E0">
        <w:rPr>
          <w:sz w:val="26"/>
          <w:szCs w:val="26"/>
        </w:rPr>
        <w:t>efault service proceedings</w:t>
      </w:r>
      <w:r w:rsidRPr="00EC2B29">
        <w:rPr>
          <w:sz w:val="26"/>
          <w:szCs w:val="26"/>
        </w:rPr>
        <w:t xml:space="preserve">.  However, Duquesne believes that issuing an RFP </w:t>
      </w:r>
      <w:r w:rsidR="008F53E0">
        <w:rPr>
          <w:sz w:val="26"/>
          <w:szCs w:val="26"/>
        </w:rPr>
        <w:t>for its</w:t>
      </w:r>
      <w:r w:rsidRPr="00EC2B29">
        <w:rPr>
          <w:sz w:val="26"/>
          <w:szCs w:val="26"/>
        </w:rPr>
        <w:t xml:space="preserve"> Opt-In Program is a reasonable approach because:  (1) the RFP proposed by Duquesne is low cost</w:t>
      </w:r>
      <w:r w:rsidR="00413BF1">
        <w:rPr>
          <w:sz w:val="26"/>
          <w:szCs w:val="26"/>
        </w:rPr>
        <w:t>;</w:t>
      </w:r>
      <w:r w:rsidRPr="00EC2B29">
        <w:rPr>
          <w:sz w:val="26"/>
          <w:szCs w:val="26"/>
        </w:rPr>
        <w:t xml:space="preserve"> (2) the RFP approach may produce greater savings for customers</w:t>
      </w:r>
      <w:r w:rsidR="00413BF1">
        <w:rPr>
          <w:sz w:val="26"/>
          <w:szCs w:val="26"/>
        </w:rPr>
        <w:t>;</w:t>
      </w:r>
      <w:r w:rsidRPr="00EC2B29">
        <w:rPr>
          <w:sz w:val="26"/>
          <w:szCs w:val="26"/>
        </w:rPr>
        <w:t xml:space="preserve"> (3) the RFP produces a competitive versus an administratively-determined price</w:t>
      </w:r>
      <w:r w:rsidR="00413BF1">
        <w:rPr>
          <w:sz w:val="26"/>
          <w:szCs w:val="26"/>
        </w:rPr>
        <w:t>;</w:t>
      </w:r>
      <w:r w:rsidRPr="00EC2B29">
        <w:rPr>
          <w:sz w:val="26"/>
          <w:szCs w:val="26"/>
        </w:rPr>
        <w:t xml:space="preserve"> and (4) the proposed 50% load cap for the RFP will prevent a single EGS from dominating the </w:t>
      </w:r>
      <w:r w:rsidR="00413BF1">
        <w:rPr>
          <w:sz w:val="26"/>
          <w:szCs w:val="26"/>
        </w:rPr>
        <w:t>P</w:t>
      </w:r>
      <w:r w:rsidRPr="00EC2B29">
        <w:rPr>
          <w:sz w:val="26"/>
          <w:szCs w:val="26"/>
        </w:rPr>
        <w:t xml:space="preserve">rogram.  </w:t>
      </w:r>
      <w:r w:rsidR="00435F47">
        <w:rPr>
          <w:sz w:val="26"/>
          <w:szCs w:val="26"/>
        </w:rPr>
        <w:t>Duquesne R.Exc. at 14-15.</w:t>
      </w:r>
    </w:p>
    <w:p w:rsidR="00AE5B46" w:rsidRPr="00EC2B29" w:rsidRDefault="00026DA4" w:rsidP="00D81A26">
      <w:pPr>
        <w:spacing w:line="360" w:lineRule="auto"/>
        <w:ind w:firstLine="1440"/>
        <w:rPr>
          <w:sz w:val="26"/>
          <w:szCs w:val="26"/>
        </w:rPr>
      </w:pPr>
      <w:r w:rsidRPr="00EC2B29">
        <w:rPr>
          <w:sz w:val="26"/>
          <w:szCs w:val="26"/>
        </w:rPr>
        <w:tab/>
      </w:r>
    </w:p>
    <w:p w:rsidR="003C7FAA" w:rsidRPr="003C7FAA" w:rsidRDefault="003C7FAA" w:rsidP="003C10F9">
      <w:pPr>
        <w:pStyle w:val="BodyTextFirstLine5DS"/>
        <w:spacing w:line="360" w:lineRule="auto"/>
        <w:ind w:firstLine="1440"/>
        <w:jc w:val="left"/>
        <w:rPr>
          <w:sz w:val="26"/>
          <w:szCs w:val="26"/>
        </w:rPr>
      </w:pPr>
      <w:r w:rsidRPr="003C7FAA">
        <w:rPr>
          <w:sz w:val="26"/>
          <w:szCs w:val="26"/>
        </w:rPr>
        <w:lastRenderedPageBreak/>
        <w:t>In its Reply Exceptions, FES argues that the ALJ correctly recommended approval o</w:t>
      </w:r>
      <w:r w:rsidR="00D81A26">
        <w:rPr>
          <w:sz w:val="26"/>
          <w:szCs w:val="26"/>
        </w:rPr>
        <w:t xml:space="preserve">f </w:t>
      </w:r>
      <w:r w:rsidR="008F53E0">
        <w:rPr>
          <w:sz w:val="26"/>
          <w:szCs w:val="26"/>
        </w:rPr>
        <w:t>Duquesne’s proposed a</w:t>
      </w:r>
      <w:r w:rsidRPr="003C7FAA">
        <w:rPr>
          <w:sz w:val="26"/>
          <w:szCs w:val="26"/>
        </w:rPr>
        <w:t xml:space="preserve">uction </w:t>
      </w:r>
      <w:r w:rsidR="008F53E0">
        <w:rPr>
          <w:sz w:val="26"/>
          <w:szCs w:val="26"/>
        </w:rPr>
        <w:t>for the Opt-In</w:t>
      </w:r>
      <w:r w:rsidR="004439BD">
        <w:rPr>
          <w:sz w:val="26"/>
          <w:szCs w:val="26"/>
        </w:rPr>
        <w:t xml:space="preserve"> </w:t>
      </w:r>
      <w:r w:rsidRPr="003C7FAA">
        <w:rPr>
          <w:sz w:val="26"/>
          <w:szCs w:val="26"/>
        </w:rPr>
        <w:t>Program, and rejec</w:t>
      </w:r>
      <w:r w:rsidR="008F53E0">
        <w:rPr>
          <w:sz w:val="26"/>
          <w:szCs w:val="26"/>
        </w:rPr>
        <w:t xml:space="preserve">tion of RESA’s proposed aggregation model.  </w:t>
      </w:r>
      <w:r w:rsidR="00E00AB0">
        <w:rPr>
          <w:sz w:val="26"/>
          <w:szCs w:val="26"/>
        </w:rPr>
        <w:t>FES asserts that, w</w:t>
      </w:r>
      <w:r w:rsidRPr="003C7FAA">
        <w:rPr>
          <w:sz w:val="26"/>
          <w:szCs w:val="26"/>
        </w:rPr>
        <w:t xml:space="preserve">ithout a bidding competition, the price </w:t>
      </w:r>
      <w:r w:rsidR="00E00AB0">
        <w:rPr>
          <w:sz w:val="26"/>
          <w:szCs w:val="26"/>
        </w:rPr>
        <w:t>to participating customers will</w:t>
      </w:r>
      <w:r w:rsidRPr="003C7FAA">
        <w:rPr>
          <w:sz w:val="26"/>
          <w:szCs w:val="26"/>
        </w:rPr>
        <w:t xml:space="preserve"> not provide the maximum savings, the program would not deliver any benefits of r</w:t>
      </w:r>
      <w:r>
        <w:rPr>
          <w:sz w:val="26"/>
          <w:szCs w:val="26"/>
        </w:rPr>
        <w:t xml:space="preserve">etail competition, and to date </w:t>
      </w:r>
      <w:r w:rsidRPr="003C7FAA">
        <w:rPr>
          <w:sz w:val="26"/>
          <w:szCs w:val="26"/>
        </w:rPr>
        <w:t>there is no clear methodology for allocating customers among participating suppliers.  Consistent with this position, FES submits that the product should continue to be priced "at least" 5% below the PTC, as determined by a competitive bidding process, since there needs to be a clear and sustained benefit to the customer for participation in the program.  FES submits that RESA’s Exception should be denied.</w:t>
      </w:r>
      <w:r w:rsidR="00D81A26">
        <w:rPr>
          <w:sz w:val="26"/>
          <w:szCs w:val="26"/>
        </w:rPr>
        <w:t xml:space="preserve">  </w:t>
      </w:r>
      <w:r w:rsidR="00D81A26" w:rsidRPr="003C7FAA">
        <w:rPr>
          <w:sz w:val="26"/>
          <w:szCs w:val="26"/>
        </w:rPr>
        <w:t>FE</w:t>
      </w:r>
      <w:r w:rsidR="00D81A26">
        <w:rPr>
          <w:sz w:val="26"/>
          <w:szCs w:val="26"/>
        </w:rPr>
        <w:t xml:space="preserve">S R.Exc. at 15-16.  </w:t>
      </w:r>
    </w:p>
    <w:p w:rsidR="006D4D99" w:rsidRPr="00EE5722" w:rsidRDefault="006D4D99" w:rsidP="003C10F9">
      <w:pPr>
        <w:pStyle w:val="BriefL3"/>
        <w:numPr>
          <w:ilvl w:val="0"/>
          <w:numId w:val="0"/>
        </w:numPr>
        <w:spacing w:after="0" w:line="360" w:lineRule="auto"/>
        <w:rPr>
          <w:b/>
          <w:sz w:val="26"/>
          <w:szCs w:val="26"/>
        </w:rPr>
      </w:pPr>
    </w:p>
    <w:p w:rsidR="00617453" w:rsidRPr="00EE5722" w:rsidRDefault="008F2DA8" w:rsidP="00115AB3">
      <w:pPr>
        <w:pStyle w:val="Heading5"/>
        <w:numPr>
          <w:ilvl w:val="0"/>
          <w:numId w:val="0"/>
        </w:numPr>
        <w:ind w:left="3600" w:hanging="720"/>
        <w:rPr>
          <w:u w:val="single"/>
        </w:rPr>
      </w:pPr>
      <w:bookmarkStart w:id="75" w:name="_Toc346705317"/>
      <w:r w:rsidRPr="00EE5722">
        <w:t>vi</w:t>
      </w:r>
      <w:r w:rsidR="00ED5D2F">
        <w:t>.</w:t>
      </w:r>
      <w:r w:rsidR="00ED5D2F">
        <w:tab/>
        <w:t>Disposition</w:t>
      </w:r>
      <w:bookmarkEnd w:id="75"/>
    </w:p>
    <w:p w:rsidR="00F2262D" w:rsidRPr="00BA3DD7" w:rsidRDefault="00F2262D" w:rsidP="00BA3DD7">
      <w:pPr>
        <w:autoSpaceDE/>
        <w:autoSpaceDN/>
        <w:rPr>
          <w:sz w:val="26"/>
          <w:szCs w:val="26"/>
        </w:rPr>
      </w:pPr>
    </w:p>
    <w:p w:rsidR="008229A6" w:rsidRDefault="008F2670" w:rsidP="003C10F9">
      <w:pPr>
        <w:pStyle w:val="BriefL3"/>
        <w:numPr>
          <w:ilvl w:val="0"/>
          <w:numId w:val="0"/>
        </w:numPr>
        <w:spacing w:after="0" w:line="360" w:lineRule="auto"/>
        <w:ind w:firstLine="1440"/>
        <w:outlineLvl w:val="9"/>
        <w:rPr>
          <w:sz w:val="26"/>
          <w:szCs w:val="26"/>
        </w:rPr>
      </w:pPr>
      <w:r>
        <w:rPr>
          <w:sz w:val="26"/>
          <w:szCs w:val="26"/>
        </w:rPr>
        <w:t xml:space="preserve">In consideration of the record developed in this proceeding, as well as our prior determinations in the </w:t>
      </w:r>
      <w:r>
        <w:rPr>
          <w:i/>
          <w:sz w:val="26"/>
          <w:szCs w:val="26"/>
        </w:rPr>
        <w:t>FirstEnergy</w:t>
      </w:r>
      <w:r>
        <w:rPr>
          <w:sz w:val="26"/>
          <w:szCs w:val="26"/>
        </w:rPr>
        <w:t xml:space="preserve"> </w:t>
      </w:r>
      <w:r w:rsidR="003C10F9">
        <w:rPr>
          <w:i/>
          <w:sz w:val="26"/>
          <w:szCs w:val="26"/>
        </w:rPr>
        <w:t xml:space="preserve">DSP </w:t>
      </w:r>
      <w:r>
        <w:rPr>
          <w:sz w:val="26"/>
          <w:szCs w:val="26"/>
        </w:rPr>
        <w:t xml:space="preserve">and </w:t>
      </w:r>
      <w:r>
        <w:rPr>
          <w:i/>
          <w:sz w:val="26"/>
          <w:szCs w:val="26"/>
        </w:rPr>
        <w:t>PECO</w:t>
      </w:r>
      <w:r w:rsidRPr="008F2670">
        <w:rPr>
          <w:i/>
          <w:sz w:val="26"/>
          <w:szCs w:val="26"/>
        </w:rPr>
        <w:t xml:space="preserve"> DSP Orders</w:t>
      </w:r>
      <w:r>
        <w:rPr>
          <w:sz w:val="26"/>
          <w:szCs w:val="26"/>
        </w:rPr>
        <w:t xml:space="preserve">, we conclude that the ALJ’s recommendation to adopt Duquesne’s proposed auction for its Opt-In Program should be rejected.  Instead, we direct Duquesne to develop a twelve-month </w:t>
      </w:r>
      <w:r w:rsidR="003C10F9">
        <w:rPr>
          <w:sz w:val="26"/>
          <w:szCs w:val="26"/>
        </w:rPr>
        <w:t xml:space="preserve">Opt-In </w:t>
      </w:r>
      <w:r w:rsidR="00413BF1">
        <w:rPr>
          <w:sz w:val="26"/>
          <w:szCs w:val="26"/>
        </w:rPr>
        <w:t>Program</w:t>
      </w:r>
      <w:r w:rsidR="003C10F9">
        <w:rPr>
          <w:sz w:val="26"/>
          <w:szCs w:val="26"/>
        </w:rPr>
        <w:t xml:space="preserve">, </w:t>
      </w:r>
      <w:r w:rsidR="00E06A60">
        <w:rPr>
          <w:sz w:val="26"/>
          <w:szCs w:val="26"/>
        </w:rPr>
        <w:t xml:space="preserve">with a product </w:t>
      </w:r>
      <w:r w:rsidR="003C10F9">
        <w:rPr>
          <w:sz w:val="26"/>
          <w:szCs w:val="26"/>
        </w:rPr>
        <w:t>comprised of a four</w:t>
      </w:r>
      <w:r>
        <w:rPr>
          <w:sz w:val="26"/>
          <w:szCs w:val="26"/>
        </w:rPr>
        <w:t>-month guaranteed discount of 5% from the PTC in effect at the time of enrollment, an EGS-provided fixed-p</w:t>
      </w:r>
      <w:r w:rsidR="003C10F9">
        <w:rPr>
          <w:sz w:val="26"/>
          <w:szCs w:val="26"/>
        </w:rPr>
        <w:t>rice product for the remaining eight</w:t>
      </w:r>
      <w:r>
        <w:rPr>
          <w:sz w:val="26"/>
          <w:szCs w:val="26"/>
        </w:rPr>
        <w:t xml:space="preserve"> months, and a bonus of $50 to customers who remain in the Opt-In Pr</w:t>
      </w:r>
      <w:r w:rsidR="003C10F9">
        <w:rPr>
          <w:sz w:val="26"/>
          <w:szCs w:val="26"/>
        </w:rPr>
        <w:t>ogram for at least the initial four</w:t>
      </w:r>
      <w:r>
        <w:rPr>
          <w:sz w:val="26"/>
          <w:szCs w:val="26"/>
        </w:rPr>
        <w:noBreakHyphen/>
        <w:t xml:space="preserve">month period.  </w:t>
      </w:r>
    </w:p>
    <w:p w:rsidR="008229A6" w:rsidRDefault="008229A6" w:rsidP="003C10F9">
      <w:pPr>
        <w:pStyle w:val="BriefL3"/>
        <w:numPr>
          <w:ilvl w:val="0"/>
          <w:numId w:val="0"/>
        </w:numPr>
        <w:spacing w:after="0" w:line="360" w:lineRule="auto"/>
        <w:ind w:firstLine="1440"/>
        <w:outlineLvl w:val="9"/>
        <w:rPr>
          <w:sz w:val="26"/>
          <w:szCs w:val="26"/>
        </w:rPr>
      </w:pPr>
    </w:p>
    <w:p w:rsidR="008229A6" w:rsidRDefault="008F2670" w:rsidP="003C10F9">
      <w:pPr>
        <w:pStyle w:val="BriefL3"/>
        <w:numPr>
          <w:ilvl w:val="0"/>
          <w:numId w:val="0"/>
        </w:numPr>
        <w:spacing w:after="0" w:line="360" w:lineRule="auto"/>
        <w:ind w:firstLine="1440"/>
        <w:outlineLvl w:val="9"/>
        <w:rPr>
          <w:sz w:val="26"/>
          <w:szCs w:val="26"/>
        </w:rPr>
      </w:pPr>
      <w:r>
        <w:rPr>
          <w:sz w:val="26"/>
          <w:szCs w:val="26"/>
        </w:rPr>
        <w:t xml:space="preserve">So that the Commission can effectively </w:t>
      </w:r>
      <w:r w:rsidR="00646F9B">
        <w:rPr>
          <w:sz w:val="26"/>
          <w:szCs w:val="26"/>
        </w:rPr>
        <w:t xml:space="preserve">monitor </w:t>
      </w:r>
      <w:r>
        <w:rPr>
          <w:sz w:val="26"/>
          <w:szCs w:val="26"/>
        </w:rPr>
        <w:t xml:space="preserve">the terms of this program, we will require that participating EGSs </w:t>
      </w:r>
      <w:r w:rsidR="008229A6">
        <w:rPr>
          <w:sz w:val="26"/>
          <w:szCs w:val="26"/>
        </w:rPr>
        <w:t xml:space="preserve">file the terms and conditions of their eight-month fixed-price offerings with the Commission no later than forty-five days before offers are extended to potential customers.  </w:t>
      </w:r>
    </w:p>
    <w:p w:rsidR="006D07BB" w:rsidRDefault="006D07BB" w:rsidP="003C10F9">
      <w:pPr>
        <w:pStyle w:val="BriefL3"/>
        <w:numPr>
          <w:ilvl w:val="0"/>
          <w:numId w:val="0"/>
        </w:numPr>
        <w:spacing w:after="0" w:line="360" w:lineRule="auto"/>
        <w:ind w:firstLine="1440"/>
        <w:outlineLvl w:val="9"/>
        <w:rPr>
          <w:sz w:val="26"/>
          <w:szCs w:val="26"/>
        </w:rPr>
      </w:pPr>
    </w:p>
    <w:p w:rsidR="008F2670" w:rsidRPr="002D0E1F" w:rsidRDefault="008F2670" w:rsidP="003C10F9">
      <w:pPr>
        <w:pStyle w:val="BriefL3"/>
        <w:numPr>
          <w:ilvl w:val="0"/>
          <w:numId w:val="0"/>
        </w:numPr>
        <w:spacing w:after="0" w:line="360" w:lineRule="auto"/>
        <w:ind w:firstLine="1440"/>
        <w:outlineLvl w:val="9"/>
        <w:rPr>
          <w:sz w:val="26"/>
          <w:szCs w:val="26"/>
        </w:rPr>
      </w:pPr>
      <w:r>
        <w:rPr>
          <w:sz w:val="26"/>
          <w:szCs w:val="26"/>
        </w:rPr>
        <w:t xml:space="preserve">With these improvements, the Commission believes that this product offering will be sufficiently attractive to garner EGS support and customer participation </w:t>
      </w:r>
      <w:r>
        <w:rPr>
          <w:sz w:val="26"/>
          <w:szCs w:val="26"/>
        </w:rPr>
        <w:lastRenderedPageBreak/>
        <w:t xml:space="preserve">in the Opt-In Program.  </w:t>
      </w:r>
      <w:r w:rsidR="008229A6">
        <w:rPr>
          <w:sz w:val="26"/>
          <w:szCs w:val="26"/>
        </w:rPr>
        <w:t>However, because this product offering differs from that proposed by the Company, various provisi</w:t>
      </w:r>
      <w:r w:rsidR="006F4917">
        <w:rPr>
          <w:sz w:val="26"/>
          <w:szCs w:val="26"/>
        </w:rPr>
        <w:t xml:space="preserve">ons of the Opt-In Program will </w:t>
      </w:r>
      <w:r w:rsidR="008229A6">
        <w:rPr>
          <w:sz w:val="26"/>
          <w:szCs w:val="26"/>
        </w:rPr>
        <w:t xml:space="preserve">have to be modified.  Therefore, we will require Duquesne to consult with other interested Parties to this proceeding on the necessary modifications to the Opt-In Program, and to file a revised program design </w:t>
      </w:r>
      <w:r w:rsidR="000C04C2">
        <w:rPr>
          <w:sz w:val="26"/>
          <w:szCs w:val="26"/>
        </w:rPr>
        <w:t>after convening the collaborative of interested parties</w:t>
      </w:r>
      <w:r w:rsidR="008229A6">
        <w:rPr>
          <w:sz w:val="26"/>
          <w:szCs w:val="26"/>
        </w:rPr>
        <w:t>.  Th</w:t>
      </w:r>
      <w:r w:rsidR="000C04C2">
        <w:rPr>
          <w:sz w:val="26"/>
          <w:szCs w:val="26"/>
        </w:rPr>
        <w:t>is</w:t>
      </w:r>
      <w:r w:rsidR="008229A6">
        <w:rPr>
          <w:sz w:val="26"/>
          <w:szCs w:val="26"/>
        </w:rPr>
        <w:t xml:space="preserve"> filing shall be due no later than </w:t>
      </w:r>
      <w:r w:rsidR="000C04C2">
        <w:rPr>
          <w:sz w:val="26"/>
          <w:szCs w:val="26"/>
        </w:rPr>
        <w:t>forty-five</w:t>
      </w:r>
      <w:r w:rsidR="008229A6">
        <w:rPr>
          <w:sz w:val="26"/>
          <w:szCs w:val="26"/>
        </w:rPr>
        <w:t xml:space="preserve"> days after the entry of this Opinion and Order.  </w:t>
      </w:r>
      <w:r>
        <w:rPr>
          <w:sz w:val="26"/>
          <w:szCs w:val="26"/>
        </w:rPr>
        <w:t>Accordingly, we shall grant the Exceptions of RESA on this issue and reject Duquesne’s proposal to conduct an auction for the Opt-In Program.</w:t>
      </w:r>
    </w:p>
    <w:p w:rsidR="00415028" w:rsidRPr="00EE5722" w:rsidRDefault="00415028" w:rsidP="003C10F9">
      <w:pPr>
        <w:pStyle w:val="Level2"/>
        <w:tabs>
          <w:tab w:val="left" w:pos="720"/>
        </w:tabs>
        <w:spacing w:line="360" w:lineRule="auto"/>
        <w:ind w:left="0" w:firstLine="1440"/>
        <w:jc w:val="left"/>
        <w:rPr>
          <w:sz w:val="26"/>
          <w:szCs w:val="26"/>
        </w:rPr>
      </w:pPr>
    </w:p>
    <w:p w:rsidR="000B0DA3" w:rsidRPr="00EE5722" w:rsidRDefault="00D64891" w:rsidP="00D64891">
      <w:pPr>
        <w:pStyle w:val="Heading4"/>
        <w:numPr>
          <w:ilvl w:val="0"/>
          <w:numId w:val="0"/>
        </w:numPr>
        <w:ind w:left="2160"/>
      </w:pPr>
      <w:bookmarkStart w:id="76" w:name="_Toc346705318"/>
      <w:r>
        <w:t>b.</w:t>
      </w:r>
      <w:r>
        <w:tab/>
      </w:r>
      <w:r w:rsidR="000B0DA3" w:rsidRPr="00EE5722">
        <w:t>Term of Offer</w:t>
      </w:r>
      <w:r w:rsidR="00554331">
        <w:t>/ Guaranteed Savings</w:t>
      </w:r>
      <w:bookmarkEnd w:id="76"/>
    </w:p>
    <w:p w:rsidR="00391B13" w:rsidRPr="00EE5722" w:rsidRDefault="00391B13" w:rsidP="00911D84">
      <w:pPr>
        <w:pStyle w:val="BriefL3"/>
        <w:keepNext/>
        <w:numPr>
          <w:ilvl w:val="0"/>
          <w:numId w:val="0"/>
        </w:numPr>
        <w:spacing w:after="0" w:line="360" w:lineRule="auto"/>
        <w:ind w:left="2160"/>
        <w:rPr>
          <w:b/>
          <w:sz w:val="26"/>
          <w:szCs w:val="26"/>
        </w:rPr>
      </w:pPr>
    </w:p>
    <w:p w:rsidR="000B0DA3" w:rsidRPr="00EE5722" w:rsidRDefault="005310C0" w:rsidP="00115AB3">
      <w:pPr>
        <w:pStyle w:val="Heading5"/>
        <w:numPr>
          <w:ilvl w:val="0"/>
          <w:numId w:val="0"/>
        </w:numPr>
        <w:ind w:left="3600" w:hanging="720"/>
      </w:pPr>
      <w:bookmarkStart w:id="77" w:name="_Toc346705319"/>
      <w:r w:rsidRPr="00EE5722">
        <w:t>i</w:t>
      </w:r>
      <w:r w:rsidR="00026DA4">
        <w:t>.</w:t>
      </w:r>
      <w:r w:rsidR="00026DA4">
        <w:tab/>
        <w:t>Duquesne</w:t>
      </w:r>
      <w:r w:rsidR="000B0DA3" w:rsidRPr="00EE5722">
        <w:t>’s Propos</w:t>
      </w:r>
      <w:r w:rsidR="00627782" w:rsidRPr="00EE5722">
        <w:t>al</w:t>
      </w:r>
      <w:bookmarkEnd w:id="77"/>
    </w:p>
    <w:p w:rsidR="000B0DA3" w:rsidRPr="00EE5722" w:rsidRDefault="000B0DA3" w:rsidP="00911D84">
      <w:pPr>
        <w:pStyle w:val="BodyText"/>
        <w:keepNext/>
        <w:spacing w:after="0" w:line="360" w:lineRule="auto"/>
        <w:ind w:left="0" w:firstLine="0"/>
        <w:rPr>
          <w:sz w:val="26"/>
          <w:szCs w:val="26"/>
        </w:rPr>
      </w:pPr>
    </w:p>
    <w:p w:rsidR="003B6ACD" w:rsidRPr="00EE5722" w:rsidRDefault="003B6ACD" w:rsidP="005310C0">
      <w:pPr>
        <w:pStyle w:val="BodyText2"/>
        <w:spacing w:after="0" w:line="360" w:lineRule="auto"/>
        <w:rPr>
          <w:sz w:val="26"/>
          <w:szCs w:val="26"/>
        </w:rPr>
      </w:pPr>
      <w:r w:rsidRPr="00EE5722">
        <w:rPr>
          <w:sz w:val="26"/>
          <w:szCs w:val="26"/>
        </w:rPr>
        <w:tab/>
      </w:r>
      <w:r w:rsidRPr="00EE5722">
        <w:rPr>
          <w:sz w:val="26"/>
          <w:szCs w:val="26"/>
        </w:rPr>
        <w:tab/>
      </w:r>
      <w:r w:rsidR="00BA3DD7">
        <w:rPr>
          <w:sz w:val="26"/>
          <w:szCs w:val="26"/>
        </w:rPr>
        <w:t>The Company proposed</w:t>
      </w:r>
      <w:r w:rsidR="00FC4BB8">
        <w:rPr>
          <w:sz w:val="26"/>
          <w:szCs w:val="26"/>
        </w:rPr>
        <w:t xml:space="preserve"> one-year </w:t>
      </w:r>
      <w:r w:rsidR="00473A03">
        <w:rPr>
          <w:sz w:val="26"/>
          <w:szCs w:val="26"/>
        </w:rPr>
        <w:t>contract</w:t>
      </w:r>
      <w:r w:rsidR="00FC4BB8">
        <w:rPr>
          <w:sz w:val="26"/>
          <w:szCs w:val="26"/>
        </w:rPr>
        <w:t>s</w:t>
      </w:r>
      <w:r w:rsidR="00473A03">
        <w:rPr>
          <w:sz w:val="26"/>
          <w:szCs w:val="26"/>
        </w:rPr>
        <w:t xml:space="preserve"> for the Opt-In</w:t>
      </w:r>
      <w:r w:rsidR="00FC4BB8">
        <w:rPr>
          <w:sz w:val="26"/>
          <w:szCs w:val="26"/>
        </w:rPr>
        <w:t xml:space="preserve"> Program commencing</w:t>
      </w:r>
      <w:r w:rsidR="00BA3DD7">
        <w:rPr>
          <w:sz w:val="26"/>
          <w:szCs w:val="26"/>
        </w:rPr>
        <w:t xml:space="preserve"> in June 2013 </w:t>
      </w:r>
      <w:r w:rsidR="00FC4BB8">
        <w:rPr>
          <w:sz w:val="26"/>
          <w:szCs w:val="26"/>
        </w:rPr>
        <w:t xml:space="preserve">because a one-year term </w:t>
      </w:r>
      <w:r w:rsidR="00BA3DD7">
        <w:rPr>
          <w:sz w:val="26"/>
          <w:szCs w:val="26"/>
        </w:rPr>
        <w:t>would</w:t>
      </w:r>
      <w:r w:rsidRPr="00EE5722">
        <w:rPr>
          <w:sz w:val="26"/>
          <w:szCs w:val="26"/>
        </w:rPr>
        <w:t xml:space="preserve"> produce savings off the PTC for one year from June 1, 2013 to May 31, 2014.  As a </w:t>
      </w:r>
      <w:r w:rsidR="00FC4BB8">
        <w:rPr>
          <w:sz w:val="26"/>
          <w:szCs w:val="26"/>
        </w:rPr>
        <w:t xml:space="preserve">result, customers electing the Opt-In </w:t>
      </w:r>
      <w:r w:rsidR="00BA3DD7">
        <w:rPr>
          <w:sz w:val="26"/>
          <w:szCs w:val="26"/>
        </w:rPr>
        <w:t>Program would</w:t>
      </w:r>
      <w:r w:rsidRPr="00EE5722">
        <w:rPr>
          <w:sz w:val="26"/>
          <w:szCs w:val="26"/>
        </w:rPr>
        <w:t xml:space="preserve"> receive savings that are guaranteed </w:t>
      </w:r>
      <w:r w:rsidR="00257550" w:rsidRPr="00EE5722">
        <w:rPr>
          <w:sz w:val="26"/>
          <w:szCs w:val="26"/>
        </w:rPr>
        <w:t xml:space="preserve">essentially </w:t>
      </w:r>
      <w:r w:rsidRPr="00EE5722">
        <w:rPr>
          <w:sz w:val="26"/>
          <w:szCs w:val="26"/>
        </w:rPr>
        <w:t xml:space="preserve">for a </w:t>
      </w:r>
      <w:r w:rsidR="00BF3CE9">
        <w:rPr>
          <w:sz w:val="26"/>
          <w:szCs w:val="26"/>
        </w:rPr>
        <w:t>one</w:t>
      </w:r>
      <w:r w:rsidR="00BC0BCE" w:rsidRPr="00EE5722">
        <w:rPr>
          <w:sz w:val="26"/>
          <w:szCs w:val="26"/>
        </w:rPr>
        <w:t>-</w:t>
      </w:r>
      <w:r w:rsidR="00026DA4">
        <w:rPr>
          <w:sz w:val="26"/>
          <w:szCs w:val="26"/>
        </w:rPr>
        <w:t>year period</w:t>
      </w:r>
      <w:r w:rsidR="00BF3CE9">
        <w:rPr>
          <w:sz w:val="26"/>
          <w:szCs w:val="26"/>
        </w:rPr>
        <w:t xml:space="preserve">.  </w:t>
      </w:r>
      <w:r w:rsidR="00BA3DD7">
        <w:rPr>
          <w:sz w:val="26"/>
          <w:szCs w:val="26"/>
        </w:rPr>
        <w:t xml:space="preserve">Duquesne St. </w:t>
      </w:r>
      <w:r w:rsidR="00026DA4">
        <w:rPr>
          <w:sz w:val="26"/>
          <w:szCs w:val="26"/>
        </w:rPr>
        <w:t xml:space="preserve">3-R at </w:t>
      </w:r>
      <w:r w:rsidRPr="00EE5722">
        <w:rPr>
          <w:sz w:val="26"/>
          <w:szCs w:val="26"/>
        </w:rPr>
        <w:t>21-22.</w:t>
      </w:r>
      <w:r w:rsidRPr="00EE5722">
        <w:rPr>
          <w:rStyle w:val="FootnoteReference"/>
          <w:sz w:val="26"/>
          <w:szCs w:val="26"/>
        </w:rPr>
        <w:footnoteReference w:id="67"/>
      </w:r>
      <w:r w:rsidR="00026DA4">
        <w:rPr>
          <w:sz w:val="26"/>
          <w:szCs w:val="26"/>
        </w:rPr>
        <w:t xml:space="preserve">  Duquesne </w:t>
      </w:r>
      <w:r w:rsidRPr="00EE5722">
        <w:rPr>
          <w:sz w:val="26"/>
          <w:szCs w:val="26"/>
        </w:rPr>
        <w:t>believes th</w:t>
      </w:r>
      <w:r w:rsidR="00BF3CE9">
        <w:rPr>
          <w:sz w:val="26"/>
          <w:szCs w:val="26"/>
        </w:rPr>
        <w:t xml:space="preserve">e clear savings for a </w:t>
      </w:r>
      <w:r w:rsidR="00BE21C8">
        <w:rPr>
          <w:sz w:val="26"/>
          <w:szCs w:val="26"/>
        </w:rPr>
        <w:t>twelve</w:t>
      </w:r>
      <w:r w:rsidR="004B5935" w:rsidRPr="00EE5722">
        <w:rPr>
          <w:sz w:val="26"/>
          <w:szCs w:val="26"/>
        </w:rPr>
        <w:noBreakHyphen/>
      </w:r>
      <w:r w:rsidRPr="00EE5722">
        <w:rPr>
          <w:sz w:val="26"/>
          <w:szCs w:val="26"/>
        </w:rPr>
        <w:t xml:space="preserve">month period and </w:t>
      </w:r>
      <w:r w:rsidR="00BF3CE9">
        <w:rPr>
          <w:sz w:val="26"/>
          <w:szCs w:val="26"/>
        </w:rPr>
        <w:t>stable rates would be</w:t>
      </w:r>
      <w:r w:rsidRPr="00EE5722">
        <w:rPr>
          <w:sz w:val="26"/>
          <w:szCs w:val="26"/>
        </w:rPr>
        <w:t xml:space="preserve"> more likely to enco</w:t>
      </w:r>
      <w:r w:rsidR="00BF3CE9">
        <w:rPr>
          <w:sz w:val="26"/>
          <w:szCs w:val="26"/>
        </w:rPr>
        <w:t xml:space="preserve">urage customer participation compared to RESA’s </w:t>
      </w:r>
      <w:r w:rsidRPr="00EE5722">
        <w:rPr>
          <w:sz w:val="26"/>
          <w:szCs w:val="26"/>
        </w:rPr>
        <w:t xml:space="preserve">proposal </w:t>
      </w:r>
      <w:r w:rsidR="00BF3CE9">
        <w:rPr>
          <w:sz w:val="26"/>
          <w:szCs w:val="26"/>
        </w:rPr>
        <w:t>that</w:t>
      </w:r>
      <w:r w:rsidRPr="00EE5722">
        <w:rPr>
          <w:sz w:val="26"/>
          <w:szCs w:val="26"/>
        </w:rPr>
        <w:t xml:space="preserve"> offers </w:t>
      </w:r>
      <w:r w:rsidR="00BF3CE9">
        <w:rPr>
          <w:sz w:val="26"/>
          <w:szCs w:val="26"/>
        </w:rPr>
        <w:t xml:space="preserve">only </w:t>
      </w:r>
      <w:r w:rsidR="00BE21C8">
        <w:rPr>
          <w:sz w:val="26"/>
          <w:szCs w:val="26"/>
        </w:rPr>
        <w:t>four</w:t>
      </w:r>
      <w:r w:rsidR="00BF3CE9">
        <w:rPr>
          <w:sz w:val="26"/>
          <w:szCs w:val="26"/>
        </w:rPr>
        <w:t>-</w:t>
      </w:r>
      <w:r w:rsidRPr="00EE5722">
        <w:rPr>
          <w:sz w:val="26"/>
          <w:szCs w:val="26"/>
        </w:rPr>
        <w:t>month savings followed by uncertain and potentially higher rates.</w:t>
      </w:r>
    </w:p>
    <w:p w:rsidR="00AA4AF1" w:rsidRPr="00EE5722" w:rsidRDefault="00AA4AF1" w:rsidP="003B6ACD">
      <w:pPr>
        <w:pStyle w:val="BodyText2"/>
        <w:spacing w:after="0" w:line="360" w:lineRule="auto"/>
        <w:rPr>
          <w:sz w:val="26"/>
          <w:szCs w:val="26"/>
        </w:rPr>
      </w:pPr>
    </w:p>
    <w:p w:rsidR="00AA4AF1" w:rsidRDefault="00AA4AF1" w:rsidP="00BE21C8">
      <w:pPr>
        <w:pStyle w:val="BodyText2"/>
        <w:spacing w:after="0" w:line="360" w:lineRule="auto"/>
        <w:rPr>
          <w:sz w:val="26"/>
          <w:szCs w:val="26"/>
        </w:rPr>
      </w:pPr>
      <w:r w:rsidRPr="00EE5722">
        <w:rPr>
          <w:sz w:val="26"/>
          <w:szCs w:val="26"/>
        </w:rPr>
        <w:tab/>
      </w:r>
      <w:r w:rsidRPr="00EE5722">
        <w:rPr>
          <w:sz w:val="26"/>
          <w:szCs w:val="26"/>
        </w:rPr>
        <w:tab/>
      </w:r>
      <w:r w:rsidR="00026DA4">
        <w:rPr>
          <w:sz w:val="26"/>
          <w:szCs w:val="26"/>
        </w:rPr>
        <w:t xml:space="preserve">Duquesne </w:t>
      </w:r>
      <w:r w:rsidRPr="00EE5722">
        <w:rPr>
          <w:sz w:val="26"/>
          <w:szCs w:val="26"/>
        </w:rPr>
        <w:t>expressed</w:t>
      </w:r>
      <w:r w:rsidR="003B6ACD" w:rsidRPr="00EE5722">
        <w:rPr>
          <w:sz w:val="26"/>
          <w:szCs w:val="26"/>
        </w:rPr>
        <w:t xml:space="preserve"> significant concerns about the RESA proposal, which </w:t>
      </w:r>
      <w:r w:rsidR="00BF3CE9">
        <w:rPr>
          <w:sz w:val="26"/>
          <w:szCs w:val="26"/>
        </w:rPr>
        <w:t xml:space="preserve">it </w:t>
      </w:r>
      <w:r w:rsidR="003B6ACD" w:rsidRPr="00EE5722">
        <w:rPr>
          <w:sz w:val="26"/>
          <w:szCs w:val="26"/>
        </w:rPr>
        <w:t xml:space="preserve">characterized </w:t>
      </w:r>
      <w:r w:rsidR="00BE21C8">
        <w:rPr>
          <w:sz w:val="26"/>
          <w:szCs w:val="26"/>
        </w:rPr>
        <w:t>as a four</w:t>
      </w:r>
      <w:r w:rsidR="00BF3CE9">
        <w:rPr>
          <w:sz w:val="26"/>
          <w:szCs w:val="26"/>
        </w:rPr>
        <w:t>-month “opt-i</w:t>
      </w:r>
      <w:r w:rsidR="003B6ACD" w:rsidRPr="00EE5722">
        <w:rPr>
          <w:sz w:val="26"/>
          <w:szCs w:val="26"/>
        </w:rPr>
        <w:t>n” p</w:t>
      </w:r>
      <w:r w:rsidR="00BE21C8">
        <w:rPr>
          <w:sz w:val="26"/>
          <w:szCs w:val="26"/>
        </w:rPr>
        <w:t>rogram followed by an eight</w:t>
      </w:r>
      <w:r w:rsidR="00BF3CE9">
        <w:rPr>
          <w:sz w:val="26"/>
          <w:szCs w:val="26"/>
        </w:rPr>
        <w:t>-month “opt-o</w:t>
      </w:r>
      <w:r w:rsidR="003B6ACD" w:rsidRPr="00EE5722">
        <w:rPr>
          <w:sz w:val="26"/>
          <w:szCs w:val="26"/>
        </w:rPr>
        <w:t xml:space="preserve">ut” </w:t>
      </w:r>
      <w:r w:rsidR="003B6ACD" w:rsidRPr="00EE5722">
        <w:rPr>
          <w:sz w:val="26"/>
          <w:szCs w:val="26"/>
        </w:rPr>
        <w:lastRenderedPageBreak/>
        <w:t>program because the customer</w:t>
      </w:r>
      <w:r w:rsidR="00BF3CE9">
        <w:rPr>
          <w:sz w:val="26"/>
          <w:szCs w:val="26"/>
        </w:rPr>
        <w:t xml:space="preserve"> must opt-out if </w:t>
      </w:r>
      <w:r w:rsidR="00BE21C8">
        <w:rPr>
          <w:sz w:val="26"/>
          <w:szCs w:val="26"/>
        </w:rPr>
        <w:t>the eight</w:t>
      </w:r>
      <w:r w:rsidR="003B6ACD" w:rsidRPr="00EE5722">
        <w:rPr>
          <w:sz w:val="26"/>
          <w:szCs w:val="26"/>
        </w:rPr>
        <w:t>-month price is abo</w:t>
      </w:r>
      <w:r w:rsidR="00BF3CE9">
        <w:rPr>
          <w:sz w:val="26"/>
          <w:szCs w:val="26"/>
        </w:rPr>
        <w:t xml:space="preserve">ve the PTC or other offers </w:t>
      </w:r>
      <w:r w:rsidR="003B6ACD" w:rsidRPr="00EE5722">
        <w:rPr>
          <w:sz w:val="26"/>
          <w:szCs w:val="26"/>
        </w:rPr>
        <w:t>available in the market.  F</w:t>
      </w:r>
      <w:r w:rsidR="00BF3CE9">
        <w:rPr>
          <w:sz w:val="26"/>
          <w:szCs w:val="26"/>
        </w:rPr>
        <w:t>urther, customers that elect Opt-In service would</w:t>
      </w:r>
      <w:r w:rsidR="00BC5684">
        <w:rPr>
          <w:sz w:val="26"/>
          <w:szCs w:val="26"/>
        </w:rPr>
        <w:t xml:space="preserve"> receive </w:t>
      </w:r>
      <w:r w:rsidR="003B6ACD" w:rsidRPr="00EE5722">
        <w:rPr>
          <w:sz w:val="26"/>
          <w:szCs w:val="26"/>
        </w:rPr>
        <w:t>a uniform initial price for four months</w:t>
      </w:r>
      <w:r w:rsidR="00BC5684">
        <w:rPr>
          <w:sz w:val="26"/>
          <w:szCs w:val="26"/>
        </w:rPr>
        <w:t xml:space="preserve">, but potentially pay different </w:t>
      </w:r>
      <w:r w:rsidR="003B6ACD" w:rsidRPr="00EE5722">
        <w:rPr>
          <w:sz w:val="26"/>
          <w:szCs w:val="26"/>
        </w:rPr>
        <w:t>prices</w:t>
      </w:r>
      <w:r w:rsidR="00BC5684">
        <w:rPr>
          <w:sz w:val="26"/>
          <w:szCs w:val="26"/>
        </w:rPr>
        <w:t xml:space="preserve"> for the next eight months depending on the </w:t>
      </w:r>
      <w:r w:rsidR="003B6ACD" w:rsidRPr="00EE5722">
        <w:rPr>
          <w:sz w:val="26"/>
          <w:szCs w:val="26"/>
        </w:rPr>
        <w:t xml:space="preserve">EGS </w:t>
      </w:r>
      <w:r w:rsidR="00BC5684">
        <w:rPr>
          <w:sz w:val="26"/>
          <w:szCs w:val="26"/>
        </w:rPr>
        <w:t xml:space="preserve">to which </w:t>
      </w:r>
      <w:r w:rsidR="003B6ACD" w:rsidRPr="00EE5722">
        <w:rPr>
          <w:sz w:val="26"/>
          <w:szCs w:val="26"/>
        </w:rPr>
        <w:t>the</w:t>
      </w:r>
      <w:r w:rsidR="00BC5684">
        <w:rPr>
          <w:sz w:val="26"/>
          <w:szCs w:val="26"/>
        </w:rPr>
        <w:t xml:space="preserve">y are assigned, since </w:t>
      </w:r>
      <w:r w:rsidR="00BE21C8">
        <w:rPr>
          <w:sz w:val="26"/>
          <w:szCs w:val="26"/>
        </w:rPr>
        <w:t>RESA indicated that the eight</w:t>
      </w:r>
      <w:r w:rsidR="00B9412F" w:rsidRPr="00EE5722">
        <w:rPr>
          <w:sz w:val="26"/>
          <w:szCs w:val="26"/>
        </w:rPr>
        <w:noBreakHyphen/>
      </w:r>
      <w:r w:rsidR="003B6ACD" w:rsidRPr="00EE5722">
        <w:rPr>
          <w:sz w:val="26"/>
          <w:szCs w:val="26"/>
        </w:rPr>
        <w:t xml:space="preserve">month price need not be </w:t>
      </w:r>
      <w:r w:rsidR="00BA3DD7">
        <w:rPr>
          <w:sz w:val="26"/>
          <w:szCs w:val="26"/>
        </w:rPr>
        <w:t xml:space="preserve">uniform.  </w:t>
      </w:r>
      <w:r w:rsidR="00BE21C8">
        <w:rPr>
          <w:i/>
          <w:sz w:val="26"/>
          <w:szCs w:val="26"/>
        </w:rPr>
        <w:t xml:space="preserve">See </w:t>
      </w:r>
      <w:r w:rsidR="00BA3DD7">
        <w:rPr>
          <w:sz w:val="26"/>
          <w:szCs w:val="26"/>
        </w:rPr>
        <w:t xml:space="preserve">RESA St. </w:t>
      </w:r>
      <w:r w:rsidR="00026DA4">
        <w:rPr>
          <w:sz w:val="26"/>
          <w:szCs w:val="26"/>
        </w:rPr>
        <w:t xml:space="preserve">2-SR at </w:t>
      </w:r>
      <w:r w:rsidR="003B6ACD" w:rsidRPr="00EE5722">
        <w:rPr>
          <w:sz w:val="26"/>
          <w:szCs w:val="26"/>
        </w:rPr>
        <w:t xml:space="preserve">10.  The Commission </w:t>
      </w:r>
      <w:r w:rsidR="00BC5684">
        <w:rPr>
          <w:sz w:val="26"/>
          <w:szCs w:val="26"/>
        </w:rPr>
        <w:t xml:space="preserve">has </w:t>
      </w:r>
      <w:r w:rsidR="003B6ACD" w:rsidRPr="00EE5722">
        <w:rPr>
          <w:sz w:val="26"/>
          <w:szCs w:val="26"/>
        </w:rPr>
        <w:t xml:space="preserve">indicated </w:t>
      </w:r>
      <w:r w:rsidR="00BA3DD7">
        <w:rPr>
          <w:sz w:val="26"/>
          <w:szCs w:val="26"/>
        </w:rPr>
        <w:t xml:space="preserve">that </w:t>
      </w:r>
      <w:r w:rsidR="003B6ACD" w:rsidRPr="00EE5722">
        <w:rPr>
          <w:sz w:val="26"/>
          <w:szCs w:val="26"/>
        </w:rPr>
        <w:t>it will review EGS</w:t>
      </w:r>
      <w:r w:rsidR="00BC5684">
        <w:rPr>
          <w:sz w:val="26"/>
          <w:szCs w:val="26"/>
        </w:rPr>
        <w:t>s</w:t>
      </w:r>
      <w:r w:rsidRPr="00EE5722">
        <w:rPr>
          <w:sz w:val="26"/>
          <w:szCs w:val="26"/>
        </w:rPr>
        <w:t>’</w:t>
      </w:r>
      <w:r w:rsidR="00BC5684">
        <w:rPr>
          <w:sz w:val="26"/>
          <w:szCs w:val="26"/>
        </w:rPr>
        <w:t xml:space="preserve"> </w:t>
      </w:r>
      <w:r w:rsidR="00BE21C8">
        <w:rPr>
          <w:sz w:val="26"/>
          <w:szCs w:val="26"/>
        </w:rPr>
        <w:t>eight</w:t>
      </w:r>
      <w:r w:rsidR="003B6ACD" w:rsidRPr="00EE5722">
        <w:rPr>
          <w:sz w:val="26"/>
          <w:szCs w:val="26"/>
        </w:rPr>
        <w:t>-month price</w:t>
      </w:r>
      <w:r w:rsidR="00BC5684">
        <w:rPr>
          <w:sz w:val="26"/>
          <w:szCs w:val="26"/>
        </w:rPr>
        <w:t>s,</w:t>
      </w:r>
      <w:r w:rsidR="003B6ACD" w:rsidRPr="00EE5722">
        <w:rPr>
          <w:sz w:val="26"/>
          <w:szCs w:val="26"/>
        </w:rPr>
        <w:t xml:space="preserve"> but has n</w:t>
      </w:r>
      <w:r w:rsidR="00BC5684">
        <w:rPr>
          <w:sz w:val="26"/>
          <w:szCs w:val="26"/>
        </w:rPr>
        <w:t>ot indicated that this price must</w:t>
      </w:r>
      <w:r w:rsidR="003B6ACD" w:rsidRPr="00EE5722">
        <w:rPr>
          <w:sz w:val="26"/>
          <w:szCs w:val="26"/>
        </w:rPr>
        <w:t xml:space="preserve"> be un</w:t>
      </w:r>
      <w:r w:rsidR="00BC5684">
        <w:rPr>
          <w:sz w:val="26"/>
          <w:szCs w:val="26"/>
        </w:rPr>
        <w:t>iform</w:t>
      </w:r>
      <w:r w:rsidR="003B6ACD" w:rsidRPr="00EE5722">
        <w:rPr>
          <w:sz w:val="26"/>
          <w:szCs w:val="26"/>
        </w:rPr>
        <w:t xml:space="preserve">.  The Company does not know how </w:t>
      </w:r>
      <w:r w:rsidR="00BC5684">
        <w:rPr>
          <w:sz w:val="26"/>
          <w:szCs w:val="26"/>
        </w:rPr>
        <w:t>it would</w:t>
      </w:r>
      <w:r w:rsidR="003B6ACD" w:rsidRPr="00EE5722">
        <w:rPr>
          <w:sz w:val="26"/>
          <w:szCs w:val="26"/>
        </w:rPr>
        <w:t xml:space="preserve"> explain such distinctions to customers when they discover they are paying different rates under a program sponsored by</w:t>
      </w:r>
      <w:r w:rsidR="00BC5684">
        <w:rPr>
          <w:sz w:val="26"/>
          <w:szCs w:val="26"/>
        </w:rPr>
        <w:t xml:space="preserve"> the Company</w:t>
      </w:r>
      <w:r w:rsidR="003B6ACD" w:rsidRPr="00EE5722">
        <w:rPr>
          <w:sz w:val="26"/>
          <w:szCs w:val="26"/>
        </w:rPr>
        <w:t>.</w:t>
      </w:r>
    </w:p>
    <w:p w:rsidR="00BC5684" w:rsidRPr="00BC5684" w:rsidRDefault="00BC5684" w:rsidP="00BE21C8">
      <w:pPr>
        <w:pStyle w:val="BodyText2"/>
        <w:spacing w:after="0" w:line="360" w:lineRule="auto"/>
        <w:rPr>
          <w:sz w:val="26"/>
          <w:szCs w:val="26"/>
        </w:rPr>
      </w:pPr>
    </w:p>
    <w:p w:rsidR="003B6ACD" w:rsidRPr="00EE5722" w:rsidRDefault="00026DA4" w:rsidP="003B6ACD">
      <w:pPr>
        <w:pStyle w:val="BodyText2"/>
        <w:spacing w:after="0" w:line="360" w:lineRule="auto"/>
        <w:rPr>
          <w:sz w:val="26"/>
          <w:szCs w:val="26"/>
        </w:rPr>
      </w:pPr>
      <w:r>
        <w:rPr>
          <w:sz w:val="26"/>
          <w:szCs w:val="26"/>
        </w:rPr>
        <w:tab/>
      </w:r>
      <w:r>
        <w:rPr>
          <w:sz w:val="26"/>
          <w:szCs w:val="26"/>
        </w:rPr>
        <w:tab/>
        <w:t xml:space="preserve">Duquesne </w:t>
      </w:r>
      <w:r w:rsidR="00AA4AF1" w:rsidRPr="00EE5722">
        <w:rPr>
          <w:sz w:val="26"/>
          <w:szCs w:val="26"/>
        </w:rPr>
        <w:t xml:space="preserve">points out that </w:t>
      </w:r>
      <w:r w:rsidR="003B6ACD" w:rsidRPr="00EE5722">
        <w:rPr>
          <w:sz w:val="26"/>
          <w:szCs w:val="26"/>
        </w:rPr>
        <w:t xml:space="preserve">two of the EGSs with the largest residential </w:t>
      </w:r>
      <w:r>
        <w:rPr>
          <w:sz w:val="26"/>
          <w:szCs w:val="26"/>
        </w:rPr>
        <w:t>customer bases in Duquesne</w:t>
      </w:r>
      <w:r w:rsidR="003B6ACD" w:rsidRPr="00EE5722">
        <w:rPr>
          <w:sz w:val="26"/>
          <w:szCs w:val="26"/>
        </w:rPr>
        <w:t>’s service territory</w:t>
      </w:r>
      <w:r w:rsidR="00AA4AF1" w:rsidRPr="00EE5722">
        <w:rPr>
          <w:sz w:val="26"/>
          <w:szCs w:val="26"/>
        </w:rPr>
        <w:t xml:space="preserve"> (</w:t>
      </w:r>
      <w:r w:rsidR="00BA3DD7">
        <w:rPr>
          <w:sz w:val="26"/>
          <w:szCs w:val="26"/>
        </w:rPr>
        <w:t xml:space="preserve">Dominion </w:t>
      </w:r>
      <w:r w:rsidR="003B6ACD" w:rsidRPr="00EE5722">
        <w:rPr>
          <w:sz w:val="26"/>
          <w:szCs w:val="26"/>
        </w:rPr>
        <w:t>and FES</w:t>
      </w:r>
      <w:r w:rsidR="00AA4AF1" w:rsidRPr="00EE5722">
        <w:rPr>
          <w:sz w:val="26"/>
          <w:szCs w:val="26"/>
        </w:rPr>
        <w:t>)</w:t>
      </w:r>
      <w:r w:rsidR="003B6ACD" w:rsidRPr="00EE5722">
        <w:rPr>
          <w:sz w:val="26"/>
          <w:szCs w:val="26"/>
        </w:rPr>
        <w:t xml:space="preserve"> support</w:t>
      </w:r>
      <w:r w:rsidR="00BC5684">
        <w:rPr>
          <w:sz w:val="26"/>
          <w:szCs w:val="26"/>
        </w:rPr>
        <w:t xml:space="preserve"> </w:t>
      </w:r>
      <w:r w:rsidR="00BA3DD7">
        <w:rPr>
          <w:sz w:val="26"/>
          <w:szCs w:val="26"/>
        </w:rPr>
        <w:t>the Company’s proposal</w:t>
      </w:r>
      <w:r w:rsidR="00BC5684">
        <w:rPr>
          <w:sz w:val="26"/>
          <w:szCs w:val="26"/>
        </w:rPr>
        <w:t>,</w:t>
      </w:r>
      <w:r w:rsidR="00BA3DD7">
        <w:rPr>
          <w:sz w:val="26"/>
          <w:szCs w:val="26"/>
        </w:rPr>
        <w:t xml:space="preserve"> and could</w:t>
      </w:r>
      <w:r w:rsidR="003B6ACD" w:rsidRPr="00EE5722">
        <w:rPr>
          <w:sz w:val="26"/>
          <w:szCs w:val="26"/>
        </w:rPr>
        <w:t xml:space="preserve"> be ex</w:t>
      </w:r>
      <w:r w:rsidR="00BC5684">
        <w:rPr>
          <w:sz w:val="26"/>
          <w:szCs w:val="26"/>
        </w:rPr>
        <w:t>pected to participate in the Opt-In P</w:t>
      </w:r>
      <w:r w:rsidR="003B6ACD" w:rsidRPr="00EE5722">
        <w:rPr>
          <w:sz w:val="26"/>
          <w:szCs w:val="26"/>
        </w:rPr>
        <w:t>rogram as designed by the Company</w:t>
      </w:r>
      <w:r w:rsidR="00BC5684">
        <w:rPr>
          <w:sz w:val="26"/>
          <w:szCs w:val="26"/>
        </w:rPr>
        <w:t xml:space="preserve">.  </w:t>
      </w:r>
      <w:r w:rsidR="00BE21C8" w:rsidRPr="00BE21C8">
        <w:rPr>
          <w:i/>
          <w:sz w:val="26"/>
          <w:szCs w:val="26"/>
        </w:rPr>
        <w:t>See</w:t>
      </w:r>
      <w:r w:rsidR="00BE21C8">
        <w:rPr>
          <w:sz w:val="26"/>
          <w:szCs w:val="26"/>
        </w:rPr>
        <w:t xml:space="preserve"> </w:t>
      </w:r>
      <w:r w:rsidR="00BC5684" w:rsidRPr="00BE21C8">
        <w:rPr>
          <w:sz w:val="26"/>
          <w:szCs w:val="26"/>
        </w:rPr>
        <w:t>Dominion</w:t>
      </w:r>
      <w:r w:rsidR="00BC5684">
        <w:rPr>
          <w:sz w:val="26"/>
          <w:szCs w:val="26"/>
        </w:rPr>
        <w:t xml:space="preserve"> </w:t>
      </w:r>
      <w:r w:rsidR="00BA3DD7">
        <w:rPr>
          <w:sz w:val="26"/>
          <w:szCs w:val="26"/>
        </w:rPr>
        <w:t xml:space="preserve">St. 1 at 5; FES St. 1 at </w:t>
      </w:r>
      <w:r w:rsidR="00257550" w:rsidRPr="00EE5722">
        <w:rPr>
          <w:sz w:val="26"/>
          <w:szCs w:val="26"/>
        </w:rPr>
        <w:t xml:space="preserve">3.  Moreover, </w:t>
      </w:r>
      <w:r w:rsidR="00BE21C8">
        <w:rPr>
          <w:sz w:val="26"/>
          <w:szCs w:val="26"/>
        </w:rPr>
        <w:t xml:space="preserve">Duquesne avers that </w:t>
      </w:r>
      <w:r w:rsidR="00257550" w:rsidRPr="00EE5722">
        <w:rPr>
          <w:sz w:val="26"/>
          <w:szCs w:val="26"/>
        </w:rPr>
        <w:t xml:space="preserve">even RESA </w:t>
      </w:r>
      <w:r w:rsidR="003B6ACD" w:rsidRPr="00EE5722">
        <w:rPr>
          <w:sz w:val="26"/>
          <w:szCs w:val="26"/>
        </w:rPr>
        <w:t xml:space="preserve">admitted </w:t>
      </w:r>
      <w:r w:rsidR="00BC5684">
        <w:rPr>
          <w:sz w:val="26"/>
          <w:szCs w:val="26"/>
        </w:rPr>
        <w:t xml:space="preserve">that </w:t>
      </w:r>
      <w:r w:rsidR="003B6ACD" w:rsidRPr="00EE5722">
        <w:rPr>
          <w:sz w:val="26"/>
          <w:szCs w:val="26"/>
        </w:rPr>
        <w:t xml:space="preserve">EGSs are “generally </w:t>
      </w:r>
      <w:r w:rsidR="00BE21C8">
        <w:rPr>
          <w:sz w:val="26"/>
          <w:szCs w:val="26"/>
        </w:rPr>
        <w:t>comfortable providing a fixed twelve</w:t>
      </w:r>
      <w:r w:rsidR="003B6ACD" w:rsidRPr="00EE5722">
        <w:rPr>
          <w:sz w:val="26"/>
          <w:szCs w:val="26"/>
        </w:rPr>
        <w:t>-month price, as such offers can be hedged at the tim</w:t>
      </w:r>
      <w:r w:rsidR="00BA3DD7">
        <w:rPr>
          <w:sz w:val="26"/>
          <w:szCs w:val="26"/>
        </w:rPr>
        <w:t xml:space="preserve">e they are made.”  </w:t>
      </w:r>
      <w:r w:rsidR="00BE21C8">
        <w:rPr>
          <w:i/>
          <w:sz w:val="26"/>
          <w:szCs w:val="26"/>
        </w:rPr>
        <w:t xml:space="preserve">See </w:t>
      </w:r>
      <w:r w:rsidR="00BA3DD7">
        <w:rPr>
          <w:sz w:val="26"/>
          <w:szCs w:val="26"/>
        </w:rPr>
        <w:t xml:space="preserve">RESA St. 2-R at </w:t>
      </w:r>
      <w:r w:rsidR="003B6ACD" w:rsidRPr="00EE5722">
        <w:rPr>
          <w:sz w:val="26"/>
          <w:szCs w:val="26"/>
        </w:rPr>
        <w:t xml:space="preserve">8.  Therefore, </w:t>
      </w:r>
      <w:r w:rsidR="00BE21C8">
        <w:rPr>
          <w:sz w:val="26"/>
          <w:szCs w:val="26"/>
        </w:rPr>
        <w:t xml:space="preserve">according to Duquesne, </w:t>
      </w:r>
      <w:r w:rsidR="003B6ACD" w:rsidRPr="00EE5722">
        <w:rPr>
          <w:sz w:val="26"/>
          <w:szCs w:val="26"/>
        </w:rPr>
        <w:t>EGSs should not be discouraged from prov</w:t>
      </w:r>
      <w:r w:rsidR="00BE21C8">
        <w:rPr>
          <w:sz w:val="26"/>
          <w:szCs w:val="26"/>
        </w:rPr>
        <w:t>iding a twelve</w:t>
      </w:r>
      <w:r w:rsidR="00BC5684">
        <w:rPr>
          <w:sz w:val="26"/>
          <w:szCs w:val="26"/>
        </w:rPr>
        <w:t>-month, fixed rate Opt-In</w:t>
      </w:r>
      <w:r w:rsidR="003B6ACD" w:rsidRPr="00EE5722">
        <w:rPr>
          <w:sz w:val="26"/>
          <w:szCs w:val="26"/>
        </w:rPr>
        <w:t xml:space="preserve"> product that guarantees savings to customers relative to the Company’s </w:t>
      </w:r>
      <w:r w:rsidR="00BE21C8">
        <w:rPr>
          <w:sz w:val="26"/>
          <w:szCs w:val="26"/>
        </w:rPr>
        <w:t>twelve</w:t>
      </w:r>
      <w:r w:rsidR="00BC5684">
        <w:rPr>
          <w:sz w:val="26"/>
          <w:szCs w:val="26"/>
        </w:rPr>
        <w:t>-month</w:t>
      </w:r>
      <w:r w:rsidR="003A7CAD">
        <w:rPr>
          <w:sz w:val="26"/>
          <w:szCs w:val="26"/>
        </w:rPr>
        <w:t xml:space="preserve"> PTC.  Duquesne </w:t>
      </w:r>
      <w:r w:rsidR="00BA3DD7">
        <w:rPr>
          <w:sz w:val="26"/>
          <w:szCs w:val="26"/>
        </w:rPr>
        <w:t>stated that</w:t>
      </w:r>
      <w:r w:rsidR="00BC5684">
        <w:rPr>
          <w:sz w:val="26"/>
          <w:szCs w:val="26"/>
        </w:rPr>
        <w:t xml:space="preserve"> its proposal</w:t>
      </w:r>
      <w:r w:rsidR="00BA3DD7">
        <w:rPr>
          <w:sz w:val="26"/>
          <w:szCs w:val="26"/>
        </w:rPr>
        <w:t xml:space="preserve"> would</w:t>
      </w:r>
      <w:r w:rsidR="003B6ACD" w:rsidRPr="00EE5722">
        <w:rPr>
          <w:sz w:val="26"/>
          <w:szCs w:val="26"/>
        </w:rPr>
        <w:t xml:space="preserve"> encourage </w:t>
      </w:r>
      <w:r w:rsidR="00257550" w:rsidRPr="00EE5722">
        <w:rPr>
          <w:sz w:val="26"/>
          <w:szCs w:val="26"/>
        </w:rPr>
        <w:t xml:space="preserve">shopping among those </w:t>
      </w:r>
      <w:r w:rsidR="003B6ACD" w:rsidRPr="00EE5722">
        <w:rPr>
          <w:sz w:val="26"/>
          <w:szCs w:val="26"/>
        </w:rPr>
        <w:t xml:space="preserve">default service customers </w:t>
      </w:r>
      <w:r w:rsidR="00AA4AF1" w:rsidRPr="00EE5722">
        <w:rPr>
          <w:sz w:val="26"/>
          <w:szCs w:val="26"/>
        </w:rPr>
        <w:t>who</w:t>
      </w:r>
      <w:r w:rsidR="003B6ACD" w:rsidRPr="00EE5722">
        <w:rPr>
          <w:sz w:val="26"/>
          <w:szCs w:val="26"/>
        </w:rPr>
        <w:t xml:space="preserve"> have not shopped </w:t>
      </w:r>
      <w:r w:rsidR="00AA4AF1" w:rsidRPr="00EE5722">
        <w:rPr>
          <w:sz w:val="26"/>
          <w:szCs w:val="26"/>
        </w:rPr>
        <w:t>previously</w:t>
      </w:r>
      <w:r w:rsidR="003B6ACD" w:rsidRPr="00EE5722">
        <w:rPr>
          <w:sz w:val="26"/>
          <w:szCs w:val="26"/>
        </w:rPr>
        <w:t>.</w:t>
      </w:r>
    </w:p>
    <w:p w:rsidR="00AA4AF1" w:rsidRPr="00EE5722" w:rsidRDefault="00AA4AF1" w:rsidP="003B6ACD">
      <w:pPr>
        <w:pStyle w:val="BodyText2"/>
        <w:spacing w:after="0" w:line="360" w:lineRule="auto"/>
        <w:rPr>
          <w:sz w:val="26"/>
          <w:szCs w:val="26"/>
        </w:rPr>
      </w:pPr>
    </w:p>
    <w:p w:rsidR="003B6ACD" w:rsidRPr="00EE5722" w:rsidRDefault="00AA4AF1" w:rsidP="003B6ACD">
      <w:pPr>
        <w:pStyle w:val="BodyText2"/>
        <w:spacing w:after="0" w:line="360" w:lineRule="auto"/>
        <w:rPr>
          <w:sz w:val="26"/>
          <w:szCs w:val="26"/>
        </w:rPr>
      </w:pPr>
      <w:r w:rsidRPr="00EE5722">
        <w:rPr>
          <w:sz w:val="26"/>
          <w:szCs w:val="26"/>
        </w:rPr>
        <w:tab/>
      </w:r>
      <w:r w:rsidRPr="00EE5722">
        <w:rPr>
          <w:sz w:val="26"/>
          <w:szCs w:val="26"/>
        </w:rPr>
        <w:tab/>
        <w:t xml:space="preserve">Lastly, </w:t>
      </w:r>
      <w:r w:rsidR="003A7CAD">
        <w:rPr>
          <w:sz w:val="26"/>
          <w:szCs w:val="26"/>
        </w:rPr>
        <w:t xml:space="preserve">Duquesne </w:t>
      </w:r>
      <w:r w:rsidR="00BA3DD7">
        <w:rPr>
          <w:sz w:val="26"/>
          <w:szCs w:val="26"/>
        </w:rPr>
        <w:t>noted that</w:t>
      </w:r>
      <w:r w:rsidR="003B6ACD" w:rsidRPr="00EE5722">
        <w:rPr>
          <w:sz w:val="26"/>
          <w:szCs w:val="26"/>
        </w:rPr>
        <w:t xml:space="preserve"> its residential de</w:t>
      </w:r>
      <w:r w:rsidR="00BC5684">
        <w:rPr>
          <w:sz w:val="26"/>
          <w:szCs w:val="26"/>
        </w:rPr>
        <w:t>fault service customers are accustomed to</w:t>
      </w:r>
      <w:r w:rsidR="003B6ACD" w:rsidRPr="00EE5722">
        <w:rPr>
          <w:sz w:val="26"/>
          <w:szCs w:val="26"/>
        </w:rPr>
        <w:t xml:space="preserve"> long</w:t>
      </w:r>
      <w:r w:rsidR="00CF74E6" w:rsidRPr="00EE5722">
        <w:rPr>
          <w:sz w:val="26"/>
          <w:szCs w:val="26"/>
        </w:rPr>
        <w:t>-</w:t>
      </w:r>
      <w:r w:rsidR="00BC5684">
        <w:rPr>
          <w:sz w:val="26"/>
          <w:szCs w:val="26"/>
        </w:rPr>
        <w:t xml:space="preserve">term stable prices: </w:t>
      </w:r>
      <w:r w:rsidR="00720545" w:rsidRPr="00EE5722">
        <w:rPr>
          <w:sz w:val="26"/>
          <w:szCs w:val="26"/>
        </w:rPr>
        <w:t>three</w:t>
      </w:r>
      <w:r w:rsidR="00BC5684">
        <w:rPr>
          <w:sz w:val="26"/>
          <w:szCs w:val="26"/>
        </w:rPr>
        <w:t xml:space="preserve"> years in DSP III;</w:t>
      </w:r>
      <w:r w:rsidR="003B6ACD" w:rsidRPr="00EE5722">
        <w:rPr>
          <w:sz w:val="26"/>
          <w:szCs w:val="26"/>
        </w:rPr>
        <w:t xml:space="preserve"> </w:t>
      </w:r>
      <w:r w:rsidR="00720545" w:rsidRPr="00EE5722">
        <w:rPr>
          <w:sz w:val="26"/>
          <w:szCs w:val="26"/>
        </w:rPr>
        <w:t>three</w:t>
      </w:r>
      <w:r w:rsidR="003B6ACD" w:rsidRPr="00EE5722">
        <w:rPr>
          <w:sz w:val="26"/>
          <w:szCs w:val="26"/>
        </w:rPr>
        <w:t xml:space="preserve"> years in DSP IV</w:t>
      </w:r>
      <w:r w:rsidR="00BC5684">
        <w:rPr>
          <w:sz w:val="26"/>
          <w:szCs w:val="26"/>
        </w:rPr>
        <w:t>;</w:t>
      </w:r>
      <w:r w:rsidR="00BE21C8">
        <w:rPr>
          <w:sz w:val="26"/>
          <w:szCs w:val="26"/>
        </w:rPr>
        <w:t xml:space="preserve"> and twenty-nine</w:t>
      </w:r>
      <w:r w:rsidR="003B6ACD" w:rsidRPr="00EE5722">
        <w:rPr>
          <w:sz w:val="26"/>
          <w:szCs w:val="26"/>
        </w:rPr>
        <w:t xml:space="preserve"> months in DSP</w:t>
      </w:r>
      <w:r w:rsidR="00E5063C" w:rsidRPr="00EE5722">
        <w:rPr>
          <w:sz w:val="26"/>
          <w:szCs w:val="26"/>
        </w:rPr>
        <w:t> </w:t>
      </w:r>
      <w:r w:rsidR="003B6ACD" w:rsidRPr="00EE5722">
        <w:rPr>
          <w:sz w:val="26"/>
          <w:szCs w:val="26"/>
        </w:rPr>
        <w:t xml:space="preserve">V.  </w:t>
      </w:r>
      <w:r w:rsidRPr="00EE5722">
        <w:rPr>
          <w:sz w:val="26"/>
          <w:szCs w:val="26"/>
        </w:rPr>
        <w:t>The Company</w:t>
      </w:r>
      <w:r w:rsidR="003B6ACD" w:rsidRPr="00EE5722">
        <w:rPr>
          <w:sz w:val="26"/>
          <w:szCs w:val="26"/>
        </w:rPr>
        <w:t xml:space="preserve"> question</w:t>
      </w:r>
      <w:r w:rsidR="00BA3DD7">
        <w:rPr>
          <w:sz w:val="26"/>
          <w:szCs w:val="26"/>
        </w:rPr>
        <w:t>ed</w:t>
      </w:r>
      <w:r w:rsidR="003B6ACD" w:rsidRPr="00EE5722">
        <w:rPr>
          <w:sz w:val="26"/>
          <w:szCs w:val="26"/>
        </w:rPr>
        <w:t xml:space="preserve"> whether customers that remain on default service will shop if anything less than a known </w:t>
      </w:r>
      <w:r w:rsidR="00BE21C8">
        <w:rPr>
          <w:sz w:val="26"/>
          <w:szCs w:val="26"/>
        </w:rPr>
        <w:t>twelve</w:t>
      </w:r>
      <w:r w:rsidR="00BC5684">
        <w:rPr>
          <w:sz w:val="26"/>
          <w:szCs w:val="26"/>
        </w:rPr>
        <w:t>-month</w:t>
      </w:r>
      <w:r w:rsidR="003B6ACD" w:rsidRPr="00EE5722">
        <w:rPr>
          <w:sz w:val="26"/>
          <w:szCs w:val="26"/>
        </w:rPr>
        <w:t xml:space="preserve"> price with guaranteed savings is offered.</w:t>
      </w:r>
      <w:r w:rsidRPr="00EE5722">
        <w:rPr>
          <w:sz w:val="26"/>
          <w:szCs w:val="26"/>
        </w:rPr>
        <w:t xml:space="preserve">  For al</w:t>
      </w:r>
      <w:r w:rsidR="003A7CAD">
        <w:rPr>
          <w:sz w:val="26"/>
          <w:szCs w:val="26"/>
        </w:rPr>
        <w:t xml:space="preserve">l these reasons, Duquesne </w:t>
      </w:r>
      <w:r w:rsidR="00BA3DD7">
        <w:rPr>
          <w:sz w:val="26"/>
          <w:szCs w:val="26"/>
        </w:rPr>
        <w:t>argued that</w:t>
      </w:r>
      <w:r w:rsidRPr="00EE5722">
        <w:rPr>
          <w:sz w:val="26"/>
          <w:szCs w:val="26"/>
        </w:rPr>
        <w:t xml:space="preserve"> its proposed </w:t>
      </w:r>
      <w:r w:rsidR="003B6ACD" w:rsidRPr="00EE5722">
        <w:rPr>
          <w:sz w:val="26"/>
          <w:szCs w:val="26"/>
        </w:rPr>
        <w:t xml:space="preserve">one-year product term best serves residential customers </w:t>
      </w:r>
      <w:r w:rsidR="003B6ACD" w:rsidRPr="00BC5684">
        <w:rPr>
          <w:sz w:val="26"/>
          <w:szCs w:val="26"/>
        </w:rPr>
        <w:t>and</w:t>
      </w:r>
      <w:r w:rsidR="003B6ACD" w:rsidRPr="00EE5722">
        <w:rPr>
          <w:sz w:val="26"/>
          <w:szCs w:val="26"/>
        </w:rPr>
        <w:t xml:space="preserve"> is the most constructive approach to enhancing competitive markets.</w:t>
      </w:r>
    </w:p>
    <w:p w:rsidR="002A65D3" w:rsidRPr="00EE5722" w:rsidRDefault="00283369" w:rsidP="00115AB3">
      <w:pPr>
        <w:pStyle w:val="Heading5"/>
        <w:numPr>
          <w:ilvl w:val="0"/>
          <w:numId w:val="0"/>
        </w:numPr>
        <w:ind w:left="3600" w:hanging="720"/>
      </w:pPr>
      <w:bookmarkStart w:id="78" w:name="_Toc346705320"/>
      <w:r w:rsidRPr="00EE5722">
        <w:lastRenderedPageBreak/>
        <w:t>ii</w:t>
      </w:r>
      <w:r w:rsidR="00BA3DD7">
        <w:t>.</w:t>
      </w:r>
      <w:r w:rsidR="00BA3DD7">
        <w:tab/>
      </w:r>
      <w:r w:rsidR="002A65D3" w:rsidRPr="00EE5722">
        <w:t>Position</w:t>
      </w:r>
      <w:r w:rsidR="00BA3DD7">
        <w:t>s of the Parties</w:t>
      </w:r>
      <w:bookmarkEnd w:id="78"/>
    </w:p>
    <w:p w:rsidR="002A65D3" w:rsidRPr="00EE5722" w:rsidRDefault="002A65D3" w:rsidP="002A65D3">
      <w:pPr>
        <w:pStyle w:val="BodyText"/>
        <w:spacing w:after="0" w:line="360" w:lineRule="auto"/>
        <w:ind w:left="0" w:firstLine="0"/>
        <w:rPr>
          <w:sz w:val="26"/>
          <w:szCs w:val="26"/>
        </w:rPr>
      </w:pPr>
    </w:p>
    <w:p w:rsidR="002A65D3" w:rsidRPr="00C027A8" w:rsidRDefault="00BA3DD7" w:rsidP="004F2098">
      <w:pPr>
        <w:pStyle w:val="BodyText2"/>
        <w:spacing w:after="0" w:line="360" w:lineRule="auto"/>
        <w:ind w:firstLine="1440"/>
        <w:rPr>
          <w:sz w:val="26"/>
          <w:szCs w:val="26"/>
        </w:rPr>
      </w:pPr>
      <w:r>
        <w:rPr>
          <w:sz w:val="26"/>
          <w:szCs w:val="26"/>
        </w:rPr>
        <w:t>The OCA generally preferred</w:t>
      </w:r>
      <w:r w:rsidR="00BE21C8">
        <w:rPr>
          <w:sz w:val="26"/>
          <w:szCs w:val="26"/>
        </w:rPr>
        <w:t xml:space="preserve"> the twelve</w:t>
      </w:r>
      <w:r w:rsidR="002A65D3" w:rsidRPr="00EE5722">
        <w:rPr>
          <w:sz w:val="26"/>
          <w:szCs w:val="26"/>
        </w:rPr>
        <w:t xml:space="preserve">-month contract term proposed by </w:t>
      </w:r>
      <w:r w:rsidR="00634AA2" w:rsidRPr="00EE5722">
        <w:rPr>
          <w:sz w:val="26"/>
          <w:szCs w:val="26"/>
        </w:rPr>
        <w:t xml:space="preserve">the </w:t>
      </w:r>
      <w:r w:rsidR="002A65D3" w:rsidRPr="00EE5722">
        <w:rPr>
          <w:sz w:val="26"/>
          <w:szCs w:val="26"/>
        </w:rPr>
        <w:t>Company and its proposal to require that EGSs offer a fixed price or fixed discount off the PTC that will be effect</w:t>
      </w:r>
      <w:r w:rsidR="00283369" w:rsidRPr="00EE5722">
        <w:rPr>
          <w:sz w:val="26"/>
          <w:szCs w:val="26"/>
        </w:rPr>
        <w:t>ive</w:t>
      </w:r>
      <w:r w:rsidR="002A65D3" w:rsidRPr="00EE5722">
        <w:rPr>
          <w:sz w:val="26"/>
          <w:szCs w:val="26"/>
        </w:rPr>
        <w:t xml:space="preserve"> during this term.  OCA St. 2 at 11</w:t>
      </w:r>
      <w:r w:rsidR="0096680A">
        <w:rPr>
          <w:sz w:val="26"/>
          <w:szCs w:val="26"/>
        </w:rPr>
        <w:t>;</w:t>
      </w:r>
      <w:r w:rsidR="002A65D3" w:rsidRPr="00EE5722">
        <w:rPr>
          <w:sz w:val="26"/>
          <w:szCs w:val="26"/>
        </w:rPr>
        <w:t xml:space="preserve"> OCA St. 2-R at 7-9.  </w:t>
      </w:r>
      <w:r>
        <w:rPr>
          <w:sz w:val="26"/>
          <w:szCs w:val="26"/>
        </w:rPr>
        <w:t>The OCA averred that</w:t>
      </w:r>
      <w:r w:rsidR="00BC5684">
        <w:rPr>
          <w:sz w:val="26"/>
          <w:szCs w:val="26"/>
        </w:rPr>
        <w:t xml:space="preserve"> </w:t>
      </w:r>
      <w:r w:rsidR="002A65D3" w:rsidRPr="00EE5722">
        <w:rPr>
          <w:sz w:val="26"/>
          <w:szCs w:val="26"/>
        </w:rPr>
        <w:t xml:space="preserve">customers </w:t>
      </w:r>
      <w:r w:rsidR="00257550" w:rsidRPr="00EE5722">
        <w:rPr>
          <w:sz w:val="26"/>
          <w:szCs w:val="26"/>
        </w:rPr>
        <w:t xml:space="preserve">should </w:t>
      </w:r>
      <w:r w:rsidR="00BC5684">
        <w:rPr>
          <w:sz w:val="26"/>
          <w:szCs w:val="26"/>
        </w:rPr>
        <w:t>be assured that</w:t>
      </w:r>
      <w:r w:rsidR="002A65D3" w:rsidRPr="00EE5722">
        <w:rPr>
          <w:sz w:val="26"/>
          <w:szCs w:val="26"/>
        </w:rPr>
        <w:t xml:space="preserve"> savings </w:t>
      </w:r>
      <w:r w:rsidR="004F2098" w:rsidRPr="00EE5722">
        <w:rPr>
          <w:sz w:val="26"/>
          <w:szCs w:val="26"/>
        </w:rPr>
        <w:t>will</w:t>
      </w:r>
      <w:r w:rsidR="002A65D3" w:rsidRPr="00EE5722">
        <w:rPr>
          <w:sz w:val="26"/>
          <w:szCs w:val="26"/>
        </w:rPr>
        <w:t xml:space="preserve"> continue during the entire contract term.</w:t>
      </w:r>
      <w:r w:rsidR="004F2098" w:rsidRPr="00EE5722">
        <w:rPr>
          <w:sz w:val="26"/>
          <w:szCs w:val="26"/>
        </w:rPr>
        <w:t xml:space="preserve">  </w:t>
      </w:r>
      <w:r w:rsidR="00BC5684">
        <w:rPr>
          <w:sz w:val="26"/>
          <w:szCs w:val="26"/>
        </w:rPr>
        <w:t>The Opt-In</w:t>
      </w:r>
      <w:r w:rsidR="002A65D3" w:rsidRPr="00EE5722">
        <w:rPr>
          <w:sz w:val="26"/>
          <w:szCs w:val="26"/>
        </w:rPr>
        <w:t xml:space="preserve"> </w:t>
      </w:r>
      <w:r w:rsidR="004F2098" w:rsidRPr="00EE5722">
        <w:rPr>
          <w:sz w:val="26"/>
          <w:szCs w:val="26"/>
        </w:rPr>
        <w:t xml:space="preserve">term </w:t>
      </w:r>
      <w:r w:rsidR="002A65D3" w:rsidRPr="00EE5722">
        <w:rPr>
          <w:sz w:val="26"/>
          <w:szCs w:val="26"/>
        </w:rPr>
        <w:t>is especially important given the design of Duquesne’s default service program.  Duquesne’s Ju</w:t>
      </w:r>
      <w:r w:rsidR="00BC5684">
        <w:rPr>
          <w:sz w:val="26"/>
          <w:szCs w:val="26"/>
        </w:rPr>
        <w:t xml:space="preserve">ne 1, 2013 PTC </w:t>
      </w:r>
      <w:r w:rsidR="002A65D3" w:rsidRPr="00EE5722">
        <w:rPr>
          <w:sz w:val="26"/>
          <w:szCs w:val="26"/>
        </w:rPr>
        <w:t>will be known at the time c</w:t>
      </w:r>
      <w:r w:rsidR="00BC5684">
        <w:rPr>
          <w:sz w:val="26"/>
          <w:szCs w:val="26"/>
        </w:rPr>
        <w:t>ustomers are solicited for the Opt-In P</w:t>
      </w:r>
      <w:r w:rsidR="002A65D3" w:rsidRPr="00EE5722">
        <w:rPr>
          <w:sz w:val="26"/>
          <w:szCs w:val="26"/>
        </w:rPr>
        <w:t>ro</w:t>
      </w:r>
      <w:r w:rsidR="00BC5684">
        <w:rPr>
          <w:sz w:val="26"/>
          <w:szCs w:val="26"/>
        </w:rPr>
        <w:t>gram, and will remain in effect f</w:t>
      </w:r>
      <w:r w:rsidR="002A65D3" w:rsidRPr="00EE5722">
        <w:rPr>
          <w:sz w:val="26"/>
          <w:szCs w:val="26"/>
        </w:rPr>
        <w:t>or 12 months</w:t>
      </w:r>
      <w:r w:rsidR="00BC5684">
        <w:rPr>
          <w:sz w:val="26"/>
          <w:szCs w:val="26"/>
        </w:rPr>
        <w:t xml:space="preserve">.  </w:t>
      </w:r>
      <w:r>
        <w:rPr>
          <w:sz w:val="26"/>
          <w:szCs w:val="26"/>
        </w:rPr>
        <w:t xml:space="preserve">The </w:t>
      </w:r>
      <w:r w:rsidR="002A65D3" w:rsidRPr="00EE5722">
        <w:rPr>
          <w:sz w:val="26"/>
          <w:szCs w:val="26"/>
        </w:rPr>
        <w:t>OCA urges the Commission to accept the Co</w:t>
      </w:r>
      <w:r w:rsidR="00C027A8">
        <w:rPr>
          <w:sz w:val="26"/>
          <w:szCs w:val="26"/>
        </w:rPr>
        <w:t>mpany’s position on this issue.</w:t>
      </w:r>
    </w:p>
    <w:p w:rsidR="002A65D3" w:rsidRPr="00EE5722" w:rsidRDefault="002A65D3" w:rsidP="002A65D3">
      <w:pPr>
        <w:pStyle w:val="BodyText2"/>
        <w:spacing w:after="0" w:line="360" w:lineRule="auto"/>
        <w:rPr>
          <w:sz w:val="26"/>
          <w:szCs w:val="26"/>
        </w:rPr>
      </w:pPr>
    </w:p>
    <w:p w:rsidR="002A65D3" w:rsidRPr="00C027A8" w:rsidRDefault="002A65D3" w:rsidP="00BE21C8">
      <w:pPr>
        <w:pStyle w:val="BodyText2"/>
        <w:spacing w:after="0" w:line="360" w:lineRule="auto"/>
        <w:rPr>
          <w:sz w:val="26"/>
          <w:szCs w:val="26"/>
        </w:rPr>
      </w:pPr>
      <w:r w:rsidRPr="00EE5722">
        <w:rPr>
          <w:sz w:val="26"/>
          <w:szCs w:val="26"/>
        </w:rPr>
        <w:tab/>
      </w:r>
      <w:r w:rsidRPr="00EE5722">
        <w:rPr>
          <w:sz w:val="26"/>
          <w:szCs w:val="26"/>
        </w:rPr>
        <w:tab/>
      </w:r>
      <w:r w:rsidR="00BA3DD7">
        <w:rPr>
          <w:sz w:val="26"/>
          <w:szCs w:val="26"/>
        </w:rPr>
        <w:t>The OCA submitted</w:t>
      </w:r>
      <w:r w:rsidR="00D40650">
        <w:rPr>
          <w:sz w:val="26"/>
          <w:szCs w:val="26"/>
        </w:rPr>
        <w:t xml:space="preserve"> that t</w:t>
      </w:r>
      <w:r w:rsidR="004F2098" w:rsidRPr="00EE5722">
        <w:rPr>
          <w:sz w:val="26"/>
          <w:szCs w:val="26"/>
        </w:rPr>
        <w:t>he</w:t>
      </w:r>
      <w:r w:rsidRPr="00EE5722">
        <w:rPr>
          <w:sz w:val="26"/>
          <w:szCs w:val="26"/>
        </w:rPr>
        <w:t xml:space="preserve"> structure propo</w:t>
      </w:r>
      <w:r w:rsidR="00D40650">
        <w:rPr>
          <w:sz w:val="26"/>
          <w:szCs w:val="26"/>
        </w:rPr>
        <w:t>sed by RESA would</w:t>
      </w:r>
      <w:r w:rsidRPr="00EE5722">
        <w:rPr>
          <w:sz w:val="26"/>
          <w:szCs w:val="26"/>
        </w:rPr>
        <w:t xml:space="preserve"> not provide a positive experience for Duquesne’s customers.  First,</w:t>
      </w:r>
      <w:r w:rsidR="00D40650">
        <w:rPr>
          <w:sz w:val="26"/>
          <w:szCs w:val="26"/>
        </w:rPr>
        <w:t xml:space="preserve"> the 5% discount would be based on the Company’s PTC </w:t>
      </w:r>
      <w:r w:rsidRPr="00EE5722">
        <w:rPr>
          <w:sz w:val="26"/>
          <w:szCs w:val="26"/>
        </w:rPr>
        <w:t xml:space="preserve">“at the time of enrollment.”  </w:t>
      </w:r>
      <w:r w:rsidR="00D40650">
        <w:rPr>
          <w:sz w:val="26"/>
          <w:szCs w:val="26"/>
        </w:rPr>
        <w:t xml:space="preserve">This price is likely to be </w:t>
      </w:r>
      <w:r w:rsidRPr="00EE5722">
        <w:rPr>
          <w:sz w:val="26"/>
          <w:szCs w:val="26"/>
        </w:rPr>
        <w:t>higher than the June 1, 2</w:t>
      </w:r>
      <w:r w:rsidR="00D40650">
        <w:rPr>
          <w:sz w:val="26"/>
          <w:szCs w:val="26"/>
        </w:rPr>
        <w:t>013 PTC because Duquesne’s current PTC</w:t>
      </w:r>
      <w:r w:rsidRPr="00EE5722">
        <w:rPr>
          <w:sz w:val="26"/>
          <w:szCs w:val="26"/>
        </w:rPr>
        <w:t xml:space="preserve"> was fixed more than two years ago</w:t>
      </w:r>
      <w:r w:rsidR="00D40650">
        <w:rPr>
          <w:sz w:val="26"/>
          <w:szCs w:val="26"/>
        </w:rPr>
        <w:t xml:space="preserve">.  As a result, customers </w:t>
      </w:r>
      <w:r w:rsidRPr="00EE5722">
        <w:rPr>
          <w:sz w:val="26"/>
          <w:szCs w:val="26"/>
        </w:rPr>
        <w:t xml:space="preserve">actually </w:t>
      </w:r>
      <w:r w:rsidR="00D40650">
        <w:rPr>
          <w:sz w:val="26"/>
          <w:szCs w:val="26"/>
        </w:rPr>
        <w:t>could pay more on June 1, 2013</w:t>
      </w:r>
      <w:r w:rsidR="00BE21C8">
        <w:rPr>
          <w:sz w:val="26"/>
          <w:szCs w:val="26"/>
        </w:rPr>
        <w:t>,</w:t>
      </w:r>
      <w:r w:rsidR="00D40650">
        <w:rPr>
          <w:sz w:val="26"/>
          <w:szCs w:val="26"/>
        </w:rPr>
        <w:t xml:space="preserve"> under the Opt-In Program</w:t>
      </w:r>
      <w:r w:rsidR="004F2098" w:rsidRPr="00EE5722">
        <w:rPr>
          <w:sz w:val="26"/>
          <w:szCs w:val="26"/>
        </w:rPr>
        <w:t>.  Such</w:t>
      </w:r>
      <w:r w:rsidRPr="00EE5722">
        <w:rPr>
          <w:sz w:val="26"/>
          <w:szCs w:val="26"/>
        </w:rPr>
        <w:t xml:space="preserve"> a result could </w:t>
      </w:r>
      <w:r w:rsidR="004F2098" w:rsidRPr="00EE5722">
        <w:rPr>
          <w:sz w:val="26"/>
          <w:szCs w:val="26"/>
        </w:rPr>
        <w:t>prove</w:t>
      </w:r>
      <w:r w:rsidRPr="00EE5722">
        <w:rPr>
          <w:sz w:val="26"/>
          <w:szCs w:val="26"/>
        </w:rPr>
        <w:t xml:space="preserve"> disastrous for the competitive market.  Second, </w:t>
      </w:r>
      <w:r w:rsidR="00BE21C8">
        <w:rPr>
          <w:sz w:val="26"/>
          <w:szCs w:val="26"/>
        </w:rPr>
        <w:t xml:space="preserve">the OCA noted that </w:t>
      </w:r>
      <w:r w:rsidRPr="00EE5722">
        <w:rPr>
          <w:sz w:val="26"/>
          <w:szCs w:val="26"/>
        </w:rPr>
        <w:t>Duqu</w:t>
      </w:r>
      <w:r w:rsidR="00D40650">
        <w:rPr>
          <w:sz w:val="26"/>
          <w:szCs w:val="26"/>
        </w:rPr>
        <w:t>esne’s PTC</w:t>
      </w:r>
      <w:r w:rsidRPr="00EE5722">
        <w:rPr>
          <w:sz w:val="26"/>
          <w:szCs w:val="26"/>
        </w:rPr>
        <w:t xml:space="preserve"> will be known well in advance of any customer enrolling in the program.  </w:t>
      </w:r>
      <w:r w:rsidR="00283369" w:rsidRPr="00EE5722">
        <w:rPr>
          <w:sz w:val="26"/>
          <w:szCs w:val="26"/>
        </w:rPr>
        <w:t>Third</w:t>
      </w:r>
      <w:r w:rsidRPr="00EE5722">
        <w:rPr>
          <w:sz w:val="26"/>
          <w:szCs w:val="26"/>
        </w:rPr>
        <w:t xml:space="preserve">, </w:t>
      </w:r>
      <w:r w:rsidR="00BE21C8">
        <w:rPr>
          <w:sz w:val="26"/>
          <w:szCs w:val="26"/>
        </w:rPr>
        <w:t xml:space="preserve">according to the OCA </w:t>
      </w:r>
      <w:r w:rsidRPr="00EE5722">
        <w:rPr>
          <w:sz w:val="26"/>
          <w:szCs w:val="26"/>
        </w:rPr>
        <w:t>RESA</w:t>
      </w:r>
      <w:r w:rsidR="0096680A">
        <w:rPr>
          <w:sz w:val="26"/>
          <w:szCs w:val="26"/>
        </w:rPr>
        <w:t>’s</w:t>
      </w:r>
      <w:r w:rsidRPr="00EE5722">
        <w:rPr>
          <w:sz w:val="26"/>
          <w:szCs w:val="26"/>
        </w:rPr>
        <w:t xml:space="preserve"> proposal</w:t>
      </w:r>
      <w:r w:rsidR="00BE21C8">
        <w:rPr>
          <w:sz w:val="26"/>
          <w:szCs w:val="26"/>
        </w:rPr>
        <w:t xml:space="preserve">, </w:t>
      </w:r>
      <w:r w:rsidRPr="00EE5722">
        <w:rPr>
          <w:sz w:val="26"/>
          <w:szCs w:val="26"/>
        </w:rPr>
        <w:t>if it produces any savings at all</w:t>
      </w:r>
      <w:r w:rsidR="00BE21C8">
        <w:rPr>
          <w:sz w:val="26"/>
          <w:szCs w:val="26"/>
        </w:rPr>
        <w:t>,</w:t>
      </w:r>
      <w:r w:rsidRPr="00EE5722">
        <w:rPr>
          <w:sz w:val="26"/>
          <w:szCs w:val="26"/>
        </w:rPr>
        <w:t xml:space="preserve"> only guarantees such savings for four months.  </w:t>
      </w:r>
      <w:r w:rsidR="00BE21C8">
        <w:rPr>
          <w:sz w:val="26"/>
          <w:szCs w:val="26"/>
        </w:rPr>
        <w:t>The OCA explained that given</w:t>
      </w:r>
      <w:r w:rsidR="0096680A">
        <w:rPr>
          <w:sz w:val="26"/>
          <w:szCs w:val="26"/>
        </w:rPr>
        <w:t>,</w:t>
      </w:r>
      <w:r w:rsidR="00BE21C8">
        <w:rPr>
          <w:sz w:val="26"/>
          <w:szCs w:val="26"/>
        </w:rPr>
        <w:t xml:space="preserve"> that Duquesne proposed</w:t>
      </w:r>
      <w:r w:rsidRPr="00EE5722">
        <w:rPr>
          <w:sz w:val="26"/>
          <w:szCs w:val="26"/>
        </w:rPr>
        <w:t xml:space="preserve"> </w:t>
      </w:r>
      <w:r w:rsidR="00D40650">
        <w:rPr>
          <w:sz w:val="26"/>
          <w:szCs w:val="26"/>
        </w:rPr>
        <w:t>an annual PTC</w:t>
      </w:r>
      <w:r w:rsidRPr="00EE5722">
        <w:rPr>
          <w:sz w:val="26"/>
          <w:szCs w:val="26"/>
        </w:rPr>
        <w:t>, EGSs will face no risk of PTC changes during the program term</w:t>
      </w:r>
      <w:r w:rsidR="00D40650">
        <w:rPr>
          <w:sz w:val="26"/>
          <w:szCs w:val="26"/>
        </w:rPr>
        <w:t>,</w:t>
      </w:r>
      <w:r w:rsidRPr="00EE5722">
        <w:rPr>
          <w:sz w:val="26"/>
          <w:szCs w:val="26"/>
        </w:rPr>
        <w:t xml:space="preserve"> and </w:t>
      </w:r>
      <w:r w:rsidR="00D40650">
        <w:rPr>
          <w:sz w:val="26"/>
          <w:szCs w:val="26"/>
        </w:rPr>
        <w:t xml:space="preserve">therefore should </w:t>
      </w:r>
      <w:r w:rsidRPr="00EE5722">
        <w:rPr>
          <w:sz w:val="26"/>
          <w:szCs w:val="26"/>
        </w:rPr>
        <w:t>be able to guarantee sav</w:t>
      </w:r>
      <w:r w:rsidR="00BE21C8">
        <w:rPr>
          <w:sz w:val="26"/>
          <w:szCs w:val="26"/>
        </w:rPr>
        <w:t>ings for the entire twelve</w:t>
      </w:r>
      <w:r w:rsidR="00C027A8">
        <w:rPr>
          <w:sz w:val="26"/>
          <w:szCs w:val="26"/>
        </w:rPr>
        <w:t xml:space="preserve"> months.</w:t>
      </w:r>
    </w:p>
    <w:p w:rsidR="002A65D3" w:rsidRPr="00EE5722" w:rsidRDefault="002A65D3" w:rsidP="002A65D3">
      <w:pPr>
        <w:pStyle w:val="BodyText2"/>
        <w:spacing w:after="0" w:line="360" w:lineRule="auto"/>
        <w:ind w:firstLine="1440"/>
        <w:rPr>
          <w:sz w:val="26"/>
          <w:szCs w:val="26"/>
        </w:rPr>
      </w:pPr>
    </w:p>
    <w:p w:rsidR="00BA3DD7" w:rsidRPr="00831C7D" w:rsidRDefault="00831C7D" w:rsidP="00807FE6">
      <w:pPr>
        <w:pStyle w:val="BodyText2"/>
        <w:spacing w:after="0" w:line="360" w:lineRule="auto"/>
        <w:ind w:firstLine="1440"/>
        <w:rPr>
          <w:sz w:val="26"/>
          <w:szCs w:val="26"/>
        </w:rPr>
      </w:pPr>
      <w:r>
        <w:rPr>
          <w:sz w:val="26"/>
          <w:szCs w:val="26"/>
        </w:rPr>
        <w:t xml:space="preserve">RESA proposed </w:t>
      </w:r>
      <w:r w:rsidR="00D40650">
        <w:rPr>
          <w:sz w:val="26"/>
          <w:szCs w:val="26"/>
        </w:rPr>
        <w:t xml:space="preserve">an </w:t>
      </w:r>
      <w:r w:rsidR="00BA3DD7" w:rsidRPr="00EE5722">
        <w:rPr>
          <w:sz w:val="26"/>
          <w:szCs w:val="26"/>
        </w:rPr>
        <w:t xml:space="preserve">initial </w:t>
      </w:r>
      <w:r w:rsidR="00BE21C8">
        <w:rPr>
          <w:sz w:val="26"/>
          <w:szCs w:val="26"/>
        </w:rPr>
        <w:t>four</w:t>
      </w:r>
      <w:r w:rsidR="00BA3DD7" w:rsidRPr="00EE5722">
        <w:rPr>
          <w:sz w:val="26"/>
          <w:szCs w:val="26"/>
        </w:rPr>
        <w:noBreakHyphen/>
      </w:r>
      <w:r w:rsidR="00D40650">
        <w:rPr>
          <w:sz w:val="26"/>
          <w:szCs w:val="26"/>
        </w:rPr>
        <w:t xml:space="preserve">month price </w:t>
      </w:r>
      <w:r w:rsidR="00BE21C8">
        <w:rPr>
          <w:sz w:val="26"/>
          <w:szCs w:val="26"/>
        </w:rPr>
        <w:t>in line with it</w:t>
      </w:r>
      <w:r w:rsidR="00BA3DD7" w:rsidRPr="00EE5722">
        <w:rPr>
          <w:sz w:val="26"/>
          <w:szCs w:val="26"/>
        </w:rPr>
        <w:t xml:space="preserve">s procurement proposal for residential customers, which includes a PTC that changes every quarter.  </w:t>
      </w:r>
      <w:r w:rsidR="001C0E37">
        <w:rPr>
          <w:sz w:val="26"/>
          <w:szCs w:val="26"/>
        </w:rPr>
        <w:t>RESA contended that</w:t>
      </w:r>
      <w:r w:rsidR="00BE21C8">
        <w:rPr>
          <w:sz w:val="26"/>
          <w:szCs w:val="26"/>
        </w:rPr>
        <w:t xml:space="preserve"> an offer with a twelve</w:t>
      </w:r>
      <w:r w:rsidR="00BA3DD7" w:rsidRPr="00EE5722">
        <w:rPr>
          <w:sz w:val="26"/>
          <w:szCs w:val="26"/>
        </w:rPr>
        <w:t>-month term that guarantee</w:t>
      </w:r>
      <w:r>
        <w:rPr>
          <w:sz w:val="26"/>
          <w:szCs w:val="26"/>
        </w:rPr>
        <w:t xml:space="preserve">s a five percent savings off </w:t>
      </w:r>
      <w:r w:rsidR="00BA3DD7" w:rsidRPr="00EE5722">
        <w:rPr>
          <w:sz w:val="26"/>
          <w:szCs w:val="26"/>
        </w:rPr>
        <w:t xml:space="preserve">the PTC, even if the PTC changes during the contract term, is unlikely to produce the best price for the customer because it exposes EGSs to an unreasonable level </w:t>
      </w:r>
      <w:r w:rsidR="00BA3DD7" w:rsidRPr="00EE5722">
        <w:rPr>
          <w:sz w:val="26"/>
          <w:szCs w:val="26"/>
        </w:rPr>
        <w:lastRenderedPageBreak/>
        <w:t>of risk.</w:t>
      </w:r>
      <w:r>
        <w:rPr>
          <w:sz w:val="26"/>
          <w:szCs w:val="26"/>
        </w:rPr>
        <w:t xml:space="preserve">  </w:t>
      </w:r>
      <w:r w:rsidR="00BE21C8">
        <w:rPr>
          <w:sz w:val="26"/>
          <w:szCs w:val="26"/>
        </w:rPr>
        <w:t xml:space="preserve">According to RESA, </w:t>
      </w:r>
      <w:r>
        <w:rPr>
          <w:sz w:val="26"/>
          <w:szCs w:val="26"/>
        </w:rPr>
        <w:t xml:space="preserve">EGSs </w:t>
      </w:r>
      <w:r w:rsidR="00BA3DD7" w:rsidRPr="00EE5722">
        <w:rPr>
          <w:sz w:val="26"/>
          <w:szCs w:val="26"/>
        </w:rPr>
        <w:t xml:space="preserve">generally </w:t>
      </w:r>
      <w:r>
        <w:rPr>
          <w:sz w:val="26"/>
          <w:szCs w:val="26"/>
        </w:rPr>
        <w:t xml:space="preserve">are </w:t>
      </w:r>
      <w:r w:rsidR="00BA3DD7" w:rsidRPr="00EE5722">
        <w:rPr>
          <w:sz w:val="26"/>
          <w:szCs w:val="26"/>
        </w:rPr>
        <w:t xml:space="preserve">comfortable </w:t>
      </w:r>
      <w:r>
        <w:rPr>
          <w:sz w:val="26"/>
          <w:szCs w:val="26"/>
        </w:rPr>
        <w:t xml:space="preserve">with </w:t>
      </w:r>
      <w:r w:rsidR="00BE21C8">
        <w:rPr>
          <w:sz w:val="26"/>
          <w:szCs w:val="26"/>
        </w:rPr>
        <w:t>providing a fixed twelve</w:t>
      </w:r>
      <w:r w:rsidR="00BA3DD7" w:rsidRPr="00EE5722">
        <w:rPr>
          <w:sz w:val="26"/>
          <w:szCs w:val="26"/>
        </w:rPr>
        <w:t xml:space="preserve">-month price, as such offers can be hedged at the time they are made.  </w:t>
      </w:r>
      <w:r w:rsidR="00807FE6">
        <w:rPr>
          <w:sz w:val="26"/>
          <w:szCs w:val="26"/>
        </w:rPr>
        <w:t xml:space="preserve">However, RESA stated that </w:t>
      </w:r>
      <w:r w:rsidR="00BA3DD7" w:rsidRPr="00EE5722">
        <w:rPr>
          <w:sz w:val="26"/>
          <w:szCs w:val="26"/>
        </w:rPr>
        <w:t>EGSs generally are not comfortable offering a mandated guaranteed savings against a price that might change over</w:t>
      </w:r>
      <w:r>
        <w:rPr>
          <w:sz w:val="26"/>
          <w:szCs w:val="26"/>
        </w:rPr>
        <w:t xml:space="preserve"> time</w:t>
      </w:r>
      <w:r w:rsidR="00BA3DD7" w:rsidRPr="00EE5722">
        <w:rPr>
          <w:sz w:val="26"/>
          <w:szCs w:val="26"/>
        </w:rPr>
        <w:t>.</w:t>
      </w:r>
      <w:r w:rsidR="00BA3DD7" w:rsidRPr="00EE5722">
        <w:rPr>
          <w:rStyle w:val="FootnoteReference"/>
          <w:sz w:val="26"/>
          <w:szCs w:val="26"/>
        </w:rPr>
        <w:footnoteReference w:id="68"/>
      </w:r>
      <w:r>
        <w:rPr>
          <w:sz w:val="26"/>
          <w:szCs w:val="26"/>
        </w:rPr>
        <w:t xml:space="preserve">  Under RESA’s proposal, </w:t>
      </w:r>
      <w:r w:rsidR="00BA3DD7" w:rsidRPr="00EE5722">
        <w:rPr>
          <w:sz w:val="26"/>
          <w:szCs w:val="26"/>
        </w:rPr>
        <w:t>ea</w:t>
      </w:r>
      <w:r>
        <w:rPr>
          <w:sz w:val="26"/>
          <w:szCs w:val="26"/>
        </w:rPr>
        <w:t xml:space="preserve">ch EGS would offer </w:t>
      </w:r>
      <w:r w:rsidR="00BA3DD7" w:rsidRPr="00EE5722">
        <w:rPr>
          <w:sz w:val="26"/>
          <w:szCs w:val="26"/>
        </w:rPr>
        <w:t xml:space="preserve">a fixed rate </w:t>
      </w:r>
      <w:r w:rsidR="00807FE6">
        <w:rPr>
          <w:sz w:val="26"/>
          <w:szCs w:val="26"/>
        </w:rPr>
        <w:t>during the final eight</w:t>
      </w:r>
      <w:r>
        <w:rPr>
          <w:sz w:val="26"/>
          <w:szCs w:val="26"/>
        </w:rPr>
        <w:t xml:space="preserve"> months </w:t>
      </w:r>
      <w:r w:rsidR="00BA3DD7" w:rsidRPr="00EE5722">
        <w:rPr>
          <w:sz w:val="26"/>
          <w:szCs w:val="26"/>
        </w:rPr>
        <w:t>t</w:t>
      </w:r>
      <w:r>
        <w:rPr>
          <w:sz w:val="26"/>
          <w:szCs w:val="26"/>
        </w:rPr>
        <w:t xml:space="preserve">hat it would communicate to </w:t>
      </w:r>
      <w:r w:rsidR="00BA3DD7" w:rsidRPr="00EE5722">
        <w:rPr>
          <w:sz w:val="26"/>
          <w:szCs w:val="26"/>
        </w:rPr>
        <w:t>customer</w:t>
      </w:r>
      <w:r>
        <w:rPr>
          <w:sz w:val="26"/>
          <w:szCs w:val="26"/>
        </w:rPr>
        <w:t>s</w:t>
      </w:r>
      <w:r w:rsidR="00BA3DD7" w:rsidRPr="00EE5722">
        <w:rPr>
          <w:sz w:val="26"/>
          <w:szCs w:val="26"/>
        </w:rPr>
        <w:t xml:space="preserve"> consistent with the Commission’s regulations requiring two notices before a price change.</w:t>
      </w:r>
      <w:r w:rsidR="00911D84">
        <w:rPr>
          <w:sz w:val="26"/>
          <w:szCs w:val="26"/>
        </w:rPr>
        <w:t xml:space="preserve">  </w:t>
      </w:r>
      <w:r w:rsidR="001C0E37">
        <w:rPr>
          <w:sz w:val="26"/>
          <w:szCs w:val="26"/>
        </w:rPr>
        <w:t>Customers who are</w:t>
      </w:r>
      <w:r w:rsidR="00BA3DD7" w:rsidRPr="00EE5722">
        <w:rPr>
          <w:sz w:val="26"/>
          <w:szCs w:val="26"/>
        </w:rPr>
        <w:t xml:space="preserve"> dissatisfied with the price or terms in the EGS’s communication would be allowed to </w:t>
      </w:r>
      <w:r w:rsidR="0096680A">
        <w:rPr>
          <w:sz w:val="26"/>
          <w:szCs w:val="26"/>
        </w:rPr>
        <w:t>change suppliers</w:t>
      </w:r>
      <w:r w:rsidR="00BA3DD7" w:rsidRPr="00EE5722">
        <w:rPr>
          <w:sz w:val="26"/>
          <w:szCs w:val="26"/>
        </w:rPr>
        <w:t xml:space="preserve"> without any penalty.</w:t>
      </w:r>
      <w:r w:rsidR="00BA3DD7" w:rsidRPr="00EE5722">
        <w:rPr>
          <w:rStyle w:val="FootnoteReference"/>
          <w:sz w:val="26"/>
          <w:szCs w:val="26"/>
        </w:rPr>
        <w:footnoteReference w:id="69"/>
      </w:r>
      <w:r w:rsidR="00BA3DD7" w:rsidRPr="00EE5722">
        <w:rPr>
          <w:sz w:val="26"/>
          <w:szCs w:val="26"/>
        </w:rPr>
        <w:t xml:space="preserve">  </w:t>
      </w:r>
      <w:r w:rsidR="00807FE6">
        <w:rPr>
          <w:sz w:val="26"/>
          <w:szCs w:val="26"/>
        </w:rPr>
        <w:t>RESA opines that t</w:t>
      </w:r>
      <w:r w:rsidR="00BA3DD7" w:rsidRPr="00EE5722">
        <w:rPr>
          <w:sz w:val="26"/>
          <w:szCs w:val="26"/>
        </w:rPr>
        <w:t xml:space="preserve">his approach is consistent with prior Commission action </w:t>
      </w:r>
      <w:r>
        <w:rPr>
          <w:sz w:val="26"/>
          <w:szCs w:val="26"/>
        </w:rPr>
        <w:t xml:space="preserve">that </w:t>
      </w:r>
      <w:r w:rsidR="00BA3DD7" w:rsidRPr="00EE5722">
        <w:rPr>
          <w:sz w:val="26"/>
          <w:szCs w:val="26"/>
        </w:rPr>
        <w:t>require</w:t>
      </w:r>
      <w:r>
        <w:rPr>
          <w:sz w:val="26"/>
          <w:szCs w:val="26"/>
        </w:rPr>
        <w:t xml:space="preserve">d </w:t>
      </w:r>
      <w:r w:rsidR="00BA3DD7" w:rsidRPr="00EE5722">
        <w:rPr>
          <w:sz w:val="26"/>
          <w:szCs w:val="26"/>
        </w:rPr>
        <w:t xml:space="preserve">EGSs </w:t>
      </w:r>
      <w:r>
        <w:rPr>
          <w:sz w:val="26"/>
          <w:szCs w:val="26"/>
        </w:rPr>
        <w:t xml:space="preserve">to </w:t>
      </w:r>
      <w:r w:rsidR="00BA3DD7" w:rsidRPr="00EE5722">
        <w:rPr>
          <w:sz w:val="26"/>
          <w:szCs w:val="26"/>
        </w:rPr>
        <w:t xml:space="preserve">provide the </w:t>
      </w:r>
      <w:r w:rsidR="00807FE6">
        <w:rPr>
          <w:sz w:val="26"/>
          <w:szCs w:val="26"/>
        </w:rPr>
        <w:t>terms of the eight</w:t>
      </w:r>
      <w:r>
        <w:rPr>
          <w:sz w:val="26"/>
          <w:szCs w:val="26"/>
        </w:rPr>
        <w:t xml:space="preserve">-month </w:t>
      </w:r>
      <w:r w:rsidRPr="00EE5722">
        <w:rPr>
          <w:sz w:val="26"/>
          <w:szCs w:val="26"/>
        </w:rPr>
        <w:t xml:space="preserve">fixed-priced offering </w:t>
      </w:r>
      <w:r>
        <w:rPr>
          <w:sz w:val="26"/>
          <w:szCs w:val="26"/>
        </w:rPr>
        <w:t>to the Commission for review</w:t>
      </w:r>
      <w:r w:rsidR="00BA3DD7" w:rsidRPr="00EE5722">
        <w:rPr>
          <w:sz w:val="26"/>
          <w:szCs w:val="26"/>
        </w:rPr>
        <w:t>.</w:t>
      </w:r>
      <w:r>
        <w:rPr>
          <w:sz w:val="26"/>
          <w:szCs w:val="26"/>
        </w:rPr>
        <w:t xml:space="preserve">  RESA states that </w:t>
      </w:r>
      <w:r w:rsidR="00BA3DD7" w:rsidRPr="00EE5722">
        <w:rPr>
          <w:sz w:val="26"/>
          <w:szCs w:val="26"/>
        </w:rPr>
        <w:t xml:space="preserve">EGSs should actively compete against one another to retain customers after the initial </w:t>
      </w:r>
      <w:r w:rsidR="00807FE6">
        <w:rPr>
          <w:sz w:val="26"/>
          <w:szCs w:val="26"/>
        </w:rPr>
        <w:t>four</w:t>
      </w:r>
      <w:r w:rsidR="00BA3DD7" w:rsidRPr="00EE5722">
        <w:rPr>
          <w:sz w:val="26"/>
          <w:szCs w:val="26"/>
        </w:rPr>
        <w:t>-</w:t>
      </w:r>
      <w:r>
        <w:rPr>
          <w:sz w:val="26"/>
          <w:szCs w:val="26"/>
        </w:rPr>
        <w:t xml:space="preserve">month price, rather than dictating a uniform </w:t>
      </w:r>
      <w:r w:rsidR="00BA3DD7" w:rsidRPr="00EE5722">
        <w:rPr>
          <w:sz w:val="26"/>
          <w:szCs w:val="26"/>
        </w:rPr>
        <w:t xml:space="preserve">administratively-determined price for that </w:t>
      </w:r>
      <w:r w:rsidR="00807FE6">
        <w:rPr>
          <w:sz w:val="26"/>
          <w:szCs w:val="26"/>
        </w:rPr>
        <w:t>eight</w:t>
      </w:r>
      <w:r w:rsidR="00BA3DD7" w:rsidRPr="00EE5722">
        <w:rPr>
          <w:sz w:val="26"/>
          <w:szCs w:val="26"/>
        </w:rPr>
        <w:t>-month period.</w:t>
      </w:r>
    </w:p>
    <w:p w:rsidR="000C5F19" w:rsidRPr="000C5F19" w:rsidRDefault="000C5F19" w:rsidP="00807FE6">
      <w:pPr>
        <w:pStyle w:val="BodyText2"/>
        <w:spacing w:after="0" w:line="360" w:lineRule="auto"/>
        <w:rPr>
          <w:sz w:val="26"/>
          <w:szCs w:val="26"/>
        </w:rPr>
      </w:pPr>
    </w:p>
    <w:p w:rsidR="001C0E37" w:rsidRPr="00EE5722" w:rsidRDefault="001C0E37" w:rsidP="001C0E37">
      <w:pPr>
        <w:spacing w:line="360" w:lineRule="auto"/>
        <w:ind w:firstLine="1440"/>
        <w:rPr>
          <w:sz w:val="26"/>
          <w:szCs w:val="26"/>
        </w:rPr>
      </w:pPr>
      <w:r>
        <w:rPr>
          <w:sz w:val="26"/>
          <w:szCs w:val="26"/>
        </w:rPr>
        <w:t>CAUSE supported</w:t>
      </w:r>
      <w:r w:rsidR="00807FE6">
        <w:rPr>
          <w:sz w:val="26"/>
          <w:szCs w:val="26"/>
        </w:rPr>
        <w:t xml:space="preserve"> a twelve</w:t>
      </w:r>
      <w:r w:rsidRPr="00EE5722">
        <w:rPr>
          <w:sz w:val="26"/>
          <w:szCs w:val="26"/>
        </w:rPr>
        <w:t>-month fixed price contract that is guaranteed to be 5% less than the PTC during the entire term of the agre</w:t>
      </w:r>
      <w:r>
        <w:rPr>
          <w:sz w:val="26"/>
          <w:szCs w:val="26"/>
        </w:rPr>
        <w:t>ement.  This program design would</w:t>
      </w:r>
      <w:r w:rsidRPr="00EE5722">
        <w:rPr>
          <w:sz w:val="26"/>
          <w:szCs w:val="26"/>
        </w:rPr>
        <w:t xml:space="preserve"> allow customers, particularly low-income customers who are not enrolled in the CAP program, to obtain meaningful savings over</w:t>
      </w:r>
      <w:r>
        <w:rPr>
          <w:sz w:val="26"/>
          <w:szCs w:val="26"/>
        </w:rPr>
        <w:t xml:space="preserve"> the life of the plan.  CAUSE agreed</w:t>
      </w:r>
      <w:r w:rsidRPr="00EE5722">
        <w:rPr>
          <w:sz w:val="26"/>
          <w:szCs w:val="26"/>
        </w:rPr>
        <w:t xml:space="preserve"> that this proposal is “far superior” to the proposed alternative of a </w:t>
      </w:r>
      <w:r w:rsidR="00807FE6">
        <w:rPr>
          <w:sz w:val="26"/>
          <w:szCs w:val="26"/>
        </w:rPr>
        <w:t>four</w:t>
      </w:r>
      <w:r w:rsidRPr="00EE5722">
        <w:rPr>
          <w:sz w:val="26"/>
          <w:szCs w:val="26"/>
        </w:rPr>
        <w:noBreakHyphen/>
        <w:t xml:space="preserve">month contract at </w:t>
      </w:r>
      <w:r w:rsidR="003034E2">
        <w:rPr>
          <w:sz w:val="26"/>
          <w:szCs w:val="26"/>
        </w:rPr>
        <w:t>5% less than the PTC and an EGS-</w:t>
      </w:r>
      <w:r w:rsidRPr="00EE5722">
        <w:rPr>
          <w:sz w:val="26"/>
          <w:szCs w:val="26"/>
        </w:rPr>
        <w:t>determined fixed rate contract for eight months.</w:t>
      </w:r>
      <w:r w:rsidRPr="00EE5722">
        <w:rPr>
          <w:rStyle w:val="FootnoteReference"/>
          <w:sz w:val="26"/>
          <w:szCs w:val="26"/>
        </w:rPr>
        <w:footnoteReference w:id="70"/>
      </w:r>
      <w:r w:rsidRPr="00EE5722">
        <w:rPr>
          <w:sz w:val="26"/>
          <w:szCs w:val="26"/>
        </w:rPr>
        <w:t xml:space="preserve">  </w:t>
      </w:r>
      <w:r w:rsidR="00807FE6">
        <w:rPr>
          <w:sz w:val="26"/>
          <w:szCs w:val="26"/>
        </w:rPr>
        <w:t xml:space="preserve">According to CAUSE, </w:t>
      </w:r>
      <w:r w:rsidRPr="00EE5722">
        <w:rPr>
          <w:sz w:val="26"/>
          <w:szCs w:val="26"/>
        </w:rPr>
        <w:t xml:space="preserve">Duquesne’s proposal is better for customers than the alternatives proposed by RESA and adopted by the Commission in the FirstEnergy and PECO </w:t>
      </w:r>
      <w:r w:rsidR="003034E2">
        <w:rPr>
          <w:sz w:val="26"/>
          <w:szCs w:val="26"/>
        </w:rPr>
        <w:t xml:space="preserve">DSP </w:t>
      </w:r>
      <w:r w:rsidRPr="00EE5722">
        <w:rPr>
          <w:sz w:val="26"/>
          <w:szCs w:val="26"/>
        </w:rPr>
        <w:lastRenderedPageBreak/>
        <w:t xml:space="preserve">proceedings.  </w:t>
      </w:r>
      <w:r w:rsidR="00807FE6">
        <w:rPr>
          <w:sz w:val="26"/>
          <w:szCs w:val="26"/>
        </w:rPr>
        <w:t xml:space="preserve">CAUSE stated that </w:t>
      </w:r>
      <w:r w:rsidRPr="00EE5722">
        <w:rPr>
          <w:sz w:val="26"/>
          <w:szCs w:val="26"/>
        </w:rPr>
        <w:t>Duquesne’s proposal is simpler to understand, simpl</w:t>
      </w:r>
      <w:r w:rsidR="003034E2">
        <w:rPr>
          <w:sz w:val="26"/>
          <w:szCs w:val="26"/>
        </w:rPr>
        <w:t xml:space="preserve">er to market, and </w:t>
      </w:r>
      <w:r w:rsidRPr="00EE5722">
        <w:rPr>
          <w:sz w:val="26"/>
          <w:szCs w:val="26"/>
        </w:rPr>
        <w:t>provides guaranteed savings to resident</w:t>
      </w:r>
      <w:r>
        <w:rPr>
          <w:sz w:val="26"/>
          <w:szCs w:val="26"/>
        </w:rPr>
        <w:t>ial customers who participate.</w:t>
      </w:r>
    </w:p>
    <w:p w:rsidR="001C0E37" w:rsidRPr="00EE5722" w:rsidRDefault="001C0E37" w:rsidP="001C0E37">
      <w:pPr>
        <w:spacing w:line="360" w:lineRule="auto"/>
        <w:ind w:firstLine="720"/>
        <w:rPr>
          <w:sz w:val="26"/>
          <w:szCs w:val="26"/>
        </w:rPr>
      </w:pPr>
    </w:p>
    <w:p w:rsidR="001C0E37" w:rsidRDefault="001C0E37" w:rsidP="001C0E37">
      <w:pPr>
        <w:spacing w:line="360" w:lineRule="auto"/>
        <w:ind w:firstLine="1440"/>
        <w:rPr>
          <w:sz w:val="26"/>
          <w:szCs w:val="26"/>
        </w:rPr>
      </w:pPr>
      <w:r>
        <w:rPr>
          <w:sz w:val="26"/>
          <w:szCs w:val="26"/>
        </w:rPr>
        <w:t>CAUSE</w:t>
      </w:r>
      <w:r w:rsidR="003034E2">
        <w:rPr>
          <w:sz w:val="26"/>
          <w:szCs w:val="26"/>
        </w:rPr>
        <w:t xml:space="preserve"> argued that </w:t>
      </w:r>
      <w:r>
        <w:rPr>
          <w:sz w:val="26"/>
          <w:szCs w:val="26"/>
        </w:rPr>
        <w:t xml:space="preserve">no individual EGS </w:t>
      </w:r>
      <w:r w:rsidRPr="00EE5722">
        <w:rPr>
          <w:sz w:val="26"/>
          <w:szCs w:val="26"/>
        </w:rPr>
        <w:t>stated that Duquesne’s proposal is unworka</w:t>
      </w:r>
      <w:r>
        <w:rPr>
          <w:sz w:val="26"/>
          <w:szCs w:val="26"/>
        </w:rPr>
        <w:t>ble or not preferable.  CAUSE agreed</w:t>
      </w:r>
      <w:r w:rsidRPr="00EE5722">
        <w:rPr>
          <w:sz w:val="26"/>
          <w:szCs w:val="26"/>
        </w:rPr>
        <w:t xml:space="preserve"> with Duquesne that</w:t>
      </w:r>
      <w:r w:rsidR="00807FE6">
        <w:rPr>
          <w:sz w:val="26"/>
          <w:szCs w:val="26"/>
        </w:rPr>
        <w:t xml:space="preserve"> the alternative proposal of a four</w:t>
      </w:r>
      <w:r w:rsidRPr="00EE5722">
        <w:rPr>
          <w:sz w:val="26"/>
          <w:szCs w:val="26"/>
        </w:rPr>
        <w:t>-month “o</w:t>
      </w:r>
      <w:r w:rsidR="00807FE6">
        <w:rPr>
          <w:sz w:val="26"/>
          <w:szCs w:val="26"/>
        </w:rPr>
        <w:t>pt-in” proposal followed by an eight</w:t>
      </w:r>
      <w:r w:rsidRPr="00EE5722">
        <w:rPr>
          <w:sz w:val="26"/>
          <w:szCs w:val="26"/>
        </w:rPr>
        <w:t>-month “opt-out” agreement would produce less desirable outcomes for customer</w:t>
      </w:r>
      <w:r w:rsidR="003034E2">
        <w:rPr>
          <w:sz w:val="26"/>
          <w:szCs w:val="26"/>
        </w:rPr>
        <w:t>s than a known fixed-</w:t>
      </w:r>
      <w:r w:rsidRPr="00EE5722">
        <w:rPr>
          <w:sz w:val="26"/>
          <w:szCs w:val="26"/>
        </w:rPr>
        <w:t xml:space="preserve">price product guaranteed to be less than Duquesne’s PTC.  Accordingly, </w:t>
      </w:r>
      <w:r w:rsidR="00807FE6">
        <w:rPr>
          <w:sz w:val="26"/>
          <w:szCs w:val="26"/>
        </w:rPr>
        <w:t xml:space="preserve">CAUSE requested that </w:t>
      </w:r>
      <w:r w:rsidRPr="00EE5722">
        <w:rPr>
          <w:sz w:val="26"/>
          <w:szCs w:val="26"/>
        </w:rPr>
        <w:t>the Commissi</w:t>
      </w:r>
      <w:r w:rsidR="00807FE6">
        <w:rPr>
          <w:sz w:val="26"/>
          <w:szCs w:val="26"/>
        </w:rPr>
        <w:t xml:space="preserve">on </w:t>
      </w:r>
      <w:r w:rsidR="003034E2">
        <w:rPr>
          <w:sz w:val="26"/>
          <w:szCs w:val="26"/>
        </w:rPr>
        <w:t xml:space="preserve">adopt a </w:t>
      </w:r>
      <w:r w:rsidR="0096680A">
        <w:rPr>
          <w:sz w:val="26"/>
          <w:szCs w:val="26"/>
        </w:rPr>
        <w:t>twelve</w:t>
      </w:r>
      <w:r w:rsidR="003034E2">
        <w:rPr>
          <w:sz w:val="26"/>
          <w:szCs w:val="26"/>
        </w:rPr>
        <w:t>-month term for the Opt-In Program</w:t>
      </w:r>
      <w:r w:rsidRPr="00EE5722">
        <w:rPr>
          <w:sz w:val="26"/>
          <w:szCs w:val="26"/>
        </w:rPr>
        <w:t>.</w:t>
      </w:r>
      <w:r w:rsidRPr="00EE5722">
        <w:rPr>
          <w:rStyle w:val="FootnoteReference"/>
          <w:sz w:val="26"/>
          <w:szCs w:val="26"/>
        </w:rPr>
        <w:footnoteReference w:id="71"/>
      </w:r>
    </w:p>
    <w:p w:rsidR="001C0E37" w:rsidRPr="00EE5722" w:rsidRDefault="001C0E37" w:rsidP="001C0E37">
      <w:pPr>
        <w:spacing w:line="360" w:lineRule="auto"/>
        <w:ind w:firstLine="1440"/>
        <w:rPr>
          <w:sz w:val="26"/>
          <w:szCs w:val="26"/>
        </w:rPr>
      </w:pPr>
    </w:p>
    <w:p w:rsidR="00884AFB" w:rsidRPr="00807FE6" w:rsidRDefault="001C0E37" w:rsidP="00884AFB">
      <w:pPr>
        <w:pStyle w:val="BodyText2"/>
        <w:spacing w:after="0" w:line="360" w:lineRule="auto"/>
        <w:ind w:firstLine="1440"/>
        <w:rPr>
          <w:sz w:val="26"/>
          <w:szCs w:val="26"/>
        </w:rPr>
      </w:pPr>
      <w:r>
        <w:rPr>
          <w:sz w:val="26"/>
          <w:szCs w:val="26"/>
        </w:rPr>
        <w:t>Citizen Power argued that</w:t>
      </w:r>
      <w:r w:rsidR="00807FE6">
        <w:rPr>
          <w:sz w:val="26"/>
          <w:szCs w:val="26"/>
        </w:rPr>
        <w:t xml:space="preserve"> a fixed twelve</w:t>
      </w:r>
      <w:r w:rsidRPr="00EE5722">
        <w:rPr>
          <w:sz w:val="26"/>
          <w:szCs w:val="26"/>
        </w:rPr>
        <w:t>-month rate as proposed by Duquesne is vastly superior to an approach where the rate changes after four months to an unknown fixed rate.  Citizen Power agr</w:t>
      </w:r>
      <w:r w:rsidR="003034E2">
        <w:rPr>
          <w:sz w:val="26"/>
          <w:szCs w:val="26"/>
        </w:rPr>
        <w:t xml:space="preserve">eed with Duquesne’s </w:t>
      </w:r>
      <w:r w:rsidR="00807FE6">
        <w:rPr>
          <w:sz w:val="26"/>
          <w:szCs w:val="26"/>
        </w:rPr>
        <w:t>concerns that an initial four</w:t>
      </w:r>
      <w:r w:rsidRPr="00EE5722">
        <w:rPr>
          <w:sz w:val="26"/>
          <w:szCs w:val="26"/>
        </w:rPr>
        <w:t xml:space="preserve">-month rate </w:t>
      </w:r>
      <w:r w:rsidR="0096680A">
        <w:rPr>
          <w:sz w:val="26"/>
          <w:szCs w:val="26"/>
        </w:rPr>
        <w:t xml:space="preserve">could </w:t>
      </w:r>
      <w:r w:rsidRPr="00EE5722">
        <w:rPr>
          <w:sz w:val="26"/>
          <w:szCs w:val="26"/>
        </w:rPr>
        <w:t>harm customers if they do not re-evaluat</w:t>
      </w:r>
      <w:r w:rsidR="003034E2">
        <w:rPr>
          <w:sz w:val="26"/>
          <w:szCs w:val="26"/>
        </w:rPr>
        <w:t>e their options after the initial period;</w:t>
      </w:r>
      <w:r w:rsidRPr="00EE5722">
        <w:rPr>
          <w:sz w:val="26"/>
          <w:szCs w:val="26"/>
        </w:rPr>
        <w:t xml:space="preserve"> that there may be an incentive for EGSs to increase the rates for months </w:t>
      </w:r>
      <w:r w:rsidR="00807FE6">
        <w:rPr>
          <w:sz w:val="26"/>
          <w:szCs w:val="26"/>
        </w:rPr>
        <w:t>five through twelve</w:t>
      </w:r>
      <w:r w:rsidRPr="00EE5722">
        <w:rPr>
          <w:sz w:val="26"/>
          <w:szCs w:val="26"/>
        </w:rPr>
        <w:t xml:space="preserve"> to take adv</w:t>
      </w:r>
      <w:r w:rsidR="003034E2">
        <w:rPr>
          <w:sz w:val="26"/>
          <w:szCs w:val="26"/>
        </w:rPr>
        <w:t>antage of the “status quo” bias;</w:t>
      </w:r>
      <w:r w:rsidRPr="00EE5722">
        <w:rPr>
          <w:sz w:val="26"/>
          <w:szCs w:val="26"/>
        </w:rPr>
        <w:t xml:space="preserve"> and that dif</w:t>
      </w:r>
      <w:r w:rsidR="003034E2">
        <w:rPr>
          <w:sz w:val="26"/>
          <w:szCs w:val="26"/>
        </w:rPr>
        <w:t xml:space="preserve">fering rates for opt-in </w:t>
      </w:r>
      <w:r w:rsidRPr="00EE5722">
        <w:rPr>
          <w:sz w:val="26"/>
          <w:szCs w:val="26"/>
        </w:rPr>
        <w:t>participants may engender hostility towards retail electric</w:t>
      </w:r>
      <w:r w:rsidR="003034E2">
        <w:rPr>
          <w:sz w:val="26"/>
          <w:szCs w:val="26"/>
        </w:rPr>
        <w:t xml:space="preserve"> markets in general.  </w:t>
      </w:r>
      <w:r w:rsidRPr="00EE5722">
        <w:rPr>
          <w:sz w:val="26"/>
          <w:szCs w:val="26"/>
        </w:rPr>
        <w:t>Citizen Powe</w:t>
      </w:r>
      <w:r w:rsidR="003034E2">
        <w:rPr>
          <w:sz w:val="26"/>
          <w:szCs w:val="26"/>
        </w:rPr>
        <w:t xml:space="preserve">r also shared </w:t>
      </w:r>
      <w:r w:rsidR="0096680A">
        <w:rPr>
          <w:sz w:val="26"/>
          <w:szCs w:val="26"/>
        </w:rPr>
        <w:t xml:space="preserve">the </w:t>
      </w:r>
      <w:r w:rsidR="003034E2">
        <w:rPr>
          <w:sz w:val="26"/>
          <w:szCs w:val="26"/>
        </w:rPr>
        <w:t xml:space="preserve">OCA’s concern that </w:t>
      </w:r>
      <w:r w:rsidRPr="00EE5722">
        <w:rPr>
          <w:sz w:val="26"/>
          <w:szCs w:val="26"/>
        </w:rPr>
        <w:t>r</w:t>
      </w:r>
      <w:r w:rsidR="003034E2">
        <w:rPr>
          <w:sz w:val="26"/>
          <w:szCs w:val="26"/>
        </w:rPr>
        <w:t xml:space="preserve">ate changes after four months </w:t>
      </w:r>
      <w:r w:rsidRPr="00EE5722">
        <w:rPr>
          <w:sz w:val="26"/>
          <w:szCs w:val="26"/>
        </w:rPr>
        <w:t>may be confusing to customers and will no longer guarantee savings over the entire c</w:t>
      </w:r>
      <w:r w:rsidR="003034E2">
        <w:rPr>
          <w:sz w:val="26"/>
          <w:szCs w:val="26"/>
        </w:rPr>
        <w:t xml:space="preserve">ontract term. </w:t>
      </w:r>
      <w:r w:rsidR="00807FE6">
        <w:rPr>
          <w:sz w:val="26"/>
          <w:szCs w:val="26"/>
        </w:rPr>
        <w:t xml:space="preserve"> </w:t>
      </w:r>
    </w:p>
    <w:p w:rsidR="001C0E37" w:rsidRPr="001C0E37" w:rsidRDefault="001C0E37" w:rsidP="00884AFB">
      <w:pPr>
        <w:pStyle w:val="BodyText2"/>
        <w:spacing w:after="0" w:line="360" w:lineRule="auto"/>
        <w:ind w:firstLine="1440"/>
        <w:rPr>
          <w:sz w:val="26"/>
          <w:szCs w:val="26"/>
        </w:rPr>
      </w:pPr>
    </w:p>
    <w:p w:rsidR="001C0E37" w:rsidRDefault="001C0E37" w:rsidP="002969BF">
      <w:pPr>
        <w:pStyle w:val="BodyText2"/>
        <w:spacing w:after="0" w:line="360" w:lineRule="auto"/>
        <w:ind w:firstLine="1440"/>
        <w:rPr>
          <w:sz w:val="26"/>
          <w:szCs w:val="26"/>
        </w:rPr>
      </w:pPr>
      <w:r>
        <w:rPr>
          <w:sz w:val="26"/>
          <w:szCs w:val="26"/>
        </w:rPr>
        <w:t>FES recommended</w:t>
      </w:r>
      <w:r w:rsidRPr="00EE5722">
        <w:rPr>
          <w:sz w:val="26"/>
          <w:szCs w:val="26"/>
        </w:rPr>
        <w:t xml:space="preserve"> two further </w:t>
      </w:r>
      <w:r w:rsidR="003034E2">
        <w:rPr>
          <w:sz w:val="26"/>
          <w:szCs w:val="26"/>
        </w:rPr>
        <w:t>improvements to RESA’s proposal</w:t>
      </w:r>
      <w:r w:rsidRPr="00EE5722">
        <w:rPr>
          <w:sz w:val="26"/>
          <w:szCs w:val="26"/>
        </w:rPr>
        <w:t xml:space="preserve">.  First, </w:t>
      </w:r>
      <w:r w:rsidR="00807FE6">
        <w:rPr>
          <w:sz w:val="26"/>
          <w:szCs w:val="26"/>
        </w:rPr>
        <w:t xml:space="preserve">FES proposed that </w:t>
      </w:r>
      <w:r w:rsidRPr="00EE5722">
        <w:rPr>
          <w:sz w:val="26"/>
          <w:szCs w:val="26"/>
        </w:rPr>
        <w:t>the EGS</w:t>
      </w:r>
      <w:r w:rsidR="0096680A">
        <w:rPr>
          <w:sz w:val="26"/>
          <w:szCs w:val="26"/>
        </w:rPr>
        <w:t>-</w:t>
      </w:r>
      <w:r w:rsidRPr="00EE5722">
        <w:rPr>
          <w:sz w:val="26"/>
          <w:szCs w:val="26"/>
        </w:rPr>
        <w:t>provided fixed-price product during the l</w:t>
      </w:r>
      <w:r w:rsidR="003034E2">
        <w:rPr>
          <w:sz w:val="26"/>
          <w:szCs w:val="26"/>
        </w:rPr>
        <w:t xml:space="preserve">ast eight months of the </w:t>
      </w:r>
      <w:r w:rsidRPr="00EE5722">
        <w:rPr>
          <w:sz w:val="26"/>
          <w:szCs w:val="26"/>
        </w:rPr>
        <w:t xml:space="preserve">Opt-In contract should be a uniform price among participating EGSs.  </w:t>
      </w:r>
      <w:r w:rsidR="00807FE6">
        <w:rPr>
          <w:sz w:val="26"/>
          <w:szCs w:val="26"/>
        </w:rPr>
        <w:t xml:space="preserve">According to </w:t>
      </w:r>
      <w:r w:rsidR="00807FE6">
        <w:rPr>
          <w:sz w:val="26"/>
          <w:szCs w:val="26"/>
        </w:rPr>
        <w:lastRenderedPageBreak/>
        <w:t>FES, w</w:t>
      </w:r>
      <w:r w:rsidRPr="00EE5722">
        <w:rPr>
          <w:sz w:val="26"/>
          <w:szCs w:val="26"/>
        </w:rPr>
        <w:t>ithout that uniform price, some customers may receive better pricing than others during the last ei</w:t>
      </w:r>
      <w:r w:rsidR="003034E2">
        <w:rPr>
          <w:sz w:val="26"/>
          <w:szCs w:val="26"/>
        </w:rPr>
        <w:t>ght months</w:t>
      </w:r>
      <w:r w:rsidRPr="00EE5722">
        <w:rPr>
          <w:sz w:val="26"/>
          <w:szCs w:val="26"/>
        </w:rPr>
        <w:t>, based solely on their random assi</w:t>
      </w:r>
      <w:r w:rsidR="003034E2">
        <w:rPr>
          <w:sz w:val="26"/>
          <w:szCs w:val="26"/>
        </w:rPr>
        <w:t xml:space="preserve">gnment to an EGS.  </w:t>
      </w:r>
      <w:r w:rsidR="00807FE6">
        <w:rPr>
          <w:sz w:val="26"/>
          <w:szCs w:val="26"/>
        </w:rPr>
        <w:t>FES opined that c</w:t>
      </w:r>
      <w:r w:rsidR="003034E2">
        <w:rPr>
          <w:sz w:val="26"/>
          <w:szCs w:val="26"/>
        </w:rPr>
        <w:t>ustomers who fare</w:t>
      </w:r>
      <w:r w:rsidRPr="00EE5722">
        <w:rPr>
          <w:sz w:val="26"/>
          <w:szCs w:val="26"/>
        </w:rPr>
        <w:t xml:space="preserve"> worse than their ne</w:t>
      </w:r>
      <w:r>
        <w:rPr>
          <w:sz w:val="26"/>
          <w:szCs w:val="26"/>
        </w:rPr>
        <w:t>ighbors may blame Duquesne</w:t>
      </w:r>
      <w:r w:rsidRPr="00EE5722">
        <w:rPr>
          <w:sz w:val="26"/>
          <w:szCs w:val="26"/>
        </w:rPr>
        <w:t>, the Commission, or the competitive retail market for their misfor</w:t>
      </w:r>
      <w:r>
        <w:rPr>
          <w:sz w:val="26"/>
          <w:szCs w:val="26"/>
        </w:rPr>
        <w:t xml:space="preserve">tune.  Second, </w:t>
      </w:r>
      <w:r w:rsidR="00807FE6">
        <w:rPr>
          <w:sz w:val="26"/>
          <w:szCs w:val="26"/>
        </w:rPr>
        <w:t xml:space="preserve">FES proposed that </w:t>
      </w:r>
      <w:r>
        <w:rPr>
          <w:sz w:val="26"/>
          <w:szCs w:val="26"/>
        </w:rPr>
        <w:t xml:space="preserve">the EGS fixed-price </w:t>
      </w:r>
      <w:r w:rsidRPr="00EE5722">
        <w:rPr>
          <w:sz w:val="26"/>
          <w:szCs w:val="26"/>
        </w:rPr>
        <w:t xml:space="preserve">should be established and made known to customers </w:t>
      </w:r>
      <w:r w:rsidRPr="00807FE6">
        <w:rPr>
          <w:sz w:val="26"/>
          <w:szCs w:val="26"/>
        </w:rPr>
        <w:t xml:space="preserve">before </w:t>
      </w:r>
      <w:r w:rsidRPr="00EE5722">
        <w:rPr>
          <w:sz w:val="26"/>
          <w:szCs w:val="26"/>
        </w:rPr>
        <w:t xml:space="preserve">they decide whether to participate in the Opt-In Program, not during the introductory </w:t>
      </w:r>
      <w:r w:rsidR="00807FE6">
        <w:rPr>
          <w:sz w:val="26"/>
          <w:szCs w:val="26"/>
        </w:rPr>
        <w:t>four</w:t>
      </w:r>
      <w:r>
        <w:rPr>
          <w:sz w:val="26"/>
          <w:szCs w:val="26"/>
        </w:rPr>
        <w:t xml:space="preserve">-month period.  FES St. </w:t>
      </w:r>
      <w:r w:rsidRPr="00EE5722">
        <w:rPr>
          <w:sz w:val="26"/>
          <w:szCs w:val="26"/>
        </w:rPr>
        <w:t xml:space="preserve">1-R at 16.  By communicating the price at the </w:t>
      </w:r>
      <w:r>
        <w:rPr>
          <w:sz w:val="26"/>
          <w:szCs w:val="26"/>
        </w:rPr>
        <w:t>time of enrollment, FES contended that</w:t>
      </w:r>
      <w:r w:rsidRPr="00EE5722">
        <w:rPr>
          <w:sz w:val="26"/>
          <w:szCs w:val="26"/>
        </w:rPr>
        <w:t xml:space="preserve"> any concerns over “bait-and-switch” offers will be avoided.</w:t>
      </w:r>
    </w:p>
    <w:p w:rsidR="001C0E37" w:rsidRPr="001C0E37" w:rsidRDefault="001C0E37" w:rsidP="002969BF">
      <w:pPr>
        <w:pStyle w:val="BodyText2"/>
        <w:spacing w:after="0" w:line="360" w:lineRule="auto"/>
        <w:ind w:firstLine="1440"/>
        <w:rPr>
          <w:sz w:val="26"/>
          <w:szCs w:val="26"/>
        </w:rPr>
      </w:pPr>
    </w:p>
    <w:p w:rsidR="001C0E37" w:rsidRDefault="001C0E37" w:rsidP="00884AFB">
      <w:pPr>
        <w:pStyle w:val="BodyText2"/>
        <w:spacing w:after="0" w:line="360" w:lineRule="auto"/>
        <w:ind w:firstLine="1440"/>
        <w:rPr>
          <w:sz w:val="26"/>
          <w:szCs w:val="26"/>
        </w:rPr>
      </w:pPr>
      <w:r>
        <w:rPr>
          <w:sz w:val="26"/>
          <w:szCs w:val="26"/>
        </w:rPr>
        <w:t xml:space="preserve">The </w:t>
      </w:r>
      <w:r w:rsidRPr="00EE5722">
        <w:rPr>
          <w:sz w:val="26"/>
          <w:szCs w:val="26"/>
        </w:rPr>
        <w:t>OSBA</w:t>
      </w:r>
      <w:r w:rsidR="008F3443">
        <w:rPr>
          <w:sz w:val="26"/>
          <w:szCs w:val="26"/>
        </w:rPr>
        <w:t>, DII and Constellation</w:t>
      </w:r>
      <w:r w:rsidRPr="00EE5722">
        <w:rPr>
          <w:sz w:val="26"/>
          <w:szCs w:val="26"/>
        </w:rPr>
        <w:t xml:space="preserve"> </w:t>
      </w:r>
      <w:r>
        <w:rPr>
          <w:sz w:val="26"/>
          <w:szCs w:val="26"/>
        </w:rPr>
        <w:t>took</w:t>
      </w:r>
      <w:r w:rsidRPr="00EE5722">
        <w:rPr>
          <w:sz w:val="26"/>
          <w:szCs w:val="26"/>
        </w:rPr>
        <w:t xml:space="preserve"> no position on this issue.</w:t>
      </w:r>
    </w:p>
    <w:p w:rsidR="001C0E37" w:rsidRPr="001C0E37" w:rsidRDefault="001C0E37" w:rsidP="00884AFB">
      <w:pPr>
        <w:pStyle w:val="BodyText2"/>
        <w:spacing w:after="0" w:line="360" w:lineRule="auto"/>
        <w:ind w:firstLine="1440"/>
        <w:rPr>
          <w:sz w:val="26"/>
          <w:szCs w:val="26"/>
        </w:rPr>
      </w:pPr>
    </w:p>
    <w:p w:rsidR="00884AFB" w:rsidRDefault="00115AB3" w:rsidP="00115AB3">
      <w:pPr>
        <w:pStyle w:val="Heading5"/>
        <w:numPr>
          <w:ilvl w:val="0"/>
          <w:numId w:val="0"/>
        </w:numPr>
        <w:ind w:left="3600" w:hanging="720"/>
      </w:pPr>
      <w:bookmarkStart w:id="79" w:name="_Toc346705321"/>
      <w:r>
        <w:t>iii.</w:t>
      </w:r>
      <w:r>
        <w:tab/>
      </w:r>
      <w:r w:rsidR="001C0E37">
        <w:t>ALJ’s Recommendation</w:t>
      </w:r>
      <w:bookmarkEnd w:id="79"/>
      <w:r w:rsidR="00AE0EA4" w:rsidRPr="00AE0EA4">
        <w:t xml:space="preserve"> </w:t>
      </w:r>
    </w:p>
    <w:p w:rsidR="001C0E37" w:rsidRPr="00EE5722" w:rsidRDefault="001C0E37" w:rsidP="001C0E37">
      <w:pPr>
        <w:pStyle w:val="BriefL3"/>
        <w:numPr>
          <w:ilvl w:val="0"/>
          <w:numId w:val="0"/>
        </w:numPr>
        <w:spacing w:after="0" w:line="360" w:lineRule="auto"/>
        <w:ind w:left="2880"/>
        <w:rPr>
          <w:b/>
          <w:sz w:val="26"/>
          <w:szCs w:val="26"/>
        </w:rPr>
      </w:pPr>
    </w:p>
    <w:p w:rsidR="00884AFB" w:rsidRDefault="001C0E37" w:rsidP="001C0E37">
      <w:pPr>
        <w:pStyle w:val="BodyText2"/>
        <w:spacing w:after="0" w:line="360" w:lineRule="auto"/>
        <w:ind w:firstLine="1440"/>
        <w:rPr>
          <w:sz w:val="26"/>
          <w:szCs w:val="26"/>
        </w:rPr>
      </w:pPr>
      <w:r>
        <w:rPr>
          <w:sz w:val="26"/>
          <w:szCs w:val="26"/>
        </w:rPr>
        <w:t xml:space="preserve">The ALJ </w:t>
      </w:r>
      <w:r w:rsidRPr="00EE5722">
        <w:rPr>
          <w:sz w:val="26"/>
          <w:szCs w:val="26"/>
        </w:rPr>
        <w:t>recommend</w:t>
      </w:r>
      <w:r>
        <w:rPr>
          <w:sz w:val="26"/>
          <w:szCs w:val="26"/>
        </w:rPr>
        <w:t>ed</w:t>
      </w:r>
      <w:r w:rsidRPr="00EE5722">
        <w:rPr>
          <w:sz w:val="26"/>
          <w:szCs w:val="26"/>
        </w:rPr>
        <w:t xml:space="preserve"> the adoption of D</w:t>
      </w:r>
      <w:r>
        <w:rPr>
          <w:sz w:val="26"/>
          <w:szCs w:val="26"/>
        </w:rPr>
        <w:t>uquesne</w:t>
      </w:r>
      <w:r w:rsidRPr="00EE5722">
        <w:rPr>
          <w:sz w:val="26"/>
          <w:szCs w:val="26"/>
        </w:rPr>
        <w:t xml:space="preserve">’s proposal for </w:t>
      </w:r>
      <w:r>
        <w:rPr>
          <w:sz w:val="26"/>
          <w:szCs w:val="26"/>
        </w:rPr>
        <w:t xml:space="preserve">a </w:t>
      </w:r>
      <w:r w:rsidR="002969BF">
        <w:rPr>
          <w:sz w:val="26"/>
          <w:szCs w:val="26"/>
        </w:rPr>
        <w:t>twelve</w:t>
      </w:r>
      <w:r w:rsidR="008914FE">
        <w:rPr>
          <w:sz w:val="26"/>
          <w:szCs w:val="26"/>
        </w:rPr>
        <w:t xml:space="preserve">-month fixed-price </w:t>
      </w:r>
      <w:r w:rsidR="00D9374D">
        <w:rPr>
          <w:sz w:val="26"/>
          <w:szCs w:val="26"/>
        </w:rPr>
        <w:t>for the Opt-In</w:t>
      </w:r>
      <w:r w:rsidR="008914FE">
        <w:rPr>
          <w:sz w:val="26"/>
          <w:szCs w:val="26"/>
        </w:rPr>
        <w:t xml:space="preserve"> P</w:t>
      </w:r>
      <w:r w:rsidRPr="00EE5722">
        <w:rPr>
          <w:sz w:val="26"/>
          <w:szCs w:val="26"/>
        </w:rPr>
        <w:t>rogram</w:t>
      </w:r>
      <w:r>
        <w:rPr>
          <w:sz w:val="26"/>
          <w:szCs w:val="26"/>
        </w:rPr>
        <w:t>,</w:t>
      </w:r>
      <w:r w:rsidRPr="00EE5722">
        <w:rPr>
          <w:sz w:val="26"/>
          <w:szCs w:val="26"/>
        </w:rPr>
        <w:t xml:space="preserve"> </w:t>
      </w:r>
      <w:r w:rsidR="008914FE">
        <w:rPr>
          <w:sz w:val="26"/>
          <w:szCs w:val="26"/>
        </w:rPr>
        <w:t xml:space="preserve">based on a percentage discount from the annual PTC.  The ALJ concluded that this </w:t>
      </w:r>
      <w:r>
        <w:rPr>
          <w:sz w:val="26"/>
          <w:szCs w:val="26"/>
        </w:rPr>
        <w:t xml:space="preserve">would </w:t>
      </w:r>
      <w:r w:rsidRPr="00EE5722">
        <w:rPr>
          <w:sz w:val="26"/>
          <w:szCs w:val="26"/>
        </w:rPr>
        <w:t>provide a straight-forward product with guaranteed savings to customers who</w:t>
      </w:r>
      <w:r w:rsidR="008914FE">
        <w:rPr>
          <w:sz w:val="26"/>
          <w:szCs w:val="26"/>
        </w:rPr>
        <w:t xml:space="preserve"> appear reluctant to shop</w:t>
      </w:r>
      <w:r w:rsidRPr="00EE5722">
        <w:rPr>
          <w:sz w:val="26"/>
          <w:szCs w:val="26"/>
        </w:rPr>
        <w:t xml:space="preserve">.  </w:t>
      </w:r>
      <w:r w:rsidR="002969BF">
        <w:rPr>
          <w:sz w:val="26"/>
          <w:szCs w:val="26"/>
        </w:rPr>
        <w:t xml:space="preserve">The ALJ found that </w:t>
      </w:r>
      <w:r w:rsidRPr="00EE5722">
        <w:rPr>
          <w:sz w:val="26"/>
          <w:szCs w:val="26"/>
        </w:rPr>
        <w:t>D</w:t>
      </w:r>
      <w:r>
        <w:rPr>
          <w:sz w:val="26"/>
          <w:szCs w:val="26"/>
        </w:rPr>
        <w:t xml:space="preserve">uquesne </w:t>
      </w:r>
      <w:r w:rsidRPr="00EE5722">
        <w:rPr>
          <w:sz w:val="26"/>
          <w:szCs w:val="26"/>
        </w:rPr>
        <w:t>correct</w:t>
      </w:r>
      <w:r>
        <w:rPr>
          <w:sz w:val="26"/>
          <w:szCs w:val="26"/>
        </w:rPr>
        <w:t>ly noted</w:t>
      </w:r>
      <w:r w:rsidR="008914FE">
        <w:rPr>
          <w:sz w:val="26"/>
          <w:szCs w:val="26"/>
        </w:rPr>
        <w:t xml:space="preserve"> its </w:t>
      </w:r>
      <w:r w:rsidRPr="00EE5722">
        <w:rPr>
          <w:sz w:val="26"/>
          <w:szCs w:val="26"/>
        </w:rPr>
        <w:t>high lev</w:t>
      </w:r>
      <w:r w:rsidR="008914FE">
        <w:rPr>
          <w:sz w:val="26"/>
          <w:szCs w:val="26"/>
        </w:rPr>
        <w:t>el of residential shopping justifies</w:t>
      </w:r>
      <w:r w:rsidRPr="00EE5722">
        <w:rPr>
          <w:sz w:val="26"/>
          <w:szCs w:val="26"/>
        </w:rPr>
        <w:t xml:space="preserve"> this deviation from the approaches approved by the Commission in the FirstEnergy and PECO </w:t>
      </w:r>
      <w:r w:rsidR="008914FE">
        <w:rPr>
          <w:sz w:val="26"/>
          <w:szCs w:val="26"/>
        </w:rPr>
        <w:t xml:space="preserve">DSP </w:t>
      </w:r>
      <w:r w:rsidRPr="00EE5722">
        <w:rPr>
          <w:sz w:val="26"/>
          <w:szCs w:val="26"/>
        </w:rPr>
        <w:t xml:space="preserve">proceedings.  </w:t>
      </w:r>
      <w:r>
        <w:rPr>
          <w:sz w:val="26"/>
          <w:szCs w:val="26"/>
        </w:rPr>
        <w:t>In addition, the ALJ</w:t>
      </w:r>
      <w:r w:rsidRPr="00EE5722">
        <w:rPr>
          <w:sz w:val="26"/>
          <w:szCs w:val="26"/>
        </w:rPr>
        <w:t xml:space="preserve"> recommend</w:t>
      </w:r>
      <w:r>
        <w:rPr>
          <w:sz w:val="26"/>
          <w:szCs w:val="26"/>
        </w:rPr>
        <w:t>ed that</w:t>
      </w:r>
      <w:r w:rsidR="008914FE">
        <w:rPr>
          <w:sz w:val="26"/>
          <w:szCs w:val="26"/>
        </w:rPr>
        <w:t xml:space="preserve"> </w:t>
      </w:r>
      <w:r w:rsidRPr="00EE5722">
        <w:rPr>
          <w:sz w:val="26"/>
          <w:szCs w:val="26"/>
        </w:rPr>
        <w:t>savings</w:t>
      </w:r>
      <w:r w:rsidR="002969BF">
        <w:rPr>
          <w:sz w:val="26"/>
          <w:szCs w:val="26"/>
        </w:rPr>
        <w:t xml:space="preserve"> should extend for the entire twelve</w:t>
      </w:r>
      <w:r w:rsidRPr="00EE5722">
        <w:rPr>
          <w:sz w:val="26"/>
          <w:szCs w:val="26"/>
        </w:rPr>
        <w:noBreakHyphen/>
        <w:t>month period</w:t>
      </w:r>
      <w:r w:rsidR="008914FE">
        <w:rPr>
          <w:sz w:val="26"/>
          <w:szCs w:val="26"/>
        </w:rPr>
        <w:t xml:space="preserve">.  </w:t>
      </w:r>
      <w:r w:rsidR="002969BF">
        <w:rPr>
          <w:sz w:val="26"/>
          <w:szCs w:val="26"/>
        </w:rPr>
        <w:t>The ALJ concluded that</w:t>
      </w:r>
      <w:r w:rsidR="00C8778F">
        <w:rPr>
          <w:sz w:val="26"/>
          <w:szCs w:val="26"/>
        </w:rPr>
        <w:t>,</w:t>
      </w:r>
      <w:r w:rsidR="002969BF">
        <w:rPr>
          <w:sz w:val="26"/>
          <w:szCs w:val="26"/>
        </w:rPr>
        <w:t xml:space="preserve"> i</w:t>
      </w:r>
      <w:r w:rsidR="008914FE">
        <w:rPr>
          <w:sz w:val="26"/>
          <w:szCs w:val="26"/>
        </w:rPr>
        <w:t xml:space="preserve">f savings are </w:t>
      </w:r>
      <w:r w:rsidRPr="00EE5722">
        <w:rPr>
          <w:sz w:val="26"/>
          <w:szCs w:val="26"/>
        </w:rPr>
        <w:t xml:space="preserve">guaranteed for </w:t>
      </w:r>
      <w:r w:rsidR="008914FE">
        <w:rPr>
          <w:sz w:val="26"/>
          <w:szCs w:val="26"/>
        </w:rPr>
        <w:t xml:space="preserve">only </w:t>
      </w:r>
      <w:r w:rsidRPr="00EE5722">
        <w:rPr>
          <w:sz w:val="26"/>
          <w:szCs w:val="26"/>
        </w:rPr>
        <w:t xml:space="preserve">four months and the customer is not given the price or terms </w:t>
      </w:r>
      <w:r w:rsidR="008914FE">
        <w:rPr>
          <w:sz w:val="26"/>
          <w:szCs w:val="26"/>
        </w:rPr>
        <w:t xml:space="preserve">for the remaining eight </w:t>
      </w:r>
      <w:r w:rsidR="008914FE" w:rsidRPr="00EE5722">
        <w:rPr>
          <w:sz w:val="26"/>
          <w:szCs w:val="26"/>
        </w:rPr>
        <w:t>month</w:t>
      </w:r>
      <w:r w:rsidR="008914FE">
        <w:rPr>
          <w:sz w:val="26"/>
          <w:szCs w:val="26"/>
        </w:rPr>
        <w:t>s prior to enrollment</w:t>
      </w:r>
      <w:r w:rsidRPr="00EE5722">
        <w:rPr>
          <w:sz w:val="26"/>
          <w:szCs w:val="26"/>
        </w:rPr>
        <w:t>, th</w:t>
      </w:r>
      <w:r w:rsidR="008914FE">
        <w:rPr>
          <w:sz w:val="26"/>
          <w:szCs w:val="26"/>
        </w:rPr>
        <w:t>en customers will refuse to enroll</w:t>
      </w:r>
      <w:r w:rsidRPr="00EE5722">
        <w:rPr>
          <w:sz w:val="26"/>
          <w:szCs w:val="26"/>
        </w:rPr>
        <w:t xml:space="preserve"> due to conc</w:t>
      </w:r>
      <w:r w:rsidR="008914FE">
        <w:rPr>
          <w:sz w:val="26"/>
          <w:szCs w:val="26"/>
        </w:rPr>
        <w:t xml:space="preserve">erns over too much ambiguity </w:t>
      </w:r>
      <w:r w:rsidRPr="00EE5722">
        <w:rPr>
          <w:sz w:val="26"/>
          <w:szCs w:val="26"/>
        </w:rPr>
        <w:t>and an inability to plan ahead for future energy costs.</w:t>
      </w:r>
      <w:r w:rsidR="002969BF">
        <w:rPr>
          <w:sz w:val="26"/>
          <w:szCs w:val="26"/>
        </w:rPr>
        <w:t xml:space="preserve">  R.D. at 72.</w:t>
      </w:r>
    </w:p>
    <w:p w:rsidR="00637371" w:rsidRPr="00EE5722" w:rsidRDefault="00637371" w:rsidP="001C0E37">
      <w:pPr>
        <w:pStyle w:val="BodyText2"/>
        <w:spacing w:after="0" w:line="360" w:lineRule="auto"/>
        <w:ind w:firstLine="1440"/>
        <w:rPr>
          <w:sz w:val="26"/>
          <w:szCs w:val="26"/>
        </w:rPr>
      </w:pPr>
    </w:p>
    <w:p w:rsidR="00637371" w:rsidRPr="00921AE7" w:rsidRDefault="00637371" w:rsidP="00921AE7">
      <w:pPr>
        <w:pStyle w:val="BodyText2"/>
        <w:spacing w:after="0" w:line="360" w:lineRule="auto"/>
        <w:ind w:firstLine="1440"/>
        <w:rPr>
          <w:color w:val="000000" w:themeColor="text1"/>
          <w:sz w:val="26"/>
          <w:szCs w:val="26"/>
        </w:rPr>
      </w:pPr>
      <w:r>
        <w:rPr>
          <w:color w:val="000000" w:themeColor="text1"/>
          <w:sz w:val="26"/>
          <w:szCs w:val="26"/>
        </w:rPr>
        <w:t>The ALJ concluded that g</w:t>
      </w:r>
      <w:r w:rsidRPr="00EE5722">
        <w:rPr>
          <w:color w:val="000000" w:themeColor="text1"/>
          <w:sz w:val="26"/>
          <w:szCs w:val="26"/>
        </w:rPr>
        <w:t>uaranteed savings are important to customers and necessary to create confiden</w:t>
      </w:r>
      <w:r>
        <w:rPr>
          <w:color w:val="000000" w:themeColor="text1"/>
          <w:sz w:val="26"/>
          <w:szCs w:val="26"/>
        </w:rPr>
        <w:t xml:space="preserve">ce in competitive markets.  </w:t>
      </w:r>
      <w:r w:rsidR="002969BF">
        <w:rPr>
          <w:color w:val="000000" w:themeColor="text1"/>
          <w:sz w:val="26"/>
          <w:szCs w:val="26"/>
        </w:rPr>
        <w:t>According to the ALJ, t</w:t>
      </w:r>
      <w:r>
        <w:rPr>
          <w:color w:val="000000" w:themeColor="text1"/>
          <w:sz w:val="26"/>
          <w:szCs w:val="26"/>
        </w:rPr>
        <w:t>he c</w:t>
      </w:r>
      <w:r w:rsidRPr="00EE5722">
        <w:rPr>
          <w:color w:val="000000" w:themeColor="text1"/>
          <w:sz w:val="26"/>
          <w:szCs w:val="26"/>
        </w:rPr>
        <w:t>om</w:t>
      </w:r>
      <w:r>
        <w:rPr>
          <w:color w:val="000000" w:themeColor="text1"/>
          <w:sz w:val="26"/>
          <w:szCs w:val="26"/>
        </w:rPr>
        <w:t xml:space="preserve">bination of </w:t>
      </w:r>
      <w:r w:rsidR="002969BF">
        <w:rPr>
          <w:color w:val="000000" w:themeColor="text1"/>
          <w:sz w:val="26"/>
          <w:szCs w:val="26"/>
        </w:rPr>
        <w:t>twelve</w:t>
      </w:r>
      <w:r>
        <w:rPr>
          <w:color w:val="000000" w:themeColor="text1"/>
          <w:sz w:val="26"/>
          <w:szCs w:val="26"/>
        </w:rPr>
        <w:t xml:space="preserve">-month fixed-rates under </w:t>
      </w:r>
      <w:r w:rsidR="002969BF">
        <w:rPr>
          <w:color w:val="000000" w:themeColor="text1"/>
          <w:sz w:val="26"/>
          <w:szCs w:val="26"/>
        </w:rPr>
        <w:t>the Opt-In Program and twelve</w:t>
      </w:r>
      <w:r>
        <w:rPr>
          <w:color w:val="000000" w:themeColor="text1"/>
          <w:sz w:val="26"/>
          <w:szCs w:val="26"/>
        </w:rPr>
        <w:t xml:space="preserve">-month </w:t>
      </w:r>
      <w:r>
        <w:rPr>
          <w:color w:val="000000" w:themeColor="text1"/>
          <w:sz w:val="26"/>
          <w:szCs w:val="26"/>
        </w:rPr>
        <w:lastRenderedPageBreak/>
        <w:t xml:space="preserve">PTCs will </w:t>
      </w:r>
      <w:r w:rsidRPr="00EE5722">
        <w:rPr>
          <w:color w:val="000000" w:themeColor="text1"/>
          <w:sz w:val="26"/>
          <w:szCs w:val="26"/>
        </w:rPr>
        <w:t>provide residen</w:t>
      </w:r>
      <w:r>
        <w:rPr>
          <w:color w:val="000000" w:themeColor="text1"/>
          <w:sz w:val="26"/>
          <w:szCs w:val="26"/>
        </w:rPr>
        <w:t xml:space="preserve">tial customers with </w:t>
      </w:r>
      <w:r w:rsidRPr="00EE5722">
        <w:rPr>
          <w:color w:val="000000" w:themeColor="text1"/>
          <w:sz w:val="26"/>
          <w:szCs w:val="26"/>
        </w:rPr>
        <w:t>gua</w:t>
      </w:r>
      <w:r>
        <w:rPr>
          <w:color w:val="000000" w:themeColor="text1"/>
          <w:sz w:val="26"/>
          <w:szCs w:val="26"/>
        </w:rPr>
        <w:t>ranteed savings</w:t>
      </w:r>
      <w:r w:rsidR="002969BF">
        <w:rPr>
          <w:color w:val="000000" w:themeColor="text1"/>
          <w:sz w:val="26"/>
          <w:szCs w:val="26"/>
        </w:rPr>
        <w:t xml:space="preserve"> for twelve</w:t>
      </w:r>
      <w:r>
        <w:rPr>
          <w:color w:val="000000" w:themeColor="text1"/>
          <w:sz w:val="26"/>
          <w:szCs w:val="26"/>
        </w:rPr>
        <w:t xml:space="preserve"> months.  </w:t>
      </w:r>
      <w:r w:rsidR="002969BF">
        <w:rPr>
          <w:color w:val="000000" w:themeColor="text1"/>
          <w:sz w:val="26"/>
          <w:szCs w:val="26"/>
        </w:rPr>
        <w:t xml:space="preserve">The ALJ opined that </w:t>
      </w:r>
      <w:r>
        <w:rPr>
          <w:color w:val="000000" w:themeColor="text1"/>
          <w:sz w:val="26"/>
          <w:szCs w:val="26"/>
        </w:rPr>
        <w:t>Duquesne</w:t>
      </w:r>
      <w:r w:rsidRPr="00EE5722">
        <w:rPr>
          <w:color w:val="000000" w:themeColor="text1"/>
          <w:sz w:val="26"/>
          <w:szCs w:val="26"/>
        </w:rPr>
        <w:t>’s current default service customers</w:t>
      </w:r>
      <w:r>
        <w:rPr>
          <w:color w:val="000000" w:themeColor="text1"/>
          <w:sz w:val="26"/>
          <w:szCs w:val="26"/>
        </w:rPr>
        <w:t>, who</w:t>
      </w:r>
      <w:r w:rsidRPr="00EE5722">
        <w:rPr>
          <w:color w:val="000000" w:themeColor="text1"/>
          <w:sz w:val="26"/>
          <w:szCs w:val="26"/>
        </w:rPr>
        <w:t xml:space="preserve"> have become accustomed to fixed rates </w:t>
      </w:r>
      <w:r w:rsidR="002969BF">
        <w:rPr>
          <w:color w:val="000000" w:themeColor="text1"/>
          <w:sz w:val="26"/>
          <w:szCs w:val="26"/>
        </w:rPr>
        <w:t>for twenty-nine</w:t>
      </w:r>
      <w:r>
        <w:rPr>
          <w:color w:val="000000" w:themeColor="text1"/>
          <w:sz w:val="26"/>
          <w:szCs w:val="26"/>
        </w:rPr>
        <w:t xml:space="preserve"> months, would be </w:t>
      </w:r>
      <w:r w:rsidRPr="00EE5722">
        <w:rPr>
          <w:color w:val="000000" w:themeColor="text1"/>
          <w:sz w:val="26"/>
          <w:szCs w:val="26"/>
        </w:rPr>
        <w:t>less likely t</w:t>
      </w:r>
      <w:r>
        <w:rPr>
          <w:color w:val="000000" w:themeColor="text1"/>
          <w:sz w:val="26"/>
          <w:szCs w:val="26"/>
        </w:rPr>
        <w:t xml:space="preserve">o shop if they are </w:t>
      </w:r>
      <w:r w:rsidRPr="00EE5722">
        <w:rPr>
          <w:color w:val="000000" w:themeColor="text1"/>
          <w:sz w:val="26"/>
          <w:szCs w:val="26"/>
        </w:rPr>
        <w:t xml:space="preserve">guaranteed savings for </w:t>
      </w:r>
      <w:r>
        <w:rPr>
          <w:color w:val="000000" w:themeColor="text1"/>
          <w:sz w:val="26"/>
          <w:szCs w:val="26"/>
        </w:rPr>
        <w:t xml:space="preserve">only </w:t>
      </w:r>
      <w:r w:rsidRPr="00EE5722">
        <w:rPr>
          <w:color w:val="000000" w:themeColor="text1"/>
          <w:sz w:val="26"/>
          <w:szCs w:val="26"/>
        </w:rPr>
        <w:t>four mont</w:t>
      </w:r>
      <w:r>
        <w:rPr>
          <w:color w:val="000000" w:themeColor="text1"/>
          <w:sz w:val="26"/>
          <w:szCs w:val="26"/>
        </w:rPr>
        <w:t xml:space="preserve">hs.  </w:t>
      </w:r>
      <w:r w:rsidR="00921AE7">
        <w:rPr>
          <w:color w:val="000000" w:themeColor="text1"/>
          <w:sz w:val="26"/>
          <w:szCs w:val="26"/>
        </w:rPr>
        <w:t>The ALJ averred that a</w:t>
      </w:r>
      <w:r>
        <w:rPr>
          <w:color w:val="000000" w:themeColor="text1"/>
          <w:sz w:val="26"/>
          <w:szCs w:val="26"/>
        </w:rPr>
        <w:t xml:space="preserve"> key objective of the Opt-In </w:t>
      </w:r>
      <w:r w:rsidRPr="00EE5722">
        <w:rPr>
          <w:color w:val="000000" w:themeColor="text1"/>
          <w:sz w:val="26"/>
          <w:szCs w:val="26"/>
        </w:rPr>
        <w:t>Program is to promote customer participation and to create confidence in the retail comp</w:t>
      </w:r>
      <w:r>
        <w:rPr>
          <w:color w:val="000000" w:themeColor="text1"/>
          <w:sz w:val="26"/>
          <w:szCs w:val="26"/>
        </w:rPr>
        <w:t>etitive market</w:t>
      </w:r>
      <w:r w:rsidRPr="00EE5722">
        <w:rPr>
          <w:color w:val="000000" w:themeColor="text1"/>
          <w:sz w:val="26"/>
          <w:szCs w:val="26"/>
        </w:rPr>
        <w:t xml:space="preserve">.  The </w:t>
      </w:r>
      <w:r>
        <w:rPr>
          <w:color w:val="000000" w:themeColor="text1"/>
          <w:sz w:val="26"/>
          <w:szCs w:val="26"/>
        </w:rPr>
        <w:t xml:space="preserve">ALJ concluded that the </w:t>
      </w:r>
      <w:r w:rsidRPr="00EE5722">
        <w:rPr>
          <w:color w:val="000000" w:themeColor="text1"/>
          <w:sz w:val="26"/>
          <w:szCs w:val="26"/>
        </w:rPr>
        <w:t xml:space="preserve">Company’s proposal is more likely </w:t>
      </w:r>
      <w:r>
        <w:rPr>
          <w:color w:val="000000" w:themeColor="text1"/>
          <w:sz w:val="26"/>
          <w:szCs w:val="26"/>
        </w:rPr>
        <w:t xml:space="preserve">than RESA’s </w:t>
      </w:r>
      <w:r w:rsidRPr="00EE5722">
        <w:rPr>
          <w:color w:val="000000" w:themeColor="text1"/>
          <w:sz w:val="26"/>
          <w:szCs w:val="26"/>
        </w:rPr>
        <w:t>to encourage customer participation and result in customer satisfaction with competitive markets.</w:t>
      </w:r>
      <w:r w:rsidR="00921AE7">
        <w:rPr>
          <w:color w:val="000000" w:themeColor="text1"/>
          <w:sz w:val="26"/>
          <w:szCs w:val="26"/>
        </w:rPr>
        <w:t xml:space="preserve">  R.D. at 82.</w:t>
      </w:r>
    </w:p>
    <w:p w:rsidR="006D4D99" w:rsidRPr="00583BA3" w:rsidRDefault="00332002" w:rsidP="00921AE7">
      <w:pPr>
        <w:pStyle w:val="BodyText2"/>
        <w:spacing w:after="0" w:line="360" w:lineRule="auto"/>
        <w:ind w:firstLine="1440"/>
        <w:rPr>
          <w:sz w:val="26"/>
          <w:szCs w:val="26"/>
        </w:rPr>
      </w:pPr>
      <w:r w:rsidRPr="00EE5722">
        <w:rPr>
          <w:sz w:val="26"/>
          <w:szCs w:val="26"/>
        </w:rPr>
        <w:tab/>
      </w:r>
      <w:r w:rsidRPr="00EE5722">
        <w:rPr>
          <w:sz w:val="26"/>
          <w:szCs w:val="26"/>
        </w:rPr>
        <w:tab/>
      </w:r>
    </w:p>
    <w:p w:rsidR="006D4D99" w:rsidRPr="00EE5722" w:rsidRDefault="00283369" w:rsidP="00115AB3">
      <w:pPr>
        <w:pStyle w:val="Heading5"/>
        <w:numPr>
          <w:ilvl w:val="0"/>
          <w:numId w:val="0"/>
        </w:numPr>
        <w:ind w:left="3600" w:hanging="720"/>
      </w:pPr>
      <w:bookmarkStart w:id="80" w:name="_Toc346705322"/>
      <w:r w:rsidRPr="00EE5722">
        <w:t>iv</w:t>
      </w:r>
      <w:r w:rsidR="001C0E37">
        <w:t>.</w:t>
      </w:r>
      <w:r w:rsidR="001C0E37">
        <w:tab/>
        <w:t>Exceptions</w:t>
      </w:r>
      <w:bookmarkEnd w:id="80"/>
    </w:p>
    <w:p w:rsidR="00AE0EA4" w:rsidRDefault="00AE0EA4" w:rsidP="000B0447">
      <w:pPr>
        <w:pStyle w:val="Heading3"/>
      </w:pPr>
    </w:p>
    <w:p w:rsidR="00AE0EA4" w:rsidRDefault="00AE0EA4" w:rsidP="00921AE7">
      <w:pPr>
        <w:pStyle w:val="BodyText2"/>
        <w:spacing w:after="0" w:line="360" w:lineRule="auto"/>
        <w:ind w:firstLine="1440"/>
        <w:rPr>
          <w:sz w:val="26"/>
          <w:szCs w:val="26"/>
        </w:rPr>
      </w:pPr>
      <w:r>
        <w:rPr>
          <w:sz w:val="26"/>
          <w:szCs w:val="26"/>
        </w:rPr>
        <w:t xml:space="preserve">RESA argues </w:t>
      </w:r>
      <w:r w:rsidRPr="00AE0EA4">
        <w:rPr>
          <w:sz w:val="26"/>
          <w:szCs w:val="26"/>
        </w:rPr>
        <w:t>that the ALJ erred when she recommended ap</w:t>
      </w:r>
      <w:r w:rsidR="00921AE7">
        <w:rPr>
          <w:sz w:val="26"/>
          <w:szCs w:val="26"/>
        </w:rPr>
        <w:t>proval of Duquesne’s proposed twelve</w:t>
      </w:r>
      <w:r w:rsidRPr="00AE0EA4">
        <w:rPr>
          <w:sz w:val="26"/>
          <w:szCs w:val="26"/>
        </w:rPr>
        <w:t xml:space="preserve">-month fixed price </w:t>
      </w:r>
      <w:r w:rsidR="008914FE">
        <w:rPr>
          <w:sz w:val="26"/>
          <w:szCs w:val="26"/>
        </w:rPr>
        <w:t xml:space="preserve">with </w:t>
      </w:r>
      <w:r w:rsidRPr="00AE0EA4">
        <w:rPr>
          <w:sz w:val="26"/>
          <w:szCs w:val="26"/>
        </w:rPr>
        <w:t xml:space="preserve">guaranteed savings, with a bonus to be paid after three months.  </w:t>
      </w:r>
      <w:r w:rsidR="000216F4">
        <w:rPr>
          <w:sz w:val="26"/>
          <w:szCs w:val="26"/>
        </w:rPr>
        <w:t xml:space="preserve">RESA argues that Duquesne’s </w:t>
      </w:r>
      <w:r w:rsidRPr="00AE0EA4">
        <w:rPr>
          <w:sz w:val="26"/>
          <w:szCs w:val="26"/>
        </w:rPr>
        <w:t xml:space="preserve">percentage of shopping customers, while higher than </w:t>
      </w:r>
      <w:r w:rsidR="000216F4">
        <w:rPr>
          <w:sz w:val="26"/>
          <w:szCs w:val="26"/>
        </w:rPr>
        <w:t xml:space="preserve">other Pennsylvania EDCs, </w:t>
      </w:r>
      <w:r w:rsidRPr="00AE0EA4">
        <w:rPr>
          <w:sz w:val="26"/>
          <w:szCs w:val="26"/>
        </w:rPr>
        <w:t xml:space="preserve">does not justify deviating from the </w:t>
      </w:r>
      <w:r w:rsidRPr="00AE0EA4">
        <w:rPr>
          <w:i/>
          <w:sz w:val="26"/>
          <w:szCs w:val="26"/>
        </w:rPr>
        <w:t>F</w:t>
      </w:r>
      <w:r w:rsidR="000216F4">
        <w:rPr>
          <w:i/>
          <w:sz w:val="26"/>
          <w:szCs w:val="26"/>
        </w:rPr>
        <w:t>irstEnergy</w:t>
      </w:r>
      <w:r w:rsidRPr="00AE0EA4">
        <w:rPr>
          <w:sz w:val="26"/>
          <w:szCs w:val="26"/>
        </w:rPr>
        <w:t xml:space="preserve"> </w:t>
      </w:r>
      <w:r w:rsidR="00921AE7">
        <w:rPr>
          <w:i/>
          <w:sz w:val="26"/>
          <w:szCs w:val="26"/>
        </w:rPr>
        <w:t xml:space="preserve">DSP </w:t>
      </w:r>
      <w:r w:rsidRPr="00AE0EA4">
        <w:rPr>
          <w:sz w:val="26"/>
          <w:szCs w:val="26"/>
        </w:rPr>
        <w:t xml:space="preserve">and </w:t>
      </w:r>
      <w:r w:rsidRPr="00AE0EA4">
        <w:rPr>
          <w:i/>
          <w:sz w:val="26"/>
          <w:szCs w:val="26"/>
        </w:rPr>
        <w:t>PECO</w:t>
      </w:r>
      <w:r w:rsidR="000216F4">
        <w:rPr>
          <w:sz w:val="26"/>
          <w:szCs w:val="26"/>
        </w:rPr>
        <w:t xml:space="preserve"> </w:t>
      </w:r>
      <w:r w:rsidR="000216F4" w:rsidRPr="000216F4">
        <w:rPr>
          <w:i/>
          <w:sz w:val="26"/>
          <w:szCs w:val="26"/>
        </w:rPr>
        <w:t>DSP Orders</w:t>
      </w:r>
      <w:r w:rsidRPr="00AE0EA4">
        <w:rPr>
          <w:sz w:val="26"/>
          <w:szCs w:val="26"/>
        </w:rPr>
        <w:t>.  Second,</w:t>
      </w:r>
      <w:r w:rsidR="000216F4" w:rsidRPr="00AE0EA4">
        <w:rPr>
          <w:sz w:val="26"/>
          <w:szCs w:val="26"/>
        </w:rPr>
        <w:t xml:space="preserve"> </w:t>
      </w:r>
      <w:r w:rsidR="00921AE7">
        <w:rPr>
          <w:sz w:val="26"/>
          <w:szCs w:val="26"/>
        </w:rPr>
        <w:t xml:space="preserve">RESA argues that </w:t>
      </w:r>
      <w:r w:rsidR="000216F4">
        <w:rPr>
          <w:sz w:val="26"/>
          <w:szCs w:val="26"/>
        </w:rPr>
        <w:t xml:space="preserve">the </w:t>
      </w:r>
      <w:r w:rsidRPr="00AE0EA4">
        <w:rPr>
          <w:sz w:val="26"/>
          <w:szCs w:val="26"/>
        </w:rPr>
        <w:t>discoun</w:t>
      </w:r>
      <w:r w:rsidR="000216F4">
        <w:rPr>
          <w:sz w:val="26"/>
          <w:szCs w:val="26"/>
        </w:rPr>
        <w:t>t and term for the Opt-In P</w:t>
      </w:r>
      <w:r w:rsidRPr="00AE0EA4">
        <w:rPr>
          <w:sz w:val="26"/>
          <w:szCs w:val="26"/>
        </w:rPr>
        <w:t>rogra</w:t>
      </w:r>
      <w:r w:rsidR="000216F4">
        <w:rPr>
          <w:sz w:val="26"/>
          <w:szCs w:val="26"/>
        </w:rPr>
        <w:t xml:space="preserve">m should be the same </w:t>
      </w:r>
      <w:r w:rsidRPr="00AE0EA4">
        <w:rPr>
          <w:sz w:val="26"/>
          <w:szCs w:val="26"/>
        </w:rPr>
        <w:t>as th</w:t>
      </w:r>
      <w:r w:rsidR="000216F4">
        <w:rPr>
          <w:sz w:val="26"/>
          <w:szCs w:val="26"/>
        </w:rPr>
        <w:t>e discount established for the Standard Offer Referral P</w:t>
      </w:r>
      <w:r w:rsidRPr="00AE0EA4">
        <w:rPr>
          <w:sz w:val="26"/>
          <w:szCs w:val="26"/>
        </w:rPr>
        <w:t>rogram.</w:t>
      </w:r>
      <w:r w:rsidRPr="00AE0EA4">
        <w:rPr>
          <w:rStyle w:val="FootnoteReference"/>
          <w:sz w:val="26"/>
          <w:szCs w:val="26"/>
        </w:rPr>
        <w:footnoteReference w:id="72"/>
      </w:r>
      <w:r w:rsidRPr="00AE0EA4">
        <w:rPr>
          <w:sz w:val="26"/>
          <w:szCs w:val="26"/>
        </w:rPr>
        <w:t xml:space="preserve">  </w:t>
      </w:r>
      <w:r w:rsidR="00921AE7">
        <w:rPr>
          <w:sz w:val="26"/>
          <w:szCs w:val="26"/>
        </w:rPr>
        <w:t>According to RESA, t</w:t>
      </w:r>
      <w:r w:rsidRPr="00AE0EA4">
        <w:rPr>
          <w:sz w:val="26"/>
          <w:szCs w:val="26"/>
        </w:rPr>
        <w:t xml:space="preserve">his will ensure consistency between the two programs, mitigate customer confusion, and result in greater customer and EGS participation.  </w:t>
      </w:r>
      <w:r w:rsidR="00921AE7" w:rsidRPr="00A868EC">
        <w:rPr>
          <w:sz w:val="26"/>
          <w:szCs w:val="26"/>
        </w:rPr>
        <w:t xml:space="preserve">RESA Exc. at </w:t>
      </w:r>
      <w:r w:rsidR="00921AE7">
        <w:rPr>
          <w:sz w:val="26"/>
          <w:szCs w:val="26"/>
        </w:rPr>
        <w:t>21-22</w:t>
      </w:r>
      <w:r w:rsidR="00921AE7" w:rsidRPr="00A868EC">
        <w:rPr>
          <w:sz w:val="26"/>
          <w:szCs w:val="26"/>
        </w:rPr>
        <w:t>.</w:t>
      </w:r>
      <w:r w:rsidR="00921AE7">
        <w:rPr>
          <w:sz w:val="26"/>
          <w:szCs w:val="26"/>
        </w:rPr>
        <w:t xml:space="preserve">  </w:t>
      </w:r>
    </w:p>
    <w:p w:rsidR="000C5F19" w:rsidRPr="000C5F19" w:rsidRDefault="000C5F19" w:rsidP="00921AE7">
      <w:pPr>
        <w:pStyle w:val="BodyText2"/>
        <w:spacing w:after="0" w:line="360" w:lineRule="auto"/>
        <w:rPr>
          <w:sz w:val="26"/>
          <w:szCs w:val="26"/>
        </w:rPr>
      </w:pPr>
    </w:p>
    <w:p w:rsidR="006D4D99" w:rsidRPr="00AE0EA4" w:rsidRDefault="000216F4" w:rsidP="00B02549">
      <w:pPr>
        <w:pStyle w:val="BodyText2"/>
        <w:spacing w:after="0" w:line="360" w:lineRule="auto"/>
        <w:ind w:firstLine="1440"/>
        <w:rPr>
          <w:sz w:val="26"/>
          <w:szCs w:val="26"/>
        </w:rPr>
      </w:pPr>
      <w:r>
        <w:rPr>
          <w:sz w:val="26"/>
          <w:szCs w:val="26"/>
        </w:rPr>
        <w:t xml:space="preserve">RESA argues that </w:t>
      </w:r>
      <w:r w:rsidR="00E14091">
        <w:rPr>
          <w:sz w:val="26"/>
          <w:szCs w:val="26"/>
        </w:rPr>
        <w:t xml:space="preserve">an effective </w:t>
      </w:r>
      <w:r>
        <w:rPr>
          <w:sz w:val="26"/>
          <w:szCs w:val="26"/>
        </w:rPr>
        <w:t>p</w:t>
      </w:r>
      <w:r w:rsidR="00AE0EA4" w:rsidRPr="00AE0EA4">
        <w:rPr>
          <w:sz w:val="26"/>
          <w:szCs w:val="26"/>
        </w:rPr>
        <w:t xml:space="preserve">rogram must balance </w:t>
      </w:r>
      <w:r w:rsidR="005D66D8">
        <w:rPr>
          <w:sz w:val="26"/>
          <w:szCs w:val="26"/>
        </w:rPr>
        <w:t xml:space="preserve">a customer’s interest in </w:t>
      </w:r>
      <w:r w:rsidR="00AE0EA4" w:rsidRPr="00AE0EA4">
        <w:rPr>
          <w:sz w:val="26"/>
          <w:szCs w:val="26"/>
        </w:rPr>
        <w:t xml:space="preserve">savings with </w:t>
      </w:r>
      <w:r w:rsidR="005D66D8">
        <w:rPr>
          <w:sz w:val="26"/>
          <w:szCs w:val="26"/>
        </w:rPr>
        <w:t xml:space="preserve">an </w:t>
      </w:r>
      <w:r w:rsidR="00AE0EA4" w:rsidRPr="00AE0EA4">
        <w:rPr>
          <w:sz w:val="26"/>
          <w:szCs w:val="26"/>
        </w:rPr>
        <w:t>EGS</w:t>
      </w:r>
      <w:r w:rsidR="005D66D8">
        <w:rPr>
          <w:sz w:val="26"/>
          <w:szCs w:val="26"/>
        </w:rPr>
        <w:t>’s</w:t>
      </w:r>
      <w:r w:rsidR="00AE0EA4" w:rsidRPr="00AE0EA4">
        <w:rPr>
          <w:sz w:val="26"/>
          <w:szCs w:val="26"/>
        </w:rPr>
        <w:t xml:space="preserve"> willingness t</w:t>
      </w:r>
      <w:r>
        <w:rPr>
          <w:sz w:val="26"/>
          <w:szCs w:val="26"/>
        </w:rPr>
        <w:t>o participate.  RESA asserts that t</w:t>
      </w:r>
      <w:r w:rsidR="00AE0EA4" w:rsidRPr="00AE0EA4">
        <w:rPr>
          <w:sz w:val="26"/>
          <w:szCs w:val="26"/>
        </w:rPr>
        <w:t>he ALJ’s recomm</w:t>
      </w:r>
      <w:r>
        <w:rPr>
          <w:sz w:val="26"/>
          <w:szCs w:val="26"/>
        </w:rPr>
        <w:t>endation leans too heavily toward</w:t>
      </w:r>
      <w:r w:rsidR="00AE0EA4" w:rsidRPr="00AE0EA4">
        <w:rPr>
          <w:sz w:val="26"/>
          <w:szCs w:val="26"/>
        </w:rPr>
        <w:t xml:space="preserve"> guaranteeing customer savings over a longer perio</w:t>
      </w:r>
      <w:r>
        <w:rPr>
          <w:sz w:val="26"/>
          <w:szCs w:val="26"/>
        </w:rPr>
        <w:t xml:space="preserve">d of time.  RESA’s recommendation for an </w:t>
      </w:r>
      <w:r w:rsidR="00AE0EA4" w:rsidRPr="00AE0EA4">
        <w:rPr>
          <w:sz w:val="26"/>
          <w:szCs w:val="26"/>
        </w:rPr>
        <w:t>initial four-month price is in line with RESA’s</w:t>
      </w:r>
      <w:r>
        <w:rPr>
          <w:sz w:val="26"/>
          <w:szCs w:val="26"/>
        </w:rPr>
        <w:t xml:space="preserve"> recommendation for </w:t>
      </w:r>
      <w:r w:rsidR="00AE0EA4" w:rsidRPr="00AE0EA4">
        <w:rPr>
          <w:sz w:val="26"/>
          <w:szCs w:val="26"/>
        </w:rPr>
        <w:t>a PTC that changes every quart</w:t>
      </w:r>
      <w:r>
        <w:rPr>
          <w:sz w:val="26"/>
          <w:szCs w:val="26"/>
        </w:rPr>
        <w:t xml:space="preserve">er.  </w:t>
      </w:r>
      <w:r w:rsidR="00921AE7">
        <w:rPr>
          <w:sz w:val="26"/>
          <w:szCs w:val="26"/>
        </w:rPr>
        <w:t>According to RESA, a</w:t>
      </w:r>
      <w:r>
        <w:rPr>
          <w:sz w:val="26"/>
          <w:szCs w:val="26"/>
        </w:rPr>
        <w:t xml:space="preserve"> </w:t>
      </w:r>
      <w:r w:rsidR="00921AE7">
        <w:rPr>
          <w:sz w:val="26"/>
          <w:szCs w:val="26"/>
        </w:rPr>
        <w:lastRenderedPageBreak/>
        <w:t>twelve</w:t>
      </w:r>
      <w:r w:rsidR="00AE0EA4" w:rsidRPr="00AE0EA4">
        <w:rPr>
          <w:sz w:val="26"/>
          <w:szCs w:val="26"/>
        </w:rPr>
        <w:t>-month term that gua</w:t>
      </w:r>
      <w:r>
        <w:rPr>
          <w:sz w:val="26"/>
          <w:szCs w:val="26"/>
        </w:rPr>
        <w:t xml:space="preserve">rantees a discount from a </w:t>
      </w:r>
      <w:r w:rsidR="00AE0EA4" w:rsidRPr="00AE0EA4">
        <w:rPr>
          <w:sz w:val="26"/>
          <w:szCs w:val="26"/>
        </w:rPr>
        <w:t>PTC</w:t>
      </w:r>
      <w:r>
        <w:rPr>
          <w:sz w:val="26"/>
          <w:szCs w:val="26"/>
        </w:rPr>
        <w:t xml:space="preserve"> that </w:t>
      </w:r>
      <w:r w:rsidR="00AE0EA4" w:rsidRPr="00AE0EA4">
        <w:rPr>
          <w:sz w:val="26"/>
          <w:szCs w:val="26"/>
        </w:rPr>
        <w:t>c</w:t>
      </w:r>
      <w:r w:rsidR="000D474D">
        <w:rPr>
          <w:sz w:val="26"/>
          <w:szCs w:val="26"/>
        </w:rPr>
        <w:t xml:space="preserve">hanges during the </w:t>
      </w:r>
      <w:r w:rsidR="00921AE7">
        <w:rPr>
          <w:sz w:val="26"/>
          <w:szCs w:val="26"/>
        </w:rPr>
        <w:t>twelve</w:t>
      </w:r>
      <w:r w:rsidR="000D474D">
        <w:rPr>
          <w:sz w:val="26"/>
          <w:szCs w:val="26"/>
        </w:rPr>
        <w:t xml:space="preserve">-month </w:t>
      </w:r>
      <w:r>
        <w:rPr>
          <w:sz w:val="26"/>
          <w:szCs w:val="26"/>
        </w:rPr>
        <w:t>term</w:t>
      </w:r>
      <w:r w:rsidR="00AE0EA4" w:rsidRPr="00AE0EA4">
        <w:rPr>
          <w:sz w:val="26"/>
          <w:szCs w:val="26"/>
        </w:rPr>
        <w:t xml:space="preserve"> is unlikely to produce the best price for the customer because it exposes EGSs to an unreasonable level of risk.</w:t>
      </w:r>
      <w:r w:rsidR="000D474D">
        <w:rPr>
          <w:sz w:val="26"/>
          <w:szCs w:val="26"/>
        </w:rPr>
        <w:t xml:space="preserve">  </w:t>
      </w:r>
      <w:r w:rsidR="00921AE7">
        <w:rPr>
          <w:sz w:val="26"/>
          <w:szCs w:val="26"/>
        </w:rPr>
        <w:t xml:space="preserve">RESA opines that </w:t>
      </w:r>
      <w:r w:rsidR="000D474D">
        <w:rPr>
          <w:sz w:val="26"/>
          <w:szCs w:val="26"/>
        </w:rPr>
        <w:t xml:space="preserve">EGSs are </w:t>
      </w:r>
      <w:r w:rsidR="00921AE7">
        <w:rPr>
          <w:sz w:val="26"/>
          <w:szCs w:val="26"/>
        </w:rPr>
        <w:t>comfortable providing a fixed twelve</w:t>
      </w:r>
      <w:r w:rsidR="00AE0EA4" w:rsidRPr="00AE0EA4">
        <w:rPr>
          <w:sz w:val="26"/>
          <w:szCs w:val="26"/>
        </w:rPr>
        <w:t xml:space="preserve">-month price, as such offers can be hedged at the time they are made.  </w:t>
      </w:r>
      <w:r w:rsidR="00921AE7">
        <w:rPr>
          <w:sz w:val="26"/>
          <w:szCs w:val="26"/>
        </w:rPr>
        <w:t xml:space="preserve">However, RESA states that </w:t>
      </w:r>
      <w:r w:rsidR="00AE0EA4" w:rsidRPr="00AE0EA4">
        <w:rPr>
          <w:sz w:val="26"/>
          <w:szCs w:val="26"/>
        </w:rPr>
        <w:t xml:space="preserve">EGSs generally are not </w:t>
      </w:r>
      <w:r w:rsidR="000D474D">
        <w:rPr>
          <w:sz w:val="26"/>
          <w:szCs w:val="26"/>
        </w:rPr>
        <w:t xml:space="preserve">comfortable offering a </w:t>
      </w:r>
      <w:r w:rsidR="00AE0EA4" w:rsidRPr="00AE0EA4">
        <w:rPr>
          <w:sz w:val="26"/>
          <w:szCs w:val="26"/>
        </w:rPr>
        <w:t>guaranteed savings against a price that might change over time in an unforeseeable manner.</w:t>
      </w:r>
      <w:r w:rsidR="00AE0EA4" w:rsidRPr="00AE0EA4">
        <w:rPr>
          <w:sz w:val="26"/>
          <w:szCs w:val="26"/>
          <w:vertAlign w:val="superscript"/>
        </w:rPr>
        <w:footnoteReference w:id="73"/>
      </w:r>
      <w:r w:rsidR="000D474D">
        <w:rPr>
          <w:sz w:val="26"/>
          <w:szCs w:val="26"/>
        </w:rPr>
        <w:t xml:space="preserve">  </w:t>
      </w:r>
      <w:r w:rsidR="00AE0EA4" w:rsidRPr="00AE0EA4">
        <w:rPr>
          <w:sz w:val="26"/>
          <w:szCs w:val="26"/>
        </w:rPr>
        <w:t xml:space="preserve">For these reasons, </w:t>
      </w:r>
      <w:r w:rsidR="005D66D8">
        <w:rPr>
          <w:sz w:val="26"/>
          <w:szCs w:val="26"/>
        </w:rPr>
        <w:t xml:space="preserve">RESA submits </w:t>
      </w:r>
      <w:r w:rsidR="0096680A">
        <w:rPr>
          <w:sz w:val="26"/>
          <w:szCs w:val="26"/>
        </w:rPr>
        <w:t xml:space="preserve">that </w:t>
      </w:r>
      <w:r w:rsidR="00AE0EA4" w:rsidRPr="00AE0EA4">
        <w:rPr>
          <w:sz w:val="26"/>
          <w:szCs w:val="26"/>
        </w:rPr>
        <w:t>the Commission should dire</w:t>
      </w:r>
      <w:r w:rsidR="005D66D8">
        <w:rPr>
          <w:sz w:val="26"/>
          <w:szCs w:val="26"/>
        </w:rPr>
        <w:t>ct Duquesne to implement an Opt-In P</w:t>
      </w:r>
      <w:r w:rsidR="00583BA3">
        <w:rPr>
          <w:sz w:val="26"/>
          <w:szCs w:val="26"/>
        </w:rPr>
        <w:t xml:space="preserve">rogram consistent with the </w:t>
      </w:r>
      <w:r w:rsidR="005D66D8">
        <w:rPr>
          <w:sz w:val="26"/>
          <w:szCs w:val="26"/>
        </w:rPr>
        <w:t xml:space="preserve">programs it approved </w:t>
      </w:r>
      <w:r w:rsidR="00AE0EA4" w:rsidRPr="00AE0EA4">
        <w:rPr>
          <w:sz w:val="26"/>
          <w:szCs w:val="26"/>
        </w:rPr>
        <w:t xml:space="preserve">in the </w:t>
      </w:r>
      <w:r w:rsidR="00AE0EA4" w:rsidRPr="00AE0EA4">
        <w:rPr>
          <w:i/>
          <w:sz w:val="26"/>
          <w:szCs w:val="26"/>
        </w:rPr>
        <w:t>F</w:t>
      </w:r>
      <w:r w:rsidR="005D66D8">
        <w:rPr>
          <w:i/>
          <w:sz w:val="26"/>
          <w:szCs w:val="26"/>
        </w:rPr>
        <w:t>irstEnergy</w:t>
      </w:r>
      <w:r w:rsidR="00AE0EA4" w:rsidRPr="00AE0EA4">
        <w:rPr>
          <w:sz w:val="26"/>
          <w:szCs w:val="26"/>
        </w:rPr>
        <w:t xml:space="preserve"> and </w:t>
      </w:r>
      <w:r w:rsidR="00AE0EA4" w:rsidRPr="00AE0EA4">
        <w:rPr>
          <w:i/>
          <w:sz w:val="26"/>
          <w:szCs w:val="26"/>
        </w:rPr>
        <w:t>PECO</w:t>
      </w:r>
      <w:r w:rsidR="005D66D8">
        <w:rPr>
          <w:sz w:val="26"/>
          <w:szCs w:val="26"/>
        </w:rPr>
        <w:t xml:space="preserve"> </w:t>
      </w:r>
      <w:r w:rsidR="005D66D8" w:rsidRPr="005D66D8">
        <w:rPr>
          <w:i/>
          <w:sz w:val="26"/>
          <w:szCs w:val="26"/>
        </w:rPr>
        <w:t>DSP Orders</w:t>
      </w:r>
      <w:r w:rsidR="005D66D8">
        <w:rPr>
          <w:sz w:val="26"/>
          <w:szCs w:val="26"/>
        </w:rPr>
        <w:t>, and ensure that the Opt-In and Standard Offer Referral P</w:t>
      </w:r>
      <w:r w:rsidR="00AE0EA4" w:rsidRPr="00AE0EA4">
        <w:rPr>
          <w:sz w:val="26"/>
          <w:szCs w:val="26"/>
        </w:rPr>
        <w:t xml:space="preserve">rograms operate in harmony. </w:t>
      </w:r>
      <w:r w:rsidR="00810626">
        <w:rPr>
          <w:sz w:val="26"/>
          <w:szCs w:val="26"/>
        </w:rPr>
        <w:t xml:space="preserve"> </w:t>
      </w:r>
      <w:r w:rsidR="00810626">
        <w:rPr>
          <w:i/>
          <w:sz w:val="26"/>
          <w:szCs w:val="26"/>
        </w:rPr>
        <w:t>Id.</w:t>
      </w:r>
      <w:r w:rsidR="00810626">
        <w:rPr>
          <w:sz w:val="26"/>
          <w:szCs w:val="26"/>
        </w:rPr>
        <w:t xml:space="preserve"> at 22-24.</w:t>
      </w:r>
      <w:r w:rsidR="00AE0EA4" w:rsidRPr="00AE0EA4">
        <w:rPr>
          <w:sz w:val="26"/>
          <w:szCs w:val="26"/>
        </w:rPr>
        <w:t xml:space="preserve">     </w:t>
      </w:r>
    </w:p>
    <w:p w:rsidR="006D4D99" w:rsidRPr="00EE5722" w:rsidRDefault="006D4D99" w:rsidP="00B02549">
      <w:pPr>
        <w:pStyle w:val="BodyText2"/>
        <w:spacing w:after="0" w:line="360" w:lineRule="auto"/>
        <w:rPr>
          <w:sz w:val="26"/>
          <w:szCs w:val="26"/>
        </w:rPr>
      </w:pPr>
      <w:r w:rsidRPr="00EE5722">
        <w:rPr>
          <w:sz w:val="26"/>
          <w:szCs w:val="26"/>
        </w:rPr>
        <w:tab/>
      </w:r>
      <w:r w:rsidR="00833501" w:rsidRPr="00EE5722">
        <w:rPr>
          <w:sz w:val="26"/>
          <w:szCs w:val="26"/>
        </w:rPr>
        <w:tab/>
      </w:r>
    </w:p>
    <w:p w:rsidR="006D4D99" w:rsidRPr="00EE5722" w:rsidRDefault="00283369" w:rsidP="00115AB3">
      <w:pPr>
        <w:pStyle w:val="Heading5"/>
        <w:numPr>
          <w:ilvl w:val="0"/>
          <w:numId w:val="0"/>
        </w:numPr>
        <w:ind w:left="3600" w:hanging="720"/>
      </w:pPr>
      <w:bookmarkStart w:id="81" w:name="_Toc346705323"/>
      <w:r w:rsidRPr="00EE5722">
        <w:t>v</w:t>
      </w:r>
      <w:r w:rsidR="001C0E37">
        <w:t>.</w:t>
      </w:r>
      <w:r w:rsidR="001C0E37">
        <w:tab/>
        <w:t>Reply Exception</w:t>
      </w:r>
      <w:r w:rsidR="00AE0EA4">
        <w:t>s</w:t>
      </w:r>
      <w:bookmarkEnd w:id="81"/>
    </w:p>
    <w:p w:rsidR="00283369" w:rsidRDefault="00283369" w:rsidP="00B02549">
      <w:pPr>
        <w:spacing w:line="360" w:lineRule="auto"/>
        <w:rPr>
          <w:sz w:val="26"/>
          <w:szCs w:val="26"/>
        </w:rPr>
      </w:pPr>
    </w:p>
    <w:p w:rsidR="004439BD" w:rsidRDefault="00B02549" w:rsidP="00B02549">
      <w:pPr>
        <w:pStyle w:val="BodyText2"/>
        <w:spacing w:after="0" w:line="360" w:lineRule="auto"/>
        <w:ind w:firstLine="1440"/>
        <w:rPr>
          <w:sz w:val="26"/>
          <w:szCs w:val="26"/>
        </w:rPr>
      </w:pPr>
      <w:r>
        <w:rPr>
          <w:sz w:val="26"/>
          <w:szCs w:val="26"/>
        </w:rPr>
        <w:t xml:space="preserve">In its Reply Exceptions, </w:t>
      </w:r>
      <w:r w:rsidR="00E2267F" w:rsidRPr="00A868EC">
        <w:rPr>
          <w:sz w:val="26"/>
          <w:szCs w:val="26"/>
        </w:rPr>
        <w:t xml:space="preserve">Duquesne </w:t>
      </w:r>
      <w:r>
        <w:rPr>
          <w:sz w:val="26"/>
          <w:szCs w:val="26"/>
        </w:rPr>
        <w:t xml:space="preserve">states that it </w:t>
      </w:r>
      <w:r w:rsidR="00E2267F" w:rsidRPr="00A868EC">
        <w:rPr>
          <w:sz w:val="26"/>
          <w:szCs w:val="26"/>
        </w:rPr>
        <w:t>strongly</w:t>
      </w:r>
      <w:r w:rsidR="005D66D8">
        <w:rPr>
          <w:sz w:val="26"/>
          <w:szCs w:val="26"/>
        </w:rPr>
        <w:t xml:space="preserve"> supports the ALJ’s recommendation, and believes that </w:t>
      </w:r>
      <w:r>
        <w:rPr>
          <w:sz w:val="26"/>
          <w:szCs w:val="26"/>
        </w:rPr>
        <w:t>a twelve</w:t>
      </w:r>
      <w:r w:rsidR="005D66D8">
        <w:rPr>
          <w:sz w:val="26"/>
          <w:szCs w:val="26"/>
        </w:rPr>
        <w:noBreakHyphen/>
        <w:t xml:space="preserve">month Opt-In term is </w:t>
      </w:r>
      <w:r w:rsidR="00E2267F" w:rsidRPr="00A868EC">
        <w:rPr>
          <w:sz w:val="26"/>
          <w:szCs w:val="26"/>
        </w:rPr>
        <w:t xml:space="preserve">a key issue in this proceeding.  Duquesne </w:t>
      </w:r>
      <w:r>
        <w:rPr>
          <w:sz w:val="26"/>
          <w:szCs w:val="26"/>
        </w:rPr>
        <w:t>carefully designed its r</w:t>
      </w:r>
      <w:r w:rsidR="00E2267F" w:rsidRPr="00A868EC">
        <w:rPr>
          <w:sz w:val="26"/>
          <w:szCs w:val="26"/>
        </w:rPr>
        <w:t>esidential procurement plan to work in combination with its Opt-In Program so that both the residential default service rate and Opt-In P</w:t>
      </w:r>
      <w:r>
        <w:rPr>
          <w:sz w:val="26"/>
          <w:szCs w:val="26"/>
        </w:rPr>
        <w:t>rogram rate are fixed for a twelve</w:t>
      </w:r>
      <w:r w:rsidR="00E2267F" w:rsidRPr="00A868EC">
        <w:rPr>
          <w:sz w:val="26"/>
          <w:szCs w:val="26"/>
        </w:rPr>
        <w:t xml:space="preserve">-month period from June </w:t>
      </w:r>
      <w:r>
        <w:rPr>
          <w:sz w:val="26"/>
          <w:szCs w:val="26"/>
        </w:rPr>
        <w:t>1, 2013 to May 31, 2014.  According to Duquesne, the twelve</w:t>
      </w:r>
      <w:r w:rsidR="00E2267F" w:rsidRPr="00A868EC">
        <w:rPr>
          <w:sz w:val="26"/>
          <w:szCs w:val="26"/>
        </w:rPr>
        <w:t>-month Opt-In t</w:t>
      </w:r>
      <w:r w:rsidR="005D66D8">
        <w:rPr>
          <w:sz w:val="26"/>
          <w:szCs w:val="26"/>
        </w:rPr>
        <w:t xml:space="preserve">erm will produce savings off </w:t>
      </w:r>
      <w:r w:rsidR="00E2267F" w:rsidRPr="00A868EC">
        <w:rPr>
          <w:sz w:val="26"/>
          <w:szCs w:val="26"/>
        </w:rPr>
        <w:t>the PTC for a one-year period if Duquesne’s one-year residential procurements are accepted.  Duquesne believes that clear savings for an extended period and stable default service rates are more likely to encourage Opt-In Program participation than short-term</w:t>
      </w:r>
      <w:r>
        <w:rPr>
          <w:sz w:val="26"/>
          <w:szCs w:val="26"/>
        </w:rPr>
        <w:t xml:space="preserve"> rates and savings.  Duquesne R.Exc. at 12.  </w:t>
      </w:r>
    </w:p>
    <w:p w:rsidR="004439BD" w:rsidRDefault="004439BD" w:rsidP="00B02549">
      <w:pPr>
        <w:pStyle w:val="BodyText2"/>
        <w:spacing w:after="0" w:line="360" w:lineRule="auto"/>
        <w:ind w:firstLine="1440"/>
        <w:rPr>
          <w:sz w:val="26"/>
          <w:szCs w:val="26"/>
        </w:rPr>
      </w:pPr>
    </w:p>
    <w:p w:rsidR="00E2267F" w:rsidRPr="00C70020" w:rsidRDefault="00B02549" w:rsidP="00182F9D">
      <w:pPr>
        <w:pStyle w:val="BodyText2"/>
        <w:spacing w:after="0" w:line="360" w:lineRule="auto"/>
        <w:ind w:firstLine="1440"/>
        <w:rPr>
          <w:sz w:val="26"/>
          <w:szCs w:val="26"/>
        </w:rPr>
      </w:pPr>
      <w:r>
        <w:rPr>
          <w:sz w:val="26"/>
          <w:szCs w:val="26"/>
        </w:rPr>
        <w:t>D</w:t>
      </w:r>
      <w:r w:rsidR="00E2267F" w:rsidRPr="00A868EC">
        <w:rPr>
          <w:sz w:val="26"/>
          <w:szCs w:val="26"/>
        </w:rPr>
        <w:t xml:space="preserve">uquesne </w:t>
      </w:r>
      <w:r w:rsidR="00C70020">
        <w:rPr>
          <w:sz w:val="26"/>
          <w:szCs w:val="26"/>
        </w:rPr>
        <w:t>states</w:t>
      </w:r>
      <w:r w:rsidR="00E2267F" w:rsidRPr="00A868EC">
        <w:rPr>
          <w:sz w:val="26"/>
          <w:szCs w:val="26"/>
        </w:rPr>
        <w:t xml:space="preserve"> that RESA mischaracterizes Duquesne’s </w:t>
      </w:r>
      <w:r w:rsidR="00C70020">
        <w:rPr>
          <w:sz w:val="26"/>
          <w:szCs w:val="26"/>
        </w:rPr>
        <w:t xml:space="preserve">proposed </w:t>
      </w:r>
      <w:r w:rsidR="00F8195D">
        <w:rPr>
          <w:sz w:val="26"/>
          <w:szCs w:val="26"/>
        </w:rPr>
        <w:t>twelve</w:t>
      </w:r>
      <w:r w:rsidR="00E2267F" w:rsidRPr="00A868EC">
        <w:rPr>
          <w:sz w:val="26"/>
          <w:szCs w:val="26"/>
        </w:rPr>
        <w:t xml:space="preserve">-month Opt-In term as a guaranteed savings approach. </w:t>
      </w:r>
      <w:r w:rsidR="00C70020">
        <w:rPr>
          <w:sz w:val="26"/>
          <w:szCs w:val="26"/>
        </w:rPr>
        <w:t xml:space="preserve"> </w:t>
      </w:r>
      <w:r w:rsidR="00F8195D">
        <w:rPr>
          <w:sz w:val="26"/>
          <w:szCs w:val="26"/>
        </w:rPr>
        <w:t>According to Duquesne, t</w:t>
      </w:r>
      <w:r w:rsidR="00E2267F" w:rsidRPr="00A868EC">
        <w:rPr>
          <w:sz w:val="26"/>
          <w:szCs w:val="26"/>
        </w:rPr>
        <w:t>his is a</w:t>
      </w:r>
      <w:r w:rsidR="00C70020">
        <w:rPr>
          <w:sz w:val="26"/>
          <w:szCs w:val="26"/>
        </w:rPr>
        <w:t xml:space="preserve">n </w:t>
      </w:r>
      <w:r w:rsidR="00C70020">
        <w:rPr>
          <w:sz w:val="26"/>
          <w:szCs w:val="26"/>
        </w:rPr>
        <w:lastRenderedPageBreak/>
        <w:t>incorrect characterization because a</w:t>
      </w:r>
      <w:r w:rsidR="00E2267F" w:rsidRPr="00A868EC">
        <w:rPr>
          <w:sz w:val="26"/>
          <w:szCs w:val="26"/>
        </w:rPr>
        <w:t xml:space="preserve"> “guaranteed savings” approach requires an EGS to change its price in response to changes in t</w:t>
      </w:r>
      <w:r w:rsidR="00C70020">
        <w:rPr>
          <w:sz w:val="26"/>
          <w:szCs w:val="26"/>
        </w:rPr>
        <w:t>he PTC</w:t>
      </w:r>
      <w:r w:rsidR="00E2267F" w:rsidRPr="00A868EC">
        <w:rPr>
          <w:sz w:val="26"/>
          <w:szCs w:val="26"/>
        </w:rPr>
        <w:t xml:space="preserve">.  </w:t>
      </w:r>
      <w:r w:rsidR="00C70020">
        <w:rPr>
          <w:sz w:val="26"/>
          <w:szCs w:val="26"/>
        </w:rPr>
        <w:t xml:space="preserve">Under Duquesne’s proposal, </w:t>
      </w:r>
      <w:r w:rsidR="00E2267F" w:rsidRPr="00A868EC">
        <w:rPr>
          <w:sz w:val="26"/>
          <w:szCs w:val="26"/>
        </w:rPr>
        <w:t xml:space="preserve">EGSs will </w:t>
      </w:r>
      <w:r w:rsidR="00E2267F" w:rsidRPr="00F8195D">
        <w:rPr>
          <w:sz w:val="26"/>
          <w:szCs w:val="26"/>
        </w:rPr>
        <w:t xml:space="preserve">not </w:t>
      </w:r>
      <w:r w:rsidR="00E2267F" w:rsidRPr="00A868EC">
        <w:rPr>
          <w:sz w:val="26"/>
          <w:szCs w:val="26"/>
        </w:rPr>
        <w:t xml:space="preserve">be required to change their </w:t>
      </w:r>
      <w:r w:rsidR="00C70020">
        <w:rPr>
          <w:sz w:val="26"/>
          <w:szCs w:val="26"/>
        </w:rPr>
        <w:t>prices during</w:t>
      </w:r>
      <w:r w:rsidR="00F8195D">
        <w:rPr>
          <w:sz w:val="26"/>
          <w:szCs w:val="26"/>
        </w:rPr>
        <w:t xml:space="preserve"> the twelve</w:t>
      </w:r>
      <w:r w:rsidR="00E2267F" w:rsidRPr="00A868EC">
        <w:rPr>
          <w:sz w:val="26"/>
          <w:szCs w:val="26"/>
        </w:rPr>
        <w:t xml:space="preserve">-month term.  Therefore, </w:t>
      </w:r>
      <w:r w:rsidR="00F8195D">
        <w:rPr>
          <w:sz w:val="26"/>
          <w:szCs w:val="26"/>
        </w:rPr>
        <w:t xml:space="preserve">according to Duquesne, </w:t>
      </w:r>
      <w:r w:rsidR="00E2267F" w:rsidRPr="00A868EC">
        <w:rPr>
          <w:sz w:val="26"/>
          <w:szCs w:val="26"/>
        </w:rPr>
        <w:t xml:space="preserve">the term “guaranteed savings” is misleading.  </w:t>
      </w:r>
      <w:r w:rsidR="00F8195D">
        <w:rPr>
          <w:sz w:val="26"/>
          <w:szCs w:val="26"/>
        </w:rPr>
        <w:t>Duquesne claims that c</w:t>
      </w:r>
      <w:r w:rsidR="00E2267F" w:rsidRPr="00A868EC">
        <w:rPr>
          <w:sz w:val="26"/>
          <w:szCs w:val="26"/>
        </w:rPr>
        <w:t xml:space="preserve">ustomers will experience long-term savings over the Opt-In term if </w:t>
      </w:r>
      <w:r w:rsidR="00F8195D">
        <w:rPr>
          <w:sz w:val="26"/>
          <w:szCs w:val="26"/>
        </w:rPr>
        <w:t>it</w:t>
      </w:r>
      <w:r w:rsidR="00E2267F" w:rsidRPr="00A868EC">
        <w:rPr>
          <w:sz w:val="26"/>
          <w:szCs w:val="26"/>
        </w:rPr>
        <w:t>s residential procurement plan is approved because residential customers will have one-year fixed default service rates.</w:t>
      </w:r>
      <w:r w:rsidR="00C70020">
        <w:rPr>
          <w:sz w:val="26"/>
          <w:szCs w:val="26"/>
        </w:rPr>
        <w:t xml:space="preserve">  </w:t>
      </w:r>
      <w:r w:rsidR="00F8195D">
        <w:rPr>
          <w:sz w:val="26"/>
          <w:szCs w:val="26"/>
        </w:rPr>
        <w:t>Duquesne explains that t</w:t>
      </w:r>
      <w:r w:rsidR="00E2267F" w:rsidRPr="00A868EC">
        <w:rPr>
          <w:sz w:val="26"/>
          <w:szCs w:val="26"/>
        </w:rPr>
        <w:t>he long-term savings that will be provided to customers under Duquesne’s proposal are a result of the residential default service rate d</w:t>
      </w:r>
      <w:r w:rsidR="00F8195D">
        <w:rPr>
          <w:sz w:val="26"/>
          <w:szCs w:val="26"/>
        </w:rPr>
        <w:t xml:space="preserve">esign, </w:t>
      </w:r>
      <w:r w:rsidR="00E2267F" w:rsidRPr="00A868EC">
        <w:rPr>
          <w:sz w:val="26"/>
          <w:szCs w:val="26"/>
        </w:rPr>
        <w:t>not due to a requirement that EGSs change their Opt-In</w:t>
      </w:r>
      <w:r w:rsidR="00182F9D">
        <w:rPr>
          <w:sz w:val="26"/>
          <w:szCs w:val="26"/>
        </w:rPr>
        <w:t xml:space="preserve"> price over the twelve</w:t>
      </w:r>
      <w:r w:rsidR="00E2267F" w:rsidRPr="00A868EC">
        <w:rPr>
          <w:sz w:val="26"/>
          <w:szCs w:val="26"/>
        </w:rPr>
        <w:t>-month term.</w:t>
      </w:r>
      <w:r w:rsidR="00E2267F" w:rsidRPr="00A868EC">
        <w:rPr>
          <w:rStyle w:val="FootnoteReference"/>
          <w:sz w:val="26"/>
          <w:szCs w:val="26"/>
        </w:rPr>
        <w:footnoteReference w:id="74"/>
      </w:r>
      <w:r w:rsidR="00E2267F" w:rsidRPr="00A868EC">
        <w:rPr>
          <w:sz w:val="26"/>
          <w:szCs w:val="26"/>
        </w:rPr>
        <w:t xml:space="preserve"> </w:t>
      </w:r>
      <w:r w:rsidR="00182F9D">
        <w:rPr>
          <w:sz w:val="26"/>
          <w:szCs w:val="26"/>
        </w:rPr>
        <w:t xml:space="preserve"> </w:t>
      </w:r>
      <w:r w:rsidR="00182F9D">
        <w:rPr>
          <w:i/>
          <w:sz w:val="26"/>
          <w:szCs w:val="26"/>
        </w:rPr>
        <w:t xml:space="preserve">Id. </w:t>
      </w:r>
      <w:r w:rsidR="00182F9D">
        <w:rPr>
          <w:sz w:val="26"/>
          <w:szCs w:val="26"/>
        </w:rPr>
        <w:t>at 13-14.</w:t>
      </w:r>
      <w:r w:rsidR="00E2267F" w:rsidRPr="00A868EC">
        <w:rPr>
          <w:sz w:val="26"/>
          <w:szCs w:val="26"/>
        </w:rPr>
        <w:t xml:space="preserve"> </w:t>
      </w:r>
    </w:p>
    <w:p w:rsidR="00A868EC" w:rsidRPr="00A868EC" w:rsidRDefault="00A868EC" w:rsidP="00182F9D">
      <w:pPr>
        <w:pStyle w:val="BodyText2"/>
        <w:spacing w:after="0" w:line="360" w:lineRule="auto"/>
        <w:rPr>
          <w:sz w:val="26"/>
          <w:szCs w:val="26"/>
        </w:rPr>
      </w:pPr>
    </w:p>
    <w:p w:rsidR="00E2267F" w:rsidRPr="00182F9D" w:rsidRDefault="00C70020" w:rsidP="00A67E7B">
      <w:pPr>
        <w:pStyle w:val="BodyText2"/>
        <w:spacing w:after="0" w:line="360" w:lineRule="auto"/>
        <w:ind w:firstLine="1440"/>
        <w:rPr>
          <w:sz w:val="26"/>
          <w:szCs w:val="26"/>
        </w:rPr>
      </w:pPr>
      <w:r>
        <w:rPr>
          <w:sz w:val="26"/>
          <w:szCs w:val="26"/>
        </w:rPr>
        <w:t xml:space="preserve">Duquesne submits that </w:t>
      </w:r>
      <w:r w:rsidR="00E2267F" w:rsidRPr="00A868EC">
        <w:rPr>
          <w:sz w:val="26"/>
          <w:szCs w:val="26"/>
        </w:rPr>
        <w:t>the Co</w:t>
      </w:r>
      <w:r>
        <w:rPr>
          <w:sz w:val="26"/>
          <w:szCs w:val="26"/>
        </w:rPr>
        <w:t xml:space="preserve">mmission’s adoption of a </w:t>
      </w:r>
      <w:r w:rsidR="00182F9D">
        <w:rPr>
          <w:sz w:val="26"/>
          <w:szCs w:val="26"/>
        </w:rPr>
        <w:t>four</w:t>
      </w:r>
      <w:r w:rsidR="00E2267F" w:rsidRPr="00A868EC">
        <w:rPr>
          <w:sz w:val="26"/>
          <w:szCs w:val="26"/>
        </w:rPr>
        <w:t>-</w:t>
      </w:r>
      <w:r w:rsidR="00182F9D">
        <w:rPr>
          <w:sz w:val="26"/>
          <w:szCs w:val="26"/>
        </w:rPr>
        <w:t>month/eight</w:t>
      </w:r>
      <w:r>
        <w:rPr>
          <w:sz w:val="26"/>
          <w:szCs w:val="26"/>
        </w:rPr>
        <w:t xml:space="preserve">-month opt-in program in the </w:t>
      </w:r>
      <w:r w:rsidRPr="00C8778F">
        <w:rPr>
          <w:i/>
          <w:sz w:val="26"/>
          <w:szCs w:val="26"/>
        </w:rPr>
        <w:t>FirstEnergy</w:t>
      </w:r>
      <w:r>
        <w:rPr>
          <w:sz w:val="26"/>
          <w:szCs w:val="26"/>
        </w:rPr>
        <w:t xml:space="preserve"> and </w:t>
      </w:r>
      <w:r w:rsidRPr="00C8778F">
        <w:rPr>
          <w:i/>
          <w:sz w:val="26"/>
          <w:szCs w:val="26"/>
        </w:rPr>
        <w:t>PECO DSP</w:t>
      </w:r>
      <w:r w:rsidR="00C8778F" w:rsidRPr="00C8778F">
        <w:rPr>
          <w:i/>
          <w:sz w:val="26"/>
          <w:szCs w:val="26"/>
        </w:rPr>
        <w:t xml:space="preserve"> Orders</w:t>
      </w:r>
      <w:r>
        <w:rPr>
          <w:sz w:val="26"/>
          <w:szCs w:val="26"/>
        </w:rPr>
        <w:t xml:space="preserve"> wa</w:t>
      </w:r>
      <w:r w:rsidR="00E2267F" w:rsidRPr="00A868EC">
        <w:rPr>
          <w:sz w:val="26"/>
          <w:szCs w:val="26"/>
        </w:rPr>
        <w:t>s in the context of quarterly chang</w:t>
      </w:r>
      <w:r>
        <w:rPr>
          <w:sz w:val="26"/>
          <w:szCs w:val="26"/>
        </w:rPr>
        <w:t>es in the PTC</w:t>
      </w:r>
      <w:r w:rsidR="00E2267F" w:rsidRPr="00A868EC">
        <w:rPr>
          <w:sz w:val="26"/>
          <w:szCs w:val="26"/>
        </w:rPr>
        <w:t xml:space="preserve">.  </w:t>
      </w:r>
      <w:r w:rsidR="00182F9D">
        <w:rPr>
          <w:sz w:val="26"/>
          <w:szCs w:val="26"/>
        </w:rPr>
        <w:t>Duquesne avers that t</w:t>
      </w:r>
      <w:r w:rsidR="00E2267F" w:rsidRPr="00A868EC">
        <w:rPr>
          <w:sz w:val="26"/>
          <w:szCs w:val="26"/>
        </w:rPr>
        <w:t>he concerns of EGSs about “guaranteeing” savings for a full year in that context are understandable</w:t>
      </w:r>
      <w:r>
        <w:rPr>
          <w:sz w:val="26"/>
          <w:szCs w:val="26"/>
        </w:rPr>
        <w:t xml:space="preserve">.  </w:t>
      </w:r>
      <w:r w:rsidR="00182F9D">
        <w:rPr>
          <w:sz w:val="26"/>
          <w:szCs w:val="26"/>
        </w:rPr>
        <w:t>According to Duquesne, a twelve</w:t>
      </w:r>
      <w:r>
        <w:rPr>
          <w:sz w:val="26"/>
          <w:szCs w:val="26"/>
        </w:rPr>
        <w:t xml:space="preserve">-month PTC </w:t>
      </w:r>
      <w:r w:rsidR="00E2267F" w:rsidRPr="00A868EC">
        <w:rPr>
          <w:sz w:val="26"/>
          <w:szCs w:val="26"/>
        </w:rPr>
        <w:t>provides</w:t>
      </w:r>
      <w:r>
        <w:rPr>
          <w:sz w:val="26"/>
          <w:szCs w:val="26"/>
        </w:rPr>
        <w:t xml:space="preserve"> an opportunity for a </w:t>
      </w:r>
      <w:r w:rsidR="00182F9D">
        <w:rPr>
          <w:sz w:val="26"/>
          <w:szCs w:val="26"/>
        </w:rPr>
        <w:t>twelve</w:t>
      </w:r>
      <w:r>
        <w:rPr>
          <w:sz w:val="26"/>
          <w:szCs w:val="26"/>
        </w:rPr>
        <w:t>-month</w:t>
      </w:r>
      <w:r w:rsidR="00E2267F" w:rsidRPr="00A868EC">
        <w:rPr>
          <w:sz w:val="26"/>
          <w:szCs w:val="26"/>
        </w:rPr>
        <w:t xml:space="preserve"> Opt-In</w:t>
      </w:r>
      <w:r>
        <w:rPr>
          <w:sz w:val="26"/>
          <w:szCs w:val="26"/>
        </w:rPr>
        <w:t xml:space="preserve"> rate</w:t>
      </w:r>
      <w:r w:rsidR="00E2267F" w:rsidRPr="00A868EC">
        <w:rPr>
          <w:sz w:val="26"/>
          <w:szCs w:val="26"/>
        </w:rPr>
        <w:t xml:space="preserve"> in Duquesne</w:t>
      </w:r>
      <w:r>
        <w:rPr>
          <w:sz w:val="26"/>
          <w:szCs w:val="26"/>
        </w:rPr>
        <w:t xml:space="preserve">’s service area.  </w:t>
      </w:r>
      <w:r w:rsidR="00182F9D">
        <w:rPr>
          <w:sz w:val="26"/>
          <w:szCs w:val="26"/>
        </w:rPr>
        <w:t>Duquesne believes that t</w:t>
      </w:r>
      <w:r>
        <w:rPr>
          <w:sz w:val="26"/>
          <w:szCs w:val="26"/>
        </w:rPr>
        <w:t xml:space="preserve">his approach is </w:t>
      </w:r>
      <w:r w:rsidR="00E2267F" w:rsidRPr="00A868EC">
        <w:rPr>
          <w:sz w:val="26"/>
          <w:szCs w:val="26"/>
        </w:rPr>
        <w:t>more consistent with the long-term fixed default service prices offered in Duquesne’s service ter</w:t>
      </w:r>
      <w:r>
        <w:rPr>
          <w:sz w:val="26"/>
          <w:szCs w:val="26"/>
        </w:rPr>
        <w:t>ritory in the past</w:t>
      </w:r>
      <w:r w:rsidR="00E2267F" w:rsidRPr="00A868EC">
        <w:rPr>
          <w:sz w:val="26"/>
          <w:szCs w:val="26"/>
        </w:rPr>
        <w:t>.</w:t>
      </w:r>
      <w:r w:rsidR="00095A28">
        <w:rPr>
          <w:sz w:val="26"/>
          <w:szCs w:val="26"/>
        </w:rPr>
        <w:t xml:space="preserve">  </w:t>
      </w:r>
      <w:r w:rsidR="00182F9D">
        <w:rPr>
          <w:i/>
          <w:sz w:val="26"/>
          <w:szCs w:val="26"/>
        </w:rPr>
        <w:t xml:space="preserve">Id. </w:t>
      </w:r>
      <w:r w:rsidR="00182F9D">
        <w:rPr>
          <w:sz w:val="26"/>
          <w:szCs w:val="26"/>
        </w:rPr>
        <w:t>at 14.</w:t>
      </w:r>
    </w:p>
    <w:p w:rsidR="00D9374D" w:rsidRPr="00A705A2" w:rsidRDefault="00D9374D" w:rsidP="00A67E7B">
      <w:pPr>
        <w:spacing w:line="360" w:lineRule="auto"/>
        <w:rPr>
          <w:sz w:val="26"/>
          <w:szCs w:val="26"/>
        </w:rPr>
      </w:pPr>
    </w:p>
    <w:p w:rsidR="009446C7" w:rsidRDefault="00A705A2" w:rsidP="007B0B02">
      <w:pPr>
        <w:spacing w:line="360" w:lineRule="auto"/>
        <w:ind w:firstLine="1440"/>
        <w:rPr>
          <w:sz w:val="26"/>
          <w:szCs w:val="26"/>
        </w:rPr>
      </w:pPr>
      <w:r>
        <w:rPr>
          <w:sz w:val="26"/>
          <w:szCs w:val="26"/>
        </w:rPr>
        <w:t>In its Reply Exceptions, the OCA argues that the ALJ d</w:t>
      </w:r>
      <w:r w:rsidR="009446C7">
        <w:rPr>
          <w:sz w:val="26"/>
          <w:szCs w:val="26"/>
        </w:rPr>
        <w:t xml:space="preserve">id not err in approving </w:t>
      </w:r>
      <w:r w:rsidR="00A67E7B">
        <w:rPr>
          <w:sz w:val="26"/>
          <w:szCs w:val="26"/>
        </w:rPr>
        <w:t>a twelve</w:t>
      </w:r>
      <w:r>
        <w:rPr>
          <w:sz w:val="26"/>
          <w:szCs w:val="26"/>
        </w:rPr>
        <w:t>-month fixed price product</w:t>
      </w:r>
      <w:r w:rsidR="009446C7">
        <w:rPr>
          <w:sz w:val="26"/>
          <w:szCs w:val="26"/>
        </w:rPr>
        <w:t>,</w:t>
      </w:r>
      <w:r>
        <w:rPr>
          <w:sz w:val="26"/>
          <w:szCs w:val="26"/>
        </w:rPr>
        <w:t xml:space="preserve"> with guar</w:t>
      </w:r>
      <w:r w:rsidR="00A67E7B">
        <w:rPr>
          <w:sz w:val="26"/>
          <w:szCs w:val="26"/>
        </w:rPr>
        <w:t>anteed savings for the entire twelve</w:t>
      </w:r>
      <w:r>
        <w:rPr>
          <w:sz w:val="26"/>
          <w:szCs w:val="26"/>
        </w:rPr>
        <w:t>-month period</w:t>
      </w:r>
      <w:r w:rsidR="009446C7">
        <w:rPr>
          <w:sz w:val="26"/>
          <w:szCs w:val="26"/>
        </w:rPr>
        <w:t>,</w:t>
      </w:r>
      <w:r>
        <w:rPr>
          <w:sz w:val="26"/>
          <w:szCs w:val="26"/>
        </w:rPr>
        <w:t xml:space="preserve"> and a bonus </w:t>
      </w:r>
      <w:r w:rsidR="007B0B02">
        <w:rPr>
          <w:sz w:val="26"/>
          <w:szCs w:val="26"/>
        </w:rPr>
        <w:t>to be paid after three months, and that RESA’s Exception should be denied</w:t>
      </w:r>
      <w:r w:rsidR="009446C7">
        <w:rPr>
          <w:sz w:val="26"/>
          <w:szCs w:val="26"/>
        </w:rPr>
        <w:t>.</w:t>
      </w:r>
      <w:r w:rsidR="007B0B02">
        <w:rPr>
          <w:sz w:val="26"/>
          <w:szCs w:val="26"/>
        </w:rPr>
        <w:t xml:space="preserve"> </w:t>
      </w:r>
      <w:r w:rsidR="007B0B02" w:rsidRPr="00A705A2">
        <w:rPr>
          <w:sz w:val="26"/>
          <w:szCs w:val="26"/>
        </w:rPr>
        <w:t xml:space="preserve"> </w:t>
      </w:r>
      <w:r w:rsidR="00A67E7B">
        <w:rPr>
          <w:sz w:val="26"/>
          <w:szCs w:val="26"/>
        </w:rPr>
        <w:t>The OCA notes that t</w:t>
      </w:r>
      <w:r w:rsidRPr="00A705A2">
        <w:rPr>
          <w:sz w:val="26"/>
          <w:szCs w:val="26"/>
        </w:rPr>
        <w:t>he Company’s current PTC has bee</w:t>
      </w:r>
      <w:r w:rsidR="009446C7">
        <w:rPr>
          <w:sz w:val="26"/>
          <w:szCs w:val="26"/>
        </w:rPr>
        <w:t xml:space="preserve">n </w:t>
      </w:r>
      <w:r w:rsidR="009446C7">
        <w:rPr>
          <w:sz w:val="26"/>
          <w:szCs w:val="26"/>
        </w:rPr>
        <w:lastRenderedPageBreak/>
        <w:t xml:space="preserve">set for the duration of its </w:t>
      </w:r>
      <w:r w:rsidR="00A67E7B">
        <w:rPr>
          <w:sz w:val="26"/>
          <w:szCs w:val="26"/>
        </w:rPr>
        <w:t>twenty-nine</w:t>
      </w:r>
      <w:r w:rsidRPr="00A705A2">
        <w:rPr>
          <w:sz w:val="26"/>
          <w:szCs w:val="26"/>
        </w:rPr>
        <w:t>-month default service p</w:t>
      </w:r>
      <w:r w:rsidR="00A67E7B">
        <w:rPr>
          <w:sz w:val="26"/>
          <w:szCs w:val="26"/>
        </w:rPr>
        <w:t>lan.  T</w:t>
      </w:r>
      <w:r w:rsidRPr="00A705A2">
        <w:rPr>
          <w:sz w:val="26"/>
          <w:szCs w:val="26"/>
        </w:rPr>
        <w:t xml:space="preserve">he </w:t>
      </w:r>
      <w:r w:rsidR="00A67E7B">
        <w:rPr>
          <w:sz w:val="26"/>
          <w:szCs w:val="26"/>
        </w:rPr>
        <w:t xml:space="preserve">OCA avers that the </w:t>
      </w:r>
      <w:r w:rsidRPr="00A705A2">
        <w:rPr>
          <w:sz w:val="26"/>
          <w:szCs w:val="26"/>
        </w:rPr>
        <w:t xml:space="preserve">Commission itself acknowledged the differences </w:t>
      </w:r>
      <w:r w:rsidR="00C8778F">
        <w:rPr>
          <w:sz w:val="26"/>
          <w:szCs w:val="26"/>
        </w:rPr>
        <w:t>among</w:t>
      </w:r>
      <w:r w:rsidRPr="00A705A2">
        <w:rPr>
          <w:sz w:val="26"/>
          <w:szCs w:val="26"/>
        </w:rPr>
        <w:t xml:space="preserve"> the EDCs when it declined to set state-wide RME programs and instead ordered each EDC to propose RME programs specifically tailored to their service territory as part of these default service proceedings.  </w:t>
      </w:r>
      <w:r w:rsidR="007B0B02" w:rsidRPr="009446C7">
        <w:rPr>
          <w:i/>
          <w:sz w:val="26"/>
          <w:szCs w:val="26"/>
        </w:rPr>
        <w:t>Investigation of Pennsylvania’s Retail Electricity Market: Recommendations Regarding Upcoming Default Service Plans</w:t>
      </w:r>
      <w:r w:rsidR="007B0B02">
        <w:rPr>
          <w:sz w:val="26"/>
          <w:szCs w:val="26"/>
        </w:rPr>
        <w:t>, Docket No. I</w:t>
      </w:r>
      <w:r w:rsidR="007B0B02">
        <w:rPr>
          <w:sz w:val="26"/>
          <w:szCs w:val="26"/>
        </w:rPr>
        <w:noBreakHyphen/>
        <w:t>2011</w:t>
      </w:r>
      <w:r w:rsidR="007B0B02">
        <w:rPr>
          <w:sz w:val="26"/>
          <w:szCs w:val="26"/>
        </w:rPr>
        <w:noBreakHyphen/>
        <w:t xml:space="preserve">2237952 </w:t>
      </w:r>
      <w:r w:rsidR="007B0B02" w:rsidRPr="009446C7">
        <w:rPr>
          <w:sz w:val="26"/>
          <w:szCs w:val="26"/>
        </w:rPr>
        <w:t>(Order entered December 16, 2011) </w:t>
      </w:r>
      <w:r w:rsidR="007B0B02">
        <w:rPr>
          <w:sz w:val="26"/>
          <w:szCs w:val="26"/>
        </w:rPr>
        <w:t>at 4, 6.</w:t>
      </w:r>
      <w:r w:rsidR="00A67E7B">
        <w:rPr>
          <w:sz w:val="26"/>
          <w:szCs w:val="26"/>
        </w:rPr>
        <w:t xml:space="preserve">  OCA R.</w:t>
      </w:r>
      <w:r w:rsidR="00D93F22">
        <w:rPr>
          <w:sz w:val="26"/>
          <w:szCs w:val="26"/>
        </w:rPr>
        <w:t>Exc. at 10-12</w:t>
      </w:r>
      <w:r w:rsidR="00A67E7B">
        <w:rPr>
          <w:sz w:val="26"/>
          <w:szCs w:val="26"/>
        </w:rPr>
        <w:t xml:space="preserve">.  </w:t>
      </w:r>
    </w:p>
    <w:p w:rsidR="00A705A2" w:rsidRPr="00A705A2" w:rsidRDefault="00A705A2" w:rsidP="00A705A2">
      <w:pPr>
        <w:spacing w:line="360" w:lineRule="auto"/>
        <w:ind w:firstLine="1440"/>
        <w:rPr>
          <w:sz w:val="26"/>
          <w:szCs w:val="26"/>
        </w:rPr>
      </w:pPr>
      <w:r w:rsidRPr="00A705A2">
        <w:rPr>
          <w:sz w:val="26"/>
          <w:szCs w:val="26"/>
        </w:rPr>
        <w:t xml:space="preserve">   </w:t>
      </w:r>
    </w:p>
    <w:p w:rsidR="00433E69" w:rsidRPr="009065C8" w:rsidRDefault="00A705A2" w:rsidP="00697F9F">
      <w:pPr>
        <w:pStyle w:val="BodyText2"/>
        <w:spacing w:after="0" w:line="360" w:lineRule="auto"/>
        <w:ind w:firstLine="1440"/>
        <w:rPr>
          <w:sz w:val="26"/>
          <w:szCs w:val="26"/>
        </w:rPr>
      </w:pPr>
      <w:r w:rsidRPr="00A705A2">
        <w:rPr>
          <w:sz w:val="26"/>
          <w:szCs w:val="26"/>
        </w:rPr>
        <w:t>The OCA also disagrees with RESA’s assertion that guaranteeing savings will not maximize EGS participation</w:t>
      </w:r>
      <w:r w:rsidR="007B0B02">
        <w:rPr>
          <w:sz w:val="26"/>
          <w:szCs w:val="26"/>
        </w:rPr>
        <w:t xml:space="preserve">.  </w:t>
      </w:r>
      <w:r w:rsidR="009065C8">
        <w:rPr>
          <w:sz w:val="26"/>
          <w:szCs w:val="26"/>
        </w:rPr>
        <w:t>According to the OCA, t</w:t>
      </w:r>
      <w:r w:rsidR="007B0B02">
        <w:rPr>
          <w:rFonts w:ascii="Times" w:eastAsia="Calibri" w:hAnsi="Times"/>
          <w:sz w:val="26"/>
          <w:szCs w:val="26"/>
        </w:rPr>
        <w:t>he adoption of the ALJ’s</w:t>
      </w:r>
      <w:r w:rsidRPr="00A705A2">
        <w:rPr>
          <w:rFonts w:ascii="Times" w:eastAsia="Calibri" w:hAnsi="Times"/>
          <w:sz w:val="26"/>
          <w:szCs w:val="26"/>
        </w:rPr>
        <w:t xml:space="preserve"> recommendations will ensure that customers have a positive experience and that the actual savings that appear to be promised to engage the customer to enroll in the program are, in fact</w:t>
      </w:r>
      <w:r w:rsidR="007B0B02">
        <w:rPr>
          <w:rFonts w:ascii="Times" w:eastAsia="Calibri" w:hAnsi="Times"/>
          <w:sz w:val="26"/>
          <w:szCs w:val="26"/>
        </w:rPr>
        <w:t>, delivered</w:t>
      </w:r>
      <w:r w:rsidRPr="00A705A2">
        <w:rPr>
          <w:rFonts w:ascii="Times" w:eastAsia="Calibri" w:hAnsi="Times"/>
          <w:sz w:val="26"/>
          <w:szCs w:val="26"/>
        </w:rPr>
        <w:t>.</w:t>
      </w:r>
      <w:r w:rsidRPr="00A705A2">
        <w:rPr>
          <w:sz w:val="26"/>
          <w:szCs w:val="26"/>
        </w:rPr>
        <w:t xml:space="preserve">  Withou</w:t>
      </w:r>
      <w:r w:rsidR="009446C7">
        <w:rPr>
          <w:sz w:val="26"/>
          <w:szCs w:val="26"/>
        </w:rPr>
        <w:t xml:space="preserve">t these provisions, </w:t>
      </w:r>
      <w:r w:rsidR="009065C8">
        <w:rPr>
          <w:sz w:val="26"/>
          <w:szCs w:val="26"/>
        </w:rPr>
        <w:t xml:space="preserve">the OCA asserts that </w:t>
      </w:r>
      <w:r w:rsidR="009446C7">
        <w:rPr>
          <w:sz w:val="26"/>
          <w:szCs w:val="26"/>
        </w:rPr>
        <w:t>the Opt-In P</w:t>
      </w:r>
      <w:r w:rsidRPr="00A705A2">
        <w:rPr>
          <w:sz w:val="26"/>
          <w:szCs w:val="26"/>
        </w:rPr>
        <w:t>rogram could work contrary to its intent and cause participants to become dissatisfied with their shopping ex</w:t>
      </w:r>
      <w:r w:rsidR="007B0B02">
        <w:rPr>
          <w:sz w:val="26"/>
          <w:szCs w:val="26"/>
        </w:rPr>
        <w:t xml:space="preserve">perience.  </w:t>
      </w:r>
      <w:r w:rsidR="009065C8">
        <w:rPr>
          <w:i/>
          <w:sz w:val="26"/>
          <w:szCs w:val="26"/>
        </w:rPr>
        <w:t xml:space="preserve">Id. </w:t>
      </w:r>
      <w:r w:rsidR="009065C8">
        <w:rPr>
          <w:sz w:val="26"/>
          <w:szCs w:val="26"/>
        </w:rPr>
        <w:t>at 12-13.</w:t>
      </w:r>
    </w:p>
    <w:p w:rsidR="005A23D6" w:rsidRPr="005A23D6" w:rsidRDefault="005A23D6" w:rsidP="009065C8">
      <w:pPr>
        <w:spacing w:line="360" w:lineRule="auto"/>
        <w:ind w:firstLine="1440"/>
        <w:rPr>
          <w:sz w:val="26"/>
          <w:szCs w:val="26"/>
        </w:rPr>
      </w:pPr>
    </w:p>
    <w:p w:rsidR="005A23D6" w:rsidRPr="005A23D6" w:rsidRDefault="005A23D6" w:rsidP="00697F9F">
      <w:pPr>
        <w:spacing w:line="360" w:lineRule="auto"/>
        <w:ind w:firstLine="1440"/>
        <w:rPr>
          <w:sz w:val="26"/>
          <w:szCs w:val="26"/>
        </w:rPr>
      </w:pPr>
      <w:r w:rsidRPr="005A23D6">
        <w:rPr>
          <w:sz w:val="26"/>
          <w:szCs w:val="26"/>
        </w:rPr>
        <w:t>In its Reply Exceptions, Dominion argues that the ALJ correctly recommended that</w:t>
      </w:r>
      <w:r w:rsidR="00697F9F">
        <w:rPr>
          <w:sz w:val="26"/>
          <w:szCs w:val="26"/>
        </w:rPr>
        <w:t xml:space="preserve"> the Opt-In Program include a twelve</w:t>
      </w:r>
      <w:r w:rsidRPr="005A23D6">
        <w:rPr>
          <w:sz w:val="26"/>
          <w:szCs w:val="26"/>
        </w:rPr>
        <w:t>-month fixed price offering with a $50 bonus to be paid after three mon</w:t>
      </w:r>
      <w:r w:rsidR="0070201B">
        <w:rPr>
          <w:sz w:val="26"/>
          <w:szCs w:val="26"/>
        </w:rPr>
        <w:t xml:space="preserve">ths.  </w:t>
      </w:r>
      <w:r w:rsidRPr="005A23D6">
        <w:rPr>
          <w:sz w:val="26"/>
          <w:szCs w:val="26"/>
        </w:rPr>
        <w:t>While Dominion supports t</w:t>
      </w:r>
      <w:r w:rsidR="0070201B">
        <w:rPr>
          <w:sz w:val="26"/>
          <w:szCs w:val="26"/>
        </w:rPr>
        <w:t>he Commission’s efforts in the FirstEnergy and PECO</w:t>
      </w:r>
      <w:r w:rsidRPr="005A23D6">
        <w:rPr>
          <w:sz w:val="26"/>
          <w:szCs w:val="26"/>
        </w:rPr>
        <w:t xml:space="preserve"> service territories to create a</w:t>
      </w:r>
      <w:r w:rsidR="0070201B">
        <w:rPr>
          <w:sz w:val="26"/>
          <w:szCs w:val="26"/>
        </w:rPr>
        <w:t xml:space="preserve"> one-year product that has a lower long-</w:t>
      </w:r>
      <w:r w:rsidRPr="005A23D6">
        <w:rPr>
          <w:sz w:val="26"/>
          <w:szCs w:val="26"/>
        </w:rPr>
        <w:t>term price risk for suppliers, Dominion nonetheless believes</w:t>
      </w:r>
      <w:r w:rsidR="0070201B">
        <w:rPr>
          <w:sz w:val="26"/>
          <w:szCs w:val="26"/>
        </w:rPr>
        <w:t xml:space="preserve"> that, </w:t>
      </w:r>
      <w:r w:rsidRPr="005A23D6">
        <w:rPr>
          <w:sz w:val="26"/>
          <w:szCs w:val="26"/>
        </w:rPr>
        <w:t>becaus</w:t>
      </w:r>
      <w:r w:rsidR="00455FAA">
        <w:rPr>
          <w:sz w:val="26"/>
          <w:szCs w:val="26"/>
        </w:rPr>
        <w:t>e of Duquesne’s</w:t>
      </w:r>
      <w:r w:rsidR="0070201B">
        <w:rPr>
          <w:sz w:val="26"/>
          <w:szCs w:val="26"/>
        </w:rPr>
        <w:t xml:space="preserve"> proposed annual procurements, </w:t>
      </w:r>
      <w:r w:rsidRPr="005A23D6">
        <w:rPr>
          <w:sz w:val="26"/>
          <w:szCs w:val="26"/>
        </w:rPr>
        <w:t>the risk to suppliers and participants in Duquesne’s program would be minimal.</w:t>
      </w:r>
      <w:r w:rsidR="00697F9F">
        <w:rPr>
          <w:sz w:val="26"/>
          <w:szCs w:val="26"/>
        </w:rPr>
        <w:t xml:space="preserve">  According to Dominion, the twelve</w:t>
      </w:r>
      <w:r w:rsidR="0070201B">
        <w:rPr>
          <w:sz w:val="26"/>
          <w:szCs w:val="26"/>
        </w:rPr>
        <w:t xml:space="preserve">-month PTC </w:t>
      </w:r>
      <w:r w:rsidRPr="005A23D6">
        <w:rPr>
          <w:sz w:val="26"/>
          <w:szCs w:val="26"/>
        </w:rPr>
        <w:t>will be established at the time suppliers make their offers to customers.  Accordingly, Dominion rejects RESA’s argument and believes that Duquesne’s program should be approved as presented.</w:t>
      </w:r>
      <w:r w:rsidR="00697F9F">
        <w:rPr>
          <w:sz w:val="26"/>
          <w:szCs w:val="26"/>
        </w:rPr>
        <w:t xml:space="preserve">  Dominion R.Exc. at 5-6.  </w:t>
      </w:r>
    </w:p>
    <w:p w:rsidR="003D72EF" w:rsidRPr="005A23D6" w:rsidRDefault="003D72EF" w:rsidP="00697F9F">
      <w:pPr>
        <w:pStyle w:val="BodyTextFirstLine5DS"/>
        <w:spacing w:line="360" w:lineRule="auto"/>
        <w:ind w:firstLine="1440"/>
        <w:jc w:val="left"/>
        <w:rPr>
          <w:sz w:val="26"/>
          <w:szCs w:val="26"/>
        </w:rPr>
      </w:pPr>
    </w:p>
    <w:p w:rsidR="003D72EF" w:rsidRPr="003D72EF" w:rsidRDefault="003D72EF" w:rsidP="000D7483">
      <w:pPr>
        <w:pStyle w:val="BodyTextFirstLine5DS"/>
        <w:spacing w:line="360" w:lineRule="auto"/>
        <w:ind w:firstLine="1440"/>
        <w:jc w:val="left"/>
        <w:rPr>
          <w:sz w:val="26"/>
          <w:szCs w:val="26"/>
        </w:rPr>
      </w:pPr>
      <w:r w:rsidRPr="003D72EF">
        <w:rPr>
          <w:sz w:val="26"/>
          <w:szCs w:val="26"/>
        </w:rPr>
        <w:t>FES argues in its Reply Exceptions that the ALJ correctly rej</w:t>
      </w:r>
      <w:r w:rsidR="00C95DD1">
        <w:rPr>
          <w:sz w:val="26"/>
          <w:szCs w:val="26"/>
        </w:rPr>
        <w:t>ected RESA’s objection to the twelve</w:t>
      </w:r>
      <w:r w:rsidRPr="003D72EF">
        <w:rPr>
          <w:sz w:val="26"/>
          <w:szCs w:val="26"/>
        </w:rPr>
        <w:t>-month fixed price p</w:t>
      </w:r>
      <w:r w:rsidR="0070201B">
        <w:rPr>
          <w:sz w:val="26"/>
          <w:szCs w:val="26"/>
        </w:rPr>
        <w:t xml:space="preserve">roduct proposed by Duquesne.  </w:t>
      </w:r>
      <w:r w:rsidR="00C95DD1">
        <w:rPr>
          <w:sz w:val="26"/>
          <w:szCs w:val="26"/>
        </w:rPr>
        <w:t xml:space="preserve">FES supports </w:t>
      </w:r>
      <w:r w:rsidR="00C95DD1">
        <w:rPr>
          <w:sz w:val="26"/>
          <w:szCs w:val="26"/>
        </w:rPr>
        <w:lastRenderedPageBreak/>
        <w:t>a twelve</w:t>
      </w:r>
      <w:r w:rsidRPr="003D72EF">
        <w:rPr>
          <w:sz w:val="26"/>
          <w:szCs w:val="26"/>
        </w:rPr>
        <w:t>-month term for the Opt-In Progra</w:t>
      </w:r>
      <w:r w:rsidR="0070201B">
        <w:rPr>
          <w:sz w:val="26"/>
          <w:szCs w:val="26"/>
        </w:rPr>
        <w:t xml:space="preserve">m product.  However, in the event that the Commission grants RESA’s Exception, </w:t>
      </w:r>
      <w:r w:rsidRPr="003D72EF">
        <w:rPr>
          <w:sz w:val="26"/>
          <w:szCs w:val="26"/>
        </w:rPr>
        <w:t>FES recomme</w:t>
      </w:r>
      <w:r w:rsidR="0070201B">
        <w:rPr>
          <w:sz w:val="26"/>
          <w:szCs w:val="26"/>
        </w:rPr>
        <w:t>nds two further modifications</w:t>
      </w:r>
      <w:r w:rsidR="00C95DD1">
        <w:rPr>
          <w:sz w:val="26"/>
          <w:szCs w:val="26"/>
        </w:rPr>
        <w:t xml:space="preserve">.  First, FES proposes that </w:t>
      </w:r>
      <w:r w:rsidRPr="003D72EF">
        <w:rPr>
          <w:sz w:val="26"/>
          <w:szCs w:val="26"/>
        </w:rPr>
        <w:t>the Commission should retain a bidding competition among EGSs to maximize savings for participating customers.  Second, FES believes that the EGS-provided fixed-price product should be established and made known to customers before they decide whether to participate in the Opt-In Progra</w:t>
      </w:r>
      <w:r w:rsidR="00C95DD1">
        <w:rPr>
          <w:sz w:val="26"/>
          <w:szCs w:val="26"/>
        </w:rPr>
        <w:t>m, not during the introductory four</w:t>
      </w:r>
      <w:r w:rsidRPr="003D72EF">
        <w:rPr>
          <w:sz w:val="26"/>
          <w:szCs w:val="26"/>
        </w:rPr>
        <w:t xml:space="preserve">-month period.  </w:t>
      </w:r>
      <w:r w:rsidR="00C95DD1">
        <w:rPr>
          <w:sz w:val="26"/>
          <w:szCs w:val="26"/>
        </w:rPr>
        <w:t>FES opines that b</w:t>
      </w:r>
      <w:r w:rsidRPr="003D72EF">
        <w:rPr>
          <w:sz w:val="26"/>
          <w:szCs w:val="26"/>
        </w:rPr>
        <w:t>y communicating the price at the time of enrollment, any concerns over "bait-and-switch" offers will be avoided.</w:t>
      </w:r>
      <w:r w:rsidR="0070201B">
        <w:rPr>
          <w:sz w:val="26"/>
          <w:szCs w:val="26"/>
        </w:rPr>
        <w:t xml:space="preserve">  </w:t>
      </w:r>
      <w:r w:rsidR="00911D84">
        <w:rPr>
          <w:sz w:val="26"/>
          <w:szCs w:val="26"/>
        </w:rPr>
        <w:t>FES R.Exc. at </w:t>
      </w:r>
      <w:r w:rsidR="00C95DD1">
        <w:rPr>
          <w:sz w:val="26"/>
          <w:szCs w:val="26"/>
        </w:rPr>
        <w:t xml:space="preserve">16.  </w:t>
      </w:r>
    </w:p>
    <w:p w:rsidR="009446C7" w:rsidRPr="00A705A2" w:rsidRDefault="009446C7" w:rsidP="000D7483">
      <w:pPr>
        <w:spacing w:line="360" w:lineRule="auto"/>
        <w:ind w:firstLine="1440"/>
        <w:rPr>
          <w:sz w:val="26"/>
          <w:szCs w:val="26"/>
        </w:rPr>
      </w:pPr>
    </w:p>
    <w:p w:rsidR="006D4D99" w:rsidRPr="00EE5722" w:rsidRDefault="00283369" w:rsidP="00115AB3">
      <w:pPr>
        <w:pStyle w:val="Heading5"/>
        <w:numPr>
          <w:ilvl w:val="0"/>
          <w:numId w:val="0"/>
        </w:numPr>
        <w:ind w:left="3600" w:hanging="720"/>
      </w:pPr>
      <w:bookmarkStart w:id="82" w:name="_Toc346705324"/>
      <w:r w:rsidRPr="00EE5722">
        <w:t>vi</w:t>
      </w:r>
      <w:r w:rsidR="001C0E37">
        <w:t>.</w:t>
      </w:r>
      <w:r w:rsidR="001C0E37">
        <w:tab/>
        <w:t>Disposition</w:t>
      </w:r>
      <w:bookmarkEnd w:id="82"/>
    </w:p>
    <w:p w:rsidR="006D4D99" w:rsidRPr="00EE5722" w:rsidRDefault="006D4D99" w:rsidP="00564484">
      <w:pPr>
        <w:pStyle w:val="BodyText"/>
        <w:spacing w:after="0" w:line="360" w:lineRule="auto"/>
        <w:ind w:left="0" w:firstLine="0"/>
        <w:rPr>
          <w:sz w:val="26"/>
          <w:szCs w:val="26"/>
        </w:rPr>
      </w:pPr>
    </w:p>
    <w:p w:rsidR="009D35E9" w:rsidRDefault="00564484" w:rsidP="00C968A8">
      <w:pPr>
        <w:spacing w:line="360" w:lineRule="auto"/>
        <w:ind w:firstLine="720"/>
        <w:rPr>
          <w:sz w:val="26"/>
          <w:szCs w:val="26"/>
        </w:rPr>
      </w:pPr>
      <w:r w:rsidRPr="00EE5722">
        <w:rPr>
          <w:sz w:val="26"/>
          <w:szCs w:val="26"/>
        </w:rPr>
        <w:tab/>
      </w:r>
      <w:r w:rsidR="000474D9">
        <w:rPr>
          <w:sz w:val="26"/>
          <w:szCs w:val="26"/>
        </w:rPr>
        <w:t xml:space="preserve">Consistent with our prior determination, we find that the ALJ’s recommendation to adopt Duquesne’s fixed-price twelve-month proposal should be rejected.  Instead, we direct Duquesne to develop an Opt-In Program with a </w:t>
      </w:r>
      <w:r w:rsidR="00747C07">
        <w:rPr>
          <w:sz w:val="26"/>
          <w:szCs w:val="26"/>
        </w:rPr>
        <w:t xml:space="preserve">twelve-month product, comprised of a </w:t>
      </w:r>
      <w:r w:rsidR="000474D9">
        <w:rPr>
          <w:sz w:val="26"/>
          <w:szCs w:val="26"/>
        </w:rPr>
        <w:t xml:space="preserve">four-month </w:t>
      </w:r>
      <w:r w:rsidR="00747C07">
        <w:rPr>
          <w:sz w:val="26"/>
          <w:szCs w:val="26"/>
        </w:rPr>
        <w:t xml:space="preserve">guaranteed </w:t>
      </w:r>
      <w:r w:rsidR="000474D9">
        <w:rPr>
          <w:sz w:val="26"/>
          <w:szCs w:val="26"/>
        </w:rPr>
        <w:t xml:space="preserve">discount </w:t>
      </w:r>
      <w:r w:rsidR="00747C07">
        <w:rPr>
          <w:sz w:val="26"/>
          <w:szCs w:val="26"/>
        </w:rPr>
        <w:t xml:space="preserve">of 5% from </w:t>
      </w:r>
      <w:r w:rsidR="000474D9">
        <w:rPr>
          <w:sz w:val="26"/>
          <w:szCs w:val="26"/>
        </w:rPr>
        <w:t xml:space="preserve">the PTC </w:t>
      </w:r>
      <w:r w:rsidR="00747C07">
        <w:rPr>
          <w:sz w:val="26"/>
          <w:szCs w:val="26"/>
        </w:rPr>
        <w:t xml:space="preserve">in effect </w:t>
      </w:r>
      <w:r w:rsidR="000474D9">
        <w:rPr>
          <w:sz w:val="26"/>
          <w:szCs w:val="26"/>
        </w:rPr>
        <w:t>at the time of enrollment</w:t>
      </w:r>
      <w:r w:rsidR="00747C07">
        <w:rPr>
          <w:sz w:val="26"/>
          <w:szCs w:val="26"/>
        </w:rPr>
        <w:t xml:space="preserve">, </w:t>
      </w:r>
      <w:r w:rsidR="000474D9">
        <w:rPr>
          <w:sz w:val="26"/>
          <w:szCs w:val="26"/>
        </w:rPr>
        <w:t>an E</w:t>
      </w:r>
      <w:r w:rsidR="00747C07">
        <w:rPr>
          <w:sz w:val="26"/>
          <w:szCs w:val="26"/>
        </w:rPr>
        <w:t>GS-provided fixed-</w:t>
      </w:r>
      <w:r w:rsidR="000474D9">
        <w:rPr>
          <w:sz w:val="26"/>
          <w:szCs w:val="26"/>
        </w:rPr>
        <w:t>price product for the remaining eight months</w:t>
      </w:r>
      <w:r w:rsidR="00747C07">
        <w:rPr>
          <w:sz w:val="26"/>
          <w:szCs w:val="26"/>
        </w:rPr>
        <w:t>, and a bonus of $50 to customers who remain in the Opt-In Program for at least the initial four-month period.</w:t>
      </w:r>
      <w:r w:rsidR="000474D9">
        <w:rPr>
          <w:sz w:val="26"/>
          <w:szCs w:val="26"/>
        </w:rPr>
        <w:t xml:space="preserve">  This approach is consiste</w:t>
      </w:r>
      <w:r w:rsidR="00747C07">
        <w:rPr>
          <w:sz w:val="26"/>
          <w:szCs w:val="26"/>
        </w:rPr>
        <w:t>nt with our previous decision</w:t>
      </w:r>
      <w:r w:rsidR="000474D9">
        <w:rPr>
          <w:sz w:val="26"/>
          <w:szCs w:val="26"/>
        </w:rPr>
        <w:t xml:space="preserve">s in the </w:t>
      </w:r>
      <w:r w:rsidR="000474D9" w:rsidRPr="00C8778F">
        <w:rPr>
          <w:i/>
          <w:sz w:val="26"/>
          <w:szCs w:val="26"/>
        </w:rPr>
        <w:t>FirstEnergy</w:t>
      </w:r>
      <w:r w:rsidR="000474D9">
        <w:rPr>
          <w:sz w:val="26"/>
          <w:szCs w:val="26"/>
        </w:rPr>
        <w:t xml:space="preserve"> and </w:t>
      </w:r>
      <w:r w:rsidR="000474D9" w:rsidRPr="00C8778F">
        <w:rPr>
          <w:i/>
          <w:sz w:val="26"/>
          <w:szCs w:val="26"/>
        </w:rPr>
        <w:t xml:space="preserve">PECO </w:t>
      </w:r>
      <w:r w:rsidR="00747C07" w:rsidRPr="00C8778F">
        <w:rPr>
          <w:i/>
          <w:sz w:val="26"/>
          <w:szCs w:val="26"/>
        </w:rPr>
        <w:t xml:space="preserve">DSP </w:t>
      </w:r>
      <w:r w:rsidR="00C8778F" w:rsidRPr="00C8778F">
        <w:rPr>
          <w:i/>
          <w:sz w:val="26"/>
          <w:szCs w:val="26"/>
        </w:rPr>
        <w:t>Orders</w:t>
      </w:r>
      <w:r w:rsidR="000474D9">
        <w:rPr>
          <w:sz w:val="26"/>
          <w:szCs w:val="26"/>
        </w:rPr>
        <w:t xml:space="preserve"> and should be adopted here.</w:t>
      </w:r>
      <w:r w:rsidR="00D25DE5">
        <w:rPr>
          <w:sz w:val="26"/>
          <w:szCs w:val="26"/>
        </w:rPr>
        <w:t xml:space="preserve">  We believe that one of the objectives of the Opt-In Program is to provide participating customers with a more realistic shopping experience that will facilitate</w:t>
      </w:r>
      <w:r w:rsidR="00180F7A">
        <w:rPr>
          <w:sz w:val="26"/>
          <w:szCs w:val="26"/>
        </w:rPr>
        <w:t xml:space="preserve"> their continued participation in the retail market after the end of the Opt-In Program.  A four-month fixed rate, followed by an eight-month EGS-provided fixed-price offering, should further that objective.</w:t>
      </w:r>
    </w:p>
    <w:p w:rsidR="00180F7A" w:rsidRDefault="00180F7A" w:rsidP="00C968A8">
      <w:pPr>
        <w:spacing w:line="360" w:lineRule="auto"/>
        <w:ind w:firstLine="720"/>
        <w:rPr>
          <w:sz w:val="26"/>
          <w:szCs w:val="26"/>
        </w:rPr>
      </w:pPr>
    </w:p>
    <w:p w:rsidR="00180F7A" w:rsidRDefault="00180F7A" w:rsidP="00C968A8">
      <w:pPr>
        <w:spacing w:line="360" w:lineRule="auto"/>
        <w:ind w:firstLine="720"/>
        <w:rPr>
          <w:sz w:val="26"/>
          <w:szCs w:val="26"/>
        </w:rPr>
      </w:pPr>
      <w:r>
        <w:rPr>
          <w:sz w:val="26"/>
          <w:szCs w:val="26"/>
        </w:rPr>
        <w:tab/>
        <w:t xml:space="preserve">In addition, </w:t>
      </w:r>
      <w:r w:rsidR="00D30480">
        <w:rPr>
          <w:sz w:val="26"/>
          <w:szCs w:val="26"/>
        </w:rPr>
        <w:t xml:space="preserve"> we shall extend the start-date of Duquesne’s Opt-In Program by one month, from June 1, 2013, to July 1, 2013, in order to provide sufficient time for Duquesne to consult with other interested Parties on the necessary modifications to the </w:t>
      </w:r>
      <w:r w:rsidR="00D30480">
        <w:rPr>
          <w:sz w:val="26"/>
          <w:szCs w:val="26"/>
        </w:rPr>
        <w:lastRenderedPageBreak/>
        <w:t xml:space="preserve">Opt-In Program design.  As stated above, Duquesne shall be required to file a revised Opt-In Program, which will be due no later than </w:t>
      </w:r>
      <w:r w:rsidR="00487798">
        <w:rPr>
          <w:sz w:val="26"/>
          <w:szCs w:val="26"/>
        </w:rPr>
        <w:t>forty-five</w:t>
      </w:r>
      <w:r w:rsidR="00D30480">
        <w:rPr>
          <w:sz w:val="26"/>
          <w:szCs w:val="26"/>
        </w:rPr>
        <w:t xml:space="preserve"> days following the entry of this Opinion and Order.</w:t>
      </w:r>
    </w:p>
    <w:p w:rsidR="001A2F72" w:rsidRDefault="000474D9" w:rsidP="00C968A8">
      <w:pPr>
        <w:spacing w:line="360" w:lineRule="auto"/>
        <w:ind w:firstLine="720"/>
        <w:rPr>
          <w:sz w:val="26"/>
          <w:szCs w:val="26"/>
        </w:rPr>
      </w:pPr>
      <w:r>
        <w:rPr>
          <w:sz w:val="26"/>
          <w:szCs w:val="26"/>
        </w:rPr>
        <w:t xml:space="preserve">  </w:t>
      </w:r>
    </w:p>
    <w:p w:rsidR="00F2262D" w:rsidRPr="00EE5722" w:rsidRDefault="000474D9" w:rsidP="00CE6BDA">
      <w:pPr>
        <w:spacing w:line="360" w:lineRule="auto"/>
        <w:ind w:firstLine="1440"/>
        <w:rPr>
          <w:sz w:val="26"/>
          <w:szCs w:val="26"/>
        </w:rPr>
      </w:pPr>
      <w:r>
        <w:rPr>
          <w:sz w:val="26"/>
          <w:szCs w:val="26"/>
        </w:rPr>
        <w:t>We are not persuaded by the arguments of Duquesne and the other Parties that the current level of shopping</w:t>
      </w:r>
      <w:r w:rsidR="00747C07">
        <w:rPr>
          <w:sz w:val="26"/>
          <w:szCs w:val="26"/>
        </w:rPr>
        <w:t xml:space="preserve"> </w:t>
      </w:r>
      <w:r w:rsidR="0096680A">
        <w:rPr>
          <w:sz w:val="26"/>
          <w:szCs w:val="26"/>
        </w:rPr>
        <w:t>i</w:t>
      </w:r>
      <w:r w:rsidR="00747C07">
        <w:rPr>
          <w:sz w:val="26"/>
          <w:szCs w:val="26"/>
        </w:rPr>
        <w:t xml:space="preserve">n Duquesne’s </w:t>
      </w:r>
      <w:r w:rsidR="0096680A">
        <w:rPr>
          <w:sz w:val="26"/>
          <w:szCs w:val="26"/>
        </w:rPr>
        <w:t>territory</w:t>
      </w:r>
      <w:r w:rsidR="00747C07">
        <w:rPr>
          <w:sz w:val="26"/>
          <w:szCs w:val="26"/>
        </w:rPr>
        <w:t xml:space="preserve"> </w:t>
      </w:r>
      <w:r>
        <w:rPr>
          <w:sz w:val="26"/>
          <w:szCs w:val="26"/>
        </w:rPr>
        <w:t>obviate</w:t>
      </w:r>
      <w:r w:rsidR="00747C07">
        <w:rPr>
          <w:sz w:val="26"/>
          <w:szCs w:val="26"/>
        </w:rPr>
        <w:t>s</w:t>
      </w:r>
      <w:r>
        <w:rPr>
          <w:sz w:val="26"/>
          <w:szCs w:val="26"/>
        </w:rPr>
        <w:t xml:space="preserve"> the adoption of this approach in this proceeding.  We note that Duquesne still has a substantial numb</w:t>
      </w:r>
      <w:r w:rsidR="00747C07">
        <w:rPr>
          <w:sz w:val="26"/>
          <w:szCs w:val="26"/>
        </w:rPr>
        <w:t>er of residential customers who</w:t>
      </w:r>
      <w:r>
        <w:rPr>
          <w:sz w:val="26"/>
          <w:szCs w:val="26"/>
        </w:rPr>
        <w:t xml:space="preserve"> remain on default supply </w:t>
      </w:r>
      <w:r w:rsidR="00747C07">
        <w:rPr>
          <w:sz w:val="26"/>
          <w:szCs w:val="26"/>
        </w:rPr>
        <w:t xml:space="preserve">and </w:t>
      </w:r>
      <w:r>
        <w:rPr>
          <w:sz w:val="26"/>
          <w:szCs w:val="26"/>
        </w:rPr>
        <w:t>who are eligible t</w:t>
      </w:r>
      <w:r w:rsidR="00747C07">
        <w:rPr>
          <w:sz w:val="26"/>
          <w:szCs w:val="26"/>
        </w:rPr>
        <w:t>o participate in the Opt-In</w:t>
      </w:r>
      <w:r>
        <w:rPr>
          <w:sz w:val="26"/>
          <w:szCs w:val="26"/>
        </w:rPr>
        <w:t xml:space="preserve"> Program.  Accordingly, we shall grant the Exceptions of RESA on this issue.</w:t>
      </w:r>
      <w:r w:rsidR="00F2262D" w:rsidRPr="00EE5722">
        <w:rPr>
          <w:sz w:val="26"/>
          <w:szCs w:val="26"/>
        </w:rPr>
        <w:tab/>
      </w:r>
    </w:p>
    <w:p w:rsidR="00F2262D" w:rsidRPr="00EE5722" w:rsidRDefault="00F2262D" w:rsidP="00CE6BDA">
      <w:pPr>
        <w:pStyle w:val="BodyText"/>
        <w:spacing w:after="0" w:line="360" w:lineRule="auto"/>
        <w:ind w:left="0" w:firstLine="0"/>
        <w:rPr>
          <w:sz w:val="26"/>
          <w:szCs w:val="26"/>
        </w:rPr>
      </w:pPr>
    </w:p>
    <w:p w:rsidR="000B0DA3" w:rsidRPr="00EE5722" w:rsidRDefault="000B0DA3" w:rsidP="009A739B">
      <w:pPr>
        <w:pStyle w:val="Heading4"/>
        <w:numPr>
          <w:ilvl w:val="0"/>
          <w:numId w:val="22"/>
        </w:numPr>
      </w:pPr>
      <w:bookmarkStart w:id="83" w:name="_Toc346705325"/>
      <w:r w:rsidRPr="00EE5722">
        <w:t>Discount Percentage</w:t>
      </w:r>
      <w:bookmarkEnd w:id="83"/>
    </w:p>
    <w:p w:rsidR="00283369" w:rsidRPr="00EE5722" w:rsidRDefault="00283369" w:rsidP="00283369">
      <w:pPr>
        <w:pStyle w:val="BriefL3"/>
        <w:numPr>
          <w:ilvl w:val="0"/>
          <w:numId w:val="0"/>
        </w:numPr>
        <w:spacing w:after="0" w:line="360" w:lineRule="auto"/>
        <w:ind w:left="2160" w:hanging="720"/>
        <w:rPr>
          <w:b/>
          <w:sz w:val="26"/>
          <w:szCs w:val="26"/>
        </w:rPr>
      </w:pPr>
    </w:p>
    <w:p w:rsidR="00283369" w:rsidRPr="00EE5722" w:rsidRDefault="00115AB3" w:rsidP="00115AB3">
      <w:pPr>
        <w:pStyle w:val="Heading5"/>
        <w:numPr>
          <w:ilvl w:val="0"/>
          <w:numId w:val="0"/>
        </w:numPr>
        <w:ind w:left="3600" w:hanging="720"/>
      </w:pPr>
      <w:bookmarkStart w:id="84" w:name="_Toc346705326"/>
      <w:r>
        <w:t>i.</w:t>
      </w:r>
      <w:r>
        <w:tab/>
      </w:r>
      <w:r w:rsidR="004C5B7E">
        <w:t>Duquesne</w:t>
      </w:r>
      <w:r w:rsidR="00283369" w:rsidRPr="00EE5722">
        <w:t>’s Proposal</w:t>
      </w:r>
      <w:bookmarkEnd w:id="84"/>
    </w:p>
    <w:p w:rsidR="000B0DA3" w:rsidRPr="00EE5722" w:rsidRDefault="000B0DA3" w:rsidP="00CA3537">
      <w:pPr>
        <w:pStyle w:val="BodyText"/>
        <w:spacing w:after="0" w:line="360" w:lineRule="auto"/>
        <w:ind w:left="0" w:firstLine="0"/>
        <w:rPr>
          <w:sz w:val="26"/>
          <w:szCs w:val="26"/>
        </w:rPr>
      </w:pPr>
    </w:p>
    <w:p w:rsidR="00AA4AF1" w:rsidRPr="00EE5722" w:rsidRDefault="00AA4AF1" w:rsidP="00CE6BDA">
      <w:pPr>
        <w:pStyle w:val="BodyText2"/>
        <w:spacing w:after="0" w:line="360" w:lineRule="auto"/>
        <w:rPr>
          <w:sz w:val="26"/>
          <w:szCs w:val="26"/>
        </w:rPr>
      </w:pPr>
      <w:r w:rsidRPr="00EE5722">
        <w:rPr>
          <w:sz w:val="26"/>
          <w:szCs w:val="26"/>
        </w:rPr>
        <w:tab/>
      </w:r>
      <w:r w:rsidRPr="00EE5722">
        <w:rPr>
          <w:sz w:val="26"/>
          <w:szCs w:val="26"/>
        </w:rPr>
        <w:tab/>
      </w:r>
      <w:r w:rsidR="00CA3537" w:rsidRPr="00EE5722">
        <w:rPr>
          <w:sz w:val="26"/>
          <w:szCs w:val="26"/>
        </w:rPr>
        <w:t>Two issues arose in this proceeding</w:t>
      </w:r>
      <w:r w:rsidR="0096680A">
        <w:rPr>
          <w:sz w:val="26"/>
          <w:szCs w:val="26"/>
        </w:rPr>
        <w:t xml:space="preserve"> pertaining to the discount percentage</w:t>
      </w:r>
      <w:r w:rsidR="00CA3537" w:rsidRPr="00EE5722">
        <w:rPr>
          <w:sz w:val="26"/>
          <w:szCs w:val="26"/>
        </w:rPr>
        <w:t>:</w:t>
      </w:r>
      <w:r w:rsidR="00D62265" w:rsidRPr="00EE5722">
        <w:rPr>
          <w:sz w:val="26"/>
          <w:szCs w:val="26"/>
        </w:rPr>
        <w:t xml:space="preserve"> </w:t>
      </w:r>
      <w:r w:rsidR="00CA3537" w:rsidRPr="00EE5722">
        <w:rPr>
          <w:sz w:val="26"/>
          <w:szCs w:val="26"/>
        </w:rPr>
        <w:t xml:space="preserve"> (1) </w:t>
      </w:r>
      <w:r w:rsidRPr="00EE5722">
        <w:rPr>
          <w:sz w:val="26"/>
          <w:szCs w:val="26"/>
        </w:rPr>
        <w:t>Dominion</w:t>
      </w:r>
      <w:r w:rsidR="00CA3537" w:rsidRPr="00EE5722">
        <w:rPr>
          <w:sz w:val="26"/>
          <w:szCs w:val="26"/>
        </w:rPr>
        <w:t>’s suggestion that</w:t>
      </w:r>
      <w:r w:rsidR="0078506C">
        <w:rPr>
          <w:sz w:val="26"/>
          <w:szCs w:val="26"/>
        </w:rPr>
        <w:t xml:space="preserve"> the Opt-In </w:t>
      </w:r>
      <w:r w:rsidRPr="00EE5722">
        <w:rPr>
          <w:sz w:val="26"/>
          <w:szCs w:val="26"/>
        </w:rPr>
        <w:t xml:space="preserve">discount </w:t>
      </w:r>
      <w:r w:rsidR="0078506C">
        <w:rPr>
          <w:sz w:val="26"/>
          <w:szCs w:val="26"/>
        </w:rPr>
        <w:t xml:space="preserve">percentage </w:t>
      </w:r>
      <w:r w:rsidRPr="00EE5722">
        <w:rPr>
          <w:sz w:val="26"/>
          <w:szCs w:val="26"/>
        </w:rPr>
        <w:t>of 5% be lowered to 2%</w:t>
      </w:r>
      <w:r w:rsidR="00CA3537" w:rsidRPr="00EE5722">
        <w:rPr>
          <w:sz w:val="26"/>
          <w:szCs w:val="26"/>
        </w:rPr>
        <w:t xml:space="preserve"> (</w:t>
      </w:r>
      <w:r w:rsidR="003D4045">
        <w:rPr>
          <w:sz w:val="26"/>
          <w:szCs w:val="26"/>
        </w:rPr>
        <w:t xml:space="preserve">Dominion </w:t>
      </w:r>
      <w:r w:rsidR="0078506C">
        <w:rPr>
          <w:sz w:val="26"/>
          <w:szCs w:val="26"/>
        </w:rPr>
        <w:t xml:space="preserve">St. 1 at </w:t>
      </w:r>
      <w:r w:rsidRPr="00EE5722">
        <w:rPr>
          <w:sz w:val="26"/>
          <w:szCs w:val="26"/>
        </w:rPr>
        <w:t>5</w:t>
      </w:r>
      <w:r w:rsidR="00CA3537" w:rsidRPr="00EE5722">
        <w:rPr>
          <w:sz w:val="26"/>
          <w:szCs w:val="26"/>
        </w:rPr>
        <w:t>)</w:t>
      </w:r>
      <w:r w:rsidR="00C8778F">
        <w:rPr>
          <w:sz w:val="26"/>
          <w:szCs w:val="26"/>
        </w:rPr>
        <w:t>;</w:t>
      </w:r>
      <w:r w:rsidR="00CA3537" w:rsidRPr="00EE5722">
        <w:rPr>
          <w:sz w:val="26"/>
          <w:szCs w:val="26"/>
        </w:rPr>
        <w:t xml:space="preserve"> and</w:t>
      </w:r>
      <w:r w:rsidR="004F2098" w:rsidRPr="00EE5722">
        <w:rPr>
          <w:sz w:val="26"/>
          <w:szCs w:val="26"/>
        </w:rPr>
        <w:t xml:space="preserve"> (2)</w:t>
      </w:r>
      <w:r w:rsidR="008B6A92" w:rsidRPr="00EE5722">
        <w:rPr>
          <w:sz w:val="26"/>
          <w:szCs w:val="26"/>
        </w:rPr>
        <w:t> </w:t>
      </w:r>
      <w:r w:rsidR="00CA3537" w:rsidRPr="00EE5722">
        <w:rPr>
          <w:sz w:val="26"/>
          <w:szCs w:val="26"/>
        </w:rPr>
        <w:t xml:space="preserve">whether the discount percentage </w:t>
      </w:r>
      <w:r w:rsidRPr="00EE5722">
        <w:rPr>
          <w:sz w:val="26"/>
          <w:szCs w:val="26"/>
        </w:rPr>
        <w:t xml:space="preserve">should be administratively set by the Commission at 5% or established at or above 5% through an RFP.  </w:t>
      </w:r>
      <w:r w:rsidR="003A7CAD">
        <w:rPr>
          <w:sz w:val="26"/>
          <w:szCs w:val="26"/>
        </w:rPr>
        <w:t xml:space="preserve">Duquesne </w:t>
      </w:r>
      <w:r w:rsidRPr="00EE5722">
        <w:rPr>
          <w:sz w:val="26"/>
          <w:szCs w:val="26"/>
        </w:rPr>
        <w:t>follow</w:t>
      </w:r>
      <w:r w:rsidR="0078506C">
        <w:rPr>
          <w:sz w:val="26"/>
          <w:szCs w:val="26"/>
        </w:rPr>
        <w:t>ed</w:t>
      </w:r>
      <w:r w:rsidRPr="00EE5722">
        <w:rPr>
          <w:sz w:val="26"/>
          <w:szCs w:val="26"/>
        </w:rPr>
        <w:t xml:space="preserve"> the guidelines provided by the Commission in its </w:t>
      </w:r>
      <w:r w:rsidR="0078506C">
        <w:rPr>
          <w:i/>
          <w:sz w:val="26"/>
          <w:szCs w:val="26"/>
        </w:rPr>
        <w:t>IWP Final</w:t>
      </w:r>
      <w:r w:rsidRPr="00EE5722">
        <w:rPr>
          <w:i/>
          <w:sz w:val="26"/>
          <w:szCs w:val="26"/>
        </w:rPr>
        <w:t xml:space="preserve"> Order</w:t>
      </w:r>
      <w:r w:rsidRPr="00EE5722">
        <w:rPr>
          <w:sz w:val="26"/>
          <w:szCs w:val="26"/>
        </w:rPr>
        <w:t xml:space="preserve">, and </w:t>
      </w:r>
      <w:r w:rsidR="00CA3537" w:rsidRPr="00EE5722">
        <w:rPr>
          <w:sz w:val="26"/>
          <w:szCs w:val="26"/>
        </w:rPr>
        <w:t>recommended</w:t>
      </w:r>
      <w:r w:rsidRPr="00EE5722">
        <w:rPr>
          <w:sz w:val="26"/>
          <w:szCs w:val="26"/>
        </w:rPr>
        <w:t xml:space="preserve"> </w:t>
      </w:r>
      <w:r w:rsidR="0078506C">
        <w:rPr>
          <w:sz w:val="26"/>
          <w:szCs w:val="26"/>
        </w:rPr>
        <w:t xml:space="preserve">that the discount percentage </w:t>
      </w:r>
      <w:r w:rsidRPr="00EE5722">
        <w:rPr>
          <w:sz w:val="26"/>
          <w:szCs w:val="26"/>
        </w:rPr>
        <w:t>be established by the Company’s proposed RFP.</w:t>
      </w:r>
    </w:p>
    <w:p w:rsidR="00AA4AF1" w:rsidRPr="00EE5722" w:rsidRDefault="00AA4AF1" w:rsidP="00CE6BDA">
      <w:pPr>
        <w:pStyle w:val="BodyText"/>
        <w:spacing w:after="0" w:line="360" w:lineRule="auto"/>
        <w:ind w:left="0" w:firstLine="0"/>
        <w:rPr>
          <w:sz w:val="26"/>
          <w:szCs w:val="26"/>
        </w:rPr>
      </w:pPr>
    </w:p>
    <w:p w:rsidR="00F133E6" w:rsidRPr="00EE5722" w:rsidRDefault="00283369" w:rsidP="00115AB3">
      <w:pPr>
        <w:pStyle w:val="Heading5"/>
        <w:numPr>
          <w:ilvl w:val="0"/>
          <w:numId w:val="0"/>
        </w:numPr>
        <w:ind w:left="3600" w:hanging="720"/>
      </w:pPr>
      <w:bookmarkStart w:id="85" w:name="_Toc346705327"/>
      <w:r w:rsidRPr="00EE5722">
        <w:t>ii</w:t>
      </w:r>
      <w:r w:rsidR="003D4045">
        <w:t>.</w:t>
      </w:r>
      <w:r w:rsidR="003D4045">
        <w:tab/>
      </w:r>
      <w:r w:rsidR="00F133E6" w:rsidRPr="00EE5722">
        <w:t>Position</w:t>
      </w:r>
      <w:r w:rsidR="003D4045">
        <w:t>s of the Parties</w:t>
      </w:r>
      <w:bookmarkEnd w:id="85"/>
    </w:p>
    <w:p w:rsidR="00AA4AF1" w:rsidRPr="00EE5722" w:rsidRDefault="00AA4AF1" w:rsidP="00CE6BDA">
      <w:pPr>
        <w:pStyle w:val="BodyText"/>
        <w:spacing w:after="0" w:line="360" w:lineRule="auto"/>
        <w:ind w:left="0" w:firstLine="0"/>
        <w:rPr>
          <w:sz w:val="26"/>
          <w:szCs w:val="26"/>
        </w:rPr>
      </w:pPr>
    </w:p>
    <w:p w:rsidR="00F133E6" w:rsidRPr="0078506C" w:rsidRDefault="003D4045" w:rsidP="00283369">
      <w:pPr>
        <w:pStyle w:val="BodyText2"/>
        <w:spacing w:after="0" w:line="360" w:lineRule="auto"/>
        <w:ind w:firstLine="1440"/>
        <w:rPr>
          <w:sz w:val="26"/>
          <w:szCs w:val="26"/>
        </w:rPr>
      </w:pPr>
      <w:r>
        <w:rPr>
          <w:sz w:val="26"/>
          <w:szCs w:val="26"/>
        </w:rPr>
        <w:t xml:space="preserve">The </w:t>
      </w:r>
      <w:r w:rsidR="0078506C">
        <w:rPr>
          <w:sz w:val="26"/>
          <w:szCs w:val="26"/>
        </w:rPr>
        <w:t xml:space="preserve">OCA opposed </w:t>
      </w:r>
      <w:r w:rsidR="004F2098" w:rsidRPr="00EE5722">
        <w:rPr>
          <w:sz w:val="26"/>
          <w:szCs w:val="26"/>
        </w:rPr>
        <w:t>Dominion’s</w:t>
      </w:r>
      <w:r w:rsidR="00F133E6" w:rsidRPr="00EE5722">
        <w:rPr>
          <w:sz w:val="26"/>
          <w:szCs w:val="26"/>
        </w:rPr>
        <w:t xml:space="preserve"> proposal</w:t>
      </w:r>
      <w:r w:rsidR="0078506C">
        <w:rPr>
          <w:sz w:val="26"/>
          <w:szCs w:val="26"/>
        </w:rPr>
        <w:t xml:space="preserve"> to lower the discount percentage to 2%</w:t>
      </w:r>
      <w:r w:rsidR="00F133E6" w:rsidRPr="00EE5722">
        <w:rPr>
          <w:sz w:val="26"/>
          <w:szCs w:val="26"/>
        </w:rPr>
        <w:t xml:space="preserve">.  </w:t>
      </w:r>
      <w:r>
        <w:rPr>
          <w:sz w:val="26"/>
          <w:szCs w:val="26"/>
        </w:rPr>
        <w:t>The OCA explained that</w:t>
      </w:r>
      <w:r w:rsidR="0078506C">
        <w:rPr>
          <w:sz w:val="26"/>
          <w:szCs w:val="26"/>
        </w:rPr>
        <w:t xml:space="preserve"> a </w:t>
      </w:r>
      <w:r w:rsidR="00F133E6" w:rsidRPr="00EE5722">
        <w:rPr>
          <w:sz w:val="26"/>
          <w:szCs w:val="26"/>
        </w:rPr>
        <w:t xml:space="preserve">reduction in </w:t>
      </w:r>
      <w:r w:rsidR="0078506C">
        <w:rPr>
          <w:sz w:val="26"/>
          <w:szCs w:val="26"/>
        </w:rPr>
        <w:t xml:space="preserve">the discount would </w:t>
      </w:r>
      <w:r w:rsidR="00F133E6" w:rsidRPr="00EE5722">
        <w:rPr>
          <w:sz w:val="26"/>
          <w:szCs w:val="26"/>
        </w:rPr>
        <w:t>significant</w:t>
      </w:r>
      <w:r w:rsidR="0078506C">
        <w:rPr>
          <w:sz w:val="26"/>
          <w:szCs w:val="26"/>
        </w:rPr>
        <w:t xml:space="preserve">ly change </w:t>
      </w:r>
      <w:r w:rsidR="00F133E6" w:rsidRPr="00EE5722">
        <w:rPr>
          <w:sz w:val="26"/>
          <w:szCs w:val="26"/>
        </w:rPr>
        <w:t>the custome</w:t>
      </w:r>
      <w:r w:rsidR="0078506C">
        <w:rPr>
          <w:sz w:val="26"/>
          <w:szCs w:val="26"/>
        </w:rPr>
        <w:t>r benefits associated with the Opt-In Program</w:t>
      </w:r>
      <w:r w:rsidR="00F133E6" w:rsidRPr="00EE5722">
        <w:rPr>
          <w:sz w:val="26"/>
          <w:szCs w:val="26"/>
        </w:rPr>
        <w:t>.</w:t>
      </w:r>
      <w:r w:rsidR="00AB2347" w:rsidRPr="00EE5722">
        <w:rPr>
          <w:sz w:val="26"/>
          <w:szCs w:val="26"/>
        </w:rPr>
        <w:t xml:space="preserve">  </w:t>
      </w:r>
      <w:r w:rsidR="00F133E6" w:rsidRPr="00EE5722">
        <w:rPr>
          <w:sz w:val="26"/>
          <w:szCs w:val="26"/>
        </w:rPr>
        <w:t>OCA St. 2-R at 9; O</w:t>
      </w:r>
      <w:r w:rsidR="0078506C">
        <w:rPr>
          <w:sz w:val="26"/>
          <w:szCs w:val="26"/>
        </w:rPr>
        <w:t>CA St. 1</w:t>
      </w:r>
      <w:r w:rsidR="0078506C">
        <w:rPr>
          <w:sz w:val="26"/>
          <w:szCs w:val="26"/>
        </w:rPr>
        <w:noBreakHyphen/>
      </w:r>
      <w:r w:rsidR="00F133E6" w:rsidRPr="00EE5722">
        <w:rPr>
          <w:sz w:val="26"/>
          <w:szCs w:val="26"/>
        </w:rPr>
        <w:t xml:space="preserve">R at 13-14.  </w:t>
      </w:r>
    </w:p>
    <w:p w:rsidR="003D4045" w:rsidRPr="003D4045" w:rsidRDefault="003D4045" w:rsidP="00283369">
      <w:pPr>
        <w:pStyle w:val="BodyText2"/>
        <w:spacing w:after="0" w:line="360" w:lineRule="auto"/>
        <w:ind w:firstLine="1440"/>
        <w:rPr>
          <w:sz w:val="26"/>
          <w:szCs w:val="26"/>
        </w:rPr>
      </w:pPr>
    </w:p>
    <w:p w:rsidR="003D4045" w:rsidRPr="004439BD" w:rsidRDefault="003D4045" w:rsidP="00CE6BDA">
      <w:pPr>
        <w:pStyle w:val="BodyText2"/>
        <w:spacing w:after="0" w:line="360" w:lineRule="auto"/>
        <w:ind w:firstLine="1440"/>
        <w:rPr>
          <w:sz w:val="26"/>
          <w:szCs w:val="26"/>
        </w:rPr>
      </w:pPr>
      <w:r w:rsidRPr="00EE5722">
        <w:rPr>
          <w:sz w:val="26"/>
          <w:szCs w:val="26"/>
        </w:rPr>
        <w:lastRenderedPageBreak/>
        <w:t>RESA agree</w:t>
      </w:r>
      <w:r w:rsidR="004439BD">
        <w:rPr>
          <w:sz w:val="26"/>
          <w:szCs w:val="26"/>
        </w:rPr>
        <w:t>d</w:t>
      </w:r>
      <w:r w:rsidRPr="00EE5722">
        <w:rPr>
          <w:sz w:val="26"/>
          <w:szCs w:val="26"/>
        </w:rPr>
        <w:t xml:space="preserve"> with D</w:t>
      </w:r>
      <w:r w:rsidR="0078506C">
        <w:rPr>
          <w:sz w:val="26"/>
          <w:szCs w:val="26"/>
        </w:rPr>
        <w:t>uquesne’s proposed discount</w:t>
      </w:r>
      <w:r w:rsidRPr="00EE5722">
        <w:rPr>
          <w:sz w:val="26"/>
          <w:szCs w:val="26"/>
        </w:rPr>
        <w:t xml:space="preserve"> </w:t>
      </w:r>
      <w:r w:rsidR="00FC01F0">
        <w:rPr>
          <w:sz w:val="26"/>
          <w:szCs w:val="26"/>
        </w:rPr>
        <w:t xml:space="preserve">of </w:t>
      </w:r>
      <w:r w:rsidR="0078506C">
        <w:rPr>
          <w:sz w:val="26"/>
          <w:szCs w:val="26"/>
        </w:rPr>
        <w:t xml:space="preserve">5% </w:t>
      </w:r>
      <w:r w:rsidR="004439BD">
        <w:rPr>
          <w:sz w:val="26"/>
          <w:szCs w:val="26"/>
        </w:rPr>
        <w:t xml:space="preserve">but </w:t>
      </w:r>
      <w:r>
        <w:rPr>
          <w:sz w:val="26"/>
          <w:szCs w:val="26"/>
        </w:rPr>
        <w:t>argued that</w:t>
      </w:r>
      <w:r w:rsidRPr="00EE5722">
        <w:rPr>
          <w:sz w:val="26"/>
          <w:szCs w:val="26"/>
        </w:rPr>
        <w:t xml:space="preserve"> the discount </w:t>
      </w:r>
      <w:r w:rsidR="0078506C">
        <w:rPr>
          <w:sz w:val="26"/>
          <w:szCs w:val="26"/>
        </w:rPr>
        <w:t xml:space="preserve">should apply </w:t>
      </w:r>
      <w:r w:rsidRPr="00EE5722">
        <w:rPr>
          <w:sz w:val="26"/>
          <w:szCs w:val="26"/>
        </w:rPr>
        <w:t xml:space="preserve">only </w:t>
      </w:r>
      <w:r w:rsidR="0078506C">
        <w:rPr>
          <w:sz w:val="26"/>
          <w:szCs w:val="26"/>
        </w:rPr>
        <w:t>to the initial four months of the Opt-In Program</w:t>
      </w:r>
      <w:r w:rsidRPr="00EE5722">
        <w:rPr>
          <w:sz w:val="26"/>
          <w:szCs w:val="26"/>
        </w:rPr>
        <w:t>.</w:t>
      </w:r>
      <w:r w:rsidR="0078506C">
        <w:rPr>
          <w:sz w:val="26"/>
          <w:szCs w:val="26"/>
        </w:rPr>
        <w:t xml:space="preserve">  </w:t>
      </w:r>
      <w:r>
        <w:rPr>
          <w:sz w:val="26"/>
          <w:szCs w:val="26"/>
        </w:rPr>
        <w:t>RESA</w:t>
      </w:r>
      <w:r w:rsidR="004439BD">
        <w:rPr>
          <w:sz w:val="26"/>
          <w:szCs w:val="26"/>
        </w:rPr>
        <w:t xml:space="preserve"> also</w:t>
      </w:r>
      <w:r>
        <w:rPr>
          <w:sz w:val="26"/>
          <w:szCs w:val="26"/>
        </w:rPr>
        <w:t xml:space="preserve"> argued that</w:t>
      </w:r>
      <w:r w:rsidRPr="00EE5722">
        <w:rPr>
          <w:sz w:val="26"/>
          <w:szCs w:val="26"/>
        </w:rPr>
        <w:t xml:space="preserve"> </w:t>
      </w:r>
      <w:r w:rsidR="004439BD">
        <w:rPr>
          <w:sz w:val="26"/>
          <w:szCs w:val="26"/>
        </w:rPr>
        <w:t>t</w:t>
      </w:r>
      <w:r w:rsidRPr="00EE5722">
        <w:rPr>
          <w:sz w:val="26"/>
          <w:szCs w:val="26"/>
        </w:rPr>
        <w:t xml:space="preserve">he percentage discount should be the same for both </w:t>
      </w:r>
      <w:r w:rsidR="004439BD">
        <w:rPr>
          <w:sz w:val="26"/>
          <w:szCs w:val="26"/>
        </w:rPr>
        <w:t>the Opt-In and Standard Referral P</w:t>
      </w:r>
      <w:r w:rsidRPr="00EE5722">
        <w:rPr>
          <w:sz w:val="26"/>
          <w:szCs w:val="26"/>
        </w:rPr>
        <w:t>rograms, assuming the Commission adopt</w:t>
      </w:r>
      <w:r w:rsidR="00F01FB0">
        <w:rPr>
          <w:sz w:val="26"/>
          <w:szCs w:val="26"/>
        </w:rPr>
        <w:t xml:space="preserve">s the </w:t>
      </w:r>
      <w:r w:rsidRPr="00EE5722">
        <w:rPr>
          <w:sz w:val="26"/>
          <w:szCs w:val="26"/>
        </w:rPr>
        <w:t>aggregation app</w:t>
      </w:r>
      <w:r w:rsidR="00F01FB0">
        <w:rPr>
          <w:sz w:val="26"/>
          <w:szCs w:val="26"/>
        </w:rPr>
        <w:t>roach for the Opt-In Program</w:t>
      </w:r>
      <w:r w:rsidRPr="00EE5722">
        <w:rPr>
          <w:sz w:val="26"/>
          <w:szCs w:val="26"/>
        </w:rPr>
        <w:t>.</w:t>
      </w:r>
      <w:r w:rsidRPr="00EE5722">
        <w:rPr>
          <w:rStyle w:val="FootnoteReference"/>
          <w:sz w:val="26"/>
          <w:szCs w:val="26"/>
        </w:rPr>
        <w:footnoteReference w:id="75"/>
      </w:r>
    </w:p>
    <w:p w:rsidR="003D4045" w:rsidRPr="003D4045" w:rsidRDefault="003D4045" w:rsidP="00CE6BDA">
      <w:pPr>
        <w:pStyle w:val="BodyText2"/>
        <w:spacing w:after="0" w:line="360" w:lineRule="auto"/>
        <w:rPr>
          <w:sz w:val="26"/>
          <w:szCs w:val="26"/>
        </w:rPr>
      </w:pPr>
    </w:p>
    <w:p w:rsidR="003D4045" w:rsidRDefault="00F01FB0" w:rsidP="00CE6BDA">
      <w:pPr>
        <w:pStyle w:val="BodyText2"/>
        <w:spacing w:after="0" w:line="360" w:lineRule="auto"/>
        <w:ind w:firstLine="1440"/>
        <w:rPr>
          <w:sz w:val="26"/>
          <w:szCs w:val="26"/>
        </w:rPr>
      </w:pPr>
      <w:r>
        <w:rPr>
          <w:sz w:val="26"/>
          <w:szCs w:val="26"/>
        </w:rPr>
        <w:t xml:space="preserve">CAUSE supported Duquesne’s </w:t>
      </w:r>
      <w:r w:rsidR="003D4045" w:rsidRPr="00EE5722">
        <w:rPr>
          <w:sz w:val="26"/>
          <w:szCs w:val="26"/>
        </w:rPr>
        <w:t xml:space="preserve">program design, </w:t>
      </w:r>
      <w:r>
        <w:rPr>
          <w:sz w:val="26"/>
          <w:szCs w:val="26"/>
        </w:rPr>
        <w:t xml:space="preserve">under which </w:t>
      </w:r>
      <w:r w:rsidR="003D4045" w:rsidRPr="00EE5722">
        <w:rPr>
          <w:sz w:val="26"/>
          <w:szCs w:val="26"/>
        </w:rPr>
        <w:t xml:space="preserve">participating customers </w:t>
      </w:r>
      <w:r>
        <w:rPr>
          <w:sz w:val="26"/>
          <w:szCs w:val="26"/>
        </w:rPr>
        <w:t xml:space="preserve">would receive </w:t>
      </w:r>
      <w:r w:rsidR="0096680A">
        <w:rPr>
          <w:sz w:val="26"/>
          <w:szCs w:val="26"/>
        </w:rPr>
        <w:t xml:space="preserve">a discount of </w:t>
      </w:r>
      <w:r>
        <w:rPr>
          <w:sz w:val="26"/>
          <w:szCs w:val="26"/>
        </w:rPr>
        <w:t xml:space="preserve">5% </w:t>
      </w:r>
      <w:r w:rsidR="0096680A">
        <w:rPr>
          <w:sz w:val="26"/>
          <w:szCs w:val="26"/>
        </w:rPr>
        <w:t>from</w:t>
      </w:r>
      <w:r>
        <w:rPr>
          <w:sz w:val="26"/>
          <w:szCs w:val="26"/>
        </w:rPr>
        <w:t xml:space="preserve"> the </w:t>
      </w:r>
      <w:r w:rsidR="003D4045" w:rsidRPr="00EE5722">
        <w:rPr>
          <w:sz w:val="26"/>
          <w:szCs w:val="26"/>
        </w:rPr>
        <w:t>PTC for a ful</w:t>
      </w:r>
      <w:r w:rsidR="00CE6BDA">
        <w:rPr>
          <w:sz w:val="26"/>
          <w:szCs w:val="26"/>
        </w:rPr>
        <w:t>l twelve</w:t>
      </w:r>
      <w:r w:rsidR="003D4045" w:rsidRPr="00EE5722">
        <w:rPr>
          <w:sz w:val="26"/>
          <w:szCs w:val="26"/>
        </w:rPr>
        <w:t> months</w:t>
      </w:r>
      <w:r>
        <w:rPr>
          <w:sz w:val="26"/>
          <w:szCs w:val="26"/>
        </w:rPr>
        <w:t>,</w:t>
      </w:r>
      <w:r w:rsidR="003D4045" w:rsidRPr="00EE5722">
        <w:rPr>
          <w:sz w:val="26"/>
          <w:szCs w:val="26"/>
        </w:rPr>
        <w:t xml:space="preserve"> with no cancellation fee and</w:t>
      </w:r>
      <w:r>
        <w:rPr>
          <w:sz w:val="26"/>
          <w:szCs w:val="26"/>
        </w:rPr>
        <w:t xml:space="preserve"> a $50 bonus after three months</w:t>
      </w:r>
      <w:r w:rsidR="003D4045" w:rsidRPr="00EE5722">
        <w:rPr>
          <w:sz w:val="26"/>
          <w:szCs w:val="26"/>
        </w:rPr>
        <w:t>.</w:t>
      </w:r>
    </w:p>
    <w:p w:rsidR="00124D32" w:rsidRPr="00EE5722" w:rsidRDefault="00124D32" w:rsidP="003D4045">
      <w:pPr>
        <w:pStyle w:val="BodyText2"/>
        <w:spacing w:after="0" w:line="360" w:lineRule="auto"/>
        <w:ind w:firstLine="1440"/>
        <w:rPr>
          <w:sz w:val="26"/>
          <w:szCs w:val="26"/>
        </w:rPr>
      </w:pPr>
    </w:p>
    <w:p w:rsidR="00F133E6" w:rsidRDefault="00124D32" w:rsidP="00CE6BDA">
      <w:pPr>
        <w:pStyle w:val="BodyText"/>
        <w:spacing w:after="0" w:line="360" w:lineRule="auto"/>
        <w:ind w:left="0"/>
        <w:rPr>
          <w:sz w:val="26"/>
          <w:szCs w:val="26"/>
        </w:rPr>
      </w:pPr>
      <w:r>
        <w:rPr>
          <w:sz w:val="26"/>
          <w:szCs w:val="26"/>
        </w:rPr>
        <w:t xml:space="preserve">Dominion </w:t>
      </w:r>
      <w:r w:rsidRPr="00EE5722">
        <w:rPr>
          <w:sz w:val="26"/>
          <w:szCs w:val="26"/>
        </w:rPr>
        <w:t>suggest</w:t>
      </w:r>
      <w:r>
        <w:rPr>
          <w:sz w:val="26"/>
          <w:szCs w:val="26"/>
        </w:rPr>
        <w:t>ed that</w:t>
      </w:r>
      <w:r w:rsidR="00394FDC">
        <w:rPr>
          <w:sz w:val="26"/>
          <w:szCs w:val="26"/>
        </w:rPr>
        <w:t xml:space="preserve">, </w:t>
      </w:r>
      <w:r w:rsidR="00F01FB0">
        <w:rPr>
          <w:sz w:val="26"/>
          <w:szCs w:val="26"/>
        </w:rPr>
        <w:t xml:space="preserve">either </w:t>
      </w:r>
      <w:r w:rsidRPr="00EE5722">
        <w:rPr>
          <w:sz w:val="26"/>
          <w:szCs w:val="26"/>
        </w:rPr>
        <w:t>the minimum discount percen</w:t>
      </w:r>
      <w:r w:rsidR="00F01FB0">
        <w:rPr>
          <w:sz w:val="26"/>
          <w:szCs w:val="26"/>
        </w:rPr>
        <w:t>tage be lowered to 2%, or the $50 bonus be eliminated</w:t>
      </w:r>
      <w:r w:rsidRPr="00EE5722">
        <w:rPr>
          <w:sz w:val="26"/>
          <w:szCs w:val="26"/>
        </w:rPr>
        <w:t xml:space="preserve">.  </w:t>
      </w:r>
      <w:r w:rsidR="00CE6BDA">
        <w:rPr>
          <w:sz w:val="26"/>
          <w:szCs w:val="26"/>
        </w:rPr>
        <w:t>According to Dominion, g</w:t>
      </w:r>
      <w:r w:rsidRPr="00EE5722">
        <w:rPr>
          <w:sz w:val="26"/>
          <w:szCs w:val="26"/>
        </w:rPr>
        <w:t xml:space="preserve">iven that </w:t>
      </w:r>
      <w:r w:rsidR="00F01FB0">
        <w:rPr>
          <w:sz w:val="26"/>
          <w:szCs w:val="26"/>
        </w:rPr>
        <w:t xml:space="preserve">current electricity prices are very low, it has become </w:t>
      </w:r>
      <w:r w:rsidRPr="00EE5722">
        <w:rPr>
          <w:sz w:val="26"/>
          <w:szCs w:val="26"/>
        </w:rPr>
        <w:t xml:space="preserve">more difficult for retailers to </w:t>
      </w:r>
      <w:r w:rsidR="00F01FB0">
        <w:rPr>
          <w:sz w:val="26"/>
          <w:szCs w:val="26"/>
        </w:rPr>
        <w:t xml:space="preserve">create headroom below the PTC. </w:t>
      </w:r>
    </w:p>
    <w:p w:rsidR="00F01FB0" w:rsidRPr="00F01FB0" w:rsidRDefault="00F01FB0" w:rsidP="00CE6BDA">
      <w:pPr>
        <w:pStyle w:val="BodyText"/>
        <w:spacing w:after="0" w:line="360" w:lineRule="auto"/>
        <w:ind w:left="0"/>
        <w:rPr>
          <w:sz w:val="26"/>
          <w:szCs w:val="26"/>
        </w:rPr>
      </w:pPr>
    </w:p>
    <w:p w:rsidR="00124D32" w:rsidRDefault="00124D32" w:rsidP="00CE6BDA">
      <w:pPr>
        <w:pStyle w:val="BodyText"/>
        <w:spacing w:after="0" w:line="360" w:lineRule="auto"/>
        <w:ind w:left="0"/>
        <w:rPr>
          <w:sz w:val="26"/>
          <w:szCs w:val="26"/>
        </w:rPr>
      </w:pPr>
      <w:r>
        <w:rPr>
          <w:sz w:val="26"/>
          <w:szCs w:val="26"/>
        </w:rPr>
        <w:t>The OSBA, Citizen Power, D</w:t>
      </w:r>
      <w:r w:rsidR="008F3443">
        <w:rPr>
          <w:sz w:val="26"/>
          <w:szCs w:val="26"/>
        </w:rPr>
        <w:t xml:space="preserve">II, FES and Constellation </w:t>
      </w:r>
      <w:r>
        <w:rPr>
          <w:sz w:val="26"/>
          <w:szCs w:val="26"/>
        </w:rPr>
        <w:t>took no position on this issue.</w:t>
      </w:r>
    </w:p>
    <w:p w:rsidR="00124D32" w:rsidRPr="00124D32" w:rsidRDefault="00124D32" w:rsidP="00CE6BDA">
      <w:pPr>
        <w:pStyle w:val="BodyText"/>
        <w:spacing w:after="0" w:line="360" w:lineRule="auto"/>
        <w:ind w:left="0"/>
        <w:rPr>
          <w:sz w:val="26"/>
          <w:szCs w:val="26"/>
        </w:rPr>
      </w:pPr>
    </w:p>
    <w:p w:rsidR="00884AFB" w:rsidRDefault="00283369" w:rsidP="00115AB3">
      <w:pPr>
        <w:pStyle w:val="Heading5"/>
        <w:numPr>
          <w:ilvl w:val="0"/>
          <w:numId w:val="0"/>
        </w:numPr>
        <w:ind w:left="3600" w:hanging="720"/>
      </w:pPr>
      <w:bookmarkStart w:id="86" w:name="_Toc346705328"/>
      <w:r w:rsidRPr="00EE5722">
        <w:t>iii</w:t>
      </w:r>
      <w:r w:rsidR="00124D32">
        <w:t>.</w:t>
      </w:r>
      <w:r w:rsidR="00124D32">
        <w:tab/>
        <w:t>ALJ’s Recommenda</w:t>
      </w:r>
      <w:r w:rsidR="00884AFB" w:rsidRPr="00EE5722">
        <w:t>tion</w:t>
      </w:r>
      <w:bookmarkEnd w:id="86"/>
      <w:r w:rsidR="00CE6BDA">
        <w:t xml:space="preserve"> </w:t>
      </w:r>
    </w:p>
    <w:p w:rsidR="00124D32" w:rsidRPr="00EE5722" w:rsidRDefault="00124D32" w:rsidP="00283369">
      <w:pPr>
        <w:pStyle w:val="BriefL3"/>
        <w:numPr>
          <w:ilvl w:val="0"/>
          <w:numId w:val="0"/>
        </w:numPr>
        <w:spacing w:after="0" w:line="360" w:lineRule="auto"/>
        <w:ind w:left="1440" w:firstLine="720"/>
        <w:rPr>
          <w:b/>
          <w:sz w:val="26"/>
          <w:szCs w:val="26"/>
        </w:rPr>
      </w:pPr>
    </w:p>
    <w:p w:rsidR="00332002" w:rsidRDefault="00124D32" w:rsidP="005915E1">
      <w:pPr>
        <w:pStyle w:val="BodyText"/>
        <w:widowControl/>
        <w:spacing w:after="0" w:line="360" w:lineRule="auto"/>
        <w:ind w:left="0"/>
        <w:rPr>
          <w:sz w:val="26"/>
          <w:szCs w:val="26"/>
        </w:rPr>
      </w:pPr>
      <w:r>
        <w:rPr>
          <w:sz w:val="26"/>
          <w:szCs w:val="26"/>
        </w:rPr>
        <w:t xml:space="preserve">The ALJ </w:t>
      </w:r>
      <w:r w:rsidRPr="00EE5722">
        <w:rPr>
          <w:sz w:val="26"/>
          <w:szCs w:val="26"/>
        </w:rPr>
        <w:t>recommend</w:t>
      </w:r>
      <w:r>
        <w:rPr>
          <w:sz w:val="26"/>
          <w:szCs w:val="26"/>
        </w:rPr>
        <w:t>ed</w:t>
      </w:r>
      <w:r w:rsidRPr="00EE5722">
        <w:rPr>
          <w:sz w:val="26"/>
          <w:szCs w:val="26"/>
        </w:rPr>
        <w:t xml:space="preserve"> approval of D</w:t>
      </w:r>
      <w:r>
        <w:rPr>
          <w:sz w:val="26"/>
          <w:szCs w:val="26"/>
        </w:rPr>
        <w:t>uquesne</w:t>
      </w:r>
      <w:r w:rsidRPr="00EE5722">
        <w:rPr>
          <w:sz w:val="26"/>
          <w:szCs w:val="26"/>
        </w:rPr>
        <w:t>’s proposal to establish the discount percentage based on the Company’s proposed RFP</w:t>
      </w:r>
      <w:r w:rsidR="00F01FB0">
        <w:rPr>
          <w:sz w:val="26"/>
          <w:szCs w:val="26"/>
        </w:rPr>
        <w:t>,</w:t>
      </w:r>
      <w:r w:rsidRPr="00EE5722">
        <w:rPr>
          <w:sz w:val="26"/>
          <w:szCs w:val="26"/>
        </w:rPr>
        <w:t xml:space="preserve"> but wit</w:t>
      </w:r>
      <w:r w:rsidR="00F01FB0">
        <w:rPr>
          <w:sz w:val="26"/>
          <w:szCs w:val="26"/>
        </w:rPr>
        <w:t xml:space="preserve">h a guaranteed savings of </w:t>
      </w:r>
      <w:r w:rsidRPr="00EE5722">
        <w:rPr>
          <w:sz w:val="26"/>
          <w:szCs w:val="26"/>
        </w:rPr>
        <w:t>at least 5% for the en</w:t>
      </w:r>
      <w:r w:rsidR="00F01FB0">
        <w:rPr>
          <w:sz w:val="26"/>
          <w:szCs w:val="26"/>
        </w:rPr>
        <w:t>tire term</w:t>
      </w:r>
      <w:r>
        <w:rPr>
          <w:sz w:val="26"/>
          <w:szCs w:val="26"/>
        </w:rPr>
        <w:t xml:space="preserve"> of the contract.  The ALJ </w:t>
      </w:r>
      <w:r w:rsidRPr="00EE5722">
        <w:rPr>
          <w:sz w:val="26"/>
          <w:szCs w:val="26"/>
        </w:rPr>
        <w:t>recommend</w:t>
      </w:r>
      <w:r>
        <w:rPr>
          <w:sz w:val="26"/>
          <w:szCs w:val="26"/>
        </w:rPr>
        <w:t>ed</w:t>
      </w:r>
      <w:r w:rsidR="00F01FB0">
        <w:rPr>
          <w:sz w:val="26"/>
          <w:szCs w:val="26"/>
        </w:rPr>
        <w:t xml:space="preserve"> rejecting Dominion’s proposal to lower the </w:t>
      </w:r>
      <w:r w:rsidRPr="00EE5722">
        <w:rPr>
          <w:sz w:val="26"/>
          <w:szCs w:val="26"/>
        </w:rPr>
        <w:t>percentage discount from 5% t</w:t>
      </w:r>
      <w:r w:rsidR="00394FDC">
        <w:rPr>
          <w:sz w:val="26"/>
          <w:szCs w:val="26"/>
        </w:rPr>
        <w:t xml:space="preserve">o 2% because </w:t>
      </w:r>
      <w:r>
        <w:rPr>
          <w:sz w:val="26"/>
          <w:szCs w:val="26"/>
        </w:rPr>
        <w:t>Duquesne</w:t>
      </w:r>
      <w:r w:rsidRPr="00EE5722">
        <w:rPr>
          <w:sz w:val="26"/>
          <w:szCs w:val="26"/>
        </w:rPr>
        <w:t>’s proposal is consistent with th</w:t>
      </w:r>
      <w:r w:rsidR="00F01FB0">
        <w:rPr>
          <w:sz w:val="26"/>
          <w:szCs w:val="26"/>
        </w:rPr>
        <w:t>e Commission’s prior actions, and a</w:t>
      </w:r>
      <w:r w:rsidRPr="00EE5722">
        <w:rPr>
          <w:sz w:val="26"/>
          <w:szCs w:val="26"/>
        </w:rPr>
        <w:t xml:space="preserve"> reduction </w:t>
      </w:r>
      <w:r w:rsidRPr="00EE5722">
        <w:rPr>
          <w:sz w:val="26"/>
          <w:szCs w:val="26"/>
        </w:rPr>
        <w:lastRenderedPageBreak/>
        <w:t xml:space="preserve">in </w:t>
      </w:r>
      <w:r w:rsidR="00F01FB0">
        <w:rPr>
          <w:sz w:val="26"/>
          <w:szCs w:val="26"/>
        </w:rPr>
        <w:t xml:space="preserve">the </w:t>
      </w:r>
      <w:r w:rsidRPr="00EE5722">
        <w:rPr>
          <w:sz w:val="26"/>
          <w:szCs w:val="26"/>
        </w:rPr>
        <w:t>discount would lead to a significant reduction in the benefits a customer would see with the Opt-In Program</w:t>
      </w:r>
      <w:r>
        <w:rPr>
          <w:sz w:val="26"/>
          <w:szCs w:val="26"/>
        </w:rPr>
        <w:t>.</w:t>
      </w:r>
      <w:r w:rsidR="00CE6BDA">
        <w:rPr>
          <w:sz w:val="26"/>
          <w:szCs w:val="26"/>
        </w:rPr>
        <w:t xml:space="preserve">  R.D. at 75.</w:t>
      </w:r>
    </w:p>
    <w:p w:rsidR="005A6535" w:rsidRPr="00394FDC" w:rsidRDefault="005A6535" w:rsidP="00CE6BDA">
      <w:pPr>
        <w:pStyle w:val="BodyText"/>
        <w:spacing w:after="0" w:line="360" w:lineRule="auto"/>
        <w:ind w:left="0"/>
        <w:rPr>
          <w:sz w:val="26"/>
          <w:szCs w:val="26"/>
        </w:rPr>
      </w:pPr>
    </w:p>
    <w:p w:rsidR="006D4D99" w:rsidRPr="00EE5722" w:rsidRDefault="00283369" w:rsidP="00115AB3">
      <w:pPr>
        <w:pStyle w:val="Heading5"/>
        <w:numPr>
          <w:ilvl w:val="0"/>
          <w:numId w:val="0"/>
        </w:numPr>
        <w:ind w:left="3600" w:hanging="720"/>
      </w:pPr>
      <w:bookmarkStart w:id="87" w:name="_Toc346705329"/>
      <w:r w:rsidRPr="00EE5722">
        <w:t>iv</w:t>
      </w:r>
      <w:r w:rsidR="00124D32">
        <w:t>.</w:t>
      </w:r>
      <w:r w:rsidR="00124D32">
        <w:tab/>
        <w:t>Exceptions</w:t>
      </w:r>
      <w:r w:rsidR="002A0546">
        <w:t xml:space="preserve"> and Reply Exceptions</w:t>
      </w:r>
      <w:bookmarkEnd w:id="87"/>
    </w:p>
    <w:p w:rsidR="006D4D99" w:rsidRPr="00EE5722" w:rsidRDefault="006D4D99" w:rsidP="00911D84">
      <w:pPr>
        <w:pStyle w:val="BodyText"/>
        <w:keepNext/>
        <w:spacing w:after="0" w:line="360" w:lineRule="auto"/>
        <w:ind w:left="0" w:firstLine="0"/>
        <w:rPr>
          <w:sz w:val="26"/>
          <w:szCs w:val="26"/>
        </w:rPr>
      </w:pPr>
    </w:p>
    <w:p w:rsidR="006254FF" w:rsidRPr="006254FF" w:rsidRDefault="00D80398" w:rsidP="008E3323">
      <w:pPr>
        <w:pStyle w:val="BodyText2"/>
        <w:spacing w:after="0" w:line="360" w:lineRule="auto"/>
        <w:rPr>
          <w:sz w:val="26"/>
          <w:szCs w:val="26"/>
        </w:rPr>
      </w:pPr>
      <w:r>
        <w:rPr>
          <w:color w:val="FF0000"/>
          <w:sz w:val="26"/>
          <w:szCs w:val="26"/>
        </w:rPr>
        <w:tab/>
      </w:r>
      <w:r>
        <w:rPr>
          <w:color w:val="FF0000"/>
          <w:sz w:val="26"/>
          <w:szCs w:val="26"/>
        </w:rPr>
        <w:tab/>
      </w:r>
      <w:r w:rsidR="006254FF">
        <w:rPr>
          <w:sz w:val="26"/>
          <w:szCs w:val="26"/>
        </w:rPr>
        <w:t>No Party filed Exceptions to the ALJ’s recommendation to reject Dominion’s proposal to decrease the discount percentage to two percent.  The issue regarding the appropriate mechanism to estab</w:t>
      </w:r>
      <w:r w:rsidR="008E3323">
        <w:rPr>
          <w:sz w:val="26"/>
          <w:szCs w:val="26"/>
        </w:rPr>
        <w:t xml:space="preserve">lish the discount percentage, </w:t>
      </w:r>
      <w:r w:rsidR="006254FF">
        <w:rPr>
          <w:sz w:val="26"/>
          <w:szCs w:val="26"/>
        </w:rPr>
        <w:t>through an RFP or administratively</w:t>
      </w:r>
      <w:r w:rsidR="008E3323">
        <w:rPr>
          <w:sz w:val="26"/>
          <w:szCs w:val="26"/>
        </w:rPr>
        <w:t>,</w:t>
      </w:r>
      <w:r w:rsidR="006254FF">
        <w:rPr>
          <w:sz w:val="26"/>
          <w:szCs w:val="26"/>
        </w:rPr>
        <w:t xml:space="preserve"> is moot, since we have decided to reject Duquesne’s proposal to conduct an auction for the Opt-In Program.  </w:t>
      </w:r>
      <w:r w:rsidR="002A0546">
        <w:rPr>
          <w:sz w:val="26"/>
          <w:szCs w:val="26"/>
        </w:rPr>
        <w:t>RESA, as previously discussed</w:t>
      </w:r>
      <w:r w:rsidR="006254FF">
        <w:rPr>
          <w:sz w:val="26"/>
          <w:szCs w:val="26"/>
        </w:rPr>
        <w:t xml:space="preserve">, excepts to the ALJ’s recommended guaranteed five percent discount for the entire twelve months of the program.  </w:t>
      </w:r>
    </w:p>
    <w:p w:rsidR="006254FF" w:rsidRPr="00EE5722" w:rsidRDefault="006254FF" w:rsidP="008E3323">
      <w:pPr>
        <w:pStyle w:val="BriefL3"/>
        <w:numPr>
          <w:ilvl w:val="0"/>
          <w:numId w:val="0"/>
        </w:numPr>
        <w:spacing w:after="0" w:line="360" w:lineRule="auto"/>
        <w:rPr>
          <w:sz w:val="26"/>
          <w:szCs w:val="26"/>
        </w:rPr>
      </w:pPr>
    </w:p>
    <w:p w:rsidR="006254FF" w:rsidRDefault="006254FF" w:rsidP="00115AB3">
      <w:pPr>
        <w:pStyle w:val="Heading5"/>
        <w:numPr>
          <w:ilvl w:val="0"/>
          <w:numId w:val="0"/>
        </w:numPr>
        <w:ind w:left="3600" w:hanging="720"/>
      </w:pPr>
      <w:bookmarkStart w:id="88" w:name="_Toc346705330"/>
      <w:r>
        <w:t>v.</w:t>
      </w:r>
      <w:r>
        <w:tab/>
        <w:t>Disposition</w:t>
      </w:r>
      <w:bookmarkEnd w:id="88"/>
    </w:p>
    <w:p w:rsidR="006254FF" w:rsidRDefault="006254FF" w:rsidP="006254FF">
      <w:pPr>
        <w:pStyle w:val="BriefL3"/>
        <w:numPr>
          <w:ilvl w:val="0"/>
          <w:numId w:val="0"/>
        </w:numPr>
        <w:spacing w:after="0" w:line="360" w:lineRule="auto"/>
        <w:ind w:left="720" w:firstLine="720"/>
        <w:outlineLvl w:val="9"/>
        <w:rPr>
          <w:b/>
          <w:sz w:val="26"/>
          <w:szCs w:val="26"/>
        </w:rPr>
      </w:pPr>
    </w:p>
    <w:p w:rsidR="00C41A33" w:rsidRPr="00EE5722" w:rsidRDefault="006254FF" w:rsidP="008E3323">
      <w:pPr>
        <w:pStyle w:val="BriefL3"/>
        <w:numPr>
          <w:ilvl w:val="0"/>
          <w:numId w:val="0"/>
        </w:numPr>
        <w:spacing w:after="0" w:line="360" w:lineRule="auto"/>
        <w:ind w:firstLine="1440"/>
        <w:rPr>
          <w:sz w:val="26"/>
          <w:szCs w:val="26"/>
        </w:rPr>
      </w:pPr>
      <w:r>
        <w:rPr>
          <w:sz w:val="26"/>
          <w:szCs w:val="26"/>
        </w:rPr>
        <w:t>C</w:t>
      </w:r>
      <w:r w:rsidR="002A0546">
        <w:rPr>
          <w:sz w:val="26"/>
          <w:szCs w:val="26"/>
        </w:rPr>
        <w:t xml:space="preserve">onsistent with our </w:t>
      </w:r>
      <w:r>
        <w:rPr>
          <w:sz w:val="26"/>
          <w:szCs w:val="26"/>
        </w:rPr>
        <w:t>determination</w:t>
      </w:r>
      <w:r w:rsidR="002A0546">
        <w:rPr>
          <w:sz w:val="26"/>
          <w:szCs w:val="26"/>
        </w:rPr>
        <w:t xml:space="preserve"> regarding the term of the offer</w:t>
      </w:r>
      <w:r>
        <w:rPr>
          <w:sz w:val="26"/>
          <w:szCs w:val="26"/>
        </w:rPr>
        <w:t xml:space="preserve">, </w:t>
      </w:r>
      <w:r w:rsidR="002A0546" w:rsidRPr="002A0546">
        <w:rPr>
          <w:i/>
          <w:sz w:val="26"/>
          <w:szCs w:val="26"/>
        </w:rPr>
        <w:t>supra.</w:t>
      </w:r>
      <w:r w:rsidR="002A0546">
        <w:rPr>
          <w:sz w:val="26"/>
          <w:szCs w:val="26"/>
        </w:rPr>
        <w:t xml:space="preserve">, </w:t>
      </w:r>
      <w:r>
        <w:rPr>
          <w:sz w:val="26"/>
          <w:szCs w:val="26"/>
        </w:rPr>
        <w:t>we shall reject the ALJ’s recommendation to adopt Duquesne’s guaranteed five percent discount over the entire twelve-months</w:t>
      </w:r>
      <w:r w:rsidR="002A0546">
        <w:rPr>
          <w:sz w:val="26"/>
          <w:szCs w:val="26"/>
        </w:rPr>
        <w:t xml:space="preserve"> of the Opt-In Program</w:t>
      </w:r>
      <w:r w:rsidR="002A0546" w:rsidRPr="002A0546">
        <w:rPr>
          <w:sz w:val="26"/>
          <w:szCs w:val="26"/>
        </w:rPr>
        <w:t xml:space="preserve"> </w:t>
      </w:r>
      <w:r w:rsidR="002A0546">
        <w:rPr>
          <w:sz w:val="26"/>
          <w:szCs w:val="26"/>
        </w:rPr>
        <w:t>and shall grant the Exceptions of RESA on this issue</w:t>
      </w:r>
      <w:r>
        <w:rPr>
          <w:sz w:val="26"/>
          <w:szCs w:val="26"/>
        </w:rPr>
        <w:t xml:space="preserve">.  </w:t>
      </w:r>
      <w:r w:rsidR="00C41A33" w:rsidRPr="00EE5722">
        <w:rPr>
          <w:sz w:val="26"/>
          <w:szCs w:val="26"/>
        </w:rPr>
        <w:tab/>
      </w:r>
    </w:p>
    <w:p w:rsidR="00C41A33" w:rsidRPr="00EE5722" w:rsidRDefault="00C41A33" w:rsidP="008E3323">
      <w:pPr>
        <w:pStyle w:val="BodyText"/>
        <w:spacing w:after="0" w:line="360" w:lineRule="auto"/>
        <w:ind w:left="0" w:firstLine="0"/>
        <w:rPr>
          <w:sz w:val="26"/>
          <w:szCs w:val="26"/>
        </w:rPr>
      </w:pPr>
    </w:p>
    <w:p w:rsidR="000B0DA3" w:rsidRPr="00EE5722" w:rsidRDefault="000B0DA3" w:rsidP="00115AB3">
      <w:pPr>
        <w:pStyle w:val="Heading4"/>
        <w:numPr>
          <w:ilvl w:val="0"/>
          <w:numId w:val="0"/>
        </w:numPr>
        <w:ind w:left="2880" w:hanging="720"/>
      </w:pPr>
      <w:bookmarkStart w:id="89" w:name="_Toc346705331"/>
      <w:r w:rsidRPr="00EE5722">
        <w:t>d.</w:t>
      </w:r>
      <w:r w:rsidRPr="00EE5722">
        <w:tab/>
        <w:t>$50 Bonus Payment</w:t>
      </w:r>
      <w:bookmarkEnd w:id="89"/>
    </w:p>
    <w:p w:rsidR="007D6B57" w:rsidRDefault="007D6B57" w:rsidP="008E3323">
      <w:pPr>
        <w:pStyle w:val="BriefL3"/>
        <w:numPr>
          <w:ilvl w:val="0"/>
          <w:numId w:val="0"/>
        </w:numPr>
        <w:spacing w:after="0" w:line="360" w:lineRule="auto"/>
        <w:ind w:left="1440" w:firstLine="720"/>
        <w:rPr>
          <w:b/>
          <w:sz w:val="26"/>
          <w:szCs w:val="26"/>
        </w:rPr>
      </w:pPr>
    </w:p>
    <w:p w:rsidR="000B0DA3" w:rsidRPr="00EE5722" w:rsidRDefault="004F65FA" w:rsidP="00115AB3">
      <w:pPr>
        <w:pStyle w:val="Heading5"/>
        <w:numPr>
          <w:ilvl w:val="0"/>
          <w:numId w:val="0"/>
        </w:numPr>
        <w:ind w:left="3600" w:hanging="720"/>
      </w:pPr>
      <w:bookmarkStart w:id="90" w:name="_Toc346705332"/>
      <w:r w:rsidRPr="00EE5722">
        <w:t>i</w:t>
      </w:r>
      <w:r w:rsidR="004C5B7E">
        <w:t>.</w:t>
      </w:r>
      <w:r w:rsidR="004C5B7E">
        <w:tab/>
        <w:t>Duquesne</w:t>
      </w:r>
      <w:r w:rsidR="000B0DA3" w:rsidRPr="00EE5722">
        <w:t>’s Propos</w:t>
      </w:r>
      <w:r w:rsidR="00105981" w:rsidRPr="00EE5722">
        <w:t>al</w:t>
      </w:r>
      <w:bookmarkEnd w:id="90"/>
    </w:p>
    <w:p w:rsidR="000B0DA3" w:rsidRPr="00EE5722" w:rsidRDefault="000B0DA3" w:rsidP="008E3323">
      <w:pPr>
        <w:pStyle w:val="BodyText"/>
        <w:spacing w:after="0" w:line="360" w:lineRule="auto"/>
        <w:ind w:left="0" w:firstLine="0"/>
        <w:rPr>
          <w:sz w:val="26"/>
          <w:szCs w:val="26"/>
        </w:rPr>
      </w:pPr>
    </w:p>
    <w:p w:rsidR="00C60BF3" w:rsidRDefault="00AA4AF1" w:rsidP="008E3323">
      <w:pPr>
        <w:pStyle w:val="BodyText2"/>
        <w:spacing w:after="0" w:line="360" w:lineRule="auto"/>
        <w:rPr>
          <w:sz w:val="26"/>
          <w:szCs w:val="26"/>
        </w:rPr>
      </w:pPr>
      <w:r w:rsidRPr="00EE5722">
        <w:rPr>
          <w:sz w:val="26"/>
          <w:szCs w:val="26"/>
        </w:rPr>
        <w:tab/>
      </w:r>
      <w:r w:rsidRPr="00EE5722">
        <w:rPr>
          <w:sz w:val="26"/>
          <w:szCs w:val="26"/>
        </w:rPr>
        <w:tab/>
      </w:r>
      <w:r w:rsidR="0017234C" w:rsidRPr="00EE5722">
        <w:rPr>
          <w:sz w:val="26"/>
          <w:szCs w:val="26"/>
        </w:rPr>
        <w:t xml:space="preserve">In the </w:t>
      </w:r>
      <w:r w:rsidR="0017234C" w:rsidRPr="00EE5722">
        <w:rPr>
          <w:i/>
          <w:sz w:val="26"/>
          <w:szCs w:val="26"/>
        </w:rPr>
        <w:t xml:space="preserve">IWP </w:t>
      </w:r>
      <w:r w:rsidR="003C5728">
        <w:rPr>
          <w:i/>
          <w:sz w:val="26"/>
          <w:szCs w:val="26"/>
        </w:rPr>
        <w:t xml:space="preserve">Final </w:t>
      </w:r>
      <w:r w:rsidR="0017234C" w:rsidRPr="00EE5722">
        <w:rPr>
          <w:i/>
          <w:sz w:val="26"/>
          <w:szCs w:val="26"/>
        </w:rPr>
        <w:t>Order</w:t>
      </w:r>
      <w:r w:rsidR="0017234C" w:rsidRPr="00EE5722">
        <w:rPr>
          <w:sz w:val="26"/>
          <w:szCs w:val="26"/>
        </w:rPr>
        <w:t>, t</w:t>
      </w:r>
      <w:r w:rsidRPr="00EE5722">
        <w:rPr>
          <w:sz w:val="26"/>
          <w:szCs w:val="26"/>
        </w:rPr>
        <w:t xml:space="preserve">he Commission recommended </w:t>
      </w:r>
      <w:r w:rsidR="0017234C" w:rsidRPr="00EE5722">
        <w:rPr>
          <w:sz w:val="26"/>
          <w:szCs w:val="26"/>
        </w:rPr>
        <w:t>providing a $50 bonus payment to</w:t>
      </w:r>
      <w:r w:rsidRPr="00EE5722">
        <w:rPr>
          <w:sz w:val="26"/>
          <w:szCs w:val="26"/>
        </w:rPr>
        <w:t xml:space="preserve"> re</w:t>
      </w:r>
      <w:r w:rsidR="0090113D">
        <w:rPr>
          <w:sz w:val="26"/>
          <w:szCs w:val="26"/>
        </w:rPr>
        <w:t xml:space="preserve">sidential customers electing to participate in an </w:t>
      </w:r>
      <w:r w:rsidR="008E3323">
        <w:rPr>
          <w:sz w:val="26"/>
          <w:szCs w:val="26"/>
        </w:rPr>
        <w:t>O</w:t>
      </w:r>
      <w:r w:rsidRPr="00EE5722">
        <w:rPr>
          <w:sz w:val="26"/>
          <w:szCs w:val="26"/>
        </w:rPr>
        <w:t>pt</w:t>
      </w:r>
      <w:r w:rsidR="00CA3537" w:rsidRPr="00EE5722">
        <w:rPr>
          <w:sz w:val="26"/>
          <w:szCs w:val="26"/>
        </w:rPr>
        <w:t>-</w:t>
      </w:r>
      <w:r w:rsidR="008E3323">
        <w:rPr>
          <w:sz w:val="26"/>
          <w:szCs w:val="26"/>
        </w:rPr>
        <w:t>I</w:t>
      </w:r>
      <w:r w:rsidR="0090113D">
        <w:rPr>
          <w:sz w:val="26"/>
          <w:szCs w:val="26"/>
        </w:rPr>
        <w:t xml:space="preserve">n </w:t>
      </w:r>
      <w:r w:rsidR="008E3323">
        <w:rPr>
          <w:sz w:val="26"/>
          <w:szCs w:val="26"/>
        </w:rPr>
        <w:t>P</w:t>
      </w:r>
      <w:r w:rsidRPr="00EE5722">
        <w:rPr>
          <w:sz w:val="26"/>
          <w:szCs w:val="26"/>
        </w:rPr>
        <w:t xml:space="preserve">rogram.  </w:t>
      </w:r>
      <w:r w:rsidR="0090113D">
        <w:rPr>
          <w:i/>
          <w:sz w:val="26"/>
          <w:szCs w:val="26"/>
        </w:rPr>
        <w:t xml:space="preserve">IWP Final </w:t>
      </w:r>
      <w:r w:rsidRPr="00EE5722">
        <w:rPr>
          <w:i/>
          <w:sz w:val="26"/>
          <w:szCs w:val="26"/>
        </w:rPr>
        <w:t>Order</w:t>
      </w:r>
      <w:r w:rsidR="0090113D">
        <w:rPr>
          <w:sz w:val="26"/>
          <w:szCs w:val="26"/>
        </w:rPr>
        <w:t xml:space="preserve"> at </w:t>
      </w:r>
      <w:r w:rsidRPr="00EE5722">
        <w:rPr>
          <w:sz w:val="26"/>
          <w:szCs w:val="26"/>
        </w:rPr>
        <w:t xml:space="preserve">70.  </w:t>
      </w:r>
      <w:r w:rsidR="00874CB6" w:rsidRPr="00EE5722">
        <w:rPr>
          <w:sz w:val="26"/>
          <w:szCs w:val="26"/>
        </w:rPr>
        <w:t xml:space="preserve">As an alternative, </w:t>
      </w:r>
      <w:r w:rsidR="003A7CAD">
        <w:rPr>
          <w:sz w:val="26"/>
          <w:szCs w:val="26"/>
        </w:rPr>
        <w:t xml:space="preserve">Duquesne </w:t>
      </w:r>
      <w:r w:rsidRPr="00EE5722">
        <w:rPr>
          <w:sz w:val="26"/>
          <w:szCs w:val="26"/>
        </w:rPr>
        <w:t xml:space="preserve">proposed </w:t>
      </w:r>
      <w:r w:rsidR="0017234C" w:rsidRPr="00EE5722">
        <w:rPr>
          <w:sz w:val="26"/>
          <w:szCs w:val="26"/>
        </w:rPr>
        <w:t>that</w:t>
      </w:r>
      <w:r w:rsidRPr="00EE5722">
        <w:rPr>
          <w:sz w:val="26"/>
          <w:szCs w:val="26"/>
        </w:rPr>
        <w:t xml:space="preserve"> </w:t>
      </w:r>
      <w:r w:rsidR="0090113D">
        <w:rPr>
          <w:sz w:val="26"/>
          <w:szCs w:val="26"/>
        </w:rPr>
        <w:t>the bonus be paid</w:t>
      </w:r>
      <w:r w:rsidRPr="00EE5722">
        <w:rPr>
          <w:sz w:val="26"/>
          <w:szCs w:val="26"/>
        </w:rPr>
        <w:t xml:space="preserve"> </w:t>
      </w:r>
      <w:r w:rsidRPr="0090113D">
        <w:rPr>
          <w:sz w:val="26"/>
          <w:szCs w:val="26"/>
        </w:rPr>
        <w:t>after</w:t>
      </w:r>
      <w:r w:rsidRPr="00EE5722">
        <w:rPr>
          <w:sz w:val="26"/>
          <w:szCs w:val="26"/>
        </w:rPr>
        <w:t xml:space="preserve"> the customer remained with the Opt</w:t>
      </w:r>
      <w:r w:rsidR="00874CB6" w:rsidRPr="00EE5722">
        <w:rPr>
          <w:sz w:val="26"/>
          <w:szCs w:val="26"/>
        </w:rPr>
        <w:t>-</w:t>
      </w:r>
      <w:r w:rsidR="0090113D">
        <w:rPr>
          <w:sz w:val="26"/>
          <w:szCs w:val="26"/>
        </w:rPr>
        <w:t>In Program</w:t>
      </w:r>
      <w:r w:rsidRPr="00EE5722">
        <w:rPr>
          <w:sz w:val="26"/>
          <w:szCs w:val="26"/>
        </w:rPr>
        <w:t xml:space="preserve"> for </w:t>
      </w:r>
      <w:r w:rsidR="001D47AE" w:rsidRPr="00EE5722">
        <w:rPr>
          <w:sz w:val="26"/>
          <w:szCs w:val="26"/>
        </w:rPr>
        <w:t>three</w:t>
      </w:r>
      <w:r w:rsidRPr="00EE5722">
        <w:rPr>
          <w:sz w:val="26"/>
          <w:szCs w:val="26"/>
        </w:rPr>
        <w:t xml:space="preserve"> months.  Duquesne </w:t>
      </w:r>
      <w:r w:rsidR="00874CB6" w:rsidRPr="00EE5722">
        <w:rPr>
          <w:sz w:val="26"/>
          <w:szCs w:val="26"/>
        </w:rPr>
        <w:t>St</w:t>
      </w:r>
      <w:r w:rsidR="00911D84">
        <w:rPr>
          <w:sz w:val="26"/>
          <w:szCs w:val="26"/>
        </w:rPr>
        <w:t>. 3 at</w:t>
      </w:r>
      <w:r w:rsidR="00911D84">
        <w:rPr>
          <w:sz w:val="26"/>
          <w:szCs w:val="26"/>
          <w:lang w:val="en-US"/>
        </w:rPr>
        <w:t> </w:t>
      </w:r>
      <w:r w:rsidR="00874CB6" w:rsidRPr="00EE5722">
        <w:rPr>
          <w:sz w:val="26"/>
          <w:szCs w:val="26"/>
        </w:rPr>
        <w:t xml:space="preserve">23.  </w:t>
      </w:r>
    </w:p>
    <w:p w:rsidR="00874CB6" w:rsidRPr="003E0EAE" w:rsidRDefault="003A7CAD" w:rsidP="00C60BF3">
      <w:pPr>
        <w:pStyle w:val="BodyText2"/>
        <w:spacing w:after="0" w:line="360" w:lineRule="auto"/>
        <w:ind w:firstLine="1440"/>
        <w:rPr>
          <w:sz w:val="26"/>
          <w:szCs w:val="26"/>
        </w:rPr>
      </w:pPr>
      <w:r>
        <w:rPr>
          <w:sz w:val="26"/>
          <w:szCs w:val="26"/>
        </w:rPr>
        <w:lastRenderedPageBreak/>
        <w:t xml:space="preserve">Duquesne </w:t>
      </w:r>
      <w:r w:rsidR="00874CB6" w:rsidRPr="00EE5722">
        <w:rPr>
          <w:sz w:val="26"/>
          <w:szCs w:val="26"/>
        </w:rPr>
        <w:t>expressed concern</w:t>
      </w:r>
      <w:r w:rsidR="00C60BF3">
        <w:rPr>
          <w:sz w:val="26"/>
          <w:szCs w:val="26"/>
        </w:rPr>
        <w:t xml:space="preserve"> about the </w:t>
      </w:r>
      <w:r w:rsidR="00AA4AF1" w:rsidRPr="00EE5722">
        <w:rPr>
          <w:sz w:val="26"/>
          <w:szCs w:val="26"/>
        </w:rPr>
        <w:t xml:space="preserve">$50 bonus payment in conjunction with RESA’s proposal for an initial </w:t>
      </w:r>
      <w:r w:rsidR="008E3323">
        <w:rPr>
          <w:sz w:val="26"/>
          <w:szCs w:val="26"/>
        </w:rPr>
        <w:t>four</w:t>
      </w:r>
      <w:r w:rsidR="00AA4AF1" w:rsidRPr="00EE5722">
        <w:rPr>
          <w:sz w:val="26"/>
          <w:szCs w:val="26"/>
        </w:rPr>
        <w:t xml:space="preserve">-month </w:t>
      </w:r>
      <w:r w:rsidR="0090113D">
        <w:rPr>
          <w:sz w:val="26"/>
          <w:szCs w:val="26"/>
        </w:rPr>
        <w:t xml:space="preserve">fixed </w:t>
      </w:r>
      <w:r w:rsidR="00C60BF3">
        <w:rPr>
          <w:sz w:val="26"/>
          <w:szCs w:val="26"/>
        </w:rPr>
        <w:t xml:space="preserve">price, and </w:t>
      </w:r>
      <w:r w:rsidR="00AA4AF1" w:rsidRPr="00EE5722">
        <w:rPr>
          <w:sz w:val="26"/>
          <w:szCs w:val="26"/>
        </w:rPr>
        <w:t>RESA</w:t>
      </w:r>
      <w:r w:rsidR="00C60BF3">
        <w:rPr>
          <w:sz w:val="26"/>
          <w:szCs w:val="26"/>
        </w:rPr>
        <w:t>’s proposal</w:t>
      </w:r>
      <w:r w:rsidR="00AA4AF1" w:rsidRPr="00EE5722">
        <w:rPr>
          <w:sz w:val="26"/>
          <w:szCs w:val="26"/>
        </w:rPr>
        <w:t xml:space="preserve"> that the customer must stay </w:t>
      </w:r>
      <w:r w:rsidR="00C60BF3">
        <w:rPr>
          <w:sz w:val="26"/>
          <w:szCs w:val="26"/>
        </w:rPr>
        <w:t xml:space="preserve">in the Opt-In Program </w:t>
      </w:r>
      <w:r w:rsidR="00AA4AF1" w:rsidRPr="00EE5722">
        <w:rPr>
          <w:sz w:val="26"/>
          <w:szCs w:val="26"/>
        </w:rPr>
        <w:t xml:space="preserve">for </w:t>
      </w:r>
      <w:r w:rsidR="00451823" w:rsidRPr="00EE5722">
        <w:rPr>
          <w:sz w:val="26"/>
          <w:szCs w:val="26"/>
        </w:rPr>
        <w:t>four</w:t>
      </w:r>
      <w:r w:rsidR="00AA4AF1" w:rsidRPr="00EE5722">
        <w:rPr>
          <w:sz w:val="26"/>
          <w:szCs w:val="26"/>
        </w:rPr>
        <w:t xml:space="preserve"> months to receive the bonus.  </w:t>
      </w:r>
      <w:r>
        <w:rPr>
          <w:sz w:val="26"/>
          <w:szCs w:val="26"/>
        </w:rPr>
        <w:t xml:space="preserve">Duquesne </w:t>
      </w:r>
      <w:r w:rsidR="0090113D">
        <w:rPr>
          <w:sz w:val="26"/>
          <w:szCs w:val="26"/>
        </w:rPr>
        <w:t>contended</w:t>
      </w:r>
      <w:r w:rsidR="00874CB6" w:rsidRPr="00EE5722">
        <w:rPr>
          <w:sz w:val="26"/>
          <w:szCs w:val="26"/>
        </w:rPr>
        <w:t xml:space="preserve"> that, if</w:t>
      </w:r>
      <w:r w:rsidR="00AA4AF1" w:rsidRPr="00EE5722">
        <w:rPr>
          <w:sz w:val="26"/>
          <w:szCs w:val="26"/>
        </w:rPr>
        <w:t xml:space="preserve"> </w:t>
      </w:r>
      <w:r w:rsidR="00874CB6" w:rsidRPr="00EE5722">
        <w:rPr>
          <w:sz w:val="26"/>
          <w:szCs w:val="26"/>
        </w:rPr>
        <w:t xml:space="preserve">the Commission adopts </w:t>
      </w:r>
      <w:r w:rsidR="00C60BF3">
        <w:rPr>
          <w:sz w:val="26"/>
          <w:szCs w:val="26"/>
        </w:rPr>
        <w:t>RESA’s proposal</w:t>
      </w:r>
      <w:r w:rsidR="00AA4AF1" w:rsidRPr="00EE5722">
        <w:rPr>
          <w:sz w:val="26"/>
          <w:szCs w:val="26"/>
        </w:rPr>
        <w:t xml:space="preserve">, it must be made clear that the customer will receive the bonus </w:t>
      </w:r>
      <w:r w:rsidR="0090113D">
        <w:rPr>
          <w:sz w:val="26"/>
          <w:szCs w:val="26"/>
        </w:rPr>
        <w:t xml:space="preserve">even if the customer opts </w:t>
      </w:r>
      <w:r w:rsidR="00C60BF3">
        <w:rPr>
          <w:sz w:val="26"/>
          <w:szCs w:val="26"/>
        </w:rPr>
        <w:t xml:space="preserve">out after four months.  Duquesne was </w:t>
      </w:r>
      <w:r w:rsidR="00AA4AF1" w:rsidRPr="00EE5722">
        <w:rPr>
          <w:sz w:val="26"/>
          <w:szCs w:val="26"/>
        </w:rPr>
        <w:t>concerned the combination of a $50</w:t>
      </w:r>
      <w:r w:rsidR="008E3323">
        <w:rPr>
          <w:sz w:val="26"/>
          <w:szCs w:val="26"/>
        </w:rPr>
        <w:t xml:space="preserve"> bonus payment with an initial four</w:t>
      </w:r>
      <w:r w:rsidR="00AA4AF1" w:rsidRPr="00EE5722">
        <w:rPr>
          <w:sz w:val="26"/>
          <w:szCs w:val="26"/>
        </w:rPr>
        <w:t>-month</w:t>
      </w:r>
      <w:r w:rsidR="00C60BF3">
        <w:rPr>
          <w:sz w:val="26"/>
          <w:szCs w:val="26"/>
        </w:rPr>
        <w:t xml:space="preserve"> fixed price </w:t>
      </w:r>
      <w:r w:rsidR="00AA4AF1" w:rsidRPr="00EE5722">
        <w:rPr>
          <w:sz w:val="26"/>
          <w:szCs w:val="26"/>
        </w:rPr>
        <w:t xml:space="preserve">could create customer confusion that the $50 rebate is somehow tied to </w:t>
      </w:r>
      <w:r w:rsidR="008E3323">
        <w:rPr>
          <w:sz w:val="26"/>
          <w:szCs w:val="26"/>
        </w:rPr>
        <w:t>accepting the new eight</w:t>
      </w:r>
      <w:r w:rsidR="00C60BF3">
        <w:rPr>
          <w:sz w:val="26"/>
          <w:szCs w:val="26"/>
        </w:rPr>
        <w:t xml:space="preserve">-month </w:t>
      </w:r>
      <w:r w:rsidR="00AA4AF1" w:rsidRPr="00EE5722">
        <w:rPr>
          <w:sz w:val="26"/>
          <w:szCs w:val="26"/>
        </w:rPr>
        <w:t xml:space="preserve">rate.  Accordingly, </w:t>
      </w:r>
      <w:r w:rsidR="00C60BF3">
        <w:rPr>
          <w:sz w:val="26"/>
          <w:szCs w:val="26"/>
        </w:rPr>
        <w:t>if RESA’s proposal is</w:t>
      </w:r>
      <w:r w:rsidR="00AA4AF1" w:rsidRPr="00EE5722">
        <w:rPr>
          <w:sz w:val="26"/>
          <w:szCs w:val="26"/>
        </w:rPr>
        <w:t xml:space="preserve"> adopted, </w:t>
      </w:r>
      <w:r w:rsidR="00C60BF3">
        <w:rPr>
          <w:sz w:val="26"/>
          <w:szCs w:val="26"/>
        </w:rPr>
        <w:t xml:space="preserve">Duquesne </w:t>
      </w:r>
      <w:r w:rsidR="0096680A">
        <w:rPr>
          <w:sz w:val="26"/>
          <w:szCs w:val="26"/>
        </w:rPr>
        <w:t>argued</w:t>
      </w:r>
      <w:r w:rsidR="00C60BF3">
        <w:rPr>
          <w:sz w:val="26"/>
          <w:szCs w:val="26"/>
        </w:rPr>
        <w:t xml:space="preserve"> that </w:t>
      </w:r>
      <w:r w:rsidR="00AA4AF1" w:rsidRPr="00EE5722">
        <w:rPr>
          <w:sz w:val="26"/>
          <w:szCs w:val="26"/>
        </w:rPr>
        <w:t xml:space="preserve">assurances should be provided to customers that they will receive the $50 payment as long as the customer remains with the EGS for </w:t>
      </w:r>
      <w:r w:rsidR="002A54D9" w:rsidRPr="00EE5722">
        <w:rPr>
          <w:sz w:val="26"/>
          <w:szCs w:val="26"/>
        </w:rPr>
        <w:t>four</w:t>
      </w:r>
      <w:r w:rsidR="00AA4AF1" w:rsidRPr="00EE5722">
        <w:rPr>
          <w:sz w:val="26"/>
          <w:szCs w:val="26"/>
        </w:rPr>
        <w:t xml:space="preserve"> months </w:t>
      </w:r>
      <w:r w:rsidR="00AA4AF1" w:rsidRPr="00C60BF3">
        <w:rPr>
          <w:sz w:val="26"/>
          <w:szCs w:val="26"/>
        </w:rPr>
        <w:t>regardless</w:t>
      </w:r>
      <w:r w:rsidR="00AA4AF1" w:rsidRPr="00EE5722">
        <w:rPr>
          <w:sz w:val="26"/>
          <w:szCs w:val="26"/>
        </w:rPr>
        <w:t xml:space="preserve"> of whether they elect the </w:t>
      </w:r>
      <w:r w:rsidR="008E3323">
        <w:rPr>
          <w:sz w:val="26"/>
          <w:szCs w:val="26"/>
        </w:rPr>
        <w:t>eight</w:t>
      </w:r>
      <w:r w:rsidR="003E0EAE">
        <w:rPr>
          <w:sz w:val="26"/>
          <w:szCs w:val="26"/>
        </w:rPr>
        <w:t>-month price.</w:t>
      </w:r>
    </w:p>
    <w:p w:rsidR="00AA4AF1" w:rsidRPr="00EE5722" w:rsidRDefault="00AA4AF1" w:rsidP="00C60BF3">
      <w:pPr>
        <w:pStyle w:val="BodyText2"/>
        <w:spacing w:after="0" w:line="360" w:lineRule="auto"/>
        <w:rPr>
          <w:sz w:val="26"/>
          <w:szCs w:val="26"/>
        </w:rPr>
      </w:pPr>
    </w:p>
    <w:p w:rsidR="00847E37" w:rsidRPr="00EE5722" w:rsidRDefault="004F65FA" w:rsidP="00115AB3">
      <w:pPr>
        <w:pStyle w:val="Heading5"/>
        <w:numPr>
          <w:ilvl w:val="0"/>
          <w:numId w:val="0"/>
        </w:numPr>
        <w:ind w:left="3600" w:hanging="720"/>
      </w:pPr>
      <w:bookmarkStart w:id="91" w:name="_Toc346705333"/>
      <w:r w:rsidRPr="00EE5722">
        <w:t>ii</w:t>
      </w:r>
      <w:r w:rsidR="00D63401">
        <w:t>.</w:t>
      </w:r>
      <w:r w:rsidR="00D63401">
        <w:tab/>
      </w:r>
      <w:r w:rsidR="00847E37" w:rsidRPr="00EE5722">
        <w:t>Position</w:t>
      </w:r>
      <w:r w:rsidR="00D63401">
        <w:t>s of the Parties</w:t>
      </w:r>
      <w:bookmarkEnd w:id="91"/>
    </w:p>
    <w:p w:rsidR="00847E37" w:rsidRPr="00EE5722" w:rsidRDefault="00847E37" w:rsidP="004F65FA">
      <w:pPr>
        <w:pStyle w:val="BodyText"/>
        <w:spacing w:after="0" w:line="360" w:lineRule="auto"/>
        <w:ind w:left="0" w:firstLine="0"/>
        <w:rPr>
          <w:sz w:val="26"/>
          <w:szCs w:val="26"/>
        </w:rPr>
      </w:pPr>
    </w:p>
    <w:p w:rsidR="00847E37" w:rsidRDefault="00D63401" w:rsidP="00D63401">
      <w:pPr>
        <w:pStyle w:val="BodyText2"/>
        <w:spacing w:after="0" w:line="360" w:lineRule="auto"/>
        <w:ind w:firstLine="1440"/>
        <w:rPr>
          <w:sz w:val="26"/>
          <w:szCs w:val="26"/>
        </w:rPr>
      </w:pPr>
      <w:r>
        <w:rPr>
          <w:sz w:val="26"/>
          <w:szCs w:val="26"/>
        </w:rPr>
        <w:t>The OCA did</w:t>
      </w:r>
      <w:r w:rsidR="0017234C" w:rsidRPr="00EE5722">
        <w:rPr>
          <w:sz w:val="26"/>
          <w:szCs w:val="26"/>
        </w:rPr>
        <w:t xml:space="preserve"> not support the elimination of the $50 bonus payment f</w:t>
      </w:r>
      <w:r>
        <w:rPr>
          <w:sz w:val="26"/>
          <w:szCs w:val="26"/>
        </w:rPr>
        <w:t>or the same reasons it did</w:t>
      </w:r>
      <w:r w:rsidR="00847E37" w:rsidRPr="00EE5722">
        <w:rPr>
          <w:sz w:val="26"/>
          <w:szCs w:val="26"/>
        </w:rPr>
        <w:t xml:space="preserve"> not support a reduction in the discount percentage.  OCA St. 2-R at 8</w:t>
      </w:r>
      <w:r w:rsidR="0096680A">
        <w:rPr>
          <w:sz w:val="26"/>
          <w:szCs w:val="26"/>
        </w:rPr>
        <w:noBreakHyphen/>
      </w:r>
      <w:r w:rsidR="0017234C" w:rsidRPr="00EE5722">
        <w:rPr>
          <w:sz w:val="26"/>
          <w:szCs w:val="26"/>
        </w:rPr>
        <w:t xml:space="preserve">9.  </w:t>
      </w:r>
      <w:r w:rsidR="004F65FA" w:rsidRPr="00EE5722">
        <w:rPr>
          <w:sz w:val="26"/>
          <w:szCs w:val="26"/>
        </w:rPr>
        <w:t>Previously, t</w:t>
      </w:r>
      <w:r w:rsidR="00847E37" w:rsidRPr="00EE5722">
        <w:rPr>
          <w:sz w:val="26"/>
          <w:szCs w:val="26"/>
        </w:rPr>
        <w:t>he Commission considered the comments of various stakeholders on this issue and spe</w:t>
      </w:r>
      <w:r w:rsidR="00C60BF3">
        <w:rPr>
          <w:sz w:val="26"/>
          <w:szCs w:val="26"/>
        </w:rPr>
        <w:t>cifically found that a</w:t>
      </w:r>
      <w:r w:rsidR="00847E37" w:rsidRPr="00EE5722">
        <w:rPr>
          <w:sz w:val="26"/>
          <w:szCs w:val="26"/>
        </w:rPr>
        <w:t xml:space="preserve"> $50 bonus woul</w:t>
      </w:r>
      <w:r w:rsidR="00C60BF3">
        <w:rPr>
          <w:sz w:val="26"/>
          <w:szCs w:val="26"/>
        </w:rPr>
        <w:t>d be needed to differentiate an opt-in</w:t>
      </w:r>
      <w:r w:rsidR="00847E37" w:rsidRPr="00EE5722">
        <w:rPr>
          <w:sz w:val="26"/>
          <w:szCs w:val="26"/>
        </w:rPr>
        <w:t xml:space="preserve"> program from other supplier </w:t>
      </w:r>
      <w:r w:rsidR="003E0EAE">
        <w:rPr>
          <w:sz w:val="26"/>
          <w:szCs w:val="26"/>
        </w:rPr>
        <w:t>offers.</w:t>
      </w:r>
      <w:r>
        <w:rPr>
          <w:sz w:val="26"/>
          <w:szCs w:val="26"/>
        </w:rPr>
        <w:t xml:space="preserve">  </w:t>
      </w:r>
      <w:r w:rsidR="00847E37" w:rsidRPr="00EE5722">
        <w:rPr>
          <w:sz w:val="26"/>
          <w:szCs w:val="26"/>
        </w:rPr>
        <w:t>Accordingly,</w:t>
      </w:r>
      <w:r>
        <w:rPr>
          <w:sz w:val="26"/>
          <w:szCs w:val="26"/>
        </w:rPr>
        <w:t xml:space="preserve"> the  OCA suppor</w:t>
      </w:r>
      <w:r w:rsidR="00C60BF3">
        <w:rPr>
          <w:sz w:val="26"/>
          <w:szCs w:val="26"/>
        </w:rPr>
        <w:t>t</w:t>
      </w:r>
      <w:r>
        <w:rPr>
          <w:sz w:val="26"/>
          <w:szCs w:val="26"/>
        </w:rPr>
        <w:t>ed</w:t>
      </w:r>
      <w:r w:rsidR="00C60BF3">
        <w:rPr>
          <w:sz w:val="26"/>
          <w:szCs w:val="26"/>
        </w:rPr>
        <w:t xml:space="preserve"> </w:t>
      </w:r>
      <w:r w:rsidR="00847E37" w:rsidRPr="00EE5722">
        <w:rPr>
          <w:sz w:val="26"/>
          <w:szCs w:val="26"/>
        </w:rPr>
        <w:t xml:space="preserve">a </w:t>
      </w:r>
      <w:r w:rsidR="00C60BF3">
        <w:rPr>
          <w:sz w:val="26"/>
          <w:szCs w:val="26"/>
        </w:rPr>
        <w:t>$50 bonus payment as part of Duquesne’s</w:t>
      </w:r>
      <w:r w:rsidR="00847E37" w:rsidRPr="00EE5722">
        <w:rPr>
          <w:sz w:val="26"/>
          <w:szCs w:val="26"/>
        </w:rPr>
        <w:t xml:space="preserve"> Opt-In </w:t>
      </w:r>
      <w:r w:rsidR="00E61F8B" w:rsidRPr="00EE5722">
        <w:rPr>
          <w:sz w:val="26"/>
          <w:szCs w:val="26"/>
        </w:rPr>
        <w:t>P</w:t>
      </w:r>
      <w:r w:rsidR="003E0EAE">
        <w:rPr>
          <w:sz w:val="26"/>
          <w:szCs w:val="26"/>
        </w:rPr>
        <w:t>rogram.</w:t>
      </w:r>
    </w:p>
    <w:p w:rsidR="00D63401" w:rsidRPr="00D63401" w:rsidRDefault="00D63401" w:rsidP="00D63401">
      <w:pPr>
        <w:pStyle w:val="BodyText2"/>
        <w:spacing w:after="0" w:line="360" w:lineRule="auto"/>
        <w:ind w:firstLine="1440"/>
        <w:rPr>
          <w:sz w:val="26"/>
          <w:szCs w:val="26"/>
        </w:rPr>
      </w:pPr>
    </w:p>
    <w:p w:rsidR="00847E37" w:rsidRDefault="00D63401" w:rsidP="008E3323">
      <w:pPr>
        <w:pStyle w:val="BodyText"/>
        <w:spacing w:after="0" w:line="360" w:lineRule="auto"/>
        <w:ind w:left="0"/>
        <w:rPr>
          <w:sz w:val="26"/>
          <w:szCs w:val="26"/>
        </w:rPr>
      </w:pPr>
      <w:r>
        <w:rPr>
          <w:sz w:val="26"/>
          <w:szCs w:val="26"/>
        </w:rPr>
        <w:t>RESA proposed that</w:t>
      </w:r>
      <w:r w:rsidRPr="00EE5722">
        <w:rPr>
          <w:sz w:val="26"/>
          <w:szCs w:val="26"/>
        </w:rPr>
        <w:t xml:space="preserve"> the EGS pay a $50 bonus to its customer at the conclusion of the initial </w:t>
      </w:r>
      <w:r w:rsidR="008E3323">
        <w:rPr>
          <w:sz w:val="26"/>
          <w:szCs w:val="26"/>
        </w:rPr>
        <w:t>four</w:t>
      </w:r>
      <w:r w:rsidR="00C60BF3">
        <w:rPr>
          <w:sz w:val="26"/>
          <w:szCs w:val="26"/>
        </w:rPr>
        <w:t xml:space="preserve">-month period, </w:t>
      </w:r>
      <w:r w:rsidRPr="00EE5722">
        <w:rPr>
          <w:sz w:val="26"/>
          <w:szCs w:val="26"/>
        </w:rPr>
        <w:t>consistent with the Commission’s decision in the</w:t>
      </w:r>
      <w:r w:rsidR="00C60BF3">
        <w:rPr>
          <w:sz w:val="26"/>
          <w:szCs w:val="26"/>
        </w:rPr>
        <w:t xml:space="preserve"> FirstEnergy DSP proceeding. </w:t>
      </w:r>
      <w:r w:rsidRPr="00EE5722">
        <w:rPr>
          <w:sz w:val="26"/>
          <w:szCs w:val="26"/>
        </w:rPr>
        <w:t xml:space="preserve"> </w:t>
      </w:r>
      <w:r w:rsidR="00C60BF3">
        <w:rPr>
          <w:i/>
          <w:sz w:val="26"/>
          <w:szCs w:val="26"/>
        </w:rPr>
        <w:t>FirstEnergy DSP</w:t>
      </w:r>
      <w:r w:rsidRPr="00EE5722">
        <w:rPr>
          <w:i/>
          <w:sz w:val="26"/>
          <w:szCs w:val="26"/>
        </w:rPr>
        <w:t xml:space="preserve"> Order</w:t>
      </w:r>
      <w:r w:rsidR="00C60BF3" w:rsidRPr="00C60BF3">
        <w:rPr>
          <w:sz w:val="26"/>
          <w:szCs w:val="26"/>
        </w:rPr>
        <w:t xml:space="preserve"> </w:t>
      </w:r>
      <w:r w:rsidR="00C60BF3" w:rsidRPr="00B96841">
        <w:rPr>
          <w:sz w:val="26"/>
          <w:szCs w:val="26"/>
        </w:rPr>
        <w:t>at 108-109, 117-118, 121</w:t>
      </w:r>
      <w:r w:rsidR="00C60BF3">
        <w:rPr>
          <w:sz w:val="26"/>
          <w:szCs w:val="26"/>
        </w:rPr>
        <w:t>.</w:t>
      </w:r>
      <w:r w:rsidRPr="00EE5722">
        <w:rPr>
          <w:sz w:val="26"/>
          <w:szCs w:val="26"/>
        </w:rPr>
        <w:t xml:space="preserve">  RESA </w:t>
      </w:r>
      <w:r>
        <w:rPr>
          <w:sz w:val="26"/>
          <w:szCs w:val="26"/>
        </w:rPr>
        <w:t>disagreed</w:t>
      </w:r>
      <w:r w:rsidRPr="00EE5722">
        <w:rPr>
          <w:sz w:val="26"/>
          <w:szCs w:val="26"/>
        </w:rPr>
        <w:t xml:space="preserve"> with Duquesne’s contention there is a potential for customer confusion that the $50 bonus could be tied </w:t>
      </w:r>
      <w:r w:rsidR="00C60BF3">
        <w:rPr>
          <w:sz w:val="26"/>
          <w:szCs w:val="26"/>
        </w:rPr>
        <w:t xml:space="preserve">to customer acceptance of the </w:t>
      </w:r>
      <w:r w:rsidR="008E3323">
        <w:rPr>
          <w:sz w:val="26"/>
          <w:szCs w:val="26"/>
        </w:rPr>
        <w:t>eight</w:t>
      </w:r>
      <w:r w:rsidRPr="00EE5722">
        <w:rPr>
          <w:sz w:val="26"/>
          <w:szCs w:val="26"/>
        </w:rPr>
        <w:t>-mon</w:t>
      </w:r>
      <w:r w:rsidR="00C60BF3">
        <w:rPr>
          <w:sz w:val="26"/>
          <w:szCs w:val="26"/>
        </w:rPr>
        <w:t xml:space="preserve">th fixed price </w:t>
      </w:r>
      <w:r w:rsidR="00C60BF3">
        <w:rPr>
          <w:sz w:val="26"/>
          <w:szCs w:val="26"/>
        </w:rPr>
        <w:lastRenderedPageBreak/>
        <w:t>offer</w:t>
      </w:r>
      <w:r w:rsidRPr="00EE5722">
        <w:rPr>
          <w:sz w:val="26"/>
          <w:szCs w:val="26"/>
        </w:rPr>
        <w:t>.</w:t>
      </w:r>
      <w:r w:rsidRPr="00EE5722">
        <w:rPr>
          <w:rStyle w:val="FootnoteReference"/>
          <w:sz w:val="26"/>
          <w:szCs w:val="26"/>
        </w:rPr>
        <w:footnoteReference w:id="76"/>
      </w:r>
      <w:r w:rsidR="00C60BF3">
        <w:rPr>
          <w:sz w:val="26"/>
          <w:szCs w:val="26"/>
        </w:rPr>
        <w:t xml:space="preserve">  </w:t>
      </w:r>
      <w:r w:rsidR="00895706">
        <w:rPr>
          <w:sz w:val="26"/>
          <w:szCs w:val="26"/>
        </w:rPr>
        <w:t>I</w:t>
      </w:r>
      <w:r w:rsidR="00C60BF3">
        <w:rPr>
          <w:sz w:val="26"/>
          <w:szCs w:val="26"/>
        </w:rPr>
        <w:t>n the FirstEnergy DSP</w:t>
      </w:r>
      <w:r w:rsidRPr="00EE5722">
        <w:rPr>
          <w:sz w:val="26"/>
          <w:szCs w:val="26"/>
        </w:rPr>
        <w:t xml:space="preserve"> proceeding</w:t>
      </w:r>
      <w:r w:rsidR="00895706">
        <w:rPr>
          <w:sz w:val="26"/>
          <w:szCs w:val="26"/>
        </w:rPr>
        <w:t>, FirstEnergy</w:t>
      </w:r>
      <w:r w:rsidRPr="00EE5722">
        <w:rPr>
          <w:sz w:val="26"/>
          <w:szCs w:val="26"/>
        </w:rPr>
        <w:t xml:space="preserve"> made a similar argument, which the Commission rejected, that bonuses are “gimmicks” that come with a “catch” or would amount to a “bait and switch” by the EGS.  </w:t>
      </w:r>
      <w:r w:rsidR="00C60BF3">
        <w:rPr>
          <w:i/>
          <w:sz w:val="26"/>
          <w:szCs w:val="26"/>
        </w:rPr>
        <w:t>FirstEnergy DSP</w:t>
      </w:r>
      <w:r w:rsidR="00C60BF3" w:rsidRPr="00EE5722">
        <w:rPr>
          <w:i/>
          <w:sz w:val="26"/>
          <w:szCs w:val="26"/>
        </w:rPr>
        <w:t xml:space="preserve"> Order</w:t>
      </w:r>
      <w:r w:rsidR="00C60BF3" w:rsidRPr="00C60BF3">
        <w:rPr>
          <w:sz w:val="26"/>
          <w:szCs w:val="26"/>
        </w:rPr>
        <w:t xml:space="preserve"> </w:t>
      </w:r>
      <w:r w:rsidR="00C60BF3" w:rsidRPr="00B96841">
        <w:rPr>
          <w:sz w:val="26"/>
          <w:szCs w:val="26"/>
        </w:rPr>
        <w:t>at</w:t>
      </w:r>
      <w:r w:rsidR="00C60BF3" w:rsidRPr="00EE5722">
        <w:rPr>
          <w:sz w:val="26"/>
          <w:szCs w:val="26"/>
        </w:rPr>
        <w:t xml:space="preserve"> </w:t>
      </w:r>
      <w:r w:rsidR="00C60BF3">
        <w:rPr>
          <w:sz w:val="26"/>
          <w:szCs w:val="26"/>
        </w:rPr>
        <w:t xml:space="preserve">118-121.  </w:t>
      </w:r>
      <w:r w:rsidRPr="00EE5722">
        <w:rPr>
          <w:sz w:val="26"/>
          <w:szCs w:val="26"/>
        </w:rPr>
        <w:t>With proper notice to the customer as recommended by RESA, a customer should be able to distinguish be</w:t>
      </w:r>
      <w:r w:rsidR="00C60BF3">
        <w:rPr>
          <w:sz w:val="26"/>
          <w:szCs w:val="26"/>
        </w:rPr>
        <w:t>tween the bonus and the decision</w:t>
      </w:r>
      <w:r w:rsidRPr="00EE5722">
        <w:rPr>
          <w:sz w:val="26"/>
          <w:szCs w:val="26"/>
        </w:rPr>
        <w:t xml:space="preserve"> whether to remain with the EGS for an additional eight months.</w:t>
      </w:r>
    </w:p>
    <w:p w:rsidR="00D63401" w:rsidRPr="00D63401" w:rsidRDefault="00D63401" w:rsidP="00D63401">
      <w:pPr>
        <w:pStyle w:val="BodyText"/>
        <w:spacing w:after="0" w:line="360" w:lineRule="auto"/>
        <w:ind w:left="0"/>
        <w:rPr>
          <w:sz w:val="26"/>
          <w:szCs w:val="26"/>
        </w:rPr>
      </w:pPr>
    </w:p>
    <w:p w:rsidR="004E2F83" w:rsidRDefault="00C60BF3" w:rsidP="008E3323">
      <w:pPr>
        <w:autoSpaceDE/>
        <w:autoSpaceDN/>
        <w:spacing w:line="360" w:lineRule="auto"/>
        <w:ind w:firstLine="1440"/>
        <w:rPr>
          <w:sz w:val="26"/>
          <w:szCs w:val="26"/>
        </w:rPr>
      </w:pPr>
      <w:r>
        <w:rPr>
          <w:sz w:val="26"/>
          <w:szCs w:val="26"/>
        </w:rPr>
        <w:t xml:space="preserve">CAUSE argued </w:t>
      </w:r>
      <w:r w:rsidR="00D63401">
        <w:rPr>
          <w:sz w:val="26"/>
          <w:szCs w:val="26"/>
        </w:rPr>
        <w:t>that</w:t>
      </w:r>
      <w:r w:rsidR="00D63401" w:rsidRPr="00EE5722">
        <w:rPr>
          <w:sz w:val="26"/>
          <w:szCs w:val="26"/>
        </w:rPr>
        <w:t xml:space="preserve"> the best program d</w:t>
      </w:r>
      <w:r w:rsidR="00D63401">
        <w:rPr>
          <w:sz w:val="26"/>
          <w:szCs w:val="26"/>
        </w:rPr>
        <w:t>esign is the one proposed by Duquesne</w:t>
      </w:r>
      <w:r w:rsidR="00D63401" w:rsidRPr="00EE5722">
        <w:rPr>
          <w:sz w:val="26"/>
          <w:szCs w:val="26"/>
        </w:rPr>
        <w:t>, which would have participating customers receive a guaranteed 5%</w:t>
      </w:r>
      <w:r w:rsidR="008E3323">
        <w:rPr>
          <w:sz w:val="26"/>
          <w:szCs w:val="26"/>
        </w:rPr>
        <w:t xml:space="preserve"> off the known PTC for a full twelve</w:t>
      </w:r>
      <w:r w:rsidR="00D63401" w:rsidRPr="00EE5722">
        <w:rPr>
          <w:sz w:val="26"/>
          <w:szCs w:val="26"/>
        </w:rPr>
        <w:t> months with no cancellation fee and a $50 bonus after</w:t>
      </w:r>
      <w:r>
        <w:rPr>
          <w:sz w:val="26"/>
          <w:szCs w:val="26"/>
        </w:rPr>
        <w:t xml:space="preserve"> three months</w:t>
      </w:r>
      <w:r w:rsidR="00D63401" w:rsidRPr="00EE5722">
        <w:rPr>
          <w:sz w:val="26"/>
          <w:szCs w:val="26"/>
        </w:rPr>
        <w:t>.</w:t>
      </w:r>
    </w:p>
    <w:p w:rsidR="00230187" w:rsidRDefault="00230187" w:rsidP="00D63401">
      <w:pPr>
        <w:autoSpaceDE/>
        <w:autoSpaceDN/>
        <w:spacing w:line="360" w:lineRule="auto"/>
        <w:ind w:firstLine="1440"/>
        <w:rPr>
          <w:sz w:val="26"/>
          <w:szCs w:val="26"/>
        </w:rPr>
      </w:pPr>
    </w:p>
    <w:p w:rsidR="00D63401" w:rsidRDefault="00D63401" w:rsidP="00D63401">
      <w:pPr>
        <w:autoSpaceDE/>
        <w:autoSpaceDN/>
        <w:spacing w:line="360" w:lineRule="auto"/>
        <w:ind w:firstLine="1440"/>
        <w:rPr>
          <w:sz w:val="26"/>
          <w:szCs w:val="26"/>
        </w:rPr>
      </w:pPr>
      <w:r>
        <w:rPr>
          <w:sz w:val="26"/>
          <w:szCs w:val="26"/>
        </w:rPr>
        <w:t>Citizen Power supported</w:t>
      </w:r>
      <w:r w:rsidRPr="00D63401">
        <w:rPr>
          <w:sz w:val="26"/>
          <w:szCs w:val="26"/>
        </w:rPr>
        <w:t xml:space="preserve"> a $50 bonus pa</w:t>
      </w:r>
      <w:r w:rsidR="007D6B57">
        <w:rPr>
          <w:sz w:val="26"/>
          <w:szCs w:val="26"/>
        </w:rPr>
        <w:t xml:space="preserve">yment, </w:t>
      </w:r>
      <w:r w:rsidRPr="00D63401">
        <w:rPr>
          <w:sz w:val="26"/>
          <w:szCs w:val="26"/>
        </w:rPr>
        <w:t xml:space="preserve">contingent upon the existence of guaranteed savings </w:t>
      </w:r>
      <w:r w:rsidR="007D6B57">
        <w:rPr>
          <w:sz w:val="26"/>
          <w:szCs w:val="26"/>
        </w:rPr>
        <w:t>relative to the PTC</w:t>
      </w:r>
      <w:r w:rsidRPr="00D63401">
        <w:rPr>
          <w:sz w:val="26"/>
          <w:szCs w:val="26"/>
        </w:rPr>
        <w:t>.  However, in scenarios where there are no guaranteed savings, eit</w:t>
      </w:r>
      <w:r w:rsidR="007D6B57">
        <w:rPr>
          <w:sz w:val="26"/>
          <w:szCs w:val="26"/>
        </w:rPr>
        <w:t>her because the PTC</w:t>
      </w:r>
      <w:r w:rsidRPr="00D63401">
        <w:rPr>
          <w:sz w:val="26"/>
          <w:szCs w:val="26"/>
        </w:rPr>
        <w:t xml:space="preserve"> will not remain stable for the term of the Opt-In Program or because of an Opt-In Program where the rate</w:t>
      </w:r>
      <w:r w:rsidR="008E3323">
        <w:rPr>
          <w:sz w:val="26"/>
          <w:szCs w:val="26"/>
        </w:rPr>
        <w:t>s are not fixed for an entire twelve</w:t>
      </w:r>
      <w:r w:rsidRPr="00D63401">
        <w:rPr>
          <w:sz w:val="26"/>
          <w:szCs w:val="26"/>
        </w:rPr>
        <w:t>-mo</w:t>
      </w:r>
      <w:r>
        <w:rPr>
          <w:sz w:val="26"/>
          <w:szCs w:val="26"/>
        </w:rPr>
        <w:t>nth period, Citizen Power opposed</w:t>
      </w:r>
      <w:r w:rsidRPr="00D63401">
        <w:rPr>
          <w:sz w:val="26"/>
          <w:szCs w:val="26"/>
        </w:rPr>
        <w:t xml:space="preserve"> the use of a bonus payment because it may entice customers to choose a plan that</w:t>
      </w:r>
      <w:r w:rsidR="00C8778F">
        <w:rPr>
          <w:sz w:val="26"/>
          <w:szCs w:val="26"/>
        </w:rPr>
        <w:t>,</w:t>
      </w:r>
      <w:r w:rsidRPr="00D63401">
        <w:rPr>
          <w:sz w:val="26"/>
          <w:szCs w:val="26"/>
        </w:rPr>
        <w:t xml:space="preserve"> in the long run</w:t>
      </w:r>
      <w:r w:rsidR="00C8778F">
        <w:rPr>
          <w:sz w:val="26"/>
          <w:szCs w:val="26"/>
        </w:rPr>
        <w:t>,</w:t>
      </w:r>
      <w:r w:rsidRPr="00D63401">
        <w:rPr>
          <w:sz w:val="26"/>
          <w:szCs w:val="26"/>
        </w:rPr>
        <w:t xml:space="preserve"> is not in their best interest.</w:t>
      </w:r>
    </w:p>
    <w:p w:rsidR="00D63401" w:rsidRDefault="00D63401" w:rsidP="00D63401">
      <w:pPr>
        <w:autoSpaceDE/>
        <w:autoSpaceDN/>
        <w:spacing w:line="360" w:lineRule="auto"/>
        <w:ind w:firstLine="1440"/>
        <w:rPr>
          <w:sz w:val="26"/>
          <w:szCs w:val="26"/>
        </w:rPr>
      </w:pPr>
    </w:p>
    <w:p w:rsidR="00D63401" w:rsidRDefault="00D63401" w:rsidP="008E3323">
      <w:pPr>
        <w:pStyle w:val="BodyText2"/>
        <w:spacing w:after="0" w:line="360" w:lineRule="auto"/>
        <w:ind w:firstLine="1440"/>
        <w:rPr>
          <w:sz w:val="26"/>
          <w:szCs w:val="26"/>
        </w:rPr>
      </w:pPr>
      <w:r>
        <w:rPr>
          <w:sz w:val="26"/>
          <w:szCs w:val="26"/>
        </w:rPr>
        <w:t xml:space="preserve">Dominion </w:t>
      </w:r>
      <w:r w:rsidRPr="00EE5722">
        <w:rPr>
          <w:sz w:val="26"/>
          <w:szCs w:val="26"/>
        </w:rPr>
        <w:t>support</w:t>
      </w:r>
      <w:r>
        <w:rPr>
          <w:sz w:val="26"/>
          <w:szCs w:val="26"/>
        </w:rPr>
        <w:t>ed</w:t>
      </w:r>
      <w:r w:rsidRPr="00EE5722">
        <w:rPr>
          <w:sz w:val="26"/>
          <w:szCs w:val="26"/>
        </w:rPr>
        <w:t xml:space="preserve"> elimination of the bonus if the</w:t>
      </w:r>
      <w:r>
        <w:rPr>
          <w:sz w:val="26"/>
          <w:szCs w:val="26"/>
        </w:rPr>
        <w:t xml:space="preserve"> discount rate is not lowered.</w:t>
      </w:r>
    </w:p>
    <w:p w:rsidR="00D63401" w:rsidRDefault="00D63401" w:rsidP="00D63401">
      <w:pPr>
        <w:pStyle w:val="BodyText2"/>
        <w:spacing w:after="0" w:line="360" w:lineRule="auto"/>
        <w:ind w:firstLine="1440"/>
        <w:rPr>
          <w:sz w:val="26"/>
          <w:szCs w:val="26"/>
        </w:rPr>
      </w:pPr>
    </w:p>
    <w:p w:rsidR="00D63401" w:rsidRPr="005A6535" w:rsidRDefault="00D63401" w:rsidP="008E3323">
      <w:pPr>
        <w:pStyle w:val="BodyText2"/>
        <w:spacing w:after="0" w:line="360" w:lineRule="auto"/>
        <w:ind w:firstLine="1440"/>
        <w:rPr>
          <w:sz w:val="26"/>
          <w:szCs w:val="26"/>
        </w:rPr>
      </w:pPr>
      <w:r>
        <w:rPr>
          <w:sz w:val="26"/>
          <w:szCs w:val="26"/>
        </w:rPr>
        <w:t>The OSBA, D</w:t>
      </w:r>
      <w:r w:rsidR="008F3443">
        <w:rPr>
          <w:sz w:val="26"/>
          <w:szCs w:val="26"/>
        </w:rPr>
        <w:t xml:space="preserve">II, FES and Constellation </w:t>
      </w:r>
      <w:r>
        <w:rPr>
          <w:sz w:val="26"/>
          <w:szCs w:val="26"/>
        </w:rPr>
        <w:t>took no position on this issue.</w:t>
      </w:r>
    </w:p>
    <w:p w:rsidR="00943CB7" w:rsidRPr="00EE5722" w:rsidRDefault="00943CB7" w:rsidP="008E3323">
      <w:pPr>
        <w:autoSpaceDE/>
        <w:autoSpaceDN/>
        <w:spacing w:line="360" w:lineRule="auto"/>
        <w:rPr>
          <w:b/>
          <w:sz w:val="26"/>
          <w:szCs w:val="26"/>
        </w:rPr>
      </w:pPr>
    </w:p>
    <w:p w:rsidR="00847E37" w:rsidRDefault="004F65FA" w:rsidP="005915E1">
      <w:pPr>
        <w:pStyle w:val="Heading5"/>
        <w:numPr>
          <w:ilvl w:val="0"/>
          <w:numId w:val="0"/>
        </w:numPr>
        <w:ind w:left="3600" w:hanging="720"/>
      </w:pPr>
      <w:bookmarkStart w:id="92" w:name="_Toc346705334"/>
      <w:r w:rsidRPr="00EE5722">
        <w:lastRenderedPageBreak/>
        <w:t>iii</w:t>
      </w:r>
      <w:r w:rsidR="00D63401">
        <w:t>.</w:t>
      </w:r>
      <w:r w:rsidR="00D63401">
        <w:tab/>
        <w:t>ALJ’s Recommendation</w:t>
      </w:r>
      <w:bookmarkEnd w:id="92"/>
      <w:r w:rsidR="008E3323">
        <w:t xml:space="preserve"> </w:t>
      </w:r>
    </w:p>
    <w:p w:rsidR="007D6B57" w:rsidRPr="007D6B57" w:rsidRDefault="007D6B57" w:rsidP="005915E1">
      <w:pPr>
        <w:pStyle w:val="BriefL3"/>
        <w:keepNext/>
        <w:numPr>
          <w:ilvl w:val="0"/>
          <w:numId w:val="0"/>
        </w:numPr>
        <w:spacing w:after="0" w:line="360" w:lineRule="auto"/>
        <w:ind w:left="1440" w:firstLine="720"/>
        <w:rPr>
          <w:b/>
          <w:sz w:val="26"/>
          <w:szCs w:val="26"/>
        </w:rPr>
      </w:pPr>
    </w:p>
    <w:p w:rsidR="007E665B" w:rsidRPr="00EE5722" w:rsidRDefault="00085C3A" w:rsidP="008E3323">
      <w:pPr>
        <w:pStyle w:val="BodyText"/>
        <w:spacing w:after="0" w:line="360" w:lineRule="auto"/>
        <w:ind w:left="0" w:firstLine="0"/>
        <w:rPr>
          <w:sz w:val="26"/>
          <w:szCs w:val="26"/>
        </w:rPr>
      </w:pPr>
      <w:r w:rsidRPr="00EE5722">
        <w:rPr>
          <w:sz w:val="26"/>
          <w:szCs w:val="26"/>
        </w:rPr>
        <w:tab/>
      </w:r>
      <w:r w:rsidRPr="00EE5722">
        <w:rPr>
          <w:sz w:val="26"/>
          <w:szCs w:val="26"/>
        </w:rPr>
        <w:tab/>
      </w:r>
      <w:r w:rsidR="007E665B">
        <w:rPr>
          <w:sz w:val="26"/>
          <w:szCs w:val="26"/>
        </w:rPr>
        <w:t>The ALJ recommended approval of Duquesne</w:t>
      </w:r>
      <w:r w:rsidR="007D6B57">
        <w:rPr>
          <w:sz w:val="26"/>
          <w:szCs w:val="26"/>
        </w:rPr>
        <w:t xml:space="preserve">’s proposal </w:t>
      </w:r>
      <w:r w:rsidR="008E3323">
        <w:rPr>
          <w:sz w:val="26"/>
          <w:szCs w:val="26"/>
        </w:rPr>
        <w:t>for a twelve</w:t>
      </w:r>
      <w:r w:rsidR="007E665B" w:rsidRPr="00EE5722">
        <w:rPr>
          <w:sz w:val="26"/>
          <w:szCs w:val="26"/>
        </w:rPr>
        <w:t>-month fixed price p</w:t>
      </w:r>
      <w:r w:rsidR="007D6B57">
        <w:rPr>
          <w:sz w:val="26"/>
          <w:szCs w:val="26"/>
        </w:rPr>
        <w:t>roduct with a discounted fixed rate</w:t>
      </w:r>
      <w:r w:rsidR="007E665B" w:rsidRPr="00EE5722">
        <w:rPr>
          <w:sz w:val="26"/>
          <w:szCs w:val="26"/>
        </w:rPr>
        <w:t xml:space="preserve"> over the enti</w:t>
      </w:r>
      <w:r w:rsidR="008E3323">
        <w:rPr>
          <w:sz w:val="26"/>
          <w:szCs w:val="26"/>
        </w:rPr>
        <w:t>re twelve</w:t>
      </w:r>
      <w:r w:rsidR="007D6B57">
        <w:rPr>
          <w:sz w:val="26"/>
          <w:szCs w:val="26"/>
        </w:rPr>
        <w:t xml:space="preserve">-month term and a </w:t>
      </w:r>
      <w:r w:rsidR="007E665B" w:rsidRPr="00EE5722">
        <w:rPr>
          <w:sz w:val="26"/>
          <w:szCs w:val="26"/>
        </w:rPr>
        <w:t>$50 bonus payment afte</w:t>
      </w:r>
      <w:r w:rsidR="007D6B57">
        <w:rPr>
          <w:sz w:val="26"/>
          <w:szCs w:val="26"/>
        </w:rPr>
        <w:t xml:space="preserve">r the customer remains with the </w:t>
      </w:r>
      <w:r w:rsidR="007E665B" w:rsidRPr="00EE5722">
        <w:rPr>
          <w:sz w:val="26"/>
          <w:szCs w:val="26"/>
        </w:rPr>
        <w:t>Op</w:t>
      </w:r>
      <w:r w:rsidR="007D6B57">
        <w:rPr>
          <w:sz w:val="26"/>
          <w:szCs w:val="26"/>
        </w:rPr>
        <w:t>t-In Program for three months. The ALJ concluded that Duquesne’s proposal would</w:t>
      </w:r>
      <w:r w:rsidR="007E665B" w:rsidRPr="00EE5722">
        <w:rPr>
          <w:sz w:val="26"/>
          <w:szCs w:val="26"/>
        </w:rPr>
        <w:t xml:space="preserve"> provide better protection for those customers who participate</w:t>
      </w:r>
      <w:r w:rsidR="007D6B57">
        <w:rPr>
          <w:sz w:val="26"/>
          <w:szCs w:val="26"/>
        </w:rPr>
        <w:t xml:space="preserve">, and </w:t>
      </w:r>
      <w:r w:rsidR="007E665B" w:rsidRPr="00EE5722">
        <w:rPr>
          <w:sz w:val="26"/>
          <w:szCs w:val="26"/>
        </w:rPr>
        <w:t>encourage default service customers to shop.  Under RESA’s proposal, the real possibility exists that a participating customer might receive the $50 bonus while receiving the promised discounted PTC rate</w:t>
      </w:r>
      <w:r w:rsidR="007D6B57">
        <w:rPr>
          <w:sz w:val="26"/>
          <w:szCs w:val="26"/>
        </w:rPr>
        <w:t>,</w:t>
      </w:r>
      <w:r w:rsidR="007E665B" w:rsidRPr="00EE5722">
        <w:rPr>
          <w:sz w:val="26"/>
          <w:szCs w:val="26"/>
        </w:rPr>
        <w:t xml:space="preserve"> only to </w:t>
      </w:r>
      <w:r w:rsidR="007E665B" w:rsidRPr="007D6B57">
        <w:rPr>
          <w:sz w:val="26"/>
          <w:szCs w:val="26"/>
        </w:rPr>
        <w:t>then</w:t>
      </w:r>
      <w:r w:rsidR="007D6B57">
        <w:rPr>
          <w:sz w:val="26"/>
          <w:szCs w:val="26"/>
        </w:rPr>
        <w:t xml:space="preserve"> see the</w:t>
      </w:r>
      <w:r w:rsidR="007E665B" w:rsidRPr="00EE5722">
        <w:rPr>
          <w:sz w:val="26"/>
          <w:szCs w:val="26"/>
        </w:rPr>
        <w:t xml:space="preserve"> rate rise above the PTC rate for the next eight m</w:t>
      </w:r>
      <w:r w:rsidR="007D6B57">
        <w:rPr>
          <w:sz w:val="26"/>
          <w:szCs w:val="26"/>
        </w:rPr>
        <w:t xml:space="preserve">onths.  </w:t>
      </w:r>
      <w:r w:rsidR="008E3323">
        <w:rPr>
          <w:sz w:val="26"/>
          <w:szCs w:val="26"/>
        </w:rPr>
        <w:t>The ALJ found that s</w:t>
      </w:r>
      <w:r w:rsidR="007D6B57">
        <w:rPr>
          <w:sz w:val="26"/>
          <w:szCs w:val="26"/>
        </w:rPr>
        <w:t>uch an eventuality would</w:t>
      </w:r>
      <w:r w:rsidR="007E665B" w:rsidRPr="00EE5722">
        <w:rPr>
          <w:sz w:val="26"/>
          <w:szCs w:val="26"/>
        </w:rPr>
        <w:t xml:space="preserve"> create a chilling effect upon</w:t>
      </w:r>
      <w:r w:rsidR="007D6B57">
        <w:rPr>
          <w:sz w:val="26"/>
          <w:szCs w:val="26"/>
        </w:rPr>
        <w:t xml:space="preserve"> participation for the short term</w:t>
      </w:r>
      <w:r w:rsidR="007E665B" w:rsidRPr="00EE5722">
        <w:rPr>
          <w:sz w:val="26"/>
          <w:szCs w:val="26"/>
        </w:rPr>
        <w:t xml:space="preserve"> and in the long run.  </w:t>
      </w:r>
      <w:r w:rsidR="008E3323">
        <w:rPr>
          <w:sz w:val="26"/>
          <w:szCs w:val="26"/>
        </w:rPr>
        <w:t xml:space="preserve">The ALJ also stated that </w:t>
      </w:r>
      <w:r w:rsidR="007E665B" w:rsidRPr="00EE5722">
        <w:rPr>
          <w:sz w:val="26"/>
          <w:szCs w:val="26"/>
        </w:rPr>
        <w:t>the real possibil</w:t>
      </w:r>
      <w:r w:rsidR="007D6B57">
        <w:rPr>
          <w:sz w:val="26"/>
          <w:szCs w:val="26"/>
        </w:rPr>
        <w:t xml:space="preserve">ity exists that customers </w:t>
      </w:r>
      <w:r w:rsidR="007E665B" w:rsidRPr="00EE5722">
        <w:rPr>
          <w:sz w:val="26"/>
          <w:szCs w:val="26"/>
        </w:rPr>
        <w:t xml:space="preserve">easily </w:t>
      </w:r>
      <w:r w:rsidR="007D6B57">
        <w:rPr>
          <w:sz w:val="26"/>
          <w:szCs w:val="26"/>
        </w:rPr>
        <w:t xml:space="preserve">could </w:t>
      </w:r>
      <w:r w:rsidR="007E665B" w:rsidRPr="00EE5722">
        <w:rPr>
          <w:sz w:val="26"/>
          <w:szCs w:val="26"/>
        </w:rPr>
        <w:t xml:space="preserve">get confused into thinking that the $50 bonus payment was tied to </w:t>
      </w:r>
      <w:r w:rsidR="007E665B" w:rsidRPr="007D6B57">
        <w:rPr>
          <w:sz w:val="26"/>
          <w:szCs w:val="26"/>
        </w:rPr>
        <w:t>continuing</w:t>
      </w:r>
      <w:r w:rsidR="007E665B" w:rsidRPr="00EE5722">
        <w:rPr>
          <w:sz w:val="26"/>
          <w:szCs w:val="26"/>
        </w:rPr>
        <w:t xml:space="preserve"> </w:t>
      </w:r>
      <w:r w:rsidR="007D6B57">
        <w:rPr>
          <w:sz w:val="26"/>
          <w:szCs w:val="26"/>
        </w:rPr>
        <w:t xml:space="preserve">in the Opt-In Program </w:t>
      </w:r>
      <w:r w:rsidR="007E665B" w:rsidRPr="00EE5722">
        <w:rPr>
          <w:sz w:val="26"/>
          <w:szCs w:val="26"/>
        </w:rPr>
        <w:t>f</w:t>
      </w:r>
      <w:r w:rsidR="007E665B">
        <w:rPr>
          <w:sz w:val="26"/>
          <w:szCs w:val="26"/>
        </w:rPr>
        <w:t>or the following eight months.</w:t>
      </w:r>
      <w:r w:rsidR="008E3323">
        <w:rPr>
          <w:sz w:val="26"/>
          <w:szCs w:val="26"/>
        </w:rPr>
        <w:t xml:space="preserve">  R.D. at 78-79.</w:t>
      </w:r>
    </w:p>
    <w:p w:rsidR="00085C3A" w:rsidRPr="007D6B57" w:rsidRDefault="00085C3A" w:rsidP="008E3323">
      <w:pPr>
        <w:pStyle w:val="BodyText2"/>
        <w:spacing w:after="0" w:line="360" w:lineRule="auto"/>
        <w:rPr>
          <w:sz w:val="26"/>
          <w:szCs w:val="26"/>
        </w:rPr>
      </w:pPr>
    </w:p>
    <w:p w:rsidR="006D4D99" w:rsidRPr="00EE5722" w:rsidRDefault="004F65FA" w:rsidP="00115AB3">
      <w:pPr>
        <w:pStyle w:val="Heading5"/>
        <w:numPr>
          <w:ilvl w:val="0"/>
          <w:numId w:val="0"/>
        </w:numPr>
        <w:ind w:left="3600" w:hanging="720"/>
      </w:pPr>
      <w:bookmarkStart w:id="93" w:name="_Toc346705335"/>
      <w:r w:rsidRPr="00EE5722">
        <w:t>iv</w:t>
      </w:r>
      <w:r w:rsidR="007E665B">
        <w:t>.</w:t>
      </w:r>
      <w:r w:rsidR="007E665B">
        <w:tab/>
        <w:t>Exceptions</w:t>
      </w:r>
      <w:bookmarkEnd w:id="93"/>
    </w:p>
    <w:p w:rsidR="006D4D99" w:rsidRPr="00EE5722" w:rsidRDefault="006D4D99" w:rsidP="004F65FA">
      <w:pPr>
        <w:pStyle w:val="BodyText"/>
        <w:spacing w:after="0" w:line="360" w:lineRule="auto"/>
        <w:ind w:left="0" w:firstLine="0"/>
        <w:rPr>
          <w:sz w:val="26"/>
          <w:szCs w:val="26"/>
        </w:rPr>
      </w:pPr>
    </w:p>
    <w:p w:rsidR="007D6B57" w:rsidRPr="00EE5722" w:rsidRDefault="007D6B57" w:rsidP="007D6B57">
      <w:pPr>
        <w:pStyle w:val="BriefL3"/>
        <w:numPr>
          <w:ilvl w:val="0"/>
          <w:numId w:val="0"/>
        </w:numPr>
        <w:spacing w:after="0" w:line="360" w:lineRule="auto"/>
        <w:ind w:firstLine="1440"/>
        <w:rPr>
          <w:b/>
          <w:sz w:val="26"/>
          <w:szCs w:val="26"/>
        </w:rPr>
      </w:pPr>
      <w:r>
        <w:rPr>
          <w:sz w:val="26"/>
          <w:szCs w:val="26"/>
        </w:rPr>
        <w:t>In its Exceptions, RESA argues</w:t>
      </w:r>
      <w:r w:rsidRPr="00AE0EA4">
        <w:rPr>
          <w:sz w:val="26"/>
          <w:szCs w:val="26"/>
        </w:rPr>
        <w:t xml:space="preserve"> that the bonus </w:t>
      </w:r>
      <w:r>
        <w:rPr>
          <w:sz w:val="26"/>
          <w:szCs w:val="26"/>
        </w:rPr>
        <w:t xml:space="preserve">should </w:t>
      </w:r>
      <w:r w:rsidRPr="00AE0EA4">
        <w:rPr>
          <w:sz w:val="26"/>
          <w:szCs w:val="26"/>
        </w:rPr>
        <w:t>be paya</w:t>
      </w:r>
      <w:r w:rsidR="008E3323">
        <w:rPr>
          <w:sz w:val="26"/>
          <w:szCs w:val="26"/>
        </w:rPr>
        <w:t>ble after four billing cycles</w:t>
      </w:r>
      <w:r w:rsidRPr="00AE0EA4">
        <w:rPr>
          <w:sz w:val="26"/>
          <w:szCs w:val="26"/>
        </w:rPr>
        <w:t xml:space="preserve">, which is consistent with the Commission’s decisions in the </w:t>
      </w:r>
      <w:r w:rsidRPr="00AE0EA4">
        <w:rPr>
          <w:i/>
          <w:sz w:val="26"/>
          <w:szCs w:val="26"/>
        </w:rPr>
        <w:t>F</w:t>
      </w:r>
      <w:r>
        <w:rPr>
          <w:i/>
          <w:sz w:val="26"/>
          <w:szCs w:val="26"/>
        </w:rPr>
        <w:t>irst Energy</w:t>
      </w:r>
      <w:r w:rsidR="008E3323">
        <w:rPr>
          <w:i/>
          <w:sz w:val="26"/>
          <w:szCs w:val="26"/>
        </w:rPr>
        <w:t xml:space="preserve"> DSP</w:t>
      </w:r>
      <w:r w:rsidRPr="00AE0EA4">
        <w:rPr>
          <w:sz w:val="26"/>
          <w:szCs w:val="26"/>
        </w:rPr>
        <w:t xml:space="preserve"> and </w:t>
      </w:r>
      <w:r w:rsidRPr="00AE0EA4">
        <w:rPr>
          <w:i/>
          <w:sz w:val="26"/>
          <w:szCs w:val="26"/>
        </w:rPr>
        <w:t>PECO</w:t>
      </w:r>
      <w:r>
        <w:rPr>
          <w:i/>
          <w:sz w:val="26"/>
          <w:szCs w:val="26"/>
        </w:rPr>
        <w:t xml:space="preserve"> DSP Orders.</w:t>
      </w:r>
      <w:r>
        <w:rPr>
          <w:sz w:val="26"/>
          <w:szCs w:val="26"/>
        </w:rPr>
        <w:t xml:space="preserve">  RESA argues that the Commission has rejected the argument</w:t>
      </w:r>
      <w:r w:rsidR="00C10EBC">
        <w:rPr>
          <w:sz w:val="26"/>
          <w:szCs w:val="26"/>
        </w:rPr>
        <w:t xml:space="preserve"> </w:t>
      </w:r>
      <w:r w:rsidRPr="00AE0EA4">
        <w:rPr>
          <w:sz w:val="26"/>
          <w:szCs w:val="26"/>
        </w:rPr>
        <w:t>that a bonus paid after four months could confuse the customer.</w:t>
      </w:r>
      <w:r w:rsidR="00C10EBC">
        <w:rPr>
          <w:sz w:val="26"/>
          <w:szCs w:val="26"/>
        </w:rPr>
        <w:t xml:space="preserve">  </w:t>
      </w:r>
      <w:r w:rsidRPr="00AE0EA4">
        <w:rPr>
          <w:sz w:val="26"/>
          <w:szCs w:val="26"/>
        </w:rPr>
        <w:t>With proper notice to the customer as recommended by RESA, a customer should be able to distinguish between the bonus and the need to decide whether to remain with the EGS for an additional eight months.</w:t>
      </w:r>
      <w:r w:rsidR="001240AD">
        <w:rPr>
          <w:sz w:val="26"/>
          <w:szCs w:val="26"/>
        </w:rPr>
        <w:t xml:space="preserve">  RESA Exc. at </w:t>
      </w:r>
      <w:r w:rsidR="00CA5338">
        <w:rPr>
          <w:sz w:val="26"/>
          <w:szCs w:val="26"/>
        </w:rPr>
        <w:t>23-24.</w:t>
      </w:r>
    </w:p>
    <w:p w:rsidR="006D4D99" w:rsidRPr="00EE5722" w:rsidRDefault="006D4D99" w:rsidP="004F65FA">
      <w:pPr>
        <w:pStyle w:val="BodyText"/>
        <w:spacing w:after="0" w:line="360" w:lineRule="auto"/>
        <w:ind w:left="0" w:firstLine="0"/>
        <w:rPr>
          <w:sz w:val="26"/>
          <w:szCs w:val="26"/>
        </w:rPr>
      </w:pPr>
    </w:p>
    <w:p w:rsidR="006D4D99" w:rsidRPr="00115AB3" w:rsidRDefault="004F65FA" w:rsidP="00115AB3">
      <w:pPr>
        <w:pStyle w:val="Heading5"/>
        <w:numPr>
          <w:ilvl w:val="0"/>
          <w:numId w:val="0"/>
        </w:numPr>
        <w:ind w:left="3600" w:hanging="720"/>
      </w:pPr>
      <w:bookmarkStart w:id="94" w:name="_Toc346705336"/>
      <w:r w:rsidRPr="00EE5722">
        <w:t>v</w:t>
      </w:r>
      <w:r w:rsidR="007E665B" w:rsidRPr="00115AB3">
        <w:t>.</w:t>
      </w:r>
      <w:r w:rsidR="007E665B" w:rsidRPr="00115AB3">
        <w:tab/>
        <w:t>Reply Exceptions</w:t>
      </w:r>
      <w:bookmarkEnd w:id="94"/>
    </w:p>
    <w:p w:rsidR="00C10EBC" w:rsidRDefault="00433E69" w:rsidP="008E3323">
      <w:pPr>
        <w:pStyle w:val="BodyText2"/>
        <w:spacing w:after="0" w:line="360" w:lineRule="auto"/>
        <w:rPr>
          <w:sz w:val="26"/>
          <w:szCs w:val="26"/>
        </w:rPr>
      </w:pPr>
      <w:r w:rsidRPr="00EE5722">
        <w:rPr>
          <w:sz w:val="26"/>
          <w:szCs w:val="26"/>
        </w:rPr>
        <w:tab/>
      </w:r>
    </w:p>
    <w:p w:rsidR="00433E69" w:rsidRPr="00EE5722" w:rsidRDefault="008E3323" w:rsidP="00C10EBC">
      <w:pPr>
        <w:pStyle w:val="BodyText2"/>
        <w:spacing w:after="0" w:line="360" w:lineRule="auto"/>
        <w:ind w:firstLine="1440"/>
        <w:rPr>
          <w:sz w:val="26"/>
          <w:szCs w:val="26"/>
        </w:rPr>
      </w:pPr>
      <w:r>
        <w:rPr>
          <w:sz w:val="26"/>
          <w:szCs w:val="26"/>
        </w:rPr>
        <w:t>T</w:t>
      </w:r>
      <w:r w:rsidR="00C10EBC">
        <w:rPr>
          <w:sz w:val="26"/>
          <w:szCs w:val="26"/>
        </w:rPr>
        <w:t xml:space="preserve">he OCA argues in its Reply Exceptions that the ALJ did not err in approving Duquesne’s proposed Opt-In Program design, and that RESA’s Exception </w:t>
      </w:r>
      <w:r w:rsidR="00C10EBC">
        <w:rPr>
          <w:sz w:val="26"/>
          <w:szCs w:val="26"/>
        </w:rPr>
        <w:lastRenderedPageBreak/>
        <w:t>should be denied.  Duquesne, Dominion and FES also argued that RESA’s Exception should be denied, and that Duquesne’s proposed Opt-In Program design should be approved.</w:t>
      </w:r>
      <w:r w:rsidR="00433E69" w:rsidRPr="00EE5722">
        <w:rPr>
          <w:sz w:val="26"/>
          <w:szCs w:val="26"/>
        </w:rPr>
        <w:tab/>
      </w:r>
    </w:p>
    <w:p w:rsidR="004E2F83" w:rsidRPr="00EE5722" w:rsidRDefault="004E2F83">
      <w:pPr>
        <w:autoSpaceDE/>
        <w:autoSpaceDN/>
        <w:rPr>
          <w:b/>
          <w:sz w:val="26"/>
          <w:szCs w:val="26"/>
        </w:rPr>
      </w:pPr>
    </w:p>
    <w:p w:rsidR="006D4D99" w:rsidRDefault="004F65FA" w:rsidP="00115AB3">
      <w:pPr>
        <w:pStyle w:val="Heading5"/>
        <w:numPr>
          <w:ilvl w:val="0"/>
          <w:numId w:val="0"/>
        </w:numPr>
        <w:ind w:left="2880"/>
      </w:pPr>
      <w:bookmarkStart w:id="95" w:name="_Toc346705337"/>
      <w:r w:rsidRPr="00EE5722">
        <w:t>vi</w:t>
      </w:r>
      <w:r w:rsidR="007E665B">
        <w:t>.</w:t>
      </w:r>
      <w:r w:rsidR="007E665B">
        <w:tab/>
        <w:t>Disposition</w:t>
      </w:r>
      <w:bookmarkEnd w:id="95"/>
    </w:p>
    <w:p w:rsidR="00554331" w:rsidRPr="00EE5722" w:rsidRDefault="00554331" w:rsidP="008E3323">
      <w:pPr>
        <w:pStyle w:val="BriefL3"/>
        <w:numPr>
          <w:ilvl w:val="0"/>
          <w:numId w:val="0"/>
        </w:numPr>
        <w:spacing w:after="0" w:line="360" w:lineRule="auto"/>
        <w:ind w:left="1440" w:firstLine="720"/>
        <w:rPr>
          <w:b/>
          <w:sz w:val="26"/>
          <w:szCs w:val="26"/>
        </w:rPr>
      </w:pPr>
    </w:p>
    <w:p w:rsidR="006D4D99" w:rsidRPr="00EE5722" w:rsidRDefault="00554331" w:rsidP="005C27EC">
      <w:pPr>
        <w:pStyle w:val="BodyText"/>
        <w:spacing w:after="0" w:line="360" w:lineRule="auto"/>
        <w:ind w:left="0"/>
        <w:rPr>
          <w:sz w:val="26"/>
          <w:szCs w:val="26"/>
        </w:rPr>
      </w:pPr>
      <w:r>
        <w:rPr>
          <w:sz w:val="26"/>
          <w:szCs w:val="26"/>
        </w:rPr>
        <w:t xml:space="preserve">Consistent with our prior determinations, </w:t>
      </w:r>
      <w:r w:rsidRPr="00554331">
        <w:rPr>
          <w:i/>
          <w:sz w:val="26"/>
          <w:szCs w:val="26"/>
        </w:rPr>
        <w:t>supra</w:t>
      </w:r>
      <w:r>
        <w:rPr>
          <w:sz w:val="26"/>
          <w:szCs w:val="26"/>
        </w:rPr>
        <w:t xml:space="preserve">, we shall reject the ALJ’s recommendation to approve a $50 bonus payment after three months.  Instead, we direct Duquesne to develop an Opt-In Program that includes a $50 bonus payment to customers who have remained in the Opt-In Program for the initial four-month period.  This approach is consistent with our previous decisions in the </w:t>
      </w:r>
      <w:r w:rsidRPr="006B1D3E">
        <w:rPr>
          <w:i/>
          <w:sz w:val="26"/>
          <w:szCs w:val="26"/>
        </w:rPr>
        <w:t>FirstEnergy</w:t>
      </w:r>
      <w:r>
        <w:rPr>
          <w:sz w:val="26"/>
          <w:szCs w:val="26"/>
        </w:rPr>
        <w:t xml:space="preserve"> and </w:t>
      </w:r>
      <w:r w:rsidRPr="006B1D3E">
        <w:rPr>
          <w:i/>
          <w:sz w:val="26"/>
          <w:szCs w:val="26"/>
        </w:rPr>
        <w:t>PECO</w:t>
      </w:r>
      <w:r>
        <w:rPr>
          <w:sz w:val="26"/>
          <w:szCs w:val="26"/>
        </w:rPr>
        <w:t xml:space="preserve"> </w:t>
      </w:r>
      <w:r w:rsidRPr="008E3323">
        <w:rPr>
          <w:i/>
          <w:sz w:val="26"/>
          <w:szCs w:val="26"/>
        </w:rPr>
        <w:t>DSP</w:t>
      </w:r>
      <w:r w:rsidR="00895706">
        <w:rPr>
          <w:i/>
          <w:sz w:val="26"/>
          <w:szCs w:val="26"/>
        </w:rPr>
        <w:t xml:space="preserve"> Orders</w:t>
      </w:r>
      <w:r>
        <w:rPr>
          <w:sz w:val="26"/>
          <w:szCs w:val="26"/>
        </w:rPr>
        <w:t xml:space="preserve"> and should be adopted here.  We continue to believe that a bonus payment of $50 is a reasonable incentive and should be large enough to attract customers’ attention.  Accordingly, we shall grant the Exceptions of RESA on this issue.</w:t>
      </w:r>
    </w:p>
    <w:p w:rsidR="00D872C4" w:rsidRPr="00EE5722" w:rsidRDefault="00D872C4" w:rsidP="005C27EC">
      <w:pPr>
        <w:pStyle w:val="BodyText"/>
        <w:spacing w:after="0" w:line="360" w:lineRule="auto"/>
        <w:ind w:left="0" w:firstLine="0"/>
        <w:rPr>
          <w:sz w:val="26"/>
          <w:szCs w:val="26"/>
        </w:rPr>
      </w:pPr>
    </w:p>
    <w:p w:rsidR="000B0DA3" w:rsidRPr="00EE5722" w:rsidRDefault="001A2F72" w:rsidP="00115AB3">
      <w:pPr>
        <w:pStyle w:val="Heading4"/>
        <w:numPr>
          <w:ilvl w:val="0"/>
          <w:numId w:val="0"/>
        </w:numPr>
        <w:ind w:left="2880" w:hanging="720"/>
      </w:pPr>
      <w:bookmarkStart w:id="96" w:name="_Toc346705338"/>
      <w:r>
        <w:t>e</w:t>
      </w:r>
      <w:r w:rsidR="000B0DA3" w:rsidRPr="00EE5722">
        <w:t>.</w:t>
      </w:r>
      <w:r w:rsidR="000B0DA3" w:rsidRPr="00EE5722">
        <w:tab/>
        <w:t>Customer Participation Cap</w:t>
      </w:r>
      <w:bookmarkEnd w:id="96"/>
    </w:p>
    <w:p w:rsidR="00FE2447" w:rsidRPr="00EE5722" w:rsidRDefault="00FE2447" w:rsidP="005C27EC">
      <w:pPr>
        <w:pStyle w:val="BriefL3"/>
        <w:numPr>
          <w:ilvl w:val="0"/>
          <w:numId w:val="0"/>
        </w:numPr>
        <w:spacing w:after="0" w:line="360" w:lineRule="auto"/>
        <w:ind w:left="2160"/>
        <w:rPr>
          <w:b/>
          <w:sz w:val="26"/>
          <w:szCs w:val="26"/>
        </w:rPr>
      </w:pPr>
    </w:p>
    <w:p w:rsidR="000B0DA3" w:rsidRPr="00EE5722" w:rsidRDefault="004F65FA" w:rsidP="00115AB3">
      <w:pPr>
        <w:pStyle w:val="Heading5"/>
        <w:numPr>
          <w:ilvl w:val="0"/>
          <w:numId w:val="0"/>
        </w:numPr>
        <w:ind w:left="3600" w:hanging="720"/>
      </w:pPr>
      <w:bookmarkStart w:id="97" w:name="_Toc346705339"/>
      <w:r w:rsidRPr="00EE5722">
        <w:t>i</w:t>
      </w:r>
      <w:r w:rsidR="004C5B7E">
        <w:t>.</w:t>
      </w:r>
      <w:r w:rsidR="004C5B7E">
        <w:tab/>
        <w:t>Duquesne</w:t>
      </w:r>
      <w:r w:rsidR="00FE2447" w:rsidRPr="00EE5722">
        <w:t>’s Proposal</w:t>
      </w:r>
      <w:bookmarkEnd w:id="97"/>
    </w:p>
    <w:p w:rsidR="000B0DA3" w:rsidRPr="00EE5722" w:rsidRDefault="000B0DA3" w:rsidP="004F65FA">
      <w:pPr>
        <w:pStyle w:val="BodyText"/>
        <w:spacing w:after="0" w:line="360" w:lineRule="auto"/>
        <w:ind w:left="0" w:firstLine="0"/>
        <w:rPr>
          <w:sz w:val="26"/>
          <w:szCs w:val="26"/>
        </w:rPr>
      </w:pPr>
    </w:p>
    <w:p w:rsidR="00442F0C" w:rsidRPr="001A2F72" w:rsidRDefault="00AA4AF1" w:rsidP="00FA6CFF">
      <w:pPr>
        <w:pStyle w:val="BodyText2"/>
        <w:spacing w:after="0" w:line="360" w:lineRule="auto"/>
        <w:rPr>
          <w:sz w:val="26"/>
          <w:szCs w:val="26"/>
        </w:rPr>
      </w:pPr>
      <w:r w:rsidRPr="00EE5722">
        <w:rPr>
          <w:sz w:val="26"/>
          <w:szCs w:val="26"/>
        </w:rPr>
        <w:tab/>
      </w:r>
      <w:r w:rsidRPr="00EE5722">
        <w:rPr>
          <w:sz w:val="26"/>
          <w:szCs w:val="26"/>
        </w:rPr>
        <w:tab/>
      </w:r>
      <w:r w:rsidR="003A7CAD">
        <w:rPr>
          <w:sz w:val="26"/>
          <w:szCs w:val="26"/>
        </w:rPr>
        <w:t xml:space="preserve">Duquesne </w:t>
      </w:r>
      <w:r w:rsidR="00442F0C" w:rsidRPr="00EE5722">
        <w:rPr>
          <w:sz w:val="26"/>
          <w:szCs w:val="26"/>
        </w:rPr>
        <w:t xml:space="preserve">followed Commission guidance </w:t>
      </w:r>
      <w:r w:rsidR="00874CB6" w:rsidRPr="00EE5722">
        <w:rPr>
          <w:sz w:val="26"/>
          <w:szCs w:val="26"/>
        </w:rPr>
        <w:t>when it proposed</w:t>
      </w:r>
      <w:r w:rsidR="001A2F72">
        <w:rPr>
          <w:sz w:val="26"/>
          <w:szCs w:val="26"/>
        </w:rPr>
        <w:t xml:space="preserve"> that all </w:t>
      </w:r>
      <w:r w:rsidR="00442F0C" w:rsidRPr="00EE5722">
        <w:rPr>
          <w:sz w:val="26"/>
          <w:szCs w:val="26"/>
        </w:rPr>
        <w:t>default service customers, other than customers who have elected not to release customer information and CAP customers, should re</w:t>
      </w:r>
      <w:r w:rsidR="001A2F72">
        <w:rPr>
          <w:sz w:val="26"/>
          <w:szCs w:val="26"/>
        </w:rPr>
        <w:t xml:space="preserve">ceive notice of </w:t>
      </w:r>
      <w:r w:rsidR="00442F0C" w:rsidRPr="00EE5722">
        <w:rPr>
          <w:sz w:val="26"/>
          <w:szCs w:val="26"/>
        </w:rPr>
        <w:t>t</w:t>
      </w:r>
      <w:r w:rsidR="003A7CAD">
        <w:rPr>
          <w:sz w:val="26"/>
          <w:szCs w:val="26"/>
        </w:rPr>
        <w:t>he</w:t>
      </w:r>
      <w:r w:rsidR="00473A03">
        <w:rPr>
          <w:sz w:val="26"/>
          <w:szCs w:val="26"/>
        </w:rPr>
        <w:t xml:space="preserve"> Opt-In</w:t>
      </w:r>
      <w:r w:rsidR="008C2293">
        <w:rPr>
          <w:sz w:val="26"/>
          <w:szCs w:val="26"/>
        </w:rPr>
        <w:t xml:space="preserve"> Program.</w:t>
      </w:r>
      <w:r w:rsidR="001A2F72">
        <w:rPr>
          <w:sz w:val="26"/>
          <w:szCs w:val="26"/>
        </w:rPr>
        <w:t xml:space="preserve">  </w:t>
      </w:r>
      <w:r w:rsidR="008C2293">
        <w:rPr>
          <w:sz w:val="26"/>
          <w:szCs w:val="26"/>
        </w:rPr>
        <w:t xml:space="preserve">Duquesne St. </w:t>
      </w:r>
      <w:r w:rsidR="003A7CAD">
        <w:rPr>
          <w:sz w:val="26"/>
          <w:szCs w:val="26"/>
        </w:rPr>
        <w:t xml:space="preserve">3 at </w:t>
      </w:r>
      <w:r w:rsidR="00442F0C" w:rsidRPr="00EE5722">
        <w:rPr>
          <w:sz w:val="26"/>
          <w:szCs w:val="26"/>
        </w:rPr>
        <w:t>25-26.</w:t>
      </w:r>
      <w:r w:rsidR="003A7CAD">
        <w:rPr>
          <w:sz w:val="26"/>
          <w:szCs w:val="26"/>
        </w:rPr>
        <w:t xml:space="preserve">  Duquesne </w:t>
      </w:r>
      <w:r w:rsidR="001A2F72">
        <w:rPr>
          <w:sz w:val="26"/>
          <w:szCs w:val="26"/>
        </w:rPr>
        <w:t xml:space="preserve">proposed a cap of 50% on the </w:t>
      </w:r>
      <w:r w:rsidR="00442F0C" w:rsidRPr="00EE5722">
        <w:rPr>
          <w:sz w:val="26"/>
          <w:szCs w:val="26"/>
        </w:rPr>
        <w:t>number o</w:t>
      </w:r>
      <w:r w:rsidR="001A2F72">
        <w:rPr>
          <w:sz w:val="26"/>
          <w:szCs w:val="26"/>
        </w:rPr>
        <w:t>f customers receiving the offer who</w:t>
      </w:r>
      <w:r w:rsidR="00720F7D">
        <w:rPr>
          <w:sz w:val="26"/>
          <w:szCs w:val="26"/>
        </w:rPr>
        <w:t xml:space="preserve"> could elect Opt-In</w:t>
      </w:r>
      <w:r w:rsidR="001A2F72">
        <w:rPr>
          <w:sz w:val="26"/>
          <w:szCs w:val="26"/>
        </w:rPr>
        <w:t xml:space="preserve"> Service</w:t>
      </w:r>
      <w:r w:rsidR="00442F0C" w:rsidRPr="00EE5722">
        <w:rPr>
          <w:sz w:val="26"/>
          <w:szCs w:val="26"/>
        </w:rPr>
        <w:t>.</w:t>
      </w:r>
      <w:r w:rsidR="008C2293">
        <w:rPr>
          <w:sz w:val="26"/>
          <w:szCs w:val="26"/>
        </w:rPr>
        <w:t xml:space="preserve">  Duquesne St. </w:t>
      </w:r>
      <w:r w:rsidR="003A7CAD">
        <w:rPr>
          <w:sz w:val="26"/>
          <w:szCs w:val="26"/>
        </w:rPr>
        <w:t xml:space="preserve">3 at </w:t>
      </w:r>
      <w:r w:rsidR="00442F0C" w:rsidRPr="00EE5722">
        <w:rPr>
          <w:sz w:val="26"/>
          <w:szCs w:val="26"/>
        </w:rPr>
        <w:t xml:space="preserve">25.  </w:t>
      </w:r>
      <w:r w:rsidR="00874CB6" w:rsidRPr="00EE5722">
        <w:rPr>
          <w:sz w:val="26"/>
          <w:szCs w:val="26"/>
        </w:rPr>
        <w:t>The</w:t>
      </w:r>
      <w:r w:rsidR="00442F0C" w:rsidRPr="00EE5722">
        <w:rPr>
          <w:sz w:val="26"/>
          <w:szCs w:val="26"/>
        </w:rPr>
        <w:t xml:space="preserve"> Commission recommended a 50% customer participation cap</w:t>
      </w:r>
      <w:r w:rsidR="001A2F72">
        <w:rPr>
          <w:sz w:val="26"/>
          <w:szCs w:val="26"/>
        </w:rPr>
        <w:t xml:space="preserve"> on opt-in program enrollment</w:t>
      </w:r>
      <w:r w:rsidR="00442F0C" w:rsidRPr="00EE5722">
        <w:rPr>
          <w:sz w:val="26"/>
          <w:szCs w:val="26"/>
        </w:rPr>
        <w:t xml:space="preserve">, because this </w:t>
      </w:r>
      <w:r w:rsidR="00874CB6" w:rsidRPr="00EE5722">
        <w:rPr>
          <w:sz w:val="26"/>
          <w:szCs w:val="26"/>
        </w:rPr>
        <w:t xml:space="preserve">cap </w:t>
      </w:r>
      <w:r w:rsidR="00442F0C" w:rsidRPr="00EE5722">
        <w:rPr>
          <w:sz w:val="26"/>
          <w:szCs w:val="26"/>
        </w:rPr>
        <w:t xml:space="preserve">provides for a large customer participation pool, while providing </w:t>
      </w:r>
      <w:r w:rsidR="005E4C81">
        <w:rPr>
          <w:sz w:val="26"/>
          <w:szCs w:val="26"/>
        </w:rPr>
        <w:t xml:space="preserve">both </w:t>
      </w:r>
      <w:r w:rsidR="00442F0C" w:rsidRPr="00EE5722">
        <w:rPr>
          <w:sz w:val="26"/>
          <w:szCs w:val="26"/>
        </w:rPr>
        <w:t>transparency to wholesale default service suppliers as they prepare bids, and some level of certainty to those EGSs opting to participa</w:t>
      </w:r>
      <w:r w:rsidR="001A2F72">
        <w:rPr>
          <w:sz w:val="26"/>
          <w:szCs w:val="26"/>
        </w:rPr>
        <w:t>te in the Opt-In Program</w:t>
      </w:r>
      <w:r w:rsidR="00442F0C" w:rsidRPr="00EE5722">
        <w:rPr>
          <w:sz w:val="26"/>
          <w:szCs w:val="26"/>
        </w:rPr>
        <w:t xml:space="preserve">.  </w:t>
      </w:r>
      <w:r w:rsidR="001A2F72">
        <w:rPr>
          <w:i/>
          <w:sz w:val="26"/>
          <w:szCs w:val="26"/>
        </w:rPr>
        <w:t xml:space="preserve">IWP Final </w:t>
      </w:r>
      <w:r w:rsidR="00442F0C" w:rsidRPr="00EE5722">
        <w:rPr>
          <w:i/>
          <w:sz w:val="26"/>
          <w:szCs w:val="26"/>
        </w:rPr>
        <w:t>Order</w:t>
      </w:r>
      <w:r w:rsidR="001A2F72">
        <w:rPr>
          <w:sz w:val="26"/>
          <w:szCs w:val="26"/>
        </w:rPr>
        <w:t xml:space="preserve"> at 60.  </w:t>
      </w:r>
      <w:r w:rsidR="00832FDA" w:rsidRPr="00EE5722">
        <w:rPr>
          <w:sz w:val="26"/>
          <w:szCs w:val="26"/>
        </w:rPr>
        <w:t xml:space="preserve">According to the </w:t>
      </w:r>
      <w:r w:rsidR="00832FDA" w:rsidRPr="00EE5722">
        <w:rPr>
          <w:i/>
          <w:sz w:val="26"/>
          <w:szCs w:val="26"/>
        </w:rPr>
        <w:t xml:space="preserve">IWP </w:t>
      </w:r>
      <w:r w:rsidR="00832FDA">
        <w:rPr>
          <w:i/>
          <w:sz w:val="26"/>
          <w:szCs w:val="26"/>
        </w:rPr>
        <w:t xml:space="preserve">Final </w:t>
      </w:r>
      <w:r w:rsidR="00832FDA" w:rsidRPr="00EE5722">
        <w:rPr>
          <w:i/>
          <w:sz w:val="26"/>
          <w:szCs w:val="26"/>
        </w:rPr>
        <w:t>Order</w:t>
      </w:r>
      <w:r w:rsidR="005969AB" w:rsidRPr="00EE5722">
        <w:rPr>
          <w:sz w:val="26"/>
          <w:szCs w:val="26"/>
          <w:u w:val="single"/>
        </w:rPr>
        <w:fldChar w:fldCharType="begin"/>
      </w:r>
      <w:r w:rsidR="00832FDA" w:rsidRPr="00EE5722">
        <w:rPr>
          <w:sz w:val="26"/>
          <w:szCs w:val="26"/>
        </w:rPr>
        <w:instrText xml:space="preserve"> TA \s "IWP Order" </w:instrText>
      </w:r>
      <w:r w:rsidR="005969AB" w:rsidRPr="00EE5722">
        <w:rPr>
          <w:sz w:val="26"/>
          <w:szCs w:val="26"/>
          <w:u w:val="single"/>
        </w:rPr>
        <w:fldChar w:fldCharType="end"/>
      </w:r>
      <w:r w:rsidR="00832FDA" w:rsidRPr="00EE5722">
        <w:rPr>
          <w:sz w:val="26"/>
          <w:szCs w:val="26"/>
        </w:rPr>
        <w:t xml:space="preserve">, the </w:t>
      </w:r>
      <w:r w:rsidR="00832FDA">
        <w:rPr>
          <w:sz w:val="26"/>
          <w:szCs w:val="26"/>
        </w:rPr>
        <w:t xml:space="preserve">recommended cap is </w:t>
      </w:r>
      <w:r w:rsidR="00832FDA" w:rsidRPr="00EE5722">
        <w:rPr>
          <w:sz w:val="26"/>
          <w:szCs w:val="26"/>
        </w:rPr>
        <w:t xml:space="preserve">50% of an EDC’s </w:t>
      </w:r>
      <w:r w:rsidR="00832FDA" w:rsidRPr="00EE5722">
        <w:rPr>
          <w:sz w:val="26"/>
          <w:szCs w:val="26"/>
        </w:rPr>
        <w:lastRenderedPageBreak/>
        <w:t>default service customer base (non-shopping customers), but there should be no limit on the number of customers</w:t>
      </w:r>
      <w:r w:rsidR="00832FDA">
        <w:rPr>
          <w:sz w:val="26"/>
          <w:szCs w:val="26"/>
        </w:rPr>
        <w:t xml:space="preserve"> an EDC solicits for an opt-in program</w:t>
      </w:r>
      <w:r w:rsidR="00832FDA" w:rsidRPr="00EE5722">
        <w:rPr>
          <w:sz w:val="26"/>
          <w:szCs w:val="26"/>
        </w:rPr>
        <w:t xml:space="preserve">.  </w:t>
      </w:r>
      <w:r w:rsidR="00832FDA" w:rsidRPr="00EE5722">
        <w:rPr>
          <w:i/>
          <w:sz w:val="26"/>
          <w:szCs w:val="26"/>
        </w:rPr>
        <w:t xml:space="preserve">IWP </w:t>
      </w:r>
      <w:r w:rsidR="00832FDA">
        <w:rPr>
          <w:i/>
          <w:sz w:val="26"/>
          <w:szCs w:val="26"/>
        </w:rPr>
        <w:t xml:space="preserve">Final </w:t>
      </w:r>
      <w:r w:rsidR="00832FDA" w:rsidRPr="00EE5722">
        <w:rPr>
          <w:i/>
          <w:sz w:val="26"/>
          <w:szCs w:val="26"/>
        </w:rPr>
        <w:t>Order</w:t>
      </w:r>
      <w:r w:rsidR="005969AB" w:rsidRPr="00EE5722">
        <w:rPr>
          <w:sz w:val="26"/>
          <w:szCs w:val="26"/>
          <w:u w:val="single"/>
        </w:rPr>
        <w:fldChar w:fldCharType="begin"/>
      </w:r>
      <w:r w:rsidR="00832FDA" w:rsidRPr="00EE5722">
        <w:rPr>
          <w:sz w:val="26"/>
          <w:szCs w:val="26"/>
        </w:rPr>
        <w:instrText xml:space="preserve"> TA \s "IWP Order" </w:instrText>
      </w:r>
      <w:r w:rsidR="005969AB" w:rsidRPr="00EE5722">
        <w:rPr>
          <w:sz w:val="26"/>
          <w:szCs w:val="26"/>
          <w:u w:val="single"/>
        </w:rPr>
        <w:fldChar w:fldCharType="end"/>
      </w:r>
      <w:r w:rsidR="00832FDA">
        <w:rPr>
          <w:sz w:val="26"/>
          <w:szCs w:val="26"/>
        </w:rPr>
        <w:t xml:space="preserve"> at 59-60.  </w:t>
      </w:r>
      <w:r w:rsidR="00442F0C" w:rsidRPr="00EE5722">
        <w:rPr>
          <w:sz w:val="26"/>
          <w:szCs w:val="26"/>
        </w:rPr>
        <w:t>The Company</w:t>
      </w:r>
      <w:r w:rsidR="001A2F72">
        <w:rPr>
          <w:sz w:val="26"/>
          <w:szCs w:val="26"/>
        </w:rPr>
        <w:t>’s</w:t>
      </w:r>
      <w:r w:rsidR="00442F0C" w:rsidRPr="00EE5722">
        <w:rPr>
          <w:sz w:val="26"/>
          <w:szCs w:val="26"/>
        </w:rPr>
        <w:t xml:space="preserve"> proposed cap </w:t>
      </w:r>
      <w:r w:rsidR="001A2F72">
        <w:rPr>
          <w:sz w:val="26"/>
          <w:szCs w:val="26"/>
        </w:rPr>
        <w:t xml:space="preserve">also </w:t>
      </w:r>
      <w:r w:rsidR="00442F0C" w:rsidRPr="00EE5722">
        <w:rPr>
          <w:sz w:val="26"/>
          <w:szCs w:val="26"/>
        </w:rPr>
        <w:t>is consisten</w:t>
      </w:r>
      <w:r w:rsidR="001A2F72">
        <w:rPr>
          <w:sz w:val="26"/>
          <w:szCs w:val="26"/>
        </w:rPr>
        <w:t>t with the Commission’s decisions</w:t>
      </w:r>
      <w:r w:rsidR="00442F0C" w:rsidRPr="00EE5722">
        <w:rPr>
          <w:sz w:val="26"/>
          <w:szCs w:val="26"/>
        </w:rPr>
        <w:t xml:space="preserve"> in the </w:t>
      </w:r>
      <w:r w:rsidR="001A2F72">
        <w:rPr>
          <w:i/>
          <w:sz w:val="26"/>
          <w:szCs w:val="26"/>
        </w:rPr>
        <w:t>FirstEnergy DSP</w:t>
      </w:r>
      <w:r w:rsidR="00442F0C" w:rsidRPr="00EE5722">
        <w:rPr>
          <w:i/>
          <w:sz w:val="26"/>
          <w:szCs w:val="26"/>
        </w:rPr>
        <w:t xml:space="preserve"> Order</w:t>
      </w:r>
      <w:r w:rsidR="00442F0C" w:rsidRPr="00EE5722">
        <w:rPr>
          <w:sz w:val="26"/>
          <w:szCs w:val="26"/>
        </w:rPr>
        <w:t xml:space="preserve"> and</w:t>
      </w:r>
      <w:r w:rsidR="001A2F72">
        <w:rPr>
          <w:sz w:val="26"/>
          <w:szCs w:val="26"/>
        </w:rPr>
        <w:t xml:space="preserve"> the</w:t>
      </w:r>
      <w:r w:rsidR="00442F0C" w:rsidRPr="00EE5722">
        <w:rPr>
          <w:sz w:val="26"/>
          <w:szCs w:val="26"/>
        </w:rPr>
        <w:t xml:space="preserve"> </w:t>
      </w:r>
      <w:r w:rsidR="00442F0C" w:rsidRPr="00EE5722">
        <w:rPr>
          <w:i/>
          <w:sz w:val="26"/>
          <w:szCs w:val="26"/>
        </w:rPr>
        <w:t>PECO Binding Poll, Issue 15</w:t>
      </w:r>
      <w:r w:rsidR="001A2F72">
        <w:rPr>
          <w:sz w:val="26"/>
          <w:szCs w:val="26"/>
        </w:rPr>
        <w:t xml:space="preserve">. </w:t>
      </w:r>
    </w:p>
    <w:p w:rsidR="00AA4AF1" w:rsidRPr="00EE5722" w:rsidRDefault="00AA4AF1" w:rsidP="00FA6CFF">
      <w:pPr>
        <w:pStyle w:val="BodyText"/>
        <w:spacing w:after="0" w:line="360" w:lineRule="auto"/>
        <w:ind w:left="0" w:firstLine="0"/>
        <w:rPr>
          <w:sz w:val="26"/>
          <w:szCs w:val="26"/>
        </w:rPr>
      </w:pPr>
    </w:p>
    <w:p w:rsidR="00847E37" w:rsidRPr="00EE5722" w:rsidRDefault="004F65FA" w:rsidP="00115AB3">
      <w:pPr>
        <w:pStyle w:val="Heading5"/>
        <w:numPr>
          <w:ilvl w:val="0"/>
          <w:numId w:val="0"/>
        </w:numPr>
        <w:ind w:left="3600" w:hanging="720"/>
      </w:pPr>
      <w:bookmarkStart w:id="98" w:name="_Toc346705340"/>
      <w:r w:rsidRPr="00EE5722">
        <w:t>ii</w:t>
      </w:r>
      <w:r w:rsidR="008C2293">
        <w:t>.</w:t>
      </w:r>
      <w:r w:rsidR="008C2293">
        <w:tab/>
      </w:r>
      <w:r w:rsidR="00847E37" w:rsidRPr="00EE5722">
        <w:t>Position</w:t>
      </w:r>
      <w:r w:rsidR="008C2293">
        <w:t>s of the Parties</w:t>
      </w:r>
      <w:bookmarkEnd w:id="98"/>
    </w:p>
    <w:p w:rsidR="00B43798" w:rsidRPr="00EE5722" w:rsidRDefault="00B43798" w:rsidP="00911D84">
      <w:pPr>
        <w:keepNext/>
        <w:spacing w:line="360" w:lineRule="auto"/>
        <w:ind w:right="720"/>
        <w:jc w:val="both"/>
        <w:rPr>
          <w:sz w:val="26"/>
          <w:szCs w:val="26"/>
        </w:rPr>
      </w:pPr>
    </w:p>
    <w:p w:rsidR="005E053D" w:rsidRPr="00EE5722" w:rsidRDefault="005B5909" w:rsidP="005B5909">
      <w:pPr>
        <w:spacing w:line="360" w:lineRule="auto"/>
        <w:rPr>
          <w:sz w:val="26"/>
          <w:szCs w:val="26"/>
        </w:rPr>
      </w:pPr>
      <w:r w:rsidRPr="00EE5722">
        <w:rPr>
          <w:sz w:val="26"/>
          <w:szCs w:val="26"/>
        </w:rPr>
        <w:tab/>
      </w:r>
      <w:r w:rsidRPr="00EE5722">
        <w:rPr>
          <w:sz w:val="26"/>
          <w:szCs w:val="26"/>
        </w:rPr>
        <w:tab/>
      </w:r>
      <w:r w:rsidR="00832FDA">
        <w:rPr>
          <w:sz w:val="26"/>
          <w:szCs w:val="26"/>
        </w:rPr>
        <w:t>T</w:t>
      </w:r>
      <w:r w:rsidR="008C2293">
        <w:rPr>
          <w:sz w:val="26"/>
          <w:szCs w:val="26"/>
        </w:rPr>
        <w:t xml:space="preserve">he </w:t>
      </w:r>
      <w:r w:rsidRPr="00EE5722">
        <w:rPr>
          <w:sz w:val="26"/>
          <w:szCs w:val="26"/>
        </w:rPr>
        <w:t>OCA agrees with the Commission’s concerns that the lack of any cap would result in an unreasonable level of uncertainty for whole</w:t>
      </w:r>
      <w:r w:rsidR="008C2293">
        <w:rPr>
          <w:sz w:val="26"/>
          <w:szCs w:val="26"/>
        </w:rPr>
        <w:t>sale</w:t>
      </w:r>
      <w:r w:rsidR="00832FDA">
        <w:rPr>
          <w:sz w:val="26"/>
          <w:szCs w:val="26"/>
        </w:rPr>
        <w:t xml:space="preserve"> suppliers.  </w:t>
      </w:r>
      <w:r w:rsidR="008C2293">
        <w:rPr>
          <w:sz w:val="26"/>
          <w:szCs w:val="26"/>
        </w:rPr>
        <w:t>The OCA submitted</w:t>
      </w:r>
      <w:r w:rsidRPr="00EE5722">
        <w:rPr>
          <w:sz w:val="26"/>
          <w:szCs w:val="26"/>
        </w:rPr>
        <w:t>, however, that</w:t>
      </w:r>
      <w:r w:rsidR="008C2293">
        <w:rPr>
          <w:sz w:val="26"/>
          <w:szCs w:val="26"/>
        </w:rPr>
        <w:t xml:space="preserve"> a 20% cap on participation would</w:t>
      </w:r>
      <w:r w:rsidRPr="00EE5722">
        <w:rPr>
          <w:sz w:val="26"/>
          <w:szCs w:val="26"/>
        </w:rPr>
        <w:t xml:space="preserve"> provide the best opportunity for a successful program, while at the same time properly mitigating potential harm</w:t>
      </w:r>
      <w:r w:rsidR="003E0EAE">
        <w:rPr>
          <w:sz w:val="26"/>
          <w:szCs w:val="26"/>
        </w:rPr>
        <w:t xml:space="preserve"> to default service customers. </w:t>
      </w:r>
      <w:r w:rsidR="00832FDA">
        <w:rPr>
          <w:sz w:val="26"/>
          <w:szCs w:val="26"/>
        </w:rPr>
        <w:t xml:space="preserve"> </w:t>
      </w:r>
      <w:r w:rsidR="008C2293">
        <w:rPr>
          <w:sz w:val="26"/>
          <w:szCs w:val="26"/>
        </w:rPr>
        <w:t xml:space="preserve">The </w:t>
      </w:r>
      <w:r w:rsidR="00D872C4" w:rsidRPr="00EE5722">
        <w:rPr>
          <w:sz w:val="26"/>
          <w:szCs w:val="26"/>
        </w:rPr>
        <w:t>OCA</w:t>
      </w:r>
      <w:r w:rsidR="00832FDA">
        <w:rPr>
          <w:sz w:val="26"/>
          <w:szCs w:val="26"/>
        </w:rPr>
        <w:t xml:space="preserve"> argued that </w:t>
      </w:r>
      <w:r w:rsidRPr="00EE5722">
        <w:rPr>
          <w:sz w:val="26"/>
          <w:szCs w:val="26"/>
        </w:rPr>
        <w:t xml:space="preserve">a 20% customer participation cap is essential to reducing the volumetric risk that the Opt-In Program poses to default service suppliers.  </w:t>
      </w:r>
      <w:r w:rsidR="008C2293">
        <w:rPr>
          <w:sz w:val="26"/>
          <w:szCs w:val="26"/>
        </w:rPr>
        <w:t xml:space="preserve">The </w:t>
      </w:r>
      <w:r w:rsidR="00D872C4" w:rsidRPr="00EE5722">
        <w:rPr>
          <w:sz w:val="26"/>
          <w:szCs w:val="26"/>
        </w:rPr>
        <w:t>OCA</w:t>
      </w:r>
      <w:r w:rsidR="008C2293">
        <w:rPr>
          <w:sz w:val="26"/>
          <w:szCs w:val="26"/>
        </w:rPr>
        <w:t xml:space="preserve"> pointed</w:t>
      </w:r>
      <w:r w:rsidRPr="00EE5722">
        <w:rPr>
          <w:sz w:val="26"/>
          <w:szCs w:val="26"/>
        </w:rPr>
        <w:t xml:space="preserve"> out that Duquesne already has a robust level of retail migratio</w:t>
      </w:r>
      <w:r w:rsidR="00832FDA">
        <w:rPr>
          <w:sz w:val="26"/>
          <w:szCs w:val="26"/>
        </w:rPr>
        <w:t>n, and capturing</w:t>
      </w:r>
      <w:r w:rsidRPr="00EE5722">
        <w:rPr>
          <w:sz w:val="26"/>
          <w:szCs w:val="26"/>
        </w:rPr>
        <w:t xml:space="preserve"> 50% of the remaining default service customers is not necessary to “jump start” this </w:t>
      </w:r>
      <w:r w:rsidR="00832FDA">
        <w:rPr>
          <w:sz w:val="26"/>
          <w:szCs w:val="26"/>
        </w:rPr>
        <w:t xml:space="preserve">already robust </w:t>
      </w:r>
      <w:r w:rsidRPr="00EE5722">
        <w:rPr>
          <w:sz w:val="26"/>
          <w:szCs w:val="26"/>
        </w:rPr>
        <w:t xml:space="preserve">market.  </w:t>
      </w:r>
      <w:r w:rsidR="008C2293">
        <w:rPr>
          <w:sz w:val="26"/>
          <w:szCs w:val="26"/>
        </w:rPr>
        <w:t xml:space="preserve">The </w:t>
      </w:r>
      <w:r w:rsidRPr="00EE5722">
        <w:rPr>
          <w:sz w:val="26"/>
          <w:szCs w:val="26"/>
        </w:rPr>
        <w:t xml:space="preserve">OCA proposed a 20% cap in order to provide a reasonable platform for success of the </w:t>
      </w:r>
      <w:r w:rsidR="0037301E" w:rsidRPr="00EE5722">
        <w:rPr>
          <w:sz w:val="26"/>
          <w:szCs w:val="26"/>
        </w:rPr>
        <w:t>O</w:t>
      </w:r>
      <w:r w:rsidRPr="00EE5722">
        <w:rPr>
          <w:sz w:val="26"/>
          <w:szCs w:val="26"/>
        </w:rPr>
        <w:t>pt-</w:t>
      </w:r>
      <w:r w:rsidR="0037301E" w:rsidRPr="00EE5722">
        <w:rPr>
          <w:sz w:val="26"/>
          <w:szCs w:val="26"/>
        </w:rPr>
        <w:t>I</w:t>
      </w:r>
      <w:r w:rsidRPr="00EE5722">
        <w:rPr>
          <w:sz w:val="26"/>
          <w:szCs w:val="26"/>
        </w:rPr>
        <w:t xml:space="preserve">n </w:t>
      </w:r>
      <w:r w:rsidR="0037301E" w:rsidRPr="00EE5722">
        <w:rPr>
          <w:sz w:val="26"/>
          <w:szCs w:val="26"/>
        </w:rPr>
        <w:t>P</w:t>
      </w:r>
      <w:r w:rsidRPr="00EE5722">
        <w:rPr>
          <w:sz w:val="26"/>
          <w:szCs w:val="26"/>
        </w:rPr>
        <w:t xml:space="preserve">rogram, while at the same time ensuring that default service customers are not harmed.  </w:t>
      </w:r>
    </w:p>
    <w:p w:rsidR="00E6531B" w:rsidRPr="00EE5722" w:rsidRDefault="00E6531B" w:rsidP="005B5909">
      <w:pPr>
        <w:spacing w:line="360" w:lineRule="auto"/>
        <w:rPr>
          <w:sz w:val="26"/>
          <w:szCs w:val="26"/>
        </w:rPr>
      </w:pPr>
    </w:p>
    <w:p w:rsidR="003A41A8" w:rsidRDefault="005E053D" w:rsidP="005B5909">
      <w:pPr>
        <w:spacing w:line="360" w:lineRule="auto"/>
        <w:rPr>
          <w:sz w:val="26"/>
          <w:szCs w:val="26"/>
        </w:rPr>
      </w:pPr>
      <w:r w:rsidRPr="00EE5722">
        <w:rPr>
          <w:sz w:val="26"/>
          <w:szCs w:val="26"/>
        </w:rPr>
        <w:tab/>
      </w:r>
      <w:r w:rsidRPr="00EE5722">
        <w:rPr>
          <w:sz w:val="26"/>
          <w:szCs w:val="26"/>
        </w:rPr>
        <w:tab/>
      </w:r>
      <w:r w:rsidR="00832FDA">
        <w:rPr>
          <w:sz w:val="26"/>
          <w:szCs w:val="26"/>
        </w:rPr>
        <w:t>T</w:t>
      </w:r>
      <w:r w:rsidR="00FA6CFF">
        <w:rPr>
          <w:sz w:val="26"/>
          <w:szCs w:val="26"/>
        </w:rPr>
        <w:t xml:space="preserve">he OCA </w:t>
      </w:r>
      <w:r w:rsidR="008C2293">
        <w:rPr>
          <w:sz w:val="26"/>
          <w:szCs w:val="26"/>
        </w:rPr>
        <w:t>requested that</w:t>
      </w:r>
      <w:r w:rsidR="00832FDA">
        <w:rPr>
          <w:sz w:val="26"/>
          <w:szCs w:val="26"/>
        </w:rPr>
        <w:t xml:space="preserve"> the Commission adopt</w:t>
      </w:r>
      <w:r w:rsidR="005B5909" w:rsidRPr="00EE5722">
        <w:rPr>
          <w:sz w:val="26"/>
          <w:szCs w:val="26"/>
        </w:rPr>
        <w:t xml:space="preserve"> its </w:t>
      </w:r>
      <w:r w:rsidR="00832FDA">
        <w:rPr>
          <w:sz w:val="26"/>
          <w:szCs w:val="26"/>
        </w:rPr>
        <w:t xml:space="preserve">proposed </w:t>
      </w:r>
      <w:r w:rsidR="005B5909" w:rsidRPr="00EE5722">
        <w:rPr>
          <w:sz w:val="26"/>
          <w:szCs w:val="26"/>
        </w:rPr>
        <w:t>method of assigning enrolling customers to participating EGSs</w:t>
      </w:r>
      <w:r w:rsidR="00832FDA">
        <w:rPr>
          <w:sz w:val="26"/>
          <w:szCs w:val="26"/>
        </w:rPr>
        <w:t>, which</w:t>
      </w:r>
      <w:r w:rsidR="005B5909" w:rsidRPr="00EE5722">
        <w:rPr>
          <w:sz w:val="26"/>
          <w:szCs w:val="26"/>
        </w:rPr>
        <w:t xml:space="preserve"> was adopted by Duqu</w:t>
      </w:r>
      <w:r w:rsidR="00832FDA">
        <w:rPr>
          <w:sz w:val="26"/>
          <w:szCs w:val="26"/>
        </w:rPr>
        <w:t>esne in its Rebuttal T</w:t>
      </w:r>
      <w:r w:rsidR="005B5909" w:rsidRPr="00EE5722">
        <w:rPr>
          <w:sz w:val="26"/>
          <w:szCs w:val="26"/>
        </w:rPr>
        <w:t>estimony</w:t>
      </w:r>
      <w:r w:rsidR="00832FDA">
        <w:rPr>
          <w:sz w:val="26"/>
          <w:szCs w:val="26"/>
        </w:rPr>
        <w:t>,</w:t>
      </w:r>
      <w:r w:rsidR="005B5909" w:rsidRPr="00EE5722">
        <w:rPr>
          <w:sz w:val="26"/>
          <w:szCs w:val="26"/>
        </w:rPr>
        <w:t xml:space="preserve"> to better and more fairl</w:t>
      </w:r>
      <w:r w:rsidR="003E0EAE">
        <w:rPr>
          <w:sz w:val="26"/>
          <w:szCs w:val="26"/>
        </w:rPr>
        <w:t>y manage the participation cap.</w:t>
      </w:r>
    </w:p>
    <w:p w:rsidR="008C2293" w:rsidRPr="00EE5722" w:rsidRDefault="008C2293" w:rsidP="005B5909">
      <w:pPr>
        <w:spacing w:line="360" w:lineRule="auto"/>
        <w:rPr>
          <w:sz w:val="26"/>
          <w:szCs w:val="26"/>
        </w:rPr>
      </w:pPr>
    </w:p>
    <w:p w:rsidR="005B5909" w:rsidRDefault="00832FDA" w:rsidP="00FA6CFF">
      <w:pPr>
        <w:pStyle w:val="BodyText2"/>
        <w:spacing w:after="0" w:line="360" w:lineRule="auto"/>
        <w:ind w:firstLine="1440"/>
        <w:rPr>
          <w:sz w:val="26"/>
          <w:szCs w:val="26"/>
        </w:rPr>
      </w:pPr>
      <w:r>
        <w:rPr>
          <w:sz w:val="26"/>
          <w:szCs w:val="26"/>
        </w:rPr>
        <w:t xml:space="preserve">RESA opposed the OCA’s 20% </w:t>
      </w:r>
      <w:r w:rsidR="008C2293" w:rsidRPr="00EE5722">
        <w:rPr>
          <w:sz w:val="26"/>
          <w:szCs w:val="26"/>
        </w:rPr>
        <w:t>customer participation cap</w:t>
      </w:r>
      <w:r w:rsidR="00FA6CFF">
        <w:rPr>
          <w:sz w:val="26"/>
          <w:szCs w:val="26"/>
        </w:rPr>
        <w:t xml:space="preserve"> as it</w:t>
      </w:r>
      <w:r w:rsidR="00020CEA">
        <w:rPr>
          <w:sz w:val="26"/>
          <w:szCs w:val="26"/>
        </w:rPr>
        <w:t xml:space="preserve"> averred</w:t>
      </w:r>
      <w:r>
        <w:rPr>
          <w:sz w:val="26"/>
          <w:szCs w:val="26"/>
        </w:rPr>
        <w:t xml:space="preserve"> that</w:t>
      </w:r>
      <w:r w:rsidRPr="00EE5722">
        <w:rPr>
          <w:sz w:val="26"/>
          <w:szCs w:val="26"/>
        </w:rPr>
        <w:t xml:space="preserve"> </w:t>
      </w:r>
      <w:r w:rsidR="008C2293" w:rsidRPr="00EE5722">
        <w:rPr>
          <w:sz w:val="26"/>
          <w:szCs w:val="26"/>
        </w:rPr>
        <w:t>the law does not mandate that the Commission take steps to keep default rates as low as possible</w:t>
      </w:r>
      <w:r w:rsidR="008C2293">
        <w:rPr>
          <w:sz w:val="26"/>
          <w:szCs w:val="26"/>
        </w:rPr>
        <w:t xml:space="preserve">.  </w:t>
      </w:r>
    </w:p>
    <w:p w:rsidR="008C2293" w:rsidRDefault="008C2293" w:rsidP="00FA6CFF">
      <w:pPr>
        <w:spacing w:line="360" w:lineRule="auto"/>
        <w:rPr>
          <w:sz w:val="26"/>
          <w:szCs w:val="26"/>
        </w:rPr>
      </w:pPr>
    </w:p>
    <w:p w:rsidR="008C2293" w:rsidRDefault="008C2293" w:rsidP="00FA6CFF">
      <w:pPr>
        <w:spacing w:line="360" w:lineRule="auto"/>
        <w:ind w:firstLine="1440"/>
        <w:rPr>
          <w:sz w:val="26"/>
          <w:szCs w:val="26"/>
        </w:rPr>
      </w:pPr>
      <w:r>
        <w:rPr>
          <w:sz w:val="26"/>
          <w:szCs w:val="26"/>
        </w:rPr>
        <w:t>Citizen Power agreed</w:t>
      </w:r>
      <w:r w:rsidRPr="00EE5722">
        <w:rPr>
          <w:sz w:val="26"/>
          <w:szCs w:val="26"/>
        </w:rPr>
        <w:t xml:space="preserve"> with </w:t>
      </w:r>
      <w:r>
        <w:rPr>
          <w:sz w:val="26"/>
          <w:szCs w:val="26"/>
        </w:rPr>
        <w:t xml:space="preserve">the </w:t>
      </w:r>
      <w:r w:rsidRPr="00EE5722">
        <w:rPr>
          <w:sz w:val="26"/>
          <w:szCs w:val="26"/>
        </w:rPr>
        <w:t>OCA that the customer participation cap should be</w:t>
      </w:r>
      <w:r w:rsidR="00020CEA">
        <w:rPr>
          <w:sz w:val="26"/>
          <w:szCs w:val="26"/>
        </w:rPr>
        <w:t xml:space="preserve"> lower than 50%.  </w:t>
      </w:r>
      <w:r w:rsidRPr="00EE5722">
        <w:rPr>
          <w:sz w:val="26"/>
          <w:szCs w:val="26"/>
        </w:rPr>
        <w:t>Citizen Po</w:t>
      </w:r>
      <w:r w:rsidR="00020CEA">
        <w:rPr>
          <w:sz w:val="26"/>
          <w:szCs w:val="26"/>
        </w:rPr>
        <w:t>wer agreed that a high cap could create volumetric</w:t>
      </w:r>
      <w:r w:rsidRPr="00EE5722">
        <w:rPr>
          <w:sz w:val="26"/>
          <w:szCs w:val="26"/>
        </w:rPr>
        <w:t xml:space="preserve"> </w:t>
      </w:r>
      <w:r w:rsidRPr="00EE5722">
        <w:rPr>
          <w:sz w:val="26"/>
          <w:szCs w:val="26"/>
        </w:rPr>
        <w:lastRenderedPageBreak/>
        <w:t>risk for potential default service su</w:t>
      </w:r>
      <w:r w:rsidR="00020CEA">
        <w:rPr>
          <w:sz w:val="26"/>
          <w:szCs w:val="26"/>
        </w:rPr>
        <w:t>pply bidders, and this risk would</w:t>
      </w:r>
      <w:r w:rsidRPr="00EE5722">
        <w:rPr>
          <w:sz w:val="26"/>
          <w:szCs w:val="26"/>
        </w:rPr>
        <w:t xml:space="preserve"> be reflected in the submitted bids.  </w:t>
      </w:r>
    </w:p>
    <w:p w:rsidR="00020CEA" w:rsidRDefault="00020CEA" w:rsidP="008C2293">
      <w:pPr>
        <w:spacing w:line="360" w:lineRule="auto"/>
        <w:ind w:firstLine="1440"/>
        <w:rPr>
          <w:sz w:val="26"/>
          <w:szCs w:val="26"/>
        </w:rPr>
      </w:pPr>
    </w:p>
    <w:p w:rsidR="008C2293" w:rsidRDefault="008C2293" w:rsidP="008C2293">
      <w:pPr>
        <w:pStyle w:val="BodyText2"/>
        <w:spacing w:after="0" w:line="360" w:lineRule="auto"/>
        <w:ind w:firstLine="1440"/>
        <w:rPr>
          <w:sz w:val="26"/>
          <w:szCs w:val="26"/>
        </w:rPr>
      </w:pPr>
      <w:r>
        <w:rPr>
          <w:sz w:val="26"/>
          <w:szCs w:val="26"/>
        </w:rPr>
        <w:t xml:space="preserve">Dominion </w:t>
      </w:r>
      <w:r w:rsidRPr="00EE5722">
        <w:rPr>
          <w:sz w:val="26"/>
          <w:szCs w:val="26"/>
        </w:rPr>
        <w:t>support</w:t>
      </w:r>
      <w:r>
        <w:rPr>
          <w:sz w:val="26"/>
          <w:szCs w:val="26"/>
        </w:rPr>
        <w:t>ed</w:t>
      </w:r>
      <w:r w:rsidRPr="00EE5722">
        <w:rPr>
          <w:sz w:val="26"/>
          <w:szCs w:val="26"/>
        </w:rPr>
        <w:t xml:space="preserve"> the 50% customer p</w:t>
      </w:r>
      <w:r>
        <w:rPr>
          <w:sz w:val="26"/>
          <w:szCs w:val="26"/>
        </w:rPr>
        <w:t>articipation cap proposed by Duquesne</w:t>
      </w:r>
      <w:r w:rsidRPr="00EE5722">
        <w:rPr>
          <w:sz w:val="26"/>
          <w:szCs w:val="26"/>
        </w:rPr>
        <w:t>.</w:t>
      </w:r>
    </w:p>
    <w:p w:rsidR="008C2293" w:rsidRDefault="006D3BB7" w:rsidP="00FA6CFF">
      <w:pPr>
        <w:spacing w:line="360" w:lineRule="auto"/>
        <w:ind w:firstLine="1440"/>
        <w:rPr>
          <w:sz w:val="26"/>
          <w:szCs w:val="26"/>
        </w:rPr>
      </w:pPr>
      <w:r>
        <w:rPr>
          <w:sz w:val="26"/>
          <w:szCs w:val="26"/>
        </w:rPr>
        <w:t>The OSBA, CAUSE, DII</w:t>
      </w:r>
      <w:r w:rsidR="008F3443">
        <w:rPr>
          <w:sz w:val="26"/>
          <w:szCs w:val="26"/>
        </w:rPr>
        <w:t xml:space="preserve">, FES and Constellation </w:t>
      </w:r>
      <w:r>
        <w:rPr>
          <w:sz w:val="26"/>
          <w:szCs w:val="26"/>
        </w:rPr>
        <w:t>t</w:t>
      </w:r>
      <w:r w:rsidR="00020CEA">
        <w:rPr>
          <w:sz w:val="26"/>
          <w:szCs w:val="26"/>
        </w:rPr>
        <w:t xml:space="preserve">ook no position on this issue. </w:t>
      </w:r>
    </w:p>
    <w:p w:rsidR="006D3BB7" w:rsidRPr="00EE5722" w:rsidRDefault="00636B2F" w:rsidP="00FA6CFF">
      <w:pPr>
        <w:spacing w:line="360" w:lineRule="auto"/>
        <w:ind w:firstLine="1440"/>
        <w:rPr>
          <w:sz w:val="26"/>
          <w:szCs w:val="26"/>
        </w:rPr>
      </w:pPr>
      <w:r>
        <w:rPr>
          <w:sz w:val="26"/>
          <w:szCs w:val="26"/>
        </w:rPr>
        <w:tab/>
      </w:r>
    </w:p>
    <w:p w:rsidR="00884AFB" w:rsidRPr="00EE5722" w:rsidRDefault="003A41A8" w:rsidP="00115AB3">
      <w:pPr>
        <w:pStyle w:val="Heading5"/>
        <w:numPr>
          <w:ilvl w:val="0"/>
          <w:numId w:val="0"/>
        </w:numPr>
        <w:ind w:left="3600" w:hanging="720"/>
      </w:pPr>
      <w:bookmarkStart w:id="99" w:name="_Toc346705341"/>
      <w:r w:rsidRPr="00EE5722">
        <w:t>iii</w:t>
      </w:r>
      <w:r w:rsidR="006D3BB7">
        <w:t>.</w:t>
      </w:r>
      <w:r w:rsidR="006D3BB7">
        <w:tab/>
        <w:t>ALJ’s Recommendation</w:t>
      </w:r>
      <w:bookmarkEnd w:id="99"/>
      <w:r w:rsidR="00FA6CFF">
        <w:t xml:space="preserve"> </w:t>
      </w:r>
    </w:p>
    <w:p w:rsidR="006D3BB7" w:rsidRDefault="006D3BB7" w:rsidP="006D3BB7">
      <w:pPr>
        <w:pStyle w:val="BodyText"/>
        <w:spacing w:after="0" w:line="360" w:lineRule="auto"/>
        <w:ind w:left="0" w:firstLine="0"/>
        <w:rPr>
          <w:color w:val="000000" w:themeColor="text1"/>
          <w:sz w:val="26"/>
          <w:szCs w:val="26"/>
        </w:rPr>
      </w:pPr>
    </w:p>
    <w:p w:rsidR="00085C3A" w:rsidRPr="00FA6CFF" w:rsidRDefault="006D3BB7" w:rsidP="00FA6CFF">
      <w:pPr>
        <w:pStyle w:val="BodyText"/>
        <w:spacing w:after="0" w:line="360" w:lineRule="auto"/>
        <w:ind w:left="0"/>
        <w:rPr>
          <w:color w:val="000000" w:themeColor="text1"/>
          <w:sz w:val="26"/>
          <w:szCs w:val="26"/>
        </w:rPr>
      </w:pPr>
      <w:r>
        <w:rPr>
          <w:color w:val="000000" w:themeColor="text1"/>
          <w:sz w:val="26"/>
          <w:szCs w:val="26"/>
        </w:rPr>
        <w:t xml:space="preserve">The ALJ </w:t>
      </w:r>
      <w:r w:rsidRPr="00EE5722">
        <w:rPr>
          <w:color w:val="000000" w:themeColor="text1"/>
          <w:sz w:val="26"/>
          <w:szCs w:val="26"/>
        </w:rPr>
        <w:t>re</w:t>
      </w:r>
      <w:r>
        <w:rPr>
          <w:color w:val="000000" w:themeColor="text1"/>
          <w:sz w:val="26"/>
          <w:szCs w:val="26"/>
        </w:rPr>
        <w:t>commended approving Duquesne</w:t>
      </w:r>
      <w:r w:rsidRPr="00EE5722">
        <w:rPr>
          <w:color w:val="000000" w:themeColor="text1"/>
          <w:sz w:val="26"/>
          <w:szCs w:val="26"/>
        </w:rPr>
        <w:t>’s proposal to</w:t>
      </w:r>
      <w:r w:rsidR="00020CEA">
        <w:rPr>
          <w:color w:val="000000" w:themeColor="text1"/>
          <w:sz w:val="26"/>
          <w:szCs w:val="26"/>
        </w:rPr>
        <w:t xml:space="preserve"> cap customer participation at 50% of </w:t>
      </w:r>
      <w:r w:rsidRPr="00EE5722">
        <w:rPr>
          <w:color w:val="000000" w:themeColor="text1"/>
          <w:sz w:val="26"/>
          <w:szCs w:val="26"/>
        </w:rPr>
        <w:t>remaining default service customers</w:t>
      </w:r>
      <w:r w:rsidR="00FA6CFF">
        <w:rPr>
          <w:color w:val="000000" w:themeColor="text1"/>
          <w:sz w:val="26"/>
          <w:szCs w:val="26"/>
        </w:rPr>
        <w:t xml:space="preserve">, </w:t>
      </w:r>
      <w:r w:rsidRPr="00EE5722">
        <w:rPr>
          <w:color w:val="000000" w:themeColor="text1"/>
          <w:sz w:val="26"/>
          <w:szCs w:val="26"/>
        </w:rPr>
        <w:t>other than customers who elected not to release customer information and</w:t>
      </w:r>
      <w:r w:rsidR="00020CEA">
        <w:rPr>
          <w:color w:val="000000" w:themeColor="text1"/>
          <w:sz w:val="26"/>
          <w:szCs w:val="26"/>
        </w:rPr>
        <w:t xml:space="preserve"> </w:t>
      </w:r>
      <w:r w:rsidRPr="00EE5722">
        <w:rPr>
          <w:color w:val="000000" w:themeColor="text1"/>
          <w:sz w:val="26"/>
          <w:szCs w:val="26"/>
        </w:rPr>
        <w:t xml:space="preserve">CAP customers.  </w:t>
      </w:r>
      <w:r>
        <w:rPr>
          <w:color w:val="000000" w:themeColor="text1"/>
          <w:sz w:val="26"/>
          <w:szCs w:val="26"/>
        </w:rPr>
        <w:t xml:space="preserve">The </w:t>
      </w:r>
      <w:r w:rsidR="00020CEA">
        <w:rPr>
          <w:color w:val="000000" w:themeColor="text1"/>
          <w:sz w:val="26"/>
          <w:szCs w:val="26"/>
        </w:rPr>
        <w:t>ALJ concluded that the OCA</w:t>
      </w:r>
      <w:r w:rsidR="00895706">
        <w:rPr>
          <w:color w:val="000000" w:themeColor="text1"/>
          <w:sz w:val="26"/>
          <w:szCs w:val="26"/>
        </w:rPr>
        <w:t>’s</w:t>
      </w:r>
      <w:r w:rsidR="00020CEA">
        <w:rPr>
          <w:color w:val="000000" w:themeColor="text1"/>
          <w:sz w:val="26"/>
          <w:szCs w:val="26"/>
        </w:rPr>
        <w:t xml:space="preserve"> proposed 20% cap would not provide </w:t>
      </w:r>
      <w:r w:rsidRPr="00EE5722">
        <w:rPr>
          <w:color w:val="000000" w:themeColor="text1"/>
          <w:sz w:val="26"/>
          <w:szCs w:val="26"/>
        </w:rPr>
        <w:t xml:space="preserve">a sufficiently </w:t>
      </w:r>
      <w:r w:rsidR="00E64104">
        <w:rPr>
          <w:color w:val="000000" w:themeColor="text1"/>
          <w:sz w:val="26"/>
          <w:szCs w:val="26"/>
        </w:rPr>
        <w:t xml:space="preserve">large customer </w:t>
      </w:r>
      <w:r w:rsidRPr="00EE5722">
        <w:rPr>
          <w:color w:val="000000" w:themeColor="text1"/>
          <w:sz w:val="26"/>
          <w:szCs w:val="26"/>
        </w:rPr>
        <w:t>pool</w:t>
      </w:r>
      <w:r w:rsidR="00E64104">
        <w:rPr>
          <w:color w:val="000000" w:themeColor="text1"/>
          <w:sz w:val="26"/>
          <w:szCs w:val="26"/>
        </w:rPr>
        <w:t>.  In the ALJ’s opinion, t</w:t>
      </w:r>
      <w:r w:rsidRPr="00EE5722">
        <w:rPr>
          <w:color w:val="000000" w:themeColor="text1"/>
          <w:sz w:val="26"/>
          <w:szCs w:val="26"/>
        </w:rPr>
        <w:t>here must be transparency for wholesale default service suppliers as they prepare bids</w:t>
      </w:r>
      <w:r w:rsidR="00E64104">
        <w:rPr>
          <w:color w:val="000000" w:themeColor="text1"/>
          <w:sz w:val="26"/>
          <w:szCs w:val="26"/>
        </w:rPr>
        <w:t>,</w:t>
      </w:r>
      <w:r w:rsidRPr="00EE5722">
        <w:rPr>
          <w:color w:val="000000" w:themeColor="text1"/>
          <w:sz w:val="26"/>
          <w:szCs w:val="26"/>
        </w:rPr>
        <w:t xml:space="preserve"> plus some level of certainty to those EGSs opting to participa</w:t>
      </w:r>
      <w:r w:rsidR="00E64104">
        <w:rPr>
          <w:color w:val="000000" w:themeColor="text1"/>
          <w:sz w:val="26"/>
          <w:szCs w:val="26"/>
        </w:rPr>
        <w:t>te in the Opt-In Program</w:t>
      </w:r>
      <w:r w:rsidRPr="00EE5722">
        <w:rPr>
          <w:color w:val="000000" w:themeColor="text1"/>
          <w:sz w:val="26"/>
          <w:szCs w:val="26"/>
        </w:rPr>
        <w:t xml:space="preserve">.  </w:t>
      </w:r>
      <w:r w:rsidR="00E64104">
        <w:rPr>
          <w:color w:val="000000" w:themeColor="text1"/>
          <w:sz w:val="26"/>
          <w:szCs w:val="26"/>
        </w:rPr>
        <w:t xml:space="preserve">The ALJ concluded that a 50% </w:t>
      </w:r>
      <w:r w:rsidRPr="00EE5722">
        <w:rPr>
          <w:color w:val="000000" w:themeColor="text1"/>
          <w:sz w:val="26"/>
          <w:szCs w:val="26"/>
        </w:rPr>
        <w:t xml:space="preserve">cap will work towards meeting those goals.  In addition, </w:t>
      </w:r>
      <w:r w:rsidR="00E64104">
        <w:rPr>
          <w:color w:val="000000" w:themeColor="text1"/>
          <w:sz w:val="26"/>
          <w:szCs w:val="26"/>
        </w:rPr>
        <w:t xml:space="preserve">Duquesne’s </w:t>
      </w:r>
      <w:r w:rsidRPr="00EE5722">
        <w:rPr>
          <w:color w:val="000000" w:themeColor="text1"/>
          <w:sz w:val="26"/>
          <w:szCs w:val="26"/>
        </w:rPr>
        <w:t xml:space="preserve">proposed </w:t>
      </w:r>
      <w:r w:rsidR="00E64104">
        <w:rPr>
          <w:color w:val="000000" w:themeColor="text1"/>
          <w:sz w:val="26"/>
          <w:szCs w:val="26"/>
        </w:rPr>
        <w:t xml:space="preserve">50% </w:t>
      </w:r>
      <w:r w:rsidRPr="00EE5722">
        <w:rPr>
          <w:color w:val="000000" w:themeColor="text1"/>
          <w:sz w:val="26"/>
          <w:szCs w:val="26"/>
        </w:rPr>
        <w:t xml:space="preserve">cap is consistent with </w:t>
      </w:r>
      <w:r w:rsidR="00E64104">
        <w:rPr>
          <w:color w:val="000000" w:themeColor="text1"/>
          <w:sz w:val="26"/>
          <w:szCs w:val="26"/>
        </w:rPr>
        <w:t xml:space="preserve">the Commission’s decisions </w:t>
      </w:r>
      <w:r w:rsidRPr="00EE5722">
        <w:rPr>
          <w:color w:val="000000" w:themeColor="text1"/>
          <w:sz w:val="26"/>
          <w:szCs w:val="26"/>
        </w:rPr>
        <w:t xml:space="preserve">in the FirstEnergy </w:t>
      </w:r>
      <w:r w:rsidR="00FA6CFF">
        <w:rPr>
          <w:color w:val="000000" w:themeColor="text1"/>
          <w:sz w:val="26"/>
          <w:szCs w:val="26"/>
        </w:rPr>
        <w:t xml:space="preserve">DSP </w:t>
      </w:r>
      <w:r w:rsidRPr="00EE5722">
        <w:rPr>
          <w:color w:val="000000" w:themeColor="text1"/>
          <w:sz w:val="26"/>
          <w:szCs w:val="26"/>
        </w:rPr>
        <w:t xml:space="preserve">and PECO </w:t>
      </w:r>
      <w:r w:rsidR="00E64104">
        <w:rPr>
          <w:color w:val="000000" w:themeColor="text1"/>
          <w:sz w:val="26"/>
          <w:szCs w:val="26"/>
        </w:rPr>
        <w:t xml:space="preserve">DSP </w:t>
      </w:r>
      <w:r w:rsidRPr="00EE5722">
        <w:rPr>
          <w:color w:val="000000" w:themeColor="text1"/>
          <w:sz w:val="26"/>
          <w:szCs w:val="26"/>
        </w:rPr>
        <w:t xml:space="preserve">proceedings.  Therefore, </w:t>
      </w:r>
      <w:r w:rsidR="00E64104">
        <w:rPr>
          <w:color w:val="000000" w:themeColor="text1"/>
          <w:sz w:val="26"/>
          <w:szCs w:val="26"/>
        </w:rPr>
        <w:t xml:space="preserve">the ALJ recommended that </w:t>
      </w:r>
      <w:r w:rsidRPr="00EE5722">
        <w:rPr>
          <w:color w:val="000000" w:themeColor="text1"/>
          <w:sz w:val="26"/>
          <w:szCs w:val="26"/>
        </w:rPr>
        <w:t>the 50% customer participation cap should be approved.</w:t>
      </w:r>
      <w:r w:rsidR="00FA6CFF">
        <w:rPr>
          <w:color w:val="000000" w:themeColor="text1"/>
          <w:sz w:val="26"/>
          <w:szCs w:val="26"/>
        </w:rPr>
        <w:t xml:space="preserve">  R.D. at 87.</w:t>
      </w:r>
    </w:p>
    <w:p w:rsidR="005E3F58" w:rsidRPr="00EE5722" w:rsidRDefault="005E3F58" w:rsidP="00FA6CFF">
      <w:pPr>
        <w:pStyle w:val="BodyText"/>
        <w:spacing w:after="0" w:line="360" w:lineRule="auto"/>
        <w:ind w:left="0" w:firstLine="0"/>
        <w:rPr>
          <w:sz w:val="26"/>
          <w:szCs w:val="26"/>
        </w:rPr>
      </w:pPr>
    </w:p>
    <w:p w:rsidR="005E3F58" w:rsidRPr="00EE5722" w:rsidRDefault="003A41A8" w:rsidP="00115AB3">
      <w:pPr>
        <w:pStyle w:val="Heading5"/>
        <w:numPr>
          <w:ilvl w:val="0"/>
          <w:numId w:val="0"/>
        </w:numPr>
        <w:ind w:left="3600" w:hanging="720"/>
      </w:pPr>
      <w:bookmarkStart w:id="100" w:name="_Toc346705342"/>
      <w:r w:rsidRPr="00EE5722">
        <w:t>iv</w:t>
      </w:r>
      <w:r w:rsidR="006D3BB7">
        <w:t>.</w:t>
      </w:r>
      <w:r w:rsidR="006D3BB7">
        <w:tab/>
        <w:t>Exceptions</w:t>
      </w:r>
      <w:bookmarkEnd w:id="100"/>
    </w:p>
    <w:p w:rsidR="00833501" w:rsidRPr="00EE5722" w:rsidRDefault="00833501" w:rsidP="00FA6CFF">
      <w:pPr>
        <w:pStyle w:val="BodyText2"/>
        <w:spacing w:after="0" w:line="360" w:lineRule="auto"/>
        <w:rPr>
          <w:sz w:val="26"/>
          <w:szCs w:val="26"/>
        </w:rPr>
      </w:pPr>
    </w:p>
    <w:p w:rsidR="002D340E" w:rsidRDefault="002D340E" w:rsidP="00FA6CFF">
      <w:pPr>
        <w:spacing w:line="360" w:lineRule="auto"/>
        <w:ind w:firstLine="1440"/>
        <w:rPr>
          <w:sz w:val="26"/>
          <w:szCs w:val="26"/>
        </w:rPr>
      </w:pPr>
      <w:r>
        <w:rPr>
          <w:sz w:val="26"/>
          <w:szCs w:val="26"/>
        </w:rPr>
        <w:t>The OCA submits that the ALJ erred by not a</w:t>
      </w:r>
      <w:r w:rsidR="00E64104">
        <w:rPr>
          <w:sz w:val="26"/>
          <w:szCs w:val="26"/>
        </w:rPr>
        <w:t>dopting the OCA’s proposed 20% customer participation c</w:t>
      </w:r>
      <w:r>
        <w:rPr>
          <w:sz w:val="26"/>
          <w:szCs w:val="26"/>
        </w:rPr>
        <w:t xml:space="preserve">ap for the Opt-In Program.  </w:t>
      </w:r>
      <w:r w:rsidRPr="002D340E">
        <w:rPr>
          <w:sz w:val="26"/>
          <w:szCs w:val="26"/>
        </w:rPr>
        <w:t>The OCA’s</w:t>
      </w:r>
      <w:r w:rsidR="00E64104">
        <w:rPr>
          <w:sz w:val="26"/>
          <w:szCs w:val="26"/>
        </w:rPr>
        <w:t xml:space="preserve"> primary concern is that a larger number of potential Opt-In </w:t>
      </w:r>
      <w:r w:rsidRPr="002D340E">
        <w:rPr>
          <w:sz w:val="26"/>
          <w:szCs w:val="26"/>
        </w:rPr>
        <w:t>Program enrol</w:t>
      </w:r>
      <w:r w:rsidR="00E64104">
        <w:rPr>
          <w:sz w:val="26"/>
          <w:szCs w:val="26"/>
        </w:rPr>
        <w:t>lees will create uncertainty for wholesale</w:t>
      </w:r>
      <w:r w:rsidRPr="002D340E">
        <w:rPr>
          <w:sz w:val="26"/>
          <w:szCs w:val="26"/>
        </w:rPr>
        <w:t xml:space="preserve"> suppliers bidding in Duquesne’s residential default service auctions that will take plac</w:t>
      </w:r>
      <w:r w:rsidR="00E64104">
        <w:rPr>
          <w:sz w:val="26"/>
          <w:szCs w:val="26"/>
        </w:rPr>
        <w:t xml:space="preserve">e prior to commencement of the Program.  </w:t>
      </w:r>
      <w:r w:rsidR="00FA6CFF">
        <w:rPr>
          <w:sz w:val="26"/>
          <w:szCs w:val="26"/>
        </w:rPr>
        <w:t>According to the OCA, s</w:t>
      </w:r>
      <w:r w:rsidR="00E64104">
        <w:rPr>
          <w:sz w:val="26"/>
          <w:szCs w:val="26"/>
        </w:rPr>
        <w:t xml:space="preserve">uch uncertainty </w:t>
      </w:r>
      <w:r w:rsidRPr="002D340E">
        <w:rPr>
          <w:sz w:val="26"/>
          <w:szCs w:val="26"/>
        </w:rPr>
        <w:t xml:space="preserve">likely </w:t>
      </w:r>
      <w:r w:rsidR="00E64104">
        <w:rPr>
          <w:sz w:val="26"/>
          <w:szCs w:val="26"/>
        </w:rPr>
        <w:t xml:space="preserve">will </w:t>
      </w:r>
      <w:r w:rsidRPr="002D340E">
        <w:rPr>
          <w:sz w:val="26"/>
          <w:szCs w:val="26"/>
        </w:rPr>
        <w:t>increase the level</w:t>
      </w:r>
      <w:r w:rsidR="00E64104">
        <w:rPr>
          <w:sz w:val="26"/>
          <w:szCs w:val="26"/>
        </w:rPr>
        <w:t xml:space="preserve"> of risk premiums that such </w:t>
      </w:r>
      <w:r w:rsidRPr="002D340E">
        <w:rPr>
          <w:sz w:val="26"/>
          <w:szCs w:val="26"/>
        </w:rPr>
        <w:t xml:space="preserve">suppliers will include </w:t>
      </w:r>
      <w:r w:rsidRPr="002D340E">
        <w:rPr>
          <w:sz w:val="26"/>
          <w:szCs w:val="26"/>
        </w:rPr>
        <w:lastRenderedPageBreak/>
        <w:t>in their default service bids, thereby increasing the price of</w:t>
      </w:r>
      <w:r w:rsidR="00FA6CFF">
        <w:rPr>
          <w:sz w:val="26"/>
          <w:szCs w:val="26"/>
        </w:rPr>
        <w:t xml:space="preserve"> defaul</w:t>
      </w:r>
      <w:r w:rsidR="00911D84">
        <w:rPr>
          <w:sz w:val="26"/>
          <w:szCs w:val="26"/>
        </w:rPr>
        <w:t>t service.  OCA Exc. at </w:t>
      </w:r>
      <w:r w:rsidR="00FA6CFF">
        <w:rPr>
          <w:sz w:val="26"/>
          <w:szCs w:val="26"/>
        </w:rPr>
        <w:t xml:space="preserve">7.  </w:t>
      </w:r>
    </w:p>
    <w:p w:rsidR="00E64104" w:rsidRPr="002D340E" w:rsidRDefault="00E64104" w:rsidP="00FA6CFF">
      <w:pPr>
        <w:spacing w:line="360" w:lineRule="auto"/>
        <w:ind w:firstLine="1440"/>
        <w:rPr>
          <w:sz w:val="26"/>
          <w:szCs w:val="26"/>
        </w:rPr>
      </w:pPr>
    </w:p>
    <w:p w:rsidR="002D340E" w:rsidRPr="00FA6CFF" w:rsidRDefault="00E64104" w:rsidP="005A6535">
      <w:pPr>
        <w:spacing w:line="360" w:lineRule="auto"/>
        <w:rPr>
          <w:sz w:val="26"/>
          <w:szCs w:val="26"/>
        </w:rPr>
      </w:pPr>
      <w:r>
        <w:rPr>
          <w:sz w:val="26"/>
          <w:szCs w:val="26"/>
        </w:rPr>
        <w:tab/>
      </w:r>
      <w:r>
        <w:rPr>
          <w:sz w:val="26"/>
          <w:szCs w:val="26"/>
        </w:rPr>
        <w:tab/>
        <w:t>The OCA</w:t>
      </w:r>
      <w:r w:rsidR="00FA6CFF">
        <w:rPr>
          <w:sz w:val="26"/>
          <w:szCs w:val="26"/>
        </w:rPr>
        <w:t xml:space="preserve"> argues that it</w:t>
      </w:r>
      <w:r>
        <w:rPr>
          <w:sz w:val="26"/>
          <w:szCs w:val="26"/>
        </w:rPr>
        <w:t>s proposed 20% customer participation cap</w:t>
      </w:r>
      <w:r w:rsidR="002D340E" w:rsidRPr="002D340E">
        <w:rPr>
          <w:sz w:val="26"/>
          <w:szCs w:val="26"/>
        </w:rPr>
        <w:t xml:space="preserve"> is designed to curb the risk of increased default service prices, while ensuring a successful Opt-In Program for all stakeholders.  </w:t>
      </w:r>
      <w:r w:rsidR="00FA6CFF">
        <w:rPr>
          <w:sz w:val="26"/>
          <w:szCs w:val="26"/>
        </w:rPr>
        <w:t>The OCA avers that a</w:t>
      </w:r>
      <w:r w:rsidR="002D340E" w:rsidRPr="002D340E">
        <w:rPr>
          <w:sz w:val="26"/>
          <w:szCs w:val="26"/>
        </w:rPr>
        <w:t xml:space="preserve"> 20% customer participation cap would provide a better level of load certainty for FRC suppliers.  </w:t>
      </w:r>
      <w:r w:rsidR="00FA6CFF">
        <w:rPr>
          <w:sz w:val="26"/>
          <w:szCs w:val="26"/>
        </w:rPr>
        <w:t>According to the OCA, i</w:t>
      </w:r>
      <w:r w:rsidR="002D340E" w:rsidRPr="002D340E">
        <w:rPr>
          <w:sz w:val="26"/>
          <w:szCs w:val="26"/>
        </w:rPr>
        <w:t xml:space="preserve">f the cap is reached and additional customers exhibit interest in the program, EGSs could make similar offers to the additional customers directly, outside of the program.  </w:t>
      </w:r>
      <w:r w:rsidR="00FA6CFF">
        <w:rPr>
          <w:sz w:val="26"/>
          <w:szCs w:val="26"/>
        </w:rPr>
        <w:t xml:space="preserve">As such, the OCA </w:t>
      </w:r>
      <w:r w:rsidR="002D340E" w:rsidRPr="002D340E">
        <w:rPr>
          <w:sz w:val="26"/>
          <w:szCs w:val="26"/>
        </w:rPr>
        <w:t>requests the Commission to review the substantial evidence provided by the OCA on this issue and adopt the OCA’s recommendation to implement a 20% customer participation cap for Duquesne’s Opt-In Program.</w:t>
      </w:r>
      <w:r w:rsidR="00FA6CFF">
        <w:rPr>
          <w:sz w:val="26"/>
          <w:szCs w:val="26"/>
        </w:rPr>
        <w:t xml:space="preserve">  </w:t>
      </w:r>
      <w:r w:rsidR="00FA6CFF">
        <w:rPr>
          <w:i/>
          <w:sz w:val="26"/>
          <w:szCs w:val="26"/>
        </w:rPr>
        <w:t xml:space="preserve">Id. </w:t>
      </w:r>
      <w:r w:rsidR="00FA6CFF">
        <w:rPr>
          <w:sz w:val="26"/>
          <w:szCs w:val="26"/>
        </w:rPr>
        <w:t xml:space="preserve">at </w:t>
      </w:r>
      <w:r w:rsidR="0058313B">
        <w:rPr>
          <w:sz w:val="26"/>
          <w:szCs w:val="26"/>
        </w:rPr>
        <w:t>8-9.</w:t>
      </w:r>
    </w:p>
    <w:p w:rsidR="00833501" w:rsidRPr="002D340E" w:rsidRDefault="00833501" w:rsidP="002D340E">
      <w:pPr>
        <w:pStyle w:val="BodyText"/>
        <w:spacing w:after="0" w:line="360" w:lineRule="auto"/>
        <w:ind w:left="0" w:firstLine="0"/>
        <w:rPr>
          <w:sz w:val="26"/>
          <w:szCs w:val="26"/>
        </w:rPr>
      </w:pPr>
    </w:p>
    <w:p w:rsidR="00D34BF9" w:rsidRPr="00305848" w:rsidRDefault="00636B2F" w:rsidP="00115AB3">
      <w:pPr>
        <w:pStyle w:val="Heading5"/>
        <w:numPr>
          <w:ilvl w:val="0"/>
          <w:numId w:val="0"/>
        </w:numPr>
        <w:ind w:left="3600" w:hanging="720"/>
      </w:pPr>
      <w:bookmarkStart w:id="101" w:name="_Toc346705343"/>
      <w:r>
        <w:t>v.</w:t>
      </w:r>
      <w:r>
        <w:tab/>
      </w:r>
      <w:r w:rsidR="006D3BB7" w:rsidRPr="00943CB7">
        <w:t>Reply Exceptions</w:t>
      </w:r>
      <w:bookmarkEnd w:id="101"/>
    </w:p>
    <w:p w:rsidR="00305848" w:rsidRPr="00D34BF9" w:rsidRDefault="00305848" w:rsidP="008A6B3F">
      <w:pPr>
        <w:pStyle w:val="BriefL3"/>
        <w:numPr>
          <w:ilvl w:val="0"/>
          <w:numId w:val="0"/>
        </w:numPr>
        <w:spacing w:after="0" w:line="360" w:lineRule="auto"/>
        <w:ind w:left="2880"/>
        <w:rPr>
          <w:b/>
        </w:rPr>
      </w:pPr>
    </w:p>
    <w:p w:rsidR="00305848" w:rsidRPr="00E64104" w:rsidRDefault="00305848" w:rsidP="008A6B3F">
      <w:pPr>
        <w:pStyle w:val="BodyText2"/>
        <w:spacing w:after="0" w:line="360" w:lineRule="auto"/>
        <w:ind w:firstLine="1440"/>
        <w:rPr>
          <w:sz w:val="26"/>
          <w:szCs w:val="26"/>
        </w:rPr>
      </w:pPr>
      <w:r w:rsidRPr="00305848">
        <w:rPr>
          <w:sz w:val="26"/>
          <w:szCs w:val="26"/>
        </w:rPr>
        <w:t>In its Reply Exceptions, Duquesne argues that the ALJ properly rejected the OCA’s proposal to impose a 20% customer participat</w:t>
      </w:r>
      <w:r w:rsidR="00CA5338">
        <w:rPr>
          <w:sz w:val="26"/>
          <w:szCs w:val="26"/>
        </w:rPr>
        <w:t xml:space="preserve">ion cap on the Opt-In Program. </w:t>
      </w:r>
      <w:r w:rsidRPr="00305848">
        <w:rPr>
          <w:sz w:val="26"/>
          <w:szCs w:val="26"/>
        </w:rPr>
        <w:t>Duquesne states that the Commission denied the OCA’s proposal for a 20% customer participation cap in both</w:t>
      </w:r>
      <w:r w:rsidR="008A6B3F">
        <w:rPr>
          <w:sz w:val="26"/>
          <w:szCs w:val="26"/>
        </w:rPr>
        <w:t xml:space="preserve"> the FirstEnergy</w:t>
      </w:r>
      <w:r w:rsidR="00E64104">
        <w:rPr>
          <w:sz w:val="26"/>
          <w:szCs w:val="26"/>
        </w:rPr>
        <w:t xml:space="preserve"> </w:t>
      </w:r>
      <w:r w:rsidR="008A6B3F">
        <w:rPr>
          <w:sz w:val="26"/>
          <w:szCs w:val="26"/>
        </w:rPr>
        <w:t xml:space="preserve">DSP </w:t>
      </w:r>
      <w:r w:rsidR="00E64104">
        <w:rPr>
          <w:sz w:val="26"/>
          <w:szCs w:val="26"/>
        </w:rPr>
        <w:t>and PECO DSP</w:t>
      </w:r>
      <w:r w:rsidRPr="00305848">
        <w:rPr>
          <w:sz w:val="26"/>
          <w:szCs w:val="26"/>
        </w:rPr>
        <w:t xml:space="preserve"> proceedings, and submits that the OCA’s proposal should be denied in this proceeding as well.  </w:t>
      </w:r>
      <w:r w:rsidR="000E5AC4">
        <w:rPr>
          <w:i/>
          <w:sz w:val="26"/>
          <w:szCs w:val="26"/>
        </w:rPr>
        <w:t>FirstEnergy</w:t>
      </w:r>
      <w:r w:rsidRPr="00305848">
        <w:rPr>
          <w:i/>
          <w:sz w:val="26"/>
          <w:szCs w:val="26"/>
        </w:rPr>
        <w:t xml:space="preserve"> </w:t>
      </w:r>
      <w:r w:rsidR="00E64104">
        <w:rPr>
          <w:i/>
          <w:sz w:val="26"/>
          <w:szCs w:val="26"/>
        </w:rPr>
        <w:t xml:space="preserve">DSP </w:t>
      </w:r>
      <w:r w:rsidRPr="00305848">
        <w:rPr>
          <w:i/>
          <w:sz w:val="26"/>
          <w:szCs w:val="26"/>
        </w:rPr>
        <w:t>Order</w:t>
      </w:r>
      <w:r w:rsidRPr="00305848">
        <w:rPr>
          <w:sz w:val="26"/>
          <w:szCs w:val="26"/>
        </w:rPr>
        <w:t xml:space="preserve"> at 112; </w:t>
      </w:r>
      <w:r w:rsidRPr="00305848">
        <w:rPr>
          <w:i/>
          <w:sz w:val="26"/>
          <w:szCs w:val="26"/>
        </w:rPr>
        <w:t xml:space="preserve">PECO </w:t>
      </w:r>
      <w:r w:rsidR="00E64104">
        <w:rPr>
          <w:i/>
          <w:sz w:val="26"/>
          <w:szCs w:val="26"/>
        </w:rPr>
        <w:t xml:space="preserve">DSP </w:t>
      </w:r>
      <w:r w:rsidRPr="00305848">
        <w:rPr>
          <w:i/>
          <w:sz w:val="26"/>
          <w:szCs w:val="26"/>
        </w:rPr>
        <w:t>Order</w:t>
      </w:r>
      <w:r w:rsidRPr="00305848">
        <w:rPr>
          <w:sz w:val="26"/>
          <w:szCs w:val="26"/>
        </w:rPr>
        <w:t xml:space="preserve"> at </w:t>
      </w:r>
      <w:r w:rsidR="00E64104">
        <w:rPr>
          <w:sz w:val="26"/>
          <w:szCs w:val="26"/>
        </w:rPr>
        <w:t>95.</w:t>
      </w:r>
      <w:r w:rsidR="00895706">
        <w:rPr>
          <w:sz w:val="26"/>
          <w:szCs w:val="26"/>
        </w:rPr>
        <w:t xml:space="preserve"> </w:t>
      </w:r>
      <w:r w:rsidR="00E64104">
        <w:rPr>
          <w:sz w:val="26"/>
          <w:szCs w:val="26"/>
        </w:rPr>
        <w:t xml:space="preserve"> </w:t>
      </w:r>
      <w:r w:rsidR="008A6B3F">
        <w:rPr>
          <w:sz w:val="26"/>
          <w:szCs w:val="26"/>
        </w:rPr>
        <w:t xml:space="preserve">Duquesne R.Exc. at 16.  </w:t>
      </w:r>
    </w:p>
    <w:p w:rsidR="001D1890" w:rsidRPr="001D1890" w:rsidRDefault="001D1890" w:rsidP="008A6B3F">
      <w:pPr>
        <w:pStyle w:val="BodyText2"/>
        <w:spacing w:after="0" w:line="360" w:lineRule="auto"/>
        <w:ind w:firstLine="1440"/>
        <w:rPr>
          <w:sz w:val="26"/>
          <w:szCs w:val="26"/>
        </w:rPr>
      </w:pPr>
    </w:p>
    <w:p w:rsidR="00D34BF9" w:rsidRPr="000E5AC4" w:rsidRDefault="00EC0648" w:rsidP="008A6B3F">
      <w:pPr>
        <w:pStyle w:val="BodyText2"/>
        <w:spacing w:after="0" w:line="360" w:lineRule="auto"/>
        <w:ind w:firstLine="1440"/>
        <w:rPr>
          <w:sz w:val="26"/>
          <w:szCs w:val="26"/>
        </w:rPr>
      </w:pPr>
      <w:r w:rsidRPr="001D1890">
        <w:rPr>
          <w:sz w:val="26"/>
          <w:szCs w:val="26"/>
        </w:rPr>
        <w:t>In its Reply Exceptions, RESA argues that the record and Commission precedent do not support a 20% customer participation cap as proposed by the OCA.</w:t>
      </w:r>
      <w:r w:rsidR="00CA5338">
        <w:rPr>
          <w:sz w:val="26"/>
          <w:szCs w:val="26"/>
        </w:rPr>
        <w:t xml:space="preserve">  </w:t>
      </w:r>
      <w:r w:rsidR="00E64104">
        <w:rPr>
          <w:sz w:val="26"/>
          <w:szCs w:val="26"/>
        </w:rPr>
        <w:t xml:space="preserve">RESA submits that </w:t>
      </w:r>
      <w:r w:rsidRPr="001D1890">
        <w:rPr>
          <w:sz w:val="26"/>
          <w:szCs w:val="26"/>
        </w:rPr>
        <w:t>a 50% cus</w:t>
      </w:r>
      <w:r w:rsidR="00E64104">
        <w:rPr>
          <w:sz w:val="26"/>
          <w:szCs w:val="26"/>
        </w:rPr>
        <w:t xml:space="preserve">tomer participation cap </w:t>
      </w:r>
      <w:r w:rsidRPr="001D1890">
        <w:rPr>
          <w:sz w:val="26"/>
          <w:szCs w:val="26"/>
        </w:rPr>
        <w:t xml:space="preserve">is consistent with the Commission’s </w:t>
      </w:r>
      <w:r w:rsidR="000E5AC4">
        <w:rPr>
          <w:sz w:val="26"/>
          <w:szCs w:val="26"/>
        </w:rPr>
        <w:t>recent decisions</w:t>
      </w:r>
      <w:r w:rsidR="008A6B3F">
        <w:rPr>
          <w:sz w:val="26"/>
          <w:szCs w:val="26"/>
        </w:rPr>
        <w:t xml:space="preserve">, </w:t>
      </w:r>
      <w:r w:rsidR="00895706">
        <w:rPr>
          <w:sz w:val="26"/>
          <w:szCs w:val="26"/>
        </w:rPr>
        <w:t xml:space="preserve">and </w:t>
      </w:r>
      <w:r w:rsidR="008A6B3F">
        <w:rPr>
          <w:sz w:val="26"/>
          <w:szCs w:val="26"/>
        </w:rPr>
        <w:t>t</w:t>
      </w:r>
      <w:r w:rsidRPr="001D1890">
        <w:rPr>
          <w:sz w:val="26"/>
          <w:szCs w:val="26"/>
        </w:rPr>
        <w:t>he OCA has not articulated any compelling reason to diverge from the Commission’s 50% standard</w:t>
      </w:r>
      <w:r w:rsidR="000E5AC4">
        <w:rPr>
          <w:sz w:val="26"/>
          <w:szCs w:val="26"/>
        </w:rPr>
        <w:t xml:space="preserve">.  RESA does not dispute the OCA’s contention that a 50% cap could lead to higher risk premiums in bids for default service, but argues that </w:t>
      </w:r>
      <w:r w:rsidR="000E5AC4">
        <w:rPr>
          <w:sz w:val="26"/>
          <w:szCs w:val="26"/>
        </w:rPr>
        <w:lastRenderedPageBreak/>
        <w:t xml:space="preserve">this is </w:t>
      </w:r>
      <w:r w:rsidRPr="001D1890">
        <w:rPr>
          <w:sz w:val="26"/>
          <w:szCs w:val="26"/>
        </w:rPr>
        <w:t>not a valid reason to limit participation in these RME programs</w:t>
      </w:r>
      <w:r w:rsidR="000E5AC4">
        <w:rPr>
          <w:sz w:val="26"/>
          <w:szCs w:val="26"/>
        </w:rPr>
        <w:t>.</w:t>
      </w:r>
      <w:r w:rsidR="00911D84">
        <w:rPr>
          <w:sz w:val="26"/>
          <w:szCs w:val="26"/>
        </w:rPr>
        <w:t xml:space="preserve">  RESA R.Exc. at</w:t>
      </w:r>
      <w:r w:rsidR="00911D84">
        <w:rPr>
          <w:sz w:val="26"/>
          <w:szCs w:val="26"/>
          <w:lang w:val="en-US"/>
        </w:rPr>
        <w:t> </w:t>
      </w:r>
      <w:r w:rsidR="008A6B3F">
        <w:rPr>
          <w:sz w:val="26"/>
          <w:szCs w:val="26"/>
        </w:rPr>
        <w:t xml:space="preserve">5-6. </w:t>
      </w:r>
      <w:r w:rsidR="008A6B3F" w:rsidRPr="001D1890">
        <w:rPr>
          <w:sz w:val="26"/>
          <w:szCs w:val="26"/>
        </w:rPr>
        <w:t xml:space="preserve"> </w:t>
      </w:r>
    </w:p>
    <w:p w:rsidR="001D1890" w:rsidRPr="001D1890" w:rsidRDefault="001D1890" w:rsidP="008A6B3F">
      <w:pPr>
        <w:pStyle w:val="BriefL3"/>
        <w:numPr>
          <w:ilvl w:val="0"/>
          <w:numId w:val="0"/>
        </w:numPr>
        <w:spacing w:after="0" w:line="360" w:lineRule="auto"/>
        <w:ind w:firstLine="1440"/>
        <w:outlineLvl w:val="9"/>
        <w:rPr>
          <w:b/>
          <w:sz w:val="26"/>
          <w:szCs w:val="26"/>
        </w:rPr>
      </w:pPr>
    </w:p>
    <w:p w:rsidR="00D34BF9" w:rsidRPr="00D34BF9" w:rsidRDefault="00D34BF9" w:rsidP="008A6B3F">
      <w:pPr>
        <w:spacing w:line="360" w:lineRule="auto"/>
        <w:ind w:firstLine="1440"/>
        <w:rPr>
          <w:sz w:val="26"/>
          <w:szCs w:val="26"/>
        </w:rPr>
      </w:pPr>
      <w:r w:rsidRPr="00D34BF9">
        <w:rPr>
          <w:sz w:val="26"/>
          <w:szCs w:val="26"/>
        </w:rPr>
        <w:t>In its Reply Exceptions, Dominion argues that the ALJ correctly rejected the OCA’s proposed 20% customer partici</w:t>
      </w:r>
      <w:r w:rsidR="000E5AC4">
        <w:rPr>
          <w:sz w:val="26"/>
          <w:szCs w:val="26"/>
        </w:rPr>
        <w:t>pation cap</w:t>
      </w:r>
      <w:r w:rsidRPr="00D34BF9">
        <w:rPr>
          <w:sz w:val="26"/>
          <w:szCs w:val="26"/>
        </w:rPr>
        <w:t>.</w:t>
      </w:r>
      <w:r w:rsidR="000E5AC4" w:rsidRPr="00D34BF9">
        <w:rPr>
          <w:sz w:val="26"/>
          <w:szCs w:val="26"/>
        </w:rPr>
        <w:t xml:space="preserve"> </w:t>
      </w:r>
      <w:r w:rsidR="000E5AC4">
        <w:rPr>
          <w:sz w:val="26"/>
          <w:szCs w:val="26"/>
        </w:rPr>
        <w:t xml:space="preserve"> </w:t>
      </w:r>
      <w:r w:rsidR="008A6B3F">
        <w:rPr>
          <w:sz w:val="26"/>
          <w:szCs w:val="26"/>
        </w:rPr>
        <w:t>Dominion asserts that l</w:t>
      </w:r>
      <w:r w:rsidRPr="00D34BF9">
        <w:rPr>
          <w:sz w:val="26"/>
          <w:szCs w:val="26"/>
        </w:rPr>
        <w:t xml:space="preserve">imiting participation to 20% of customers would not provide a sufficient number of customers to entice suppliers to participate in the program, particularly if the Commission adopts the sort of aggregation program as it has done elsewhere.  </w:t>
      </w:r>
      <w:r w:rsidR="008A6B3F">
        <w:rPr>
          <w:sz w:val="26"/>
          <w:szCs w:val="26"/>
        </w:rPr>
        <w:t>Dominion opines that t</w:t>
      </w:r>
      <w:r w:rsidRPr="00D34BF9">
        <w:rPr>
          <w:sz w:val="26"/>
          <w:szCs w:val="26"/>
        </w:rPr>
        <w:t>he tranches of customers could be very small under</w:t>
      </w:r>
      <w:r w:rsidR="000E5AC4">
        <w:rPr>
          <w:sz w:val="26"/>
          <w:szCs w:val="26"/>
        </w:rPr>
        <w:t xml:space="preserve"> a 20% cap</w:t>
      </w:r>
      <w:r w:rsidRPr="00D34BF9">
        <w:rPr>
          <w:sz w:val="26"/>
          <w:szCs w:val="26"/>
        </w:rPr>
        <w:t>.  Dominion submits that the OCA’s proposal is a recipe for a program failure</w:t>
      </w:r>
      <w:r>
        <w:rPr>
          <w:sz w:val="26"/>
          <w:szCs w:val="26"/>
        </w:rPr>
        <w:t xml:space="preserve"> and should be rejected</w:t>
      </w:r>
      <w:r w:rsidRPr="00D34BF9">
        <w:rPr>
          <w:sz w:val="26"/>
          <w:szCs w:val="26"/>
        </w:rPr>
        <w:t xml:space="preserve">.  </w:t>
      </w:r>
      <w:r w:rsidR="00911D84">
        <w:rPr>
          <w:sz w:val="26"/>
          <w:szCs w:val="26"/>
        </w:rPr>
        <w:t>Dominion R.Exc. at 2</w:t>
      </w:r>
      <w:r w:rsidR="00911D84">
        <w:rPr>
          <w:sz w:val="26"/>
          <w:szCs w:val="26"/>
        </w:rPr>
        <w:noBreakHyphen/>
      </w:r>
      <w:r w:rsidR="008A6B3F">
        <w:rPr>
          <w:sz w:val="26"/>
          <w:szCs w:val="26"/>
        </w:rPr>
        <w:t xml:space="preserve">3.  </w:t>
      </w:r>
    </w:p>
    <w:p w:rsidR="00943CB7" w:rsidRPr="00D34BF9" w:rsidRDefault="00943CB7" w:rsidP="008A6B3F">
      <w:pPr>
        <w:pStyle w:val="BriefL3"/>
        <w:numPr>
          <w:ilvl w:val="0"/>
          <w:numId w:val="0"/>
        </w:numPr>
        <w:spacing w:after="0" w:line="360" w:lineRule="auto"/>
        <w:rPr>
          <w:b/>
          <w:sz w:val="26"/>
          <w:szCs w:val="26"/>
        </w:rPr>
      </w:pPr>
    </w:p>
    <w:p w:rsidR="00943CB7" w:rsidRPr="00943CB7" w:rsidRDefault="00943CB7" w:rsidP="008A6B3F">
      <w:pPr>
        <w:spacing w:line="360" w:lineRule="auto"/>
        <w:ind w:firstLine="1440"/>
        <w:rPr>
          <w:sz w:val="26"/>
          <w:szCs w:val="26"/>
        </w:rPr>
      </w:pPr>
      <w:r>
        <w:rPr>
          <w:sz w:val="26"/>
          <w:szCs w:val="26"/>
        </w:rPr>
        <w:t xml:space="preserve">In its Reply Exceptions, FES argues that the ALJ correctly rejected the OCA’s recommendation to </w:t>
      </w:r>
      <w:r w:rsidR="00760195">
        <w:rPr>
          <w:sz w:val="26"/>
          <w:szCs w:val="26"/>
        </w:rPr>
        <w:t>cap customer part</w:t>
      </w:r>
      <w:r w:rsidR="000E5AC4">
        <w:rPr>
          <w:sz w:val="26"/>
          <w:szCs w:val="26"/>
        </w:rPr>
        <w:t xml:space="preserve">icipation </w:t>
      </w:r>
      <w:r w:rsidR="00760195">
        <w:rPr>
          <w:sz w:val="26"/>
          <w:szCs w:val="26"/>
        </w:rPr>
        <w:t>at 20%</w:t>
      </w:r>
      <w:r w:rsidR="000E5AC4">
        <w:rPr>
          <w:sz w:val="26"/>
          <w:szCs w:val="26"/>
        </w:rPr>
        <w:t>.</w:t>
      </w:r>
      <w:r w:rsidR="000E5AC4" w:rsidRPr="00943CB7">
        <w:rPr>
          <w:sz w:val="26"/>
          <w:szCs w:val="26"/>
        </w:rPr>
        <w:t xml:space="preserve"> </w:t>
      </w:r>
      <w:r w:rsidR="000E5AC4">
        <w:rPr>
          <w:sz w:val="26"/>
          <w:szCs w:val="26"/>
        </w:rPr>
        <w:t xml:space="preserve"> </w:t>
      </w:r>
      <w:r w:rsidRPr="00943CB7">
        <w:rPr>
          <w:sz w:val="26"/>
          <w:szCs w:val="26"/>
        </w:rPr>
        <w:t>While FES does not support any partici</w:t>
      </w:r>
      <w:r w:rsidR="000E5AC4">
        <w:rPr>
          <w:sz w:val="26"/>
          <w:szCs w:val="26"/>
        </w:rPr>
        <w:t xml:space="preserve">pation caps in </w:t>
      </w:r>
      <w:r w:rsidRPr="00943CB7">
        <w:rPr>
          <w:sz w:val="26"/>
          <w:szCs w:val="26"/>
        </w:rPr>
        <w:t>retail enhancement program</w:t>
      </w:r>
      <w:r w:rsidR="00837F3D">
        <w:rPr>
          <w:sz w:val="26"/>
          <w:szCs w:val="26"/>
        </w:rPr>
        <w:t>s</w:t>
      </w:r>
      <w:r w:rsidRPr="00943CB7">
        <w:rPr>
          <w:sz w:val="26"/>
          <w:szCs w:val="26"/>
        </w:rPr>
        <w:t>, FE</w:t>
      </w:r>
      <w:r w:rsidR="00837F3D">
        <w:rPr>
          <w:sz w:val="26"/>
          <w:szCs w:val="26"/>
        </w:rPr>
        <w:t>S recognizes that Duquesne</w:t>
      </w:r>
      <w:r w:rsidRPr="00943CB7">
        <w:rPr>
          <w:sz w:val="26"/>
          <w:szCs w:val="26"/>
        </w:rPr>
        <w:t xml:space="preserve">’s proposal is consistent with the </w:t>
      </w:r>
      <w:r w:rsidRPr="003C5728">
        <w:rPr>
          <w:i/>
          <w:sz w:val="26"/>
          <w:szCs w:val="26"/>
        </w:rPr>
        <w:t xml:space="preserve">IWP </w:t>
      </w:r>
      <w:r w:rsidR="003C5728" w:rsidRPr="003C5728">
        <w:rPr>
          <w:i/>
          <w:sz w:val="26"/>
          <w:szCs w:val="26"/>
        </w:rPr>
        <w:t xml:space="preserve">Final </w:t>
      </w:r>
      <w:r w:rsidRPr="003C5728">
        <w:rPr>
          <w:i/>
          <w:sz w:val="26"/>
          <w:szCs w:val="26"/>
        </w:rPr>
        <w:t>Order</w:t>
      </w:r>
      <w:r w:rsidR="00837F3D">
        <w:rPr>
          <w:sz w:val="26"/>
          <w:szCs w:val="26"/>
        </w:rPr>
        <w:t xml:space="preserve"> </w:t>
      </w:r>
      <w:r w:rsidRPr="00943CB7">
        <w:rPr>
          <w:sz w:val="26"/>
          <w:szCs w:val="26"/>
        </w:rPr>
        <w:t xml:space="preserve">and the </w:t>
      </w:r>
      <w:r w:rsidR="00837F3D">
        <w:rPr>
          <w:i/>
          <w:sz w:val="26"/>
          <w:szCs w:val="26"/>
        </w:rPr>
        <w:t xml:space="preserve">FirstEnergy </w:t>
      </w:r>
      <w:r w:rsidR="008A6B3F">
        <w:rPr>
          <w:i/>
          <w:sz w:val="26"/>
          <w:szCs w:val="26"/>
        </w:rPr>
        <w:t xml:space="preserve">DSP </w:t>
      </w:r>
      <w:r w:rsidR="00837F3D" w:rsidRPr="008A6B3F">
        <w:rPr>
          <w:sz w:val="26"/>
          <w:szCs w:val="26"/>
        </w:rPr>
        <w:t>and</w:t>
      </w:r>
      <w:r w:rsidR="00837F3D">
        <w:rPr>
          <w:i/>
          <w:sz w:val="26"/>
          <w:szCs w:val="26"/>
        </w:rPr>
        <w:t xml:space="preserve"> PECO DSP</w:t>
      </w:r>
      <w:r w:rsidR="00837F3D" w:rsidRPr="001D1890">
        <w:rPr>
          <w:i/>
          <w:sz w:val="26"/>
          <w:szCs w:val="26"/>
        </w:rPr>
        <w:t xml:space="preserve"> Order</w:t>
      </w:r>
      <w:r w:rsidR="00837F3D">
        <w:rPr>
          <w:i/>
          <w:sz w:val="26"/>
          <w:szCs w:val="26"/>
        </w:rPr>
        <w:t xml:space="preserve">s. </w:t>
      </w:r>
      <w:r w:rsidR="00837F3D" w:rsidRPr="00943CB7">
        <w:rPr>
          <w:sz w:val="26"/>
          <w:szCs w:val="26"/>
        </w:rPr>
        <w:t xml:space="preserve"> </w:t>
      </w:r>
      <w:r w:rsidRPr="00943CB7">
        <w:rPr>
          <w:sz w:val="26"/>
          <w:szCs w:val="26"/>
        </w:rPr>
        <w:t>FES submits that the OCA’s proposal reflects its interest in m</w:t>
      </w:r>
      <w:r w:rsidR="00837F3D">
        <w:rPr>
          <w:sz w:val="26"/>
          <w:szCs w:val="26"/>
        </w:rPr>
        <w:t xml:space="preserve">aintaining the viability of default service </w:t>
      </w:r>
      <w:r w:rsidR="00760195">
        <w:rPr>
          <w:sz w:val="26"/>
          <w:szCs w:val="26"/>
        </w:rPr>
        <w:t>at the expense of the Opt-In</w:t>
      </w:r>
      <w:r w:rsidRPr="00943CB7">
        <w:rPr>
          <w:sz w:val="26"/>
          <w:szCs w:val="26"/>
        </w:rPr>
        <w:t xml:space="preserve"> Program.  </w:t>
      </w:r>
      <w:r w:rsidR="00837F3D">
        <w:rPr>
          <w:sz w:val="26"/>
          <w:szCs w:val="26"/>
        </w:rPr>
        <w:t xml:space="preserve">FES pronounces that the </w:t>
      </w:r>
      <w:r w:rsidRPr="00943CB7">
        <w:rPr>
          <w:sz w:val="26"/>
          <w:szCs w:val="26"/>
        </w:rPr>
        <w:t>OCA’s proposal is not in customers’ interests</w:t>
      </w:r>
      <w:r w:rsidR="00837F3D">
        <w:rPr>
          <w:sz w:val="26"/>
          <w:szCs w:val="26"/>
        </w:rPr>
        <w:t xml:space="preserve"> and </w:t>
      </w:r>
      <w:r w:rsidR="00760195">
        <w:rPr>
          <w:sz w:val="26"/>
          <w:szCs w:val="26"/>
        </w:rPr>
        <w:t xml:space="preserve">that </w:t>
      </w:r>
      <w:r w:rsidRPr="00943CB7">
        <w:rPr>
          <w:sz w:val="26"/>
          <w:szCs w:val="26"/>
        </w:rPr>
        <w:t>the OCA’s Exception should be denied.</w:t>
      </w:r>
      <w:r w:rsidR="008A6B3F">
        <w:rPr>
          <w:sz w:val="26"/>
          <w:szCs w:val="26"/>
        </w:rPr>
        <w:t xml:space="preserve">  FES R.Exc. at 3-5.  </w:t>
      </w:r>
    </w:p>
    <w:p w:rsidR="00A14D64" w:rsidRPr="00A14D64" w:rsidRDefault="00A14D64" w:rsidP="003A41A8">
      <w:pPr>
        <w:pStyle w:val="BodyText2"/>
        <w:spacing w:after="0" w:line="360" w:lineRule="auto"/>
        <w:rPr>
          <w:sz w:val="26"/>
          <w:szCs w:val="26"/>
        </w:rPr>
      </w:pPr>
    </w:p>
    <w:p w:rsidR="00DF55F8" w:rsidRPr="00EE5722" w:rsidRDefault="006D3BB7" w:rsidP="00115AB3">
      <w:pPr>
        <w:pStyle w:val="Heading5"/>
      </w:pPr>
      <w:bookmarkStart w:id="102" w:name="_Toc346705344"/>
      <w:r>
        <w:t>Disposition</w:t>
      </w:r>
      <w:bookmarkEnd w:id="102"/>
    </w:p>
    <w:p w:rsidR="00874240" w:rsidRDefault="00874240" w:rsidP="008A6B3F">
      <w:pPr>
        <w:pStyle w:val="BriefL3"/>
        <w:numPr>
          <w:ilvl w:val="0"/>
          <w:numId w:val="0"/>
        </w:numPr>
        <w:spacing w:after="0" w:line="360" w:lineRule="auto"/>
        <w:ind w:firstLine="1440"/>
        <w:outlineLvl w:val="9"/>
        <w:rPr>
          <w:sz w:val="26"/>
          <w:szCs w:val="26"/>
        </w:rPr>
      </w:pPr>
    </w:p>
    <w:p w:rsidR="00874240" w:rsidRPr="00BF32F0" w:rsidRDefault="00874240" w:rsidP="00F538CB">
      <w:pPr>
        <w:pStyle w:val="BriefL3"/>
        <w:numPr>
          <w:ilvl w:val="0"/>
          <w:numId w:val="0"/>
        </w:numPr>
        <w:spacing w:after="0" w:line="360" w:lineRule="auto"/>
        <w:ind w:firstLine="1440"/>
        <w:outlineLvl w:val="9"/>
        <w:rPr>
          <w:sz w:val="26"/>
          <w:szCs w:val="26"/>
        </w:rPr>
      </w:pPr>
      <w:r w:rsidRPr="00BF32F0">
        <w:rPr>
          <w:sz w:val="26"/>
          <w:szCs w:val="26"/>
        </w:rPr>
        <w:t>Based upon o</w:t>
      </w:r>
      <w:r>
        <w:rPr>
          <w:sz w:val="26"/>
          <w:szCs w:val="26"/>
        </w:rPr>
        <w:t>ur review of the record</w:t>
      </w:r>
      <w:r w:rsidRPr="00BF32F0">
        <w:rPr>
          <w:sz w:val="26"/>
          <w:szCs w:val="26"/>
        </w:rPr>
        <w:t>, we are not persuaded</w:t>
      </w:r>
      <w:r>
        <w:rPr>
          <w:sz w:val="26"/>
          <w:szCs w:val="26"/>
        </w:rPr>
        <w:t xml:space="preserve"> by the OCA’s argument that we should deviate from our prior determinations in the </w:t>
      </w:r>
      <w:r>
        <w:rPr>
          <w:i/>
          <w:sz w:val="26"/>
          <w:szCs w:val="26"/>
        </w:rPr>
        <w:t>FirstEnergy</w:t>
      </w:r>
      <w:r w:rsidR="008A6B3F">
        <w:rPr>
          <w:i/>
          <w:sz w:val="26"/>
          <w:szCs w:val="26"/>
        </w:rPr>
        <w:t xml:space="preserve"> DSP </w:t>
      </w:r>
      <w:r>
        <w:rPr>
          <w:sz w:val="26"/>
          <w:szCs w:val="26"/>
        </w:rPr>
        <w:t xml:space="preserve"> and </w:t>
      </w:r>
      <w:r>
        <w:rPr>
          <w:i/>
          <w:sz w:val="26"/>
          <w:szCs w:val="26"/>
        </w:rPr>
        <w:t>PECO DSP Orders</w:t>
      </w:r>
      <w:r>
        <w:rPr>
          <w:sz w:val="26"/>
          <w:szCs w:val="26"/>
        </w:rPr>
        <w:t xml:space="preserve"> that the customer participation cap be set at</w:t>
      </w:r>
      <w:r w:rsidR="008A6B3F">
        <w:rPr>
          <w:sz w:val="26"/>
          <w:szCs w:val="26"/>
        </w:rPr>
        <w:t xml:space="preserve"> 50%</w:t>
      </w:r>
      <w:r>
        <w:rPr>
          <w:sz w:val="26"/>
          <w:szCs w:val="26"/>
        </w:rPr>
        <w:t xml:space="preserve">.  We continue to believe that a </w:t>
      </w:r>
      <w:r w:rsidR="008A6B3F">
        <w:rPr>
          <w:sz w:val="26"/>
          <w:szCs w:val="26"/>
        </w:rPr>
        <w:t xml:space="preserve">50% </w:t>
      </w:r>
      <w:r>
        <w:rPr>
          <w:sz w:val="26"/>
          <w:szCs w:val="26"/>
        </w:rPr>
        <w:t xml:space="preserve">cap provides both a large customer participation pool and some level of certainty to those EGSs electing to participate in the Opt-In Program.  The OCA has failed to provide any new evidence or argument that would persuade us to depart </w:t>
      </w:r>
      <w:r>
        <w:rPr>
          <w:sz w:val="26"/>
          <w:szCs w:val="26"/>
        </w:rPr>
        <w:lastRenderedPageBreak/>
        <w:t xml:space="preserve">from our prior determinations on this issue.  Accordingly, we shall adopt the recommendation of the ALJ and deny the Exceptions of the OCA. </w:t>
      </w:r>
    </w:p>
    <w:p w:rsidR="00D872C4" w:rsidRPr="00874240" w:rsidRDefault="00D872C4" w:rsidP="00F538CB">
      <w:pPr>
        <w:pStyle w:val="BodyText"/>
        <w:spacing w:after="0" w:line="360" w:lineRule="auto"/>
        <w:ind w:left="0" w:firstLine="0"/>
        <w:rPr>
          <w:color w:val="000000" w:themeColor="text1"/>
          <w:sz w:val="26"/>
          <w:szCs w:val="26"/>
        </w:rPr>
      </w:pPr>
    </w:p>
    <w:p w:rsidR="00E71C1C" w:rsidRPr="00EE5722" w:rsidRDefault="00874240" w:rsidP="00584C88">
      <w:pPr>
        <w:pStyle w:val="Heading4"/>
        <w:numPr>
          <w:ilvl w:val="0"/>
          <w:numId w:val="0"/>
        </w:numPr>
        <w:ind w:left="2880" w:hanging="720"/>
      </w:pPr>
      <w:bookmarkStart w:id="103" w:name="_Toc346705345"/>
      <w:r>
        <w:t>f</w:t>
      </w:r>
      <w:r w:rsidR="00E71C1C" w:rsidRPr="00EE5722">
        <w:t>.</w:t>
      </w:r>
      <w:r w:rsidR="00E71C1C" w:rsidRPr="00EE5722">
        <w:tab/>
        <w:t>Supplier Load Cap</w:t>
      </w:r>
      <w:bookmarkEnd w:id="103"/>
    </w:p>
    <w:p w:rsidR="00E71C1C" w:rsidRPr="00EE5722" w:rsidRDefault="00E71C1C" w:rsidP="00911D84">
      <w:pPr>
        <w:pStyle w:val="BriefL3"/>
        <w:keepNext/>
        <w:numPr>
          <w:ilvl w:val="0"/>
          <w:numId w:val="0"/>
        </w:numPr>
        <w:spacing w:after="0" w:line="360" w:lineRule="auto"/>
        <w:ind w:left="2160"/>
        <w:rPr>
          <w:b/>
          <w:sz w:val="26"/>
          <w:szCs w:val="26"/>
        </w:rPr>
      </w:pPr>
    </w:p>
    <w:p w:rsidR="00E71C1C" w:rsidRPr="00EE5722" w:rsidRDefault="004C5B7E" w:rsidP="009A739B">
      <w:pPr>
        <w:pStyle w:val="Heading5"/>
        <w:numPr>
          <w:ilvl w:val="0"/>
          <w:numId w:val="23"/>
        </w:numPr>
      </w:pPr>
      <w:bookmarkStart w:id="104" w:name="_Toc346705346"/>
      <w:r>
        <w:t>Duquesne</w:t>
      </w:r>
      <w:r w:rsidR="00E71C1C" w:rsidRPr="00EE5722">
        <w:t>’s Proposal</w:t>
      </w:r>
      <w:bookmarkEnd w:id="104"/>
    </w:p>
    <w:p w:rsidR="004407F6" w:rsidRPr="00EE5722" w:rsidRDefault="004407F6" w:rsidP="00F538CB">
      <w:pPr>
        <w:pStyle w:val="BriefL3"/>
        <w:numPr>
          <w:ilvl w:val="0"/>
          <w:numId w:val="0"/>
        </w:numPr>
        <w:spacing w:after="0" w:line="360" w:lineRule="auto"/>
        <w:ind w:left="2880"/>
        <w:rPr>
          <w:b/>
          <w:sz w:val="26"/>
          <w:szCs w:val="26"/>
        </w:rPr>
      </w:pPr>
    </w:p>
    <w:p w:rsidR="00E71C1C" w:rsidRPr="002D340E" w:rsidRDefault="00E71C1C" w:rsidP="002321BF">
      <w:pPr>
        <w:pStyle w:val="BodyText2"/>
        <w:spacing w:after="0" w:line="360" w:lineRule="auto"/>
        <w:rPr>
          <w:sz w:val="26"/>
          <w:szCs w:val="26"/>
        </w:rPr>
      </w:pPr>
      <w:r w:rsidRPr="00EE5722">
        <w:rPr>
          <w:sz w:val="26"/>
          <w:szCs w:val="26"/>
        </w:rPr>
        <w:tab/>
      </w:r>
      <w:r w:rsidRPr="00EE5722">
        <w:rPr>
          <w:sz w:val="26"/>
          <w:szCs w:val="26"/>
        </w:rPr>
        <w:tab/>
      </w:r>
      <w:r w:rsidR="003A7CAD">
        <w:rPr>
          <w:sz w:val="26"/>
          <w:szCs w:val="26"/>
        </w:rPr>
        <w:t xml:space="preserve">Duquesne </w:t>
      </w:r>
      <w:r w:rsidRPr="00EE5722">
        <w:rPr>
          <w:sz w:val="26"/>
          <w:szCs w:val="26"/>
        </w:rPr>
        <w:t>proposed that no EGS be permitted to obtain more than 50% of the customers electing to participate in t</w:t>
      </w:r>
      <w:r w:rsidR="003A7CAD">
        <w:rPr>
          <w:sz w:val="26"/>
          <w:szCs w:val="26"/>
        </w:rPr>
        <w:t>he</w:t>
      </w:r>
      <w:r w:rsidR="00EC2B29">
        <w:rPr>
          <w:sz w:val="26"/>
          <w:szCs w:val="26"/>
        </w:rPr>
        <w:t xml:space="preserve"> Opt-In </w:t>
      </w:r>
      <w:r w:rsidR="009925BD">
        <w:rPr>
          <w:sz w:val="26"/>
          <w:szCs w:val="26"/>
        </w:rPr>
        <w:t xml:space="preserve">Program.  </w:t>
      </w:r>
      <w:r w:rsidR="002321BF">
        <w:rPr>
          <w:sz w:val="26"/>
          <w:szCs w:val="26"/>
        </w:rPr>
        <w:t>Duquesne stated that q</w:t>
      </w:r>
      <w:r w:rsidRPr="00EE5722">
        <w:rPr>
          <w:sz w:val="26"/>
          <w:szCs w:val="26"/>
        </w:rPr>
        <w:t>ualified EGSs would be permitted to serve from one to five of the ten tranches of service under the program, thereby limiting any one supplier to half of the elec</w:t>
      </w:r>
      <w:r w:rsidR="003A7CAD">
        <w:rPr>
          <w:sz w:val="26"/>
          <w:szCs w:val="26"/>
        </w:rPr>
        <w:t>ting cu</w:t>
      </w:r>
      <w:r w:rsidR="009925BD">
        <w:rPr>
          <w:sz w:val="26"/>
          <w:szCs w:val="26"/>
        </w:rPr>
        <w:t xml:space="preserve">stomers. </w:t>
      </w:r>
      <w:r w:rsidR="002D340E">
        <w:rPr>
          <w:sz w:val="26"/>
          <w:szCs w:val="26"/>
        </w:rPr>
        <w:t>The Company noted that</w:t>
      </w:r>
      <w:r w:rsidRPr="00EE5722">
        <w:rPr>
          <w:sz w:val="26"/>
          <w:szCs w:val="26"/>
        </w:rPr>
        <w:t xml:space="preserve"> FES recommend</w:t>
      </w:r>
      <w:r w:rsidR="009925BD">
        <w:rPr>
          <w:sz w:val="26"/>
          <w:szCs w:val="26"/>
        </w:rPr>
        <w:t>ed against a</w:t>
      </w:r>
      <w:r w:rsidRPr="00EE5722">
        <w:rPr>
          <w:sz w:val="26"/>
          <w:szCs w:val="26"/>
        </w:rPr>
        <w:t xml:space="preserve"> supplier participation cap and contended that applying a participation cap could increase the clearing price.  </w:t>
      </w:r>
      <w:r w:rsidR="002321BF">
        <w:rPr>
          <w:i/>
          <w:sz w:val="26"/>
          <w:szCs w:val="26"/>
        </w:rPr>
        <w:t xml:space="preserve">See </w:t>
      </w:r>
      <w:r w:rsidRPr="00EE5722">
        <w:rPr>
          <w:sz w:val="26"/>
          <w:szCs w:val="26"/>
        </w:rPr>
        <w:t>FES St. 1</w:t>
      </w:r>
      <w:r w:rsidR="00895706">
        <w:rPr>
          <w:sz w:val="26"/>
          <w:szCs w:val="26"/>
        </w:rPr>
        <w:t xml:space="preserve"> at</w:t>
      </w:r>
      <w:r w:rsidRPr="00EE5722">
        <w:rPr>
          <w:sz w:val="26"/>
          <w:szCs w:val="26"/>
        </w:rPr>
        <w:t xml:space="preserve"> 14.  </w:t>
      </w:r>
      <w:r w:rsidR="003A7CAD">
        <w:rPr>
          <w:sz w:val="26"/>
          <w:szCs w:val="26"/>
        </w:rPr>
        <w:t xml:space="preserve">However, Duquesne </w:t>
      </w:r>
      <w:r w:rsidR="002D340E">
        <w:rPr>
          <w:sz w:val="26"/>
          <w:szCs w:val="26"/>
        </w:rPr>
        <w:t>averred that</w:t>
      </w:r>
      <w:r w:rsidRPr="00EE5722">
        <w:rPr>
          <w:sz w:val="26"/>
          <w:szCs w:val="26"/>
        </w:rPr>
        <w:t xml:space="preserve"> it proved that a supplier load cap provides for diversity of EGS participation </w:t>
      </w:r>
      <w:r w:rsidRPr="009925BD">
        <w:rPr>
          <w:sz w:val="26"/>
          <w:szCs w:val="26"/>
        </w:rPr>
        <w:t>and</w:t>
      </w:r>
      <w:r w:rsidRPr="00EE5722">
        <w:rPr>
          <w:sz w:val="26"/>
          <w:szCs w:val="26"/>
        </w:rPr>
        <w:t xml:space="preserve"> limits risk of a su</w:t>
      </w:r>
      <w:r w:rsidR="003A7CAD">
        <w:rPr>
          <w:sz w:val="26"/>
          <w:szCs w:val="26"/>
        </w:rPr>
        <w:t>pp</w:t>
      </w:r>
      <w:r w:rsidR="002D340E">
        <w:rPr>
          <w:sz w:val="26"/>
          <w:szCs w:val="26"/>
        </w:rPr>
        <w:t xml:space="preserve">lier default.  Duquesne St. </w:t>
      </w:r>
      <w:r w:rsidR="00911D84">
        <w:rPr>
          <w:sz w:val="26"/>
          <w:szCs w:val="26"/>
        </w:rPr>
        <w:t>3-R at</w:t>
      </w:r>
      <w:r w:rsidR="00911D84">
        <w:rPr>
          <w:sz w:val="26"/>
          <w:szCs w:val="26"/>
          <w:lang w:val="en-US"/>
        </w:rPr>
        <w:t> </w:t>
      </w:r>
      <w:r w:rsidR="003E0EAE">
        <w:rPr>
          <w:sz w:val="26"/>
          <w:szCs w:val="26"/>
        </w:rPr>
        <w:t>27-30.</w:t>
      </w:r>
    </w:p>
    <w:p w:rsidR="00E71C1C" w:rsidRPr="00EE5722" w:rsidRDefault="00E71C1C" w:rsidP="002321BF">
      <w:pPr>
        <w:pStyle w:val="BodyText"/>
        <w:spacing w:after="0" w:line="360" w:lineRule="auto"/>
        <w:rPr>
          <w:sz w:val="26"/>
          <w:szCs w:val="26"/>
        </w:rPr>
      </w:pPr>
    </w:p>
    <w:p w:rsidR="00E71C1C" w:rsidRPr="00EE5722" w:rsidRDefault="002D340E" w:rsidP="00584C88">
      <w:pPr>
        <w:pStyle w:val="Heading5"/>
        <w:numPr>
          <w:ilvl w:val="0"/>
          <w:numId w:val="0"/>
        </w:numPr>
        <w:ind w:left="3600" w:hanging="720"/>
      </w:pPr>
      <w:bookmarkStart w:id="105" w:name="_Toc346705347"/>
      <w:r>
        <w:t>ii.</w:t>
      </w:r>
      <w:r>
        <w:tab/>
      </w:r>
      <w:r w:rsidR="00E71C1C" w:rsidRPr="00EE5722">
        <w:t>Position</w:t>
      </w:r>
      <w:r>
        <w:t>s of the Parties</w:t>
      </w:r>
      <w:bookmarkEnd w:id="105"/>
    </w:p>
    <w:p w:rsidR="00E71C1C" w:rsidRPr="00EE5722" w:rsidRDefault="00E71C1C" w:rsidP="002321BF">
      <w:pPr>
        <w:pStyle w:val="BodyText"/>
        <w:spacing w:after="0" w:line="360" w:lineRule="auto"/>
        <w:rPr>
          <w:sz w:val="26"/>
          <w:szCs w:val="26"/>
        </w:rPr>
      </w:pPr>
    </w:p>
    <w:p w:rsidR="00E71C1C" w:rsidRDefault="002D340E" w:rsidP="007D1761">
      <w:pPr>
        <w:spacing w:line="360" w:lineRule="auto"/>
        <w:ind w:firstLine="1440"/>
        <w:rPr>
          <w:sz w:val="26"/>
          <w:szCs w:val="26"/>
        </w:rPr>
      </w:pPr>
      <w:r>
        <w:rPr>
          <w:sz w:val="26"/>
          <w:szCs w:val="26"/>
        </w:rPr>
        <w:t>The OCA noted that</w:t>
      </w:r>
      <w:r w:rsidR="00E71C1C" w:rsidRPr="00EE5722">
        <w:rPr>
          <w:sz w:val="26"/>
          <w:szCs w:val="26"/>
        </w:rPr>
        <w:t xml:space="preserve"> the </w:t>
      </w:r>
      <w:r w:rsidR="00E71C1C" w:rsidRPr="00EE5722">
        <w:rPr>
          <w:i/>
          <w:sz w:val="26"/>
          <w:szCs w:val="26"/>
        </w:rPr>
        <w:t xml:space="preserve">IWP </w:t>
      </w:r>
      <w:r w:rsidR="003C5728">
        <w:rPr>
          <w:i/>
          <w:sz w:val="26"/>
          <w:szCs w:val="26"/>
        </w:rPr>
        <w:t xml:space="preserve">Final </w:t>
      </w:r>
      <w:r w:rsidR="00E71C1C" w:rsidRPr="00EE5722">
        <w:rPr>
          <w:i/>
          <w:sz w:val="26"/>
          <w:szCs w:val="26"/>
        </w:rPr>
        <w:t>Order</w:t>
      </w:r>
      <w:r w:rsidR="005969AB" w:rsidRPr="00EE5722">
        <w:rPr>
          <w:sz w:val="26"/>
          <w:szCs w:val="26"/>
          <w:u w:val="single"/>
        </w:rPr>
        <w:fldChar w:fldCharType="begin"/>
      </w:r>
      <w:r w:rsidR="00E71C1C" w:rsidRPr="00EE5722">
        <w:rPr>
          <w:sz w:val="26"/>
          <w:szCs w:val="26"/>
        </w:rPr>
        <w:instrText xml:space="preserve"> TA \s "IWP Order" </w:instrText>
      </w:r>
      <w:r w:rsidR="005969AB" w:rsidRPr="00EE5722">
        <w:rPr>
          <w:sz w:val="26"/>
          <w:szCs w:val="26"/>
          <w:u w:val="single"/>
        </w:rPr>
        <w:fldChar w:fldCharType="end"/>
      </w:r>
      <w:r w:rsidR="00E71C1C" w:rsidRPr="00EE5722">
        <w:rPr>
          <w:sz w:val="26"/>
          <w:szCs w:val="26"/>
        </w:rPr>
        <w:t xml:space="preserve"> provide</w:t>
      </w:r>
      <w:r w:rsidR="009925BD">
        <w:rPr>
          <w:sz w:val="26"/>
          <w:szCs w:val="26"/>
        </w:rPr>
        <w:t>d that EGSs participating in an opt-in auction p</w:t>
      </w:r>
      <w:r w:rsidR="00E71C1C" w:rsidRPr="00EE5722">
        <w:rPr>
          <w:sz w:val="26"/>
          <w:szCs w:val="26"/>
        </w:rPr>
        <w:t>rogram may not serve more than 50% of the</w:t>
      </w:r>
      <w:r w:rsidR="009925BD">
        <w:rPr>
          <w:sz w:val="26"/>
          <w:szCs w:val="26"/>
        </w:rPr>
        <w:t xml:space="preserve"> customers </w:t>
      </w:r>
      <w:r w:rsidR="00E71C1C" w:rsidRPr="00EE5722">
        <w:rPr>
          <w:sz w:val="26"/>
          <w:szCs w:val="26"/>
        </w:rPr>
        <w:t xml:space="preserve">in order to protect the diversity of the market and with an eye on obtaining a reasonable retail auction price.  </w:t>
      </w:r>
      <w:r w:rsidR="00E71C1C" w:rsidRPr="00EE5722">
        <w:rPr>
          <w:i/>
          <w:sz w:val="26"/>
          <w:szCs w:val="26"/>
        </w:rPr>
        <w:t xml:space="preserve">IWP </w:t>
      </w:r>
      <w:r w:rsidR="003C5728">
        <w:rPr>
          <w:i/>
          <w:sz w:val="26"/>
          <w:szCs w:val="26"/>
        </w:rPr>
        <w:t xml:space="preserve">Final </w:t>
      </w:r>
      <w:r w:rsidR="00E71C1C" w:rsidRPr="00EE5722">
        <w:rPr>
          <w:i/>
          <w:sz w:val="26"/>
          <w:szCs w:val="26"/>
        </w:rPr>
        <w:t>Order</w:t>
      </w:r>
      <w:r w:rsidR="009925BD">
        <w:rPr>
          <w:sz w:val="26"/>
          <w:szCs w:val="26"/>
        </w:rPr>
        <w:t xml:space="preserve"> at 63.  </w:t>
      </w:r>
      <w:r w:rsidR="002321BF">
        <w:rPr>
          <w:sz w:val="26"/>
          <w:szCs w:val="26"/>
        </w:rPr>
        <w:t xml:space="preserve">The OCA supported </w:t>
      </w:r>
      <w:r w:rsidR="009925BD">
        <w:rPr>
          <w:sz w:val="26"/>
          <w:szCs w:val="26"/>
        </w:rPr>
        <w:t xml:space="preserve">Duquesne’s proposed </w:t>
      </w:r>
      <w:r w:rsidR="00E71C1C" w:rsidRPr="00EE5722">
        <w:rPr>
          <w:sz w:val="26"/>
          <w:szCs w:val="26"/>
        </w:rPr>
        <w:t xml:space="preserve">50% EGS participation cap </w:t>
      </w:r>
      <w:r w:rsidR="007D1761">
        <w:rPr>
          <w:sz w:val="26"/>
          <w:szCs w:val="26"/>
        </w:rPr>
        <w:t xml:space="preserve">as </w:t>
      </w:r>
      <w:r w:rsidR="00E71C1C" w:rsidRPr="00EE5722">
        <w:rPr>
          <w:sz w:val="26"/>
          <w:szCs w:val="26"/>
        </w:rPr>
        <w:t xml:space="preserve">in accordance with the </w:t>
      </w:r>
      <w:r w:rsidR="00E71C1C" w:rsidRPr="00EE5722">
        <w:rPr>
          <w:i/>
          <w:sz w:val="26"/>
          <w:szCs w:val="26"/>
        </w:rPr>
        <w:t xml:space="preserve">IWP </w:t>
      </w:r>
      <w:r w:rsidR="003C5728">
        <w:rPr>
          <w:i/>
          <w:sz w:val="26"/>
          <w:szCs w:val="26"/>
        </w:rPr>
        <w:t xml:space="preserve">Final </w:t>
      </w:r>
      <w:r w:rsidR="00E71C1C" w:rsidRPr="00EE5722">
        <w:rPr>
          <w:i/>
          <w:sz w:val="26"/>
          <w:szCs w:val="26"/>
        </w:rPr>
        <w:t>Order</w:t>
      </w:r>
      <w:r w:rsidR="00E71C1C" w:rsidRPr="00EE5722">
        <w:rPr>
          <w:sz w:val="26"/>
          <w:szCs w:val="26"/>
        </w:rPr>
        <w:t xml:space="preserve">.  </w:t>
      </w:r>
    </w:p>
    <w:p w:rsidR="00CB1F17" w:rsidRDefault="00CB1F17" w:rsidP="007D1761">
      <w:pPr>
        <w:pStyle w:val="BodyText2"/>
        <w:spacing w:after="0" w:line="360" w:lineRule="auto"/>
        <w:rPr>
          <w:sz w:val="26"/>
          <w:szCs w:val="26"/>
        </w:rPr>
      </w:pPr>
    </w:p>
    <w:p w:rsidR="002D340E" w:rsidRDefault="00CB1F17" w:rsidP="009925BD">
      <w:pPr>
        <w:pStyle w:val="BodyText2"/>
        <w:spacing w:after="0" w:line="360" w:lineRule="auto"/>
        <w:ind w:firstLine="1440"/>
        <w:rPr>
          <w:sz w:val="26"/>
          <w:szCs w:val="26"/>
          <w:lang w:val="en-US"/>
        </w:rPr>
      </w:pPr>
      <w:r>
        <w:rPr>
          <w:sz w:val="26"/>
          <w:szCs w:val="26"/>
        </w:rPr>
        <w:t>RESA agreed</w:t>
      </w:r>
      <w:r w:rsidR="002D340E">
        <w:rPr>
          <w:sz w:val="26"/>
          <w:szCs w:val="26"/>
        </w:rPr>
        <w:t xml:space="preserve"> wit</w:t>
      </w:r>
      <w:r>
        <w:rPr>
          <w:sz w:val="26"/>
          <w:szCs w:val="26"/>
        </w:rPr>
        <w:t>h Duquesne’s</w:t>
      </w:r>
      <w:r w:rsidR="002D340E">
        <w:rPr>
          <w:sz w:val="26"/>
          <w:szCs w:val="26"/>
        </w:rPr>
        <w:t xml:space="preserve"> proposed 50% supplier load cap for the Opt-In Program.</w:t>
      </w:r>
      <w:r>
        <w:rPr>
          <w:sz w:val="26"/>
          <w:szCs w:val="26"/>
        </w:rPr>
        <w:t xml:space="preserve">  </w:t>
      </w:r>
      <w:r w:rsidR="002D340E" w:rsidRPr="00EE5722">
        <w:rPr>
          <w:sz w:val="26"/>
          <w:szCs w:val="26"/>
        </w:rPr>
        <w:t xml:space="preserve">That said, </w:t>
      </w:r>
      <w:r>
        <w:rPr>
          <w:sz w:val="26"/>
          <w:szCs w:val="26"/>
        </w:rPr>
        <w:t xml:space="preserve">RESA submitted that the supplier load cap issue would be moot if </w:t>
      </w:r>
      <w:r w:rsidR="002D340E" w:rsidRPr="00EE5722">
        <w:rPr>
          <w:sz w:val="26"/>
          <w:szCs w:val="26"/>
        </w:rPr>
        <w:t xml:space="preserve">the Commission </w:t>
      </w:r>
      <w:r>
        <w:rPr>
          <w:sz w:val="26"/>
          <w:szCs w:val="26"/>
        </w:rPr>
        <w:t xml:space="preserve">were </w:t>
      </w:r>
      <w:r w:rsidR="009925BD">
        <w:rPr>
          <w:sz w:val="26"/>
          <w:szCs w:val="26"/>
        </w:rPr>
        <w:t xml:space="preserve">to </w:t>
      </w:r>
      <w:r w:rsidR="002D340E" w:rsidRPr="00EE5722">
        <w:rPr>
          <w:sz w:val="26"/>
          <w:szCs w:val="26"/>
        </w:rPr>
        <w:t>assign customers to participating EGSs in the manner recommended by RESA (customers would be assigned equally to parti</w:t>
      </w:r>
      <w:r w:rsidR="009925BD">
        <w:rPr>
          <w:sz w:val="26"/>
          <w:szCs w:val="26"/>
        </w:rPr>
        <w:t>cipating EGSs).  I</w:t>
      </w:r>
      <w:r w:rsidR="002D340E" w:rsidRPr="00EE5722">
        <w:rPr>
          <w:sz w:val="26"/>
          <w:szCs w:val="26"/>
        </w:rPr>
        <w:t xml:space="preserve">n </w:t>
      </w:r>
      <w:r w:rsidR="002D340E" w:rsidRPr="00EE5722">
        <w:rPr>
          <w:sz w:val="26"/>
          <w:szCs w:val="26"/>
        </w:rPr>
        <w:lastRenderedPageBreak/>
        <w:t xml:space="preserve">the </w:t>
      </w:r>
      <w:r w:rsidR="003C5728">
        <w:rPr>
          <w:i/>
          <w:sz w:val="26"/>
          <w:szCs w:val="26"/>
        </w:rPr>
        <w:t xml:space="preserve">FirstEnergy DSP </w:t>
      </w:r>
      <w:r w:rsidR="002D340E" w:rsidRPr="00EE5722">
        <w:rPr>
          <w:i/>
          <w:sz w:val="26"/>
          <w:szCs w:val="26"/>
        </w:rPr>
        <w:t>Order</w:t>
      </w:r>
      <w:r w:rsidR="009925BD">
        <w:rPr>
          <w:sz w:val="26"/>
          <w:szCs w:val="26"/>
        </w:rPr>
        <w:t xml:space="preserve"> at 115</w:t>
      </w:r>
      <w:r w:rsidR="002D340E" w:rsidRPr="00EE5722">
        <w:rPr>
          <w:sz w:val="26"/>
          <w:szCs w:val="26"/>
        </w:rPr>
        <w:t>, the Commission ruled that a 50% supplier load cap “strikes the appropriate balance between diversity of EGS participation and competitive</w:t>
      </w:r>
      <w:r w:rsidR="002D340E">
        <w:rPr>
          <w:sz w:val="26"/>
          <w:szCs w:val="26"/>
        </w:rPr>
        <w:t xml:space="preserve"> </w:t>
      </w:r>
      <w:r w:rsidR="002D340E" w:rsidRPr="00EE5722">
        <w:rPr>
          <w:sz w:val="26"/>
          <w:szCs w:val="26"/>
        </w:rPr>
        <w:t xml:space="preserve">supply pricing.”  In the </w:t>
      </w:r>
      <w:r w:rsidR="002D340E" w:rsidRPr="00EE5722">
        <w:rPr>
          <w:i/>
          <w:sz w:val="26"/>
          <w:szCs w:val="26"/>
        </w:rPr>
        <w:t>PECO Binding Poll</w:t>
      </w:r>
      <w:r w:rsidR="002D340E" w:rsidRPr="00EE5722">
        <w:rPr>
          <w:sz w:val="26"/>
          <w:szCs w:val="26"/>
        </w:rPr>
        <w:t>, the Commission also adopted a 50% supplier load cap.</w:t>
      </w:r>
      <w:r w:rsidR="009925BD">
        <w:rPr>
          <w:sz w:val="26"/>
          <w:szCs w:val="26"/>
        </w:rPr>
        <w:t xml:space="preserve">  </w:t>
      </w:r>
      <w:r>
        <w:rPr>
          <w:sz w:val="26"/>
          <w:szCs w:val="26"/>
        </w:rPr>
        <w:t>RESA argued that a</w:t>
      </w:r>
      <w:r w:rsidR="002D340E" w:rsidRPr="00EE5722">
        <w:rPr>
          <w:sz w:val="26"/>
          <w:szCs w:val="26"/>
        </w:rPr>
        <w:t xml:space="preserve"> supplier load cap is important to ensure </w:t>
      </w:r>
      <w:r>
        <w:rPr>
          <w:sz w:val="26"/>
          <w:szCs w:val="26"/>
        </w:rPr>
        <w:t xml:space="preserve">that </w:t>
      </w:r>
      <w:r w:rsidR="002D340E" w:rsidRPr="00EE5722">
        <w:rPr>
          <w:sz w:val="26"/>
          <w:szCs w:val="26"/>
        </w:rPr>
        <w:t>the Commission’s competitive enhancements do not result in merely transferring customers from an entity with the majority of market share</w:t>
      </w:r>
      <w:r w:rsidR="007D1761">
        <w:rPr>
          <w:sz w:val="26"/>
          <w:szCs w:val="26"/>
        </w:rPr>
        <w:t xml:space="preserve">, </w:t>
      </w:r>
      <w:r w:rsidR="002D340E" w:rsidRPr="00EE5722">
        <w:rPr>
          <w:sz w:val="26"/>
          <w:szCs w:val="26"/>
        </w:rPr>
        <w:t xml:space="preserve">the EDC </w:t>
      </w:r>
      <w:r w:rsidR="007D1761">
        <w:rPr>
          <w:sz w:val="26"/>
          <w:szCs w:val="26"/>
        </w:rPr>
        <w:t>in its role as default provider,</w:t>
      </w:r>
      <w:r w:rsidR="002D340E" w:rsidRPr="00EE5722">
        <w:rPr>
          <w:sz w:val="26"/>
          <w:szCs w:val="26"/>
        </w:rPr>
        <w:t xml:space="preserve"> to a new marketer with dominant market share.  </w:t>
      </w:r>
      <w:r>
        <w:rPr>
          <w:sz w:val="26"/>
          <w:szCs w:val="26"/>
        </w:rPr>
        <w:t>RESA contended that</w:t>
      </w:r>
      <w:r w:rsidR="002D340E" w:rsidRPr="00EE5722">
        <w:rPr>
          <w:sz w:val="26"/>
          <w:szCs w:val="26"/>
        </w:rPr>
        <w:t xml:space="preserve"> FES did not provide any justification or good cause for its proposed deviation from the Commission’s decisions on this issue. </w:t>
      </w:r>
    </w:p>
    <w:p w:rsidR="00060FEE" w:rsidRPr="00060FEE" w:rsidRDefault="00060FEE" w:rsidP="009925BD">
      <w:pPr>
        <w:pStyle w:val="BodyText2"/>
        <w:spacing w:after="0" w:line="360" w:lineRule="auto"/>
        <w:ind w:firstLine="1440"/>
        <w:rPr>
          <w:sz w:val="26"/>
          <w:szCs w:val="26"/>
          <w:lang w:val="en-US"/>
        </w:rPr>
      </w:pPr>
    </w:p>
    <w:p w:rsidR="00E71C1C" w:rsidRDefault="00A02AE3" w:rsidP="007D1761">
      <w:pPr>
        <w:pStyle w:val="BriefL3"/>
        <w:numPr>
          <w:ilvl w:val="0"/>
          <w:numId w:val="0"/>
        </w:numPr>
        <w:spacing w:after="0" w:line="360" w:lineRule="auto"/>
        <w:ind w:firstLine="1440"/>
        <w:rPr>
          <w:sz w:val="26"/>
          <w:szCs w:val="26"/>
        </w:rPr>
      </w:pPr>
      <w:r>
        <w:rPr>
          <w:sz w:val="26"/>
          <w:szCs w:val="26"/>
        </w:rPr>
        <w:t>Citizen</w:t>
      </w:r>
      <w:r w:rsidR="00CB1F17">
        <w:rPr>
          <w:sz w:val="26"/>
          <w:szCs w:val="26"/>
        </w:rPr>
        <w:t xml:space="preserve"> Power </w:t>
      </w:r>
      <w:r>
        <w:rPr>
          <w:sz w:val="26"/>
          <w:szCs w:val="26"/>
        </w:rPr>
        <w:t>supported</w:t>
      </w:r>
      <w:r w:rsidR="00CB1F17">
        <w:rPr>
          <w:sz w:val="26"/>
          <w:szCs w:val="26"/>
        </w:rPr>
        <w:t xml:space="preserve"> Duquesne</w:t>
      </w:r>
      <w:r w:rsidR="00CB1F17" w:rsidRPr="00EE5722">
        <w:rPr>
          <w:sz w:val="26"/>
          <w:szCs w:val="26"/>
        </w:rPr>
        <w:t xml:space="preserve">’s approach </w:t>
      </w:r>
      <w:r w:rsidR="009925BD">
        <w:rPr>
          <w:sz w:val="26"/>
          <w:szCs w:val="26"/>
        </w:rPr>
        <w:t>because an additional benefit of</w:t>
      </w:r>
      <w:r w:rsidR="00CB1F17" w:rsidRPr="00EE5722">
        <w:rPr>
          <w:sz w:val="26"/>
          <w:szCs w:val="26"/>
        </w:rPr>
        <w:t xml:space="preserve"> the Opt-In Program, beyond increasing shopping levels, is an increase in EGS participation in the reta</w:t>
      </w:r>
      <w:r w:rsidR="009925BD">
        <w:rPr>
          <w:sz w:val="26"/>
          <w:szCs w:val="26"/>
        </w:rPr>
        <w:t xml:space="preserve">il residential markets. </w:t>
      </w:r>
    </w:p>
    <w:p w:rsidR="00A02AE3" w:rsidRDefault="00A02AE3" w:rsidP="007D1761">
      <w:pPr>
        <w:pStyle w:val="BodyTextFirstLine5DS"/>
        <w:spacing w:line="360" w:lineRule="auto"/>
        <w:ind w:firstLine="0"/>
        <w:jc w:val="left"/>
        <w:rPr>
          <w:rFonts w:eastAsia="Times New Roman"/>
          <w:sz w:val="26"/>
          <w:szCs w:val="26"/>
        </w:rPr>
      </w:pPr>
    </w:p>
    <w:p w:rsidR="00A02AE3" w:rsidRPr="00EE5722" w:rsidRDefault="00A02AE3" w:rsidP="007D1761">
      <w:pPr>
        <w:pStyle w:val="BodyTextFirstLine5DS"/>
        <w:spacing w:line="360" w:lineRule="auto"/>
        <w:ind w:firstLine="1440"/>
        <w:jc w:val="left"/>
        <w:rPr>
          <w:sz w:val="26"/>
          <w:szCs w:val="26"/>
        </w:rPr>
      </w:pPr>
      <w:r>
        <w:rPr>
          <w:sz w:val="26"/>
          <w:szCs w:val="26"/>
        </w:rPr>
        <w:t>FES strongly opposed any supp</w:t>
      </w:r>
      <w:r w:rsidR="009925BD">
        <w:rPr>
          <w:sz w:val="26"/>
          <w:szCs w:val="26"/>
        </w:rPr>
        <w:t>lier caps.  FES opposes</w:t>
      </w:r>
      <w:r w:rsidRPr="00EE5722">
        <w:rPr>
          <w:sz w:val="26"/>
          <w:szCs w:val="26"/>
        </w:rPr>
        <w:t xml:space="preserve"> any artificial limits on supplier participat</w:t>
      </w:r>
      <w:r w:rsidR="009925BD">
        <w:rPr>
          <w:sz w:val="26"/>
          <w:szCs w:val="26"/>
        </w:rPr>
        <w:t>ion in RME</w:t>
      </w:r>
      <w:r w:rsidRPr="00EE5722">
        <w:rPr>
          <w:sz w:val="26"/>
          <w:szCs w:val="26"/>
        </w:rPr>
        <w:t xml:space="preserve"> P</w:t>
      </w:r>
      <w:r>
        <w:rPr>
          <w:sz w:val="26"/>
          <w:szCs w:val="26"/>
        </w:rPr>
        <w:t xml:space="preserve">rograms.  </w:t>
      </w:r>
      <w:r w:rsidR="007D1761">
        <w:rPr>
          <w:i/>
          <w:sz w:val="26"/>
          <w:szCs w:val="26"/>
        </w:rPr>
        <w:t xml:space="preserve">See </w:t>
      </w:r>
      <w:r>
        <w:rPr>
          <w:sz w:val="26"/>
          <w:szCs w:val="26"/>
        </w:rPr>
        <w:t xml:space="preserve">FES St. 1 at 5-6, 14-15; FES St. </w:t>
      </w:r>
      <w:r w:rsidR="00911D84">
        <w:rPr>
          <w:sz w:val="26"/>
          <w:szCs w:val="26"/>
        </w:rPr>
        <w:t>1-SR at </w:t>
      </w:r>
      <w:r w:rsidRPr="00EE5722">
        <w:rPr>
          <w:sz w:val="26"/>
          <w:szCs w:val="26"/>
        </w:rPr>
        <w:t>9-10.</w:t>
      </w:r>
      <w:r>
        <w:rPr>
          <w:sz w:val="26"/>
          <w:szCs w:val="26"/>
        </w:rPr>
        <w:t xml:space="preserve">  FES argued that</w:t>
      </w:r>
      <w:r w:rsidRPr="00EE5722">
        <w:rPr>
          <w:sz w:val="26"/>
          <w:szCs w:val="26"/>
        </w:rPr>
        <w:t xml:space="preserve"> </w:t>
      </w:r>
      <w:r w:rsidR="00CE46A7">
        <w:rPr>
          <w:sz w:val="26"/>
          <w:szCs w:val="26"/>
        </w:rPr>
        <w:t xml:space="preserve">currently </w:t>
      </w:r>
      <w:r w:rsidRPr="00EE5722">
        <w:rPr>
          <w:sz w:val="26"/>
          <w:szCs w:val="26"/>
        </w:rPr>
        <w:t>there is no clear methodology for allocating customers among participating suppliers</w:t>
      </w:r>
      <w:r w:rsidR="00CE46A7">
        <w:rPr>
          <w:sz w:val="26"/>
          <w:szCs w:val="26"/>
        </w:rPr>
        <w:t xml:space="preserve">.  </w:t>
      </w:r>
      <w:r w:rsidR="007D1761">
        <w:rPr>
          <w:sz w:val="26"/>
          <w:szCs w:val="26"/>
        </w:rPr>
        <w:t>FES stated that t</w:t>
      </w:r>
      <w:r w:rsidR="00CE46A7">
        <w:rPr>
          <w:sz w:val="26"/>
          <w:szCs w:val="26"/>
        </w:rPr>
        <w:t>his issue soon may be moot since</w:t>
      </w:r>
      <w:r w:rsidRPr="00EE5722">
        <w:rPr>
          <w:sz w:val="26"/>
          <w:szCs w:val="26"/>
        </w:rPr>
        <w:t xml:space="preserve"> the </w:t>
      </w:r>
      <w:r w:rsidR="009925BD">
        <w:rPr>
          <w:sz w:val="26"/>
          <w:szCs w:val="26"/>
        </w:rPr>
        <w:t xml:space="preserve">Commission has directed in the FirstEnergy </w:t>
      </w:r>
      <w:r w:rsidR="007D1761">
        <w:rPr>
          <w:sz w:val="26"/>
          <w:szCs w:val="26"/>
        </w:rPr>
        <w:t xml:space="preserve">DSP </w:t>
      </w:r>
      <w:r w:rsidR="009925BD">
        <w:rPr>
          <w:sz w:val="26"/>
          <w:szCs w:val="26"/>
        </w:rPr>
        <w:t xml:space="preserve">and PECO DSP proceedings that this issue </w:t>
      </w:r>
      <w:r w:rsidR="00CE46A7">
        <w:rPr>
          <w:sz w:val="26"/>
          <w:szCs w:val="26"/>
        </w:rPr>
        <w:t xml:space="preserve">be addressed in </w:t>
      </w:r>
      <w:r w:rsidR="00394FDC">
        <w:rPr>
          <w:sz w:val="26"/>
          <w:szCs w:val="26"/>
        </w:rPr>
        <w:t xml:space="preserve">a </w:t>
      </w:r>
      <w:r w:rsidRPr="00EE5722">
        <w:rPr>
          <w:sz w:val="26"/>
          <w:szCs w:val="26"/>
        </w:rPr>
        <w:t>subseq</w:t>
      </w:r>
      <w:r w:rsidR="00394FDC">
        <w:rPr>
          <w:sz w:val="26"/>
          <w:szCs w:val="26"/>
        </w:rPr>
        <w:t>uent collaborative</w:t>
      </w:r>
      <w:r w:rsidRPr="00EE5722">
        <w:rPr>
          <w:sz w:val="26"/>
          <w:szCs w:val="26"/>
        </w:rPr>
        <w:t xml:space="preserve"> am</w:t>
      </w:r>
      <w:r w:rsidR="007D1761">
        <w:rPr>
          <w:sz w:val="26"/>
          <w:szCs w:val="26"/>
        </w:rPr>
        <w:t>ong the EDCs and interested P</w:t>
      </w:r>
      <w:r w:rsidRPr="00EE5722">
        <w:rPr>
          <w:sz w:val="26"/>
          <w:szCs w:val="26"/>
        </w:rPr>
        <w:t xml:space="preserve">arties.  If bidding competition </w:t>
      </w:r>
      <w:r w:rsidR="00CE46A7">
        <w:rPr>
          <w:sz w:val="26"/>
          <w:szCs w:val="26"/>
        </w:rPr>
        <w:t xml:space="preserve">for the Opt-In Program as proposed by Duquesne </w:t>
      </w:r>
      <w:r w:rsidRPr="00EE5722">
        <w:rPr>
          <w:sz w:val="26"/>
          <w:szCs w:val="26"/>
        </w:rPr>
        <w:t>is retained, the</w:t>
      </w:r>
      <w:r w:rsidR="00CE46A7">
        <w:rPr>
          <w:sz w:val="26"/>
          <w:szCs w:val="26"/>
        </w:rPr>
        <w:t xml:space="preserve"> Commission held</w:t>
      </w:r>
      <w:r w:rsidRPr="00EE5722">
        <w:rPr>
          <w:sz w:val="26"/>
          <w:szCs w:val="26"/>
        </w:rPr>
        <w:t xml:space="preserve"> in the </w:t>
      </w:r>
      <w:r w:rsidRPr="00EE5722">
        <w:rPr>
          <w:i/>
          <w:sz w:val="26"/>
          <w:szCs w:val="26"/>
        </w:rPr>
        <w:t xml:space="preserve">IWP </w:t>
      </w:r>
      <w:r w:rsidR="00F25874">
        <w:rPr>
          <w:i/>
          <w:sz w:val="26"/>
          <w:szCs w:val="26"/>
        </w:rPr>
        <w:t xml:space="preserve">Final </w:t>
      </w:r>
      <w:r w:rsidRPr="00EE5722">
        <w:rPr>
          <w:i/>
          <w:sz w:val="26"/>
          <w:szCs w:val="26"/>
        </w:rPr>
        <w:t>Order</w:t>
      </w:r>
      <w:r w:rsidRPr="00EE5722">
        <w:rPr>
          <w:sz w:val="26"/>
          <w:szCs w:val="26"/>
        </w:rPr>
        <w:t xml:space="preserve"> that a 50% cap is the appropriate level to strike a balance between ensuring a diverse array</w:t>
      </w:r>
      <w:r w:rsidR="00CE46A7">
        <w:rPr>
          <w:sz w:val="26"/>
          <w:szCs w:val="26"/>
        </w:rPr>
        <w:t xml:space="preserve"> of EGSs </w:t>
      </w:r>
      <w:r w:rsidRPr="00EE5722">
        <w:rPr>
          <w:sz w:val="26"/>
          <w:szCs w:val="26"/>
        </w:rPr>
        <w:t xml:space="preserve">and providing the lowest possible pricing to consumers.  </w:t>
      </w:r>
      <w:r w:rsidRPr="00EE5722">
        <w:rPr>
          <w:i/>
          <w:sz w:val="26"/>
          <w:szCs w:val="26"/>
        </w:rPr>
        <w:t xml:space="preserve">IWP </w:t>
      </w:r>
      <w:r w:rsidR="00F25874">
        <w:rPr>
          <w:i/>
          <w:sz w:val="26"/>
          <w:szCs w:val="26"/>
        </w:rPr>
        <w:t xml:space="preserve">Final </w:t>
      </w:r>
      <w:r w:rsidRPr="00EE5722">
        <w:rPr>
          <w:i/>
          <w:sz w:val="26"/>
          <w:szCs w:val="26"/>
        </w:rPr>
        <w:t>Order</w:t>
      </w:r>
      <w:r w:rsidRPr="00EE5722">
        <w:rPr>
          <w:sz w:val="26"/>
          <w:szCs w:val="26"/>
        </w:rPr>
        <w:t xml:space="preserve"> a</w:t>
      </w:r>
      <w:r>
        <w:rPr>
          <w:sz w:val="26"/>
          <w:szCs w:val="26"/>
        </w:rPr>
        <w:t>t 63.</w:t>
      </w:r>
    </w:p>
    <w:p w:rsidR="00A02AE3" w:rsidRPr="00EE5722" w:rsidRDefault="00A02AE3" w:rsidP="007D1761">
      <w:pPr>
        <w:pStyle w:val="BodyTextFirstLine5DS"/>
        <w:spacing w:line="360" w:lineRule="auto"/>
        <w:jc w:val="left"/>
        <w:rPr>
          <w:sz w:val="26"/>
          <w:szCs w:val="26"/>
        </w:rPr>
      </w:pPr>
    </w:p>
    <w:p w:rsidR="00A02AE3" w:rsidRPr="00EE5722" w:rsidRDefault="00A02AE3" w:rsidP="007D1761">
      <w:pPr>
        <w:pStyle w:val="BodyTextFirstLine5DS"/>
        <w:spacing w:line="360" w:lineRule="auto"/>
        <w:ind w:firstLine="1440"/>
        <w:jc w:val="left"/>
        <w:rPr>
          <w:sz w:val="26"/>
          <w:szCs w:val="26"/>
        </w:rPr>
      </w:pPr>
      <w:r>
        <w:rPr>
          <w:sz w:val="26"/>
          <w:szCs w:val="26"/>
        </w:rPr>
        <w:t>FES contended</w:t>
      </w:r>
      <w:r w:rsidRPr="00EE5722">
        <w:rPr>
          <w:sz w:val="26"/>
          <w:szCs w:val="26"/>
        </w:rPr>
        <w:t xml:space="preserve">, however, </w:t>
      </w:r>
      <w:r>
        <w:rPr>
          <w:sz w:val="26"/>
          <w:szCs w:val="26"/>
        </w:rPr>
        <w:t xml:space="preserve">that </w:t>
      </w:r>
      <w:r w:rsidRPr="00EE5722">
        <w:rPr>
          <w:sz w:val="26"/>
          <w:szCs w:val="26"/>
        </w:rPr>
        <w:t>there are numerous</w:t>
      </w:r>
      <w:r w:rsidR="007D1761">
        <w:rPr>
          <w:sz w:val="26"/>
          <w:szCs w:val="26"/>
        </w:rPr>
        <w:t xml:space="preserve"> offers currently available to r</w:t>
      </w:r>
      <w:r w:rsidRPr="00EE5722">
        <w:rPr>
          <w:sz w:val="26"/>
          <w:szCs w:val="26"/>
        </w:rPr>
        <w:t>esiden</w:t>
      </w:r>
      <w:r>
        <w:rPr>
          <w:sz w:val="26"/>
          <w:szCs w:val="26"/>
        </w:rPr>
        <w:t>tial customers in Duquesne</w:t>
      </w:r>
      <w:r w:rsidRPr="00EE5722">
        <w:rPr>
          <w:sz w:val="26"/>
          <w:szCs w:val="26"/>
        </w:rPr>
        <w:t xml:space="preserve">'s service territory.  As of June 2012, </w:t>
      </w:r>
      <w:r w:rsidR="007D1761">
        <w:rPr>
          <w:sz w:val="26"/>
          <w:szCs w:val="26"/>
        </w:rPr>
        <w:t xml:space="preserve">FES asserted that </w:t>
      </w:r>
      <w:r w:rsidR="00CE46A7">
        <w:rPr>
          <w:sz w:val="26"/>
          <w:szCs w:val="26"/>
        </w:rPr>
        <w:t>there were nine</w:t>
      </w:r>
      <w:r w:rsidRPr="00EE5722">
        <w:rPr>
          <w:sz w:val="26"/>
          <w:szCs w:val="26"/>
        </w:rPr>
        <w:t xml:space="preserve"> EGSs</w:t>
      </w:r>
      <w:r w:rsidR="007D1761">
        <w:rPr>
          <w:sz w:val="26"/>
          <w:szCs w:val="26"/>
        </w:rPr>
        <w:t xml:space="preserve"> making fixed-price offers of twelve</w:t>
      </w:r>
      <w:r w:rsidRPr="00EE5722">
        <w:rPr>
          <w:sz w:val="26"/>
          <w:szCs w:val="26"/>
        </w:rPr>
        <w:t xml:space="preserve"> months or longer and at least 5%</w:t>
      </w:r>
      <w:r>
        <w:rPr>
          <w:sz w:val="26"/>
          <w:szCs w:val="26"/>
        </w:rPr>
        <w:t xml:space="preserve"> below the PTC in Duquesne</w:t>
      </w:r>
      <w:r w:rsidRPr="00EE5722">
        <w:rPr>
          <w:sz w:val="26"/>
          <w:szCs w:val="26"/>
        </w:rPr>
        <w:t>'s service terri</w:t>
      </w:r>
      <w:r w:rsidR="00CE46A7">
        <w:rPr>
          <w:sz w:val="26"/>
          <w:szCs w:val="26"/>
        </w:rPr>
        <w:t>tory</w:t>
      </w:r>
      <w:r w:rsidRPr="00EE5722">
        <w:rPr>
          <w:sz w:val="26"/>
          <w:szCs w:val="26"/>
        </w:rPr>
        <w:t xml:space="preserve">.  </w:t>
      </w:r>
      <w:r w:rsidRPr="00EE5722">
        <w:rPr>
          <w:i/>
          <w:sz w:val="26"/>
          <w:szCs w:val="26"/>
        </w:rPr>
        <w:t xml:space="preserve">See </w:t>
      </w:r>
      <w:r w:rsidRPr="00EE5722">
        <w:rPr>
          <w:sz w:val="26"/>
          <w:szCs w:val="26"/>
        </w:rPr>
        <w:t>FES Ex</w:t>
      </w:r>
      <w:r>
        <w:rPr>
          <w:sz w:val="26"/>
          <w:szCs w:val="26"/>
        </w:rPr>
        <w:t>h</w:t>
      </w:r>
      <w:r w:rsidRPr="00EE5722">
        <w:rPr>
          <w:sz w:val="26"/>
          <w:szCs w:val="26"/>
        </w:rPr>
        <w:t xml:space="preserve">. TCB-2.  </w:t>
      </w:r>
      <w:r w:rsidR="007D1761">
        <w:rPr>
          <w:sz w:val="26"/>
          <w:szCs w:val="26"/>
        </w:rPr>
        <w:t xml:space="preserve">FES </w:t>
      </w:r>
      <w:r w:rsidR="007D1761">
        <w:rPr>
          <w:sz w:val="26"/>
          <w:szCs w:val="26"/>
        </w:rPr>
        <w:lastRenderedPageBreak/>
        <w:t>averred that t</w:t>
      </w:r>
      <w:r w:rsidRPr="00EE5722">
        <w:rPr>
          <w:sz w:val="26"/>
          <w:szCs w:val="26"/>
        </w:rPr>
        <w:t>he fact that many suppliers al</w:t>
      </w:r>
      <w:r>
        <w:rPr>
          <w:sz w:val="26"/>
          <w:szCs w:val="26"/>
        </w:rPr>
        <w:t>ready compete in Duquesne</w:t>
      </w:r>
      <w:r w:rsidR="00CE46A7">
        <w:rPr>
          <w:sz w:val="26"/>
          <w:szCs w:val="26"/>
        </w:rPr>
        <w:t>’s territory</w:t>
      </w:r>
      <w:r>
        <w:rPr>
          <w:sz w:val="26"/>
          <w:szCs w:val="26"/>
        </w:rPr>
        <w:t xml:space="preserve"> </w:t>
      </w:r>
      <w:r w:rsidRPr="00EE5722">
        <w:rPr>
          <w:sz w:val="26"/>
          <w:szCs w:val="26"/>
        </w:rPr>
        <w:t xml:space="preserve">indicates that the </w:t>
      </w:r>
      <w:r w:rsidR="00CE46A7">
        <w:rPr>
          <w:sz w:val="26"/>
          <w:szCs w:val="26"/>
        </w:rPr>
        <w:t xml:space="preserve">Opt-In </w:t>
      </w:r>
      <w:r w:rsidRPr="00EE5722">
        <w:rPr>
          <w:sz w:val="26"/>
          <w:szCs w:val="26"/>
        </w:rPr>
        <w:t>Program will attract vigorous EGS competition without the need to impose any supplier load caps.</w:t>
      </w:r>
      <w:r w:rsidR="007D1761">
        <w:rPr>
          <w:sz w:val="26"/>
          <w:szCs w:val="26"/>
        </w:rPr>
        <w:t xml:space="preserve">  </w:t>
      </w:r>
      <w:r>
        <w:rPr>
          <w:sz w:val="26"/>
          <w:szCs w:val="26"/>
        </w:rPr>
        <w:t xml:space="preserve">FES St. </w:t>
      </w:r>
      <w:r w:rsidRPr="00EE5722">
        <w:rPr>
          <w:sz w:val="26"/>
          <w:szCs w:val="26"/>
        </w:rPr>
        <w:t>1 at 15.</w:t>
      </w:r>
    </w:p>
    <w:p w:rsidR="00A02AE3" w:rsidRPr="00EE5722" w:rsidRDefault="00A02AE3" w:rsidP="00A02AE3">
      <w:pPr>
        <w:pStyle w:val="BodyTextFirstLine5DS"/>
        <w:spacing w:line="360" w:lineRule="auto"/>
        <w:jc w:val="left"/>
        <w:rPr>
          <w:sz w:val="26"/>
          <w:szCs w:val="26"/>
        </w:rPr>
      </w:pPr>
    </w:p>
    <w:p w:rsidR="00A02AE3" w:rsidRDefault="00CE46A7" w:rsidP="007D1761">
      <w:pPr>
        <w:pStyle w:val="BriefL3"/>
        <w:numPr>
          <w:ilvl w:val="0"/>
          <w:numId w:val="0"/>
        </w:numPr>
        <w:spacing w:after="0" w:line="360" w:lineRule="auto"/>
        <w:ind w:firstLine="1440"/>
        <w:rPr>
          <w:sz w:val="26"/>
          <w:szCs w:val="26"/>
        </w:rPr>
      </w:pPr>
      <w:r>
        <w:rPr>
          <w:sz w:val="26"/>
          <w:szCs w:val="26"/>
        </w:rPr>
        <w:t xml:space="preserve">FES argued that </w:t>
      </w:r>
      <w:r w:rsidR="00A02AE3" w:rsidRPr="00EE5722">
        <w:rPr>
          <w:sz w:val="26"/>
          <w:szCs w:val="26"/>
        </w:rPr>
        <w:t xml:space="preserve">it is extremely unlikely that one supplier </w:t>
      </w:r>
      <w:r w:rsidR="00A02AE3">
        <w:rPr>
          <w:sz w:val="26"/>
          <w:szCs w:val="26"/>
        </w:rPr>
        <w:t xml:space="preserve">could dominate the Duquesne </w:t>
      </w:r>
      <w:r w:rsidR="00A02AE3" w:rsidRPr="00EE5722">
        <w:rPr>
          <w:sz w:val="26"/>
          <w:szCs w:val="26"/>
        </w:rPr>
        <w:t>retail market, including the</w:t>
      </w:r>
      <w:r w:rsidR="00A02AE3">
        <w:rPr>
          <w:sz w:val="26"/>
          <w:szCs w:val="26"/>
        </w:rPr>
        <w:t xml:space="preserve"> Opt-In Program. </w:t>
      </w:r>
      <w:r w:rsidR="007D1761">
        <w:rPr>
          <w:sz w:val="26"/>
          <w:szCs w:val="26"/>
        </w:rPr>
        <w:t xml:space="preserve">FES stated that </w:t>
      </w:r>
      <w:r w:rsidR="00A02AE3">
        <w:rPr>
          <w:sz w:val="26"/>
          <w:szCs w:val="26"/>
        </w:rPr>
        <w:t>Duquesne</w:t>
      </w:r>
      <w:r w:rsidR="007D1761">
        <w:rPr>
          <w:sz w:val="26"/>
          <w:szCs w:val="26"/>
        </w:rPr>
        <w:t>,</w:t>
      </w:r>
      <w:r w:rsidR="00A02AE3">
        <w:rPr>
          <w:sz w:val="26"/>
          <w:szCs w:val="26"/>
        </w:rPr>
        <w:t xml:space="preserve"> </w:t>
      </w:r>
      <w:r w:rsidR="00A02AE3" w:rsidRPr="00EE5722">
        <w:rPr>
          <w:sz w:val="26"/>
          <w:szCs w:val="26"/>
        </w:rPr>
        <w:t>as the default service provider</w:t>
      </w:r>
      <w:r w:rsidR="007D1761">
        <w:rPr>
          <w:sz w:val="26"/>
          <w:szCs w:val="26"/>
        </w:rPr>
        <w:t>, currently has the majority of r</w:t>
      </w:r>
      <w:r w:rsidR="00A02AE3" w:rsidRPr="00EE5722">
        <w:rPr>
          <w:sz w:val="26"/>
          <w:szCs w:val="26"/>
        </w:rPr>
        <w:t>esidential market share, at 61%.  Furtherm</w:t>
      </w:r>
      <w:r w:rsidR="00A02AE3">
        <w:rPr>
          <w:sz w:val="26"/>
          <w:szCs w:val="26"/>
        </w:rPr>
        <w:t xml:space="preserve">ore, </w:t>
      </w:r>
      <w:r w:rsidR="007D1761">
        <w:rPr>
          <w:sz w:val="26"/>
          <w:szCs w:val="26"/>
        </w:rPr>
        <w:t>FES notes that</w:t>
      </w:r>
      <w:r w:rsidR="00C8778F">
        <w:rPr>
          <w:sz w:val="26"/>
          <w:szCs w:val="26"/>
        </w:rPr>
        <w:t>,</w:t>
      </w:r>
      <w:r w:rsidR="007D1761">
        <w:rPr>
          <w:sz w:val="26"/>
          <w:szCs w:val="26"/>
        </w:rPr>
        <w:t xml:space="preserve"> </w:t>
      </w:r>
      <w:r w:rsidR="00A02AE3">
        <w:rPr>
          <w:sz w:val="26"/>
          <w:szCs w:val="26"/>
        </w:rPr>
        <w:t>according to Duquesne</w:t>
      </w:r>
      <w:r w:rsidR="00A02AE3" w:rsidRPr="00EE5722">
        <w:rPr>
          <w:sz w:val="26"/>
          <w:szCs w:val="26"/>
        </w:rPr>
        <w:t>, there are ove</w:t>
      </w:r>
      <w:r w:rsidR="007D1761">
        <w:rPr>
          <w:sz w:val="26"/>
          <w:szCs w:val="26"/>
        </w:rPr>
        <w:t>r twenty</w:t>
      </w:r>
      <w:r w:rsidR="00A02AE3">
        <w:rPr>
          <w:sz w:val="26"/>
          <w:szCs w:val="26"/>
        </w:rPr>
        <w:t xml:space="preserve"> EGSs in the Duquesne </w:t>
      </w:r>
      <w:r w:rsidR="00A02AE3" w:rsidRPr="00EE5722">
        <w:rPr>
          <w:sz w:val="26"/>
          <w:szCs w:val="26"/>
        </w:rPr>
        <w:t>service territor</w:t>
      </w:r>
      <w:r w:rsidR="007D1761">
        <w:rPr>
          <w:sz w:val="26"/>
          <w:szCs w:val="26"/>
        </w:rPr>
        <w:t>y serving the remaining 39% of r</w:t>
      </w:r>
      <w:r w:rsidR="00A02AE3" w:rsidRPr="00EE5722">
        <w:rPr>
          <w:sz w:val="26"/>
          <w:szCs w:val="26"/>
        </w:rPr>
        <w:t>esidential customers that have chosen an altern</w:t>
      </w:r>
      <w:r w:rsidR="00A02AE3">
        <w:rPr>
          <w:sz w:val="26"/>
          <w:szCs w:val="26"/>
        </w:rPr>
        <w:t xml:space="preserve">ative supplier.  </w:t>
      </w:r>
      <w:r w:rsidR="007D1761">
        <w:rPr>
          <w:i/>
          <w:sz w:val="26"/>
          <w:szCs w:val="26"/>
        </w:rPr>
        <w:t xml:space="preserve">See </w:t>
      </w:r>
      <w:r w:rsidR="00A02AE3">
        <w:rPr>
          <w:sz w:val="26"/>
          <w:szCs w:val="26"/>
        </w:rPr>
        <w:t xml:space="preserve">Duquesne St. 1 at 16; Duquesne St. </w:t>
      </w:r>
      <w:r w:rsidR="00A02AE3" w:rsidRPr="00EE5722">
        <w:rPr>
          <w:sz w:val="26"/>
          <w:szCs w:val="26"/>
        </w:rPr>
        <w:t xml:space="preserve">2 at 5.  </w:t>
      </w:r>
      <w:r w:rsidR="007D1761">
        <w:rPr>
          <w:sz w:val="26"/>
          <w:szCs w:val="26"/>
        </w:rPr>
        <w:t>According to FES, t</w:t>
      </w:r>
      <w:r w:rsidR="00A02AE3" w:rsidRPr="00EE5722">
        <w:rPr>
          <w:sz w:val="26"/>
          <w:szCs w:val="26"/>
        </w:rPr>
        <w:t xml:space="preserve">he proposed customer participation cap limits the entire Opt-In Program to one-half of the customers on default service, </w:t>
      </w:r>
      <w:r w:rsidR="00A02AE3">
        <w:rPr>
          <w:sz w:val="26"/>
          <w:szCs w:val="26"/>
        </w:rPr>
        <w:t>or roughly 30% of Duquesne</w:t>
      </w:r>
      <w:r w:rsidR="007D1761">
        <w:rPr>
          <w:sz w:val="26"/>
          <w:szCs w:val="26"/>
        </w:rPr>
        <w:t>'s r</w:t>
      </w:r>
      <w:r w:rsidR="00A02AE3" w:rsidRPr="00EE5722">
        <w:rPr>
          <w:sz w:val="26"/>
          <w:szCs w:val="26"/>
        </w:rPr>
        <w:t>esidential customers.  As a result, even i</w:t>
      </w:r>
      <w:r w:rsidR="007D1761">
        <w:rPr>
          <w:sz w:val="26"/>
          <w:szCs w:val="26"/>
        </w:rPr>
        <w:t>f one supplier were to win all r</w:t>
      </w:r>
      <w:r w:rsidR="00A02AE3" w:rsidRPr="00EE5722">
        <w:rPr>
          <w:sz w:val="26"/>
          <w:szCs w:val="26"/>
        </w:rPr>
        <w:t>esidential customers part</w:t>
      </w:r>
      <w:r w:rsidR="00A02AE3">
        <w:rPr>
          <w:sz w:val="26"/>
          <w:szCs w:val="26"/>
        </w:rPr>
        <w:t xml:space="preserve">icipating in the Duquesne </w:t>
      </w:r>
      <w:r w:rsidR="00A02AE3" w:rsidRPr="00EE5722">
        <w:rPr>
          <w:sz w:val="26"/>
          <w:szCs w:val="26"/>
        </w:rPr>
        <w:t>Opt-In Program, at maximum customer participation levels, they would enroll at</w:t>
      </w:r>
      <w:r w:rsidR="00A02AE3">
        <w:rPr>
          <w:sz w:val="26"/>
          <w:szCs w:val="26"/>
        </w:rPr>
        <w:t xml:space="preserve"> most only 30% of Duquesne</w:t>
      </w:r>
      <w:r w:rsidR="007D1761">
        <w:rPr>
          <w:sz w:val="26"/>
          <w:szCs w:val="26"/>
        </w:rPr>
        <w:t>'s r</w:t>
      </w:r>
      <w:r w:rsidR="00A02AE3" w:rsidRPr="00EE5722">
        <w:rPr>
          <w:sz w:val="26"/>
          <w:szCs w:val="26"/>
        </w:rPr>
        <w:t xml:space="preserve">esidential customers.  </w:t>
      </w:r>
      <w:r w:rsidR="00A02AE3">
        <w:rPr>
          <w:sz w:val="26"/>
          <w:szCs w:val="26"/>
        </w:rPr>
        <w:t xml:space="preserve">FES St. </w:t>
      </w:r>
      <w:r w:rsidR="00A02AE3" w:rsidRPr="00EE5722">
        <w:rPr>
          <w:sz w:val="26"/>
          <w:szCs w:val="26"/>
        </w:rPr>
        <w:t>1 at 15; FES Ex</w:t>
      </w:r>
      <w:r w:rsidR="00A02AE3">
        <w:rPr>
          <w:sz w:val="26"/>
          <w:szCs w:val="26"/>
        </w:rPr>
        <w:t>h</w:t>
      </w:r>
      <w:r w:rsidR="00A02AE3" w:rsidRPr="00EE5722">
        <w:rPr>
          <w:sz w:val="26"/>
          <w:szCs w:val="26"/>
        </w:rPr>
        <w:t>. TCB-2.</w:t>
      </w:r>
      <w:r w:rsidR="007D1761">
        <w:rPr>
          <w:sz w:val="26"/>
          <w:szCs w:val="26"/>
        </w:rPr>
        <w:t xml:space="preserve"> </w:t>
      </w:r>
    </w:p>
    <w:p w:rsidR="00A02AE3" w:rsidRDefault="00A02AE3" w:rsidP="007D1761">
      <w:pPr>
        <w:pStyle w:val="BriefL3"/>
        <w:numPr>
          <w:ilvl w:val="0"/>
          <w:numId w:val="0"/>
        </w:numPr>
        <w:spacing w:after="0" w:line="360" w:lineRule="auto"/>
        <w:ind w:firstLine="1440"/>
        <w:rPr>
          <w:sz w:val="26"/>
          <w:szCs w:val="26"/>
        </w:rPr>
      </w:pPr>
    </w:p>
    <w:p w:rsidR="00A02AE3" w:rsidRDefault="00A02AE3" w:rsidP="00A02AE3">
      <w:pPr>
        <w:pStyle w:val="BriefL3"/>
        <w:numPr>
          <w:ilvl w:val="0"/>
          <w:numId w:val="0"/>
        </w:numPr>
        <w:spacing w:after="0" w:line="360" w:lineRule="auto"/>
        <w:ind w:firstLine="1440"/>
        <w:rPr>
          <w:sz w:val="26"/>
          <w:szCs w:val="26"/>
        </w:rPr>
      </w:pPr>
      <w:r>
        <w:rPr>
          <w:sz w:val="26"/>
          <w:szCs w:val="26"/>
        </w:rPr>
        <w:t>The OSBA, CA</w:t>
      </w:r>
      <w:r w:rsidR="008F3443">
        <w:rPr>
          <w:sz w:val="26"/>
          <w:szCs w:val="26"/>
        </w:rPr>
        <w:t>USE, DII and Constellation</w:t>
      </w:r>
      <w:r>
        <w:rPr>
          <w:sz w:val="26"/>
          <w:szCs w:val="26"/>
        </w:rPr>
        <w:t xml:space="preserve"> took no position on this issue.</w:t>
      </w:r>
    </w:p>
    <w:p w:rsidR="00A02AE3" w:rsidRPr="00EE5722" w:rsidRDefault="00A02AE3" w:rsidP="00A02AE3">
      <w:pPr>
        <w:pStyle w:val="BriefL3"/>
        <w:numPr>
          <w:ilvl w:val="0"/>
          <w:numId w:val="0"/>
        </w:numPr>
        <w:spacing w:after="0" w:line="360" w:lineRule="auto"/>
        <w:ind w:firstLine="1440"/>
        <w:rPr>
          <w:b/>
          <w:sz w:val="26"/>
          <w:szCs w:val="26"/>
        </w:rPr>
      </w:pPr>
    </w:p>
    <w:p w:rsidR="00E71C1C" w:rsidRPr="00EE5722" w:rsidRDefault="00A02AE3" w:rsidP="00584C88">
      <w:pPr>
        <w:pStyle w:val="Heading5"/>
        <w:numPr>
          <w:ilvl w:val="0"/>
          <w:numId w:val="0"/>
        </w:numPr>
        <w:ind w:left="3600" w:hanging="720"/>
      </w:pPr>
      <w:bookmarkStart w:id="106" w:name="_Toc346705348"/>
      <w:r>
        <w:t>iii.</w:t>
      </w:r>
      <w:r>
        <w:tab/>
        <w:t>ALJ’s Recommendation</w:t>
      </w:r>
      <w:bookmarkEnd w:id="106"/>
      <w:r w:rsidR="007D1761">
        <w:t xml:space="preserve"> </w:t>
      </w:r>
    </w:p>
    <w:p w:rsidR="003F1843" w:rsidRDefault="003F1843" w:rsidP="007D1761">
      <w:pPr>
        <w:pStyle w:val="BodyText"/>
        <w:spacing w:after="0" w:line="360" w:lineRule="auto"/>
        <w:ind w:left="0" w:firstLine="0"/>
        <w:rPr>
          <w:color w:val="000000" w:themeColor="text1"/>
          <w:sz w:val="26"/>
          <w:szCs w:val="26"/>
        </w:rPr>
      </w:pPr>
    </w:p>
    <w:p w:rsidR="00E71C1C" w:rsidRPr="007D1761" w:rsidRDefault="003F1843" w:rsidP="005915E1">
      <w:pPr>
        <w:pStyle w:val="BodyText"/>
        <w:widowControl/>
        <w:spacing w:after="0" w:line="360" w:lineRule="auto"/>
        <w:ind w:left="0"/>
        <w:rPr>
          <w:sz w:val="26"/>
          <w:szCs w:val="26"/>
        </w:rPr>
      </w:pPr>
      <w:r>
        <w:rPr>
          <w:color w:val="000000" w:themeColor="text1"/>
          <w:sz w:val="26"/>
          <w:szCs w:val="26"/>
        </w:rPr>
        <w:t>The ALJ</w:t>
      </w:r>
      <w:r w:rsidR="00CE46A7">
        <w:rPr>
          <w:color w:val="000000" w:themeColor="text1"/>
          <w:sz w:val="26"/>
          <w:szCs w:val="26"/>
        </w:rPr>
        <w:t xml:space="preserve"> approved</w:t>
      </w:r>
      <w:r>
        <w:rPr>
          <w:color w:val="000000" w:themeColor="text1"/>
          <w:sz w:val="26"/>
          <w:szCs w:val="26"/>
        </w:rPr>
        <w:t xml:space="preserve"> Duquesne</w:t>
      </w:r>
      <w:r w:rsidR="00CE46A7">
        <w:rPr>
          <w:color w:val="000000" w:themeColor="text1"/>
          <w:sz w:val="26"/>
          <w:szCs w:val="26"/>
        </w:rPr>
        <w:t>’s proposed supplier load cap of</w:t>
      </w:r>
      <w:r w:rsidRPr="00EE5722">
        <w:rPr>
          <w:color w:val="000000" w:themeColor="text1"/>
          <w:sz w:val="26"/>
          <w:szCs w:val="26"/>
        </w:rPr>
        <w:t xml:space="preserve"> 50%, as this pr</w:t>
      </w:r>
      <w:r w:rsidR="00CE46A7">
        <w:rPr>
          <w:color w:val="000000" w:themeColor="text1"/>
          <w:sz w:val="26"/>
          <w:szCs w:val="26"/>
        </w:rPr>
        <w:t xml:space="preserve">oposal is consistent with the </w:t>
      </w:r>
      <w:r w:rsidRPr="00EE5722">
        <w:rPr>
          <w:color w:val="000000" w:themeColor="text1"/>
          <w:sz w:val="26"/>
          <w:szCs w:val="26"/>
        </w:rPr>
        <w:t xml:space="preserve">Commission action in the </w:t>
      </w:r>
      <w:r w:rsidRPr="00FA7F97">
        <w:rPr>
          <w:i/>
          <w:color w:val="000000" w:themeColor="text1"/>
          <w:sz w:val="26"/>
          <w:szCs w:val="26"/>
        </w:rPr>
        <w:t xml:space="preserve">FirstEnergy </w:t>
      </w:r>
      <w:r w:rsidR="00CE46A7" w:rsidRPr="00FA7F97">
        <w:rPr>
          <w:i/>
          <w:color w:val="000000" w:themeColor="text1"/>
          <w:sz w:val="26"/>
          <w:szCs w:val="26"/>
        </w:rPr>
        <w:t xml:space="preserve">DSP </w:t>
      </w:r>
      <w:r w:rsidR="00FA7F97" w:rsidRPr="00FA7F97">
        <w:rPr>
          <w:i/>
          <w:color w:val="000000" w:themeColor="text1"/>
          <w:sz w:val="26"/>
          <w:szCs w:val="26"/>
        </w:rPr>
        <w:t>Order</w:t>
      </w:r>
      <w:r w:rsidRPr="00EE5722">
        <w:rPr>
          <w:color w:val="000000" w:themeColor="text1"/>
          <w:sz w:val="26"/>
          <w:szCs w:val="26"/>
        </w:rPr>
        <w:t xml:space="preserve">.  </w:t>
      </w:r>
      <w:r w:rsidR="00C8778F">
        <w:rPr>
          <w:color w:val="000000" w:themeColor="text1"/>
          <w:sz w:val="26"/>
          <w:szCs w:val="26"/>
        </w:rPr>
        <w:t>A</w:t>
      </w:r>
      <w:r w:rsidR="007D1761">
        <w:rPr>
          <w:color w:val="000000" w:themeColor="text1"/>
          <w:sz w:val="26"/>
          <w:szCs w:val="26"/>
        </w:rPr>
        <w:t>ccording to the ALJ, n</w:t>
      </w:r>
      <w:r w:rsidRPr="00EE5722">
        <w:rPr>
          <w:color w:val="000000" w:themeColor="text1"/>
          <w:sz w:val="26"/>
          <w:szCs w:val="26"/>
        </w:rPr>
        <w:t>o one</w:t>
      </w:r>
      <w:r w:rsidR="00CE46A7">
        <w:rPr>
          <w:color w:val="000000" w:themeColor="text1"/>
          <w:sz w:val="26"/>
          <w:szCs w:val="26"/>
        </w:rPr>
        <w:t xml:space="preserve"> EGS should be permitted to obtain a </w:t>
      </w:r>
      <w:r w:rsidRPr="00EE5722">
        <w:rPr>
          <w:color w:val="000000" w:themeColor="text1"/>
          <w:sz w:val="26"/>
          <w:szCs w:val="26"/>
        </w:rPr>
        <w:t xml:space="preserve">market share </w:t>
      </w:r>
      <w:r w:rsidR="00CE46A7">
        <w:rPr>
          <w:color w:val="000000" w:themeColor="text1"/>
          <w:sz w:val="26"/>
          <w:szCs w:val="26"/>
        </w:rPr>
        <w:t xml:space="preserve">larger than 50% of the load in this </w:t>
      </w:r>
      <w:r w:rsidR="007D1761">
        <w:rPr>
          <w:color w:val="000000" w:themeColor="text1"/>
          <w:sz w:val="26"/>
          <w:szCs w:val="26"/>
        </w:rPr>
        <w:t>p</w:t>
      </w:r>
      <w:r w:rsidR="00CE46A7">
        <w:rPr>
          <w:color w:val="000000" w:themeColor="text1"/>
          <w:sz w:val="26"/>
          <w:szCs w:val="26"/>
        </w:rPr>
        <w:t xml:space="preserve">rogram.  </w:t>
      </w:r>
      <w:r w:rsidR="007D1761">
        <w:rPr>
          <w:color w:val="000000" w:themeColor="text1"/>
          <w:sz w:val="26"/>
          <w:szCs w:val="26"/>
        </w:rPr>
        <w:t>The ALJ concluded that this</w:t>
      </w:r>
      <w:r w:rsidRPr="00EE5722">
        <w:rPr>
          <w:color w:val="000000" w:themeColor="text1"/>
          <w:sz w:val="26"/>
          <w:szCs w:val="26"/>
        </w:rPr>
        <w:t xml:space="preserve"> cap will allow for a greater diversity of participating EGSs and also limit the risk of supplier defa</w:t>
      </w:r>
      <w:r w:rsidR="00CE46A7">
        <w:rPr>
          <w:color w:val="000000" w:themeColor="text1"/>
          <w:sz w:val="26"/>
          <w:szCs w:val="26"/>
        </w:rPr>
        <w:t xml:space="preserve">ult.  In addition, </w:t>
      </w:r>
      <w:r w:rsidR="007D1761">
        <w:rPr>
          <w:color w:val="000000" w:themeColor="text1"/>
          <w:sz w:val="26"/>
          <w:szCs w:val="26"/>
        </w:rPr>
        <w:t xml:space="preserve">the ALJ found that </w:t>
      </w:r>
      <w:r w:rsidR="00CE46A7">
        <w:rPr>
          <w:color w:val="000000" w:themeColor="text1"/>
          <w:sz w:val="26"/>
          <w:szCs w:val="26"/>
        </w:rPr>
        <w:t>the cap</w:t>
      </w:r>
      <w:r w:rsidRPr="00EE5722">
        <w:rPr>
          <w:color w:val="000000" w:themeColor="text1"/>
          <w:sz w:val="26"/>
          <w:szCs w:val="26"/>
        </w:rPr>
        <w:t xml:space="preserve"> should make it more likely </w:t>
      </w:r>
      <w:r w:rsidR="00CE46A7">
        <w:rPr>
          <w:color w:val="000000" w:themeColor="text1"/>
          <w:sz w:val="26"/>
          <w:szCs w:val="26"/>
        </w:rPr>
        <w:t xml:space="preserve">that </w:t>
      </w:r>
      <w:r w:rsidRPr="00EE5722">
        <w:rPr>
          <w:color w:val="000000" w:themeColor="text1"/>
          <w:sz w:val="26"/>
          <w:szCs w:val="26"/>
        </w:rPr>
        <w:t>the default service customers who participate in the program will obtain a</w:t>
      </w:r>
      <w:r>
        <w:rPr>
          <w:color w:val="000000" w:themeColor="text1"/>
          <w:sz w:val="26"/>
          <w:szCs w:val="26"/>
        </w:rPr>
        <w:t xml:space="preserve"> more reasonable retail price.</w:t>
      </w:r>
      <w:r w:rsidR="007D1761">
        <w:rPr>
          <w:color w:val="000000" w:themeColor="text1"/>
          <w:sz w:val="26"/>
          <w:szCs w:val="26"/>
        </w:rPr>
        <w:t xml:space="preserve">  R.D. at 92.</w:t>
      </w:r>
    </w:p>
    <w:p w:rsidR="001313D5" w:rsidRPr="003F1843" w:rsidRDefault="00E71C1C" w:rsidP="007D1761">
      <w:pPr>
        <w:pStyle w:val="BodyText2"/>
        <w:spacing w:after="0" w:line="360" w:lineRule="auto"/>
        <w:rPr>
          <w:sz w:val="26"/>
          <w:szCs w:val="26"/>
        </w:rPr>
      </w:pPr>
      <w:r w:rsidRPr="00EE5722">
        <w:rPr>
          <w:sz w:val="26"/>
          <w:szCs w:val="26"/>
        </w:rPr>
        <w:lastRenderedPageBreak/>
        <w:tab/>
      </w:r>
      <w:r w:rsidRPr="00EE5722">
        <w:rPr>
          <w:sz w:val="26"/>
          <w:szCs w:val="26"/>
        </w:rPr>
        <w:tab/>
      </w:r>
    </w:p>
    <w:p w:rsidR="00E71C1C" w:rsidRPr="00EE5722" w:rsidRDefault="003F1843" w:rsidP="00584C88">
      <w:pPr>
        <w:pStyle w:val="Heading5"/>
        <w:numPr>
          <w:ilvl w:val="0"/>
          <w:numId w:val="0"/>
        </w:numPr>
        <w:ind w:left="3600" w:hanging="720"/>
      </w:pPr>
      <w:bookmarkStart w:id="107" w:name="_Toc346705349"/>
      <w:r>
        <w:t>iv.</w:t>
      </w:r>
      <w:r>
        <w:tab/>
        <w:t>Exceptions</w:t>
      </w:r>
      <w:r w:rsidR="00CE46A7">
        <w:t xml:space="preserve"> and Reply Exceptions</w:t>
      </w:r>
      <w:bookmarkEnd w:id="107"/>
    </w:p>
    <w:p w:rsidR="006B68EB" w:rsidRDefault="006B68EB" w:rsidP="00911D84">
      <w:pPr>
        <w:pStyle w:val="BodyText"/>
        <w:keepNext/>
        <w:spacing w:after="0" w:line="360" w:lineRule="auto"/>
        <w:ind w:left="0" w:firstLine="0"/>
        <w:rPr>
          <w:sz w:val="26"/>
          <w:szCs w:val="26"/>
        </w:rPr>
      </w:pPr>
    </w:p>
    <w:p w:rsidR="006B68EB" w:rsidRDefault="00917C4B" w:rsidP="00911D84">
      <w:pPr>
        <w:pStyle w:val="BodyText"/>
        <w:widowControl/>
        <w:spacing w:after="0" w:line="360" w:lineRule="auto"/>
        <w:ind w:left="0"/>
        <w:rPr>
          <w:sz w:val="26"/>
          <w:szCs w:val="26"/>
        </w:rPr>
      </w:pPr>
      <w:r>
        <w:rPr>
          <w:sz w:val="26"/>
          <w:szCs w:val="26"/>
        </w:rPr>
        <w:t>No Party filed E</w:t>
      </w:r>
      <w:r w:rsidR="006B68EB">
        <w:rPr>
          <w:sz w:val="26"/>
          <w:szCs w:val="26"/>
        </w:rPr>
        <w:t>xception</w:t>
      </w:r>
      <w:r>
        <w:rPr>
          <w:sz w:val="26"/>
          <w:szCs w:val="26"/>
        </w:rPr>
        <w:t>s</w:t>
      </w:r>
      <w:r w:rsidR="006B68EB">
        <w:rPr>
          <w:sz w:val="26"/>
          <w:szCs w:val="26"/>
        </w:rPr>
        <w:t xml:space="preserve"> to the ALJ’s recommendation to adopt a 50% supplier load cap for the Opt-In Program.</w:t>
      </w:r>
      <w:r w:rsidR="006B68EB">
        <w:rPr>
          <w:rStyle w:val="FootnoteReference"/>
          <w:sz w:val="26"/>
          <w:szCs w:val="26"/>
        </w:rPr>
        <w:footnoteReference w:id="77"/>
      </w:r>
    </w:p>
    <w:p w:rsidR="00EA2E2C" w:rsidRPr="006B68EB" w:rsidRDefault="00EA2E2C" w:rsidP="007D1761">
      <w:pPr>
        <w:pStyle w:val="BodyText"/>
        <w:spacing w:after="0" w:line="360" w:lineRule="auto"/>
        <w:ind w:left="0"/>
        <w:rPr>
          <w:sz w:val="26"/>
          <w:szCs w:val="26"/>
        </w:rPr>
      </w:pPr>
    </w:p>
    <w:p w:rsidR="006D47C0" w:rsidRDefault="00CE46A7" w:rsidP="00584C88">
      <w:pPr>
        <w:pStyle w:val="Heading5"/>
        <w:numPr>
          <w:ilvl w:val="0"/>
          <w:numId w:val="0"/>
        </w:numPr>
        <w:ind w:left="3600" w:hanging="720"/>
      </w:pPr>
      <w:bookmarkStart w:id="108" w:name="_Toc346705350"/>
      <w:r>
        <w:t>v</w:t>
      </w:r>
      <w:r w:rsidR="00546CC6">
        <w:t>.</w:t>
      </w:r>
      <w:r w:rsidR="00546CC6">
        <w:tab/>
        <w:t>Disposition</w:t>
      </w:r>
      <w:bookmarkEnd w:id="108"/>
    </w:p>
    <w:p w:rsidR="00917C4B" w:rsidRPr="00EE5722" w:rsidRDefault="00917C4B" w:rsidP="00CE46A7">
      <w:pPr>
        <w:pStyle w:val="BriefL3"/>
        <w:numPr>
          <w:ilvl w:val="0"/>
          <w:numId w:val="0"/>
        </w:numPr>
        <w:spacing w:after="0" w:line="360" w:lineRule="auto"/>
        <w:ind w:left="720" w:firstLine="2160"/>
        <w:rPr>
          <w:b/>
          <w:color w:val="000000" w:themeColor="text1"/>
          <w:sz w:val="26"/>
          <w:szCs w:val="26"/>
        </w:rPr>
      </w:pPr>
    </w:p>
    <w:p w:rsidR="006D47C0" w:rsidRPr="00EE5722" w:rsidRDefault="006D47C0" w:rsidP="0007064D">
      <w:pPr>
        <w:spacing w:line="360" w:lineRule="auto"/>
        <w:rPr>
          <w:color w:val="000000" w:themeColor="text1"/>
          <w:sz w:val="26"/>
          <w:szCs w:val="26"/>
        </w:rPr>
      </w:pPr>
      <w:r w:rsidRPr="00EE5722">
        <w:rPr>
          <w:color w:val="000000" w:themeColor="text1"/>
          <w:sz w:val="26"/>
          <w:szCs w:val="26"/>
        </w:rPr>
        <w:tab/>
      </w:r>
      <w:r w:rsidRPr="00EE5722">
        <w:rPr>
          <w:color w:val="000000" w:themeColor="text1"/>
          <w:sz w:val="26"/>
          <w:szCs w:val="26"/>
        </w:rPr>
        <w:tab/>
      </w:r>
      <w:r w:rsidR="00917C4B">
        <w:rPr>
          <w:sz w:val="26"/>
          <w:szCs w:val="26"/>
        </w:rPr>
        <w:t>Finding the ALJ’s recommendation to be reasonable, appropriate and consistent w</w:t>
      </w:r>
      <w:r w:rsidR="00D93DFD">
        <w:rPr>
          <w:sz w:val="26"/>
          <w:szCs w:val="26"/>
        </w:rPr>
        <w:t xml:space="preserve">ith our prior determinations </w:t>
      </w:r>
      <w:r w:rsidR="00917C4B">
        <w:rPr>
          <w:sz w:val="26"/>
          <w:szCs w:val="26"/>
        </w:rPr>
        <w:t>regard</w:t>
      </w:r>
      <w:r w:rsidR="00D93DFD">
        <w:rPr>
          <w:sz w:val="26"/>
          <w:szCs w:val="26"/>
        </w:rPr>
        <w:t>ing</w:t>
      </w:r>
      <w:r w:rsidR="00917C4B">
        <w:rPr>
          <w:sz w:val="26"/>
          <w:szCs w:val="26"/>
        </w:rPr>
        <w:t xml:space="preserve"> this issue, we adopt it without further comment.</w:t>
      </w:r>
    </w:p>
    <w:p w:rsidR="006D47C0" w:rsidRPr="00EE5722" w:rsidRDefault="006D47C0" w:rsidP="0007064D">
      <w:pPr>
        <w:pStyle w:val="ListParagraph"/>
        <w:autoSpaceDE/>
        <w:autoSpaceDN/>
        <w:spacing w:line="360" w:lineRule="auto"/>
        <w:ind w:left="0"/>
        <w:rPr>
          <w:b/>
          <w:sz w:val="26"/>
          <w:szCs w:val="26"/>
          <w:u w:val="single"/>
        </w:rPr>
      </w:pPr>
    </w:p>
    <w:p w:rsidR="006D47C0" w:rsidRPr="00EE5722" w:rsidRDefault="00D93DFD" w:rsidP="00584C88">
      <w:pPr>
        <w:pStyle w:val="Heading4"/>
        <w:numPr>
          <w:ilvl w:val="0"/>
          <w:numId w:val="0"/>
        </w:numPr>
        <w:ind w:left="2880" w:hanging="720"/>
      </w:pPr>
      <w:bookmarkStart w:id="109" w:name="_Toc346705351"/>
      <w:r>
        <w:t>g</w:t>
      </w:r>
      <w:r w:rsidR="006D47C0" w:rsidRPr="00EE5722">
        <w:t>.</w:t>
      </w:r>
      <w:r w:rsidR="006D47C0" w:rsidRPr="00EE5722">
        <w:tab/>
        <w:t>Enrollment Process</w:t>
      </w:r>
      <w:bookmarkEnd w:id="109"/>
    </w:p>
    <w:p w:rsidR="006D47C0" w:rsidRPr="00EE5722" w:rsidRDefault="006D47C0" w:rsidP="0007064D">
      <w:pPr>
        <w:pStyle w:val="BriefL3"/>
        <w:numPr>
          <w:ilvl w:val="0"/>
          <w:numId w:val="0"/>
        </w:numPr>
        <w:spacing w:after="0" w:line="360" w:lineRule="auto"/>
        <w:ind w:left="2160"/>
        <w:rPr>
          <w:b/>
          <w:sz w:val="26"/>
          <w:szCs w:val="26"/>
        </w:rPr>
      </w:pPr>
    </w:p>
    <w:p w:rsidR="006D47C0" w:rsidRPr="00EE5722" w:rsidRDefault="004C5B7E" w:rsidP="00584C88">
      <w:pPr>
        <w:pStyle w:val="Heading5"/>
        <w:numPr>
          <w:ilvl w:val="0"/>
          <w:numId w:val="0"/>
        </w:numPr>
        <w:ind w:left="3600" w:hanging="720"/>
      </w:pPr>
      <w:bookmarkStart w:id="110" w:name="_Toc346705352"/>
      <w:r>
        <w:t>i.</w:t>
      </w:r>
      <w:r>
        <w:tab/>
        <w:t>Duquesne</w:t>
      </w:r>
      <w:r w:rsidR="006D47C0" w:rsidRPr="00EE5722">
        <w:t>’s Proposal</w:t>
      </w:r>
      <w:bookmarkEnd w:id="110"/>
    </w:p>
    <w:p w:rsidR="006D47C0" w:rsidRPr="00EE5722" w:rsidRDefault="006D47C0" w:rsidP="0007064D">
      <w:pPr>
        <w:pStyle w:val="BodyText"/>
        <w:spacing w:after="0" w:line="360" w:lineRule="auto"/>
        <w:ind w:left="0" w:firstLine="0"/>
        <w:rPr>
          <w:sz w:val="26"/>
          <w:szCs w:val="26"/>
        </w:rPr>
      </w:pPr>
    </w:p>
    <w:p w:rsidR="006D47C0" w:rsidRPr="00EE5722" w:rsidRDefault="006D47C0" w:rsidP="0007064D">
      <w:pPr>
        <w:pStyle w:val="BodyText2"/>
        <w:spacing w:after="0" w:line="360" w:lineRule="auto"/>
        <w:rPr>
          <w:sz w:val="26"/>
          <w:szCs w:val="26"/>
        </w:rPr>
      </w:pPr>
      <w:r w:rsidRPr="00EE5722">
        <w:rPr>
          <w:sz w:val="26"/>
          <w:szCs w:val="26"/>
        </w:rPr>
        <w:tab/>
      </w:r>
      <w:r w:rsidRPr="00EE5722">
        <w:rPr>
          <w:sz w:val="26"/>
          <w:szCs w:val="26"/>
        </w:rPr>
        <w:tab/>
      </w:r>
      <w:r w:rsidR="00677354">
        <w:rPr>
          <w:sz w:val="26"/>
          <w:szCs w:val="26"/>
        </w:rPr>
        <w:t xml:space="preserve">Duquesne </w:t>
      </w:r>
      <w:r w:rsidRPr="00EE5722">
        <w:rPr>
          <w:sz w:val="26"/>
          <w:szCs w:val="26"/>
        </w:rPr>
        <w:t xml:space="preserve">proposed that each </w:t>
      </w:r>
      <w:r w:rsidR="00C240CC">
        <w:rPr>
          <w:sz w:val="26"/>
          <w:szCs w:val="26"/>
        </w:rPr>
        <w:t xml:space="preserve">customer receiving the </w:t>
      </w:r>
      <w:r w:rsidRPr="00EE5722">
        <w:rPr>
          <w:sz w:val="26"/>
          <w:szCs w:val="26"/>
        </w:rPr>
        <w:t>offer letter initially be assigned one of the winning EGS bidders in proportion to the bids being awarded</w:t>
      </w:r>
      <w:r w:rsidR="00D93DFD">
        <w:rPr>
          <w:sz w:val="26"/>
          <w:szCs w:val="26"/>
        </w:rPr>
        <w:t>,</w:t>
      </w:r>
      <w:r w:rsidRPr="00EE5722">
        <w:rPr>
          <w:sz w:val="26"/>
          <w:szCs w:val="26"/>
        </w:rPr>
        <w:t xml:space="preserve"> and that the offer letter identify the</w:t>
      </w:r>
      <w:r w:rsidR="00546CC6">
        <w:rPr>
          <w:sz w:val="26"/>
          <w:szCs w:val="26"/>
        </w:rPr>
        <w:t xml:space="preserve"> assigned EGS.  </w:t>
      </w:r>
      <w:r w:rsidR="0007064D">
        <w:rPr>
          <w:i/>
          <w:sz w:val="26"/>
          <w:szCs w:val="26"/>
        </w:rPr>
        <w:t xml:space="preserve">See </w:t>
      </w:r>
      <w:r w:rsidR="00546CC6">
        <w:rPr>
          <w:sz w:val="26"/>
          <w:szCs w:val="26"/>
        </w:rPr>
        <w:t xml:space="preserve">Duquesne St. 6 at </w:t>
      </w:r>
      <w:r w:rsidRPr="00EE5722">
        <w:rPr>
          <w:sz w:val="26"/>
          <w:szCs w:val="26"/>
        </w:rPr>
        <w:t xml:space="preserve">3-4.  The Company pointed out that </w:t>
      </w:r>
      <w:r w:rsidR="00546CC6">
        <w:rPr>
          <w:sz w:val="26"/>
          <w:szCs w:val="26"/>
        </w:rPr>
        <w:t xml:space="preserve">the </w:t>
      </w:r>
      <w:r w:rsidRPr="00EE5722">
        <w:rPr>
          <w:sz w:val="26"/>
          <w:szCs w:val="26"/>
        </w:rPr>
        <w:t xml:space="preserve">OCA proposed </w:t>
      </w:r>
      <w:r w:rsidR="00546CC6">
        <w:rPr>
          <w:sz w:val="26"/>
          <w:szCs w:val="26"/>
        </w:rPr>
        <w:t xml:space="preserve">that </w:t>
      </w:r>
      <w:r w:rsidRPr="00EE5722">
        <w:rPr>
          <w:sz w:val="26"/>
          <w:szCs w:val="26"/>
        </w:rPr>
        <w:t xml:space="preserve">the Company identify all winning bidders in the offer letter and advise customers they would </w:t>
      </w:r>
      <w:r w:rsidR="00D93DFD">
        <w:rPr>
          <w:sz w:val="26"/>
          <w:szCs w:val="26"/>
        </w:rPr>
        <w:t>be randomly</w:t>
      </w:r>
      <w:r w:rsidRPr="00EE5722">
        <w:rPr>
          <w:sz w:val="26"/>
          <w:szCs w:val="26"/>
        </w:rPr>
        <w:t xml:space="preserve"> assigned </w:t>
      </w:r>
      <w:r w:rsidR="00D93DFD">
        <w:rPr>
          <w:sz w:val="26"/>
          <w:szCs w:val="26"/>
        </w:rPr>
        <w:t xml:space="preserve">to </w:t>
      </w:r>
      <w:r w:rsidRPr="00EE5722">
        <w:rPr>
          <w:sz w:val="26"/>
          <w:szCs w:val="26"/>
        </w:rPr>
        <w:t>one of</w:t>
      </w:r>
      <w:r w:rsidR="00546CC6">
        <w:rPr>
          <w:sz w:val="26"/>
          <w:szCs w:val="26"/>
        </w:rPr>
        <w:t xml:space="preserve"> the winning EGSs.  </w:t>
      </w:r>
      <w:r w:rsidR="0007064D">
        <w:rPr>
          <w:i/>
          <w:sz w:val="26"/>
          <w:szCs w:val="26"/>
        </w:rPr>
        <w:t xml:space="preserve">See </w:t>
      </w:r>
      <w:r w:rsidR="00546CC6">
        <w:rPr>
          <w:sz w:val="26"/>
          <w:szCs w:val="26"/>
        </w:rPr>
        <w:t xml:space="preserve">OCA St. 2 at </w:t>
      </w:r>
      <w:r w:rsidRPr="00EE5722">
        <w:rPr>
          <w:sz w:val="26"/>
          <w:szCs w:val="26"/>
        </w:rPr>
        <w:t xml:space="preserve">11.  The Company agreed to </w:t>
      </w:r>
      <w:r w:rsidR="00546CC6">
        <w:rPr>
          <w:sz w:val="26"/>
          <w:szCs w:val="26"/>
        </w:rPr>
        <w:t xml:space="preserve">the </w:t>
      </w:r>
      <w:r w:rsidR="00D93DFD">
        <w:rPr>
          <w:sz w:val="26"/>
          <w:szCs w:val="26"/>
        </w:rPr>
        <w:t>OCA’s proposal in its R</w:t>
      </w:r>
      <w:r w:rsidRPr="00EE5722">
        <w:rPr>
          <w:sz w:val="26"/>
          <w:szCs w:val="26"/>
        </w:rPr>
        <w:t xml:space="preserve">ebuttal </w:t>
      </w:r>
      <w:r w:rsidR="00D93DFD">
        <w:rPr>
          <w:sz w:val="26"/>
          <w:szCs w:val="26"/>
        </w:rPr>
        <w:t xml:space="preserve">Testimony </w:t>
      </w:r>
      <w:r w:rsidRPr="00EE5722">
        <w:rPr>
          <w:sz w:val="26"/>
          <w:szCs w:val="26"/>
        </w:rPr>
        <w:t xml:space="preserve">because the proposal </w:t>
      </w:r>
      <w:r w:rsidR="00546CC6">
        <w:rPr>
          <w:sz w:val="26"/>
          <w:szCs w:val="26"/>
        </w:rPr>
        <w:t xml:space="preserve">would </w:t>
      </w:r>
      <w:r w:rsidRPr="00EE5722">
        <w:rPr>
          <w:sz w:val="26"/>
          <w:szCs w:val="26"/>
        </w:rPr>
        <w:t>simplif</w:t>
      </w:r>
      <w:r w:rsidR="00546CC6">
        <w:rPr>
          <w:sz w:val="26"/>
          <w:szCs w:val="26"/>
        </w:rPr>
        <w:t>y</w:t>
      </w:r>
      <w:r w:rsidRPr="00EE5722">
        <w:rPr>
          <w:sz w:val="26"/>
          <w:szCs w:val="26"/>
        </w:rPr>
        <w:t xml:space="preserve"> procedures and </w:t>
      </w:r>
      <w:r w:rsidR="00546CC6">
        <w:rPr>
          <w:sz w:val="26"/>
          <w:szCs w:val="26"/>
        </w:rPr>
        <w:t>provid</w:t>
      </w:r>
      <w:r w:rsidR="0098056E">
        <w:rPr>
          <w:sz w:val="26"/>
          <w:szCs w:val="26"/>
        </w:rPr>
        <w:t>e</w:t>
      </w:r>
      <w:r w:rsidRPr="00EE5722">
        <w:rPr>
          <w:sz w:val="26"/>
          <w:szCs w:val="26"/>
        </w:rPr>
        <w:t xml:space="preserve"> customers with </w:t>
      </w:r>
      <w:r w:rsidRPr="00EE5722">
        <w:rPr>
          <w:sz w:val="26"/>
          <w:szCs w:val="26"/>
        </w:rPr>
        <w:lastRenderedPageBreak/>
        <w:t>the same price</w:t>
      </w:r>
      <w:r w:rsidR="00677354">
        <w:rPr>
          <w:sz w:val="26"/>
          <w:szCs w:val="26"/>
        </w:rPr>
        <w:t xml:space="preserve"> f</w:t>
      </w:r>
      <w:r w:rsidR="0007064D">
        <w:rPr>
          <w:sz w:val="26"/>
          <w:szCs w:val="26"/>
        </w:rPr>
        <w:t>or twelve</w:t>
      </w:r>
      <w:r w:rsidR="00546CC6">
        <w:rPr>
          <w:sz w:val="26"/>
          <w:szCs w:val="26"/>
        </w:rPr>
        <w:t xml:space="preserve"> months.  Duquesne St. </w:t>
      </w:r>
      <w:r w:rsidR="00677354">
        <w:rPr>
          <w:sz w:val="26"/>
          <w:szCs w:val="26"/>
        </w:rPr>
        <w:t xml:space="preserve">6-R at </w:t>
      </w:r>
      <w:r w:rsidR="003C0B56">
        <w:rPr>
          <w:sz w:val="26"/>
          <w:szCs w:val="26"/>
        </w:rPr>
        <w:t>3.  No P</w:t>
      </w:r>
      <w:r w:rsidRPr="00EE5722">
        <w:rPr>
          <w:sz w:val="26"/>
          <w:szCs w:val="26"/>
        </w:rPr>
        <w:t>arty objected to this change.</w:t>
      </w:r>
    </w:p>
    <w:p w:rsidR="006D47C0" w:rsidRPr="00EE5722" w:rsidRDefault="006D47C0" w:rsidP="0007064D">
      <w:pPr>
        <w:pStyle w:val="BodyText"/>
        <w:spacing w:after="0" w:line="360" w:lineRule="auto"/>
        <w:ind w:left="0" w:firstLine="0"/>
        <w:rPr>
          <w:sz w:val="26"/>
          <w:szCs w:val="26"/>
        </w:rPr>
      </w:pPr>
    </w:p>
    <w:p w:rsidR="006D47C0" w:rsidRPr="00EE5722" w:rsidRDefault="00546CC6" w:rsidP="00584C88">
      <w:pPr>
        <w:pStyle w:val="Heading5"/>
        <w:numPr>
          <w:ilvl w:val="0"/>
          <w:numId w:val="0"/>
        </w:numPr>
        <w:ind w:left="3600" w:hanging="720"/>
      </w:pPr>
      <w:bookmarkStart w:id="111" w:name="_Toc346705353"/>
      <w:r>
        <w:t>ii.</w:t>
      </w:r>
      <w:r>
        <w:tab/>
      </w:r>
      <w:r w:rsidR="006D47C0" w:rsidRPr="00EE5722">
        <w:t>Position</w:t>
      </w:r>
      <w:r>
        <w:t>s of the Parties</w:t>
      </w:r>
      <w:bookmarkEnd w:id="111"/>
    </w:p>
    <w:p w:rsidR="006D47C0" w:rsidRPr="00EE5722" w:rsidRDefault="006D47C0" w:rsidP="006D47C0">
      <w:pPr>
        <w:pStyle w:val="BodyText"/>
        <w:spacing w:after="0" w:line="360" w:lineRule="auto"/>
        <w:ind w:left="0" w:firstLine="0"/>
        <w:rPr>
          <w:sz w:val="26"/>
          <w:szCs w:val="26"/>
        </w:rPr>
      </w:pPr>
    </w:p>
    <w:p w:rsidR="006D47C0" w:rsidRPr="00EE5722" w:rsidRDefault="00C240CC" w:rsidP="0007064D">
      <w:pPr>
        <w:spacing w:line="360" w:lineRule="auto"/>
        <w:ind w:firstLine="1440"/>
        <w:rPr>
          <w:sz w:val="26"/>
          <w:szCs w:val="26"/>
        </w:rPr>
      </w:pPr>
      <w:r>
        <w:rPr>
          <w:sz w:val="26"/>
          <w:szCs w:val="26"/>
        </w:rPr>
        <w:t>The OCA argued</w:t>
      </w:r>
      <w:r w:rsidR="006D47C0" w:rsidRPr="00EE5722">
        <w:rPr>
          <w:sz w:val="26"/>
          <w:szCs w:val="26"/>
        </w:rPr>
        <w:t xml:space="preserve"> that key terms and conditions, including price, </w:t>
      </w:r>
      <w:r>
        <w:rPr>
          <w:sz w:val="26"/>
          <w:szCs w:val="26"/>
        </w:rPr>
        <w:t xml:space="preserve">must </w:t>
      </w:r>
      <w:r w:rsidR="006D47C0" w:rsidRPr="00EE5722">
        <w:rPr>
          <w:sz w:val="26"/>
          <w:szCs w:val="26"/>
        </w:rPr>
        <w:t>be disclosed to the custo</w:t>
      </w:r>
      <w:r w:rsidR="00D93DFD">
        <w:rPr>
          <w:sz w:val="26"/>
          <w:szCs w:val="26"/>
        </w:rPr>
        <w:t>mer prior to enrollment in the Opt-In P</w:t>
      </w:r>
      <w:r w:rsidR="006D47C0" w:rsidRPr="00EE5722">
        <w:rPr>
          <w:sz w:val="26"/>
          <w:szCs w:val="26"/>
        </w:rPr>
        <w:t xml:space="preserve">rogram.  </w:t>
      </w:r>
      <w:r w:rsidR="00546CC6">
        <w:rPr>
          <w:sz w:val="26"/>
          <w:szCs w:val="26"/>
        </w:rPr>
        <w:t>The OCA pointed</w:t>
      </w:r>
      <w:r w:rsidR="006D47C0" w:rsidRPr="00EE5722">
        <w:rPr>
          <w:sz w:val="26"/>
          <w:szCs w:val="26"/>
        </w:rPr>
        <w:t xml:space="preserve"> out </w:t>
      </w:r>
      <w:r w:rsidR="00546CC6">
        <w:rPr>
          <w:sz w:val="26"/>
          <w:szCs w:val="26"/>
        </w:rPr>
        <w:t xml:space="preserve">that </w:t>
      </w:r>
      <w:r w:rsidR="006D47C0" w:rsidRPr="00EE5722">
        <w:rPr>
          <w:sz w:val="26"/>
          <w:szCs w:val="26"/>
        </w:rPr>
        <w:t xml:space="preserve">the </w:t>
      </w:r>
      <w:r w:rsidR="006D47C0" w:rsidRPr="00EE5722">
        <w:rPr>
          <w:i/>
          <w:sz w:val="26"/>
          <w:szCs w:val="26"/>
        </w:rPr>
        <w:t xml:space="preserve">IWP </w:t>
      </w:r>
      <w:r w:rsidR="00F25874">
        <w:rPr>
          <w:i/>
          <w:sz w:val="26"/>
          <w:szCs w:val="26"/>
        </w:rPr>
        <w:t xml:space="preserve">Final </w:t>
      </w:r>
      <w:r w:rsidR="006D47C0" w:rsidRPr="00EE5722">
        <w:rPr>
          <w:i/>
          <w:sz w:val="26"/>
          <w:szCs w:val="26"/>
        </w:rPr>
        <w:t>Order</w:t>
      </w:r>
      <w:r w:rsidR="006D47C0" w:rsidRPr="00EE5722">
        <w:rPr>
          <w:sz w:val="26"/>
          <w:szCs w:val="26"/>
        </w:rPr>
        <w:t xml:space="preserve"> similarly stated that “it is important that the Commission identify the key elements of the product to be offered to customers.”  </w:t>
      </w:r>
      <w:r w:rsidR="006D47C0" w:rsidRPr="00EE5722">
        <w:rPr>
          <w:i/>
          <w:sz w:val="26"/>
          <w:szCs w:val="26"/>
        </w:rPr>
        <w:t xml:space="preserve">IWP </w:t>
      </w:r>
      <w:r w:rsidR="00F25874">
        <w:rPr>
          <w:i/>
          <w:sz w:val="26"/>
          <w:szCs w:val="26"/>
        </w:rPr>
        <w:t xml:space="preserve">Final </w:t>
      </w:r>
      <w:r w:rsidR="006D47C0" w:rsidRPr="00EE5722">
        <w:rPr>
          <w:i/>
          <w:sz w:val="26"/>
          <w:szCs w:val="26"/>
        </w:rPr>
        <w:t>Order</w:t>
      </w:r>
      <w:r w:rsidR="00911D84">
        <w:rPr>
          <w:sz w:val="26"/>
          <w:szCs w:val="26"/>
        </w:rPr>
        <w:t xml:space="preserve"> at </w:t>
      </w:r>
      <w:r w:rsidR="006D47C0" w:rsidRPr="00EE5722">
        <w:rPr>
          <w:sz w:val="26"/>
          <w:szCs w:val="26"/>
        </w:rPr>
        <w:t>69.</w:t>
      </w:r>
      <w:r>
        <w:rPr>
          <w:sz w:val="26"/>
          <w:szCs w:val="26"/>
        </w:rPr>
        <w:t xml:space="preserve">  The OCA arg</w:t>
      </w:r>
      <w:r w:rsidR="00394FDC">
        <w:rPr>
          <w:sz w:val="26"/>
          <w:szCs w:val="26"/>
        </w:rPr>
        <w:t>u</w:t>
      </w:r>
      <w:r w:rsidR="0041141D">
        <w:rPr>
          <w:sz w:val="26"/>
          <w:szCs w:val="26"/>
        </w:rPr>
        <w:t>ed that</w:t>
      </w:r>
      <w:r w:rsidR="008D5DDF">
        <w:rPr>
          <w:sz w:val="26"/>
          <w:szCs w:val="26"/>
        </w:rPr>
        <w:t xml:space="preserve"> RESA’s proposal </w:t>
      </w:r>
      <w:r w:rsidR="006D47C0" w:rsidRPr="00EE5722">
        <w:rPr>
          <w:sz w:val="26"/>
          <w:szCs w:val="26"/>
        </w:rPr>
        <w:t xml:space="preserve">would transform the Opt-In </w:t>
      </w:r>
      <w:r w:rsidR="008D5DDF">
        <w:rPr>
          <w:sz w:val="26"/>
          <w:szCs w:val="26"/>
        </w:rPr>
        <w:t>Program</w:t>
      </w:r>
      <w:r w:rsidR="006D47C0" w:rsidRPr="00EE5722">
        <w:rPr>
          <w:sz w:val="26"/>
          <w:szCs w:val="26"/>
        </w:rPr>
        <w:t xml:space="preserve"> into an Opt-Out </w:t>
      </w:r>
      <w:r w:rsidR="008D5DDF">
        <w:rPr>
          <w:sz w:val="26"/>
          <w:szCs w:val="26"/>
        </w:rPr>
        <w:t>Program</w:t>
      </w:r>
      <w:r w:rsidR="00D93DFD">
        <w:rPr>
          <w:sz w:val="26"/>
          <w:szCs w:val="26"/>
        </w:rPr>
        <w:t xml:space="preserve"> </w:t>
      </w:r>
      <w:r w:rsidR="006D47C0" w:rsidRPr="00EE5722">
        <w:rPr>
          <w:sz w:val="26"/>
          <w:szCs w:val="26"/>
        </w:rPr>
        <w:t>by requiring customers to take affirmative action to de</w:t>
      </w:r>
      <w:r w:rsidR="006D47C0" w:rsidRPr="00EE5722">
        <w:rPr>
          <w:sz w:val="26"/>
          <w:szCs w:val="26"/>
        </w:rPr>
        <w:noBreakHyphen/>
        <w:t xml:space="preserve">enroll after receiving the actual price </w:t>
      </w:r>
      <w:r w:rsidR="008D5DDF">
        <w:rPr>
          <w:sz w:val="26"/>
          <w:szCs w:val="26"/>
        </w:rPr>
        <w:t>and terms.</w:t>
      </w:r>
      <w:r w:rsidR="006D47C0" w:rsidRPr="00EE5722">
        <w:rPr>
          <w:sz w:val="26"/>
          <w:szCs w:val="26"/>
        </w:rPr>
        <w:t xml:space="preserve">  In addition, </w:t>
      </w:r>
      <w:r w:rsidR="0041141D">
        <w:rPr>
          <w:sz w:val="26"/>
          <w:szCs w:val="26"/>
        </w:rPr>
        <w:t>the OCA opined that RESA’s proposal wa</w:t>
      </w:r>
      <w:r w:rsidR="006D47C0" w:rsidRPr="00EE5722">
        <w:rPr>
          <w:sz w:val="26"/>
          <w:szCs w:val="26"/>
        </w:rPr>
        <w:t xml:space="preserve">s not even “remotely similar to actual practices in the retail competitive market where customers agree to accept a specific EGS offer based on knowledge of the price and other </w:t>
      </w:r>
      <w:r w:rsidR="0041141D">
        <w:rPr>
          <w:sz w:val="26"/>
          <w:szCs w:val="26"/>
        </w:rPr>
        <w:t xml:space="preserve">terms of service.”  OCA St. </w:t>
      </w:r>
      <w:r w:rsidR="006D47C0" w:rsidRPr="00EE5722">
        <w:rPr>
          <w:sz w:val="26"/>
          <w:szCs w:val="26"/>
        </w:rPr>
        <w:t>2</w:t>
      </w:r>
      <w:r w:rsidR="003E0EAE">
        <w:rPr>
          <w:sz w:val="26"/>
          <w:szCs w:val="26"/>
        </w:rPr>
        <w:t>-R at 9-10 (footnote omitted).</w:t>
      </w:r>
    </w:p>
    <w:p w:rsidR="006D47C0" w:rsidRPr="00EE5722" w:rsidRDefault="006D47C0" w:rsidP="0007064D">
      <w:pPr>
        <w:spacing w:line="360" w:lineRule="auto"/>
        <w:rPr>
          <w:sz w:val="26"/>
          <w:szCs w:val="26"/>
        </w:rPr>
      </w:pPr>
    </w:p>
    <w:p w:rsidR="0041141D" w:rsidRDefault="006D47C0" w:rsidP="0007064D">
      <w:pPr>
        <w:spacing w:line="360" w:lineRule="auto"/>
        <w:rPr>
          <w:sz w:val="26"/>
          <w:szCs w:val="26"/>
        </w:rPr>
      </w:pPr>
      <w:r w:rsidRPr="00EE5722">
        <w:rPr>
          <w:sz w:val="26"/>
          <w:szCs w:val="26"/>
        </w:rPr>
        <w:tab/>
      </w:r>
      <w:r w:rsidRPr="00EE5722">
        <w:rPr>
          <w:sz w:val="26"/>
          <w:szCs w:val="26"/>
        </w:rPr>
        <w:tab/>
      </w:r>
      <w:r w:rsidR="0041141D">
        <w:rPr>
          <w:sz w:val="26"/>
          <w:szCs w:val="26"/>
        </w:rPr>
        <w:t>RESA proposed</w:t>
      </w:r>
      <w:r w:rsidR="0041141D" w:rsidRPr="00EE5722">
        <w:rPr>
          <w:sz w:val="26"/>
          <w:szCs w:val="26"/>
        </w:rPr>
        <w:t xml:space="preserve"> to enroll customers into </w:t>
      </w:r>
      <w:r w:rsidR="000E0745">
        <w:rPr>
          <w:sz w:val="26"/>
          <w:szCs w:val="26"/>
        </w:rPr>
        <w:t>the program before the auction</w:t>
      </w:r>
      <w:r w:rsidR="0041141D" w:rsidRPr="00EE5722">
        <w:rPr>
          <w:sz w:val="26"/>
          <w:szCs w:val="26"/>
        </w:rPr>
        <w:t xml:space="preserve">, which deviates from the </w:t>
      </w:r>
      <w:r w:rsidR="00D93DFD">
        <w:rPr>
          <w:i/>
          <w:sz w:val="26"/>
          <w:szCs w:val="26"/>
        </w:rPr>
        <w:t>IWP</w:t>
      </w:r>
      <w:r w:rsidR="0041141D" w:rsidRPr="00EE5722">
        <w:rPr>
          <w:i/>
          <w:sz w:val="26"/>
          <w:szCs w:val="26"/>
        </w:rPr>
        <w:t xml:space="preserve"> Final Order.</w:t>
      </w:r>
      <w:r w:rsidR="0041141D" w:rsidRPr="00EE5722">
        <w:rPr>
          <w:sz w:val="26"/>
          <w:szCs w:val="26"/>
        </w:rPr>
        <w:t xml:space="preserve">  </w:t>
      </w:r>
      <w:r w:rsidR="0041141D">
        <w:rPr>
          <w:sz w:val="26"/>
          <w:szCs w:val="26"/>
        </w:rPr>
        <w:t>RESA contended that</w:t>
      </w:r>
      <w:r w:rsidR="0041141D" w:rsidRPr="00EE5722">
        <w:rPr>
          <w:sz w:val="26"/>
          <w:szCs w:val="26"/>
        </w:rPr>
        <w:t xml:space="preserve"> </w:t>
      </w:r>
      <w:r w:rsidR="00D93DFD">
        <w:rPr>
          <w:sz w:val="26"/>
          <w:szCs w:val="26"/>
        </w:rPr>
        <w:t>conduct</w:t>
      </w:r>
      <w:r w:rsidR="000E0745">
        <w:rPr>
          <w:sz w:val="26"/>
          <w:szCs w:val="26"/>
        </w:rPr>
        <w:t>ing</w:t>
      </w:r>
      <w:r w:rsidR="0041141D" w:rsidRPr="00EE5722">
        <w:rPr>
          <w:sz w:val="26"/>
          <w:szCs w:val="26"/>
        </w:rPr>
        <w:t xml:space="preserve"> the price-setting auction before customer enrollment would force</w:t>
      </w:r>
      <w:r w:rsidR="000E0745">
        <w:rPr>
          <w:sz w:val="26"/>
          <w:szCs w:val="26"/>
        </w:rPr>
        <w:t xml:space="preserve"> EGSs to </w:t>
      </w:r>
      <w:r w:rsidR="0041141D" w:rsidRPr="00EE5722">
        <w:rPr>
          <w:sz w:val="26"/>
          <w:szCs w:val="26"/>
        </w:rPr>
        <w:t>incur material transaction costs and commit to actual pricing in the auction without having any i</w:t>
      </w:r>
      <w:r w:rsidR="00D93DFD">
        <w:rPr>
          <w:sz w:val="26"/>
          <w:szCs w:val="26"/>
        </w:rPr>
        <w:t xml:space="preserve">dea how many customers are </w:t>
      </w:r>
      <w:r w:rsidR="0041141D" w:rsidRPr="00EE5722">
        <w:rPr>
          <w:sz w:val="26"/>
          <w:szCs w:val="26"/>
        </w:rPr>
        <w:t>available</w:t>
      </w:r>
      <w:r w:rsidR="000E0745">
        <w:rPr>
          <w:sz w:val="26"/>
          <w:szCs w:val="26"/>
        </w:rPr>
        <w:t xml:space="preserve"> for acquisition</w:t>
      </w:r>
      <w:r w:rsidR="008D5DDF">
        <w:rPr>
          <w:sz w:val="26"/>
          <w:szCs w:val="26"/>
        </w:rPr>
        <w:t xml:space="preserve">.  </w:t>
      </w:r>
      <w:r w:rsidR="000E0745">
        <w:rPr>
          <w:sz w:val="26"/>
          <w:szCs w:val="26"/>
        </w:rPr>
        <w:t xml:space="preserve">RESA argued </w:t>
      </w:r>
      <w:r w:rsidR="00D93DFD">
        <w:rPr>
          <w:sz w:val="26"/>
          <w:szCs w:val="26"/>
        </w:rPr>
        <w:t xml:space="preserve">that customers </w:t>
      </w:r>
      <w:r w:rsidR="008D5DDF">
        <w:rPr>
          <w:sz w:val="26"/>
          <w:szCs w:val="26"/>
        </w:rPr>
        <w:t>do</w:t>
      </w:r>
      <w:r w:rsidR="000E0745">
        <w:rPr>
          <w:sz w:val="26"/>
          <w:szCs w:val="26"/>
        </w:rPr>
        <w:t xml:space="preserve"> not have to </w:t>
      </w:r>
      <w:r w:rsidR="00D93DFD">
        <w:rPr>
          <w:sz w:val="26"/>
          <w:szCs w:val="26"/>
        </w:rPr>
        <w:t xml:space="preserve">know the price before enrolling in the </w:t>
      </w:r>
      <w:r w:rsidR="008D5DDF">
        <w:rPr>
          <w:sz w:val="26"/>
          <w:szCs w:val="26"/>
        </w:rPr>
        <w:t xml:space="preserve">Opt-In </w:t>
      </w:r>
      <w:r w:rsidR="00D93DFD">
        <w:rPr>
          <w:sz w:val="26"/>
          <w:szCs w:val="26"/>
        </w:rPr>
        <w:t>Program</w:t>
      </w:r>
      <w:r w:rsidR="0041141D" w:rsidRPr="00EE5722">
        <w:rPr>
          <w:sz w:val="26"/>
          <w:szCs w:val="26"/>
        </w:rPr>
        <w:t>.  Customers w</w:t>
      </w:r>
      <w:r w:rsidR="00D93DFD">
        <w:rPr>
          <w:sz w:val="26"/>
          <w:szCs w:val="26"/>
        </w:rPr>
        <w:t xml:space="preserve">ould know that </w:t>
      </w:r>
      <w:r w:rsidR="0041141D" w:rsidRPr="00EE5722">
        <w:rPr>
          <w:sz w:val="26"/>
          <w:szCs w:val="26"/>
        </w:rPr>
        <w:t xml:space="preserve">they would get a product that:  </w:t>
      </w:r>
      <w:r w:rsidR="00FA7F97">
        <w:rPr>
          <w:sz w:val="26"/>
          <w:szCs w:val="26"/>
        </w:rPr>
        <w:t>(</w:t>
      </w:r>
      <w:r w:rsidR="0041141D" w:rsidRPr="00EE5722">
        <w:rPr>
          <w:sz w:val="26"/>
          <w:szCs w:val="26"/>
        </w:rPr>
        <w:t>1) was at least 5% less than the th</w:t>
      </w:r>
      <w:r w:rsidR="00D93DFD">
        <w:rPr>
          <w:sz w:val="26"/>
          <w:szCs w:val="26"/>
        </w:rPr>
        <w:t>en-current PTC</w:t>
      </w:r>
      <w:r w:rsidR="0041141D" w:rsidRPr="00EE5722">
        <w:rPr>
          <w:sz w:val="26"/>
          <w:szCs w:val="26"/>
        </w:rPr>
        <w:t xml:space="preserve">; </w:t>
      </w:r>
      <w:r w:rsidR="00FA7F97">
        <w:rPr>
          <w:sz w:val="26"/>
          <w:szCs w:val="26"/>
        </w:rPr>
        <w:t>(</w:t>
      </w:r>
      <w:r w:rsidR="0041141D" w:rsidRPr="00EE5722">
        <w:rPr>
          <w:sz w:val="26"/>
          <w:szCs w:val="26"/>
        </w:rPr>
        <w:t xml:space="preserve">2) included a $50 bonus after the initial four months; and </w:t>
      </w:r>
      <w:r w:rsidR="00FA7F97">
        <w:rPr>
          <w:sz w:val="26"/>
          <w:szCs w:val="26"/>
        </w:rPr>
        <w:t>(</w:t>
      </w:r>
      <w:r w:rsidR="0041141D" w:rsidRPr="00EE5722">
        <w:rPr>
          <w:sz w:val="26"/>
          <w:szCs w:val="26"/>
        </w:rPr>
        <w:t>3) could be canceled at any time without penalty.  With that knowledg</w:t>
      </w:r>
      <w:r w:rsidR="000E0745">
        <w:rPr>
          <w:sz w:val="26"/>
          <w:szCs w:val="26"/>
        </w:rPr>
        <w:t>e</w:t>
      </w:r>
      <w:r w:rsidR="0041141D" w:rsidRPr="00EE5722">
        <w:rPr>
          <w:sz w:val="26"/>
          <w:szCs w:val="26"/>
        </w:rPr>
        <w:t xml:space="preserve">, </w:t>
      </w:r>
      <w:r w:rsidR="0007064D">
        <w:rPr>
          <w:sz w:val="26"/>
          <w:szCs w:val="26"/>
        </w:rPr>
        <w:t xml:space="preserve">RESA opined that </w:t>
      </w:r>
      <w:r w:rsidR="0041141D" w:rsidRPr="00EE5722">
        <w:rPr>
          <w:sz w:val="26"/>
          <w:szCs w:val="26"/>
        </w:rPr>
        <w:t xml:space="preserve">customers </w:t>
      </w:r>
      <w:r w:rsidR="000E0745">
        <w:rPr>
          <w:sz w:val="26"/>
          <w:szCs w:val="26"/>
        </w:rPr>
        <w:t>would be able to make a decision</w:t>
      </w:r>
      <w:r w:rsidR="0041141D" w:rsidRPr="00EE5722">
        <w:rPr>
          <w:sz w:val="26"/>
          <w:szCs w:val="26"/>
        </w:rPr>
        <w:t xml:space="preserve"> about their in</w:t>
      </w:r>
      <w:r w:rsidR="0041141D">
        <w:rPr>
          <w:sz w:val="26"/>
          <w:szCs w:val="26"/>
        </w:rPr>
        <w:t>terest i</w:t>
      </w:r>
      <w:r w:rsidR="008D5DDF">
        <w:rPr>
          <w:sz w:val="26"/>
          <w:szCs w:val="26"/>
        </w:rPr>
        <w:t>n the program</w:t>
      </w:r>
      <w:r w:rsidR="0041141D" w:rsidRPr="00EE5722">
        <w:rPr>
          <w:sz w:val="26"/>
          <w:szCs w:val="26"/>
        </w:rPr>
        <w:t>.</w:t>
      </w:r>
      <w:r w:rsidR="0041141D" w:rsidRPr="00EE5722">
        <w:rPr>
          <w:rStyle w:val="FootnoteReference"/>
          <w:sz w:val="26"/>
          <w:szCs w:val="26"/>
        </w:rPr>
        <w:footnoteReference w:id="78"/>
      </w:r>
    </w:p>
    <w:p w:rsidR="0041141D" w:rsidRPr="0041141D" w:rsidRDefault="0041141D" w:rsidP="0007064D">
      <w:pPr>
        <w:pStyle w:val="BodyText2"/>
        <w:spacing w:after="0" w:line="360" w:lineRule="auto"/>
        <w:rPr>
          <w:sz w:val="26"/>
          <w:szCs w:val="26"/>
        </w:rPr>
      </w:pPr>
    </w:p>
    <w:p w:rsidR="006D47C0" w:rsidRDefault="0041141D" w:rsidP="0007064D">
      <w:pPr>
        <w:pStyle w:val="BodyText"/>
        <w:spacing w:after="0" w:line="360" w:lineRule="auto"/>
        <w:ind w:left="0"/>
        <w:rPr>
          <w:sz w:val="26"/>
          <w:szCs w:val="26"/>
        </w:rPr>
      </w:pPr>
      <w:r>
        <w:rPr>
          <w:sz w:val="26"/>
          <w:szCs w:val="26"/>
        </w:rPr>
        <w:t>Citizen Power recommended that</w:t>
      </w:r>
      <w:r w:rsidRPr="00EE5722">
        <w:rPr>
          <w:sz w:val="26"/>
          <w:szCs w:val="26"/>
        </w:rPr>
        <w:t xml:space="preserve"> the Opt-In Program use </w:t>
      </w:r>
      <w:r>
        <w:rPr>
          <w:sz w:val="26"/>
          <w:szCs w:val="26"/>
        </w:rPr>
        <w:t xml:space="preserve">the </w:t>
      </w:r>
      <w:r w:rsidRPr="00EE5722">
        <w:rPr>
          <w:sz w:val="26"/>
          <w:szCs w:val="26"/>
        </w:rPr>
        <w:t>OCA’s proposed method of enrolling customers.  In this approach, the communication soliciting en</w:t>
      </w:r>
      <w:r w:rsidR="000E0745">
        <w:rPr>
          <w:sz w:val="26"/>
          <w:szCs w:val="26"/>
        </w:rPr>
        <w:t>rollment</w:t>
      </w:r>
      <w:r w:rsidR="008D5DDF">
        <w:rPr>
          <w:sz w:val="26"/>
          <w:szCs w:val="26"/>
        </w:rPr>
        <w:t xml:space="preserve"> would inform customers</w:t>
      </w:r>
      <w:r w:rsidRPr="00EE5722">
        <w:rPr>
          <w:sz w:val="26"/>
          <w:szCs w:val="26"/>
        </w:rPr>
        <w:t xml:space="preserve"> that they would be randomly assigned to one of the EGSs listed in the communication in a first-come, first-served</w:t>
      </w:r>
      <w:r>
        <w:rPr>
          <w:sz w:val="26"/>
          <w:szCs w:val="26"/>
        </w:rPr>
        <w:t xml:space="preserve"> manner.  Citizen Power contended that this proposal would have the advantage that no </w:t>
      </w:r>
      <w:r w:rsidRPr="00EE5722">
        <w:rPr>
          <w:sz w:val="26"/>
          <w:szCs w:val="26"/>
        </w:rPr>
        <w:t>participating EGS</w:t>
      </w:r>
      <w:r>
        <w:rPr>
          <w:sz w:val="26"/>
          <w:szCs w:val="26"/>
        </w:rPr>
        <w:t>’</w:t>
      </w:r>
      <w:r w:rsidRPr="00EE5722">
        <w:rPr>
          <w:sz w:val="26"/>
          <w:szCs w:val="26"/>
        </w:rPr>
        <w:t>s</w:t>
      </w:r>
      <w:r>
        <w:rPr>
          <w:sz w:val="26"/>
          <w:szCs w:val="26"/>
        </w:rPr>
        <w:t xml:space="preserve"> cap would</w:t>
      </w:r>
      <w:r w:rsidRPr="00EE5722">
        <w:rPr>
          <w:sz w:val="26"/>
          <w:szCs w:val="26"/>
        </w:rPr>
        <w:t xml:space="preserve"> be reached before another participating EGS</w:t>
      </w:r>
      <w:r>
        <w:rPr>
          <w:sz w:val="26"/>
          <w:szCs w:val="26"/>
        </w:rPr>
        <w:t>’</w:t>
      </w:r>
      <w:r w:rsidRPr="00EE5722">
        <w:rPr>
          <w:sz w:val="26"/>
          <w:szCs w:val="26"/>
        </w:rPr>
        <w:t>s cap</w:t>
      </w:r>
      <w:r w:rsidR="000E0745">
        <w:rPr>
          <w:sz w:val="26"/>
          <w:szCs w:val="26"/>
        </w:rPr>
        <w:t>,</w:t>
      </w:r>
      <w:r w:rsidRPr="00EE5722">
        <w:rPr>
          <w:sz w:val="26"/>
          <w:szCs w:val="26"/>
        </w:rPr>
        <w:t xml:space="preserve"> which </w:t>
      </w:r>
      <w:r>
        <w:rPr>
          <w:sz w:val="26"/>
          <w:szCs w:val="26"/>
        </w:rPr>
        <w:t>would obviate</w:t>
      </w:r>
      <w:r w:rsidRPr="00EE5722">
        <w:rPr>
          <w:sz w:val="26"/>
          <w:szCs w:val="26"/>
        </w:rPr>
        <w:t xml:space="preserve"> the need to reassign a customer to another EGS.  OCA St. 2 at 11.  </w:t>
      </w:r>
      <w:r w:rsidR="000E0745">
        <w:rPr>
          <w:sz w:val="26"/>
          <w:szCs w:val="26"/>
        </w:rPr>
        <w:t xml:space="preserve">Duquesne </w:t>
      </w:r>
      <w:r>
        <w:rPr>
          <w:sz w:val="26"/>
          <w:szCs w:val="26"/>
        </w:rPr>
        <w:t>agreed</w:t>
      </w:r>
      <w:r w:rsidRPr="00EE5722">
        <w:rPr>
          <w:sz w:val="26"/>
          <w:szCs w:val="26"/>
        </w:rPr>
        <w:t xml:space="preserve"> with this change in methodology</w:t>
      </w:r>
      <w:r w:rsidR="000E0745">
        <w:rPr>
          <w:sz w:val="26"/>
          <w:szCs w:val="26"/>
        </w:rPr>
        <w:t xml:space="preserve"> in its Rebuttal Testimony</w:t>
      </w:r>
      <w:r w:rsidRPr="00EE5722">
        <w:rPr>
          <w:sz w:val="26"/>
          <w:szCs w:val="26"/>
        </w:rPr>
        <w:t>.</w:t>
      </w:r>
    </w:p>
    <w:p w:rsidR="0041141D" w:rsidRDefault="0041141D" w:rsidP="0007064D">
      <w:pPr>
        <w:spacing w:line="360" w:lineRule="auto"/>
        <w:rPr>
          <w:sz w:val="26"/>
          <w:szCs w:val="26"/>
        </w:rPr>
      </w:pPr>
    </w:p>
    <w:p w:rsidR="0041141D" w:rsidRDefault="0041141D" w:rsidP="0041141D">
      <w:pPr>
        <w:spacing w:line="360" w:lineRule="auto"/>
        <w:ind w:firstLine="1440"/>
        <w:rPr>
          <w:sz w:val="26"/>
          <w:szCs w:val="26"/>
        </w:rPr>
      </w:pPr>
      <w:r>
        <w:rPr>
          <w:sz w:val="26"/>
          <w:szCs w:val="26"/>
        </w:rPr>
        <w:t xml:space="preserve">Dominion </w:t>
      </w:r>
      <w:r w:rsidRPr="00EE5722">
        <w:rPr>
          <w:sz w:val="26"/>
          <w:szCs w:val="26"/>
        </w:rPr>
        <w:t>support</w:t>
      </w:r>
      <w:r>
        <w:rPr>
          <w:sz w:val="26"/>
          <w:szCs w:val="26"/>
        </w:rPr>
        <w:t>ed</w:t>
      </w:r>
      <w:r w:rsidRPr="00EE5722">
        <w:rPr>
          <w:sz w:val="26"/>
          <w:szCs w:val="26"/>
        </w:rPr>
        <w:t xml:space="preserve"> the enrollment process approved by the Commission in the </w:t>
      </w:r>
      <w:r w:rsidR="000E0745">
        <w:rPr>
          <w:i/>
          <w:sz w:val="26"/>
          <w:szCs w:val="26"/>
        </w:rPr>
        <w:t>FirstEnergy DSP</w:t>
      </w:r>
      <w:r w:rsidRPr="00EE5722">
        <w:rPr>
          <w:i/>
          <w:sz w:val="26"/>
          <w:szCs w:val="26"/>
        </w:rPr>
        <w:t xml:space="preserve"> Order</w:t>
      </w:r>
      <w:r w:rsidR="000E0745">
        <w:rPr>
          <w:sz w:val="26"/>
          <w:szCs w:val="26"/>
        </w:rPr>
        <w:t xml:space="preserve"> at 108-109</w:t>
      </w:r>
      <w:r w:rsidRPr="00EE5722">
        <w:rPr>
          <w:sz w:val="26"/>
          <w:szCs w:val="26"/>
        </w:rPr>
        <w:t>, namely, that</w:t>
      </w:r>
      <w:r w:rsidR="000E0745">
        <w:rPr>
          <w:sz w:val="26"/>
          <w:szCs w:val="26"/>
        </w:rPr>
        <w:t xml:space="preserve"> customers be solicited </w:t>
      </w:r>
      <w:r w:rsidRPr="00EE5722">
        <w:rPr>
          <w:sz w:val="26"/>
          <w:szCs w:val="26"/>
        </w:rPr>
        <w:t xml:space="preserve">either </w:t>
      </w:r>
      <w:r w:rsidR="000E0745">
        <w:rPr>
          <w:sz w:val="26"/>
          <w:szCs w:val="26"/>
        </w:rPr>
        <w:t xml:space="preserve">prior to </w:t>
      </w:r>
      <w:r w:rsidRPr="00EE5722">
        <w:rPr>
          <w:sz w:val="26"/>
          <w:szCs w:val="26"/>
        </w:rPr>
        <w:t xml:space="preserve">assignment to suppliers, or </w:t>
      </w:r>
      <w:r w:rsidR="000E0745">
        <w:rPr>
          <w:sz w:val="26"/>
          <w:szCs w:val="26"/>
        </w:rPr>
        <w:t xml:space="preserve">to </w:t>
      </w:r>
      <w:r w:rsidRPr="00EE5722">
        <w:rPr>
          <w:sz w:val="26"/>
          <w:szCs w:val="26"/>
        </w:rPr>
        <w:t>the condu</w:t>
      </w:r>
      <w:r>
        <w:rPr>
          <w:sz w:val="26"/>
          <w:szCs w:val="26"/>
        </w:rPr>
        <w:t xml:space="preserve">ct of an auction.  </w:t>
      </w:r>
      <w:r w:rsidR="0007064D">
        <w:rPr>
          <w:sz w:val="26"/>
          <w:szCs w:val="26"/>
        </w:rPr>
        <w:t>Dominion</w:t>
      </w:r>
      <w:r>
        <w:rPr>
          <w:sz w:val="26"/>
          <w:szCs w:val="26"/>
        </w:rPr>
        <w:t xml:space="preserve"> St. 1-SR</w:t>
      </w:r>
      <w:r w:rsidR="0007064D">
        <w:rPr>
          <w:sz w:val="26"/>
          <w:szCs w:val="26"/>
        </w:rPr>
        <w:t xml:space="preserve"> at</w:t>
      </w:r>
      <w:r>
        <w:rPr>
          <w:sz w:val="26"/>
          <w:szCs w:val="26"/>
        </w:rPr>
        <w:t xml:space="preserve"> 3:4-20.  </w:t>
      </w:r>
      <w:r w:rsidR="0007064D">
        <w:rPr>
          <w:sz w:val="26"/>
          <w:szCs w:val="26"/>
        </w:rPr>
        <w:t xml:space="preserve">According to </w:t>
      </w:r>
      <w:r w:rsidR="00FA7F97">
        <w:rPr>
          <w:sz w:val="26"/>
          <w:szCs w:val="26"/>
        </w:rPr>
        <w:t>D</w:t>
      </w:r>
      <w:r w:rsidR="0007064D">
        <w:rPr>
          <w:sz w:val="26"/>
          <w:szCs w:val="26"/>
        </w:rPr>
        <w:t>ominion, t</w:t>
      </w:r>
      <w:r>
        <w:rPr>
          <w:sz w:val="26"/>
          <w:szCs w:val="26"/>
        </w:rPr>
        <w:t>he Commission recognized</w:t>
      </w:r>
      <w:r w:rsidRPr="00EE5722">
        <w:rPr>
          <w:sz w:val="26"/>
          <w:szCs w:val="26"/>
        </w:rPr>
        <w:t xml:space="preserve"> there will be substantial benefits to customers, in the form of lower prices, if EGSs know how many customers will be in each tranche.</w:t>
      </w:r>
    </w:p>
    <w:p w:rsidR="0041141D" w:rsidRDefault="0041141D" w:rsidP="0041141D">
      <w:pPr>
        <w:pStyle w:val="BodyTextFirstLine5DS"/>
        <w:spacing w:line="360" w:lineRule="auto"/>
        <w:ind w:firstLine="0"/>
        <w:jc w:val="left"/>
        <w:rPr>
          <w:rFonts w:eastAsia="Times New Roman"/>
          <w:sz w:val="26"/>
          <w:szCs w:val="26"/>
        </w:rPr>
      </w:pPr>
    </w:p>
    <w:p w:rsidR="0041141D" w:rsidRPr="00EE5722" w:rsidRDefault="008D5DDF" w:rsidP="0007064D">
      <w:pPr>
        <w:pStyle w:val="BodyTextFirstLine5DS"/>
        <w:spacing w:line="360" w:lineRule="auto"/>
        <w:ind w:firstLine="1440"/>
        <w:jc w:val="left"/>
        <w:rPr>
          <w:sz w:val="26"/>
          <w:szCs w:val="26"/>
        </w:rPr>
      </w:pPr>
      <w:r>
        <w:rPr>
          <w:sz w:val="26"/>
          <w:szCs w:val="26"/>
        </w:rPr>
        <w:t>FES argu</w:t>
      </w:r>
      <w:r w:rsidR="0041141D">
        <w:rPr>
          <w:sz w:val="26"/>
          <w:szCs w:val="26"/>
        </w:rPr>
        <w:t>ed</w:t>
      </w:r>
      <w:r w:rsidR="0041141D" w:rsidRPr="00EE5722">
        <w:rPr>
          <w:sz w:val="26"/>
          <w:szCs w:val="26"/>
        </w:rPr>
        <w:t xml:space="preserve"> that, if the </w:t>
      </w:r>
      <w:r w:rsidR="000E0745">
        <w:rPr>
          <w:i/>
          <w:sz w:val="26"/>
          <w:szCs w:val="26"/>
        </w:rPr>
        <w:t>FirstEnergy DSP Order</w:t>
      </w:r>
      <w:r w:rsidR="0041141D" w:rsidRPr="00EE5722">
        <w:rPr>
          <w:sz w:val="26"/>
          <w:szCs w:val="26"/>
        </w:rPr>
        <w:t xml:space="preserve"> and the </w:t>
      </w:r>
      <w:r w:rsidR="0041141D" w:rsidRPr="00EE5722">
        <w:rPr>
          <w:i/>
          <w:sz w:val="26"/>
          <w:szCs w:val="26"/>
        </w:rPr>
        <w:t>PECO Binding Poll</w:t>
      </w:r>
      <w:r w:rsidR="0041141D" w:rsidRPr="00EE5722">
        <w:rPr>
          <w:sz w:val="26"/>
          <w:szCs w:val="26"/>
        </w:rPr>
        <w:t xml:space="preserve"> apply to this proceeding, this question may be moot because </w:t>
      </w:r>
      <w:r w:rsidR="000E0745">
        <w:rPr>
          <w:sz w:val="26"/>
          <w:szCs w:val="26"/>
        </w:rPr>
        <w:t xml:space="preserve">in both cases the Commission eliminated </w:t>
      </w:r>
      <w:r w:rsidR="0041141D" w:rsidRPr="00EE5722">
        <w:rPr>
          <w:sz w:val="26"/>
          <w:szCs w:val="26"/>
        </w:rPr>
        <w:t>bidding competition</w:t>
      </w:r>
      <w:r w:rsidR="000E0745">
        <w:rPr>
          <w:sz w:val="26"/>
          <w:szCs w:val="26"/>
        </w:rPr>
        <w:t xml:space="preserve"> for the Opt-In Program</w:t>
      </w:r>
      <w:r w:rsidR="0041141D" w:rsidRPr="00EE5722">
        <w:rPr>
          <w:sz w:val="26"/>
          <w:szCs w:val="26"/>
        </w:rPr>
        <w:t>.</w:t>
      </w:r>
      <w:r w:rsidR="000E0745">
        <w:rPr>
          <w:sz w:val="26"/>
          <w:szCs w:val="26"/>
        </w:rPr>
        <w:t xml:space="preserve">  If these cases </w:t>
      </w:r>
      <w:r w:rsidR="0041141D" w:rsidRPr="00EE5722">
        <w:rPr>
          <w:sz w:val="26"/>
          <w:szCs w:val="26"/>
        </w:rPr>
        <w:t xml:space="preserve">do not apply to this proceeding, the Commission’s </w:t>
      </w:r>
      <w:r w:rsidR="0041141D" w:rsidRPr="00EE5722">
        <w:rPr>
          <w:i/>
          <w:sz w:val="26"/>
          <w:szCs w:val="26"/>
        </w:rPr>
        <w:t xml:space="preserve">IWP </w:t>
      </w:r>
      <w:r w:rsidR="00F25874">
        <w:rPr>
          <w:i/>
          <w:sz w:val="26"/>
          <w:szCs w:val="26"/>
        </w:rPr>
        <w:t xml:space="preserve">Final </w:t>
      </w:r>
      <w:r w:rsidR="0041141D" w:rsidRPr="00EE5722">
        <w:rPr>
          <w:i/>
          <w:sz w:val="26"/>
          <w:szCs w:val="26"/>
        </w:rPr>
        <w:t>Order</w:t>
      </w:r>
      <w:r w:rsidR="000E0745">
        <w:rPr>
          <w:sz w:val="26"/>
          <w:szCs w:val="26"/>
        </w:rPr>
        <w:t xml:space="preserve"> </w:t>
      </w:r>
      <w:r w:rsidR="0041141D" w:rsidRPr="00EE5722">
        <w:rPr>
          <w:sz w:val="26"/>
          <w:szCs w:val="26"/>
        </w:rPr>
        <w:t>advise</w:t>
      </w:r>
      <w:r w:rsidR="000E0745">
        <w:rPr>
          <w:sz w:val="26"/>
          <w:szCs w:val="26"/>
        </w:rPr>
        <w:t>s</w:t>
      </w:r>
      <w:r w:rsidR="0041141D" w:rsidRPr="00EE5722">
        <w:rPr>
          <w:sz w:val="26"/>
          <w:szCs w:val="26"/>
        </w:rPr>
        <w:t xml:space="preserve"> that EGS bidding </w:t>
      </w:r>
      <w:r w:rsidR="000E0745">
        <w:rPr>
          <w:sz w:val="26"/>
          <w:szCs w:val="26"/>
        </w:rPr>
        <w:t xml:space="preserve">precede enrollment.  </w:t>
      </w:r>
      <w:r w:rsidR="0007064D">
        <w:rPr>
          <w:sz w:val="26"/>
          <w:szCs w:val="26"/>
        </w:rPr>
        <w:t xml:space="preserve">FES asserted that </w:t>
      </w:r>
      <w:r w:rsidR="00C968A8">
        <w:rPr>
          <w:sz w:val="26"/>
          <w:szCs w:val="26"/>
        </w:rPr>
        <w:t>RESA did not present</w:t>
      </w:r>
      <w:r w:rsidR="0041141D" w:rsidRPr="00EE5722">
        <w:rPr>
          <w:sz w:val="26"/>
          <w:szCs w:val="26"/>
        </w:rPr>
        <w:t xml:space="preserve"> good cause to deviate from that approach.  </w:t>
      </w:r>
      <w:r w:rsidR="0007064D">
        <w:rPr>
          <w:sz w:val="26"/>
          <w:szCs w:val="26"/>
        </w:rPr>
        <w:t xml:space="preserve">FES asserted that </w:t>
      </w:r>
      <w:r w:rsidR="0041141D" w:rsidRPr="00EE5722">
        <w:rPr>
          <w:sz w:val="26"/>
          <w:szCs w:val="26"/>
        </w:rPr>
        <w:t xml:space="preserve">RESA did not consult, review or prepare any studies or analyses to determine what it calls “the negative effect” the Commission’s preferred sequence of bidding and enrollment </w:t>
      </w:r>
      <w:r w:rsidR="00FA7F97">
        <w:rPr>
          <w:sz w:val="26"/>
          <w:szCs w:val="26"/>
        </w:rPr>
        <w:t>would</w:t>
      </w:r>
      <w:r w:rsidR="0041141D" w:rsidRPr="00EE5722">
        <w:rPr>
          <w:sz w:val="26"/>
          <w:szCs w:val="26"/>
        </w:rPr>
        <w:t xml:space="preserve"> have on the ultimate value that is brought to customers through the</w:t>
      </w:r>
      <w:r w:rsidR="000E0745">
        <w:rPr>
          <w:sz w:val="26"/>
          <w:szCs w:val="26"/>
        </w:rPr>
        <w:t xml:space="preserve"> Opt-In Program, or that conducting</w:t>
      </w:r>
      <w:r w:rsidR="0041141D" w:rsidRPr="00EE5722">
        <w:rPr>
          <w:sz w:val="26"/>
          <w:szCs w:val="26"/>
        </w:rPr>
        <w:t xml:space="preserve"> the price-setting auction before the customer enrollment period </w:t>
      </w:r>
      <w:r w:rsidR="00FA7F97">
        <w:rPr>
          <w:sz w:val="26"/>
          <w:szCs w:val="26"/>
        </w:rPr>
        <w:t>would</w:t>
      </w:r>
      <w:r w:rsidR="0041141D" w:rsidRPr="00EE5722">
        <w:rPr>
          <w:sz w:val="26"/>
          <w:szCs w:val="26"/>
        </w:rPr>
        <w:t xml:space="preserve"> tend to decrease the number of </w:t>
      </w:r>
      <w:r w:rsidR="0041141D" w:rsidRPr="00EE5722">
        <w:rPr>
          <w:sz w:val="26"/>
          <w:szCs w:val="26"/>
        </w:rPr>
        <w:lastRenderedPageBreak/>
        <w:t>EGSs that will participate in the auction.</w:t>
      </w:r>
      <w:r w:rsidR="0041141D" w:rsidRPr="00EE5722">
        <w:rPr>
          <w:sz w:val="26"/>
          <w:szCs w:val="26"/>
          <w:vertAlign w:val="superscript"/>
        </w:rPr>
        <w:footnoteReference w:id="79"/>
      </w:r>
      <w:r w:rsidR="0041141D" w:rsidRPr="00EE5722">
        <w:rPr>
          <w:sz w:val="26"/>
          <w:szCs w:val="26"/>
        </w:rPr>
        <w:t xml:space="preserve">  FES Ex</w:t>
      </w:r>
      <w:r w:rsidR="00C968A8">
        <w:rPr>
          <w:sz w:val="26"/>
          <w:szCs w:val="26"/>
        </w:rPr>
        <w:t>h</w:t>
      </w:r>
      <w:r w:rsidR="0041141D" w:rsidRPr="00EE5722">
        <w:rPr>
          <w:sz w:val="26"/>
          <w:szCs w:val="26"/>
        </w:rPr>
        <w:t>. TCB-8 (RESA Response to FES-I-8(a), (b)).</w:t>
      </w:r>
    </w:p>
    <w:p w:rsidR="0041141D" w:rsidRPr="00EE5722" w:rsidRDefault="0041141D" w:rsidP="0007064D">
      <w:pPr>
        <w:pStyle w:val="BodyTextFirstLine5DS"/>
        <w:spacing w:line="360" w:lineRule="auto"/>
        <w:jc w:val="left"/>
        <w:rPr>
          <w:sz w:val="26"/>
          <w:szCs w:val="26"/>
        </w:rPr>
      </w:pPr>
    </w:p>
    <w:p w:rsidR="0041141D" w:rsidRPr="008D5DDF" w:rsidRDefault="00C968A8" w:rsidP="0007064D">
      <w:pPr>
        <w:pStyle w:val="BodyTextFirstLine5DS"/>
        <w:spacing w:line="360" w:lineRule="auto"/>
        <w:jc w:val="left"/>
        <w:rPr>
          <w:sz w:val="26"/>
          <w:szCs w:val="26"/>
        </w:rPr>
      </w:pPr>
      <w:r>
        <w:rPr>
          <w:sz w:val="26"/>
          <w:szCs w:val="26"/>
        </w:rPr>
        <w:tab/>
        <w:t>FES pointed</w:t>
      </w:r>
      <w:r w:rsidR="0041141D" w:rsidRPr="00EE5722">
        <w:rPr>
          <w:sz w:val="26"/>
          <w:szCs w:val="26"/>
        </w:rPr>
        <w:t xml:space="preserve"> out that Duqu</w:t>
      </w:r>
      <w:r w:rsidR="0041141D">
        <w:rPr>
          <w:sz w:val="26"/>
          <w:szCs w:val="26"/>
        </w:rPr>
        <w:t>esne</w:t>
      </w:r>
      <w:r w:rsidR="0041141D" w:rsidRPr="00EE5722">
        <w:rPr>
          <w:sz w:val="26"/>
          <w:szCs w:val="26"/>
        </w:rPr>
        <w:t xml:space="preserve">’s shopping levels are among the highest in the Commonwealth, and the Commission was aware of shopping levels when it adopted the </w:t>
      </w:r>
      <w:r w:rsidR="0041141D" w:rsidRPr="00EE5722">
        <w:rPr>
          <w:i/>
          <w:sz w:val="26"/>
          <w:szCs w:val="26"/>
        </w:rPr>
        <w:t xml:space="preserve">IWP </w:t>
      </w:r>
      <w:r w:rsidR="00F25874">
        <w:rPr>
          <w:i/>
          <w:sz w:val="26"/>
          <w:szCs w:val="26"/>
        </w:rPr>
        <w:t xml:space="preserve">Final </w:t>
      </w:r>
      <w:r w:rsidR="0041141D" w:rsidRPr="00EE5722">
        <w:rPr>
          <w:i/>
          <w:sz w:val="26"/>
          <w:szCs w:val="26"/>
        </w:rPr>
        <w:t>Order</w:t>
      </w:r>
      <w:r w:rsidR="000E0745">
        <w:rPr>
          <w:sz w:val="26"/>
          <w:szCs w:val="26"/>
        </w:rPr>
        <w:t xml:space="preserve">, in which </w:t>
      </w:r>
      <w:r w:rsidR="0041141D" w:rsidRPr="00EE5722">
        <w:rPr>
          <w:sz w:val="26"/>
          <w:szCs w:val="26"/>
        </w:rPr>
        <w:t>th</w:t>
      </w:r>
      <w:r w:rsidR="0007064D">
        <w:rPr>
          <w:sz w:val="26"/>
          <w:szCs w:val="26"/>
        </w:rPr>
        <w:t>e Commission acknowledged that P</w:t>
      </w:r>
      <w:r w:rsidR="0041141D" w:rsidRPr="00EE5722">
        <w:rPr>
          <w:sz w:val="26"/>
          <w:szCs w:val="26"/>
        </w:rPr>
        <w:t>arties differed in their proposals as to the timing of the EGS auction relative to customer enrollment.  However, the Commission emphasized the importance of avoiding a negative perception of competitive retail markets</w:t>
      </w:r>
      <w:r w:rsidR="008D5DDF">
        <w:rPr>
          <w:sz w:val="26"/>
          <w:szCs w:val="26"/>
        </w:rPr>
        <w:t xml:space="preserve">, and stated that mitigating customer confusion is important to the Commission.  </w:t>
      </w:r>
      <w:r w:rsidR="0041141D" w:rsidRPr="00EE5722">
        <w:rPr>
          <w:i/>
          <w:sz w:val="26"/>
          <w:szCs w:val="26"/>
        </w:rPr>
        <w:t xml:space="preserve">IWP </w:t>
      </w:r>
      <w:r w:rsidR="00F25874">
        <w:rPr>
          <w:i/>
          <w:sz w:val="26"/>
          <w:szCs w:val="26"/>
        </w:rPr>
        <w:t xml:space="preserve">Final </w:t>
      </w:r>
      <w:r w:rsidR="0041141D" w:rsidRPr="00EE5722">
        <w:rPr>
          <w:i/>
          <w:sz w:val="26"/>
          <w:szCs w:val="26"/>
        </w:rPr>
        <w:t>Order</w:t>
      </w:r>
      <w:r w:rsidR="0041141D" w:rsidRPr="00EE5722">
        <w:rPr>
          <w:sz w:val="26"/>
          <w:szCs w:val="26"/>
        </w:rPr>
        <w:t xml:space="preserve"> at 55.  The Commission determined that holding the EGS auction before customer enrollment is the appropriate way to address these concerns.  </w:t>
      </w:r>
      <w:r w:rsidR="0041141D" w:rsidRPr="00EE5722">
        <w:rPr>
          <w:i/>
          <w:sz w:val="26"/>
          <w:szCs w:val="26"/>
        </w:rPr>
        <w:t>Id.</w:t>
      </w:r>
      <w:r w:rsidR="000E0745">
        <w:rPr>
          <w:i/>
          <w:sz w:val="26"/>
          <w:szCs w:val="26"/>
        </w:rPr>
        <w:t xml:space="preserve">  </w:t>
      </w:r>
      <w:r w:rsidR="0041141D" w:rsidRPr="00EE5722">
        <w:rPr>
          <w:sz w:val="26"/>
          <w:szCs w:val="26"/>
        </w:rPr>
        <w:t>In the sequence recommended by the Commissio</w:t>
      </w:r>
      <w:r w:rsidR="0041141D">
        <w:rPr>
          <w:sz w:val="26"/>
          <w:szCs w:val="26"/>
        </w:rPr>
        <w:t>n and proposed by Duquesne</w:t>
      </w:r>
      <w:r w:rsidR="008D5DDF">
        <w:rPr>
          <w:sz w:val="26"/>
          <w:szCs w:val="26"/>
        </w:rPr>
        <w:t>, a customer would</w:t>
      </w:r>
      <w:r w:rsidR="0041141D" w:rsidRPr="00EE5722">
        <w:rPr>
          <w:sz w:val="26"/>
          <w:szCs w:val="26"/>
        </w:rPr>
        <w:t xml:space="preserve"> know the term, price and supplier</w:t>
      </w:r>
      <w:r w:rsidR="0007064D">
        <w:rPr>
          <w:sz w:val="26"/>
          <w:szCs w:val="26"/>
        </w:rPr>
        <w:t>,</w:t>
      </w:r>
      <w:r w:rsidR="0041141D" w:rsidRPr="00EE5722">
        <w:rPr>
          <w:sz w:val="26"/>
          <w:szCs w:val="26"/>
        </w:rPr>
        <w:t xml:space="preserve"> all information the customer would know if making a traditional choice among supplier offers, but with the advantage that the customer </w:t>
      </w:r>
      <w:r w:rsidR="00FA7F97">
        <w:rPr>
          <w:sz w:val="26"/>
          <w:szCs w:val="26"/>
        </w:rPr>
        <w:t>would</w:t>
      </w:r>
      <w:r w:rsidR="0041141D" w:rsidRPr="00EE5722">
        <w:rPr>
          <w:sz w:val="26"/>
          <w:szCs w:val="26"/>
        </w:rPr>
        <w:t xml:space="preserve"> not have to compare offers to determine which one is best.</w:t>
      </w:r>
    </w:p>
    <w:p w:rsidR="00C968A8" w:rsidRDefault="00C968A8" w:rsidP="0007064D">
      <w:pPr>
        <w:pStyle w:val="BodyText"/>
        <w:spacing w:after="0" w:line="360" w:lineRule="auto"/>
        <w:ind w:left="0"/>
        <w:rPr>
          <w:sz w:val="26"/>
          <w:szCs w:val="26"/>
        </w:rPr>
      </w:pPr>
    </w:p>
    <w:p w:rsidR="00C968A8" w:rsidRDefault="00C968A8" w:rsidP="0007064D">
      <w:pPr>
        <w:pStyle w:val="BodyText"/>
        <w:spacing w:after="0" w:line="360" w:lineRule="auto"/>
        <w:ind w:left="0"/>
        <w:rPr>
          <w:sz w:val="26"/>
          <w:szCs w:val="26"/>
        </w:rPr>
      </w:pPr>
      <w:r>
        <w:rPr>
          <w:sz w:val="26"/>
          <w:szCs w:val="26"/>
        </w:rPr>
        <w:t>The OSBA, CA</w:t>
      </w:r>
      <w:r w:rsidR="008F3443">
        <w:rPr>
          <w:sz w:val="26"/>
          <w:szCs w:val="26"/>
        </w:rPr>
        <w:t>USE, DII and Constellation</w:t>
      </w:r>
      <w:r>
        <w:rPr>
          <w:sz w:val="26"/>
          <w:szCs w:val="26"/>
        </w:rPr>
        <w:t xml:space="preserve"> took no position on this issue.</w:t>
      </w:r>
    </w:p>
    <w:p w:rsidR="00C968A8" w:rsidRPr="00C968A8" w:rsidRDefault="00C968A8" w:rsidP="0007064D">
      <w:pPr>
        <w:pStyle w:val="BodyText"/>
        <w:spacing w:after="0" w:line="360" w:lineRule="auto"/>
        <w:ind w:left="0"/>
        <w:rPr>
          <w:sz w:val="26"/>
          <w:szCs w:val="26"/>
        </w:rPr>
      </w:pPr>
    </w:p>
    <w:p w:rsidR="006D47C0" w:rsidRPr="00EE5722" w:rsidRDefault="00C968A8" w:rsidP="00584C88">
      <w:pPr>
        <w:pStyle w:val="Heading5"/>
        <w:numPr>
          <w:ilvl w:val="0"/>
          <w:numId w:val="0"/>
        </w:numPr>
        <w:ind w:left="3600" w:hanging="720"/>
      </w:pPr>
      <w:bookmarkStart w:id="112" w:name="_Toc346705354"/>
      <w:r>
        <w:t>iii.</w:t>
      </w:r>
      <w:r>
        <w:tab/>
        <w:t>ALJ’s Recommendation</w:t>
      </w:r>
      <w:bookmarkEnd w:id="112"/>
      <w:r w:rsidR="0007064D">
        <w:t xml:space="preserve"> </w:t>
      </w:r>
    </w:p>
    <w:p w:rsidR="00C968A8" w:rsidRDefault="00C968A8" w:rsidP="0007064D">
      <w:pPr>
        <w:pStyle w:val="BodyText"/>
        <w:spacing w:after="0" w:line="360" w:lineRule="auto"/>
        <w:ind w:left="0" w:firstLine="0"/>
        <w:rPr>
          <w:color w:val="000000" w:themeColor="text1"/>
          <w:sz w:val="26"/>
          <w:szCs w:val="26"/>
        </w:rPr>
      </w:pPr>
    </w:p>
    <w:p w:rsidR="006D47C0" w:rsidRPr="00580B05" w:rsidRDefault="00C968A8" w:rsidP="00580B05">
      <w:pPr>
        <w:pStyle w:val="BodyText"/>
        <w:spacing w:after="0" w:line="360" w:lineRule="auto"/>
        <w:ind w:left="0"/>
        <w:rPr>
          <w:sz w:val="26"/>
          <w:szCs w:val="26"/>
        </w:rPr>
      </w:pPr>
      <w:r>
        <w:rPr>
          <w:color w:val="000000" w:themeColor="text1"/>
          <w:sz w:val="26"/>
          <w:szCs w:val="26"/>
        </w:rPr>
        <w:t>The ALJ</w:t>
      </w:r>
      <w:r w:rsidRPr="00EE5722">
        <w:rPr>
          <w:color w:val="000000" w:themeColor="text1"/>
          <w:sz w:val="26"/>
          <w:szCs w:val="26"/>
        </w:rPr>
        <w:t xml:space="preserve"> re</w:t>
      </w:r>
      <w:r>
        <w:rPr>
          <w:color w:val="000000" w:themeColor="text1"/>
          <w:sz w:val="26"/>
          <w:szCs w:val="26"/>
        </w:rPr>
        <w:t>commended approving Duquesne</w:t>
      </w:r>
      <w:r w:rsidRPr="00EE5722">
        <w:rPr>
          <w:color w:val="000000" w:themeColor="text1"/>
          <w:sz w:val="26"/>
          <w:szCs w:val="26"/>
        </w:rPr>
        <w:t>’s proposal to identify all winnin</w:t>
      </w:r>
      <w:r w:rsidR="000E7406">
        <w:rPr>
          <w:color w:val="000000" w:themeColor="text1"/>
          <w:sz w:val="26"/>
          <w:szCs w:val="26"/>
        </w:rPr>
        <w:t xml:space="preserve">g bidders in the offer </w:t>
      </w:r>
      <w:r w:rsidRPr="00EE5722">
        <w:rPr>
          <w:color w:val="000000" w:themeColor="text1"/>
          <w:sz w:val="26"/>
          <w:szCs w:val="26"/>
        </w:rPr>
        <w:t>letter mailed to default service customers</w:t>
      </w:r>
      <w:r w:rsidR="000E7406">
        <w:rPr>
          <w:color w:val="000000" w:themeColor="text1"/>
          <w:sz w:val="26"/>
          <w:szCs w:val="26"/>
        </w:rPr>
        <w:t>,</w:t>
      </w:r>
      <w:r w:rsidRPr="00EE5722">
        <w:rPr>
          <w:color w:val="000000" w:themeColor="text1"/>
          <w:sz w:val="26"/>
          <w:szCs w:val="26"/>
        </w:rPr>
        <w:t xml:space="preserve"> and to inform customers that each customer will be randomly assigned to one of the winning EGSs.  Th</w:t>
      </w:r>
      <w:r w:rsidR="000E7406">
        <w:rPr>
          <w:color w:val="000000" w:themeColor="text1"/>
          <w:sz w:val="26"/>
          <w:szCs w:val="26"/>
        </w:rPr>
        <w:t>e ALJ concluded that th</w:t>
      </w:r>
      <w:r w:rsidRPr="00EE5722">
        <w:rPr>
          <w:color w:val="000000" w:themeColor="text1"/>
          <w:sz w:val="26"/>
          <w:szCs w:val="26"/>
        </w:rPr>
        <w:t>is proposal is simple, provides the key terms and conditions prior to enrollment, and provides the custom</w:t>
      </w:r>
      <w:r w:rsidR="0007064D">
        <w:rPr>
          <w:color w:val="000000" w:themeColor="text1"/>
          <w:sz w:val="26"/>
          <w:szCs w:val="26"/>
        </w:rPr>
        <w:t>ers with the same price for a twelve</w:t>
      </w:r>
      <w:r w:rsidRPr="00EE5722">
        <w:rPr>
          <w:color w:val="000000" w:themeColor="text1"/>
          <w:sz w:val="26"/>
          <w:szCs w:val="26"/>
        </w:rPr>
        <w:t xml:space="preserve">-month </w:t>
      </w:r>
      <w:r w:rsidRPr="00EE5722">
        <w:rPr>
          <w:color w:val="000000" w:themeColor="text1"/>
          <w:sz w:val="26"/>
          <w:szCs w:val="26"/>
        </w:rPr>
        <w:lastRenderedPageBreak/>
        <w:t>pe</w:t>
      </w:r>
      <w:r w:rsidR="000E7406">
        <w:rPr>
          <w:color w:val="000000" w:themeColor="text1"/>
          <w:sz w:val="26"/>
          <w:szCs w:val="26"/>
        </w:rPr>
        <w:t xml:space="preserve">riod.  </w:t>
      </w:r>
      <w:r w:rsidR="0007064D">
        <w:rPr>
          <w:color w:val="000000" w:themeColor="text1"/>
          <w:sz w:val="26"/>
          <w:szCs w:val="26"/>
        </w:rPr>
        <w:t xml:space="preserve">The ALJ concluded that </w:t>
      </w:r>
      <w:r w:rsidR="00580B05">
        <w:rPr>
          <w:color w:val="000000" w:themeColor="text1"/>
          <w:sz w:val="26"/>
          <w:szCs w:val="26"/>
        </w:rPr>
        <w:t>b</w:t>
      </w:r>
      <w:r w:rsidR="000E7406">
        <w:rPr>
          <w:color w:val="000000" w:themeColor="text1"/>
          <w:sz w:val="26"/>
          <w:szCs w:val="26"/>
        </w:rPr>
        <w:t xml:space="preserve">y presenting </w:t>
      </w:r>
      <w:r w:rsidRPr="00EE5722">
        <w:rPr>
          <w:color w:val="000000" w:themeColor="text1"/>
          <w:sz w:val="26"/>
          <w:szCs w:val="26"/>
        </w:rPr>
        <w:t>residential customer</w:t>
      </w:r>
      <w:r w:rsidR="000E7406">
        <w:rPr>
          <w:color w:val="000000" w:themeColor="text1"/>
          <w:sz w:val="26"/>
          <w:szCs w:val="26"/>
        </w:rPr>
        <w:t xml:space="preserve">s with a price that reflects </w:t>
      </w:r>
      <w:r w:rsidRPr="00EE5722">
        <w:rPr>
          <w:color w:val="000000" w:themeColor="text1"/>
          <w:sz w:val="26"/>
          <w:szCs w:val="26"/>
        </w:rPr>
        <w:t>actual savings compared to the PTC and which covers the entire term of the contr</w:t>
      </w:r>
      <w:r w:rsidR="000E7406">
        <w:rPr>
          <w:color w:val="000000" w:themeColor="text1"/>
          <w:sz w:val="26"/>
          <w:szCs w:val="26"/>
        </w:rPr>
        <w:t xml:space="preserve">act, </w:t>
      </w:r>
      <w:r w:rsidRPr="00EE5722">
        <w:rPr>
          <w:color w:val="000000" w:themeColor="text1"/>
          <w:sz w:val="26"/>
          <w:szCs w:val="26"/>
        </w:rPr>
        <w:t>a robust level of customer enrollment</w:t>
      </w:r>
      <w:r w:rsidR="000E7406">
        <w:rPr>
          <w:color w:val="000000" w:themeColor="text1"/>
          <w:sz w:val="26"/>
          <w:szCs w:val="26"/>
        </w:rPr>
        <w:t xml:space="preserve"> should result</w:t>
      </w:r>
      <w:r w:rsidRPr="00EE5722">
        <w:rPr>
          <w:color w:val="000000" w:themeColor="text1"/>
          <w:sz w:val="26"/>
          <w:szCs w:val="26"/>
        </w:rPr>
        <w:t>.</w:t>
      </w:r>
      <w:r w:rsidR="00580B05">
        <w:rPr>
          <w:color w:val="000000" w:themeColor="text1"/>
          <w:sz w:val="26"/>
          <w:szCs w:val="26"/>
        </w:rPr>
        <w:t xml:space="preserve">  R.D. at 97.</w:t>
      </w:r>
    </w:p>
    <w:p w:rsidR="006D47C0" w:rsidRPr="00C968A8" w:rsidRDefault="006D47C0" w:rsidP="00580B05">
      <w:pPr>
        <w:pStyle w:val="BodyText2"/>
        <w:spacing w:after="0" w:line="360" w:lineRule="auto"/>
        <w:rPr>
          <w:sz w:val="26"/>
          <w:szCs w:val="26"/>
        </w:rPr>
      </w:pPr>
      <w:r w:rsidRPr="00EE5722">
        <w:rPr>
          <w:sz w:val="26"/>
          <w:szCs w:val="26"/>
        </w:rPr>
        <w:tab/>
      </w:r>
      <w:r w:rsidRPr="00EE5722">
        <w:rPr>
          <w:sz w:val="26"/>
          <w:szCs w:val="26"/>
        </w:rPr>
        <w:tab/>
      </w:r>
    </w:p>
    <w:p w:rsidR="006D47C0" w:rsidRPr="00EE5722" w:rsidRDefault="00C968A8" w:rsidP="00584C88">
      <w:pPr>
        <w:pStyle w:val="Heading5"/>
        <w:numPr>
          <w:ilvl w:val="0"/>
          <w:numId w:val="0"/>
        </w:numPr>
        <w:ind w:left="3600" w:hanging="720"/>
      </w:pPr>
      <w:bookmarkStart w:id="113" w:name="_Toc346705355"/>
      <w:r>
        <w:t>iv.</w:t>
      </w:r>
      <w:r>
        <w:tab/>
        <w:t>Exceptions</w:t>
      </w:r>
      <w:bookmarkEnd w:id="113"/>
    </w:p>
    <w:p w:rsidR="0098056E" w:rsidRDefault="0098056E" w:rsidP="000B0447">
      <w:pPr>
        <w:pStyle w:val="Heading3"/>
      </w:pPr>
    </w:p>
    <w:p w:rsidR="00B83758" w:rsidRDefault="0098056E" w:rsidP="00480084">
      <w:pPr>
        <w:pStyle w:val="BodyText2"/>
        <w:spacing w:after="0" w:line="360" w:lineRule="auto"/>
        <w:ind w:firstLine="1440"/>
        <w:rPr>
          <w:sz w:val="26"/>
          <w:szCs w:val="26"/>
        </w:rPr>
      </w:pPr>
      <w:r>
        <w:rPr>
          <w:sz w:val="26"/>
          <w:szCs w:val="26"/>
        </w:rPr>
        <w:t xml:space="preserve">RESA argues that the ALJ erred in rejecting RESA’s proposal to require customers </w:t>
      </w:r>
      <w:r w:rsidR="000E7406">
        <w:rPr>
          <w:sz w:val="26"/>
          <w:szCs w:val="26"/>
        </w:rPr>
        <w:t>to enroll prior to the auction</w:t>
      </w:r>
      <w:r>
        <w:rPr>
          <w:sz w:val="26"/>
          <w:szCs w:val="26"/>
        </w:rPr>
        <w:t xml:space="preserve">. </w:t>
      </w:r>
      <w:r w:rsidR="000E7406">
        <w:rPr>
          <w:sz w:val="26"/>
          <w:szCs w:val="26"/>
        </w:rPr>
        <w:t xml:space="preserve"> </w:t>
      </w:r>
      <w:r w:rsidR="00480084">
        <w:rPr>
          <w:sz w:val="26"/>
          <w:szCs w:val="26"/>
        </w:rPr>
        <w:t>RESA points out that</w:t>
      </w:r>
      <w:r w:rsidR="001F5445">
        <w:rPr>
          <w:sz w:val="26"/>
          <w:szCs w:val="26"/>
        </w:rPr>
        <w:t>,</w:t>
      </w:r>
      <w:r w:rsidR="00480084">
        <w:rPr>
          <w:sz w:val="26"/>
          <w:szCs w:val="26"/>
        </w:rPr>
        <w:t xml:space="preserve"> i</w:t>
      </w:r>
      <w:r w:rsidRPr="0098056E">
        <w:rPr>
          <w:sz w:val="26"/>
          <w:szCs w:val="26"/>
        </w:rPr>
        <w:t xml:space="preserve">n the </w:t>
      </w:r>
      <w:r w:rsidR="000E7406">
        <w:rPr>
          <w:i/>
          <w:sz w:val="26"/>
          <w:szCs w:val="26"/>
        </w:rPr>
        <w:t>FirstEnergy DSP</w:t>
      </w:r>
      <w:r w:rsidRPr="0098056E">
        <w:rPr>
          <w:i/>
          <w:sz w:val="26"/>
          <w:szCs w:val="26"/>
        </w:rPr>
        <w:t xml:space="preserve"> Order</w:t>
      </w:r>
      <w:r w:rsidR="000E7406">
        <w:rPr>
          <w:sz w:val="26"/>
          <w:szCs w:val="26"/>
        </w:rPr>
        <w:t xml:space="preserve"> at 108-109</w:t>
      </w:r>
      <w:r w:rsidRPr="0098056E">
        <w:rPr>
          <w:sz w:val="26"/>
          <w:szCs w:val="26"/>
        </w:rPr>
        <w:t>, the Commission determined that the issue of the timing of the auction vis-à-vis customer enrollment “is now moot” because the auction was eliminated in favor of an aggregation program.</w:t>
      </w:r>
      <w:r w:rsidR="000E7406">
        <w:rPr>
          <w:sz w:val="26"/>
          <w:szCs w:val="26"/>
        </w:rPr>
        <w:t xml:space="preserve">  RESA submits</w:t>
      </w:r>
      <w:r w:rsidRPr="0098056E">
        <w:rPr>
          <w:sz w:val="26"/>
          <w:szCs w:val="26"/>
        </w:rPr>
        <w:t xml:space="preserve">, however, </w:t>
      </w:r>
      <w:r w:rsidR="000E7406">
        <w:rPr>
          <w:sz w:val="26"/>
          <w:szCs w:val="26"/>
        </w:rPr>
        <w:t xml:space="preserve">that </w:t>
      </w:r>
      <w:r w:rsidRPr="0098056E">
        <w:rPr>
          <w:sz w:val="26"/>
          <w:szCs w:val="26"/>
        </w:rPr>
        <w:t xml:space="preserve">the timing of the enrollment vis-à-vis the auction or aggregation could impact EGSs’ desire to </w:t>
      </w:r>
      <w:r w:rsidR="000E7406">
        <w:rPr>
          <w:sz w:val="26"/>
          <w:szCs w:val="26"/>
        </w:rPr>
        <w:t>participate in the program</w:t>
      </w:r>
      <w:r w:rsidRPr="0098056E">
        <w:rPr>
          <w:sz w:val="26"/>
          <w:szCs w:val="26"/>
        </w:rPr>
        <w:t>.</w:t>
      </w:r>
      <w:r w:rsidR="00580B05">
        <w:rPr>
          <w:sz w:val="26"/>
          <w:szCs w:val="26"/>
        </w:rPr>
        <w:t xml:space="preserve">  </w:t>
      </w:r>
      <w:r w:rsidR="00480084">
        <w:rPr>
          <w:sz w:val="26"/>
          <w:szCs w:val="26"/>
        </w:rPr>
        <w:t>RESA Exc. at 24-25</w:t>
      </w:r>
      <w:r w:rsidR="00580B05">
        <w:rPr>
          <w:sz w:val="26"/>
          <w:szCs w:val="26"/>
        </w:rPr>
        <w:t xml:space="preserve">. </w:t>
      </w:r>
    </w:p>
    <w:p w:rsidR="0098056E" w:rsidRPr="00580B05" w:rsidRDefault="00580B05" w:rsidP="00480084">
      <w:pPr>
        <w:pStyle w:val="BodyText2"/>
        <w:spacing w:after="0" w:line="360" w:lineRule="auto"/>
        <w:ind w:firstLine="1440"/>
        <w:rPr>
          <w:sz w:val="26"/>
          <w:szCs w:val="26"/>
        </w:rPr>
      </w:pPr>
      <w:r>
        <w:rPr>
          <w:sz w:val="26"/>
          <w:szCs w:val="26"/>
        </w:rPr>
        <w:t xml:space="preserve"> </w:t>
      </w:r>
    </w:p>
    <w:p w:rsidR="000E7406" w:rsidRPr="00480084" w:rsidRDefault="00480084" w:rsidP="00480084">
      <w:pPr>
        <w:pStyle w:val="BodyText2"/>
        <w:spacing w:after="0" w:line="360" w:lineRule="auto"/>
        <w:ind w:firstLine="1440"/>
        <w:rPr>
          <w:sz w:val="26"/>
          <w:szCs w:val="26"/>
        </w:rPr>
      </w:pPr>
      <w:r>
        <w:rPr>
          <w:sz w:val="26"/>
          <w:szCs w:val="26"/>
        </w:rPr>
        <w:t xml:space="preserve">RESA argues that </w:t>
      </w:r>
      <w:r w:rsidR="00FA7F97">
        <w:rPr>
          <w:sz w:val="26"/>
          <w:szCs w:val="26"/>
        </w:rPr>
        <w:t xml:space="preserve">under </w:t>
      </w:r>
      <w:r>
        <w:rPr>
          <w:sz w:val="26"/>
          <w:szCs w:val="26"/>
        </w:rPr>
        <w:t>it</w:t>
      </w:r>
      <w:r w:rsidR="0098056E" w:rsidRPr="0098056E">
        <w:rPr>
          <w:sz w:val="26"/>
          <w:szCs w:val="26"/>
        </w:rPr>
        <w:t>s proposal, customers would have sufficient information abou</w:t>
      </w:r>
      <w:r w:rsidR="00C240CC">
        <w:rPr>
          <w:sz w:val="26"/>
          <w:szCs w:val="26"/>
        </w:rPr>
        <w:t>t the product before they enroll</w:t>
      </w:r>
      <w:r w:rsidR="000E7406">
        <w:rPr>
          <w:sz w:val="26"/>
          <w:szCs w:val="26"/>
        </w:rPr>
        <w:t xml:space="preserve">.  </w:t>
      </w:r>
      <w:r>
        <w:rPr>
          <w:sz w:val="26"/>
          <w:szCs w:val="26"/>
        </w:rPr>
        <w:t>RESA states that c</w:t>
      </w:r>
      <w:r w:rsidR="0098056E" w:rsidRPr="0098056E">
        <w:rPr>
          <w:sz w:val="26"/>
          <w:szCs w:val="26"/>
        </w:rPr>
        <w:t>ustomers w</w:t>
      </w:r>
      <w:r w:rsidR="000E7406">
        <w:rPr>
          <w:sz w:val="26"/>
          <w:szCs w:val="26"/>
        </w:rPr>
        <w:t xml:space="preserve">ould know prior to enrollment that </w:t>
      </w:r>
      <w:r w:rsidR="0098056E" w:rsidRPr="0098056E">
        <w:rPr>
          <w:sz w:val="26"/>
          <w:szCs w:val="26"/>
        </w:rPr>
        <w:t>they would get a product that:  (1) was at least 5% less than the th</w:t>
      </w:r>
      <w:r w:rsidR="000E7406">
        <w:rPr>
          <w:sz w:val="26"/>
          <w:szCs w:val="26"/>
        </w:rPr>
        <w:t>en-current PTC</w:t>
      </w:r>
      <w:r w:rsidR="0098056E" w:rsidRPr="0098056E">
        <w:rPr>
          <w:sz w:val="26"/>
          <w:szCs w:val="26"/>
        </w:rPr>
        <w:t>; (2) include</w:t>
      </w:r>
      <w:r w:rsidR="000E7406">
        <w:rPr>
          <w:sz w:val="26"/>
          <w:szCs w:val="26"/>
        </w:rPr>
        <w:t xml:space="preserve">d a $50 bonus after </w:t>
      </w:r>
      <w:r w:rsidR="0098056E" w:rsidRPr="0098056E">
        <w:rPr>
          <w:sz w:val="26"/>
          <w:szCs w:val="26"/>
        </w:rPr>
        <w:t>four months; and (3) could be canceled at any time without penalty.</w:t>
      </w:r>
      <w:r w:rsidR="00400A08">
        <w:rPr>
          <w:sz w:val="26"/>
          <w:szCs w:val="26"/>
        </w:rPr>
        <w:t xml:space="preserve">  </w:t>
      </w:r>
      <w:r>
        <w:rPr>
          <w:sz w:val="26"/>
          <w:szCs w:val="26"/>
        </w:rPr>
        <w:t xml:space="preserve">RESA opines that </w:t>
      </w:r>
      <w:r w:rsidR="00400A08">
        <w:rPr>
          <w:sz w:val="26"/>
          <w:szCs w:val="26"/>
        </w:rPr>
        <w:t>conduct</w:t>
      </w:r>
      <w:r w:rsidR="0098056E" w:rsidRPr="0098056E">
        <w:rPr>
          <w:sz w:val="26"/>
          <w:szCs w:val="26"/>
        </w:rPr>
        <w:t>ing the price-setting auction before customer enrollme</w:t>
      </w:r>
      <w:r w:rsidR="00400A08">
        <w:rPr>
          <w:sz w:val="26"/>
          <w:szCs w:val="26"/>
        </w:rPr>
        <w:t xml:space="preserve">nt would force EGSs to </w:t>
      </w:r>
      <w:r w:rsidR="0098056E" w:rsidRPr="0098056E">
        <w:rPr>
          <w:sz w:val="26"/>
          <w:szCs w:val="26"/>
        </w:rPr>
        <w:t>incur material transaction costs and commit t</w:t>
      </w:r>
      <w:r w:rsidR="00400A08">
        <w:rPr>
          <w:sz w:val="26"/>
          <w:szCs w:val="26"/>
        </w:rPr>
        <w:t xml:space="preserve">o pricing </w:t>
      </w:r>
      <w:r w:rsidR="0098056E" w:rsidRPr="0098056E">
        <w:rPr>
          <w:sz w:val="26"/>
          <w:szCs w:val="26"/>
        </w:rPr>
        <w:t>without having any i</w:t>
      </w:r>
      <w:r w:rsidR="00400A08">
        <w:rPr>
          <w:sz w:val="26"/>
          <w:szCs w:val="26"/>
        </w:rPr>
        <w:t>dea how many customers are available</w:t>
      </w:r>
      <w:r w:rsidR="0098056E" w:rsidRPr="0098056E">
        <w:rPr>
          <w:sz w:val="26"/>
          <w:szCs w:val="26"/>
        </w:rPr>
        <w:t>.</w:t>
      </w:r>
      <w:r w:rsidR="0098056E" w:rsidRPr="0098056E">
        <w:rPr>
          <w:sz w:val="26"/>
          <w:szCs w:val="26"/>
          <w:vertAlign w:val="superscript"/>
        </w:rPr>
        <w:footnoteReference w:id="80"/>
      </w:r>
      <w:r w:rsidR="0098056E" w:rsidRPr="0098056E">
        <w:rPr>
          <w:sz w:val="26"/>
          <w:szCs w:val="26"/>
        </w:rPr>
        <w:t xml:space="preserve">  </w:t>
      </w:r>
      <w:r>
        <w:rPr>
          <w:i/>
          <w:sz w:val="26"/>
          <w:szCs w:val="26"/>
        </w:rPr>
        <w:t xml:space="preserve">Id. </w:t>
      </w:r>
      <w:r>
        <w:rPr>
          <w:sz w:val="26"/>
          <w:szCs w:val="26"/>
        </w:rPr>
        <w:t>at 25.</w:t>
      </w:r>
    </w:p>
    <w:p w:rsidR="000E7406" w:rsidRDefault="000E7406" w:rsidP="00480084">
      <w:pPr>
        <w:pStyle w:val="BodyText2"/>
        <w:spacing w:after="0" w:line="360" w:lineRule="auto"/>
        <w:ind w:firstLine="1440"/>
        <w:rPr>
          <w:sz w:val="26"/>
          <w:szCs w:val="26"/>
        </w:rPr>
      </w:pPr>
    </w:p>
    <w:p w:rsidR="0098056E" w:rsidRPr="00480084" w:rsidRDefault="000E7406" w:rsidP="00480084">
      <w:pPr>
        <w:pStyle w:val="BodyText2"/>
        <w:spacing w:after="0" w:line="360" w:lineRule="auto"/>
        <w:ind w:firstLine="1440"/>
        <w:rPr>
          <w:sz w:val="26"/>
          <w:szCs w:val="26"/>
        </w:rPr>
      </w:pPr>
      <w:r>
        <w:rPr>
          <w:sz w:val="26"/>
          <w:szCs w:val="26"/>
        </w:rPr>
        <w:t>RESA submits that t</w:t>
      </w:r>
      <w:r w:rsidR="0098056E" w:rsidRPr="0098056E">
        <w:rPr>
          <w:sz w:val="26"/>
          <w:szCs w:val="26"/>
        </w:rPr>
        <w:t>he same concept applie</w:t>
      </w:r>
      <w:r>
        <w:rPr>
          <w:sz w:val="26"/>
          <w:szCs w:val="26"/>
        </w:rPr>
        <w:t xml:space="preserve">s to </w:t>
      </w:r>
      <w:r w:rsidR="00480084">
        <w:rPr>
          <w:sz w:val="26"/>
          <w:szCs w:val="26"/>
        </w:rPr>
        <w:t xml:space="preserve">an aggregation program, that </w:t>
      </w:r>
      <w:r w:rsidR="0098056E" w:rsidRPr="0098056E">
        <w:rPr>
          <w:sz w:val="26"/>
          <w:szCs w:val="26"/>
        </w:rPr>
        <w:t>EGSs must know t</w:t>
      </w:r>
      <w:r>
        <w:rPr>
          <w:sz w:val="26"/>
          <w:szCs w:val="26"/>
        </w:rPr>
        <w:t>he number of customers who have enrolled and the PTC before EGSs</w:t>
      </w:r>
      <w:r w:rsidR="0098056E" w:rsidRPr="0098056E">
        <w:rPr>
          <w:sz w:val="26"/>
          <w:szCs w:val="26"/>
        </w:rPr>
        <w:t xml:space="preserve"> are required to give notice of their participation in the program.  For these reasons, </w:t>
      </w:r>
      <w:r w:rsidR="0098056E">
        <w:rPr>
          <w:sz w:val="26"/>
          <w:szCs w:val="26"/>
        </w:rPr>
        <w:lastRenderedPageBreak/>
        <w:t xml:space="preserve">RESA submits that </w:t>
      </w:r>
      <w:r w:rsidR="0098056E" w:rsidRPr="0098056E">
        <w:rPr>
          <w:sz w:val="26"/>
          <w:szCs w:val="26"/>
        </w:rPr>
        <w:t>the ALJ’s recommendation on this issue should be rejected.</w:t>
      </w:r>
      <w:r w:rsidR="0098056E" w:rsidRPr="0098056E">
        <w:rPr>
          <w:rStyle w:val="FootnoteReference"/>
          <w:sz w:val="26"/>
          <w:szCs w:val="26"/>
        </w:rPr>
        <w:footnoteReference w:id="81"/>
      </w:r>
      <w:r w:rsidR="00480084">
        <w:rPr>
          <w:sz w:val="26"/>
          <w:szCs w:val="26"/>
        </w:rPr>
        <w:t xml:space="preserve">  </w:t>
      </w:r>
      <w:r w:rsidR="00480084">
        <w:rPr>
          <w:i/>
          <w:sz w:val="26"/>
          <w:szCs w:val="26"/>
        </w:rPr>
        <w:t xml:space="preserve">Id. </w:t>
      </w:r>
      <w:r w:rsidR="00480084">
        <w:rPr>
          <w:sz w:val="26"/>
          <w:szCs w:val="26"/>
        </w:rPr>
        <w:t>25-26.</w:t>
      </w:r>
    </w:p>
    <w:p w:rsidR="006D47C0" w:rsidRPr="00EE5722" w:rsidRDefault="006D47C0" w:rsidP="00480084">
      <w:pPr>
        <w:pStyle w:val="BodyText"/>
        <w:spacing w:after="0" w:line="360" w:lineRule="auto"/>
        <w:ind w:left="0" w:firstLine="0"/>
        <w:rPr>
          <w:sz w:val="26"/>
          <w:szCs w:val="26"/>
        </w:rPr>
      </w:pPr>
    </w:p>
    <w:p w:rsidR="006D47C0" w:rsidRDefault="00B2607D" w:rsidP="00584C88">
      <w:pPr>
        <w:pStyle w:val="Heading5"/>
        <w:numPr>
          <w:ilvl w:val="0"/>
          <w:numId w:val="0"/>
        </w:numPr>
        <w:ind w:left="3600" w:hanging="720"/>
      </w:pPr>
      <w:bookmarkStart w:id="114" w:name="_Toc346705356"/>
      <w:r>
        <w:t xml:space="preserve">v. </w:t>
      </w:r>
      <w:r>
        <w:tab/>
      </w:r>
      <w:r w:rsidR="00C968A8">
        <w:t>Reply Exceptions</w:t>
      </w:r>
      <w:bookmarkEnd w:id="114"/>
    </w:p>
    <w:p w:rsidR="009B4C2E" w:rsidRPr="00EE5722" w:rsidRDefault="009B4C2E" w:rsidP="00480084">
      <w:pPr>
        <w:pStyle w:val="BriefL3"/>
        <w:numPr>
          <w:ilvl w:val="0"/>
          <w:numId w:val="0"/>
        </w:numPr>
        <w:spacing w:after="0" w:line="360" w:lineRule="auto"/>
        <w:ind w:left="2880"/>
        <w:rPr>
          <w:b/>
          <w:sz w:val="26"/>
          <w:szCs w:val="26"/>
        </w:rPr>
      </w:pPr>
    </w:p>
    <w:p w:rsidR="00400A08" w:rsidRDefault="006F6638" w:rsidP="00400A08">
      <w:pPr>
        <w:pStyle w:val="BodyText2"/>
        <w:spacing w:line="360" w:lineRule="auto"/>
        <w:ind w:firstLine="1440"/>
        <w:rPr>
          <w:sz w:val="26"/>
          <w:szCs w:val="26"/>
        </w:rPr>
      </w:pPr>
      <w:r w:rsidRPr="009B4C2E">
        <w:rPr>
          <w:sz w:val="26"/>
          <w:szCs w:val="26"/>
        </w:rPr>
        <w:t xml:space="preserve">In its Reply Exceptions, Duquesne argues that RESA’s proposal to require customers </w:t>
      </w:r>
      <w:r w:rsidR="00400A08">
        <w:rPr>
          <w:sz w:val="26"/>
          <w:szCs w:val="26"/>
        </w:rPr>
        <w:t xml:space="preserve">to enroll </w:t>
      </w:r>
      <w:r w:rsidRPr="009B4C2E">
        <w:rPr>
          <w:sz w:val="26"/>
          <w:szCs w:val="26"/>
        </w:rPr>
        <w:t xml:space="preserve">before EGSs commit to participating should be denied.  </w:t>
      </w:r>
      <w:r w:rsidR="0066314A">
        <w:rPr>
          <w:sz w:val="26"/>
          <w:szCs w:val="26"/>
        </w:rPr>
        <w:t>Duquesne states that t</w:t>
      </w:r>
      <w:r w:rsidRPr="009B4C2E">
        <w:rPr>
          <w:sz w:val="26"/>
          <w:szCs w:val="26"/>
        </w:rPr>
        <w:t>he Commission rejected RESA’s proposa</w:t>
      </w:r>
      <w:r w:rsidR="00400A08">
        <w:rPr>
          <w:sz w:val="26"/>
          <w:szCs w:val="26"/>
        </w:rPr>
        <w:t xml:space="preserve">l in the </w:t>
      </w:r>
      <w:r w:rsidR="00400A08" w:rsidRPr="00400A08">
        <w:rPr>
          <w:i/>
          <w:sz w:val="26"/>
          <w:szCs w:val="26"/>
        </w:rPr>
        <w:t xml:space="preserve">IWP Final </w:t>
      </w:r>
      <w:r w:rsidRPr="00400A08">
        <w:rPr>
          <w:i/>
          <w:sz w:val="26"/>
          <w:szCs w:val="26"/>
        </w:rPr>
        <w:t>Order</w:t>
      </w:r>
      <w:r w:rsidRPr="009B4C2E">
        <w:rPr>
          <w:sz w:val="26"/>
          <w:szCs w:val="26"/>
        </w:rPr>
        <w:t xml:space="preserve"> and should reject it here as well.  </w:t>
      </w:r>
      <w:r w:rsidR="0066314A">
        <w:rPr>
          <w:sz w:val="26"/>
          <w:szCs w:val="26"/>
        </w:rPr>
        <w:t xml:space="preserve">According to Duquesne, </w:t>
      </w:r>
      <w:r w:rsidR="00400A08">
        <w:rPr>
          <w:sz w:val="26"/>
          <w:szCs w:val="26"/>
        </w:rPr>
        <w:t xml:space="preserve">RESA’s approach </w:t>
      </w:r>
      <w:r w:rsidRPr="009B4C2E">
        <w:rPr>
          <w:sz w:val="26"/>
          <w:szCs w:val="26"/>
        </w:rPr>
        <w:t>encourage</w:t>
      </w:r>
      <w:r w:rsidR="00400A08">
        <w:rPr>
          <w:sz w:val="26"/>
          <w:szCs w:val="26"/>
        </w:rPr>
        <w:t>s</w:t>
      </w:r>
      <w:r w:rsidRPr="009B4C2E">
        <w:rPr>
          <w:sz w:val="26"/>
          <w:szCs w:val="26"/>
        </w:rPr>
        <w:t xml:space="preserve"> customers to</w:t>
      </w:r>
      <w:r w:rsidR="00400A08">
        <w:rPr>
          <w:sz w:val="26"/>
          <w:szCs w:val="26"/>
        </w:rPr>
        <w:t xml:space="preserve"> sign up for a program that may</w:t>
      </w:r>
      <w:r w:rsidRPr="009B4C2E">
        <w:rPr>
          <w:sz w:val="26"/>
          <w:szCs w:val="26"/>
        </w:rPr>
        <w:t xml:space="preserve"> not materialize if not enough EGSs ch</w:t>
      </w:r>
      <w:r w:rsidR="0066314A">
        <w:rPr>
          <w:sz w:val="26"/>
          <w:szCs w:val="26"/>
        </w:rPr>
        <w:t xml:space="preserve">oose to participate.  </w:t>
      </w:r>
      <w:r w:rsidRPr="009B4C2E">
        <w:rPr>
          <w:sz w:val="26"/>
          <w:szCs w:val="26"/>
        </w:rPr>
        <w:t>Duquesne</w:t>
      </w:r>
      <w:r w:rsidR="00400A08">
        <w:rPr>
          <w:sz w:val="26"/>
          <w:szCs w:val="26"/>
        </w:rPr>
        <w:t xml:space="preserve"> is </w:t>
      </w:r>
      <w:r w:rsidRPr="009B4C2E">
        <w:rPr>
          <w:sz w:val="26"/>
          <w:szCs w:val="26"/>
        </w:rPr>
        <w:t xml:space="preserve">concerned that soliciting customers before EGSs commit to participate could result in disappointment for customers if EGSs decline to participate.  </w:t>
      </w:r>
      <w:r w:rsidR="0066314A">
        <w:rPr>
          <w:sz w:val="26"/>
          <w:szCs w:val="26"/>
        </w:rPr>
        <w:t xml:space="preserve">Duquesne R.Exc. at 15.  </w:t>
      </w:r>
    </w:p>
    <w:p w:rsidR="001F5445" w:rsidRPr="001F5445" w:rsidRDefault="001F5445" w:rsidP="001F5445">
      <w:pPr>
        <w:pStyle w:val="BodyText2"/>
        <w:spacing w:after="0" w:line="360" w:lineRule="auto"/>
        <w:ind w:firstLine="1440"/>
        <w:rPr>
          <w:sz w:val="26"/>
          <w:szCs w:val="26"/>
        </w:rPr>
      </w:pPr>
    </w:p>
    <w:p w:rsidR="006F6638" w:rsidRPr="0066314A" w:rsidRDefault="00400A08" w:rsidP="0066314A">
      <w:pPr>
        <w:pStyle w:val="BodyText2"/>
        <w:spacing w:after="0" w:line="360" w:lineRule="auto"/>
        <w:ind w:firstLine="1440"/>
        <w:rPr>
          <w:sz w:val="26"/>
          <w:szCs w:val="26"/>
        </w:rPr>
      </w:pPr>
      <w:r>
        <w:rPr>
          <w:sz w:val="26"/>
          <w:szCs w:val="26"/>
        </w:rPr>
        <w:t xml:space="preserve">Duquesne submits that there are </w:t>
      </w:r>
      <w:r w:rsidR="006F6638" w:rsidRPr="009B4C2E">
        <w:rPr>
          <w:sz w:val="26"/>
          <w:szCs w:val="26"/>
        </w:rPr>
        <w:t xml:space="preserve">many related issues that must be resolved if the Commission adopts an aggregation </w:t>
      </w:r>
      <w:r>
        <w:rPr>
          <w:sz w:val="26"/>
          <w:szCs w:val="26"/>
        </w:rPr>
        <w:t>program</w:t>
      </w:r>
      <w:r w:rsidR="006F6638" w:rsidRPr="009B4C2E">
        <w:rPr>
          <w:sz w:val="26"/>
          <w:szCs w:val="26"/>
        </w:rPr>
        <w:t xml:space="preserve">.  </w:t>
      </w:r>
      <w:r w:rsidR="0066314A">
        <w:rPr>
          <w:sz w:val="26"/>
          <w:szCs w:val="26"/>
        </w:rPr>
        <w:t>According to Duquesne, t</w:t>
      </w:r>
      <w:r w:rsidR="006F6638" w:rsidRPr="009B4C2E">
        <w:rPr>
          <w:sz w:val="26"/>
          <w:szCs w:val="26"/>
        </w:rPr>
        <w:t>hese issues include:  (1) whether EGSs would sign up to provide service to a specific number or specific percentage of customers; (2) whether some customers would not be able to participate if not enough EGSs sign up; and (3) how customers would be assigned to particip</w:t>
      </w:r>
      <w:r w:rsidR="009B4C2E" w:rsidRPr="009B4C2E">
        <w:rPr>
          <w:sz w:val="26"/>
          <w:szCs w:val="26"/>
        </w:rPr>
        <w:t>ating EGSs.</w:t>
      </w:r>
      <w:r>
        <w:rPr>
          <w:sz w:val="26"/>
          <w:szCs w:val="26"/>
        </w:rPr>
        <w:t xml:space="preserve">  </w:t>
      </w:r>
      <w:r w:rsidR="009B4C2E">
        <w:rPr>
          <w:sz w:val="26"/>
          <w:szCs w:val="26"/>
        </w:rPr>
        <w:t>Duquesne submits that t</w:t>
      </w:r>
      <w:r w:rsidR="006F6638" w:rsidRPr="009B4C2E">
        <w:rPr>
          <w:sz w:val="26"/>
          <w:szCs w:val="26"/>
        </w:rPr>
        <w:t>hese issues shoul</w:t>
      </w:r>
      <w:r>
        <w:rPr>
          <w:sz w:val="26"/>
          <w:szCs w:val="26"/>
        </w:rPr>
        <w:t>d be addressed if an a</w:t>
      </w:r>
      <w:r w:rsidR="009B4C2E" w:rsidRPr="009B4C2E">
        <w:rPr>
          <w:sz w:val="26"/>
          <w:szCs w:val="26"/>
        </w:rPr>
        <w:t xml:space="preserve">ggregation </w:t>
      </w:r>
      <w:r>
        <w:rPr>
          <w:sz w:val="26"/>
          <w:szCs w:val="26"/>
        </w:rPr>
        <w:t>p</w:t>
      </w:r>
      <w:r w:rsidR="006F6638" w:rsidRPr="009B4C2E">
        <w:rPr>
          <w:sz w:val="26"/>
          <w:szCs w:val="26"/>
        </w:rPr>
        <w:t>rogram is adopted.</w:t>
      </w:r>
      <w:r w:rsidR="0066314A">
        <w:rPr>
          <w:sz w:val="26"/>
          <w:szCs w:val="26"/>
        </w:rPr>
        <w:t xml:space="preserve">  </w:t>
      </w:r>
      <w:r w:rsidR="0066314A">
        <w:rPr>
          <w:i/>
          <w:sz w:val="26"/>
          <w:szCs w:val="26"/>
        </w:rPr>
        <w:t xml:space="preserve">Id. </w:t>
      </w:r>
      <w:r w:rsidR="0066314A">
        <w:rPr>
          <w:sz w:val="26"/>
          <w:szCs w:val="26"/>
        </w:rPr>
        <w:t>at 15-16.</w:t>
      </w:r>
    </w:p>
    <w:p w:rsidR="006D47C0" w:rsidRPr="00EE5722" w:rsidRDefault="006D47C0" w:rsidP="0066314A">
      <w:pPr>
        <w:pStyle w:val="BodyText"/>
        <w:spacing w:after="0" w:line="360" w:lineRule="auto"/>
        <w:ind w:left="0"/>
        <w:rPr>
          <w:sz w:val="26"/>
          <w:szCs w:val="26"/>
        </w:rPr>
      </w:pPr>
    </w:p>
    <w:p w:rsidR="006D47C0" w:rsidRDefault="003C0B56" w:rsidP="006645DF">
      <w:pPr>
        <w:spacing w:line="360" w:lineRule="auto"/>
        <w:ind w:firstLine="1440"/>
        <w:rPr>
          <w:sz w:val="26"/>
          <w:szCs w:val="26"/>
        </w:rPr>
      </w:pPr>
      <w:r>
        <w:rPr>
          <w:sz w:val="26"/>
          <w:szCs w:val="26"/>
        </w:rPr>
        <w:t>In its Reply</w:t>
      </w:r>
      <w:r w:rsidR="00EC5C94">
        <w:rPr>
          <w:sz w:val="26"/>
          <w:szCs w:val="26"/>
        </w:rPr>
        <w:t xml:space="preserve"> Exceptions, the OCA argues that the ALJ properly rejected RESA’s proposal to enroll </w:t>
      </w:r>
      <w:r w:rsidR="00400A08">
        <w:rPr>
          <w:sz w:val="26"/>
          <w:szCs w:val="26"/>
        </w:rPr>
        <w:t xml:space="preserve">customers </w:t>
      </w:r>
      <w:r w:rsidR="00EC5C94">
        <w:rPr>
          <w:sz w:val="26"/>
          <w:szCs w:val="26"/>
        </w:rPr>
        <w:t xml:space="preserve">prior to </w:t>
      </w:r>
      <w:r w:rsidR="00400A08">
        <w:rPr>
          <w:sz w:val="26"/>
          <w:szCs w:val="26"/>
        </w:rPr>
        <w:t xml:space="preserve">establishing the rate.  </w:t>
      </w:r>
      <w:r w:rsidRPr="003C0B56">
        <w:rPr>
          <w:sz w:val="26"/>
          <w:szCs w:val="26"/>
        </w:rPr>
        <w:t>The OCA ag</w:t>
      </w:r>
      <w:r w:rsidR="00400A08">
        <w:rPr>
          <w:sz w:val="26"/>
          <w:szCs w:val="26"/>
        </w:rPr>
        <w:t xml:space="preserve">rees with </w:t>
      </w:r>
      <w:r w:rsidRPr="003C0B56">
        <w:rPr>
          <w:sz w:val="26"/>
          <w:szCs w:val="26"/>
        </w:rPr>
        <w:t>the ALJ</w:t>
      </w:r>
      <w:r w:rsidR="00400A08">
        <w:rPr>
          <w:sz w:val="26"/>
          <w:szCs w:val="26"/>
        </w:rPr>
        <w:t>’</w:t>
      </w:r>
      <w:r w:rsidR="006645DF">
        <w:rPr>
          <w:sz w:val="26"/>
          <w:szCs w:val="26"/>
        </w:rPr>
        <w:t>s recommen</w:t>
      </w:r>
      <w:r w:rsidR="00400A08">
        <w:rPr>
          <w:sz w:val="26"/>
          <w:szCs w:val="26"/>
        </w:rPr>
        <w:t>dation</w:t>
      </w:r>
      <w:r w:rsidRPr="003C0B56">
        <w:rPr>
          <w:sz w:val="26"/>
          <w:szCs w:val="26"/>
        </w:rPr>
        <w:t xml:space="preserve"> </w:t>
      </w:r>
      <w:r w:rsidR="006645DF">
        <w:rPr>
          <w:sz w:val="26"/>
          <w:szCs w:val="26"/>
        </w:rPr>
        <w:t>that all participating EGSs</w:t>
      </w:r>
      <w:r w:rsidRPr="003C0B56">
        <w:rPr>
          <w:sz w:val="26"/>
          <w:szCs w:val="26"/>
        </w:rPr>
        <w:t xml:space="preserve"> be included in the </w:t>
      </w:r>
      <w:r w:rsidR="006645DF">
        <w:rPr>
          <w:sz w:val="26"/>
          <w:szCs w:val="26"/>
        </w:rPr>
        <w:t xml:space="preserve">offer </w:t>
      </w:r>
      <w:r w:rsidRPr="003C0B56">
        <w:rPr>
          <w:sz w:val="26"/>
          <w:szCs w:val="26"/>
        </w:rPr>
        <w:t xml:space="preserve">letter </w:t>
      </w:r>
      <w:r w:rsidRPr="003C0B56">
        <w:rPr>
          <w:sz w:val="26"/>
          <w:szCs w:val="26"/>
        </w:rPr>
        <w:lastRenderedPageBreak/>
        <w:t>mailed to customers</w:t>
      </w:r>
      <w:r w:rsidR="006645DF">
        <w:rPr>
          <w:sz w:val="26"/>
          <w:szCs w:val="26"/>
        </w:rPr>
        <w:t>,</w:t>
      </w:r>
      <w:r w:rsidRPr="003C0B56">
        <w:rPr>
          <w:sz w:val="26"/>
          <w:szCs w:val="26"/>
        </w:rPr>
        <w:t xml:space="preserve"> and that the </w:t>
      </w:r>
      <w:r w:rsidR="006645DF">
        <w:rPr>
          <w:sz w:val="26"/>
          <w:szCs w:val="26"/>
        </w:rPr>
        <w:t xml:space="preserve">offer </w:t>
      </w:r>
      <w:r w:rsidRPr="003C0B56">
        <w:rPr>
          <w:sz w:val="26"/>
          <w:szCs w:val="26"/>
        </w:rPr>
        <w:t xml:space="preserve">letter provide all key terms and conditions, </w:t>
      </w:r>
      <w:r w:rsidRPr="00C240CC">
        <w:rPr>
          <w:sz w:val="26"/>
          <w:szCs w:val="26"/>
        </w:rPr>
        <w:t>including price</w:t>
      </w:r>
      <w:r w:rsidRPr="003C0B56">
        <w:rPr>
          <w:sz w:val="26"/>
          <w:szCs w:val="26"/>
        </w:rPr>
        <w:t>,</w:t>
      </w:r>
      <w:r w:rsidR="006645DF">
        <w:rPr>
          <w:sz w:val="26"/>
          <w:szCs w:val="26"/>
        </w:rPr>
        <w:t xml:space="preserve"> prior to enrollment.  </w:t>
      </w:r>
      <w:r w:rsidR="0066314A">
        <w:rPr>
          <w:sz w:val="26"/>
          <w:szCs w:val="26"/>
        </w:rPr>
        <w:t>The OCA avers</w:t>
      </w:r>
      <w:r w:rsidRPr="003C0B56">
        <w:rPr>
          <w:sz w:val="26"/>
          <w:szCs w:val="26"/>
        </w:rPr>
        <w:t xml:space="preserve"> </w:t>
      </w:r>
      <w:r w:rsidR="0066314A">
        <w:rPr>
          <w:sz w:val="26"/>
          <w:szCs w:val="26"/>
        </w:rPr>
        <w:t xml:space="preserve">that </w:t>
      </w:r>
      <w:r w:rsidR="00EC5C94">
        <w:rPr>
          <w:sz w:val="26"/>
          <w:szCs w:val="26"/>
        </w:rPr>
        <w:t xml:space="preserve">the RESA proposal </w:t>
      </w:r>
      <w:r w:rsidRPr="003C0B56">
        <w:rPr>
          <w:sz w:val="26"/>
          <w:szCs w:val="26"/>
        </w:rPr>
        <w:t xml:space="preserve">effectively </w:t>
      </w:r>
      <w:r w:rsidR="00EC5C94">
        <w:rPr>
          <w:sz w:val="26"/>
          <w:szCs w:val="26"/>
        </w:rPr>
        <w:t>would transform the Opt-In P</w:t>
      </w:r>
      <w:r w:rsidRPr="003C0B56">
        <w:rPr>
          <w:sz w:val="26"/>
          <w:szCs w:val="26"/>
        </w:rPr>
        <w:t>rogram</w:t>
      </w:r>
      <w:r w:rsidR="00EC5C94">
        <w:rPr>
          <w:sz w:val="26"/>
          <w:szCs w:val="26"/>
        </w:rPr>
        <w:t xml:space="preserve"> to an Opt-Out P</w:t>
      </w:r>
      <w:r w:rsidRPr="003C0B56">
        <w:rPr>
          <w:sz w:val="26"/>
          <w:szCs w:val="26"/>
        </w:rPr>
        <w:t xml:space="preserve">rogram.  </w:t>
      </w:r>
      <w:r w:rsidR="0066314A">
        <w:rPr>
          <w:sz w:val="26"/>
          <w:szCs w:val="26"/>
        </w:rPr>
        <w:t xml:space="preserve">The OCA avers that FES supports the provision of </w:t>
      </w:r>
      <w:r w:rsidRPr="003C0B56">
        <w:rPr>
          <w:sz w:val="26"/>
          <w:szCs w:val="26"/>
        </w:rPr>
        <w:t>key terms and conditions to customers before they enroll</w:t>
      </w:r>
      <w:r w:rsidR="0066314A">
        <w:rPr>
          <w:sz w:val="26"/>
          <w:szCs w:val="26"/>
        </w:rPr>
        <w:t>.</w:t>
      </w:r>
      <w:r w:rsidRPr="003C0B56">
        <w:rPr>
          <w:sz w:val="26"/>
          <w:szCs w:val="26"/>
        </w:rPr>
        <w:t xml:space="preserve">  </w:t>
      </w:r>
      <w:r w:rsidR="0066314A">
        <w:rPr>
          <w:i/>
          <w:sz w:val="26"/>
          <w:szCs w:val="26"/>
        </w:rPr>
        <w:t xml:space="preserve">See </w:t>
      </w:r>
      <w:r w:rsidR="00C240CC">
        <w:rPr>
          <w:sz w:val="26"/>
          <w:szCs w:val="26"/>
        </w:rPr>
        <w:t xml:space="preserve">FES St. 1-R at 13-15.  </w:t>
      </w:r>
      <w:r w:rsidRPr="003C0B56">
        <w:rPr>
          <w:sz w:val="26"/>
          <w:szCs w:val="26"/>
        </w:rPr>
        <w:t xml:space="preserve">Accordingly, the </w:t>
      </w:r>
      <w:r w:rsidR="006645DF">
        <w:rPr>
          <w:sz w:val="26"/>
          <w:szCs w:val="26"/>
        </w:rPr>
        <w:t xml:space="preserve">OCA submits </w:t>
      </w:r>
      <w:r w:rsidR="00EC5C94">
        <w:rPr>
          <w:sz w:val="26"/>
          <w:szCs w:val="26"/>
        </w:rPr>
        <w:t xml:space="preserve">that </w:t>
      </w:r>
      <w:r w:rsidR="00EC5C94" w:rsidRPr="00FE0579">
        <w:rPr>
          <w:sz w:val="26"/>
          <w:szCs w:val="26"/>
        </w:rPr>
        <w:t>RESA’s E</w:t>
      </w:r>
      <w:r w:rsidRPr="00FE0579">
        <w:rPr>
          <w:sz w:val="26"/>
          <w:szCs w:val="26"/>
        </w:rPr>
        <w:t xml:space="preserve">xception on this issue </w:t>
      </w:r>
      <w:r w:rsidR="006645DF">
        <w:rPr>
          <w:sz w:val="26"/>
          <w:szCs w:val="26"/>
        </w:rPr>
        <w:t xml:space="preserve">should </w:t>
      </w:r>
      <w:r w:rsidRPr="00FE0579">
        <w:rPr>
          <w:sz w:val="26"/>
          <w:szCs w:val="26"/>
        </w:rPr>
        <w:t>be denied.</w:t>
      </w:r>
      <w:r w:rsidR="0066314A">
        <w:rPr>
          <w:sz w:val="26"/>
          <w:szCs w:val="26"/>
        </w:rPr>
        <w:t xml:space="preserve">  OCA R.Exc. at 13-14.  </w:t>
      </w:r>
    </w:p>
    <w:p w:rsidR="00A52940" w:rsidRPr="00FE0579" w:rsidRDefault="00A52940" w:rsidP="006645DF">
      <w:pPr>
        <w:spacing w:line="360" w:lineRule="auto"/>
        <w:ind w:firstLine="1440"/>
        <w:rPr>
          <w:sz w:val="26"/>
          <w:szCs w:val="26"/>
        </w:rPr>
      </w:pPr>
    </w:p>
    <w:p w:rsidR="00D37DF7" w:rsidRDefault="00FE0579" w:rsidP="00AF7074">
      <w:pPr>
        <w:pStyle w:val="BodyTextFirstLine5DS"/>
        <w:spacing w:line="360" w:lineRule="auto"/>
        <w:ind w:firstLine="1440"/>
        <w:jc w:val="left"/>
        <w:rPr>
          <w:sz w:val="26"/>
          <w:szCs w:val="26"/>
        </w:rPr>
      </w:pPr>
      <w:r w:rsidRPr="00FE0579">
        <w:rPr>
          <w:rFonts w:eastAsia="Times New Roman"/>
          <w:sz w:val="26"/>
          <w:szCs w:val="26"/>
        </w:rPr>
        <w:t>In its Reply Exceptions, FES argues that the ALJ correctly rejected RESA’s proposa</w:t>
      </w:r>
      <w:r w:rsidR="006645DF">
        <w:rPr>
          <w:rFonts w:eastAsia="Times New Roman"/>
          <w:sz w:val="26"/>
          <w:szCs w:val="26"/>
        </w:rPr>
        <w:t>l to require customers to enroll in</w:t>
      </w:r>
      <w:r w:rsidRPr="00FE0579">
        <w:rPr>
          <w:rFonts w:eastAsia="Times New Roman"/>
          <w:sz w:val="26"/>
          <w:szCs w:val="26"/>
        </w:rPr>
        <w:t xml:space="preserve"> the Opt-In Program before the auction.  </w:t>
      </w:r>
      <w:r w:rsidRPr="00FE0579">
        <w:rPr>
          <w:sz w:val="26"/>
          <w:szCs w:val="26"/>
        </w:rPr>
        <w:t xml:space="preserve">FES </w:t>
      </w:r>
      <w:r w:rsidR="006645DF">
        <w:rPr>
          <w:sz w:val="26"/>
          <w:szCs w:val="26"/>
        </w:rPr>
        <w:t>states that t</w:t>
      </w:r>
      <w:r w:rsidRPr="00FE0579">
        <w:rPr>
          <w:sz w:val="26"/>
          <w:szCs w:val="26"/>
        </w:rPr>
        <w:t xml:space="preserve">his question may be </w:t>
      </w:r>
      <w:r w:rsidR="006645DF">
        <w:rPr>
          <w:sz w:val="26"/>
          <w:szCs w:val="26"/>
        </w:rPr>
        <w:t>moot if the Commission does not adopt an auction program</w:t>
      </w:r>
      <w:r w:rsidRPr="00FE0579">
        <w:rPr>
          <w:sz w:val="26"/>
          <w:szCs w:val="26"/>
        </w:rPr>
        <w:t>.</w:t>
      </w:r>
      <w:r w:rsidR="006645DF">
        <w:rPr>
          <w:sz w:val="26"/>
          <w:szCs w:val="26"/>
        </w:rPr>
        <w:t xml:space="preserve">  </w:t>
      </w:r>
      <w:r w:rsidR="00E85A10">
        <w:rPr>
          <w:sz w:val="26"/>
          <w:szCs w:val="26"/>
        </w:rPr>
        <w:t>FES states that i</w:t>
      </w:r>
      <w:r w:rsidR="006645DF">
        <w:rPr>
          <w:sz w:val="26"/>
          <w:szCs w:val="26"/>
        </w:rPr>
        <w:t xml:space="preserve">f the Commission does adopt an auction program, </w:t>
      </w:r>
      <w:r w:rsidRPr="00FE0579">
        <w:rPr>
          <w:sz w:val="26"/>
          <w:szCs w:val="26"/>
        </w:rPr>
        <w:t xml:space="preserve">the Commission's </w:t>
      </w:r>
      <w:r w:rsidRPr="00F25874">
        <w:rPr>
          <w:i/>
          <w:sz w:val="26"/>
          <w:szCs w:val="26"/>
        </w:rPr>
        <w:t xml:space="preserve">IWP </w:t>
      </w:r>
      <w:r w:rsidR="00F25874" w:rsidRPr="00F25874">
        <w:rPr>
          <w:i/>
          <w:sz w:val="26"/>
          <w:szCs w:val="26"/>
        </w:rPr>
        <w:t xml:space="preserve">Final </w:t>
      </w:r>
      <w:r w:rsidRPr="00F25874">
        <w:rPr>
          <w:i/>
          <w:sz w:val="26"/>
          <w:szCs w:val="26"/>
        </w:rPr>
        <w:t>Order</w:t>
      </w:r>
      <w:r w:rsidR="006645DF">
        <w:rPr>
          <w:sz w:val="26"/>
          <w:szCs w:val="26"/>
        </w:rPr>
        <w:t xml:space="preserve"> </w:t>
      </w:r>
      <w:r w:rsidRPr="00FE0579">
        <w:rPr>
          <w:sz w:val="26"/>
          <w:szCs w:val="26"/>
        </w:rPr>
        <w:t>advise</w:t>
      </w:r>
      <w:r w:rsidR="006645DF">
        <w:rPr>
          <w:sz w:val="26"/>
          <w:szCs w:val="26"/>
        </w:rPr>
        <w:t>s</w:t>
      </w:r>
      <w:r w:rsidRPr="00FE0579">
        <w:rPr>
          <w:sz w:val="26"/>
          <w:szCs w:val="26"/>
        </w:rPr>
        <w:t xml:space="preserve"> that EGS bidding precede customer enrollment.  </w:t>
      </w:r>
      <w:r w:rsidR="00E85A10">
        <w:rPr>
          <w:sz w:val="26"/>
          <w:szCs w:val="26"/>
        </w:rPr>
        <w:t xml:space="preserve">FES asserts that </w:t>
      </w:r>
      <w:r w:rsidRPr="00FE0579">
        <w:rPr>
          <w:sz w:val="26"/>
          <w:szCs w:val="26"/>
        </w:rPr>
        <w:t xml:space="preserve">RESA has not presented good cause to deviate from that approach.  While RESA asserts that insufficient shopping levels for Duquesne customers justify a deviation from the Commission's </w:t>
      </w:r>
      <w:r w:rsidRPr="00F25874">
        <w:rPr>
          <w:i/>
          <w:sz w:val="26"/>
          <w:szCs w:val="26"/>
        </w:rPr>
        <w:t xml:space="preserve">IWP </w:t>
      </w:r>
      <w:r w:rsidR="00F25874" w:rsidRPr="00F25874">
        <w:rPr>
          <w:i/>
          <w:sz w:val="26"/>
          <w:szCs w:val="26"/>
        </w:rPr>
        <w:t xml:space="preserve">Final </w:t>
      </w:r>
      <w:r w:rsidRPr="00F25874">
        <w:rPr>
          <w:i/>
          <w:sz w:val="26"/>
          <w:szCs w:val="26"/>
        </w:rPr>
        <w:t>Order</w:t>
      </w:r>
      <w:r w:rsidRPr="00FE0579">
        <w:rPr>
          <w:sz w:val="26"/>
          <w:szCs w:val="26"/>
        </w:rPr>
        <w:t xml:space="preserve">, </w:t>
      </w:r>
      <w:r w:rsidR="00E85A10">
        <w:rPr>
          <w:sz w:val="26"/>
          <w:szCs w:val="26"/>
        </w:rPr>
        <w:t xml:space="preserve">FES states that </w:t>
      </w:r>
      <w:r w:rsidRPr="00FE0579">
        <w:rPr>
          <w:sz w:val="26"/>
          <w:szCs w:val="26"/>
        </w:rPr>
        <w:t xml:space="preserve">Duquesne's shopping levels are among the highest in the Commonwealth, and the Commission was aware of shopping levels when it adopted the </w:t>
      </w:r>
      <w:r w:rsidRPr="00F25874">
        <w:rPr>
          <w:i/>
          <w:sz w:val="26"/>
          <w:szCs w:val="26"/>
        </w:rPr>
        <w:t xml:space="preserve">IWP </w:t>
      </w:r>
      <w:r w:rsidR="00F25874" w:rsidRPr="00F25874">
        <w:rPr>
          <w:i/>
          <w:sz w:val="26"/>
          <w:szCs w:val="26"/>
        </w:rPr>
        <w:t xml:space="preserve">Final </w:t>
      </w:r>
      <w:r w:rsidRPr="00F25874">
        <w:rPr>
          <w:i/>
          <w:sz w:val="26"/>
          <w:szCs w:val="26"/>
        </w:rPr>
        <w:t>Order</w:t>
      </w:r>
      <w:r w:rsidRPr="00FE0579">
        <w:rPr>
          <w:sz w:val="26"/>
          <w:szCs w:val="26"/>
        </w:rPr>
        <w:t xml:space="preserve">.  </w:t>
      </w:r>
      <w:r w:rsidR="00E85A10">
        <w:rPr>
          <w:rFonts w:eastAsia="Times New Roman"/>
          <w:sz w:val="26"/>
          <w:szCs w:val="26"/>
        </w:rPr>
        <w:t>FES R.</w:t>
      </w:r>
      <w:r w:rsidR="00FA7F97">
        <w:rPr>
          <w:rFonts w:eastAsia="Times New Roman"/>
          <w:sz w:val="26"/>
          <w:szCs w:val="26"/>
        </w:rPr>
        <w:t>-</w:t>
      </w:r>
      <w:r w:rsidR="00E85A10">
        <w:rPr>
          <w:rFonts w:eastAsia="Times New Roman"/>
          <w:sz w:val="26"/>
          <w:szCs w:val="26"/>
        </w:rPr>
        <w:t xml:space="preserve">Exc. at 17-18.  </w:t>
      </w:r>
    </w:p>
    <w:p w:rsidR="00D37DF7" w:rsidRDefault="00D37DF7" w:rsidP="00D37DF7">
      <w:pPr>
        <w:pStyle w:val="BodyTextFirstLine5DS"/>
        <w:spacing w:line="360" w:lineRule="auto"/>
        <w:ind w:firstLine="1440"/>
        <w:jc w:val="left"/>
        <w:rPr>
          <w:sz w:val="26"/>
          <w:szCs w:val="26"/>
        </w:rPr>
      </w:pPr>
    </w:p>
    <w:p w:rsidR="00FE0579" w:rsidRPr="00AF7074" w:rsidRDefault="006645DF" w:rsidP="00AF7074">
      <w:pPr>
        <w:pStyle w:val="BodyTextFirstLine5DS"/>
        <w:spacing w:line="360" w:lineRule="auto"/>
        <w:ind w:firstLine="1440"/>
        <w:jc w:val="left"/>
        <w:rPr>
          <w:sz w:val="26"/>
          <w:szCs w:val="26"/>
        </w:rPr>
      </w:pPr>
      <w:r w:rsidRPr="00FE0579">
        <w:rPr>
          <w:sz w:val="26"/>
          <w:szCs w:val="26"/>
        </w:rPr>
        <w:t xml:space="preserve">FES </w:t>
      </w:r>
      <w:r w:rsidR="00D37DF7">
        <w:rPr>
          <w:sz w:val="26"/>
          <w:szCs w:val="26"/>
        </w:rPr>
        <w:t xml:space="preserve">also </w:t>
      </w:r>
      <w:r w:rsidRPr="00FE0579">
        <w:rPr>
          <w:sz w:val="26"/>
          <w:szCs w:val="26"/>
        </w:rPr>
        <w:t>disagrees</w:t>
      </w:r>
      <w:r>
        <w:rPr>
          <w:sz w:val="26"/>
          <w:szCs w:val="26"/>
        </w:rPr>
        <w:t xml:space="preserve"> with RESA’s assertion that customers would have sufficient information to make a decision</w:t>
      </w:r>
      <w:r w:rsidR="00D37DF7">
        <w:rPr>
          <w:sz w:val="26"/>
          <w:szCs w:val="26"/>
        </w:rPr>
        <w:t xml:space="preserve"> whether or not to enroll if they do </w:t>
      </w:r>
      <w:r w:rsidR="00FA7F97">
        <w:rPr>
          <w:sz w:val="26"/>
          <w:szCs w:val="26"/>
        </w:rPr>
        <w:t xml:space="preserve">not </w:t>
      </w:r>
      <w:r w:rsidR="00D37DF7">
        <w:rPr>
          <w:sz w:val="26"/>
          <w:szCs w:val="26"/>
        </w:rPr>
        <w:t xml:space="preserve">know the price of the product that they are being asked to purchase.  </w:t>
      </w:r>
      <w:r w:rsidR="00AF7074">
        <w:rPr>
          <w:sz w:val="26"/>
          <w:szCs w:val="26"/>
        </w:rPr>
        <w:t>FES asserts that i</w:t>
      </w:r>
      <w:r w:rsidR="00FE0579" w:rsidRPr="00FE0579">
        <w:rPr>
          <w:sz w:val="26"/>
          <w:szCs w:val="26"/>
        </w:rPr>
        <w:t>f either party should be expected to proceed with less than perfect information, it is the EGS, not the residenti</w:t>
      </w:r>
      <w:r w:rsidR="00D37DF7">
        <w:rPr>
          <w:sz w:val="26"/>
          <w:szCs w:val="26"/>
        </w:rPr>
        <w:t xml:space="preserve">al customer.  In the sequence </w:t>
      </w:r>
      <w:r w:rsidR="00FE0579" w:rsidRPr="00FE0579">
        <w:rPr>
          <w:sz w:val="26"/>
          <w:szCs w:val="26"/>
        </w:rPr>
        <w:t xml:space="preserve">proposed by Duquesne, </w:t>
      </w:r>
      <w:r w:rsidR="00AF7074">
        <w:rPr>
          <w:sz w:val="26"/>
          <w:szCs w:val="26"/>
        </w:rPr>
        <w:t xml:space="preserve">FES avers that </w:t>
      </w:r>
      <w:r w:rsidR="00FE0579" w:rsidRPr="00FE0579">
        <w:rPr>
          <w:sz w:val="26"/>
          <w:szCs w:val="26"/>
        </w:rPr>
        <w:t>a customer would know the term, price and supplie</w:t>
      </w:r>
      <w:r w:rsidR="00AF7074">
        <w:rPr>
          <w:sz w:val="26"/>
          <w:szCs w:val="26"/>
        </w:rPr>
        <w:t>r,</w:t>
      </w:r>
      <w:r w:rsidR="00FE0579" w:rsidRPr="00FE0579">
        <w:rPr>
          <w:sz w:val="26"/>
          <w:szCs w:val="26"/>
        </w:rPr>
        <w:t xml:space="preserve"> all information the customer would know if making a traditional choice among supplier offers, but with the advantage that the customer would not have to compare offers to determine which one is best.  Finally, </w:t>
      </w:r>
      <w:r w:rsidR="00AF7074">
        <w:rPr>
          <w:sz w:val="26"/>
          <w:szCs w:val="26"/>
        </w:rPr>
        <w:t xml:space="preserve">according to FES, </w:t>
      </w:r>
      <w:r w:rsidR="00FE0579" w:rsidRPr="00FE0579">
        <w:rPr>
          <w:sz w:val="26"/>
          <w:szCs w:val="26"/>
        </w:rPr>
        <w:t>it is unclear how reversing the sequence would resolve RESA's concerns with EGSs knowing the number of participating customers, si</w:t>
      </w:r>
      <w:r w:rsidR="00D37DF7">
        <w:rPr>
          <w:sz w:val="26"/>
          <w:szCs w:val="26"/>
        </w:rPr>
        <w:t xml:space="preserve">nce a customer who has enrolled </w:t>
      </w:r>
      <w:r w:rsidR="00FE0579" w:rsidRPr="00FE0579">
        <w:rPr>
          <w:sz w:val="26"/>
          <w:szCs w:val="26"/>
        </w:rPr>
        <w:t>could subsequ</w:t>
      </w:r>
      <w:r w:rsidR="00D37DF7">
        <w:rPr>
          <w:sz w:val="26"/>
          <w:szCs w:val="26"/>
        </w:rPr>
        <w:t>ently leave the program</w:t>
      </w:r>
      <w:r w:rsidR="00FE0579" w:rsidRPr="00FE0579">
        <w:rPr>
          <w:sz w:val="26"/>
          <w:szCs w:val="26"/>
        </w:rPr>
        <w:t xml:space="preserve">.  </w:t>
      </w:r>
      <w:r w:rsidR="00AF7074">
        <w:rPr>
          <w:sz w:val="26"/>
          <w:szCs w:val="26"/>
        </w:rPr>
        <w:t>FES opines that w</w:t>
      </w:r>
      <w:r w:rsidR="00FE0579" w:rsidRPr="00FE0579">
        <w:rPr>
          <w:sz w:val="26"/>
          <w:szCs w:val="26"/>
        </w:rPr>
        <w:t xml:space="preserve">hile RESA's </w:t>
      </w:r>
      <w:r w:rsidR="00FE0579" w:rsidRPr="00FE0579">
        <w:rPr>
          <w:sz w:val="26"/>
          <w:szCs w:val="26"/>
        </w:rPr>
        <w:lastRenderedPageBreak/>
        <w:t xml:space="preserve">proposal might provide benefits to suppliers, it would do so at the expense of customers.  </w:t>
      </w:r>
      <w:r w:rsidR="00AF7074">
        <w:rPr>
          <w:i/>
          <w:sz w:val="26"/>
          <w:szCs w:val="26"/>
        </w:rPr>
        <w:t xml:space="preserve">Id. </w:t>
      </w:r>
      <w:r w:rsidR="00AF7074">
        <w:rPr>
          <w:sz w:val="26"/>
          <w:szCs w:val="26"/>
        </w:rPr>
        <w:t>at 18-19.</w:t>
      </w:r>
    </w:p>
    <w:p w:rsidR="00FE0579" w:rsidRPr="00FE0579" w:rsidRDefault="00FE0579" w:rsidP="00AF7074">
      <w:pPr>
        <w:pStyle w:val="BodyText2"/>
        <w:spacing w:after="0" w:line="360" w:lineRule="auto"/>
        <w:rPr>
          <w:sz w:val="26"/>
          <w:szCs w:val="26"/>
        </w:rPr>
      </w:pPr>
    </w:p>
    <w:p w:rsidR="006D47C0" w:rsidRDefault="00C968A8" w:rsidP="00584C88">
      <w:pPr>
        <w:pStyle w:val="Heading5"/>
        <w:numPr>
          <w:ilvl w:val="0"/>
          <w:numId w:val="0"/>
        </w:numPr>
        <w:ind w:left="3600" w:hanging="720"/>
      </w:pPr>
      <w:bookmarkStart w:id="115" w:name="_Toc346705357"/>
      <w:r>
        <w:t>vi.</w:t>
      </w:r>
      <w:r>
        <w:tab/>
        <w:t>Disposition</w:t>
      </w:r>
      <w:bookmarkEnd w:id="115"/>
    </w:p>
    <w:p w:rsidR="00F05A33" w:rsidRPr="00EE5722" w:rsidRDefault="00F05A33" w:rsidP="00AF7074">
      <w:pPr>
        <w:pStyle w:val="BriefL3"/>
        <w:numPr>
          <w:ilvl w:val="0"/>
          <w:numId w:val="0"/>
        </w:numPr>
        <w:spacing w:after="0" w:line="360" w:lineRule="auto"/>
        <w:ind w:firstLine="720"/>
        <w:rPr>
          <w:b/>
          <w:sz w:val="26"/>
          <w:szCs w:val="26"/>
        </w:rPr>
      </w:pPr>
    </w:p>
    <w:p w:rsidR="00F05A33" w:rsidRDefault="006C43E6" w:rsidP="00E61CBD">
      <w:pPr>
        <w:pStyle w:val="BriefL3"/>
        <w:numPr>
          <w:ilvl w:val="0"/>
          <w:numId w:val="0"/>
        </w:numPr>
        <w:spacing w:after="0" w:line="360" w:lineRule="auto"/>
        <w:ind w:firstLine="1440"/>
        <w:rPr>
          <w:sz w:val="26"/>
          <w:szCs w:val="26"/>
        </w:rPr>
      </w:pPr>
      <w:r>
        <w:rPr>
          <w:sz w:val="26"/>
          <w:szCs w:val="26"/>
        </w:rPr>
        <w:t xml:space="preserve">We conclude that the issue pertaining to </w:t>
      </w:r>
      <w:r w:rsidR="00F05A33">
        <w:rPr>
          <w:sz w:val="26"/>
          <w:szCs w:val="26"/>
        </w:rPr>
        <w:t xml:space="preserve">the enrollment process under consideration is now moot.  As previously discussed, we </w:t>
      </w:r>
      <w:r>
        <w:rPr>
          <w:sz w:val="26"/>
          <w:szCs w:val="26"/>
        </w:rPr>
        <w:t>have modified Duquesne’s proposed Opt-In Program</w:t>
      </w:r>
      <w:r w:rsidR="00F05A33">
        <w:rPr>
          <w:sz w:val="26"/>
          <w:szCs w:val="26"/>
        </w:rPr>
        <w:t xml:space="preserve"> by replacing its proposed auction process with an aggregation process.  We have directed Duquesne to implement an O</w:t>
      </w:r>
      <w:r w:rsidR="00AF7074">
        <w:rPr>
          <w:sz w:val="26"/>
          <w:szCs w:val="26"/>
        </w:rPr>
        <w:t>pt-In Program consisting of a twelve</w:t>
      </w:r>
      <w:r w:rsidR="00F05A33">
        <w:rPr>
          <w:sz w:val="26"/>
          <w:szCs w:val="26"/>
        </w:rPr>
        <w:t xml:space="preserve">-month product with, </w:t>
      </w:r>
      <w:r w:rsidR="00F05A33" w:rsidRPr="00F05A33">
        <w:rPr>
          <w:i/>
          <w:sz w:val="26"/>
          <w:szCs w:val="26"/>
        </w:rPr>
        <w:t>inter alia</w:t>
      </w:r>
      <w:r w:rsidR="00F05A33">
        <w:rPr>
          <w:sz w:val="26"/>
          <w:szCs w:val="26"/>
        </w:rPr>
        <w:t xml:space="preserve">, a </w:t>
      </w:r>
      <w:r w:rsidR="00AF7074">
        <w:rPr>
          <w:sz w:val="26"/>
          <w:szCs w:val="26"/>
        </w:rPr>
        <w:t>four</w:t>
      </w:r>
      <w:r w:rsidR="00F05A33">
        <w:rPr>
          <w:sz w:val="26"/>
          <w:szCs w:val="26"/>
        </w:rPr>
        <w:t xml:space="preserve">-month fixed rate reflecting a discount of five percent from the PTC at the time of enrollment, and an EGS-supplied rate for the </w:t>
      </w:r>
      <w:r w:rsidR="00AF7074">
        <w:rPr>
          <w:sz w:val="26"/>
          <w:szCs w:val="26"/>
        </w:rPr>
        <w:t>remaining eight</w:t>
      </w:r>
      <w:r>
        <w:rPr>
          <w:sz w:val="26"/>
          <w:szCs w:val="26"/>
        </w:rPr>
        <w:t>-month perio</w:t>
      </w:r>
      <w:r w:rsidR="00F05A33">
        <w:rPr>
          <w:sz w:val="26"/>
          <w:szCs w:val="26"/>
        </w:rPr>
        <w:t xml:space="preserve">d.  Because the auction proposed by Duquesne has been rejected, the corresponding customer notification and opt-in enrollment procedures will have to be modified.  Therefore, </w:t>
      </w:r>
      <w:r w:rsidR="00190B00">
        <w:rPr>
          <w:sz w:val="26"/>
          <w:szCs w:val="26"/>
        </w:rPr>
        <w:t>we shall direct</w:t>
      </w:r>
      <w:r w:rsidR="00F05A33">
        <w:rPr>
          <w:sz w:val="26"/>
          <w:szCs w:val="26"/>
        </w:rPr>
        <w:t xml:space="preserve"> Duquesne, in consultation w</w:t>
      </w:r>
      <w:r>
        <w:rPr>
          <w:sz w:val="26"/>
          <w:szCs w:val="26"/>
        </w:rPr>
        <w:t xml:space="preserve">ith interested Parties to this proceeding, </w:t>
      </w:r>
      <w:r w:rsidR="00190B00">
        <w:rPr>
          <w:sz w:val="26"/>
          <w:szCs w:val="26"/>
        </w:rPr>
        <w:t>to</w:t>
      </w:r>
      <w:r>
        <w:rPr>
          <w:sz w:val="26"/>
          <w:szCs w:val="26"/>
        </w:rPr>
        <w:t xml:space="preserve"> update its proposal</w:t>
      </w:r>
      <w:r w:rsidR="00F05A33">
        <w:rPr>
          <w:sz w:val="26"/>
          <w:szCs w:val="26"/>
        </w:rPr>
        <w:t xml:space="preserve"> fo</w:t>
      </w:r>
      <w:r>
        <w:rPr>
          <w:sz w:val="26"/>
          <w:szCs w:val="26"/>
        </w:rPr>
        <w:t xml:space="preserve">r customer notification, </w:t>
      </w:r>
      <w:r w:rsidR="00F05A33">
        <w:rPr>
          <w:sz w:val="26"/>
          <w:szCs w:val="26"/>
        </w:rPr>
        <w:t xml:space="preserve">enrollment </w:t>
      </w:r>
      <w:r>
        <w:rPr>
          <w:sz w:val="26"/>
          <w:szCs w:val="26"/>
        </w:rPr>
        <w:t xml:space="preserve">procedures </w:t>
      </w:r>
      <w:r w:rsidR="00F05A33">
        <w:rPr>
          <w:sz w:val="26"/>
          <w:szCs w:val="26"/>
        </w:rPr>
        <w:t>and customer</w:t>
      </w:r>
      <w:r>
        <w:rPr>
          <w:sz w:val="26"/>
          <w:szCs w:val="26"/>
        </w:rPr>
        <w:t xml:space="preserve"> assignment.</w:t>
      </w:r>
    </w:p>
    <w:p w:rsidR="002E3143" w:rsidRDefault="002E3143" w:rsidP="00E61CBD">
      <w:pPr>
        <w:pStyle w:val="BriefL3"/>
        <w:numPr>
          <w:ilvl w:val="0"/>
          <w:numId w:val="0"/>
        </w:numPr>
        <w:spacing w:after="0" w:line="360" w:lineRule="auto"/>
        <w:ind w:firstLine="1440"/>
        <w:rPr>
          <w:sz w:val="26"/>
          <w:szCs w:val="26"/>
        </w:rPr>
      </w:pPr>
    </w:p>
    <w:p w:rsidR="002E3143" w:rsidRPr="002E3143" w:rsidRDefault="002E3143" w:rsidP="00E61CBD">
      <w:pPr>
        <w:pStyle w:val="BriefL3"/>
        <w:numPr>
          <w:ilvl w:val="0"/>
          <w:numId w:val="0"/>
        </w:numPr>
        <w:spacing w:after="0" w:line="360" w:lineRule="auto"/>
        <w:ind w:firstLine="1440"/>
        <w:rPr>
          <w:sz w:val="26"/>
          <w:szCs w:val="26"/>
        </w:rPr>
      </w:pPr>
      <w:r>
        <w:rPr>
          <w:sz w:val="26"/>
          <w:szCs w:val="26"/>
        </w:rPr>
        <w:t xml:space="preserve">With regard to the issue of customer notification, we believe that several issues have been resolved, and do not require extensive discussion among the Parties.  First, the price for the initial four months of a customer’s participation in the Opt-In Program will be fixed, based on a percentage discount from the PTC, and will be consistent among all participating EGSs at </w:t>
      </w:r>
      <w:r w:rsidR="00FA26E9">
        <w:rPr>
          <w:sz w:val="26"/>
          <w:szCs w:val="26"/>
        </w:rPr>
        <w:t xml:space="preserve">the time of enrollment. </w:t>
      </w:r>
      <w:r>
        <w:rPr>
          <w:sz w:val="26"/>
          <w:szCs w:val="26"/>
        </w:rPr>
        <w:t xml:space="preserve"> </w:t>
      </w:r>
      <w:r w:rsidR="00FA26E9">
        <w:rPr>
          <w:sz w:val="26"/>
          <w:szCs w:val="26"/>
        </w:rPr>
        <w:t xml:space="preserve">Because </w:t>
      </w:r>
      <w:r>
        <w:rPr>
          <w:sz w:val="26"/>
          <w:szCs w:val="26"/>
        </w:rPr>
        <w:t xml:space="preserve">the PTC and the four-month rate will be known at the time of enrollment, </w:t>
      </w:r>
      <w:r w:rsidR="00FA26E9">
        <w:rPr>
          <w:sz w:val="26"/>
          <w:szCs w:val="26"/>
        </w:rPr>
        <w:t>it</w:t>
      </w:r>
      <w:r>
        <w:rPr>
          <w:sz w:val="26"/>
          <w:szCs w:val="26"/>
        </w:rPr>
        <w:t xml:space="preserve"> must be disclosed to the customer</w:t>
      </w:r>
      <w:r w:rsidR="0086205F">
        <w:rPr>
          <w:sz w:val="26"/>
          <w:szCs w:val="26"/>
        </w:rPr>
        <w:t xml:space="preserve"> as part of the notification</w:t>
      </w:r>
      <w:r>
        <w:rPr>
          <w:sz w:val="26"/>
          <w:szCs w:val="26"/>
        </w:rPr>
        <w:t xml:space="preserve">.  </w:t>
      </w:r>
      <w:r w:rsidR="0086205F">
        <w:rPr>
          <w:sz w:val="26"/>
          <w:szCs w:val="26"/>
        </w:rPr>
        <w:t>To the extent possible, the identity of participating EGSs should also be disclosed in the noti</w:t>
      </w:r>
      <w:r w:rsidR="00DB35EA">
        <w:rPr>
          <w:sz w:val="26"/>
          <w:szCs w:val="26"/>
        </w:rPr>
        <w:t>fication letter.  We encourage P</w:t>
      </w:r>
      <w:r w:rsidR="0086205F">
        <w:rPr>
          <w:sz w:val="26"/>
          <w:szCs w:val="26"/>
        </w:rPr>
        <w:t xml:space="preserve">arties to look to the proposals of other utilities to effectuate this recommendation.  </w:t>
      </w:r>
      <w:r>
        <w:rPr>
          <w:sz w:val="26"/>
          <w:szCs w:val="26"/>
        </w:rPr>
        <w:t xml:space="preserve">The issue </w:t>
      </w:r>
      <w:r w:rsidR="0086205F">
        <w:rPr>
          <w:sz w:val="26"/>
          <w:szCs w:val="26"/>
        </w:rPr>
        <w:t>of</w:t>
      </w:r>
      <w:r>
        <w:rPr>
          <w:sz w:val="26"/>
          <w:szCs w:val="26"/>
        </w:rPr>
        <w:t xml:space="preserve"> whether we shall require EGSs to establish and prov</w:t>
      </w:r>
      <w:r w:rsidR="00060FEE">
        <w:rPr>
          <w:sz w:val="26"/>
          <w:szCs w:val="26"/>
        </w:rPr>
        <w:t>id</w:t>
      </w:r>
      <w:r>
        <w:rPr>
          <w:sz w:val="26"/>
          <w:szCs w:val="26"/>
        </w:rPr>
        <w:t>e a rate for the latter eight months prior to enrolling customers in the Opt-In Program</w:t>
      </w:r>
      <w:r w:rsidR="0086205F">
        <w:rPr>
          <w:sz w:val="26"/>
          <w:szCs w:val="26"/>
        </w:rPr>
        <w:t xml:space="preserve"> is easily resolved</w:t>
      </w:r>
      <w:r>
        <w:rPr>
          <w:sz w:val="26"/>
          <w:szCs w:val="26"/>
        </w:rPr>
        <w:t xml:space="preserve">.  Consistent with the resolution of this issue in the PECO DSP proceeding, </w:t>
      </w:r>
      <w:r w:rsidR="00646F9B">
        <w:rPr>
          <w:sz w:val="26"/>
          <w:szCs w:val="26"/>
        </w:rPr>
        <w:t xml:space="preserve">and so that the Commission can </w:t>
      </w:r>
      <w:r w:rsidR="00646F9B">
        <w:rPr>
          <w:sz w:val="26"/>
          <w:szCs w:val="26"/>
        </w:rPr>
        <w:lastRenderedPageBreak/>
        <w:t xml:space="preserve">monitor the offerings, </w:t>
      </w:r>
      <w:r>
        <w:rPr>
          <w:sz w:val="26"/>
          <w:szCs w:val="26"/>
        </w:rPr>
        <w:t xml:space="preserve">we are requiring that participating EGSs file the terms and conditions applicable to the eight-month product with the Commission no later than forty-five days before offers are extended to potential customers.  </w:t>
      </w:r>
      <w:r>
        <w:rPr>
          <w:i/>
          <w:sz w:val="26"/>
          <w:szCs w:val="26"/>
        </w:rPr>
        <w:t xml:space="preserve">PECO DSP Order </w:t>
      </w:r>
      <w:r>
        <w:rPr>
          <w:sz w:val="26"/>
          <w:szCs w:val="26"/>
        </w:rPr>
        <w:t xml:space="preserve">at 90-91.  </w:t>
      </w:r>
      <w:r w:rsidR="0086205F">
        <w:rPr>
          <w:sz w:val="26"/>
          <w:szCs w:val="26"/>
        </w:rPr>
        <w:t xml:space="preserve">  Also, we remind EGSs that they need to follow existing Commission regulations regarding notification to customers of future price changes.</w:t>
      </w:r>
    </w:p>
    <w:p w:rsidR="00130D33" w:rsidRPr="00EE5722" w:rsidRDefault="00130D33" w:rsidP="00E61CBD">
      <w:pPr>
        <w:spacing w:line="360" w:lineRule="auto"/>
        <w:rPr>
          <w:b/>
          <w:sz w:val="26"/>
          <w:szCs w:val="26"/>
        </w:rPr>
      </w:pPr>
    </w:p>
    <w:p w:rsidR="006D47C0" w:rsidRDefault="006C43E6" w:rsidP="00584C88">
      <w:pPr>
        <w:pStyle w:val="Heading4"/>
        <w:numPr>
          <w:ilvl w:val="0"/>
          <w:numId w:val="0"/>
        </w:numPr>
        <w:ind w:left="2880" w:hanging="720"/>
      </w:pPr>
      <w:bookmarkStart w:id="116" w:name="_Toc346705358"/>
      <w:r>
        <w:t>h</w:t>
      </w:r>
      <w:r w:rsidR="006D47C0" w:rsidRPr="00EE5722">
        <w:t>.</w:t>
      </w:r>
      <w:r w:rsidR="006D47C0" w:rsidRPr="00EE5722">
        <w:tab/>
        <w:t>Mailings and Communications</w:t>
      </w:r>
      <w:bookmarkEnd w:id="116"/>
    </w:p>
    <w:p w:rsidR="00B2607D" w:rsidRPr="00EE5722" w:rsidRDefault="00B2607D" w:rsidP="00B2607D">
      <w:pPr>
        <w:pStyle w:val="BriefL3"/>
        <w:keepNext/>
        <w:numPr>
          <w:ilvl w:val="0"/>
          <w:numId w:val="0"/>
        </w:numPr>
        <w:spacing w:after="0" w:line="360" w:lineRule="auto"/>
        <w:ind w:left="1440" w:firstLine="720"/>
        <w:rPr>
          <w:b/>
          <w:sz w:val="26"/>
          <w:szCs w:val="26"/>
        </w:rPr>
      </w:pPr>
    </w:p>
    <w:p w:rsidR="006D47C0" w:rsidRPr="00EE5722" w:rsidRDefault="004C5B7E" w:rsidP="00584C88">
      <w:pPr>
        <w:pStyle w:val="Heading5"/>
        <w:numPr>
          <w:ilvl w:val="0"/>
          <w:numId w:val="0"/>
        </w:numPr>
        <w:ind w:left="3600" w:hanging="720"/>
      </w:pPr>
      <w:bookmarkStart w:id="117" w:name="_Toc346705359"/>
      <w:r>
        <w:t>i.</w:t>
      </w:r>
      <w:r>
        <w:tab/>
        <w:t>Duquesne</w:t>
      </w:r>
      <w:r w:rsidR="006D47C0" w:rsidRPr="00EE5722">
        <w:t>’s Proposal</w:t>
      </w:r>
      <w:bookmarkEnd w:id="117"/>
    </w:p>
    <w:p w:rsidR="006D47C0" w:rsidRPr="00EE5722" w:rsidRDefault="006D47C0" w:rsidP="006D47C0">
      <w:pPr>
        <w:pStyle w:val="BodyText"/>
        <w:spacing w:after="0" w:line="360" w:lineRule="auto"/>
        <w:ind w:left="0" w:firstLine="0"/>
        <w:rPr>
          <w:sz w:val="26"/>
          <w:szCs w:val="26"/>
        </w:rPr>
      </w:pPr>
    </w:p>
    <w:p w:rsidR="006D47C0" w:rsidRPr="006C43E6" w:rsidRDefault="006D47C0" w:rsidP="00E61CBD">
      <w:pPr>
        <w:pStyle w:val="BodyText2"/>
        <w:spacing w:after="0" w:line="360" w:lineRule="auto"/>
        <w:rPr>
          <w:sz w:val="26"/>
          <w:szCs w:val="26"/>
        </w:rPr>
      </w:pPr>
      <w:r w:rsidRPr="00EE5722">
        <w:rPr>
          <w:sz w:val="26"/>
          <w:szCs w:val="26"/>
        </w:rPr>
        <w:tab/>
      </w:r>
      <w:r w:rsidRPr="00EE5722">
        <w:rPr>
          <w:sz w:val="26"/>
          <w:szCs w:val="26"/>
        </w:rPr>
        <w:tab/>
      </w:r>
      <w:r w:rsidR="00677354">
        <w:rPr>
          <w:sz w:val="26"/>
          <w:szCs w:val="26"/>
        </w:rPr>
        <w:t xml:space="preserve">Duquesne </w:t>
      </w:r>
      <w:r w:rsidR="0098056E">
        <w:rPr>
          <w:sz w:val="26"/>
          <w:szCs w:val="26"/>
        </w:rPr>
        <w:t>proposed</w:t>
      </w:r>
      <w:r w:rsidRPr="00EE5722">
        <w:rPr>
          <w:sz w:val="26"/>
          <w:szCs w:val="26"/>
        </w:rPr>
        <w:t xml:space="preserve"> to send one offer letter to customers following the selection of winning EGSs and the establishment of pr</w:t>
      </w:r>
      <w:r w:rsidR="00677354">
        <w:rPr>
          <w:sz w:val="26"/>
          <w:szCs w:val="26"/>
        </w:rPr>
        <w:t>i</w:t>
      </w:r>
      <w:r w:rsidR="0098056E">
        <w:rPr>
          <w:sz w:val="26"/>
          <w:szCs w:val="26"/>
        </w:rPr>
        <w:t>ce in the RFP.  Duquesne St.</w:t>
      </w:r>
      <w:r w:rsidR="00B2607D">
        <w:rPr>
          <w:sz w:val="26"/>
          <w:szCs w:val="26"/>
        </w:rPr>
        <w:t xml:space="preserve"> 3 at</w:t>
      </w:r>
      <w:r w:rsidR="00B2607D">
        <w:rPr>
          <w:sz w:val="26"/>
          <w:szCs w:val="26"/>
          <w:lang w:val="en-US"/>
        </w:rPr>
        <w:t> </w:t>
      </w:r>
      <w:r w:rsidRPr="00EE5722">
        <w:rPr>
          <w:sz w:val="26"/>
          <w:szCs w:val="26"/>
        </w:rPr>
        <w:t xml:space="preserve">27.  The </w:t>
      </w:r>
      <w:r w:rsidR="0098056E">
        <w:rPr>
          <w:sz w:val="26"/>
          <w:szCs w:val="26"/>
        </w:rPr>
        <w:t>Company noted</w:t>
      </w:r>
      <w:r w:rsidR="00B615AE">
        <w:rPr>
          <w:sz w:val="26"/>
          <w:szCs w:val="26"/>
        </w:rPr>
        <w:t xml:space="preserve"> that </w:t>
      </w:r>
      <w:r w:rsidRPr="00EE5722">
        <w:rPr>
          <w:sz w:val="26"/>
          <w:szCs w:val="26"/>
        </w:rPr>
        <w:t xml:space="preserve">the </w:t>
      </w:r>
      <w:r w:rsidR="00B615AE">
        <w:rPr>
          <w:sz w:val="26"/>
          <w:szCs w:val="26"/>
        </w:rPr>
        <w:t xml:space="preserve">offer letter represents  the </w:t>
      </w:r>
      <w:r w:rsidRPr="00EE5722">
        <w:rPr>
          <w:sz w:val="26"/>
          <w:szCs w:val="26"/>
        </w:rPr>
        <w:t>majority of the expense f</w:t>
      </w:r>
      <w:r w:rsidR="00677354">
        <w:rPr>
          <w:sz w:val="26"/>
          <w:szCs w:val="26"/>
        </w:rPr>
        <w:t xml:space="preserve">or the program.  Duquesne </w:t>
      </w:r>
      <w:r w:rsidR="0098056E">
        <w:rPr>
          <w:sz w:val="26"/>
          <w:szCs w:val="26"/>
        </w:rPr>
        <w:t xml:space="preserve">St. </w:t>
      </w:r>
      <w:r w:rsidR="00677354">
        <w:rPr>
          <w:sz w:val="26"/>
          <w:szCs w:val="26"/>
        </w:rPr>
        <w:t xml:space="preserve">4-R at </w:t>
      </w:r>
      <w:r w:rsidRPr="00EE5722">
        <w:rPr>
          <w:sz w:val="26"/>
          <w:szCs w:val="26"/>
        </w:rPr>
        <w:t>15.</w:t>
      </w:r>
      <w:r w:rsidR="00B615AE">
        <w:rPr>
          <w:sz w:val="26"/>
          <w:szCs w:val="26"/>
        </w:rPr>
        <w:t xml:space="preserve">  In response to</w:t>
      </w:r>
      <w:r w:rsidR="006C43E6">
        <w:rPr>
          <w:sz w:val="26"/>
          <w:szCs w:val="26"/>
        </w:rPr>
        <w:t xml:space="preserve"> RESA</w:t>
      </w:r>
      <w:r w:rsidR="00E61CBD">
        <w:rPr>
          <w:sz w:val="26"/>
          <w:szCs w:val="26"/>
        </w:rPr>
        <w:t>’s</w:t>
      </w:r>
      <w:r w:rsidR="006C43E6">
        <w:rPr>
          <w:sz w:val="26"/>
          <w:szCs w:val="26"/>
        </w:rPr>
        <w:t xml:space="preserve"> proposal for an additional</w:t>
      </w:r>
      <w:r w:rsidRPr="00EE5722">
        <w:rPr>
          <w:sz w:val="26"/>
          <w:szCs w:val="26"/>
        </w:rPr>
        <w:t xml:space="preserve"> </w:t>
      </w:r>
      <w:r w:rsidR="00B615AE">
        <w:rPr>
          <w:sz w:val="26"/>
          <w:szCs w:val="26"/>
        </w:rPr>
        <w:t xml:space="preserve">offer </w:t>
      </w:r>
      <w:r w:rsidRPr="00EE5722">
        <w:rPr>
          <w:sz w:val="26"/>
          <w:szCs w:val="26"/>
        </w:rPr>
        <w:t>letter from</w:t>
      </w:r>
      <w:r w:rsidR="006C43E6">
        <w:rPr>
          <w:sz w:val="26"/>
          <w:szCs w:val="26"/>
        </w:rPr>
        <w:t xml:space="preserve"> the Commission, </w:t>
      </w:r>
      <w:r w:rsidR="00677354">
        <w:rPr>
          <w:sz w:val="26"/>
          <w:szCs w:val="26"/>
        </w:rPr>
        <w:t xml:space="preserve">Duquesne </w:t>
      </w:r>
      <w:r w:rsidR="006C43E6">
        <w:rPr>
          <w:sz w:val="26"/>
          <w:szCs w:val="26"/>
        </w:rPr>
        <w:t xml:space="preserve">advanced several </w:t>
      </w:r>
      <w:r w:rsidRPr="00EE5722">
        <w:rPr>
          <w:sz w:val="26"/>
          <w:szCs w:val="26"/>
        </w:rPr>
        <w:t>concerns</w:t>
      </w:r>
      <w:r w:rsidR="006C43E6">
        <w:rPr>
          <w:sz w:val="26"/>
          <w:szCs w:val="26"/>
        </w:rPr>
        <w:t xml:space="preserve">.  </w:t>
      </w:r>
      <w:r w:rsidRPr="00EE5722">
        <w:rPr>
          <w:sz w:val="26"/>
          <w:szCs w:val="26"/>
        </w:rPr>
        <w:t xml:space="preserve">First, if the RFP fails, or </w:t>
      </w:r>
      <w:r w:rsidR="006C43E6">
        <w:rPr>
          <w:sz w:val="26"/>
          <w:szCs w:val="26"/>
        </w:rPr>
        <w:t xml:space="preserve">if </w:t>
      </w:r>
      <w:r w:rsidRPr="00EE5722">
        <w:rPr>
          <w:sz w:val="26"/>
          <w:szCs w:val="26"/>
        </w:rPr>
        <w:t>no suppliers participate even if no RFP is required, customers will be disappointed and frustrated.  Second, a second letter e</w:t>
      </w:r>
      <w:r w:rsidR="006C43E6">
        <w:rPr>
          <w:sz w:val="26"/>
          <w:szCs w:val="26"/>
        </w:rPr>
        <w:t>ffectively would double the cost of the</w:t>
      </w:r>
      <w:r w:rsidRPr="00EE5722">
        <w:rPr>
          <w:sz w:val="26"/>
          <w:szCs w:val="26"/>
        </w:rPr>
        <w:t xml:space="preserve"> program, for which EGSs do not want to pay at any level.</w:t>
      </w:r>
      <w:r w:rsidR="006C43E6">
        <w:rPr>
          <w:sz w:val="26"/>
          <w:szCs w:val="26"/>
        </w:rPr>
        <w:t xml:space="preserve">  </w:t>
      </w:r>
      <w:r w:rsidR="00E61CBD">
        <w:rPr>
          <w:sz w:val="26"/>
          <w:szCs w:val="26"/>
        </w:rPr>
        <w:t>Duquesne stated that t</w:t>
      </w:r>
      <w:r w:rsidRPr="00EE5722">
        <w:rPr>
          <w:sz w:val="26"/>
          <w:szCs w:val="26"/>
        </w:rPr>
        <w:t>here is no de</w:t>
      </w:r>
      <w:r w:rsidR="00B615AE">
        <w:rPr>
          <w:sz w:val="26"/>
          <w:szCs w:val="26"/>
        </w:rPr>
        <w:t xml:space="preserve">monstrated need for </w:t>
      </w:r>
      <w:r w:rsidRPr="00EE5722">
        <w:rPr>
          <w:sz w:val="26"/>
          <w:szCs w:val="26"/>
        </w:rPr>
        <w:t xml:space="preserve">multiple communications to customers.  In the event the Commission decides to send another </w:t>
      </w:r>
      <w:r w:rsidR="00B615AE">
        <w:rPr>
          <w:sz w:val="26"/>
          <w:szCs w:val="26"/>
        </w:rPr>
        <w:t xml:space="preserve">offer </w:t>
      </w:r>
      <w:r w:rsidRPr="00EE5722">
        <w:rPr>
          <w:sz w:val="26"/>
          <w:szCs w:val="26"/>
        </w:rPr>
        <w:t>lett</w:t>
      </w:r>
      <w:r w:rsidR="00677354">
        <w:rPr>
          <w:sz w:val="26"/>
          <w:szCs w:val="26"/>
        </w:rPr>
        <w:t xml:space="preserve">er to customers, Duquesne </w:t>
      </w:r>
      <w:r w:rsidR="005774A2">
        <w:rPr>
          <w:sz w:val="26"/>
          <w:szCs w:val="26"/>
        </w:rPr>
        <w:t>recommended that</w:t>
      </w:r>
      <w:r w:rsidRPr="00EE5722">
        <w:rPr>
          <w:sz w:val="26"/>
          <w:szCs w:val="26"/>
        </w:rPr>
        <w:t xml:space="preserve"> the Commission do so only after the EGSs</w:t>
      </w:r>
      <w:r w:rsidR="006C43E6">
        <w:rPr>
          <w:sz w:val="26"/>
          <w:szCs w:val="26"/>
        </w:rPr>
        <w:t xml:space="preserve"> participating in the program are</w:t>
      </w:r>
      <w:r w:rsidRPr="00EE5722">
        <w:rPr>
          <w:sz w:val="26"/>
          <w:szCs w:val="26"/>
        </w:rPr>
        <w:t xml:space="preserve"> known and those EGSs agree to pay for the additional marketing costs.</w:t>
      </w:r>
    </w:p>
    <w:p w:rsidR="006D47C0" w:rsidRPr="00EE5722" w:rsidRDefault="006D47C0" w:rsidP="00E61CBD">
      <w:pPr>
        <w:pStyle w:val="BodyText2"/>
        <w:spacing w:after="0" w:line="360" w:lineRule="auto"/>
        <w:rPr>
          <w:sz w:val="26"/>
          <w:szCs w:val="26"/>
        </w:rPr>
      </w:pPr>
    </w:p>
    <w:p w:rsidR="006D47C0" w:rsidRPr="00EE5722" w:rsidRDefault="005774A2" w:rsidP="005915E1">
      <w:pPr>
        <w:pStyle w:val="Heading5"/>
        <w:numPr>
          <w:ilvl w:val="0"/>
          <w:numId w:val="0"/>
        </w:numPr>
        <w:ind w:left="3600" w:hanging="720"/>
      </w:pPr>
      <w:bookmarkStart w:id="118" w:name="_Toc346705360"/>
      <w:r>
        <w:t>ii.</w:t>
      </w:r>
      <w:r>
        <w:tab/>
      </w:r>
      <w:r w:rsidR="006D47C0" w:rsidRPr="00EE5722">
        <w:t>Position</w:t>
      </w:r>
      <w:r>
        <w:t>s of the Parties</w:t>
      </w:r>
      <w:bookmarkEnd w:id="118"/>
    </w:p>
    <w:p w:rsidR="006D47C0" w:rsidRPr="00EE5722" w:rsidRDefault="006D47C0" w:rsidP="005915E1">
      <w:pPr>
        <w:pStyle w:val="BodyText"/>
        <w:keepNext/>
        <w:spacing w:after="0" w:line="360" w:lineRule="auto"/>
        <w:ind w:left="0" w:firstLine="0"/>
        <w:rPr>
          <w:sz w:val="26"/>
          <w:szCs w:val="26"/>
        </w:rPr>
      </w:pPr>
    </w:p>
    <w:p w:rsidR="006D47C0" w:rsidRDefault="005774A2" w:rsidP="00E61CBD">
      <w:pPr>
        <w:spacing w:line="360" w:lineRule="auto"/>
        <w:ind w:firstLine="1440"/>
        <w:rPr>
          <w:sz w:val="26"/>
          <w:szCs w:val="26"/>
        </w:rPr>
      </w:pPr>
      <w:r>
        <w:rPr>
          <w:sz w:val="26"/>
          <w:szCs w:val="26"/>
        </w:rPr>
        <w:t>The OCA contended</w:t>
      </w:r>
      <w:r w:rsidR="006D47C0" w:rsidRPr="00EE5722">
        <w:rPr>
          <w:sz w:val="26"/>
          <w:szCs w:val="26"/>
        </w:rPr>
        <w:t xml:space="preserve"> that Duquesne</w:t>
      </w:r>
      <w:r w:rsidR="00B615AE">
        <w:rPr>
          <w:sz w:val="26"/>
          <w:szCs w:val="26"/>
        </w:rPr>
        <w:t xml:space="preserve">’s proposed notice provisions </w:t>
      </w:r>
      <w:r w:rsidR="006D47C0" w:rsidRPr="00EE5722">
        <w:rPr>
          <w:sz w:val="26"/>
          <w:szCs w:val="26"/>
        </w:rPr>
        <w:t>that wo</w:t>
      </w:r>
      <w:r w:rsidR="00B615AE">
        <w:rPr>
          <w:sz w:val="26"/>
          <w:szCs w:val="26"/>
        </w:rPr>
        <w:t xml:space="preserve">uld occur at the end of the </w:t>
      </w:r>
      <w:r w:rsidR="006D47C0" w:rsidRPr="00EE5722">
        <w:rPr>
          <w:sz w:val="26"/>
          <w:szCs w:val="26"/>
        </w:rPr>
        <w:t xml:space="preserve">Opt-In </w:t>
      </w:r>
      <w:r w:rsidR="00D028CD" w:rsidRPr="00EE5722">
        <w:rPr>
          <w:sz w:val="26"/>
          <w:szCs w:val="26"/>
        </w:rPr>
        <w:t>P</w:t>
      </w:r>
      <w:r w:rsidR="00B615AE">
        <w:rPr>
          <w:sz w:val="26"/>
          <w:szCs w:val="26"/>
        </w:rPr>
        <w:t>rogram are insufficient.  Under Duquesne</w:t>
      </w:r>
      <w:r w:rsidR="006D47C0" w:rsidRPr="00EE5722">
        <w:rPr>
          <w:sz w:val="26"/>
          <w:szCs w:val="26"/>
        </w:rPr>
        <w:t xml:space="preserve">’s proposal, customers would receive only </w:t>
      </w:r>
      <w:r w:rsidR="00B615AE">
        <w:rPr>
          <w:sz w:val="26"/>
          <w:szCs w:val="26"/>
        </w:rPr>
        <w:t xml:space="preserve">the </w:t>
      </w:r>
      <w:r w:rsidR="006D47C0" w:rsidRPr="00EE5722">
        <w:rPr>
          <w:sz w:val="26"/>
          <w:szCs w:val="26"/>
        </w:rPr>
        <w:t xml:space="preserve">two </w:t>
      </w:r>
      <w:r w:rsidR="00B615AE">
        <w:rPr>
          <w:sz w:val="26"/>
          <w:szCs w:val="26"/>
        </w:rPr>
        <w:t xml:space="preserve">required </w:t>
      </w:r>
      <w:r w:rsidR="006D47C0" w:rsidRPr="00EE5722">
        <w:rPr>
          <w:sz w:val="26"/>
          <w:szCs w:val="26"/>
        </w:rPr>
        <w:t>notices from the EG</w:t>
      </w:r>
      <w:r w:rsidR="00B615AE">
        <w:rPr>
          <w:sz w:val="26"/>
          <w:szCs w:val="26"/>
        </w:rPr>
        <w:t xml:space="preserve">S.  </w:t>
      </w:r>
      <w:r>
        <w:rPr>
          <w:sz w:val="26"/>
          <w:szCs w:val="26"/>
        </w:rPr>
        <w:t>The OCA recommended</w:t>
      </w:r>
      <w:r w:rsidR="006D47C0" w:rsidRPr="00EE5722">
        <w:rPr>
          <w:sz w:val="26"/>
          <w:szCs w:val="26"/>
        </w:rPr>
        <w:t xml:space="preserve"> that </w:t>
      </w:r>
      <w:r w:rsidR="006D47C0" w:rsidRPr="00B615AE">
        <w:rPr>
          <w:sz w:val="26"/>
          <w:szCs w:val="26"/>
        </w:rPr>
        <w:t>three</w:t>
      </w:r>
      <w:r>
        <w:rPr>
          <w:sz w:val="26"/>
          <w:szCs w:val="26"/>
        </w:rPr>
        <w:t xml:space="preserve"> notices </w:t>
      </w:r>
      <w:r w:rsidR="006D47C0" w:rsidRPr="00EE5722">
        <w:rPr>
          <w:sz w:val="26"/>
          <w:szCs w:val="26"/>
        </w:rPr>
        <w:t>be provided to customers prior to the end o</w:t>
      </w:r>
      <w:r w:rsidR="00E61CBD">
        <w:rPr>
          <w:sz w:val="26"/>
          <w:szCs w:val="26"/>
        </w:rPr>
        <w:t xml:space="preserve">f the </w:t>
      </w:r>
      <w:r w:rsidR="00E61CBD">
        <w:rPr>
          <w:sz w:val="26"/>
          <w:szCs w:val="26"/>
        </w:rPr>
        <w:lastRenderedPageBreak/>
        <w:t>program,</w:t>
      </w:r>
      <w:r w:rsidR="00B615AE">
        <w:rPr>
          <w:sz w:val="26"/>
          <w:szCs w:val="26"/>
        </w:rPr>
        <w:t xml:space="preserve"> one from Duquesne</w:t>
      </w:r>
      <w:r w:rsidR="006D47C0" w:rsidRPr="00EE5722">
        <w:rPr>
          <w:sz w:val="26"/>
          <w:szCs w:val="26"/>
        </w:rPr>
        <w:t xml:space="preserve"> stating that the program is coming to an end</w:t>
      </w:r>
      <w:r w:rsidR="00B615AE">
        <w:rPr>
          <w:sz w:val="26"/>
          <w:szCs w:val="26"/>
        </w:rPr>
        <w:t>,</w:t>
      </w:r>
      <w:r w:rsidR="006D47C0" w:rsidRPr="00EE5722">
        <w:rPr>
          <w:sz w:val="26"/>
          <w:szCs w:val="26"/>
        </w:rPr>
        <w:t xml:space="preserve"> and two from the EGSs as required by the Commission’s regulations.  OCA St. 2 at 12.  </w:t>
      </w:r>
      <w:r>
        <w:rPr>
          <w:sz w:val="26"/>
          <w:szCs w:val="26"/>
        </w:rPr>
        <w:t>The OCA argued that</w:t>
      </w:r>
      <w:r w:rsidR="006D47C0" w:rsidRPr="00EE5722">
        <w:rPr>
          <w:sz w:val="26"/>
          <w:szCs w:val="26"/>
        </w:rPr>
        <w:t xml:space="preserve"> Duquesne, as the sponsor of this program, should be requir</w:t>
      </w:r>
      <w:r w:rsidR="00B615AE">
        <w:rPr>
          <w:sz w:val="26"/>
          <w:szCs w:val="26"/>
        </w:rPr>
        <w:t xml:space="preserve">ed to advise customers that this special </w:t>
      </w:r>
      <w:r w:rsidR="006D47C0" w:rsidRPr="00EE5722">
        <w:rPr>
          <w:sz w:val="26"/>
          <w:szCs w:val="26"/>
        </w:rPr>
        <w:t xml:space="preserve">program is coming to an end.  </w:t>
      </w:r>
      <w:r>
        <w:rPr>
          <w:sz w:val="26"/>
          <w:szCs w:val="26"/>
        </w:rPr>
        <w:t xml:space="preserve">The </w:t>
      </w:r>
      <w:r w:rsidR="006D47C0" w:rsidRPr="00EE5722">
        <w:rPr>
          <w:sz w:val="26"/>
          <w:szCs w:val="26"/>
        </w:rPr>
        <w:t>OC</w:t>
      </w:r>
      <w:r>
        <w:rPr>
          <w:sz w:val="26"/>
          <w:szCs w:val="26"/>
        </w:rPr>
        <w:t>A submitted</w:t>
      </w:r>
      <w:r w:rsidR="00B615AE">
        <w:rPr>
          <w:sz w:val="26"/>
          <w:szCs w:val="26"/>
        </w:rPr>
        <w:t xml:space="preserve"> that a</w:t>
      </w:r>
      <w:r w:rsidR="006D47C0" w:rsidRPr="00EE5722">
        <w:rPr>
          <w:sz w:val="26"/>
          <w:szCs w:val="26"/>
        </w:rPr>
        <w:t xml:space="preserve"> notice from </w:t>
      </w:r>
      <w:r w:rsidR="00B615AE">
        <w:rPr>
          <w:sz w:val="26"/>
          <w:szCs w:val="26"/>
        </w:rPr>
        <w:t>Duq</w:t>
      </w:r>
      <w:r w:rsidR="00E61CBD">
        <w:rPr>
          <w:sz w:val="26"/>
          <w:szCs w:val="26"/>
        </w:rPr>
        <w:t xml:space="preserve">uesne is </w:t>
      </w:r>
      <w:r w:rsidR="00B615AE">
        <w:rPr>
          <w:sz w:val="26"/>
          <w:szCs w:val="26"/>
        </w:rPr>
        <w:t>important because m</w:t>
      </w:r>
      <w:r w:rsidR="006D47C0" w:rsidRPr="00EE5722">
        <w:rPr>
          <w:sz w:val="26"/>
          <w:szCs w:val="26"/>
        </w:rPr>
        <w:t>any of the consumers who will participate in the program will not have previously participated in the retail markets, and the notice will ensure that these consumers are ful</w:t>
      </w:r>
      <w:r w:rsidR="00B615AE">
        <w:rPr>
          <w:sz w:val="26"/>
          <w:szCs w:val="26"/>
        </w:rPr>
        <w:t xml:space="preserve">ly informed of their options. </w:t>
      </w:r>
    </w:p>
    <w:p w:rsidR="005774A2" w:rsidRPr="00EE5722" w:rsidRDefault="005774A2" w:rsidP="006D47C0">
      <w:pPr>
        <w:spacing w:line="360" w:lineRule="auto"/>
        <w:rPr>
          <w:sz w:val="26"/>
          <w:szCs w:val="26"/>
        </w:rPr>
      </w:pPr>
    </w:p>
    <w:p w:rsidR="005774A2" w:rsidRDefault="005774A2" w:rsidP="005774A2">
      <w:pPr>
        <w:pStyle w:val="BodyText"/>
        <w:spacing w:after="0" w:line="360" w:lineRule="auto"/>
        <w:ind w:left="0"/>
        <w:rPr>
          <w:sz w:val="26"/>
          <w:szCs w:val="26"/>
        </w:rPr>
      </w:pPr>
      <w:r>
        <w:rPr>
          <w:sz w:val="26"/>
          <w:szCs w:val="26"/>
        </w:rPr>
        <w:t>RESA support</w:t>
      </w:r>
      <w:r w:rsidR="00EE1CA9">
        <w:rPr>
          <w:sz w:val="26"/>
          <w:szCs w:val="26"/>
        </w:rPr>
        <w:t>ed</w:t>
      </w:r>
      <w:r>
        <w:rPr>
          <w:sz w:val="26"/>
          <w:szCs w:val="26"/>
        </w:rPr>
        <w:t xml:space="preserve"> a result similar to the resolution of this issue in </w:t>
      </w:r>
      <w:r w:rsidRPr="00EE5722">
        <w:rPr>
          <w:sz w:val="26"/>
          <w:szCs w:val="26"/>
        </w:rPr>
        <w:t xml:space="preserve">the </w:t>
      </w:r>
      <w:r w:rsidR="00B615AE">
        <w:rPr>
          <w:i/>
          <w:sz w:val="26"/>
          <w:szCs w:val="26"/>
        </w:rPr>
        <w:t>FirstEnergy DSP</w:t>
      </w:r>
      <w:r w:rsidRPr="00EE5722">
        <w:rPr>
          <w:i/>
          <w:sz w:val="26"/>
          <w:szCs w:val="26"/>
        </w:rPr>
        <w:t xml:space="preserve"> Order</w:t>
      </w:r>
      <w:r w:rsidRPr="00EE5722">
        <w:rPr>
          <w:sz w:val="26"/>
          <w:szCs w:val="26"/>
        </w:rPr>
        <w:t xml:space="preserve">, </w:t>
      </w:r>
      <w:r>
        <w:rPr>
          <w:sz w:val="26"/>
          <w:szCs w:val="26"/>
        </w:rPr>
        <w:t xml:space="preserve">where </w:t>
      </w:r>
      <w:r w:rsidRPr="00EE5722">
        <w:rPr>
          <w:sz w:val="26"/>
          <w:szCs w:val="26"/>
        </w:rPr>
        <w:t>the Commission directed the Companies and EGSs to update their proposals for customer notification, opt-in enrollment and customer assignment to</w:t>
      </w:r>
      <w:r w:rsidR="000A67BB">
        <w:rPr>
          <w:sz w:val="26"/>
          <w:szCs w:val="26"/>
        </w:rPr>
        <w:t xml:space="preserve"> coordinate with the revised Opt-In</w:t>
      </w:r>
      <w:r w:rsidRPr="00EE5722">
        <w:rPr>
          <w:sz w:val="26"/>
          <w:szCs w:val="26"/>
        </w:rPr>
        <w:t xml:space="preserve"> aggregation program.</w:t>
      </w:r>
      <w:r w:rsidRPr="00EE5722">
        <w:rPr>
          <w:rStyle w:val="FootnoteReference"/>
          <w:sz w:val="26"/>
          <w:szCs w:val="26"/>
        </w:rPr>
        <w:footnoteReference w:id="82"/>
      </w:r>
      <w:r w:rsidRPr="00EE5722">
        <w:rPr>
          <w:sz w:val="26"/>
          <w:szCs w:val="26"/>
        </w:rPr>
        <w:t xml:space="preserve">  </w:t>
      </w:r>
    </w:p>
    <w:p w:rsidR="005774A2" w:rsidRPr="00677354" w:rsidRDefault="005774A2" w:rsidP="005774A2">
      <w:pPr>
        <w:pStyle w:val="BodyText"/>
        <w:spacing w:after="0" w:line="360" w:lineRule="auto"/>
        <w:ind w:left="0"/>
        <w:rPr>
          <w:sz w:val="26"/>
          <w:szCs w:val="26"/>
        </w:rPr>
      </w:pPr>
    </w:p>
    <w:p w:rsidR="005774A2" w:rsidRPr="00EE1CA9" w:rsidRDefault="005774A2" w:rsidP="005774A2">
      <w:pPr>
        <w:pStyle w:val="BodyText"/>
        <w:spacing w:after="0" w:line="360" w:lineRule="auto"/>
        <w:ind w:left="0"/>
        <w:rPr>
          <w:sz w:val="26"/>
          <w:szCs w:val="26"/>
        </w:rPr>
      </w:pPr>
      <w:r>
        <w:rPr>
          <w:sz w:val="26"/>
          <w:szCs w:val="26"/>
        </w:rPr>
        <w:t>RESA recommended</w:t>
      </w:r>
      <w:r w:rsidRPr="00EE5722">
        <w:rPr>
          <w:sz w:val="26"/>
          <w:szCs w:val="26"/>
        </w:rPr>
        <w:t xml:space="preserve"> </w:t>
      </w:r>
      <w:r>
        <w:rPr>
          <w:sz w:val="26"/>
          <w:szCs w:val="26"/>
        </w:rPr>
        <w:t xml:space="preserve">that </w:t>
      </w:r>
      <w:r w:rsidRPr="00EE5722">
        <w:rPr>
          <w:sz w:val="26"/>
          <w:szCs w:val="26"/>
        </w:rPr>
        <w:t xml:space="preserve">there should be additional mailings and other communications, along with enhanced means of enrollment, to ensure maximum customer awareness and enrollment.  </w:t>
      </w:r>
      <w:r w:rsidR="00EE1CA9">
        <w:rPr>
          <w:sz w:val="26"/>
          <w:szCs w:val="26"/>
        </w:rPr>
        <w:t>RESA proposed that an additional mailing be sent to eligible customers in advance of the RFP</w:t>
      </w:r>
      <w:r w:rsidRPr="00EE5722">
        <w:rPr>
          <w:sz w:val="26"/>
          <w:szCs w:val="26"/>
        </w:rPr>
        <w:t>, that the mailing come from the Commission, and that it describe the program and alert eligi</w:t>
      </w:r>
      <w:r w:rsidR="00EE1CA9">
        <w:rPr>
          <w:sz w:val="26"/>
          <w:szCs w:val="26"/>
        </w:rPr>
        <w:t xml:space="preserve">ble customers to the </w:t>
      </w:r>
      <w:r w:rsidRPr="00EE5722">
        <w:rPr>
          <w:sz w:val="26"/>
          <w:szCs w:val="26"/>
        </w:rPr>
        <w:t>mailing they would be receiving shortly that will be the actual opportunity to enroll.</w:t>
      </w:r>
      <w:r w:rsidRPr="00EE5722">
        <w:rPr>
          <w:rStyle w:val="FootnoteReference"/>
          <w:sz w:val="26"/>
          <w:szCs w:val="26"/>
        </w:rPr>
        <w:footnoteReference w:id="83"/>
      </w:r>
      <w:r w:rsidRPr="00EE5722">
        <w:rPr>
          <w:sz w:val="26"/>
          <w:szCs w:val="26"/>
        </w:rPr>
        <w:t xml:space="preserve"> </w:t>
      </w:r>
    </w:p>
    <w:p w:rsidR="005774A2" w:rsidRDefault="005774A2" w:rsidP="005774A2">
      <w:pPr>
        <w:spacing w:line="360" w:lineRule="auto"/>
        <w:rPr>
          <w:sz w:val="26"/>
          <w:szCs w:val="26"/>
        </w:rPr>
      </w:pPr>
    </w:p>
    <w:p w:rsidR="005774A2" w:rsidRDefault="005774A2" w:rsidP="00E61CBD">
      <w:pPr>
        <w:spacing w:line="360" w:lineRule="auto"/>
        <w:ind w:firstLine="1440"/>
        <w:rPr>
          <w:sz w:val="26"/>
          <w:szCs w:val="26"/>
        </w:rPr>
      </w:pPr>
      <w:r>
        <w:rPr>
          <w:sz w:val="26"/>
          <w:szCs w:val="26"/>
        </w:rPr>
        <w:t>CAUSE supported</w:t>
      </w:r>
      <w:r w:rsidRPr="00EE5722">
        <w:rPr>
          <w:sz w:val="26"/>
          <w:szCs w:val="26"/>
        </w:rPr>
        <w:t xml:space="preserve"> the </w:t>
      </w:r>
      <w:r w:rsidR="00EE1CA9">
        <w:rPr>
          <w:sz w:val="26"/>
          <w:szCs w:val="26"/>
        </w:rPr>
        <w:t xml:space="preserve">OCA’s recommendation to require a third </w:t>
      </w:r>
      <w:r w:rsidR="00E61CBD">
        <w:rPr>
          <w:sz w:val="26"/>
          <w:szCs w:val="26"/>
        </w:rPr>
        <w:t>notification at the end of the p</w:t>
      </w:r>
      <w:r w:rsidR="00EE1CA9">
        <w:rPr>
          <w:sz w:val="26"/>
          <w:szCs w:val="26"/>
        </w:rPr>
        <w:t>rogram that would come from Duquesne</w:t>
      </w:r>
      <w:r w:rsidRPr="00EE5722">
        <w:rPr>
          <w:sz w:val="26"/>
          <w:szCs w:val="26"/>
        </w:rPr>
        <w:t xml:space="preserve"> rather than the EGS serving the customer.</w:t>
      </w:r>
      <w:r w:rsidRPr="00EE5722">
        <w:rPr>
          <w:rStyle w:val="FootnoteReference"/>
          <w:sz w:val="26"/>
          <w:szCs w:val="26"/>
        </w:rPr>
        <w:footnoteReference w:id="84"/>
      </w:r>
      <w:r w:rsidR="00EE1CA9">
        <w:rPr>
          <w:sz w:val="26"/>
          <w:szCs w:val="26"/>
        </w:rPr>
        <w:t xml:space="preserve">  CAUSE argued </w:t>
      </w:r>
      <w:r w:rsidRPr="00EE5722">
        <w:rPr>
          <w:sz w:val="26"/>
          <w:szCs w:val="26"/>
        </w:rPr>
        <w:t xml:space="preserve">this first notice regarding the expiration of the program </w:t>
      </w:r>
      <w:r w:rsidR="00EE1CA9">
        <w:rPr>
          <w:sz w:val="26"/>
          <w:szCs w:val="26"/>
        </w:rPr>
        <w:t>should come from Duquesne because c</w:t>
      </w:r>
      <w:r w:rsidRPr="00EE5722">
        <w:rPr>
          <w:sz w:val="26"/>
          <w:szCs w:val="26"/>
        </w:rPr>
        <w:t>ustom</w:t>
      </w:r>
      <w:r w:rsidR="00EE1CA9">
        <w:rPr>
          <w:sz w:val="26"/>
          <w:szCs w:val="26"/>
        </w:rPr>
        <w:t xml:space="preserve">ers enrolled in the Opt-In Program </w:t>
      </w:r>
      <w:r w:rsidRPr="00EE5722">
        <w:rPr>
          <w:sz w:val="26"/>
          <w:szCs w:val="26"/>
        </w:rPr>
        <w:t>as a result of a “push” from Duquesne and the Commission.  They should be</w:t>
      </w:r>
      <w:r w:rsidR="00EE1CA9">
        <w:rPr>
          <w:sz w:val="26"/>
          <w:szCs w:val="26"/>
        </w:rPr>
        <w:t xml:space="preserve"> </w:t>
      </w:r>
      <w:r w:rsidR="00EE1CA9">
        <w:rPr>
          <w:sz w:val="26"/>
          <w:szCs w:val="26"/>
        </w:rPr>
        <w:lastRenderedPageBreak/>
        <w:t>given clear notice from Duquesne,</w:t>
      </w:r>
      <w:r w:rsidRPr="00EE5722">
        <w:rPr>
          <w:sz w:val="26"/>
          <w:szCs w:val="26"/>
        </w:rPr>
        <w:t xml:space="preserve"> with whom that they are used to dealing, and from whom this “push” emanated, that this special program is comi</w:t>
      </w:r>
      <w:r w:rsidR="00EE1CA9">
        <w:rPr>
          <w:sz w:val="26"/>
          <w:szCs w:val="26"/>
        </w:rPr>
        <w:t xml:space="preserve">ng to an end. </w:t>
      </w:r>
    </w:p>
    <w:p w:rsidR="005774A2" w:rsidRDefault="005774A2" w:rsidP="00E61CBD">
      <w:pPr>
        <w:spacing w:line="360" w:lineRule="auto"/>
        <w:rPr>
          <w:sz w:val="26"/>
          <w:szCs w:val="26"/>
        </w:rPr>
      </w:pPr>
    </w:p>
    <w:p w:rsidR="005774A2" w:rsidRPr="00EE5722" w:rsidRDefault="008B0F23" w:rsidP="00E61CBD">
      <w:pPr>
        <w:spacing w:line="360" w:lineRule="auto"/>
        <w:ind w:firstLine="1440"/>
        <w:rPr>
          <w:sz w:val="26"/>
          <w:szCs w:val="26"/>
        </w:rPr>
      </w:pPr>
      <w:r>
        <w:rPr>
          <w:sz w:val="26"/>
          <w:szCs w:val="26"/>
        </w:rPr>
        <w:t>The OSBA, Citizen Power</w:t>
      </w:r>
      <w:r w:rsidR="005774A2">
        <w:rPr>
          <w:sz w:val="26"/>
          <w:szCs w:val="26"/>
        </w:rPr>
        <w:t xml:space="preserve">, </w:t>
      </w:r>
      <w:r>
        <w:rPr>
          <w:sz w:val="26"/>
          <w:szCs w:val="26"/>
        </w:rPr>
        <w:t>DII, Domini</w:t>
      </w:r>
      <w:r w:rsidR="008F3443">
        <w:rPr>
          <w:sz w:val="26"/>
          <w:szCs w:val="26"/>
        </w:rPr>
        <w:t xml:space="preserve">on, FES and Constellation </w:t>
      </w:r>
      <w:r>
        <w:rPr>
          <w:sz w:val="26"/>
          <w:szCs w:val="26"/>
        </w:rPr>
        <w:t>took no position on this issue.</w:t>
      </w:r>
    </w:p>
    <w:p w:rsidR="006D47C0" w:rsidRPr="00EE5722" w:rsidRDefault="006D47C0" w:rsidP="00E61CBD">
      <w:pPr>
        <w:pStyle w:val="BriefL3"/>
        <w:numPr>
          <w:ilvl w:val="0"/>
          <w:numId w:val="0"/>
        </w:numPr>
        <w:spacing w:after="0" w:line="360" w:lineRule="auto"/>
        <w:ind w:left="1440" w:hanging="720"/>
        <w:rPr>
          <w:b/>
          <w:sz w:val="26"/>
          <w:szCs w:val="26"/>
        </w:rPr>
      </w:pPr>
    </w:p>
    <w:p w:rsidR="006D47C0" w:rsidRPr="00EE5722" w:rsidRDefault="008B0F23" w:rsidP="00584C88">
      <w:pPr>
        <w:pStyle w:val="Heading5"/>
        <w:numPr>
          <w:ilvl w:val="0"/>
          <w:numId w:val="0"/>
        </w:numPr>
        <w:ind w:left="3600" w:hanging="720"/>
      </w:pPr>
      <w:bookmarkStart w:id="119" w:name="_Toc346705361"/>
      <w:r>
        <w:t>iii.</w:t>
      </w:r>
      <w:r>
        <w:tab/>
        <w:t>ALJ’s Recommendation</w:t>
      </w:r>
      <w:bookmarkEnd w:id="119"/>
      <w:r w:rsidR="00EE1CA9">
        <w:t xml:space="preserve"> </w:t>
      </w:r>
    </w:p>
    <w:p w:rsidR="008B0F23" w:rsidRDefault="008B0F23" w:rsidP="00E61CBD">
      <w:pPr>
        <w:spacing w:line="360" w:lineRule="auto"/>
        <w:rPr>
          <w:color w:val="000000" w:themeColor="text1"/>
          <w:sz w:val="26"/>
          <w:szCs w:val="26"/>
        </w:rPr>
      </w:pPr>
    </w:p>
    <w:p w:rsidR="00EE1CA9" w:rsidRDefault="008B0F23" w:rsidP="008B0F23">
      <w:pPr>
        <w:spacing w:line="360" w:lineRule="auto"/>
        <w:ind w:firstLine="1440"/>
        <w:rPr>
          <w:color w:val="000000" w:themeColor="text1"/>
          <w:sz w:val="26"/>
          <w:szCs w:val="26"/>
        </w:rPr>
      </w:pPr>
      <w:r>
        <w:rPr>
          <w:color w:val="000000" w:themeColor="text1"/>
          <w:sz w:val="26"/>
          <w:szCs w:val="26"/>
        </w:rPr>
        <w:t>The ALJ</w:t>
      </w:r>
      <w:r w:rsidRPr="00EE5722">
        <w:rPr>
          <w:color w:val="000000" w:themeColor="text1"/>
          <w:sz w:val="26"/>
          <w:szCs w:val="26"/>
        </w:rPr>
        <w:t xml:space="preserve"> recommend</w:t>
      </w:r>
      <w:r>
        <w:rPr>
          <w:color w:val="000000" w:themeColor="text1"/>
          <w:sz w:val="26"/>
          <w:szCs w:val="26"/>
        </w:rPr>
        <w:t>ed</w:t>
      </w:r>
      <w:r w:rsidRPr="00EE5722">
        <w:rPr>
          <w:color w:val="000000" w:themeColor="text1"/>
          <w:sz w:val="26"/>
          <w:szCs w:val="26"/>
        </w:rPr>
        <w:t xml:space="preserve"> approving </w:t>
      </w:r>
      <w:r>
        <w:rPr>
          <w:color w:val="000000" w:themeColor="text1"/>
          <w:sz w:val="26"/>
          <w:szCs w:val="26"/>
        </w:rPr>
        <w:t xml:space="preserve">the </w:t>
      </w:r>
      <w:r w:rsidRPr="00EE5722">
        <w:rPr>
          <w:color w:val="000000" w:themeColor="text1"/>
          <w:sz w:val="26"/>
          <w:szCs w:val="26"/>
        </w:rPr>
        <w:t>OCA</w:t>
      </w:r>
      <w:r>
        <w:rPr>
          <w:color w:val="000000" w:themeColor="text1"/>
          <w:sz w:val="26"/>
          <w:szCs w:val="26"/>
        </w:rPr>
        <w:t xml:space="preserve">’s proposal that Duquesne </w:t>
      </w:r>
      <w:r w:rsidRPr="00EE5722">
        <w:rPr>
          <w:color w:val="000000" w:themeColor="text1"/>
          <w:sz w:val="26"/>
          <w:szCs w:val="26"/>
        </w:rPr>
        <w:t>mail an additional notice</w:t>
      </w:r>
      <w:r w:rsidR="00EE1CA9">
        <w:rPr>
          <w:color w:val="000000" w:themeColor="text1"/>
          <w:sz w:val="26"/>
          <w:szCs w:val="26"/>
        </w:rPr>
        <w:t xml:space="preserve"> to customers at the end of the Opt-In Program.  </w:t>
      </w:r>
      <w:r w:rsidR="00FC65F4">
        <w:rPr>
          <w:color w:val="000000" w:themeColor="text1"/>
          <w:sz w:val="26"/>
          <w:szCs w:val="26"/>
        </w:rPr>
        <w:t xml:space="preserve">The ALJ concluded that the first notice </w:t>
      </w:r>
      <w:r w:rsidR="00FC65F4" w:rsidRPr="00EE5722">
        <w:rPr>
          <w:color w:val="000000" w:themeColor="text1"/>
          <w:sz w:val="26"/>
          <w:szCs w:val="26"/>
        </w:rPr>
        <w:t>concern</w:t>
      </w:r>
      <w:r w:rsidR="00FC65F4">
        <w:rPr>
          <w:color w:val="000000" w:themeColor="text1"/>
          <w:sz w:val="26"/>
          <w:szCs w:val="26"/>
        </w:rPr>
        <w:t xml:space="preserve">ing the expiration of the Program </w:t>
      </w:r>
      <w:r w:rsidR="00FC65F4" w:rsidRPr="00EE5722">
        <w:rPr>
          <w:color w:val="000000" w:themeColor="text1"/>
          <w:sz w:val="26"/>
          <w:szCs w:val="26"/>
        </w:rPr>
        <w:t>should come</w:t>
      </w:r>
      <w:r w:rsidR="00FC65F4">
        <w:rPr>
          <w:color w:val="000000" w:themeColor="text1"/>
          <w:sz w:val="26"/>
          <w:szCs w:val="26"/>
        </w:rPr>
        <w:t xml:space="preserve"> from the entity (Duquesne</w:t>
      </w:r>
      <w:r w:rsidR="00FC65F4" w:rsidRPr="00EE5722">
        <w:rPr>
          <w:color w:val="000000" w:themeColor="text1"/>
          <w:sz w:val="26"/>
          <w:szCs w:val="26"/>
        </w:rPr>
        <w:t>) through which</w:t>
      </w:r>
      <w:r w:rsidR="00FC65F4">
        <w:rPr>
          <w:color w:val="000000" w:themeColor="text1"/>
          <w:sz w:val="26"/>
          <w:szCs w:val="26"/>
        </w:rPr>
        <w:t xml:space="preserve"> the customer entered into the P</w:t>
      </w:r>
      <w:r w:rsidR="00FC65F4" w:rsidRPr="00EE5722">
        <w:rPr>
          <w:color w:val="000000" w:themeColor="text1"/>
          <w:sz w:val="26"/>
          <w:szCs w:val="26"/>
        </w:rPr>
        <w:t xml:space="preserve">rogram initially.  </w:t>
      </w:r>
      <w:r w:rsidR="00E61CBD">
        <w:rPr>
          <w:color w:val="000000" w:themeColor="text1"/>
          <w:sz w:val="26"/>
          <w:szCs w:val="26"/>
        </w:rPr>
        <w:t>The ALJ found that m</w:t>
      </w:r>
      <w:r w:rsidR="00FC65F4" w:rsidRPr="00EE5722">
        <w:rPr>
          <w:color w:val="000000" w:themeColor="text1"/>
          <w:sz w:val="26"/>
          <w:szCs w:val="26"/>
        </w:rPr>
        <w:t>ailings are an important aspect of consumer educ</w:t>
      </w:r>
      <w:r w:rsidR="00FC65F4">
        <w:rPr>
          <w:color w:val="000000" w:themeColor="text1"/>
          <w:sz w:val="26"/>
          <w:szCs w:val="26"/>
        </w:rPr>
        <w:t xml:space="preserve">ation, especially if </w:t>
      </w:r>
      <w:r w:rsidR="00FC65F4" w:rsidRPr="00EE5722">
        <w:rPr>
          <w:color w:val="000000" w:themeColor="text1"/>
          <w:sz w:val="26"/>
          <w:szCs w:val="26"/>
        </w:rPr>
        <w:t>many participating consumers will not have participated prev</w:t>
      </w:r>
      <w:r w:rsidR="00FC65F4">
        <w:rPr>
          <w:color w:val="000000" w:themeColor="text1"/>
          <w:sz w:val="26"/>
          <w:szCs w:val="26"/>
        </w:rPr>
        <w:t>iously in the retail markets.  The ALJ concluded that this third notice would</w:t>
      </w:r>
      <w:r w:rsidR="00FC65F4" w:rsidRPr="00EE5722">
        <w:rPr>
          <w:color w:val="000000" w:themeColor="text1"/>
          <w:sz w:val="26"/>
          <w:szCs w:val="26"/>
        </w:rPr>
        <w:t xml:space="preserve"> ensure these consumers are fully informe</w:t>
      </w:r>
      <w:r w:rsidR="00FC65F4">
        <w:rPr>
          <w:color w:val="000000" w:themeColor="text1"/>
          <w:sz w:val="26"/>
          <w:szCs w:val="26"/>
        </w:rPr>
        <w:t>d about their available options at the expiration of the Opt-</w:t>
      </w:r>
      <w:r w:rsidR="00E61CBD">
        <w:rPr>
          <w:color w:val="000000" w:themeColor="text1"/>
          <w:sz w:val="26"/>
          <w:szCs w:val="26"/>
        </w:rPr>
        <w:t>In Program.  R.D. at 102.</w:t>
      </w:r>
    </w:p>
    <w:p w:rsidR="00FC65F4" w:rsidRDefault="00FC65F4" w:rsidP="008B0F23">
      <w:pPr>
        <w:spacing w:line="360" w:lineRule="auto"/>
        <w:ind w:firstLine="1440"/>
        <w:rPr>
          <w:color w:val="000000" w:themeColor="text1"/>
          <w:sz w:val="26"/>
          <w:szCs w:val="26"/>
        </w:rPr>
      </w:pPr>
    </w:p>
    <w:p w:rsidR="00FC65F4" w:rsidRDefault="00FC65F4" w:rsidP="00E61CBD">
      <w:pPr>
        <w:spacing w:line="360" w:lineRule="auto"/>
        <w:ind w:firstLine="1440"/>
        <w:rPr>
          <w:color w:val="000000" w:themeColor="text1"/>
          <w:sz w:val="26"/>
          <w:szCs w:val="26"/>
        </w:rPr>
      </w:pPr>
      <w:r>
        <w:rPr>
          <w:color w:val="000000" w:themeColor="text1"/>
          <w:sz w:val="26"/>
          <w:szCs w:val="26"/>
        </w:rPr>
        <w:t xml:space="preserve">The ALJ recommended rejecting </w:t>
      </w:r>
      <w:r w:rsidRPr="00EE5722">
        <w:rPr>
          <w:color w:val="000000" w:themeColor="text1"/>
          <w:sz w:val="26"/>
          <w:szCs w:val="26"/>
        </w:rPr>
        <w:t xml:space="preserve">RESA’s proposal </w:t>
      </w:r>
      <w:r>
        <w:rPr>
          <w:color w:val="000000" w:themeColor="text1"/>
          <w:sz w:val="26"/>
          <w:szCs w:val="26"/>
        </w:rPr>
        <w:t xml:space="preserve">that the Commission send </w:t>
      </w:r>
      <w:r w:rsidRPr="00EE5722">
        <w:rPr>
          <w:color w:val="000000" w:themeColor="text1"/>
          <w:sz w:val="26"/>
          <w:szCs w:val="26"/>
        </w:rPr>
        <w:t>an additio</w:t>
      </w:r>
      <w:r>
        <w:rPr>
          <w:color w:val="000000" w:themeColor="text1"/>
          <w:sz w:val="26"/>
          <w:szCs w:val="26"/>
        </w:rPr>
        <w:t xml:space="preserve">nal letter to customers at the beginning of the Opt-In Program. The ALJ </w:t>
      </w:r>
      <w:r w:rsidRPr="00EE5722">
        <w:rPr>
          <w:color w:val="000000" w:themeColor="text1"/>
          <w:sz w:val="26"/>
          <w:szCs w:val="26"/>
        </w:rPr>
        <w:t>disagree</w:t>
      </w:r>
      <w:r>
        <w:rPr>
          <w:color w:val="000000" w:themeColor="text1"/>
          <w:sz w:val="26"/>
          <w:szCs w:val="26"/>
        </w:rPr>
        <w:t>d</w:t>
      </w:r>
      <w:r w:rsidRPr="00EE5722">
        <w:rPr>
          <w:color w:val="000000" w:themeColor="text1"/>
          <w:sz w:val="26"/>
          <w:szCs w:val="26"/>
        </w:rPr>
        <w:t xml:space="preserve"> with RESA that anoth</w:t>
      </w:r>
      <w:r>
        <w:rPr>
          <w:color w:val="000000" w:themeColor="text1"/>
          <w:sz w:val="26"/>
          <w:szCs w:val="26"/>
        </w:rPr>
        <w:t>er letter has</w:t>
      </w:r>
      <w:r w:rsidRPr="00EE5722">
        <w:rPr>
          <w:color w:val="000000" w:themeColor="text1"/>
          <w:sz w:val="26"/>
          <w:szCs w:val="26"/>
        </w:rPr>
        <w:t xml:space="preserve"> to be sent to potential Opt-In participants, unless the EGSs are ordered to pay for the cost of that mailing. </w:t>
      </w:r>
      <w:r w:rsidR="00E61CBD">
        <w:rPr>
          <w:color w:val="000000" w:themeColor="text1"/>
          <w:sz w:val="26"/>
          <w:szCs w:val="26"/>
        </w:rPr>
        <w:t xml:space="preserve"> </w:t>
      </w:r>
      <w:r w:rsidR="00E61CBD">
        <w:rPr>
          <w:i/>
          <w:color w:val="000000" w:themeColor="text1"/>
          <w:sz w:val="26"/>
          <w:szCs w:val="26"/>
        </w:rPr>
        <w:t>Id.</w:t>
      </w:r>
      <w:r w:rsidRPr="00EE5722">
        <w:rPr>
          <w:color w:val="000000" w:themeColor="text1"/>
          <w:sz w:val="26"/>
          <w:szCs w:val="26"/>
        </w:rPr>
        <w:t xml:space="preserve"> </w:t>
      </w:r>
    </w:p>
    <w:p w:rsidR="006D47C0" w:rsidRPr="00EE5722" w:rsidRDefault="008B0F23" w:rsidP="00584C88">
      <w:pPr>
        <w:pStyle w:val="Heading5"/>
        <w:numPr>
          <w:ilvl w:val="0"/>
          <w:numId w:val="0"/>
        </w:numPr>
        <w:ind w:left="3600" w:hanging="720"/>
      </w:pPr>
      <w:bookmarkStart w:id="120" w:name="_Toc346705362"/>
      <w:r>
        <w:t>iv.</w:t>
      </w:r>
      <w:r>
        <w:tab/>
        <w:t>Exceptions</w:t>
      </w:r>
      <w:bookmarkEnd w:id="120"/>
    </w:p>
    <w:p w:rsidR="006D47C0" w:rsidRPr="00EE5722" w:rsidRDefault="006D47C0" w:rsidP="006D47C0">
      <w:pPr>
        <w:pStyle w:val="BodyText"/>
        <w:spacing w:after="0" w:line="360" w:lineRule="auto"/>
        <w:ind w:left="0" w:firstLine="0"/>
        <w:rPr>
          <w:sz w:val="26"/>
          <w:szCs w:val="26"/>
        </w:rPr>
      </w:pPr>
    </w:p>
    <w:p w:rsidR="009A7410" w:rsidRDefault="002606B6" w:rsidP="009A7410">
      <w:pPr>
        <w:pStyle w:val="BodyText2"/>
        <w:spacing w:after="0" w:line="360" w:lineRule="auto"/>
        <w:ind w:firstLine="1440"/>
        <w:rPr>
          <w:sz w:val="26"/>
          <w:szCs w:val="26"/>
        </w:rPr>
      </w:pPr>
      <w:r w:rsidRPr="002606B6">
        <w:rPr>
          <w:sz w:val="26"/>
          <w:szCs w:val="26"/>
        </w:rPr>
        <w:t xml:space="preserve">Duquesne excepts to the ALJ’s recommendation that Duquesne be required to send a third notice to customers at the end </w:t>
      </w:r>
      <w:r w:rsidR="000302FC">
        <w:rPr>
          <w:sz w:val="26"/>
          <w:szCs w:val="26"/>
        </w:rPr>
        <w:t>of the Opt-In Program</w:t>
      </w:r>
      <w:r w:rsidR="00D5423B">
        <w:rPr>
          <w:sz w:val="26"/>
          <w:szCs w:val="26"/>
        </w:rPr>
        <w:t xml:space="preserve">.  </w:t>
      </w:r>
      <w:r w:rsidR="000302FC">
        <w:rPr>
          <w:sz w:val="26"/>
          <w:szCs w:val="26"/>
        </w:rPr>
        <w:t xml:space="preserve">Duquesne </w:t>
      </w:r>
      <w:r w:rsidRPr="002606B6">
        <w:rPr>
          <w:sz w:val="26"/>
          <w:szCs w:val="26"/>
        </w:rPr>
        <w:t xml:space="preserve">does not believe that a </w:t>
      </w:r>
      <w:r w:rsidR="000302FC">
        <w:rPr>
          <w:sz w:val="26"/>
          <w:szCs w:val="26"/>
        </w:rPr>
        <w:t xml:space="preserve">third </w:t>
      </w:r>
      <w:r w:rsidRPr="002606B6">
        <w:rPr>
          <w:sz w:val="26"/>
          <w:szCs w:val="26"/>
        </w:rPr>
        <w:t xml:space="preserve">notice from the Company is necessary since the Commission can prescribe the content of EGS </w:t>
      </w:r>
      <w:r w:rsidR="000302FC">
        <w:rPr>
          <w:sz w:val="26"/>
          <w:szCs w:val="26"/>
        </w:rPr>
        <w:t xml:space="preserve">notices.  </w:t>
      </w:r>
      <w:r w:rsidR="00E61CBD">
        <w:rPr>
          <w:sz w:val="26"/>
          <w:szCs w:val="26"/>
        </w:rPr>
        <w:t>Duquesne asserts that r</w:t>
      </w:r>
      <w:r w:rsidR="000302FC">
        <w:rPr>
          <w:sz w:val="26"/>
          <w:szCs w:val="26"/>
        </w:rPr>
        <w:t xml:space="preserve">equiring </w:t>
      </w:r>
      <w:r w:rsidR="00E61CBD">
        <w:rPr>
          <w:sz w:val="26"/>
          <w:szCs w:val="26"/>
        </w:rPr>
        <w:t>it</w:t>
      </w:r>
      <w:r w:rsidR="000302FC">
        <w:rPr>
          <w:sz w:val="26"/>
          <w:szCs w:val="26"/>
        </w:rPr>
        <w:t xml:space="preserve"> </w:t>
      </w:r>
      <w:r w:rsidRPr="002606B6">
        <w:rPr>
          <w:sz w:val="26"/>
          <w:szCs w:val="26"/>
        </w:rPr>
        <w:t xml:space="preserve">to send </w:t>
      </w:r>
      <w:r w:rsidR="000302FC">
        <w:rPr>
          <w:sz w:val="26"/>
          <w:szCs w:val="26"/>
        </w:rPr>
        <w:t>an additional notice</w:t>
      </w:r>
      <w:r w:rsidRPr="002606B6">
        <w:rPr>
          <w:sz w:val="26"/>
          <w:szCs w:val="26"/>
        </w:rPr>
        <w:t xml:space="preserve"> would increas</w:t>
      </w:r>
      <w:r w:rsidR="000302FC">
        <w:rPr>
          <w:sz w:val="26"/>
          <w:szCs w:val="26"/>
        </w:rPr>
        <w:t xml:space="preserve">e costs </w:t>
      </w:r>
      <w:r w:rsidRPr="002606B6">
        <w:rPr>
          <w:sz w:val="26"/>
          <w:szCs w:val="26"/>
        </w:rPr>
        <w:t xml:space="preserve">that would have to be recovered from EGSs.  </w:t>
      </w:r>
      <w:r w:rsidR="00E61CBD">
        <w:rPr>
          <w:sz w:val="26"/>
          <w:szCs w:val="26"/>
        </w:rPr>
        <w:t>Duquesne avers that c</w:t>
      </w:r>
      <w:r w:rsidRPr="002606B6">
        <w:rPr>
          <w:sz w:val="26"/>
          <w:szCs w:val="26"/>
        </w:rPr>
        <w:t>ustomers will have voluntarily</w:t>
      </w:r>
      <w:r w:rsidR="000302FC">
        <w:rPr>
          <w:sz w:val="26"/>
          <w:szCs w:val="26"/>
        </w:rPr>
        <w:t xml:space="preserve"> elected to participate in the Opt-In </w:t>
      </w:r>
      <w:r w:rsidR="000302FC">
        <w:rPr>
          <w:sz w:val="26"/>
          <w:szCs w:val="26"/>
        </w:rPr>
        <w:lastRenderedPageBreak/>
        <w:t>Program</w:t>
      </w:r>
      <w:r w:rsidRPr="002606B6">
        <w:rPr>
          <w:sz w:val="26"/>
          <w:szCs w:val="26"/>
        </w:rPr>
        <w:t>, and there is no reason to require that the Company al</w:t>
      </w:r>
      <w:r w:rsidR="000302FC">
        <w:rPr>
          <w:sz w:val="26"/>
          <w:szCs w:val="26"/>
        </w:rPr>
        <w:t xml:space="preserve">ert customers that they </w:t>
      </w:r>
      <w:r w:rsidRPr="002606B6">
        <w:rPr>
          <w:sz w:val="26"/>
          <w:szCs w:val="26"/>
        </w:rPr>
        <w:t>can return to default service.</w:t>
      </w:r>
      <w:r>
        <w:rPr>
          <w:sz w:val="26"/>
          <w:szCs w:val="26"/>
        </w:rPr>
        <w:t xml:space="preserve">  </w:t>
      </w:r>
      <w:r w:rsidRPr="002606B6">
        <w:rPr>
          <w:sz w:val="26"/>
          <w:szCs w:val="26"/>
        </w:rPr>
        <w:t xml:space="preserve">For these reasons, </w:t>
      </w:r>
      <w:r>
        <w:rPr>
          <w:sz w:val="26"/>
          <w:szCs w:val="26"/>
        </w:rPr>
        <w:t xml:space="preserve">Duquesne submits that, </w:t>
      </w:r>
      <w:r w:rsidRPr="002606B6">
        <w:rPr>
          <w:sz w:val="26"/>
          <w:szCs w:val="26"/>
        </w:rPr>
        <w:t>if a third notice is required, it should be provided directly by the participating EGSs.</w:t>
      </w:r>
      <w:r w:rsidR="000302FC">
        <w:rPr>
          <w:sz w:val="26"/>
          <w:szCs w:val="26"/>
        </w:rPr>
        <w:t xml:space="preserve"> </w:t>
      </w:r>
      <w:r w:rsidR="009A7410">
        <w:rPr>
          <w:sz w:val="26"/>
          <w:szCs w:val="26"/>
        </w:rPr>
        <w:t xml:space="preserve"> </w:t>
      </w:r>
      <w:r w:rsidR="00E61CBD">
        <w:rPr>
          <w:sz w:val="26"/>
          <w:szCs w:val="26"/>
        </w:rPr>
        <w:t>Duquesne Exc. at 5-6.</w:t>
      </w:r>
      <w:r w:rsidR="00E61CBD" w:rsidRPr="002606B6">
        <w:rPr>
          <w:sz w:val="26"/>
          <w:szCs w:val="26"/>
        </w:rPr>
        <w:t xml:space="preserve"> </w:t>
      </w:r>
    </w:p>
    <w:p w:rsidR="000A1906" w:rsidRPr="00394FDC" w:rsidRDefault="00E61CBD" w:rsidP="009A7410">
      <w:pPr>
        <w:pStyle w:val="BodyText2"/>
        <w:spacing w:after="0" w:line="360" w:lineRule="auto"/>
        <w:ind w:firstLine="1440"/>
        <w:rPr>
          <w:sz w:val="26"/>
          <w:szCs w:val="26"/>
        </w:rPr>
      </w:pPr>
      <w:r w:rsidRPr="002606B6">
        <w:rPr>
          <w:sz w:val="26"/>
          <w:szCs w:val="26"/>
        </w:rPr>
        <w:t xml:space="preserve"> </w:t>
      </w:r>
    </w:p>
    <w:p w:rsidR="000A1906" w:rsidRPr="009A7410" w:rsidRDefault="00D0194A" w:rsidP="009A7410">
      <w:pPr>
        <w:pStyle w:val="BodyText2"/>
        <w:spacing w:after="0" w:line="360" w:lineRule="auto"/>
        <w:ind w:firstLine="1440"/>
        <w:rPr>
          <w:sz w:val="26"/>
          <w:szCs w:val="26"/>
        </w:rPr>
      </w:pPr>
      <w:r>
        <w:rPr>
          <w:sz w:val="26"/>
          <w:szCs w:val="26"/>
        </w:rPr>
        <w:t xml:space="preserve">In its Exceptions, </w:t>
      </w:r>
      <w:r w:rsidR="000A1906">
        <w:rPr>
          <w:sz w:val="26"/>
          <w:szCs w:val="26"/>
        </w:rPr>
        <w:t>RESA argues that the ALJ erred in rejecting RESA’s pro</w:t>
      </w:r>
      <w:r w:rsidR="000302FC">
        <w:rPr>
          <w:sz w:val="26"/>
          <w:szCs w:val="26"/>
        </w:rPr>
        <w:t>posal</w:t>
      </w:r>
      <w:r w:rsidR="000A1906">
        <w:rPr>
          <w:sz w:val="26"/>
          <w:szCs w:val="26"/>
        </w:rPr>
        <w:t xml:space="preserve"> regarding </w:t>
      </w:r>
      <w:r w:rsidR="000302FC">
        <w:rPr>
          <w:sz w:val="26"/>
          <w:szCs w:val="26"/>
        </w:rPr>
        <w:t xml:space="preserve">an initial mailing </w:t>
      </w:r>
      <w:r w:rsidR="000A1906" w:rsidRPr="000A1906">
        <w:rPr>
          <w:sz w:val="26"/>
          <w:szCs w:val="26"/>
        </w:rPr>
        <w:t>from</w:t>
      </w:r>
      <w:r w:rsidR="00D5423B">
        <w:rPr>
          <w:sz w:val="26"/>
          <w:szCs w:val="26"/>
        </w:rPr>
        <w:t xml:space="preserve"> the Commission</w:t>
      </w:r>
      <w:r w:rsidR="000A1906" w:rsidRPr="000A1906">
        <w:rPr>
          <w:sz w:val="26"/>
          <w:szCs w:val="26"/>
        </w:rPr>
        <w:t>.</w:t>
      </w:r>
      <w:r w:rsidR="000302FC">
        <w:rPr>
          <w:rStyle w:val="FootnoteReference"/>
          <w:sz w:val="26"/>
          <w:szCs w:val="26"/>
        </w:rPr>
        <w:t xml:space="preserve"> </w:t>
      </w:r>
      <w:r w:rsidR="009A7410">
        <w:rPr>
          <w:sz w:val="26"/>
          <w:szCs w:val="26"/>
        </w:rPr>
        <w:t xml:space="preserve"> </w:t>
      </w:r>
      <w:r w:rsidR="007F3909">
        <w:rPr>
          <w:sz w:val="26"/>
          <w:szCs w:val="26"/>
        </w:rPr>
        <w:t>RESA argues that t</w:t>
      </w:r>
      <w:r w:rsidR="000A1906" w:rsidRPr="000A1906">
        <w:rPr>
          <w:sz w:val="26"/>
          <w:szCs w:val="26"/>
        </w:rPr>
        <w:t xml:space="preserve">he ALJ’s recommendation on this issue is not supported by the evidence and should be rejected. </w:t>
      </w:r>
      <w:r w:rsidR="009A7410">
        <w:rPr>
          <w:sz w:val="26"/>
          <w:szCs w:val="26"/>
        </w:rPr>
        <w:t xml:space="preserve"> RESA Exc. at 26.  </w:t>
      </w:r>
    </w:p>
    <w:p w:rsidR="007F3909" w:rsidRPr="007F3909" w:rsidRDefault="007F3909" w:rsidP="009A7410">
      <w:pPr>
        <w:pStyle w:val="BodyText2"/>
        <w:spacing w:after="0" w:line="360" w:lineRule="auto"/>
        <w:ind w:firstLine="1440"/>
        <w:rPr>
          <w:sz w:val="26"/>
          <w:szCs w:val="26"/>
        </w:rPr>
      </w:pPr>
    </w:p>
    <w:p w:rsidR="00853F49" w:rsidRPr="00853F49" w:rsidRDefault="007F3909" w:rsidP="009A7410">
      <w:pPr>
        <w:pStyle w:val="BodyText2"/>
        <w:spacing w:after="0" w:line="360" w:lineRule="auto"/>
        <w:ind w:firstLine="1440"/>
        <w:rPr>
          <w:sz w:val="26"/>
          <w:szCs w:val="26"/>
        </w:rPr>
      </w:pPr>
      <w:r>
        <w:rPr>
          <w:sz w:val="26"/>
          <w:szCs w:val="26"/>
        </w:rPr>
        <w:t xml:space="preserve">RESA </w:t>
      </w:r>
      <w:r w:rsidR="000302FC">
        <w:rPr>
          <w:sz w:val="26"/>
          <w:szCs w:val="26"/>
        </w:rPr>
        <w:t xml:space="preserve">also </w:t>
      </w:r>
      <w:r>
        <w:rPr>
          <w:sz w:val="26"/>
          <w:szCs w:val="26"/>
        </w:rPr>
        <w:t xml:space="preserve">argues that the ALJ </w:t>
      </w:r>
      <w:r w:rsidR="000A1906" w:rsidRPr="000A1906">
        <w:rPr>
          <w:sz w:val="26"/>
          <w:szCs w:val="26"/>
        </w:rPr>
        <w:t xml:space="preserve">erred in recommending approval of </w:t>
      </w:r>
      <w:r>
        <w:rPr>
          <w:sz w:val="26"/>
          <w:szCs w:val="26"/>
        </w:rPr>
        <w:t xml:space="preserve">the </w:t>
      </w:r>
      <w:r w:rsidR="000A1906" w:rsidRPr="000A1906">
        <w:rPr>
          <w:sz w:val="26"/>
          <w:szCs w:val="26"/>
        </w:rPr>
        <w:t xml:space="preserve">OCA’s proposal for a third mailing to customers prior to the </w:t>
      </w:r>
      <w:r w:rsidR="000302FC">
        <w:rPr>
          <w:sz w:val="26"/>
          <w:szCs w:val="26"/>
        </w:rPr>
        <w:t xml:space="preserve">end of the program.  </w:t>
      </w:r>
      <w:r w:rsidR="009A7410">
        <w:rPr>
          <w:sz w:val="26"/>
          <w:szCs w:val="26"/>
        </w:rPr>
        <w:t>RESA asserts that t</w:t>
      </w:r>
      <w:r w:rsidR="000302FC">
        <w:rPr>
          <w:sz w:val="26"/>
          <w:szCs w:val="26"/>
        </w:rPr>
        <w:t xml:space="preserve">he third mailing would come from Duquesne, would be </w:t>
      </w:r>
      <w:r w:rsidR="000A1906" w:rsidRPr="000A1906">
        <w:rPr>
          <w:sz w:val="26"/>
          <w:szCs w:val="26"/>
        </w:rPr>
        <w:t xml:space="preserve">in addition to the two </w:t>
      </w:r>
      <w:r w:rsidR="000302FC">
        <w:rPr>
          <w:sz w:val="26"/>
          <w:szCs w:val="26"/>
        </w:rPr>
        <w:t>mailings from EGSs,</w:t>
      </w:r>
      <w:r w:rsidR="000A1906" w:rsidRPr="000A1906">
        <w:rPr>
          <w:sz w:val="26"/>
          <w:szCs w:val="26"/>
        </w:rPr>
        <w:t xml:space="preserve"> and EGSs would </w:t>
      </w:r>
      <w:r w:rsidR="000302FC">
        <w:rPr>
          <w:sz w:val="26"/>
          <w:szCs w:val="26"/>
        </w:rPr>
        <w:t xml:space="preserve">be required to </w:t>
      </w:r>
      <w:r w:rsidR="000A1906" w:rsidRPr="000A1906">
        <w:rPr>
          <w:sz w:val="26"/>
          <w:szCs w:val="26"/>
        </w:rPr>
        <w:t>pay for it.</w:t>
      </w:r>
      <w:r w:rsidR="000302FC">
        <w:rPr>
          <w:sz w:val="26"/>
          <w:szCs w:val="26"/>
        </w:rPr>
        <w:t xml:space="preserve">  RESA opposes</w:t>
      </w:r>
      <w:r w:rsidR="000A1906" w:rsidRPr="000A1906">
        <w:rPr>
          <w:sz w:val="26"/>
          <w:szCs w:val="26"/>
        </w:rPr>
        <w:t xml:space="preserve"> this proposal and </w:t>
      </w:r>
      <w:r w:rsidR="000302FC">
        <w:rPr>
          <w:sz w:val="26"/>
          <w:szCs w:val="26"/>
        </w:rPr>
        <w:t xml:space="preserve">argues that </w:t>
      </w:r>
      <w:r w:rsidR="000A1906" w:rsidRPr="000A1906">
        <w:rPr>
          <w:sz w:val="26"/>
          <w:szCs w:val="26"/>
        </w:rPr>
        <w:t xml:space="preserve">this third mailing would be “expensive and onerous” and </w:t>
      </w:r>
      <w:r w:rsidR="000302FC">
        <w:rPr>
          <w:sz w:val="26"/>
          <w:szCs w:val="26"/>
        </w:rPr>
        <w:t xml:space="preserve">that </w:t>
      </w:r>
      <w:r w:rsidR="000A1906" w:rsidRPr="000A1906">
        <w:rPr>
          <w:sz w:val="26"/>
          <w:szCs w:val="26"/>
        </w:rPr>
        <w:t xml:space="preserve">there is no reason to add notice requirements to this program that differ from those imposed </w:t>
      </w:r>
      <w:r>
        <w:rPr>
          <w:sz w:val="26"/>
          <w:szCs w:val="26"/>
        </w:rPr>
        <w:t xml:space="preserve">on marketers </w:t>
      </w:r>
      <w:r w:rsidR="000302FC">
        <w:rPr>
          <w:sz w:val="26"/>
          <w:szCs w:val="26"/>
        </w:rPr>
        <w:t>generally</w:t>
      </w:r>
      <w:r w:rsidR="000A1906" w:rsidRPr="000A1906">
        <w:rPr>
          <w:sz w:val="26"/>
          <w:szCs w:val="26"/>
        </w:rPr>
        <w:t>.</w:t>
      </w:r>
      <w:r w:rsidR="000A1906" w:rsidRPr="000A1906">
        <w:rPr>
          <w:rStyle w:val="FootnoteReference"/>
          <w:sz w:val="26"/>
          <w:szCs w:val="26"/>
        </w:rPr>
        <w:footnoteReference w:id="85"/>
      </w:r>
      <w:r w:rsidR="000A1906" w:rsidRPr="000A1906">
        <w:rPr>
          <w:sz w:val="26"/>
          <w:szCs w:val="26"/>
        </w:rPr>
        <w:t xml:space="preserve">  Moreover, </w:t>
      </w:r>
      <w:r w:rsidR="009A7410">
        <w:rPr>
          <w:sz w:val="26"/>
          <w:szCs w:val="26"/>
        </w:rPr>
        <w:t xml:space="preserve">RESA notes that </w:t>
      </w:r>
      <w:r w:rsidR="000A1906" w:rsidRPr="000A1906">
        <w:rPr>
          <w:sz w:val="26"/>
          <w:szCs w:val="26"/>
        </w:rPr>
        <w:t xml:space="preserve">in the </w:t>
      </w:r>
      <w:r w:rsidR="000302FC">
        <w:rPr>
          <w:i/>
          <w:iCs/>
          <w:sz w:val="26"/>
          <w:szCs w:val="26"/>
        </w:rPr>
        <w:t>FirstEnergy</w:t>
      </w:r>
      <w:r w:rsidR="009A7410">
        <w:rPr>
          <w:i/>
          <w:iCs/>
          <w:sz w:val="26"/>
          <w:szCs w:val="26"/>
        </w:rPr>
        <w:t xml:space="preserve"> DSP</w:t>
      </w:r>
      <w:r w:rsidR="000A1906" w:rsidRPr="000A1906">
        <w:rPr>
          <w:i/>
          <w:iCs/>
          <w:sz w:val="26"/>
          <w:szCs w:val="26"/>
        </w:rPr>
        <w:t xml:space="preserve"> </w:t>
      </w:r>
      <w:r w:rsidR="000A1906" w:rsidRPr="000A1906">
        <w:rPr>
          <w:sz w:val="26"/>
          <w:szCs w:val="26"/>
        </w:rPr>
        <w:t xml:space="preserve">and </w:t>
      </w:r>
      <w:r w:rsidR="000A1906" w:rsidRPr="000A1906">
        <w:rPr>
          <w:i/>
          <w:iCs/>
          <w:sz w:val="26"/>
          <w:szCs w:val="26"/>
        </w:rPr>
        <w:t>PECO</w:t>
      </w:r>
      <w:r w:rsidR="000302FC">
        <w:rPr>
          <w:i/>
          <w:iCs/>
          <w:sz w:val="26"/>
          <w:szCs w:val="26"/>
        </w:rPr>
        <w:t xml:space="preserve"> DSP Orders</w:t>
      </w:r>
      <w:r w:rsidR="000A1906" w:rsidRPr="000A1906">
        <w:rPr>
          <w:sz w:val="26"/>
          <w:szCs w:val="26"/>
        </w:rPr>
        <w:t>,</w:t>
      </w:r>
      <w:r w:rsidR="000302FC">
        <w:rPr>
          <w:sz w:val="26"/>
          <w:szCs w:val="26"/>
        </w:rPr>
        <w:t xml:space="preserve"> the Commission rejected proposals</w:t>
      </w:r>
      <w:r w:rsidR="000A1906" w:rsidRPr="000A1906">
        <w:rPr>
          <w:sz w:val="26"/>
          <w:szCs w:val="26"/>
        </w:rPr>
        <w:t xml:space="preserve"> for additional notices.</w:t>
      </w:r>
      <w:r w:rsidR="000A1906" w:rsidRPr="000A1906">
        <w:rPr>
          <w:rStyle w:val="FootnoteReference"/>
          <w:sz w:val="26"/>
          <w:szCs w:val="26"/>
        </w:rPr>
        <w:footnoteReference w:id="86"/>
      </w:r>
      <w:r w:rsidR="009A7410">
        <w:rPr>
          <w:sz w:val="26"/>
          <w:szCs w:val="26"/>
        </w:rPr>
        <w:t xml:space="preserve">  </w:t>
      </w:r>
      <w:r w:rsidR="009A7410">
        <w:rPr>
          <w:i/>
          <w:sz w:val="26"/>
          <w:szCs w:val="26"/>
        </w:rPr>
        <w:t>Id.</w:t>
      </w:r>
      <w:r w:rsidR="009A7410">
        <w:rPr>
          <w:sz w:val="26"/>
          <w:szCs w:val="26"/>
        </w:rPr>
        <w:t xml:space="preserve"> at 26-27.</w:t>
      </w:r>
      <w:r w:rsidR="00853F49">
        <w:rPr>
          <w:sz w:val="26"/>
          <w:szCs w:val="26"/>
        </w:rPr>
        <w:t xml:space="preserve"> </w:t>
      </w:r>
    </w:p>
    <w:p w:rsidR="00853F49" w:rsidRDefault="00853F49" w:rsidP="009A7410">
      <w:pPr>
        <w:spacing w:line="360" w:lineRule="auto"/>
        <w:rPr>
          <w:b/>
        </w:rPr>
      </w:pPr>
    </w:p>
    <w:p w:rsidR="006D47C0" w:rsidRDefault="00D0194A" w:rsidP="009A7410">
      <w:pPr>
        <w:pStyle w:val="BodyText2"/>
        <w:spacing w:after="0" w:line="360" w:lineRule="auto"/>
        <w:ind w:firstLine="1440"/>
        <w:rPr>
          <w:sz w:val="26"/>
          <w:szCs w:val="26"/>
        </w:rPr>
      </w:pPr>
      <w:r>
        <w:rPr>
          <w:sz w:val="26"/>
          <w:szCs w:val="26"/>
        </w:rPr>
        <w:t xml:space="preserve">In its Exceptions, </w:t>
      </w:r>
      <w:r w:rsidR="00853F49" w:rsidRPr="00853F49">
        <w:rPr>
          <w:sz w:val="26"/>
          <w:szCs w:val="26"/>
        </w:rPr>
        <w:t>Dominion argues that the ALJ erred in requirin</w:t>
      </w:r>
      <w:r w:rsidR="00853F49">
        <w:rPr>
          <w:sz w:val="26"/>
          <w:szCs w:val="26"/>
        </w:rPr>
        <w:t xml:space="preserve">g a third notice to customers prior to </w:t>
      </w:r>
      <w:r w:rsidR="00853F49" w:rsidRPr="00853F49">
        <w:rPr>
          <w:sz w:val="26"/>
          <w:szCs w:val="26"/>
        </w:rPr>
        <w:t>the expiration of</w:t>
      </w:r>
      <w:r w:rsidR="00853F49">
        <w:rPr>
          <w:sz w:val="26"/>
          <w:szCs w:val="26"/>
        </w:rPr>
        <w:t xml:space="preserve"> the Opt-In Pr</w:t>
      </w:r>
      <w:r>
        <w:rPr>
          <w:sz w:val="26"/>
          <w:szCs w:val="26"/>
        </w:rPr>
        <w:t>ogram.  Dominion asserts that a third notice from the EDC would create</w:t>
      </w:r>
      <w:r w:rsidR="00853F49">
        <w:rPr>
          <w:sz w:val="26"/>
          <w:szCs w:val="26"/>
        </w:rPr>
        <w:t xml:space="preserve"> the </w:t>
      </w:r>
      <w:r w:rsidR="00853F49" w:rsidRPr="00853F49">
        <w:rPr>
          <w:sz w:val="26"/>
          <w:szCs w:val="26"/>
        </w:rPr>
        <w:t>potentia</w:t>
      </w:r>
      <w:r>
        <w:rPr>
          <w:sz w:val="26"/>
          <w:szCs w:val="26"/>
        </w:rPr>
        <w:t>l for customer confusion, and create</w:t>
      </w:r>
      <w:r w:rsidR="00853F49" w:rsidRPr="00853F49">
        <w:rPr>
          <w:sz w:val="26"/>
          <w:szCs w:val="26"/>
        </w:rPr>
        <w:t xml:space="preserve"> additional cost</w:t>
      </w:r>
      <w:r w:rsidR="00853F49">
        <w:rPr>
          <w:sz w:val="26"/>
          <w:szCs w:val="26"/>
        </w:rPr>
        <w:t>s</w:t>
      </w:r>
      <w:r>
        <w:rPr>
          <w:sz w:val="26"/>
          <w:szCs w:val="26"/>
        </w:rPr>
        <w:t xml:space="preserve">  that </w:t>
      </w:r>
      <w:r w:rsidR="00853F49" w:rsidRPr="00853F49">
        <w:rPr>
          <w:sz w:val="26"/>
          <w:szCs w:val="26"/>
        </w:rPr>
        <w:t xml:space="preserve">ultimately </w:t>
      </w:r>
      <w:r w:rsidR="00853F49">
        <w:rPr>
          <w:sz w:val="26"/>
          <w:szCs w:val="26"/>
        </w:rPr>
        <w:t>would be recovered from EGSs.  Dominion argues that t</w:t>
      </w:r>
      <w:r w:rsidR="00853F49" w:rsidRPr="00853F49">
        <w:rPr>
          <w:sz w:val="26"/>
          <w:szCs w:val="26"/>
        </w:rPr>
        <w:t>here is no explanati</w:t>
      </w:r>
      <w:r w:rsidR="00853F49">
        <w:rPr>
          <w:sz w:val="26"/>
          <w:szCs w:val="26"/>
        </w:rPr>
        <w:t>on as to how a third notice would be beneficial, and that a required third notice</w:t>
      </w:r>
      <w:r w:rsidR="00853F49" w:rsidRPr="00853F49">
        <w:rPr>
          <w:sz w:val="26"/>
          <w:szCs w:val="26"/>
        </w:rPr>
        <w:t xml:space="preserve"> should be rejected in favor of the standard requirements for all other </w:t>
      </w:r>
      <w:r>
        <w:rPr>
          <w:sz w:val="26"/>
          <w:szCs w:val="26"/>
        </w:rPr>
        <w:t xml:space="preserve">EGS </w:t>
      </w:r>
      <w:r w:rsidR="00853F49" w:rsidRPr="00853F49">
        <w:rPr>
          <w:sz w:val="26"/>
          <w:szCs w:val="26"/>
        </w:rPr>
        <w:t xml:space="preserve">contracts </w:t>
      </w:r>
      <w:r>
        <w:rPr>
          <w:sz w:val="26"/>
          <w:szCs w:val="26"/>
        </w:rPr>
        <w:t xml:space="preserve">in Pennsylvania, namely two </w:t>
      </w:r>
      <w:r w:rsidR="00853F49" w:rsidRPr="00853F49">
        <w:rPr>
          <w:sz w:val="26"/>
          <w:szCs w:val="26"/>
        </w:rPr>
        <w:t>notices.</w:t>
      </w:r>
      <w:r w:rsidR="009A7410">
        <w:rPr>
          <w:sz w:val="26"/>
          <w:szCs w:val="26"/>
        </w:rPr>
        <w:t xml:space="preserve">  Dominion Exc. at 2-3.  </w:t>
      </w:r>
      <w:r w:rsidR="006D47C0" w:rsidRPr="00853F49">
        <w:rPr>
          <w:sz w:val="26"/>
          <w:szCs w:val="26"/>
        </w:rPr>
        <w:tab/>
      </w:r>
    </w:p>
    <w:p w:rsidR="00853F49" w:rsidRPr="00853F49" w:rsidRDefault="00853F49" w:rsidP="009A7410">
      <w:pPr>
        <w:pStyle w:val="BodyText2"/>
        <w:spacing w:after="0" w:line="360" w:lineRule="auto"/>
        <w:ind w:firstLine="1440"/>
        <w:rPr>
          <w:b/>
          <w:sz w:val="26"/>
          <w:szCs w:val="26"/>
        </w:rPr>
      </w:pPr>
    </w:p>
    <w:p w:rsidR="006D47C0" w:rsidRDefault="008B0F23" w:rsidP="00584C88">
      <w:pPr>
        <w:pStyle w:val="Heading5"/>
        <w:numPr>
          <w:ilvl w:val="0"/>
          <w:numId w:val="0"/>
        </w:numPr>
        <w:ind w:left="3600" w:hanging="720"/>
      </w:pPr>
      <w:bookmarkStart w:id="121" w:name="_Toc346705363"/>
      <w:r>
        <w:t>v.</w:t>
      </w:r>
      <w:r>
        <w:tab/>
        <w:t>Reply Exception</w:t>
      </w:r>
      <w:r w:rsidR="00853F49">
        <w:t>s</w:t>
      </w:r>
      <w:bookmarkEnd w:id="121"/>
    </w:p>
    <w:p w:rsidR="005D4DC6" w:rsidRPr="00EE5722" w:rsidRDefault="005D4DC6" w:rsidP="009A7410">
      <w:pPr>
        <w:pStyle w:val="BriefL3"/>
        <w:numPr>
          <w:ilvl w:val="0"/>
          <w:numId w:val="0"/>
        </w:numPr>
        <w:spacing w:after="0" w:line="360" w:lineRule="auto"/>
        <w:ind w:firstLine="720"/>
        <w:rPr>
          <w:b/>
          <w:sz w:val="26"/>
          <w:szCs w:val="26"/>
        </w:rPr>
      </w:pPr>
    </w:p>
    <w:p w:rsidR="005D4DC6" w:rsidRDefault="005D4DC6" w:rsidP="0033060E">
      <w:pPr>
        <w:pStyle w:val="BodyText2"/>
        <w:spacing w:after="0" w:line="360" w:lineRule="auto"/>
        <w:ind w:firstLine="1440"/>
        <w:rPr>
          <w:sz w:val="26"/>
          <w:szCs w:val="26"/>
          <w:lang w:val="en-US"/>
        </w:rPr>
      </w:pPr>
      <w:r w:rsidRPr="005D4DC6">
        <w:rPr>
          <w:sz w:val="26"/>
          <w:szCs w:val="26"/>
        </w:rPr>
        <w:t xml:space="preserve">In its Reply Exceptions, Duquesne argues that RESA’s request for </w:t>
      </w:r>
      <w:r w:rsidR="00D0194A">
        <w:rPr>
          <w:sz w:val="26"/>
          <w:szCs w:val="26"/>
        </w:rPr>
        <w:t xml:space="preserve">an additional mailing prior to </w:t>
      </w:r>
      <w:r w:rsidRPr="005D4DC6">
        <w:rPr>
          <w:sz w:val="26"/>
          <w:szCs w:val="26"/>
        </w:rPr>
        <w:t>the O</w:t>
      </w:r>
      <w:r w:rsidR="00D0194A">
        <w:rPr>
          <w:sz w:val="26"/>
          <w:szCs w:val="26"/>
        </w:rPr>
        <w:t xml:space="preserve">pt-In Program should be denied </w:t>
      </w:r>
      <w:r w:rsidRPr="005D4DC6">
        <w:rPr>
          <w:sz w:val="26"/>
          <w:szCs w:val="26"/>
        </w:rPr>
        <w:t xml:space="preserve">because </w:t>
      </w:r>
      <w:r w:rsidR="00D0194A">
        <w:rPr>
          <w:sz w:val="26"/>
          <w:szCs w:val="26"/>
        </w:rPr>
        <w:t xml:space="preserve">it is </w:t>
      </w:r>
      <w:r w:rsidRPr="005D4DC6">
        <w:rPr>
          <w:sz w:val="26"/>
          <w:szCs w:val="26"/>
        </w:rPr>
        <w:t>unnecessary and</w:t>
      </w:r>
      <w:r w:rsidR="00D0194A">
        <w:rPr>
          <w:sz w:val="26"/>
          <w:szCs w:val="26"/>
        </w:rPr>
        <w:t xml:space="preserve"> would increase costs.  </w:t>
      </w:r>
      <w:r w:rsidRPr="005D4DC6">
        <w:rPr>
          <w:sz w:val="26"/>
          <w:szCs w:val="26"/>
        </w:rPr>
        <w:t>Duquesne requests that</w:t>
      </w:r>
      <w:r w:rsidR="00D0194A">
        <w:rPr>
          <w:sz w:val="26"/>
          <w:szCs w:val="26"/>
        </w:rPr>
        <w:t xml:space="preserve"> the costs of all mailings that are directed by the Commission be paid by EGSs.</w:t>
      </w:r>
      <w:r w:rsidR="009A7410">
        <w:rPr>
          <w:sz w:val="26"/>
          <w:szCs w:val="26"/>
        </w:rPr>
        <w:t xml:space="preserve">  Duquesne R.Exc. at 16.  </w:t>
      </w:r>
    </w:p>
    <w:p w:rsidR="00060FEE" w:rsidRPr="00060FEE" w:rsidRDefault="00060FEE" w:rsidP="0033060E">
      <w:pPr>
        <w:pStyle w:val="BodyText2"/>
        <w:spacing w:after="0" w:line="360" w:lineRule="auto"/>
        <w:ind w:firstLine="1440"/>
        <w:rPr>
          <w:sz w:val="26"/>
          <w:szCs w:val="26"/>
          <w:lang w:val="en-US"/>
        </w:rPr>
      </w:pPr>
    </w:p>
    <w:p w:rsidR="00E42A63" w:rsidRDefault="000D2DB1" w:rsidP="00E42A63">
      <w:pPr>
        <w:spacing w:line="360" w:lineRule="auto"/>
        <w:ind w:firstLine="1440"/>
        <w:rPr>
          <w:sz w:val="26"/>
          <w:szCs w:val="26"/>
        </w:rPr>
      </w:pPr>
      <w:r w:rsidRPr="005D4DC6">
        <w:rPr>
          <w:sz w:val="26"/>
          <w:szCs w:val="26"/>
        </w:rPr>
        <w:t xml:space="preserve">In its Reply Exceptions, the OCA argues that the ALJ did not err in </w:t>
      </w:r>
      <w:r w:rsidRPr="000D2DB1">
        <w:rPr>
          <w:sz w:val="26"/>
          <w:szCs w:val="26"/>
        </w:rPr>
        <w:t>recommending that Duquesne should provide an additional notice to customers at the en</w:t>
      </w:r>
      <w:r w:rsidR="00D0194A">
        <w:rPr>
          <w:sz w:val="26"/>
          <w:szCs w:val="26"/>
        </w:rPr>
        <w:t xml:space="preserve">d of the Opt-In Program.  </w:t>
      </w:r>
      <w:r w:rsidR="0033060E">
        <w:rPr>
          <w:sz w:val="26"/>
          <w:szCs w:val="26"/>
        </w:rPr>
        <w:t>The OCA claims that t</w:t>
      </w:r>
      <w:r w:rsidR="006C4024">
        <w:rPr>
          <w:sz w:val="26"/>
          <w:szCs w:val="26"/>
        </w:rPr>
        <w:t>he Opt-In P</w:t>
      </w:r>
      <w:r w:rsidRPr="000D2DB1">
        <w:rPr>
          <w:sz w:val="26"/>
          <w:szCs w:val="26"/>
        </w:rPr>
        <w:t xml:space="preserve">rogram is </w:t>
      </w:r>
      <w:r w:rsidRPr="006C4024">
        <w:rPr>
          <w:sz w:val="26"/>
          <w:szCs w:val="26"/>
        </w:rPr>
        <w:t>not</w:t>
      </w:r>
      <w:r w:rsidRPr="000D2DB1">
        <w:rPr>
          <w:sz w:val="26"/>
          <w:szCs w:val="26"/>
        </w:rPr>
        <w:t xml:space="preserve"> a program like others offered by EGSs. </w:t>
      </w:r>
      <w:r w:rsidR="006C4024">
        <w:rPr>
          <w:sz w:val="26"/>
          <w:szCs w:val="26"/>
        </w:rPr>
        <w:t xml:space="preserve"> </w:t>
      </w:r>
      <w:r w:rsidR="00E42A63">
        <w:rPr>
          <w:sz w:val="26"/>
          <w:szCs w:val="26"/>
        </w:rPr>
        <w:t>According to the OCA, i</w:t>
      </w:r>
      <w:r w:rsidR="006C4024">
        <w:rPr>
          <w:sz w:val="26"/>
          <w:szCs w:val="26"/>
        </w:rPr>
        <w:t xml:space="preserve">t </w:t>
      </w:r>
      <w:r w:rsidRPr="000D2DB1">
        <w:rPr>
          <w:sz w:val="26"/>
          <w:szCs w:val="26"/>
        </w:rPr>
        <w:t xml:space="preserve">is a utility-sponsored, Commission-approved program for customers who have been reluctant to enter the competitive market.  As the ALJ noted, </w:t>
      </w:r>
      <w:r w:rsidR="00E42A63">
        <w:rPr>
          <w:sz w:val="26"/>
          <w:szCs w:val="26"/>
        </w:rPr>
        <w:t xml:space="preserve">the OCA avers that </w:t>
      </w:r>
      <w:r w:rsidRPr="000D2DB1">
        <w:rPr>
          <w:sz w:val="26"/>
          <w:szCs w:val="26"/>
        </w:rPr>
        <w:t>a third notice is an important additional step to educ</w:t>
      </w:r>
      <w:r w:rsidR="00D5423B">
        <w:rPr>
          <w:sz w:val="26"/>
          <w:szCs w:val="26"/>
        </w:rPr>
        <w:t xml:space="preserve">ate these consumers.  </w:t>
      </w:r>
      <w:r w:rsidRPr="000D2DB1">
        <w:rPr>
          <w:sz w:val="26"/>
          <w:szCs w:val="26"/>
        </w:rPr>
        <w:t xml:space="preserve">The </w:t>
      </w:r>
      <w:r w:rsidR="006C4024">
        <w:rPr>
          <w:sz w:val="26"/>
          <w:szCs w:val="26"/>
        </w:rPr>
        <w:t xml:space="preserve">OCA states that the </w:t>
      </w:r>
      <w:r w:rsidRPr="000D2DB1">
        <w:rPr>
          <w:sz w:val="26"/>
          <w:szCs w:val="26"/>
        </w:rPr>
        <w:t xml:space="preserve">two notices sent from the EGSs under the Commission regulations are not specifically directed to the end of this special program and will not inform </w:t>
      </w:r>
      <w:r w:rsidR="007509A5">
        <w:rPr>
          <w:sz w:val="26"/>
          <w:szCs w:val="26"/>
        </w:rPr>
        <w:t xml:space="preserve">the </w:t>
      </w:r>
      <w:r w:rsidRPr="000D2DB1">
        <w:rPr>
          <w:sz w:val="26"/>
          <w:szCs w:val="26"/>
        </w:rPr>
        <w:t>customer that this program is coming to an end.</w:t>
      </w:r>
      <w:r w:rsidR="0033060E">
        <w:rPr>
          <w:sz w:val="26"/>
          <w:szCs w:val="26"/>
        </w:rPr>
        <w:t xml:space="preserve">  OCA R.Exc. at 14-16.  </w:t>
      </w:r>
    </w:p>
    <w:p w:rsidR="006D47C0" w:rsidRPr="00EE5722" w:rsidRDefault="000D2DB1" w:rsidP="00E42A63">
      <w:pPr>
        <w:spacing w:line="360" w:lineRule="auto"/>
        <w:ind w:firstLine="1440"/>
        <w:rPr>
          <w:sz w:val="26"/>
          <w:szCs w:val="26"/>
        </w:rPr>
      </w:pPr>
      <w:r w:rsidRPr="000D2DB1">
        <w:rPr>
          <w:sz w:val="26"/>
          <w:szCs w:val="26"/>
        </w:rPr>
        <w:t xml:space="preserve"> </w:t>
      </w:r>
    </w:p>
    <w:p w:rsidR="006D47C0" w:rsidRPr="00EE5722" w:rsidRDefault="008B0F23" w:rsidP="00584C88">
      <w:pPr>
        <w:pStyle w:val="Heading5"/>
        <w:numPr>
          <w:ilvl w:val="0"/>
          <w:numId w:val="0"/>
        </w:numPr>
        <w:ind w:left="3600" w:hanging="720"/>
      </w:pPr>
      <w:bookmarkStart w:id="122" w:name="_Toc346705364"/>
      <w:r>
        <w:t>vi.</w:t>
      </w:r>
      <w:r>
        <w:tab/>
        <w:t>Disposition</w:t>
      </w:r>
      <w:bookmarkEnd w:id="122"/>
    </w:p>
    <w:p w:rsidR="006D47C0" w:rsidRPr="00EE5722" w:rsidRDefault="006D47C0" w:rsidP="00E42A63">
      <w:pPr>
        <w:spacing w:line="360" w:lineRule="auto"/>
        <w:rPr>
          <w:color w:val="000000" w:themeColor="text1"/>
          <w:sz w:val="26"/>
          <w:szCs w:val="26"/>
        </w:rPr>
      </w:pPr>
    </w:p>
    <w:p w:rsidR="00987437" w:rsidRDefault="00987437" w:rsidP="00987437">
      <w:pPr>
        <w:pStyle w:val="BriefL3"/>
        <w:numPr>
          <w:ilvl w:val="0"/>
          <w:numId w:val="0"/>
        </w:numPr>
        <w:tabs>
          <w:tab w:val="left" w:pos="720"/>
        </w:tabs>
        <w:spacing w:after="0" w:line="360" w:lineRule="auto"/>
        <w:ind w:firstLine="1440"/>
        <w:rPr>
          <w:sz w:val="26"/>
          <w:szCs w:val="26"/>
        </w:rPr>
      </w:pPr>
      <w:r>
        <w:rPr>
          <w:sz w:val="26"/>
          <w:szCs w:val="26"/>
        </w:rPr>
        <w:t xml:space="preserve">In consideration of the evidence of record in this proceeding, and consistent with our prior determination in the </w:t>
      </w:r>
      <w:r>
        <w:rPr>
          <w:i/>
          <w:sz w:val="26"/>
          <w:szCs w:val="26"/>
        </w:rPr>
        <w:t xml:space="preserve">PECO DSP Order, </w:t>
      </w:r>
      <w:r>
        <w:rPr>
          <w:sz w:val="26"/>
          <w:szCs w:val="26"/>
        </w:rPr>
        <w:t>we find that the additional third notice requested by the OCA</w:t>
      </w:r>
      <w:r w:rsidR="009D01A7">
        <w:rPr>
          <w:sz w:val="26"/>
          <w:szCs w:val="26"/>
        </w:rPr>
        <w:t>,</w:t>
      </w:r>
      <w:r>
        <w:rPr>
          <w:sz w:val="26"/>
          <w:szCs w:val="26"/>
        </w:rPr>
        <w:t xml:space="preserve"> </w:t>
      </w:r>
      <w:r w:rsidR="009D01A7">
        <w:rPr>
          <w:sz w:val="26"/>
          <w:szCs w:val="26"/>
        </w:rPr>
        <w:t>which</w:t>
      </w:r>
      <w:r>
        <w:rPr>
          <w:sz w:val="26"/>
          <w:szCs w:val="26"/>
        </w:rPr>
        <w:t xml:space="preserve"> would be sent to customers prior to the expiration of the Opt-In Program</w:t>
      </w:r>
      <w:r w:rsidR="00E42A63">
        <w:rPr>
          <w:sz w:val="26"/>
          <w:szCs w:val="26"/>
        </w:rPr>
        <w:t>,</w:t>
      </w:r>
      <w:r>
        <w:rPr>
          <w:sz w:val="26"/>
          <w:szCs w:val="26"/>
        </w:rPr>
        <w:t xml:space="preserve"> is unwarranted.  We also find that there is no reason for treating an Opt-In customer differently from any other customer whose contract with an EGS is about to expire. </w:t>
      </w:r>
      <w:r w:rsidR="00E42A63">
        <w:rPr>
          <w:sz w:val="26"/>
          <w:szCs w:val="26"/>
        </w:rPr>
        <w:t xml:space="preserve"> </w:t>
      </w:r>
      <w:r>
        <w:rPr>
          <w:sz w:val="26"/>
          <w:szCs w:val="26"/>
        </w:rPr>
        <w:t>Accordingly, the recommendation of the ALJ is rejected, the Exceptions of Duquesne and Dominion are granted and the Exceptions of RESA are granted</w:t>
      </w:r>
      <w:r w:rsidR="00E42A63">
        <w:rPr>
          <w:sz w:val="26"/>
          <w:szCs w:val="26"/>
        </w:rPr>
        <w:t>,</w:t>
      </w:r>
      <w:r>
        <w:rPr>
          <w:sz w:val="26"/>
          <w:szCs w:val="26"/>
        </w:rPr>
        <w:t xml:space="preserve"> in part. </w:t>
      </w:r>
    </w:p>
    <w:p w:rsidR="00987437" w:rsidRDefault="00987437" w:rsidP="00987437">
      <w:pPr>
        <w:pStyle w:val="BriefL3"/>
        <w:numPr>
          <w:ilvl w:val="0"/>
          <w:numId w:val="0"/>
        </w:numPr>
        <w:tabs>
          <w:tab w:val="left" w:pos="720"/>
        </w:tabs>
        <w:spacing w:after="0" w:line="360" w:lineRule="auto"/>
        <w:ind w:firstLine="1440"/>
        <w:rPr>
          <w:sz w:val="26"/>
          <w:szCs w:val="26"/>
        </w:rPr>
      </w:pPr>
    </w:p>
    <w:p w:rsidR="00987437" w:rsidRDefault="00987437" w:rsidP="00F11FF2">
      <w:pPr>
        <w:pStyle w:val="BodyText"/>
        <w:spacing w:after="0" w:line="360" w:lineRule="auto"/>
        <w:ind w:left="0"/>
        <w:rPr>
          <w:sz w:val="26"/>
          <w:szCs w:val="26"/>
          <w:lang w:val="en-US"/>
        </w:rPr>
      </w:pPr>
      <w:r>
        <w:rPr>
          <w:sz w:val="26"/>
          <w:szCs w:val="26"/>
        </w:rPr>
        <w:lastRenderedPageBreak/>
        <w:t xml:space="preserve">With regard to RESA’s proposal pertaining to the customer notice requirements prior to enrollment, as </w:t>
      </w:r>
      <w:r w:rsidR="005A6535">
        <w:rPr>
          <w:sz w:val="26"/>
          <w:szCs w:val="26"/>
        </w:rPr>
        <w:t xml:space="preserve">previously discussed </w:t>
      </w:r>
      <w:r>
        <w:rPr>
          <w:sz w:val="26"/>
          <w:szCs w:val="26"/>
        </w:rPr>
        <w:t xml:space="preserve">and consistent with our determination in the </w:t>
      </w:r>
      <w:r>
        <w:rPr>
          <w:i/>
          <w:sz w:val="26"/>
          <w:szCs w:val="26"/>
        </w:rPr>
        <w:t>FirstEnergy DSP Order</w:t>
      </w:r>
      <w:r>
        <w:rPr>
          <w:sz w:val="26"/>
          <w:szCs w:val="26"/>
        </w:rPr>
        <w:t>,</w:t>
      </w:r>
      <w:r>
        <w:rPr>
          <w:i/>
          <w:sz w:val="26"/>
          <w:szCs w:val="26"/>
        </w:rPr>
        <w:t xml:space="preserve"> </w:t>
      </w:r>
      <w:r>
        <w:rPr>
          <w:sz w:val="26"/>
          <w:szCs w:val="26"/>
        </w:rPr>
        <w:t xml:space="preserve">we direct Duquesne, in consultation with other interested Parties to this proceeding, to update its proposals for customer notification, opt-in enrollment and customer assignment to coordinate with the revised Opt-In aggregation program within </w:t>
      </w:r>
      <w:r w:rsidR="00EB1489">
        <w:rPr>
          <w:sz w:val="26"/>
          <w:szCs w:val="26"/>
          <w:lang w:val="en-US"/>
        </w:rPr>
        <w:t>forty-five</w:t>
      </w:r>
      <w:r>
        <w:rPr>
          <w:sz w:val="26"/>
          <w:szCs w:val="26"/>
        </w:rPr>
        <w:t xml:space="preserve"> days of the entry of this Opinion and Order. </w:t>
      </w:r>
    </w:p>
    <w:p w:rsidR="00EB1489" w:rsidRPr="00EB1489" w:rsidRDefault="00EB1489" w:rsidP="00F11FF2">
      <w:pPr>
        <w:pStyle w:val="BodyText"/>
        <w:spacing w:after="0" w:line="360" w:lineRule="auto"/>
        <w:ind w:left="0"/>
        <w:rPr>
          <w:sz w:val="26"/>
          <w:szCs w:val="26"/>
          <w:lang w:val="en-US"/>
        </w:rPr>
      </w:pPr>
    </w:p>
    <w:p w:rsidR="006D47C0" w:rsidRDefault="00987437" w:rsidP="00584C88">
      <w:pPr>
        <w:pStyle w:val="Heading4"/>
        <w:numPr>
          <w:ilvl w:val="0"/>
          <w:numId w:val="0"/>
        </w:numPr>
        <w:ind w:left="2880" w:hanging="720"/>
      </w:pPr>
      <w:bookmarkStart w:id="123" w:name="_Toc346705365"/>
      <w:r>
        <w:t>i</w:t>
      </w:r>
      <w:r w:rsidR="00832E50">
        <w:t>.</w:t>
      </w:r>
      <w:r w:rsidR="00832E50">
        <w:tab/>
        <w:t xml:space="preserve">Opt-In </w:t>
      </w:r>
      <w:r w:rsidR="006D47C0" w:rsidRPr="00EE5722">
        <w:t>Program</w:t>
      </w:r>
      <w:r w:rsidR="00394FDC">
        <w:t xml:space="preserve"> </w:t>
      </w:r>
      <w:r w:rsidR="006D47C0" w:rsidRPr="00EE5722">
        <w:t>A</w:t>
      </w:r>
      <w:r w:rsidR="00394FDC">
        <w:t>greement</w:t>
      </w:r>
      <w:bookmarkEnd w:id="123"/>
    </w:p>
    <w:p w:rsidR="009D01A7" w:rsidRPr="009D01A7" w:rsidRDefault="009D01A7" w:rsidP="00F11FF2">
      <w:pPr>
        <w:pStyle w:val="BodyText"/>
        <w:spacing w:after="0" w:line="360" w:lineRule="auto"/>
        <w:ind w:left="2160" w:firstLine="0"/>
        <w:rPr>
          <w:b/>
          <w:sz w:val="26"/>
          <w:szCs w:val="26"/>
        </w:rPr>
      </w:pPr>
    </w:p>
    <w:p w:rsidR="006D47C0" w:rsidRPr="00EE5722" w:rsidRDefault="00677354" w:rsidP="00584C88">
      <w:pPr>
        <w:pStyle w:val="Heading5"/>
        <w:numPr>
          <w:ilvl w:val="0"/>
          <w:numId w:val="0"/>
        </w:numPr>
        <w:ind w:left="3600" w:hanging="720"/>
      </w:pPr>
      <w:bookmarkStart w:id="124" w:name="_Toc346705366"/>
      <w:r>
        <w:t>i.</w:t>
      </w:r>
      <w:r>
        <w:tab/>
        <w:t>Duquesne</w:t>
      </w:r>
      <w:r w:rsidR="006D47C0" w:rsidRPr="00EE5722">
        <w:t>’s Proposal</w:t>
      </w:r>
      <w:bookmarkEnd w:id="124"/>
    </w:p>
    <w:p w:rsidR="006D47C0" w:rsidRPr="00EE5722" w:rsidRDefault="006D47C0" w:rsidP="00F11FF2">
      <w:pPr>
        <w:pStyle w:val="BodyText"/>
        <w:spacing w:after="0" w:line="360" w:lineRule="auto"/>
        <w:ind w:left="0" w:firstLine="0"/>
        <w:rPr>
          <w:sz w:val="26"/>
          <w:szCs w:val="26"/>
        </w:rPr>
      </w:pPr>
    </w:p>
    <w:p w:rsidR="006D47C0" w:rsidRPr="00987437" w:rsidRDefault="006D47C0" w:rsidP="00F11FF2">
      <w:pPr>
        <w:pStyle w:val="BodyText2"/>
        <w:spacing w:after="0" w:line="360" w:lineRule="auto"/>
        <w:rPr>
          <w:sz w:val="26"/>
          <w:szCs w:val="26"/>
        </w:rPr>
      </w:pPr>
      <w:r w:rsidRPr="00EE5722">
        <w:rPr>
          <w:sz w:val="26"/>
          <w:szCs w:val="26"/>
        </w:rPr>
        <w:tab/>
      </w:r>
      <w:r w:rsidRPr="00EE5722">
        <w:rPr>
          <w:sz w:val="26"/>
          <w:szCs w:val="26"/>
        </w:rPr>
        <w:tab/>
      </w:r>
      <w:r w:rsidR="00677354">
        <w:rPr>
          <w:sz w:val="26"/>
          <w:szCs w:val="26"/>
        </w:rPr>
        <w:t xml:space="preserve">Duquesne </w:t>
      </w:r>
      <w:r w:rsidRPr="00EE5722">
        <w:rPr>
          <w:sz w:val="26"/>
          <w:szCs w:val="26"/>
        </w:rPr>
        <w:t xml:space="preserve">proposed </w:t>
      </w:r>
      <w:r w:rsidR="00832E50">
        <w:rPr>
          <w:sz w:val="26"/>
          <w:szCs w:val="26"/>
        </w:rPr>
        <w:t xml:space="preserve">that </w:t>
      </w:r>
      <w:r w:rsidRPr="00EE5722">
        <w:rPr>
          <w:sz w:val="26"/>
          <w:szCs w:val="26"/>
        </w:rPr>
        <w:t>participating EGS</w:t>
      </w:r>
      <w:r w:rsidR="00987437">
        <w:rPr>
          <w:sz w:val="26"/>
          <w:szCs w:val="26"/>
        </w:rPr>
        <w:t>s be required to enter into an A</w:t>
      </w:r>
      <w:r w:rsidRPr="00EE5722">
        <w:rPr>
          <w:sz w:val="26"/>
          <w:szCs w:val="26"/>
        </w:rPr>
        <w:t>greement with the Co</w:t>
      </w:r>
      <w:r w:rsidR="00832E50">
        <w:rPr>
          <w:sz w:val="26"/>
          <w:szCs w:val="26"/>
        </w:rPr>
        <w:t xml:space="preserve">mpany to participate in the Opt-In Program.  Duquesne </w:t>
      </w:r>
      <w:r w:rsidRPr="00EE5722">
        <w:rPr>
          <w:sz w:val="26"/>
          <w:szCs w:val="26"/>
        </w:rPr>
        <w:t>also proposed RFP procedures</w:t>
      </w:r>
      <w:r w:rsidR="00832E50">
        <w:rPr>
          <w:sz w:val="26"/>
          <w:szCs w:val="26"/>
        </w:rPr>
        <w:t xml:space="preserve">, including </w:t>
      </w:r>
      <w:r w:rsidRPr="00EE5722">
        <w:rPr>
          <w:sz w:val="26"/>
          <w:szCs w:val="26"/>
        </w:rPr>
        <w:t xml:space="preserve">a proposed agreement and RFP rules </w:t>
      </w:r>
      <w:r w:rsidR="00677354">
        <w:rPr>
          <w:sz w:val="26"/>
          <w:szCs w:val="26"/>
        </w:rPr>
        <w:t>an</w:t>
      </w:r>
      <w:r w:rsidR="00832E50">
        <w:rPr>
          <w:sz w:val="26"/>
          <w:szCs w:val="26"/>
        </w:rPr>
        <w:t>d procedures.</w:t>
      </w:r>
      <w:r w:rsidR="00D176DE">
        <w:rPr>
          <w:rStyle w:val="FootnoteReference"/>
          <w:sz w:val="26"/>
          <w:szCs w:val="26"/>
        </w:rPr>
        <w:footnoteReference w:id="87"/>
      </w:r>
      <w:r w:rsidR="00832E50">
        <w:rPr>
          <w:sz w:val="26"/>
          <w:szCs w:val="26"/>
        </w:rPr>
        <w:t xml:space="preserve">  Duquesne St. </w:t>
      </w:r>
      <w:r w:rsidR="00677354">
        <w:rPr>
          <w:sz w:val="26"/>
          <w:szCs w:val="26"/>
        </w:rPr>
        <w:t xml:space="preserve">3 at </w:t>
      </w:r>
      <w:r w:rsidRPr="00EE5722">
        <w:rPr>
          <w:sz w:val="26"/>
          <w:szCs w:val="26"/>
        </w:rPr>
        <w:t>20</w:t>
      </w:r>
      <w:r w:rsidR="00832E50">
        <w:rPr>
          <w:sz w:val="26"/>
          <w:szCs w:val="26"/>
        </w:rPr>
        <w:t xml:space="preserve">; </w:t>
      </w:r>
      <w:r w:rsidR="00650A88">
        <w:rPr>
          <w:sz w:val="26"/>
          <w:szCs w:val="26"/>
        </w:rPr>
        <w:t xml:space="preserve">Duquesne </w:t>
      </w:r>
      <w:r w:rsidRPr="00EE5722">
        <w:rPr>
          <w:sz w:val="26"/>
          <w:szCs w:val="26"/>
        </w:rPr>
        <w:t>Ex</w:t>
      </w:r>
      <w:r w:rsidR="00677354">
        <w:rPr>
          <w:sz w:val="26"/>
          <w:szCs w:val="26"/>
        </w:rPr>
        <w:t>h</w:t>
      </w:r>
      <w:r w:rsidRPr="00EE5722">
        <w:rPr>
          <w:sz w:val="26"/>
          <w:szCs w:val="26"/>
        </w:rPr>
        <w:t>. NSF-2.</w:t>
      </w:r>
    </w:p>
    <w:p w:rsidR="00BD775B" w:rsidRPr="00EE5722" w:rsidRDefault="00BD775B" w:rsidP="00F11FF2">
      <w:pPr>
        <w:pStyle w:val="BodyText2"/>
        <w:spacing w:after="0" w:line="360" w:lineRule="auto"/>
        <w:rPr>
          <w:sz w:val="26"/>
          <w:szCs w:val="26"/>
        </w:rPr>
      </w:pPr>
    </w:p>
    <w:p w:rsidR="006D47C0" w:rsidRPr="003E0EAE" w:rsidRDefault="00677354" w:rsidP="00F11FF2">
      <w:pPr>
        <w:pStyle w:val="BodyText2"/>
        <w:spacing w:after="0" w:line="360" w:lineRule="auto"/>
        <w:rPr>
          <w:sz w:val="26"/>
          <w:szCs w:val="26"/>
        </w:rPr>
      </w:pPr>
      <w:r>
        <w:rPr>
          <w:sz w:val="26"/>
          <w:szCs w:val="26"/>
        </w:rPr>
        <w:tab/>
      </w:r>
      <w:r>
        <w:rPr>
          <w:sz w:val="26"/>
          <w:szCs w:val="26"/>
        </w:rPr>
        <w:tab/>
        <w:t xml:space="preserve">Duquesne </w:t>
      </w:r>
      <w:r w:rsidR="00832E50">
        <w:rPr>
          <w:sz w:val="26"/>
          <w:szCs w:val="26"/>
        </w:rPr>
        <w:t>pointed</w:t>
      </w:r>
      <w:r w:rsidR="006D47C0" w:rsidRPr="00EE5722">
        <w:rPr>
          <w:sz w:val="26"/>
          <w:szCs w:val="26"/>
        </w:rPr>
        <w:t xml:space="preserve"> out </w:t>
      </w:r>
      <w:r w:rsidR="00987437">
        <w:rPr>
          <w:sz w:val="26"/>
          <w:szCs w:val="26"/>
        </w:rPr>
        <w:t xml:space="preserve">that </w:t>
      </w:r>
      <w:r w:rsidR="00832E50">
        <w:rPr>
          <w:sz w:val="26"/>
          <w:szCs w:val="26"/>
        </w:rPr>
        <w:t>Opt-In</w:t>
      </w:r>
      <w:r w:rsidR="006D47C0" w:rsidRPr="00EE5722">
        <w:rPr>
          <w:sz w:val="26"/>
          <w:szCs w:val="26"/>
        </w:rPr>
        <w:t xml:space="preserve"> EGS</w:t>
      </w:r>
      <w:r w:rsidR="00987437">
        <w:rPr>
          <w:sz w:val="26"/>
          <w:szCs w:val="26"/>
        </w:rPr>
        <w:t>s</w:t>
      </w:r>
      <w:r w:rsidR="006D47C0" w:rsidRPr="00EE5722">
        <w:rPr>
          <w:sz w:val="26"/>
          <w:szCs w:val="26"/>
        </w:rPr>
        <w:t xml:space="preserve"> are obligated to take customers who elect to p</w:t>
      </w:r>
      <w:r w:rsidR="00987437">
        <w:rPr>
          <w:sz w:val="26"/>
          <w:szCs w:val="26"/>
        </w:rPr>
        <w:t xml:space="preserve">articipate at the stated </w:t>
      </w:r>
      <w:r w:rsidR="006D47C0" w:rsidRPr="00EE5722">
        <w:rPr>
          <w:sz w:val="26"/>
          <w:szCs w:val="26"/>
        </w:rPr>
        <w:t>price</w:t>
      </w:r>
      <w:r w:rsidR="00832E50">
        <w:rPr>
          <w:sz w:val="26"/>
          <w:szCs w:val="26"/>
        </w:rPr>
        <w:t>,</w:t>
      </w:r>
      <w:r w:rsidR="006D47C0" w:rsidRPr="00EE5722">
        <w:rPr>
          <w:sz w:val="26"/>
          <w:szCs w:val="26"/>
        </w:rPr>
        <w:t xml:space="preserve"> and </w:t>
      </w:r>
      <w:r w:rsidR="00832E50">
        <w:rPr>
          <w:sz w:val="26"/>
          <w:szCs w:val="26"/>
        </w:rPr>
        <w:t>contended that</w:t>
      </w:r>
      <w:r w:rsidR="00987437">
        <w:rPr>
          <w:sz w:val="26"/>
          <w:szCs w:val="26"/>
        </w:rPr>
        <w:t xml:space="preserve"> EGS</w:t>
      </w:r>
      <w:r w:rsidR="006D47C0" w:rsidRPr="00EE5722">
        <w:rPr>
          <w:sz w:val="26"/>
          <w:szCs w:val="26"/>
        </w:rPr>
        <w:t>s should be contractually obligated to live up to such oblig</w:t>
      </w:r>
      <w:r w:rsidR="00832E50">
        <w:rPr>
          <w:sz w:val="26"/>
          <w:szCs w:val="26"/>
        </w:rPr>
        <w:t>ations including the obligation</w:t>
      </w:r>
      <w:r w:rsidR="006D47C0" w:rsidRPr="00EE5722">
        <w:rPr>
          <w:sz w:val="26"/>
          <w:szCs w:val="26"/>
        </w:rPr>
        <w:t xml:space="preserve"> to pay the $5</w:t>
      </w:r>
      <w:r w:rsidR="00987437">
        <w:rPr>
          <w:sz w:val="26"/>
          <w:szCs w:val="26"/>
        </w:rPr>
        <w:t>0 bonus payment to customers.  Duquesne submitted that s</w:t>
      </w:r>
      <w:r w:rsidR="006D47C0" w:rsidRPr="00EE5722">
        <w:rPr>
          <w:sz w:val="26"/>
          <w:szCs w:val="26"/>
        </w:rPr>
        <w:t>ome system must be designed to enforce the obligati</w:t>
      </w:r>
      <w:r w:rsidR="00987437">
        <w:rPr>
          <w:sz w:val="26"/>
          <w:szCs w:val="26"/>
        </w:rPr>
        <w:t>ons of EGSs</w:t>
      </w:r>
      <w:r w:rsidR="006D47C0" w:rsidRPr="00EE5722">
        <w:rPr>
          <w:sz w:val="26"/>
          <w:szCs w:val="26"/>
        </w:rPr>
        <w:t>.  Therefore the EGSs’ contentions that agreements are not necessary should be rejected</w:t>
      </w:r>
      <w:r w:rsidR="00F11FF2">
        <w:rPr>
          <w:sz w:val="26"/>
          <w:szCs w:val="26"/>
        </w:rPr>
        <w:t>, according to Duquesne.</w:t>
      </w:r>
      <w:r w:rsidR="006D47C0" w:rsidRPr="00EE5722">
        <w:rPr>
          <w:sz w:val="26"/>
          <w:szCs w:val="26"/>
        </w:rPr>
        <w:t xml:space="preserve">  Since neither the Company’s Supplier Tariff nor the Company’s Retail Tariff address EG</w:t>
      </w:r>
      <w:r w:rsidR="00832E50">
        <w:rPr>
          <w:sz w:val="26"/>
          <w:szCs w:val="26"/>
        </w:rPr>
        <w:t xml:space="preserve">S obligations </w:t>
      </w:r>
      <w:r w:rsidR="00832E50">
        <w:rPr>
          <w:sz w:val="26"/>
          <w:szCs w:val="26"/>
        </w:rPr>
        <w:lastRenderedPageBreak/>
        <w:t>under this new Opt-In</w:t>
      </w:r>
      <w:r w:rsidR="006D47C0" w:rsidRPr="00EE5722">
        <w:rPr>
          <w:sz w:val="26"/>
          <w:szCs w:val="26"/>
        </w:rPr>
        <w:t xml:space="preserve"> Program, </w:t>
      </w:r>
      <w:r w:rsidR="00832E50">
        <w:rPr>
          <w:sz w:val="26"/>
          <w:szCs w:val="26"/>
        </w:rPr>
        <w:t xml:space="preserve">Duquesne submitted that </w:t>
      </w:r>
      <w:r w:rsidR="006D47C0" w:rsidRPr="00EE5722">
        <w:rPr>
          <w:sz w:val="26"/>
          <w:szCs w:val="26"/>
        </w:rPr>
        <w:t>standardized rules and procedures are necessary.</w:t>
      </w:r>
      <w:r w:rsidR="006D47C0" w:rsidRPr="00EE5722">
        <w:rPr>
          <w:rStyle w:val="FootnoteReference"/>
          <w:sz w:val="26"/>
          <w:szCs w:val="26"/>
        </w:rPr>
        <w:footnoteReference w:id="88"/>
      </w:r>
    </w:p>
    <w:p w:rsidR="006D47C0" w:rsidRPr="00EE5722" w:rsidRDefault="006D47C0" w:rsidP="00F11FF2">
      <w:pPr>
        <w:pStyle w:val="BodyText"/>
        <w:spacing w:after="0" w:line="360" w:lineRule="auto"/>
        <w:ind w:left="0" w:firstLine="0"/>
        <w:rPr>
          <w:sz w:val="26"/>
          <w:szCs w:val="26"/>
        </w:rPr>
      </w:pPr>
    </w:p>
    <w:p w:rsidR="006D47C0" w:rsidRPr="00584C88" w:rsidRDefault="006D47C0" w:rsidP="009A739B">
      <w:pPr>
        <w:pStyle w:val="Heading5"/>
        <w:numPr>
          <w:ilvl w:val="0"/>
          <w:numId w:val="23"/>
        </w:numPr>
      </w:pPr>
      <w:bookmarkStart w:id="125" w:name="_Toc346705367"/>
      <w:r w:rsidRPr="00584C88">
        <w:t>Position</w:t>
      </w:r>
      <w:r w:rsidR="00832E50" w:rsidRPr="00584C88">
        <w:t>s of the Parties</w:t>
      </w:r>
      <w:bookmarkEnd w:id="125"/>
    </w:p>
    <w:p w:rsidR="00832E50" w:rsidRPr="00EE5722" w:rsidRDefault="00832E50" w:rsidP="00F11FF2">
      <w:pPr>
        <w:pStyle w:val="BriefL3"/>
        <w:numPr>
          <w:ilvl w:val="0"/>
          <w:numId w:val="0"/>
        </w:numPr>
        <w:spacing w:after="0" w:line="360" w:lineRule="auto"/>
        <w:ind w:left="2880"/>
        <w:rPr>
          <w:b/>
          <w:sz w:val="26"/>
          <w:szCs w:val="26"/>
        </w:rPr>
      </w:pPr>
    </w:p>
    <w:p w:rsidR="00832E50" w:rsidRPr="00481779" w:rsidRDefault="00832E50" w:rsidP="00F11FF2">
      <w:pPr>
        <w:pStyle w:val="BodyText2"/>
        <w:spacing w:after="0" w:line="360" w:lineRule="auto"/>
        <w:ind w:firstLine="1440"/>
        <w:rPr>
          <w:sz w:val="26"/>
          <w:szCs w:val="26"/>
        </w:rPr>
      </w:pPr>
      <w:r>
        <w:rPr>
          <w:sz w:val="26"/>
          <w:szCs w:val="26"/>
        </w:rPr>
        <w:t>RESA did</w:t>
      </w:r>
      <w:r w:rsidRPr="00EE5722">
        <w:rPr>
          <w:sz w:val="26"/>
          <w:szCs w:val="26"/>
        </w:rPr>
        <w:t xml:space="preserve"> </w:t>
      </w:r>
      <w:r w:rsidR="00987437">
        <w:rPr>
          <w:sz w:val="26"/>
          <w:szCs w:val="26"/>
        </w:rPr>
        <w:t>not support requiring EGS</w:t>
      </w:r>
      <w:r w:rsidRPr="00EE5722">
        <w:rPr>
          <w:sz w:val="26"/>
          <w:szCs w:val="26"/>
        </w:rPr>
        <w:t xml:space="preserve">s to execute Duquesne’s </w:t>
      </w:r>
      <w:r w:rsidR="00D176DE">
        <w:rPr>
          <w:sz w:val="26"/>
          <w:szCs w:val="26"/>
        </w:rPr>
        <w:t xml:space="preserve">proposed Opt-In </w:t>
      </w:r>
      <w:r w:rsidRPr="00EE5722">
        <w:rPr>
          <w:sz w:val="26"/>
          <w:szCs w:val="26"/>
        </w:rPr>
        <w:t xml:space="preserve">Agreement.  </w:t>
      </w:r>
      <w:r>
        <w:rPr>
          <w:sz w:val="26"/>
          <w:szCs w:val="26"/>
        </w:rPr>
        <w:t>RESA argued that</w:t>
      </w:r>
      <w:r w:rsidRPr="00EE5722">
        <w:rPr>
          <w:sz w:val="26"/>
          <w:szCs w:val="26"/>
        </w:rPr>
        <w:t xml:space="preserve"> the proposed Agreement is unnecessary and unreasonable because the relationship between an EDC and an EGS is already governed by existing agreements, and because it is one-sided.  </w:t>
      </w:r>
      <w:r w:rsidR="00F11FF2">
        <w:rPr>
          <w:sz w:val="26"/>
          <w:szCs w:val="26"/>
        </w:rPr>
        <w:t>RESA stated that t</w:t>
      </w:r>
      <w:r w:rsidRPr="00EE5722">
        <w:rPr>
          <w:sz w:val="26"/>
          <w:szCs w:val="26"/>
        </w:rPr>
        <w:t>he proposed Agreement contains no obligations on the part of Duquesne</w:t>
      </w:r>
      <w:r w:rsidR="00D176DE">
        <w:rPr>
          <w:sz w:val="26"/>
          <w:szCs w:val="26"/>
        </w:rPr>
        <w:t>,</w:t>
      </w:r>
      <w:r w:rsidRPr="00EE5722">
        <w:rPr>
          <w:sz w:val="26"/>
          <w:szCs w:val="26"/>
        </w:rPr>
        <w:t xml:space="preserve"> while it requires broad indemnifications and warranties on the part of EGSs.</w:t>
      </w:r>
      <w:r w:rsidR="00D176DE">
        <w:rPr>
          <w:sz w:val="26"/>
          <w:szCs w:val="26"/>
        </w:rPr>
        <w:t xml:space="preserve">  </w:t>
      </w:r>
      <w:r>
        <w:rPr>
          <w:sz w:val="26"/>
          <w:szCs w:val="26"/>
        </w:rPr>
        <w:t>RESA recommended that</w:t>
      </w:r>
      <w:r w:rsidRPr="00EE5722">
        <w:rPr>
          <w:sz w:val="26"/>
          <w:szCs w:val="26"/>
        </w:rPr>
        <w:t xml:space="preserve"> the Commission rule on the par</w:t>
      </w:r>
      <w:r w:rsidR="00D176DE">
        <w:rPr>
          <w:sz w:val="26"/>
          <w:szCs w:val="26"/>
        </w:rPr>
        <w:t>ameters that will apply to the P</w:t>
      </w:r>
      <w:r w:rsidRPr="00EE5722">
        <w:rPr>
          <w:sz w:val="26"/>
          <w:szCs w:val="26"/>
        </w:rPr>
        <w:t>rogram</w:t>
      </w:r>
      <w:r>
        <w:rPr>
          <w:sz w:val="26"/>
          <w:szCs w:val="26"/>
        </w:rPr>
        <w:t xml:space="preserve"> and establish </w:t>
      </w:r>
      <w:r w:rsidRPr="00EE5722">
        <w:rPr>
          <w:sz w:val="26"/>
          <w:szCs w:val="26"/>
        </w:rPr>
        <w:t xml:space="preserve">a collaborative process for determining what legal requirements, if any, </w:t>
      </w:r>
      <w:r w:rsidR="00D176DE">
        <w:rPr>
          <w:sz w:val="26"/>
          <w:szCs w:val="26"/>
        </w:rPr>
        <w:t>are necessary to implement the Opt-In P</w:t>
      </w:r>
      <w:r w:rsidRPr="00EE5722">
        <w:rPr>
          <w:sz w:val="26"/>
          <w:szCs w:val="26"/>
        </w:rPr>
        <w:t>rogram and what form those requirements should take.</w:t>
      </w:r>
    </w:p>
    <w:p w:rsidR="006D47C0" w:rsidRPr="00EE5722" w:rsidRDefault="00832E50" w:rsidP="00F11FF2">
      <w:pPr>
        <w:pStyle w:val="BodyText2"/>
        <w:spacing w:after="0" w:line="360" w:lineRule="auto"/>
        <w:ind w:firstLine="1440"/>
        <w:rPr>
          <w:sz w:val="26"/>
          <w:szCs w:val="26"/>
        </w:rPr>
      </w:pPr>
      <w:r>
        <w:rPr>
          <w:sz w:val="26"/>
          <w:szCs w:val="26"/>
        </w:rPr>
        <w:t xml:space="preserve">The </w:t>
      </w:r>
      <w:r w:rsidR="006D47C0" w:rsidRPr="00EE5722">
        <w:rPr>
          <w:sz w:val="26"/>
          <w:szCs w:val="26"/>
        </w:rPr>
        <w:t>OCA</w:t>
      </w:r>
      <w:r>
        <w:rPr>
          <w:sz w:val="26"/>
          <w:szCs w:val="26"/>
        </w:rPr>
        <w:t>, the OSBA, CAUSE, Citizen Power, DII, Domin</w:t>
      </w:r>
      <w:r w:rsidR="008F3443">
        <w:rPr>
          <w:sz w:val="26"/>
          <w:szCs w:val="26"/>
        </w:rPr>
        <w:t>ion, FES and Constellation</w:t>
      </w:r>
      <w:r>
        <w:rPr>
          <w:sz w:val="26"/>
          <w:szCs w:val="26"/>
        </w:rPr>
        <w:t xml:space="preserve"> took </w:t>
      </w:r>
      <w:r w:rsidR="006D47C0" w:rsidRPr="00EE5722">
        <w:rPr>
          <w:sz w:val="26"/>
          <w:szCs w:val="26"/>
        </w:rPr>
        <w:t>no position on this issue.</w:t>
      </w:r>
    </w:p>
    <w:p w:rsidR="006D47C0" w:rsidRPr="00EE5722" w:rsidRDefault="006D47C0" w:rsidP="00F11FF2">
      <w:pPr>
        <w:pStyle w:val="BriefL3"/>
        <w:numPr>
          <w:ilvl w:val="0"/>
          <w:numId w:val="0"/>
        </w:numPr>
        <w:spacing w:after="0" w:line="360" w:lineRule="auto"/>
        <w:ind w:left="1440" w:hanging="720"/>
        <w:rPr>
          <w:b/>
          <w:sz w:val="26"/>
          <w:szCs w:val="26"/>
        </w:rPr>
      </w:pPr>
    </w:p>
    <w:p w:rsidR="006D47C0" w:rsidRDefault="00832E50" w:rsidP="00584C88">
      <w:pPr>
        <w:pStyle w:val="Heading5"/>
      </w:pPr>
      <w:bookmarkStart w:id="126" w:name="_Toc346705368"/>
      <w:r>
        <w:t>ALJ’s Recommendation</w:t>
      </w:r>
      <w:bookmarkEnd w:id="126"/>
      <w:r w:rsidR="00F11FF2">
        <w:t xml:space="preserve"> </w:t>
      </w:r>
    </w:p>
    <w:p w:rsidR="00FA0660" w:rsidRPr="00EE5722" w:rsidRDefault="00FA0660" w:rsidP="00D176DE">
      <w:pPr>
        <w:pStyle w:val="BriefL3"/>
        <w:numPr>
          <w:ilvl w:val="0"/>
          <w:numId w:val="0"/>
        </w:numPr>
        <w:spacing w:after="0" w:line="360" w:lineRule="auto"/>
        <w:ind w:left="2880"/>
        <w:rPr>
          <w:b/>
          <w:sz w:val="26"/>
          <w:szCs w:val="26"/>
        </w:rPr>
      </w:pPr>
    </w:p>
    <w:p w:rsidR="00FA0660" w:rsidRPr="00677354" w:rsidRDefault="00FA0660" w:rsidP="00F11FF2">
      <w:pPr>
        <w:pStyle w:val="BodyText"/>
        <w:spacing w:after="0" w:line="360" w:lineRule="auto"/>
        <w:ind w:left="0"/>
        <w:rPr>
          <w:color w:val="000000" w:themeColor="text1"/>
          <w:sz w:val="26"/>
          <w:szCs w:val="26"/>
        </w:rPr>
      </w:pPr>
      <w:r>
        <w:rPr>
          <w:color w:val="000000" w:themeColor="text1"/>
          <w:sz w:val="26"/>
          <w:szCs w:val="26"/>
        </w:rPr>
        <w:t>The ALJ</w:t>
      </w:r>
      <w:r w:rsidRPr="00EE5722">
        <w:rPr>
          <w:color w:val="000000" w:themeColor="text1"/>
          <w:sz w:val="26"/>
          <w:szCs w:val="26"/>
        </w:rPr>
        <w:t xml:space="preserve"> recommend</w:t>
      </w:r>
      <w:r>
        <w:rPr>
          <w:color w:val="000000" w:themeColor="text1"/>
          <w:sz w:val="26"/>
          <w:szCs w:val="26"/>
        </w:rPr>
        <w:t>ed</w:t>
      </w:r>
      <w:r w:rsidRPr="00EE5722">
        <w:rPr>
          <w:color w:val="000000" w:themeColor="text1"/>
          <w:sz w:val="26"/>
          <w:szCs w:val="26"/>
        </w:rPr>
        <w:t xml:space="preserve"> approving Duquesn</w:t>
      </w:r>
      <w:r>
        <w:rPr>
          <w:color w:val="000000" w:themeColor="text1"/>
          <w:sz w:val="26"/>
          <w:szCs w:val="26"/>
        </w:rPr>
        <w:t>e</w:t>
      </w:r>
      <w:r w:rsidRPr="00EE5722">
        <w:rPr>
          <w:color w:val="000000" w:themeColor="text1"/>
          <w:sz w:val="26"/>
          <w:szCs w:val="26"/>
        </w:rPr>
        <w:t xml:space="preserve">’s proposal that the EGSs should be required to sign </w:t>
      </w:r>
      <w:r w:rsidR="00D176DE">
        <w:rPr>
          <w:color w:val="000000" w:themeColor="text1"/>
          <w:sz w:val="26"/>
          <w:szCs w:val="26"/>
        </w:rPr>
        <w:t>the proposed A</w:t>
      </w:r>
      <w:r w:rsidR="00F11FF2">
        <w:rPr>
          <w:color w:val="000000" w:themeColor="text1"/>
          <w:sz w:val="26"/>
          <w:szCs w:val="26"/>
        </w:rPr>
        <w:t>greement,</w:t>
      </w:r>
      <w:r w:rsidR="00EB7BA1">
        <w:rPr>
          <w:color w:val="000000" w:themeColor="text1"/>
          <w:sz w:val="26"/>
          <w:szCs w:val="26"/>
        </w:rPr>
        <w:t xml:space="preserve"> a copy of which wa</w:t>
      </w:r>
      <w:r w:rsidRPr="00EE5722">
        <w:rPr>
          <w:color w:val="000000" w:themeColor="text1"/>
          <w:sz w:val="26"/>
          <w:szCs w:val="26"/>
        </w:rPr>
        <w:t>s attached to the Company’s Statement No. 3 as Exhibit NSF-2</w:t>
      </w:r>
      <w:r w:rsidR="00F11FF2">
        <w:rPr>
          <w:color w:val="000000" w:themeColor="text1"/>
          <w:sz w:val="26"/>
          <w:szCs w:val="26"/>
        </w:rPr>
        <w:t>,</w:t>
      </w:r>
      <w:r w:rsidRPr="00EE5722">
        <w:rPr>
          <w:color w:val="000000" w:themeColor="text1"/>
          <w:sz w:val="26"/>
          <w:szCs w:val="26"/>
        </w:rPr>
        <w:t xml:space="preserve"> with the Company</w:t>
      </w:r>
      <w:r>
        <w:rPr>
          <w:color w:val="000000" w:themeColor="text1"/>
          <w:sz w:val="26"/>
          <w:szCs w:val="26"/>
        </w:rPr>
        <w:t xml:space="preserve"> before participating in the Opt-In</w:t>
      </w:r>
      <w:r w:rsidR="00D176DE">
        <w:rPr>
          <w:color w:val="000000" w:themeColor="text1"/>
          <w:sz w:val="26"/>
          <w:szCs w:val="26"/>
        </w:rPr>
        <w:t xml:space="preserve"> Program</w:t>
      </w:r>
      <w:r>
        <w:rPr>
          <w:color w:val="000000" w:themeColor="text1"/>
          <w:sz w:val="26"/>
          <w:szCs w:val="26"/>
        </w:rPr>
        <w:t xml:space="preserve">.  The </w:t>
      </w:r>
      <w:r w:rsidR="00D176DE">
        <w:rPr>
          <w:color w:val="000000" w:themeColor="text1"/>
          <w:sz w:val="26"/>
          <w:szCs w:val="26"/>
        </w:rPr>
        <w:t>ALJ stated that t</w:t>
      </w:r>
      <w:r w:rsidRPr="00EE5722">
        <w:rPr>
          <w:color w:val="000000" w:themeColor="text1"/>
          <w:sz w:val="26"/>
          <w:szCs w:val="26"/>
        </w:rPr>
        <w:t>here is a</w:t>
      </w:r>
      <w:r w:rsidR="00D176DE">
        <w:rPr>
          <w:color w:val="000000" w:themeColor="text1"/>
          <w:sz w:val="26"/>
          <w:szCs w:val="26"/>
        </w:rPr>
        <w:t xml:space="preserve"> lot at stake </w:t>
      </w:r>
      <w:r w:rsidRPr="00EE5722">
        <w:rPr>
          <w:color w:val="000000" w:themeColor="text1"/>
          <w:sz w:val="26"/>
          <w:szCs w:val="26"/>
        </w:rPr>
        <w:t xml:space="preserve">and EGSs should be required to indicate in writing the knowledge of their obligation to take customers who elect to participate.  </w:t>
      </w:r>
      <w:r w:rsidR="00F11FF2">
        <w:rPr>
          <w:color w:val="000000" w:themeColor="text1"/>
          <w:sz w:val="26"/>
          <w:szCs w:val="26"/>
        </w:rPr>
        <w:t xml:space="preserve">The ALJ recommended that </w:t>
      </w:r>
      <w:r w:rsidRPr="00EE5722">
        <w:rPr>
          <w:color w:val="000000" w:themeColor="text1"/>
          <w:sz w:val="26"/>
          <w:szCs w:val="26"/>
        </w:rPr>
        <w:t xml:space="preserve">EGSs should be obligated by contract to </w:t>
      </w:r>
      <w:r w:rsidRPr="00EE5722">
        <w:rPr>
          <w:color w:val="000000" w:themeColor="text1"/>
          <w:sz w:val="26"/>
          <w:szCs w:val="26"/>
        </w:rPr>
        <w:lastRenderedPageBreak/>
        <w:t xml:space="preserve">live up to their assertions, including the obligation to pay the $50 bonus payment to participating customers.  </w:t>
      </w:r>
      <w:r w:rsidR="00F11FF2">
        <w:rPr>
          <w:color w:val="000000" w:themeColor="text1"/>
          <w:sz w:val="26"/>
          <w:szCs w:val="26"/>
        </w:rPr>
        <w:t>According to the ALJ, t</w:t>
      </w:r>
      <w:r w:rsidRPr="00EE5722">
        <w:rPr>
          <w:color w:val="000000" w:themeColor="text1"/>
          <w:sz w:val="26"/>
          <w:szCs w:val="26"/>
        </w:rPr>
        <w:t>o do oth</w:t>
      </w:r>
      <w:r>
        <w:rPr>
          <w:color w:val="000000" w:themeColor="text1"/>
          <w:sz w:val="26"/>
          <w:szCs w:val="26"/>
        </w:rPr>
        <w:t xml:space="preserve">erwise would put Duquesne </w:t>
      </w:r>
      <w:r w:rsidRPr="00EE5722">
        <w:rPr>
          <w:color w:val="000000" w:themeColor="text1"/>
          <w:sz w:val="26"/>
          <w:szCs w:val="26"/>
        </w:rPr>
        <w:t xml:space="preserve">and its default service customers in an </w:t>
      </w:r>
      <w:r>
        <w:rPr>
          <w:color w:val="000000" w:themeColor="text1"/>
          <w:sz w:val="26"/>
          <w:szCs w:val="26"/>
        </w:rPr>
        <w:t>unfair and untenable position.</w:t>
      </w:r>
      <w:r w:rsidR="00F11FF2">
        <w:rPr>
          <w:color w:val="000000" w:themeColor="text1"/>
          <w:sz w:val="26"/>
          <w:szCs w:val="26"/>
        </w:rPr>
        <w:t xml:space="preserve">  R.D. at 105.</w:t>
      </w:r>
    </w:p>
    <w:p w:rsidR="006D47C0" w:rsidRPr="00FA0660" w:rsidRDefault="006D47C0" w:rsidP="00F11FF2">
      <w:pPr>
        <w:pStyle w:val="BodyText2"/>
        <w:spacing w:after="0" w:line="360" w:lineRule="auto"/>
        <w:rPr>
          <w:sz w:val="26"/>
          <w:szCs w:val="26"/>
        </w:rPr>
      </w:pPr>
    </w:p>
    <w:p w:rsidR="006D47C0" w:rsidRPr="00EE5722" w:rsidRDefault="00832E50" w:rsidP="00584C88">
      <w:pPr>
        <w:pStyle w:val="Heading5"/>
        <w:numPr>
          <w:ilvl w:val="0"/>
          <w:numId w:val="0"/>
        </w:numPr>
        <w:ind w:left="3600" w:hanging="720"/>
      </w:pPr>
      <w:bookmarkStart w:id="127" w:name="_Toc346705369"/>
      <w:r>
        <w:t>iv.</w:t>
      </w:r>
      <w:r>
        <w:tab/>
        <w:t>Exceptions</w:t>
      </w:r>
      <w:bookmarkEnd w:id="127"/>
    </w:p>
    <w:p w:rsidR="00366E53" w:rsidRDefault="00366E53" w:rsidP="000B0447">
      <w:pPr>
        <w:pStyle w:val="Heading3"/>
      </w:pPr>
    </w:p>
    <w:p w:rsidR="00366E53" w:rsidRPr="00413CB0" w:rsidRDefault="00366E53" w:rsidP="00FC6DB7">
      <w:pPr>
        <w:pStyle w:val="BodyText2"/>
        <w:spacing w:after="0" w:line="360" w:lineRule="auto"/>
        <w:ind w:firstLine="1440"/>
        <w:rPr>
          <w:sz w:val="26"/>
          <w:szCs w:val="26"/>
        </w:rPr>
      </w:pPr>
      <w:r w:rsidRPr="00413CB0">
        <w:rPr>
          <w:sz w:val="26"/>
          <w:szCs w:val="26"/>
        </w:rPr>
        <w:t>RESA argues that the ALJ erred in recommending that EGSs be required to sign the Opt-In</w:t>
      </w:r>
      <w:r w:rsidR="00D176DE">
        <w:rPr>
          <w:sz w:val="26"/>
          <w:szCs w:val="26"/>
        </w:rPr>
        <w:t xml:space="preserve"> Program Agreement, which </w:t>
      </w:r>
      <w:r w:rsidRPr="00413CB0">
        <w:rPr>
          <w:sz w:val="26"/>
          <w:szCs w:val="26"/>
        </w:rPr>
        <w:t>is unnecessary and unreasonable.</w:t>
      </w:r>
      <w:r w:rsidR="00D176DE">
        <w:rPr>
          <w:sz w:val="26"/>
          <w:szCs w:val="26"/>
        </w:rPr>
        <w:t xml:space="preserve">  According to RESA, the </w:t>
      </w:r>
      <w:r w:rsidR="00413CB0">
        <w:rPr>
          <w:sz w:val="26"/>
          <w:szCs w:val="26"/>
        </w:rPr>
        <w:t xml:space="preserve">Commission </w:t>
      </w:r>
      <w:r w:rsidR="00D176DE">
        <w:rPr>
          <w:sz w:val="26"/>
          <w:szCs w:val="26"/>
        </w:rPr>
        <w:t xml:space="preserve">reached this conclusion </w:t>
      </w:r>
      <w:r w:rsidRPr="00413CB0">
        <w:rPr>
          <w:sz w:val="26"/>
          <w:szCs w:val="26"/>
        </w:rPr>
        <w:t xml:space="preserve">in the </w:t>
      </w:r>
      <w:r w:rsidRPr="00413CB0">
        <w:rPr>
          <w:i/>
          <w:sz w:val="26"/>
          <w:szCs w:val="26"/>
        </w:rPr>
        <w:t>F</w:t>
      </w:r>
      <w:r w:rsidR="00D176DE">
        <w:rPr>
          <w:i/>
          <w:sz w:val="26"/>
          <w:szCs w:val="26"/>
        </w:rPr>
        <w:t>irstEnergy DSP Order</w:t>
      </w:r>
      <w:r w:rsidRPr="00413CB0">
        <w:rPr>
          <w:sz w:val="26"/>
          <w:szCs w:val="26"/>
        </w:rPr>
        <w:t xml:space="preserve"> on virtually identical issues.</w:t>
      </w:r>
      <w:r w:rsidRPr="00413CB0">
        <w:rPr>
          <w:rStyle w:val="FootnoteReference"/>
          <w:sz w:val="26"/>
          <w:szCs w:val="26"/>
        </w:rPr>
        <w:footnoteReference w:id="89"/>
      </w:r>
      <w:r w:rsidR="00481779">
        <w:rPr>
          <w:sz w:val="26"/>
          <w:szCs w:val="26"/>
        </w:rPr>
        <w:t xml:space="preserve">  RESA recommended </w:t>
      </w:r>
      <w:r w:rsidRPr="00413CB0">
        <w:rPr>
          <w:sz w:val="26"/>
          <w:szCs w:val="26"/>
        </w:rPr>
        <w:t>that the Commission follow the precedent established in th</w:t>
      </w:r>
      <w:r w:rsidR="00481779">
        <w:rPr>
          <w:sz w:val="26"/>
          <w:szCs w:val="26"/>
        </w:rPr>
        <w:t xml:space="preserve">e FirstEnergy </w:t>
      </w:r>
      <w:r w:rsidR="00F11FF2">
        <w:rPr>
          <w:sz w:val="26"/>
          <w:szCs w:val="26"/>
        </w:rPr>
        <w:t xml:space="preserve">DSP </w:t>
      </w:r>
      <w:r w:rsidR="00481779">
        <w:rPr>
          <w:sz w:val="26"/>
          <w:szCs w:val="26"/>
        </w:rPr>
        <w:t>and PECO DSP proceedings,</w:t>
      </w:r>
      <w:r w:rsidRPr="00413CB0">
        <w:rPr>
          <w:sz w:val="26"/>
          <w:szCs w:val="26"/>
        </w:rPr>
        <w:t xml:space="preserve"> and est</w:t>
      </w:r>
      <w:r w:rsidR="00481779">
        <w:rPr>
          <w:sz w:val="26"/>
          <w:szCs w:val="26"/>
        </w:rPr>
        <w:t>ablish a collaborative for the P</w:t>
      </w:r>
      <w:r w:rsidRPr="00413CB0">
        <w:rPr>
          <w:sz w:val="26"/>
          <w:szCs w:val="26"/>
        </w:rPr>
        <w:t>arties to address issues relating to the terms and conditions surround</w:t>
      </w:r>
      <w:r w:rsidR="00413CB0">
        <w:rPr>
          <w:sz w:val="26"/>
          <w:szCs w:val="26"/>
        </w:rPr>
        <w:t>ing EGS participation in the Opt-In</w:t>
      </w:r>
      <w:r w:rsidR="00481779">
        <w:rPr>
          <w:sz w:val="26"/>
          <w:szCs w:val="26"/>
        </w:rPr>
        <w:t xml:space="preserve"> P</w:t>
      </w:r>
      <w:r w:rsidRPr="00413CB0">
        <w:rPr>
          <w:sz w:val="26"/>
          <w:szCs w:val="26"/>
        </w:rPr>
        <w:t xml:space="preserve">rogram.  </w:t>
      </w:r>
      <w:r w:rsidR="00F11FF2">
        <w:rPr>
          <w:sz w:val="26"/>
          <w:szCs w:val="26"/>
        </w:rPr>
        <w:t>RESA avers that t</w:t>
      </w:r>
      <w:r w:rsidRPr="00413CB0">
        <w:rPr>
          <w:sz w:val="26"/>
          <w:szCs w:val="26"/>
        </w:rPr>
        <w:t>he Commission recently concluded that “the EGS applications and form agreements relating to the RME Programs are dependent upon overall program design decisions, including cost recovery for the RME Programs.”</w:t>
      </w:r>
      <w:r w:rsidRPr="00413CB0">
        <w:rPr>
          <w:rStyle w:val="FootnoteReference"/>
          <w:sz w:val="26"/>
          <w:szCs w:val="26"/>
        </w:rPr>
        <w:footnoteReference w:id="90"/>
      </w:r>
      <w:r w:rsidR="00FC6DB7">
        <w:rPr>
          <w:sz w:val="26"/>
          <w:szCs w:val="26"/>
        </w:rPr>
        <w:t xml:space="preserve">  RESA Exc. at 27.  </w:t>
      </w:r>
      <w:r w:rsidRPr="00413CB0">
        <w:rPr>
          <w:sz w:val="26"/>
          <w:szCs w:val="26"/>
        </w:rPr>
        <w:t xml:space="preserve"> </w:t>
      </w:r>
    </w:p>
    <w:p w:rsidR="006D47C0" w:rsidRPr="00832E50" w:rsidRDefault="006D47C0" w:rsidP="00FC6DB7">
      <w:pPr>
        <w:pStyle w:val="BodyText2"/>
        <w:spacing w:after="0" w:line="360" w:lineRule="auto"/>
        <w:rPr>
          <w:sz w:val="26"/>
          <w:szCs w:val="26"/>
        </w:rPr>
      </w:pPr>
      <w:r w:rsidRPr="00EE5722">
        <w:rPr>
          <w:sz w:val="26"/>
          <w:szCs w:val="26"/>
        </w:rPr>
        <w:tab/>
      </w:r>
      <w:r w:rsidRPr="00EE5722">
        <w:rPr>
          <w:sz w:val="26"/>
          <w:szCs w:val="26"/>
        </w:rPr>
        <w:tab/>
      </w:r>
    </w:p>
    <w:p w:rsidR="006D47C0" w:rsidRDefault="00B2607D" w:rsidP="00584C88">
      <w:pPr>
        <w:pStyle w:val="Heading5"/>
        <w:numPr>
          <w:ilvl w:val="0"/>
          <w:numId w:val="0"/>
        </w:numPr>
        <w:ind w:left="3600" w:hanging="720"/>
      </w:pPr>
      <w:bookmarkStart w:id="128" w:name="_Toc346705370"/>
      <w:r>
        <w:t>v.</w:t>
      </w:r>
      <w:r>
        <w:tab/>
      </w:r>
      <w:r w:rsidR="00FA0660">
        <w:t>Reply Exceptions</w:t>
      </w:r>
      <w:bookmarkEnd w:id="128"/>
    </w:p>
    <w:p w:rsidR="00531337" w:rsidRPr="00EE5722" w:rsidRDefault="00531337" w:rsidP="00FC6DB7">
      <w:pPr>
        <w:pStyle w:val="BriefL3"/>
        <w:numPr>
          <w:ilvl w:val="0"/>
          <w:numId w:val="0"/>
        </w:numPr>
        <w:tabs>
          <w:tab w:val="left" w:pos="810"/>
        </w:tabs>
        <w:spacing w:after="0" w:line="360" w:lineRule="auto"/>
        <w:ind w:left="2880"/>
        <w:rPr>
          <w:b/>
          <w:sz w:val="26"/>
          <w:szCs w:val="26"/>
        </w:rPr>
      </w:pPr>
    </w:p>
    <w:p w:rsidR="001D4288" w:rsidRPr="00FC6DB7" w:rsidRDefault="001D4288" w:rsidP="00FC6DB7">
      <w:pPr>
        <w:pStyle w:val="BodyText2"/>
        <w:spacing w:after="0" w:line="360" w:lineRule="auto"/>
        <w:ind w:firstLine="1440"/>
        <w:rPr>
          <w:sz w:val="26"/>
          <w:szCs w:val="26"/>
        </w:rPr>
      </w:pPr>
      <w:r w:rsidRPr="001D4288">
        <w:rPr>
          <w:sz w:val="26"/>
          <w:szCs w:val="26"/>
        </w:rPr>
        <w:t>In its Reply Exceptions, Duquesne argues that the ALJ’s recommendation to approve Duquesne’s proposed Opt-In Program Agreement shou</w:t>
      </w:r>
      <w:r w:rsidR="00FC6DB7">
        <w:rPr>
          <w:sz w:val="26"/>
          <w:szCs w:val="26"/>
        </w:rPr>
        <w:t xml:space="preserve">ld be adopted. </w:t>
      </w:r>
      <w:r w:rsidRPr="001D4288">
        <w:rPr>
          <w:sz w:val="26"/>
          <w:szCs w:val="26"/>
        </w:rPr>
        <w:t>Duquesne recognizes that the Commission has not adopted Opt-In</w:t>
      </w:r>
      <w:r w:rsidR="00FC6DB7">
        <w:rPr>
          <w:sz w:val="26"/>
          <w:szCs w:val="26"/>
        </w:rPr>
        <w:t xml:space="preserve"> A</w:t>
      </w:r>
      <w:r w:rsidR="00481779">
        <w:rPr>
          <w:sz w:val="26"/>
          <w:szCs w:val="26"/>
        </w:rPr>
        <w:t>greements for the FirstEnergy</w:t>
      </w:r>
      <w:r w:rsidRPr="001D4288">
        <w:rPr>
          <w:sz w:val="26"/>
          <w:szCs w:val="26"/>
        </w:rPr>
        <w:t xml:space="preserve"> Companies and PECO.  </w:t>
      </w:r>
      <w:r w:rsidR="00481779">
        <w:rPr>
          <w:i/>
          <w:sz w:val="26"/>
          <w:szCs w:val="26"/>
        </w:rPr>
        <w:t>FirstEnergy DSP</w:t>
      </w:r>
      <w:r w:rsidRPr="001D4288">
        <w:rPr>
          <w:i/>
          <w:sz w:val="26"/>
          <w:szCs w:val="26"/>
        </w:rPr>
        <w:t xml:space="preserve"> Order </w:t>
      </w:r>
      <w:r w:rsidRPr="001D4288">
        <w:rPr>
          <w:sz w:val="26"/>
          <w:szCs w:val="26"/>
        </w:rPr>
        <w:t xml:space="preserve">at 124; </w:t>
      </w:r>
      <w:r w:rsidRPr="001D4288">
        <w:rPr>
          <w:i/>
          <w:sz w:val="26"/>
          <w:szCs w:val="26"/>
        </w:rPr>
        <w:t xml:space="preserve">PECO </w:t>
      </w:r>
      <w:r w:rsidR="00481779">
        <w:rPr>
          <w:i/>
          <w:sz w:val="26"/>
          <w:szCs w:val="26"/>
        </w:rPr>
        <w:t xml:space="preserve">DSP </w:t>
      </w:r>
      <w:r w:rsidRPr="001D4288">
        <w:rPr>
          <w:i/>
          <w:sz w:val="26"/>
          <w:szCs w:val="26"/>
        </w:rPr>
        <w:t>Order</w:t>
      </w:r>
      <w:r w:rsidRPr="001D4288">
        <w:rPr>
          <w:sz w:val="26"/>
          <w:szCs w:val="26"/>
        </w:rPr>
        <w:t xml:space="preserve"> at 106-107.  However, an Opt-In Agreement between Duquesne and EGSs is necessary because nothing in Duquesne’s existing agreements with EGSs or tariffs governs Opt-In </w:t>
      </w:r>
      <w:r w:rsidRPr="001D4288">
        <w:rPr>
          <w:sz w:val="26"/>
          <w:szCs w:val="26"/>
        </w:rPr>
        <w:lastRenderedPageBreak/>
        <w:t xml:space="preserve">arrangements between Duquesne and EGSs or provides necessary rules for the Opt-In </w:t>
      </w:r>
      <w:r w:rsidR="009D01A7">
        <w:rPr>
          <w:sz w:val="26"/>
          <w:szCs w:val="26"/>
        </w:rPr>
        <w:t>P</w:t>
      </w:r>
      <w:r w:rsidRPr="001D4288">
        <w:rPr>
          <w:sz w:val="26"/>
          <w:szCs w:val="26"/>
        </w:rPr>
        <w:t xml:space="preserve">rogram.  If the Commission does not adopt the proposed Opt-In </w:t>
      </w:r>
      <w:r w:rsidR="00481779">
        <w:rPr>
          <w:sz w:val="26"/>
          <w:szCs w:val="26"/>
        </w:rPr>
        <w:t xml:space="preserve">Program </w:t>
      </w:r>
      <w:r w:rsidRPr="001D4288">
        <w:rPr>
          <w:sz w:val="26"/>
          <w:szCs w:val="26"/>
        </w:rPr>
        <w:t>Agreement, Duquesne requests that the Commission adopt a separate process to develop an agreement.</w:t>
      </w:r>
      <w:r w:rsidR="00FC6DB7">
        <w:rPr>
          <w:sz w:val="26"/>
          <w:szCs w:val="26"/>
        </w:rPr>
        <w:t xml:space="preserve">  Duquesne R.Exc. at 16-17.  </w:t>
      </w:r>
    </w:p>
    <w:p w:rsidR="006D47C0" w:rsidRPr="001D4288" w:rsidRDefault="006D47C0" w:rsidP="00FC6DB7">
      <w:pPr>
        <w:pStyle w:val="BodyText2"/>
        <w:spacing w:after="0" w:line="360" w:lineRule="auto"/>
        <w:ind w:firstLine="1440"/>
        <w:rPr>
          <w:sz w:val="26"/>
          <w:szCs w:val="26"/>
        </w:rPr>
      </w:pPr>
    </w:p>
    <w:p w:rsidR="006D47C0" w:rsidRPr="00394FDC" w:rsidRDefault="00FA0660" w:rsidP="00584C88">
      <w:pPr>
        <w:pStyle w:val="Heading5"/>
        <w:numPr>
          <w:ilvl w:val="0"/>
          <w:numId w:val="0"/>
        </w:numPr>
        <w:ind w:left="3600" w:hanging="720"/>
      </w:pPr>
      <w:bookmarkStart w:id="129" w:name="_Toc346705371"/>
      <w:r>
        <w:t>vi.</w:t>
      </w:r>
      <w:r>
        <w:tab/>
        <w:t>Disposition</w:t>
      </w:r>
      <w:bookmarkEnd w:id="129"/>
    </w:p>
    <w:p w:rsidR="005C4DE7" w:rsidRDefault="005C4DE7" w:rsidP="006D47C0">
      <w:pPr>
        <w:pStyle w:val="BodyText"/>
        <w:spacing w:after="0" w:line="360" w:lineRule="auto"/>
        <w:ind w:left="0" w:firstLine="0"/>
        <w:rPr>
          <w:sz w:val="26"/>
          <w:szCs w:val="26"/>
        </w:rPr>
      </w:pPr>
    </w:p>
    <w:p w:rsidR="005C4DE7" w:rsidRDefault="004265B1" w:rsidP="00FC6DB7">
      <w:pPr>
        <w:pStyle w:val="BodyText"/>
        <w:spacing w:after="0" w:line="360" w:lineRule="auto"/>
        <w:ind w:left="0"/>
        <w:rPr>
          <w:sz w:val="26"/>
          <w:szCs w:val="26"/>
        </w:rPr>
      </w:pPr>
      <w:r>
        <w:rPr>
          <w:sz w:val="26"/>
          <w:szCs w:val="26"/>
        </w:rPr>
        <w:t xml:space="preserve">Consistent with our prior determinations in the FirstEnergy </w:t>
      </w:r>
      <w:r w:rsidR="00FC6DB7">
        <w:rPr>
          <w:sz w:val="26"/>
          <w:szCs w:val="26"/>
        </w:rPr>
        <w:t xml:space="preserve">DSP </w:t>
      </w:r>
      <w:r>
        <w:rPr>
          <w:sz w:val="26"/>
          <w:szCs w:val="26"/>
        </w:rPr>
        <w:t xml:space="preserve">and PECO DSP proceedings, we are persuaded by the arguments of RESA and will </w:t>
      </w:r>
      <w:r w:rsidR="00B20BB5">
        <w:rPr>
          <w:sz w:val="26"/>
          <w:szCs w:val="26"/>
        </w:rPr>
        <w:t>grant its Exception to the extent that RESA has proposed a collaborative among the Parties to this proceeding to review the terms and conditions of Duquesne’s proposed Opt-in Program Agreement</w:t>
      </w:r>
      <w:r w:rsidRPr="00A57BCD">
        <w:rPr>
          <w:sz w:val="26"/>
          <w:szCs w:val="26"/>
        </w:rPr>
        <w:t>.</w:t>
      </w:r>
      <w:r>
        <w:rPr>
          <w:sz w:val="26"/>
          <w:szCs w:val="26"/>
        </w:rPr>
        <w:t xml:space="preserve">  </w:t>
      </w:r>
      <w:r w:rsidR="00B20BB5">
        <w:rPr>
          <w:sz w:val="26"/>
          <w:szCs w:val="26"/>
        </w:rPr>
        <w:t xml:space="preserve">In our view, it is appropriate to conduct such a collaborative to ensure that the proposed </w:t>
      </w:r>
      <w:r w:rsidR="009D01A7">
        <w:rPr>
          <w:sz w:val="26"/>
          <w:szCs w:val="26"/>
        </w:rPr>
        <w:t>A</w:t>
      </w:r>
      <w:r w:rsidR="00B20BB5">
        <w:rPr>
          <w:sz w:val="26"/>
          <w:szCs w:val="26"/>
        </w:rPr>
        <w:t>greement does not impose unreasonable or unnecessary requirements on EGSs as a condition for their participation in the Opt-In Progr</w:t>
      </w:r>
      <w:r w:rsidR="00AE7B9E">
        <w:rPr>
          <w:sz w:val="26"/>
          <w:szCs w:val="26"/>
        </w:rPr>
        <w:t>am.  We strongly encourage the P</w:t>
      </w:r>
      <w:r w:rsidR="00B20BB5">
        <w:rPr>
          <w:sz w:val="26"/>
          <w:szCs w:val="26"/>
        </w:rPr>
        <w:t>arties to settle their differences, and submit a joint proposal to the Commission for its consideration</w:t>
      </w:r>
      <w:r w:rsidR="002F7564">
        <w:rPr>
          <w:sz w:val="26"/>
          <w:szCs w:val="26"/>
          <w:lang w:val="en-US"/>
        </w:rPr>
        <w:t xml:space="preserve"> within forty-five days of the entry of this Opinion and Order</w:t>
      </w:r>
      <w:r>
        <w:rPr>
          <w:sz w:val="26"/>
          <w:szCs w:val="26"/>
        </w:rPr>
        <w:t>.  Accordingly, we shall grant the Exceptions of RESA,</w:t>
      </w:r>
      <w:r w:rsidR="00B20BB5">
        <w:rPr>
          <w:sz w:val="26"/>
          <w:szCs w:val="26"/>
        </w:rPr>
        <w:t xml:space="preserve"> in part, </w:t>
      </w:r>
      <w:r>
        <w:rPr>
          <w:sz w:val="26"/>
          <w:szCs w:val="26"/>
        </w:rPr>
        <w:t xml:space="preserve">and reject the ALJ’s recommendation.  </w:t>
      </w:r>
    </w:p>
    <w:p w:rsidR="00B20BB5" w:rsidRPr="004265B1" w:rsidRDefault="00B20BB5" w:rsidP="00FC6DB7">
      <w:pPr>
        <w:pStyle w:val="BodyText"/>
        <w:spacing w:after="0" w:line="360" w:lineRule="auto"/>
        <w:ind w:left="0"/>
        <w:rPr>
          <w:sz w:val="26"/>
          <w:szCs w:val="26"/>
        </w:rPr>
      </w:pPr>
    </w:p>
    <w:p w:rsidR="00E95194" w:rsidRDefault="00E95194" w:rsidP="00584C88">
      <w:pPr>
        <w:pStyle w:val="Heading3"/>
      </w:pPr>
      <w:bookmarkStart w:id="130" w:name="_Toc346705372"/>
      <w:r w:rsidRPr="00EE5722">
        <w:t>2.</w:t>
      </w:r>
      <w:r w:rsidRPr="00EE5722">
        <w:tab/>
        <w:t xml:space="preserve">Standard Offer </w:t>
      </w:r>
      <w:r>
        <w:t xml:space="preserve">(SO) Referral </w:t>
      </w:r>
      <w:r w:rsidRPr="00EE5722">
        <w:t>Program</w:t>
      </w:r>
      <w:bookmarkEnd w:id="130"/>
      <w:r w:rsidRPr="00EE5722">
        <w:t xml:space="preserve"> </w:t>
      </w:r>
    </w:p>
    <w:p w:rsidR="00E95194" w:rsidRDefault="00E95194" w:rsidP="005D0FD9">
      <w:pPr>
        <w:pStyle w:val="BodyText"/>
        <w:spacing w:after="0" w:line="360" w:lineRule="auto"/>
        <w:ind w:left="0" w:firstLine="0"/>
        <w:rPr>
          <w:b/>
          <w:sz w:val="26"/>
          <w:szCs w:val="26"/>
        </w:rPr>
      </w:pPr>
    </w:p>
    <w:p w:rsidR="00E95194" w:rsidRDefault="00E95194" w:rsidP="00584C88">
      <w:pPr>
        <w:pStyle w:val="Heading4"/>
        <w:numPr>
          <w:ilvl w:val="0"/>
          <w:numId w:val="0"/>
        </w:numPr>
        <w:ind w:left="2880" w:hanging="720"/>
      </w:pPr>
      <w:bookmarkStart w:id="131" w:name="_Toc346705373"/>
      <w:r>
        <w:t xml:space="preserve">a. </w:t>
      </w:r>
      <w:r>
        <w:tab/>
        <w:t>Introduction</w:t>
      </w:r>
      <w:bookmarkEnd w:id="131"/>
    </w:p>
    <w:p w:rsidR="00E95194" w:rsidRPr="0062789A" w:rsidRDefault="00E95194" w:rsidP="005D0FD9">
      <w:pPr>
        <w:pStyle w:val="BodyText"/>
        <w:spacing w:after="0" w:line="360" w:lineRule="auto"/>
        <w:ind w:left="2520" w:firstLine="0"/>
        <w:rPr>
          <w:b/>
          <w:sz w:val="26"/>
          <w:szCs w:val="26"/>
        </w:rPr>
      </w:pPr>
    </w:p>
    <w:p w:rsidR="00E95194" w:rsidRDefault="00E95194" w:rsidP="005D0FD9">
      <w:pPr>
        <w:pStyle w:val="BodyText2"/>
        <w:spacing w:after="0" w:line="360" w:lineRule="auto"/>
        <w:ind w:firstLine="1440"/>
        <w:rPr>
          <w:sz w:val="26"/>
          <w:szCs w:val="26"/>
        </w:rPr>
      </w:pPr>
      <w:r>
        <w:rPr>
          <w:sz w:val="26"/>
          <w:szCs w:val="26"/>
        </w:rPr>
        <w:t>Duquesne</w:t>
      </w:r>
      <w:r w:rsidRPr="00EE5722">
        <w:rPr>
          <w:sz w:val="26"/>
          <w:szCs w:val="26"/>
        </w:rPr>
        <w:t xml:space="preserve"> proposed a S</w:t>
      </w:r>
      <w:r>
        <w:rPr>
          <w:sz w:val="26"/>
          <w:szCs w:val="26"/>
        </w:rPr>
        <w:t xml:space="preserve">tandard Offer </w:t>
      </w:r>
      <w:r w:rsidR="009D01A7">
        <w:rPr>
          <w:sz w:val="26"/>
          <w:szCs w:val="26"/>
        </w:rPr>
        <w:t xml:space="preserve">(SO) </w:t>
      </w:r>
      <w:r>
        <w:rPr>
          <w:sz w:val="26"/>
          <w:szCs w:val="26"/>
        </w:rPr>
        <w:t xml:space="preserve">Referral  </w:t>
      </w:r>
      <w:r w:rsidRPr="00EE5722">
        <w:rPr>
          <w:sz w:val="26"/>
          <w:szCs w:val="26"/>
        </w:rPr>
        <w:t>Program, consistent with the Commission’s directives in</w:t>
      </w:r>
      <w:r>
        <w:rPr>
          <w:sz w:val="26"/>
          <w:szCs w:val="26"/>
        </w:rPr>
        <w:t xml:space="preserve"> the </w:t>
      </w:r>
      <w:r w:rsidRPr="005D0FD9">
        <w:rPr>
          <w:sz w:val="26"/>
          <w:szCs w:val="26"/>
        </w:rPr>
        <w:t>RMI</w:t>
      </w:r>
      <w:r w:rsidR="005D0FD9">
        <w:rPr>
          <w:sz w:val="26"/>
          <w:szCs w:val="26"/>
        </w:rPr>
        <w:t xml:space="preserve"> proceeding</w:t>
      </w:r>
      <w:r w:rsidRPr="00EE5722">
        <w:rPr>
          <w:sz w:val="26"/>
          <w:szCs w:val="26"/>
        </w:rPr>
        <w:t xml:space="preserve">, for customers who call the Company for </w:t>
      </w:r>
      <w:r>
        <w:rPr>
          <w:sz w:val="26"/>
          <w:szCs w:val="26"/>
        </w:rPr>
        <w:t>certain types of transactions.  Duquesne proposed</w:t>
      </w:r>
      <w:r w:rsidRPr="00EE5722">
        <w:rPr>
          <w:sz w:val="26"/>
          <w:szCs w:val="26"/>
        </w:rPr>
        <w:t xml:space="preserve"> to</w:t>
      </w:r>
      <w:r>
        <w:rPr>
          <w:sz w:val="26"/>
          <w:szCs w:val="26"/>
        </w:rPr>
        <w:t xml:space="preserve"> offer the SO P</w:t>
      </w:r>
      <w:r w:rsidRPr="00EE5722">
        <w:rPr>
          <w:sz w:val="26"/>
          <w:szCs w:val="26"/>
        </w:rPr>
        <w:t>rogram to non-shopping customers who</w:t>
      </w:r>
      <w:r>
        <w:rPr>
          <w:sz w:val="26"/>
          <w:szCs w:val="26"/>
        </w:rPr>
        <w:t xml:space="preserve"> call the C</w:t>
      </w:r>
      <w:r w:rsidRPr="00EE5722">
        <w:rPr>
          <w:sz w:val="26"/>
          <w:szCs w:val="26"/>
        </w:rPr>
        <w:t>ompany about:  (1) initiating or moving service; (2) choice questions; (3) high bill comp</w:t>
      </w:r>
      <w:r>
        <w:rPr>
          <w:sz w:val="26"/>
          <w:szCs w:val="26"/>
        </w:rPr>
        <w:t>laints; or (4) the SO Program.</w:t>
      </w:r>
    </w:p>
    <w:p w:rsidR="00E95194" w:rsidRPr="00F459AF" w:rsidRDefault="00E95194" w:rsidP="00E95194">
      <w:pPr>
        <w:pStyle w:val="BodyText2"/>
        <w:spacing w:after="0" w:line="360" w:lineRule="auto"/>
        <w:ind w:firstLine="1440"/>
        <w:rPr>
          <w:sz w:val="26"/>
          <w:szCs w:val="26"/>
        </w:rPr>
      </w:pPr>
    </w:p>
    <w:p w:rsidR="00E95194" w:rsidRPr="00EE5722" w:rsidRDefault="00E95194" w:rsidP="00E95194">
      <w:pPr>
        <w:pStyle w:val="BodyText2"/>
        <w:spacing w:line="360" w:lineRule="auto"/>
        <w:ind w:firstLine="1440"/>
        <w:rPr>
          <w:sz w:val="26"/>
          <w:szCs w:val="26"/>
        </w:rPr>
      </w:pPr>
      <w:r w:rsidRPr="00EE5722">
        <w:rPr>
          <w:sz w:val="26"/>
          <w:szCs w:val="26"/>
        </w:rPr>
        <w:lastRenderedPageBreak/>
        <w:t xml:space="preserve">The </w:t>
      </w:r>
      <w:r>
        <w:rPr>
          <w:sz w:val="26"/>
          <w:szCs w:val="26"/>
        </w:rPr>
        <w:t xml:space="preserve">ALJ noted that the </w:t>
      </w:r>
      <w:r w:rsidRPr="00EE5722">
        <w:rPr>
          <w:sz w:val="26"/>
          <w:szCs w:val="26"/>
        </w:rPr>
        <w:t xml:space="preserve">Commission </w:t>
      </w:r>
      <w:r>
        <w:rPr>
          <w:sz w:val="26"/>
          <w:szCs w:val="26"/>
        </w:rPr>
        <w:t xml:space="preserve">has </w:t>
      </w:r>
      <w:r w:rsidRPr="00EE5722">
        <w:rPr>
          <w:sz w:val="26"/>
          <w:szCs w:val="26"/>
        </w:rPr>
        <w:t>provided gui</w:t>
      </w:r>
      <w:r>
        <w:rPr>
          <w:sz w:val="26"/>
          <w:szCs w:val="26"/>
        </w:rPr>
        <w:t>delines to EDCs for SO</w:t>
      </w:r>
      <w:r w:rsidRPr="00EE5722">
        <w:rPr>
          <w:sz w:val="26"/>
          <w:szCs w:val="26"/>
        </w:rPr>
        <w:t xml:space="preserve"> </w:t>
      </w:r>
      <w:r>
        <w:rPr>
          <w:sz w:val="26"/>
          <w:szCs w:val="26"/>
        </w:rPr>
        <w:t>P</w:t>
      </w:r>
      <w:r w:rsidRPr="00EE5722">
        <w:rPr>
          <w:sz w:val="26"/>
          <w:szCs w:val="26"/>
        </w:rPr>
        <w:t>rograms, including but not limited to the following:</w:t>
      </w:r>
    </w:p>
    <w:p w:rsidR="00E95194" w:rsidRPr="00EE5722" w:rsidRDefault="00E95194" w:rsidP="009A739B">
      <w:pPr>
        <w:pStyle w:val="ListBullet"/>
        <w:numPr>
          <w:ilvl w:val="0"/>
          <w:numId w:val="6"/>
        </w:numPr>
        <w:ind w:left="1440" w:right="1440"/>
        <w:jc w:val="left"/>
        <w:rPr>
          <w:sz w:val="26"/>
          <w:szCs w:val="26"/>
        </w:rPr>
      </w:pPr>
      <w:r w:rsidRPr="00EE5722">
        <w:rPr>
          <w:sz w:val="26"/>
          <w:szCs w:val="26"/>
        </w:rPr>
        <w:t xml:space="preserve">The standard offer will target residential default service customers.  However, residential shopping customers will not be excluded if they request to participate.  </w:t>
      </w:r>
    </w:p>
    <w:p w:rsidR="00E95194" w:rsidRPr="00EE5722" w:rsidRDefault="00E95194" w:rsidP="009A739B">
      <w:pPr>
        <w:pStyle w:val="ListBullet"/>
        <w:numPr>
          <w:ilvl w:val="0"/>
          <w:numId w:val="6"/>
        </w:numPr>
        <w:ind w:left="1440" w:right="1440"/>
        <w:jc w:val="left"/>
        <w:rPr>
          <w:sz w:val="26"/>
          <w:szCs w:val="26"/>
        </w:rPr>
      </w:pPr>
      <w:r w:rsidRPr="00EE5722">
        <w:rPr>
          <w:sz w:val="26"/>
          <w:szCs w:val="26"/>
        </w:rPr>
        <w:t xml:space="preserve">CAP customers should be excluded from the SO Program at this time.  </w:t>
      </w:r>
    </w:p>
    <w:p w:rsidR="00E95194" w:rsidRPr="00EE5722" w:rsidRDefault="00E95194" w:rsidP="009A739B">
      <w:pPr>
        <w:pStyle w:val="ListBullet"/>
        <w:numPr>
          <w:ilvl w:val="0"/>
          <w:numId w:val="6"/>
        </w:numPr>
        <w:ind w:left="1440" w:right="1440"/>
        <w:jc w:val="left"/>
        <w:rPr>
          <w:sz w:val="26"/>
          <w:szCs w:val="26"/>
        </w:rPr>
      </w:pPr>
      <w:r w:rsidRPr="00EE5722">
        <w:rPr>
          <w:sz w:val="26"/>
          <w:szCs w:val="26"/>
        </w:rPr>
        <w:t>The standard offer should be comprised of a 7%</w:t>
      </w:r>
      <w:r>
        <w:rPr>
          <w:sz w:val="26"/>
          <w:szCs w:val="26"/>
        </w:rPr>
        <w:t xml:space="preserve"> reduction from the EDC’s PTC. </w:t>
      </w:r>
    </w:p>
    <w:p w:rsidR="00E95194" w:rsidRPr="00EE5722" w:rsidRDefault="00E95194" w:rsidP="009A739B">
      <w:pPr>
        <w:pStyle w:val="ListBullet"/>
        <w:numPr>
          <w:ilvl w:val="0"/>
          <w:numId w:val="6"/>
        </w:numPr>
        <w:ind w:left="1440" w:right="1440"/>
        <w:jc w:val="left"/>
        <w:rPr>
          <w:sz w:val="26"/>
          <w:szCs w:val="26"/>
        </w:rPr>
      </w:pPr>
      <w:r w:rsidRPr="00EE5722">
        <w:rPr>
          <w:sz w:val="26"/>
          <w:szCs w:val="26"/>
        </w:rPr>
        <w:t>The standard offer should be provided for a minimum of four months, b</w:t>
      </w:r>
      <w:r>
        <w:rPr>
          <w:sz w:val="26"/>
          <w:szCs w:val="26"/>
        </w:rPr>
        <w:t xml:space="preserve">ut should not exceed one year. </w:t>
      </w:r>
    </w:p>
    <w:p w:rsidR="00E95194" w:rsidRPr="00EE5722" w:rsidRDefault="00E95194" w:rsidP="009A739B">
      <w:pPr>
        <w:pStyle w:val="ListBullet"/>
        <w:numPr>
          <w:ilvl w:val="0"/>
          <w:numId w:val="6"/>
        </w:numPr>
        <w:ind w:left="1440" w:right="1440"/>
        <w:jc w:val="left"/>
        <w:rPr>
          <w:sz w:val="26"/>
          <w:szCs w:val="26"/>
        </w:rPr>
      </w:pPr>
      <w:r w:rsidRPr="00EE5722">
        <w:rPr>
          <w:sz w:val="26"/>
          <w:szCs w:val="26"/>
        </w:rPr>
        <w:t>Customers may choose to be assigned to an EGS of their choice or m</w:t>
      </w:r>
      <w:r>
        <w:rPr>
          <w:sz w:val="26"/>
          <w:szCs w:val="26"/>
        </w:rPr>
        <w:t xml:space="preserve">ay choose a random assignment. </w:t>
      </w:r>
    </w:p>
    <w:p w:rsidR="00E95194" w:rsidRPr="00EE5722" w:rsidRDefault="00E95194" w:rsidP="009A739B">
      <w:pPr>
        <w:pStyle w:val="ListBullet"/>
        <w:numPr>
          <w:ilvl w:val="0"/>
          <w:numId w:val="6"/>
        </w:numPr>
        <w:ind w:left="1440" w:right="1440"/>
        <w:jc w:val="left"/>
        <w:rPr>
          <w:sz w:val="26"/>
          <w:szCs w:val="26"/>
        </w:rPr>
      </w:pPr>
      <w:r w:rsidRPr="00EE5722">
        <w:rPr>
          <w:sz w:val="26"/>
          <w:szCs w:val="26"/>
        </w:rPr>
        <w:t>The SO Program should be presented during customer contacts to EDC call centers, other than calls for emergencies, terminations and the like.  EDCs may present the SO Program to high bill callers after the cust</w:t>
      </w:r>
      <w:r>
        <w:rPr>
          <w:sz w:val="26"/>
          <w:szCs w:val="26"/>
        </w:rPr>
        <w:t xml:space="preserve">omer’s concerns are satisfied. </w:t>
      </w:r>
    </w:p>
    <w:p w:rsidR="00E95194" w:rsidRPr="00015290" w:rsidRDefault="00E95194" w:rsidP="009A739B">
      <w:pPr>
        <w:pStyle w:val="ListBullet"/>
        <w:numPr>
          <w:ilvl w:val="0"/>
          <w:numId w:val="6"/>
        </w:numPr>
        <w:ind w:left="1440" w:right="1440"/>
        <w:jc w:val="left"/>
        <w:rPr>
          <w:sz w:val="26"/>
          <w:szCs w:val="26"/>
        </w:rPr>
      </w:pPr>
      <w:r w:rsidRPr="00EE5722">
        <w:rPr>
          <w:sz w:val="26"/>
          <w:szCs w:val="26"/>
        </w:rPr>
        <w:t>At the conclusion of the SO Program, the customer will remain with the EGS absent an affir</w:t>
      </w:r>
      <w:r>
        <w:rPr>
          <w:sz w:val="26"/>
          <w:szCs w:val="26"/>
        </w:rPr>
        <w:t xml:space="preserve">mative choice to the contrary. </w:t>
      </w:r>
    </w:p>
    <w:p w:rsidR="00E95194" w:rsidRPr="00EE5722" w:rsidRDefault="00E95194" w:rsidP="009A739B">
      <w:pPr>
        <w:pStyle w:val="ListBullet"/>
        <w:numPr>
          <w:ilvl w:val="0"/>
          <w:numId w:val="6"/>
        </w:numPr>
        <w:ind w:left="1440" w:right="1440"/>
        <w:jc w:val="left"/>
        <w:rPr>
          <w:sz w:val="26"/>
          <w:szCs w:val="26"/>
        </w:rPr>
      </w:pPr>
      <w:r w:rsidRPr="00EE5722">
        <w:rPr>
          <w:sz w:val="26"/>
          <w:szCs w:val="26"/>
        </w:rPr>
        <w:t>The bulk of the SO Program costs should be the responsibility of the participating EGSs.  In addition it is acceptable to recover SO Program c</w:t>
      </w:r>
      <w:r>
        <w:rPr>
          <w:sz w:val="26"/>
          <w:szCs w:val="26"/>
        </w:rPr>
        <w:t xml:space="preserve">osts through the POR discount. </w:t>
      </w:r>
    </w:p>
    <w:p w:rsidR="00E95194" w:rsidRDefault="00E95194" w:rsidP="005D0FD9">
      <w:pPr>
        <w:pStyle w:val="BodyText"/>
        <w:spacing w:after="0" w:line="360" w:lineRule="auto"/>
        <w:ind w:left="360" w:firstLine="0"/>
        <w:rPr>
          <w:sz w:val="26"/>
          <w:szCs w:val="26"/>
        </w:rPr>
      </w:pPr>
      <w:r>
        <w:rPr>
          <w:i/>
          <w:sz w:val="26"/>
          <w:szCs w:val="26"/>
        </w:rPr>
        <w:t xml:space="preserve">IWP Final </w:t>
      </w:r>
      <w:r w:rsidRPr="00EE5722">
        <w:rPr>
          <w:i/>
          <w:sz w:val="26"/>
          <w:szCs w:val="26"/>
        </w:rPr>
        <w:t>Order</w:t>
      </w:r>
      <w:r w:rsidRPr="00EE5722">
        <w:rPr>
          <w:sz w:val="26"/>
          <w:szCs w:val="26"/>
        </w:rPr>
        <w:t xml:space="preserve"> at 31</w:t>
      </w:r>
      <w:r>
        <w:rPr>
          <w:sz w:val="26"/>
          <w:szCs w:val="26"/>
        </w:rPr>
        <w:t xml:space="preserve"> -32.</w:t>
      </w:r>
    </w:p>
    <w:p w:rsidR="00E95194" w:rsidRPr="00584C88" w:rsidRDefault="00E95194" w:rsidP="005D0FD9">
      <w:pPr>
        <w:pStyle w:val="BodyText"/>
        <w:spacing w:after="0" w:line="360" w:lineRule="auto"/>
        <w:ind w:left="360" w:firstLine="0"/>
        <w:rPr>
          <w:b/>
          <w:sz w:val="26"/>
          <w:szCs w:val="26"/>
          <w:lang w:val="en-US"/>
        </w:rPr>
      </w:pPr>
    </w:p>
    <w:p w:rsidR="00E95194" w:rsidRDefault="00E95194" w:rsidP="00584C88">
      <w:pPr>
        <w:pStyle w:val="Heading4"/>
        <w:numPr>
          <w:ilvl w:val="0"/>
          <w:numId w:val="0"/>
        </w:numPr>
        <w:ind w:left="2880" w:hanging="720"/>
      </w:pPr>
      <w:bookmarkStart w:id="132" w:name="_Toc346705374"/>
      <w:r>
        <w:t>b.</w:t>
      </w:r>
      <w:r>
        <w:tab/>
        <w:t>Composition of Standard Offer Product Offering</w:t>
      </w:r>
      <w:bookmarkEnd w:id="132"/>
      <w:r>
        <w:t xml:space="preserve"> </w:t>
      </w:r>
    </w:p>
    <w:p w:rsidR="00E95194" w:rsidRDefault="00E95194" w:rsidP="005D0FD9">
      <w:pPr>
        <w:pStyle w:val="BodyText"/>
        <w:spacing w:after="0" w:line="360" w:lineRule="auto"/>
        <w:ind w:left="0" w:firstLine="0"/>
        <w:rPr>
          <w:b/>
          <w:sz w:val="26"/>
          <w:szCs w:val="26"/>
        </w:rPr>
      </w:pPr>
    </w:p>
    <w:p w:rsidR="00E95194" w:rsidRDefault="00E95194" w:rsidP="00584C88">
      <w:pPr>
        <w:pStyle w:val="Heading5"/>
        <w:numPr>
          <w:ilvl w:val="0"/>
          <w:numId w:val="0"/>
        </w:numPr>
        <w:ind w:left="3600" w:hanging="720"/>
      </w:pPr>
      <w:bookmarkStart w:id="133" w:name="_Toc346705375"/>
      <w:r>
        <w:t>i.</w:t>
      </w:r>
      <w:r>
        <w:tab/>
        <w:t>Duquesne’s Proposal</w:t>
      </w:r>
      <w:bookmarkEnd w:id="133"/>
    </w:p>
    <w:p w:rsidR="00E95194" w:rsidRPr="00EE5722" w:rsidRDefault="00E95194" w:rsidP="00E95194">
      <w:pPr>
        <w:pStyle w:val="BodyText"/>
        <w:spacing w:after="0" w:line="360" w:lineRule="auto"/>
        <w:ind w:left="0" w:firstLine="0"/>
        <w:rPr>
          <w:b/>
          <w:sz w:val="26"/>
          <w:szCs w:val="26"/>
        </w:rPr>
      </w:pPr>
    </w:p>
    <w:p w:rsidR="00E95194" w:rsidRDefault="00E95194" w:rsidP="00E95194">
      <w:pPr>
        <w:pStyle w:val="BodyText2"/>
        <w:spacing w:after="0" w:line="360" w:lineRule="auto"/>
        <w:ind w:firstLine="1440"/>
        <w:rPr>
          <w:sz w:val="26"/>
          <w:szCs w:val="26"/>
        </w:rPr>
      </w:pPr>
      <w:r>
        <w:rPr>
          <w:sz w:val="26"/>
          <w:szCs w:val="26"/>
        </w:rPr>
        <w:t>Duquesne proposed that the SO product be a twelve</w:t>
      </w:r>
      <w:r w:rsidRPr="00EE5722">
        <w:rPr>
          <w:sz w:val="26"/>
          <w:szCs w:val="26"/>
        </w:rPr>
        <w:t>-month fixed price product</w:t>
      </w:r>
      <w:r>
        <w:rPr>
          <w:sz w:val="26"/>
          <w:szCs w:val="26"/>
        </w:rPr>
        <w:t xml:space="preserve">, </w:t>
      </w:r>
      <w:r w:rsidRPr="00EE5722">
        <w:rPr>
          <w:sz w:val="26"/>
          <w:szCs w:val="26"/>
        </w:rPr>
        <w:t xml:space="preserve">consistent with the Commission’s </w:t>
      </w:r>
      <w:r>
        <w:rPr>
          <w:i/>
          <w:sz w:val="26"/>
          <w:szCs w:val="26"/>
        </w:rPr>
        <w:t>IW</w:t>
      </w:r>
      <w:r w:rsidRPr="00EE5722">
        <w:rPr>
          <w:i/>
          <w:sz w:val="26"/>
          <w:szCs w:val="26"/>
        </w:rPr>
        <w:t>P</w:t>
      </w:r>
      <w:r>
        <w:rPr>
          <w:i/>
          <w:sz w:val="26"/>
          <w:szCs w:val="26"/>
        </w:rPr>
        <w:t xml:space="preserve"> Final </w:t>
      </w:r>
      <w:r w:rsidRPr="00EE5722">
        <w:rPr>
          <w:i/>
          <w:sz w:val="26"/>
          <w:szCs w:val="26"/>
        </w:rPr>
        <w:t>Order</w:t>
      </w:r>
      <w:r>
        <w:rPr>
          <w:sz w:val="26"/>
          <w:szCs w:val="26"/>
        </w:rPr>
        <w:t xml:space="preserve">, </w:t>
      </w:r>
      <w:r w:rsidRPr="00EE5722">
        <w:rPr>
          <w:sz w:val="26"/>
          <w:szCs w:val="26"/>
        </w:rPr>
        <w:t xml:space="preserve">which provided for a </w:t>
      </w:r>
      <w:r w:rsidRPr="00EE5722">
        <w:rPr>
          <w:sz w:val="26"/>
          <w:szCs w:val="26"/>
        </w:rPr>
        <w:lastRenderedPageBreak/>
        <w:t>Standard Offer period of four</w:t>
      </w:r>
      <w:r>
        <w:rPr>
          <w:sz w:val="26"/>
          <w:szCs w:val="26"/>
        </w:rPr>
        <w:t xml:space="preserve"> to twelve months.  Duquesne St. 3 at </w:t>
      </w:r>
      <w:r w:rsidRPr="00EE5722">
        <w:rPr>
          <w:sz w:val="26"/>
          <w:szCs w:val="26"/>
        </w:rPr>
        <w:t>34</w:t>
      </w:r>
      <w:r>
        <w:rPr>
          <w:sz w:val="26"/>
          <w:szCs w:val="26"/>
        </w:rPr>
        <w:t xml:space="preserve">; </w:t>
      </w:r>
      <w:r>
        <w:rPr>
          <w:i/>
          <w:sz w:val="26"/>
          <w:szCs w:val="26"/>
        </w:rPr>
        <w:t xml:space="preserve">IWP Final </w:t>
      </w:r>
      <w:r w:rsidRPr="00EE5722">
        <w:rPr>
          <w:i/>
          <w:sz w:val="26"/>
          <w:szCs w:val="26"/>
        </w:rPr>
        <w:t>Order</w:t>
      </w:r>
      <w:r w:rsidRPr="00EE5722">
        <w:rPr>
          <w:sz w:val="26"/>
          <w:szCs w:val="26"/>
        </w:rPr>
        <w:t xml:space="preserve"> at 31.  In addition, </w:t>
      </w:r>
      <w:r>
        <w:rPr>
          <w:sz w:val="26"/>
          <w:szCs w:val="26"/>
        </w:rPr>
        <w:t xml:space="preserve">according to Duquesne, </w:t>
      </w:r>
      <w:r w:rsidRPr="00EE5722">
        <w:rPr>
          <w:sz w:val="26"/>
          <w:szCs w:val="26"/>
        </w:rPr>
        <w:t xml:space="preserve">a </w:t>
      </w:r>
      <w:r>
        <w:rPr>
          <w:sz w:val="26"/>
          <w:szCs w:val="26"/>
        </w:rPr>
        <w:t>twelve</w:t>
      </w:r>
      <w:r w:rsidRPr="00EE5722">
        <w:rPr>
          <w:sz w:val="26"/>
          <w:szCs w:val="26"/>
        </w:rPr>
        <w:t>-month period would be consistent with the Commission’s Order in the F</w:t>
      </w:r>
      <w:r>
        <w:rPr>
          <w:sz w:val="26"/>
          <w:szCs w:val="26"/>
        </w:rPr>
        <w:t>irstEnergy</w:t>
      </w:r>
      <w:r w:rsidR="005D0FD9">
        <w:rPr>
          <w:sz w:val="26"/>
          <w:szCs w:val="26"/>
        </w:rPr>
        <w:t xml:space="preserve"> </w:t>
      </w:r>
      <w:r>
        <w:rPr>
          <w:sz w:val="26"/>
          <w:szCs w:val="26"/>
        </w:rPr>
        <w:t xml:space="preserve">DSP </w:t>
      </w:r>
      <w:r w:rsidRPr="00EE5722">
        <w:rPr>
          <w:sz w:val="26"/>
          <w:szCs w:val="26"/>
        </w:rPr>
        <w:t>proceeding</w:t>
      </w:r>
      <w:r>
        <w:rPr>
          <w:sz w:val="26"/>
          <w:szCs w:val="26"/>
        </w:rPr>
        <w:t xml:space="preserve"> and </w:t>
      </w:r>
      <w:r w:rsidRPr="00EE5722">
        <w:rPr>
          <w:sz w:val="26"/>
          <w:szCs w:val="26"/>
        </w:rPr>
        <w:t xml:space="preserve">the Commission’s Binding Poll in the </w:t>
      </w:r>
      <w:r w:rsidRPr="00E84836">
        <w:rPr>
          <w:sz w:val="26"/>
          <w:szCs w:val="26"/>
        </w:rPr>
        <w:t xml:space="preserve">PECO </w:t>
      </w:r>
      <w:r>
        <w:rPr>
          <w:sz w:val="26"/>
          <w:szCs w:val="26"/>
        </w:rPr>
        <w:t>DSP</w:t>
      </w:r>
      <w:r w:rsidRPr="00EE5722">
        <w:rPr>
          <w:sz w:val="26"/>
          <w:szCs w:val="26"/>
        </w:rPr>
        <w:t xml:space="preserve"> proceeding.  </w:t>
      </w:r>
      <w:r>
        <w:rPr>
          <w:i/>
          <w:sz w:val="26"/>
          <w:szCs w:val="26"/>
        </w:rPr>
        <w:t>FirstEnergy</w:t>
      </w:r>
      <w:r w:rsidRPr="00EE5722">
        <w:rPr>
          <w:i/>
          <w:sz w:val="26"/>
          <w:szCs w:val="26"/>
        </w:rPr>
        <w:t xml:space="preserve"> </w:t>
      </w:r>
      <w:r>
        <w:rPr>
          <w:i/>
          <w:sz w:val="26"/>
          <w:szCs w:val="26"/>
        </w:rPr>
        <w:t xml:space="preserve">DSP </w:t>
      </w:r>
      <w:r w:rsidRPr="00EE5722">
        <w:rPr>
          <w:i/>
          <w:sz w:val="26"/>
          <w:szCs w:val="26"/>
        </w:rPr>
        <w:t>Order</w:t>
      </w:r>
      <w:r>
        <w:rPr>
          <w:sz w:val="26"/>
          <w:szCs w:val="26"/>
        </w:rPr>
        <w:t xml:space="preserve"> at 146; </w:t>
      </w:r>
      <w:r w:rsidRPr="00EE5722">
        <w:rPr>
          <w:i/>
          <w:sz w:val="26"/>
          <w:szCs w:val="26"/>
        </w:rPr>
        <w:t>PECO Binding Poll</w:t>
      </w:r>
      <w:r w:rsidRPr="00EE5722">
        <w:rPr>
          <w:sz w:val="26"/>
          <w:szCs w:val="26"/>
        </w:rPr>
        <w:t>, Issue No. 18.</w:t>
      </w:r>
    </w:p>
    <w:p w:rsidR="00E95194" w:rsidRPr="00A22C48" w:rsidRDefault="00E95194" w:rsidP="00E95194">
      <w:pPr>
        <w:pStyle w:val="BodyText2"/>
        <w:spacing w:after="0" w:line="360" w:lineRule="auto"/>
        <w:ind w:firstLine="1440"/>
        <w:rPr>
          <w:sz w:val="26"/>
          <w:szCs w:val="26"/>
        </w:rPr>
      </w:pPr>
    </w:p>
    <w:p w:rsidR="00E95194" w:rsidRDefault="00E95194" w:rsidP="00E95194">
      <w:pPr>
        <w:pStyle w:val="BodyText2"/>
        <w:spacing w:after="0" w:line="360" w:lineRule="auto"/>
        <w:ind w:firstLine="1440"/>
        <w:rPr>
          <w:sz w:val="26"/>
          <w:szCs w:val="26"/>
          <w:lang w:val="en-US"/>
        </w:rPr>
      </w:pPr>
      <w:r>
        <w:rPr>
          <w:sz w:val="26"/>
          <w:szCs w:val="26"/>
        </w:rPr>
        <w:t>Duquesne argued that</w:t>
      </w:r>
      <w:r w:rsidRPr="00EE5722">
        <w:rPr>
          <w:sz w:val="26"/>
          <w:szCs w:val="26"/>
        </w:rPr>
        <w:t xml:space="preserve"> the </w:t>
      </w:r>
      <w:r>
        <w:rPr>
          <w:sz w:val="26"/>
          <w:szCs w:val="26"/>
        </w:rPr>
        <w:t xml:space="preserve">proposals of </w:t>
      </w:r>
      <w:r w:rsidR="005D0FD9">
        <w:rPr>
          <w:sz w:val="26"/>
          <w:szCs w:val="26"/>
        </w:rPr>
        <w:t xml:space="preserve">the </w:t>
      </w:r>
      <w:r w:rsidRPr="00EE5722">
        <w:rPr>
          <w:sz w:val="26"/>
          <w:szCs w:val="26"/>
        </w:rPr>
        <w:t>OCA and RESA</w:t>
      </w:r>
      <w:r>
        <w:rPr>
          <w:sz w:val="26"/>
          <w:szCs w:val="26"/>
        </w:rPr>
        <w:t xml:space="preserve"> </w:t>
      </w:r>
      <w:r w:rsidRPr="00EE5722">
        <w:rPr>
          <w:sz w:val="26"/>
          <w:szCs w:val="26"/>
        </w:rPr>
        <w:t xml:space="preserve">to shorten the SO </w:t>
      </w:r>
      <w:r>
        <w:rPr>
          <w:sz w:val="26"/>
          <w:szCs w:val="26"/>
        </w:rPr>
        <w:t>product to a four</w:t>
      </w:r>
      <w:r w:rsidRPr="00EE5722">
        <w:rPr>
          <w:sz w:val="26"/>
          <w:szCs w:val="26"/>
        </w:rPr>
        <w:t>-month term</w:t>
      </w:r>
      <w:r>
        <w:rPr>
          <w:sz w:val="26"/>
          <w:szCs w:val="26"/>
        </w:rPr>
        <w:t xml:space="preserve"> </w:t>
      </w:r>
      <w:r w:rsidRPr="00EE5722">
        <w:rPr>
          <w:sz w:val="26"/>
          <w:szCs w:val="26"/>
        </w:rPr>
        <w:t>should be denied as inconsistent with t</w:t>
      </w:r>
      <w:r>
        <w:rPr>
          <w:sz w:val="26"/>
          <w:szCs w:val="26"/>
        </w:rPr>
        <w:t>he Commission’s approval of a twelve</w:t>
      </w:r>
      <w:r w:rsidRPr="00EE5722">
        <w:rPr>
          <w:sz w:val="26"/>
          <w:szCs w:val="26"/>
        </w:rPr>
        <w:noBreakHyphen/>
        <w:t xml:space="preserve">month offer in the </w:t>
      </w:r>
      <w:r>
        <w:rPr>
          <w:i/>
          <w:sz w:val="26"/>
          <w:szCs w:val="26"/>
        </w:rPr>
        <w:t>FirstEnergy</w:t>
      </w:r>
      <w:r w:rsidRPr="00EE5722">
        <w:rPr>
          <w:i/>
          <w:sz w:val="26"/>
          <w:szCs w:val="26"/>
        </w:rPr>
        <w:t xml:space="preserve"> </w:t>
      </w:r>
      <w:r>
        <w:rPr>
          <w:i/>
          <w:sz w:val="26"/>
          <w:szCs w:val="26"/>
        </w:rPr>
        <w:t xml:space="preserve">DSP </w:t>
      </w:r>
      <w:r w:rsidRPr="00EE5722">
        <w:rPr>
          <w:i/>
          <w:sz w:val="26"/>
          <w:szCs w:val="26"/>
        </w:rPr>
        <w:t>Order</w:t>
      </w:r>
      <w:r w:rsidRPr="00EE5722">
        <w:rPr>
          <w:sz w:val="26"/>
          <w:szCs w:val="26"/>
        </w:rPr>
        <w:t xml:space="preserve"> and </w:t>
      </w:r>
      <w:r w:rsidRPr="00EE5722">
        <w:rPr>
          <w:i/>
          <w:sz w:val="26"/>
          <w:szCs w:val="26"/>
        </w:rPr>
        <w:t>PECO Binding Poll</w:t>
      </w:r>
      <w:r w:rsidRPr="00EE5722">
        <w:rPr>
          <w:sz w:val="26"/>
          <w:szCs w:val="26"/>
        </w:rPr>
        <w:t xml:space="preserve">.  Moreover, </w:t>
      </w:r>
      <w:r>
        <w:rPr>
          <w:sz w:val="26"/>
          <w:szCs w:val="26"/>
        </w:rPr>
        <w:t>Duquesne contended that a twelve</w:t>
      </w:r>
      <w:r w:rsidRPr="00EE5722">
        <w:rPr>
          <w:sz w:val="26"/>
          <w:szCs w:val="26"/>
        </w:rPr>
        <w:noBreakHyphen/>
        <w:t>month term is better for customers and more likely to encourage customer pa</w:t>
      </w:r>
      <w:r>
        <w:rPr>
          <w:sz w:val="26"/>
          <w:szCs w:val="26"/>
        </w:rPr>
        <w:t>rticipation than a short-term, four-month program.  Duquesne St. 3-R at 41-42.</w:t>
      </w:r>
    </w:p>
    <w:p w:rsidR="00EB1489" w:rsidRPr="00EB1489" w:rsidRDefault="00EB1489" w:rsidP="00E95194">
      <w:pPr>
        <w:pStyle w:val="BodyText2"/>
        <w:spacing w:after="0" w:line="360" w:lineRule="auto"/>
        <w:ind w:firstLine="1440"/>
        <w:rPr>
          <w:sz w:val="26"/>
          <w:szCs w:val="26"/>
          <w:lang w:val="en-US"/>
        </w:rPr>
      </w:pPr>
    </w:p>
    <w:p w:rsidR="00E95194" w:rsidRDefault="00E95194" w:rsidP="005D0FD9">
      <w:pPr>
        <w:pStyle w:val="BodyText2"/>
        <w:spacing w:after="0" w:line="360" w:lineRule="auto"/>
        <w:ind w:firstLine="1440"/>
        <w:rPr>
          <w:sz w:val="26"/>
          <w:szCs w:val="26"/>
        </w:rPr>
      </w:pPr>
      <w:r>
        <w:rPr>
          <w:sz w:val="26"/>
          <w:szCs w:val="26"/>
        </w:rPr>
        <w:t xml:space="preserve">Duquesne stated that </w:t>
      </w:r>
      <w:r w:rsidRPr="00EE5722">
        <w:rPr>
          <w:sz w:val="26"/>
          <w:szCs w:val="26"/>
        </w:rPr>
        <w:t>a</w:t>
      </w:r>
      <w:r>
        <w:rPr>
          <w:sz w:val="26"/>
          <w:szCs w:val="26"/>
        </w:rPr>
        <w:t xml:space="preserve"> twelve-month term would alleviate </w:t>
      </w:r>
      <w:r w:rsidRPr="00EE5722">
        <w:rPr>
          <w:sz w:val="26"/>
          <w:szCs w:val="26"/>
        </w:rPr>
        <w:t>concerns about a “bait and switch” offer</w:t>
      </w:r>
      <w:r>
        <w:rPr>
          <w:sz w:val="26"/>
          <w:szCs w:val="26"/>
        </w:rPr>
        <w:t>,</w:t>
      </w:r>
      <w:r w:rsidRPr="00EE5722">
        <w:rPr>
          <w:sz w:val="26"/>
          <w:szCs w:val="26"/>
        </w:rPr>
        <w:t xml:space="preserve"> whereby a customer is offered a short-term low rate followed by a rate that is above the PTC and/or market prices.  In a</w:t>
      </w:r>
      <w:r>
        <w:rPr>
          <w:sz w:val="26"/>
          <w:szCs w:val="26"/>
        </w:rPr>
        <w:t xml:space="preserve">ddition, Duquesne averred that </w:t>
      </w:r>
      <w:r w:rsidR="005D0FD9">
        <w:rPr>
          <w:sz w:val="26"/>
          <w:szCs w:val="26"/>
        </w:rPr>
        <w:t>the twelve</w:t>
      </w:r>
      <w:r>
        <w:rPr>
          <w:sz w:val="26"/>
          <w:szCs w:val="26"/>
        </w:rPr>
        <w:t xml:space="preserve">-month SO term would be consistent with the </w:t>
      </w:r>
      <w:r w:rsidR="005D0FD9">
        <w:rPr>
          <w:sz w:val="26"/>
          <w:szCs w:val="26"/>
        </w:rPr>
        <w:t>twelve</w:t>
      </w:r>
      <w:r>
        <w:rPr>
          <w:sz w:val="26"/>
          <w:szCs w:val="26"/>
        </w:rPr>
        <w:t xml:space="preserve">-month PTC that Duquesne </w:t>
      </w:r>
      <w:r w:rsidRPr="00EE5722">
        <w:rPr>
          <w:sz w:val="26"/>
          <w:szCs w:val="26"/>
        </w:rPr>
        <w:t>propos</w:t>
      </w:r>
      <w:r>
        <w:rPr>
          <w:sz w:val="26"/>
          <w:szCs w:val="26"/>
        </w:rPr>
        <w:t>es</w:t>
      </w:r>
      <w:r w:rsidRPr="00EE5722">
        <w:rPr>
          <w:sz w:val="26"/>
          <w:szCs w:val="26"/>
        </w:rPr>
        <w:t xml:space="preserve"> to provide residential customers under the Company’s procurement plan.  For these reasons, </w:t>
      </w:r>
      <w:r>
        <w:rPr>
          <w:sz w:val="26"/>
          <w:szCs w:val="26"/>
        </w:rPr>
        <w:t>Duquesne averred</w:t>
      </w:r>
      <w:r w:rsidRPr="00EE5722">
        <w:rPr>
          <w:sz w:val="26"/>
          <w:szCs w:val="26"/>
        </w:rPr>
        <w:t xml:space="preserve"> the Commission should deny </w:t>
      </w:r>
      <w:r>
        <w:rPr>
          <w:sz w:val="26"/>
          <w:szCs w:val="26"/>
        </w:rPr>
        <w:t xml:space="preserve">the </w:t>
      </w:r>
      <w:r w:rsidRPr="00EE5722">
        <w:rPr>
          <w:sz w:val="26"/>
          <w:szCs w:val="26"/>
        </w:rPr>
        <w:t>OCA</w:t>
      </w:r>
      <w:r>
        <w:rPr>
          <w:sz w:val="26"/>
          <w:szCs w:val="26"/>
        </w:rPr>
        <w:t>’s</w:t>
      </w:r>
      <w:r w:rsidRPr="00EE5722">
        <w:rPr>
          <w:sz w:val="26"/>
          <w:szCs w:val="26"/>
        </w:rPr>
        <w:t xml:space="preserve"> and RESA’s attempts to shorten the SO term to four months.</w:t>
      </w:r>
    </w:p>
    <w:p w:rsidR="00E95194" w:rsidRPr="007F29F7" w:rsidRDefault="00E95194" w:rsidP="00E95194">
      <w:pPr>
        <w:pStyle w:val="BodyText2"/>
        <w:spacing w:after="0" w:line="360" w:lineRule="auto"/>
        <w:ind w:firstLine="1440"/>
        <w:rPr>
          <w:sz w:val="26"/>
          <w:szCs w:val="26"/>
        </w:rPr>
      </w:pPr>
    </w:p>
    <w:p w:rsidR="00E95194" w:rsidRPr="003E0EAE" w:rsidRDefault="00E95194" w:rsidP="00616719">
      <w:pPr>
        <w:pStyle w:val="BodyText"/>
        <w:spacing w:after="0" w:line="360" w:lineRule="auto"/>
        <w:ind w:left="0"/>
        <w:rPr>
          <w:sz w:val="26"/>
          <w:szCs w:val="26"/>
        </w:rPr>
      </w:pPr>
      <w:r>
        <w:rPr>
          <w:sz w:val="26"/>
          <w:szCs w:val="26"/>
        </w:rPr>
        <w:t>Duquesne proposed that</w:t>
      </w:r>
      <w:r w:rsidRPr="00EE5722">
        <w:rPr>
          <w:sz w:val="26"/>
          <w:szCs w:val="26"/>
        </w:rPr>
        <w:t xml:space="preserve"> the </w:t>
      </w:r>
      <w:r>
        <w:rPr>
          <w:sz w:val="26"/>
          <w:szCs w:val="26"/>
        </w:rPr>
        <w:t xml:space="preserve">price for the </w:t>
      </w:r>
      <w:r w:rsidRPr="00EE5722">
        <w:rPr>
          <w:sz w:val="26"/>
          <w:szCs w:val="26"/>
        </w:rPr>
        <w:t>SO product should</w:t>
      </w:r>
      <w:r>
        <w:rPr>
          <w:sz w:val="26"/>
          <w:szCs w:val="26"/>
        </w:rPr>
        <w:t xml:space="preserve"> be based on a seven percent reduction from the PTC at the </w:t>
      </w:r>
      <w:r w:rsidRPr="00EE5722">
        <w:rPr>
          <w:sz w:val="26"/>
          <w:szCs w:val="26"/>
        </w:rPr>
        <w:t>time of the offer</w:t>
      </w:r>
      <w:r>
        <w:rPr>
          <w:sz w:val="26"/>
          <w:szCs w:val="26"/>
        </w:rPr>
        <w:t>,</w:t>
      </w:r>
      <w:r w:rsidRPr="00EE5722">
        <w:rPr>
          <w:sz w:val="26"/>
          <w:szCs w:val="26"/>
        </w:rPr>
        <w:t xml:space="preserve"> and </w:t>
      </w:r>
      <w:r>
        <w:rPr>
          <w:sz w:val="26"/>
          <w:szCs w:val="26"/>
        </w:rPr>
        <w:t xml:space="preserve">should be a </w:t>
      </w:r>
      <w:r w:rsidRPr="005D0FD9">
        <w:rPr>
          <w:sz w:val="26"/>
          <w:szCs w:val="26"/>
        </w:rPr>
        <w:t>fixed</w:t>
      </w:r>
      <w:r>
        <w:rPr>
          <w:sz w:val="26"/>
          <w:szCs w:val="26"/>
        </w:rPr>
        <w:t xml:space="preserve"> price for the twelve</w:t>
      </w:r>
      <w:r w:rsidRPr="00EE5722">
        <w:rPr>
          <w:sz w:val="26"/>
          <w:szCs w:val="26"/>
        </w:rPr>
        <w:t>-month</w:t>
      </w:r>
      <w:r>
        <w:rPr>
          <w:sz w:val="26"/>
          <w:szCs w:val="26"/>
        </w:rPr>
        <w:t xml:space="preserve"> term</w:t>
      </w:r>
      <w:r w:rsidRPr="00EE5722">
        <w:rPr>
          <w:sz w:val="26"/>
          <w:szCs w:val="26"/>
        </w:rPr>
        <w:t>.</w:t>
      </w:r>
      <w:r w:rsidRPr="007F29F7">
        <w:rPr>
          <w:sz w:val="26"/>
          <w:szCs w:val="26"/>
        </w:rPr>
        <w:t xml:space="preserve"> </w:t>
      </w:r>
      <w:r>
        <w:rPr>
          <w:sz w:val="26"/>
          <w:szCs w:val="26"/>
        </w:rPr>
        <w:t xml:space="preserve"> The Company argued that</w:t>
      </w:r>
      <w:r w:rsidRPr="00EE5722">
        <w:rPr>
          <w:sz w:val="26"/>
          <w:szCs w:val="26"/>
        </w:rPr>
        <w:t xml:space="preserve"> a percentage discount </w:t>
      </w:r>
      <w:r>
        <w:rPr>
          <w:sz w:val="26"/>
          <w:szCs w:val="26"/>
        </w:rPr>
        <w:t xml:space="preserve">would </w:t>
      </w:r>
      <w:r w:rsidRPr="005D0FD9">
        <w:rPr>
          <w:sz w:val="26"/>
          <w:szCs w:val="26"/>
        </w:rPr>
        <w:t>automatically adjust</w:t>
      </w:r>
      <w:r>
        <w:rPr>
          <w:sz w:val="26"/>
          <w:szCs w:val="26"/>
        </w:rPr>
        <w:t xml:space="preserve"> for changes in price,</w:t>
      </w:r>
      <w:r w:rsidRPr="00EE5722">
        <w:rPr>
          <w:sz w:val="26"/>
          <w:szCs w:val="26"/>
        </w:rPr>
        <w:t xml:space="preserve"> and t</w:t>
      </w:r>
      <w:r>
        <w:rPr>
          <w:sz w:val="26"/>
          <w:szCs w:val="26"/>
        </w:rPr>
        <w:t xml:space="preserve">hat Dominion’s </w:t>
      </w:r>
      <w:r w:rsidRPr="00EE5722">
        <w:rPr>
          <w:sz w:val="26"/>
          <w:szCs w:val="26"/>
        </w:rPr>
        <w:t xml:space="preserve">proposal should not be accepted because it is inconsistent with Commission guidance in the </w:t>
      </w:r>
      <w:r w:rsidRPr="00577099">
        <w:rPr>
          <w:sz w:val="26"/>
          <w:szCs w:val="26"/>
        </w:rPr>
        <w:t>Retail Markets Investigation</w:t>
      </w:r>
      <w:r w:rsidRPr="00616719">
        <w:rPr>
          <w:sz w:val="26"/>
          <w:szCs w:val="26"/>
        </w:rPr>
        <w:t>,</w:t>
      </w:r>
      <w:r w:rsidRPr="00EE5722">
        <w:rPr>
          <w:sz w:val="26"/>
          <w:szCs w:val="26"/>
        </w:rPr>
        <w:t xml:space="preserve"> </w:t>
      </w:r>
      <w:r>
        <w:rPr>
          <w:i/>
          <w:sz w:val="26"/>
          <w:szCs w:val="26"/>
        </w:rPr>
        <w:t>FirstEnergy</w:t>
      </w:r>
      <w:r w:rsidRPr="00EE5722">
        <w:rPr>
          <w:i/>
          <w:sz w:val="26"/>
          <w:szCs w:val="26"/>
        </w:rPr>
        <w:t xml:space="preserve"> </w:t>
      </w:r>
      <w:r>
        <w:rPr>
          <w:i/>
          <w:sz w:val="26"/>
          <w:szCs w:val="26"/>
        </w:rPr>
        <w:t xml:space="preserve">DSP </w:t>
      </w:r>
      <w:r w:rsidRPr="00EE5722">
        <w:rPr>
          <w:i/>
          <w:sz w:val="26"/>
          <w:szCs w:val="26"/>
        </w:rPr>
        <w:t>Order</w:t>
      </w:r>
      <w:r w:rsidRPr="00EE5722">
        <w:rPr>
          <w:sz w:val="26"/>
          <w:szCs w:val="26"/>
        </w:rPr>
        <w:t xml:space="preserve"> and </w:t>
      </w:r>
      <w:r w:rsidRPr="00EE5722">
        <w:rPr>
          <w:i/>
          <w:sz w:val="26"/>
          <w:szCs w:val="26"/>
        </w:rPr>
        <w:t>PECO Binding Poll</w:t>
      </w:r>
      <w:r w:rsidRPr="00EE5722">
        <w:rPr>
          <w:sz w:val="26"/>
          <w:szCs w:val="26"/>
        </w:rPr>
        <w:t xml:space="preserve">.  </w:t>
      </w:r>
      <w:r>
        <w:rPr>
          <w:sz w:val="26"/>
          <w:szCs w:val="26"/>
        </w:rPr>
        <w:t>Lastly, the Company argued that a seven percent</w:t>
      </w:r>
      <w:r w:rsidRPr="00EE5722">
        <w:rPr>
          <w:sz w:val="26"/>
          <w:szCs w:val="26"/>
        </w:rPr>
        <w:t xml:space="preserve"> discount should encourage greater </w:t>
      </w:r>
      <w:r>
        <w:rPr>
          <w:sz w:val="26"/>
          <w:szCs w:val="26"/>
        </w:rPr>
        <w:t>customer participation than a five percent</w:t>
      </w:r>
      <w:r w:rsidRPr="00EE5722">
        <w:rPr>
          <w:sz w:val="26"/>
          <w:szCs w:val="26"/>
        </w:rPr>
        <w:t xml:space="preserve"> discount.</w:t>
      </w:r>
      <w:r>
        <w:rPr>
          <w:sz w:val="26"/>
          <w:szCs w:val="26"/>
        </w:rPr>
        <w:t xml:space="preserve">  Duquesne St. 3 at </w:t>
      </w:r>
      <w:r w:rsidRPr="00EE5722">
        <w:rPr>
          <w:sz w:val="26"/>
          <w:szCs w:val="26"/>
        </w:rPr>
        <w:t xml:space="preserve">38-39.  </w:t>
      </w:r>
    </w:p>
    <w:p w:rsidR="00E95194" w:rsidRPr="00EE5722" w:rsidRDefault="00E95194" w:rsidP="00616719">
      <w:pPr>
        <w:pStyle w:val="BodyText2"/>
        <w:spacing w:after="0" w:line="360" w:lineRule="auto"/>
        <w:rPr>
          <w:sz w:val="26"/>
          <w:szCs w:val="26"/>
        </w:rPr>
      </w:pPr>
    </w:p>
    <w:p w:rsidR="00E95194" w:rsidRDefault="00E95194" w:rsidP="00E95194">
      <w:pPr>
        <w:pStyle w:val="BodyText2"/>
        <w:spacing w:after="0" w:line="360" w:lineRule="auto"/>
        <w:rPr>
          <w:sz w:val="26"/>
          <w:szCs w:val="26"/>
          <w:lang w:val="en-US"/>
        </w:rPr>
      </w:pPr>
      <w:r>
        <w:rPr>
          <w:sz w:val="26"/>
          <w:szCs w:val="26"/>
        </w:rPr>
        <w:tab/>
      </w:r>
      <w:r>
        <w:rPr>
          <w:sz w:val="26"/>
          <w:szCs w:val="26"/>
        </w:rPr>
        <w:tab/>
        <w:t>Duquesne contended that</w:t>
      </w:r>
      <w:r w:rsidRPr="00EE5722">
        <w:rPr>
          <w:sz w:val="26"/>
          <w:szCs w:val="26"/>
        </w:rPr>
        <w:t xml:space="preserve"> its </w:t>
      </w:r>
      <w:r>
        <w:rPr>
          <w:sz w:val="26"/>
          <w:szCs w:val="26"/>
        </w:rPr>
        <w:t xml:space="preserve">proposed </w:t>
      </w:r>
      <w:r w:rsidRPr="00EE5722">
        <w:rPr>
          <w:sz w:val="26"/>
          <w:szCs w:val="26"/>
        </w:rPr>
        <w:t>Standard Offer product is a combination of a “guaranteed savings” product and a “fixed rate” product, where the guaranteed savings term and the fixed rate term vary depending on when a customer enrolls, but</w:t>
      </w:r>
      <w:r>
        <w:rPr>
          <w:sz w:val="26"/>
          <w:szCs w:val="26"/>
        </w:rPr>
        <w:t xml:space="preserve"> in all cases the term equals twelve</w:t>
      </w:r>
      <w:r w:rsidRPr="00EE5722">
        <w:rPr>
          <w:sz w:val="26"/>
          <w:szCs w:val="26"/>
        </w:rPr>
        <w:t xml:space="preserve"> months.  Customers</w:t>
      </w:r>
      <w:r>
        <w:rPr>
          <w:sz w:val="26"/>
          <w:szCs w:val="26"/>
        </w:rPr>
        <w:t xml:space="preserve"> would be </w:t>
      </w:r>
      <w:r w:rsidRPr="00EE5722">
        <w:rPr>
          <w:sz w:val="26"/>
          <w:szCs w:val="26"/>
        </w:rPr>
        <w:t>guaranteed savings through May 31, 2015</w:t>
      </w:r>
      <w:r w:rsidR="00616719">
        <w:rPr>
          <w:sz w:val="26"/>
          <w:szCs w:val="26"/>
        </w:rPr>
        <w:t xml:space="preserve">, </w:t>
      </w:r>
      <w:r w:rsidRPr="00EE5722">
        <w:rPr>
          <w:sz w:val="26"/>
          <w:szCs w:val="26"/>
        </w:rPr>
        <w:t>rang</w:t>
      </w:r>
      <w:r>
        <w:rPr>
          <w:sz w:val="26"/>
          <w:szCs w:val="26"/>
        </w:rPr>
        <w:t>ing from twelve</w:t>
      </w:r>
      <w:r w:rsidR="00616719">
        <w:rPr>
          <w:sz w:val="26"/>
          <w:szCs w:val="26"/>
        </w:rPr>
        <w:t xml:space="preserve"> months to one month</w:t>
      </w:r>
      <w:r w:rsidRPr="00EE5722">
        <w:rPr>
          <w:sz w:val="26"/>
          <w:szCs w:val="26"/>
        </w:rPr>
        <w:t>, followed by a fixed ra</w:t>
      </w:r>
      <w:r w:rsidR="00616719">
        <w:rPr>
          <w:sz w:val="26"/>
          <w:szCs w:val="26"/>
        </w:rPr>
        <w:t xml:space="preserve">te, </w:t>
      </w:r>
      <w:r>
        <w:rPr>
          <w:sz w:val="26"/>
          <w:szCs w:val="26"/>
        </w:rPr>
        <w:t>ranging from zero months to eleven</w:t>
      </w:r>
      <w:r w:rsidR="00616719">
        <w:rPr>
          <w:sz w:val="26"/>
          <w:szCs w:val="26"/>
        </w:rPr>
        <w:t xml:space="preserve"> months,</w:t>
      </w:r>
      <w:r w:rsidRPr="00EE5722">
        <w:rPr>
          <w:sz w:val="26"/>
          <w:szCs w:val="26"/>
        </w:rPr>
        <w:t xml:space="preserve"> depending on when the customer enrolls in the progr</w:t>
      </w:r>
      <w:r>
        <w:rPr>
          <w:sz w:val="26"/>
          <w:szCs w:val="26"/>
        </w:rPr>
        <w:t>am.  Importantly, customers would know the term of the seven percent</w:t>
      </w:r>
      <w:r w:rsidRPr="00EE5722">
        <w:rPr>
          <w:sz w:val="26"/>
          <w:szCs w:val="26"/>
        </w:rPr>
        <w:t xml:space="preserve"> guaranteed savings period</w:t>
      </w:r>
      <w:r>
        <w:rPr>
          <w:sz w:val="26"/>
          <w:szCs w:val="26"/>
        </w:rPr>
        <w:t>,</w:t>
      </w:r>
      <w:r w:rsidRPr="00EE5722">
        <w:rPr>
          <w:sz w:val="26"/>
          <w:szCs w:val="26"/>
        </w:rPr>
        <w:t xml:space="preserve"> and the term and the cents per kWh level of the fixed rate at the time when customers affirmatively enroll </w:t>
      </w:r>
      <w:r>
        <w:rPr>
          <w:sz w:val="26"/>
          <w:szCs w:val="26"/>
        </w:rPr>
        <w:t xml:space="preserve">in the Standard Offer </w:t>
      </w:r>
      <w:r w:rsidR="00EA2357">
        <w:rPr>
          <w:sz w:val="26"/>
          <w:szCs w:val="26"/>
        </w:rPr>
        <w:t>Program</w:t>
      </w:r>
      <w:r>
        <w:rPr>
          <w:sz w:val="26"/>
          <w:szCs w:val="26"/>
        </w:rPr>
        <w:t>.</w:t>
      </w:r>
    </w:p>
    <w:p w:rsidR="00EB1489" w:rsidRPr="00EB1489" w:rsidRDefault="00EB1489" w:rsidP="00E95194">
      <w:pPr>
        <w:pStyle w:val="BodyText2"/>
        <w:spacing w:after="0" w:line="360" w:lineRule="auto"/>
        <w:rPr>
          <w:sz w:val="26"/>
          <w:szCs w:val="26"/>
          <w:lang w:val="en-US"/>
        </w:rPr>
      </w:pPr>
    </w:p>
    <w:p w:rsidR="00E95194" w:rsidRDefault="00E95194" w:rsidP="00584C88">
      <w:pPr>
        <w:pStyle w:val="Heading5"/>
        <w:numPr>
          <w:ilvl w:val="0"/>
          <w:numId w:val="0"/>
        </w:numPr>
        <w:ind w:left="3600" w:hanging="720"/>
      </w:pPr>
      <w:bookmarkStart w:id="134" w:name="_Toc346705376"/>
      <w:r>
        <w:t>ii.</w:t>
      </w:r>
      <w:r>
        <w:tab/>
      </w:r>
      <w:r w:rsidRPr="00EE5722">
        <w:t>Position</w:t>
      </w:r>
      <w:r>
        <w:t>s of the Parties</w:t>
      </w:r>
      <w:bookmarkEnd w:id="134"/>
    </w:p>
    <w:p w:rsidR="00E95194" w:rsidRPr="00D752AB" w:rsidRDefault="00E95194" w:rsidP="00B2607D">
      <w:pPr>
        <w:pStyle w:val="BodyText2"/>
        <w:keepNext/>
        <w:spacing w:after="0" w:line="360" w:lineRule="auto"/>
        <w:ind w:left="1440" w:firstLine="720"/>
        <w:rPr>
          <w:sz w:val="26"/>
          <w:szCs w:val="26"/>
        </w:rPr>
      </w:pPr>
    </w:p>
    <w:p w:rsidR="00E95194" w:rsidRPr="00EE5722" w:rsidRDefault="00E95194" w:rsidP="00E95194">
      <w:pPr>
        <w:spacing w:line="360" w:lineRule="auto"/>
        <w:ind w:firstLine="1440"/>
        <w:rPr>
          <w:sz w:val="26"/>
          <w:szCs w:val="26"/>
        </w:rPr>
      </w:pPr>
      <w:r>
        <w:rPr>
          <w:sz w:val="26"/>
          <w:szCs w:val="26"/>
        </w:rPr>
        <w:t xml:space="preserve">The </w:t>
      </w:r>
      <w:r w:rsidRPr="00EE5722">
        <w:rPr>
          <w:sz w:val="26"/>
          <w:szCs w:val="26"/>
        </w:rPr>
        <w:t xml:space="preserve">OCA proposed </w:t>
      </w:r>
      <w:r>
        <w:rPr>
          <w:sz w:val="26"/>
          <w:szCs w:val="26"/>
        </w:rPr>
        <w:t>modifications to Duquesne’s proposed SO Program</w:t>
      </w:r>
      <w:r w:rsidRPr="00EE5722">
        <w:rPr>
          <w:sz w:val="26"/>
          <w:szCs w:val="26"/>
        </w:rPr>
        <w:t xml:space="preserve"> in order to best serve the Commission’s goal of increasing customer interest in the retail market for generation supply while ensuring that customers benefit as a result of the adoption of these retail market enhancements.  </w:t>
      </w:r>
      <w:r>
        <w:rPr>
          <w:sz w:val="26"/>
          <w:szCs w:val="26"/>
        </w:rPr>
        <w:t>The OCA noted</w:t>
      </w:r>
      <w:r w:rsidRPr="00EE5722">
        <w:rPr>
          <w:sz w:val="26"/>
          <w:szCs w:val="26"/>
        </w:rPr>
        <w:t xml:space="preserve"> that</w:t>
      </w:r>
      <w:r>
        <w:rPr>
          <w:sz w:val="26"/>
          <w:szCs w:val="26"/>
        </w:rPr>
        <w:t>,</w:t>
      </w:r>
      <w:r w:rsidRPr="00EE5722">
        <w:rPr>
          <w:sz w:val="26"/>
          <w:szCs w:val="26"/>
        </w:rPr>
        <w:t xml:space="preserve"> under the Company’s proposal, the offered price term could result in</w:t>
      </w:r>
      <w:r>
        <w:rPr>
          <w:sz w:val="26"/>
          <w:szCs w:val="26"/>
        </w:rPr>
        <w:t xml:space="preserve"> the potential for customers </w:t>
      </w:r>
      <w:r w:rsidRPr="00EE5722">
        <w:rPr>
          <w:sz w:val="26"/>
          <w:szCs w:val="26"/>
        </w:rPr>
        <w:t>pay</w:t>
      </w:r>
      <w:r>
        <w:rPr>
          <w:sz w:val="26"/>
          <w:szCs w:val="26"/>
        </w:rPr>
        <w:t>ing</w:t>
      </w:r>
      <w:r w:rsidRPr="00EE5722">
        <w:rPr>
          <w:sz w:val="26"/>
          <w:szCs w:val="26"/>
        </w:rPr>
        <w:t xml:space="preserve"> a </w:t>
      </w:r>
      <w:r>
        <w:rPr>
          <w:sz w:val="26"/>
          <w:szCs w:val="26"/>
        </w:rPr>
        <w:t>higher price than Duquesne</w:t>
      </w:r>
      <w:r w:rsidRPr="00EE5722">
        <w:rPr>
          <w:sz w:val="26"/>
          <w:szCs w:val="26"/>
        </w:rPr>
        <w:t xml:space="preserve">’s default </w:t>
      </w:r>
      <w:r>
        <w:rPr>
          <w:sz w:val="26"/>
          <w:szCs w:val="26"/>
        </w:rPr>
        <w:t>service price</w:t>
      </w:r>
      <w:r w:rsidRPr="00EE5722">
        <w:rPr>
          <w:sz w:val="26"/>
          <w:szCs w:val="26"/>
        </w:rPr>
        <w:t>, even though the Company proposes annual reconciliation of the PT</w:t>
      </w:r>
      <w:r>
        <w:rPr>
          <w:sz w:val="26"/>
          <w:szCs w:val="26"/>
        </w:rPr>
        <w:t>C.  According to the OCA, the seven percent</w:t>
      </w:r>
      <w:r w:rsidRPr="00EE5722">
        <w:rPr>
          <w:sz w:val="26"/>
          <w:szCs w:val="26"/>
        </w:rPr>
        <w:t xml:space="preserve"> discount could be in effect for as short a period as one day if the customer enrolled in the program on the day before the annual price change.</w:t>
      </w:r>
      <w:r>
        <w:rPr>
          <w:sz w:val="26"/>
          <w:szCs w:val="26"/>
        </w:rPr>
        <w:t xml:space="preserve">  OCA St. 2 at 16.  </w:t>
      </w:r>
    </w:p>
    <w:p w:rsidR="00E95194" w:rsidRPr="00EE5722" w:rsidRDefault="00E95194" w:rsidP="00E95194">
      <w:pPr>
        <w:spacing w:line="360" w:lineRule="auto"/>
        <w:ind w:firstLine="1440"/>
        <w:rPr>
          <w:sz w:val="26"/>
          <w:szCs w:val="26"/>
        </w:rPr>
      </w:pPr>
    </w:p>
    <w:p w:rsidR="00E95194" w:rsidRPr="00EE5722" w:rsidRDefault="00E95194" w:rsidP="00E95194">
      <w:pPr>
        <w:spacing w:line="360" w:lineRule="auto"/>
        <w:rPr>
          <w:sz w:val="26"/>
          <w:szCs w:val="26"/>
        </w:rPr>
      </w:pPr>
      <w:r w:rsidRPr="00EE5722">
        <w:rPr>
          <w:sz w:val="26"/>
          <w:szCs w:val="26"/>
        </w:rPr>
        <w:tab/>
      </w:r>
      <w:r w:rsidRPr="00EE5722">
        <w:rPr>
          <w:sz w:val="26"/>
          <w:szCs w:val="26"/>
        </w:rPr>
        <w:tab/>
      </w:r>
      <w:r>
        <w:rPr>
          <w:sz w:val="26"/>
          <w:szCs w:val="26"/>
        </w:rPr>
        <w:t>The OCA submitted</w:t>
      </w:r>
      <w:r w:rsidRPr="00EE5722">
        <w:rPr>
          <w:sz w:val="26"/>
          <w:szCs w:val="26"/>
        </w:rPr>
        <w:t xml:space="preserve"> t</w:t>
      </w:r>
      <w:r>
        <w:rPr>
          <w:sz w:val="26"/>
          <w:szCs w:val="26"/>
        </w:rPr>
        <w:t xml:space="preserve">hat Duquesne’s proposal for a twelve-month contract term and a seven percent discount off the PTC </w:t>
      </w:r>
      <w:r w:rsidRPr="00EE5722">
        <w:rPr>
          <w:sz w:val="26"/>
          <w:szCs w:val="26"/>
        </w:rPr>
        <w:t xml:space="preserve">at the time of enrollment should not be adopted.  While </w:t>
      </w:r>
      <w:r>
        <w:rPr>
          <w:sz w:val="26"/>
          <w:szCs w:val="26"/>
        </w:rPr>
        <w:t xml:space="preserve">the OCA recommended the SO </w:t>
      </w:r>
      <w:r w:rsidRPr="00EE5722">
        <w:rPr>
          <w:sz w:val="26"/>
          <w:szCs w:val="26"/>
        </w:rPr>
        <w:t>Program be structured as an introductory offer, for a minimum of four months, it stressed the need for guaranteed savings</w:t>
      </w:r>
      <w:r>
        <w:rPr>
          <w:sz w:val="26"/>
          <w:szCs w:val="26"/>
        </w:rPr>
        <w:t xml:space="preserve">.  The OCA submitted that the guaranteed seven percent </w:t>
      </w:r>
      <w:r w:rsidRPr="00EE5722">
        <w:rPr>
          <w:sz w:val="26"/>
          <w:szCs w:val="26"/>
        </w:rPr>
        <w:t xml:space="preserve">discount off the PTC should be applied during </w:t>
      </w:r>
      <w:r>
        <w:rPr>
          <w:sz w:val="26"/>
          <w:szCs w:val="26"/>
        </w:rPr>
        <w:t xml:space="preserve">the entire time of the </w:t>
      </w:r>
      <w:r w:rsidRPr="00EE5722">
        <w:rPr>
          <w:sz w:val="26"/>
          <w:szCs w:val="26"/>
        </w:rPr>
        <w:t xml:space="preserve">contract in order to provide savings to customers and </w:t>
      </w:r>
      <w:r>
        <w:rPr>
          <w:sz w:val="26"/>
          <w:szCs w:val="26"/>
        </w:rPr>
        <w:t xml:space="preserve">to </w:t>
      </w:r>
      <w:r>
        <w:rPr>
          <w:sz w:val="26"/>
          <w:szCs w:val="26"/>
        </w:rPr>
        <w:lastRenderedPageBreak/>
        <w:t>allow customers,</w:t>
      </w:r>
      <w:r w:rsidRPr="00EE5722">
        <w:rPr>
          <w:sz w:val="26"/>
          <w:szCs w:val="26"/>
        </w:rPr>
        <w:t xml:space="preserve"> who otherwise are reluctant to shop</w:t>
      </w:r>
      <w:r>
        <w:rPr>
          <w:sz w:val="26"/>
          <w:szCs w:val="26"/>
        </w:rPr>
        <w:t>,</w:t>
      </w:r>
      <w:r w:rsidRPr="00EE5722">
        <w:rPr>
          <w:sz w:val="26"/>
          <w:szCs w:val="26"/>
        </w:rPr>
        <w:t xml:space="preserve"> with a risk-free opportunity to do so.</w:t>
      </w:r>
      <w:r w:rsidRPr="003905FB">
        <w:rPr>
          <w:sz w:val="26"/>
          <w:szCs w:val="26"/>
        </w:rPr>
        <w:t xml:space="preserve"> </w:t>
      </w:r>
      <w:r>
        <w:rPr>
          <w:sz w:val="26"/>
          <w:szCs w:val="26"/>
        </w:rPr>
        <w:t xml:space="preserve"> OCA St. 2 at 16.</w:t>
      </w:r>
    </w:p>
    <w:p w:rsidR="00E95194" w:rsidRDefault="00E95194" w:rsidP="00E95194">
      <w:pPr>
        <w:spacing w:line="360" w:lineRule="auto"/>
        <w:rPr>
          <w:sz w:val="26"/>
          <w:szCs w:val="26"/>
        </w:rPr>
      </w:pPr>
      <w:r w:rsidRPr="00EE5722">
        <w:rPr>
          <w:sz w:val="26"/>
          <w:szCs w:val="26"/>
        </w:rPr>
        <w:tab/>
      </w:r>
      <w:r w:rsidRPr="00EE5722">
        <w:rPr>
          <w:sz w:val="26"/>
          <w:szCs w:val="26"/>
        </w:rPr>
        <w:tab/>
      </w:r>
    </w:p>
    <w:p w:rsidR="00E95194" w:rsidRDefault="00E95194" w:rsidP="00E95194">
      <w:pPr>
        <w:pStyle w:val="BodyText2"/>
        <w:spacing w:after="0" w:line="360" w:lineRule="auto"/>
        <w:ind w:firstLine="1440"/>
        <w:rPr>
          <w:sz w:val="26"/>
          <w:szCs w:val="26"/>
          <w:lang w:val="en-US"/>
        </w:rPr>
      </w:pPr>
      <w:r w:rsidRPr="00EE5722">
        <w:rPr>
          <w:sz w:val="26"/>
          <w:szCs w:val="26"/>
        </w:rPr>
        <w:t xml:space="preserve">Consistent with its position in the Opt-In Program, </w:t>
      </w:r>
      <w:r>
        <w:rPr>
          <w:sz w:val="26"/>
          <w:szCs w:val="26"/>
        </w:rPr>
        <w:t>the OCA supported</w:t>
      </w:r>
      <w:r w:rsidRPr="00EE5722">
        <w:rPr>
          <w:sz w:val="26"/>
          <w:szCs w:val="26"/>
        </w:rPr>
        <w:t xml:space="preserve"> guaranteed cust</w:t>
      </w:r>
      <w:r>
        <w:rPr>
          <w:sz w:val="26"/>
          <w:szCs w:val="26"/>
        </w:rPr>
        <w:t xml:space="preserve">omer savings during the </w:t>
      </w:r>
      <w:r w:rsidRPr="00EE5722">
        <w:rPr>
          <w:sz w:val="26"/>
          <w:szCs w:val="26"/>
        </w:rPr>
        <w:t xml:space="preserve">term of the </w:t>
      </w:r>
      <w:r w:rsidR="00EA2357">
        <w:rPr>
          <w:sz w:val="26"/>
          <w:szCs w:val="26"/>
        </w:rPr>
        <w:t>SO P</w:t>
      </w:r>
      <w:r w:rsidRPr="00EE5722">
        <w:rPr>
          <w:sz w:val="26"/>
          <w:szCs w:val="26"/>
        </w:rPr>
        <w:t xml:space="preserve">rogram.  </w:t>
      </w:r>
      <w:r>
        <w:rPr>
          <w:sz w:val="26"/>
          <w:szCs w:val="26"/>
        </w:rPr>
        <w:t xml:space="preserve">The </w:t>
      </w:r>
      <w:r w:rsidRPr="00EE5722">
        <w:rPr>
          <w:sz w:val="26"/>
          <w:szCs w:val="26"/>
        </w:rPr>
        <w:t xml:space="preserve">OCA </w:t>
      </w:r>
      <w:r>
        <w:rPr>
          <w:sz w:val="26"/>
          <w:szCs w:val="26"/>
        </w:rPr>
        <w:t>argued that</w:t>
      </w:r>
      <w:r w:rsidRPr="00EE5722">
        <w:rPr>
          <w:sz w:val="26"/>
          <w:szCs w:val="26"/>
        </w:rPr>
        <w:t xml:space="preserve"> encouraging customers t</w:t>
      </w:r>
      <w:r>
        <w:rPr>
          <w:sz w:val="26"/>
          <w:szCs w:val="26"/>
        </w:rPr>
        <w:t>o participate in the SO P</w:t>
      </w:r>
      <w:r w:rsidRPr="00EE5722">
        <w:rPr>
          <w:sz w:val="26"/>
          <w:szCs w:val="26"/>
        </w:rPr>
        <w:t>rogram as a means of “jump starting” the retail competitive market</w:t>
      </w:r>
      <w:r>
        <w:rPr>
          <w:sz w:val="26"/>
          <w:szCs w:val="26"/>
        </w:rPr>
        <w:t>,</w:t>
      </w:r>
      <w:r w:rsidRPr="00EE5722">
        <w:rPr>
          <w:sz w:val="26"/>
          <w:szCs w:val="26"/>
        </w:rPr>
        <w:t xml:space="preserve"> and then creating the potential for customers to pay a higher price for generation supply as a result of their enrollment</w:t>
      </w:r>
      <w:r>
        <w:rPr>
          <w:sz w:val="26"/>
          <w:szCs w:val="26"/>
        </w:rPr>
        <w:t>,</w:t>
      </w:r>
      <w:r w:rsidRPr="00EE5722">
        <w:rPr>
          <w:sz w:val="26"/>
          <w:szCs w:val="26"/>
        </w:rPr>
        <w:t xml:space="preserve"> is not a reasonable path to securing customer interest in or satisfactio</w:t>
      </w:r>
      <w:r>
        <w:rPr>
          <w:sz w:val="26"/>
          <w:szCs w:val="26"/>
        </w:rPr>
        <w:t>n with the competitive market.  The OCA contended that</w:t>
      </w:r>
      <w:r w:rsidRPr="00EE5722">
        <w:rPr>
          <w:sz w:val="26"/>
          <w:szCs w:val="26"/>
        </w:rPr>
        <w:t xml:space="preserve"> the referral program could work </w:t>
      </w:r>
      <w:r w:rsidRPr="0023128A">
        <w:rPr>
          <w:sz w:val="26"/>
          <w:szCs w:val="26"/>
        </w:rPr>
        <w:t>contrary</w:t>
      </w:r>
      <w:r w:rsidRPr="00EE5722">
        <w:rPr>
          <w:sz w:val="26"/>
          <w:szCs w:val="26"/>
        </w:rPr>
        <w:t xml:space="preserve"> to its intent and cause participants to become dissatisfied with their shopping experience</w:t>
      </w:r>
      <w:r>
        <w:rPr>
          <w:sz w:val="26"/>
          <w:szCs w:val="26"/>
        </w:rPr>
        <w:t xml:space="preserve"> if there were no guaranteed savings.</w:t>
      </w:r>
    </w:p>
    <w:p w:rsidR="00B2607D" w:rsidRPr="00B2607D" w:rsidRDefault="00B2607D" w:rsidP="00E95194">
      <w:pPr>
        <w:pStyle w:val="BodyText2"/>
        <w:spacing w:after="0" w:line="360" w:lineRule="auto"/>
        <w:ind w:firstLine="1440"/>
        <w:rPr>
          <w:sz w:val="26"/>
          <w:szCs w:val="26"/>
          <w:lang w:val="en-US"/>
        </w:rPr>
      </w:pPr>
    </w:p>
    <w:p w:rsidR="00E95194" w:rsidRPr="002F7E4F" w:rsidRDefault="00E95194" w:rsidP="00E95194">
      <w:pPr>
        <w:pStyle w:val="WBBodyText1"/>
        <w:spacing w:line="360" w:lineRule="auto"/>
        <w:ind w:firstLine="1440"/>
        <w:rPr>
          <w:sz w:val="26"/>
          <w:szCs w:val="26"/>
        </w:rPr>
      </w:pPr>
      <w:r w:rsidRPr="002F7E4F">
        <w:rPr>
          <w:sz w:val="26"/>
          <w:szCs w:val="26"/>
        </w:rPr>
        <w:t>RESA generally supported Duquesn</w:t>
      </w:r>
      <w:r>
        <w:rPr>
          <w:sz w:val="26"/>
          <w:szCs w:val="26"/>
        </w:rPr>
        <w:t xml:space="preserve">e’s proposed SO Program but </w:t>
      </w:r>
      <w:r w:rsidRPr="002F7E4F">
        <w:rPr>
          <w:sz w:val="26"/>
          <w:szCs w:val="26"/>
        </w:rPr>
        <w:t>recommend</w:t>
      </w:r>
      <w:r>
        <w:rPr>
          <w:sz w:val="26"/>
          <w:szCs w:val="26"/>
        </w:rPr>
        <w:t>ed</w:t>
      </w:r>
      <w:r w:rsidRPr="002F7E4F">
        <w:rPr>
          <w:sz w:val="26"/>
          <w:szCs w:val="26"/>
        </w:rPr>
        <w:t xml:space="preserve"> that the length of the discount be for four billing cycles, not twelve as proposed by Duquesne.  Additionally, RESA contended that the Commission should recognize the need to coordinate the offer to be made via the Opt-In Program with the offer to be extended as part of the SO Program.  RESA stated that the two offers should be as consistent as possible. </w:t>
      </w:r>
      <w:r>
        <w:rPr>
          <w:sz w:val="26"/>
          <w:szCs w:val="26"/>
        </w:rPr>
        <w:t xml:space="preserve"> </w:t>
      </w:r>
      <w:r w:rsidRPr="002F7E4F">
        <w:rPr>
          <w:sz w:val="26"/>
          <w:szCs w:val="26"/>
        </w:rPr>
        <w:t>Specific</w:t>
      </w:r>
      <w:r>
        <w:rPr>
          <w:sz w:val="26"/>
          <w:szCs w:val="26"/>
        </w:rPr>
        <w:t xml:space="preserve">ally, if the Opt-In </w:t>
      </w:r>
      <w:r w:rsidRPr="002F7E4F">
        <w:rPr>
          <w:sz w:val="26"/>
          <w:szCs w:val="26"/>
        </w:rPr>
        <w:t>offer is to be a five percent discount from the then-current PTC with a $50 bonus after four months, then the Commission should consider making the SO Program a five percent discount for four mo</w:t>
      </w:r>
      <w:r>
        <w:rPr>
          <w:sz w:val="26"/>
          <w:szCs w:val="26"/>
        </w:rPr>
        <w:t>nths, but without a bonus</w:t>
      </w:r>
      <w:r w:rsidRPr="002F7E4F">
        <w:rPr>
          <w:sz w:val="26"/>
          <w:szCs w:val="26"/>
        </w:rPr>
        <w:t xml:space="preserve">. </w:t>
      </w:r>
      <w:r>
        <w:rPr>
          <w:sz w:val="26"/>
          <w:szCs w:val="26"/>
        </w:rPr>
        <w:t xml:space="preserve"> </w:t>
      </w:r>
      <w:r w:rsidRPr="002F7E4F">
        <w:rPr>
          <w:sz w:val="26"/>
          <w:szCs w:val="26"/>
        </w:rPr>
        <w:t xml:space="preserve">Under RESA’s proposal, the Opt-In Program and the SO Program </w:t>
      </w:r>
      <w:r>
        <w:rPr>
          <w:sz w:val="26"/>
          <w:szCs w:val="26"/>
        </w:rPr>
        <w:t xml:space="preserve">each should </w:t>
      </w:r>
      <w:r w:rsidRPr="002F7E4F">
        <w:rPr>
          <w:sz w:val="26"/>
          <w:szCs w:val="26"/>
        </w:rPr>
        <w:t>have the same discount percentage.</w:t>
      </w:r>
      <w:r>
        <w:rPr>
          <w:sz w:val="26"/>
          <w:szCs w:val="26"/>
        </w:rPr>
        <w:t xml:space="preserve"> </w:t>
      </w:r>
      <w:r w:rsidRPr="002F7E4F">
        <w:rPr>
          <w:sz w:val="26"/>
          <w:szCs w:val="26"/>
        </w:rPr>
        <w:t xml:space="preserve"> According to RESA, the important point is to keep the discount and the term the same for both programs, and to establish a discount percentage that will balance the need to introduce customers to the competitive market at a discounte</w:t>
      </w:r>
      <w:r>
        <w:rPr>
          <w:sz w:val="26"/>
          <w:szCs w:val="26"/>
        </w:rPr>
        <w:t xml:space="preserve">d price offering and with the need to </w:t>
      </w:r>
      <w:r w:rsidRPr="002F7E4F">
        <w:rPr>
          <w:sz w:val="26"/>
          <w:szCs w:val="26"/>
        </w:rPr>
        <w:t>entice the greatest number of EGSs to participate.  RESA St. 2 at 20</w:t>
      </w:r>
      <w:r w:rsidR="00EA2357">
        <w:rPr>
          <w:sz w:val="26"/>
          <w:szCs w:val="26"/>
        </w:rPr>
        <w:t>;</w:t>
      </w:r>
      <w:r w:rsidRPr="002F7E4F">
        <w:rPr>
          <w:sz w:val="26"/>
          <w:szCs w:val="26"/>
        </w:rPr>
        <w:t xml:space="preserve"> RESA St. 2-SR at 21-23.</w:t>
      </w:r>
    </w:p>
    <w:p w:rsidR="00E95194" w:rsidRPr="00EE5722" w:rsidRDefault="00E95194" w:rsidP="00E95194">
      <w:pPr>
        <w:pStyle w:val="BodyText2"/>
        <w:spacing w:after="0" w:line="360" w:lineRule="auto"/>
        <w:rPr>
          <w:sz w:val="26"/>
          <w:szCs w:val="26"/>
        </w:rPr>
      </w:pPr>
    </w:p>
    <w:p w:rsidR="00E95194" w:rsidRPr="006478BB" w:rsidRDefault="00E95194" w:rsidP="00616719">
      <w:pPr>
        <w:pStyle w:val="BodyText"/>
        <w:spacing w:after="0" w:line="360" w:lineRule="auto"/>
        <w:ind w:left="0"/>
        <w:rPr>
          <w:sz w:val="26"/>
          <w:szCs w:val="26"/>
        </w:rPr>
      </w:pPr>
      <w:r>
        <w:rPr>
          <w:sz w:val="26"/>
          <w:szCs w:val="26"/>
        </w:rPr>
        <w:t>Therefore, RESA opposed Duquesne’s proposed twelve</w:t>
      </w:r>
      <w:r w:rsidRPr="00EE5722">
        <w:rPr>
          <w:sz w:val="26"/>
          <w:szCs w:val="26"/>
        </w:rPr>
        <w:t xml:space="preserve">-month </w:t>
      </w:r>
      <w:r>
        <w:rPr>
          <w:sz w:val="26"/>
          <w:szCs w:val="26"/>
        </w:rPr>
        <w:t xml:space="preserve">product </w:t>
      </w:r>
      <w:r>
        <w:rPr>
          <w:sz w:val="26"/>
          <w:szCs w:val="26"/>
        </w:rPr>
        <w:lastRenderedPageBreak/>
        <w:t xml:space="preserve">with a seven percent discount from </w:t>
      </w:r>
      <w:r w:rsidRPr="00EE5722">
        <w:rPr>
          <w:sz w:val="26"/>
          <w:szCs w:val="26"/>
        </w:rPr>
        <w:t xml:space="preserve">the PTC because </w:t>
      </w:r>
      <w:r>
        <w:rPr>
          <w:sz w:val="26"/>
          <w:szCs w:val="26"/>
        </w:rPr>
        <w:t xml:space="preserve">changes to the PTC will </w:t>
      </w:r>
      <w:r w:rsidRPr="00EE5722">
        <w:rPr>
          <w:sz w:val="26"/>
          <w:szCs w:val="26"/>
        </w:rPr>
        <w:t>impact the “guaranteed savings.”   The “guarante</w:t>
      </w:r>
      <w:r>
        <w:rPr>
          <w:sz w:val="26"/>
          <w:szCs w:val="26"/>
        </w:rPr>
        <w:t xml:space="preserve">ed savings” </w:t>
      </w:r>
      <w:r w:rsidRPr="00EE5722">
        <w:rPr>
          <w:sz w:val="26"/>
          <w:szCs w:val="26"/>
        </w:rPr>
        <w:t xml:space="preserve">may not materialize if the term extends beyond the next change to the PTC. </w:t>
      </w:r>
      <w:r>
        <w:rPr>
          <w:sz w:val="26"/>
          <w:szCs w:val="26"/>
        </w:rPr>
        <w:t xml:space="preserve"> RESA</w:t>
      </w:r>
      <w:r w:rsidRPr="00EE5722">
        <w:rPr>
          <w:sz w:val="26"/>
          <w:szCs w:val="26"/>
        </w:rPr>
        <w:t xml:space="preserve"> proposed </w:t>
      </w:r>
      <w:r>
        <w:rPr>
          <w:sz w:val="26"/>
          <w:szCs w:val="26"/>
        </w:rPr>
        <w:t>that a four-month product with a seven percent</w:t>
      </w:r>
      <w:r w:rsidRPr="00EE5722">
        <w:rPr>
          <w:sz w:val="26"/>
          <w:szCs w:val="26"/>
        </w:rPr>
        <w:t xml:space="preserve"> discount would offer true guaranteed savings because the EGS would be required to guarantee that the price of </w:t>
      </w:r>
      <w:r>
        <w:rPr>
          <w:sz w:val="26"/>
          <w:szCs w:val="26"/>
        </w:rPr>
        <w:t>the referral product would be seven percent</w:t>
      </w:r>
      <w:r w:rsidRPr="00EE5722">
        <w:rPr>
          <w:sz w:val="26"/>
          <w:szCs w:val="26"/>
        </w:rPr>
        <w:t xml:space="preserve"> less than the PTC during all four months, even if the PTC changes before the end of th</w:t>
      </w:r>
      <w:r>
        <w:rPr>
          <w:sz w:val="26"/>
          <w:szCs w:val="26"/>
        </w:rPr>
        <w:t>e four-month period</w:t>
      </w:r>
      <w:r w:rsidRPr="00EE5722">
        <w:rPr>
          <w:sz w:val="26"/>
          <w:szCs w:val="26"/>
        </w:rPr>
        <w:t>.</w:t>
      </w:r>
      <w:r>
        <w:rPr>
          <w:sz w:val="26"/>
          <w:szCs w:val="26"/>
        </w:rPr>
        <w:t xml:space="preserve">  RESA St. </w:t>
      </w:r>
      <w:r w:rsidRPr="007920EC">
        <w:rPr>
          <w:sz w:val="26"/>
          <w:szCs w:val="26"/>
        </w:rPr>
        <w:t>2 at 20.</w:t>
      </w:r>
      <w:r>
        <w:rPr>
          <w:sz w:val="26"/>
          <w:szCs w:val="26"/>
        </w:rPr>
        <w:t xml:space="preserve">  RESA recommended</w:t>
      </w:r>
      <w:r w:rsidRPr="00EE5722">
        <w:rPr>
          <w:sz w:val="26"/>
          <w:szCs w:val="26"/>
        </w:rPr>
        <w:t xml:space="preserve"> guaranteed savings</w:t>
      </w:r>
      <w:r>
        <w:rPr>
          <w:sz w:val="26"/>
          <w:szCs w:val="26"/>
        </w:rPr>
        <w:t>; however</w:t>
      </w:r>
      <w:r w:rsidRPr="00EE5722">
        <w:rPr>
          <w:sz w:val="26"/>
          <w:szCs w:val="26"/>
        </w:rPr>
        <w:t xml:space="preserve"> </w:t>
      </w:r>
      <w:r>
        <w:rPr>
          <w:sz w:val="26"/>
          <w:szCs w:val="26"/>
        </w:rPr>
        <w:t xml:space="preserve">RESA advocated that savings be guaranteed </w:t>
      </w:r>
      <w:r w:rsidRPr="00EE5722">
        <w:rPr>
          <w:sz w:val="26"/>
          <w:szCs w:val="26"/>
        </w:rPr>
        <w:t xml:space="preserve">for </w:t>
      </w:r>
      <w:r>
        <w:rPr>
          <w:sz w:val="26"/>
          <w:szCs w:val="26"/>
        </w:rPr>
        <w:t xml:space="preserve">only </w:t>
      </w:r>
      <w:r w:rsidRPr="00EE5722">
        <w:rPr>
          <w:sz w:val="26"/>
          <w:szCs w:val="26"/>
        </w:rPr>
        <w:t xml:space="preserve">four </w:t>
      </w:r>
      <w:r>
        <w:rPr>
          <w:sz w:val="26"/>
          <w:szCs w:val="26"/>
        </w:rPr>
        <w:t xml:space="preserve">months based on </w:t>
      </w:r>
      <w:r w:rsidRPr="00EE5722">
        <w:rPr>
          <w:sz w:val="26"/>
          <w:szCs w:val="26"/>
        </w:rPr>
        <w:t>a percentage</w:t>
      </w:r>
      <w:r>
        <w:rPr>
          <w:sz w:val="26"/>
          <w:szCs w:val="26"/>
        </w:rPr>
        <w:t xml:space="preserve"> discount</w:t>
      </w:r>
      <w:r w:rsidRPr="00EE5722">
        <w:rPr>
          <w:sz w:val="26"/>
          <w:szCs w:val="26"/>
        </w:rPr>
        <w:t xml:space="preserve"> consistent with </w:t>
      </w:r>
      <w:r>
        <w:rPr>
          <w:sz w:val="26"/>
          <w:szCs w:val="26"/>
        </w:rPr>
        <w:t>the discount offered for the Opt-In Program</w:t>
      </w:r>
      <w:r w:rsidRPr="00EE5722">
        <w:rPr>
          <w:sz w:val="26"/>
          <w:szCs w:val="26"/>
        </w:rPr>
        <w:t>.</w:t>
      </w:r>
      <w:r w:rsidRPr="00EE5722">
        <w:rPr>
          <w:b/>
          <w:sz w:val="26"/>
          <w:szCs w:val="26"/>
        </w:rPr>
        <w:tab/>
      </w:r>
    </w:p>
    <w:p w:rsidR="00E95194" w:rsidRDefault="00E95194" w:rsidP="00616719">
      <w:pPr>
        <w:pStyle w:val="BodyText"/>
        <w:spacing w:after="0" w:line="360" w:lineRule="auto"/>
        <w:ind w:left="0"/>
        <w:rPr>
          <w:sz w:val="26"/>
          <w:szCs w:val="26"/>
        </w:rPr>
      </w:pPr>
    </w:p>
    <w:p w:rsidR="00E95194" w:rsidRDefault="00E95194" w:rsidP="00616719">
      <w:pPr>
        <w:spacing w:line="360" w:lineRule="auto"/>
        <w:ind w:firstLine="1440"/>
        <w:rPr>
          <w:i/>
          <w:sz w:val="26"/>
          <w:szCs w:val="26"/>
        </w:rPr>
      </w:pPr>
      <w:r>
        <w:rPr>
          <w:sz w:val="26"/>
          <w:szCs w:val="26"/>
        </w:rPr>
        <w:t>CAUSE supported</w:t>
      </w:r>
      <w:r w:rsidRPr="00EE5722">
        <w:rPr>
          <w:sz w:val="26"/>
          <w:szCs w:val="26"/>
        </w:rPr>
        <w:t xml:space="preserve"> Duquesne’s selec</w:t>
      </w:r>
      <w:r>
        <w:rPr>
          <w:sz w:val="26"/>
          <w:szCs w:val="26"/>
        </w:rPr>
        <w:t>tion of a twelve-month term for the SO</w:t>
      </w:r>
      <w:r w:rsidRPr="00EE5722">
        <w:rPr>
          <w:sz w:val="26"/>
          <w:szCs w:val="26"/>
        </w:rPr>
        <w:t xml:space="preserve"> product</w:t>
      </w:r>
      <w:r>
        <w:rPr>
          <w:sz w:val="26"/>
          <w:szCs w:val="26"/>
        </w:rPr>
        <w:t xml:space="preserve"> because, consistent with its twelve-month term for the Opt-In product, a fixed rate for a year would provide much more </w:t>
      </w:r>
      <w:r w:rsidRPr="00EE5722">
        <w:rPr>
          <w:sz w:val="26"/>
          <w:szCs w:val="26"/>
        </w:rPr>
        <w:t>stability to participating customers.</w:t>
      </w:r>
      <w:r w:rsidRPr="003905FB">
        <w:rPr>
          <w:sz w:val="26"/>
          <w:szCs w:val="26"/>
        </w:rPr>
        <w:t xml:space="preserve"> </w:t>
      </w:r>
      <w:r>
        <w:rPr>
          <w:sz w:val="26"/>
          <w:szCs w:val="26"/>
        </w:rPr>
        <w:t xml:space="preserve"> </w:t>
      </w:r>
      <w:r w:rsidRPr="00EE5722">
        <w:rPr>
          <w:sz w:val="26"/>
          <w:szCs w:val="26"/>
        </w:rPr>
        <w:t xml:space="preserve">CAUSE </w:t>
      </w:r>
      <w:r>
        <w:rPr>
          <w:sz w:val="26"/>
          <w:szCs w:val="26"/>
        </w:rPr>
        <w:t>also supported</w:t>
      </w:r>
      <w:r w:rsidRPr="00EE5722">
        <w:rPr>
          <w:sz w:val="26"/>
          <w:szCs w:val="26"/>
        </w:rPr>
        <w:t xml:space="preserve"> a </w:t>
      </w:r>
      <w:r>
        <w:rPr>
          <w:sz w:val="26"/>
          <w:szCs w:val="26"/>
        </w:rPr>
        <w:t>seven percent</w:t>
      </w:r>
      <w:r w:rsidRPr="00EE5722">
        <w:rPr>
          <w:sz w:val="26"/>
          <w:szCs w:val="26"/>
        </w:rPr>
        <w:t xml:space="preserve"> discount off of the known PTC at the time the offer is made.</w:t>
      </w:r>
      <w:r>
        <w:rPr>
          <w:sz w:val="26"/>
          <w:szCs w:val="26"/>
        </w:rPr>
        <w:t xml:space="preserve">  CAUSE </w:t>
      </w:r>
      <w:r w:rsidRPr="00EE5722">
        <w:rPr>
          <w:sz w:val="26"/>
          <w:szCs w:val="26"/>
        </w:rPr>
        <w:t>prefer</w:t>
      </w:r>
      <w:r>
        <w:rPr>
          <w:sz w:val="26"/>
          <w:szCs w:val="26"/>
        </w:rPr>
        <w:t xml:space="preserve">red </w:t>
      </w:r>
      <w:r w:rsidRPr="00EE5722">
        <w:rPr>
          <w:sz w:val="26"/>
          <w:szCs w:val="26"/>
        </w:rPr>
        <w:t>a customer referral program designed to offer c</w:t>
      </w:r>
      <w:r>
        <w:rPr>
          <w:sz w:val="26"/>
          <w:szCs w:val="26"/>
        </w:rPr>
        <w:t xml:space="preserve">ustomers a guaranteed seven percent from </w:t>
      </w:r>
      <w:r w:rsidRPr="00EE5722">
        <w:rPr>
          <w:sz w:val="26"/>
          <w:szCs w:val="26"/>
        </w:rPr>
        <w:t>the PTC throughout th</w:t>
      </w:r>
      <w:r>
        <w:rPr>
          <w:sz w:val="26"/>
          <w:szCs w:val="26"/>
        </w:rPr>
        <w:t>e entire term of the contract.  CAUSE argued that a fixed rate for twelve</w:t>
      </w:r>
      <w:r w:rsidRPr="00EE5722">
        <w:rPr>
          <w:sz w:val="26"/>
          <w:szCs w:val="26"/>
        </w:rPr>
        <w:t xml:space="preserve"> months</w:t>
      </w:r>
      <w:r>
        <w:rPr>
          <w:sz w:val="26"/>
          <w:szCs w:val="26"/>
        </w:rPr>
        <w:t>, at seven percent</w:t>
      </w:r>
      <w:r w:rsidRPr="00EE5722">
        <w:rPr>
          <w:sz w:val="26"/>
          <w:szCs w:val="26"/>
        </w:rPr>
        <w:t xml:space="preserve"> less than the </w:t>
      </w:r>
      <w:r>
        <w:rPr>
          <w:sz w:val="26"/>
          <w:szCs w:val="26"/>
        </w:rPr>
        <w:t>PTC in effect at the time the offer is made, would be</w:t>
      </w:r>
      <w:r w:rsidRPr="00EE5722">
        <w:rPr>
          <w:sz w:val="26"/>
          <w:szCs w:val="26"/>
        </w:rPr>
        <w:t xml:space="preserve"> superior to a shorter time frame with gu</w:t>
      </w:r>
      <w:r>
        <w:rPr>
          <w:sz w:val="26"/>
          <w:szCs w:val="26"/>
        </w:rPr>
        <w:t xml:space="preserve">aranteed savings. </w:t>
      </w:r>
    </w:p>
    <w:p w:rsidR="00E95194" w:rsidRPr="00616719" w:rsidRDefault="00E95194" w:rsidP="00616719">
      <w:pPr>
        <w:spacing w:line="360" w:lineRule="auto"/>
        <w:ind w:firstLine="1440"/>
        <w:rPr>
          <w:sz w:val="26"/>
          <w:szCs w:val="26"/>
        </w:rPr>
      </w:pPr>
    </w:p>
    <w:p w:rsidR="00E95194" w:rsidRPr="006478BB" w:rsidRDefault="00E95194" w:rsidP="00616719">
      <w:pPr>
        <w:pStyle w:val="BodyText"/>
        <w:spacing w:after="0" w:line="360" w:lineRule="auto"/>
        <w:ind w:left="0"/>
        <w:rPr>
          <w:sz w:val="26"/>
          <w:szCs w:val="26"/>
        </w:rPr>
      </w:pPr>
      <w:r w:rsidRPr="00EE5722">
        <w:rPr>
          <w:sz w:val="26"/>
          <w:szCs w:val="26"/>
        </w:rPr>
        <w:t xml:space="preserve">Dominion suggested </w:t>
      </w:r>
      <w:r>
        <w:rPr>
          <w:sz w:val="26"/>
          <w:szCs w:val="26"/>
        </w:rPr>
        <w:t xml:space="preserve">that </w:t>
      </w:r>
      <w:r w:rsidRPr="00EE5722">
        <w:rPr>
          <w:sz w:val="26"/>
          <w:szCs w:val="26"/>
        </w:rPr>
        <w:t>t</w:t>
      </w:r>
      <w:r>
        <w:rPr>
          <w:sz w:val="26"/>
          <w:szCs w:val="26"/>
        </w:rPr>
        <w:t>he discount be adjusted from seven percent</w:t>
      </w:r>
      <w:r w:rsidRPr="00EE5722">
        <w:rPr>
          <w:sz w:val="26"/>
          <w:szCs w:val="26"/>
        </w:rPr>
        <w:t xml:space="preserve"> to </w:t>
      </w:r>
      <w:r>
        <w:rPr>
          <w:sz w:val="26"/>
          <w:szCs w:val="26"/>
        </w:rPr>
        <w:t xml:space="preserve">five percent off </w:t>
      </w:r>
      <w:r w:rsidRPr="00EE5722">
        <w:rPr>
          <w:sz w:val="26"/>
          <w:szCs w:val="26"/>
        </w:rPr>
        <w:t xml:space="preserve">the PTC because market prices for electricity have dropped.  Dominion St. 1 at 7.  </w:t>
      </w:r>
      <w:r>
        <w:rPr>
          <w:sz w:val="26"/>
          <w:szCs w:val="26"/>
        </w:rPr>
        <w:t xml:space="preserve">Dominion </w:t>
      </w:r>
      <w:r w:rsidRPr="00EE5722">
        <w:rPr>
          <w:sz w:val="26"/>
          <w:szCs w:val="26"/>
        </w:rPr>
        <w:t>note</w:t>
      </w:r>
      <w:r>
        <w:rPr>
          <w:sz w:val="26"/>
          <w:szCs w:val="26"/>
        </w:rPr>
        <w:t>d</w:t>
      </w:r>
      <w:r w:rsidRPr="00EE5722">
        <w:rPr>
          <w:sz w:val="26"/>
          <w:szCs w:val="26"/>
        </w:rPr>
        <w:t xml:space="preserve"> that, according to Duquesne</w:t>
      </w:r>
      <w:r>
        <w:rPr>
          <w:sz w:val="26"/>
          <w:szCs w:val="26"/>
        </w:rPr>
        <w:t>’s proposal, the SO P</w:t>
      </w:r>
      <w:r w:rsidRPr="00EE5722">
        <w:rPr>
          <w:sz w:val="26"/>
          <w:szCs w:val="26"/>
        </w:rPr>
        <w:t>rogram would be offered at a fixed price expressed in cents p</w:t>
      </w:r>
      <w:r>
        <w:rPr>
          <w:sz w:val="26"/>
          <w:szCs w:val="26"/>
        </w:rPr>
        <w:t>er kilowatt hour for twelve</w:t>
      </w:r>
      <w:r w:rsidRPr="00EE5722">
        <w:rPr>
          <w:sz w:val="26"/>
          <w:szCs w:val="26"/>
        </w:rPr>
        <w:t> billing cycles, again with no early termination fees or restrictions on custo</w:t>
      </w:r>
      <w:r>
        <w:rPr>
          <w:sz w:val="26"/>
          <w:szCs w:val="26"/>
        </w:rPr>
        <w:t xml:space="preserve">mer switching.  Dominion </w:t>
      </w:r>
      <w:r w:rsidRPr="00EE5722">
        <w:rPr>
          <w:sz w:val="26"/>
          <w:szCs w:val="26"/>
        </w:rPr>
        <w:t>support</w:t>
      </w:r>
      <w:r>
        <w:rPr>
          <w:sz w:val="26"/>
          <w:szCs w:val="26"/>
        </w:rPr>
        <w:t>ed the one</w:t>
      </w:r>
      <w:r w:rsidRPr="00EE5722">
        <w:rPr>
          <w:sz w:val="26"/>
          <w:szCs w:val="26"/>
        </w:rPr>
        <w:t xml:space="preserve">-year </w:t>
      </w:r>
      <w:r>
        <w:rPr>
          <w:sz w:val="26"/>
          <w:szCs w:val="26"/>
        </w:rPr>
        <w:t>referral product proposed by Duquesne.  Dominion St. 1 at 7:6-12</w:t>
      </w:r>
      <w:r w:rsidRPr="00EE5722">
        <w:rPr>
          <w:sz w:val="26"/>
          <w:szCs w:val="26"/>
        </w:rPr>
        <w:t>.</w:t>
      </w:r>
      <w:r w:rsidRPr="007F29F7">
        <w:rPr>
          <w:sz w:val="26"/>
          <w:szCs w:val="26"/>
        </w:rPr>
        <w:t xml:space="preserve"> </w:t>
      </w:r>
      <w:r>
        <w:rPr>
          <w:sz w:val="26"/>
          <w:szCs w:val="26"/>
        </w:rPr>
        <w:t xml:space="preserve"> Dominion opposed the </w:t>
      </w:r>
      <w:r w:rsidRPr="00EE5722">
        <w:rPr>
          <w:sz w:val="26"/>
          <w:szCs w:val="26"/>
        </w:rPr>
        <w:t>OCA’s proposed guaranteed savings product and instead support</w:t>
      </w:r>
      <w:r>
        <w:rPr>
          <w:sz w:val="26"/>
          <w:szCs w:val="26"/>
        </w:rPr>
        <w:t>ed</w:t>
      </w:r>
      <w:r w:rsidRPr="00EE5722">
        <w:rPr>
          <w:sz w:val="26"/>
          <w:szCs w:val="26"/>
        </w:rPr>
        <w:t xml:space="preserve"> the concept of a fixed price </w:t>
      </w:r>
      <w:r>
        <w:rPr>
          <w:sz w:val="26"/>
          <w:szCs w:val="26"/>
        </w:rPr>
        <w:t>for the entire period of the SO Program.  Dominion noted that t</w:t>
      </w:r>
      <w:r w:rsidRPr="00EE5722">
        <w:rPr>
          <w:sz w:val="26"/>
          <w:szCs w:val="26"/>
        </w:rPr>
        <w:t>he Commission ha</w:t>
      </w:r>
      <w:r>
        <w:rPr>
          <w:sz w:val="26"/>
          <w:szCs w:val="26"/>
        </w:rPr>
        <w:t xml:space="preserve">s endorsed this concept </w:t>
      </w:r>
      <w:r w:rsidRPr="00EE5722">
        <w:rPr>
          <w:sz w:val="26"/>
          <w:szCs w:val="26"/>
        </w:rPr>
        <w:t xml:space="preserve">in both the </w:t>
      </w:r>
      <w:r>
        <w:rPr>
          <w:i/>
          <w:sz w:val="26"/>
          <w:szCs w:val="26"/>
        </w:rPr>
        <w:t>FirstEnergy</w:t>
      </w:r>
      <w:r w:rsidRPr="00EE5722">
        <w:rPr>
          <w:i/>
          <w:sz w:val="26"/>
          <w:szCs w:val="26"/>
        </w:rPr>
        <w:t xml:space="preserve"> </w:t>
      </w:r>
      <w:r>
        <w:rPr>
          <w:i/>
          <w:sz w:val="26"/>
          <w:szCs w:val="26"/>
        </w:rPr>
        <w:lastRenderedPageBreak/>
        <w:t xml:space="preserve">DSP </w:t>
      </w:r>
      <w:r w:rsidRPr="00EE5722">
        <w:rPr>
          <w:i/>
          <w:sz w:val="26"/>
          <w:szCs w:val="26"/>
        </w:rPr>
        <w:t>Order</w:t>
      </w:r>
      <w:r w:rsidRPr="00EE5722">
        <w:rPr>
          <w:sz w:val="26"/>
          <w:szCs w:val="26"/>
        </w:rPr>
        <w:t xml:space="preserve"> and in the </w:t>
      </w:r>
      <w:r w:rsidRPr="00EE5722">
        <w:rPr>
          <w:i/>
          <w:sz w:val="26"/>
          <w:szCs w:val="26"/>
        </w:rPr>
        <w:t>PECO</w:t>
      </w:r>
      <w:r>
        <w:rPr>
          <w:i/>
          <w:sz w:val="26"/>
          <w:szCs w:val="26"/>
        </w:rPr>
        <w:t xml:space="preserve"> Binding Poll</w:t>
      </w:r>
      <w:r>
        <w:rPr>
          <w:sz w:val="26"/>
          <w:szCs w:val="26"/>
        </w:rPr>
        <w:t xml:space="preserve">.  </w:t>
      </w:r>
      <w:r w:rsidR="00616719">
        <w:rPr>
          <w:sz w:val="26"/>
          <w:szCs w:val="26"/>
        </w:rPr>
        <w:t>Dominion</w:t>
      </w:r>
      <w:r>
        <w:rPr>
          <w:sz w:val="26"/>
          <w:szCs w:val="26"/>
        </w:rPr>
        <w:t xml:space="preserve"> St. 1-R at 8</w:t>
      </w:r>
      <w:r w:rsidRPr="00EE5722">
        <w:rPr>
          <w:sz w:val="26"/>
          <w:szCs w:val="26"/>
        </w:rPr>
        <w:t>.</w:t>
      </w:r>
    </w:p>
    <w:p w:rsidR="00E95194" w:rsidRDefault="00E95194" w:rsidP="00E95194">
      <w:pPr>
        <w:pStyle w:val="BodyText"/>
        <w:spacing w:after="0" w:line="360" w:lineRule="auto"/>
        <w:ind w:left="0"/>
        <w:rPr>
          <w:sz w:val="26"/>
          <w:szCs w:val="26"/>
        </w:rPr>
      </w:pPr>
      <w:r>
        <w:rPr>
          <w:sz w:val="26"/>
          <w:szCs w:val="26"/>
        </w:rPr>
        <w:t xml:space="preserve"> </w:t>
      </w:r>
      <w:r w:rsidRPr="00EE5722">
        <w:rPr>
          <w:sz w:val="26"/>
          <w:szCs w:val="26"/>
        </w:rPr>
        <w:t xml:space="preserve"> </w:t>
      </w:r>
    </w:p>
    <w:p w:rsidR="00E95194" w:rsidRPr="00EE5722" w:rsidRDefault="00E95194" w:rsidP="00E95194">
      <w:pPr>
        <w:pStyle w:val="BodyTextFirstLine5DS"/>
        <w:spacing w:line="360" w:lineRule="auto"/>
        <w:ind w:firstLine="1440"/>
        <w:jc w:val="left"/>
        <w:rPr>
          <w:sz w:val="26"/>
          <w:szCs w:val="26"/>
        </w:rPr>
      </w:pPr>
      <w:r>
        <w:rPr>
          <w:sz w:val="26"/>
          <w:szCs w:val="26"/>
        </w:rPr>
        <w:t>FES disagreed</w:t>
      </w:r>
      <w:r w:rsidRPr="00EE5722">
        <w:rPr>
          <w:sz w:val="26"/>
          <w:szCs w:val="26"/>
        </w:rPr>
        <w:t xml:space="preserve"> with </w:t>
      </w:r>
      <w:r>
        <w:rPr>
          <w:sz w:val="26"/>
          <w:szCs w:val="26"/>
        </w:rPr>
        <w:t xml:space="preserve">the </w:t>
      </w:r>
      <w:r w:rsidRPr="00EE5722">
        <w:rPr>
          <w:sz w:val="26"/>
          <w:szCs w:val="26"/>
        </w:rPr>
        <w:t>OCA’s recommended shorten</w:t>
      </w:r>
      <w:r>
        <w:rPr>
          <w:sz w:val="26"/>
          <w:szCs w:val="26"/>
        </w:rPr>
        <w:t xml:space="preserve">ed contract term.  FES argued that a twelve-month SO contract would offer customers a discounted </w:t>
      </w:r>
      <w:r w:rsidRPr="00EE5722">
        <w:rPr>
          <w:sz w:val="26"/>
          <w:szCs w:val="26"/>
        </w:rPr>
        <w:t>price with stability and certainty for a long</w:t>
      </w:r>
      <w:r>
        <w:rPr>
          <w:sz w:val="26"/>
          <w:szCs w:val="26"/>
        </w:rPr>
        <w:t>er period of time.  FES contended that</w:t>
      </w:r>
      <w:r w:rsidRPr="00EE5722">
        <w:rPr>
          <w:sz w:val="26"/>
          <w:szCs w:val="26"/>
        </w:rPr>
        <w:t xml:space="preserve"> the objective should be to create a positive experience with shopping as an incentive for customers to stay with an EGS, not to return to default</w:t>
      </w:r>
      <w:r>
        <w:rPr>
          <w:sz w:val="26"/>
          <w:szCs w:val="26"/>
        </w:rPr>
        <w:t xml:space="preserve"> service.</w:t>
      </w:r>
      <w:r w:rsidRPr="00BE14DA">
        <w:rPr>
          <w:color w:val="FFFFFF" w:themeColor="background1"/>
          <w:sz w:val="26"/>
          <w:szCs w:val="26"/>
        </w:rPr>
        <w:t xml:space="preserve"> </w:t>
      </w:r>
      <w:r>
        <w:rPr>
          <w:sz w:val="26"/>
          <w:szCs w:val="26"/>
        </w:rPr>
        <w:t xml:space="preserve"> Further, FES argued that the OCA’s suggestion,</w:t>
      </w:r>
      <w:r w:rsidR="00616719">
        <w:rPr>
          <w:sz w:val="26"/>
          <w:szCs w:val="26"/>
        </w:rPr>
        <w:t xml:space="preserve"> that a twelve</w:t>
      </w:r>
      <w:r w:rsidRPr="00EE5722">
        <w:rPr>
          <w:sz w:val="26"/>
          <w:szCs w:val="26"/>
        </w:rPr>
        <w:t>-month contract would make the program a means of moving customers into a long-term arrangement with an EGS</w:t>
      </w:r>
      <w:r>
        <w:rPr>
          <w:sz w:val="26"/>
          <w:szCs w:val="26"/>
        </w:rPr>
        <w:t xml:space="preserve"> without an affirmative choice,</w:t>
      </w:r>
      <w:r w:rsidRPr="00EE5722">
        <w:rPr>
          <w:sz w:val="26"/>
          <w:szCs w:val="26"/>
        </w:rPr>
        <w:t xml:space="preserve"> ignores the design of the </w:t>
      </w:r>
      <w:r>
        <w:rPr>
          <w:sz w:val="26"/>
          <w:szCs w:val="26"/>
        </w:rPr>
        <w:t>SO Program.  Customers would</w:t>
      </w:r>
      <w:r w:rsidRPr="00EE5722">
        <w:rPr>
          <w:sz w:val="26"/>
          <w:szCs w:val="26"/>
        </w:rPr>
        <w:t xml:space="preserve"> have made a voluntary choice to participate in the </w:t>
      </w:r>
      <w:r>
        <w:rPr>
          <w:sz w:val="26"/>
          <w:szCs w:val="26"/>
        </w:rPr>
        <w:t xml:space="preserve">SO </w:t>
      </w:r>
      <w:r w:rsidRPr="00EE5722">
        <w:rPr>
          <w:sz w:val="26"/>
          <w:szCs w:val="26"/>
        </w:rPr>
        <w:t>Program and should be treated no differently than any other shopping cus</w:t>
      </w:r>
      <w:r>
        <w:rPr>
          <w:sz w:val="26"/>
          <w:szCs w:val="26"/>
        </w:rPr>
        <w:t xml:space="preserve">tomer.  FES St. </w:t>
      </w:r>
      <w:r w:rsidRPr="00EE5722">
        <w:rPr>
          <w:sz w:val="26"/>
          <w:szCs w:val="26"/>
        </w:rPr>
        <w:t>1-R at 17-18.</w:t>
      </w:r>
    </w:p>
    <w:p w:rsidR="00E95194" w:rsidRPr="00EE5722" w:rsidRDefault="00E95194" w:rsidP="00E95194">
      <w:pPr>
        <w:pStyle w:val="BodyTextFirstLine5DS"/>
        <w:spacing w:line="360" w:lineRule="auto"/>
        <w:jc w:val="left"/>
        <w:rPr>
          <w:sz w:val="26"/>
          <w:szCs w:val="26"/>
        </w:rPr>
      </w:pPr>
    </w:p>
    <w:p w:rsidR="00E95194" w:rsidRDefault="00E95194" w:rsidP="009A5DB4">
      <w:pPr>
        <w:pStyle w:val="BodyTextFirstLine5DS"/>
        <w:spacing w:line="360" w:lineRule="auto"/>
        <w:jc w:val="left"/>
        <w:rPr>
          <w:sz w:val="26"/>
          <w:szCs w:val="26"/>
        </w:rPr>
      </w:pPr>
      <w:r>
        <w:rPr>
          <w:sz w:val="26"/>
          <w:szCs w:val="26"/>
        </w:rPr>
        <w:tab/>
        <w:t xml:space="preserve">FES submitted </w:t>
      </w:r>
      <w:r w:rsidRPr="00EE5722">
        <w:rPr>
          <w:sz w:val="26"/>
          <w:szCs w:val="26"/>
        </w:rPr>
        <w:t>tha</w:t>
      </w:r>
      <w:r>
        <w:rPr>
          <w:sz w:val="26"/>
          <w:szCs w:val="26"/>
        </w:rPr>
        <w:t>t RESA’s proposed SO product</w:t>
      </w:r>
      <w:r w:rsidRPr="00EE5722">
        <w:rPr>
          <w:sz w:val="26"/>
          <w:szCs w:val="26"/>
        </w:rPr>
        <w:t xml:space="preserve"> would </w:t>
      </w:r>
      <w:r>
        <w:rPr>
          <w:sz w:val="26"/>
          <w:szCs w:val="26"/>
        </w:rPr>
        <w:t>combine two different products, a four</w:t>
      </w:r>
      <w:r w:rsidRPr="00EE5722">
        <w:rPr>
          <w:sz w:val="26"/>
          <w:szCs w:val="26"/>
        </w:rPr>
        <w:t xml:space="preserve">-month percent-off product and an </w:t>
      </w:r>
      <w:r>
        <w:rPr>
          <w:sz w:val="26"/>
          <w:szCs w:val="26"/>
        </w:rPr>
        <w:t>eight</w:t>
      </w:r>
      <w:r w:rsidRPr="00EE5722">
        <w:rPr>
          <w:sz w:val="26"/>
          <w:szCs w:val="26"/>
        </w:rPr>
        <w:t xml:space="preserve">- or </w:t>
      </w:r>
      <w:r>
        <w:rPr>
          <w:sz w:val="26"/>
          <w:szCs w:val="26"/>
        </w:rPr>
        <w:t>twelve</w:t>
      </w:r>
      <w:r w:rsidRPr="00EE5722">
        <w:rPr>
          <w:sz w:val="26"/>
          <w:szCs w:val="26"/>
        </w:rPr>
        <w:t>-month fixed-price</w:t>
      </w:r>
      <w:r>
        <w:rPr>
          <w:sz w:val="26"/>
          <w:szCs w:val="26"/>
        </w:rPr>
        <w:t xml:space="preserve"> product, </w:t>
      </w:r>
      <w:r w:rsidRPr="00EE5722">
        <w:rPr>
          <w:sz w:val="26"/>
          <w:szCs w:val="26"/>
        </w:rPr>
        <w:t>in a single contract term.  RESA confirmed through discovery that each EGS would offer a different fixed-price product under its proposal.  FES Ex</w:t>
      </w:r>
      <w:r>
        <w:rPr>
          <w:sz w:val="26"/>
          <w:szCs w:val="26"/>
        </w:rPr>
        <w:t>h</w:t>
      </w:r>
      <w:r w:rsidRPr="00EE5722">
        <w:rPr>
          <w:sz w:val="26"/>
          <w:szCs w:val="26"/>
        </w:rPr>
        <w:t>. TCB-9 (RESA response to FES-I-10(c)).  This combination of percent-off and fixed-price products is a complicated product for customers who likely have no experience with competitive retail electric offers.  To prevent customer confusion and dissatisfaction, FES could support RESA’s longer-term proposal only if</w:t>
      </w:r>
      <w:r>
        <w:rPr>
          <w:sz w:val="26"/>
          <w:szCs w:val="26"/>
        </w:rPr>
        <w:t>:</w:t>
      </w:r>
      <w:r w:rsidRPr="00EE5722">
        <w:rPr>
          <w:sz w:val="26"/>
          <w:szCs w:val="26"/>
        </w:rPr>
        <w:t xml:space="preserve"> (1) the fixed pric</w:t>
      </w:r>
      <w:r>
        <w:rPr>
          <w:sz w:val="26"/>
          <w:szCs w:val="26"/>
        </w:rPr>
        <w:t>e over the remaining eight or twelve</w:t>
      </w:r>
      <w:r w:rsidRPr="00EE5722">
        <w:rPr>
          <w:sz w:val="26"/>
          <w:szCs w:val="26"/>
        </w:rPr>
        <w:t xml:space="preserve"> months is uniform among all participating EGSs, and remains uniform among EGSs if and whenever it is re-set, and (2) participating customers know the fixed price they will be payin</w:t>
      </w:r>
      <w:r>
        <w:rPr>
          <w:sz w:val="26"/>
          <w:szCs w:val="26"/>
        </w:rPr>
        <w:t>g over the remaining eight or twelve</w:t>
      </w:r>
      <w:r w:rsidRPr="00EE5722">
        <w:rPr>
          <w:sz w:val="26"/>
          <w:szCs w:val="26"/>
        </w:rPr>
        <w:t xml:space="preserve"> months at the t</w:t>
      </w:r>
      <w:r>
        <w:rPr>
          <w:sz w:val="26"/>
          <w:szCs w:val="26"/>
        </w:rPr>
        <w:t xml:space="preserve">ime of enrollment.  FES St. </w:t>
      </w:r>
      <w:r w:rsidRPr="00EE5722">
        <w:rPr>
          <w:sz w:val="26"/>
          <w:szCs w:val="26"/>
        </w:rPr>
        <w:t>1-R at 19-21.</w:t>
      </w:r>
    </w:p>
    <w:p w:rsidR="00E95194" w:rsidRDefault="00E95194" w:rsidP="00E95194">
      <w:pPr>
        <w:pStyle w:val="BodyTextFirstLine5DS"/>
        <w:spacing w:line="360" w:lineRule="auto"/>
        <w:rPr>
          <w:sz w:val="26"/>
          <w:szCs w:val="26"/>
        </w:rPr>
      </w:pPr>
    </w:p>
    <w:p w:rsidR="00E95194" w:rsidRDefault="00E95194" w:rsidP="00E95194">
      <w:pPr>
        <w:pStyle w:val="BriefL3"/>
        <w:numPr>
          <w:ilvl w:val="0"/>
          <w:numId w:val="0"/>
        </w:numPr>
        <w:spacing w:after="0" w:line="360" w:lineRule="auto"/>
        <w:ind w:firstLine="1440"/>
        <w:outlineLvl w:val="9"/>
        <w:rPr>
          <w:sz w:val="26"/>
          <w:szCs w:val="26"/>
        </w:rPr>
      </w:pPr>
      <w:r>
        <w:rPr>
          <w:sz w:val="26"/>
          <w:szCs w:val="26"/>
        </w:rPr>
        <w:t>While FES supported</w:t>
      </w:r>
      <w:r w:rsidRPr="00EE5722">
        <w:rPr>
          <w:sz w:val="26"/>
          <w:szCs w:val="26"/>
        </w:rPr>
        <w:t xml:space="preserve"> </w:t>
      </w:r>
      <w:r>
        <w:rPr>
          <w:sz w:val="26"/>
          <w:szCs w:val="26"/>
        </w:rPr>
        <w:t>guaranteed savings, FES contended that</w:t>
      </w:r>
      <w:r w:rsidRPr="00EE5722">
        <w:rPr>
          <w:sz w:val="26"/>
          <w:szCs w:val="26"/>
        </w:rPr>
        <w:t xml:space="preserve"> these savings are not necessary for the success of the </w:t>
      </w:r>
      <w:r>
        <w:rPr>
          <w:sz w:val="26"/>
          <w:szCs w:val="26"/>
        </w:rPr>
        <w:t xml:space="preserve">SO </w:t>
      </w:r>
      <w:r w:rsidRPr="00EE5722">
        <w:rPr>
          <w:sz w:val="26"/>
          <w:szCs w:val="26"/>
        </w:rPr>
        <w:t>Program</w:t>
      </w:r>
      <w:r>
        <w:rPr>
          <w:sz w:val="26"/>
          <w:szCs w:val="26"/>
        </w:rPr>
        <w:t>,</w:t>
      </w:r>
      <w:r w:rsidRPr="00EE5722">
        <w:rPr>
          <w:sz w:val="26"/>
          <w:szCs w:val="26"/>
        </w:rPr>
        <w:t xml:space="preserve"> nor do the savings ju</w:t>
      </w:r>
      <w:r>
        <w:rPr>
          <w:sz w:val="26"/>
          <w:szCs w:val="26"/>
        </w:rPr>
        <w:t xml:space="preserve">stify the harm to the SO </w:t>
      </w:r>
      <w:r w:rsidRPr="00EE5722">
        <w:rPr>
          <w:sz w:val="26"/>
          <w:szCs w:val="26"/>
        </w:rPr>
        <w:t xml:space="preserve">Program that </w:t>
      </w:r>
      <w:r>
        <w:rPr>
          <w:sz w:val="26"/>
          <w:szCs w:val="26"/>
        </w:rPr>
        <w:t xml:space="preserve">the </w:t>
      </w:r>
      <w:r w:rsidRPr="00EE5722">
        <w:rPr>
          <w:sz w:val="26"/>
          <w:szCs w:val="26"/>
        </w:rPr>
        <w:t>OCA’s proposed shortened con</w:t>
      </w:r>
      <w:r>
        <w:rPr>
          <w:sz w:val="26"/>
          <w:szCs w:val="26"/>
        </w:rPr>
        <w:t>tract would cause</w:t>
      </w:r>
      <w:r w:rsidRPr="00EE5722">
        <w:rPr>
          <w:sz w:val="26"/>
          <w:szCs w:val="26"/>
        </w:rPr>
        <w:t xml:space="preserve">. </w:t>
      </w:r>
      <w:r>
        <w:rPr>
          <w:sz w:val="26"/>
          <w:szCs w:val="26"/>
        </w:rPr>
        <w:t xml:space="preserve"> According </w:t>
      </w:r>
      <w:r>
        <w:rPr>
          <w:sz w:val="26"/>
          <w:szCs w:val="26"/>
        </w:rPr>
        <w:lastRenderedPageBreak/>
        <w:t>to FES, a</w:t>
      </w:r>
      <w:r w:rsidRPr="00EE5722">
        <w:rPr>
          <w:sz w:val="26"/>
          <w:szCs w:val="26"/>
        </w:rPr>
        <w:t xml:space="preserve"> price that is at least </w:t>
      </w:r>
      <w:r>
        <w:rPr>
          <w:sz w:val="26"/>
          <w:szCs w:val="26"/>
        </w:rPr>
        <w:t>a seven percent discount from Duquesne</w:t>
      </w:r>
      <w:r w:rsidRPr="00EE5722">
        <w:rPr>
          <w:sz w:val="26"/>
          <w:szCs w:val="26"/>
        </w:rPr>
        <w:t xml:space="preserve">’s PTC at the time of enrollment will be a good price for participating customers.  Although </w:t>
      </w:r>
      <w:r>
        <w:rPr>
          <w:sz w:val="26"/>
          <w:szCs w:val="26"/>
        </w:rPr>
        <w:t>the PTC may change during the twelve</w:t>
      </w:r>
      <w:r w:rsidRPr="00EE5722">
        <w:rPr>
          <w:sz w:val="26"/>
          <w:szCs w:val="26"/>
        </w:rPr>
        <w:t xml:space="preserve">-month </w:t>
      </w:r>
      <w:r>
        <w:rPr>
          <w:sz w:val="26"/>
          <w:szCs w:val="26"/>
        </w:rPr>
        <w:t>SO Program, a twelve</w:t>
      </w:r>
      <w:r w:rsidRPr="00EE5722">
        <w:rPr>
          <w:sz w:val="26"/>
          <w:szCs w:val="26"/>
        </w:rPr>
        <w:t>-month contract term does not preclude participating customers from enjoying savings.  Customers will receive guaranteed saving</w:t>
      </w:r>
      <w:r>
        <w:rPr>
          <w:sz w:val="26"/>
          <w:szCs w:val="26"/>
        </w:rPr>
        <w:t xml:space="preserve">s at the outset of the SO </w:t>
      </w:r>
      <w:r w:rsidRPr="00EE5722">
        <w:rPr>
          <w:sz w:val="26"/>
          <w:szCs w:val="26"/>
        </w:rPr>
        <w:t>Program contract term.  FES St. No. 1-R at 19.</w:t>
      </w:r>
    </w:p>
    <w:p w:rsidR="00E95194" w:rsidRDefault="00E95194" w:rsidP="00E95194">
      <w:pPr>
        <w:pStyle w:val="BodyTextFirstLine5DS"/>
        <w:spacing w:line="360" w:lineRule="auto"/>
        <w:rPr>
          <w:sz w:val="26"/>
          <w:szCs w:val="26"/>
        </w:rPr>
      </w:pPr>
    </w:p>
    <w:p w:rsidR="00E95194" w:rsidRPr="00EE5722" w:rsidRDefault="00E95194" w:rsidP="00E95194">
      <w:pPr>
        <w:spacing w:line="360" w:lineRule="auto"/>
        <w:ind w:firstLine="1440"/>
        <w:rPr>
          <w:sz w:val="26"/>
          <w:szCs w:val="26"/>
        </w:rPr>
      </w:pPr>
      <w:r>
        <w:rPr>
          <w:sz w:val="26"/>
          <w:szCs w:val="26"/>
        </w:rPr>
        <w:t>Citizen Power contended that Duquesne’s SO Program</w:t>
      </w:r>
      <w:r w:rsidR="00EA2357">
        <w:rPr>
          <w:sz w:val="26"/>
          <w:szCs w:val="26"/>
        </w:rPr>
        <w:t>,</w:t>
      </w:r>
      <w:r>
        <w:rPr>
          <w:sz w:val="26"/>
          <w:szCs w:val="26"/>
        </w:rPr>
        <w:t xml:space="preserve"> unlike </w:t>
      </w:r>
      <w:r w:rsidR="00EA2357">
        <w:rPr>
          <w:sz w:val="26"/>
          <w:szCs w:val="26"/>
        </w:rPr>
        <w:t>the</w:t>
      </w:r>
      <w:r>
        <w:rPr>
          <w:sz w:val="26"/>
          <w:szCs w:val="26"/>
        </w:rPr>
        <w:t xml:space="preserve"> Opt-I</w:t>
      </w:r>
      <w:r w:rsidRPr="00EE5722">
        <w:rPr>
          <w:sz w:val="26"/>
          <w:szCs w:val="26"/>
        </w:rPr>
        <w:t xml:space="preserve">n </w:t>
      </w:r>
      <w:r w:rsidR="00EA2357">
        <w:rPr>
          <w:sz w:val="26"/>
          <w:szCs w:val="26"/>
        </w:rPr>
        <w:t>Program,</w:t>
      </w:r>
      <w:r w:rsidRPr="00EE5722">
        <w:rPr>
          <w:sz w:val="26"/>
          <w:szCs w:val="26"/>
        </w:rPr>
        <w:t xml:space="preserve"> does not guaran</w:t>
      </w:r>
      <w:r>
        <w:rPr>
          <w:sz w:val="26"/>
          <w:szCs w:val="26"/>
        </w:rPr>
        <w:t xml:space="preserve">tee savings because the fixed rate is discounted from </w:t>
      </w:r>
      <w:r w:rsidRPr="00EE5722">
        <w:rPr>
          <w:sz w:val="26"/>
          <w:szCs w:val="26"/>
        </w:rPr>
        <w:t xml:space="preserve">the PTC known at the time of the offer.  However, </w:t>
      </w:r>
      <w:r>
        <w:rPr>
          <w:sz w:val="26"/>
          <w:szCs w:val="26"/>
        </w:rPr>
        <w:t xml:space="preserve">according to Citizen Power, </w:t>
      </w:r>
      <w:r w:rsidRPr="00EE5722">
        <w:rPr>
          <w:sz w:val="26"/>
          <w:szCs w:val="26"/>
        </w:rPr>
        <w:t>the suggested</w:t>
      </w:r>
      <w:r>
        <w:rPr>
          <w:sz w:val="26"/>
          <w:szCs w:val="26"/>
        </w:rPr>
        <w:t xml:space="preserve"> twelve-month term necessarily will </w:t>
      </w:r>
      <w:r w:rsidRPr="00EE5722">
        <w:rPr>
          <w:sz w:val="26"/>
          <w:szCs w:val="26"/>
        </w:rPr>
        <w:t>run past June 1, 2015</w:t>
      </w:r>
      <w:r>
        <w:rPr>
          <w:sz w:val="26"/>
          <w:szCs w:val="26"/>
        </w:rPr>
        <w:t xml:space="preserve">, and </w:t>
      </w:r>
      <w:r w:rsidRPr="00EE5722">
        <w:rPr>
          <w:sz w:val="26"/>
          <w:szCs w:val="26"/>
        </w:rPr>
        <w:t>the PTC is unknown after that po</w:t>
      </w:r>
      <w:r>
        <w:rPr>
          <w:sz w:val="26"/>
          <w:szCs w:val="26"/>
        </w:rPr>
        <w:t xml:space="preserve">int.  The </w:t>
      </w:r>
      <w:r w:rsidRPr="00EE5722">
        <w:rPr>
          <w:sz w:val="26"/>
          <w:szCs w:val="26"/>
        </w:rPr>
        <w:t>OCA p</w:t>
      </w:r>
      <w:r>
        <w:rPr>
          <w:sz w:val="26"/>
          <w:szCs w:val="26"/>
        </w:rPr>
        <w:t xml:space="preserve">roposed minimizing the risk that the SO price would exceed the PTC </w:t>
      </w:r>
      <w:r w:rsidRPr="00EE5722">
        <w:rPr>
          <w:sz w:val="26"/>
          <w:szCs w:val="26"/>
        </w:rPr>
        <w:t xml:space="preserve">by reducing the term of the offer.  OCA St. </w:t>
      </w:r>
      <w:r>
        <w:rPr>
          <w:sz w:val="26"/>
          <w:szCs w:val="26"/>
        </w:rPr>
        <w:t>2-R at 14.  Citizen Power agreed</w:t>
      </w:r>
      <w:r w:rsidRPr="00EE5722">
        <w:rPr>
          <w:sz w:val="26"/>
          <w:szCs w:val="26"/>
        </w:rPr>
        <w:t xml:space="preserve"> with </w:t>
      </w:r>
      <w:r>
        <w:rPr>
          <w:sz w:val="26"/>
          <w:szCs w:val="26"/>
        </w:rPr>
        <w:t>the OCA that guaranteed savings would be</w:t>
      </w:r>
      <w:r w:rsidRPr="00EE5722">
        <w:rPr>
          <w:sz w:val="26"/>
          <w:szCs w:val="26"/>
        </w:rPr>
        <w:t xml:space="preserve"> preferable from a consumer perspective and</w:t>
      </w:r>
      <w:r>
        <w:rPr>
          <w:sz w:val="26"/>
          <w:szCs w:val="26"/>
        </w:rPr>
        <w:t xml:space="preserve"> supported the OCA’s recommendation.</w:t>
      </w:r>
    </w:p>
    <w:p w:rsidR="00E95194" w:rsidRPr="00EE5722" w:rsidRDefault="00E95194" w:rsidP="00E95194">
      <w:pPr>
        <w:spacing w:line="360" w:lineRule="auto"/>
        <w:ind w:firstLine="720"/>
        <w:rPr>
          <w:sz w:val="26"/>
          <w:szCs w:val="26"/>
        </w:rPr>
      </w:pPr>
    </w:p>
    <w:p w:rsidR="00E95194" w:rsidRDefault="00E95194" w:rsidP="00616719">
      <w:pPr>
        <w:pStyle w:val="BriefL3"/>
        <w:numPr>
          <w:ilvl w:val="0"/>
          <w:numId w:val="0"/>
        </w:numPr>
        <w:spacing w:after="0" w:line="360" w:lineRule="auto"/>
        <w:ind w:firstLine="1440"/>
        <w:outlineLvl w:val="9"/>
        <w:rPr>
          <w:sz w:val="26"/>
          <w:szCs w:val="26"/>
        </w:rPr>
      </w:pPr>
      <w:r w:rsidRPr="00EE5722">
        <w:rPr>
          <w:sz w:val="26"/>
          <w:szCs w:val="26"/>
        </w:rPr>
        <w:t>Citizen Power n</w:t>
      </w:r>
      <w:r>
        <w:rPr>
          <w:sz w:val="26"/>
          <w:szCs w:val="26"/>
        </w:rPr>
        <w:t>oted that the OCA also asserted</w:t>
      </w:r>
      <w:r w:rsidRPr="00EE5722">
        <w:rPr>
          <w:sz w:val="26"/>
          <w:szCs w:val="26"/>
        </w:rPr>
        <w:t xml:space="preserve"> that, at the end of the </w:t>
      </w:r>
      <w:r>
        <w:rPr>
          <w:sz w:val="26"/>
          <w:szCs w:val="26"/>
        </w:rPr>
        <w:t>term of the Standard O</w:t>
      </w:r>
      <w:r w:rsidRPr="00EE5722">
        <w:rPr>
          <w:sz w:val="26"/>
          <w:szCs w:val="26"/>
        </w:rPr>
        <w:t>ffer, the customer should be returned to default service unless the customer makes an affirmative declaration to opt-in to another offer</w:t>
      </w:r>
      <w:r>
        <w:rPr>
          <w:sz w:val="26"/>
          <w:szCs w:val="26"/>
        </w:rPr>
        <w:t xml:space="preserve">.  Although Citizen Power agreed with this position, it </w:t>
      </w:r>
      <w:r w:rsidRPr="00EE5722">
        <w:rPr>
          <w:sz w:val="26"/>
          <w:szCs w:val="26"/>
        </w:rPr>
        <w:t>support</w:t>
      </w:r>
      <w:r>
        <w:rPr>
          <w:sz w:val="26"/>
          <w:szCs w:val="26"/>
        </w:rPr>
        <w:t>ed Duquesne’s proposed term of twelve</w:t>
      </w:r>
      <w:r w:rsidRPr="00EE5722">
        <w:rPr>
          <w:sz w:val="26"/>
          <w:szCs w:val="26"/>
        </w:rPr>
        <w:t xml:space="preserve"> months despite the lack of guaranteed savings </w:t>
      </w:r>
      <w:r w:rsidRPr="0023128A">
        <w:rPr>
          <w:sz w:val="26"/>
          <w:szCs w:val="26"/>
        </w:rPr>
        <w:t>if t</w:t>
      </w:r>
      <w:r w:rsidRPr="00EE5722">
        <w:rPr>
          <w:sz w:val="26"/>
          <w:szCs w:val="26"/>
        </w:rPr>
        <w:t>he Commission determines that consumers mus</w:t>
      </w:r>
      <w:r>
        <w:rPr>
          <w:sz w:val="26"/>
          <w:szCs w:val="26"/>
        </w:rPr>
        <w:t>t opt-out after the end of the S</w:t>
      </w:r>
      <w:r w:rsidRPr="00EE5722">
        <w:rPr>
          <w:sz w:val="26"/>
          <w:szCs w:val="26"/>
        </w:rPr>
        <w:t>ta</w:t>
      </w:r>
      <w:r>
        <w:rPr>
          <w:sz w:val="26"/>
          <w:szCs w:val="26"/>
        </w:rPr>
        <w:t>ndard Offer.</w:t>
      </w:r>
    </w:p>
    <w:p w:rsidR="00E95194" w:rsidRDefault="00E95194" w:rsidP="00E95194">
      <w:pPr>
        <w:pStyle w:val="BriefL3"/>
        <w:numPr>
          <w:ilvl w:val="0"/>
          <w:numId w:val="0"/>
        </w:numPr>
        <w:spacing w:after="0" w:line="360" w:lineRule="auto"/>
        <w:ind w:firstLine="1440"/>
        <w:outlineLvl w:val="9"/>
        <w:rPr>
          <w:sz w:val="26"/>
          <w:szCs w:val="26"/>
        </w:rPr>
      </w:pPr>
    </w:p>
    <w:p w:rsidR="00E95194" w:rsidRDefault="00E95194" w:rsidP="00616719">
      <w:pPr>
        <w:pStyle w:val="BriefL3"/>
        <w:numPr>
          <w:ilvl w:val="0"/>
          <w:numId w:val="0"/>
        </w:numPr>
        <w:spacing w:after="0" w:line="360" w:lineRule="auto"/>
        <w:ind w:firstLine="1440"/>
        <w:outlineLvl w:val="9"/>
        <w:rPr>
          <w:sz w:val="26"/>
          <w:szCs w:val="26"/>
        </w:rPr>
      </w:pPr>
      <w:r>
        <w:rPr>
          <w:sz w:val="26"/>
          <w:szCs w:val="26"/>
        </w:rPr>
        <w:t xml:space="preserve">Dominion suggested that the discount percentage be lowered to five percent out of concern the level of the proposed discount is too large.  According to Dominion, market prices have been steadily declining.  Dominion also opposed the OCA’s proposed guaranteed savings product and instead supported the concept of a fixed price for the entire period of the SO Program.  </w:t>
      </w:r>
      <w:r w:rsidR="00616719">
        <w:rPr>
          <w:sz w:val="26"/>
          <w:szCs w:val="26"/>
        </w:rPr>
        <w:t>Dominion</w:t>
      </w:r>
      <w:r>
        <w:rPr>
          <w:sz w:val="26"/>
          <w:szCs w:val="26"/>
        </w:rPr>
        <w:t xml:space="preserve"> St. 1-R at 8.  </w:t>
      </w:r>
    </w:p>
    <w:p w:rsidR="00E95194" w:rsidRDefault="00E95194" w:rsidP="00E95194">
      <w:pPr>
        <w:pStyle w:val="BriefL3"/>
        <w:numPr>
          <w:ilvl w:val="0"/>
          <w:numId w:val="0"/>
        </w:numPr>
        <w:spacing w:after="0" w:line="360" w:lineRule="auto"/>
        <w:ind w:firstLine="1440"/>
        <w:outlineLvl w:val="9"/>
        <w:rPr>
          <w:b/>
          <w:sz w:val="26"/>
          <w:szCs w:val="26"/>
        </w:rPr>
      </w:pPr>
      <w:r w:rsidRPr="00EE5722">
        <w:rPr>
          <w:b/>
          <w:sz w:val="26"/>
          <w:szCs w:val="26"/>
        </w:rPr>
        <w:tab/>
      </w:r>
    </w:p>
    <w:p w:rsidR="00E95194" w:rsidRDefault="00E95194" w:rsidP="00616719">
      <w:pPr>
        <w:pStyle w:val="BriefL3"/>
        <w:numPr>
          <w:ilvl w:val="0"/>
          <w:numId w:val="0"/>
        </w:numPr>
        <w:spacing w:after="0" w:line="360" w:lineRule="auto"/>
        <w:ind w:firstLine="1440"/>
        <w:outlineLvl w:val="9"/>
        <w:rPr>
          <w:sz w:val="26"/>
          <w:szCs w:val="26"/>
        </w:rPr>
      </w:pPr>
      <w:r>
        <w:rPr>
          <w:sz w:val="26"/>
          <w:szCs w:val="26"/>
        </w:rPr>
        <w:lastRenderedPageBreak/>
        <w:t xml:space="preserve">The </w:t>
      </w:r>
      <w:r w:rsidRPr="00EE5722">
        <w:rPr>
          <w:sz w:val="26"/>
          <w:szCs w:val="26"/>
        </w:rPr>
        <w:t>OSB</w:t>
      </w:r>
      <w:r>
        <w:rPr>
          <w:sz w:val="26"/>
          <w:szCs w:val="26"/>
        </w:rPr>
        <w:t>A took</w:t>
      </w:r>
      <w:r w:rsidRPr="00EE5722">
        <w:rPr>
          <w:sz w:val="26"/>
          <w:szCs w:val="26"/>
        </w:rPr>
        <w:t xml:space="preserve"> no position on this issue because the Company proposed a Standard Offer </w:t>
      </w:r>
      <w:r>
        <w:rPr>
          <w:sz w:val="26"/>
          <w:szCs w:val="26"/>
        </w:rPr>
        <w:t xml:space="preserve">Referral Program that </w:t>
      </w:r>
      <w:r w:rsidRPr="00EE5722">
        <w:rPr>
          <w:sz w:val="26"/>
          <w:szCs w:val="26"/>
        </w:rPr>
        <w:t xml:space="preserve">applies </w:t>
      </w:r>
      <w:r>
        <w:rPr>
          <w:sz w:val="26"/>
          <w:szCs w:val="26"/>
        </w:rPr>
        <w:t xml:space="preserve">only </w:t>
      </w:r>
      <w:r w:rsidRPr="00EE5722">
        <w:rPr>
          <w:sz w:val="26"/>
          <w:szCs w:val="26"/>
        </w:rPr>
        <w:t>to residential customers.</w:t>
      </w:r>
      <w:r>
        <w:rPr>
          <w:sz w:val="26"/>
          <w:szCs w:val="26"/>
        </w:rPr>
        <w:t xml:space="preserve">  DII and Constellation also took no position on the issues related to the SO product offering.  </w:t>
      </w:r>
    </w:p>
    <w:p w:rsidR="00E95194" w:rsidRDefault="00E95194" w:rsidP="00616719">
      <w:pPr>
        <w:pStyle w:val="BriefL3"/>
        <w:numPr>
          <w:ilvl w:val="0"/>
          <w:numId w:val="0"/>
        </w:numPr>
        <w:spacing w:after="0" w:line="360" w:lineRule="auto"/>
        <w:ind w:left="1440" w:firstLine="720"/>
        <w:rPr>
          <w:b/>
          <w:sz w:val="26"/>
          <w:szCs w:val="26"/>
        </w:rPr>
      </w:pPr>
    </w:p>
    <w:p w:rsidR="00E95194" w:rsidRPr="00EE5722" w:rsidRDefault="006D7E60" w:rsidP="00584C88">
      <w:pPr>
        <w:pStyle w:val="Heading5"/>
        <w:numPr>
          <w:ilvl w:val="0"/>
          <w:numId w:val="0"/>
        </w:numPr>
        <w:ind w:left="3600" w:hanging="720"/>
      </w:pPr>
      <w:bookmarkStart w:id="135" w:name="_Toc346705377"/>
      <w:r>
        <w:t>iii.</w:t>
      </w:r>
      <w:r>
        <w:tab/>
        <w:t>ALJ’s Recommendation</w:t>
      </w:r>
      <w:bookmarkEnd w:id="135"/>
      <w:r>
        <w:t xml:space="preserve"> </w:t>
      </w:r>
    </w:p>
    <w:p w:rsidR="00E95194" w:rsidRDefault="00E95194" w:rsidP="00E95194">
      <w:pPr>
        <w:pStyle w:val="BriefL3"/>
        <w:numPr>
          <w:ilvl w:val="0"/>
          <w:numId w:val="0"/>
        </w:numPr>
        <w:spacing w:after="0" w:line="360" w:lineRule="auto"/>
        <w:outlineLvl w:val="9"/>
        <w:rPr>
          <w:sz w:val="26"/>
          <w:szCs w:val="26"/>
        </w:rPr>
      </w:pPr>
    </w:p>
    <w:p w:rsidR="00E95194" w:rsidRDefault="00E95194" w:rsidP="00616719">
      <w:pPr>
        <w:pStyle w:val="BriefL3"/>
        <w:numPr>
          <w:ilvl w:val="0"/>
          <w:numId w:val="0"/>
        </w:numPr>
        <w:spacing w:after="0" w:line="360" w:lineRule="auto"/>
        <w:ind w:firstLine="1440"/>
        <w:outlineLvl w:val="9"/>
        <w:rPr>
          <w:color w:val="000000" w:themeColor="text1"/>
          <w:sz w:val="26"/>
          <w:szCs w:val="26"/>
        </w:rPr>
      </w:pPr>
      <w:r>
        <w:rPr>
          <w:sz w:val="26"/>
          <w:szCs w:val="26"/>
        </w:rPr>
        <w:t xml:space="preserve">The ALJ </w:t>
      </w:r>
      <w:r w:rsidRPr="00EE5722">
        <w:rPr>
          <w:color w:val="000000" w:themeColor="text1"/>
          <w:sz w:val="26"/>
          <w:szCs w:val="26"/>
        </w:rPr>
        <w:t>re</w:t>
      </w:r>
      <w:r>
        <w:rPr>
          <w:color w:val="000000" w:themeColor="text1"/>
          <w:sz w:val="26"/>
          <w:szCs w:val="26"/>
        </w:rPr>
        <w:t>commended approving Duquesne’s proposed SO</w:t>
      </w:r>
      <w:r w:rsidRPr="00EE5722">
        <w:rPr>
          <w:color w:val="000000" w:themeColor="text1"/>
          <w:sz w:val="26"/>
          <w:szCs w:val="26"/>
        </w:rPr>
        <w:t xml:space="preserve"> P</w:t>
      </w:r>
      <w:r>
        <w:rPr>
          <w:color w:val="000000" w:themeColor="text1"/>
          <w:sz w:val="26"/>
          <w:szCs w:val="26"/>
        </w:rPr>
        <w:t>rogram which would include a seven percent reduction from</w:t>
      </w:r>
      <w:r w:rsidRPr="00EE5722">
        <w:rPr>
          <w:color w:val="000000" w:themeColor="text1"/>
          <w:sz w:val="26"/>
          <w:szCs w:val="26"/>
        </w:rPr>
        <w:t xml:space="preserve"> the PTC </w:t>
      </w:r>
      <w:r>
        <w:rPr>
          <w:color w:val="000000" w:themeColor="text1"/>
          <w:sz w:val="26"/>
          <w:szCs w:val="26"/>
        </w:rPr>
        <w:t xml:space="preserve">in effect </w:t>
      </w:r>
      <w:r w:rsidRPr="00EE5722">
        <w:rPr>
          <w:color w:val="000000" w:themeColor="text1"/>
          <w:sz w:val="26"/>
          <w:szCs w:val="26"/>
        </w:rPr>
        <w:t>at the time of the offer</w:t>
      </w:r>
      <w:r>
        <w:rPr>
          <w:color w:val="000000" w:themeColor="text1"/>
          <w:sz w:val="26"/>
          <w:szCs w:val="26"/>
        </w:rPr>
        <w:t>,</w:t>
      </w:r>
      <w:r w:rsidRPr="00EE5722">
        <w:rPr>
          <w:color w:val="000000" w:themeColor="text1"/>
          <w:sz w:val="26"/>
          <w:szCs w:val="26"/>
        </w:rPr>
        <w:t xml:space="preserve"> a</w:t>
      </w:r>
      <w:r>
        <w:rPr>
          <w:color w:val="000000" w:themeColor="text1"/>
          <w:sz w:val="26"/>
          <w:szCs w:val="26"/>
        </w:rPr>
        <w:t>nd remain a fixed price for a twelve</w:t>
      </w:r>
      <w:r w:rsidRPr="00EE5722">
        <w:rPr>
          <w:color w:val="000000" w:themeColor="text1"/>
          <w:sz w:val="26"/>
          <w:szCs w:val="26"/>
        </w:rPr>
        <w:t xml:space="preserve">-month period.  </w:t>
      </w:r>
      <w:r>
        <w:rPr>
          <w:color w:val="000000" w:themeColor="text1"/>
          <w:sz w:val="26"/>
          <w:szCs w:val="26"/>
        </w:rPr>
        <w:t>According to the ALJ, t</w:t>
      </w:r>
      <w:r w:rsidRPr="00EE5722">
        <w:rPr>
          <w:color w:val="000000" w:themeColor="text1"/>
          <w:sz w:val="26"/>
          <w:szCs w:val="26"/>
        </w:rPr>
        <w:t>his proposal is consistent with pr</w:t>
      </w:r>
      <w:r>
        <w:rPr>
          <w:color w:val="000000" w:themeColor="text1"/>
          <w:sz w:val="26"/>
          <w:szCs w:val="26"/>
        </w:rPr>
        <w:t>ior Commission action and the twelve</w:t>
      </w:r>
      <w:r w:rsidRPr="00EE5722">
        <w:rPr>
          <w:color w:val="000000" w:themeColor="text1"/>
          <w:sz w:val="26"/>
          <w:szCs w:val="26"/>
        </w:rPr>
        <w:t>-month time period is consistent with other time pro</w:t>
      </w:r>
      <w:r>
        <w:rPr>
          <w:color w:val="000000" w:themeColor="text1"/>
          <w:sz w:val="26"/>
          <w:szCs w:val="26"/>
        </w:rPr>
        <w:t>visions in the Company’s DSP.  The ALJ</w:t>
      </w:r>
      <w:r w:rsidRPr="00EE5722">
        <w:rPr>
          <w:color w:val="000000" w:themeColor="text1"/>
          <w:sz w:val="26"/>
          <w:szCs w:val="26"/>
        </w:rPr>
        <w:t xml:space="preserve"> agree</w:t>
      </w:r>
      <w:r>
        <w:rPr>
          <w:color w:val="000000" w:themeColor="text1"/>
          <w:sz w:val="26"/>
          <w:szCs w:val="26"/>
        </w:rPr>
        <w:t>d with the Company that the twelve</w:t>
      </w:r>
      <w:r w:rsidRPr="00EE5722">
        <w:rPr>
          <w:color w:val="000000" w:themeColor="text1"/>
          <w:sz w:val="26"/>
          <w:szCs w:val="26"/>
        </w:rPr>
        <w:t>-month term is more likely to encourage customer par</w:t>
      </w:r>
      <w:r>
        <w:rPr>
          <w:color w:val="000000" w:themeColor="text1"/>
          <w:sz w:val="26"/>
          <w:szCs w:val="26"/>
        </w:rPr>
        <w:t>ticipation than a four</w:t>
      </w:r>
      <w:r w:rsidRPr="00EE5722">
        <w:rPr>
          <w:color w:val="000000" w:themeColor="text1"/>
          <w:sz w:val="26"/>
          <w:szCs w:val="26"/>
        </w:rPr>
        <w:t>-m</w:t>
      </w:r>
      <w:r>
        <w:rPr>
          <w:color w:val="000000" w:themeColor="text1"/>
          <w:sz w:val="26"/>
          <w:szCs w:val="26"/>
        </w:rPr>
        <w:t xml:space="preserve">onth program.  However, the ALJ recommended that Duquesne </w:t>
      </w:r>
      <w:r w:rsidRPr="00EE5722">
        <w:rPr>
          <w:color w:val="000000" w:themeColor="text1"/>
          <w:sz w:val="26"/>
          <w:szCs w:val="26"/>
        </w:rPr>
        <w:t>be requ</w:t>
      </w:r>
      <w:r>
        <w:rPr>
          <w:color w:val="000000" w:themeColor="text1"/>
          <w:sz w:val="26"/>
          <w:szCs w:val="26"/>
        </w:rPr>
        <w:t xml:space="preserve">ired to advise </w:t>
      </w:r>
      <w:r w:rsidRPr="00EE5722">
        <w:rPr>
          <w:color w:val="000000" w:themeColor="text1"/>
          <w:sz w:val="26"/>
          <w:szCs w:val="26"/>
        </w:rPr>
        <w:t>customer</w:t>
      </w:r>
      <w:r>
        <w:rPr>
          <w:color w:val="000000" w:themeColor="text1"/>
          <w:sz w:val="26"/>
          <w:szCs w:val="26"/>
        </w:rPr>
        <w:t>s that the seven percent</w:t>
      </w:r>
      <w:r w:rsidRPr="00EE5722">
        <w:rPr>
          <w:color w:val="000000" w:themeColor="text1"/>
          <w:sz w:val="26"/>
          <w:szCs w:val="26"/>
        </w:rPr>
        <w:t xml:space="preserve"> reduction is</w:t>
      </w:r>
      <w:r>
        <w:rPr>
          <w:color w:val="000000" w:themeColor="text1"/>
          <w:sz w:val="26"/>
          <w:szCs w:val="26"/>
        </w:rPr>
        <w:t xml:space="preserve"> from </w:t>
      </w:r>
      <w:r w:rsidRPr="00EE5722">
        <w:rPr>
          <w:color w:val="000000" w:themeColor="text1"/>
          <w:sz w:val="26"/>
          <w:szCs w:val="26"/>
        </w:rPr>
        <w:t>a PTC that could ch</w:t>
      </w:r>
      <w:r>
        <w:rPr>
          <w:color w:val="000000" w:themeColor="text1"/>
          <w:sz w:val="26"/>
          <w:szCs w:val="26"/>
        </w:rPr>
        <w:t>ange during the twelve-month term</w:t>
      </w:r>
      <w:r w:rsidRPr="00EE5722">
        <w:rPr>
          <w:color w:val="000000" w:themeColor="text1"/>
          <w:sz w:val="26"/>
          <w:szCs w:val="26"/>
        </w:rPr>
        <w:t xml:space="preserve">. </w:t>
      </w:r>
      <w:r>
        <w:rPr>
          <w:color w:val="000000" w:themeColor="text1"/>
          <w:sz w:val="26"/>
          <w:szCs w:val="26"/>
        </w:rPr>
        <w:t xml:space="preserve"> </w:t>
      </w:r>
      <w:r w:rsidR="00616719">
        <w:rPr>
          <w:color w:val="000000" w:themeColor="text1"/>
          <w:sz w:val="26"/>
          <w:szCs w:val="26"/>
        </w:rPr>
        <w:t>R.D. at 111.</w:t>
      </w:r>
    </w:p>
    <w:p w:rsidR="00E95194" w:rsidRDefault="00E95194" w:rsidP="00616719">
      <w:pPr>
        <w:pStyle w:val="BodyText"/>
        <w:spacing w:after="0" w:line="360" w:lineRule="auto"/>
        <w:ind w:left="0"/>
        <w:rPr>
          <w:color w:val="000000" w:themeColor="text1"/>
          <w:sz w:val="26"/>
          <w:szCs w:val="26"/>
        </w:rPr>
      </w:pPr>
    </w:p>
    <w:p w:rsidR="00E95194" w:rsidRDefault="00E95194" w:rsidP="0024032D">
      <w:pPr>
        <w:pStyle w:val="BodyText"/>
        <w:spacing w:after="0" w:line="360" w:lineRule="auto"/>
        <w:ind w:left="0"/>
        <w:rPr>
          <w:color w:val="000000" w:themeColor="text1"/>
          <w:sz w:val="26"/>
          <w:szCs w:val="26"/>
        </w:rPr>
      </w:pPr>
      <w:r>
        <w:rPr>
          <w:color w:val="000000" w:themeColor="text1"/>
          <w:sz w:val="26"/>
          <w:szCs w:val="26"/>
        </w:rPr>
        <w:t xml:space="preserve">The ALJ further </w:t>
      </w:r>
      <w:r w:rsidRPr="00EE5722">
        <w:rPr>
          <w:color w:val="000000" w:themeColor="text1"/>
          <w:sz w:val="26"/>
          <w:szCs w:val="26"/>
        </w:rPr>
        <w:t>re</w:t>
      </w:r>
      <w:r>
        <w:rPr>
          <w:color w:val="000000" w:themeColor="text1"/>
          <w:sz w:val="26"/>
          <w:szCs w:val="26"/>
        </w:rPr>
        <w:t>commended approving Duquesne</w:t>
      </w:r>
      <w:r w:rsidRPr="00EE5722">
        <w:rPr>
          <w:color w:val="000000" w:themeColor="text1"/>
          <w:sz w:val="26"/>
          <w:szCs w:val="26"/>
        </w:rPr>
        <w:t>’s proposal to s</w:t>
      </w:r>
      <w:r>
        <w:rPr>
          <w:color w:val="000000" w:themeColor="text1"/>
          <w:sz w:val="26"/>
          <w:szCs w:val="26"/>
        </w:rPr>
        <w:t>et the discount percentage at seven percent</w:t>
      </w:r>
      <w:r w:rsidRPr="00EE5722">
        <w:rPr>
          <w:color w:val="000000" w:themeColor="text1"/>
          <w:sz w:val="26"/>
          <w:szCs w:val="26"/>
        </w:rPr>
        <w:t xml:space="preserve"> off the PTC a</w:t>
      </w:r>
      <w:r>
        <w:rPr>
          <w:color w:val="000000" w:themeColor="text1"/>
          <w:sz w:val="26"/>
          <w:szCs w:val="26"/>
        </w:rPr>
        <w:t>t the time the offer is made.  The ALJ</w:t>
      </w:r>
      <w:r w:rsidRPr="00EE5722">
        <w:rPr>
          <w:color w:val="000000" w:themeColor="text1"/>
          <w:sz w:val="26"/>
          <w:szCs w:val="26"/>
        </w:rPr>
        <w:t xml:space="preserve"> disagree</w:t>
      </w:r>
      <w:r>
        <w:rPr>
          <w:color w:val="000000" w:themeColor="text1"/>
          <w:sz w:val="26"/>
          <w:szCs w:val="26"/>
        </w:rPr>
        <w:t>d</w:t>
      </w:r>
      <w:r w:rsidRPr="00EE5722">
        <w:rPr>
          <w:color w:val="000000" w:themeColor="text1"/>
          <w:sz w:val="26"/>
          <w:szCs w:val="26"/>
        </w:rPr>
        <w:t xml:space="preserve"> with the suggestion that the discount perc</w:t>
      </w:r>
      <w:r>
        <w:rPr>
          <w:color w:val="000000" w:themeColor="text1"/>
          <w:sz w:val="26"/>
          <w:szCs w:val="26"/>
        </w:rPr>
        <w:t xml:space="preserve">entage should be lowered to five percent because electricity </w:t>
      </w:r>
      <w:r w:rsidRPr="00EE5722">
        <w:rPr>
          <w:color w:val="000000" w:themeColor="text1"/>
          <w:sz w:val="26"/>
          <w:szCs w:val="26"/>
        </w:rPr>
        <w:t xml:space="preserve">currently </w:t>
      </w:r>
      <w:r>
        <w:rPr>
          <w:color w:val="000000" w:themeColor="text1"/>
          <w:sz w:val="26"/>
          <w:szCs w:val="26"/>
        </w:rPr>
        <w:t xml:space="preserve">is </w:t>
      </w:r>
      <w:r w:rsidRPr="00EE5722">
        <w:rPr>
          <w:color w:val="000000" w:themeColor="text1"/>
          <w:sz w:val="26"/>
          <w:szCs w:val="26"/>
        </w:rPr>
        <w:t xml:space="preserve">being priced low on the market.  </w:t>
      </w:r>
      <w:r>
        <w:rPr>
          <w:color w:val="000000" w:themeColor="text1"/>
          <w:sz w:val="26"/>
          <w:szCs w:val="26"/>
        </w:rPr>
        <w:t>The ALJ stated that t</w:t>
      </w:r>
      <w:r w:rsidRPr="00EE5722">
        <w:rPr>
          <w:color w:val="000000" w:themeColor="text1"/>
          <w:sz w:val="26"/>
          <w:szCs w:val="26"/>
        </w:rPr>
        <w:t xml:space="preserve">he level of discount offered must be sufficient in size to entice default service customers to enter the competitive retail market arena.  </w:t>
      </w:r>
      <w:r>
        <w:rPr>
          <w:color w:val="000000" w:themeColor="text1"/>
          <w:sz w:val="26"/>
          <w:szCs w:val="26"/>
        </w:rPr>
        <w:t>According to the ALJ, t</w:t>
      </w:r>
      <w:r w:rsidRPr="00EE5722">
        <w:rPr>
          <w:color w:val="000000" w:themeColor="text1"/>
          <w:sz w:val="26"/>
          <w:szCs w:val="26"/>
        </w:rPr>
        <w:t xml:space="preserve">he lower percentage will </w:t>
      </w:r>
      <w:r>
        <w:rPr>
          <w:color w:val="000000" w:themeColor="text1"/>
          <w:sz w:val="26"/>
          <w:szCs w:val="26"/>
        </w:rPr>
        <w:t>not advance the goal of increasing</w:t>
      </w:r>
      <w:r w:rsidRPr="00EE5722">
        <w:rPr>
          <w:color w:val="000000" w:themeColor="text1"/>
          <w:sz w:val="26"/>
          <w:szCs w:val="26"/>
        </w:rPr>
        <w:t xml:space="preserve"> shopping among the defaul</w:t>
      </w:r>
      <w:r>
        <w:rPr>
          <w:color w:val="000000" w:themeColor="text1"/>
          <w:sz w:val="26"/>
          <w:szCs w:val="26"/>
        </w:rPr>
        <w:t xml:space="preserve">t service customer base.  The ALJ concluded that the seven percent discount should be sufficient </w:t>
      </w:r>
      <w:r w:rsidRPr="00EE5722">
        <w:rPr>
          <w:color w:val="000000" w:themeColor="text1"/>
          <w:sz w:val="26"/>
          <w:szCs w:val="26"/>
        </w:rPr>
        <w:t xml:space="preserve">to encourage customers to try the retail market while still encouraging EGSs to participate.  </w:t>
      </w:r>
      <w:r>
        <w:rPr>
          <w:color w:val="000000" w:themeColor="text1"/>
          <w:sz w:val="26"/>
          <w:szCs w:val="26"/>
        </w:rPr>
        <w:t>The ALJ stated that, if in the future Duquesne</w:t>
      </w:r>
      <w:r w:rsidRPr="00EE5722">
        <w:rPr>
          <w:color w:val="000000" w:themeColor="text1"/>
          <w:sz w:val="26"/>
          <w:szCs w:val="26"/>
        </w:rPr>
        <w:t>’s residential class moves into the competitive retail market in greater</w:t>
      </w:r>
      <w:r>
        <w:rPr>
          <w:color w:val="000000" w:themeColor="text1"/>
          <w:sz w:val="26"/>
          <w:szCs w:val="26"/>
        </w:rPr>
        <w:t xml:space="preserve"> numbers, at that point </w:t>
      </w:r>
      <w:r w:rsidRPr="00EE5722">
        <w:rPr>
          <w:color w:val="000000" w:themeColor="text1"/>
          <w:sz w:val="26"/>
          <w:szCs w:val="26"/>
        </w:rPr>
        <w:t>it might be necessary to review these provisions in order to encourage even greater</w:t>
      </w:r>
      <w:r>
        <w:rPr>
          <w:color w:val="000000" w:themeColor="text1"/>
          <w:sz w:val="26"/>
          <w:szCs w:val="26"/>
        </w:rPr>
        <w:t xml:space="preserve"> numbers of EGSs to participate;</w:t>
      </w:r>
      <w:r w:rsidRPr="00EE5722">
        <w:rPr>
          <w:color w:val="000000" w:themeColor="text1"/>
          <w:sz w:val="26"/>
          <w:szCs w:val="26"/>
        </w:rPr>
        <w:t xml:space="preserve"> however, this proceeding is not the appropriate time in which to start that </w:t>
      </w:r>
      <w:r w:rsidRPr="00EE5722">
        <w:rPr>
          <w:color w:val="000000" w:themeColor="text1"/>
          <w:sz w:val="26"/>
          <w:szCs w:val="26"/>
        </w:rPr>
        <w:lastRenderedPageBreak/>
        <w:t>discussion.</w:t>
      </w:r>
      <w:r>
        <w:rPr>
          <w:color w:val="000000" w:themeColor="text1"/>
          <w:sz w:val="26"/>
          <w:szCs w:val="26"/>
        </w:rPr>
        <w:t xml:space="preserve"> </w:t>
      </w:r>
      <w:r w:rsidR="00616719">
        <w:rPr>
          <w:color w:val="000000" w:themeColor="text1"/>
          <w:sz w:val="26"/>
          <w:szCs w:val="26"/>
        </w:rPr>
        <w:t xml:space="preserve"> R.D. at 115.</w:t>
      </w:r>
    </w:p>
    <w:p w:rsidR="00E95194" w:rsidRDefault="00E95194" w:rsidP="00E95194">
      <w:pPr>
        <w:pStyle w:val="BodyText"/>
        <w:spacing w:after="0" w:line="360" w:lineRule="auto"/>
        <w:ind w:left="0"/>
        <w:rPr>
          <w:color w:val="000000" w:themeColor="text1"/>
          <w:sz w:val="26"/>
          <w:szCs w:val="26"/>
        </w:rPr>
      </w:pPr>
    </w:p>
    <w:p w:rsidR="00E95194" w:rsidRDefault="00E95194" w:rsidP="0024032D">
      <w:pPr>
        <w:pStyle w:val="BodyText"/>
        <w:spacing w:after="0" w:line="360" w:lineRule="auto"/>
        <w:ind w:left="0"/>
        <w:rPr>
          <w:color w:val="000000" w:themeColor="text1"/>
          <w:sz w:val="26"/>
          <w:szCs w:val="26"/>
        </w:rPr>
      </w:pPr>
      <w:r>
        <w:rPr>
          <w:color w:val="000000" w:themeColor="text1"/>
          <w:sz w:val="26"/>
          <w:szCs w:val="26"/>
        </w:rPr>
        <w:t>The ALJ</w:t>
      </w:r>
      <w:r w:rsidRPr="00EE5722">
        <w:rPr>
          <w:color w:val="000000" w:themeColor="text1"/>
          <w:sz w:val="26"/>
          <w:szCs w:val="26"/>
        </w:rPr>
        <w:t xml:space="preserve"> re</w:t>
      </w:r>
      <w:r>
        <w:rPr>
          <w:color w:val="000000" w:themeColor="text1"/>
          <w:sz w:val="26"/>
          <w:szCs w:val="26"/>
        </w:rPr>
        <w:t>commended approving Duquesne</w:t>
      </w:r>
      <w:r w:rsidRPr="00EE5722">
        <w:rPr>
          <w:color w:val="000000" w:themeColor="text1"/>
          <w:sz w:val="26"/>
          <w:szCs w:val="26"/>
        </w:rPr>
        <w:t xml:space="preserve">’s proposal to guarantee the savings based on the PTC </w:t>
      </w:r>
      <w:r>
        <w:rPr>
          <w:color w:val="000000" w:themeColor="text1"/>
          <w:sz w:val="26"/>
          <w:szCs w:val="26"/>
        </w:rPr>
        <w:t xml:space="preserve">in effect </w:t>
      </w:r>
      <w:r w:rsidRPr="00EE5722">
        <w:rPr>
          <w:color w:val="000000" w:themeColor="text1"/>
          <w:sz w:val="26"/>
          <w:szCs w:val="26"/>
        </w:rPr>
        <w:t xml:space="preserve">at the time the offer is made, instead of the competing suggestion to guarantee the savings off the PTC during the entire term of the product.  </w:t>
      </w:r>
      <w:r>
        <w:rPr>
          <w:color w:val="000000" w:themeColor="text1"/>
          <w:sz w:val="26"/>
          <w:szCs w:val="26"/>
        </w:rPr>
        <w:t xml:space="preserve">The ALJ </w:t>
      </w:r>
      <w:r w:rsidRPr="00EE5722">
        <w:rPr>
          <w:color w:val="000000" w:themeColor="text1"/>
          <w:sz w:val="26"/>
          <w:szCs w:val="26"/>
        </w:rPr>
        <w:t>agree</w:t>
      </w:r>
      <w:r>
        <w:rPr>
          <w:color w:val="000000" w:themeColor="text1"/>
          <w:sz w:val="26"/>
          <w:szCs w:val="26"/>
        </w:rPr>
        <w:t>d</w:t>
      </w:r>
      <w:r w:rsidRPr="00EE5722">
        <w:rPr>
          <w:color w:val="000000" w:themeColor="text1"/>
          <w:sz w:val="26"/>
          <w:szCs w:val="26"/>
        </w:rPr>
        <w:t xml:space="preserve"> with the Company that, in this current environment and with a fairly knowledgeable customer base, there is a great need to entice customers into the retail market.  </w:t>
      </w:r>
      <w:r>
        <w:rPr>
          <w:color w:val="000000" w:themeColor="text1"/>
          <w:sz w:val="26"/>
          <w:szCs w:val="26"/>
        </w:rPr>
        <w:t>According to the ALJ, o</w:t>
      </w:r>
      <w:r w:rsidRPr="00EE5722">
        <w:rPr>
          <w:color w:val="000000" w:themeColor="text1"/>
          <w:sz w:val="26"/>
          <w:szCs w:val="26"/>
        </w:rPr>
        <w:t>nce there, the customers will likely grow in sophistication and learn how to monitor their savings in such a way that most benefits the consumer.</w:t>
      </w:r>
      <w:r>
        <w:rPr>
          <w:color w:val="000000" w:themeColor="text1"/>
          <w:sz w:val="26"/>
          <w:szCs w:val="26"/>
        </w:rPr>
        <w:t xml:space="preserve"> </w:t>
      </w:r>
      <w:r w:rsidR="0024032D">
        <w:rPr>
          <w:color w:val="000000" w:themeColor="text1"/>
          <w:sz w:val="26"/>
          <w:szCs w:val="26"/>
        </w:rPr>
        <w:t xml:space="preserve"> R.D. at 120.</w:t>
      </w:r>
    </w:p>
    <w:p w:rsidR="0024032D" w:rsidRPr="0024032D" w:rsidRDefault="0024032D" w:rsidP="0024032D">
      <w:pPr>
        <w:pStyle w:val="BodyText"/>
        <w:spacing w:after="0" w:line="360" w:lineRule="auto"/>
        <w:ind w:left="0"/>
        <w:rPr>
          <w:color w:val="000000" w:themeColor="text1"/>
          <w:sz w:val="26"/>
          <w:szCs w:val="26"/>
        </w:rPr>
      </w:pPr>
    </w:p>
    <w:p w:rsidR="00E95194" w:rsidRPr="00816631" w:rsidRDefault="00E95194" w:rsidP="00584C88">
      <w:pPr>
        <w:pStyle w:val="Heading5"/>
        <w:numPr>
          <w:ilvl w:val="0"/>
          <w:numId w:val="0"/>
        </w:numPr>
        <w:ind w:left="3600" w:hanging="720"/>
      </w:pPr>
      <w:bookmarkStart w:id="136" w:name="_Toc346705378"/>
      <w:r>
        <w:t>iv.</w:t>
      </w:r>
      <w:r>
        <w:tab/>
        <w:t>Exceptions</w:t>
      </w:r>
      <w:bookmarkEnd w:id="136"/>
    </w:p>
    <w:p w:rsidR="00E95194" w:rsidRPr="005C4DE7" w:rsidRDefault="00E95194" w:rsidP="0024032D">
      <w:pPr>
        <w:tabs>
          <w:tab w:val="left" w:pos="720"/>
          <w:tab w:val="left" w:pos="8550"/>
        </w:tabs>
        <w:spacing w:line="360" w:lineRule="auto"/>
        <w:ind w:firstLine="1440"/>
        <w:rPr>
          <w:sz w:val="26"/>
          <w:szCs w:val="26"/>
        </w:rPr>
      </w:pPr>
    </w:p>
    <w:p w:rsidR="00E95194" w:rsidRDefault="00E95194" w:rsidP="0024032D">
      <w:pPr>
        <w:pStyle w:val="BriefL3"/>
        <w:numPr>
          <w:ilvl w:val="0"/>
          <w:numId w:val="0"/>
        </w:numPr>
        <w:spacing w:after="0" w:line="360" w:lineRule="auto"/>
        <w:ind w:firstLine="1440"/>
        <w:rPr>
          <w:sz w:val="26"/>
          <w:szCs w:val="26"/>
        </w:rPr>
      </w:pPr>
      <w:r w:rsidRPr="00B26BE7">
        <w:rPr>
          <w:sz w:val="26"/>
          <w:szCs w:val="26"/>
        </w:rPr>
        <w:t xml:space="preserve">In its Exceptions, RESA argues that the ALJ erred </w:t>
      </w:r>
      <w:r>
        <w:rPr>
          <w:sz w:val="26"/>
          <w:szCs w:val="26"/>
        </w:rPr>
        <w:t>in recommending approval of a twelve</w:t>
      </w:r>
      <w:r w:rsidRPr="00B26BE7">
        <w:rPr>
          <w:sz w:val="26"/>
          <w:szCs w:val="26"/>
        </w:rPr>
        <w:t>-month fixed price product with guaranteed savings</w:t>
      </w:r>
      <w:r>
        <w:rPr>
          <w:sz w:val="26"/>
          <w:szCs w:val="26"/>
        </w:rPr>
        <w:t xml:space="preserve"> for the entire twelve-month period.  </w:t>
      </w:r>
      <w:r w:rsidRPr="00B26BE7">
        <w:rPr>
          <w:sz w:val="26"/>
          <w:szCs w:val="26"/>
        </w:rPr>
        <w:t xml:space="preserve">RESA argues that the </w:t>
      </w:r>
      <w:r>
        <w:rPr>
          <w:sz w:val="26"/>
          <w:szCs w:val="26"/>
        </w:rPr>
        <w:t xml:space="preserve">SO </w:t>
      </w:r>
      <w:r w:rsidRPr="00B26BE7">
        <w:rPr>
          <w:sz w:val="26"/>
          <w:szCs w:val="26"/>
        </w:rPr>
        <w:t xml:space="preserve">Program should be a true introductory program, </w:t>
      </w:r>
      <w:r>
        <w:rPr>
          <w:sz w:val="26"/>
          <w:szCs w:val="26"/>
        </w:rPr>
        <w:t>with a discount provided for a four</w:t>
      </w:r>
      <w:r w:rsidRPr="00B26BE7">
        <w:rPr>
          <w:sz w:val="26"/>
          <w:szCs w:val="26"/>
        </w:rPr>
        <w:t>-month period, followed either by the EGS moving to a month-to-month variable rate or a fixed price for the remaining eight months of the initial term.  RESA argues that t</w:t>
      </w:r>
      <w:r>
        <w:rPr>
          <w:sz w:val="26"/>
          <w:szCs w:val="26"/>
        </w:rPr>
        <w:t>he four-month/eight</w:t>
      </w:r>
      <w:r w:rsidRPr="00B26BE7">
        <w:rPr>
          <w:sz w:val="26"/>
          <w:szCs w:val="26"/>
        </w:rPr>
        <w:t xml:space="preserve">-month structure is now the Commission’s apparent policy preference per the </w:t>
      </w:r>
      <w:r>
        <w:rPr>
          <w:i/>
          <w:sz w:val="26"/>
          <w:szCs w:val="26"/>
        </w:rPr>
        <w:t>FirstEnergy</w:t>
      </w:r>
      <w:r w:rsidR="0024032D">
        <w:rPr>
          <w:i/>
          <w:sz w:val="26"/>
          <w:szCs w:val="26"/>
        </w:rPr>
        <w:t xml:space="preserve"> DSP</w:t>
      </w:r>
      <w:r w:rsidRPr="00B26BE7">
        <w:rPr>
          <w:sz w:val="26"/>
          <w:szCs w:val="26"/>
        </w:rPr>
        <w:t xml:space="preserve"> and </w:t>
      </w:r>
      <w:r w:rsidRPr="00B26BE7">
        <w:rPr>
          <w:i/>
          <w:sz w:val="26"/>
          <w:szCs w:val="26"/>
        </w:rPr>
        <w:t>PECO</w:t>
      </w:r>
      <w:r>
        <w:rPr>
          <w:i/>
          <w:sz w:val="26"/>
          <w:szCs w:val="26"/>
        </w:rPr>
        <w:t xml:space="preserve"> DSP Orders</w:t>
      </w:r>
      <w:r w:rsidRPr="00B26BE7">
        <w:rPr>
          <w:sz w:val="26"/>
          <w:szCs w:val="26"/>
        </w:rPr>
        <w:t>, and there is no viable reason to treat Duquesne differently.  Thus, RESA objects to the AL</w:t>
      </w:r>
      <w:r>
        <w:rPr>
          <w:sz w:val="26"/>
          <w:szCs w:val="26"/>
        </w:rPr>
        <w:t>J’s recommendation to adopt a twelve</w:t>
      </w:r>
      <w:r w:rsidRPr="00B26BE7">
        <w:rPr>
          <w:sz w:val="26"/>
          <w:szCs w:val="26"/>
        </w:rPr>
        <w:t>-month fixe</w:t>
      </w:r>
      <w:r>
        <w:rPr>
          <w:sz w:val="26"/>
          <w:szCs w:val="26"/>
        </w:rPr>
        <w:t>d price for the SO P</w:t>
      </w:r>
      <w:r w:rsidRPr="00B26BE7">
        <w:rPr>
          <w:sz w:val="26"/>
          <w:szCs w:val="26"/>
        </w:rPr>
        <w:t>rogram.</w:t>
      </w:r>
      <w:r w:rsidR="0024032D">
        <w:rPr>
          <w:sz w:val="26"/>
          <w:szCs w:val="26"/>
        </w:rPr>
        <w:t xml:space="preserve">  RESA Exc. at 28.  </w:t>
      </w:r>
    </w:p>
    <w:p w:rsidR="00E95194" w:rsidRPr="00B26BE7" w:rsidRDefault="00E95194" w:rsidP="0024032D">
      <w:pPr>
        <w:pStyle w:val="BodyText2"/>
        <w:spacing w:after="0" w:line="360" w:lineRule="auto"/>
        <w:ind w:firstLine="1440"/>
        <w:rPr>
          <w:sz w:val="26"/>
          <w:szCs w:val="26"/>
        </w:rPr>
      </w:pPr>
    </w:p>
    <w:p w:rsidR="00E95194" w:rsidRPr="0024032D" w:rsidRDefault="00E95194" w:rsidP="0024032D">
      <w:pPr>
        <w:pStyle w:val="BodyText2"/>
        <w:spacing w:after="0" w:line="360" w:lineRule="auto"/>
        <w:ind w:firstLine="1440"/>
        <w:rPr>
          <w:sz w:val="26"/>
          <w:szCs w:val="26"/>
        </w:rPr>
      </w:pPr>
      <w:r w:rsidRPr="00B26BE7">
        <w:rPr>
          <w:sz w:val="26"/>
          <w:szCs w:val="26"/>
        </w:rPr>
        <w:t>RESA states that its recommendation balances consumer value with a program in which EGSs will be willing to participate.</w:t>
      </w:r>
      <w:r>
        <w:rPr>
          <w:sz w:val="26"/>
          <w:szCs w:val="26"/>
        </w:rPr>
        <w:t xml:space="preserve"> </w:t>
      </w:r>
      <w:r w:rsidRPr="00B26BE7">
        <w:rPr>
          <w:sz w:val="26"/>
          <w:szCs w:val="26"/>
        </w:rPr>
        <w:t xml:space="preserve"> </w:t>
      </w:r>
      <w:r>
        <w:rPr>
          <w:sz w:val="26"/>
          <w:szCs w:val="26"/>
        </w:rPr>
        <w:t>RESA avers that i</w:t>
      </w:r>
      <w:r w:rsidRPr="00B26BE7">
        <w:rPr>
          <w:sz w:val="26"/>
          <w:szCs w:val="26"/>
        </w:rPr>
        <w:t xml:space="preserve">t is also a reasonable approach, especially considering that customers are not “locked in.”  </w:t>
      </w:r>
      <w:r>
        <w:rPr>
          <w:sz w:val="26"/>
          <w:szCs w:val="26"/>
        </w:rPr>
        <w:t>RESA opines that a</w:t>
      </w:r>
      <w:r w:rsidRPr="00B26BE7">
        <w:rPr>
          <w:sz w:val="26"/>
          <w:szCs w:val="26"/>
        </w:rPr>
        <w:t xml:space="preserve"> shorter period of tru</w:t>
      </w:r>
      <w:r>
        <w:rPr>
          <w:sz w:val="26"/>
          <w:szCs w:val="26"/>
        </w:rPr>
        <w:t>e “guaranteed savings” followed</w:t>
      </w:r>
      <w:r w:rsidRPr="00B26BE7">
        <w:rPr>
          <w:sz w:val="26"/>
          <w:szCs w:val="26"/>
        </w:rPr>
        <w:t xml:space="preserve"> by a fixed price term </w:t>
      </w:r>
      <w:r w:rsidRPr="00B26BE7">
        <w:rPr>
          <w:sz w:val="26"/>
          <w:szCs w:val="26"/>
        </w:rPr>
        <w:lastRenderedPageBreak/>
        <w:t>would be more acceptable to b</w:t>
      </w:r>
      <w:r>
        <w:rPr>
          <w:sz w:val="26"/>
          <w:szCs w:val="26"/>
        </w:rPr>
        <w:t>oth EGSs and customers than a twelve</w:t>
      </w:r>
      <w:r w:rsidRPr="00B26BE7">
        <w:rPr>
          <w:sz w:val="26"/>
          <w:szCs w:val="26"/>
        </w:rPr>
        <w:t>-month product with a potentially shifting relationship to the then-current PTC.</w:t>
      </w:r>
      <w:r>
        <w:rPr>
          <w:sz w:val="26"/>
          <w:szCs w:val="26"/>
        </w:rPr>
        <w:t xml:space="preserve"> </w:t>
      </w:r>
      <w:r w:rsidR="0024032D">
        <w:rPr>
          <w:sz w:val="26"/>
          <w:szCs w:val="26"/>
        </w:rPr>
        <w:t xml:space="preserve"> </w:t>
      </w:r>
      <w:r w:rsidR="0024032D">
        <w:rPr>
          <w:i/>
          <w:sz w:val="26"/>
          <w:szCs w:val="26"/>
        </w:rPr>
        <w:t>Id.</w:t>
      </w:r>
    </w:p>
    <w:p w:rsidR="00E95194" w:rsidRPr="00B26BE7" w:rsidRDefault="00E95194" w:rsidP="0024032D">
      <w:pPr>
        <w:pStyle w:val="BodyText2"/>
        <w:spacing w:after="0" w:line="360" w:lineRule="auto"/>
        <w:ind w:firstLine="1440"/>
        <w:rPr>
          <w:sz w:val="26"/>
          <w:szCs w:val="26"/>
        </w:rPr>
      </w:pPr>
      <w:r w:rsidRPr="00B26BE7">
        <w:rPr>
          <w:sz w:val="26"/>
          <w:szCs w:val="26"/>
        </w:rPr>
        <w:t xml:space="preserve"> </w:t>
      </w:r>
    </w:p>
    <w:p w:rsidR="00E95194" w:rsidRPr="00816631" w:rsidRDefault="00E95194" w:rsidP="0086098D">
      <w:pPr>
        <w:pStyle w:val="BriefL3"/>
        <w:numPr>
          <w:ilvl w:val="0"/>
          <w:numId w:val="0"/>
        </w:numPr>
        <w:spacing w:after="0" w:line="360" w:lineRule="auto"/>
        <w:ind w:firstLine="1440"/>
        <w:rPr>
          <w:sz w:val="26"/>
          <w:szCs w:val="26"/>
        </w:rPr>
      </w:pPr>
      <w:r w:rsidRPr="00B26BE7">
        <w:rPr>
          <w:sz w:val="26"/>
          <w:szCs w:val="26"/>
        </w:rPr>
        <w:t xml:space="preserve">Furthermore, </w:t>
      </w:r>
      <w:r>
        <w:rPr>
          <w:sz w:val="26"/>
          <w:szCs w:val="26"/>
        </w:rPr>
        <w:t xml:space="preserve">RESA asserts that </w:t>
      </w:r>
      <w:r w:rsidRPr="00B26BE7">
        <w:rPr>
          <w:sz w:val="26"/>
          <w:szCs w:val="26"/>
        </w:rPr>
        <w:t xml:space="preserve">such a structure would dovetail nicely with an Opt-In aggregation program of similar duration and terms. </w:t>
      </w:r>
      <w:r>
        <w:rPr>
          <w:sz w:val="26"/>
          <w:szCs w:val="26"/>
        </w:rPr>
        <w:t xml:space="preserve"> RESA states that </w:t>
      </w:r>
      <w:r w:rsidRPr="00B26BE7">
        <w:rPr>
          <w:sz w:val="26"/>
          <w:szCs w:val="26"/>
        </w:rPr>
        <w:t>the Commission should recognize the need to coordi</w:t>
      </w:r>
      <w:r>
        <w:rPr>
          <w:sz w:val="26"/>
          <w:szCs w:val="26"/>
        </w:rPr>
        <w:t xml:space="preserve">nate the offer to be made via the Opt-In Program with </w:t>
      </w:r>
      <w:r w:rsidRPr="00B26BE7">
        <w:rPr>
          <w:sz w:val="26"/>
          <w:szCs w:val="26"/>
        </w:rPr>
        <w:t>the offer to be extended as part</w:t>
      </w:r>
      <w:r>
        <w:rPr>
          <w:sz w:val="26"/>
          <w:szCs w:val="26"/>
        </w:rPr>
        <w:t xml:space="preserve"> of the SO </w:t>
      </w:r>
      <w:r w:rsidRPr="00B26BE7">
        <w:rPr>
          <w:sz w:val="26"/>
          <w:szCs w:val="26"/>
        </w:rPr>
        <w:t>Program</w:t>
      </w:r>
      <w:r>
        <w:rPr>
          <w:sz w:val="26"/>
          <w:szCs w:val="26"/>
        </w:rPr>
        <w:t>, and that t</w:t>
      </w:r>
      <w:r w:rsidRPr="00B26BE7">
        <w:rPr>
          <w:sz w:val="26"/>
          <w:szCs w:val="26"/>
        </w:rPr>
        <w:t xml:space="preserve">he two offers should be as consistent as possible.  </w:t>
      </w:r>
      <w:r>
        <w:rPr>
          <w:sz w:val="26"/>
          <w:szCs w:val="26"/>
        </w:rPr>
        <w:t xml:space="preserve">According to RESA, </w:t>
      </w:r>
      <w:r w:rsidRPr="00B26BE7">
        <w:rPr>
          <w:sz w:val="26"/>
          <w:szCs w:val="26"/>
        </w:rPr>
        <w:t>if the Opt-In</w:t>
      </w:r>
      <w:r>
        <w:rPr>
          <w:sz w:val="26"/>
          <w:szCs w:val="26"/>
        </w:rPr>
        <w:t xml:space="preserve"> Program offer is to be a five percent</w:t>
      </w:r>
      <w:r w:rsidRPr="00B26BE7">
        <w:rPr>
          <w:sz w:val="26"/>
          <w:szCs w:val="26"/>
        </w:rPr>
        <w:t xml:space="preserve"> discount from the then-current PTC with a $50 bonus after four months, then the Commission s</w:t>
      </w:r>
      <w:r>
        <w:rPr>
          <w:sz w:val="26"/>
          <w:szCs w:val="26"/>
        </w:rPr>
        <w:t>hould consider making the SO Program a five percent</w:t>
      </w:r>
      <w:r w:rsidRPr="00B26BE7">
        <w:rPr>
          <w:sz w:val="26"/>
          <w:szCs w:val="26"/>
        </w:rPr>
        <w:t xml:space="preserve"> discount for four months</w:t>
      </w:r>
      <w:r>
        <w:rPr>
          <w:sz w:val="26"/>
          <w:szCs w:val="26"/>
        </w:rPr>
        <w:t>,</w:t>
      </w:r>
      <w:r w:rsidRPr="00B26BE7">
        <w:rPr>
          <w:sz w:val="26"/>
          <w:szCs w:val="26"/>
        </w:rPr>
        <w:t xml:space="preserve"> </w:t>
      </w:r>
      <w:r>
        <w:rPr>
          <w:sz w:val="26"/>
          <w:szCs w:val="26"/>
        </w:rPr>
        <w:t>but without a bonus</w:t>
      </w:r>
      <w:r w:rsidRPr="00B26BE7">
        <w:rPr>
          <w:sz w:val="26"/>
          <w:szCs w:val="26"/>
        </w:rPr>
        <w:t>.</w:t>
      </w:r>
      <w:r>
        <w:rPr>
          <w:sz w:val="26"/>
          <w:szCs w:val="26"/>
        </w:rPr>
        <w:t xml:space="preserve">  </w:t>
      </w:r>
      <w:r w:rsidR="0024032D">
        <w:rPr>
          <w:i/>
          <w:sz w:val="26"/>
          <w:szCs w:val="26"/>
        </w:rPr>
        <w:t xml:space="preserve">Id. </w:t>
      </w:r>
      <w:r w:rsidR="0024032D">
        <w:rPr>
          <w:sz w:val="26"/>
          <w:szCs w:val="26"/>
        </w:rPr>
        <w:t>at 28-29.</w:t>
      </w:r>
      <w:r>
        <w:rPr>
          <w:b/>
          <w:sz w:val="26"/>
          <w:szCs w:val="26"/>
        </w:rPr>
        <w:tab/>
      </w:r>
    </w:p>
    <w:p w:rsidR="00E95194" w:rsidRPr="00732C09" w:rsidRDefault="00E95194" w:rsidP="0086098D">
      <w:pPr>
        <w:pStyle w:val="BodyText2"/>
        <w:spacing w:after="0" w:line="360" w:lineRule="auto"/>
        <w:rPr>
          <w:sz w:val="26"/>
          <w:szCs w:val="26"/>
        </w:rPr>
      </w:pPr>
    </w:p>
    <w:p w:rsidR="00E95194" w:rsidRPr="00EE5722" w:rsidRDefault="00E95194" w:rsidP="00584C88">
      <w:pPr>
        <w:pStyle w:val="Heading5"/>
        <w:numPr>
          <w:ilvl w:val="0"/>
          <w:numId w:val="0"/>
        </w:numPr>
        <w:ind w:left="3600" w:hanging="720"/>
      </w:pPr>
      <w:bookmarkStart w:id="137" w:name="_Toc346705379"/>
      <w:r>
        <w:t>v.</w:t>
      </w:r>
      <w:r>
        <w:tab/>
        <w:t>Reply Exceptions</w:t>
      </w:r>
      <w:bookmarkEnd w:id="137"/>
    </w:p>
    <w:p w:rsidR="00E95194" w:rsidRDefault="00E95194" w:rsidP="00E95194">
      <w:pPr>
        <w:pStyle w:val="BodyText2"/>
        <w:spacing w:line="360" w:lineRule="auto"/>
        <w:ind w:firstLine="1440"/>
        <w:rPr>
          <w:sz w:val="26"/>
          <w:szCs w:val="26"/>
        </w:rPr>
      </w:pPr>
    </w:p>
    <w:p w:rsidR="00E95194" w:rsidRPr="00E04307" w:rsidRDefault="00E95194" w:rsidP="00E95194">
      <w:pPr>
        <w:pStyle w:val="BodyText2"/>
        <w:spacing w:after="0" w:line="360" w:lineRule="auto"/>
        <w:ind w:firstLine="1440"/>
        <w:rPr>
          <w:sz w:val="26"/>
          <w:szCs w:val="26"/>
        </w:rPr>
      </w:pPr>
      <w:r w:rsidRPr="00CC36C0">
        <w:rPr>
          <w:sz w:val="26"/>
          <w:szCs w:val="26"/>
        </w:rPr>
        <w:t>In its Reply Exceptions, Duquesne argues that the ALJ’</w:t>
      </w:r>
      <w:r>
        <w:rPr>
          <w:sz w:val="26"/>
          <w:szCs w:val="26"/>
        </w:rPr>
        <w:t xml:space="preserve">s recommendation to approve a twelve-month term for the SO </w:t>
      </w:r>
      <w:r w:rsidRPr="00CC36C0">
        <w:rPr>
          <w:sz w:val="26"/>
          <w:szCs w:val="26"/>
        </w:rPr>
        <w:t xml:space="preserve">Program is consistent with Commission precedent and should be approved.  Duquesne submits that </w:t>
      </w:r>
      <w:r>
        <w:rPr>
          <w:sz w:val="26"/>
          <w:szCs w:val="26"/>
        </w:rPr>
        <w:t>RESA’s argument that the four-month/eight</w:t>
      </w:r>
      <w:r w:rsidRPr="00CC36C0">
        <w:rPr>
          <w:sz w:val="26"/>
          <w:szCs w:val="26"/>
        </w:rPr>
        <w:t xml:space="preserve">-month structure for the SO Program is Commission policy is completely incorrect and is contrary to the </w:t>
      </w:r>
      <w:r>
        <w:rPr>
          <w:sz w:val="26"/>
          <w:szCs w:val="26"/>
        </w:rPr>
        <w:t xml:space="preserve">Commission’s decisions in the FirstEnergy </w:t>
      </w:r>
      <w:r w:rsidR="0086098D">
        <w:rPr>
          <w:sz w:val="26"/>
          <w:szCs w:val="26"/>
        </w:rPr>
        <w:t xml:space="preserve">DSP </w:t>
      </w:r>
      <w:r>
        <w:rPr>
          <w:sz w:val="26"/>
          <w:szCs w:val="26"/>
        </w:rPr>
        <w:t>and PECO DSP proceedings</w:t>
      </w:r>
      <w:r w:rsidRPr="00CC36C0">
        <w:rPr>
          <w:sz w:val="26"/>
          <w:szCs w:val="26"/>
        </w:rPr>
        <w:t xml:space="preserve">.  </w:t>
      </w:r>
      <w:r>
        <w:rPr>
          <w:sz w:val="26"/>
          <w:szCs w:val="26"/>
        </w:rPr>
        <w:t xml:space="preserve">Duquesne avers that, </w:t>
      </w:r>
      <w:r w:rsidRPr="00E04307">
        <w:rPr>
          <w:sz w:val="26"/>
          <w:szCs w:val="26"/>
        </w:rPr>
        <w:t>in both</w:t>
      </w:r>
      <w:r w:rsidRPr="00CC36C0">
        <w:rPr>
          <w:sz w:val="26"/>
          <w:szCs w:val="26"/>
        </w:rPr>
        <w:t xml:space="preserve"> of these cases, the Commission</w:t>
      </w:r>
      <w:r>
        <w:rPr>
          <w:sz w:val="26"/>
          <w:szCs w:val="26"/>
        </w:rPr>
        <w:t xml:space="preserve"> approved a fixed price for a twelve</w:t>
      </w:r>
      <w:r w:rsidRPr="00CC36C0">
        <w:rPr>
          <w:sz w:val="26"/>
          <w:szCs w:val="26"/>
        </w:rPr>
        <w:t>-month SO Program</w:t>
      </w:r>
      <w:r>
        <w:rPr>
          <w:sz w:val="26"/>
          <w:szCs w:val="26"/>
        </w:rPr>
        <w:t xml:space="preserve"> term, not separate prices for four-month/eight</w:t>
      </w:r>
      <w:r w:rsidRPr="00CC36C0">
        <w:rPr>
          <w:sz w:val="26"/>
          <w:szCs w:val="26"/>
        </w:rPr>
        <w:t xml:space="preserve">-month terms as stated by RESA.  </w:t>
      </w:r>
      <w:r>
        <w:rPr>
          <w:i/>
          <w:sz w:val="26"/>
          <w:szCs w:val="26"/>
        </w:rPr>
        <w:t>FirstEnergy DSP</w:t>
      </w:r>
      <w:r w:rsidRPr="00CC36C0">
        <w:rPr>
          <w:i/>
          <w:sz w:val="26"/>
          <w:szCs w:val="26"/>
        </w:rPr>
        <w:t xml:space="preserve"> Order</w:t>
      </w:r>
      <w:r w:rsidRPr="00CC36C0">
        <w:rPr>
          <w:sz w:val="26"/>
          <w:szCs w:val="26"/>
        </w:rPr>
        <w:t xml:space="preserve"> at 146; </w:t>
      </w:r>
      <w:r w:rsidRPr="00CC36C0">
        <w:rPr>
          <w:i/>
          <w:sz w:val="26"/>
          <w:szCs w:val="26"/>
        </w:rPr>
        <w:t xml:space="preserve">PECO </w:t>
      </w:r>
      <w:r>
        <w:rPr>
          <w:i/>
          <w:sz w:val="26"/>
          <w:szCs w:val="26"/>
        </w:rPr>
        <w:t xml:space="preserve">DSP </w:t>
      </w:r>
      <w:r w:rsidRPr="00CC36C0">
        <w:rPr>
          <w:i/>
          <w:sz w:val="26"/>
          <w:szCs w:val="26"/>
        </w:rPr>
        <w:t>Order</w:t>
      </w:r>
      <w:r w:rsidRPr="00CC36C0">
        <w:rPr>
          <w:sz w:val="26"/>
          <w:szCs w:val="26"/>
        </w:rPr>
        <w:t xml:space="preserve"> at 114.</w:t>
      </w:r>
      <w:r>
        <w:rPr>
          <w:sz w:val="26"/>
          <w:szCs w:val="26"/>
        </w:rPr>
        <w:t xml:space="preserve"> </w:t>
      </w:r>
      <w:r w:rsidR="0086098D">
        <w:rPr>
          <w:sz w:val="26"/>
          <w:szCs w:val="26"/>
        </w:rPr>
        <w:t xml:space="preserve"> Duquesne R.Exc. at 17.  </w:t>
      </w:r>
    </w:p>
    <w:p w:rsidR="00E95194" w:rsidRDefault="00E95194" w:rsidP="00E95194">
      <w:pPr>
        <w:pStyle w:val="BodyText2"/>
        <w:spacing w:after="0" w:line="360" w:lineRule="auto"/>
        <w:ind w:firstLine="1440"/>
        <w:rPr>
          <w:sz w:val="26"/>
          <w:szCs w:val="26"/>
        </w:rPr>
      </w:pPr>
    </w:p>
    <w:p w:rsidR="00E95194" w:rsidRPr="00104EED" w:rsidRDefault="00E95194" w:rsidP="0029138B">
      <w:pPr>
        <w:pStyle w:val="BodyText2"/>
        <w:spacing w:after="0" w:line="360" w:lineRule="auto"/>
        <w:ind w:firstLine="1440"/>
        <w:rPr>
          <w:sz w:val="26"/>
          <w:szCs w:val="26"/>
        </w:rPr>
      </w:pPr>
      <w:r w:rsidRPr="00CC36C0">
        <w:rPr>
          <w:sz w:val="26"/>
          <w:szCs w:val="26"/>
        </w:rPr>
        <w:t xml:space="preserve">In addition, </w:t>
      </w:r>
      <w:r>
        <w:rPr>
          <w:sz w:val="26"/>
          <w:szCs w:val="26"/>
        </w:rPr>
        <w:t xml:space="preserve">Duquesne alleges that </w:t>
      </w:r>
      <w:r w:rsidRPr="00CC36C0">
        <w:rPr>
          <w:sz w:val="26"/>
          <w:szCs w:val="26"/>
        </w:rPr>
        <w:t xml:space="preserve">RESA mischaracterizes </w:t>
      </w:r>
      <w:r w:rsidR="00EA2357">
        <w:rPr>
          <w:sz w:val="26"/>
          <w:szCs w:val="26"/>
        </w:rPr>
        <w:t>Duquesne’s</w:t>
      </w:r>
      <w:r w:rsidRPr="00CC36C0">
        <w:rPr>
          <w:sz w:val="26"/>
          <w:szCs w:val="26"/>
        </w:rPr>
        <w:t xml:space="preserve"> proposal as a “guaranteed savings” proposal that will ensure cu</w:t>
      </w:r>
      <w:r>
        <w:rPr>
          <w:sz w:val="26"/>
          <w:szCs w:val="26"/>
        </w:rPr>
        <w:t xml:space="preserve">stomer savings for the entire twelve-month period.  </w:t>
      </w:r>
      <w:r w:rsidRPr="00CC36C0">
        <w:rPr>
          <w:sz w:val="26"/>
          <w:szCs w:val="26"/>
        </w:rPr>
        <w:t>Duquesne states that its proposal is not a “guaranteed savings” proposal that will re</w:t>
      </w:r>
      <w:r>
        <w:rPr>
          <w:sz w:val="26"/>
          <w:szCs w:val="26"/>
        </w:rPr>
        <w:t>quire EGSs to change their prices</w:t>
      </w:r>
      <w:r w:rsidRPr="00CC36C0">
        <w:rPr>
          <w:sz w:val="26"/>
          <w:szCs w:val="26"/>
        </w:rPr>
        <w:t xml:space="preserve"> when the PTC changes.  </w:t>
      </w:r>
      <w:r w:rsidRPr="00CC36C0">
        <w:rPr>
          <w:sz w:val="26"/>
          <w:szCs w:val="26"/>
        </w:rPr>
        <w:lastRenderedPageBreak/>
        <w:t>Rather, it will allow EGSs</w:t>
      </w:r>
      <w:r>
        <w:rPr>
          <w:sz w:val="26"/>
          <w:szCs w:val="26"/>
        </w:rPr>
        <w:t xml:space="preserve"> to offer a fixed-price for a twelve-month period and </w:t>
      </w:r>
      <w:r w:rsidRPr="00CC36C0">
        <w:rPr>
          <w:sz w:val="26"/>
          <w:szCs w:val="26"/>
        </w:rPr>
        <w:t xml:space="preserve">will provide assured savings only until the next PTC change.  Duquesne </w:t>
      </w:r>
      <w:r>
        <w:rPr>
          <w:sz w:val="26"/>
          <w:szCs w:val="26"/>
        </w:rPr>
        <w:t xml:space="preserve">asserts that its </w:t>
      </w:r>
      <w:r w:rsidRPr="00CC36C0">
        <w:rPr>
          <w:sz w:val="26"/>
          <w:szCs w:val="26"/>
        </w:rPr>
        <w:t xml:space="preserve">proposal is consistent with the </w:t>
      </w:r>
      <w:r>
        <w:rPr>
          <w:sz w:val="26"/>
          <w:szCs w:val="26"/>
        </w:rPr>
        <w:t xml:space="preserve">Commission’s decisions in the </w:t>
      </w:r>
      <w:r w:rsidRPr="00921446">
        <w:rPr>
          <w:sz w:val="26"/>
          <w:szCs w:val="26"/>
        </w:rPr>
        <w:t>FirstEnergy</w:t>
      </w:r>
      <w:r w:rsidRPr="00CC36C0">
        <w:rPr>
          <w:sz w:val="26"/>
          <w:szCs w:val="26"/>
        </w:rPr>
        <w:t xml:space="preserve"> </w:t>
      </w:r>
      <w:r w:rsidR="0086098D">
        <w:rPr>
          <w:sz w:val="26"/>
          <w:szCs w:val="26"/>
        </w:rPr>
        <w:t xml:space="preserve">DSP </w:t>
      </w:r>
      <w:r w:rsidRPr="00CC36C0">
        <w:rPr>
          <w:sz w:val="26"/>
          <w:szCs w:val="26"/>
        </w:rPr>
        <w:t xml:space="preserve">and </w:t>
      </w:r>
      <w:r w:rsidRPr="00921446">
        <w:rPr>
          <w:sz w:val="26"/>
          <w:szCs w:val="26"/>
        </w:rPr>
        <w:t xml:space="preserve">PECO </w:t>
      </w:r>
      <w:r>
        <w:rPr>
          <w:sz w:val="26"/>
          <w:szCs w:val="26"/>
        </w:rPr>
        <w:t xml:space="preserve">DSP </w:t>
      </w:r>
      <w:r w:rsidRPr="00CC36C0">
        <w:rPr>
          <w:sz w:val="26"/>
          <w:szCs w:val="26"/>
        </w:rPr>
        <w:t>proceedings and should be adopted.</w:t>
      </w:r>
      <w:r w:rsidR="0086098D">
        <w:rPr>
          <w:sz w:val="26"/>
          <w:szCs w:val="26"/>
        </w:rPr>
        <w:t xml:space="preserve">  </w:t>
      </w:r>
      <w:r w:rsidR="0086098D">
        <w:rPr>
          <w:i/>
          <w:sz w:val="26"/>
          <w:szCs w:val="26"/>
        </w:rPr>
        <w:t>Id.</w:t>
      </w:r>
      <w:r w:rsidR="0086098D">
        <w:rPr>
          <w:sz w:val="26"/>
          <w:szCs w:val="26"/>
        </w:rPr>
        <w:t xml:space="preserve"> at 18.</w:t>
      </w:r>
      <w:r>
        <w:rPr>
          <w:sz w:val="26"/>
          <w:szCs w:val="26"/>
        </w:rPr>
        <w:t xml:space="preserve">  </w:t>
      </w:r>
    </w:p>
    <w:p w:rsidR="00E95194" w:rsidRPr="00EE5722" w:rsidRDefault="00E95194" w:rsidP="0029138B">
      <w:pPr>
        <w:pStyle w:val="BodyText"/>
        <w:spacing w:after="0" w:line="360" w:lineRule="auto"/>
        <w:ind w:left="0" w:firstLine="0"/>
        <w:rPr>
          <w:sz w:val="26"/>
          <w:szCs w:val="26"/>
        </w:rPr>
      </w:pPr>
    </w:p>
    <w:p w:rsidR="00E95194" w:rsidRPr="00047E3D" w:rsidRDefault="00E95194" w:rsidP="0029138B">
      <w:pPr>
        <w:spacing w:line="360" w:lineRule="auto"/>
        <w:ind w:firstLine="1440"/>
        <w:rPr>
          <w:sz w:val="26"/>
          <w:szCs w:val="26"/>
        </w:rPr>
      </w:pPr>
      <w:r w:rsidRPr="00732C09">
        <w:rPr>
          <w:sz w:val="26"/>
          <w:szCs w:val="26"/>
        </w:rPr>
        <w:t xml:space="preserve">In its Reply Exceptions, the OCA argues that the ALJ </w:t>
      </w:r>
      <w:r>
        <w:rPr>
          <w:sz w:val="26"/>
          <w:szCs w:val="26"/>
        </w:rPr>
        <w:t>did not err in recommending a twelve</w:t>
      </w:r>
      <w:r w:rsidRPr="00732C09">
        <w:rPr>
          <w:sz w:val="26"/>
          <w:szCs w:val="26"/>
        </w:rPr>
        <w:t>-month fixed-price product with guar</w:t>
      </w:r>
      <w:r>
        <w:rPr>
          <w:sz w:val="26"/>
          <w:szCs w:val="26"/>
        </w:rPr>
        <w:t>anteed savings for the entire twelve</w:t>
      </w:r>
      <w:r w:rsidRPr="00732C09">
        <w:rPr>
          <w:sz w:val="26"/>
          <w:szCs w:val="26"/>
        </w:rPr>
        <w:t>-m</w:t>
      </w:r>
      <w:r>
        <w:rPr>
          <w:sz w:val="26"/>
          <w:szCs w:val="26"/>
        </w:rPr>
        <w:t xml:space="preserve">onth period for the SO </w:t>
      </w:r>
      <w:r w:rsidRPr="00732C09">
        <w:rPr>
          <w:sz w:val="26"/>
          <w:szCs w:val="26"/>
        </w:rPr>
        <w:t xml:space="preserve">Program.  With respect to RESA’s proposal for an introductory period, the OCA does not object, </w:t>
      </w:r>
      <w:r w:rsidRPr="00732C09">
        <w:rPr>
          <w:i/>
          <w:sz w:val="26"/>
          <w:szCs w:val="26"/>
        </w:rPr>
        <w:t>per se</w:t>
      </w:r>
      <w:r>
        <w:rPr>
          <w:sz w:val="26"/>
          <w:szCs w:val="26"/>
        </w:rPr>
        <w:t xml:space="preserve">, to a four-month introductory </w:t>
      </w:r>
      <w:r w:rsidRPr="00732C09">
        <w:rPr>
          <w:sz w:val="26"/>
          <w:szCs w:val="26"/>
        </w:rPr>
        <w:t>term, but particip</w:t>
      </w:r>
      <w:r>
        <w:rPr>
          <w:sz w:val="26"/>
          <w:szCs w:val="26"/>
        </w:rPr>
        <w:t>ating EGSs should guarantee savings from</w:t>
      </w:r>
      <w:r w:rsidRPr="00732C09">
        <w:rPr>
          <w:sz w:val="26"/>
          <w:szCs w:val="26"/>
        </w:rPr>
        <w:t xml:space="preserve"> the PTC during the entire </w:t>
      </w:r>
      <w:r>
        <w:rPr>
          <w:sz w:val="26"/>
          <w:szCs w:val="26"/>
        </w:rPr>
        <w:t xml:space="preserve">program term.  </w:t>
      </w:r>
      <w:r w:rsidRPr="00732C09">
        <w:rPr>
          <w:sz w:val="26"/>
          <w:szCs w:val="26"/>
        </w:rPr>
        <w:t xml:space="preserve"> </w:t>
      </w:r>
      <w:r>
        <w:rPr>
          <w:sz w:val="26"/>
          <w:szCs w:val="26"/>
        </w:rPr>
        <w:t>According to the OCA, t</w:t>
      </w:r>
      <w:r w:rsidRPr="00732C09">
        <w:rPr>
          <w:sz w:val="26"/>
          <w:szCs w:val="26"/>
        </w:rPr>
        <w:t>he EGS</w:t>
      </w:r>
      <w:r>
        <w:rPr>
          <w:sz w:val="26"/>
          <w:szCs w:val="26"/>
        </w:rPr>
        <w:t>s</w:t>
      </w:r>
      <w:r w:rsidRPr="00732C09">
        <w:rPr>
          <w:sz w:val="26"/>
          <w:szCs w:val="26"/>
        </w:rPr>
        <w:t xml:space="preserve"> </w:t>
      </w:r>
      <w:r>
        <w:rPr>
          <w:sz w:val="26"/>
          <w:szCs w:val="26"/>
        </w:rPr>
        <w:t xml:space="preserve">also should </w:t>
      </w:r>
      <w:r w:rsidRPr="00732C09">
        <w:rPr>
          <w:sz w:val="26"/>
          <w:szCs w:val="26"/>
        </w:rPr>
        <w:t>offer a fixed-p</w:t>
      </w:r>
      <w:r>
        <w:rPr>
          <w:sz w:val="26"/>
          <w:szCs w:val="26"/>
        </w:rPr>
        <w:t>rice product for the remaining eight</w:t>
      </w:r>
      <w:r w:rsidRPr="00732C09">
        <w:rPr>
          <w:sz w:val="26"/>
          <w:szCs w:val="26"/>
        </w:rPr>
        <w:t xml:space="preserve"> months of the program.  The OCA submits that th</w:t>
      </w:r>
      <w:r>
        <w:rPr>
          <w:sz w:val="26"/>
          <w:szCs w:val="26"/>
        </w:rPr>
        <w:t>is is the point of the SO Program,</w:t>
      </w:r>
      <w:r w:rsidRPr="00732C09">
        <w:rPr>
          <w:sz w:val="26"/>
          <w:szCs w:val="26"/>
        </w:rPr>
        <w:t xml:space="preserve"> to allow customers to experience the competitive retail market, but to enable that experience to be positive by producing savings.  </w:t>
      </w:r>
      <w:r>
        <w:rPr>
          <w:sz w:val="26"/>
          <w:szCs w:val="26"/>
        </w:rPr>
        <w:t>The OCA opines that t</w:t>
      </w:r>
      <w:r w:rsidRPr="00732C09">
        <w:rPr>
          <w:sz w:val="26"/>
          <w:szCs w:val="26"/>
        </w:rPr>
        <w:t xml:space="preserve">he </w:t>
      </w:r>
      <w:r>
        <w:rPr>
          <w:rFonts w:ascii="Times" w:eastAsia="Calibri" w:hAnsi="Times"/>
          <w:sz w:val="26"/>
          <w:szCs w:val="26"/>
        </w:rPr>
        <w:t>overarching purpose of RME Programs</w:t>
      </w:r>
      <w:r w:rsidRPr="00732C09">
        <w:rPr>
          <w:rFonts w:ascii="Times" w:eastAsia="Calibri" w:hAnsi="Times"/>
          <w:sz w:val="26"/>
          <w:szCs w:val="26"/>
        </w:rPr>
        <w:t xml:space="preserve"> is to introduce default service customers t</w:t>
      </w:r>
      <w:r>
        <w:rPr>
          <w:rFonts w:ascii="Times" w:eastAsia="Calibri" w:hAnsi="Times"/>
          <w:sz w:val="26"/>
          <w:szCs w:val="26"/>
        </w:rPr>
        <w:t xml:space="preserve">o shopping in a positive way.  </w:t>
      </w:r>
      <w:r w:rsidRPr="00732C09">
        <w:rPr>
          <w:rFonts w:ascii="Times" w:eastAsia="Calibri" w:hAnsi="Times"/>
          <w:sz w:val="26"/>
          <w:szCs w:val="26"/>
        </w:rPr>
        <w:t xml:space="preserve">In contrast, if savings are </w:t>
      </w:r>
      <w:r w:rsidRPr="00047E3D">
        <w:rPr>
          <w:rFonts w:ascii="Times" w:eastAsia="Calibri" w:hAnsi="Times"/>
          <w:sz w:val="26"/>
          <w:szCs w:val="26"/>
        </w:rPr>
        <w:t>not guaranteed, there is risk that the goal of the program will not be achieved.</w:t>
      </w:r>
      <w:r>
        <w:rPr>
          <w:rFonts w:ascii="Times" w:eastAsia="Calibri" w:hAnsi="Times"/>
          <w:sz w:val="26"/>
          <w:szCs w:val="26"/>
        </w:rPr>
        <w:t xml:space="preserve"> </w:t>
      </w:r>
      <w:r w:rsidR="0029138B">
        <w:rPr>
          <w:rFonts w:ascii="Times" w:eastAsia="Calibri" w:hAnsi="Times"/>
          <w:sz w:val="26"/>
          <w:szCs w:val="26"/>
        </w:rPr>
        <w:t xml:space="preserve"> </w:t>
      </w:r>
      <w:r w:rsidR="0029138B">
        <w:rPr>
          <w:sz w:val="26"/>
          <w:szCs w:val="26"/>
        </w:rPr>
        <w:t xml:space="preserve">OCA R.Exc. at 16-17.  </w:t>
      </w:r>
      <w:r w:rsidRPr="00047E3D">
        <w:rPr>
          <w:sz w:val="26"/>
          <w:szCs w:val="26"/>
        </w:rPr>
        <w:tab/>
      </w:r>
      <w:r w:rsidRPr="00047E3D">
        <w:rPr>
          <w:sz w:val="26"/>
          <w:szCs w:val="26"/>
        </w:rPr>
        <w:tab/>
      </w:r>
    </w:p>
    <w:p w:rsidR="00E95194" w:rsidRDefault="00E95194" w:rsidP="0029138B">
      <w:pPr>
        <w:pStyle w:val="BodyTextFirstLine5DS"/>
        <w:spacing w:line="360" w:lineRule="auto"/>
        <w:ind w:firstLine="1440"/>
        <w:jc w:val="left"/>
        <w:rPr>
          <w:sz w:val="26"/>
          <w:szCs w:val="26"/>
        </w:rPr>
      </w:pPr>
    </w:p>
    <w:p w:rsidR="00E95194" w:rsidRPr="00047E3D" w:rsidRDefault="00E95194" w:rsidP="00866F65">
      <w:pPr>
        <w:pStyle w:val="BodyTextFirstLine5DS"/>
        <w:spacing w:line="360" w:lineRule="auto"/>
        <w:ind w:firstLine="1440"/>
        <w:jc w:val="left"/>
        <w:rPr>
          <w:sz w:val="26"/>
          <w:szCs w:val="26"/>
        </w:rPr>
      </w:pPr>
      <w:r w:rsidRPr="00047E3D">
        <w:rPr>
          <w:sz w:val="26"/>
          <w:szCs w:val="26"/>
        </w:rPr>
        <w:t>In its Reply Exceptions, FES argues that the ALJ correc</w:t>
      </w:r>
      <w:r>
        <w:rPr>
          <w:sz w:val="26"/>
          <w:szCs w:val="26"/>
        </w:rPr>
        <w:t>tly recommended approval of a twelve</w:t>
      </w:r>
      <w:r w:rsidRPr="00047E3D">
        <w:rPr>
          <w:sz w:val="26"/>
          <w:szCs w:val="26"/>
        </w:rPr>
        <w:t>-month fixed-pr</w:t>
      </w:r>
      <w:r>
        <w:rPr>
          <w:sz w:val="26"/>
          <w:szCs w:val="26"/>
        </w:rPr>
        <w:t xml:space="preserve">ice product for the SO </w:t>
      </w:r>
      <w:r w:rsidRPr="00047E3D">
        <w:rPr>
          <w:sz w:val="26"/>
          <w:szCs w:val="26"/>
        </w:rPr>
        <w:t>Program</w:t>
      </w:r>
      <w:r w:rsidR="00866F65">
        <w:rPr>
          <w:sz w:val="26"/>
          <w:szCs w:val="26"/>
        </w:rPr>
        <w:t xml:space="preserve">.  </w:t>
      </w:r>
      <w:r>
        <w:rPr>
          <w:sz w:val="26"/>
          <w:szCs w:val="26"/>
        </w:rPr>
        <w:t xml:space="preserve">FES submits that, if the </w:t>
      </w:r>
      <w:r>
        <w:rPr>
          <w:i/>
          <w:sz w:val="26"/>
          <w:szCs w:val="26"/>
        </w:rPr>
        <w:t>FirstEnerg</w:t>
      </w:r>
      <w:r w:rsidR="00866F65">
        <w:rPr>
          <w:i/>
          <w:sz w:val="26"/>
          <w:szCs w:val="26"/>
        </w:rPr>
        <w:t>y DSP</w:t>
      </w:r>
      <w:r>
        <w:rPr>
          <w:sz w:val="26"/>
          <w:szCs w:val="26"/>
        </w:rPr>
        <w:t xml:space="preserve"> and </w:t>
      </w:r>
      <w:r w:rsidRPr="005F3AAD">
        <w:rPr>
          <w:i/>
          <w:sz w:val="26"/>
          <w:szCs w:val="26"/>
        </w:rPr>
        <w:t>PEC</w:t>
      </w:r>
      <w:r w:rsidRPr="008C3858">
        <w:rPr>
          <w:i/>
          <w:sz w:val="26"/>
          <w:szCs w:val="26"/>
        </w:rPr>
        <w:t>O DSP Orders</w:t>
      </w:r>
      <w:r w:rsidRPr="00047E3D">
        <w:rPr>
          <w:sz w:val="26"/>
          <w:szCs w:val="26"/>
        </w:rPr>
        <w:t xml:space="preserve"> control this proceeding, this question has been settled.  </w:t>
      </w:r>
      <w:r>
        <w:rPr>
          <w:sz w:val="26"/>
          <w:szCs w:val="26"/>
        </w:rPr>
        <w:t>FES states that, i</w:t>
      </w:r>
      <w:r w:rsidRPr="00047E3D">
        <w:rPr>
          <w:sz w:val="26"/>
          <w:szCs w:val="26"/>
        </w:rPr>
        <w:t>f the</w:t>
      </w:r>
      <w:r>
        <w:rPr>
          <w:sz w:val="26"/>
          <w:szCs w:val="26"/>
        </w:rPr>
        <w:t>se Orders</w:t>
      </w:r>
      <w:r w:rsidRPr="00047E3D">
        <w:rPr>
          <w:sz w:val="26"/>
          <w:szCs w:val="26"/>
        </w:rPr>
        <w:t xml:space="preserve"> </w:t>
      </w:r>
      <w:r>
        <w:rPr>
          <w:sz w:val="26"/>
          <w:szCs w:val="26"/>
        </w:rPr>
        <w:t>do not control, it</w:t>
      </w:r>
      <w:r w:rsidRPr="00047E3D">
        <w:rPr>
          <w:sz w:val="26"/>
          <w:szCs w:val="26"/>
        </w:rPr>
        <w:t xml:space="preserve"> is concerned tha</w:t>
      </w:r>
      <w:r>
        <w:rPr>
          <w:sz w:val="26"/>
          <w:szCs w:val="26"/>
        </w:rPr>
        <w:t>t RESA's proposed SO</w:t>
      </w:r>
      <w:r w:rsidRPr="00047E3D">
        <w:rPr>
          <w:sz w:val="26"/>
          <w:szCs w:val="26"/>
        </w:rPr>
        <w:t xml:space="preserve"> would c</w:t>
      </w:r>
      <w:r>
        <w:rPr>
          <w:sz w:val="26"/>
          <w:szCs w:val="26"/>
        </w:rPr>
        <w:t xml:space="preserve">ombine two different products, </w:t>
      </w:r>
      <w:r w:rsidRPr="00047E3D">
        <w:rPr>
          <w:sz w:val="26"/>
          <w:szCs w:val="26"/>
        </w:rPr>
        <w:t xml:space="preserve">a </w:t>
      </w:r>
      <w:r>
        <w:rPr>
          <w:sz w:val="26"/>
          <w:szCs w:val="26"/>
        </w:rPr>
        <w:t>four</w:t>
      </w:r>
      <w:r w:rsidRPr="00047E3D">
        <w:rPr>
          <w:sz w:val="26"/>
          <w:szCs w:val="26"/>
        </w:rPr>
        <w:t xml:space="preserve">-month percent-off product and an </w:t>
      </w:r>
      <w:r>
        <w:rPr>
          <w:sz w:val="26"/>
          <w:szCs w:val="26"/>
        </w:rPr>
        <w:t>eight</w:t>
      </w:r>
      <w:r w:rsidRPr="00047E3D">
        <w:rPr>
          <w:sz w:val="26"/>
          <w:szCs w:val="26"/>
        </w:rPr>
        <w:t>-month fixed-price product</w:t>
      </w:r>
      <w:r>
        <w:rPr>
          <w:sz w:val="26"/>
          <w:szCs w:val="26"/>
        </w:rPr>
        <w:t>,</w:t>
      </w:r>
      <w:r w:rsidRPr="00047E3D">
        <w:rPr>
          <w:sz w:val="26"/>
          <w:szCs w:val="26"/>
        </w:rPr>
        <w:t xml:space="preserve"> in a single contract term.  </w:t>
      </w:r>
      <w:r>
        <w:rPr>
          <w:sz w:val="26"/>
          <w:szCs w:val="26"/>
        </w:rPr>
        <w:t>According to FES, t</w:t>
      </w:r>
      <w:r w:rsidRPr="00047E3D">
        <w:rPr>
          <w:sz w:val="26"/>
          <w:szCs w:val="26"/>
        </w:rPr>
        <w:t>his combination of percent-off and fixed-price products is a complicated product for customers who likely have no experience with competitive retail electric offers.</w:t>
      </w:r>
      <w:r>
        <w:rPr>
          <w:sz w:val="26"/>
          <w:szCs w:val="26"/>
        </w:rPr>
        <w:t xml:space="preserve">  FES avers that, t</w:t>
      </w:r>
      <w:r w:rsidRPr="00047E3D">
        <w:rPr>
          <w:sz w:val="26"/>
          <w:szCs w:val="26"/>
        </w:rPr>
        <w:t>o prevent customer co</w:t>
      </w:r>
      <w:r>
        <w:rPr>
          <w:sz w:val="26"/>
          <w:szCs w:val="26"/>
        </w:rPr>
        <w:t xml:space="preserve">nfusion and dissatisfaction, it could support RESA's </w:t>
      </w:r>
      <w:r w:rsidRPr="00047E3D">
        <w:rPr>
          <w:sz w:val="26"/>
          <w:szCs w:val="26"/>
        </w:rPr>
        <w:t>proposal only if participating customers know the fixed price they wil</w:t>
      </w:r>
      <w:r>
        <w:rPr>
          <w:sz w:val="26"/>
          <w:szCs w:val="26"/>
        </w:rPr>
        <w:t>l be paying over the remaining eight</w:t>
      </w:r>
      <w:r w:rsidRPr="00047E3D">
        <w:rPr>
          <w:sz w:val="26"/>
          <w:szCs w:val="26"/>
        </w:rPr>
        <w:t xml:space="preserve"> months at the time of enrollment.</w:t>
      </w:r>
      <w:r w:rsidR="0029138B">
        <w:rPr>
          <w:sz w:val="26"/>
          <w:szCs w:val="26"/>
        </w:rPr>
        <w:t xml:space="preserve">  FES R.</w:t>
      </w:r>
      <w:r w:rsidR="00866F65">
        <w:rPr>
          <w:sz w:val="26"/>
          <w:szCs w:val="26"/>
        </w:rPr>
        <w:t xml:space="preserve">Exc. at </w:t>
      </w:r>
      <w:r w:rsidR="0029138B">
        <w:rPr>
          <w:sz w:val="26"/>
          <w:szCs w:val="26"/>
        </w:rPr>
        <w:t xml:space="preserve">19.  </w:t>
      </w:r>
    </w:p>
    <w:p w:rsidR="00E95194" w:rsidRPr="00EE5722" w:rsidRDefault="00E95194" w:rsidP="00866F65">
      <w:pPr>
        <w:pStyle w:val="BriefL3"/>
        <w:numPr>
          <w:ilvl w:val="0"/>
          <w:numId w:val="0"/>
        </w:numPr>
        <w:spacing w:after="0" w:line="360" w:lineRule="auto"/>
        <w:rPr>
          <w:b/>
          <w:sz w:val="26"/>
          <w:szCs w:val="26"/>
        </w:rPr>
      </w:pPr>
    </w:p>
    <w:p w:rsidR="00E95194" w:rsidRDefault="00E95194" w:rsidP="00584C88">
      <w:pPr>
        <w:pStyle w:val="Heading5"/>
        <w:numPr>
          <w:ilvl w:val="0"/>
          <w:numId w:val="0"/>
        </w:numPr>
        <w:ind w:left="3600" w:hanging="720"/>
      </w:pPr>
      <w:bookmarkStart w:id="138" w:name="_Toc346705380"/>
      <w:r>
        <w:t>vi.</w:t>
      </w:r>
      <w:r>
        <w:tab/>
        <w:t>Disposition</w:t>
      </w:r>
      <w:bookmarkEnd w:id="138"/>
    </w:p>
    <w:p w:rsidR="00E95194" w:rsidRDefault="00E95194" w:rsidP="00E95194">
      <w:pPr>
        <w:pStyle w:val="BriefL3"/>
        <w:numPr>
          <w:ilvl w:val="0"/>
          <w:numId w:val="0"/>
        </w:numPr>
        <w:spacing w:after="0" w:line="360" w:lineRule="auto"/>
        <w:ind w:firstLine="720"/>
        <w:rPr>
          <w:b/>
          <w:sz w:val="26"/>
          <w:szCs w:val="26"/>
        </w:rPr>
      </w:pPr>
    </w:p>
    <w:p w:rsidR="00E95194" w:rsidRDefault="00E95194" w:rsidP="007E786D">
      <w:pPr>
        <w:pStyle w:val="BriefL3"/>
        <w:numPr>
          <w:ilvl w:val="0"/>
          <w:numId w:val="0"/>
        </w:numPr>
        <w:spacing w:after="0" w:line="360" w:lineRule="auto"/>
        <w:ind w:firstLine="720"/>
        <w:rPr>
          <w:sz w:val="26"/>
          <w:szCs w:val="26"/>
        </w:rPr>
      </w:pPr>
      <w:r>
        <w:rPr>
          <w:b/>
          <w:sz w:val="26"/>
          <w:szCs w:val="26"/>
        </w:rPr>
        <w:tab/>
      </w:r>
      <w:r>
        <w:rPr>
          <w:sz w:val="26"/>
          <w:szCs w:val="26"/>
        </w:rPr>
        <w:t xml:space="preserve">Based upon our review and analysis of the evidence of record, and consistent with our recent conclusions within the </w:t>
      </w:r>
      <w:r>
        <w:rPr>
          <w:i/>
          <w:sz w:val="26"/>
          <w:szCs w:val="26"/>
        </w:rPr>
        <w:t>IWP Final Order,</w:t>
      </w:r>
      <w:r>
        <w:rPr>
          <w:sz w:val="26"/>
          <w:szCs w:val="26"/>
        </w:rPr>
        <w:t xml:space="preserve"> </w:t>
      </w:r>
      <w:r>
        <w:rPr>
          <w:i/>
          <w:sz w:val="26"/>
          <w:szCs w:val="26"/>
        </w:rPr>
        <w:t xml:space="preserve">FirstEnergy DSP Order </w:t>
      </w:r>
      <w:r>
        <w:rPr>
          <w:sz w:val="26"/>
          <w:szCs w:val="26"/>
        </w:rPr>
        <w:t xml:space="preserve">and </w:t>
      </w:r>
      <w:r>
        <w:rPr>
          <w:i/>
          <w:sz w:val="26"/>
          <w:szCs w:val="26"/>
        </w:rPr>
        <w:t>PECO DSP Order</w:t>
      </w:r>
      <w:r>
        <w:rPr>
          <w:sz w:val="26"/>
          <w:szCs w:val="26"/>
        </w:rPr>
        <w:t xml:space="preserve">, we conclude that Duquesne’s Standard Offer Program should be based upon a seven percent discount from the PTC at the time the offer is made, and should extend for a one-year term.  We are not persuaded by the arguments espoused by RESA to alter our previous guidance on these parameters.  While the discounted rate is fixed for twelve complete billing cycles, we realize that the PTC may be adjusted upward or downward during this time, which may impact a customer’s benefits.  However, we note that enrolled customers are free to return to default service </w:t>
      </w:r>
      <w:r w:rsidR="00EA2357">
        <w:rPr>
          <w:sz w:val="26"/>
          <w:szCs w:val="26"/>
        </w:rPr>
        <w:t xml:space="preserve">or switch to an alternate supplier </w:t>
      </w:r>
      <w:r>
        <w:rPr>
          <w:sz w:val="26"/>
          <w:szCs w:val="26"/>
        </w:rPr>
        <w:t>should the PTC fall below the discounted rate.  Accordingly, we shall deny the Exceptions of RESA on this issue and adopt the ALJ’s recommendation.</w:t>
      </w:r>
    </w:p>
    <w:p w:rsidR="0099061E" w:rsidRPr="00DC0301" w:rsidRDefault="0099061E" w:rsidP="007E786D">
      <w:pPr>
        <w:pStyle w:val="BriefL3"/>
        <w:numPr>
          <w:ilvl w:val="0"/>
          <w:numId w:val="0"/>
        </w:numPr>
        <w:spacing w:after="0" w:line="360" w:lineRule="auto"/>
        <w:ind w:firstLine="720"/>
        <w:rPr>
          <w:sz w:val="26"/>
          <w:szCs w:val="26"/>
        </w:rPr>
      </w:pPr>
    </w:p>
    <w:p w:rsidR="00E95194" w:rsidRPr="00EE5722" w:rsidRDefault="00E95194" w:rsidP="00584C88">
      <w:pPr>
        <w:pStyle w:val="Heading4"/>
        <w:numPr>
          <w:ilvl w:val="0"/>
          <w:numId w:val="0"/>
        </w:numPr>
        <w:ind w:left="2880" w:hanging="720"/>
      </w:pPr>
      <w:bookmarkStart w:id="139" w:name="_Toc346705381"/>
      <w:r>
        <w:t>c</w:t>
      </w:r>
      <w:r w:rsidRPr="00EE5722">
        <w:t>.</w:t>
      </w:r>
      <w:r w:rsidRPr="00EE5722">
        <w:tab/>
        <w:t>Program Start Date</w:t>
      </w:r>
      <w:bookmarkEnd w:id="139"/>
    </w:p>
    <w:p w:rsidR="00E95194" w:rsidRPr="00EE5722" w:rsidRDefault="00E95194" w:rsidP="007E786D">
      <w:pPr>
        <w:pStyle w:val="BriefL3"/>
        <w:numPr>
          <w:ilvl w:val="0"/>
          <w:numId w:val="0"/>
        </w:numPr>
        <w:spacing w:after="0" w:line="360" w:lineRule="auto"/>
        <w:ind w:left="1440" w:hanging="720"/>
        <w:rPr>
          <w:b/>
          <w:sz w:val="26"/>
          <w:szCs w:val="26"/>
        </w:rPr>
      </w:pPr>
    </w:p>
    <w:p w:rsidR="00E95194" w:rsidRPr="00EE5722" w:rsidRDefault="00E95194" w:rsidP="00584C88">
      <w:pPr>
        <w:pStyle w:val="Heading5"/>
        <w:numPr>
          <w:ilvl w:val="0"/>
          <w:numId w:val="0"/>
        </w:numPr>
        <w:ind w:left="3600" w:hanging="720"/>
      </w:pPr>
      <w:bookmarkStart w:id="140" w:name="_Toc346705382"/>
      <w:r>
        <w:t>i.</w:t>
      </w:r>
      <w:r>
        <w:tab/>
        <w:t>Duquesne</w:t>
      </w:r>
      <w:r w:rsidRPr="00EE5722">
        <w:t>’s Proposal</w:t>
      </w:r>
      <w:bookmarkEnd w:id="140"/>
    </w:p>
    <w:p w:rsidR="00E95194" w:rsidRPr="00EE5722" w:rsidRDefault="00E95194" w:rsidP="007E786D">
      <w:pPr>
        <w:pStyle w:val="BodyText"/>
        <w:spacing w:after="0" w:line="360" w:lineRule="auto"/>
        <w:ind w:left="0" w:firstLine="0"/>
        <w:rPr>
          <w:sz w:val="26"/>
          <w:szCs w:val="26"/>
        </w:rPr>
      </w:pPr>
    </w:p>
    <w:p w:rsidR="00E95194" w:rsidRPr="00F6608D" w:rsidRDefault="00E95194" w:rsidP="007E786D">
      <w:pPr>
        <w:pStyle w:val="BodyText2"/>
        <w:spacing w:after="0" w:line="360" w:lineRule="auto"/>
        <w:rPr>
          <w:sz w:val="26"/>
          <w:szCs w:val="26"/>
        </w:rPr>
      </w:pPr>
      <w:r w:rsidRPr="00EE5722">
        <w:rPr>
          <w:sz w:val="26"/>
          <w:szCs w:val="26"/>
        </w:rPr>
        <w:tab/>
      </w:r>
      <w:r w:rsidRPr="00EE5722">
        <w:rPr>
          <w:sz w:val="26"/>
          <w:szCs w:val="26"/>
        </w:rPr>
        <w:tab/>
      </w:r>
      <w:r>
        <w:rPr>
          <w:sz w:val="26"/>
          <w:szCs w:val="26"/>
        </w:rPr>
        <w:t>Duquesne proposed</w:t>
      </w:r>
      <w:r w:rsidRPr="00EE5722">
        <w:rPr>
          <w:sz w:val="26"/>
          <w:szCs w:val="26"/>
        </w:rPr>
        <w:t xml:space="preserve"> to implement</w:t>
      </w:r>
      <w:r>
        <w:rPr>
          <w:sz w:val="26"/>
          <w:szCs w:val="26"/>
        </w:rPr>
        <w:t xml:space="preserve"> the SO Program on June 1, 2014.  Duquesne noted that the Commission directed the FirstEnergy</w:t>
      </w:r>
      <w:r w:rsidRPr="00EE5722">
        <w:rPr>
          <w:sz w:val="26"/>
          <w:szCs w:val="26"/>
        </w:rPr>
        <w:t xml:space="preserve"> Companies to implement the</w:t>
      </w:r>
      <w:r>
        <w:rPr>
          <w:sz w:val="26"/>
          <w:szCs w:val="26"/>
        </w:rPr>
        <w:t>ir</w:t>
      </w:r>
      <w:r w:rsidRPr="00EE5722">
        <w:rPr>
          <w:sz w:val="26"/>
          <w:szCs w:val="26"/>
        </w:rPr>
        <w:t xml:space="preserve"> SO Program in June 2013</w:t>
      </w:r>
      <w:r>
        <w:rPr>
          <w:sz w:val="26"/>
          <w:szCs w:val="26"/>
        </w:rPr>
        <w:t>,</w:t>
      </w:r>
      <w:r w:rsidRPr="00EE5722">
        <w:rPr>
          <w:sz w:val="26"/>
          <w:szCs w:val="26"/>
        </w:rPr>
        <w:t xml:space="preserve"> and PECO to implement its SO </w:t>
      </w:r>
      <w:r>
        <w:rPr>
          <w:sz w:val="26"/>
          <w:szCs w:val="26"/>
        </w:rPr>
        <w:t>Program one month after its Opt-In</w:t>
      </w:r>
      <w:r w:rsidRPr="00EE5722">
        <w:rPr>
          <w:sz w:val="26"/>
          <w:szCs w:val="26"/>
        </w:rPr>
        <w:t xml:space="preserve"> Program enrollment is complete.  </w:t>
      </w:r>
      <w:r>
        <w:rPr>
          <w:i/>
          <w:sz w:val="26"/>
          <w:szCs w:val="26"/>
        </w:rPr>
        <w:t>FirstEnergy</w:t>
      </w:r>
      <w:r w:rsidRPr="00EE5722">
        <w:rPr>
          <w:i/>
          <w:sz w:val="26"/>
          <w:szCs w:val="26"/>
        </w:rPr>
        <w:t xml:space="preserve"> </w:t>
      </w:r>
      <w:r w:rsidR="007E786D">
        <w:rPr>
          <w:i/>
          <w:sz w:val="26"/>
          <w:szCs w:val="26"/>
        </w:rPr>
        <w:t xml:space="preserve">DSP </w:t>
      </w:r>
      <w:r w:rsidRPr="00EE5722">
        <w:rPr>
          <w:i/>
          <w:sz w:val="26"/>
          <w:szCs w:val="26"/>
        </w:rPr>
        <w:t>Order</w:t>
      </w:r>
      <w:r w:rsidRPr="00EE5722">
        <w:rPr>
          <w:sz w:val="26"/>
          <w:szCs w:val="26"/>
        </w:rPr>
        <w:t xml:space="preserve"> at 150; </w:t>
      </w:r>
      <w:r w:rsidRPr="00EE5722">
        <w:rPr>
          <w:i/>
          <w:sz w:val="26"/>
          <w:szCs w:val="26"/>
        </w:rPr>
        <w:t>PECO Binding Poll</w:t>
      </w:r>
      <w:r w:rsidRPr="00EE5722">
        <w:rPr>
          <w:sz w:val="26"/>
          <w:szCs w:val="26"/>
        </w:rPr>
        <w:t xml:space="preserve">, Issue No. </w:t>
      </w:r>
      <w:r>
        <w:rPr>
          <w:sz w:val="26"/>
          <w:szCs w:val="26"/>
        </w:rPr>
        <w:t xml:space="preserve">20.  However, Duquesne </w:t>
      </w:r>
      <w:r w:rsidRPr="00EE5722">
        <w:rPr>
          <w:sz w:val="26"/>
          <w:szCs w:val="26"/>
        </w:rPr>
        <w:t xml:space="preserve">averred </w:t>
      </w:r>
      <w:r w:rsidR="00EA2357">
        <w:rPr>
          <w:sz w:val="26"/>
          <w:szCs w:val="26"/>
        </w:rPr>
        <w:t xml:space="preserve">that </w:t>
      </w:r>
      <w:r w:rsidRPr="00EE5722">
        <w:rPr>
          <w:sz w:val="26"/>
          <w:szCs w:val="26"/>
        </w:rPr>
        <w:t xml:space="preserve">the facts in this proceeding are distinguishable from the facts in the proceedings involving </w:t>
      </w:r>
      <w:r>
        <w:rPr>
          <w:sz w:val="26"/>
          <w:szCs w:val="26"/>
        </w:rPr>
        <w:t>the FirstEnergy</w:t>
      </w:r>
      <w:r w:rsidRPr="00EE5722">
        <w:rPr>
          <w:sz w:val="26"/>
          <w:szCs w:val="26"/>
        </w:rPr>
        <w:t xml:space="preserve"> Companies and PECO</w:t>
      </w:r>
      <w:r>
        <w:rPr>
          <w:sz w:val="26"/>
          <w:szCs w:val="26"/>
        </w:rPr>
        <w:t>, and contended that</w:t>
      </w:r>
      <w:r w:rsidRPr="00EE5722">
        <w:rPr>
          <w:sz w:val="26"/>
          <w:szCs w:val="26"/>
        </w:rPr>
        <w:t xml:space="preserve"> it should be permitted to impl</w:t>
      </w:r>
      <w:r>
        <w:rPr>
          <w:sz w:val="26"/>
          <w:szCs w:val="26"/>
        </w:rPr>
        <w:t xml:space="preserve">ement a later start date for its SO </w:t>
      </w:r>
      <w:r w:rsidRPr="00EE5722">
        <w:rPr>
          <w:sz w:val="26"/>
          <w:szCs w:val="26"/>
        </w:rPr>
        <w:t>Program.</w:t>
      </w:r>
      <w:r>
        <w:rPr>
          <w:sz w:val="26"/>
          <w:szCs w:val="26"/>
        </w:rPr>
        <w:t xml:space="preserve">  Duquesne St. 3 at 35.</w:t>
      </w:r>
    </w:p>
    <w:p w:rsidR="00E95194" w:rsidRPr="00EE5722" w:rsidRDefault="00E95194" w:rsidP="00E95194">
      <w:pPr>
        <w:pStyle w:val="BodyText2"/>
        <w:spacing w:after="0" w:line="360" w:lineRule="auto"/>
        <w:rPr>
          <w:sz w:val="26"/>
          <w:szCs w:val="26"/>
        </w:rPr>
      </w:pPr>
    </w:p>
    <w:p w:rsidR="00E95194" w:rsidRPr="00F6608D" w:rsidRDefault="00E95194" w:rsidP="007E786D">
      <w:pPr>
        <w:pStyle w:val="BodyText2"/>
        <w:spacing w:after="0" w:line="360" w:lineRule="auto"/>
        <w:rPr>
          <w:sz w:val="26"/>
          <w:szCs w:val="26"/>
        </w:rPr>
      </w:pPr>
      <w:r w:rsidRPr="00EE5722">
        <w:rPr>
          <w:sz w:val="26"/>
          <w:szCs w:val="26"/>
        </w:rPr>
        <w:lastRenderedPageBreak/>
        <w:tab/>
      </w:r>
      <w:r w:rsidRPr="00EE5722">
        <w:rPr>
          <w:sz w:val="26"/>
          <w:szCs w:val="26"/>
        </w:rPr>
        <w:tab/>
        <w:t>Duqu</w:t>
      </w:r>
      <w:r>
        <w:rPr>
          <w:sz w:val="26"/>
          <w:szCs w:val="26"/>
        </w:rPr>
        <w:t>esne averred that</w:t>
      </w:r>
      <w:r w:rsidRPr="00EE5722">
        <w:rPr>
          <w:sz w:val="26"/>
          <w:szCs w:val="26"/>
        </w:rPr>
        <w:t xml:space="preserve"> it cannot feasibly implement the SO Program on June 1, 2013</w:t>
      </w:r>
      <w:r>
        <w:rPr>
          <w:sz w:val="26"/>
          <w:szCs w:val="26"/>
        </w:rPr>
        <w:t>,</w:t>
      </w:r>
      <w:r w:rsidRPr="00EE5722">
        <w:rPr>
          <w:sz w:val="26"/>
          <w:szCs w:val="26"/>
        </w:rPr>
        <w:t xml:space="preserve"> due to significant IT constraints</w:t>
      </w:r>
      <w:r>
        <w:rPr>
          <w:sz w:val="26"/>
          <w:szCs w:val="26"/>
        </w:rPr>
        <w:t>.   S</w:t>
      </w:r>
      <w:r w:rsidRPr="00EE5722">
        <w:rPr>
          <w:sz w:val="26"/>
          <w:szCs w:val="26"/>
        </w:rPr>
        <w:t>pecifically</w:t>
      </w:r>
      <w:r>
        <w:rPr>
          <w:sz w:val="26"/>
          <w:szCs w:val="26"/>
        </w:rPr>
        <w:t xml:space="preserve">, Duquesne </w:t>
      </w:r>
      <w:r w:rsidRPr="00EE5722">
        <w:rPr>
          <w:sz w:val="26"/>
          <w:szCs w:val="26"/>
        </w:rPr>
        <w:t>is implementing a ne</w:t>
      </w:r>
      <w:r>
        <w:rPr>
          <w:sz w:val="26"/>
          <w:szCs w:val="26"/>
        </w:rPr>
        <w:t>w Customer Information System (CIS</w:t>
      </w:r>
      <w:r w:rsidRPr="00EE5722">
        <w:rPr>
          <w:sz w:val="26"/>
          <w:szCs w:val="26"/>
        </w:rPr>
        <w:t xml:space="preserve">) </w:t>
      </w:r>
      <w:r>
        <w:rPr>
          <w:sz w:val="26"/>
          <w:szCs w:val="26"/>
        </w:rPr>
        <w:t xml:space="preserve">that </w:t>
      </w:r>
      <w:r w:rsidRPr="00EE5722">
        <w:rPr>
          <w:sz w:val="26"/>
          <w:szCs w:val="26"/>
        </w:rPr>
        <w:t>will not be completed until the second quarter o</w:t>
      </w:r>
      <w:r>
        <w:rPr>
          <w:sz w:val="26"/>
          <w:szCs w:val="26"/>
        </w:rPr>
        <w:t xml:space="preserve">f 2013.  Duquesne St. 6-R at </w:t>
      </w:r>
      <w:r w:rsidRPr="00EE5722">
        <w:rPr>
          <w:sz w:val="26"/>
          <w:szCs w:val="26"/>
        </w:rPr>
        <w:t>6.  The Company</w:t>
      </w:r>
      <w:r>
        <w:rPr>
          <w:sz w:val="26"/>
          <w:szCs w:val="26"/>
        </w:rPr>
        <w:t xml:space="preserve"> contended</w:t>
      </w:r>
      <w:r w:rsidRPr="00EE5722">
        <w:rPr>
          <w:sz w:val="26"/>
          <w:szCs w:val="26"/>
        </w:rPr>
        <w:t xml:space="preserve"> that the scope of work already planned for replacing the old CIS system does not include the IT development and activities needed to implement the SO Program, which </w:t>
      </w:r>
      <w:r>
        <w:rPr>
          <w:sz w:val="26"/>
          <w:szCs w:val="26"/>
        </w:rPr>
        <w:t>will take an additional nine to twelve</w:t>
      </w:r>
      <w:r w:rsidRPr="00EE5722">
        <w:rPr>
          <w:sz w:val="26"/>
          <w:szCs w:val="26"/>
        </w:rPr>
        <w:t xml:space="preserve"> months from completion of the CIS system in the second quarter of 2013.  Therefore, </w:t>
      </w:r>
      <w:r>
        <w:rPr>
          <w:sz w:val="26"/>
          <w:szCs w:val="26"/>
        </w:rPr>
        <w:t xml:space="preserve">according to Duquesne, </w:t>
      </w:r>
      <w:r w:rsidRPr="00EE5722">
        <w:rPr>
          <w:sz w:val="26"/>
          <w:szCs w:val="26"/>
        </w:rPr>
        <w:t xml:space="preserve">the IT development and testing necessary for the SO Program cannot begin prior to the third quarter of 2013, </w:t>
      </w:r>
      <w:r>
        <w:rPr>
          <w:sz w:val="26"/>
          <w:szCs w:val="26"/>
        </w:rPr>
        <w:t>and will take until</w:t>
      </w:r>
      <w:r w:rsidRPr="00EE5722">
        <w:rPr>
          <w:sz w:val="26"/>
          <w:szCs w:val="26"/>
        </w:rPr>
        <w:t xml:space="preserve"> mid-2014</w:t>
      </w:r>
      <w:r>
        <w:rPr>
          <w:sz w:val="26"/>
          <w:szCs w:val="26"/>
        </w:rPr>
        <w:t xml:space="preserve"> to complete.  Duquesne St. 6-RJ at </w:t>
      </w:r>
      <w:r w:rsidRPr="00EE5722">
        <w:rPr>
          <w:sz w:val="26"/>
          <w:szCs w:val="26"/>
        </w:rPr>
        <w:t>2.</w:t>
      </w:r>
    </w:p>
    <w:p w:rsidR="00E95194" w:rsidRPr="00EE5722" w:rsidRDefault="00E95194" w:rsidP="007E786D">
      <w:pPr>
        <w:pStyle w:val="BodyText2"/>
        <w:spacing w:after="0" w:line="360" w:lineRule="auto"/>
        <w:rPr>
          <w:sz w:val="26"/>
          <w:szCs w:val="26"/>
        </w:rPr>
      </w:pPr>
    </w:p>
    <w:p w:rsidR="00E95194" w:rsidRPr="00265E29" w:rsidRDefault="00E95194" w:rsidP="007E786D">
      <w:pPr>
        <w:pStyle w:val="BodyText2"/>
        <w:spacing w:after="0" w:line="360" w:lineRule="auto"/>
        <w:rPr>
          <w:sz w:val="26"/>
          <w:szCs w:val="26"/>
        </w:rPr>
      </w:pPr>
      <w:r>
        <w:rPr>
          <w:sz w:val="26"/>
          <w:szCs w:val="26"/>
        </w:rPr>
        <w:tab/>
      </w:r>
      <w:r>
        <w:rPr>
          <w:sz w:val="26"/>
          <w:szCs w:val="26"/>
        </w:rPr>
        <w:tab/>
        <w:t xml:space="preserve">Duquesne contended that there are </w:t>
      </w:r>
      <w:r w:rsidRPr="00EE5722">
        <w:rPr>
          <w:sz w:val="26"/>
          <w:szCs w:val="26"/>
        </w:rPr>
        <w:t xml:space="preserve">other policy and economic reasons for implementing the SO Program on June 1, 2014.  First, </w:t>
      </w:r>
      <w:r>
        <w:rPr>
          <w:sz w:val="26"/>
          <w:szCs w:val="26"/>
        </w:rPr>
        <w:t xml:space="preserve">Duquesne stated that implementing the SO </w:t>
      </w:r>
      <w:r w:rsidRPr="00EE5722">
        <w:rPr>
          <w:sz w:val="26"/>
          <w:szCs w:val="26"/>
        </w:rPr>
        <w:t>Pr</w:t>
      </w:r>
      <w:r>
        <w:rPr>
          <w:sz w:val="26"/>
          <w:szCs w:val="26"/>
        </w:rPr>
        <w:t>ogram at the same time as the Opt-In</w:t>
      </w:r>
      <w:r w:rsidRPr="00EE5722">
        <w:rPr>
          <w:sz w:val="26"/>
          <w:szCs w:val="26"/>
        </w:rPr>
        <w:t xml:space="preserve"> Program has the potential to increase the risk premiums included in the whol</w:t>
      </w:r>
      <w:r>
        <w:rPr>
          <w:sz w:val="26"/>
          <w:szCs w:val="26"/>
        </w:rPr>
        <w:t>esale</w:t>
      </w:r>
      <w:r w:rsidR="00B2607D">
        <w:rPr>
          <w:sz w:val="26"/>
          <w:szCs w:val="26"/>
        </w:rPr>
        <w:t xml:space="preserve"> RFP bids.  Duquesne St. 3-R at</w:t>
      </w:r>
      <w:r w:rsidR="00B2607D">
        <w:rPr>
          <w:sz w:val="26"/>
          <w:szCs w:val="26"/>
          <w:lang w:val="en-US"/>
        </w:rPr>
        <w:t> </w:t>
      </w:r>
      <w:r>
        <w:rPr>
          <w:sz w:val="26"/>
          <w:szCs w:val="26"/>
        </w:rPr>
        <w:t xml:space="preserve">51.  Duquesne averred that, if the </w:t>
      </w:r>
      <w:r w:rsidRPr="00EE5722">
        <w:rPr>
          <w:sz w:val="26"/>
          <w:szCs w:val="26"/>
        </w:rPr>
        <w:t xml:space="preserve">Company </w:t>
      </w:r>
      <w:r>
        <w:rPr>
          <w:sz w:val="26"/>
          <w:szCs w:val="26"/>
        </w:rPr>
        <w:t xml:space="preserve">is required </w:t>
      </w:r>
      <w:r w:rsidRPr="00EE5722">
        <w:rPr>
          <w:sz w:val="26"/>
          <w:szCs w:val="26"/>
        </w:rPr>
        <w:t>to implement bo</w:t>
      </w:r>
      <w:r>
        <w:rPr>
          <w:sz w:val="26"/>
          <w:szCs w:val="26"/>
        </w:rPr>
        <w:t xml:space="preserve">th the Opt-In </w:t>
      </w:r>
      <w:r w:rsidRPr="00EE5722">
        <w:rPr>
          <w:sz w:val="26"/>
          <w:szCs w:val="26"/>
        </w:rPr>
        <w:t>and SO Program</w:t>
      </w:r>
      <w:r>
        <w:rPr>
          <w:sz w:val="26"/>
          <w:szCs w:val="26"/>
        </w:rPr>
        <w:t>s</w:t>
      </w:r>
      <w:r w:rsidRPr="00EE5722">
        <w:rPr>
          <w:sz w:val="26"/>
          <w:szCs w:val="26"/>
        </w:rPr>
        <w:t xml:space="preserve"> in the same delivery period covered by default service bids</w:t>
      </w:r>
      <w:r>
        <w:rPr>
          <w:sz w:val="26"/>
          <w:szCs w:val="26"/>
        </w:rPr>
        <w:t xml:space="preserve">, this </w:t>
      </w:r>
      <w:r w:rsidRPr="00EE5722">
        <w:rPr>
          <w:sz w:val="26"/>
          <w:szCs w:val="26"/>
        </w:rPr>
        <w:t xml:space="preserve">would compound the risk to wholesale suppliers that the default customer base will significantly decrease during the delivery period and would create the possibility of increased risk premiums.  </w:t>
      </w:r>
      <w:r>
        <w:rPr>
          <w:sz w:val="26"/>
          <w:szCs w:val="26"/>
        </w:rPr>
        <w:t>Duquesne opined that t</w:t>
      </w:r>
      <w:r w:rsidRPr="00EE5722">
        <w:rPr>
          <w:sz w:val="26"/>
          <w:szCs w:val="26"/>
        </w:rPr>
        <w:t xml:space="preserve">he combination of a fixed-price full requirements solicitation process followed shortly </w:t>
      </w:r>
      <w:r>
        <w:rPr>
          <w:sz w:val="26"/>
          <w:szCs w:val="26"/>
        </w:rPr>
        <w:t>thereafter by an RFP for the Opt-In</w:t>
      </w:r>
      <w:r w:rsidRPr="00EE5722">
        <w:rPr>
          <w:sz w:val="26"/>
          <w:szCs w:val="26"/>
        </w:rPr>
        <w:t xml:space="preserve"> Program and then a</w:t>
      </w:r>
      <w:r w:rsidR="004D6C1C">
        <w:rPr>
          <w:sz w:val="26"/>
          <w:szCs w:val="26"/>
        </w:rPr>
        <w:t>n</w:t>
      </w:r>
      <w:r w:rsidRPr="00EE5722">
        <w:rPr>
          <w:sz w:val="26"/>
          <w:szCs w:val="26"/>
        </w:rPr>
        <w:t xml:space="preserve"> SO Program is unprecedented in electric markets in the</w:t>
      </w:r>
      <w:r>
        <w:rPr>
          <w:sz w:val="26"/>
          <w:szCs w:val="26"/>
        </w:rPr>
        <w:t xml:space="preserve"> United States.  Duquesne St. 3-RJ at 20.</w:t>
      </w:r>
    </w:p>
    <w:p w:rsidR="00E95194" w:rsidRPr="00EE5722" w:rsidRDefault="00E95194" w:rsidP="00E95194">
      <w:pPr>
        <w:pStyle w:val="BodyText2"/>
        <w:spacing w:after="0" w:line="360" w:lineRule="auto"/>
        <w:rPr>
          <w:sz w:val="26"/>
          <w:szCs w:val="26"/>
        </w:rPr>
      </w:pPr>
    </w:p>
    <w:p w:rsidR="00E95194" w:rsidRPr="00F6608D" w:rsidRDefault="00E95194" w:rsidP="007E786D">
      <w:pPr>
        <w:pStyle w:val="BodyText2"/>
        <w:spacing w:after="0" w:line="360" w:lineRule="auto"/>
        <w:rPr>
          <w:sz w:val="26"/>
          <w:szCs w:val="26"/>
        </w:rPr>
      </w:pPr>
      <w:r w:rsidRPr="00EE5722">
        <w:rPr>
          <w:sz w:val="26"/>
          <w:szCs w:val="26"/>
        </w:rPr>
        <w:tab/>
      </w:r>
      <w:r w:rsidRPr="00EE5722">
        <w:rPr>
          <w:sz w:val="26"/>
          <w:szCs w:val="26"/>
        </w:rPr>
        <w:tab/>
      </w:r>
      <w:r>
        <w:rPr>
          <w:sz w:val="26"/>
          <w:szCs w:val="26"/>
        </w:rPr>
        <w:t>Duquesne stated that, i</w:t>
      </w:r>
      <w:r w:rsidRPr="00EE5722">
        <w:rPr>
          <w:sz w:val="26"/>
          <w:szCs w:val="26"/>
        </w:rPr>
        <w:t xml:space="preserve">n addition to customers taking advantage of the two competing RME Programs, </w:t>
      </w:r>
      <w:r>
        <w:rPr>
          <w:sz w:val="26"/>
          <w:szCs w:val="26"/>
        </w:rPr>
        <w:t>other customers could</w:t>
      </w:r>
      <w:r w:rsidRPr="00EE5722">
        <w:rPr>
          <w:sz w:val="26"/>
          <w:szCs w:val="26"/>
        </w:rPr>
        <w:t xml:space="preserve"> be confused </w:t>
      </w:r>
      <w:r>
        <w:rPr>
          <w:sz w:val="26"/>
          <w:szCs w:val="26"/>
        </w:rPr>
        <w:t xml:space="preserve">and question why Duquesne </w:t>
      </w:r>
      <w:r w:rsidRPr="00EE5722">
        <w:rPr>
          <w:sz w:val="26"/>
          <w:szCs w:val="26"/>
        </w:rPr>
        <w:t>is pro</w:t>
      </w:r>
      <w:r>
        <w:rPr>
          <w:sz w:val="26"/>
          <w:szCs w:val="26"/>
        </w:rPr>
        <w:t>moting a five percent</w:t>
      </w:r>
      <w:r w:rsidRPr="00EE5722">
        <w:rPr>
          <w:sz w:val="26"/>
          <w:szCs w:val="26"/>
        </w:rPr>
        <w:t xml:space="preserve"> discount program followed shortly </w:t>
      </w:r>
      <w:r>
        <w:rPr>
          <w:sz w:val="26"/>
          <w:szCs w:val="26"/>
        </w:rPr>
        <w:t>thereafter by a seven percent</w:t>
      </w:r>
      <w:r w:rsidRPr="00EE5722">
        <w:rPr>
          <w:sz w:val="26"/>
          <w:szCs w:val="26"/>
        </w:rPr>
        <w:t xml:space="preserve"> discount program.  For the reasons </w:t>
      </w:r>
      <w:r>
        <w:rPr>
          <w:sz w:val="26"/>
          <w:szCs w:val="26"/>
        </w:rPr>
        <w:t>explained above, Duquesne argued that</w:t>
      </w:r>
      <w:r w:rsidRPr="00EE5722">
        <w:rPr>
          <w:sz w:val="26"/>
          <w:szCs w:val="26"/>
        </w:rPr>
        <w:t xml:space="preserve"> it should be perm</w:t>
      </w:r>
      <w:r>
        <w:rPr>
          <w:sz w:val="26"/>
          <w:szCs w:val="26"/>
        </w:rPr>
        <w:t xml:space="preserve">itted to implement the SO Program on June 1, 2014.  </w:t>
      </w:r>
    </w:p>
    <w:p w:rsidR="00E95194" w:rsidRPr="00EE5722" w:rsidRDefault="00E95194" w:rsidP="00E95194">
      <w:pPr>
        <w:pStyle w:val="BodyText2"/>
        <w:spacing w:after="0" w:line="360" w:lineRule="auto"/>
        <w:rPr>
          <w:sz w:val="26"/>
          <w:szCs w:val="26"/>
        </w:rPr>
      </w:pPr>
    </w:p>
    <w:p w:rsidR="00E95194" w:rsidRPr="003516FD" w:rsidRDefault="00E95194" w:rsidP="00584C88">
      <w:pPr>
        <w:pStyle w:val="Heading5"/>
        <w:numPr>
          <w:ilvl w:val="0"/>
          <w:numId w:val="0"/>
        </w:numPr>
        <w:ind w:left="3600" w:hanging="720"/>
      </w:pPr>
      <w:bookmarkStart w:id="141" w:name="_Toc346705383"/>
      <w:r>
        <w:t>ii.</w:t>
      </w:r>
      <w:r>
        <w:tab/>
        <w:t>Positions of the Parties</w:t>
      </w:r>
      <w:bookmarkEnd w:id="141"/>
    </w:p>
    <w:p w:rsidR="00E95194" w:rsidRPr="00EE5722" w:rsidRDefault="00E95194" w:rsidP="007E786D">
      <w:pPr>
        <w:pStyle w:val="BodyText2"/>
        <w:spacing w:after="0" w:line="360" w:lineRule="auto"/>
        <w:ind w:firstLine="1440"/>
        <w:rPr>
          <w:sz w:val="26"/>
          <w:szCs w:val="26"/>
        </w:rPr>
      </w:pPr>
    </w:p>
    <w:p w:rsidR="00E95194" w:rsidRPr="00A859AF" w:rsidRDefault="00E95194" w:rsidP="00AA38BB">
      <w:pPr>
        <w:pStyle w:val="BodyText2"/>
        <w:spacing w:after="0" w:line="360" w:lineRule="auto"/>
        <w:ind w:firstLine="1440"/>
        <w:rPr>
          <w:sz w:val="26"/>
          <w:szCs w:val="26"/>
        </w:rPr>
      </w:pPr>
      <w:r>
        <w:rPr>
          <w:sz w:val="26"/>
          <w:szCs w:val="26"/>
        </w:rPr>
        <w:t>The OCA supported</w:t>
      </w:r>
      <w:r w:rsidRPr="00EE5722">
        <w:rPr>
          <w:sz w:val="26"/>
          <w:szCs w:val="26"/>
        </w:rPr>
        <w:t xml:space="preserve"> th</w:t>
      </w:r>
      <w:r>
        <w:rPr>
          <w:sz w:val="26"/>
          <w:szCs w:val="26"/>
        </w:rPr>
        <w:t>e Company’s proposed start date</w:t>
      </w:r>
      <w:r w:rsidRPr="00EE5722">
        <w:rPr>
          <w:sz w:val="26"/>
          <w:szCs w:val="26"/>
        </w:rPr>
        <w:t xml:space="preserve"> for a number of reasons.  First, </w:t>
      </w:r>
      <w:r>
        <w:rPr>
          <w:sz w:val="26"/>
          <w:szCs w:val="26"/>
        </w:rPr>
        <w:t>the OCA state</w:t>
      </w:r>
      <w:r w:rsidR="00EA2357">
        <w:rPr>
          <w:sz w:val="26"/>
          <w:szCs w:val="26"/>
        </w:rPr>
        <w:t>d</w:t>
      </w:r>
      <w:r>
        <w:rPr>
          <w:sz w:val="26"/>
          <w:szCs w:val="26"/>
        </w:rPr>
        <w:t xml:space="preserve"> that </w:t>
      </w:r>
      <w:r w:rsidRPr="00EE5722">
        <w:rPr>
          <w:sz w:val="26"/>
          <w:szCs w:val="26"/>
        </w:rPr>
        <w:t>the upgrades that the Company is making to its customer information system are prerequisites to the practical i</w:t>
      </w:r>
      <w:r>
        <w:rPr>
          <w:sz w:val="26"/>
          <w:szCs w:val="26"/>
        </w:rPr>
        <w:t>mplementation of the SO P</w:t>
      </w:r>
      <w:r w:rsidRPr="00EE5722">
        <w:rPr>
          <w:sz w:val="26"/>
          <w:szCs w:val="26"/>
        </w:rPr>
        <w:t>rogram and will not be ready at the start of the nex</w:t>
      </w:r>
      <w:r>
        <w:rPr>
          <w:sz w:val="26"/>
          <w:szCs w:val="26"/>
        </w:rPr>
        <w:t xml:space="preserve">t default service period.  </w:t>
      </w:r>
      <w:r w:rsidRPr="00EE5722">
        <w:rPr>
          <w:sz w:val="26"/>
          <w:szCs w:val="26"/>
        </w:rPr>
        <w:t xml:space="preserve">Second, </w:t>
      </w:r>
      <w:r>
        <w:rPr>
          <w:sz w:val="26"/>
          <w:szCs w:val="26"/>
        </w:rPr>
        <w:t>the OCA expressed concern</w:t>
      </w:r>
      <w:r w:rsidRPr="00EE5722">
        <w:rPr>
          <w:sz w:val="26"/>
          <w:szCs w:val="26"/>
        </w:rPr>
        <w:t xml:space="preserve"> about the impact of the near-simultaneous implementation of bot</w:t>
      </w:r>
      <w:r>
        <w:rPr>
          <w:sz w:val="26"/>
          <w:szCs w:val="26"/>
        </w:rPr>
        <w:t xml:space="preserve">h RME programs.  Therefore, the OCA recommended that the SO </w:t>
      </w:r>
      <w:r w:rsidRPr="00EE5722">
        <w:rPr>
          <w:sz w:val="26"/>
          <w:szCs w:val="26"/>
        </w:rPr>
        <w:t xml:space="preserve">Program </w:t>
      </w:r>
      <w:r w:rsidRPr="00A859AF">
        <w:rPr>
          <w:sz w:val="26"/>
          <w:szCs w:val="26"/>
        </w:rPr>
        <w:t>not</w:t>
      </w:r>
      <w:r w:rsidRPr="00EE5722">
        <w:rPr>
          <w:sz w:val="26"/>
          <w:szCs w:val="26"/>
        </w:rPr>
        <w:t xml:space="preserve"> be implemented at the same time as the Opt-In P</w:t>
      </w:r>
      <w:r>
        <w:rPr>
          <w:sz w:val="26"/>
          <w:szCs w:val="26"/>
        </w:rPr>
        <w:t xml:space="preserve">rogram.  According to the OCA, overlapping programs would </w:t>
      </w:r>
      <w:r w:rsidRPr="00EE5722">
        <w:rPr>
          <w:sz w:val="26"/>
          <w:szCs w:val="26"/>
        </w:rPr>
        <w:t>create significant customer confusion and the potential for adverse comparisons to the prices and terms of service associated with these various options, thus threatening the overall intent to stimulate customer inter</w:t>
      </w:r>
      <w:r>
        <w:rPr>
          <w:sz w:val="26"/>
          <w:szCs w:val="26"/>
        </w:rPr>
        <w:t>est in retail choice.  Accordingly</w:t>
      </w:r>
      <w:r w:rsidRPr="00EE5722">
        <w:rPr>
          <w:sz w:val="26"/>
          <w:szCs w:val="26"/>
        </w:rPr>
        <w:t xml:space="preserve">, the </w:t>
      </w:r>
      <w:r>
        <w:rPr>
          <w:sz w:val="26"/>
          <w:szCs w:val="26"/>
        </w:rPr>
        <w:t xml:space="preserve">OCA argued that the </w:t>
      </w:r>
      <w:r w:rsidRPr="00EE5722">
        <w:rPr>
          <w:sz w:val="26"/>
          <w:szCs w:val="26"/>
        </w:rPr>
        <w:t>Commission should adopt Duquesne’s proposal to delay the imple</w:t>
      </w:r>
      <w:r>
        <w:rPr>
          <w:sz w:val="26"/>
          <w:szCs w:val="26"/>
        </w:rPr>
        <w:t>mentation of the SO P</w:t>
      </w:r>
      <w:r w:rsidRPr="00EE5722">
        <w:rPr>
          <w:sz w:val="26"/>
          <w:szCs w:val="26"/>
        </w:rPr>
        <w:t>rogram until after the Opt-In Progra</w:t>
      </w:r>
      <w:r>
        <w:rPr>
          <w:sz w:val="26"/>
          <w:szCs w:val="26"/>
        </w:rPr>
        <w:t>m to avoid customer confusion.</w:t>
      </w:r>
    </w:p>
    <w:p w:rsidR="00E95194" w:rsidRDefault="00E95194" w:rsidP="00AA38BB">
      <w:pPr>
        <w:pStyle w:val="WBBodyText1"/>
        <w:spacing w:line="360" w:lineRule="auto"/>
        <w:rPr>
          <w:sz w:val="26"/>
          <w:szCs w:val="26"/>
        </w:rPr>
      </w:pPr>
    </w:p>
    <w:p w:rsidR="00E95194" w:rsidRPr="00A859AF" w:rsidRDefault="00E95194" w:rsidP="00AA38BB">
      <w:pPr>
        <w:pStyle w:val="WBBodyText1"/>
        <w:spacing w:line="360" w:lineRule="auto"/>
        <w:ind w:firstLine="1440"/>
        <w:rPr>
          <w:sz w:val="26"/>
          <w:szCs w:val="26"/>
        </w:rPr>
      </w:pPr>
      <w:r w:rsidRPr="00A859AF">
        <w:rPr>
          <w:sz w:val="26"/>
          <w:szCs w:val="26"/>
        </w:rPr>
        <w:t>RESA recommended implementa</w:t>
      </w:r>
      <w:r>
        <w:rPr>
          <w:sz w:val="26"/>
          <w:szCs w:val="26"/>
        </w:rPr>
        <w:t xml:space="preserve">tion of the SO </w:t>
      </w:r>
      <w:r w:rsidRPr="00A859AF">
        <w:rPr>
          <w:sz w:val="26"/>
          <w:szCs w:val="26"/>
        </w:rPr>
        <w:t>Progra</w:t>
      </w:r>
      <w:r>
        <w:rPr>
          <w:sz w:val="26"/>
          <w:szCs w:val="26"/>
        </w:rPr>
        <w:t xml:space="preserve">m by June 1, 2013.  </w:t>
      </w:r>
      <w:r w:rsidRPr="00A859AF">
        <w:rPr>
          <w:sz w:val="26"/>
          <w:szCs w:val="26"/>
        </w:rPr>
        <w:t>RESA contended that Duquesne did not state whether it could push the implementation up approximately three months if it did not include accelerated switch functionality in the scope of the SO Program IT changes.</w:t>
      </w:r>
      <w:r>
        <w:rPr>
          <w:sz w:val="26"/>
          <w:szCs w:val="26"/>
        </w:rPr>
        <w:t xml:space="preserve"> </w:t>
      </w:r>
      <w:r w:rsidRPr="00A859AF">
        <w:rPr>
          <w:sz w:val="26"/>
          <w:szCs w:val="26"/>
        </w:rPr>
        <w:t xml:space="preserve"> RESA argued that Duquesne’s customer service representatives need one piece of information</w:t>
      </w:r>
      <w:r>
        <w:rPr>
          <w:sz w:val="26"/>
          <w:szCs w:val="26"/>
        </w:rPr>
        <w:t xml:space="preserve"> when a customer calls</w:t>
      </w:r>
      <w:r w:rsidRPr="00A859AF">
        <w:rPr>
          <w:sz w:val="26"/>
          <w:szCs w:val="26"/>
        </w:rPr>
        <w:t>, which Duquesn</w:t>
      </w:r>
      <w:r>
        <w:rPr>
          <w:sz w:val="26"/>
          <w:szCs w:val="26"/>
        </w:rPr>
        <w:t>e presumably would have on hand: whether or not a</w:t>
      </w:r>
      <w:r w:rsidRPr="00A859AF">
        <w:rPr>
          <w:sz w:val="26"/>
          <w:szCs w:val="26"/>
        </w:rPr>
        <w:t xml:space="preserve"> customer is a default service customer.  RESA argued that the f</w:t>
      </w:r>
      <w:r>
        <w:rPr>
          <w:sz w:val="26"/>
          <w:szCs w:val="26"/>
        </w:rPr>
        <w:t>ocus should be on starting the SO P</w:t>
      </w:r>
      <w:r w:rsidRPr="00A859AF">
        <w:rPr>
          <w:sz w:val="26"/>
          <w:szCs w:val="26"/>
        </w:rPr>
        <w:t>rogram as soon as possible and adding enhancements when they are available.</w:t>
      </w:r>
    </w:p>
    <w:p w:rsidR="00E95194" w:rsidRPr="00EE5722" w:rsidRDefault="00E95194" w:rsidP="00AA38BB">
      <w:pPr>
        <w:pStyle w:val="WBBodyText1"/>
        <w:spacing w:line="360" w:lineRule="auto"/>
        <w:rPr>
          <w:sz w:val="26"/>
          <w:szCs w:val="26"/>
        </w:rPr>
      </w:pPr>
    </w:p>
    <w:p w:rsidR="00E95194" w:rsidRPr="00A859AF" w:rsidRDefault="00E95194" w:rsidP="00AA38BB">
      <w:pPr>
        <w:pStyle w:val="WBBodyText1"/>
        <w:tabs>
          <w:tab w:val="left" w:pos="720"/>
        </w:tabs>
        <w:spacing w:line="360" w:lineRule="auto"/>
        <w:ind w:firstLine="0"/>
        <w:rPr>
          <w:sz w:val="26"/>
          <w:szCs w:val="26"/>
        </w:rPr>
      </w:pPr>
      <w:r w:rsidRPr="00EE5722">
        <w:rPr>
          <w:bCs/>
          <w:sz w:val="26"/>
          <w:szCs w:val="26"/>
        </w:rPr>
        <w:tab/>
      </w:r>
      <w:r w:rsidRPr="00EE5722">
        <w:rPr>
          <w:bCs/>
          <w:sz w:val="26"/>
          <w:szCs w:val="26"/>
        </w:rPr>
        <w:tab/>
      </w:r>
      <w:r w:rsidRPr="00A859AF">
        <w:rPr>
          <w:sz w:val="26"/>
          <w:szCs w:val="26"/>
        </w:rPr>
        <w:t xml:space="preserve">RESA contended that there is no </w:t>
      </w:r>
      <w:r>
        <w:rPr>
          <w:sz w:val="26"/>
          <w:szCs w:val="26"/>
        </w:rPr>
        <w:t xml:space="preserve">convincing evidence that </w:t>
      </w:r>
      <w:r w:rsidRPr="00A859AF">
        <w:rPr>
          <w:sz w:val="26"/>
          <w:szCs w:val="26"/>
        </w:rPr>
        <w:t xml:space="preserve">migration as a result of either the Opt-In Program or the SO Program </w:t>
      </w:r>
      <w:r w:rsidR="00EA2357">
        <w:rPr>
          <w:sz w:val="26"/>
          <w:szCs w:val="26"/>
        </w:rPr>
        <w:t>would</w:t>
      </w:r>
      <w:r w:rsidRPr="00A859AF">
        <w:rPr>
          <w:sz w:val="26"/>
          <w:szCs w:val="26"/>
        </w:rPr>
        <w:t xml:space="preserve"> be either material or sufficiently difficult to model that it will have a material impact on wholesale bidding </w:t>
      </w:r>
      <w:r w:rsidRPr="00A859AF">
        <w:rPr>
          <w:sz w:val="26"/>
          <w:szCs w:val="26"/>
        </w:rPr>
        <w:lastRenderedPageBreak/>
        <w:t>behavior.  RESA further contended that rolling out the two RME programs simultaneously would not result in customer confusion, as these are two different programs, both of which should be accompanied by substantial consumer education efforts via different channels.  RESA St. 2 at 17. RESA argued that, even if</w:t>
      </w:r>
      <w:r>
        <w:rPr>
          <w:sz w:val="26"/>
          <w:szCs w:val="26"/>
        </w:rPr>
        <w:t xml:space="preserve"> customer confusion exists, the</w:t>
      </w:r>
      <w:r w:rsidRPr="00A859AF">
        <w:rPr>
          <w:sz w:val="26"/>
          <w:szCs w:val="26"/>
        </w:rPr>
        <w:t xml:space="preserve"> possibility of confusion would be mitigated if the SO and Opt-In Programs were constructed in a consistent fashion as RESA recommended.  </w:t>
      </w:r>
      <w:r>
        <w:rPr>
          <w:sz w:val="26"/>
          <w:szCs w:val="26"/>
        </w:rPr>
        <w:t xml:space="preserve"> </w:t>
      </w:r>
      <w:r w:rsidRPr="00F676B1">
        <w:rPr>
          <w:i/>
          <w:sz w:val="26"/>
          <w:szCs w:val="26"/>
        </w:rPr>
        <w:t>Id</w:t>
      </w:r>
      <w:r>
        <w:rPr>
          <w:sz w:val="26"/>
          <w:szCs w:val="26"/>
        </w:rPr>
        <w:t xml:space="preserve">. </w:t>
      </w:r>
      <w:r w:rsidRPr="00A859AF">
        <w:rPr>
          <w:sz w:val="26"/>
          <w:szCs w:val="26"/>
        </w:rPr>
        <w:t>at 23.</w:t>
      </w:r>
    </w:p>
    <w:p w:rsidR="00E95194" w:rsidRPr="00EE5722" w:rsidRDefault="00E95194" w:rsidP="00AA38BB">
      <w:pPr>
        <w:pStyle w:val="WBBodyText1"/>
        <w:spacing w:line="360" w:lineRule="auto"/>
        <w:rPr>
          <w:sz w:val="26"/>
          <w:szCs w:val="26"/>
        </w:rPr>
      </w:pPr>
    </w:p>
    <w:p w:rsidR="00E95194" w:rsidRPr="00EE5722" w:rsidRDefault="00E95194" w:rsidP="00E95194">
      <w:pPr>
        <w:pStyle w:val="WBBodyText1"/>
        <w:tabs>
          <w:tab w:val="left" w:pos="720"/>
        </w:tabs>
        <w:spacing w:line="360" w:lineRule="auto"/>
        <w:rPr>
          <w:sz w:val="26"/>
          <w:szCs w:val="26"/>
        </w:rPr>
      </w:pPr>
      <w:r w:rsidRPr="00EE5722">
        <w:rPr>
          <w:bCs/>
          <w:sz w:val="26"/>
          <w:szCs w:val="26"/>
        </w:rPr>
        <w:tab/>
      </w:r>
      <w:r>
        <w:rPr>
          <w:bCs/>
          <w:sz w:val="26"/>
          <w:szCs w:val="26"/>
        </w:rPr>
        <w:t>RESA averred</w:t>
      </w:r>
      <w:r w:rsidRPr="0093272E">
        <w:rPr>
          <w:bCs/>
          <w:sz w:val="26"/>
          <w:szCs w:val="26"/>
        </w:rPr>
        <w:t xml:space="preserve"> that,</w:t>
      </w:r>
      <w:r w:rsidRPr="0093272E">
        <w:rPr>
          <w:sz w:val="26"/>
          <w:szCs w:val="26"/>
        </w:rPr>
        <w:t xml:space="preserve"> if done according to Duquesne’s proposal, the Opt-In Program would be over and done with by July 1, 2013.  Even if o</w:t>
      </w:r>
      <w:r>
        <w:rPr>
          <w:sz w:val="26"/>
          <w:szCs w:val="26"/>
        </w:rPr>
        <w:t xml:space="preserve">ne could make the case that there will be some </w:t>
      </w:r>
      <w:r w:rsidRPr="0093272E">
        <w:rPr>
          <w:sz w:val="26"/>
          <w:szCs w:val="26"/>
        </w:rPr>
        <w:t>confusion between the two programs, R</w:t>
      </w:r>
      <w:r>
        <w:rPr>
          <w:sz w:val="26"/>
          <w:szCs w:val="26"/>
        </w:rPr>
        <w:t xml:space="preserve">ESA objected to </w:t>
      </w:r>
      <w:r w:rsidRPr="0093272E">
        <w:rPr>
          <w:sz w:val="26"/>
          <w:szCs w:val="26"/>
        </w:rPr>
        <w:t>delay</w:t>
      </w:r>
      <w:r>
        <w:rPr>
          <w:sz w:val="26"/>
          <w:szCs w:val="26"/>
        </w:rPr>
        <w:t xml:space="preserve">ing </w:t>
      </w:r>
      <w:r w:rsidRPr="0093272E">
        <w:rPr>
          <w:sz w:val="26"/>
          <w:szCs w:val="26"/>
        </w:rPr>
        <w:t>the SO Program</w:t>
      </w:r>
      <w:r>
        <w:rPr>
          <w:sz w:val="26"/>
          <w:szCs w:val="26"/>
        </w:rPr>
        <w:t xml:space="preserve"> an additional eleven months beyond the end of the Opt-In Program</w:t>
      </w:r>
      <w:r w:rsidRPr="00EE5722">
        <w:rPr>
          <w:sz w:val="26"/>
          <w:szCs w:val="26"/>
        </w:rPr>
        <w:t>.</w:t>
      </w:r>
    </w:p>
    <w:p w:rsidR="00E95194" w:rsidRPr="00EE5722" w:rsidRDefault="00E95194" w:rsidP="00E95194">
      <w:pPr>
        <w:pStyle w:val="WBBodyText1"/>
        <w:spacing w:line="360" w:lineRule="auto"/>
        <w:rPr>
          <w:sz w:val="26"/>
          <w:szCs w:val="26"/>
        </w:rPr>
      </w:pPr>
    </w:p>
    <w:p w:rsidR="00E95194" w:rsidRPr="0093272E" w:rsidRDefault="00E95194" w:rsidP="00AA38BB">
      <w:pPr>
        <w:pStyle w:val="WBBodyText1"/>
        <w:spacing w:line="360" w:lineRule="auto"/>
        <w:rPr>
          <w:sz w:val="26"/>
          <w:szCs w:val="26"/>
        </w:rPr>
      </w:pPr>
      <w:r w:rsidRPr="00EE5722">
        <w:rPr>
          <w:bCs/>
          <w:sz w:val="26"/>
          <w:szCs w:val="26"/>
        </w:rPr>
        <w:tab/>
      </w:r>
      <w:r w:rsidRPr="0093272E">
        <w:rPr>
          <w:sz w:val="26"/>
          <w:szCs w:val="26"/>
        </w:rPr>
        <w:t xml:space="preserve">CAUSE fully supported the delayed implementation of the SO Program.  </w:t>
      </w:r>
      <w:r>
        <w:rPr>
          <w:sz w:val="26"/>
          <w:szCs w:val="26"/>
        </w:rPr>
        <w:t xml:space="preserve">According to CAUSE, </w:t>
      </w:r>
      <w:r w:rsidRPr="0093272E">
        <w:rPr>
          <w:sz w:val="26"/>
          <w:szCs w:val="26"/>
        </w:rPr>
        <w:t xml:space="preserve">Duquesne put forth compelling reasons why the start date should be delayed.  </w:t>
      </w:r>
      <w:r>
        <w:rPr>
          <w:sz w:val="26"/>
          <w:szCs w:val="26"/>
        </w:rPr>
        <w:t>M</w:t>
      </w:r>
      <w:r w:rsidRPr="0093272E">
        <w:rPr>
          <w:sz w:val="26"/>
          <w:szCs w:val="26"/>
        </w:rPr>
        <w:t>ost significantly, CAUSE supported Duquesne’s sequencing approach in order to avoid customer confusion concerning concurrent operation of the two RME programs.</w:t>
      </w:r>
    </w:p>
    <w:p w:rsidR="00E95194" w:rsidRDefault="00E95194" w:rsidP="00AA38BB">
      <w:pPr>
        <w:pStyle w:val="BriefL3"/>
        <w:numPr>
          <w:ilvl w:val="0"/>
          <w:numId w:val="0"/>
        </w:numPr>
        <w:spacing w:after="0" w:line="360" w:lineRule="auto"/>
        <w:ind w:firstLine="1440"/>
        <w:outlineLvl w:val="9"/>
        <w:rPr>
          <w:sz w:val="26"/>
          <w:szCs w:val="26"/>
        </w:rPr>
      </w:pPr>
    </w:p>
    <w:p w:rsidR="00E95194" w:rsidRDefault="00E95194" w:rsidP="00AA38BB">
      <w:pPr>
        <w:spacing w:line="360" w:lineRule="auto"/>
        <w:ind w:firstLine="1440"/>
        <w:rPr>
          <w:sz w:val="26"/>
          <w:szCs w:val="26"/>
        </w:rPr>
      </w:pPr>
      <w:r>
        <w:rPr>
          <w:sz w:val="26"/>
          <w:szCs w:val="26"/>
        </w:rPr>
        <w:t>Citizen Power agreed that</w:t>
      </w:r>
      <w:r w:rsidRPr="00EE5722">
        <w:rPr>
          <w:sz w:val="26"/>
          <w:szCs w:val="26"/>
        </w:rPr>
        <w:t xml:space="preserve"> the June 1, 2014</w:t>
      </w:r>
      <w:r>
        <w:rPr>
          <w:sz w:val="26"/>
          <w:szCs w:val="26"/>
        </w:rPr>
        <w:t>,</w:t>
      </w:r>
      <w:r w:rsidRPr="00EE5722">
        <w:rPr>
          <w:sz w:val="26"/>
          <w:szCs w:val="26"/>
        </w:rPr>
        <w:t xml:space="preserve"> start date propo</w:t>
      </w:r>
      <w:r>
        <w:rPr>
          <w:sz w:val="26"/>
          <w:szCs w:val="26"/>
        </w:rPr>
        <w:t xml:space="preserve">sed by Duquesne </w:t>
      </w:r>
      <w:r w:rsidRPr="00EE5722">
        <w:rPr>
          <w:sz w:val="26"/>
          <w:szCs w:val="26"/>
        </w:rPr>
        <w:t>is appropriate given the benefit of running this program separately from the Opt-In Progr</w:t>
      </w:r>
      <w:r>
        <w:rPr>
          <w:sz w:val="26"/>
          <w:szCs w:val="26"/>
        </w:rPr>
        <w:t xml:space="preserve">am.  More importantly, </w:t>
      </w:r>
      <w:r w:rsidRPr="00EE5722">
        <w:rPr>
          <w:sz w:val="26"/>
          <w:szCs w:val="26"/>
        </w:rPr>
        <w:t>the significant increase in PJM capaci</w:t>
      </w:r>
      <w:r>
        <w:rPr>
          <w:sz w:val="26"/>
          <w:szCs w:val="26"/>
        </w:rPr>
        <w:t xml:space="preserve">ty prices on June 1, 2014, </w:t>
      </w:r>
      <w:r w:rsidRPr="00EE5722">
        <w:rPr>
          <w:sz w:val="26"/>
          <w:szCs w:val="26"/>
        </w:rPr>
        <w:t>could price the standard offer at such a discount r</w:t>
      </w:r>
      <w:r>
        <w:rPr>
          <w:sz w:val="26"/>
          <w:szCs w:val="26"/>
        </w:rPr>
        <w:t>elative to the PTC that EGSs would be</w:t>
      </w:r>
      <w:r w:rsidRPr="00EE5722">
        <w:rPr>
          <w:sz w:val="26"/>
          <w:szCs w:val="26"/>
        </w:rPr>
        <w:t xml:space="preserve"> discouraged from part</w:t>
      </w:r>
      <w:r>
        <w:rPr>
          <w:sz w:val="26"/>
          <w:szCs w:val="26"/>
        </w:rPr>
        <w:t>icipating in the SO P</w:t>
      </w:r>
      <w:r w:rsidRPr="00EE5722">
        <w:rPr>
          <w:sz w:val="26"/>
          <w:szCs w:val="26"/>
        </w:rPr>
        <w:t>rogram</w:t>
      </w:r>
      <w:r>
        <w:rPr>
          <w:sz w:val="26"/>
          <w:szCs w:val="26"/>
        </w:rPr>
        <w:t>.</w:t>
      </w:r>
    </w:p>
    <w:p w:rsidR="00E95194" w:rsidRDefault="00E95194" w:rsidP="00AA38BB">
      <w:pPr>
        <w:spacing w:line="360" w:lineRule="auto"/>
        <w:ind w:firstLine="1440"/>
        <w:rPr>
          <w:sz w:val="26"/>
          <w:szCs w:val="26"/>
        </w:rPr>
      </w:pPr>
    </w:p>
    <w:p w:rsidR="00E95194" w:rsidRDefault="00E95194" w:rsidP="00AA38BB">
      <w:pPr>
        <w:pStyle w:val="BriefL3"/>
        <w:numPr>
          <w:ilvl w:val="0"/>
          <w:numId w:val="0"/>
        </w:numPr>
        <w:spacing w:after="0" w:line="360" w:lineRule="auto"/>
        <w:ind w:firstLine="1440"/>
        <w:outlineLvl w:val="9"/>
        <w:rPr>
          <w:sz w:val="26"/>
          <w:szCs w:val="26"/>
        </w:rPr>
      </w:pPr>
      <w:r>
        <w:rPr>
          <w:sz w:val="26"/>
          <w:szCs w:val="26"/>
        </w:rPr>
        <w:t xml:space="preserve">FES did not agree that </w:t>
      </w:r>
      <w:r w:rsidRPr="00EE5722">
        <w:rPr>
          <w:sz w:val="26"/>
          <w:szCs w:val="26"/>
        </w:rPr>
        <w:t xml:space="preserve">the lack of accelerated switching capability should delay the implementation of the </w:t>
      </w:r>
      <w:r>
        <w:rPr>
          <w:sz w:val="26"/>
          <w:szCs w:val="26"/>
        </w:rPr>
        <w:t xml:space="preserve">SO </w:t>
      </w:r>
      <w:r w:rsidRPr="00EE5722">
        <w:rPr>
          <w:sz w:val="26"/>
          <w:szCs w:val="26"/>
        </w:rPr>
        <w:t xml:space="preserve">Program.  First, the </w:t>
      </w:r>
      <w:r>
        <w:rPr>
          <w:i/>
          <w:sz w:val="26"/>
          <w:szCs w:val="26"/>
        </w:rPr>
        <w:t>FirstEnergy</w:t>
      </w:r>
      <w:r w:rsidRPr="00EE5722">
        <w:rPr>
          <w:i/>
          <w:sz w:val="26"/>
          <w:szCs w:val="26"/>
        </w:rPr>
        <w:t xml:space="preserve"> DSP Order</w:t>
      </w:r>
      <w:r w:rsidRPr="00EE5722">
        <w:rPr>
          <w:sz w:val="26"/>
          <w:szCs w:val="26"/>
        </w:rPr>
        <w:t xml:space="preserve"> and </w:t>
      </w:r>
      <w:r w:rsidRPr="00EE5722">
        <w:rPr>
          <w:i/>
          <w:sz w:val="26"/>
          <w:szCs w:val="26"/>
        </w:rPr>
        <w:t>PECO Binding Poll</w:t>
      </w:r>
      <w:r>
        <w:rPr>
          <w:sz w:val="26"/>
          <w:szCs w:val="26"/>
        </w:rPr>
        <w:t xml:space="preserve"> directed that the referral p</w:t>
      </w:r>
      <w:r w:rsidRPr="00EE5722">
        <w:rPr>
          <w:sz w:val="26"/>
          <w:szCs w:val="26"/>
        </w:rPr>
        <w:t>rogram</w:t>
      </w:r>
      <w:r>
        <w:rPr>
          <w:sz w:val="26"/>
          <w:szCs w:val="26"/>
        </w:rPr>
        <w:t xml:space="preserve">s </w:t>
      </w:r>
      <w:r w:rsidRPr="00EE5722">
        <w:rPr>
          <w:sz w:val="26"/>
          <w:szCs w:val="26"/>
        </w:rPr>
        <w:t xml:space="preserve">begin on June 1, 2013.  </w:t>
      </w:r>
      <w:r>
        <w:rPr>
          <w:sz w:val="26"/>
          <w:szCs w:val="26"/>
        </w:rPr>
        <w:t>FES asserted that c</w:t>
      </w:r>
      <w:r w:rsidRPr="00EE5722">
        <w:rPr>
          <w:sz w:val="26"/>
          <w:szCs w:val="26"/>
        </w:rPr>
        <w:t>ustomers currently</w:t>
      </w:r>
      <w:r>
        <w:rPr>
          <w:sz w:val="26"/>
          <w:szCs w:val="26"/>
        </w:rPr>
        <w:t xml:space="preserve"> are </w:t>
      </w:r>
      <w:r w:rsidRPr="00EE5722">
        <w:rPr>
          <w:sz w:val="26"/>
          <w:szCs w:val="26"/>
        </w:rPr>
        <w:t>being switched to EG</w:t>
      </w:r>
      <w:r>
        <w:rPr>
          <w:sz w:val="26"/>
          <w:szCs w:val="26"/>
        </w:rPr>
        <w:t>S service without Duquesne</w:t>
      </w:r>
      <w:r w:rsidRPr="00EE5722">
        <w:rPr>
          <w:sz w:val="26"/>
          <w:szCs w:val="26"/>
        </w:rPr>
        <w:t>’s having such capability</w:t>
      </w:r>
      <w:r>
        <w:rPr>
          <w:sz w:val="26"/>
          <w:szCs w:val="26"/>
        </w:rPr>
        <w:t>,</w:t>
      </w:r>
      <w:r w:rsidRPr="00EE5722">
        <w:rPr>
          <w:sz w:val="26"/>
          <w:szCs w:val="26"/>
        </w:rPr>
        <w:t xml:space="preserve"> and the current system should be able to accommodate switches </w:t>
      </w:r>
      <w:r w:rsidRPr="00EE5722">
        <w:rPr>
          <w:sz w:val="26"/>
          <w:szCs w:val="26"/>
        </w:rPr>
        <w:lastRenderedPageBreak/>
        <w:t xml:space="preserve">through the </w:t>
      </w:r>
      <w:r>
        <w:rPr>
          <w:sz w:val="26"/>
          <w:szCs w:val="26"/>
        </w:rPr>
        <w:t xml:space="preserve">SO </w:t>
      </w:r>
      <w:r w:rsidRPr="00EE5722">
        <w:rPr>
          <w:sz w:val="26"/>
          <w:szCs w:val="26"/>
        </w:rPr>
        <w:t xml:space="preserve">Program.  Further, </w:t>
      </w:r>
      <w:r>
        <w:rPr>
          <w:sz w:val="26"/>
          <w:szCs w:val="26"/>
        </w:rPr>
        <w:t>a</w:t>
      </w:r>
      <w:r w:rsidRPr="00EE5722">
        <w:rPr>
          <w:sz w:val="26"/>
          <w:szCs w:val="26"/>
        </w:rPr>
        <w:t>s a whol</w:t>
      </w:r>
      <w:r>
        <w:rPr>
          <w:sz w:val="26"/>
          <w:szCs w:val="26"/>
        </w:rPr>
        <w:t>esale supplier in Duquesne’s territory, FES saw no validity to Duquesne</w:t>
      </w:r>
      <w:r w:rsidRPr="00EE5722">
        <w:rPr>
          <w:sz w:val="26"/>
          <w:szCs w:val="26"/>
        </w:rPr>
        <w:t xml:space="preserve">’s concern about any potential impact on wholesale supplier </w:t>
      </w:r>
      <w:r>
        <w:rPr>
          <w:sz w:val="26"/>
          <w:szCs w:val="26"/>
        </w:rPr>
        <w:t xml:space="preserve">risk premiums if Duquesne </w:t>
      </w:r>
      <w:r w:rsidRPr="00EE5722">
        <w:rPr>
          <w:sz w:val="26"/>
          <w:szCs w:val="26"/>
        </w:rPr>
        <w:t xml:space="preserve">were to implement its </w:t>
      </w:r>
      <w:r>
        <w:rPr>
          <w:sz w:val="26"/>
          <w:szCs w:val="26"/>
        </w:rPr>
        <w:t xml:space="preserve">SO </w:t>
      </w:r>
      <w:r w:rsidRPr="00EE5722">
        <w:rPr>
          <w:sz w:val="26"/>
          <w:szCs w:val="26"/>
        </w:rPr>
        <w:t>Program in June 2013, concurrent with the start of</w:t>
      </w:r>
      <w:r>
        <w:rPr>
          <w:sz w:val="26"/>
          <w:szCs w:val="26"/>
        </w:rPr>
        <w:t xml:space="preserve"> its </w:t>
      </w:r>
      <w:r w:rsidR="00505609">
        <w:rPr>
          <w:sz w:val="26"/>
          <w:szCs w:val="26"/>
        </w:rPr>
        <w:t>DSP</w:t>
      </w:r>
      <w:r>
        <w:rPr>
          <w:sz w:val="26"/>
          <w:szCs w:val="26"/>
        </w:rPr>
        <w:t xml:space="preserve"> VI plan.  FES St. </w:t>
      </w:r>
      <w:r w:rsidRPr="00EE5722">
        <w:rPr>
          <w:sz w:val="26"/>
          <w:szCs w:val="26"/>
        </w:rPr>
        <w:t>1 at 15</w:t>
      </w:r>
      <w:r w:rsidRPr="00EE5722">
        <w:rPr>
          <w:sz w:val="26"/>
          <w:szCs w:val="26"/>
        </w:rPr>
        <w:noBreakHyphen/>
        <w:t>16.</w:t>
      </w:r>
    </w:p>
    <w:p w:rsidR="00E95194" w:rsidRDefault="00E95194" w:rsidP="00AA38BB">
      <w:pPr>
        <w:pStyle w:val="BriefL3"/>
        <w:numPr>
          <w:ilvl w:val="0"/>
          <w:numId w:val="0"/>
        </w:numPr>
        <w:spacing w:after="0" w:line="360" w:lineRule="auto"/>
        <w:ind w:firstLine="1440"/>
        <w:outlineLvl w:val="9"/>
        <w:rPr>
          <w:sz w:val="26"/>
          <w:szCs w:val="26"/>
        </w:rPr>
      </w:pPr>
    </w:p>
    <w:p w:rsidR="00E95194" w:rsidRDefault="00E95194" w:rsidP="00AA38BB">
      <w:pPr>
        <w:pStyle w:val="BriefL3"/>
        <w:numPr>
          <w:ilvl w:val="0"/>
          <w:numId w:val="0"/>
        </w:numPr>
        <w:spacing w:after="0" w:line="360" w:lineRule="auto"/>
        <w:ind w:firstLine="1440"/>
        <w:outlineLvl w:val="9"/>
        <w:rPr>
          <w:sz w:val="26"/>
          <w:szCs w:val="26"/>
        </w:rPr>
      </w:pPr>
      <w:r>
        <w:rPr>
          <w:sz w:val="26"/>
          <w:szCs w:val="26"/>
        </w:rPr>
        <w:t>The OSBA, DII, Dominion and Constellation took no position on this issue.</w:t>
      </w:r>
    </w:p>
    <w:p w:rsidR="00E95194" w:rsidRPr="00473A03" w:rsidRDefault="00E95194" w:rsidP="00AA38BB">
      <w:pPr>
        <w:pStyle w:val="BriefL3"/>
        <w:numPr>
          <w:ilvl w:val="0"/>
          <w:numId w:val="0"/>
        </w:numPr>
        <w:spacing w:after="0" w:line="360" w:lineRule="auto"/>
        <w:ind w:firstLine="1440"/>
        <w:outlineLvl w:val="9"/>
        <w:rPr>
          <w:sz w:val="26"/>
          <w:szCs w:val="26"/>
        </w:rPr>
      </w:pPr>
    </w:p>
    <w:p w:rsidR="00E95194" w:rsidRPr="00EE5722" w:rsidRDefault="00E95194" w:rsidP="00584C88">
      <w:pPr>
        <w:pStyle w:val="Heading5"/>
        <w:numPr>
          <w:ilvl w:val="0"/>
          <w:numId w:val="0"/>
        </w:numPr>
        <w:ind w:left="3600" w:hanging="720"/>
      </w:pPr>
      <w:bookmarkStart w:id="142" w:name="_Toc346705384"/>
      <w:r>
        <w:t>iii.</w:t>
      </w:r>
      <w:r>
        <w:tab/>
        <w:t xml:space="preserve">ALJ’s </w:t>
      </w:r>
      <w:r w:rsidR="00AA38BB">
        <w:t>Recommendation</w:t>
      </w:r>
      <w:bookmarkEnd w:id="142"/>
      <w:r w:rsidR="00AA38BB">
        <w:t xml:space="preserve"> </w:t>
      </w:r>
    </w:p>
    <w:p w:rsidR="00E95194" w:rsidRPr="00EE5722" w:rsidRDefault="00E95194" w:rsidP="00AA38BB">
      <w:pPr>
        <w:pStyle w:val="BodyText"/>
        <w:spacing w:after="0" w:line="360" w:lineRule="auto"/>
        <w:ind w:left="0" w:firstLine="0"/>
        <w:rPr>
          <w:sz w:val="26"/>
          <w:szCs w:val="26"/>
        </w:rPr>
      </w:pPr>
    </w:p>
    <w:p w:rsidR="00E95194" w:rsidRDefault="00E95194" w:rsidP="00AA38BB">
      <w:pPr>
        <w:pStyle w:val="WBBodyText1"/>
        <w:spacing w:line="360" w:lineRule="auto"/>
        <w:ind w:firstLine="1440"/>
        <w:rPr>
          <w:color w:val="000000" w:themeColor="text1"/>
          <w:sz w:val="26"/>
          <w:szCs w:val="26"/>
        </w:rPr>
      </w:pPr>
      <w:r w:rsidRPr="00031963">
        <w:rPr>
          <w:color w:val="000000" w:themeColor="text1"/>
          <w:sz w:val="26"/>
          <w:szCs w:val="26"/>
        </w:rPr>
        <w:t>The ALJ recommended approving</w:t>
      </w:r>
      <w:r>
        <w:rPr>
          <w:color w:val="000000" w:themeColor="text1"/>
          <w:sz w:val="26"/>
          <w:szCs w:val="26"/>
        </w:rPr>
        <w:t xml:space="preserve"> Duquesne’s proposal to start the SO Program on</w:t>
      </w:r>
      <w:r w:rsidRPr="00031963">
        <w:rPr>
          <w:color w:val="000000" w:themeColor="text1"/>
          <w:sz w:val="26"/>
          <w:szCs w:val="26"/>
        </w:rPr>
        <w:t xml:space="preserve"> June 1, 2014.  </w:t>
      </w:r>
      <w:r>
        <w:rPr>
          <w:color w:val="000000" w:themeColor="text1"/>
          <w:sz w:val="26"/>
          <w:szCs w:val="26"/>
        </w:rPr>
        <w:t xml:space="preserve">The ALJ found that </w:t>
      </w:r>
      <w:r w:rsidRPr="00031963">
        <w:rPr>
          <w:color w:val="000000" w:themeColor="text1"/>
          <w:sz w:val="26"/>
          <w:szCs w:val="26"/>
        </w:rPr>
        <w:t xml:space="preserve">Duquesne cannot feasibly implement the SO Program on June 1, 2013, due to </w:t>
      </w:r>
      <w:r>
        <w:rPr>
          <w:color w:val="000000" w:themeColor="text1"/>
          <w:sz w:val="26"/>
          <w:szCs w:val="26"/>
        </w:rPr>
        <w:t>significant IT constraints that</w:t>
      </w:r>
      <w:r w:rsidRPr="00031963">
        <w:rPr>
          <w:color w:val="000000" w:themeColor="text1"/>
          <w:sz w:val="26"/>
          <w:szCs w:val="26"/>
        </w:rPr>
        <w:t xml:space="preserve"> are well-documented in the hearing record.  </w:t>
      </w:r>
      <w:r>
        <w:rPr>
          <w:color w:val="000000" w:themeColor="text1"/>
          <w:sz w:val="26"/>
          <w:szCs w:val="26"/>
        </w:rPr>
        <w:t>According to the ALJ, t</w:t>
      </w:r>
      <w:r w:rsidRPr="00031963">
        <w:rPr>
          <w:color w:val="000000" w:themeColor="text1"/>
          <w:sz w:val="26"/>
          <w:szCs w:val="26"/>
        </w:rPr>
        <w:t>he proposed start-up date reflects the Company’s implementation of its new CIS and the new functionalities that will be available at that time.  The ALJ agreed with the Company and the OCA that the SO Program should not be implemented at the same time as the Opt-In Program because doing so likely would create significant customer confusion and the potential for adverse comparisons to the prices and terms of service associated with these various options.   Therefore, the ALJ agreed that the Company should be permitted to delay the implementation of the SO Program until after the Opt-In Program in orde</w:t>
      </w:r>
      <w:r>
        <w:rPr>
          <w:color w:val="000000" w:themeColor="text1"/>
          <w:sz w:val="26"/>
          <w:szCs w:val="26"/>
        </w:rPr>
        <w:t xml:space="preserve">r to avoid customer confusion. </w:t>
      </w:r>
      <w:r w:rsidR="00AA38BB">
        <w:rPr>
          <w:color w:val="000000" w:themeColor="text1"/>
          <w:sz w:val="26"/>
          <w:szCs w:val="26"/>
        </w:rPr>
        <w:t xml:space="preserve"> R.D. at 128-129.</w:t>
      </w:r>
    </w:p>
    <w:p w:rsidR="00AA38BB" w:rsidRPr="00E95194" w:rsidRDefault="00AA38BB" w:rsidP="00AA38BB">
      <w:pPr>
        <w:pStyle w:val="WBBodyText1"/>
        <w:spacing w:line="360" w:lineRule="auto"/>
        <w:ind w:firstLine="1440"/>
        <w:rPr>
          <w:sz w:val="26"/>
          <w:szCs w:val="26"/>
        </w:rPr>
      </w:pPr>
    </w:p>
    <w:p w:rsidR="00E95194" w:rsidRPr="00EE5722" w:rsidRDefault="00E95194" w:rsidP="00584C88">
      <w:pPr>
        <w:pStyle w:val="Heading5"/>
        <w:numPr>
          <w:ilvl w:val="0"/>
          <w:numId w:val="0"/>
        </w:numPr>
        <w:ind w:left="3600" w:hanging="720"/>
      </w:pPr>
      <w:bookmarkStart w:id="143" w:name="_Toc346705385"/>
      <w:r>
        <w:t>iv.</w:t>
      </w:r>
      <w:r>
        <w:tab/>
        <w:t>Exceptions</w:t>
      </w:r>
      <w:bookmarkEnd w:id="143"/>
    </w:p>
    <w:p w:rsidR="00E95194" w:rsidRDefault="00E95194" w:rsidP="000B0447">
      <w:pPr>
        <w:pStyle w:val="Heading3"/>
      </w:pPr>
    </w:p>
    <w:p w:rsidR="00E95194" w:rsidRPr="00114CB5" w:rsidRDefault="00E95194" w:rsidP="00AA38BB">
      <w:pPr>
        <w:pStyle w:val="BodyText2"/>
        <w:spacing w:after="0" w:line="360" w:lineRule="auto"/>
        <w:ind w:firstLine="1440"/>
        <w:rPr>
          <w:sz w:val="26"/>
          <w:szCs w:val="26"/>
        </w:rPr>
      </w:pPr>
      <w:r w:rsidRPr="007F5C3C">
        <w:rPr>
          <w:sz w:val="26"/>
          <w:szCs w:val="26"/>
        </w:rPr>
        <w:t>In its Exceptions, RESA argues that th</w:t>
      </w:r>
      <w:r>
        <w:rPr>
          <w:sz w:val="26"/>
          <w:szCs w:val="26"/>
        </w:rPr>
        <w:t xml:space="preserve">e start date of the SO </w:t>
      </w:r>
      <w:r w:rsidRPr="007F5C3C">
        <w:rPr>
          <w:sz w:val="26"/>
          <w:szCs w:val="26"/>
        </w:rPr>
        <w:t xml:space="preserve">Program should be June 1, 2013, rather than </w:t>
      </w:r>
      <w:r>
        <w:rPr>
          <w:sz w:val="26"/>
          <w:szCs w:val="26"/>
        </w:rPr>
        <w:t>June 1, 2014</w:t>
      </w:r>
      <w:r w:rsidRPr="007F5C3C">
        <w:rPr>
          <w:sz w:val="26"/>
          <w:szCs w:val="26"/>
        </w:rPr>
        <w:t>.</w:t>
      </w:r>
      <w:r>
        <w:rPr>
          <w:sz w:val="26"/>
          <w:szCs w:val="26"/>
        </w:rPr>
        <w:t xml:space="preserve">  </w:t>
      </w:r>
      <w:r w:rsidRPr="007F5C3C">
        <w:rPr>
          <w:sz w:val="26"/>
          <w:szCs w:val="26"/>
        </w:rPr>
        <w:t xml:space="preserve">RESA states that the Commission </w:t>
      </w:r>
      <w:r>
        <w:rPr>
          <w:sz w:val="26"/>
          <w:szCs w:val="26"/>
        </w:rPr>
        <w:t xml:space="preserve">directed </w:t>
      </w:r>
      <w:r>
        <w:rPr>
          <w:sz w:val="26"/>
          <w:szCs w:val="26"/>
        </w:rPr>
        <w:lastRenderedPageBreak/>
        <w:t xml:space="preserve">FirstEnergy </w:t>
      </w:r>
      <w:r w:rsidRPr="007F5C3C">
        <w:rPr>
          <w:sz w:val="26"/>
          <w:szCs w:val="26"/>
        </w:rPr>
        <w:t>and PECO to implement their standard offer programs by June 1, 2013.</w:t>
      </w:r>
      <w:r w:rsidRPr="007F5C3C">
        <w:rPr>
          <w:rStyle w:val="FootnoteReference"/>
          <w:sz w:val="26"/>
          <w:szCs w:val="26"/>
        </w:rPr>
        <w:footnoteReference w:id="91"/>
      </w:r>
      <w:r w:rsidRPr="007F5C3C">
        <w:rPr>
          <w:sz w:val="26"/>
          <w:szCs w:val="26"/>
        </w:rPr>
        <w:t xml:space="preserve">  In this case, RESA and FES presented evidence that a June 1, 2013</w:t>
      </w:r>
      <w:r>
        <w:rPr>
          <w:sz w:val="26"/>
          <w:szCs w:val="26"/>
        </w:rPr>
        <w:t>,</w:t>
      </w:r>
      <w:r w:rsidRPr="007F5C3C">
        <w:rPr>
          <w:sz w:val="26"/>
          <w:szCs w:val="26"/>
        </w:rPr>
        <w:t xml:space="preserve"> start date is neither impossible nor insurmountable.</w:t>
      </w:r>
      <w:r w:rsidRPr="007F5C3C">
        <w:rPr>
          <w:rStyle w:val="FootnoteReference"/>
          <w:sz w:val="26"/>
          <w:szCs w:val="26"/>
        </w:rPr>
        <w:footnoteReference w:id="92"/>
      </w:r>
      <w:r w:rsidRPr="007F5C3C">
        <w:rPr>
          <w:sz w:val="26"/>
          <w:szCs w:val="26"/>
        </w:rPr>
        <w:t xml:space="preserve">  </w:t>
      </w:r>
      <w:r>
        <w:rPr>
          <w:sz w:val="26"/>
          <w:szCs w:val="26"/>
        </w:rPr>
        <w:t>RESA avers that t</w:t>
      </w:r>
      <w:r w:rsidRPr="007F5C3C">
        <w:rPr>
          <w:sz w:val="26"/>
          <w:szCs w:val="26"/>
        </w:rPr>
        <w:t>he evidence showed, among other things, that Duquesne should be able to accommodate a switch that occurs through the S</w:t>
      </w:r>
      <w:r>
        <w:rPr>
          <w:sz w:val="26"/>
          <w:szCs w:val="26"/>
        </w:rPr>
        <w:t>O</w:t>
      </w:r>
      <w:r w:rsidRPr="007F5C3C">
        <w:rPr>
          <w:sz w:val="26"/>
          <w:szCs w:val="26"/>
        </w:rPr>
        <w:t xml:space="preserve"> Program just as it has accommodated switches for the past several years.</w:t>
      </w:r>
      <w:r>
        <w:rPr>
          <w:sz w:val="26"/>
          <w:szCs w:val="26"/>
        </w:rPr>
        <w:t xml:space="preserve">  </w:t>
      </w:r>
      <w:r w:rsidR="00AA38BB">
        <w:rPr>
          <w:sz w:val="26"/>
          <w:szCs w:val="26"/>
        </w:rPr>
        <w:t>RESA Exc. at 29.</w:t>
      </w:r>
    </w:p>
    <w:p w:rsidR="00E95194" w:rsidRPr="007F5C3C" w:rsidRDefault="00E95194" w:rsidP="00AA38BB">
      <w:pPr>
        <w:pStyle w:val="BodyText2"/>
        <w:spacing w:after="0" w:line="360" w:lineRule="auto"/>
        <w:ind w:firstLine="1440"/>
        <w:rPr>
          <w:sz w:val="26"/>
          <w:szCs w:val="26"/>
        </w:rPr>
      </w:pPr>
    </w:p>
    <w:p w:rsidR="00E95194" w:rsidRPr="00AA38BB" w:rsidRDefault="00E95194" w:rsidP="00E95194">
      <w:pPr>
        <w:pStyle w:val="BodyText2"/>
        <w:spacing w:after="0" w:line="360" w:lineRule="auto"/>
        <w:ind w:firstLine="1440"/>
        <w:rPr>
          <w:sz w:val="26"/>
          <w:szCs w:val="26"/>
        </w:rPr>
      </w:pPr>
      <w:r>
        <w:rPr>
          <w:sz w:val="26"/>
          <w:szCs w:val="26"/>
        </w:rPr>
        <w:t xml:space="preserve">RESA argues that </w:t>
      </w:r>
      <w:r w:rsidRPr="007F5C3C">
        <w:rPr>
          <w:sz w:val="26"/>
          <w:szCs w:val="26"/>
        </w:rPr>
        <w:t>there is no reason why Duquesne cannot continue</w:t>
      </w:r>
      <w:r>
        <w:rPr>
          <w:sz w:val="26"/>
          <w:szCs w:val="26"/>
        </w:rPr>
        <w:t xml:space="preserve"> to enroll customers under the SO P</w:t>
      </w:r>
      <w:r w:rsidRPr="007F5C3C">
        <w:rPr>
          <w:sz w:val="26"/>
          <w:szCs w:val="26"/>
        </w:rPr>
        <w:t xml:space="preserve">rogram just as </w:t>
      </w:r>
      <w:r w:rsidR="00505609">
        <w:rPr>
          <w:sz w:val="26"/>
          <w:szCs w:val="26"/>
        </w:rPr>
        <w:t>it</w:t>
      </w:r>
      <w:r w:rsidRPr="007F5C3C">
        <w:rPr>
          <w:sz w:val="26"/>
          <w:szCs w:val="26"/>
        </w:rPr>
        <w:t xml:space="preserve"> do</w:t>
      </w:r>
      <w:r w:rsidR="00505609">
        <w:rPr>
          <w:sz w:val="26"/>
          <w:szCs w:val="26"/>
        </w:rPr>
        <w:t>es</w:t>
      </w:r>
      <w:r w:rsidRPr="007F5C3C">
        <w:rPr>
          <w:sz w:val="26"/>
          <w:szCs w:val="26"/>
        </w:rPr>
        <w:t xml:space="preserve"> today.  </w:t>
      </w:r>
      <w:r>
        <w:rPr>
          <w:sz w:val="26"/>
          <w:szCs w:val="26"/>
        </w:rPr>
        <w:t>RESA opines that the two P</w:t>
      </w:r>
      <w:r w:rsidRPr="007F5C3C">
        <w:rPr>
          <w:sz w:val="26"/>
          <w:szCs w:val="26"/>
        </w:rPr>
        <w:t>rograms should be accompanied by substantial customer education efforts to mitigate confusion</w:t>
      </w:r>
      <w:r>
        <w:rPr>
          <w:sz w:val="26"/>
          <w:szCs w:val="26"/>
        </w:rPr>
        <w:t xml:space="preserve">. </w:t>
      </w:r>
      <w:r w:rsidRPr="007F5C3C">
        <w:rPr>
          <w:sz w:val="26"/>
          <w:szCs w:val="26"/>
        </w:rPr>
        <w:t xml:space="preserve"> </w:t>
      </w:r>
      <w:r>
        <w:rPr>
          <w:sz w:val="26"/>
          <w:szCs w:val="26"/>
        </w:rPr>
        <w:t xml:space="preserve">As a result, </w:t>
      </w:r>
      <w:r w:rsidRPr="007F5C3C">
        <w:rPr>
          <w:sz w:val="26"/>
          <w:szCs w:val="26"/>
        </w:rPr>
        <w:t>RESA submits that its proposed June 2013 start date should be accepted.</w:t>
      </w:r>
      <w:r>
        <w:rPr>
          <w:sz w:val="26"/>
          <w:szCs w:val="26"/>
        </w:rPr>
        <w:t xml:space="preserve">  </w:t>
      </w:r>
      <w:r w:rsidR="00AA38BB">
        <w:rPr>
          <w:i/>
          <w:sz w:val="26"/>
          <w:szCs w:val="26"/>
        </w:rPr>
        <w:t>Id.</w:t>
      </w:r>
      <w:r w:rsidR="00AA38BB">
        <w:rPr>
          <w:sz w:val="26"/>
          <w:szCs w:val="26"/>
        </w:rPr>
        <w:t xml:space="preserve"> at 29-30.</w:t>
      </w:r>
    </w:p>
    <w:p w:rsidR="00E95194" w:rsidRPr="00681537" w:rsidRDefault="00E95194" w:rsidP="00E95194">
      <w:pPr>
        <w:pStyle w:val="BodyText2"/>
        <w:spacing w:after="0" w:line="360" w:lineRule="auto"/>
        <w:ind w:firstLine="1440"/>
      </w:pPr>
    </w:p>
    <w:p w:rsidR="00E95194" w:rsidRDefault="00E95194" w:rsidP="00E95194">
      <w:pPr>
        <w:pStyle w:val="BodyTextFirstLine5DS"/>
        <w:spacing w:line="360" w:lineRule="auto"/>
        <w:ind w:firstLine="1440"/>
        <w:jc w:val="left"/>
        <w:rPr>
          <w:sz w:val="26"/>
          <w:szCs w:val="26"/>
        </w:rPr>
      </w:pPr>
      <w:r>
        <w:rPr>
          <w:sz w:val="26"/>
          <w:szCs w:val="26"/>
        </w:rPr>
        <w:t>FES excepts to the ALJ</w:t>
      </w:r>
      <w:r w:rsidRPr="003719BD">
        <w:rPr>
          <w:sz w:val="26"/>
          <w:szCs w:val="26"/>
        </w:rPr>
        <w:t>’s recommend</w:t>
      </w:r>
      <w:r>
        <w:rPr>
          <w:sz w:val="26"/>
          <w:szCs w:val="26"/>
        </w:rPr>
        <w:t>ation that the SO Program start on</w:t>
      </w:r>
      <w:r w:rsidRPr="003719BD">
        <w:rPr>
          <w:sz w:val="26"/>
          <w:szCs w:val="26"/>
        </w:rPr>
        <w:t xml:space="preserve"> June 1, 2014.  </w:t>
      </w:r>
      <w:r>
        <w:rPr>
          <w:sz w:val="26"/>
          <w:szCs w:val="26"/>
        </w:rPr>
        <w:t xml:space="preserve">FES asserts that the ALJ’s </w:t>
      </w:r>
      <w:r w:rsidRPr="003719BD">
        <w:rPr>
          <w:sz w:val="26"/>
          <w:szCs w:val="26"/>
        </w:rPr>
        <w:t>recommendation should be rejected</w:t>
      </w:r>
      <w:r>
        <w:rPr>
          <w:sz w:val="26"/>
          <w:szCs w:val="26"/>
        </w:rPr>
        <w:t xml:space="preserve">, and Duquesne </w:t>
      </w:r>
      <w:r w:rsidRPr="003719BD">
        <w:rPr>
          <w:sz w:val="26"/>
          <w:szCs w:val="26"/>
        </w:rPr>
        <w:t>directed</w:t>
      </w:r>
      <w:r>
        <w:rPr>
          <w:sz w:val="26"/>
          <w:szCs w:val="26"/>
        </w:rPr>
        <w:t xml:space="preserve"> to implement the SO</w:t>
      </w:r>
      <w:r w:rsidRPr="003719BD">
        <w:rPr>
          <w:sz w:val="26"/>
          <w:szCs w:val="26"/>
        </w:rPr>
        <w:t xml:space="preserve"> Program beginning June 1, 2013.</w:t>
      </w:r>
      <w:r>
        <w:rPr>
          <w:sz w:val="26"/>
          <w:szCs w:val="26"/>
        </w:rPr>
        <w:t xml:space="preserve">  </w:t>
      </w:r>
      <w:r w:rsidRPr="003719BD">
        <w:rPr>
          <w:sz w:val="26"/>
          <w:szCs w:val="26"/>
        </w:rPr>
        <w:t>FES submits that the evidence in this proceeding does not support the proposition that a new CIS system is necessary for impl</w:t>
      </w:r>
      <w:r>
        <w:rPr>
          <w:sz w:val="26"/>
          <w:szCs w:val="26"/>
        </w:rPr>
        <w:t>ementation of the SO</w:t>
      </w:r>
      <w:r w:rsidRPr="003719BD">
        <w:rPr>
          <w:sz w:val="26"/>
          <w:szCs w:val="26"/>
        </w:rPr>
        <w:t xml:space="preserve"> Program, nor that the implementation of a new CIS system should delay</w:t>
      </w:r>
      <w:r>
        <w:rPr>
          <w:sz w:val="26"/>
          <w:szCs w:val="26"/>
        </w:rPr>
        <w:t xml:space="preserve"> the start of the SO</w:t>
      </w:r>
      <w:r w:rsidRPr="003719BD">
        <w:rPr>
          <w:sz w:val="26"/>
          <w:szCs w:val="26"/>
        </w:rPr>
        <w:t xml:space="preserve"> Program. </w:t>
      </w:r>
      <w:r>
        <w:rPr>
          <w:sz w:val="26"/>
          <w:szCs w:val="26"/>
        </w:rPr>
        <w:t xml:space="preserve">FES opines that customers </w:t>
      </w:r>
      <w:r w:rsidRPr="003719BD">
        <w:rPr>
          <w:sz w:val="26"/>
          <w:szCs w:val="26"/>
        </w:rPr>
        <w:t xml:space="preserve">currently </w:t>
      </w:r>
      <w:r>
        <w:rPr>
          <w:sz w:val="26"/>
          <w:szCs w:val="26"/>
        </w:rPr>
        <w:t xml:space="preserve">are </w:t>
      </w:r>
      <w:r w:rsidRPr="003719BD">
        <w:rPr>
          <w:sz w:val="26"/>
          <w:szCs w:val="26"/>
        </w:rPr>
        <w:t xml:space="preserve">being switched to EGS service </w:t>
      </w:r>
      <w:r>
        <w:rPr>
          <w:sz w:val="26"/>
          <w:szCs w:val="26"/>
        </w:rPr>
        <w:t>in Duquesne</w:t>
      </w:r>
      <w:r w:rsidRPr="003719BD">
        <w:rPr>
          <w:sz w:val="26"/>
          <w:szCs w:val="26"/>
        </w:rPr>
        <w:t xml:space="preserve">’s service territory </w:t>
      </w:r>
      <w:r>
        <w:rPr>
          <w:sz w:val="26"/>
          <w:szCs w:val="26"/>
        </w:rPr>
        <w:t>without the new CIS system</w:t>
      </w:r>
      <w:r w:rsidRPr="003719BD">
        <w:rPr>
          <w:sz w:val="26"/>
          <w:szCs w:val="26"/>
        </w:rPr>
        <w:t>, and the current system should be able to accommodate s</w:t>
      </w:r>
      <w:r>
        <w:rPr>
          <w:sz w:val="26"/>
          <w:szCs w:val="26"/>
        </w:rPr>
        <w:t>witches through the SO</w:t>
      </w:r>
      <w:r w:rsidRPr="003719BD">
        <w:rPr>
          <w:sz w:val="26"/>
          <w:szCs w:val="26"/>
        </w:rPr>
        <w:t xml:space="preserve"> Program.  </w:t>
      </w:r>
      <w:r>
        <w:rPr>
          <w:sz w:val="26"/>
          <w:szCs w:val="26"/>
        </w:rPr>
        <w:t>Accordingly, FES avers that a</w:t>
      </w:r>
      <w:r w:rsidRPr="003719BD">
        <w:rPr>
          <w:sz w:val="26"/>
          <w:szCs w:val="26"/>
        </w:rPr>
        <w:t xml:space="preserve"> new CIS system is not necessary for this purpose. </w:t>
      </w:r>
      <w:r>
        <w:rPr>
          <w:sz w:val="26"/>
          <w:szCs w:val="26"/>
        </w:rPr>
        <w:t xml:space="preserve"> FES Exc. at 16-17.</w:t>
      </w:r>
      <w:r w:rsidRPr="003719BD">
        <w:rPr>
          <w:sz w:val="26"/>
          <w:szCs w:val="26"/>
        </w:rPr>
        <w:t xml:space="preserve"> </w:t>
      </w:r>
    </w:p>
    <w:p w:rsidR="00E95194" w:rsidRPr="003719BD" w:rsidRDefault="00E95194" w:rsidP="00E95194">
      <w:pPr>
        <w:pStyle w:val="BodyTextFirstLine5DS"/>
        <w:spacing w:line="360" w:lineRule="auto"/>
        <w:ind w:firstLine="1440"/>
        <w:jc w:val="left"/>
        <w:rPr>
          <w:sz w:val="26"/>
          <w:szCs w:val="26"/>
        </w:rPr>
      </w:pPr>
    </w:p>
    <w:p w:rsidR="00E95194" w:rsidRPr="00872335" w:rsidRDefault="00E95194" w:rsidP="00872335">
      <w:pPr>
        <w:pStyle w:val="BodyTextFirstLine5DS"/>
        <w:spacing w:line="360" w:lineRule="auto"/>
        <w:ind w:firstLine="1440"/>
        <w:jc w:val="left"/>
        <w:rPr>
          <w:sz w:val="26"/>
          <w:szCs w:val="26"/>
        </w:rPr>
      </w:pPr>
      <w:r>
        <w:rPr>
          <w:sz w:val="26"/>
          <w:szCs w:val="26"/>
        </w:rPr>
        <w:t xml:space="preserve">FES notes that </w:t>
      </w:r>
      <w:r w:rsidRPr="003719BD">
        <w:rPr>
          <w:sz w:val="26"/>
          <w:szCs w:val="26"/>
        </w:rPr>
        <w:t>the OCA made the same arguments about potential customer confusion and adverse comparisons of var</w:t>
      </w:r>
      <w:r>
        <w:rPr>
          <w:sz w:val="26"/>
          <w:szCs w:val="26"/>
        </w:rPr>
        <w:t>ious products in the FirstEnergy</w:t>
      </w:r>
      <w:r w:rsidR="00AA38BB">
        <w:rPr>
          <w:sz w:val="26"/>
          <w:szCs w:val="26"/>
        </w:rPr>
        <w:t xml:space="preserve"> DSP </w:t>
      </w:r>
      <w:r>
        <w:rPr>
          <w:sz w:val="26"/>
          <w:szCs w:val="26"/>
        </w:rPr>
        <w:t xml:space="preserve">and </w:t>
      </w:r>
      <w:r w:rsidRPr="003719BD">
        <w:rPr>
          <w:sz w:val="26"/>
          <w:szCs w:val="26"/>
        </w:rPr>
        <w:lastRenderedPageBreak/>
        <w:t>PECO DSP</w:t>
      </w:r>
      <w:r>
        <w:rPr>
          <w:sz w:val="26"/>
          <w:szCs w:val="26"/>
        </w:rPr>
        <w:t xml:space="preserve"> proceedings</w:t>
      </w:r>
      <w:r w:rsidRPr="003719BD">
        <w:rPr>
          <w:sz w:val="26"/>
          <w:szCs w:val="26"/>
        </w:rPr>
        <w:t>, a</w:t>
      </w:r>
      <w:r>
        <w:rPr>
          <w:sz w:val="26"/>
          <w:szCs w:val="26"/>
        </w:rPr>
        <w:t xml:space="preserve">nd its arguments were </w:t>
      </w:r>
      <w:r w:rsidRPr="003719BD">
        <w:rPr>
          <w:sz w:val="26"/>
          <w:szCs w:val="26"/>
        </w:rPr>
        <w:t>rejected by the Commiss</w:t>
      </w:r>
      <w:r>
        <w:rPr>
          <w:sz w:val="26"/>
          <w:szCs w:val="26"/>
        </w:rPr>
        <w:t>ion.  Similarly, FES opines that the ALJ</w:t>
      </w:r>
      <w:r w:rsidRPr="003719BD">
        <w:rPr>
          <w:sz w:val="26"/>
          <w:szCs w:val="26"/>
        </w:rPr>
        <w:t>’s recommended adoption of the OCA’s position on dela</w:t>
      </w:r>
      <w:r>
        <w:rPr>
          <w:sz w:val="26"/>
          <w:szCs w:val="26"/>
        </w:rPr>
        <w:t>ying Duquesne’s SO</w:t>
      </w:r>
      <w:r w:rsidRPr="003719BD">
        <w:rPr>
          <w:sz w:val="26"/>
          <w:szCs w:val="26"/>
        </w:rPr>
        <w:t xml:space="preserve"> Program should be rejected in this proceeding as well.</w:t>
      </w:r>
      <w:r>
        <w:rPr>
          <w:sz w:val="26"/>
          <w:szCs w:val="26"/>
        </w:rPr>
        <w:t xml:space="preserve">  </w:t>
      </w:r>
      <w:r w:rsidRPr="003719BD">
        <w:rPr>
          <w:sz w:val="26"/>
          <w:szCs w:val="26"/>
        </w:rPr>
        <w:t xml:space="preserve">Finally, FES </w:t>
      </w:r>
      <w:r>
        <w:rPr>
          <w:sz w:val="26"/>
          <w:szCs w:val="26"/>
        </w:rPr>
        <w:t xml:space="preserve">states that it </w:t>
      </w:r>
      <w:r w:rsidRPr="003719BD">
        <w:rPr>
          <w:sz w:val="26"/>
          <w:szCs w:val="26"/>
        </w:rPr>
        <w:t>sees no validity to t</w:t>
      </w:r>
      <w:r>
        <w:rPr>
          <w:sz w:val="26"/>
          <w:szCs w:val="26"/>
        </w:rPr>
        <w:t>he concern expressed by the ALJ</w:t>
      </w:r>
      <w:r w:rsidRPr="003719BD">
        <w:rPr>
          <w:sz w:val="26"/>
          <w:szCs w:val="26"/>
        </w:rPr>
        <w:t xml:space="preserve"> about any potential impact on wholesale supplier </w:t>
      </w:r>
      <w:r>
        <w:rPr>
          <w:sz w:val="26"/>
          <w:szCs w:val="26"/>
        </w:rPr>
        <w:t>risk premiums if Duquesne implements its SO</w:t>
      </w:r>
      <w:r w:rsidRPr="003719BD">
        <w:rPr>
          <w:sz w:val="26"/>
          <w:szCs w:val="26"/>
        </w:rPr>
        <w:t xml:space="preserve"> Program in June, 2013, concurrent with the start of its </w:t>
      </w:r>
      <w:r w:rsidR="00505609">
        <w:rPr>
          <w:sz w:val="26"/>
          <w:szCs w:val="26"/>
        </w:rPr>
        <w:t>DSP</w:t>
      </w:r>
      <w:r w:rsidRPr="003719BD">
        <w:rPr>
          <w:sz w:val="26"/>
          <w:szCs w:val="26"/>
        </w:rPr>
        <w:t xml:space="preserve"> VI plan.</w:t>
      </w:r>
      <w:r w:rsidR="00872335">
        <w:rPr>
          <w:sz w:val="26"/>
          <w:szCs w:val="26"/>
        </w:rPr>
        <w:t xml:space="preserve">  </w:t>
      </w:r>
      <w:r w:rsidR="00872335">
        <w:rPr>
          <w:i/>
          <w:sz w:val="26"/>
          <w:szCs w:val="26"/>
        </w:rPr>
        <w:t>Id.</w:t>
      </w:r>
      <w:r w:rsidR="00872335">
        <w:rPr>
          <w:sz w:val="26"/>
          <w:szCs w:val="26"/>
        </w:rPr>
        <w:t xml:space="preserve"> at 17-18.</w:t>
      </w:r>
    </w:p>
    <w:p w:rsidR="00E95194" w:rsidRPr="003719BD" w:rsidRDefault="00E95194" w:rsidP="00872335">
      <w:pPr>
        <w:pStyle w:val="BodyTextFirstLine5DS"/>
        <w:spacing w:line="360" w:lineRule="auto"/>
        <w:ind w:firstLine="1440"/>
        <w:jc w:val="left"/>
        <w:rPr>
          <w:sz w:val="26"/>
          <w:szCs w:val="26"/>
        </w:rPr>
      </w:pPr>
    </w:p>
    <w:p w:rsidR="00E95194" w:rsidRPr="00EE5722" w:rsidRDefault="00E95194" w:rsidP="00584C88">
      <w:pPr>
        <w:pStyle w:val="Heading5"/>
        <w:numPr>
          <w:ilvl w:val="0"/>
          <w:numId w:val="0"/>
        </w:numPr>
        <w:ind w:left="3600" w:hanging="720"/>
      </w:pPr>
      <w:bookmarkStart w:id="144" w:name="_Toc346705386"/>
      <w:r>
        <w:t>v.</w:t>
      </w:r>
      <w:r>
        <w:tab/>
        <w:t>Reply Exceptions</w:t>
      </w:r>
      <w:bookmarkEnd w:id="144"/>
    </w:p>
    <w:p w:rsidR="00E95194" w:rsidRDefault="00E95194" w:rsidP="00872335">
      <w:pPr>
        <w:pStyle w:val="BodyText2"/>
        <w:spacing w:after="0" w:line="360" w:lineRule="auto"/>
        <w:ind w:firstLine="1440"/>
        <w:rPr>
          <w:sz w:val="26"/>
          <w:szCs w:val="26"/>
        </w:rPr>
      </w:pPr>
    </w:p>
    <w:p w:rsidR="00872335" w:rsidRDefault="00E95194" w:rsidP="00872335">
      <w:pPr>
        <w:pStyle w:val="BodyText2"/>
        <w:spacing w:after="0" w:line="360" w:lineRule="auto"/>
        <w:ind w:firstLine="1440"/>
        <w:rPr>
          <w:sz w:val="26"/>
          <w:szCs w:val="26"/>
        </w:rPr>
      </w:pPr>
      <w:r w:rsidRPr="00F31E7D">
        <w:rPr>
          <w:sz w:val="26"/>
          <w:szCs w:val="26"/>
        </w:rPr>
        <w:t>In its Reply Exceptions, Duquesne argues that it cannot make the necessary IT chang</w:t>
      </w:r>
      <w:r>
        <w:rPr>
          <w:sz w:val="26"/>
          <w:szCs w:val="26"/>
        </w:rPr>
        <w:t xml:space="preserve">es to implement the SO </w:t>
      </w:r>
      <w:r w:rsidRPr="00F31E7D">
        <w:rPr>
          <w:sz w:val="26"/>
          <w:szCs w:val="26"/>
        </w:rPr>
        <w:t>Program b</w:t>
      </w:r>
      <w:r>
        <w:rPr>
          <w:sz w:val="26"/>
          <w:szCs w:val="26"/>
        </w:rPr>
        <w:t xml:space="preserve">y June 1, 2013.  </w:t>
      </w:r>
      <w:r w:rsidRPr="00F31E7D">
        <w:rPr>
          <w:sz w:val="26"/>
          <w:szCs w:val="26"/>
        </w:rPr>
        <w:t>Duquesne disagrees with RESA’s and FES’s assertions</w:t>
      </w:r>
      <w:r>
        <w:rPr>
          <w:sz w:val="26"/>
          <w:szCs w:val="26"/>
        </w:rPr>
        <w:t xml:space="preserve"> that it should be able to accommodate customer switching under the SO Program without IT changes, and asserts that s</w:t>
      </w:r>
      <w:r w:rsidRPr="00F31E7D">
        <w:rPr>
          <w:sz w:val="26"/>
          <w:szCs w:val="26"/>
        </w:rPr>
        <w:t xml:space="preserve">witching customers under the SO Program is more complicated than switching customers under normal procedures.  </w:t>
      </w:r>
      <w:r>
        <w:rPr>
          <w:sz w:val="26"/>
          <w:szCs w:val="26"/>
        </w:rPr>
        <w:t>Duquesne asserts that t</w:t>
      </w:r>
      <w:r w:rsidRPr="00F31E7D">
        <w:rPr>
          <w:sz w:val="26"/>
          <w:szCs w:val="26"/>
        </w:rPr>
        <w:t xml:space="preserve">here will be multiple suppliers participating in the SO Program, and the enrollment process must accommodate systematic and fair assignment of customers to EGSs.  </w:t>
      </w:r>
      <w:r>
        <w:rPr>
          <w:sz w:val="26"/>
          <w:szCs w:val="26"/>
        </w:rPr>
        <w:t>According to Duquesne, c</w:t>
      </w:r>
      <w:r w:rsidRPr="00F31E7D">
        <w:rPr>
          <w:sz w:val="26"/>
          <w:szCs w:val="26"/>
        </w:rPr>
        <w:t xml:space="preserve">ustomer service representatives cannot do this effectively without IT system changes.  EGSs must be notified of customers that are assigned to them.  It would be extremely ineffective and a waste of resources to do this manually, so IT changes are necessary to make this an automated process.  In addition, Duquesne must keep records of customers’ interest in participating in the SO Program, and of customers that are assigned to EGSs.  IT changes must be made to automate this process.  Moreover, Duquesne </w:t>
      </w:r>
      <w:r>
        <w:rPr>
          <w:sz w:val="26"/>
          <w:szCs w:val="26"/>
        </w:rPr>
        <w:t xml:space="preserve">notes that it </w:t>
      </w:r>
      <w:r w:rsidRPr="00F31E7D">
        <w:rPr>
          <w:sz w:val="26"/>
          <w:szCs w:val="26"/>
        </w:rPr>
        <w:t>currently is replacing i</w:t>
      </w:r>
      <w:r>
        <w:rPr>
          <w:sz w:val="26"/>
          <w:szCs w:val="26"/>
        </w:rPr>
        <w:t xml:space="preserve">ts </w:t>
      </w:r>
      <w:r w:rsidRPr="00F31E7D">
        <w:rPr>
          <w:sz w:val="26"/>
          <w:szCs w:val="26"/>
        </w:rPr>
        <w:t>CIS, and the scope of work planned for replacing the CIS system does not include the IT development and activitie</w:t>
      </w:r>
      <w:r>
        <w:rPr>
          <w:sz w:val="26"/>
          <w:szCs w:val="26"/>
        </w:rPr>
        <w:t xml:space="preserve">s necessary to implement the SO </w:t>
      </w:r>
      <w:r w:rsidRPr="00F31E7D">
        <w:rPr>
          <w:sz w:val="26"/>
          <w:szCs w:val="26"/>
        </w:rPr>
        <w:t>Program.</w:t>
      </w:r>
      <w:r w:rsidR="00872335">
        <w:rPr>
          <w:sz w:val="26"/>
          <w:szCs w:val="26"/>
        </w:rPr>
        <w:t xml:space="preserve">  Duquesne R.Exc. at 18-19.  </w:t>
      </w:r>
      <w:r>
        <w:rPr>
          <w:sz w:val="26"/>
          <w:szCs w:val="26"/>
        </w:rPr>
        <w:t xml:space="preserve"> </w:t>
      </w:r>
    </w:p>
    <w:p w:rsidR="00E95194" w:rsidRPr="00E95194" w:rsidRDefault="00E95194" w:rsidP="00872335">
      <w:pPr>
        <w:pStyle w:val="BodyText2"/>
        <w:spacing w:after="0" w:line="360" w:lineRule="auto"/>
        <w:ind w:firstLine="1440"/>
        <w:rPr>
          <w:sz w:val="26"/>
          <w:szCs w:val="26"/>
        </w:rPr>
      </w:pPr>
      <w:r w:rsidRPr="00F31E7D">
        <w:rPr>
          <w:sz w:val="26"/>
          <w:szCs w:val="26"/>
        </w:rPr>
        <w:t xml:space="preserve"> </w:t>
      </w:r>
    </w:p>
    <w:p w:rsidR="00E95194" w:rsidRDefault="00E95194" w:rsidP="00872335">
      <w:pPr>
        <w:spacing w:line="360" w:lineRule="auto"/>
        <w:ind w:firstLine="1440"/>
        <w:rPr>
          <w:sz w:val="26"/>
          <w:szCs w:val="26"/>
        </w:rPr>
      </w:pPr>
      <w:r w:rsidRPr="003A5266">
        <w:rPr>
          <w:sz w:val="26"/>
          <w:szCs w:val="26"/>
        </w:rPr>
        <w:t>In its Reply Exceptions, the OCA argues that the ALJ did not err in re</w:t>
      </w:r>
      <w:r>
        <w:rPr>
          <w:sz w:val="26"/>
          <w:szCs w:val="26"/>
        </w:rPr>
        <w:t xml:space="preserve">commending that the SO </w:t>
      </w:r>
      <w:r w:rsidRPr="003A5266">
        <w:rPr>
          <w:sz w:val="26"/>
          <w:szCs w:val="26"/>
        </w:rPr>
        <w:t xml:space="preserve">Program be implemented on June 1, 2014, instead of June 1, 2013.  The OCA explains that this start-up date reflects Duquesne’s implementation of a </w:t>
      </w:r>
      <w:r w:rsidRPr="003A5266">
        <w:rPr>
          <w:sz w:val="26"/>
          <w:szCs w:val="26"/>
        </w:rPr>
        <w:lastRenderedPageBreak/>
        <w:t>n</w:t>
      </w:r>
      <w:r>
        <w:rPr>
          <w:sz w:val="26"/>
          <w:szCs w:val="26"/>
        </w:rPr>
        <w:t xml:space="preserve">ew </w:t>
      </w:r>
      <w:r w:rsidRPr="003A5266">
        <w:rPr>
          <w:sz w:val="26"/>
          <w:szCs w:val="26"/>
        </w:rPr>
        <w:t>CIS and new functionalities that will be available at that time</w:t>
      </w:r>
      <w:r>
        <w:rPr>
          <w:sz w:val="26"/>
          <w:szCs w:val="26"/>
        </w:rPr>
        <w:t xml:space="preserve">.  </w:t>
      </w:r>
      <w:r w:rsidRPr="003A5266">
        <w:rPr>
          <w:sz w:val="26"/>
          <w:szCs w:val="26"/>
        </w:rPr>
        <w:t xml:space="preserve">In making her determination, the </w:t>
      </w:r>
      <w:r>
        <w:rPr>
          <w:sz w:val="26"/>
          <w:szCs w:val="26"/>
        </w:rPr>
        <w:t>ALJ was convinced by Duquesne</w:t>
      </w:r>
      <w:r w:rsidRPr="003A5266">
        <w:rPr>
          <w:sz w:val="26"/>
          <w:szCs w:val="26"/>
        </w:rPr>
        <w:t>’s evidence that imple</w:t>
      </w:r>
      <w:r>
        <w:rPr>
          <w:sz w:val="26"/>
          <w:szCs w:val="26"/>
        </w:rPr>
        <w:t xml:space="preserve">mentation of the SO </w:t>
      </w:r>
      <w:r w:rsidRPr="003A5266">
        <w:rPr>
          <w:sz w:val="26"/>
          <w:szCs w:val="26"/>
        </w:rPr>
        <w:t>Program requires the completion o</w:t>
      </w:r>
      <w:r>
        <w:rPr>
          <w:sz w:val="26"/>
          <w:szCs w:val="26"/>
        </w:rPr>
        <w:t xml:space="preserve">f the </w:t>
      </w:r>
      <w:r w:rsidRPr="003A5266">
        <w:rPr>
          <w:sz w:val="26"/>
          <w:szCs w:val="26"/>
        </w:rPr>
        <w:t xml:space="preserve">IT upgrades that </w:t>
      </w:r>
      <w:r>
        <w:rPr>
          <w:sz w:val="26"/>
          <w:szCs w:val="26"/>
        </w:rPr>
        <w:t>it</w:t>
      </w:r>
      <w:r w:rsidRPr="003A5266">
        <w:rPr>
          <w:sz w:val="26"/>
          <w:szCs w:val="26"/>
        </w:rPr>
        <w:t xml:space="preserve"> is in the process </w:t>
      </w:r>
      <w:r>
        <w:rPr>
          <w:sz w:val="26"/>
          <w:szCs w:val="26"/>
        </w:rPr>
        <w:t xml:space="preserve">of implementing.  As Duquesne </w:t>
      </w:r>
      <w:r w:rsidRPr="003A5266">
        <w:rPr>
          <w:sz w:val="26"/>
          <w:szCs w:val="26"/>
        </w:rPr>
        <w:t>testified, the upgrades necessar</w:t>
      </w:r>
      <w:r>
        <w:rPr>
          <w:sz w:val="26"/>
          <w:szCs w:val="26"/>
        </w:rPr>
        <w:t xml:space="preserve">y to support the SO </w:t>
      </w:r>
      <w:r w:rsidRPr="003A5266">
        <w:rPr>
          <w:sz w:val="26"/>
          <w:szCs w:val="26"/>
        </w:rPr>
        <w:t>Program will not be completed until the second quarter of 2014.  The OCA submits that</w:t>
      </w:r>
      <w:r>
        <w:rPr>
          <w:sz w:val="26"/>
          <w:szCs w:val="26"/>
        </w:rPr>
        <w:t xml:space="preserve"> th</w:t>
      </w:r>
      <w:r w:rsidRPr="003A5266">
        <w:rPr>
          <w:sz w:val="26"/>
          <w:szCs w:val="26"/>
        </w:rPr>
        <w:t>e ALJ properly determined that impl</w:t>
      </w:r>
      <w:r>
        <w:rPr>
          <w:sz w:val="26"/>
          <w:szCs w:val="26"/>
        </w:rPr>
        <w:t>ementation of the SO</w:t>
      </w:r>
      <w:r w:rsidRPr="003A5266">
        <w:rPr>
          <w:sz w:val="26"/>
          <w:szCs w:val="26"/>
        </w:rPr>
        <w:t xml:space="preserve"> Program can occur only after completion of the IT upgrades.  The OCA further submits that</w:t>
      </w:r>
      <w:r>
        <w:rPr>
          <w:sz w:val="26"/>
          <w:szCs w:val="26"/>
        </w:rPr>
        <w:t>,</w:t>
      </w:r>
      <w:r w:rsidRPr="003A5266">
        <w:rPr>
          <w:sz w:val="26"/>
          <w:szCs w:val="26"/>
        </w:rPr>
        <w:t xml:space="preserve"> because technical considerations dictate t</w:t>
      </w:r>
      <w:r>
        <w:rPr>
          <w:sz w:val="26"/>
          <w:szCs w:val="26"/>
        </w:rPr>
        <w:t>hat the Opt-In and SO P</w:t>
      </w:r>
      <w:r w:rsidRPr="003A5266">
        <w:rPr>
          <w:sz w:val="26"/>
          <w:szCs w:val="26"/>
        </w:rPr>
        <w:t>rograms cannot be run simultaneously, the various othe</w:t>
      </w:r>
      <w:r>
        <w:rPr>
          <w:sz w:val="26"/>
          <w:szCs w:val="26"/>
        </w:rPr>
        <w:t xml:space="preserve">r arguments of FES and RESA regarding </w:t>
      </w:r>
      <w:r w:rsidRPr="003A5266">
        <w:rPr>
          <w:sz w:val="26"/>
          <w:szCs w:val="26"/>
        </w:rPr>
        <w:t xml:space="preserve">why the </w:t>
      </w:r>
      <w:r>
        <w:rPr>
          <w:sz w:val="26"/>
          <w:szCs w:val="26"/>
        </w:rPr>
        <w:t>RME P</w:t>
      </w:r>
      <w:r w:rsidRPr="003A5266">
        <w:rPr>
          <w:sz w:val="26"/>
          <w:szCs w:val="26"/>
        </w:rPr>
        <w:t xml:space="preserve">rograms should be offered simultaneously are moot. </w:t>
      </w:r>
      <w:r w:rsidR="00872335">
        <w:rPr>
          <w:sz w:val="26"/>
          <w:szCs w:val="26"/>
        </w:rPr>
        <w:t xml:space="preserve"> OCA R.Exc. at 17-18.  </w:t>
      </w:r>
    </w:p>
    <w:p w:rsidR="00E95194" w:rsidRPr="003A5266" w:rsidRDefault="00E95194" w:rsidP="00872335">
      <w:pPr>
        <w:tabs>
          <w:tab w:val="left" w:pos="0"/>
        </w:tabs>
        <w:spacing w:line="360" w:lineRule="auto"/>
        <w:rPr>
          <w:sz w:val="26"/>
          <w:szCs w:val="26"/>
        </w:rPr>
      </w:pPr>
      <w:r w:rsidRPr="003A5266">
        <w:rPr>
          <w:sz w:val="26"/>
          <w:szCs w:val="26"/>
        </w:rPr>
        <w:t xml:space="preserve">  </w:t>
      </w:r>
    </w:p>
    <w:p w:rsidR="00E95194" w:rsidRDefault="00E95194" w:rsidP="005915E1">
      <w:pPr>
        <w:pStyle w:val="Heading5"/>
        <w:numPr>
          <w:ilvl w:val="0"/>
          <w:numId w:val="0"/>
        </w:numPr>
        <w:ind w:left="3600" w:hanging="720"/>
      </w:pPr>
      <w:bookmarkStart w:id="145" w:name="_Toc346705387"/>
      <w:r>
        <w:t>vi.</w:t>
      </w:r>
      <w:r>
        <w:tab/>
        <w:t>Disposition</w:t>
      </w:r>
      <w:bookmarkEnd w:id="145"/>
    </w:p>
    <w:p w:rsidR="00E95194" w:rsidRDefault="00E95194" w:rsidP="005915E1">
      <w:pPr>
        <w:keepNext/>
        <w:tabs>
          <w:tab w:val="left" w:pos="0"/>
        </w:tabs>
        <w:spacing w:line="360" w:lineRule="auto"/>
        <w:jc w:val="both"/>
        <w:rPr>
          <w:b/>
          <w:sz w:val="26"/>
          <w:szCs w:val="26"/>
        </w:rPr>
      </w:pPr>
    </w:p>
    <w:p w:rsidR="00E95194" w:rsidRPr="00EE5722" w:rsidRDefault="00E95194" w:rsidP="00872335">
      <w:pPr>
        <w:pStyle w:val="WBBodyText1"/>
        <w:spacing w:line="360" w:lineRule="auto"/>
        <w:ind w:firstLine="1440"/>
        <w:rPr>
          <w:color w:val="000000" w:themeColor="text1"/>
          <w:sz w:val="26"/>
          <w:szCs w:val="26"/>
        </w:rPr>
      </w:pPr>
      <w:r w:rsidRPr="00D37500">
        <w:rPr>
          <w:sz w:val="26"/>
          <w:szCs w:val="26"/>
        </w:rPr>
        <w:t xml:space="preserve">Upon consideration of the evidence of record, </w:t>
      </w:r>
      <w:r w:rsidR="00451775">
        <w:rPr>
          <w:sz w:val="26"/>
          <w:szCs w:val="26"/>
        </w:rPr>
        <w:t xml:space="preserve"> </w:t>
      </w:r>
      <w:r w:rsidRPr="00D37500">
        <w:rPr>
          <w:sz w:val="26"/>
          <w:szCs w:val="26"/>
        </w:rPr>
        <w:t>we find that</w:t>
      </w:r>
      <w:r>
        <w:rPr>
          <w:sz w:val="26"/>
          <w:szCs w:val="26"/>
        </w:rPr>
        <w:t xml:space="preserve"> the SO P</w:t>
      </w:r>
      <w:r w:rsidRPr="00D37500">
        <w:rPr>
          <w:sz w:val="26"/>
          <w:szCs w:val="26"/>
        </w:rPr>
        <w:t xml:space="preserve">rogram should be implemented beginning on </w:t>
      </w:r>
      <w:r w:rsidR="00007CEC">
        <w:rPr>
          <w:sz w:val="26"/>
          <w:szCs w:val="26"/>
        </w:rPr>
        <w:t xml:space="preserve">August 1, 2013.  </w:t>
      </w:r>
      <w:r w:rsidRPr="00D37500">
        <w:rPr>
          <w:sz w:val="26"/>
          <w:szCs w:val="26"/>
        </w:rPr>
        <w:t xml:space="preserve">.  We have previously considered and </w:t>
      </w:r>
      <w:r>
        <w:rPr>
          <w:sz w:val="26"/>
          <w:szCs w:val="26"/>
        </w:rPr>
        <w:t xml:space="preserve">rejected arguments </w:t>
      </w:r>
      <w:r w:rsidRPr="00D37500">
        <w:rPr>
          <w:sz w:val="26"/>
          <w:szCs w:val="26"/>
        </w:rPr>
        <w:t>regard</w:t>
      </w:r>
      <w:r>
        <w:rPr>
          <w:sz w:val="26"/>
          <w:szCs w:val="26"/>
        </w:rPr>
        <w:t xml:space="preserve">ing </w:t>
      </w:r>
      <w:r w:rsidRPr="00D37500">
        <w:rPr>
          <w:sz w:val="26"/>
          <w:szCs w:val="26"/>
        </w:rPr>
        <w:t>customer confusion in our prior determinations on this issue in</w:t>
      </w:r>
      <w:r>
        <w:rPr>
          <w:sz w:val="26"/>
          <w:szCs w:val="26"/>
        </w:rPr>
        <w:t xml:space="preserve"> the</w:t>
      </w:r>
      <w:r w:rsidRPr="00D37500">
        <w:rPr>
          <w:sz w:val="26"/>
          <w:szCs w:val="26"/>
        </w:rPr>
        <w:t xml:space="preserve"> </w:t>
      </w:r>
      <w:r w:rsidRPr="00D37500">
        <w:rPr>
          <w:i/>
          <w:sz w:val="26"/>
          <w:szCs w:val="26"/>
        </w:rPr>
        <w:t>FirstEnergy</w:t>
      </w:r>
      <w:r w:rsidR="00872335">
        <w:rPr>
          <w:i/>
          <w:sz w:val="26"/>
          <w:szCs w:val="26"/>
        </w:rPr>
        <w:t xml:space="preserve"> DSP</w:t>
      </w:r>
      <w:r w:rsidRPr="00D37500">
        <w:rPr>
          <w:i/>
          <w:sz w:val="26"/>
          <w:szCs w:val="26"/>
        </w:rPr>
        <w:t xml:space="preserve"> </w:t>
      </w:r>
      <w:r w:rsidRPr="00D37500">
        <w:rPr>
          <w:sz w:val="26"/>
          <w:szCs w:val="26"/>
        </w:rPr>
        <w:t xml:space="preserve">and </w:t>
      </w:r>
      <w:r w:rsidRPr="00D37500">
        <w:rPr>
          <w:i/>
          <w:sz w:val="26"/>
          <w:szCs w:val="26"/>
        </w:rPr>
        <w:t>PECO</w:t>
      </w:r>
      <w:r>
        <w:rPr>
          <w:i/>
          <w:sz w:val="26"/>
          <w:szCs w:val="26"/>
        </w:rPr>
        <w:t xml:space="preserve"> DSP Orders</w:t>
      </w:r>
      <w:r w:rsidRPr="00D37500">
        <w:rPr>
          <w:i/>
          <w:sz w:val="26"/>
          <w:szCs w:val="26"/>
        </w:rPr>
        <w:t>.</w:t>
      </w:r>
      <w:r w:rsidRPr="00D37500">
        <w:rPr>
          <w:sz w:val="26"/>
          <w:szCs w:val="26"/>
        </w:rPr>
        <w:t xml:space="preserve">  We have not been presented with any evidence that would cause us to alter that conclusion in this proceeding.  </w:t>
      </w:r>
      <w:r w:rsidR="0017606D">
        <w:rPr>
          <w:sz w:val="26"/>
          <w:szCs w:val="26"/>
        </w:rPr>
        <w:t xml:space="preserve">However, we also note that by starting the Opt-In Program on July 1, 2013, and staggering the initiation of the SO program by one month, we have sufficiently addressed any concerns with potential customer confusion.  The Opt-In </w:t>
      </w:r>
      <w:r w:rsidR="0028239A">
        <w:rPr>
          <w:sz w:val="26"/>
          <w:szCs w:val="26"/>
        </w:rPr>
        <w:t xml:space="preserve">Program </w:t>
      </w:r>
      <w:r w:rsidR="0017606D">
        <w:rPr>
          <w:sz w:val="26"/>
          <w:szCs w:val="26"/>
        </w:rPr>
        <w:t xml:space="preserve">enrollment will be complete and the program </w:t>
      </w:r>
      <w:r w:rsidR="0028239A">
        <w:rPr>
          <w:sz w:val="26"/>
          <w:szCs w:val="26"/>
        </w:rPr>
        <w:t xml:space="preserve">will be </w:t>
      </w:r>
      <w:r w:rsidR="0017606D">
        <w:rPr>
          <w:sz w:val="26"/>
          <w:szCs w:val="26"/>
        </w:rPr>
        <w:t xml:space="preserve">in progress prior to the August 1, 2013, start of the SO Program.  </w:t>
      </w:r>
      <w:r w:rsidRPr="00D37500">
        <w:rPr>
          <w:sz w:val="26"/>
          <w:szCs w:val="26"/>
        </w:rPr>
        <w:t>With regard to Duques</w:t>
      </w:r>
      <w:r>
        <w:rPr>
          <w:sz w:val="26"/>
          <w:szCs w:val="26"/>
        </w:rPr>
        <w:t xml:space="preserve">ne’s assertions regarding </w:t>
      </w:r>
      <w:r w:rsidRPr="00D37500">
        <w:rPr>
          <w:sz w:val="26"/>
          <w:szCs w:val="26"/>
        </w:rPr>
        <w:t>its IT capabilities, we are persuaded by the arguments of RESA and FES that Duquesne should be able to accommodate a switch that</w:t>
      </w:r>
      <w:r>
        <w:rPr>
          <w:sz w:val="26"/>
          <w:szCs w:val="26"/>
        </w:rPr>
        <w:t xml:space="preserve"> occurs through the SO </w:t>
      </w:r>
      <w:r w:rsidRPr="00D37500">
        <w:rPr>
          <w:sz w:val="26"/>
          <w:szCs w:val="26"/>
        </w:rPr>
        <w:t xml:space="preserve">Program just as it has accommodated switches </w:t>
      </w:r>
      <w:r>
        <w:rPr>
          <w:sz w:val="26"/>
          <w:szCs w:val="26"/>
        </w:rPr>
        <w:t xml:space="preserve">outside of RME programs for many </w:t>
      </w:r>
      <w:r w:rsidRPr="00D37500">
        <w:rPr>
          <w:sz w:val="26"/>
          <w:szCs w:val="26"/>
        </w:rPr>
        <w:t xml:space="preserve">years.  </w:t>
      </w:r>
      <w:r>
        <w:rPr>
          <w:sz w:val="26"/>
          <w:szCs w:val="26"/>
        </w:rPr>
        <w:t xml:space="preserve">We agree with </w:t>
      </w:r>
      <w:r w:rsidRPr="00D37500">
        <w:rPr>
          <w:sz w:val="26"/>
          <w:szCs w:val="26"/>
        </w:rPr>
        <w:t>RESA</w:t>
      </w:r>
      <w:r>
        <w:rPr>
          <w:sz w:val="26"/>
          <w:szCs w:val="26"/>
        </w:rPr>
        <w:t>’s</w:t>
      </w:r>
      <w:r w:rsidRPr="00D37500">
        <w:rPr>
          <w:sz w:val="26"/>
          <w:szCs w:val="26"/>
        </w:rPr>
        <w:t xml:space="preserve"> </w:t>
      </w:r>
      <w:r>
        <w:rPr>
          <w:sz w:val="26"/>
          <w:szCs w:val="26"/>
        </w:rPr>
        <w:t>assertion that Duquesne’s</w:t>
      </w:r>
      <w:r w:rsidRPr="00D37500">
        <w:rPr>
          <w:sz w:val="26"/>
          <w:szCs w:val="26"/>
        </w:rPr>
        <w:t xml:space="preserve"> focus should be on starting the</w:t>
      </w:r>
      <w:r>
        <w:rPr>
          <w:sz w:val="26"/>
          <w:szCs w:val="26"/>
        </w:rPr>
        <w:t xml:space="preserve"> SO P</w:t>
      </w:r>
      <w:r w:rsidRPr="00D37500">
        <w:rPr>
          <w:sz w:val="26"/>
          <w:szCs w:val="26"/>
        </w:rPr>
        <w:t>rogram</w:t>
      </w:r>
      <w:r w:rsidRPr="00A859AF">
        <w:rPr>
          <w:sz w:val="26"/>
          <w:szCs w:val="26"/>
        </w:rPr>
        <w:t xml:space="preserve"> as soon as possible and adding enhancements when they are available.</w:t>
      </w:r>
      <w:r>
        <w:rPr>
          <w:sz w:val="26"/>
          <w:szCs w:val="26"/>
        </w:rPr>
        <w:t xml:space="preserve">  </w:t>
      </w:r>
      <w:r w:rsidR="00007CEC">
        <w:rPr>
          <w:sz w:val="26"/>
          <w:szCs w:val="26"/>
        </w:rPr>
        <w:t xml:space="preserve">However, as a matter of practical necessity, we believe that it is necessary to delay the implementation date of the SO Program by two months, and to </w:t>
      </w:r>
      <w:r w:rsidR="00007CEC">
        <w:rPr>
          <w:sz w:val="26"/>
          <w:szCs w:val="26"/>
        </w:rPr>
        <w:lastRenderedPageBreak/>
        <w:t xml:space="preserve">stagger the implementation dates of the two RME Programs slightly to provide sufficient time to resolve outstanding issues.  </w:t>
      </w:r>
      <w:r>
        <w:rPr>
          <w:sz w:val="26"/>
          <w:szCs w:val="26"/>
        </w:rPr>
        <w:t>Accordingly, we shall reject the ALJ’s recommendation and grant</w:t>
      </w:r>
      <w:r w:rsidR="00007CEC">
        <w:rPr>
          <w:sz w:val="26"/>
          <w:szCs w:val="26"/>
        </w:rPr>
        <w:t>, in part,</w:t>
      </w:r>
      <w:r>
        <w:rPr>
          <w:sz w:val="26"/>
          <w:szCs w:val="26"/>
        </w:rPr>
        <w:t xml:space="preserve"> the Exceptions of RESA and FES on this issue.</w:t>
      </w:r>
      <w:r w:rsidRPr="00EE5722">
        <w:rPr>
          <w:color w:val="000000" w:themeColor="text1"/>
          <w:sz w:val="26"/>
          <w:szCs w:val="26"/>
        </w:rPr>
        <w:tab/>
      </w:r>
      <w:r w:rsidRPr="00EE5722">
        <w:rPr>
          <w:color w:val="000000" w:themeColor="text1"/>
          <w:sz w:val="26"/>
          <w:szCs w:val="26"/>
        </w:rPr>
        <w:tab/>
      </w:r>
    </w:p>
    <w:p w:rsidR="00E95194" w:rsidRPr="00EE5722" w:rsidRDefault="00E95194" w:rsidP="00872335">
      <w:pPr>
        <w:pStyle w:val="BodyText"/>
        <w:spacing w:after="0" w:line="360" w:lineRule="auto"/>
        <w:ind w:left="0" w:firstLine="0"/>
        <w:rPr>
          <w:sz w:val="26"/>
          <w:szCs w:val="26"/>
        </w:rPr>
      </w:pPr>
      <w:r w:rsidRPr="00EE5722">
        <w:rPr>
          <w:sz w:val="26"/>
          <w:szCs w:val="26"/>
        </w:rPr>
        <w:tab/>
      </w:r>
    </w:p>
    <w:p w:rsidR="00E95194" w:rsidRPr="00EE5722" w:rsidRDefault="00E95194" w:rsidP="00584C88">
      <w:pPr>
        <w:pStyle w:val="Heading4"/>
        <w:numPr>
          <w:ilvl w:val="0"/>
          <w:numId w:val="0"/>
        </w:numPr>
        <w:ind w:left="2880" w:hanging="720"/>
      </w:pPr>
      <w:bookmarkStart w:id="146" w:name="_Toc346705388"/>
      <w:r>
        <w:t>d</w:t>
      </w:r>
      <w:r w:rsidRPr="00EE5722">
        <w:t>.</w:t>
      </w:r>
      <w:r w:rsidRPr="00EE5722">
        <w:tab/>
        <w:t>Program Suspension</w:t>
      </w:r>
      <w:bookmarkEnd w:id="146"/>
    </w:p>
    <w:p w:rsidR="00E95194" w:rsidRPr="00EE5722" w:rsidRDefault="00E95194" w:rsidP="00872335">
      <w:pPr>
        <w:pStyle w:val="BriefL3"/>
        <w:numPr>
          <w:ilvl w:val="0"/>
          <w:numId w:val="0"/>
        </w:numPr>
        <w:spacing w:after="0" w:line="360" w:lineRule="auto"/>
        <w:outlineLvl w:val="9"/>
        <w:rPr>
          <w:b/>
          <w:sz w:val="26"/>
          <w:szCs w:val="26"/>
        </w:rPr>
      </w:pPr>
      <w:r w:rsidRPr="00EE5722">
        <w:rPr>
          <w:b/>
          <w:sz w:val="26"/>
          <w:szCs w:val="26"/>
        </w:rPr>
        <w:tab/>
      </w:r>
      <w:r w:rsidRPr="00EE5722">
        <w:rPr>
          <w:b/>
          <w:sz w:val="26"/>
          <w:szCs w:val="26"/>
        </w:rPr>
        <w:tab/>
      </w:r>
      <w:r w:rsidRPr="00EE5722">
        <w:rPr>
          <w:b/>
          <w:sz w:val="26"/>
          <w:szCs w:val="26"/>
        </w:rPr>
        <w:tab/>
      </w:r>
    </w:p>
    <w:p w:rsidR="00E95194" w:rsidRPr="00EE5722" w:rsidRDefault="00E95194" w:rsidP="00584C88">
      <w:pPr>
        <w:pStyle w:val="Heading5"/>
        <w:numPr>
          <w:ilvl w:val="0"/>
          <w:numId w:val="0"/>
        </w:numPr>
        <w:ind w:left="3600" w:hanging="720"/>
      </w:pPr>
      <w:bookmarkStart w:id="147" w:name="_Toc346705389"/>
      <w:r>
        <w:t>i.</w:t>
      </w:r>
      <w:r>
        <w:tab/>
        <w:t>Duquesne</w:t>
      </w:r>
      <w:r w:rsidRPr="00EE5722">
        <w:t>’s Proposal</w:t>
      </w:r>
      <w:bookmarkEnd w:id="147"/>
    </w:p>
    <w:p w:rsidR="00E95194" w:rsidRPr="00EE5722" w:rsidRDefault="00E95194" w:rsidP="00872335">
      <w:pPr>
        <w:pStyle w:val="BodyText"/>
        <w:spacing w:after="0" w:line="360" w:lineRule="auto"/>
        <w:ind w:left="0" w:firstLine="0"/>
        <w:rPr>
          <w:sz w:val="26"/>
          <w:szCs w:val="26"/>
        </w:rPr>
      </w:pPr>
    </w:p>
    <w:p w:rsidR="00E95194" w:rsidRDefault="00E95194" w:rsidP="00872335">
      <w:pPr>
        <w:pStyle w:val="BodyText2"/>
        <w:spacing w:after="0" w:line="360" w:lineRule="auto"/>
        <w:rPr>
          <w:sz w:val="26"/>
          <w:szCs w:val="26"/>
          <w:lang w:val="en-US"/>
        </w:rPr>
      </w:pPr>
      <w:r w:rsidRPr="00EE5722">
        <w:rPr>
          <w:sz w:val="26"/>
          <w:szCs w:val="26"/>
        </w:rPr>
        <w:tab/>
      </w:r>
      <w:r w:rsidRPr="00EE5722">
        <w:rPr>
          <w:sz w:val="26"/>
          <w:szCs w:val="26"/>
        </w:rPr>
        <w:tab/>
      </w:r>
      <w:r>
        <w:rPr>
          <w:sz w:val="26"/>
          <w:szCs w:val="26"/>
        </w:rPr>
        <w:t>Duquesne proposed</w:t>
      </w:r>
      <w:r w:rsidRPr="00EE5722">
        <w:rPr>
          <w:sz w:val="26"/>
          <w:szCs w:val="26"/>
        </w:rPr>
        <w:t xml:space="preserve"> to offer the SO Program on an ongoing basis from June 1, 2014 through the remainder of the DSP VI period on May 31, 2015</w:t>
      </w:r>
      <w:r>
        <w:rPr>
          <w:sz w:val="26"/>
          <w:szCs w:val="26"/>
        </w:rPr>
        <w:t>.  Duquesne proposed</w:t>
      </w:r>
      <w:r w:rsidRPr="00EE5722">
        <w:rPr>
          <w:sz w:val="26"/>
          <w:szCs w:val="26"/>
        </w:rPr>
        <w:t xml:space="preserve"> to suspend new referrals to the SO Program through the end of the DSP VI period in the event residential shopping levels reach 67% of residential cus</w:t>
      </w:r>
      <w:r>
        <w:rPr>
          <w:sz w:val="26"/>
          <w:szCs w:val="26"/>
        </w:rPr>
        <w:t>tomer accounts.  Duquesne proposed</w:t>
      </w:r>
      <w:r w:rsidRPr="00EE5722">
        <w:rPr>
          <w:sz w:val="26"/>
          <w:szCs w:val="26"/>
        </w:rPr>
        <w:t xml:space="preserve"> this program suspension to reduce wholesale supplier risk premiums.  If residential shopping reached these levels, this expansion </w:t>
      </w:r>
      <w:r>
        <w:rPr>
          <w:sz w:val="26"/>
          <w:szCs w:val="26"/>
        </w:rPr>
        <w:t>would place Duquesne</w:t>
      </w:r>
      <w:r w:rsidRPr="00EE5722">
        <w:rPr>
          <w:sz w:val="26"/>
          <w:szCs w:val="26"/>
        </w:rPr>
        <w:t>’s residential shopping levels within the top five</w:t>
      </w:r>
      <w:r>
        <w:rPr>
          <w:sz w:val="26"/>
          <w:szCs w:val="26"/>
        </w:rPr>
        <w:t xml:space="preserve"> in the United States.  Therefore, the program suspension would serve</w:t>
      </w:r>
      <w:r w:rsidRPr="00EE5722">
        <w:rPr>
          <w:sz w:val="26"/>
          <w:szCs w:val="26"/>
        </w:rPr>
        <w:t xml:space="preserve"> a valuable purpose to reduce risk premiums without being t</w:t>
      </w:r>
      <w:r>
        <w:rPr>
          <w:sz w:val="26"/>
          <w:szCs w:val="26"/>
        </w:rPr>
        <w:t>oo restrictive.  Duquesne St. 3 at 42-</w:t>
      </w:r>
      <w:r w:rsidRPr="00EE5722">
        <w:rPr>
          <w:sz w:val="26"/>
          <w:szCs w:val="26"/>
        </w:rPr>
        <w:t>43.</w:t>
      </w:r>
    </w:p>
    <w:p w:rsidR="00584C88" w:rsidRPr="00584C88" w:rsidRDefault="00584C88" w:rsidP="00872335">
      <w:pPr>
        <w:pStyle w:val="BodyText2"/>
        <w:spacing w:after="0" w:line="360" w:lineRule="auto"/>
        <w:rPr>
          <w:sz w:val="26"/>
          <w:szCs w:val="26"/>
          <w:lang w:val="en-US"/>
        </w:rPr>
      </w:pPr>
    </w:p>
    <w:p w:rsidR="00E95194" w:rsidRPr="00EE5722" w:rsidRDefault="00E95194" w:rsidP="00584C88">
      <w:pPr>
        <w:pStyle w:val="Heading5"/>
        <w:numPr>
          <w:ilvl w:val="0"/>
          <w:numId w:val="0"/>
        </w:numPr>
        <w:ind w:left="3600" w:hanging="720"/>
      </w:pPr>
      <w:bookmarkStart w:id="148" w:name="_Toc346705390"/>
      <w:r>
        <w:t>ii.</w:t>
      </w:r>
      <w:r>
        <w:tab/>
      </w:r>
      <w:r w:rsidRPr="00EE5722">
        <w:t>Position</w:t>
      </w:r>
      <w:r>
        <w:t>s of the Parties</w:t>
      </w:r>
      <w:bookmarkEnd w:id="148"/>
    </w:p>
    <w:p w:rsidR="00E95194" w:rsidRPr="00EE5722" w:rsidRDefault="00E95194" w:rsidP="00E95194">
      <w:pPr>
        <w:pStyle w:val="BodyText"/>
        <w:spacing w:after="0" w:line="360" w:lineRule="auto"/>
        <w:ind w:left="0" w:firstLine="0"/>
        <w:rPr>
          <w:sz w:val="26"/>
          <w:szCs w:val="26"/>
        </w:rPr>
      </w:pPr>
    </w:p>
    <w:p w:rsidR="00E95194" w:rsidRPr="006E6E32" w:rsidRDefault="00E95194" w:rsidP="00872335">
      <w:pPr>
        <w:pStyle w:val="BodyText2"/>
        <w:spacing w:after="0" w:line="360" w:lineRule="auto"/>
        <w:ind w:firstLine="1440"/>
        <w:rPr>
          <w:sz w:val="26"/>
          <w:szCs w:val="26"/>
        </w:rPr>
      </w:pPr>
      <w:r>
        <w:rPr>
          <w:sz w:val="26"/>
          <w:szCs w:val="26"/>
        </w:rPr>
        <w:t xml:space="preserve">The </w:t>
      </w:r>
      <w:r w:rsidRPr="00EE5722">
        <w:rPr>
          <w:sz w:val="26"/>
          <w:szCs w:val="26"/>
        </w:rPr>
        <w:t>OCA note</w:t>
      </w:r>
      <w:r>
        <w:rPr>
          <w:sz w:val="26"/>
          <w:szCs w:val="26"/>
        </w:rPr>
        <w:t>d that</w:t>
      </w:r>
      <w:r w:rsidRPr="00EE5722">
        <w:rPr>
          <w:sz w:val="26"/>
          <w:szCs w:val="26"/>
        </w:rPr>
        <w:t xml:space="preserve"> the potential increase in costs to default service customers is a</w:t>
      </w:r>
      <w:r>
        <w:rPr>
          <w:sz w:val="26"/>
          <w:szCs w:val="26"/>
        </w:rPr>
        <w:t xml:space="preserve">nother reason that the SO </w:t>
      </w:r>
      <w:r w:rsidRPr="00EE5722">
        <w:rPr>
          <w:sz w:val="26"/>
          <w:szCs w:val="26"/>
        </w:rPr>
        <w:t xml:space="preserve">Program should be targeted only to new and moving customers or </w:t>
      </w:r>
      <w:r>
        <w:rPr>
          <w:sz w:val="26"/>
          <w:szCs w:val="26"/>
        </w:rPr>
        <w:t xml:space="preserve">to </w:t>
      </w:r>
      <w:r w:rsidRPr="00EE5722">
        <w:rPr>
          <w:sz w:val="26"/>
          <w:szCs w:val="26"/>
        </w:rPr>
        <w:t>those who specifically ask for shopping information</w:t>
      </w:r>
      <w:r>
        <w:rPr>
          <w:sz w:val="26"/>
          <w:szCs w:val="26"/>
        </w:rPr>
        <w:t>,</w:t>
      </w:r>
      <w:r w:rsidRPr="00EE5722">
        <w:rPr>
          <w:sz w:val="26"/>
          <w:szCs w:val="26"/>
        </w:rPr>
        <w:t xml:space="preserve"> thus eliminating the solicitation of cus</w:t>
      </w:r>
      <w:r>
        <w:rPr>
          <w:sz w:val="26"/>
          <w:szCs w:val="26"/>
        </w:rPr>
        <w:t xml:space="preserve">tomers who call Duquesne regarding </w:t>
      </w:r>
      <w:r w:rsidRPr="00EE5722">
        <w:rPr>
          <w:sz w:val="26"/>
          <w:szCs w:val="26"/>
        </w:rPr>
        <w:t>a high bill inqui</w:t>
      </w:r>
      <w:r>
        <w:rPr>
          <w:sz w:val="26"/>
          <w:szCs w:val="26"/>
        </w:rPr>
        <w:t>ry or complaint or other reason</w:t>
      </w:r>
      <w:r w:rsidRPr="00EE5722">
        <w:rPr>
          <w:sz w:val="26"/>
          <w:szCs w:val="26"/>
        </w:rPr>
        <w:t xml:space="preserve">.  OCA St. 1-R at 15.  By restricting the type of calls during which the </w:t>
      </w:r>
      <w:r>
        <w:rPr>
          <w:sz w:val="26"/>
          <w:szCs w:val="26"/>
        </w:rPr>
        <w:t xml:space="preserve">SO </w:t>
      </w:r>
      <w:r w:rsidRPr="00EE5722">
        <w:rPr>
          <w:sz w:val="26"/>
          <w:szCs w:val="26"/>
        </w:rPr>
        <w:t>Program can be introduced, there is a reduced need for limi</w:t>
      </w:r>
      <w:r>
        <w:rPr>
          <w:sz w:val="26"/>
          <w:szCs w:val="26"/>
        </w:rPr>
        <w:t>ting or terminating the SO</w:t>
      </w:r>
      <w:r w:rsidRPr="00EE5722">
        <w:rPr>
          <w:sz w:val="26"/>
          <w:szCs w:val="26"/>
        </w:rPr>
        <w:t xml:space="preserve"> Program based on a migrati</w:t>
      </w:r>
      <w:r>
        <w:rPr>
          <w:sz w:val="26"/>
          <w:szCs w:val="26"/>
        </w:rPr>
        <w:t xml:space="preserve">on level. </w:t>
      </w:r>
    </w:p>
    <w:p w:rsidR="00E95194" w:rsidRPr="00E22204" w:rsidRDefault="00E95194" w:rsidP="00872335">
      <w:pPr>
        <w:pStyle w:val="BodyText2"/>
        <w:spacing w:after="0" w:line="360" w:lineRule="auto"/>
        <w:ind w:firstLine="1440"/>
        <w:rPr>
          <w:sz w:val="26"/>
          <w:szCs w:val="26"/>
        </w:rPr>
      </w:pPr>
    </w:p>
    <w:p w:rsidR="00E95194" w:rsidRPr="005915E1" w:rsidRDefault="00E95194" w:rsidP="005915E1">
      <w:pPr>
        <w:spacing w:line="360" w:lineRule="auto"/>
        <w:ind w:firstLine="1440"/>
        <w:rPr>
          <w:sz w:val="26"/>
          <w:szCs w:val="26"/>
        </w:rPr>
      </w:pPr>
      <w:r w:rsidRPr="005915E1">
        <w:rPr>
          <w:sz w:val="26"/>
          <w:szCs w:val="26"/>
        </w:rPr>
        <w:lastRenderedPageBreak/>
        <w:t xml:space="preserve">RESA disagreed with Duquesne’s proposal for several reasons.  RESA argued that, if a migration level of 67% were achieved, it would be risky to begin dismantling the very apparatus that helped to achieve it.  According to RESA, even if the two-thirds migration level was reached, there would still be approximately 173,000 residential customers on default service, meaning that there would be additional customers who could benefit from continuation of the SO Program.  Finally, RESA argued that, unless the more permanent program for new and moving customers is in place by June 1, 2015, the SO Program should remain in place, at least as applied to new and moving customers. </w:t>
      </w:r>
    </w:p>
    <w:p w:rsidR="00E95194" w:rsidRPr="00EE5722" w:rsidRDefault="00E95194" w:rsidP="006D07BB">
      <w:pPr>
        <w:pStyle w:val="Normal1"/>
      </w:pPr>
    </w:p>
    <w:p w:rsidR="00E95194" w:rsidRDefault="00E95194" w:rsidP="00872335">
      <w:pPr>
        <w:pStyle w:val="BodyText2"/>
        <w:spacing w:after="0" w:line="360" w:lineRule="auto"/>
        <w:ind w:firstLine="1440"/>
        <w:rPr>
          <w:sz w:val="26"/>
          <w:szCs w:val="26"/>
        </w:rPr>
      </w:pPr>
      <w:r w:rsidRPr="00EE5722">
        <w:rPr>
          <w:sz w:val="26"/>
          <w:szCs w:val="26"/>
        </w:rPr>
        <w:t xml:space="preserve">Citizen Power </w:t>
      </w:r>
      <w:r>
        <w:rPr>
          <w:sz w:val="26"/>
          <w:szCs w:val="26"/>
        </w:rPr>
        <w:t>supported Duquesne</w:t>
      </w:r>
      <w:r w:rsidRPr="00EE5722">
        <w:rPr>
          <w:sz w:val="26"/>
          <w:szCs w:val="26"/>
        </w:rPr>
        <w:t>’s p</w:t>
      </w:r>
      <w:r>
        <w:rPr>
          <w:sz w:val="26"/>
          <w:szCs w:val="26"/>
        </w:rPr>
        <w:t xml:space="preserve">roposal to suspend the SO Program </w:t>
      </w:r>
      <w:r w:rsidRPr="00EE5722">
        <w:rPr>
          <w:sz w:val="26"/>
          <w:szCs w:val="26"/>
        </w:rPr>
        <w:t xml:space="preserve">once shopping </w:t>
      </w:r>
      <w:r>
        <w:rPr>
          <w:sz w:val="26"/>
          <w:szCs w:val="26"/>
        </w:rPr>
        <w:t>levels reach</w:t>
      </w:r>
      <w:r w:rsidRPr="00EE5722">
        <w:rPr>
          <w:sz w:val="26"/>
          <w:szCs w:val="26"/>
        </w:rPr>
        <w:t xml:space="preserve"> 67% in order to reduce the risk premium associated with bidding on default service.</w:t>
      </w:r>
    </w:p>
    <w:p w:rsidR="00E95194" w:rsidRPr="00311A81" w:rsidRDefault="00E95194" w:rsidP="00E95194">
      <w:pPr>
        <w:pStyle w:val="BodyText2"/>
        <w:spacing w:after="0" w:line="360" w:lineRule="auto"/>
        <w:ind w:firstLine="1440"/>
        <w:rPr>
          <w:sz w:val="26"/>
          <w:szCs w:val="26"/>
        </w:rPr>
      </w:pPr>
    </w:p>
    <w:p w:rsidR="00E95194" w:rsidRPr="00EE5722" w:rsidRDefault="00E95194" w:rsidP="00872335">
      <w:pPr>
        <w:pStyle w:val="BodyTextFirstLine5DS"/>
        <w:spacing w:line="360" w:lineRule="auto"/>
        <w:ind w:firstLine="1440"/>
        <w:jc w:val="left"/>
        <w:rPr>
          <w:sz w:val="26"/>
          <w:szCs w:val="26"/>
        </w:rPr>
      </w:pPr>
      <w:r>
        <w:rPr>
          <w:sz w:val="26"/>
          <w:szCs w:val="26"/>
        </w:rPr>
        <w:t>FES contended that Duquesne did</w:t>
      </w:r>
      <w:r w:rsidRPr="00EE5722">
        <w:rPr>
          <w:sz w:val="26"/>
          <w:szCs w:val="26"/>
        </w:rPr>
        <w:t xml:space="preserve"> not </w:t>
      </w:r>
      <w:r>
        <w:rPr>
          <w:sz w:val="26"/>
          <w:szCs w:val="26"/>
        </w:rPr>
        <w:t xml:space="preserve">adequately </w:t>
      </w:r>
      <w:r w:rsidRPr="00EE5722">
        <w:rPr>
          <w:sz w:val="26"/>
          <w:szCs w:val="26"/>
        </w:rPr>
        <w:t xml:space="preserve">explain why it </w:t>
      </w:r>
      <w:r>
        <w:rPr>
          <w:sz w:val="26"/>
          <w:szCs w:val="26"/>
        </w:rPr>
        <w:t>proposed to suspend the SO</w:t>
      </w:r>
      <w:r w:rsidRPr="00EE5722">
        <w:rPr>
          <w:sz w:val="26"/>
          <w:szCs w:val="26"/>
        </w:rPr>
        <w:t xml:space="preserve"> Program when this level of sho</w:t>
      </w:r>
      <w:r>
        <w:rPr>
          <w:sz w:val="26"/>
          <w:szCs w:val="26"/>
        </w:rPr>
        <w:t>pping is reached, and disagreed</w:t>
      </w:r>
      <w:r w:rsidRPr="00EE5722">
        <w:rPr>
          <w:sz w:val="26"/>
          <w:szCs w:val="26"/>
        </w:rPr>
        <w:t xml:space="preserve"> with suspending the program under any circumstances.  </w:t>
      </w:r>
      <w:r>
        <w:rPr>
          <w:sz w:val="26"/>
          <w:szCs w:val="26"/>
        </w:rPr>
        <w:t>According to FES, s</w:t>
      </w:r>
      <w:r w:rsidRPr="00EE5722">
        <w:rPr>
          <w:sz w:val="26"/>
          <w:szCs w:val="26"/>
        </w:rPr>
        <w:t xml:space="preserve">uppliers who participate in this program should not have </w:t>
      </w:r>
      <w:r w:rsidR="00505609">
        <w:rPr>
          <w:sz w:val="26"/>
          <w:szCs w:val="26"/>
        </w:rPr>
        <w:t>their</w:t>
      </w:r>
      <w:r w:rsidRPr="00EE5722">
        <w:rPr>
          <w:sz w:val="26"/>
          <w:szCs w:val="26"/>
        </w:rPr>
        <w:t xml:space="preserve"> benefits stopped when an arbitrary shopping level is achieved, par</w:t>
      </w:r>
      <w:r>
        <w:rPr>
          <w:sz w:val="26"/>
          <w:szCs w:val="26"/>
        </w:rPr>
        <w:t>ticularly if, as Duquesne proposed</w:t>
      </w:r>
      <w:r w:rsidRPr="00EE5722">
        <w:rPr>
          <w:sz w:val="26"/>
          <w:szCs w:val="26"/>
        </w:rPr>
        <w:t xml:space="preserve">, they will be responsible for all the costs of the program.  Nor should customers be denied the benefits of this program just because an arbitrary shopping </w:t>
      </w:r>
      <w:r>
        <w:rPr>
          <w:sz w:val="26"/>
          <w:szCs w:val="26"/>
        </w:rPr>
        <w:t xml:space="preserve">level is achieved per FES.  FES St. </w:t>
      </w:r>
      <w:r w:rsidRPr="00EE5722">
        <w:rPr>
          <w:sz w:val="26"/>
          <w:szCs w:val="26"/>
        </w:rPr>
        <w:t>1 at 16-17.</w:t>
      </w:r>
    </w:p>
    <w:p w:rsidR="00E95194" w:rsidRDefault="00E95194" w:rsidP="00E95194">
      <w:pPr>
        <w:pStyle w:val="BodyText"/>
        <w:spacing w:after="0" w:line="360" w:lineRule="auto"/>
        <w:ind w:left="0" w:firstLine="0"/>
        <w:rPr>
          <w:sz w:val="26"/>
          <w:szCs w:val="26"/>
        </w:rPr>
      </w:pPr>
    </w:p>
    <w:p w:rsidR="00E95194" w:rsidRDefault="00E95194" w:rsidP="00872335">
      <w:pPr>
        <w:pStyle w:val="BodyText"/>
        <w:spacing w:after="0" w:line="360" w:lineRule="auto"/>
        <w:ind w:left="0"/>
        <w:rPr>
          <w:sz w:val="26"/>
          <w:szCs w:val="26"/>
        </w:rPr>
      </w:pPr>
      <w:r>
        <w:rPr>
          <w:sz w:val="26"/>
          <w:szCs w:val="26"/>
        </w:rPr>
        <w:t>The OSBA, CAUSE, DII, Dominion and Constellation took no position on this issue.</w:t>
      </w:r>
    </w:p>
    <w:p w:rsidR="00E95194" w:rsidRPr="00EE5722" w:rsidRDefault="00E95194" w:rsidP="00872335">
      <w:pPr>
        <w:pStyle w:val="BodyText"/>
        <w:spacing w:after="0" w:line="360" w:lineRule="auto"/>
        <w:ind w:left="0" w:firstLine="0"/>
        <w:rPr>
          <w:sz w:val="26"/>
          <w:szCs w:val="26"/>
        </w:rPr>
      </w:pPr>
    </w:p>
    <w:p w:rsidR="00E95194" w:rsidRPr="00EE5722" w:rsidRDefault="00E95194" w:rsidP="00584C88">
      <w:pPr>
        <w:pStyle w:val="Heading5"/>
        <w:numPr>
          <w:ilvl w:val="0"/>
          <w:numId w:val="0"/>
        </w:numPr>
        <w:ind w:left="3600" w:hanging="720"/>
      </w:pPr>
      <w:bookmarkStart w:id="149" w:name="_Toc346705391"/>
      <w:r>
        <w:t>iii.</w:t>
      </w:r>
      <w:r>
        <w:tab/>
        <w:t xml:space="preserve">ALJ’s </w:t>
      </w:r>
      <w:r w:rsidR="00872335">
        <w:t>Recommendation</w:t>
      </w:r>
      <w:bookmarkEnd w:id="149"/>
      <w:r w:rsidR="00872335">
        <w:t xml:space="preserve"> </w:t>
      </w:r>
    </w:p>
    <w:p w:rsidR="00E95194" w:rsidRPr="00EE5722" w:rsidRDefault="00E95194" w:rsidP="006D07BB">
      <w:pPr>
        <w:pStyle w:val="Normal1"/>
      </w:pPr>
    </w:p>
    <w:p w:rsidR="00E95194" w:rsidRPr="005112B2" w:rsidRDefault="00E95194" w:rsidP="00872335">
      <w:pPr>
        <w:pStyle w:val="BodyText"/>
        <w:spacing w:after="0" w:line="360" w:lineRule="auto"/>
        <w:ind w:left="0"/>
        <w:rPr>
          <w:color w:val="000000" w:themeColor="text1"/>
          <w:sz w:val="26"/>
          <w:szCs w:val="26"/>
        </w:rPr>
      </w:pPr>
      <w:r>
        <w:rPr>
          <w:color w:val="000000" w:themeColor="text1"/>
          <w:sz w:val="26"/>
          <w:szCs w:val="26"/>
        </w:rPr>
        <w:lastRenderedPageBreak/>
        <w:t xml:space="preserve">The ALJ recommended </w:t>
      </w:r>
      <w:r w:rsidRPr="00EE5722">
        <w:rPr>
          <w:color w:val="000000" w:themeColor="text1"/>
          <w:sz w:val="26"/>
          <w:szCs w:val="26"/>
        </w:rPr>
        <w:t xml:space="preserve">that the SO Program should be offered through the end of this DSP period (i.e., May 31, 2015) regardless of the level of </w:t>
      </w:r>
      <w:r>
        <w:rPr>
          <w:color w:val="000000" w:themeColor="text1"/>
          <w:sz w:val="26"/>
          <w:szCs w:val="26"/>
        </w:rPr>
        <w:t xml:space="preserve">customer shopping </w:t>
      </w:r>
      <w:r w:rsidRPr="00EE5722">
        <w:rPr>
          <w:color w:val="000000" w:themeColor="text1"/>
          <w:sz w:val="26"/>
          <w:szCs w:val="26"/>
        </w:rPr>
        <w:t xml:space="preserve">realized during this DSP. </w:t>
      </w:r>
      <w:r>
        <w:rPr>
          <w:color w:val="000000" w:themeColor="text1"/>
          <w:sz w:val="26"/>
          <w:szCs w:val="26"/>
        </w:rPr>
        <w:t xml:space="preserve"> The ALJ disagreed with Duquesne’s position that it would be</w:t>
      </w:r>
      <w:r w:rsidRPr="00EE5722">
        <w:rPr>
          <w:color w:val="000000" w:themeColor="text1"/>
          <w:sz w:val="26"/>
          <w:szCs w:val="26"/>
        </w:rPr>
        <w:t xml:space="preserve"> necessary to suspend the program earlier than May 31, 2015</w:t>
      </w:r>
      <w:r>
        <w:rPr>
          <w:color w:val="000000" w:themeColor="text1"/>
          <w:sz w:val="26"/>
          <w:szCs w:val="26"/>
        </w:rPr>
        <w:t xml:space="preserve">, if residential shopping </w:t>
      </w:r>
      <w:r w:rsidRPr="00EE5722">
        <w:rPr>
          <w:color w:val="000000" w:themeColor="text1"/>
          <w:sz w:val="26"/>
          <w:szCs w:val="26"/>
        </w:rPr>
        <w:t>reach</w:t>
      </w:r>
      <w:r>
        <w:rPr>
          <w:color w:val="000000" w:themeColor="text1"/>
          <w:sz w:val="26"/>
          <w:szCs w:val="26"/>
        </w:rPr>
        <w:t>es</w:t>
      </w:r>
      <w:r w:rsidRPr="00EE5722">
        <w:rPr>
          <w:color w:val="000000" w:themeColor="text1"/>
          <w:sz w:val="26"/>
          <w:szCs w:val="26"/>
        </w:rPr>
        <w:t xml:space="preserve"> 67% before that date.  </w:t>
      </w:r>
      <w:r>
        <w:rPr>
          <w:color w:val="000000" w:themeColor="text1"/>
          <w:sz w:val="26"/>
          <w:szCs w:val="26"/>
        </w:rPr>
        <w:t>The ALJ found that, a</w:t>
      </w:r>
      <w:r w:rsidRPr="00EE5722">
        <w:rPr>
          <w:color w:val="000000" w:themeColor="text1"/>
          <w:sz w:val="26"/>
          <w:szCs w:val="26"/>
        </w:rPr>
        <w:t>lthoug</w:t>
      </w:r>
      <w:r>
        <w:rPr>
          <w:color w:val="000000" w:themeColor="text1"/>
          <w:sz w:val="26"/>
          <w:szCs w:val="26"/>
        </w:rPr>
        <w:t xml:space="preserve">h there may be some </w:t>
      </w:r>
      <w:r w:rsidRPr="00EE5722">
        <w:rPr>
          <w:color w:val="000000" w:themeColor="text1"/>
          <w:sz w:val="26"/>
          <w:szCs w:val="26"/>
        </w:rPr>
        <w:t>increase</w:t>
      </w:r>
      <w:r>
        <w:rPr>
          <w:color w:val="000000" w:themeColor="text1"/>
          <w:sz w:val="26"/>
          <w:szCs w:val="26"/>
        </w:rPr>
        <w:t xml:space="preserve">d </w:t>
      </w:r>
      <w:r w:rsidRPr="00EE5722">
        <w:rPr>
          <w:color w:val="000000" w:themeColor="text1"/>
          <w:sz w:val="26"/>
          <w:szCs w:val="26"/>
        </w:rPr>
        <w:t>risk</w:t>
      </w:r>
      <w:r>
        <w:rPr>
          <w:color w:val="000000" w:themeColor="text1"/>
          <w:sz w:val="26"/>
          <w:szCs w:val="26"/>
        </w:rPr>
        <w:t>s</w:t>
      </w:r>
      <w:r w:rsidRPr="00EE5722">
        <w:rPr>
          <w:color w:val="000000" w:themeColor="text1"/>
          <w:sz w:val="26"/>
          <w:szCs w:val="26"/>
        </w:rPr>
        <w:t xml:space="preserve"> for wholesale su</w:t>
      </w:r>
      <w:r>
        <w:rPr>
          <w:color w:val="000000" w:themeColor="text1"/>
          <w:sz w:val="26"/>
          <w:szCs w:val="26"/>
        </w:rPr>
        <w:t xml:space="preserve">ppliers, the purpose of the SO Program </w:t>
      </w:r>
      <w:r w:rsidRPr="00EE5722">
        <w:rPr>
          <w:color w:val="000000" w:themeColor="text1"/>
          <w:sz w:val="26"/>
          <w:szCs w:val="26"/>
        </w:rPr>
        <w:t xml:space="preserve">is to increase shopping as much as possible prior to June 2015.  </w:t>
      </w:r>
      <w:r>
        <w:rPr>
          <w:color w:val="000000" w:themeColor="text1"/>
          <w:sz w:val="26"/>
          <w:szCs w:val="26"/>
        </w:rPr>
        <w:t>The ALJ agreed with RESA that, even if the 67% shopping</w:t>
      </w:r>
      <w:r w:rsidRPr="00EE5722">
        <w:rPr>
          <w:color w:val="000000" w:themeColor="text1"/>
          <w:sz w:val="26"/>
          <w:szCs w:val="26"/>
        </w:rPr>
        <w:t xml:space="preserve"> leve</w:t>
      </w:r>
      <w:r>
        <w:rPr>
          <w:color w:val="000000" w:themeColor="text1"/>
          <w:sz w:val="26"/>
          <w:szCs w:val="26"/>
        </w:rPr>
        <w:t xml:space="preserve">l is reached, </w:t>
      </w:r>
      <w:r w:rsidRPr="00EE5722">
        <w:rPr>
          <w:color w:val="000000" w:themeColor="text1"/>
          <w:sz w:val="26"/>
          <w:szCs w:val="26"/>
        </w:rPr>
        <w:t xml:space="preserve">173,000 residential default service customers </w:t>
      </w:r>
      <w:r>
        <w:rPr>
          <w:color w:val="000000" w:themeColor="text1"/>
          <w:sz w:val="26"/>
          <w:szCs w:val="26"/>
        </w:rPr>
        <w:t>would remain.  Lastly,  the ALJ</w:t>
      </w:r>
      <w:r w:rsidRPr="00EE5722">
        <w:rPr>
          <w:color w:val="000000" w:themeColor="text1"/>
          <w:sz w:val="26"/>
          <w:szCs w:val="26"/>
        </w:rPr>
        <w:t xml:space="preserve"> agre</w:t>
      </w:r>
      <w:r>
        <w:rPr>
          <w:color w:val="000000" w:themeColor="text1"/>
          <w:sz w:val="26"/>
          <w:szCs w:val="26"/>
        </w:rPr>
        <w:t xml:space="preserve">ed with RESA that Duquesne </w:t>
      </w:r>
      <w:r w:rsidRPr="00EE5722">
        <w:rPr>
          <w:color w:val="000000" w:themeColor="text1"/>
          <w:sz w:val="26"/>
          <w:szCs w:val="26"/>
        </w:rPr>
        <w:t>did not prove that the risk to wholesale suppliers outweighs the benefits to be realized if a greater number of residential cust</w:t>
      </w:r>
      <w:r>
        <w:rPr>
          <w:color w:val="000000" w:themeColor="text1"/>
          <w:sz w:val="26"/>
          <w:szCs w:val="26"/>
        </w:rPr>
        <w:t>omers enter the retail market.</w:t>
      </w:r>
      <w:r w:rsidR="00872335">
        <w:rPr>
          <w:color w:val="000000" w:themeColor="text1"/>
          <w:sz w:val="26"/>
          <w:szCs w:val="26"/>
        </w:rPr>
        <w:t xml:space="preserve">  R.D. at 132-133.</w:t>
      </w:r>
      <w:r>
        <w:rPr>
          <w:color w:val="000000" w:themeColor="text1"/>
          <w:sz w:val="26"/>
          <w:szCs w:val="26"/>
        </w:rPr>
        <w:t xml:space="preserve"> </w:t>
      </w:r>
    </w:p>
    <w:p w:rsidR="00E95194" w:rsidRDefault="00E95194" w:rsidP="00584C88">
      <w:pPr>
        <w:pStyle w:val="Heading5"/>
        <w:numPr>
          <w:ilvl w:val="0"/>
          <w:numId w:val="0"/>
        </w:numPr>
        <w:ind w:left="3600" w:hanging="720"/>
      </w:pPr>
      <w:bookmarkStart w:id="150" w:name="_Toc346705392"/>
      <w:r>
        <w:t>iv.</w:t>
      </w:r>
      <w:r>
        <w:tab/>
        <w:t>Exceptions and Reply Exceptions</w:t>
      </w:r>
      <w:bookmarkEnd w:id="150"/>
    </w:p>
    <w:p w:rsidR="00E95194" w:rsidRPr="00EE5722" w:rsidRDefault="00E95194" w:rsidP="00E95194">
      <w:pPr>
        <w:pStyle w:val="BriefL3"/>
        <w:numPr>
          <w:ilvl w:val="0"/>
          <w:numId w:val="0"/>
        </w:numPr>
        <w:spacing w:after="0" w:line="360" w:lineRule="auto"/>
        <w:ind w:left="2880"/>
        <w:rPr>
          <w:b/>
          <w:sz w:val="26"/>
          <w:szCs w:val="26"/>
        </w:rPr>
      </w:pPr>
    </w:p>
    <w:p w:rsidR="00E95194" w:rsidRPr="002F3CE7" w:rsidRDefault="00E95194" w:rsidP="00E95194">
      <w:pPr>
        <w:pStyle w:val="BodyText2"/>
        <w:spacing w:after="0" w:line="360" w:lineRule="auto"/>
        <w:rPr>
          <w:sz w:val="26"/>
          <w:szCs w:val="26"/>
        </w:rPr>
      </w:pPr>
      <w:r>
        <w:rPr>
          <w:sz w:val="26"/>
          <w:szCs w:val="26"/>
        </w:rPr>
        <w:tab/>
      </w:r>
      <w:r>
        <w:rPr>
          <w:sz w:val="26"/>
          <w:szCs w:val="26"/>
        </w:rPr>
        <w:tab/>
        <w:t>No Party filed Exceptions on this issue.</w:t>
      </w:r>
    </w:p>
    <w:p w:rsidR="00E95194" w:rsidRPr="00311A81" w:rsidRDefault="00E95194" w:rsidP="00E95194">
      <w:pPr>
        <w:pStyle w:val="BodyText2"/>
        <w:spacing w:line="360" w:lineRule="auto"/>
        <w:rPr>
          <w:sz w:val="26"/>
          <w:szCs w:val="26"/>
        </w:rPr>
      </w:pPr>
    </w:p>
    <w:p w:rsidR="00E95194" w:rsidRDefault="00E95194" w:rsidP="00584C88">
      <w:pPr>
        <w:pStyle w:val="Heading5"/>
        <w:numPr>
          <w:ilvl w:val="0"/>
          <w:numId w:val="0"/>
        </w:numPr>
        <w:ind w:left="3600" w:hanging="720"/>
      </w:pPr>
      <w:bookmarkStart w:id="151" w:name="_Toc346705393"/>
      <w:r>
        <w:t>v.</w:t>
      </w:r>
      <w:r>
        <w:tab/>
        <w:t>Disposition</w:t>
      </w:r>
      <w:bookmarkEnd w:id="151"/>
    </w:p>
    <w:p w:rsidR="00E95194" w:rsidRDefault="00E95194" w:rsidP="00211CF2">
      <w:pPr>
        <w:pStyle w:val="BriefL3"/>
        <w:keepNext/>
        <w:numPr>
          <w:ilvl w:val="0"/>
          <w:numId w:val="0"/>
        </w:numPr>
        <w:spacing w:after="0" w:line="360" w:lineRule="auto"/>
        <w:ind w:firstLine="720"/>
        <w:rPr>
          <w:b/>
          <w:sz w:val="26"/>
          <w:szCs w:val="26"/>
        </w:rPr>
      </w:pPr>
    </w:p>
    <w:p w:rsidR="00E95194" w:rsidRPr="00EE5722" w:rsidRDefault="00E95194" w:rsidP="009D2B0A">
      <w:pPr>
        <w:pStyle w:val="BriefL3"/>
        <w:numPr>
          <w:ilvl w:val="0"/>
          <w:numId w:val="0"/>
        </w:numPr>
        <w:spacing w:after="0" w:line="360" w:lineRule="auto"/>
        <w:ind w:firstLine="720"/>
        <w:rPr>
          <w:color w:val="000000" w:themeColor="text1"/>
          <w:sz w:val="26"/>
          <w:szCs w:val="26"/>
        </w:rPr>
      </w:pPr>
      <w:r>
        <w:rPr>
          <w:b/>
          <w:sz w:val="26"/>
          <w:szCs w:val="26"/>
        </w:rPr>
        <w:tab/>
      </w:r>
      <w:r w:rsidRPr="005112B2">
        <w:rPr>
          <w:sz w:val="26"/>
          <w:szCs w:val="26"/>
        </w:rPr>
        <w:t>Based upon the evidence of record</w:t>
      </w:r>
      <w:r>
        <w:rPr>
          <w:sz w:val="26"/>
          <w:szCs w:val="26"/>
        </w:rPr>
        <w:t xml:space="preserve"> and the lack of Exceptions filed on this issue, </w:t>
      </w:r>
      <w:r w:rsidR="00002AC3">
        <w:rPr>
          <w:sz w:val="26"/>
          <w:szCs w:val="26"/>
        </w:rPr>
        <w:t xml:space="preserve">and finding the recommendation of the ALJ reasonable, </w:t>
      </w:r>
      <w:r>
        <w:rPr>
          <w:sz w:val="26"/>
          <w:szCs w:val="26"/>
        </w:rPr>
        <w:t>we shall adopt the recommendation of the ALJ without further comment.</w:t>
      </w:r>
      <w:r>
        <w:rPr>
          <w:color w:val="000000" w:themeColor="text1"/>
          <w:sz w:val="26"/>
          <w:szCs w:val="26"/>
        </w:rPr>
        <w:tab/>
      </w:r>
      <w:r>
        <w:rPr>
          <w:color w:val="000000" w:themeColor="text1"/>
          <w:sz w:val="26"/>
          <w:szCs w:val="26"/>
        </w:rPr>
        <w:tab/>
      </w:r>
    </w:p>
    <w:p w:rsidR="00E95194" w:rsidRPr="00EE5722" w:rsidRDefault="00E95194" w:rsidP="009D2B0A">
      <w:pPr>
        <w:pStyle w:val="BodyText"/>
        <w:spacing w:after="0" w:line="360" w:lineRule="auto"/>
        <w:ind w:left="0" w:firstLine="0"/>
        <w:rPr>
          <w:sz w:val="26"/>
          <w:szCs w:val="26"/>
        </w:rPr>
      </w:pPr>
    </w:p>
    <w:p w:rsidR="00E95194" w:rsidRPr="00EE5722" w:rsidRDefault="00E95194" w:rsidP="00584C88">
      <w:pPr>
        <w:pStyle w:val="Heading4"/>
        <w:numPr>
          <w:ilvl w:val="0"/>
          <w:numId w:val="0"/>
        </w:numPr>
        <w:ind w:left="2880" w:hanging="720"/>
      </w:pPr>
      <w:bookmarkStart w:id="152" w:name="_Toc346705394"/>
      <w:r>
        <w:t>e</w:t>
      </w:r>
      <w:r w:rsidRPr="00EE5722">
        <w:t>.</w:t>
      </w:r>
      <w:r w:rsidRPr="00EE5722">
        <w:tab/>
        <w:t>High Bill Callers</w:t>
      </w:r>
      <w:bookmarkEnd w:id="152"/>
    </w:p>
    <w:p w:rsidR="00E95194" w:rsidRPr="00EE5722" w:rsidRDefault="00E95194" w:rsidP="009D2B0A">
      <w:pPr>
        <w:pStyle w:val="BriefL3"/>
        <w:numPr>
          <w:ilvl w:val="0"/>
          <w:numId w:val="0"/>
        </w:numPr>
        <w:spacing w:after="0" w:line="360" w:lineRule="auto"/>
        <w:outlineLvl w:val="9"/>
        <w:rPr>
          <w:b/>
          <w:sz w:val="26"/>
          <w:szCs w:val="26"/>
        </w:rPr>
      </w:pPr>
      <w:r>
        <w:rPr>
          <w:b/>
          <w:sz w:val="26"/>
          <w:szCs w:val="26"/>
        </w:rPr>
        <w:tab/>
      </w:r>
      <w:r>
        <w:rPr>
          <w:b/>
          <w:sz w:val="26"/>
          <w:szCs w:val="26"/>
        </w:rPr>
        <w:tab/>
      </w:r>
    </w:p>
    <w:p w:rsidR="00E95194" w:rsidRDefault="00E95194" w:rsidP="00584C88">
      <w:pPr>
        <w:pStyle w:val="Heading5"/>
        <w:numPr>
          <w:ilvl w:val="0"/>
          <w:numId w:val="0"/>
        </w:numPr>
        <w:ind w:left="3600" w:hanging="720"/>
      </w:pPr>
      <w:bookmarkStart w:id="153" w:name="_Toc346705395"/>
      <w:r>
        <w:t>i.</w:t>
      </w:r>
      <w:r>
        <w:tab/>
        <w:t>Duquesne</w:t>
      </w:r>
      <w:r w:rsidRPr="00EE5722">
        <w:t>’s Proposal</w:t>
      </w:r>
      <w:bookmarkEnd w:id="153"/>
    </w:p>
    <w:p w:rsidR="00E95194" w:rsidRDefault="00E95194" w:rsidP="009D2B0A">
      <w:pPr>
        <w:pStyle w:val="BriefL3"/>
        <w:numPr>
          <w:ilvl w:val="0"/>
          <w:numId w:val="0"/>
        </w:numPr>
        <w:spacing w:after="0" w:line="360" w:lineRule="auto"/>
        <w:outlineLvl w:val="9"/>
        <w:rPr>
          <w:b/>
          <w:sz w:val="26"/>
          <w:szCs w:val="26"/>
        </w:rPr>
      </w:pPr>
    </w:p>
    <w:p w:rsidR="00E95194" w:rsidRPr="00EE5722" w:rsidRDefault="00E95194" w:rsidP="00601944">
      <w:pPr>
        <w:pStyle w:val="BriefL3"/>
        <w:numPr>
          <w:ilvl w:val="0"/>
          <w:numId w:val="0"/>
        </w:numPr>
        <w:spacing w:after="0" w:line="360" w:lineRule="auto"/>
        <w:ind w:firstLine="1440"/>
        <w:outlineLvl w:val="9"/>
        <w:rPr>
          <w:sz w:val="26"/>
          <w:szCs w:val="26"/>
        </w:rPr>
      </w:pPr>
      <w:r>
        <w:rPr>
          <w:sz w:val="26"/>
          <w:szCs w:val="26"/>
        </w:rPr>
        <w:t xml:space="preserve">Duquesne proposed that </w:t>
      </w:r>
      <w:r w:rsidRPr="00EE5722">
        <w:rPr>
          <w:sz w:val="26"/>
          <w:szCs w:val="26"/>
        </w:rPr>
        <w:t xml:space="preserve">customers with high bill inquiries </w:t>
      </w:r>
      <w:r>
        <w:rPr>
          <w:sz w:val="26"/>
          <w:szCs w:val="26"/>
        </w:rPr>
        <w:t>be referred to the SO Program after a</w:t>
      </w:r>
      <w:r w:rsidRPr="00EE5722">
        <w:rPr>
          <w:sz w:val="26"/>
          <w:szCs w:val="26"/>
        </w:rPr>
        <w:t xml:space="preserve"> caller</w:t>
      </w:r>
      <w:r>
        <w:rPr>
          <w:sz w:val="26"/>
          <w:szCs w:val="26"/>
        </w:rPr>
        <w:t>’s</w:t>
      </w:r>
      <w:r w:rsidRPr="00EE5722">
        <w:rPr>
          <w:sz w:val="26"/>
          <w:szCs w:val="26"/>
        </w:rPr>
        <w:t xml:space="preserve"> high bill issue has been resolved.  Duqu</w:t>
      </w:r>
      <w:r>
        <w:rPr>
          <w:sz w:val="26"/>
          <w:szCs w:val="26"/>
        </w:rPr>
        <w:t xml:space="preserve">esne St. 5 at </w:t>
      </w:r>
      <w:r w:rsidRPr="00EE5722">
        <w:rPr>
          <w:sz w:val="26"/>
          <w:szCs w:val="26"/>
        </w:rPr>
        <w:t xml:space="preserve">10.  </w:t>
      </w:r>
      <w:r>
        <w:rPr>
          <w:sz w:val="26"/>
          <w:szCs w:val="26"/>
        </w:rPr>
        <w:t>The Company acknowledged</w:t>
      </w:r>
      <w:r w:rsidRPr="00EE5722">
        <w:rPr>
          <w:sz w:val="26"/>
          <w:szCs w:val="26"/>
        </w:rPr>
        <w:t xml:space="preserve"> that </w:t>
      </w:r>
      <w:r>
        <w:rPr>
          <w:sz w:val="26"/>
          <w:szCs w:val="26"/>
        </w:rPr>
        <w:t>the OCA argued</w:t>
      </w:r>
      <w:r w:rsidRPr="00EE5722">
        <w:rPr>
          <w:sz w:val="26"/>
          <w:szCs w:val="26"/>
        </w:rPr>
        <w:t xml:space="preserve"> </w:t>
      </w:r>
      <w:r>
        <w:rPr>
          <w:sz w:val="26"/>
          <w:szCs w:val="26"/>
        </w:rPr>
        <w:t xml:space="preserve">that </w:t>
      </w:r>
      <w:r w:rsidRPr="00EE5722">
        <w:rPr>
          <w:sz w:val="26"/>
          <w:szCs w:val="26"/>
        </w:rPr>
        <w:t xml:space="preserve">these customers should not </w:t>
      </w:r>
      <w:r>
        <w:rPr>
          <w:sz w:val="26"/>
          <w:szCs w:val="26"/>
        </w:rPr>
        <w:t xml:space="preserve">be </w:t>
      </w:r>
      <w:r>
        <w:rPr>
          <w:sz w:val="26"/>
          <w:szCs w:val="26"/>
        </w:rPr>
        <w:lastRenderedPageBreak/>
        <w:t>referred to the SO Program</w:t>
      </w:r>
      <w:r w:rsidRPr="00EE5722">
        <w:rPr>
          <w:sz w:val="26"/>
          <w:szCs w:val="26"/>
        </w:rPr>
        <w:t xml:space="preserve">, but </w:t>
      </w:r>
      <w:r>
        <w:rPr>
          <w:sz w:val="26"/>
          <w:szCs w:val="26"/>
        </w:rPr>
        <w:t>Duquesne pointed</w:t>
      </w:r>
      <w:r w:rsidRPr="00EE5722">
        <w:rPr>
          <w:sz w:val="26"/>
          <w:szCs w:val="26"/>
        </w:rPr>
        <w:t xml:space="preserve"> out that its proposal is consistent with the Commission’s directives in the </w:t>
      </w:r>
      <w:r>
        <w:rPr>
          <w:i/>
          <w:sz w:val="26"/>
          <w:szCs w:val="26"/>
        </w:rPr>
        <w:t>IWP</w:t>
      </w:r>
      <w:r w:rsidR="00601944">
        <w:rPr>
          <w:i/>
          <w:sz w:val="26"/>
          <w:szCs w:val="26"/>
        </w:rPr>
        <w:t xml:space="preserve"> </w:t>
      </w:r>
      <w:r>
        <w:rPr>
          <w:i/>
          <w:sz w:val="26"/>
          <w:szCs w:val="26"/>
        </w:rPr>
        <w:t>F</w:t>
      </w:r>
      <w:r w:rsidR="00601944">
        <w:rPr>
          <w:i/>
          <w:sz w:val="26"/>
          <w:szCs w:val="26"/>
        </w:rPr>
        <w:t>inal</w:t>
      </w:r>
      <w:r>
        <w:rPr>
          <w:i/>
          <w:sz w:val="26"/>
          <w:szCs w:val="26"/>
        </w:rPr>
        <w:t xml:space="preserve"> </w:t>
      </w:r>
      <w:r w:rsidRPr="00EE5722">
        <w:rPr>
          <w:i/>
          <w:sz w:val="26"/>
          <w:szCs w:val="26"/>
        </w:rPr>
        <w:t>Order</w:t>
      </w:r>
      <w:r w:rsidRPr="00EE5722">
        <w:rPr>
          <w:sz w:val="26"/>
          <w:szCs w:val="26"/>
        </w:rPr>
        <w:t xml:space="preserve">, the </w:t>
      </w:r>
      <w:r>
        <w:rPr>
          <w:i/>
          <w:sz w:val="26"/>
          <w:szCs w:val="26"/>
        </w:rPr>
        <w:t>FirstEnergy</w:t>
      </w:r>
      <w:r w:rsidRPr="00EE5722">
        <w:rPr>
          <w:i/>
          <w:sz w:val="26"/>
          <w:szCs w:val="26"/>
        </w:rPr>
        <w:t xml:space="preserve"> </w:t>
      </w:r>
      <w:r>
        <w:rPr>
          <w:i/>
          <w:sz w:val="26"/>
          <w:szCs w:val="26"/>
        </w:rPr>
        <w:t xml:space="preserve">DSP </w:t>
      </w:r>
      <w:r w:rsidRPr="00EE5722">
        <w:rPr>
          <w:i/>
          <w:sz w:val="26"/>
          <w:szCs w:val="26"/>
        </w:rPr>
        <w:t>Order</w:t>
      </w:r>
      <w:r w:rsidRPr="00EE5722">
        <w:rPr>
          <w:sz w:val="26"/>
          <w:szCs w:val="26"/>
        </w:rPr>
        <w:t xml:space="preserve"> and  the </w:t>
      </w:r>
      <w:r w:rsidRPr="00EE5722">
        <w:rPr>
          <w:i/>
          <w:sz w:val="26"/>
          <w:szCs w:val="26"/>
        </w:rPr>
        <w:t>PECO Binding Poll</w:t>
      </w:r>
      <w:r>
        <w:rPr>
          <w:sz w:val="26"/>
          <w:szCs w:val="26"/>
        </w:rPr>
        <w:t>.</w:t>
      </w:r>
      <w:r w:rsidRPr="00EE5722">
        <w:rPr>
          <w:sz w:val="26"/>
          <w:szCs w:val="26"/>
        </w:rPr>
        <w:tab/>
      </w:r>
      <w:r w:rsidRPr="00EE5722">
        <w:rPr>
          <w:sz w:val="26"/>
          <w:szCs w:val="26"/>
        </w:rPr>
        <w:tab/>
      </w:r>
    </w:p>
    <w:p w:rsidR="00E95194" w:rsidRPr="00EE5722" w:rsidRDefault="00E95194" w:rsidP="00601944">
      <w:pPr>
        <w:pStyle w:val="BodyText"/>
        <w:spacing w:after="0" w:line="360" w:lineRule="auto"/>
        <w:ind w:left="0" w:firstLine="0"/>
        <w:rPr>
          <w:sz w:val="26"/>
          <w:szCs w:val="26"/>
        </w:rPr>
      </w:pPr>
    </w:p>
    <w:p w:rsidR="00E95194" w:rsidRPr="00EE5722" w:rsidRDefault="00E95194" w:rsidP="00584C88">
      <w:pPr>
        <w:pStyle w:val="Heading5"/>
        <w:numPr>
          <w:ilvl w:val="0"/>
          <w:numId w:val="0"/>
        </w:numPr>
        <w:ind w:left="3600" w:hanging="720"/>
      </w:pPr>
      <w:bookmarkStart w:id="154" w:name="_Toc346705396"/>
      <w:r>
        <w:t>ii.</w:t>
      </w:r>
      <w:r>
        <w:tab/>
      </w:r>
      <w:r w:rsidRPr="00EE5722">
        <w:t>Position</w:t>
      </w:r>
      <w:r>
        <w:t>s of the Parties</w:t>
      </w:r>
      <w:bookmarkEnd w:id="154"/>
    </w:p>
    <w:p w:rsidR="00E95194" w:rsidRPr="00EE5722" w:rsidRDefault="00E95194" w:rsidP="00601944">
      <w:pPr>
        <w:pStyle w:val="BodyText"/>
        <w:spacing w:after="0" w:line="360" w:lineRule="auto"/>
        <w:ind w:left="0" w:firstLine="0"/>
        <w:rPr>
          <w:sz w:val="26"/>
          <w:szCs w:val="26"/>
        </w:rPr>
      </w:pPr>
    </w:p>
    <w:p w:rsidR="00E95194" w:rsidRDefault="00E95194" w:rsidP="00E95194">
      <w:pPr>
        <w:spacing w:line="360" w:lineRule="auto"/>
        <w:ind w:firstLine="1440"/>
        <w:rPr>
          <w:sz w:val="26"/>
          <w:szCs w:val="26"/>
        </w:rPr>
      </w:pPr>
      <w:r>
        <w:rPr>
          <w:sz w:val="26"/>
          <w:szCs w:val="26"/>
        </w:rPr>
        <w:t xml:space="preserve">The OCA recommended that the SO </w:t>
      </w:r>
      <w:r w:rsidRPr="00EE5722">
        <w:rPr>
          <w:sz w:val="26"/>
          <w:szCs w:val="26"/>
        </w:rPr>
        <w:t>Program be offered only during calls in which the customer is seeking to establish service, transfer service to a new location</w:t>
      </w:r>
      <w:r>
        <w:rPr>
          <w:sz w:val="26"/>
          <w:szCs w:val="26"/>
        </w:rPr>
        <w:t xml:space="preserve">, or </w:t>
      </w:r>
      <w:r w:rsidRPr="00EE5722">
        <w:rPr>
          <w:sz w:val="26"/>
          <w:szCs w:val="26"/>
        </w:rPr>
        <w:t xml:space="preserve">discuss customer choice and/or the </w:t>
      </w:r>
      <w:r>
        <w:rPr>
          <w:sz w:val="26"/>
          <w:szCs w:val="26"/>
        </w:rPr>
        <w:t xml:space="preserve">SO </w:t>
      </w:r>
      <w:r w:rsidRPr="00EE5722">
        <w:rPr>
          <w:sz w:val="26"/>
          <w:szCs w:val="26"/>
        </w:rPr>
        <w:t>P</w:t>
      </w:r>
      <w:r>
        <w:rPr>
          <w:sz w:val="26"/>
          <w:szCs w:val="26"/>
        </w:rPr>
        <w:t>rogram.  OCA St. 2-S at 9</w:t>
      </w:r>
      <w:r>
        <w:rPr>
          <w:sz w:val="26"/>
          <w:szCs w:val="26"/>
        </w:rPr>
        <w:noBreakHyphen/>
        <w:t xml:space="preserve">10.   The OCA argued that customers calling regarding </w:t>
      </w:r>
      <w:r w:rsidRPr="00EE5722">
        <w:rPr>
          <w:sz w:val="26"/>
          <w:szCs w:val="26"/>
        </w:rPr>
        <w:t>high bills, billing and usage questions, payment difficulties or payment plan options, collection, service quality and outages, and appointments for utility service in</w:t>
      </w:r>
      <w:r>
        <w:rPr>
          <w:sz w:val="26"/>
          <w:szCs w:val="26"/>
        </w:rPr>
        <w:t xml:space="preserve"> the field, should not be referred to </w:t>
      </w:r>
      <w:r w:rsidRPr="00EE5722">
        <w:rPr>
          <w:sz w:val="26"/>
          <w:szCs w:val="26"/>
        </w:rPr>
        <w:t xml:space="preserve">the </w:t>
      </w:r>
      <w:r>
        <w:rPr>
          <w:sz w:val="26"/>
          <w:szCs w:val="26"/>
        </w:rPr>
        <w:t xml:space="preserve">SO </w:t>
      </w:r>
      <w:r w:rsidRPr="00EE5722">
        <w:rPr>
          <w:sz w:val="26"/>
          <w:szCs w:val="26"/>
        </w:rPr>
        <w:t>Program.</w:t>
      </w:r>
      <w:r>
        <w:rPr>
          <w:sz w:val="26"/>
          <w:szCs w:val="26"/>
        </w:rPr>
        <w:t xml:space="preserve">  The OCA recommended</w:t>
      </w:r>
      <w:r w:rsidRPr="00EE5722">
        <w:rPr>
          <w:sz w:val="26"/>
          <w:szCs w:val="26"/>
        </w:rPr>
        <w:t xml:space="preserve"> </w:t>
      </w:r>
      <w:r>
        <w:rPr>
          <w:sz w:val="26"/>
          <w:szCs w:val="26"/>
        </w:rPr>
        <w:t xml:space="preserve">that </w:t>
      </w:r>
      <w:r w:rsidRPr="00EE5722">
        <w:rPr>
          <w:sz w:val="26"/>
          <w:szCs w:val="26"/>
        </w:rPr>
        <w:t>customer ca</w:t>
      </w:r>
      <w:r>
        <w:rPr>
          <w:sz w:val="26"/>
          <w:szCs w:val="26"/>
        </w:rPr>
        <w:t xml:space="preserve">lls regarding the SO </w:t>
      </w:r>
      <w:r w:rsidRPr="00EE5722">
        <w:rPr>
          <w:sz w:val="26"/>
          <w:szCs w:val="26"/>
        </w:rPr>
        <w:t>Program be limited to new or moving customers and to those customers who specific</w:t>
      </w:r>
      <w:r>
        <w:rPr>
          <w:sz w:val="26"/>
          <w:szCs w:val="26"/>
        </w:rPr>
        <w:t>ally request information about customer c</w:t>
      </w:r>
      <w:r w:rsidRPr="00EE5722">
        <w:rPr>
          <w:sz w:val="26"/>
          <w:szCs w:val="26"/>
        </w:rPr>
        <w:t>hoice.</w:t>
      </w:r>
      <w:r w:rsidRPr="00AF5308">
        <w:rPr>
          <w:sz w:val="26"/>
          <w:szCs w:val="26"/>
        </w:rPr>
        <w:t xml:space="preserve"> </w:t>
      </w:r>
      <w:r>
        <w:rPr>
          <w:sz w:val="26"/>
          <w:szCs w:val="26"/>
        </w:rPr>
        <w:t xml:space="preserve"> </w:t>
      </w:r>
      <w:r w:rsidRPr="00EE5722">
        <w:rPr>
          <w:sz w:val="26"/>
          <w:szCs w:val="26"/>
        </w:rPr>
        <w:t>OCA St. 2-S at 8</w:t>
      </w:r>
      <w:r w:rsidRPr="00EE5722">
        <w:rPr>
          <w:sz w:val="26"/>
          <w:szCs w:val="26"/>
        </w:rPr>
        <w:noBreakHyphen/>
        <w:t>9</w:t>
      </w:r>
      <w:r>
        <w:rPr>
          <w:sz w:val="26"/>
          <w:szCs w:val="26"/>
        </w:rPr>
        <w:t>.</w:t>
      </w:r>
    </w:p>
    <w:p w:rsidR="00E95194" w:rsidRDefault="00E95194" w:rsidP="00E95194">
      <w:pPr>
        <w:spacing w:line="360" w:lineRule="auto"/>
        <w:ind w:firstLine="1440"/>
        <w:rPr>
          <w:sz w:val="26"/>
          <w:szCs w:val="26"/>
        </w:rPr>
      </w:pPr>
    </w:p>
    <w:p w:rsidR="00E95194" w:rsidRPr="007920EC" w:rsidRDefault="00E95194" w:rsidP="00601944">
      <w:pPr>
        <w:pStyle w:val="FootnoteText"/>
        <w:spacing w:line="360" w:lineRule="auto"/>
        <w:ind w:firstLine="1440"/>
        <w:rPr>
          <w:bCs/>
          <w:sz w:val="26"/>
          <w:szCs w:val="26"/>
        </w:rPr>
      </w:pPr>
      <w:r>
        <w:rPr>
          <w:sz w:val="26"/>
          <w:szCs w:val="26"/>
        </w:rPr>
        <w:t xml:space="preserve">CAUSE argued </w:t>
      </w:r>
      <w:r w:rsidRPr="00EE5722">
        <w:rPr>
          <w:sz w:val="26"/>
          <w:szCs w:val="26"/>
        </w:rPr>
        <w:t xml:space="preserve">that it would be inappropriate to refer high bill complaint customers to an EGS for service while these high bill inquiries/disputes are on-going.  </w:t>
      </w:r>
      <w:r>
        <w:rPr>
          <w:sz w:val="26"/>
          <w:szCs w:val="26"/>
        </w:rPr>
        <w:t xml:space="preserve">CAUSE averred that </w:t>
      </w:r>
      <w:r w:rsidRPr="00EE5722">
        <w:rPr>
          <w:sz w:val="26"/>
          <w:szCs w:val="26"/>
        </w:rPr>
        <w:t>Duquesne should be prohibited from including non-CAP</w:t>
      </w:r>
      <w:r w:rsidR="00337AAF">
        <w:rPr>
          <w:rStyle w:val="FootnoteReference"/>
          <w:sz w:val="26"/>
          <w:szCs w:val="26"/>
        </w:rPr>
        <w:footnoteReference w:id="93"/>
      </w:r>
      <w:r w:rsidRPr="00EE5722">
        <w:rPr>
          <w:sz w:val="26"/>
          <w:szCs w:val="26"/>
        </w:rPr>
        <w:t xml:space="preserve"> participants who are confi</w:t>
      </w:r>
      <w:r>
        <w:rPr>
          <w:sz w:val="26"/>
          <w:szCs w:val="26"/>
        </w:rPr>
        <w:t>rmed low-income customers with high bill complaints</w:t>
      </w:r>
      <w:r w:rsidRPr="00EE5722">
        <w:rPr>
          <w:sz w:val="26"/>
          <w:szCs w:val="26"/>
        </w:rPr>
        <w:t xml:space="preserve"> in the group of customers that may be re</w:t>
      </w:r>
      <w:r>
        <w:rPr>
          <w:sz w:val="26"/>
          <w:szCs w:val="26"/>
        </w:rPr>
        <w:t xml:space="preserve">ferred to the proposed SO </w:t>
      </w:r>
      <w:r w:rsidRPr="00EE5722">
        <w:rPr>
          <w:sz w:val="26"/>
          <w:szCs w:val="26"/>
        </w:rPr>
        <w:t xml:space="preserve">Program.  </w:t>
      </w:r>
      <w:r>
        <w:rPr>
          <w:sz w:val="26"/>
          <w:szCs w:val="26"/>
        </w:rPr>
        <w:t>According to CAUSE, a</w:t>
      </w:r>
      <w:r w:rsidRPr="00EE5722">
        <w:rPr>
          <w:sz w:val="26"/>
          <w:szCs w:val="26"/>
        </w:rPr>
        <w:t xml:space="preserve"> high bill complaint may be an indication that the caller is a low-income individual who requires immediate referral to and enrollment within a Customer Assistance Program, referral to a Hardship Fund and/or LIHEAP</w:t>
      </w:r>
      <w:r w:rsidR="00CC6C40">
        <w:rPr>
          <w:sz w:val="26"/>
          <w:szCs w:val="26"/>
        </w:rPr>
        <w:t>,</w:t>
      </w:r>
      <w:r w:rsidR="00337AAF">
        <w:rPr>
          <w:rStyle w:val="FootnoteReference"/>
          <w:sz w:val="26"/>
          <w:szCs w:val="26"/>
        </w:rPr>
        <w:footnoteReference w:id="94"/>
      </w:r>
      <w:r w:rsidRPr="00EE5722">
        <w:rPr>
          <w:sz w:val="26"/>
          <w:szCs w:val="26"/>
        </w:rPr>
        <w:t xml:space="preserve"> or to conservation services available through LIURP</w:t>
      </w:r>
      <w:r w:rsidR="00CC6C40">
        <w:rPr>
          <w:sz w:val="26"/>
          <w:szCs w:val="26"/>
        </w:rPr>
        <w:t>,</w:t>
      </w:r>
      <w:r w:rsidR="00337AAF">
        <w:rPr>
          <w:rStyle w:val="FootnoteReference"/>
          <w:sz w:val="26"/>
          <w:szCs w:val="26"/>
        </w:rPr>
        <w:footnoteReference w:id="95"/>
      </w:r>
      <w:r w:rsidRPr="00EE5722">
        <w:rPr>
          <w:sz w:val="26"/>
          <w:szCs w:val="26"/>
        </w:rPr>
        <w:t xml:space="preserve"> Act 129, or weatherization</w:t>
      </w:r>
      <w:r w:rsidR="00337AAF">
        <w:rPr>
          <w:sz w:val="26"/>
          <w:szCs w:val="26"/>
        </w:rPr>
        <w:t xml:space="preserve"> programs</w:t>
      </w:r>
      <w:r w:rsidRPr="00EE5722">
        <w:rPr>
          <w:sz w:val="26"/>
          <w:szCs w:val="26"/>
        </w:rPr>
        <w:t xml:space="preserve">.  </w:t>
      </w:r>
      <w:r>
        <w:rPr>
          <w:sz w:val="26"/>
          <w:szCs w:val="26"/>
        </w:rPr>
        <w:t xml:space="preserve">CAUSE </w:t>
      </w:r>
      <w:r>
        <w:rPr>
          <w:sz w:val="26"/>
          <w:szCs w:val="26"/>
        </w:rPr>
        <w:lastRenderedPageBreak/>
        <w:t>contended</w:t>
      </w:r>
      <w:r w:rsidRPr="00EE5722">
        <w:rPr>
          <w:sz w:val="26"/>
          <w:szCs w:val="26"/>
        </w:rPr>
        <w:t xml:space="preserve"> that</w:t>
      </w:r>
      <w:r>
        <w:rPr>
          <w:sz w:val="26"/>
          <w:szCs w:val="26"/>
        </w:rPr>
        <w:t xml:space="preserve">, if </w:t>
      </w:r>
      <w:r w:rsidRPr="00EE5722">
        <w:rPr>
          <w:sz w:val="26"/>
          <w:szCs w:val="26"/>
        </w:rPr>
        <w:t>customers calling about high bill complaints are among the group of customers who ar</w:t>
      </w:r>
      <w:r>
        <w:rPr>
          <w:sz w:val="26"/>
          <w:szCs w:val="26"/>
        </w:rPr>
        <w:t xml:space="preserve">e referred, then Duquesne </w:t>
      </w:r>
      <w:r w:rsidRPr="00EE5722">
        <w:rPr>
          <w:sz w:val="26"/>
          <w:szCs w:val="26"/>
        </w:rPr>
        <w:t xml:space="preserve">should inquire about the income status of the household to ensure that the household has been offered all available assistance through the panoply of universal service programs that Duquesne is required to make available.  </w:t>
      </w:r>
      <w:r>
        <w:rPr>
          <w:sz w:val="26"/>
          <w:szCs w:val="26"/>
        </w:rPr>
        <w:t>CAUSE opined that o</w:t>
      </w:r>
      <w:r w:rsidRPr="00EE5722">
        <w:rPr>
          <w:sz w:val="26"/>
          <w:szCs w:val="26"/>
        </w:rPr>
        <w:t xml:space="preserve">nly after the inquiry is made and the referral taken place should the customer be informed about the </w:t>
      </w:r>
      <w:r>
        <w:rPr>
          <w:sz w:val="26"/>
          <w:szCs w:val="26"/>
        </w:rPr>
        <w:t xml:space="preserve">SO </w:t>
      </w:r>
      <w:r w:rsidRPr="00EE5722">
        <w:rPr>
          <w:sz w:val="26"/>
          <w:szCs w:val="26"/>
        </w:rPr>
        <w:t>P</w:t>
      </w:r>
      <w:r>
        <w:rPr>
          <w:sz w:val="26"/>
          <w:szCs w:val="26"/>
        </w:rPr>
        <w:t xml:space="preserve">rogram.  </w:t>
      </w:r>
      <w:r w:rsidRPr="007920EC">
        <w:rPr>
          <w:bCs/>
          <w:sz w:val="26"/>
          <w:szCs w:val="26"/>
        </w:rPr>
        <w:t xml:space="preserve">CAUSE </w:t>
      </w:r>
      <w:r>
        <w:rPr>
          <w:bCs/>
          <w:sz w:val="26"/>
          <w:szCs w:val="26"/>
        </w:rPr>
        <w:t xml:space="preserve">St. </w:t>
      </w:r>
      <w:r w:rsidRPr="007920EC">
        <w:rPr>
          <w:bCs/>
          <w:sz w:val="26"/>
          <w:szCs w:val="26"/>
        </w:rPr>
        <w:t>1 at 17.</w:t>
      </w:r>
    </w:p>
    <w:p w:rsidR="00E95194" w:rsidRPr="00EE5722" w:rsidRDefault="00E95194" w:rsidP="00E95194">
      <w:pPr>
        <w:spacing w:line="360" w:lineRule="auto"/>
        <w:ind w:firstLine="1440"/>
        <w:rPr>
          <w:sz w:val="26"/>
          <w:szCs w:val="26"/>
        </w:rPr>
      </w:pPr>
    </w:p>
    <w:p w:rsidR="00E95194" w:rsidRPr="005915E1" w:rsidRDefault="00E95194" w:rsidP="005915E1">
      <w:pPr>
        <w:spacing w:line="360" w:lineRule="auto"/>
        <w:ind w:firstLine="1440"/>
        <w:rPr>
          <w:sz w:val="26"/>
          <w:szCs w:val="26"/>
        </w:rPr>
      </w:pPr>
      <w:r w:rsidRPr="005915E1">
        <w:rPr>
          <w:sz w:val="26"/>
          <w:szCs w:val="26"/>
        </w:rPr>
        <w:t>RESA opposed the OCA’s and CAUSE’s attempts to prohibit Duquesne from providing information about the SO Program to customers calling about high bill complaints.  According to RESA, the Commission specifically addressed this issue and ruled that the standard offer customer referral should apply to general inquiry calls as well as high bill complaints, but “only and explicitly after the customer’s high bill concerns are satisfied.”</w:t>
      </w:r>
      <w:r w:rsidRPr="005915E1">
        <w:rPr>
          <w:sz w:val="26"/>
          <w:szCs w:val="26"/>
        </w:rPr>
        <w:footnoteReference w:id="96"/>
      </w:r>
      <w:r w:rsidRPr="005915E1">
        <w:rPr>
          <w:sz w:val="26"/>
          <w:szCs w:val="26"/>
        </w:rPr>
        <w:t xml:space="preserve">  RESA noted that this position recently was affirmed in the FirstEnergy</w:t>
      </w:r>
      <w:r w:rsidR="00601944" w:rsidRPr="005915E1">
        <w:rPr>
          <w:sz w:val="26"/>
          <w:szCs w:val="26"/>
        </w:rPr>
        <w:t xml:space="preserve"> DSP</w:t>
      </w:r>
      <w:r w:rsidRPr="005915E1">
        <w:rPr>
          <w:sz w:val="26"/>
          <w:szCs w:val="26"/>
        </w:rPr>
        <w:t xml:space="preserve"> and PECO DSP Orders.  RESA St. 2-R at 19-20.</w:t>
      </w:r>
    </w:p>
    <w:p w:rsidR="00E95194" w:rsidRPr="00EE5722" w:rsidRDefault="00E95194" w:rsidP="006D07BB">
      <w:pPr>
        <w:pStyle w:val="Normal1"/>
      </w:pPr>
    </w:p>
    <w:p w:rsidR="00E95194" w:rsidRDefault="00E95194" w:rsidP="00211CF2">
      <w:pPr>
        <w:pStyle w:val="BodyText"/>
        <w:widowControl/>
        <w:spacing w:after="0" w:line="360" w:lineRule="auto"/>
        <w:ind w:left="0"/>
        <w:rPr>
          <w:sz w:val="26"/>
          <w:szCs w:val="26"/>
        </w:rPr>
      </w:pPr>
      <w:r>
        <w:rPr>
          <w:sz w:val="26"/>
          <w:szCs w:val="26"/>
        </w:rPr>
        <w:t>The OSBA, Citizen Power, DII, Dominion, FES and Constellation took no position on this issue.</w:t>
      </w:r>
    </w:p>
    <w:p w:rsidR="00E95194" w:rsidRPr="00EE5722" w:rsidRDefault="00E95194" w:rsidP="00601944">
      <w:pPr>
        <w:pStyle w:val="BodyText"/>
        <w:spacing w:after="0" w:line="360" w:lineRule="auto"/>
        <w:ind w:left="0"/>
        <w:rPr>
          <w:sz w:val="26"/>
          <w:szCs w:val="26"/>
        </w:rPr>
      </w:pPr>
    </w:p>
    <w:p w:rsidR="00E95194" w:rsidRDefault="00E95194" w:rsidP="00584C88">
      <w:pPr>
        <w:pStyle w:val="Heading5"/>
        <w:numPr>
          <w:ilvl w:val="0"/>
          <w:numId w:val="0"/>
        </w:numPr>
        <w:ind w:left="3600" w:hanging="720"/>
      </w:pPr>
      <w:bookmarkStart w:id="155" w:name="_Toc346705397"/>
      <w:r>
        <w:t>iii.</w:t>
      </w:r>
      <w:r>
        <w:tab/>
        <w:t>AL</w:t>
      </w:r>
      <w:r w:rsidR="00601944">
        <w:t>J’s Recommendation</w:t>
      </w:r>
      <w:bookmarkEnd w:id="155"/>
      <w:r w:rsidR="00601944">
        <w:t xml:space="preserve"> </w:t>
      </w:r>
    </w:p>
    <w:p w:rsidR="00E95194" w:rsidRPr="00EE5722" w:rsidRDefault="00E95194" w:rsidP="00E95194">
      <w:pPr>
        <w:pStyle w:val="BriefL3"/>
        <w:numPr>
          <w:ilvl w:val="0"/>
          <w:numId w:val="0"/>
        </w:numPr>
        <w:spacing w:after="0" w:line="360" w:lineRule="auto"/>
        <w:ind w:left="2880"/>
        <w:rPr>
          <w:b/>
          <w:sz w:val="26"/>
          <w:szCs w:val="26"/>
        </w:rPr>
      </w:pPr>
    </w:p>
    <w:p w:rsidR="00E95194" w:rsidRPr="00EE5722" w:rsidRDefault="00E95194" w:rsidP="00601944">
      <w:pPr>
        <w:pStyle w:val="ListParagraph"/>
        <w:autoSpaceDE/>
        <w:autoSpaceDN/>
        <w:spacing w:line="360" w:lineRule="auto"/>
        <w:ind w:left="0" w:firstLine="1440"/>
        <w:rPr>
          <w:b/>
          <w:sz w:val="26"/>
          <w:szCs w:val="26"/>
          <w:u w:val="single"/>
        </w:rPr>
      </w:pPr>
      <w:r>
        <w:rPr>
          <w:color w:val="000000" w:themeColor="text1"/>
          <w:sz w:val="26"/>
          <w:szCs w:val="26"/>
        </w:rPr>
        <w:t xml:space="preserve">The ALJ </w:t>
      </w:r>
      <w:r w:rsidRPr="00EE5722">
        <w:rPr>
          <w:color w:val="000000" w:themeColor="text1"/>
          <w:sz w:val="26"/>
          <w:szCs w:val="26"/>
        </w:rPr>
        <w:t>re</w:t>
      </w:r>
      <w:r>
        <w:rPr>
          <w:color w:val="000000" w:themeColor="text1"/>
          <w:sz w:val="26"/>
          <w:szCs w:val="26"/>
        </w:rPr>
        <w:t>commended approving Duquesne</w:t>
      </w:r>
      <w:r w:rsidRPr="00EE5722">
        <w:rPr>
          <w:color w:val="000000" w:themeColor="text1"/>
          <w:sz w:val="26"/>
          <w:szCs w:val="26"/>
        </w:rPr>
        <w:t xml:space="preserve">’s proposal to include High Bill Callers among the class of customers to whom the SO </w:t>
      </w:r>
      <w:r>
        <w:rPr>
          <w:color w:val="000000" w:themeColor="text1"/>
          <w:sz w:val="26"/>
          <w:szCs w:val="26"/>
        </w:rPr>
        <w:t>Program is</w:t>
      </w:r>
      <w:r w:rsidRPr="00EE5722">
        <w:rPr>
          <w:color w:val="000000" w:themeColor="text1"/>
          <w:sz w:val="26"/>
          <w:szCs w:val="26"/>
        </w:rPr>
        <w:t xml:space="preserve"> offered.  </w:t>
      </w:r>
      <w:r>
        <w:rPr>
          <w:color w:val="000000" w:themeColor="text1"/>
          <w:sz w:val="26"/>
          <w:szCs w:val="26"/>
        </w:rPr>
        <w:t xml:space="preserve">The ALJ noted that, when a Duquesne customer service representative realizes a customer’s dispute over high bills has been resolved, </w:t>
      </w:r>
      <w:r w:rsidRPr="00EE5722">
        <w:rPr>
          <w:color w:val="000000" w:themeColor="text1"/>
          <w:sz w:val="26"/>
          <w:szCs w:val="26"/>
        </w:rPr>
        <w:t>suggesting a</w:t>
      </w:r>
      <w:r>
        <w:rPr>
          <w:color w:val="000000" w:themeColor="text1"/>
          <w:sz w:val="26"/>
          <w:szCs w:val="26"/>
        </w:rPr>
        <w:t xml:space="preserve"> referral to the SO </w:t>
      </w:r>
      <w:r w:rsidRPr="00EE5722">
        <w:rPr>
          <w:color w:val="000000" w:themeColor="text1"/>
          <w:sz w:val="26"/>
          <w:szCs w:val="26"/>
        </w:rPr>
        <w:t xml:space="preserve">Program is appropriate and consistent with the goal of the DSP.  </w:t>
      </w:r>
      <w:r>
        <w:rPr>
          <w:color w:val="000000" w:themeColor="text1"/>
          <w:sz w:val="26"/>
          <w:szCs w:val="26"/>
        </w:rPr>
        <w:t xml:space="preserve">According to the ALJ, Duquesne </w:t>
      </w:r>
      <w:r w:rsidRPr="00EE5722">
        <w:rPr>
          <w:color w:val="000000" w:themeColor="text1"/>
          <w:sz w:val="26"/>
          <w:szCs w:val="26"/>
        </w:rPr>
        <w:t>should be permitted to make that referral.</w:t>
      </w:r>
      <w:r>
        <w:rPr>
          <w:color w:val="000000" w:themeColor="text1"/>
          <w:sz w:val="26"/>
          <w:szCs w:val="26"/>
        </w:rPr>
        <w:t xml:space="preserve"> </w:t>
      </w:r>
      <w:r w:rsidR="00601944">
        <w:rPr>
          <w:color w:val="000000" w:themeColor="text1"/>
          <w:sz w:val="26"/>
          <w:szCs w:val="26"/>
        </w:rPr>
        <w:t xml:space="preserve"> R.D. at 136.</w:t>
      </w:r>
    </w:p>
    <w:p w:rsidR="00E95194" w:rsidRPr="003373C2" w:rsidRDefault="00E95194" w:rsidP="006D07BB">
      <w:pPr>
        <w:pStyle w:val="Normal1"/>
      </w:pPr>
      <w:r w:rsidRPr="00EE5722">
        <w:lastRenderedPageBreak/>
        <w:tab/>
      </w:r>
    </w:p>
    <w:p w:rsidR="00E95194" w:rsidRDefault="00E95194" w:rsidP="00584C88">
      <w:pPr>
        <w:pStyle w:val="Heading5"/>
        <w:numPr>
          <w:ilvl w:val="0"/>
          <w:numId w:val="0"/>
        </w:numPr>
        <w:ind w:left="3600" w:hanging="720"/>
      </w:pPr>
      <w:bookmarkStart w:id="156" w:name="_Toc346705398"/>
      <w:r>
        <w:t>iv.</w:t>
      </w:r>
      <w:r>
        <w:tab/>
        <w:t>Exceptions</w:t>
      </w:r>
      <w:bookmarkEnd w:id="156"/>
    </w:p>
    <w:p w:rsidR="0055096F" w:rsidRDefault="0055096F" w:rsidP="00601944">
      <w:pPr>
        <w:pStyle w:val="BriefL3"/>
        <w:numPr>
          <w:ilvl w:val="0"/>
          <w:numId w:val="0"/>
        </w:numPr>
        <w:spacing w:after="0" w:line="360" w:lineRule="auto"/>
        <w:ind w:left="2880"/>
        <w:rPr>
          <w:b/>
          <w:sz w:val="26"/>
          <w:szCs w:val="26"/>
        </w:rPr>
      </w:pPr>
    </w:p>
    <w:p w:rsidR="00E95194" w:rsidRPr="007E309E" w:rsidRDefault="00E95194" w:rsidP="00601944">
      <w:pPr>
        <w:pStyle w:val="ListParagraph"/>
        <w:spacing w:line="360" w:lineRule="auto"/>
        <w:ind w:left="0" w:firstLine="1440"/>
        <w:rPr>
          <w:sz w:val="26"/>
          <w:szCs w:val="26"/>
        </w:rPr>
      </w:pPr>
      <w:r>
        <w:rPr>
          <w:sz w:val="26"/>
          <w:szCs w:val="26"/>
        </w:rPr>
        <w:t>In its Exceptions, t</w:t>
      </w:r>
      <w:r w:rsidRPr="007E309E">
        <w:rPr>
          <w:sz w:val="26"/>
          <w:szCs w:val="26"/>
        </w:rPr>
        <w:t xml:space="preserve">he OCA argues that the ALJ erred in recommending that customers calling with a high bill complaint be among the group of customers solicited for the SO Program.  </w:t>
      </w:r>
      <w:r>
        <w:rPr>
          <w:sz w:val="26"/>
          <w:szCs w:val="26"/>
        </w:rPr>
        <w:t xml:space="preserve">The OCA avers that several potential problems </w:t>
      </w:r>
      <w:r w:rsidRPr="007E309E">
        <w:rPr>
          <w:sz w:val="26"/>
          <w:szCs w:val="26"/>
        </w:rPr>
        <w:t xml:space="preserve">could arise with high bill callers being included, and raised several possible scenarios where a referral to the SO Program may be inappropriate.  </w:t>
      </w:r>
      <w:r>
        <w:rPr>
          <w:sz w:val="26"/>
          <w:szCs w:val="26"/>
        </w:rPr>
        <w:t>According to the OCA, a</w:t>
      </w:r>
      <w:r w:rsidRPr="007E309E">
        <w:rPr>
          <w:sz w:val="26"/>
          <w:szCs w:val="26"/>
        </w:rPr>
        <w:t xml:space="preserve">s a result of these potential problems, calls relating to utility obligations to respond to high bills, as well as calls relating to billing and usage questions, payment difficulties or payment plan options, collection, service quality and outages, and appointments for utility service in the field, should not be included in the obligation to present the </w:t>
      </w:r>
      <w:r>
        <w:rPr>
          <w:sz w:val="26"/>
          <w:szCs w:val="26"/>
        </w:rPr>
        <w:t xml:space="preserve">SO </w:t>
      </w:r>
      <w:r w:rsidRPr="007E309E">
        <w:rPr>
          <w:sz w:val="26"/>
          <w:szCs w:val="26"/>
        </w:rPr>
        <w:t xml:space="preserve">Program.  </w:t>
      </w:r>
      <w:r>
        <w:rPr>
          <w:sz w:val="26"/>
          <w:szCs w:val="26"/>
        </w:rPr>
        <w:t>The OCA asserts that t</w:t>
      </w:r>
      <w:r w:rsidRPr="007E309E">
        <w:rPr>
          <w:sz w:val="26"/>
          <w:szCs w:val="26"/>
        </w:rPr>
        <w:t>he focus of these calls should only be on resolving the customer’s sp</w:t>
      </w:r>
      <w:r>
        <w:rPr>
          <w:sz w:val="26"/>
          <w:szCs w:val="26"/>
        </w:rPr>
        <w:t>ecific concerns without delay.</w:t>
      </w:r>
      <w:r w:rsidR="00601944">
        <w:rPr>
          <w:sz w:val="26"/>
          <w:szCs w:val="26"/>
        </w:rPr>
        <w:t xml:space="preserve">  OCA Exc. at 9-10.  </w:t>
      </w:r>
    </w:p>
    <w:p w:rsidR="00E95194" w:rsidRPr="007E309E" w:rsidRDefault="00E95194" w:rsidP="00601944">
      <w:pPr>
        <w:pStyle w:val="ListParagraph"/>
        <w:spacing w:line="360" w:lineRule="auto"/>
        <w:ind w:left="2880"/>
        <w:rPr>
          <w:sz w:val="26"/>
          <w:szCs w:val="26"/>
        </w:rPr>
      </w:pPr>
    </w:p>
    <w:p w:rsidR="00E95194" w:rsidRDefault="00E95194" w:rsidP="00E95194">
      <w:pPr>
        <w:pStyle w:val="ListParagraph"/>
        <w:spacing w:line="360" w:lineRule="auto"/>
        <w:ind w:left="0"/>
        <w:rPr>
          <w:sz w:val="26"/>
          <w:szCs w:val="26"/>
        </w:rPr>
      </w:pPr>
      <w:r w:rsidRPr="007E309E">
        <w:rPr>
          <w:sz w:val="26"/>
          <w:szCs w:val="26"/>
        </w:rPr>
        <w:tab/>
      </w:r>
      <w:r w:rsidRPr="007E309E">
        <w:rPr>
          <w:sz w:val="26"/>
          <w:szCs w:val="26"/>
        </w:rPr>
        <w:tab/>
        <w:t>The OCA argues that burdening such callers with unwanted or unsolicited discussions may jeopardize quality of service in direct contravention of Section 2807(d) o</w:t>
      </w:r>
      <w:r>
        <w:rPr>
          <w:sz w:val="26"/>
          <w:szCs w:val="26"/>
        </w:rPr>
        <w:t>f the Code, w</w:t>
      </w:r>
      <w:r w:rsidRPr="007E309E">
        <w:rPr>
          <w:sz w:val="26"/>
          <w:szCs w:val="26"/>
        </w:rPr>
        <w:t>hich states as follows:</w:t>
      </w:r>
    </w:p>
    <w:p w:rsidR="005915E1" w:rsidRDefault="005915E1" w:rsidP="005915E1">
      <w:pPr>
        <w:pStyle w:val="ListParagraph"/>
        <w:ind w:left="0"/>
        <w:rPr>
          <w:sz w:val="26"/>
          <w:szCs w:val="26"/>
        </w:rPr>
      </w:pPr>
    </w:p>
    <w:p w:rsidR="00E95194" w:rsidRDefault="00E95194" w:rsidP="00E95194">
      <w:pPr>
        <w:ind w:left="1440" w:right="1440"/>
        <w:rPr>
          <w:sz w:val="26"/>
          <w:szCs w:val="26"/>
        </w:rPr>
      </w:pPr>
      <w:r w:rsidRPr="007E309E">
        <w:rPr>
          <w:sz w:val="26"/>
          <w:szCs w:val="26"/>
        </w:rPr>
        <w:t>The electric distribution company shall continue to provide customer service functions consistent with the regulations of the commission, including meter reading, complaint resolution and collections.  Customer services shall, at a minimum, be maintained at the same level of quality under retail competition.</w:t>
      </w:r>
    </w:p>
    <w:p w:rsidR="00E95194" w:rsidRPr="007E309E" w:rsidRDefault="00E95194" w:rsidP="00E95194">
      <w:pPr>
        <w:ind w:left="1440" w:right="1440"/>
        <w:rPr>
          <w:sz w:val="26"/>
          <w:szCs w:val="26"/>
        </w:rPr>
      </w:pPr>
    </w:p>
    <w:p w:rsidR="00E95194" w:rsidRDefault="00E95194" w:rsidP="00E95194">
      <w:pPr>
        <w:spacing w:line="360" w:lineRule="auto"/>
        <w:jc w:val="both"/>
        <w:rPr>
          <w:sz w:val="26"/>
          <w:szCs w:val="26"/>
        </w:rPr>
      </w:pPr>
      <w:r w:rsidRPr="007E309E">
        <w:rPr>
          <w:sz w:val="26"/>
          <w:szCs w:val="26"/>
        </w:rPr>
        <w:t>66 Pa. C.S. § 2807(d)</w:t>
      </w:r>
      <w:r w:rsidR="005969AB" w:rsidRPr="007E309E">
        <w:rPr>
          <w:sz w:val="26"/>
          <w:szCs w:val="26"/>
        </w:rPr>
        <w:fldChar w:fldCharType="begin"/>
      </w:r>
      <w:r w:rsidRPr="007E309E">
        <w:rPr>
          <w:sz w:val="26"/>
          <w:szCs w:val="26"/>
        </w:rPr>
        <w:instrText xml:space="preserve"> TA \s "66 Pa.C.S. § 2807(d)" </w:instrText>
      </w:r>
      <w:r w:rsidR="005969AB" w:rsidRPr="007E309E">
        <w:rPr>
          <w:sz w:val="26"/>
          <w:szCs w:val="26"/>
        </w:rPr>
        <w:fldChar w:fldCharType="end"/>
      </w:r>
      <w:r w:rsidRPr="007E309E">
        <w:rPr>
          <w:sz w:val="26"/>
          <w:szCs w:val="26"/>
        </w:rPr>
        <w:t xml:space="preserve">.  </w:t>
      </w:r>
    </w:p>
    <w:p w:rsidR="00E95194" w:rsidRPr="007E309E" w:rsidRDefault="00E95194" w:rsidP="00E95194">
      <w:pPr>
        <w:spacing w:line="360" w:lineRule="auto"/>
        <w:jc w:val="both"/>
        <w:rPr>
          <w:sz w:val="26"/>
          <w:szCs w:val="26"/>
        </w:rPr>
      </w:pPr>
    </w:p>
    <w:p w:rsidR="00E95194" w:rsidRDefault="00E95194" w:rsidP="00601944">
      <w:pPr>
        <w:pStyle w:val="ListParagraph"/>
        <w:spacing w:line="360" w:lineRule="auto"/>
        <w:ind w:left="0"/>
        <w:rPr>
          <w:sz w:val="26"/>
          <w:szCs w:val="26"/>
        </w:rPr>
      </w:pPr>
      <w:r w:rsidRPr="007E309E">
        <w:rPr>
          <w:sz w:val="26"/>
          <w:szCs w:val="26"/>
        </w:rPr>
        <w:tab/>
      </w:r>
      <w:r w:rsidRPr="007E309E">
        <w:rPr>
          <w:sz w:val="26"/>
          <w:szCs w:val="26"/>
        </w:rPr>
        <w:tab/>
        <w:t xml:space="preserve">The OCA submits that the SO </w:t>
      </w:r>
      <w:r>
        <w:rPr>
          <w:sz w:val="26"/>
          <w:szCs w:val="26"/>
        </w:rPr>
        <w:t xml:space="preserve">Program should be </w:t>
      </w:r>
      <w:r w:rsidRPr="007E309E">
        <w:rPr>
          <w:sz w:val="26"/>
          <w:szCs w:val="26"/>
        </w:rPr>
        <w:t>offered to new customers, those customers moving within the EDC service territory, and those who specifically inquire about custo</w:t>
      </w:r>
      <w:r>
        <w:rPr>
          <w:sz w:val="26"/>
          <w:szCs w:val="26"/>
        </w:rPr>
        <w:t>mer choice or the SO</w:t>
      </w:r>
      <w:r w:rsidRPr="007E309E">
        <w:rPr>
          <w:sz w:val="26"/>
          <w:szCs w:val="26"/>
        </w:rPr>
        <w:t xml:space="preserve"> Program.  </w:t>
      </w:r>
      <w:r>
        <w:rPr>
          <w:sz w:val="26"/>
          <w:szCs w:val="26"/>
        </w:rPr>
        <w:t xml:space="preserve">According to the OCA, </w:t>
      </w:r>
      <w:r>
        <w:rPr>
          <w:sz w:val="26"/>
          <w:szCs w:val="26"/>
        </w:rPr>
        <w:lastRenderedPageBreak/>
        <w:t>o</w:t>
      </w:r>
      <w:r w:rsidRPr="007E309E">
        <w:rPr>
          <w:sz w:val="26"/>
          <w:szCs w:val="26"/>
        </w:rPr>
        <w:t xml:space="preserve">ther customer calls to the </w:t>
      </w:r>
      <w:r>
        <w:rPr>
          <w:sz w:val="26"/>
          <w:szCs w:val="26"/>
        </w:rPr>
        <w:t>EDC should not trigger a referral to the SO</w:t>
      </w:r>
      <w:r w:rsidRPr="007E309E">
        <w:rPr>
          <w:sz w:val="26"/>
          <w:szCs w:val="26"/>
        </w:rPr>
        <w:t xml:space="preserve"> Program</w:t>
      </w:r>
      <w:r>
        <w:rPr>
          <w:sz w:val="26"/>
          <w:szCs w:val="26"/>
        </w:rPr>
        <w:t>.</w:t>
      </w:r>
      <w:r w:rsidR="00601944">
        <w:rPr>
          <w:sz w:val="26"/>
          <w:szCs w:val="26"/>
        </w:rPr>
        <w:t xml:space="preserve">  </w:t>
      </w:r>
      <w:r w:rsidR="00601944">
        <w:rPr>
          <w:i/>
          <w:sz w:val="26"/>
          <w:szCs w:val="26"/>
        </w:rPr>
        <w:t>Id.</w:t>
      </w:r>
      <w:r>
        <w:rPr>
          <w:sz w:val="26"/>
          <w:szCs w:val="26"/>
        </w:rPr>
        <w:t xml:space="preserve"> </w:t>
      </w:r>
      <w:r w:rsidR="00211CF2">
        <w:rPr>
          <w:sz w:val="26"/>
          <w:szCs w:val="26"/>
        </w:rPr>
        <w:t>at </w:t>
      </w:r>
      <w:r w:rsidR="00601944">
        <w:rPr>
          <w:sz w:val="26"/>
          <w:szCs w:val="26"/>
        </w:rPr>
        <w:t>10-11.</w:t>
      </w:r>
    </w:p>
    <w:p w:rsidR="00E95194" w:rsidRPr="009C6721" w:rsidRDefault="00E95194" w:rsidP="00601944">
      <w:pPr>
        <w:pStyle w:val="ListParagraph"/>
        <w:spacing w:line="360" w:lineRule="auto"/>
        <w:ind w:left="0"/>
        <w:rPr>
          <w:b/>
          <w:sz w:val="26"/>
          <w:szCs w:val="26"/>
        </w:rPr>
      </w:pPr>
    </w:p>
    <w:p w:rsidR="00E95194" w:rsidRDefault="00E95194" w:rsidP="00584C88">
      <w:pPr>
        <w:pStyle w:val="Heading5"/>
        <w:numPr>
          <w:ilvl w:val="0"/>
          <w:numId w:val="0"/>
        </w:numPr>
        <w:ind w:left="3600" w:hanging="720"/>
      </w:pPr>
      <w:bookmarkStart w:id="157" w:name="_Toc346705399"/>
      <w:r>
        <w:t>v.</w:t>
      </w:r>
      <w:r>
        <w:tab/>
        <w:t>Reply Exceptions</w:t>
      </w:r>
      <w:bookmarkEnd w:id="157"/>
    </w:p>
    <w:p w:rsidR="00E95194" w:rsidRDefault="00E95194" w:rsidP="00E95194">
      <w:pPr>
        <w:pStyle w:val="BriefL3"/>
        <w:numPr>
          <w:ilvl w:val="0"/>
          <w:numId w:val="0"/>
        </w:numPr>
        <w:spacing w:after="0" w:line="360" w:lineRule="auto"/>
        <w:ind w:left="720" w:firstLine="720"/>
        <w:rPr>
          <w:b/>
          <w:sz w:val="26"/>
          <w:szCs w:val="26"/>
        </w:rPr>
      </w:pPr>
    </w:p>
    <w:p w:rsidR="00E95194" w:rsidRPr="00601944" w:rsidRDefault="00E95194" w:rsidP="00601944">
      <w:pPr>
        <w:pStyle w:val="BodyText2"/>
        <w:spacing w:after="0" w:line="360" w:lineRule="auto"/>
        <w:ind w:firstLine="1440"/>
        <w:rPr>
          <w:sz w:val="26"/>
          <w:szCs w:val="26"/>
        </w:rPr>
      </w:pPr>
      <w:r>
        <w:rPr>
          <w:sz w:val="26"/>
          <w:szCs w:val="26"/>
        </w:rPr>
        <w:t xml:space="preserve">In its Reply </w:t>
      </w:r>
      <w:r w:rsidRPr="000D388D">
        <w:rPr>
          <w:sz w:val="26"/>
          <w:szCs w:val="26"/>
        </w:rPr>
        <w:t xml:space="preserve">Exceptions, Duquesne argues that the ALJ properly adopted its proposal to refer high </w:t>
      </w:r>
      <w:r>
        <w:rPr>
          <w:sz w:val="26"/>
          <w:szCs w:val="26"/>
        </w:rPr>
        <w:t xml:space="preserve">bill callers to the SO </w:t>
      </w:r>
      <w:r w:rsidRPr="000D388D">
        <w:rPr>
          <w:sz w:val="26"/>
          <w:szCs w:val="26"/>
        </w:rPr>
        <w:t xml:space="preserve">Program.  </w:t>
      </w:r>
      <w:r>
        <w:rPr>
          <w:sz w:val="26"/>
          <w:szCs w:val="26"/>
        </w:rPr>
        <w:t>Duquesne avers that t</w:t>
      </w:r>
      <w:r w:rsidRPr="000D388D">
        <w:rPr>
          <w:sz w:val="26"/>
          <w:szCs w:val="26"/>
        </w:rPr>
        <w:t>he Commission has rejected t</w:t>
      </w:r>
      <w:r>
        <w:rPr>
          <w:sz w:val="26"/>
          <w:szCs w:val="26"/>
        </w:rPr>
        <w:t>he OCA’s proposal in both the FirstEnergy</w:t>
      </w:r>
      <w:r w:rsidR="00601944">
        <w:rPr>
          <w:sz w:val="26"/>
          <w:szCs w:val="26"/>
        </w:rPr>
        <w:t xml:space="preserve"> </w:t>
      </w:r>
      <w:r w:rsidRPr="000D388D">
        <w:rPr>
          <w:sz w:val="26"/>
          <w:szCs w:val="26"/>
        </w:rPr>
        <w:t xml:space="preserve">and PECO </w:t>
      </w:r>
      <w:r>
        <w:rPr>
          <w:sz w:val="26"/>
          <w:szCs w:val="26"/>
        </w:rPr>
        <w:t xml:space="preserve">DSP </w:t>
      </w:r>
      <w:r w:rsidR="00141175">
        <w:rPr>
          <w:sz w:val="26"/>
          <w:szCs w:val="26"/>
        </w:rPr>
        <w:t>proceedings</w:t>
      </w:r>
      <w:r w:rsidRPr="000D388D">
        <w:rPr>
          <w:sz w:val="26"/>
          <w:szCs w:val="26"/>
        </w:rPr>
        <w:t xml:space="preserve">.  </w:t>
      </w:r>
      <w:r>
        <w:rPr>
          <w:i/>
          <w:sz w:val="26"/>
          <w:szCs w:val="26"/>
        </w:rPr>
        <w:t>FirstEnergy</w:t>
      </w:r>
      <w:r w:rsidRPr="000D388D">
        <w:rPr>
          <w:i/>
          <w:sz w:val="26"/>
          <w:szCs w:val="26"/>
        </w:rPr>
        <w:t xml:space="preserve"> </w:t>
      </w:r>
      <w:r>
        <w:rPr>
          <w:i/>
          <w:sz w:val="26"/>
          <w:szCs w:val="26"/>
        </w:rPr>
        <w:t xml:space="preserve">DSP </w:t>
      </w:r>
      <w:r w:rsidRPr="000D388D">
        <w:rPr>
          <w:i/>
          <w:sz w:val="26"/>
          <w:szCs w:val="26"/>
        </w:rPr>
        <w:t>Order</w:t>
      </w:r>
      <w:r w:rsidRPr="000D388D">
        <w:rPr>
          <w:sz w:val="26"/>
          <w:szCs w:val="26"/>
        </w:rPr>
        <w:t xml:space="preserve"> at 139; </w:t>
      </w:r>
      <w:r w:rsidRPr="000D388D">
        <w:rPr>
          <w:i/>
          <w:sz w:val="26"/>
          <w:szCs w:val="26"/>
        </w:rPr>
        <w:t xml:space="preserve">PECO </w:t>
      </w:r>
      <w:r>
        <w:rPr>
          <w:i/>
          <w:sz w:val="26"/>
          <w:szCs w:val="26"/>
        </w:rPr>
        <w:t xml:space="preserve">DSP </w:t>
      </w:r>
      <w:r w:rsidRPr="000D388D">
        <w:rPr>
          <w:i/>
          <w:sz w:val="26"/>
          <w:szCs w:val="26"/>
        </w:rPr>
        <w:t>Order</w:t>
      </w:r>
      <w:r w:rsidRPr="000D388D">
        <w:rPr>
          <w:sz w:val="26"/>
          <w:szCs w:val="26"/>
        </w:rPr>
        <w:t xml:space="preserve"> at 118-119.  Duquesne supports the Commission’s prior </w:t>
      </w:r>
      <w:r w:rsidRPr="00377B19">
        <w:rPr>
          <w:sz w:val="26"/>
          <w:szCs w:val="26"/>
        </w:rPr>
        <w:t>dec</w:t>
      </w:r>
      <w:r>
        <w:rPr>
          <w:sz w:val="26"/>
          <w:szCs w:val="26"/>
        </w:rPr>
        <w:t xml:space="preserve">isions on this issue. </w:t>
      </w:r>
      <w:r w:rsidR="00601944">
        <w:rPr>
          <w:sz w:val="26"/>
          <w:szCs w:val="26"/>
        </w:rPr>
        <w:t xml:space="preserve"> Duquesne R.Exc. at 19-20.  </w:t>
      </w:r>
    </w:p>
    <w:p w:rsidR="00E95194" w:rsidRPr="00377B19" w:rsidRDefault="00E95194" w:rsidP="00601944">
      <w:pPr>
        <w:pStyle w:val="BodyText2"/>
        <w:spacing w:after="0" w:line="360" w:lineRule="auto"/>
        <w:ind w:firstLine="1440"/>
        <w:rPr>
          <w:sz w:val="26"/>
          <w:szCs w:val="26"/>
        </w:rPr>
      </w:pPr>
    </w:p>
    <w:p w:rsidR="00E95194" w:rsidRPr="00377B19" w:rsidRDefault="00E95194" w:rsidP="00D66CDD">
      <w:pPr>
        <w:pStyle w:val="BodyText2"/>
        <w:spacing w:after="0" w:line="360" w:lineRule="auto"/>
        <w:ind w:firstLine="1440"/>
        <w:rPr>
          <w:sz w:val="26"/>
          <w:szCs w:val="26"/>
        </w:rPr>
      </w:pPr>
      <w:r w:rsidRPr="00377B19">
        <w:rPr>
          <w:sz w:val="26"/>
          <w:szCs w:val="26"/>
        </w:rPr>
        <w:t xml:space="preserve">In its </w:t>
      </w:r>
      <w:r>
        <w:rPr>
          <w:sz w:val="26"/>
          <w:szCs w:val="26"/>
        </w:rPr>
        <w:t xml:space="preserve">Reply </w:t>
      </w:r>
      <w:r w:rsidRPr="00377B19">
        <w:rPr>
          <w:sz w:val="26"/>
          <w:szCs w:val="26"/>
        </w:rPr>
        <w:t xml:space="preserve">Exceptions, RESA argues that the OCA’s Exception should be denied because the record and Commission precedent support inclusion of high bill callers in the SO Program.  </w:t>
      </w:r>
      <w:r>
        <w:rPr>
          <w:sz w:val="26"/>
          <w:szCs w:val="26"/>
        </w:rPr>
        <w:t>RESA states that t</w:t>
      </w:r>
      <w:r w:rsidRPr="00377B19">
        <w:rPr>
          <w:sz w:val="26"/>
          <w:szCs w:val="26"/>
        </w:rPr>
        <w:t xml:space="preserve">he OCA’s primary concern seems to be that the focus of high bill calls should be the customer’s bill concerns, and that it could be ambiguous as to when that concern is satisfied.  </w:t>
      </w:r>
      <w:r w:rsidR="00D66CDD">
        <w:rPr>
          <w:sz w:val="26"/>
          <w:szCs w:val="26"/>
        </w:rPr>
        <w:t xml:space="preserve">According to RESA, </w:t>
      </w:r>
      <w:r>
        <w:rPr>
          <w:sz w:val="26"/>
          <w:szCs w:val="26"/>
        </w:rPr>
        <w:t>t</w:t>
      </w:r>
      <w:r w:rsidRPr="00377B19">
        <w:rPr>
          <w:sz w:val="26"/>
          <w:szCs w:val="26"/>
        </w:rPr>
        <w:t xml:space="preserve">he Commission previously has </w:t>
      </w:r>
      <w:r>
        <w:rPr>
          <w:sz w:val="26"/>
          <w:szCs w:val="26"/>
        </w:rPr>
        <w:t>addressed these issues,</w:t>
      </w:r>
      <w:r w:rsidRPr="00377B19">
        <w:rPr>
          <w:sz w:val="26"/>
          <w:szCs w:val="26"/>
        </w:rPr>
        <w:t xml:space="preserve"> </w:t>
      </w:r>
      <w:r>
        <w:rPr>
          <w:sz w:val="26"/>
          <w:szCs w:val="26"/>
        </w:rPr>
        <w:t>and ruled</w:t>
      </w:r>
      <w:r w:rsidRPr="00377B19">
        <w:rPr>
          <w:sz w:val="26"/>
          <w:szCs w:val="26"/>
        </w:rPr>
        <w:t xml:space="preserve"> that a standard offer customer referral program sho</w:t>
      </w:r>
      <w:r>
        <w:rPr>
          <w:sz w:val="26"/>
          <w:szCs w:val="26"/>
        </w:rPr>
        <w:t>uld include high bill callers</w:t>
      </w:r>
      <w:r w:rsidRPr="00377B19">
        <w:rPr>
          <w:sz w:val="26"/>
          <w:szCs w:val="26"/>
        </w:rPr>
        <w:t>, but “only and explicitly a</w:t>
      </w:r>
      <w:r>
        <w:rPr>
          <w:sz w:val="26"/>
          <w:szCs w:val="26"/>
        </w:rPr>
        <w:t xml:space="preserve">fter the customer’s </w:t>
      </w:r>
      <w:r w:rsidRPr="00377B19">
        <w:rPr>
          <w:sz w:val="26"/>
          <w:szCs w:val="26"/>
        </w:rPr>
        <w:t xml:space="preserve">concerns are satisfied.”  </w:t>
      </w:r>
      <w:r w:rsidRPr="00EB2370">
        <w:rPr>
          <w:i/>
          <w:sz w:val="26"/>
          <w:szCs w:val="26"/>
        </w:rPr>
        <w:t>IWP Final Order</w:t>
      </w:r>
      <w:r>
        <w:rPr>
          <w:sz w:val="26"/>
          <w:szCs w:val="26"/>
        </w:rPr>
        <w:t xml:space="preserve"> at 32.  The Commission </w:t>
      </w:r>
      <w:r w:rsidRPr="00377B19">
        <w:rPr>
          <w:sz w:val="26"/>
          <w:szCs w:val="26"/>
        </w:rPr>
        <w:t xml:space="preserve">recently affirmed </w:t>
      </w:r>
      <w:r>
        <w:rPr>
          <w:sz w:val="26"/>
          <w:szCs w:val="26"/>
        </w:rPr>
        <w:t xml:space="preserve">this decision </w:t>
      </w:r>
      <w:r w:rsidRPr="00377B19">
        <w:rPr>
          <w:sz w:val="26"/>
          <w:szCs w:val="26"/>
        </w:rPr>
        <w:t xml:space="preserve">in the </w:t>
      </w:r>
      <w:r>
        <w:rPr>
          <w:i/>
          <w:sz w:val="26"/>
          <w:szCs w:val="26"/>
        </w:rPr>
        <w:t>FirstEnergy</w:t>
      </w:r>
      <w:r w:rsidR="00D66CDD">
        <w:rPr>
          <w:i/>
          <w:sz w:val="26"/>
          <w:szCs w:val="26"/>
        </w:rPr>
        <w:t xml:space="preserve"> DSP</w:t>
      </w:r>
      <w:r w:rsidRPr="00377B19">
        <w:rPr>
          <w:sz w:val="26"/>
          <w:szCs w:val="26"/>
        </w:rPr>
        <w:t xml:space="preserve"> and </w:t>
      </w:r>
      <w:r w:rsidRPr="00377B19">
        <w:rPr>
          <w:i/>
          <w:sz w:val="26"/>
          <w:szCs w:val="26"/>
        </w:rPr>
        <w:t>PECO</w:t>
      </w:r>
      <w:r w:rsidRPr="00EB2370">
        <w:rPr>
          <w:i/>
          <w:sz w:val="26"/>
          <w:szCs w:val="26"/>
        </w:rPr>
        <w:t xml:space="preserve"> DSP Orders</w:t>
      </w:r>
      <w:r>
        <w:rPr>
          <w:sz w:val="26"/>
          <w:szCs w:val="26"/>
        </w:rPr>
        <w:t>.  RESA submits that the</w:t>
      </w:r>
      <w:r w:rsidRPr="00377B19">
        <w:rPr>
          <w:sz w:val="26"/>
          <w:szCs w:val="26"/>
        </w:rPr>
        <w:t xml:space="preserve"> OCA has presented no new evidence or argument </w:t>
      </w:r>
      <w:r>
        <w:rPr>
          <w:sz w:val="26"/>
          <w:szCs w:val="26"/>
        </w:rPr>
        <w:t xml:space="preserve">in this proceeding </w:t>
      </w:r>
      <w:r w:rsidRPr="00377B19">
        <w:rPr>
          <w:sz w:val="26"/>
          <w:szCs w:val="26"/>
        </w:rPr>
        <w:t xml:space="preserve">that would support treating Duquesne’s high </w:t>
      </w:r>
      <w:r>
        <w:rPr>
          <w:sz w:val="26"/>
          <w:szCs w:val="26"/>
        </w:rPr>
        <w:t>bill callers differently from FirstEnergy</w:t>
      </w:r>
      <w:r w:rsidRPr="00377B19">
        <w:rPr>
          <w:sz w:val="26"/>
          <w:szCs w:val="26"/>
        </w:rPr>
        <w:t>’s or PECO’s.</w:t>
      </w:r>
      <w:r>
        <w:rPr>
          <w:sz w:val="26"/>
          <w:szCs w:val="26"/>
        </w:rPr>
        <w:t xml:space="preserve">  </w:t>
      </w:r>
      <w:r w:rsidR="00211CF2">
        <w:rPr>
          <w:sz w:val="26"/>
          <w:szCs w:val="26"/>
        </w:rPr>
        <w:t>RESA R.Exc. at</w:t>
      </w:r>
      <w:r w:rsidR="00211CF2">
        <w:rPr>
          <w:sz w:val="26"/>
          <w:szCs w:val="26"/>
          <w:lang w:val="en-US"/>
        </w:rPr>
        <w:t> </w:t>
      </w:r>
      <w:r w:rsidR="00D66CDD">
        <w:rPr>
          <w:sz w:val="26"/>
          <w:szCs w:val="26"/>
        </w:rPr>
        <w:t xml:space="preserve">6-7.  </w:t>
      </w:r>
    </w:p>
    <w:p w:rsidR="00E95194" w:rsidRPr="00377B19" w:rsidRDefault="00E95194" w:rsidP="00D66CDD">
      <w:pPr>
        <w:spacing w:line="360" w:lineRule="auto"/>
        <w:ind w:firstLine="1440"/>
        <w:rPr>
          <w:sz w:val="26"/>
          <w:szCs w:val="26"/>
        </w:rPr>
      </w:pPr>
    </w:p>
    <w:p w:rsidR="00E95194" w:rsidRDefault="00E95194" w:rsidP="00584C88">
      <w:pPr>
        <w:pStyle w:val="Heading5"/>
        <w:numPr>
          <w:ilvl w:val="0"/>
          <w:numId w:val="0"/>
        </w:numPr>
        <w:ind w:left="3600" w:hanging="720"/>
      </w:pPr>
      <w:bookmarkStart w:id="158" w:name="_Toc346705400"/>
      <w:r>
        <w:t>vi.</w:t>
      </w:r>
      <w:r>
        <w:tab/>
        <w:t>Disposition</w:t>
      </w:r>
      <w:bookmarkEnd w:id="158"/>
    </w:p>
    <w:p w:rsidR="00E95194" w:rsidRDefault="00E95194" w:rsidP="00D66CDD">
      <w:pPr>
        <w:pStyle w:val="BriefL3"/>
        <w:numPr>
          <w:ilvl w:val="0"/>
          <w:numId w:val="0"/>
        </w:numPr>
        <w:spacing w:after="0" w:line="360" w:lineRule="auto"/>
        <w:rPr>
          <w:b/>
          <w:sz w:val="26"/>
          <w:szCs w:val="26"/>
        </w:rPr>
      </w:pPr>
    </w:p>
    <w:p w:rsidR="00E95194" w:rsidRPr="00EE5722" w:rsidRDefault="00E95194" w:rsidP="00D66CDD">
      <w:pPr>
        <w:pStyle w:val="BriefL3"/>
        <w:numPr>
          <w:ilvl w:val="0"/>
          <w:numId w:val="0"/>
        </w:numPr>
        <w:spacing w:after="0" w:line="360" w:lineRule="auto"/>
        <w:rPr>
          <w:b/>
          <w:sz w:val="26"/>
          <w:szCs w:val="26"/>
          <w:u w:val="single"/>
        </w:rPr>
      </w:pPr>
      <w:r>
        <w:rPr>
          <w:b/>
          <w:sz w:val="26"/>
          <w:szCs w:val="26"/>
        </w:rPr>
        <w:tab/>
      </w:r>
      <w:r>
        <w:rPr>
          <w:b/>
          <w:sz w:val="26"/>
          <w:szCs w:val="26"/>
        </w:rPr>
        <w:tab/>
      </w:r>
      <w:r>
        <w:rPr>
          <w:sz w:val="26"/>
          <w:szCs w:val="26"/>
        </w:rPr>
        <w:t xml:space="preserve">In consideration of the record developed in this proceeding, and consistent with our prior determinations with regard to this issue, we agree with the ALJ that </w:t>
      </w:r>
      <w:r>
        <w:rPr>
          <w:color w:val="000000" w:themeColor="text1"/>
          <w:sz w:val="26"/>
          <w:szCs w:val="26"/>
        </w:rPr>
        <w:t>Duquesne’s proposal to include high bill c</w:t>
      </w:r>
      <w:r w:rsidRPr="00EE5722">
        <w:rPr>
          <w:color w:val="000000" w:themeColor="text1"/>
          <w:sz w:val="26"/>
          <w:szCs w:val="26"/>
        </w:rPr>
        <w:t xml:space="preserve">allers among the class of customers to whom </w:t>
      </w:r>
      <w:r w:rsidRPr="00EE5722">
        <w:rPr>
          <w:color w:val="000000" w:themeColor="text1"/>
          <w:sz w:val="26"/>
          <w:szCs w:val="26"/>
        </w:rPr>
        <w:lastRenderedPageBreak/>
        <w:t xml:space="preserve">the SO </w:t>
      </w:r>
      <w:r>
        <w:rPr>
          <w:color w:val="000000" w:themeColor="text1"/>
          <w:sz w:val="26"/>
          <w:szCs w:val="26"/>
        </w:rPr>
        <w:t>Program is offered should be approved.</w:t>
      </w:r>
      <w:r w:rsidRPr="00EE5722">
        <w:rPr>
          <w:color w:val="000000" w:themeColor="text1"/>
          <w:sz w:val="26"/>
          <w:szCs w:val="26"/>
        </w:rPr>
        <w:t xml:space="preserve"> </w:t>
      </w:r>
      <w:r>
        <w:rPr>
          <w:b/>
          <w:sz w:val="26"/>
          <w:szCs w:val="26"/>
        </w:rPr>
        <w:tab/>
      </w:r>
      <w:r w:rsidRPr="00CE65F4">
        <w:rPr>
          <w:sz w:val="26"/>
          <w:szCs w:val="26"/>
        </w:rPr>
        <w:t xml:space="preserve">We are not persuaded </w:t>
      </w:r>
      <w:r>
        <w:rPr>
          <w:color w:val="000000" w:themeColor="text1"/>
          <w:sz w:val="26"/>
          <w:szCs w:val="26"/>
        </w:rPr>
        <w:t>by the arguments of the OCA and CAUSE to alter our recent conclusions with regard to this issue.  We continue to concur with RESA that customers calling with high bill complaints are likely those customers who can most benefit from becoming informed about competitive offers through the SO Program.  Accordingly, we shall adopt the recommendation of the ALJ and deny the Exceptions of the OCA.</w:t>
      </w:r>
      <w:r w:rsidRPr="00EE5722">
        <w:rPr>
          <w:color w:val="000000" w:themeColor="text1"/>
          <w:sz w:val="26"/>
          <w:szCs w:val="26"/>
        </w:rPr>
        <w:tab/>
      </w:r>
      <w:r w:rsidRPr="00EE5722">
        <w:rPr>
          <w:color w:val="000000" w:themeColor="text1"/>
          <w:sz w:val="26"/>
          <w:szCs w:val="26"/>
        </w:rPr>
        <w:tab/>
      </w:r>
    </w:p>
    <w:p w:rsidR="00E95194" w:rsidRPr="00832F2F" w:rsidRDefault="00E95194" w:rsidP="00D66CDD">
      <w:pPr>
        <w:pStyle w:val="BodyText"/>
        <w:spacing w:after="0" w:line="360" w:lineRule="auto"/>
        <w:ind w:left="0" w:firstLine="0"/>
        <w:rPr>
          <w:b/>
          <w:sz w:val="26"/>
          <w:szCs w:val="26"/>
        </w:rPr>
      </w:pPr>
    </w:p>
    <w:p w:rsidR="00E95194" w:rsidRPr="00EE5722" w:rsidRDefault="00211CF2" w:rsidP="005915E1">
      <w:pPr>
        <w:pStyle w:val="Heading4"/>
        <w:numPr>
          <w:ilvl w:val="0"/>
          <w:numId w:val="0"/>
        </w:numPr>
        <w:ind w:left="2880" w:hanging="720"/>
      </w:pPr>
      <w:bookmarkStart w:id="159" w:name="_Toc346705401"/>
      <w:r>
        <w:t>f</w:t>
      </w:r>
      <w:r w:rsidR="00E95194" w:rsidRPr="00EE5722">
        <w:t>.</w:t>
      </w:r>
      <w:r w:rsidR="00E95194" w:rsidRPr="00EE5722">
        <w:tab/>
        <w:t>Choice Referral Team</w:t>
      </w:r>
      <w:bookmarkEnd w:id="159"/>
    </w:p>
    <w:p w:rsidR="00E95194" w:rsidRPr="00EE5722" w:rsidRDefault="00E95194" w:rsidP="005915E1">
      <w:pPr>
        <w:pStyle w:val="BriefL3"/>
        <w:keepNext/>
        <w:numPr>
          <w:ilvl w:val="0"/>
          <w:numId w:val="0"/>
        </w:numPr>
        <w:spacing w:after="0" w:line="360" w:lineRule="auto"/>
        <w:outlineLvl w:val="9"/>
        <w:rPr>
          <w:b/>
          <w:sz w:val="26"/>
          <w:szCs w:val="26"/>
        </w:rPr>
      </w:pPr>
    </w:p>
    <w:p w:rsidR="00E95194" w:rsidRPr="00EE5722" w:rsidRDefault="00E95194" w:rsidP="005915E1">
      <w:pPr>
        <w:pStyle w:val="Heading5"/>
        <w:numPr>
          <w:ilvl w:val="0"/>
          <w:numId w:val="0"/>
        </w:numPr>
        <w:ind w:left="3600" w:hanging="720"/>
      </w:pPr>
      <w:bookmarkStart w:id="160" w:name="_Toc346705402"/>
      <w:r>
        <w:t>i.</w:t>
      </w:r>
      <w:r>
        <w:tab/>
        <w:t>Duquesne</w:t>
      </w:r>
      <w:r w:rsidRPr="00EE5722">
        <w:t>’s Proposal</w:t>
      </w:r>
      <w:bookmarkEnd w:id="160"/>
    </w:p>
    <w:p w:rsidR="00E95194" w:rsidRPr="00EE5722" w:rsidRDefault="00E95194" w:rsidP="005915E1">
      <w:pPr>
        <w:pStyle w:val="BodyText"/>
        <w:keepNext/>
        <w:spacing w:after="0" w:line="360" w:lineRule="auto"/>
        <w:ind w:left="0" w:firstLine="0"/>
        <w:rPr>
          <w:sz w:val="26"/>
          <w:szCs w:val="26"/>
        </w:rPr>
      </w:pPr>
    </w:p>
    <w:p w:rsidR="00E95194" w:rsidRPr="00A1574F" w:rsidRDefault="00E95194" w:rsidP="00D66CDD">
      <w:pPr>
        <w:pStyle w:val="BodyText2"/>
        <w:spacing w:after="0" w:line="360" w:lineRule="auto"/>
        <w:rPr>
          <w:sz w:val="26"/>
          <w:szCs w:val="26"/>
        </w:rPr>
      </w:pPr>
      <w:r w:rsidRPr="00EE5722">
        <w:rPr>
          <w:sz w:val="26"/>
          <w:szCs w:val="26"/>
        </w:rPr>
        <w:tab/>
      </w:r>
      <w:r w:rsidRPr="00EE5722">
        <w:rPr>
          <w:sz w:val="26"/>
          <w:szCs w:val="26"/>
        </w:rPr>
        <w:tab/>
      </w:r>
      <w:r>
        <w:rPr>
          <w:sz w:val="26"/>
          <w:szCs w:val="26"/>
        </w:rPr>
        <w:t>Duquesne proposed to create a “C</w:t>
      </w:r>
      <w:r w:rsidRPr="00EE5722">
        <w:rPr>
          <w:sz w:val="26"/>
          <w:szCs w:val="26"/>
        </w:rPr>
        <w:t>hoi</w:t>
      </w:r>
      <w:r>
        <w:rPr>
          <w:sz w:val="26"/>
          <w:szCs w:val="26"/>
        </w:rPr>
        <w:t>ce Referral Team” to handle SO P</w:t>
      </w:r>
      <w:r w:rsidRPr="00EE5722">
        <w:rPr>
          <w:sz w:val="26"/>
          <w:szCs w:val="26"/>
        </w:rPr>
        <w:t>rogram calls after the initial customer inquiry ha</w:t>
      </w:r>
      <w:r>
        <w:rPr>
          <w:sz w:val="26"/>
          <w:szCs w:val="26"/>
        </w:rPr>
        <w:t>s been processed due to the specialized nature of the SO Program.  The Company contended</w:t>
      </w:r>
      <w:r w:rsidRPr="00EE5722">
        <w:rPr>
          <w:sz w:val="26"/>
          <w:szCs w:val="26"/>
        </w:rPr>
        <w:t xml:space="preserve"> that creating a </w:t>
      </w:r>
      <w:r>
        <w:rPr>
          <w:sz w:val="26"/>
          <w:szCs w:val="26"/>
        </w:rPr>
        <w:t>separate Choice Referral Team would be</w:t>
      </w:r>
      <w:r w:rsidRPr="00EE5722">
        <w:rPr>
          <w:sz w:val="26"/>
          <w:szCs w:val="26"/>
        </w:rPr>
        <w:t xml:space="preserve"> in the</w:t>
      </w:r>
      <w:r>
        <w:rPr>
          <w:sz w:val="26"/>
          <w:szCs w:val="26"/>
        </w:rPr>
        <w:t xml:space="preserve"> public interest because it would</w:t>
      </w:r>
      <w:r w:rsidRPr="00EE5722">
        <w:rPr>
          <w:sz w:val="26"/>
          <w:szCs w:val="26"/>
        </w:rPr>
        <w:t>:  (1) allow the Company to provide detailed, specific training to a specific set of Cus</w:t>
      </w:r>
      <w:r>
        <w:rPr>
          <w:sz w:val="26"/>
          <w:szCs w:val="26"/>
        </w:rPr>
        <w:t>tomer Service Representatives (CSRs</w:t>
      </w:r>
      <w:r w:rsidRPr="00EE5722">
        <w:rPr>
          <w:sz w:val="26"/>
          <w:szCs w:val="26"/>
        </w:rPr>
        <w:t>); (2) minimize t</w:t>
      </w:r>
      <w:r>
        <w:rPr>
          <w:sz w:val="26"/>
          <w:szCs w:val="26"/>
        </w:rPr>
        <w:t xml:space="preserve">he impact of the SO </w:t>
      </w:r>
      <w:r w:rsidRPr="00EE5722">
        <w:rPr>
          <w:sz w:val="26"/>
          <w:szCs w:val="26"/>
        </w:rPr>
        <w:t>Program on existing call center opera</w:t>
      </w:r>
      <w:r>
        <w:rPr>
          <w:sz w:val="26"/>
          <w:szCs w:val="26"/>
        </w:rPr>
        <w:t xml:space="preserve">tions; (3) allow Duquesne </w:t>
      </w:r>
      <w:r w:rsidRPr="00EE5722">
        <w:rPr>
          <w:sz w:val="26"/>
          <w:szCs w:val="26"/>
        </w:rPr>
        <w:t>to acc</w:t>
      </w:r>
      <w:r>
        <w:rPr>
          <w:sz w:val="26"/>
          <w:szCs w:val="26"/>
        </w:rPr>
        <w:t>urately track the costs of the P</w:t>
      </w:r>
      <w:r w:rsidRPr="00EE5722">
        <w:rPr>
          <w:sz w:val="26"/>
          <w:szCs w:val="26"/>
        </w:rPr>
        <w:t>rogram; and (4) create administrative efficiencies f</w:t>
      </w:r>
      <w:r>
        <w:rPr>
          <w:sz w:val="26"/>
          <w:szCs w:val="26"/>
        </w:rPr>
        <w:t xml:space="preserve">or the Company.  </w:t>
      </w:r>
      <w:r w:rsidRPr="00EE5722">
        <w:rPr>
          <w:sz w:val="26"/>
          <w:szCs w:val="26"/>
        </w:rPr>
        <w:t xml:space="preserve">For these reasons, </w:t>
      </w:r>
      <w:r>
        <w:rPr>
          <w:sz w:val="26"/>
          <w:szCs w:val="26"/>
        </w:rPr>
        <w:t>the Company argued that the Commission should approve Duquesne’s proposal to create</w:t>
      </w:r>
      <w:r w:rsidRPr="00EE5722">
        <w:rPr>
          <w:sz w:val="26"/>
          <w:szCs w:val="26"/>
        </w:rPr>
        <w:t xml:space="preserve"> the Choice Referral Team.</w:t>
      </w:r>
      <w:r>
        <w:rPr>
          <w:sz w:val="26"/>
          <w:szCs w:val="26"/>
        </w:rPr>
        <w:t xml:space="preserve">  Duquesne St. 5 at 10-11; Duquesne St. 5-R at </w:t>
      </w:r>
      <w:r w:rsidRPr="00EE5722">
        <w:rPr>
          <w:sz w:val="26"/>
          <w:szCs w:val="26"/>
        </w:rPr>
        <w:t xml:space="preserve">16.  </w:t>
      </w:r>
    </w:p>
    <w:p w:rsidR="00E95194" w:rsidRPr="00EE5722" w:rsidRDefault="00E95194" w:rsidP="00D66CDD">
      <w:pPr>
        <w:pStyle w:val="BriefL3"/>
        <w:numPr>
          <w:ilvl w:val="0"/>
          <w:numId w:val="0"/>
        </w:numPr>
        <w:spacing w:after="0" w:line="360" w:lineRule="auto"/>
        <w:ind w:left="2160"/>
        <w:rPr>
          <w:sz w:val="26"/>
          <w:szCs w:val="26"/>
        </w:rPr>
      </w:pPr>
    </w:p>
    <w:p w:rsidR="00E95194" w:rsidRPr="00EE5722" w:rsidRDefault="00E95194" w:rsidP="00584C88">
      <w:pPr>
        <w:pStyle w:val="Heading5"/>
        <w:numPr>
          <w:ilvl w:val="0"/>
          <w:numId w:val="0"/>
        </w:numPr>
        <w:ind w:left="3600" w:hanging="720"/>
      </w:pPr>
      <w:bookmarkStart w:id="161" w:name="_Toc346705403"/>
      <w:r>
        <w:t>ii.</w:t>
      </w:r>
      <w:r>
        <w:tab/>
        <w:t>Positions of the Parties</w:t>
      </w:r>
      <w:bookmarkEnd w:id="161"/>
    </w:p>
    <w:p w:rsidR="00E95194" w:rsidRPr="00EE5722" w:rsidRDefault="00E95194" w:rsidP="00E95194">
      <w:pPr>
        <w:pStyle w:val="BodyText"/>
        <w:spacing w:after="0" w:line="360" w:lineRule="auto"/>
        <w:ind w:left="0" w:firstLine="0"/>
        <w:rPr>
          <w:sz w:val="26"/>
          <w:szCs w:val="26"/>
        </w:rPr>
      </w:pPr>
    </w:p>
    <w:p w:rsidR="00E95194" w:rsidRPr="000A71E5" w:rsidRDefault="00E95194" w:rsidP="00D66CDD">
      <w:pPr>
        <w:pStyle w:val="BodyText2"/>
        <w:spacing w:after="0" w:line="360" w:lineRule="auto"/>
        <w:ind w:firstLine="1440"/>
        <w:rPr>
          <w:sz w:val="26"/>
          <w:szCs w:val="26"/>
        </w:rPr>
      </w:pPr>
      <w:r>
        <w:rPr>
          <w:sz w:val="26"/>
          <w:szCs w:val="26"/>
        </w:rPr>
        <w:t xml:space="preserve">The OCA maintained that the specialized </w:t>
      </w:r>
      <w:r w:rsidRPr="00EE5722">
        <w:rPr>
          <w:sz w:val="26"/>
          <w:szCs w:val="26"/>
        </w:rPr>
        <w:t>Choice Referral T</w:t>
      </w:r>
      <w:r>
        <w:rPr>
          <w:sz w:val="26"/>
          <w:szCs w:val="26"/>
        </w:rPr>
        <w:t>eam</w:t>
      </w:r>
      <w:r w:rsidRPr="00EE5722">
        <w:rPr>
          <w:sz w:val="26"/>
          <w:szCs w:val="26"/>
        </w:rPr>
        <w:t xml:space="preserve"> may resu</w:t>
      </w:r>
      <w:r>
        <w:rPr>
          <w:sz w:val="26"/>
          <w:szCs w:val="26"/>
        </w:rPr>
        <w:t>lt in increased costs that would unnecessarily burden the SO P</w:t>
      </w:r>
      <w:r w:rsidRPr="00EE5722">
        <w:rPr>
          <w:sz w:val="26"/>
          <w:szCs w:val="26"/>
        </w:rPr>
        <w:t xml:space="preserve">rogram.  </w:t>
      </w:r>
      <w:r>
        <w:rPr>
          <w:sz w:val="26"/>
          <w:szCs w:val="26"/>
        </w:rPr>
        <w:t>The OCA submitted</w:t>
      </w:r>
      <w:r w:rsidRPr="00EE5722">
        <w:rPr>
          <w:sz w:val="26"/>
          <w:szCs w:val="26"/>
        </w:rPr>
        <w:t xml:space="preserve"> that all costs, including the incremental costs of the Choice Referral Team, should be allocated to the</w:t>
      </w:r>
      <w:r>
        <w:rPr>
          <w:sz w:val="26"/>
          <w:szCs w:val="26"/>
        </w:rPr>
        <w:t xml:space="preserve"> EGSs that participate in the SO P</w:t>
      </w:r>
      <w:r w:rsidRPr="00EE5722">
        <w:rPr>
          <w:sz w:val="26"/>
          <w:szCs w:val="26"/>
        </w:rPr>
        <w:t xml:space="preserve">rogram because it is the EGSs who avoid </w:t>
      </w:r>
      <w:r>
        <w:rPr>
          <w:sz w:val="26"/>
          <w:szCs w:val="26"/>
        </w:rPr>
        <w:t xml:space="preserve">the </w:t>
      </w:r>
      <w:r w:rsidRPr="00EE5722">
        <w:rPr>
          <w:sz w:val="26"/>
          <w:szCs w:val="26"/>
        </w:rPr>
        <w:t>marketing costs and gain customers as a res</w:t>
      </w:r>
      <w:r>
        <w:rPr>
          <w:sz w:val="26"/>
          <w:szCs w:val="26"/>
        </w:rPr>
        <w:t xml:space="preserve">ult.  The OCA argued that </w:t>
      </w:r>
      <w:r w:rsidRPr="00EE5722">
        <w:rPr>
          <w:sz w:val="26"/>
          <w:szCs w:val="26"/>
        </w:rPr>
        <w:lastRenderedPageBreak/>
        <w:t>customers should not subsidize EGSs’ marketing and customer acquisition costs.  OCA St. 2 at 18</w:t>
      </w:r>
      <w:r>
        <w:rPr>
          <w:sz w:val="26"/>
          <w:szCs w:val="26"/>
        </w:rPr>
        <w:t>.</w:t>
      </w:r>
    </w:p>
    <w:p w:rsidR="00E95194" w:rsidRDefault="00E95194" w:rsidP="00D66CDD">
      <w:pPr>
        <w:pStyle w:val="FootnoteText"/>
        <w:spacing w:line="360" w:lineRule="auto"/>
        <w:ind w:firstLine="1440"/>
        <w:rPr>
          <w:sz w:val="26"/>
          <w:szCs w:val="26"/>
        </w:rPr>
      </w:pPr>
    </w:p>
    <w:p w:rsidR="00E95194" w:rsidRPr="008C2FB1" w:rsidRDefault="00E95194" w:rsidP="00D66CDD">
      <w:pPr>
        <w:pStyle w:val="FootnoteText"/>
        <w:spacing w:line="360" w:lineRule="auto"/>
        <w:ind w:firstLine="1440"/>
        <w:rPr>
          <w:i/>
          <w:sz w:val="26"/>
          <w:szCs w:val="26"/>
        </w:rPr>
      </w:pPr>
      <w:r>
        <w:rPr>
          <w:sz w:val="26"/>
          <w:szCs w:val="26"/>
        </w:rPr>
        <w:t xml:space="preserve">The OCA also raised </w:t>
      </w:r>
      <w:r w:rsidRPr="00EE5722">
        <w:rPr>
          <w:sz w:val="26"/>
          <w:szCs w:val="26"/>
        </w:rPr>
        <w:t xml:space="preserve">consumer protection and satisfaction issues.  </w:t>
      </w:r>
      <w:r>
        <w:rPr>
          <w:sz w:val="26"/>
          <w:szCs w:val="26"/>
        </w:rPr>
        <w:t>According to the OCA, t</w:t>
      </w:r>
      <w:r w:rsidRPr="00EE5722">
        <w:rPr>
          <w:sz w:val="26"/>
          <w:szCs w:val="26"/>
        </w:rPr>
        <w:t>he precise role of the Choice Referral Team has not been defined</w:t>
      </w:r>
      <w:r>
        <w:rPr>
          <w:sz w:val="26"/>
          <w:szCs w:val="26"/>
        </w:rPr>
        <w:t xml:space="preserve"> by the Company,</w:t>
      </w:r>
      <w:r w:rsidRPr="00EE5722">
        <w:rPr>
          <w:sz w:val="26"/>
          <w:szCs w:val="26"/>
        </w:rPr>
        <w:t xml:space="preserve"> and it is possible t</w:t>
      </w:r>
      <w:r>
        <w:rPr>
          <w:sz w:val="26"/>
          <w:szCs w:val="26"/>
        </w:rPr>
        <w:t xml:space="preserve">hat this specialized team </w:t>
      </w:r>
      <w:r w:rsidRPr="00EE5722">
        <w:rPr>
          <w:sz w:val="26"/>
          <w:szCs w:val="26"/>
        </w:rPr>
        <w:t xml:space="preserve">actually </w:t>
      </w:r>
      <w:r>
        <w:rPr>
          <w:sz w:val="26"/>
          <w:szCs w:val="26"/>
        </w:rPr>
        <w:t xml:space="preserve">could </w:t>
      </w:r>
      <w:r w:rsidRPr="00EE5722">
        <w:rPr>
          <w:sz w:val="26"/>
          <w:szCs w:val="26"/>
        </w:rPr>
        <w:t>enroll the customer with a specific EGS.</w:t>
      </w:r>
      <w:r w:rsidRPr="00EE5722">
        <w:rPr>
          <w:rStyle w:val="FootnoteReference"/>
          <w:sz w:val="26"/>
          <w:szCs w:val="26"/>
        </w:rPr>
        <w:footnoteReference w:id="97"/>
      </w:r>
      <w:r w:rsidRPr="00EE5722">
        <w:rPr>
          <w:sz w:val="26"/>
          <w:szCs w:val="26"/>
        </w:rPr>
        <w:t xml:space="preserve">  </w:t>
      </w:r>
      <w:r>
        <w:rPr>
          <w:sz w:val="26"/>
          <w:szCs w:val="26"/>
        </w:rPr>
        <w:t>According to the OCA, t</w:t>
      </w:r>
      <w:r w:rsidRPr="00EE5722">
        <w:rPr>
          <w:sz w:val="26"/>
          <w:szCs w:val="26"/>
        </w:rPr>
        <w:t>his activity would give rise to significant consumer protection concerns because of the role that Duquesne would assume in presenting the ter</w:t>
      </w:r>
      <w:r>
        <w:rPr>
          <w:sz w:val="26"/>
          <w:szCs w:val="26"/>
        </w:rPr>
        <w:t>ms and conditions of the SO Program</w:t>
      </w:r>
      <w:r w:rsidRPr="00EE5722">
        <w:rPr>
          <w:sz w:val="26"/>
          <w:szCs w:val="26"/>
        </w:rPr>
        <w:t xml:space="preserve"> and obtaining consent to enroll a customer with a s</w:t>
      </w:r>
      <w:r>
        <w:rPr>
          <w:sz w:val="26"/>
          <w:szCs w:val="26"/>
        </w:rPr>
        <w:t xml:space="preserve">pecific EGS. </w:t>
      </w:r>
    </w:p>
    <w:p w:rsidR="00E95194" w:rsidRDefault="00E95194" w:rsidP="00E95194">
      <w:pPr>
        <w:pStyle w:val="FootnoteText"/>
        <w:spacing w:line="360" w:lineRule="auto"/>
        <w:rPr>
          <w:sz w:val="26"/>
          <w:szCs w:val="26"/>
        </w:rPr>
      </w:pPr>
    </w:p>
    <w:p w:rsidR="00E95194" w:rsidRPr="00EE5722" w:rsidRDefault="00E95194" w:rsidP="00E95194">
      <w:pPr>
        <w:pStyle w:val="FootnoteText"/>
        <w:spacing w:line="360" w:lineRule="auto"/>
        <w:ind w:firstLine="1440"/>
        <w:rPr>
          <w:sz w:val="26"/>
          <w:szCs w:val="26"/>
        </w:rPr>
      </w:pPr>
      <w:r>
        <w:rPr>
          <w:sz w:val="26"/>
          <w:szCs w:val="26"/>
        </w:rPr>
        <w:t>RESA, the OSBA, CAUSE, Citizen Power, DII, Dominion, FES and Constellation took no position on this issue.</w:t>
      </w:r>
    </w:p>
    <w:p w:rsidR="00E95194" w:rsidRPr="00EE5722" w:rsidRDefault="00E95194" w:rsidP="00E95194">
      <w:pPr>
        <w:pStyle w:val="BodyText"/>
        <w:spacing w:after="0" w:line="360" w:lineRule="auto"/>
        <w:ind w:left="0" w:firstLine="0"/>
        <w:rPr>
          <w:sz w:val="26"/>
          <w:szCs w:val="26"/>
        </w:rPr>
      </w:pPr>
    </w:p>
    <w:p w:rsidR="00E95194" w:rsidRPr="00EE5722" w:rsidRDefault="00E95194" w:rsidP="00584C88">
      <w:pPr>
        <w:pStyle w:val="Heading5"/>
        <w:numPr>
          <w:ilvl w:val="0"/>
          <w:numId w:val="0"/>
        </w:numPr>
        <w:ind w:left="3600" w:hanging="720"/>
      </w:pPr>
      <w:bookmarkStart w:id="162" w:name="_Toc346705404"/>
      <w:r w:rsidRPr="00EE5722">
        <w:t>iii</w:t>
      </w:r>
      <w:r>
        <w:t>.</w:t>
      </w:r>
      <w:r>
        <w:tab/>
        <w:t>ALJ’s Recommendation</w:t>
      </w:r>
      <w:bookmarkEnd w:id="162"/>
      <w:r w:rsidR="0055096F">
        <w:t xml:space="preserve"> </w:t>
      </w:r>
      <w:r>
        <w:t xml:space="preserve"> </w:t>
      </w:r>
    </w:p>
    <w:p w:rsidR="00E95194" w:rsidRPr="00EE5722" w:rsidRDefault="00E95194" w:rsidP="00211CF2">
      <w:pPr>
        <w:pStyle w:val="BodyText"/>
        <w:keepNext/>
        <w:spacing w:after="0" w:line="360" w:lineRule="auto"/>
        <w:ind w:left="0" w:firstLine="0"/>
        <w:rPr>
          <w:sz w:val="26"/>
          <w:szCs w:val="26"/>
        </w:rPr>
      </w:pPr>
    </w:p>
    <w:p w:rsidR="00E95194" w:rsidRPr="008C2FB1" w:rsidRDefault="00E95194" w:rsidP="006C3450">
      <w:pPr>
        <w:pStyle w:val="BodyText"/>
        <w:spacing w:after="0" w:line="360" w:lineRule="auto"/>
        <w:ind w:left="0" w:firstLine="0"/>
        <w:rPr>
          <w:sz w:val="26"/>
          <w:szCs w:val="26"/>
        </w:rPr>
      </w:pPr>
      <w:r>
        <w:rPr>
          <w:sz w:val="26"/>
          <w:szCs w:val="26"/>
        </w:rPr>
        <w:tab/>
      </w:r>
      <w:r>
        <w:rPr>
          <w:sz w:val="26"/>
          <w:szCs w:val="26"/>
        </w:rPr>
        <w:tab/>
      </w:r>
      <w:r>
        <w:rPr>
          <w:color w:val="000000" w:themeColor="text1"/>
          <w:sz w:val="26"/>
          <w:szCs w:val="26"/>
        </w:rPr>
        <w:t>The ALJ recommended denying Duquesne</w:t>
      </w:r>
      <w:r w:rsidRPr="00EE5722">
        <w:rPr>
          <w:color w:val="000000" w:themeColor="text1"/>
          <w:sz w:val="26"/>
          <w:szCs w:val="26"/>
        </w:rPr>
        <w:t>’s proposal to create a Choice Referral Team to discuss the SO Progra</w:t>
      </w:r>
      <w:r>
        <w:rPr>
          <w:color w:val="000000" w:themeColor="text1"/>
          <w:sz w:val="26"/>
          <w:szCs w:val="26"/>
        </w:rPr>
        <w:t>m with customers.  The ALJ</w:t>
      </w:r>
      <w:r w:rsidRPr="00EE5722">
        <w:rPr>
          <w:color w:val="000000" w:themeColor="text1"/>
          <w:sz w:val="26"/>
          <w:szCs w:val="26"/>
        </w:rPr>
        <w:t xml:space="preserve"> agree</w:t>
      </w:r>
      <w:r>
        <w:rPr>
          <w:color w:val="000000" w:themeColor="text1"/>
          <w:sz w:val="26"/>
          <w:szCs w:val="26"/>
        </w:rPr>
        <w:t>d</w:t>
      </w:r>
      <w:r w:rsidRPr="00EE5722">
        <w:rPr>
          <w:color w:val="000000" w:themeColor="text1"/>
          <w:sz w:val="26"/>
          <w:szCs w:val="26"/>
        </w:rPr>
        <w:t xml:space="preserve"> with </w:t>
      </w:r>
      <w:r>
        <w:rPr>
          <w:color w:val="000000" w:themeColor="text1"/>
          <w:sz w:val="26"/>
          <w:szCs w:val="26"/>
        </w:rPr>
        <w:t xml:space="preserve">the </w:t>
      </w:r>
      <w:r w:rsidRPr="00EE5722">
        <w:rPr>
          <w:color w:val="000000" w:themeColor="text1"/>
          <w:sz w:val="26"/>
          <w:szCs w:val="26"/>
        </w:rPr>
        <w:t>OCA that crea</w:t>
      </w:r>
      <w:r>
        <w:rPr>
          <w:color w:val="000000" w:themeColor="text1"/>
          <w:sz w:val="26"/>
          <w:szCs w:val="26"/>
        </w:rPr>
        <w:t>ting such a specialized team could result in increased costs.  The ALJ</w:t>
      </w:r>
      <w:r w:rsidRPr="00EE5722">
        <w:rPr>
          <w:color w:val="000000" w:themeColor="text1"/>
          <w:sz w:val="26"/>
          <w:szCs w:val="26"/>
        </w:rPr>
        <w:t xml:space="preserve"> also agree</w:t>
      </w:r>
      <w:r>
        <w:rPr>
          <w:color w:val="000000" w:themeColor="text1"/>
          <w:sz w:val="26"/>
          <w:szCs w:val="26"/>
        </w:rPr>
        <w:t>d</w:t>
      </w:r>
      <w:r w:rsidRPr="00EE5722">
        <w:rPr>
          <w:color w:val="000000" w:themeColor="text1"/>
          <w:sz w:val="26"/>
          <w:szCs w:val="26"/>
        </w:rPr>
        <w:t xml:space="preserve"> with </w:t>
      </w:r>
      <w:r>
        <w:rPr>
          <w:color w:val="000000" w:themeColor="text1"/>
          <w:sz w:val="26"/>
          <w:szCs w:val="26"/>
        </w:rPr>
        <w:t xml:space="preserve">the </w:t>
      </w:r>
      <w:r w:rsidRPr="00EE5722">
        <w:rPr>
          <w:color w:val="000000" w:themeColor="text1"/>
          <w:sz w:val="26"/>
          <w:szCs w:val="26"/>
        </w:rPr>
        <w:t>O</w:t>
      </w:r>
      <w:r>
        <w:rPr>
          <w:color w:val="000000" w:themeColor="text1"/>
          <w:sz w:val="26"/>
          <w:szCs w:val="26"/>
        </w:rPr>
        <w:t xml:space="preserve">CA </w:t>
      </w:r>
      <w:r w:rsidRPr="00EE5722">
        <w:rPr>
          <w:color w:val="000000" w:themeColor="text1"/>
          <w:sz w:val="26"/>
          <w:szCs w:val="26"/>
        </w:rPr>
        <w:t>that</w:t>
      </w:r>
      <w:r>
        <w:rPr>
          <w:color w:val="000000" w:themeColor="text1"/>
          <w:sz w:val="26"/>
          <w:szCs w:val="26"/>
        </w:rPr>
        <w:t>,</w:t>
      </w:r>
      <w:r w:rsidRPr="00EE5722">
        <w:rPr>
          <w:color w:val="000000" w:themeColor="text1"/>
          <w:sz w:val="26"/>
          <w:szCs w:val="26"/>
        </w:rPr>
        <w:t xml:space="preserve"> if this proposal is appr</w:t>
      </w:r>
      <w:r>
        <w:rPr>
          <w:color w:val="000000" w:themeColor="text1"/>
          <w:sz w:val="26"/>
          <w:szCs w:val="26"/>
        </w:rPr>
        <w:t xml:space="preserve">oved, all of the costs for the Choice Referral Team </w:t>
      </w:r>
      <w:r w:rsidRPr="00EE5722">
        <w:rPr>
          <w:color w:val="000000" w:themeColor="text1"/>
          <w:sz w:val="26"/>
          <w:szCs w:val="26"/>
        </w:rPr>
        <w:t>should be allocated to the EGSs</w:t>
      </w:r>
      <w:r>
        <w:rPr>
          <w:color w:val="000000" w:themeColor="text1"/>
          <w:sz w:val="26"/>
          <w:szCs w:val="26"/>
        </w:rPr>
        <w:t xml:space="preserve"> that</w:t>
      </w:r>
      <w:r w:rsidRPr="00EE5722">
        <w:rPr>
          <w:color w:val="000000" w:themeColor="text1"/>
          <w:sz w:val="26"/>
          <w:szCs w:val="26"/>
        </w:rPr>
        <w:t xml:space="preserve"> participate in the program.  </w:t>
      </w:r>
      <w:r>
        <w:rPr>
          <w:color w:val="000000" w:themeColor="text1"/>
          <w:sz w:val="26"/>
          <w:szCs w:val="26"/>
        </w:rPr>
        <w:t>The ALJ concluded that i</w:t>
      </w:r>
      <w:r w:rsidRPr="00EE5722">
        <w:rPr>
          <w:color w:val="000000" w:themeColor="text1"/>
          <w:sz w:val="26"/>
          <w:szCs w:val="26"/>
        </w:rPr>
        <w:t xml:space="preserve">f </w:t>
      </w:r>
      <w:r>
        <w:rPr>
          <w:color w:val="000000" w:themeColor="text1"/>
          <w:sz w:val="26"/>
          <w:szCs w:val="26"/>
        </w:rPr>
        <w:t>the Choice Referral Team is approved, the EGSs would</w:t>
      </w:r>
      <w:r w:rsidRPr="00EE5722">
        <w:rPr>
          <w:color w:val="000000" w:themeColor="text1"/>
          <w:sz w:val="26"/>
          <w:szCs w:val="26"/>
        </w:rPr>
        <w:t xml:space="preserve"> be able to avoid marketing costs and gai</w:t>
      </w:r>
      <w:r>
        <w:rPr>
          <w:color w:val="000000" w:themeColor="text1"/>
          <w:sz w:val="26"/>
          <w:szCs w:val="26"/>
        </w:rPr>
        <w:t>n customers simultaneously.  The ALJ concluded that it would be contrary to the public interest</w:t>
      </w:r>
      <w:r w:rsidRPr="00EE5722">
        <w:rPr>
          <w:color w:val="000000" w:themeColor="text1"/>
          <w:sz w:val="26"/>
          <w:szCs w:val="26"/>
        </w:rPr>
        <w:t xml:space="preserve"> for customers to subsidize the marketing and customer acquisition costs for the EGSs.</w:t>
      </w:r>
      <w:r w:rsidR="00D66CDD">
        <w:rPr>
          <w:color w:val="000000" w:themeColor="text1"/>
          <w:sz w:val="26"/>
          <w:szCs w:val="26"/>
        </w:rPr>
        <w:t xml:space="preserve">  R.D. at 139</w:t>
      </w:r>
      <w:r w:rsidR="006C3450">
        <w:rPr>
          <w:color w:val="000000" w:themeColor="text1"/>
          <w:sz w:val="26"/>
          <w:szCs w:val="26"/>
        </w:rPr>
        <w:t>.</w:t>
      </w:r>
      <w:r>
        <w:rPr>
          <w:color w:val="000000" w:themeColor="text1"/>
          <w:sz w:val="26"/>
          <w:szCs w:val="26"/>
        </w:rPr>
        <w:t xml:space="preserve"> </w:t>
      </w:r>
    </w:p>
    <w:p w:rsidR="00E95194" w:rsidRPr="00EE5722" w:rsidRDefault="00E95194" w:rsidP="006C3450">
      <w:pPr>
        <w:pStyle w:val="ListParagraph"/>
        <w:autoSpaceDE/>
        <w:autoSpaceDN/>
        <w:spacing w:line="360" w:lineRule="auto"/>
        <w:ind w:left="0"/>
        <w:rPr>
          <w:sz w:val="26"/>
          <w:szCs w:val="26"/>
        </w:rPr>
      </w:pPr>
    </w:p>
    <w:p w:rsidR="00E95194" w:rsidRPr="00EE5722" w:rsidRDefault="00E95194" w:rsidP="00584C88">
      <w:pPr>
        <w:pStyle w:val="Heading5"/>
        <w:numPr>
          <w:ilvl w:val="0"/>
          <w:numId w:val="0"/>
        </w:numPr>
        <w:ind w:left="3600" w:hanging="720"/>
      </w:pPr>
      <w:bookmarkStart w:id="163" w:name="_Toc346705405"/>
      <w:r>
        <w:t>iv.</w:t>
      </w:r>
      <w:r>
        <w:tab/>
        <w:t>Exceptions</w:t>
      </w:r>
      <w:bookmarkEnd w:id="163"/>
    </w:p>
    <w:p w:rsidR="00E95194" w:rsidRPr="00EE5722" w:rsidRDefault="00E95194" w:rsidP="006C3450">
      <w:pPr>
        <w:pStyle w:val="BodyText"/>
        <w:spacing w:after="0" w:line="360" w:lineRule="auto"/>
        <w:ind w:left="0" w:firstLine="0"/>
        <w:rPr>
          <w:sz w:val="26"/>
          <w:szCs w:val="26"/>
        </w:rPr>
      </w:pPr>
    </w:p>
    <w:p w:rsidR="00E95194" w:rsidRPr="006C3450" w:rsidRDefault="00E95194" w:rsidP="006C3450">
      <w:pPr>
        <w:pStyle w:val="BodyText2"/>
        <w:spacing w:after="0" w:line="360" w:lineRule="auto"/>
        <w:ind w:firstLine="1440"/>
        <w:rPr>
          <w:sz w:val="26"/>
          <w:szCs w:val="26"/>
        </w:rPr>
      </w:pPr>
      <w:r>
        <w:rPr>
          <w:sz w:val="26"/>
          <w:szCs w:val="26"/>
        </w:rPr>
        <w:t xml:space="preserve">In its Exceptions, </w:t>
      </w:r>
      <w:r w:rsidRPr="0000082F">
        <w:rPr>
          <w:sz w:val="26"/>
          <w:szCs w:val="26"/>
        </w:rPr>
        <w:t xml:space="preserve">Duquesne </w:t>
      </w:r>
      <w:r>
        <w:rPr>
          <w:sz w:val="26"/>
          <w:szCs w:val="26"/>
        </w:rPr>
        <w:t>explains</w:t>
      </w:r>
      <w:r w:rsidRPr="0000082F">
        <w:rPr>
          <w:sz w:val="26"/>
          <w:szCs w:val="26"/>
        </w:rPr>
        <w:t xml:space="preserve"> that the Choice Referral Team would permit specialized training and expertise as to the SO Program terms, rules and proce</w:t>
      </w:r>
      <w:r>
        <w:rPr>
          <w:sz w:val="26"/>
          <w:szCs w:val="26"/>
        </w:rPr>
        <w:t>ss for enrollment.  Duquesne also notes</w:t>
      </w:r>
      <w:r w:rsidRPr="0000082F">
        <w:rPr>
          <w:sz w:val="26"/>
          <w:szCs w:val="26"/>
        </w:rPr>
        <w:t xml:space="preserve"> that the Choice Referral Team would facilitate </w:t>
      </w:r>
      <w:r>
        <w:rPr>
          <w:sz w:val="26"/>
          <w:szCs w:val="26"/>
        </w:rPr>
        <w:t xml:space="preserve">the </w:t>
      </w:r>
      <w:r w:rsidRPr="0000082F">
        <w:rPr>
          <w:sz w:val="26"/>
          <w:szCs w:val="26"/>
        </w:rPr>
        <w:t>tracking of costs of the SO P</w:t>
      </w:r>
      <w:r>
        <w:rPr>
          <w:sz w:val="26"/>
          <w:szCs w:val="26"/>
        </w:rPr>
        <w:t>rogram.  Duquesne argues that, c</w:t>
      </w:r>
      <w:r w:rsidRPr="0000082F">
        <w:rPr>
          <w:sz w:val="26"/>
          <w:szCs w:val="26"/>
        </w:rPr>
        <w:t xml:space="preserve">ontrary to </w:t>
      </w:r>
      <w:r>
        <w:rPr>
          <w:sz w:val="26"/>
          <w:szCs w:val="26"/>
        </w:rPr>
        <w:t xml:space="preserve">the </w:t>
      </w:r>
      <w:r w:rsidRPr="0000082F">
        <w:rPr>
          <w:sz w:val="26"/>
          <w:szCs w:val="26"/>
        </w:rPr>
        <w:t>OCA’s unsupported contention, the Choice Referral Team should reduce costs by limiting the number of CSRs</w:t>
      </w:r>
      <w:r>
        <w:rPr>
          <w:sz w:val="26"/>
          <w:szCs w:val="26"/>
        </w:rPr>
        <w:t xml:space="preserve"> that must be trained.  According to Duquesne, it </w:t>
      </w:r>
      <w:r w:rsidRPr="0000082F">
        <w:rPr>
          <w:sz w:val="26"/>
          <w:szCs w:val="26"/>
        </w:rPr>
        <w:t xml:space="preserve">also </w:t>
      </w:r>
      <w:r>
        <w:rPr>
          <w:sz w:val="26"/>
          <w:szCs w:val="26"/>
        </w:rPr>
        <w:t xml:space="preserve">would </w:t>
      </w:r>
      <w:r w:rsidRPr="0000082F">
        <w:rPr>
          <w:sz w:val="26"/>
          <w:szCs w:val="26"/>
        </w:rPr>
        <w:t xml:space="preserve">provide more knowledgeable and focused CSRs that are more capable of answering questions specific to the SO Program.  Finally, </w:t>
      </w:r>
      <w:r>
        <w:rPr>
          <w:sz w:val="26"/>
          <w:szCs w:val="26"/>
        </w:rPr>
        <w:t xml:space="preserve">Duquesne asserts that </w:t>
      </w:r>
      <w:r w:rsidRPr="0000082F">
        <w:rPr>
          <w:sz w:val="26"/>
          <w:szCs w:val="26"/>
        </w:rPr>
        <w:t xml:space="preserve">the tracking of costs associated with the SO </w:t>
      </w:r>
      <w:r>
        <w:rPr>
          <w:sz w:val="26"/>
          <w:szCs w:val="26"/>
        </w:rPr>
        <w:t>Program would</w:t>
      </w:r>
      <w:r w:rsidRPr="0000082F">
        <w:rPr>
          <w:sz w:val="26"/>
          <w:szCs w:val="26"/>
        </w:rPr>
        <w:t xml:space="preserve"> be facilitated by providing a clear distinction of CSR activities applicable to the SO Program and the many other </w:t>
      </w:r>
      <w:r>
        <w:rPr>
          <w:sz w:val="26"/>
          <w:szCs w:val="26"/>
        </w:rPr>
        <w:t xml:space="preserve">CSR activities. </w:t>
      </w:r>
      <w:r w:rsidR="006C3450">
        <w:rPr>
          <w:sz w:val="26"/>
          <w:szCs w:val="26"/>
        </w:rPr>
        <w:t xml:space="preserve"> Duquesne Exc. at 4-5.  </w:t>
      </w:r>
    </w:p>
    <w:p w:rsidR="00E95194" w:rsidRDefault="00E95194" w:rsidP="000B0447">
      <w:pPr>
        <w:pStyle w:val="Heading3"/>
      </w:pPr>
    </w:p>
    <w:p w:rsidR="00E95194" w:rsidRPr="001915F1" w:rsidRDefault="00E95194" w:rsidP="006C3450">
      <w:pPr>
        <w:pStyle w:val="BodyText2"/>
        <w:spacing w:after="0" w:line="360" w:lineRule="auto"/>
        <w:ind w:firstLine="1440"/>
        <w:rPr>
          <w:sz w:val="26"/>
          <w:szCs w:val="26"/>
        </w:rPr>
      </w:pPr>
      <w:r>
        <w:t xml:space="preserve"> </w:t>
      </w:r>
      <w:r w:rsidRPr="000F62BF">
        <w:rPr>
          <w:sz w:val="26"/>
          <w:szCs w:val="26"/>
        </w:rPr>
        <w:t>In its Exceptions, RESA argues that the ALJ erred in recom</w:t>
      </w:r>
      <w:r>
        <w:rPr>
          <w:sz w:val="26"/>
          <w:szCs w:val="26"/>
        </w:rPr>
        <w:t xml:space="preserve">mending that, in the event </w:t>
      </w:r>
      <w:r w:rsidRPr="000F62BF">
        <w:rPr>
          <w:sz w:val="26"/>
          <w:szCs w:val="26"/>
        </w:rPr>
        <w:t>the Commission approve</w:t>
      </w:r>
      <w:r>
        <w:rPr>
          <w:sz w:val="26"/>
          <w:szCs w:val="26"/>
        </w:rPr>
        <w:t>s</w:t>
      </w:r>
      <w:r w:rsidRPr="000F62BF">
        <w:rPr>
          <w:sz w:val="26"/>
          <w:szCs w:val="26"/>
        </w:rPr>
        <w:t xml:space="preserve"> Duquesne’s proposal to create a Choice Referral Team, EG</w:t>
      </w:r>
      <w:r>
        <w:rPr>
          <w:sz w:val="26"/>
          <w:szCs w:val="26"/>
        </w:rPr>
        <w:t>Ss pay for the costs</w:t>
      </w:r>
      <w:r w:rsidRPr="000F62BF">
        <w:rPr>
          <w:sz w:val="26"/>
          <w:szCs w:val="26"/>
        </w:rPr>
        <w:t>.  RESA argues that this would be counterproductiv</w:t>
      </w:r>
      <w:r>
        <w:rPr>
          <w:sz w:val="26"/>
          <w:szCs w:val="26"/>
        </w:rPr>
        <w:t>e if the costs to EGSs for the RME P</w:t>
      </w:r>
      <w:r w:rsidRPr="000F62BF">
        <w:rPr>
          <w:sz w:val="26"/>
          <w:szCs w:val="26"/>
        </w:rPr>
        <w:t xml:space="preserve">rograms were so high that EGS participation would be discouraged.  Moreover, </w:t>
      </w:r>
      <w:r>
        <w:rPr>
          <w:sz w:val="26"/>
          <w:szCs w:val="26"/>
        </w:rPr>
        <w:t xml:space="preserve">according to RESA, </w:t>
      </w:r>
      <w:r w:rsidRPr="000F62BF">
        <w:rPr>
          <w:sz w:val="26"/>
          <w:szCs w:val="26"/>
        </w:rPr>
        <w:t xml:space="preserve">this would be an issue relating to cost recovery, and RESA has set forth specific cost recovery proposals for the Commission’s consideration.  </w:t>
      </w:r>
      <w:r w:rsidR="006C3450">
        <w:rPr>
          <w:sz w:val="26"/>
          <w:szCs w:val="26"/>
        </w:rPr>
        <w:t xml:space="preserve">RESA Exc. at 30.  </w:t>
      </w:r>
    </w:p>
    <w:p w:rsidR="00E95194" w:rsidRPr="00EE5722" w:rsidRDefault="00E95194" w:rsidP="006C3450">
      <w:pPr>
        <w:pStyle w:val="BodyText"/>
        <w:spacing w:after="0" w:line="360" w:lineRule="auto"/>
        <w:ind w:left="0" w:firstLine="0"/>
        <w:rPr>
          <w:sz w:val="26"/>
          <w:szCs w:val="26"/>
        </w:rPr>
      </w:pPr>
    </w:p>
    <w:p w:rsidR="00E95194" w:rsidRPr="00EE5722" w:rsidRDefault="00E95194" w:rsidP="00584C88">
      <w:pPr>
        <w:pStyle w:val="Heading5"/>
        <w:numPr>
          <w:ilvl w:val="0"/>
          <w:numId w:val="0"/>
        </w:numPr>
        <w:ind w:left="3600" w:hanging="720"/>
      </w:pPr>
      <w:bookmarkStart w:id="164" w:name="_Toc346705406"/>
      <w:r>
        <w:t>v.</w:t>
      </w:r>
      <w:r>
        <w:tab/>
        <w:t>Reply Exceptions</w:t>
      </w:r>
      <w:bookmarkEnd w:id="164"/>
    </w:p>
    <w:p w:rsidR="00E95194" w:rsidRPr="007A68E5" w:rsidRDefault="00E95194" w:rsidP="006C3450">
      <w:pPr>
        <w:pStyle w:val="BodyText"/>
        <w:spacing w:after="0" w:line="360" w:lineRule="auto"/>
        <w:ind w:left="0" w:firstLine="0"/>
        <w:rPr>
          <w:sz w:val="26"/>
          <w:szCs w:val="26"/>
        </w:rPr>
      </w:pPr>
    </w:p>
    <w:p w:rsidR="00E95194" w:rsidRDefault="00E95194" w:rsidP="00E95194">
      <w:pPr>
        <w:tabs>
          <w:tab w:val="left" w:pos="0"/>
        </w:tabs>
        <w:spacing w:line="360" w:lineRule="auto"/>
        <w:ind w:firstLine="1440"/>
        <w:rPr>
          <w:sz w:val="26"/>
          <w:szCs w:val="26"/>
        </w:rPr>
      </w:pPr>
      <w:r w:rsidRPr="007A68E5">
        <w:rPr>
          <w:sz w:val="26"/>
          <w:szCs w:val="26"/>
        </w:rPr>
        <w:t>In its Reply Exceptions, the OCA argues that the ALJ correctly recommended that Duquesne’s proposal to create a Choice Referral Team be rejected.</w:t>
      </w:r>
      <w:r>
        <w:rPr>
          <w:sz w:val="26"/>
          <w:szCs w:val="26"/>
        </w:rPr>
        <w:t xml:space="preserve">  </w:t>
      </w:r>
      <w:r w:rsidRPr="007A68E5">
        <w:rPr>
          <w:sz w:val="26"/>
          <w:szCs w:val="26"/>
        </w:rPr>
        <w:t xml:space="preserve">The OCA opposed creation of the Choice Referral Team due to concerns that it may result in increased costs that </w:t>
      </w:r>
      <w:r>
        <w:rPr>
          <w:sz w:val="26"/>
          <w:szCs w:val="26"/>
        </w:rPr>
        <w:t>unnecessarily would burden the SO P</w:t>
      </w:r>
      <w:r w:rsidRPr="007A68E5">
        <w:rPr>
          <w:sz w:val="26"/>
          <w:szCs w:val="26"/>
        </w:rPr>
        <w:t xml:space="preserve">rogram, and concerns </w:t>
      </w:r>
      <w:r w:rsidRPr="007A68E5">
        <w:rPr>
          <w:sz w:val="26"/>
          <w:szCs w:val="26"/>
        </w:rPr>
        <w:lastRenderedPageBreak/>
        <w:t xml:space="preserve">that the activities of the </w:t>
      </w:r>
      <w:r>
        <w:rPr>
          <w:sz w:val="26"/>
          <w:szCs w:val="26"/>
        </w:rPr>
        <w:t xml:space="preserve">Choice Referral </w:t>
      </w:r>
      <w:r w:rsidRPr="007A68E5">
        <w:rPr>
          <w:sz w:val="26"/>
          <w:szCs w:val="26"/>
        </w:rPr>
        <w:t>Team could raise consumer protection and satisfaction issues.  The OCA submits that the record in this case contains sufficient evidence of the drawbacks of forming a Choice Referral Team that the ALJ’s recommendation should be adopted by the Commission.</w:t>
      </w:r>
      <w:r>
        <w:rPr>
          <w:sz w:val="26"/>
          <w:szCs w:val="26"/>
        </w:rPr>
        <w:t xml:space="preserve"> </w:t>
      </w:r>
      <w:r w:rsidR="006C3450">
        <w:rPr>
          <w:sz w:val="26"/>
          <w:szCs w:val="26"/>
        </w:rPr>
        <w:t xml:space="preserve"> OCA R.Exc. at 18-19.</w:t>
      </w:r>
      <w:r w:rsidR="006C3450" w:rsidRPr="007A68E5">
        <w:rPr>
          <w:sz w:val="26"/>
          <w:szCs w:val="26"/>
        </w:rPr>
        <w:t xml:space="preserve">     </w:t>
      </w:r>
    </w:p>
    <w:p w:rsidR="00E95194" w:rsidRPr="007A68E5" w:rsidRDefault="00E95194" w:rsidP="00E95194">
      <w:pPr>
        <w:tabs>
          <w:tab w:val="left" w:pos="0"/>
        </w:tabs>
        <w:spacing w:line="360" w:lineRule="auto"/>
        <w:jc w:val="both"/>
        <w:rPr>
          <w:sz w:val="26"/>
          <w:szCs w:val="26"/>
        </w:rPr>
      </w:pPr>
    </w:p>
    <w:p w:rsidR="00E95194" w:rsidRPr="0088466B" w:rsidRDefault="00E95194" w:rsidP="00E95194">
      <w:pPr>
        <w:pStyle w:val="BodyText2"/>
        <w:spacing w:after="0" w:line="360" w:lineRule="auto"/>
        <w:rPr>
          <w:sz w:val="26"/>
          <w:szCs w:val="26"/>
        </w:rPr>
      </w:pPr>
      <w:r w:rsidRPr="007A68E5">
        <w:rPr>
          <w:sz w:val="26"/>
          <w:szCs w:val="26"/>
        </w:rPr>
        <w:tab/>
      </w:r>
      <w:r w:rsidRPr="007A68E5">
        <w:rPr>
          <w:sz w:val="26"/>
          <w:szCs w:val="26"/>
        </w:rPr>
        <w:tab/>
      </w:r>
      <w:r>
        <w:rPr>
          <w:sz w:val="26"/>
          <w:szCs w:val="26"/>
        </w:rPr>
        <w:t xml:space="preserve">With regard to the costs of the </w:t>
      </w:r>
      <w:r w:rsidRPr="007A68E5">
        <w:rPr>
          <w:sz w:val="26"/>
          <w:szCs w:val="26"/>
        </w:rPr>
        <w:t>Choice Referral Team</w:t>
      </w:r>
      <w:r>
        <w:rPr>
          <w:sz w:val="26"/>
          <w:szCs w:val="26"/>
        </w:rPr>
        <w:t>,</w:t>
      </w:r>
      <w:r w:rsidRPr="007A68E5">
        <w:rPr>
          <w:sz w:val="26"/>
          <w:szCs w:val="26"/>
        </w:rPr>
        <w:t xml:space="preserve"> </w:t>
      </w:r>
      <w:r>
        <w:rPr>
          <w:sz w:val="26"/>
          <w:szCs w:val="26"/>
        </w:rPr>
        <w:t xml:space="preserve">if adopted, the OCA asserts that these </w:t>
      </w:r>
      <w:r w:rsidRPr="007A68E5">
        <w:rPr>
          <w:sz w:val="26"/>
          <w:szCs w:val="26"/>
        </w:rPr>
        <w:t>should be allocated to the EGSs that pa</w:t>
      </w:r>
      <w:r>
        <w:rPr>
          <w:sz w:val="26"/>
          <w:szCs w:val="26"/>
        </w:rPr>
        <w:t xml:space="preserve">rticipate in the SO </w:t>
      </w:r>
      <w:r w:rsidRPr="007A68E5">
        <w:rPr>
          <w:sz w:val="26"/>
          <w:szCs w:val="26"/>
        </w:rPr>
        <w:t>Program.  The OCA submits that th</w:t>
      </w:r>
      <w:r>
        <w:rPr>
          <w:sz w:val="26"/>
          <w:szCs w:val="26"/>
        </w:rPr>
        <w:t>is is a matter of basic equity as</w:t>
      </w:r>
      <w:r w:rsidRPr="007A68E5">
        <w:rPr>
          <w:sz w:val="26"/>
          <w:szCs w:val="26"/>
        </w:rPr>
        <w:t xml:space="preserve"> </w:t>
      </w:r>
      <w:r>
        <w:rPr>
          <w:sz w:val="26"/>
          <w:szCs w:val="26"/>
        </w:rPr>
        <w:t>i</w:t>
      </w:r>
      <w:r w:rsidRPr="007A68E5">
        <w:rPr>
          <w:sz w:val="26"/>
          <w:szCs w:val="26"/>
        </w:rPr>
        <w:t xml:space="preserve">t is the EGSs that will avoid marketing costs and gain customers.  </w:t>
      </w:r>
      <w:r>
        <w:rPr>
          <w:sz w:val="26"/>
          <w:szCs w:val="26"/>
        </w:rPr>
        <w:t xml:space="preserve">According to the OCA, </w:t>
      </w:r>
      <w:r w:rsidRPr="007A68E5">
        <w:rPr>
          <w:sz w:val="26"/>
          <w:szCs w:val="26"/>
        </w:rPr>
        <w:t>customers should not have to subsidize EGSs’ marketing a</w:t>
      </w:r>
      <w:r>
        <w:rPr>
          <w:sz w:val="26"/>
          <w:szCs w:val="26"/>
        </w:rPr>
        <w:t>nd customer acquisition costs.</w:t>
      </w:r>
      <w:r w:rsidR="006C3450">
        <w:rPr>
          <w:sz w:val="26"/>
          <w:szCs w:val="26"/>
        </w:rPr>
        <w:t xml:space="preserve">  </w:t>
      </w:r>
      <w:r w:rsidR="006C3450">
        <w:rPr>
          <w:i/>
          <w:sz w:val="26"/>
          <w:szCs w:val="26"/>
        </w:rPr>
        <w:t>Id.</w:t>
      </w:r>
      <w:r w:rsidR="006C3450">
        <w:rPr>
          <w:sz w:val="26"/>
          <w:szCs w:val="26"/>
        </w:rPr>
        <w:t xml:space="preserve"> at 20.</w:t>
      </w:r>
      <w:r>
        <w:rPr>
          <w:sz w:val="26"/>
          <w:szCs w:val="26"/>
        </w:rPr>
        <w:t xml:space="preserve"> </w:t>
      </w:r>
    </w:p>
    <w:p w:rsidR="00E95194" w:rsidRPr="001915F1" w:rsidRDefault="00E95194" w:rsidP="00E95194">
      <w:pPr>
        <w:pStyle w:val="BodyText2"/>
        <w:spacing w:after="0" w:line="360" w:lineRule="auto"/>
        <w:rPr>
          <w:sz w:val="26"/>
          <w:szCs w:val="26"/>
        </w:rPr>
      </w:pPr>
    </w:p>
    <w:p w:rsidR="00E95194" w:rsidRDefault="00E95194" w:rsidP="00584C88">
      <w:pPr>
        <w:pStyle w:val="Heading5"/>
        <w:numPr>
          <w:ilvl w:val="0"/>
          <w:numId w:val="0"/>
        </w:numPr>
        <w:ind w:left="3600" w:hanging="720"/>
      </w:pPr>
      <w:bookmarkStart w:id="165" w:name="_Toc346705407"/>
      <w:r>
        <w:t>vi.</w:t>
      </w:r>
      <w:r>
        <w:tab/>
        <w:t>Disposition</w:t>
      </w:r>
      <w:bookmarkEnd w:id="165"/>
    </w:p>
    <w:p w:rsidR="00E95194" w:rsidRDefault="00E95194" w:rsidP="00E95194">
      <w:pPr>
        <w:pStyle w:val="BriefL3"/>
        <w:numPr>
          <w:ilvl w:val="0"/>
          <w:numId w:val="0"/>
        </w:numPr>
        <w:spacing w:after="0" w:line="360" w:lineRule="auto"/>
        <w:rPr>
          <w:b/>
          <w:sz w:val="26"/>
          <w:szCs w:val="26"/>
        </w:rPr>
      </w:pPr>
    </w:p>
    <w:p w:rsidR="00E95194" w:rsidRPr="00F20568" w:rsidRDefault="00E41152" w:rsidP="00E41152">
      <w:pPr>
        <w:pStyle w:val="BriefL3"/>
        <w:numPr>
          <w:ilvl w:val="0"/>
          <w:numId w:val="0"/>
        </w:numPr>
        <w:spacing w:after="0" w:line="360" w:lineRule="auto"/>
        <w:ind w:firstLine="1440"/>
        <w:rPr>
          <w:sz w:val="26"/>
          <w:szCs w:val="26"/>
        </w:rPr>
      </w:pPr>
      <w:r>
        <w:rPr>
          <w:sz w:val="26"/>
          <w:szCs w:val="26"/>
        </w:rPr>
        <w:t xml:space="preserve">Upon our consideration of the evidence of record, </w:t>
      </w:r>
      <w:r w:rsidR="00E95194">
        <w:rPr>
          <w:sz w:val="26"/>
          <w:szCs w:val="26"/>
        </w:rPr>
        <w:t xml:space="preserve">we </w:t>
      </w:r>
      <w:r w:rsidR="00451775">
        <w:rPr>
          <w:sz w:val="26"/>
          <w:szCs w:val="26"/>
        </w:rPr>
        <w:t xml:space="preserve">conclude that the creation of a </w:t>
      </w:r>
      <w:r w:rsidR="00E95194">
        <w:rPr>
          <w:sz w:val="26"/>
          <w:szCs w:val="26"/>
        </w:rPr>
        <w:t xml:space="preserve">Choice Referral Team </w:t>
      </w:r>
      <w:r w:rsidR="00451775">
        <w:rPr>
          <w:sz w:val="26"/>
          <w:szCs w:val="26"/>
        </w:rPr>
        <w:t xml:space="preserve">is within Duquesne’s managerial discretion.  We are not inclined to second guess Duquesne’s decision to devote a core group of its CSRs to the </w:t>
      </w:r>
      <w:r w:rsidR="00EB1489">
        <w:rPr>
          <w:sz w:val="26"/>
          <w:szCs w:val="26"/>
        </w:rPr>
        <w:t>SO</w:t>
      </w:r>
      <w:r w:rsidR="00451775">
        <w:rPr>
          <w:sz w:val="26"/>
          <w:szCs w:val="26"/>
        </w:rPr>
        <w:t xml:space="preserve"> Program.  Should Duquesne exercise its discretion and create the Choice Referral Team, the associated </w:t>
      </w:r>
      <w:r w:rsidR="00E95194">
        <w:rPr>
          <w:color w:val="000000" w:themeColor="text1"/>
          <w:sz w:val="26"/>
          <w:szCs w:val="26"/>
        </w:rPr>
        <w:t xml:space="preserve">costs </w:t>
      </w:r>
      <w:r w:rsidR="00451775">
        <w:rPr>
          <w:color w:val="000000" w:themeColor="text1"/>
          <w:sz w:val="26"/>
          <w:szCs w:val="26"/>
        </w:rPr>
        <w:t>w</w:t>
      </w:r>
      <w:r w:rsidR="00E95194">
        <w:rPr>
          <w:color w:val="000000" w:themeColor="text1"/>
          <w:sz w:val="26"/>
          <w:szCs w:val="26"/>
        </w:rPr>
        <w:t>ould be a</w:t>
      </w:r>
      <w:r w:rsidR="00451775">
        <w:rPr>
          <w:color w:val="000000" w:themeColor="text1"/>
          <w:sz w:val="26"/>
          <w:szCs w:val="26"/>
        </w:rPr>
        <w:t xml:space="preserve"> proper subject matter for the RME cost recovery collaborative that we are establishing by this Opinion and Order, </w:t>
      </w:r>
      <w:r w:rsidR="00451775" w:rsidRPr="00451775">
        <w:rPr>
          <w:i/>
          <w:color w:val="000000" w:themeColor="text1"/>
          <w:sz w:val="26"/>
          <w:szCs w:val="26"/>
        </w:rPr>
        <w:t>infra</w:t>
      </w:r>
      <w:r w:rsidR="00451775">
        <w:rPr>
          <w:color w:val="000000" w:themeColor="text1"/>
          <w:sz w:val="26"/>
          <w:szCs w:val="26"/>
        </w:rPr>
        <w:t xml:space="preserve">.  </w:t>
      </w:r>
      <w:r w:rsidR="0013278A">
        <w:rPr>
          <w:color w:val="000000" w:themeColor="text1"/>
          <w:sz w:val="26"/>
          <w:szCs w:val="26"/>
        </w:rPr>
        <w:t>We caution Duquesne, however, that it is not guaranteed recovery of the costs as</w:t>
      </w:r>
      <w:r w:rsidR="00C5449C">
        <w:rPr>
          <w:color w:val="000000" w:themeColor="text1"/>
          <w:sz w:val="26"/>
          <w:szCs w:val="26"/>
        </w:rPr>
        <w:t>s</w:t>
      </w:r>
      <w:r w:rsidR="0013278A">
        <w:rPr>
          <w:color w:val="000000" w:themeColor="text1"/>
          <w:sz w:val="26"/>
          <w:szCs w:val="26"/>
        </w:rPr>
        <w:t xml:space="preserve">ociated with the creation of the Choice Referral Team.  Just as with any other aspect of their operations, the Company retains the burden of demonstrating that these costs are just and reasonable before recovery will be allowed, whether from ratepayers or the supplier community.  </w:t>
      </w:r>
      <w:r w:rsidR="00E95194">
        <w:rPr>
          <w:color w:val="000000" w:themeColor="text1"/>
          <w:sz w:val="26"/>
          <w:szCs w:val="26"/>
        </w:rPr>
        <w:t xml:space="preserve">Therefore, we shall </w:t>
      </w:r>
      <w:r w:rsidR="00451775">
        <w:rPr>
          <w:color w:val="000000" w:themeColor="text1"/>
          <w:sz w:val="26"/>
          <w:szCs w:val="26"/>
        </w:rPr>
        <w:t xml:space="preserve">vacate </w:t>
      </w:r>
      <w:r w:rsidR="00E95194">
        <w:rPr>
          <w:color w:val="000000" w:themeColor="text1"/>
          <w:sz w:val="26"/>
          <w:szCs w:val="26"/>
        </w:rPr>
        <w:t>the recommendation of the ALJ and d</w:t>
      </w:r>
      <w:r w:rsidR="00451775">
        <w:rPr>
          <w:color w:val="000000" w:themeColor="text1"/>
          <w:sz w:val="26"/>
          <w:szCs w:val="26"/>
        </w:rPr>
        <w:t xml:space="preserve">ismiss </w:t>
      </w:r>
      <w:r w:rsidR="00E95194">
        <w:rPr>
          <w:color w:val="000000" w:themeColor="text1"/>
          <w:sz w:val="26"/>
          <w:szCs w:val="26"/>
        </w:rPr>
        <w:t>the Exceptions of Duquesne</w:t>
      </w:r>
      <w:r w:rsidR="00451775">
        <w:rPr>
          <w:color w:val="000000" w:themeColor="text1"/>
          <w:sz w:val="26"/>
          <w:szCs w:val="26"/>
        </w:rPr>
        <w:t xml:space="preserve"> and RESA </w:t>
      </w:r>
      <w:r w:rsidR="00E95194">
        <w:rPr>
          <w:color w:val="000000" w:themeColor="text1"/>
          <w:sz w:val="26"/>
          <w:szCs w:val="26"/>
        </w:rPr>
        <w:t>as moot.</w:t>
      </w:r>
    </w:p>
    <w:p w:rsidR="00E95194" w:rsidRPr="00EE5722" w:rsidRDefault="00E95194" w:rsidP="001726D3">
      <w:pPr>
        <w:pStyle w:val="BodyText"/>
        <w:spacing w:after="0" w:line="360" w:lineRule="auto"/>
        <w:ind w:left="0" w:firstLine="0"/>
        <w:rPr>
          <w:sz w:val="26"/>
          <w:szCs w:val="26"/>
        </w:rPr>
      </w:pPr>
    </w:p>
    <w:p w:rsidR="00E95194" w:rsidRPr="00E42D80" w:rsidRDefault="00E95194" w:rsidP="00DB35EA">
      <w:pPr>
        <w:pStyle w:val="Heading4"/>
        <w:numPr>
          <w:ilvl w:val="0"/>
          <w:numId w:val="0"/>
        </w:numPr>
        <w:spacing w:line="240" w:lineRule="auto"/>
        <w:ind w:left="2880" w:hanging="720"/>
      </w:pPr>
      <w:bookmarkStart w:id="166" w:name="_Toc346705408"/>
      <w:r>
        <w:t>g</w:t>
      </w:r>
      <w:r w:rsidRPr="00EE5722">
        <w:t>.</w:t>
      </w:r>
      <w:r w:rsidRPr="00EE5722">
        <w:tab/>
        <w:t>S</w:t>
      </w:r>
      <w:r>
        <w:t xml:space="preserve">tandard Offer </w:t>
      </w:r>
      <w:r w:rsidRPr="00EE5722">
        <w:t xml:space="preserve">Program Rules and Supplier </w:t>
      </w:r>
      <w:r w:rsidRPr="00EE5722">
        <w:tab/>
      </w:r>
      <w:r w:rsidRPr="00EE5722">
        <w:tab/>
      </w:r>
      <w:r w:rsidRPr="00EE5722">
        <w:tab/>
        <w:t>A</w:t>
      </w:r>
      <w:r>
        <w:t>greement</w:t>
      </w:r>
      <w:bookmarkEnd w:id="166"/>
    </w:p>
    <w:p w:rsidR="00E95194" w:rsidRPr="00EE5722" w:rsidRDefault="00E95194" w:rsidP="00E95194">
      <w:pPr>
        <w:pStyle w:val="BriefL3"/>
        <w:numPr>
          <w:ilvl w:val="0"/>
          <w:numId w:val="0"/>
        </w:numPr>
        <w:spacing w:after="0" w:line="360" w:lineRule="auto"/>
        <w:outlineLvl w:val="9"/>
        <w:rPr>
          <w:b/>
          <w:sz w:val="26"/>
          <w:szCs w:val="26"/>
        </w:rPr>
      </w:pPr>
    </w:p>
    <w:p w:rsidR="00E95194" w:rsidRPr="00EE5722" w:rsidRDefault="00E95194" w:rsidP="00584C88">
      <w:pPr>
        <w:pStyle w:val="Heading5"/>
        <w:numPr>
          <w:ilvl w:val="0"/>
          <w:numId w:val="0"/>
        </w:numPr>
        <w:ind w:left="3600" w:hanging="720"/>
      </w:pPr>
      <w:bookmarkStart w:id="167" w:name="_Toc346705409"/>
      <w:r>
        <w:lastRenderedPageBreak/>
        <w:t>i.</w:t>
      </w:r>
      <w:r>
        <w:tab/>
        <w:t>Duquesne</w:t>
      </w:r>
      <w:r w:rsidRPr="00EE5722">
        <w:t>’s Proposal</w:t>
      </w:r>
      <w:bookmarkEnd w:id="167"/>
    </w:p>
    <w:p w:rsidR="00E95194" w:rsidRPr="00EE5722" w:rsidRDefault="00E95194" w:rsidP="00E95194">
      <w:pPr>
        <w:pStyle w:val="BodyText"/>
        <w:spacing w:after="0" w:line="360" w:lineRule="auto"/>
        <w:ind w:left="0" w:firstLine="0"/>
        <w:rPr>
          <w:sz w:val="26"/>
          <w:szCs w:val="26"/>
        </w:rPr>
      </w:pPr>
    </w:p>
    <w:p w:rsidR="00E95194" w:rsidRPr="00EE5722" w:rsidRDefault="00E95194" w:rsidP="001726D3">
      <w:pPr>
        <w:pStyle w:val="BodyText2"/>
        <w:spacing w:after="0" w:line="360" w:lineRule="auto"/>
        <w:rPr>
          <w:sz w:val="26"/>
          <w:szCs w:val="26"/>
        </w:rPr>
      </w:pPr>
      <w:r w:rsidRPr="00EE5722">
        <w:rPr>
          <w:sz w:val="26"/>
          <w:szCs w:val="26"/>
        </w:rPr>
        <w:tab/>
      </w:r>
      <w:r w:rsidRPr="00EE5722">
        <w:rPr>
          <w:sz w:val="26"/>
          <w:szCs w:val="26"/>
        </w:rPr>
        <w:tab/>
      </w:r>
      <w:r>
        <w:rPr>
          <w:sz w:val="26"/>
          <w:szCs w:val="26"/>
        </w:rPr>
        <w:t xml:space="preserve">Duquesne </w:t>
      </w:r>
      <w:r w:rsidRPr="00EE5722">
        <w:rPr>
          <w:sz w:val="26"/>
          <w:szCs w:val="26"/>
        </w:rPr>
        <w:t xml:space="preserve">proposed that participating EGSs be required to enter into an agreement with the Company to participate in </w:t>
      </w:r>
      <w:r>
        <w:rPr>
          <w:sz w:val="26"/>
          <w:szCs w:val="26"/>
        </w:rPr>
        <w:t xml:space="preserve">the SO Program.  Duquesne </w:t>
      </w:r>
      <w:r w:rsidRPr="00EE5722">
        <w:rPr>
          <w:sz w:val="26"/>
          <w:szCs w:val="26"/>
        </w:rPr>
        <w:t>provided a proposed agreement which set forth rules and procedures f</w:t>
      </w:r>
      <w:r>
        <w:rPr>
          <w:sz w:val="26"/>
          <w:szCs w:val="26"/>
        </w:rPr>
        <w:t xml:space="preserve">or the SO Program.  Duquesne St. 3 at 37-38; Duquesne </w:t>
      </w:r>
      <w:r w:rsidRPr="00EE5722">
        <w:rPr>
          <w:sz w:val="26"/>
          <w:szCs w:val="26"/>
        </w:rPr>
        <w:t>Ex</w:t>
      </w:r>
      <w:r>
        <w:rPr>
          <w:sz w:val="26"/>
          <w:szCs w:val="26"/>
        </w:rPr>
        <w:t>h</w:t>
      </w:r>
      <w:r w:rsidRPr="00EE5722">
        <w:rPr>
          <w:sz w:val="26"/>
          <w:szCs w:val="26"/>
        </w:rPr>
        <w:t>. NSF-3.</w:t>
      </w:r>
    </w:p>
    <w:p w:rsidR="00E95194" w:rsidRPr="00EE5722" w:rsidRDefault="00E95194" w:rsidP="00E95194">
      <w:pPr>
        <w:pStyle w:val="BodyText2"/>
        <w:spacing w:after="0" w:line="360" w:lineRule="auto"/>
        <w:rPr>
          <w:sz w:val="26"/>
          <w:szCs w:val="26"/>
        </w:rPr>
      </w:pPr>
    </w:p>
    <w:p w:rsidR="00E95194" w:rsidRPr="00FC14B0" w:rsidRDefault="00E95194" w:rsidP="001726D3">
      <w:pPr>
        <w:pStyle w:val="BodyText2"/>
        <w:spacing w:after="0" w:line="360" w:lineRule="auto"/>
        <w:rPr>
          <w:sz w:val="26"/>
          <w:szCs w:val="26"/>
        </w:rPr>
      </w:pPr>
      <w:r w:rsidRPr="00EE5722">
        <w:rPr>
          <w:sz w:val="26"/>
          <w:szCs w:val="26"/>
        </w:rPr>
        <w:tab/>
      </w:r>
      <w:r>
        <w:rPr>
          <w:sz w:val="26"/>
          <w:szCs w:val="26"/>
        </w:rPr>
        <w:tab/>
        <w:t>Duquesne noted that</w:t>
      </w:r>
      <w:r w:rsidRPr="00EE5722">
        <w:rPr>
          <w:sz w:val="26"/>
          <w:szCs w:val="26"/>
        </w:rPr>
        <w:t xml:space="preserve"> the Commission typically reviews and approves agreements between wholesale default service suppliers and EDCs in default service proceedings, and that these documents were reviewed and commented </w:t>
      </w:r>
      <w:r>
        <w:rPr>
          <w:sz w:val="26"/>
          <w:szCs w:val="26"/>
        </w:rPr>
        <w:t>up</w:t>
      </w:r>
      <w:r w:rsidRPr="00EE5722">
        <w:rPr>
          <w:sz w:val="26"/>
          <w:szCs w:val="26"/>
        </w:rPr>
        <w:t xml:space="preserve">on in this proceeding.  </w:t>
      </w:r>
      <w:r>
        <w:rPr>
          <w:sz w:val="26"/>
          <w:szCs w:val="26"/>
        </w:rPr>
        <w:t>Duquesne averred that</w:t>
      </w:r>
      <w:r w:rsidRPr="00EE5722">
        <w:rPr>
          <w:sz w:val="26"/>
          <w:szCs w:val="26"/>
        </w:rPr>
        <w:t xml:space="preserve"> the need for </w:t>
      </w:r>
      <w:r>
        <w:rPr>
          <w:sz w:val="26"/>
          <w:szCs w:val="26"/>
        </w:rPr>
        <w:t xml:space="preserve">an </w:t>
      </w:r>
      <w:r w:rsidRPr="00EE5722">
        <w:rPr>
          <w:sz w:val="26"/>
          <w:szCs w:val="26"/>
        </w:rPr>
        <w:t>ag</w:t>
      </w:r>
      <w:r>
        <w:rPr>
          <w:sz w:val="26"/>
          <w:szCs w:val="26"/>
        </w:rPr>
        <w:t>reement</w:t>
      </w:r>
      <w:r w:rsidRPr="00EE5722">
        <w:rPr>
          <w:sz w:val="26"/>
          <w:szCs w:val="26"/>
        </w:rPr>
        <w:t xml:space="preserve"> is clear.  As an example, </w:t>
      </w:r>
      <w:r>
        <w:rPr>
          <w:sz w:val="26"/>
          <w:szCs w:val="26"/>
        </w:rPr>
        <w:t>Duquesne opined that</w:t>
      </w:r>
      <w:r w:rsidRPr="00EE5722">
        <w:rPr>
          <w:sz w:val="26"/>
          <w:szCs w:val="26"/>
        </w:rPr>
        <w:t xml:space="preserve"> SO suppliers will have obligations to take customers that elect to participate at the stated price</w:t>
      </w:r>
      <w:r>
        <w:rPr>
          <w:sz w:val="26"/>
          <w:szCs w:val="26"/>
        </w:rPr>
        <w:t>,</w:t>
      </w:r>
      <w:r w:rsidRPr="00EE5722">
        <w:rPr>
          <w:sz w:val="26"/>
          <w:szCs w:val="26"/>
        </w:rPr>
        <w:t xml:space="preserve"> and should be contractually obligated to live up to such obligations.  The SO Agreement sets </w:t>
      </w:r>
      <w:r>
        <w:rPr>
          <w:sz w:val="26"/>
          <w:szCs w:val="26"/>
        </w:rPr>
        <w:t>forth the terms and conditions of providing s</w:t>
      </w:r>
      <w:r w:rsidRPr="00EE5722">
        <w:rPr>
          <w:sz w:val="26"/>
          <w:szCs w:val="26"/>
        </w:rPr>
        <w:t>ervice and other rules and o</w:t>
      </w:r>
      <w:r>
        <w:rPr>
          <w:sz w:val="26"/>
          <w:szCs w:val="26"/>
        </w:rPr>
        <w:t xml:space="preserve">bligations </w:t>
      </w:r>
      <w:r w:rsidRPr="00EE5722">
        <w:rPr>
          <w:sz w:val="26"/>
          <w:szCs w:val="26"/>
        </w:rPr>
        <w:t>that are not contained in the Company’s s</w:t>
      </w:r>
      <w:r>
        <w:rPr>
          <w:sz w:val="26"/>
          <w:szCs w:val="26"/>
        </w:rPr>
        <w:t>upplier tariff.  Moreover, according to Duquesne, all Parties to</w:t>
      </w:r>
      <w:r w:rsidRPr="00EE5722">
        <w:rPr>
          <w:sz w:val="26"/>
          <w:szCs w:val="26"/>
        </w:rPr>
        <w:t xml:space="preserve"> this proceeding had an opportunity to propose revised terms and conditions to the SO Agreement.  Therefore, </w:t>
      </w:r>
      <w:r>
        <w:rPr>
          <w:sz w:val="26"/>
          <w:szCs w:val="26"/>
        </w:rPr>
        <w:t xml:space="preserve">Duquesne asserts that </w:t>
      </w:r>
      <w:r w:rsidRPr="00EE5722">
        <w:rPr>
          <w:sz w:val="26"/>
          <w:szCs w:val="26"/>
        </w:rPr>
        <w:t>it is unnecessary to cr</w:t>
      </w:r>
      <w:r>
        <w:rPr>
          <w:sz w:val="26"/>
          <w:szCs w:val="26"/>
        </w:rPr>
        <w:t>eate a separate proceeding for P</w:t>
      </w:r>
      <w:r w:rsidRPr="00EE5722">
        <w:rPr>
          <w:sz w:val="26"/>
          <w:szCs w:val="26"/>
        </w:rPr>
        <w:t>arties to resolve any issues that they may have with respect to the SO Agreement.</w:t>
      </w:r>
      <w:r>
        <w:rPr>
          <w:sz w:val="26"/>
          <w:szCs w:val="26"/>
        </w:rPr>
        <w:t xml:space="preserve">  Duquesne St. </w:t>
      </w:r>
      <w:r w:rsidRPr="00EE5722">
        <w:rPr>
          <w:sz w:val="26"/>
          <w:szCs w:val="26"/>
        </w:rPr>
        <w:t>3</w:t>
      </w:r>
      <w:r>
        <w:rPr>
          <w:sz w:val="26"/>
          <w:szCs w:val="26"/>
        </w:rPr>
        <w:t xml:space="preserve">-R at </w:t>
      </w:r>
      <w:r w:rsidRPr="00EE5722">
        <w:rPr>
          <w:sz w:val="26"/>
          <w:szCs w:val="26"/>
        </w:rPr>
        <w:t>26.</w:t>
      </w:r>
      <w:r>
        <w:rPr>
          <w:sz w:val="26"/>
          <w:szCs w:val="26"/>
        </w:rPr>
        <w:t xml:space="preserve">  </w:t>
      </w:r>
    </w:p>
    <w:p w:rsidR="00E95194" w:rsidRPr="00EE5722" w:rsidRDefault="00E95194" w:rsidP="001726D3">
      <w:pPr>
        <w:pStyle w:val="BodyText"/>
        <w:spacing w:after="0" w:line="360" w:lineRule="auto"/>
        <w:ind w:left="0" w:firstLine="0"/>
        <w:rPr>
          <w:sz w:val="26"/>
          <w:szCs w:val="26"/>
        </w:rPr>
      </w:pPr>
    </w:p>
    <w:p w:rsidR="00E95194" w:rsidRDefault="00E95194" w:rsidP="00584C88">
      <w:pPr>
        <w:pStyle w:val="Heading5"/>
        <w:numPr>
          <w:ilvl w:val="0"/>
          <w:numId w:val="0"/>
        </w:numPr>
        <w:ind w:left="3600" w:hanging="720"/>
      </w:pPr>
      <w:bookmarkStart w:id="168" w:name="_Toc346705410"/>
      <w:r>
        <w:t>ii.</w:t>
      </w:r>
      <w:r>
        <w:tab/>
      </w:r>
      <w:r w:rsidRPr="00EE5722">
        <w:t>Position</w:t>
      </w:r>
      <w:r>
        <w:t>s of the Parties</w:t>
      </w:r>
      <w:bookmarkEnd w:id="168"/>
    </w:p>
    <w:p w:rsidR="00E95194" w:rsidRPr="00EE5722" w:rsidRDefault="00E95194" w:rsidP="00211CF2">
      <w:pPr>
        <w:pStyle w:val="BriefL3"/>
        <w:keepNext/>
        <w:numPr>
          <w:ilvl w:val="0"/>
          <w:numId w:val="0"/>
        </w:numPr>
        <w:spacing w:after="0" w:line="360" w:lineRule="auto"/>
        <w:ind w:left="2880"/>
        <w:rPr>
          <w:b/>
          <w:sz w:val="26"/>
          <w:szCs w:val="26"/>
        </w:rPr>
      </w:pPr>
    </w:p>
    <w:p w:rsidR="00E95194" w:rsidRPr="00B92BBE" w:rsidRDefault="00E95194" w:rsidP="001726D3">
      <w:pPr>
        <w:pStyle w:val="BodyText"/>
        <w:spacing w:after="0" w:line="360" w:lineRule="auto"/>
        <w:ind w:left="0"/>
        <w:rPr>
          <w:sz w:val="26"/>
          <w:szCs w:val="26"/>
        </w:rPr>
      </w:pPr>
      <w:r>
        <w:rPr>
          <w:sz w:val="26"/>
          <w:szCs w:val="26"/>
        </w:rPr>
        <w:t xml:space="preserve">RESA argued that </w:t>
      </w:r>
      <w:r w:rsidRPr="00EE5722">
        <w:rPr>
          <w:sz w:val="26"/>
          <w:szCs w:val="26"/>
        </w:rPr>
        <w:t xml:space="preserve">the </w:t>
      </w:r>
      <w:r>
        <w:rPr>
          <w:sz w:val="26"/>
          <w:szCs w:val="26"/>
        </w:rPr>
        <w:t xml:space="preserve">proposed Opt-In </w:t>
      </w:r>
      <w:r w:rsidRPr="00EE5722">
        <w:rPr>
          <w:sz w:val="26"/>
          <w:szCs w:val="26"/>
        </w:rPr>
        <w:t>Agreement between Duque</w:t>
      </w:r>
      <w:r>
        <w:rPr>
          <w:sz w:val="26"/>
          <w:szCs w:val="26"/>
        </w:rPr>
        <w:t xml:space="preserve">sne and EGSs </w:t>
      </w:r>
      <w:r w:rsidRPr="00EE5722">
        <w:rPr>
          <w:sz w:val="26"/>
          <w:szCs w:val="26"/>
        </w:rPr>
        <w:t xml:space="preserve">is unnecessary and unreasonable. </w:t>
      </w:r>
      <w:r>
        <w:rPr>
          <w:sz w:val="26"/>
          <w:szCs w:val="26"/>
        </w:rPr>
        <w:t xml:space="preserve"> For the same reasons, RESA recommended</w:t>
      </w:r>
      <w:r w:rsidRPr="00EE5722">
        <w:rPr>
          <w:sz w:val="26"/>
          <w:szCs w:val="26"/>
        </w:rPr>
        <w:t xml:space="preserve"> t</w:t>
      </w:r>
      <w:r>
        <w:rPr>
          <w:sz w:val="26"/>
          <w:szCs w:val="26"/>
        </w:rPr>
        <w:t xml:space="preserve">hat the proposed SO </w:t>
      </w:r>
      <w:r w:rsidRPr="00EE5722">
        <w:rPr>
          <w:sz w:val="26"/>
          <w:szCs w:val="26"/>
        </w:rPr>
        <w:t xml:space="preserve">Agreement be rejected, consistent with the Commission’s decision in the </w:t>
      </w:r>
      <w:r w:rsidRPr="00EE5722">
        <w:rPr>
          <w:i/>
          <w:sz w:val="26"/>
          <w:szCs w:val="26"/>
        </w:rPr>
        <w:t>PECO Binding Poll,</w:t>
      </w:r>
      <w:r w:rsidRPr="00EE5722">
        <w:rPr>
          <w:rStyle w:val="FootnoteReference"/>
          <w:sz w:val="26"/>
          <w:szCs w:val="26"/>
        </w:rPr>
        <w:footnoteReference w:id="98"/>
      </w:r>
      <w:r w:rsidRPr="00EE5722">
        <w:rPr>
          <w:i/>
          <w:sz w:val="26"/>
          <w:szCs w:val="26"/>
        </w:rPr>
        <w:t xml:space="preserve"> </w:t>
      </w:r>
      <w:r w:rsidRPr="00EE5722">
        <w:rPr>
          <w:sz w:val="26"/>
          <w:szCs w:val="26"/>
        </w:rPr>
        <w:t xml:space="preserve">and that a Staff collaborative for the negotiation of the </w:t>
      </w:r>
      <w:r w:rsidRPr="00EE5722">
        <w:rPr>
          <w:sz w:val="26"/>
          <w:szCs w:val="26"/>
        </w:rPr>
        <w:lastRenderedPageBreak/>
        <w:t>gov</w:t>
      </w:r>
      <w:r>
        <w:rPr>
          <w:sz w:val="26"/>
          <w:szCs w:val="26"/>
        </w:rPr>
        <w:t xml:space="preserve">erning documents be instituted.  </w:t>
      </w:r>
    </w:p>
    <w:p w:rsidR="00E95194" w:rsidRDefault="00E95194" w:rsidP="00E95194">
      <w:pPr>
        <w:pStyle w:val="BodyText"/>
        <w:spacing w:after="0" w:line="360" w:lineRule="auto"/>
        <w:ind w:left="0" w:firstLine="0"/>
        <w:rPr>
          <w:sz w:val="26"/>
          <w:szCs w:val="26"/>
        </w:rPr>
      </w:pPr>
    </w:p>
    <w:p w:rsidR="00E95194" w:rsidRPr="00EE5722" w:rsidRDefault="00E95194" w:rsidP="001726D3">
      <w:pPr>
        <w:pStyle w:val="BodyText2"/>
        <w:spacing w:line="360" w:lineRule="auto"/>
        <w:ind w:left="1440"/>
        <w:rPr>
          <w:sz w:val="26"/>
          <w:szCs w:val="26"/>
        </w:rPr>
      </w:pPr>
      <w:r>
        <w:rPr>
          <w:sz w:val="26"/>
          <w:szCs w:val="26"/>
        </w:rPr>
        <w:t xml:space="preserve">No other Party took a position </w:t>
      </w:r>
      <w:r w:rsidRPr="00EE5722">
        <w:rPr>
          <w:sz w:val="26"/>
          <w:szCs w:val="26"/>
        </w:rPr>
        <w:t>on this issue.</w:t>
      </w:r>
    </w:p>
    <w:p w:rsidR="00E95194" w:rsidRPr="00EE5722" w:rsidRDefault="00E95194" w:rsidP="001726D3">
      <w:pPr>
        <w:pStyle w:val="BodyText"/>
        <w:spacing w:after="0" w:line="360" w:lineRule="auto"/>
        <w:ind w:left="0" w:firstLine="0"/>
        <w:rPr>
          <w:sz w:val="26"/>
          <w:szCs w:val="26"/>
        </w:rPr>
      </w:pPr>
    </w:p>
    <w:p w:rsidR="00E95194" w:rsidRPr="00EE5722" w:rsidRDefault="00E95194" w:rsidP="00584C88">
      <w:pPr>
        <w:pStyle w:val="Heading5"/>
        <w:numPr>
          <w:ilvl w:val="0"/>
          <w:numId w:val="0"/>
        </w:numPr>
        <w:ind w:left="3600" w:hanging="720"/>
      </w:pPr>
      <w:bookmarkStart w:id="169" w:name="_Toc346705411"/>
      <w:r>
        <w:t>iii.</w:t>
      </w:r>
      <w:r>
        <w:tab/>
        <w:t>AL</w:t>
      </w:r>
      <w:r w:rsidR="001726D3">
        <w:t>J’s Recommendation</w:t>
      </w:r>
      <w:bookmarkEnd w:id="169"/>
      <w:r w:rsidR="001726D3">
        <w:t xml:space="preserve"> </w:t>
      </w:r>
    </w:p>
    <w:p w:rsidR="00E95194" w:rsidRPr="00EE5722" w:rsidRDefault="00E95194" w:rsidP="00E95194">
      <w:pPr>
        <w:pStyle w:val="BodyText"/>
        <w:spacing w:after="0" w:line="360" w:lineRule="auto"/>
        <w:ind w:left="0" w:firstLine="0"/>
        <w:rPr>
          <w:sz w:val="26"/>
          <w:szCs w:val="26"/>
        </w:rPr>
      </w:pPr>
    </w:p>
    <w:p w:rsidR="00E95194" w:rsidRPr="001726D3" w:rsidRDefault="00E95194" w:rsidP="00E95194">
      <w:pPr>
        <w:pStyle w:val="BodyText2"/>
        <w:spacing w:after="0" w:line="360" w:lineRule="auto"/>
        <w:rPr>
          <w:sz w:val="26"/>
          <w:szCs w:val="26"/>
        </w:rPr>
      </w:pPr>
      <w:r w:rsidRPr="00EE5722">
        <w:rPr>
          <w:sz w:val="26"/>
          <w:szCs w:val="26"/>
        </w:rPr>
        <w:tab/>
      </w:r>
      <w:r w:rsidRPr="00EE5722">
        <w:rPr>
          <w:sz w:val="26"/>
          <w:szCs w:val="26"/>
        </w:rPr>
        <w:tab/>
      </w:r>
      <w:r>
        <w:rPr>
          <w:color w:val="000000" w:themeColor="text1"/>
          <w:sz w:val="26"/>
          <w:szCs w:val="26"/>
        </w:rPr>
        <w:t xml:space="preserve">The ALJ </w:t>
      </w:r>
      <w:r w:rsidRPr="00EE5722">
        <w:rPr>
          <w:color w:val="000000" w:themeColor="text1"/>
          <w:sz w:val="26"/>
          <w:szCs w:val="26"/>
        </w:rPr>
        <w:t>re</w:t>
      </w:r>
      <w:r>
        <w:rPr>
          <w:color w:val="000000" w:themeColor="text1"/>
          <w:sz w:val="26"/>
          <w:szCs w:val="26"/>
        </w:rPr>
        <w:t>commended approving Duquesne</w:t>
      </w:r>
      <w:r w:rsidRPr="00EE5722">
        <w:rPr>
          <w:color w:val="000000" w:themeColor="text1"/>
          <w:sz w:val="26"/>
          <w:szCs w:val="26"/>
        </w:rPr>
        <w:t xml:space="preserve">’s proposal to require all participating EGSs to enter into an agreement with the Company to participate in the SO </w:t>
      </w:r>
      <w:r>
        <w:rPr>
          <w:color w:val="000000" w:themeColor="text1"/>
          <w:sz w:val="26"/>
          <w:szCs w:val="26"/>
        </w:rPr>
        <w:t>Program.  According to the ALJ, the SO Agreement is needed because EGSs</w:t>
      </w:r>
      <w:r w:rsidRPr="00EE5722">
        <w:rPr>
          <w:color w:val="000000" w:themeColor="text1"/>
          <w:sz w:val="26"/>
          <w:szCs w:val="26"/>
        </w:rPr>
        <w:t xml:space="preserve"> will have obligations to take customers that elect to participate</w:t>
      </w:r>
      <w:r>
        <w:rPr>
          <w:color w:val="000000" w:themeColor="text1"/>
          <w:sz w:val="26"/>
          <w:szCs w:val="26"/>
        </w:rPr>
        <w:t xml:space="preserve">, and </w:t>
      </w:r>
      <w:r w:rsidRPr="00EE5722">
        <w:rPr>
          <w:color w:val="000000" w:themeColor="text1"/>
          <w:sz w:val="26"/>
          <w:szCs w:val="26"/>
        </w:rPr>
        <w:t>should be contractually obligated to live up to</w:t>
      </w:r>
      <w:r>
        <w:rPr>
          <w:color w:val="000000" w:themeColor="text1"/>
          <w:sz w:val="26"/>
          <w:szCs w:val="26"/>
        </w:rPr>
        <w:t xml:space="preserve"> such obligations. </w:t>
      </w:r>
      <w:r w:rsidR="001726D3">
        <w:rPr>
          <w:color w:val="000000" w:themeColor="text1"/>
          <w:sz w:val="26"/>
          <w:szCs w:val="26"/>
        </w:rPr>
        <w:t xml:space="preserve"> R.D. at 142.</w:t>
      </w:r>
    </w:p>
    <w:p w:rsidR="00E95194" w:rsidRPr="006738F4" w:rsidRDefault="00E95194" w:rsidP="00E95194">
      <w:pPr>
        <w:pStyle w:val="BodyText2"/>
        <w:spacing w:after="0" w:line="360" w:lineRule="auto"/>
        <w:rPr>
          <w:sz w:val="26"/>
          <w:szCs w:val="26"/>
        </w:rPr>
      </w:pPr>
    </w:p>
    <w:p w:rsidR="00E95194" w:rsidRPr="00EE5722" w:rsidRDefault="00E95194" w:rsidP="00584C88">
      <w:pPr>
        <w:pStyle w:val="Heading5"/>
        <w:numPr>
          <w:ilvl w:val="0"/>
          <w:numId w:val="0"/>
        </w:numPr>
        <w:ind w:left="3600" w:hanging="720"/>
      </w:pPr>
      <w:bookmarkStart w:id="170" w:name="_Toc346705412"/>
      <w:r>
        <w:t>iv.</w:t>
      </w:r>
      <w:r>
        <w:tab/>
        <w:t>Exceptions</w:t>
      </w:r>
      <w:bookmarkEnd w:id="170"/>
    </w:p>
    <w:p w:rsidR="00E95194" w:rsidRDefault="00E95194" w:rsidP="000B0447">
      <w:pPr>
        <w:pStyle w:val="Heading3"/>
      </w:pPr>
    </w:p>
    <w:p w:rsidR="00E95194" w:rsidRPr="00136482" w:rsidRDefault="00E95194" w:rsidP="00E95194">
      <w:pPr>
        <w:pStyle w:val="BodyText"/>
        <w:spacing w:after="0" w:line="360" w:lineRule="auto"/>
        <w:ind w:left="0"/>
        <w:rPr>
          <w:sz w:val="26"/>
          <w:szCs w:val="26"/>
        </w:rPr>
      </w:pPr>
      <w:r>
        <w:rPr>
          <w:sz w:val="26"/>
          <w:szCs w:val="26"/>
        </w:rPr>
        <w:t>In its Exceptions, RESA argues that th</w:t>
      </w:r>
      <w:r w:rsidRPr="004E7BB3">
        <w:rPr>
          <w:sz w:val="26"/>
          <w:szCs w:val="26"/>
        </w:rPr>
        <w:t>e ALJ erred in recommending approval of the requirement</w:t>
      </w:r>
      <w:r>
        <w:rPr>
          <w:sz w:val="26"/>
          <w:szCs w:val="26"/>
        </w:rPr>
        <w:t xml:space="preserve"> that EGSs sign the SO </w:t>
      </w:r>
      <w:r w:rsidRPr="004E7BB3">
        <w:rPr>
          <w:sz w:val="26"/>
          <w:szCs w:val="26"/>
        </w:rPr>
        <w:t xml:space="preserve">Program Rules and Supplier Agreement.  </w:t>
      </w:r>
      <w:r>
        <w:rPr>
          <w:sz w:val="26"/>
          <w:szCs w:val="26"/>
        </w:rPr>
        <w:t>RESA avers that, f</w:t>
      </w:r>
      <w:r w:rsidRPr="004E7BB3">
        <w:rPr>
          <w:sz w:val="26"/>
          <w:szCs w:val="26"/>
        </w:rPr>
        <w:t xml:space="preserve">or the same reasons </w:t>
      </w:r>
      <w:r>
        <w:rPr>
          <w:sz w:val="26"/>
          <w:szCs w:val="26"/>
        </w:rPr>
        <w:t>it provided</w:t>
      </w:r>
      <w:r w:rsidRPr="004E7BB3">
        <w:rPr>
          <w:sz w:val="26"/>
          <w:szCs w:val="26"/>
        </w:rPr>
        <w:t xml:space="preserve"> regarding the proposed Opt-In </w:t>
      </w:r>
      <w:r>
        <w:rPr>
          <w:sz w:val="26"/>
          <w:szCs w:val="26"/>
        </w:rPr>
        <w:t xml:space="preserve">Agreement, </w:t>
      </w:r>
      <w:r w:rsidRPr="004E7BB3">
        <w:rPr>
          <w:sz w:val="26"/>
          <w:szCs w:val="26"/>
        </w:rPr>
        <w:t xml:space="preserve">the ALJ’s recommendation </w:t>
      </w:r>
      <w:r>
        <w:rPr>
          <w:sz w:val="26"/>
          <w:szCs w:val="26"/>
        </w:rPr>
        <w:t xml:space="preserve">should </w:t>
      </w:r>
      <w:r w:rsidRPr="004E7BB3">
        <w:rPr>
          <w:sz w:val="26"/>
          <w:szCs w:val="26"/>
        </w:rPr>
        <w:t>be rejected and that a collaborative be instituted to discuss the governing documents</w:t>
      </w:r>
      <w:r>
        <w:rPr>
          <w:sz w:val="26"/>
          <w:szCs w:val="26"/>
        </w:rPr>
        <w:t xml:space="preserve">. </w:t>
      </w:r>
      <w:r w:rsidR="001726D3">
        <w:rPr>
          <w:sz w:val="26"/>
          <w:szCs w:val="26"/>
        </w:rPr>
        <w:t xml:space="preserve"> RESA Exc. at 31.</w:t>
      </w:r>
    </w:p>
    <w:p w:rsidR="00E95194" w:rsidRPr="004C72B2" w:rsidRDefault="00E95194" w:rsidP="00E95194">
      <w:pPr>
        <w:pStyle w:val="BodyText2"/>
        <w:spacing w:after="0" w:line="360" w:lineRule="auto"/>
        <w:rPr>
          <w:sz w:val="26"/>
          <w:szCs w:val="26"/>
        </w:rPr>
      </w:pPr>
      <w:r w:rsidRPr="00EE5722">
        <w:rPr>
          <w:sz w:val="26"/>
          <w:szCs w:val="26"/>
        </w:rPr>
        <w:tab/>
      </w:r>
      <w:r w:rsidRPr="00EE5722">
        <w:rPr>
          <w:sz w:val="26"/>
          <w:szCs w:val="26"/>
        </w:rPr>
        <w:tab/>
      </w:r>
    </w:p>
    <w:p w:rsidR="00E95194" w:rsidRPr="00EE5722" w:rsidRDefault="00E95194" w:rsidP="00584C88">
      <w:pPr>
        <w:pStyle w:val="Heading5"/>
        <w:numPr>
          <w:ilvl w:val="0"/>
          <w:numId w:val="0"/>
        </w:numPr>
        <w:ind w:left="3600" w:hanging="720"/>
      </w:pPr>
      <w:bookmarkStart w:id="171" w:name="_Toc346705413"/>
      <w:r>
        <w:t>v.</w:t>
      </w:r>
      <w:r>
        <w:tab/>
        <w:t>Reply Exceptions</w:t>
      </w:r>
      <w:bookmarkEnd w:id="171"/>
    </w:p>
    <w:p w:rsidR="00E95194" w:rsidRPr="00EE5722" w:rsidRDefault="00E95194" w:rsidP="00E95194">
      <w:pPr>
        <w:pStyle w:val="BodyText"/>
        <w:spacing w:after="0" w:line="360" w:lineRule="auto"/>
        <w:ind w:left="0" w:firstLine="0"/>
        <w:rPr>
          <w:sz w:val="26"/>
          <w:szCs w:val="26"/>
        </w:rPr>
      </w:pPr>
    </w:p>
    <w:p w:rsidR="00E95194" w:rsidRDefault="00E95194" w:rsidP="00E95194">
      <w:pPr>
        <w:pStyle w:val="BodyText2"/>
        <w:spacing w:after="0" w:line="360" w:lineRule="auto"/>
        <w:ind w:firstLine="1440"/>
        <w:rPr>
          <w:sz w:val="26"/>
          <w:szCs w:val="26"/>
        </w:rPr>
      </w:pPr>
      <w:r>
        <w:rPr>
          <w:sz w:val="26"/>
          <w:szCs w:val="26"/>
        </w:rPr>
        <w:t>In its Reply Exceptions, Duquesne argues that its proposed SO Agreement should be approved for the same reasons that the Opt-In Agreement should be approved, as explained above.  In the alternative, a process should be established to develop the necessary agreement.  Duquesne R.Exc. at 20.</w:t>
      </w:r>
    </w:p>
    <w:p w:rsidR="00E95194" w:rsidRPr="00EE5722" w:rsidRDefault="00E95194" w:rsidP="00E95194">
      <w:pPr>
        <w:pStyle w:val="BodyText2"/>
        <w:spacing w:after="0" w:line="360" w:lineRule="auto"/>
        <w:ind w:firstLine="1440"/>
        <w:rPr>
          <w:b/>
          <w:sz w:val="26"/>
          <w:szCs w:val="26"/>
        </w:rPr>
      </w:pPr>
      <w:r w:rsidRPr="00EE5722">
        <w:rPr>
          <w:sz w:val="26"/>
          <w:szCs w:val="26"/>
        </w:rPr>
        <w:tab/>
      </w:r>
      <w:r w:rsidRPr="00EE5722">
        <w:rPr>
          <w:sz w:val="26"/>
          <w:szCs w:val="26"/>
        </w:rPr>
        <w:tab/>
      </w:r>
    </w:p>
    <w:p w:rsidR="00E95194" w:rsidRDefault="00E95194" w:rsidP="00584C88">
      <w:pPr>
        <w:pStyle w:val="Heading5"/>
        <w:numPr>
          <w:ilvl w:val="0"/>
          <w:numId w:val="0"/>
        </w:numPr>
        <w:ind w:left="3600" w:hanging="720"/>
      </w:pPr>
      <w:bookmarkStart w:id="172" w:name="_Toc346705414"/>
      <w:r>
        <w:lastRenderedPageBreak/>
        <w:t>vi.</w:t>
      </w:r>
      <w:r>
        <w:tab/>
        <w:t>Disposition</w:t>
      </w:r>
      <w:bookmarkEnd w:id="172"/>
    </w:p>
    <w:p w:rsidR="00E95194" w:rsidRDefault="00E95194" w:rsidP="00E95194">
      <w:pPr>
        <w:pStyle w:val="BriefL3"/>
        <w:numPr>
          <w:ilvl w:val="0"/>
          <w:numId w:val="0"/>
        </w:numPr>
        <w:spacing w:after="0" w:line="360" w:lineRule="auto"/>
        <w:ind w:firstLine="720"/>
        <w:rPr>
          <w:b/>
          <w:sz w:val="26"/>
          <w:szCs w:val="26"/>
        </w:rPr>
      </w:pPr>
    </w:p>
    <w:p w:rsidR="0055096F" w:rsidRDefault="0055096F" w:rsidP="0055096F">
      <w:pPr>
        <w:pStyle w:val="BodyText"/>
        <w:spacing w:after="0" w:line="360" w:lineRule="auto"/>
        <w:ind w:left="0"/>
        <w:rPr>
          <w:sz w:val="26"/>
          <w:szCs w:val="26"/>
        </w:rPr>
      </w:pPr>
      <w:r w:rsidRPr="00F20568">
        <w:rPr>
          <w:sz w:val="26"/>
          <w:szCs w:val="26"/>
        </w:rPr>
        <w:t xml:space="preserve">Upon our consideration of the evidence of record, </w:t>
      </w:r>
      <w:r>
        <w:rPr>
          <w:sz w:val="26"/>
          <w:szCs w:val="26"/>
        </w:rPr>
        <w:t>and consistent with our prior determinations in the FirstEnergy and PECO DSP proceedings, we are persuaded by the arguments of RESA and will grant its Exception to the extent that RESA has proposed a collaborative among the Parties to this proceeding to review the terms and conditions of Duquesne’s proposed Standard Offer Program Rules and Supplier Agreement</w:t>
      </w:r>
      <w:r w:rsidRPr="00A57BCD">
        <w:rPr>
          <w:sz w:val="26"/>
          <w:szCs w:val="26"/>
        </w:rPr>
        <w:t>.</w:t>
      </w:r>
      <w:r>
        <w:rPr>
          <w:sz w:val="26"/>
          <w:szCs w:val="26"/>
        </w:rPr>
        <w:t xml:space="preserve">  In our view, it is appropriate to conduct such a collaborative to ensure that the proposed agreement does not impose unreasonable or unnecessary requirements on EGSs as a condition for their participation in the Standard Offer Program.  We strongly encourage the </w:t>
      </w:r>
      <w:r w:rsidR="008C0598">
        <w:rPr>
          <w:sz w:val="26"/>
          <w:szCs w:val="26"/>
          <w:lang w:val="en-US"/>
        </w:rPr>
        <w:t>P</w:t>
      </w:r>
      <w:r>
        <w:rPr>
          <w:sz w:val="26"/>
          <w:szCs w:val="26"/>
        </w:rPr>
        <w:t>arties to settle their differences, and submit a joint proposal to the Commission for its consideration</w:t>
      </w:r>
      <w:r w:rsidR="008C0598">
        <w:rPr>
          <w:sz w:val="26"/>
          <w:szCs w:val="26"/>
          <w:lang w:val="en-US"/>
        </w:rPr>
        <w:t xml:space="preserve"> within forty-five days of the entry of this Opinion and Order</w:t>
      </w:r>
      <w:r>
        <w:rPr>
          <w:sz w:val="26"/>
          <w:szCs w:val="26"/>
        </w:rPr>
        <w:t xml:space="preserve">.  Accordingly, we shall grant the Exceptions of RESA, in part, and reject the ALJ’s recommendation.  </w:t>
      </w:r>
    </w:p>
    <w:p w:rsidR="0000082F" w:rsidRDefault="0007005B" w:rsidP="00CF21FC">
      <w:pPr>
        <w:pStyle w:val="BodyText"/>
        <w:spacing w:after="0" w:line="360" w:lineRule="auto"/>
        <w:ind w:left="0" w:firstLine="0"/>
        <w:rPr>
          <w:b/>
          <w:sz w:val="26"/>
          <w:szCs w:val="26"/>
          <w:u w:val="single"/>
        </w:rPr>
      </w:pPr>
      <w:r w:rsidRPr="00EE5722">
        <w:rPr>
          <w:sz w:val="26"/>
          <w:szCs w:val="26"/>
        </w:rPr>
        <w:tab/>
      </w:r>
    </w:p>
    <w:p w:rsidR="00CF21FC" w:rsidRPr="00EE5722" w:rsidRDefault="00CF21FC" w:rsidP="00584C88">
      <w:pPr>
        <w:pStyle w:val="Heading3"/>
      </w:pPr>
      <w:bookmarkStart w:id="173" w:name="_Toc346705415"/>
      <w:r w:rsidRPr="00EE5722">
        <w:t>3.</w:t>
      </w:r>
      <w:r w:rsidRPr="00EE5722">
        <w:tab/>
      </w:r>
      <w:r>
        <w:t xml:space="preserve">Retail </w:t>
      </w:r>
      <w:r w:rsidRPr="00EE5722">
        <w:t xml:space="preserve">Market Enhancement </w:t>
      </w:r>
      <w:r w:rsidR="00141175">
        <w:t xml:space="preserve">(RME) </w:t>
      </w:r>
      <w:r w:rsidRPr="00EE5722">
        <w:t>Program Cost Recovery</w:t>
      </w:r>
      <w:bookmarkEnd w:id="173"/>
    </w:p>
    <w:p w:rsidR="00CF21FC" w:rsidRPr="00EE5722" w:rsidRDefault="00CF21FC" w:rsidP="00CF21FC">
      <w:pPr>
        <w:pStyle w:val="BriefL3"/>
        <w:numPr>
          <w:ilvl w:val="0"/>
          <w:numId w:val="0"/>
        </w:numPr>
        <w:spacing w:after="0" w:line="360" w:lineRule="auto"/>
        <w:outlineLvl w:val="9"/>
        <w:rPr>
          <w:b/>
          <w:sz w:val="26"/>
          <w:szCs w:val="26"/>
        </w:rPr>
      </w:pPr>
    </w:p>
    <w:p w:rsidR="00CF21FC" w:rsidRPr="00EE5722" w:rsidRDefault="00CF21FC" w:rsidP="00584C88">
      <w:pPr>
        <w:pStyle w:val="Heading4"/>
        <w:numPr>
          <w:ilvl w:val="0"/>
          <w:numId w:val="0"/>
        </w:numPr>
        <w:ind w:left="2880" w:hanging="720"/>
      </w:pPr>
      <w:bookmarkStart w:id="174" w:name="_Toc346705416"/>
      <w:r>
        <w:t>a.</w:t>
      </w:r>
      <w:r>
        <w:tab/>
      </w:r>
      <w:r w:rsidRPr="00584C88">
        <w:t>Duquesne’s Proposal</w:t>
      </w:r>
      <w:bookmarkEnd w:id="174"/>
    </w:p>
    <w:p w:rsidR="00CF21FC" w:rsidRPr="00EE5722" w:rsidRDefault="00CF21FC" w:rsidP="00CF21FC">
      <w:pPr>
        <w:pStyle w:val="BodyText"/>
        <w:spacing w:after="0" w:line="360" w:lineRule="auto"/>
        <w:ind w:left="0" w:firstLine="0"/>
        <w:rPr>
          <w:sz w:val="26"/>
          <w:szCs w:val="26"/>
        </w:rPr>
      </w:pPr>
    </w:p>
    <w:p w:rsidR="00CF21FC" w:rsidRPr="00EE5722" w:rsidRDefault="00CF21FC" w:rsidP="009925EF">
      <w:pPr>
        <w:pStyle w:val="BodyText2"/>
        <w:spacing w:after="0" w:line="360" w:lineRule="auto"/>
        <w:rPr>
          <w:sz w:val="26"/>
          <w:szCs w:val="26"/>
        </w:rPr>
      </w:pPr>
      <w:r w:rsidRPr="00EE5722">
        <w:rPr>
          <w:sz w:val="26"/>
          <w:szCs w:val="26"/>
        </w:rPr>
        <w:tab/>
      </w:r>
      <w:r w:rsidRPr="00EE5722">
        <w:rPr>
          <w:sz w:val="26"/>
          <w:szCs w:val="26"/>
        </w:rPr>
        <w:tab/>
      </w:r>
      <w:r>
        <w:rPr>
          <w:sz w:val="26"/>
          <w:szCs w:val="26"/>
        </w:rPr>
        <w:t xml:space="preserve">Duquesne </w:t>
      </w:r>
      <w:r w:rsidRPr="00EE5722">
        <w:rPr>
          <w:sz w:val="26"/>
          <w:szCs w:val="26"/>
        </w:rPr>
        <w:t>propose</w:t>
      </w:r>
      <w:r>
        <w:rPr>
          <w:sz w:val="26"/>
          <w:szCs w:val="26"/>
        </w:rPr>
        <w:t>d to recover the costs of the Opt-In</w:t>
      </w:r>
      <w:r w:rsidRPr="00EE5722">
        <w:rPr>
          <w:sz w:val="26"/>
          <w:szCs w:val="26"/>
        </w:rPr>
        <w:t xml:space="preserve"> Program from participating suppliers, consistent</w:t>
      </w:r>
      <w:r>
        <w:rPr>
          <w:sz w:val="26"/>
          <w:szCs w:val="26"/>
        </w:rPr>
        <w:t xml:space="preserve"> with the Commission’s directive</w:t>
      </w:r>
      <w:r w:rsidRPr="00EE5722">
        <w:rPr>
          <w:sz w:val="26"/>
          <w:szCs w:val="26"/>
        </w:rPr>
        <w:t xml:space="preserve"> that participating EGSs be r</w:t>
      </w:r>
      <w:r>
        <w:rPr>
          <w:sz w:val="26"/>
          <w:szCs w:val="26"/>
        </w:rPr>
        <w:t>esponsible for the costs of RME p</w:t>
      </w:r>
      <w:r w:rsidRPr="00EE5722">
        <w:rPr>
          <w:sz w:val="26"/>
          <w:szCs w:val="26"/>
        </w:rPr>
        <w:t xml:space="preserve">rograms.  </w:t>
      </w:r>
      <w:r>
        <w:rPr>
          <w:i/>
          <w:sz w:val="26"/>
          <w:szCs w:val="26"/>
        </w:rPr>
        <w:t xml:space="preserve">IWP Final </w:t>
      </w:r>
      <w:r w:rsidRPr="00EE5722">
        <w:rPr>
          <w:i/>
          <w:sz w:val="26"/>
          <w:szCs w:val="26"/>
        </w:rPr>
        <w:t>Order</w:t>
      </w:r>
      <w:r w:rsidRPr="00EE5722">
        <w:rPr>
          <w:sz w:val="26"/>
          <w:szCs w:val="26"/>
        </w:rPr>
        <w:t xml:space="preserve"> at 84-85</w:t>
      </w:r>
      <w:r>
        <w:rPr>
          <w:sz w:val="26"/>
          <w:szCs w:val="26"/>
        </w:rPr>
        <w:t xml:space="preserve">; Duquesne St. 3 at </w:t>
      </w:r>
      <w:r w:rsidRPr="00EE5722">
        <w:rPr>
          <w:sz w:val="26"/>
          <w:szCs w:val="26"/>
        </w:rPr>
        <w:t xml:space="preserve">32.  </w:t>
      </w:r>
      <w:r>
        <w:rPr>
          <w:sz w:val="26"/>
          <w:szCs w:val="26"/>
        </w:rPr>
        <w:t>In addition, Duquesne proposed</w:t>
      </w:r>
      <w:r w:rsidRPr="00EE5722">
        <w:rPr>
          <w:sz w:val="26"/>
          <w:szCs w:val="26"/>
        </w:rPr>
        <w:t xml:space="preserve"> to recover the SO Program costs predominantly through a customer acquisition charge assessed to participa</w:t>
      </w:r>
      <w:r>
        <w:rPr>
          <w:sz w:val="26"/>
          <w:szCs w:val="26"/>
        </w:rPr>
        <w:t xml:space="preserve">ting SO suppliers.  Duquesne </w:t>
      </w:r>
      <w:r w:rsidRPr="00EE5722">
        <w:rPr>
          <w:sz w:val="26"/>
          <w:szCs w:val="26"/>
        </w:rPr>
        <w:t xml:space="preserve">originally proposed to recover </w:t>
      </w:r>
      <w:r>
        <w:rPr>
          <w:sz w:val="26"/>
          <w:szCs w:val="26"/>
        </w:rPr>
        <w:t xml:space="preserve">all </w:t>
      </w:r>
      <w:r w:rsidRPr="00EE5722">
        <w:rPr>
          <w:sz w:val="26"/>
          <w:szCs w:val="26"/>
        </w:rPr>
        <w:t>SO Program costs through its POR discount</w:t>
      </w:r>
      <w:r>
        <w:rPr>
          <w:sz w:val="26"/>
          <w:szCs w:val="26"/>
        </w:rPr>
        <w:t>,</w:t>
      </w:r>
      <w:r w:rsidRPr="00EE5722">
        <w:rPr>
          <w:sz w:val="26"/>
          <w:szCs w:val="26"/>
        </w:rPr>
        <w:t xml:space="preserve"> but modified its propos</w:t>
      </w:r>
      <w:r>
        <w:rPr>
          <w:sz w:val="26"/>
          <w:szCs w:val="26"/>
        </w:rPr>
        <w:t>al to address EGS concerns</w:t>
      </w:r>
      <w:r w:rsidRPr="00EE5722">
        <w:rPr>
          <w:sz w:val="26"/>
          <w:szCs w:val="26"/>
        </w:rPr>
        <w:t xml:space="preserve">. </w:t>
      </w:r>
      <w:r>
        <w:rPr>
          <w:sz w:val="26"/>
          <w:szCs w:val="26"/>
        </w:rPr>
        <w:t xml:space="preserve"> Duquesne </w:t>
      </w:r>
      <w:r w:rsidRPr="00EE5722">
        <w:rPr>
          <w:sz w:val="26"/>
          <w:szCs w:val="26"/>
        </w:rPr>
        <w:t>recommend</w:t>
      </w:r>
      <w:r>
        <w:rPr>
          <w:sz w:val="26"/>
          <w:szCs w:val="26"/>
        </w:rPr>
        <w:t>ed</w:t>
      </w:r>
      <w:r w:rsidRPr="00EE5722">
        <w:rPr>
          <w:sz w:val="26"/>
          <w:szCs w:val="26"/>
        </w:rPr>
        <w:t xml:space="preserve"> a customer acquisition f</w:t>
      </w:r>
      <w:r>
        <w:rPr>
          <w:sz w:val="26"/>
          <w:szCs w:val="26"/>
        </w:rPr>
        <w:t xml:space="preserve">ee of $20 per customer </w:t>
      </w:r>
      <w:r w:rsidRPr="00EE5722">
        <w:rPr>
          <w:sz w:val="26"/>
          <w:szCs w:val="26"/>
        </w:rPr>
        <w:t xml:space="preserve">to recover more of the estimated SO </w:t>
      </w:r>
      <w:r>
        <w:rPr>
          <w:sz w:val="26"/>
          <w:szCs w:val="26"/>
        </w:rPr>
        <w:t>Program costs through</w:t>
      </w:r>
      <w:r w:rsidRPr="00EE5722">
        <w:rPr>
          <w:sz w:val="26"/>
          <w:szCs w:val="26"/>
        </w:rPr>
        <w:t xml:space="preserve"> a cost recovery mechanism that is acceptable to most </w:t>
      </w:r>
      <w:r w:rsidR="009925EF">
        <w:rPr>
          <w:sz w:val="26"/>
          <w:szCs w:val="26"/>
        </w:rPr>
        <w:t>of the P</w:t>
      </w:r>
      <w:r>
        <w:rPr>
          <w:sz w:val="26"/>
          <w:szCs w:val="26"/>
        </w:rPr>
        <w:t>arties.  Duquesne St. 3-RJ at 32.  Duquesne</w:t>
      </w:r>
      <w:r w:rsidRPr="00EE5722">
        <w:rPr>
          <w:sz w:val="26"/>
          <w:szCs w:val="26"/>
        </w:rPr>
        <w:t>’s proposal to</w:t>
      </w:r>
      <w:r>
        <w:rPr>
          <w:sz w:val="26"/>
          <w:szCs w:val="26"/>
        </w:rPr>
        <w:t xml:space="preserve"> recover RME </w:t>
      </w:r>
      <w:r>
        <w:rPr>
          <w:sz w:val="26"/>
          <w:szCs w:val="26"/>
        </w:rPr>
        <w:lastRenderedPageBreak/>
        <w:t>p</w:t>
      </w:r>
      <w:r w:rsidRPr="00EE5722">
        <w:rPr>
          <w:sz w:val="26"/>
          <w:szCs w:val="26"/>
        </w:rPr>
        <w:t xml:space="preserve">rogram costs from EGSs is consistent with the Commission’s conclusion that these programs are intended to benefit EGSs by </w:t>
      </w:r>
      <w:r>
        <w:rPr>
          <w:sz w:val="26"/>
          <w:szCs w:val="26"/>
        </w:rPr>
        <w:t xml:space="preserve">allowing them to avoid </w:t>
      </w:r>
      <w:r w:rsidRPr="00EE5722">
        <w:rPr>
          <w:sz w:val="26"/>
          <w:szCs w:val="26"/>
        </w:rPr>
        <w:t>customer acq</w:t>
      </w:r>
      <w:r>
        <w:rPr>
          <w:sz w:val="26"/>
          <w:szCs w:val="26"/>
        </w:rPr>
        <w:t>uisition costs.  Duquesne St. 3</w:t>
      </w:r>
      <w:r>
        <w:rPr>
          <w:sz w:val="26"/>
          <w:szCs w:val="26"/>
        </w:rPr>
        <w:noBreakHyphen/>
        <w:t xml:space="preserve">R at </w:t>
      </w:r>
      <w:r w:rsidRPr="00EE5722">
        <w:rPr>
          <w:sz w:val="26"/>
          <w:szCs w:val="26"/>
        </w:rPr>
        <w:t>72.</w:t>
      </w:r>
    </w:p>
    <w:p w:rsidR="00CF21FC" w:rsidRPr="00EE5722" w:rsidRDefault="00CF21FC" w:rsidP="00CF21FC">
      <w:pPr>
        <w:pStyle w:val="BodyText2"/>
        <w:spacing w:after="0" w:line="360" w:lineRule="auto"/>
        <w:rPr>
          <w:sz w:val="26"/>
          <w:szCs w:val="26"/>
        </w:rPr>
      </w:pPr>
    </w:p>
    <w:p w:rsidR="00CF21FC" w:rsidRPr="00265E29" w:rsidRDefault="00CF21FC" w:rsidP="00CF21FC">
      <w:pPr>
        <w:pStyle w:val="BodyText2"/>
        <w:spacing w:after="0" w:line="360" w:lineRule="auto"/>
        <w:rPr>
          <w:sz w:val="26"/>
          <w:szCs w:val="26"/>
        </w:rPr>
      </w:pPr>
      <w:r>
        <w:rPr>
          <w:sz w:val="26"/>
          <w:szCs w:val="26"/>
        </w:rPr>
        <w:tab/>
      </w:r>
      <w:r>
        <w:rPr>
          <w:sz w:val="26"/>
          <w:szCs w:val="26"/>
        </w:rPr>
        <w:tab/>
        <w:t>Duquesne noted that</w:t>
      </w:r>
      <w:r w:rsidRPr="00EE5722">
        <w:rPr>
          <w:sz w:val="26"/>
          <w:szCs w:val="26"/>
        </w:rPr>
        <w:t xml:space="preserve"> one remaining issue is what to do in the event that no EGSs and/or customers participate in the SO Program.  </w:t>
      </w:r>
      <w:r>
        <w:rPr>
          <w:sz w:val="26"/>
          <w:szCs w:val="26"/>
        </w:rPr>
        <w:t xml:space="preserve">Duquesne argued that, in that event, SO </w:t>
      </w:r>
      <w:r w:rsidRPr="00EE5722">
        <w:rPr>
          <w:sz w:val="26"/>
          <w:szCs w:val="26"/>
        </w:rPr>
        <w:t xml:space="preserve">Program costs should </w:t>
      </w:r>
      <w:r>
        <w:rPr>
          <w:sz w:val="26"/>
          <w:szCs w:val="26"/>
        </w:rPr>
        <w:t xml:space="preserve">continue to </w:t>
      </w:r>
      <w:r w:rsidRPr="00EE5722">
        <w:rPr>
          <w:sz w:val="26"/>
          <w:szCs w:val="26"/>
        </w:rPr>
        <w:t xml:space="preserve">be recovered from EGSs and not customers.  </w:t>
      </w:r>
      <w:r>
        <w:rPr>
          <w:sz w:val="26"/>
          <w:szCs w:val="26"/>
        </w:rPr>
        <w:t xml:space="preserve">Duquesne St. 3-RJ at </w:t>
      </w:r>
      <w:r w:rsidRPr="00EE5722">
        <w:rPr>
          <w:sz w:val="26"/>
          <w:szCs w:val="26"/>
        </w:rPr>
        <w:t>72-83.  Therefore, another cost recovery mechanism</w:t>
      </w:r>
      <w:r>
        <w:rPr>
          <w:sz w:val="26"/>
          <w:szCs w:val="26"/>
        </w:rPr>
        <w:t>,</w:t>
      </w:r>
      <w:r w:rsidRPr="00EE5722">
        <w:rPr>
          <w:sz w:val="26"/>
          <w:szCs w:val="26"/>
        </w:rPr>
        <w:t xml:space="preserve"> such as the Company’s proposed POR discount or a flat fee for EGSs</w:t>
      </w:r>
      <w:r>
        <w:rPr>
          <w:sz w:val="26"/>
          <w:szCs w:val="26"/>
        </w:rPr>
        <w:t>,</w:t>
      </w:r>
      <w:r w:rsidRPr="00EE5722">
        <w:rPr>
          <w:sz w:val="26"/>
          <w:szCs w:val="26"/>
        </w:rPr>
        <w:t xml:space="preserve"> is necessary as a fallback cost recovery mechanism since the customer acquisition charge may be insufficient to fully recover SO</w:t>
      </w:r>
      <w:r>
        <w:rPr>
          <w:sz w:val="26"/>
          <w:szCs w:val="26"/>
        </w:rPr>
        <w:t xml:space="preserve"> Program costs.  Duquesne St. 3-RJ at </w:t>
      </w:r>
      <w:r w:rsidRPr="00EE5722">
        <w:rPr>
          <w:sz w:val="26"/>
          <w:szCs w:val="26"/>
        </w:rPr>
        <w:t>32</w:t>
      </w:r>
      <w:r>
        <w:rPr>
          <w:sz w:val="26"/>
          <w:szCs w:val="26"/>
        </w:rPr>
        <w:t>.</w:t>
      </w:r>
    </w:p>
    <w:p w:rsidR="00CF21FC" w:rsidRPr="00EE5722" w:rsidRDefault="00CF21FC" w:rsidP="00CF21FC">
      <w:pPr>
        <w:pStyle w:val="BodyText2"/>
        <w:spacing w:after="0" w:line="360" w:lineRule="auto"/>
        <w:rPr>
          <w:sz w:val="26"/>
          <w:szCs w:val="26"/>
        </w:rPr>
      </w:pPr>
    </w:p>
    <w:p w:rsidR="00CF21FC" w:rsidRDefault="00CF21FC" w:rsidP="009925EF">
      <w:pPr>
        <w:pStyle w:val="BodyText2"/>
        <w:spacing w:after="0" w:line="360" w:lineRule="auto"/>
        <w:rPr>
          <w:sz w:val="26"/>
          <w:szCs w:val="26"/>
          <w:lang w:val="en-US"/>
        </w:rPr>
      </w:pPr>
      <w:r w:rsidRPr="00EE5722">
        <w:rPr>
          <w:sz w:val="26"/>
          <w:szCs w:val="26"/>
        </w:rPr>
        <w:tab/>
      </w:r>
      <w:r w:rsidRPr="00EE5722">
        <w:rPr>
          <w:sz w:val="26"/>
          <w:szCs w:val="26"/>
        </w:rPr>
        <w:tab/>
      </w:r>
      <w:r>
        <w:rPr>
          <w:sz w:val="26"/>
          <w:szCs w:val="26"/>
        </w:rPr>
        <w:t>Duquesne noted that the Commission affirmed</w:t>
      </w:r>
      <w:r w:rsidRPr="00EE5722">
        <w:rPr>
          <w:sz w:val="26"/>
          <w:szCs w:val="26"/>
        </w:rPr>
        <w:t xml:space="preserve"> its conclusion that EGSs are responsible for these costs</w:t>
      </w:r>
      <w:r>
        <w:rPr>
          <w:sz w:val="26"/>
          <w:szCs w:val="26"/>
        </w:rPr>
        <w:t>,</w:t>
      </w:r>
      <w:r w:rsidRPr="00EE5722">
        <w:rPr>
          <w:sz w:val="26"/>
          <w:szCs w:val="26"/>
        </w:rPr>
        <w:t xml:space="preserve"> and dire</w:t>
      </w:r>
      <w:r>
        <w:rPr>
          <w:sz w:val="26"/>
          <w:szCs w:val="26"/>
        </w:rPr>
        <w:t>cted the Parties to submit RME program cost recovery proposals at the conclusion of FirstEnergy’s</w:t>
      </w:r>
      <w:r w:rsidRPr="00EE5722">
        <w:rPr>
          <w:sz w:val="26"/>
          <w:szCs w:val="26"/>
        </w:rPr>
        <w:t xml:space="preserve"> recent default service proceeding.  The C</w:t>
      </w:r>
      <w:r>
        <w:rPr>
          <w:sz w:val="26"/>
          <w:szCs w:val="26"/>
        </w:rPr>
        <w:t>ommission further directed the P</w:t>
      </w:r>
      <w:r w:rsidRPr="00EE5722">
        <w:rPr>
          <w:sz w:val="26"/>
          <w:szCs w:val="26"/>
        </w:rPr>
        <w:t xml:space="preserve">arties to attempt to reach an agreement as to how these program costs will be recovered.  </w:t>
      </w:r>
      <w:r>
        <w:rPr>
          <w:i/>
          <w:sz w:val="26"/>
          <w:szCs w:val="26"/>
        </w:rPr>
        <w:t>FirstEnergy</w:t>
      </w:r>
      <w:r w:rsidRPr="00EE5722">
        <w:rPr>
          <w:i/>
          <w:sz w:val="26"/>
          <w:szCs w:val="26"/>
        </w:rPr>
        <w:t xml:space="preserve"> </w:t>
      </w:r>
      <w:r>
        <w:rPr>
          <w:i/>
          <w:sz w:val="26"/>
          <w:szCs w:val="26"/>
        </w:rPr>
        <w:t xml:space="preserve">DSP </w:t>
      </w:r>
      <w:r w:rsidRPr="00EE5722">
        <w:rPr>
          <w:i/>
          <w:sz w:val="26"/>
          <w:szCs w:val="26"/>
        </w:rPr>
        <w:t>Order</w:t>
      </w:r>
      <w:r w:rsidRPr="00EE5722">
        <w:rPr>
          <w:sz w:val="26"/>
          <w:szCs w:val="26"/>
        </w:rPr>
        <w:t xml:space="preserve"> at </w:t>
      </w:r>
      <w:r>
        <w:rPr>
          <w:sz w:val="26"/>
          <w:szCs w:val="26"/>
        </w:rPr>
        <w:t xml:space="preserve">136; </w:t>
      </w:r>
      <w:r w:rsidRPr="006551AA">
        <w:rPr>
          <w:i/>
          <w:sz w:val="26"/>
          <w:szCs w:val="26"/>
        </w:rPr>
        <w:t>PECO</w:t>
      </w:r>
      <w:r>
        <w:rPr>
          <w:sz w:val="26"/>
          <w:szCs w:val="26"/>
        </w:rPr>
        <w:t xml:space="preserve"> </w:t>
      </w:r>
      <w:r w:rsidRPr="00505609">
        <w:rPr>
          <w:i/>
          <w:sz w:val="26"/>
          <w:szCs w:val="26"/>
        </w:rPr>
        <w:t>DSP</w:t>
      </w:r>
      <w:r>
        <w:rPr>
          <w:sz w:val="26"/>
          <w:szCs w:val="26"/>
        </w:rPr>
        <w:t xml:space="preserve"> </w:t>
      </w:r>
      <w:r w:rsidRPr="006551AA">
        <w:rPr>
          <w:i/>
          <w:sz w:val="26"/>
          <w:szCs w:val="26"/>
        </w:rPr>
        <w:t>Order</w:t>
      </w:r>
      <w:r w:rsidRPr="006551AA">
        <w:rPr>
          <w:sz w:val="26"/>
          <w:szCs w:val="26"/>
        </w:rPr>
        <w:t xml:space="preserve"> at </w:t>
      </w:r>
      <w:r>
        <w:rPr>
          <w:sz w:val="26"/>
          <w:szCs w:val="26"/>
        </w:rPr>
        <w:t>148</w:t>
      </w:r>
      <w:r w:rsidRPr="00EE5722">
        <w:rPr>
          <w:sz w:val="26"/>
          <w:szCs w:val="26"/>
        </w:rPr>
        <w:t xml:space="preserve">.  Consistent with the Commission’s direction in these </w:t>
      </w:r>
      <w:r>
        <w:rPr>
          <w:sz w:val="26"/>
          <w:szCs w:val="26"/>
        </w:rPr>
        <w:t>two proceedings, Duquesne requested that</w:t>
      </w:r>
      <w:r w:rsidRPr="00EE5722">
        <w:rPr>
          <w:sz w:val="26"/>
          <w:szCs w:val="26"/>
        </w:rPr>
        <w:t xml:space="preserve"> the Commission confirm the r</w:t>
      </w:r>
      <w:r>
        <w:rPr>
          <w:sz w:val="26"/>
          <w:szCs w:val="26"/>
        </w:rPr>
        <w:t xml:space="preserve">esponsibility of EGSs for the RME Program </w:t>
      </w:r>
      <w:r w:rsidRPr="00EE5722">
        <w:rPr>
          <w:sz w:val="26"/>
          <w:szCs w:val="26"/>
        </w:rPr>
        <w:t xml:space="preserve">costs.  </w:t>
      </w:r>
      <w:r>
        <w:rPr>
          <w:sz w:val="26"/>
          <w:szCs w:val="26"/>
        </w:rPr>
        <w:t xml:space="preserve">Duquesne </w:t>
      </w:r>
      <w:r w:rsidRPr="00EE5722">
        <w:rPr>
          <w:sz w:val="26"/>
          <w:szCs w:val="26"/>
        </w:rPr>
        <w:t xml:space="preserve">wants to ensure </w:t>
      </w:r>
      <w:r>
        <w:rPr>
          <w:sz w:val="26"/>
          <w:szCs w:val="26"/>
        </w:rPr>
        <w:t xml:space="preserve">that </w:t>
      </w:r>
      <w:r w:rsidRPr="00EE5722">
        <w:rPr>
          <w:sz w:val="26"/>
          <w:szCs w:val="26"/>
        </w:rPr>
        <w:t>the costs associated with the retail market initiatives are fully recovered from EGSs, regardless of the level of supplier and customer participation and the level of the customer a</w:t>
      </w:r>
      <w:r>
        <w:rPr>
          <w:sz w:val="26"/>
          <w:szCs w:val="26"/>
        </w:rPr>
        <w:t>cquisition fee.  Duquesne St</w:t>
      </w:r>
      <w:r w:rsidRPr="00EE5722">
        <w:rPr>
          <w:sz w:val="26"/>
          <w:szCs w:val="26"/>
        </w:rPr>
        <w:t>. 3</w:t>
      </w:r>
      <w:r w:rsidRPr="00EE5722">
        <w:rPr>
          <w:sz w:val="26"/>
          <w:szCs w:val="26"/>
        </w:rPr>
        <w:noBreakHyphen/>
      </w:r>
      <w:r>
        <w:rPr>
          <w:sz w:val="26"/>
          <w:szCs w:val="26"/>
        </w:rPr>
        <w:t xml:space="preserve">RJ at </w:t>
      </w:r>
      <w:r w:rsidRPr="00EE5722">
        <w:rPr>
          <w:sz w:val="26"/>
          <w:szCs w:val="26"/>
        </w:rPr>
        <w:t>33.</w:t>
      </w:r>
    </w:p>
    <w:p w:rsidR="00EB1489" w:rsidRPr="00EB1489" w:rsidRDefault="00EB1489" w:rsidP="009925EF">
      <w:pPr>
        <w:pStyle w:val="BodyText2"/>
        <w:spacing w:after="0" w:line="360" w:lineRule="auto"/>
        <w:rPr>
          <w:sz w:val="26"/>
          <w:szCs w:val="26"/>
          <w:lang w:val="en-US"/>
        </w:rPr>
      </w:pPr>
    </w:p>
    <w:p w:rsidR="00CF21FC" w:rsidRPr="00EE5722" w:rsidRDefault="00CF21FC" w:rsidP="00584C88">
      <w:pPr>
        <w:pStyle w:val="Heading4"/>
        <w:numPr>
          <w:ilvl w:val="0"/>
          <w:numId w:val="0"/>
        </w:numPr>
        <w:ind w:left="2880" w:hanging="720"/>
      </w:pPr>
      <w:bookmarkStart w:id="175" w:name="_Toc346705417"/>
      <w:r>
        <w:t>b.</w:t>
      </w:r>
      <w:r>
        <w:tab/>
      </w:r>
      <w:r w:rsidRPr="00EE5722">
        <w:t>Position</w:t>
      </w:r>
      <w:r>
        <w:t>s of the Parties</w:t>
      </w:r>
      <w:bookmarkEnd w:id="175"/>
    </w:p>
    <w:p w:rsidR="00CF21FC" w:rsidRPr="00EE5722" w:rsidRDefault="00CF21FC" w:rsidP="00CF21FC">
      <w:pPr>
        <w:pStyle w:val="BodyText"/>
        <w:spacing w:after="0" w:line="360" w:lineRule="auto"/>
        <w:ind w:left="0" w:firstLine="0"/>
        <w:rPr>
          <w:sz w:val="26"/>
          <w:szCs w:val="26"/>
        </w:rPr>
      </w:pPr>
    </w:p>
    <w:p w:rsidR="00CF21FC" w:rsidRPr="00EE5722" w:rsidRDefault="00CF21FC" w:rsidP="00CF21FC">
      <w:pPr>
        <w:spacing w:line="360" w:lineRule="auto"/>
        <w:rPr>
          <w:sz w:val="26"/>
          <w:szCs w:val="26"/>
        </w:rPr>
      </w:pPr>
      <w:r>
        <w:rPr>
          <w:sz w:val="26"/>
          <w:szCs w:val="26"/>
        </w:rPr>
        <w:tab/>
      </w:r>
      <w:r>
        <w:rPr>
          <w:sz w:val="26"/>
          <w:szCs w:val="26"/>
        </w:rPr>
        <w:tab/>
        <w:t>The OCA averred that Duquesne</w:t>
      </w:r>
      <w:r w:rsidRPr="00EE5722">
        <w:rPr>
          <w:sz w:val="26"/>
          <w:szCs w:val="26"/>
        </w:rPr>
        <w:t>’s proposal fo</w:t>
      </w:r>
      <w:r>
        <w:rPr>
          <w:sz w:val="26"/>
          <w:szCs w:val="26"/>
        </w:rPr>
        <w:t>r recovery of the costs of the RME P</w:t>
      </w:r>
      <w:r w:rsidRPr="00EE5722">
        <w:rPr>
          <w:sz w:val="26"/>
          <w:szCs w:val="26"/>
        </w:rPr>
        <w:t xml:space="preserve">rograms is consistent with the </w:t>
      </w:r>
      <w:r w:rsidRPr="00EE5722">
        <w:rPr>
          <w:i/>
          <w:sz w:val="26"/>
          <w:szCs w:val="26"/>
        </w:rPr>
        <w:t>IWP</w:t>
      </w:r>
      <w:r>
        <w:rPr>
          <w:i/>
          <w:sz w:val="26"/>
          <w:szCs w:val="26"/>
        </w:rPr>
        <w:t xml:space="preserve"> Final </w:t>
      </w:r>
      <w:r w:rsidRPr="00EE5722">
        <w:rPr>
          <w:i/>
          <w:sz w:val="26"/>
          <w:szCs w:val="26"/>
        </w:rPr>
        <w:t>Order</w:t>
      </w:r>
      <w:r w:rsidR="005969AB" w:rsidRPr="00EE5722">
        <w:rPr>
          <w:sz w:val="26"/>
          <w:szCs w:val="26"/>
          <w:u w:val="single"/>
        </w:rPr>
        <w:fldChar w:fldCharType="begin"/>
      </w:r>
      <w:r w:rsidRPr="00EE5722">
        <w:rPr>
          <w:sz w:val="26"/>
          <w:szCs w:val="26"/>
        </w:rPr>
        <w:instrText xml:space="preserve"> TA \s "IWP Order" </w:instrText>
      </w:r>
      <w:r w:rsidR="005969AB" w:rsidRPr="00EE5722">
        <w:rPr>
          <w:sz w:val="26"/>
          <w:szCs w:val="26"/>
          <w:u w:val="single"/>
        </w:rPr>
        <w:fldChar w:fldCharType="end"/>
      </w:r>
      <w:r w:rsidRPr="00EE5722">
        <w:rPr>
          <w:sz w:val="26"/>
          <w:szCs w:val="26"/>
        </w:rPr>
        <w:t>, wherein the Commission stated that it would be a</w:t>
      </w:r>
      <w:r>
        <w:rPr>
          <w:sz w:val="26"/>
          <w:szCs w:val="26"/>
        </w:rPr>
        <w:t>ppropriate for EDCs to recover opt-i</w:t>
      </w:r>
      <w:r w:rsidRPr="00EE5722">
        <w:rPr>
          <w:sz w:val="26"/>
          <w:szCs w:val="26"/>
        </w:rPr>
        <w:t xml:space="preserve">n </w:t>
      </w:r>
      <w:r>
        <w:rPr>
          <w:sz w:val="26"/>
          <w:szCs w:val="26"/>
        </w:rPr>
        <w:t>program</w:t>
      </w:r>
      <w:r w:rsidRPr="00EE5722">
        <w:rPr>
          <w:sz w:val="26"/>
          <w:szCs w:val="26"/>
        </w:rPr>
        <w:t xml:space="preserve"> implementation costs </w:t>
      </w:r>
      <w:r w:rsidRPr="00EE5722">
        <w:rPr>
          <w:sz w:val="26"/>
          <w:szCs w:val="26"/>
        </w:rPr>
        <w:lastRenderedPageBreak/>
        <w:t>from participating EGSs, given that the participating EGSs are th</w:t>
      </w:r>
      <w:r w:rsidR="002408C2">
        <w:rPr>
          <w:sz w:val="26"/>
          <w:szCs w:val="26"/>
        </w:rPr>
        <w:t xml:space="preserve">e entities reaping the </w:t>
      </w:r>
      <w:r w:rsidRPr="00EE5722">
        <w:rPr>
          <w:sz w:val="26"/>
          <w:szCs w:val="26"/>
        </w:rPr>
        <w:t xml:space="preserve">customer acquisition benefits resulting from the </w:t>
      </w:r>
      <w:r>
        <w:rPr>
          <w:sz w:val="26"/>
          <w:szCs w:val="26"/>
        </w:rPr>
        <w:t xml:space="preserve">opt-in </w:t>
      </w:r>
      <w:r w:rsidRPr="00EE5722">
        <w:rPr>
          <w:sz w:val="26"/>
          <w:szCs w:val="26"/>
        </w:rPr>
        <w:t xml:space="preserve">auction.  </w:t>
      </w:r>
      <w:r w:rsidR="002408C2">
        <w:rPr>
          <w:i/>
          <w:sz w:val="26"/>
          <w:szCs w:val="26"/>
        </w:rPr>
        <w:t>IWP Final</w:t>
      </w:r>
      <w:r>
        <w:rPr>
          <w:i/>
          <w:sz w:val="26"/>
          <w:szCs w:val="26"/>
        </w:rPr>
        <w:t xml:space="preserve"> </w:t>
      </w:r>
      <w:r w:rsidRPr="00EE5722">
        <w:rPr>
          <w:i/>
          <w:sz w:val="26"/>
          <w:szCs w:val="26"/>
        </w:rPr>
        <w:t>Order</w:t>
      </w:r>
      <w:r w:rsidRPr="00EE5722">
        <w:rPr>
          <w:sz w:val="26"/>
          <w:szCs w:val="26"/>
        </w:rPr>
        <w:t xml:space="preserve"> at 78.  </w:t>
      </w:r>
      <w:r>
        <w:rPr>
          <w:sz w:val="26"/>
          <w:szCs w:val="26"/>
        </w:rPr>
        <w:t>The OCA noted</w:t>
      </w:r>
      <w:r w:rsidRPr="00EE5722">
        <w:rPr>
          <w:sz w:val="26"/>
          <w:szCs w:val="26"/>
        </w:rPr>
        <w:t xml:space="preserve"> t</w:t>
      </w:r>
      <w:r>
        <w:rPr>
          <w:sz w:val="26"/>
          <w:szCs w:val="26"/>
        </w:rPr>
        <w:t xml:space="preserve">hat, as with the Opt-In </w:t>
      </w:r>
      <w:r w:rsidRPr="00EE5722">
        <w:rPr>
          <w:sz w:val="26"/>
          <w:szCs w:val="26"/>
        </w:rPr>
        <w:t>Program cost recovery proposal, Duquesne’s propose</w:t>
      </w:r>
      <w:r>
        <w:rPr>
          <w:sz w:val="26"/>
          <w:szCs w:val="26"/>
        </w:rPr>
        <w:t>d recovery of the costs of the SO P</w:t>
      </w:r>
      <w:r w:rsidRPr="00EE5722">
        <w:rPr>
          <w:sz w:val="26"/>
          <w:szCs w:val="26"/>
        </w:rPr>
        <w:t>ro</w:t>
      </w:r>
      <w:r w:rsidR="002408C2">
        <w:rPr>
          <w:sz w:val="26"/>
          <w:szCs w:val="26"/>
        </w:rPr>
        <w:t xml:space="preserve">gram from participating EGSs </w:t>
      </w:r>
      <w:r w:rsidRPr="00EE5722">
        <w:rPr>
          <w:sz w:val="26"/>
          <w:szCs w:val="26"/>
        </w:rPr>
        <w:t>also</w:t>
      </w:r>
      <w:r w:rsidR="002408C2">
        <w:rPr>
          <w:sz w:val="26"/>
          <w:szCs w:val="26"/>
        </w:rPr>
        <w:t xml:space="preserve"> is</w:t>
      </w:r>
      <w:r w:rsidRPr="00EE5722">
        <w:rPr>
          <w:sz w:val="26"/>
          <w:szCs w:val="26"/>
        </w:rPr>
        <w:t xml:space="preserve"> consistent with the </w:t>
      </w:r>
      <w:r w:rsidRPr="00EE5722">
        <w:rPr>
          <w:i/>
          <w:sz w:val="26"/>
          <w:szCs w:val="26"/>
        </w:rPr>
        <w:t>IWP</w:t>
      </w:r>
      <w:r w:rsidR="002408C2">
        <w:rPr>
          <w:i/>
          <w:sz w:val="26"/>
          <w:szCs w:val="26"/>
        </w:rPr>
        <w:t xml:space="preserve"> Final</w:t>
      </w:r>
      <w:r>
        <w:rPr>
          <w:i/>
          <w:sz w:val="26"/>
          <w:szCs w:val="26"/>
        </w:rPr>
        <w:t xml:space="preserve"> </w:t>
      </w:r>
      <w:r w:rsidRPr="00EE5722">
        <w:rPr>
          <w:i/>
          <w:sz w:val="26"/>
          <w:szCs w:val="26"/>
        </w:rPr>
        <w:t>Order</w:t>
      </w:r>
      <w:r w:rsidR="005969AB" w:rsidRPr="00EE5722">
        <w:rPr>
          <w:sz w:val="26"/>
          <w:szCs w:val="26"/>
          <w:u w:val="single"/>
        </w:rPr>
        <w:fldChar w:fldCharType="begin"/>
      </w:r>
      <w:r w:rsidRPr="00EE5722">
        <w:rPr>
          <w:sz w:val="26"/>
          <w:szCs w:val="26"/>
        </w:rPr>
        <w:instrText xml:space="preserve"> TA \s "IWP Order" </w:instrText>
      </w:r>
      <w:r w:rsidR="005969AB" w:rsidRPr="00EE5722">
        <w:rPr>
          <w:sz w:val="26"/>
          <w:szCs w:val="26"/>
          <w:u w:val="single"/>
        </w:rPr>
        <w:fldChar w:fldCharType="end"/>
      </w:r>
      <w:r w:rsidRPr="00EE5722">
        <w:rPr>
          <w:sz w:val="26"/>
          <w:szCs w:val="26"/>
        </w:rPr>
        <w:t xml:space="preserve">.  </w:t>
      </w:r>
    </w:p>
    <w:p w:rsidR="00CF21FC" w:rsidRPr="00EE5722" w:rsidRDefault="00CF21FC" w:rsidP="00CF21FC">
      <w:pPr>
        <w:spacing w:line="360" w:lineRule="auto"/>
        <w:rPr>
          <w:sz w:val="26"/>
          <w:szCs w:val="26"/>
        </w:rPr>
      </w:pPr>
    </w:p>
    <w:p w:rsidR="00CF21FC" w:rsidRPr="00EE5722" w:rsidRDefault="00CF21FC" w:rsidP="00CF21FC">
      <w:pPr>
        <w:spacing w:line="360" w:lineRule="auto"/>
        <w:ind w:firstLine="1440"/>
        <w:rPr>
          <w:sz w:val="26"/>
          <w:szCs w:val="26"/>
        </w:rPr>
      </w:pPr>
      <w:r>
        <w:rPr>
          <w:sz w:val="26"/>
          <w:szCs w:val="26"/>
        </w:rPr>
        <w:t>The OCA stated that t</w:t>
      </w:r>
      <w:r w:rsidRPr="00EE5722">
        <w:rPr>
          <w:sz w:val="26"/>
          <w:szCs w:val="26"/>
        </w:rPr>
        <w:t xml:space="preserve">he costs incurred </w:t>
      </w:r>
      <w:r>
        <w:rPr>
          <w:sz w:val="26"/>
          <w:szCs w:val="26"/>
        </w:rPr>
        <w:t xml:space="preserve">to implement the Opt-In </w:t>
      </w:r>
      <w:r w:rsidRPr="00EE5722">
        <w:rPr>
          <w:sz w:val="26"/>
          <w:szCs w:val="26"/>
        </w:rPr>
        <w:t xml:space="preserve">and </w:t>
      </w:r>
      <w:r>
        <w:rPr>
          <w:sz w:val="26"/>
          <w:szCs w:val="26"/>
        </w:rPr>
        <w:t xml:space="preserve">SO </w:t>
      </w:r>
      <w:r w:rsidRPr="00EE5722">
        <w:rPr>
          <w:sz w:val="26"/>
          <w:szCs w:val="26"/>
        </w:rPr>
        <w:t xml:space="preserve">Programs are not necessary to implement retail choice because the Competition Act does not mandate these programs.  </w:t>
      </w:r>
      <w:r w:rsidR="002408C2">
        <w:rPr>
          <w:sz w:val="26"/>
          <w:szCs w:val="26"/>
        </w:rPr>
        <w:t>The OCA averred</w:t>
      </w:r>
      <w:r>
        <w:rPr>
          <w:sz w:val="26"/>
          <w:szCs w:val="26"/>
        </w:rPr>
        <w:t xml:space="preserve"> that t</w:t>
      </w:r>
      <w:r w:rsidR="002408C2">
        <w:rPr>
          <w:sz w:val="26"/>
          <w:szCs w:val="26"/>
        </w:rPr>
        <w:t>hese P</w:t>
      </w:r>
      <w:r w:rsidRPr="00EE5722">
        <w:rPr>
          <w:sz w:val="26"/>
          <w:szCs w:val="26"/>
        </w:rPr>
        <w:t xml:space="preserve">rograms are “enhancements” that are intended to expand the current level of retail competition that already exists.   Therefore, </w:t>
      </w:r>
      <w:r>
        <w:rPr>
          <w:sz w:val="26"/>
          <w:szCs w:val="26"/>
        </w:rPr>
        <w:t xml:space="preserve">according to the OCA, </w:t>
      </w:r>
      <w:r w:rsidRPr="00EE5722">
        <w:rPr>
          <w:sz w:val="26"/>
          <w:szCs w:val="26"/>
        </w:rPr>
        <w:t>it would not be reasonable to view the costs associated with these “enhancements” as similar to those incurred and paid for by all customers to implement the basic requirements for a retail competit</w:t>
      </w:r>
      <w:r w:rsidR="002408C2">
        <w:rPr>
          <w:sz w:val="26"/>
          <w:szCs w:val="26"/>
        </w:rPr>
        <w:t>ive market.  OCA St. 2-R at 17</w:t>
      </w:r>
      <w:r w:rsidR="002408C2">
        <w:rPr>
          <w:sz w:val="26"/>
          <w:szCs w:val="26"/>
        </w:rPr>
        <w:noBreakHyphen/>
      </w:r>
      <w:r w:rsidRPr="00EE5722">
        <w:rPr>
          <w:sz w:val="26"/>
          <w:szCs w:val="26"/>
        </w:rPr>
        <w:t xml:space="preserve">18.  </w:t>
      </w:r>
    </w:p>
    <w:p w:rsidR="00CF21FC" w:rsidRPr="00EE5722" w:rsidRDefault="00CF21FC" w:rsidP="00CF21FC">
      <w:pPr>
        <w:spacing w:line="360" w:lineRule="auto"/>
        <w:ind w:firstLine="1440"/>
        <w:rPr>
          <w:sz w:val="26"/>
          <w:szCs w:val="26"/>
        </w:rPr>
      </w:pPr>
    </w:p>
    <w:p w:rsidR="00CF21FC" w:rsidRDefault="00CF21FC" w:rsidP="00CF21FC">
      <w:pPr>
        <w:spacing w:line="360" w:lineRule="auto"/>
        <w:ind w:firstLine="1440"/>
        <w:rPr>
          <w:sz w:val="26"/>
          <w:szCs w:val="26"/>
        </w:rPr>
      </w:pPr>
      <w:r w:rsidRPr="00EE5722">
        <w:rPr>
          <w:sz w:val="26"/>
          <w:szCs w:val="26"/>
        </w:rPr>
        <w:t xml:space="preserve">In addition, </w:t>
      </w:r>
      <w:r>
        <w:rPr>
          <w:sz w:val="26"/>
          <w:szCs w:val="26"/>
        </w:rPr>
        <w:t>the OCA pointed out that opt-in customers will be</w:t>
      </w:r>
      <w:r w:rsidRPr="00EE5722">
        <w:rPr>
          <w:sz w:val="26"/>
          <w:szCs w:val="26"/>
        </w:rPr>
        <w:t xml:space="preserve"> the ones who obtain the benefit of the </w:t>
      </w:r>
      <w:r>
        <w:rPr>
          <w:sz w:val="26"/>
          <w:szCs w:val="26"/>
        </w:rPr>
        <w:t>Opt-In P</w:t>
      </w:r>
      <w:r w:rsidRPr="00EE5722">
        <w:rPr>
          <w:sz w:val="26"/>
          <w:szCs w:val="26"/>
        </w:rPr>
        <w:t>rogram in the form of a rebate and lower costs for a 12</w:t>
      </w:r>
      <w:r w:rsidRPr="00EE5722">
        <w:rPr>
          <w:sz w:val="26"/>
          <w:szCs w:val="26"/>
        </w:rPr>
        <w:noBreakHyphen/>
        <w:t>month period.  OCA St</w:t>
      </w:r>
      <w:r>
        <w:rPr>
          <w:sz w:val="26"/>
          <w:szCs w:val="26"/>
        </w:rPr>
        <w:t>.</w:t>
      </w:r>
      <w:r w:rsidRPr="00EE5722">
        <w:rPr>
          <w:sz w:val="26"/>
          <w:szCs w:val="26"/>
        </w:rPr>
        <w:t xml:space="preserve"> </w:t>
      </w:r>
      <w:r>
        <w:rPr>
          <w:sz w:val="26"/>
          <w:szCs w:val="26"/>
        </w:rPr>
        <w:t xml:space="preserve">1-R at 8-9.  The OCA agreed with Duquesne that requiring EGSs to pay for </w:t>
      </w:r>
      <w:r w:rsidRPr="00EE5722">
        <w:rPr>
          <w:sz w:val="26"/>
          <w:szCs w:val="26"/>
        </w:rPr>
        <w:t>the direct costs of these programs serves as a valuable “check and balance” on the</w:t>
      </w:r>
      <w:r w:rsidR="002408C2">
        <w:rPr>
          <w:sz w:val="26"/>
          <w:szCs w:val="26"/>
        </w:rPr>
        <w:t>ir</w:t>
      </w:r>
      <w:r w:rsidRPr="00EE5722">
        <w:rPr>
          <w:sz w:val="26"/>
          <w:szCs w:val="26"/>
        </w:rPr>
        <w:t xml:space="preserve"> design</w:t>
      </w:r>
      <w:r w:rsidR="002408C2">
        <w:rPr>
          <w:sz w:val="26"/>
          <w:szCs w:val="26"/>
        </w:rPr>
        <w:t xml:space="preserve"> and structure</w:t>
      </w:r>
      <w:r>
        <w:rPr>
          <w:sz w:val="26"/>
          <w:szCs w:val="26"/>
        </w:rPr>
        <w:t xml:space="preserve">.  </w:t>
      </w:r>
      <w:r w:rsidRPr="000D388D">
        <w:rPr>
          <w:i/>
          <w:sz w:val="26"/>
          <w:szCs w:val="26"/>
        </w:rPr>
        <w:t>Id</w:t>
      </w:r>
      <w:r>
        <w:rPr>
          <w:sz w:val="26"/>
          <w:szCs w:val="26"/>
        </w:rPr>
        <w:t>.  The OCA argued that</w:t>
      </w:r>
      <w:r w:rsidRPr="00EE5722">
        <w:rPr>
          <w:sz w:val="26"/>
          <w:szCs w:val="26"/>
        </w:rPr>
        <w:t xml:space="preserve"> the EGSs provided no compelling evidence to justify a cost rec</w:t>
      </w:r>
      <w:r w:rsidR="002408C2">
        <w:rPr>
          <w:sz w:val="26"/>
          <w:szCs w:val="26"/>
        </w:rPr>
        <w:t>overy method different from the</w:t>
      </w:r>
      <w:r w:rsidRPr="00EE5722">
        <w:rPr>
          <w:sz w:val="26"/>
          <w:szCs w:val="26"/>
        </w:rPr>
        <w:t xml:space="preserve"> method recommended in the </w:t>
      </w:r>
      <w:r w:rsidR="002408C2">
        <w:rPr>
          <w:i/>
          <w:sz w:val="26"/>
          <w:szCs w:val="26"/>
        </w:rPr>
        <w:t>IWP Final</w:t>
      </w:r>
      <w:r>
        <w:rPr>
          <w:i/>
          <w:sz w:val="26"/>
          <w:szCs w:val="26"/>
        </w:rPr>
        <w:t xml:space="preserve"> </w:t>
      </w:r>
      <w:r w:rsidRPr="00EE5722">
        <w:rPr>
          <w:i/>
          <w:sz w:val="26"/>
          <w:szCs w:val="26"/>
        </w:rPr>
        <w:t>Order</w:t>
      </w:r>
      <w:r w:rsidRPr="00EE5722">
        <w:rPr>
          <w:sz w:val="26"/>
          <w:szCs w:val="26"/>
        </w:rPr>
        <w:t xml:space="preserve">.  Accordingly, </w:t>
      </w:r>
      <w:r>
        <w:rPr>
          <w:sz w:val="26"/>
          <w:szCs w:val="26"/>
        </w:rPr>
        <w:t>the OCA submitted</w:t>
      </w:r>
      <w:r w:rsidRPr="00EE5722">
        <w:rPr>
          <w:sz w:val="26"/>
          <w:szCs w:val="26"/>
        </w:rPr>
        <w:t xml:space="preserve"> that Duquesne’s proposal to recover the costs of these initiatives </w:t>
      </w:r>
      <w:r w:rsidR="002408C2">
        <w:rPr>
          <w:sz w:val="26"/>
          <w:szCs w:val="26"/>
        </w:rPr>
        <w:t xml:space="preserve">from EGSs </w:t>
      </w:r>
      <w:r w:rsidRPr="00EE5722">
        <w:rPr>
          <w:sz w:val="26"/>
          <w:szCs w:val="26"/>
        </w:rPr>
        <w:t>should be adopted.</w:t>
      </w:r>
    </w:p>
    <w:p w:rsidR="00CF21FC" w:rsidRPr="00EE5722" w:rsidRDefault="00CF21FC" w:rsidP="00CF21FC">
      <w:pPr>
        <w:spacing w:line="360" w:lineRule="auto"/>
        <w:rPr>
          <w:sz w:val="26"/>
          <w:szCs w:val="26"/>
        </w:rPr>
      </w:pPr>
    </w:p>
    <w:p w:rsidR="00CF21FC" w:rsidRPr="00EE5722" w:rsidRDefault="00CF21FC" w:rsidP="00CF21FC">
      <w:pPr>
        <w:spacing w:line="360" w:lineRule="auto"/>
        <w:ind w:firstLine="1440"/>
        <w:rPr>
          <w:sz w:val="26"/>
          <w:szCs w:val="26"/>
        </w:rPr>
      </w:pPr>
      <w:r>
        <w:rPr>
          <w:sz w:val="26"/>
          <w:szCs w:val="26"/>
        </w:rPr>
        <w:t xml:space="preserve">RESA argued that the costs of </w:t>
      </w:r>
      <w:r w:rsidR="002408C2">
        <w:rPr>
          <w:sz w:val="26"/>
          <w:szCs w:val="26"/>
        </w:rPr>
        <w:t>the RME P</w:t>
      </w:r>
      <w:r>
        <w:rPr>
          <w:sz w:val="26"/>
          <w:szCs w:val="26"/>
        </w:rPr>
        <w:t>rograms</w:t>
      </w:r>
      <w:r w:rsidRPr="00EE5722">
        <w:rPr>
          <w:sz w:val="26"/>
          <w:szCs w:val="26"/>
        </w:rPr>
        <w:t xml:space="preserve"> should be paid only by default service customers, or through a non-bypassable charge applied to all customers.</w:t>
      </w:r>
      <w:r>
        <w:rPr>
          <w:sz w:val="26"/>
          <w:szCs w:val="26"/>
        </w:rPr>
        <w:t xml:space="preserve"> According to RESA, o</w:t>
      </w:r>
      <w:r w:rsidRPr="00EE5722">
        <w:rPr>
          <w:sz w:val="26"/>
          <w:szCs w:val="26"/>
        </w:rPr>
        <w:t>ne of the principal pur</w:t>
      </w:r>
      <w:r w:rsidR="002408C2">
        <w:rPr>
          <w:sz w:val="26"/>
          <w:szCs w:val="26"/>
        </w:rPr>
        <w:t>poses of the RME Programs</w:t>
      </w:r>
      <w:r w:rsidRPr="00EE5722">
        <w:rPr>
          <w:sz w:val="26"/>
          <w:szCs w:val="26"/>
        </w:rPr>
        <w:t xml:space="preserve"> is to provide a way to encourage “sticky” default service customers to take their first venture into the competitive market.</w:t>
      </w:r>
      <w:r>
        <w:rPr>
          <w:sz w:val="26"/>
          <w:szCs w:val="26"/>
        </w:rPr>
        <w:t xml:space="preserve">  RESA asse</w:t>
      </w:r>
      <w:r w:rsidR="002408C2">
        <w:rPr>
          <w:sz w:val="26"/>
          <w:szCs w:val="26"/>
        </w:rPr>
        <w:t>rted that the costs of the RME P</w:t>
      </w:r>
      <w:r>
        <w:rPr>
          <w:sz w:val="26"/>
          <w:szCs w:val="26"/>
        </w:rPr>
        <w:t>rograms</w:t>
      </w:r>
      <w:r w:rsidRPr="00EE5722">
        <w:rPr>
          <w:sz w:val="26"/>
          <w:szCs w:val="26"/>
        </w:rPr>
        <w:t xml:space="preserve"> are caused by </w:t>
      </w:r>
      <w:r w:rsidRPr="00EE5722">
        <w:rPr>
          <w:sz w:val="26"/>
          <w:szCs w:val="26"/>
        </w:rPr>
        <w:lastRenderedPageBreak/>
        <w:t>the existence of default service, without which customers would all be on competitive supply, eliminating the need for measures to encourage them to move away from the utility.</w:t>
      </w:r>
      <w:r w:rsidR="002408C2">
        <w:rPr>
          <w:sz w:val="26"/>
          <w:szCs w:val="26"/>
        </w:rPr>
        <w:t xml:space="preserve">  Therefore, RESA maintained</w:t>
      </w:r>
      <w:r>
        <w:rPr>
          <w:sz w:val="26"/>
          <w:szCs w:val="26"/>
        </w:rPr>
        <w:t xml:space="preserve"> that it would be</w:t>
      </w:r>
      <w:r w:rsidRPr="00EE5722">
        <w:rPr>
          <w:sz w:val="26"/>
          <w:szCs w:val="26"/>
        </w:rPr>
        <w:t xml:space="preserve"> appropriate that the </w:t>
      </w:r>
      <w:r w:rsidR="002408C2">
        <w:rPr>
          <w:sz w:val="26"/>
          <w:szCs w:val="26"/>
        </w:rPr>
        <w:t>RME P</w:t>
      </w:r>
      <w:r>
        <w:rPr>
          <w:sz w:val="26"/>
          <w:szCs w:val="26"/>
        </w:rPr>
        <w:t xml:space="preserve">rogram </w:t>
      </w:r>
      <w:r w:rsidRPr="00EE5722">
        <w:rPr>
          <w:sz w:val="26"/>
          <w:szCs w:val="26"/>
        </w:rPr>
        <w:t>cost</w:t>
      </w:r>
      <w:r>
        <w:rPr>
          <w:sz w:val="26"/>
          <w:szCs w:val="26"/>
        </w:rPr>
        <w:t>s</w:t>
      </w:r>
      <w:r w:rsidRPr="00EE5722">
        <w:rPr>
          <w:sz w:val="26"/>
          <w:szCs w:val="26"/>
        </w:rPr>
        <w:t xml:space="preserve"> be collected from default service c</w:t>
      </w:r>
      <w:r>
        <w:rPr>
          <w:sz w:val="26"/>
          <w:szCs w:val="26"/>
        </w:rPr>
        <w:t xml:space="preserve">ustomers.  RESA </w:t>
      </w:r>
      <w:r w:rsidRPr="00EE5722">
        <w:rPr>
          <w:sz w:val="26"/>
          <w:szCs w:val="26"/>
        </w:rPr>
        <w:t xml:space="preserve">proposed a </w:t>
      </w:r>
      <w:r>
        <w:rPr>
          <w:sz w:val="26"/>
          <w:szCs w:val="26"/>
        </w:rPr>
        <w:t>charge of five mils per kWh to collect these costs</w:t>
      </w:r>
      <w:r w:rsidRPr="00EE5722">
        <w:rPr>
          <w:sz w:val="26"/>
          <w:szCs w:val="26"/>
        </w:rPr>
        <w:t>.</w:t>
      </w:r>
      <w:r>
        <w:rPr>
          <w:sz w:val="26"/>
          <w:szCs w:val="26"/>
        </w:rPr>
        <w:t xml:space="preserve">  RESA St. </w:t>
      </w:r>
      <w:r w:rsidRPr="007920EC">
        <w:rPr>
          <w:sz w:val="26"/>
          <w:szCs w:val="26"/>
        </w:rPr>
        <w:t>2 at 26-28.</w:t>
      </w:r>
    </w:p>
    <w:p w:rsidR="00CF21FC" w:rsidRPr="00EE5722" w:rsidRDefault="00CF21FC" w:rsidP="00CF21FC">
      <w:pPr>
        <w:spacing w:line="360" w:lineRule="auto"/>
        <w:ind w:firstLine="720"/>
        <w:rPr>
          <w:sz w:val="26"/>
          <w:szCs w:val="26"/>
        </w:rPr>
      </w:pPr>
    </w:p>
    <w:p w:rsidR="00CF21FC" w:rsidRDefault="00CF21FC" w:rsidP="009925EF">
      <w:pPr>
        <w:spacing w:line="360" w:lineRule="auto"/>
        <w:ind w:firstLine="720"/>
        <w:rPr>
          <w:sz w:val="26"/>
          <w:szCs w:val="26"/>
        </w:rPr>
      </w:pPr>
      <w:r w:rsidRPr="00EE5722">
        <w:rPr>
          <w:sz w:val="26"/>
          <w:szCs w:val="26"/>
        </w:rPr>
        <w:tab/>
        <w:t xml:space="preserve">Alternatively, </w:t>
      </w:r>
      <w:r>
        <w:rPr>
          <w:sz w:val="26"/>
          <w:szCs w:val="26"/>
        </w:rPr>
        <w:t>RESA argued that it would be</w:t>
      </w:r>
      <w:r w:rsidRPr="00EE5722">
        <w:rPr>
          <w:sz w:val="26"/>
          <w:szCs w:val="26"/>
        </w:rPr>
        <w:t xml:space="preserve"> just and reasonable for the costs of these market enhancements to be borne by all customers through </w:t>
      </w:r>
      <w:r>
        <w:rPr>
          <w:sz w:val="26"/>
          <w:szCs w:val="26"/>
        </w:rPr>
        <w:t>a non-bypassable charge</w:t>
      </w:r>
      <w:r w:rsidRPr="00EE5722">
        <w:rPr>
          <w:sz w:val="26"/>
          <w:szCs w:val="26"/>
        </w:rPr>
        <w:t>.</w:t>
      </w:r>
      <w:r w:rsidR="002408C2">
        <w:rPr>
          <w:sz w:val="26"/>
          <w:szCs w:val="26"/>
        </w:rPr>
        <w:t xml:space="preserve">  RESA submitted that the RME P</w:t>
      </w:r>
      <w:r>
        <w:rPr>
          <w:sz w:val="26"/>
          <w:szCs w:val="26"/>
        </w:rPr>
        <w:t xml:space="preserve">rograms </w:t>
      </w:r>
      <w:r w:rsidRPr="00EE5722">
        <w:rPr>
          <w:sz w:val="26"/>
          <w:szCs w:val="26"/>
        </w:rPr>
        <w:t>are intended to move Pennsylvania closer to what the Commission may consider to be an optimal structure</w:t>
      </w:r>
      <w:r>
        <w:rPr>
          <w:sz w:val="26"/>
          <w:szCs w:val="26"/>
        </w:rPr>
        <w:t xml:space="preserve">, and are </w:t>
      </w:r>
      <w:r w:rsidRPr="00EE5722">
        <w:rPr>
          <w:sz w:val="26"/>
          <w:szCs w:val="26"/>
        </w:rPr>
        <w:t>a natural continuation of the transition to restructured marke</w:t>
      </w:r>
      <w:r>
        <w:rPr>
          <w:sz w:val="26"/>
          <w:szCs w:val="26"/>
        </w:rPr>
        <w:t xml:space="preserve">ts that began in the late </w:t>
      </w:r>
      <w:r w:rsidR="00505609">
        <w:rPr>
          <w:sz w:val="26"/>
          <w:szCs w:val="26"/>
        </w:rPr>
        <w:t>Nineties</w:t>
      </w:r>
      <w:r>
        <w:rPr>
          <w:sz w:val="26"/>
          <w:szCs w:val="26"/>
        </w:rPr>
        <w:t>,</w:t>
      </w:r>
      <w:r w:rsidRPr="00EE5722">
        <w:rPr>
          <w:sz w:val="26"/>
          <w:szCs w:val="26"/>
        </w:rPr>
        <w:t xml:space="preserve"> where all costs of initially opening retail markets were recovered from all </w:t>
      </w:r>
      <w:r>
        <w:rPr>
          <w:sz w:val="26"/>
          <w:szCs w:val="26"/>
        </w:rPr>
        <w:t xml:space="preserve">electric customers </w:t>
      </w:r>
      <w:r w:rsidRPr="00EE5722">
        <w:rPr>
          <w:sz w:val="26"/>
          <w:szCs w:val="26"/>
        </w:rPr>
        <w:t xml:space="preserve">since there were no EGSs on which to </w:t>
      </w:r>
      <w:r>
        <w:rPr>
          <w:sz w:val="26"/>
          <w:szCs w:val="26"/>
        </w:rPr>
        <w:t>impose the costs</w:t>
      </w:r>
      <w:r w:rsidRPr="00EE5722">
        <w:rPr>
          <w:sz w:val="26"/>
          <w:szCs w:val="26"/>
        </w:rPr>
        <w:t>.</w:t>
      </w:r>
      <w:r w:rsidR="00211CF2">
        <w:rPr>
          <w:sz w:val="26"/>
          <w:szCs w:val="26"/>
        </w:rPr>
        <w:t xml:space="preserve">  RESA St. 2 at </w:t>
      </w:r>
      <w:r>
        <w:rPr>
          <w:sz w:val="26"/>
          <w:szCs w:val="26"/>
        </w:rPr>
        <w:t>26.</w:t>
      </w:r>
    </w:p>
    <w:p w:rsidR="00CF21FC" w:rsidRDefault="00CF21FC" w:rsidP="009925EF">
      <w:pPr>
        <w:spacing w:line="360" w:lineRule="auto"/>
        <w:ind w:firstLine="720"/>
        <w:rPr>
          <w:sz w:val="26"/>
          <w:szCs w:val="26"/>
        </w:rPr>
      </w:pPr>
    </w:p>
    <w:p w:rsidR="00CF21FC" w:rsidRPr="00EE5722" w:rsidRDefault="00CF21FC" w:rsidP="00CF21FC">
      <w:pPr>
        <w:spacing w:line="360" w:lineRule="auto"/>
        <w:ind w:firstLine="1440"/>
        <w:rPr>
          <w:sz w:val="26"/>
          <w:szCs w:val="26"/>
        </w:rPr>
      </w:pPr>
      <w:r>
        <w:rPr>
          <w:sz w:val="26"/>
          <w:szCs w:val="26"/>
        </w:rPr>
        <w:t xml:space="preserve">The </w:t>
      </w:r>
      <w:r w:rsidRPr="00EE5722">
        <w:rPr>
          <w:sz w:val="26"/>
          <w:szCs w:val="26"/>
        </w:rPr>
        <w:t>OSBA address</w:t>
      </w:r>
      <w:r>
        <w:rPr>
          <w:sz w:val="26"/>
          <w:szCs w:val="26"/>
        </w:rPr>
        <w:t>ed</w:t>
      </w:r>
      <w:r w:rsidRPr="00EE5722">
        <w:rPr>
          <w:sz w:val="26"/>
          <w:szCs w:val="26"/>
        </w:rPr>
        <w:t xml:space="preserve"> the recovery of program costs for retail market enhancements generally, rather than with respect to each specific program.  </w:t>
      </w:r>
      <w:r>
        <w:rPr>
          <w:sz w:val="26"/>
          <w:szCs w:val="26"/>
        </w:rPr>
        <w:t xml:space="preserve">The OSBA agreed </w:t>
      </w:r>
      <w:r w:rsidRPr="00EE5722">
        <w:rPr>
          <w:sz w:val="26"/>
          <w:szCs w:val="26"/>
        </w:rPr>
        <w:t>with Duquesne’s proposal to recover the costs associated with its retail market enhancements through a discount on its purchas</w:t>
      </w:r>
      <w:r>
        <w:rPr>
          <w:sz w:val="26"/>
          <w:szCs w:val="26"/>
        </w:rPr>
        <w:t>ed EGS receivables</w:t>
      </w:r>
      <w:r w:rsidR="002408C2">
        <w:rPr>
          <w:sz w:val="26"/>
          <w:szCs w:val="26"/>
        </w:rPr>
        <w:t xml:space="preserve">, </w:t>
      </w:r>
      <w:r w:rsidRPr="00EE5722">
        <w:rPr>
          <w:sz w:val="26"/>
          <w:szCs w:val="26"/>
        </w:rPr>
        <w:t xml:space="preserve">consistent with the Commission’s directive in its </w:t>
      </w:r>
      <w:r w:rsidR="002408C2">
        <w:rPr>
          <w:i/>
          <w:sz w:val="26"/>
          <w:szCs w:val="26"/>
        </w:rPr>
        <w:t>IWP Final</w:t>
      </w:r>
      <w:r w:rsidRPr="002408C2">
        <w:rPr>
          <w:i/>
          <w:sz w:val="26"/>
          <w:szCs w:val="26"/>
        </w:rPr>
        <w:t xml:space="preserve"> Order</w:t>
      </w:r>
      <w:r>
        <w:rPr>
          <w:sz w:val="26"/>
          <w:szCs w:val="26"/>
        </w:rPr>
        <w:t>.</w:t>
      </w:r>
    </w:p>
    <w:p w:rsidR="00CF21FC" w:rsidRPr="00EE5722" w:rsidRDefault="00CF21FC" w:rsidP="00CF21FC">
      <w:pPr>
        <w:pStyle w:val="BodyText2"/>
        <w:spacing w:after="0" w:line="360" w:lineRule="auto"/>
        <w:rPr>
          <w:sz w:val="26"/>
          <w:szCs w:val="26"/>
        </w:rPr>
      </w:pPr>
    </w:p>
    <w:p w:rsidR="00CF21FC" w:rsidRPr="00AF1E55" w:rsidRDefault="00CF21FC" w:rsidP="00CF21FC">
      <w:pPr>
        <w:pStyle w:val="BodyText2"/>
        <w:spacing w:after="0" w:line="360" w:lineRule="auto"/>
        <w:rPr>
          <w:sz w:val="26"/>
          <w:szCs w:val="26"/>
        </w:rPr>
      </w:pPr>
      <w:r w:rsidRPr="00EE5722">
        <w:rPr>
          <w:sz w:val="26"/>
          <w:szCs w:val="26"/>
        </w:rPr>
        <w:tab/>
      </w:r>
      <w:r w:rsidRPr="00EE5722">
        <w:rPr>
          <w:sz w:val="26"/>
          <w:szCs w:val="26"/>
        </w:rPr>
        <w:tab/>
      </w:r>
      <w:r>
        <w:rPr>
          <w:sz w:val="26"/>
          <w:szCs w:val="26"/>
        </w:rPr>
        <w:t xml:space="preserve">The OSBA submitted that </w:t>
      </w:r>
      <w:r w:rsidRPr="00EE5722">
        <w:rPr>
          <w:sz w:val="26"/>
          <w:szCs w:val="26"/>
        </w:rPr>
        <w:t xml:space="preserve">RESA </w:t>
      </w:r>
      <w:r>
        <w:rPr>
          <w:sz w:val="26"/>
          <w:szCs w:val="26"/>
        </w:rPr>
        <w:t>was seeking</w:t>
      </w:r>
      <w:r w:rsidRPr="00EE5722">
        <w:rPr>
          <w:sz w:val="26"/>
          <w:szCs w:val="26"/>
        </w:rPr>
        <w:t xml:space="preserve"> to penalize default service customers who choose not to shop</w:t>
      </w:r>
      <w:r>
        <w:rPr>
          <w:sz w:val="26"/>
          <w:szCs w:val="26"/>
        </w:rPr>
        <w:t xml:space="preserve">.  The OSBA referred to RESA’s position that </w:t>
      </w:r>
      <w:r w:rsidRPr="00EE5722">
        <w:rPr>
          <w:sz w:val="26"/>
          <w:szCs w:val="26"/>
        </w:rPr>
        <w:t xml:space="preserve">the costs of the </w:t>
      </w:r>
      <w:r w:rsidR="002408C2">
        <w:rPr>
          <w:sz w:val="26"/>
          <w:szCs w:val="26"/>
        </w:rPr>
        <w:t>RME P</w:t>
      </w:r>
      <w:r>
        <w:rPr>
          <w:sz w:val="26"/>
          <w:szCs w:val="26"/>
        </w:rPr>
        <w:t xml:space="preserve">rograms </w:t>
      </w:r>
      <w:r w:rsidRPr="00EE5722">
        <w:rPr>
          <w:sz w:val="26"/>
          <w:szCs w:val="26"/>
        </w:rPr>
        <w:t>are caused by the existence of default service, without which customers would all be on competitive supply, eliminating the need for measures to encourage them</w:t>
      </w:r>
      <w:r w:rsidR="002408C2">
        <w:rPr>
          <w:sz w:val="26"/>
          <w:szCs w:val="26"/>
        </w:rPr>
        <w:t xml:space="preserve"> to move away from the utility.</w:t>
      </w:r>
      <w:r>
        <w:rPr>
          <w:sz w:val="26"/>
          <w:szCs w:val="26"/>
        </w:rPr>
        <w:t xml:space="preserve">  The OSBA noted that </w:t>
      </w:r>
      <w:r w:rsidRPr="00EE5722">
        <w:rPr>
          <w:sz w:val="26"/>
          <w:szCs w:val="26"/>
        </w:rPr>
        <w:t xml:space="preserve">it is inequitable to penalize default service customers who choose not to shop by forcing them to subsidize customer choice in the Commonwealth. </w:t>
      </w:r>
      <w:r>
        <w:rPr>
          <w:sz w:val="26"/>
          <w:szCs w:val="26"/>
        </w:rPr>
        <w:t xml:space="preserve"> </w:t>
      </w:r>
      <w:r w:rsidRPr="00EE5722">
        <w:rPr>
          <w:sz w:val="26"/>
          <w:szCs w:val="26"/>
        </w:rPr>
        <w:t>Therefore,</w:t>
      </w:r>
      <w:r>
        <w:rPr>
          <w:sz w:val="26"/>
          <w:szCs w:val="26"/>
        </w:rPr>
        <w:t xml:space="preserve"> the OSBA respectfully requested</w:t>
      </w:r>
      <w:r w:rsidRPr="00EE5722">
        <w:rPr>
          <w:sz w:val="26"/>
          <w:szCs w:val="26"/>
        </w:rPr>
        <w:t xml:space="preserve"> </w:t>
      </w:r>
      <w:r>
        <w:rPr>
          <w:sz w:val="26"/>
          <w:szCs w:val="26"/>
        </w:rPr>
        <w:t xml:space="preserve">that </w:t>
      </w:r>
      <w:r w:rsidRPr="00EE5722">
        <w:rPr>
          <w:sz w:val="26"/>
          <w:szCs w:val="26"/>
        </w:rPr>
        <w:t>the Co</w:t>
      </w:r>
      <w:r w:rsidR="002408C2">
        <w:rPr>
          <w:sz w:val="26"/>
          <w:szCs w:val="26"/>
        </w:rPr>
        <w:t xml:space="preserve">mmission reject the </w:t>
      </w:r>
      <w:r w:rsidRPr="00EE5722">
        <w:rPr>
          <w:sz w:val="26"/>
          <w:szCs w:val="26"/>
        </w:rPr>
        <w:t>cost recovery proposals</w:t>
      </w:r>
      <w:r w:rsidR="002408C2">
        <w:rPr>
          <w:sz w:val="26"/>
          <w:szCs w:val="26"/>
        </w:rPr>
        <w:t xml:space="preserve"> of RESA and FES</w:t>
      </w:r>
      <w:r w:rsidRPr="00EE5722">
        <w:rPr>
          <w:sz w:val="26"/>
          <w:szCs w:val="26"/>
        </w:rPr>
        <w:t>.</w:t>
      </w:r>
      <w:r>
        <w:rPr>
          <w:sz w:val="26"/>
          <w:szCs w:val="26"/>
        </w:rPr>
        <w:t xml:space="preserve">  OSBA St. 2 at 3.</w:t>
      </w:r>
    </w:p>
    <w:p w:rsidR="00CF21FC" w:rsidRDefault="00CF21FC" w:rsidP="00CF21FC">
      <w:pPr>
        <w:spacing w:line="360" w:lineRule="auto"/>
        <w:rPr>
          <w:sz w:val="26"/>
          <w:szCs w:val="26"/>
        </w:rPr>
      </w:pPr>
    </w:p>
    <w:p w:rsidR="00CF21FC" w:rsidRDefault="00CF21FC" w:rsidP="00CF21FC">
      <w:pPr>
        <w:spacing w:line="360" w:lineRule="auto"/>
        <w:ind w:firstLine="1440"/>
        <w:rPr>
          <w:sz w:val="26"/>
          <w:szCs w:val="26"/>
        </w:rPr>
      </w:pPr>
      <w:r>
        <w:rPr>
          <w:sz w:val="26"/>
          <w:szCs w:val="26"/>
        </w:rPr>
        <w:t>Citizen Power agreed</w:t>
      </w:r>
      <w:r w:rsidRPr="00EE5722">
        <w:rPr>
          <w:sz w:val="26"/>
          <w:szCs w:val="26"/>
        </w:rPr>
        <w:t xml:space="preserve"> with Duquesne that the costs of </w:t>
      </w:r>
      <w:r w:rsidR="002408C2">
        <w:rPr>
          <w:sz w:val="26"/>
          <w:szCs w:val="26"/>
        </w:rPr>
        <w:t>the RME P</w:t>
      </w:r>
      <w:r w:rsidRPr="00EE5722">
        <w:rPr>
          <w:sz w:val="26"/>
          <w:szCs w:val="26"/>
        </w:rPr>
        <w:t>r</w:t>
      </w:r>
      <w:r>
        <w:rPr>
          <w:sz w:val="26"/>
          <w:szCs w:val="26"/>
        </w:rPr>
        <w:t xml:space="preserve">ograms should be borne </w:t>
      </w:r>
      <w:r w:rsidRPr="00EE5722">
        <w:rPr>
          <w:sz w:val="26"/>
          <w:szCs w:val="26"/>
        </w:rPr>
        <w:t>by the main beneficiaries, which are</w:t>
      </w:r>
      <w:r>
        <w:rPr>
          <w:sz w:val="26"/>
          <w:szCs w:val="26"/>
        </w:rPr>
        <w:t xml:space="preserve"> the EGSs.  Citizen Power argued</w:t>
      </w:r>
      <w:r w:rsidRPr="00EE5722">
        <w:rPr>
          <w:sz w:val="26"/>
          <w:szCs w:val="26"/>
        </w:rPr>
        <w:t xml:space="preserve"> that, if RESA’s arguments are t</w:t>
      </w:r>
      <w:r w:rsidR="002408C2">
        <w:rPr>
          <w:sz w:val="26"/>
          <w:szCs w:val="26"/>
        </w:rPr>
        <w:t xml:space="preserve">aken to their logical extreme, </w:t>
      </w:r>
      <w:r>
        <w:rPr>
          <w:sz w:val="26"/>
          <w:szCs w:val="26"/>
        </w:rPr>
        <w:t>default service customers w</w:t>
      </w:r>
      <w:r w:rsidRPr="00EE5722">
        <w:rPr>
          <w:sz w:val="26"/>
          <w:szCs w:val="26"/>
        </w:rPr>
        <w:t>ould have to pay a portion of the marketing budgets of the EGSs.</w:t>
      </w:r>
      <w:r>
        <w:rPr>
          <w:sz w:val="26"/>
          <w:szCs w:val="26"/>
        </w:rPr>
        <w:t xml:space="preserve">  Although Citizen Power agreed that</w:t>
      </w:r>
      <w:r w:rsidRPr="00EE5722">
        <w:rPr>
          <w:sz w:val="26"/>
          <w:szCs w:val="26"/>
        </w:rPr>
        <w:t xml:space="preserve"> the </w:t>
      </w:r>
      <w:r w:rsidR="002408C2">
        <w:rPr>
          <w:sz w:val="26"/>
          <w:szCs w:val="26"/>
        </w:rPr>
        <w:t>RME P</w:t>
      </w:r>
      <w:r w:rsidRPr="00EE5722">
        <w:rPr>
          <w:sz w:val="26"/>
          <w:szCs w:val="26"/>
        </w:rPr>
        <w:t>rograms benefit default s</w:t>
      </w:r>
      <w:r>
        <w:rPr>
          <w:sz w:val="26"/>
          <w:szCs w:val="26"/>
        </w:rPr>
        <w:t>ervice customers to a degree, this benefit</w:t>
      </w:r>
      <w:r w:rsidRPr="00EE5722">
        <w:rPr>
          <w:sz w:val="26"/>
          <w:szCs w:val="26"/>
        </w:rPr>
        <w:t xml:space="preserve"> pales in comparison to the benefits afforded to the EGSs</w:t>
      </w:r>
      <w:r>
        <w:rPr>
          <w:sz w:val="26"/>
          <w:szCs w:val="26"/>
        </w:rPr>
        <w:t>.</w:t>
      </w:r>
      <w:r w:rsidRPr="00EE5722">
        <w:rPr>
          <w:sz w:val="26"/>
          <w:szCs w:val="26"/>
        </w:rPr>
        <w:t xml:space="preserve">  </w:t>
      </w:r>
    </w:p>
    <w:p w:rsidR="00CF21FC" w:rsidRDefault="00CF21FC" w:rsidP="00CF21FC">
      <w:pPr>
        <w:spacing w:line="360" w:lineRule="auto"/>
        <w:rPr>
          <w:sz w:val="26"/>
          <w:szCs w:val="26"/>
        </w:rPr>
      </w:pPr>
    </w:p>
    <w:p w:rsidR="00CF21FC" w:rsidRPr="00EE5722" w:rsidRDefault="00CF21FC" w:rsidP="00CF21FC">
      <w:pPr>
        <w:spacing w:line="360" w:lineRule="auto"/>
        <w:ind w:firstLine="1440"/>
        <w:rPr>
          <w:sz w:val="26"/>
          <w:szCs w:val="26"/>
        </w:rPr>
      </w:pPr>
      <w:r>
        <w:rPr>
          <w:sz w:val="26"/>
          <w:szCs w:val="26"/>
        </w:rPr>
        <w:t>DII agreed</w:t>
      </w:r>
      <w:r w:rsidRPr="00EE5722">
        <w:rPr>
          <w:sz w:val="26"/>
          <w:szCs w:val="26"/>
        </w:rPr>
        <w:t xml:space="preserve"> with Duquesne that </w:t>
      </w:r>
      <w:r w:rsidR="002408C2">
        <w:rPr>
          <w:sz w:val="26"/>
          <w:szCs w:val="26"/>
        </w:rPr>
        <w:t>the RME P</w:t>
      </w:r>
      <w:r w:rsidRPr="00EE5722">
        <w:rPr>
          <w:sz w:val="26"/>
          <w:szCs w:val="26"/>
        </w:rPr>
        <w:t xml:space="preserve">rograms primarily benefit EGSs and, accordingly, that EGSs should assume responsibility for the program costs.  The Commission has recognized that costs of the program should be borne by EGSs and specifically identified a POR discount as a permissible and equitable recovery mechanism for such costs.  </w:t>
      </w:r>
      <w:r w:rsidRPr="00EE5722">
        <w:rPr>
          <w:i/>
          <w:sz w:val="26"/>
          <w:szCs w:val="26"/>
        </w:rPr>
        <w:t>I</w:t>
      </w:r>
      <w:r w:rsidR="002408C2">
        <w:rPr>
          <w:i/>
          <w:sz w:val="26"/>
          <w:szCs w:val="26"/>
        </w:rPr>
        <w:t>WP Final</w:t>
      </w:r>
      <w:r>
        <w:rPr>
          <w:i/>
          <w:sz w:val="26"/>
          <w:szCs w:val="26"/>
        </w:rPr>
        <w:t xml:space="preserve"> Order </w:t>
      </w:r>
      <w:r>
        <w:rPr>
          <w:sz w:val="26"/>
          <w:szCs w:val="26"/>
        </w:rPr>
        <w:t>at 32, 78</w:t>
      </w:r>
      <w:r w:rsidRPr="00EE5722">
        <w:rPr>
          <w:sz w:val="26"/>
          <w:szCs w:val="26"/>
        </w:rPr>
        <w:t xml:space="preserve">.  </w:t>
      </w:r>
      <w:r w:rsidR="002408C2">
        <w:rPr>
          <w:sz w:val="26"/>
          <w:szCs w:val="26"/>
        </w:rPr>
        <w:t>DII stated</w:t>
      </w:r>
      <w:r>
        <w:rPr>
          <w:sz w:val="26"/>
          <w:szCs w:val="26"/>
        </w:rPr>
        <w:t xml:space="preserve"> that</w:t>
      </w:r>
      <w:r w:rsidR="002408C2">
        <w:rPr>
          <w:sz w:val="26"/>
          <w:szCs w:val="26"/>
        </w:rPr>
        <w:t>,</w:t>
      </w:r>
      <w:r>
        <w:rPr>
          <w:sz w:val="26"/>
          <w:szCs w:val="26"/>
        </w:rPr>
        <w:t xml:space="preserve"> c</w:t>
      </w:r>
      <w:r w:rsidRPr="00EE5722">
        <w:rPr>
          <w:sz w:val="26"/>
          <w:szCs w:val="26"/>
        </w:rPr>
        <w:t xml:space="preserve">ontrary to the implication of such cost recovery proposals, Duquesne’s RME </w:t>
      </w:r>
      <w:r w:rsidR="002408C2">
        <w:rPr>
          <w:sz w:val="26"/>
          <w:szCs w:val="26"/>
        </w:rPr>
        <w:t>Program</w:t>
      </w:r>
      <w:r w:rsidRPr="00EE5722">
        <w:rPr>
          <w:sz w:val="26"/>
          <w:szCs w:val="26"/>
        </w:rPr>
        <w:t>s generally exclude C&amp;I customers from p</w:t>
      </w:r>
      <w:r>
        <w:rPr>
          <w:sz w:val="26"/>
          <w:szCs w:val="26"/>
        </w:rPr>
        <w:t xml:space="preserve">articipation.  </w:t>
      </w:r>
      <w:r w:rsidRPr="00EE5722">
        <w:rPr>
          <w:sz w:val="26"/>
          <w:szCs w:val="26"/>
        </w:rPr>
        <w:t xml:space="preserve">In addition, </w:t>
      </w:r>
      <w:r>
        <w:rPr>
          <w:sz w:val="26"/>
          <w:szCs w:val="26"/>
        </w:rPr>
        <w:t>DII note</w:t>
      </w:r>
      <w:r w:rsidR="002408C2">
        <w:rPr>
          <w:sz w:val="26"/>
          <w:szCs w:val="26"/>
        </w:rPr>
        <w:t>d</w:t>
      </w:r>
      <w:r>
        <w:rPr>
          <w:sz w:val="26"/>
          <w:szCs w:val="26"/>
        </w:rPr>
        <w:t xml:space="preserve"> that </w:t>
      </w:r>
      <w:r w:rsidRPr="00EE5722">
        <w:rPr>
          <w:sz w:val="26"/>
          <w:szCs w:val="26"/>
        </w:rPr>
        <w:t>n</w:t>
      </w:r>
      <w:r>
        <w:rPr>
          <w:sz w:val="26"/>
          <w:szCs w:val="26"/>
        </w:rPr>
        <w:t>o P</w:t>
      </w:r>
      <w:r w:rsidRPr="00EE5722">
        <w:rPr>
          <w:sz w:val="26"/>
          <w:szCs w:val="26"/>
        </w:rPr>
        <w:t xml:space="preserve">arty to the proceeding envisions Large C&amp;I customer eligibility for </w:t>
      </w:r>
      <w:r w:rsidR="002408C2">
        <w:rPr>
          <w:sz w:val="26"/>
          <w:szCs w:val="26"/>
        </w:rPr>
        <w:t xml:space="preserve">the </w:t>
      </w:r>
      <w:r w:rsidRPr="00EE5722">
        <w:rPr>
          <w:sz w:val="26"/>
          <w:szCs w:val="26"/>
        </w:rPr>
        <w:t xml:space="preserve">RME </w:t>
      </w:r>
      <w:r w:rsidR="002408C2">
        <w:rPr>
          <w:sz w:val="26"/>
          <w:szCs w:val="26"/>
        </w:rPr>
        <w:t>P</w:t>
      </w:r>
      <w:r w:rsidRPr="00EE5722">
        <w:rPr>
          <w:sz w:val="26"/>
          <w:szCs w:val="26"/>
        </w:rPr>
        <w:t xml:space="preserve">rograms.  </w:t>
      </w:r>
      <w:r>
        <w:rPr>
          <w:sz w:val="26"/>
          <w:szCs w:val="26"/>
        </w:rPr>
        <w:t>According to DII, a</w:t>
      </w:r>
      <w:r w:rsidRPr="00EE5722">
        <w:rPr>
          <w:sz w:val="26"/>
          <w:szCs w:val="26"/>
        </w:rPr>
        <w:t>s evidenced by the plain langu</w:t>
      </w:r>
      <w:r>
        <w:rPr>
          <w:sz w:val="26"/>
          <w:szCs w:val="26"/>
        </w:rPr>
        <w:t>age of Duquesne’s RME proposals</w:t>
      </w:r>
      <w:r w:rsidRPr="00EE5722">
        <w:rPr>
          <w:sz w:val="26"/>
          <w:szCs w:val="26"/>
        </w:rPr>
        <w:t xml:space="preserve">, Large C&amp;I customers are ineligible for participation in Duquesne’s proposed RME </w:t>
      </w:r>
      <w:r w:rsidR="002408C2">
        <w:rPr>
          <w:sz w:val="26"/>
          <w:szCs w:val="26"/>
        </w:rPr>
        <w:t>P</w:t>
      </w:r>
      <w:r w:rsidRPr="00EE5722">
        <w:rPr>
          <w:sz w:val="26"/>
          <w:szCs w:val="26"/>
        </w:rPr>
        <w:t>rograms</w:t>
      </w:r>
      <w:r w:rsidR="002408C2">
        <w:rPr>
          <w:sz w:val="26"/>
          <w:szCs w:val="26"/>
        </w:rPr>
        <w:t xml:space="preserve"> and should not pay any portion of the costs</w:t>
      </w:r>
      <w:r w:rsidRPr="00EE5722">
        <w:rPr>
          <w:sz w:val="26"/>
          <w:szCs w:val="26"/>
        </w:rPr>
        <w:t>.</w:t>
      </w:r>
    </w:p>
    <w:p w:rsidR="00CF21FC" w:rsidRPr="00EE5722" w:rsidRDefault="00CF21FC" w:rsidP="00CF21FC">
      <w:pPr>
        <w:spacing w:line="360" w:lineRule="auto"/>
        <w:rPr>
          <w:sz w:val="26"/>
          <w:szCs w:val="26"/>
        </w:rPr>
      </w:pPr>
    </w:p>
    <w:p w:rsidR="00CF21FC" w:rsidRDefault="00CF21FC" w:rsidP="00CF21FC">
      <w:pPr>
        <w:spacing w:line="360" w:lineRule="auto"/>
        <w:ind w:firstLine="1440"/>
        <w:rPr>
          <w:sz w:val="26"/>
          <w:szCs w:val="26"/>
        </w:rPr>
      </w:pPr>
      <w:r>
        <w:rPr>
          <w:sz w:val="26"/>
          <w:szCs w:val="26"/>
        </w:rPr>
        <w:t xml:space="preserve">Dominion </w:t>
      </w:r>
      <w:r w:rsidRPr="00EE5722">
        <w:rPr>
          <w:sz w:val="26"/>
          <w:szCs w:val="26"/>
        </w:rPr>
        <w:t>note</w:t>
      </w:r>
      <w:r>
        <w:rPr>
          <w:sz w:val="26"/>
          <w:szCs w:val="26"/>
        </w:rPr>
        <w:t>d that</w:t>
      </w:r>
      <w:r w:rsidRPr="00EE5722">
        <w:rPr>
          <w:sz w:val="26"/>
          <w:szCs w:val="26"/>
        </w:rPr>
        <w:t xml:space="preserve"> Duquesne’s proposal to recover the costs of the </w:t>
      </w:r>
      <w:r>
        <w:rPr>
          <w:sz w:val="26"/>
          <w:szCs w:val="26"/>
        </w:rPr>
        <w:t xml:space="preserve">Opt-In Program </w:t>
      </w:r>
      <w:r w:rsidR="00374ADA">
        <w:rPr>
          <w:sz w:val="26"/>
          <w:szCs w:val="26"/>
        </w:rPr>
        <w:t xml:space="preserve">from </w:t>
      </w:r>
      <w:r w:rsidRPr="00EE5722">
        <w:rPr>
          <w:sz w:val="26"/>
          <w:szCs w:val="26"/>
        </w:rPr>
        <w:t xml:space="preserve">suppliers on a </w:t>
      </w:r>
      <w:r w:rsidRPr="00EE5722">
        <w:rPr>
          <w:i/>
          <w:sz w:val="26"/>
          <w:szCs w:val="26"/>
        </w:rPr>
        <w:t xml:space="preserve">pro-rata </w:t>
      </w:r>
      <w:r w:rsidRPr="00EE5722">
        <w:rPr>
          <w:sz w:val="26"/>
          <w:szCs w:val="26"/>
        </w:rPr>
        <w:t>basis</w:t>
      </w:r>
      <w:r w:rsidR="002408C2">
        <w:rPr>
          <w:sz w:val="26"/>
          <w:szCs w:val="26"/>
        </w:rPr>
        <w:t xml:space="preserve"> </w:t>
      </w:r>
      <w:r w:rsidRPr="00EE5722">
        <w:rPr>
          <w:sz w:val="26"/>
          <w:szCs w:val="26"/>
        </w:rPr>
        <w:t>appears to be reasona</w:t>
      </w:r>
      <w:r w:rsidR="002408C2">
        <w:rPr>
          <w:sz w:val="26"/>
          <w:szCs w:val="26"/>
        </w:rPr>
        <w:t xml:space="preserve">ble if the Commission adopts an aggregation opt-in program.  </w:t>
      </w:r>
      <w:r w:rsidR="00374ADA">
        <w:rPr>
          <w:sz w:val="26"/>
          <w:szCs w:val="26"/>
        </w:rPr>
        <w:t xml:space="preserve">However, </w:t>
      </w:r>
      <w:r w:rsidRPr="00EE5722">
        <w:rPr>
          <w:sz w:val="26"/>
          <w:szCs w:val="26"/>
        </w:rPr>
        <w:t>the cost</w:t>
      </w:r>
      <w:r w:rsidR="00374ADA">
        <w:rPr>
          <w:sz w:val="26"/>
          <w:szCs w:val="26"/>
        </w:rPr>
        <w:t>s could increase if the Commission adopts an auction process as proposed by Duquesne.  In that event, Dominion asserted that customers should</w:t>
      </w:r>
      <w:r w:rsidRPr="00EE5722">
        <w:rPr>
          <w:sz w:val="26"/>
          <w:szCs w:val="26"/>
        </w:rPr>
        <w:t xml:space="preserve"> share in the costs since they</w:t>
      </w:r>
      <w:r>
        <w:rPr>
          <w:sz w:val="26"/>
          <w:szCs w:val="26"/>
        </w:rPr>
        <w:t xml:space="preserve"> </w:t>
      </w:r>
      <w:r w:rsidR="00374ADA">
        <w:rPr>
          <w:sz w:val="26"/>
          <w:szCs w:val="26"/>
        </w:rPr>
        <w:t>would benefit from the Program</w:t>
      </w:r>
      <w:r>
        <w:rPr>
          <w:sz w:val="26"/>
          <w:szCs w:val="26"/>
        </w:rPr>
        <w:t xml:space="preserve">.  </w:t>
      </w:r>
      <w:r w:rsidR="009925EF">
        <w:rPr>
          <w:sz w:val="26"/>
          <w:szCs w:val="26"/>
        </w:rPr>
        <w:t>Dominion</w:t>
      </w:r>
      <w:r>
        <w:rPr>
          <w:sz w:val="26"/>
          <w:szCs w:val="26"/>
        </w:rPr>
        <w:t xml:space="preserve"> St. 1 at 6:4-8</w:t>
      </w:r>
      <w:r w:rsidRPr="00EE5722">
        <w:rPr>
          <w:sz w:val="26"/>
          <w:szCs w:val="26"/>
        </w:rPr>
        <w:t>.</w:t>
      </w:r>
      <w:r>
        <w:rPr>
          <w:sz w:val="26"/>
          <w:szCs w:val="26"/>
        </w:rPr>
        <w:t xml:space="preserve"> </w:t>
      </w:r>
    </w:p>
    <w:p w:rsidR="00CF21FC" w:rsidRPr="00EE5722" w:rsidRDefault="00CF21FC" w:rsidP="00CF21FC">
      <w:pPr>
        <w:spacing w:line="360" w:lineRule="auto"/>
        <w:ind w:firstLine="720"/>
        <w:rPr>
          <w:sz w:val="26"/>
          <w:szCs w:val="26"/>
        </w:rPr>
      </w:pPr>
    </w:p>
    <w:p w:rsidR="00CF21FC" w:rsidRDefault="00CF21FC" w:rsidP="009925EF">
      <w:pPr>
        <w:spacing w:line="360" w:lineRule="auto"/>
        <w:ind w:firstLine="720"/>
        <w:rPr>
          <w:sz w:val="26"/>
          <w:szCs w:val="26"/>
        </w:rPr>
      </w:pPr>
      <w:r w:rsidRPr="00EE5722">
        <w:rPr>
          <w:sz w:val="26"/>
          <w:szCs w:val="26"/>
        </w:rPr>
        <w:tab/>
      </w:r>
      <w:r w:rsidR="00374ADA">
        <w:rPr>
          <w:sz w:val="26"/>
          <w:szCs w:val="26"/>
        </w:rPr>
        <w:t>Dominion stated</w:t>
      </w:r>
      <w:r>
        <w:rPr>
          <w:sz w:val="26"/>
          <w:szCs w:val="26"/>
        </w:rPr>
        <w:t xml:space="preserve"> that t</w:t>
      </w:r>
      <w:r w:rsidRPr="00EE5722">
        <w:rPr>
          <w:sz w:val="26"/>
          <w:szCs w:val="26"/>
        </w:rPr>
        <w:t xml:space="preserve">he </w:t>
      </w:r>
      <w:r>
        <w:rPr>
          <w:sz w:val="26"/>
          <w:szCs w:val="26"/>
        </w:rPr>
        <w:t>SO Program</w:t>
      </w:r>
      <w:r w:rsidRPr="00EE5722">
        <w:rPr>
          <w:sz w:val="26"/>
          <w:szCs w:val="26"/>
        </w:rPr>
        <w:t xml:space="preserve"> should be paid for by participating suppliers on a “per customer acquired basis</w:t>
      </w:r>
      <w:r>
        <w:rPr>
          <w:sz w:val="26"/>
          <w:szCs w:val="26"/>
        </w:rPr>
        <w:t>,</w:t>
      </w:r>
      <w:r w:rsidRPr="00EE5722">
        <w:rPr>
          <w:sz w:val="26"/>
          <w:szCs w:val="26"/>
        </w:rPr>
        <w:t xml:space="preserve">” </w:t>
      </w:r>
      <w:r>
        <w:rPr>
          <w:sz w:val="26"/>
          <w:szCs w:val="26"/>
        </w:rPr>
        <w:t xml:space="preserve">such as </w:t>
      </w:r>
      <w:r w:rsidRPr="00EE5722">
        <w:rPr>
          <w:sz w:val="26"/>
          <w:szCs w:val="26"/>
        </w:rPr>
        <w:t>$10</w:t>
      </w:r>
      <w:r>
        <w:rPr>
          <w:sz w:val="26"/>
          <w:szCs w:val="26"/>
        </w:rPr>
        <w:t xml:space="preserve"> per </w:t>
      </w:r>
      <w:r w:rsidR="00374ADA">
        <w:rPr>
          <w:sz w:val="26"/>
          <w:szCs w:val="26"/>
        </w:rPr>
        <w:t>customer</w:t>
      </w:r>
      <w:r>
        <w:rPr>
          <w:sz w:val="26"/>
          <w:szCs w:val="26"/>
        </w:rPr>
        <w:t>,</w:t>
      </w:r>
      <w:r w:rsidR="00374ADA">
        <w:rPr>
          <w:sz w:val="26"/>
          <w:szCs w:val="26"/>
        </w:rPr>
        <w:t xml:space="preserve"> </w:t>
      </w:r>
      <w:r w:rsidRPr="00EE5722">
        <w:rPr>
          <w:sz w:val="26"/>
          <w:szCs w:val="26"/>
        </w:rPr>
        <w:t xml:space="preserve">so </w:t>
      </w:r>
      <w:r w:rsidR="00374ADA">
        <w:rPr>
          <w:sz w:val="26"/>
          <w:szCs w:val="26"/>
        </w:rPr>
        <w:t xml:space="preserve">that </w:t>
      </w:r>
      <w:r w:rsidRPr="00EE5722">
        <w:rPr>
          <w:sz w:val="26"/>
          <w:szCs w:val="26"/>
        </w:rPr>
        <w:t xml:space="preserve">the </w:t>
      </w:r>
      <w:r w:rsidR="00374ADA">
        <w:rPr>
          <w:sz w:val="26"/>
          <w:szCs w:val="26"/>
        </w:rPr>
        <w:t xml:space="preserve">cost </w:t>
      </w:r>
      <w:r w:rsidR="00374ADA">
        <w:rPr>
          <w:sz w:val="26"/>
          <w:szCs w:val="26"/>
        </w:rPr>
        <w:lastRenderedPageBreak/>
        <w:t xml:space="preserve">responsibility is </w:t>
      </w:r>
      <w:r w:rsidRPr="00EE5722">
        <w:rPr>
          <w:sz w:val="26"/>
          <w:szCs w:val="26"/>
        </w:rPr>
        <w:t xml:space="preserve">applied to the cost-causers.  </w:t>
      </w:r>
      <w:r w:rsidR="00374ADA">
        <w:rPr>
          <w:sz w:val="26"/>
          <w:szCs w:val="26"/>
        </w:rPr>
        <w:t>Dominion averred</w:t>
      </w:r>
      <w:r>
        <w:rPr>
          <w:sz w:val="26"/>
          <w:szCs w:val="26"/>
        </w:rPr>
        <w:t xml:space="preserve"> that</w:t>
      </w:r>
      <w:r w:rsidR="00374ADA">
        <w:rPr>
          <w:sz w:val="26"/>
          <w:szCs w:val="26"/>
        </w:rPr>
        <w:t xml:space="preserve"> any </w:t>
      </w:r>
      <w:r w:rsidRPr="00EE5722">
        <w:rPr>
          <w:sz w:val="26"/>
          <w:szCs w:val="26"/>
        </w:rPr>
        <w:t>upfront costs should</w:t>
      </w:r>
      <w:r>
        <w:rPr>
          <w:sz w:val="26"/>
          <w:szCs w:val="26"/>
        </w:rPr>
        <w:t xml:space="preserve"> be collected by Duquesne </w:t>
      </w:r>
      <w:r w:rsidRPr="00EE5722">
        <w:rPr>
          <w:sz w:val="26"/>
          <w:szCs w:val="26"/>
        </w:rPr>
        <w:t>through a non-bypassabl</w:t>
      </w:r>
      <w:r w:rsidR="00374ADA">
        <w:rPr>
          <w:sz w:val="26"/>
          <w:szCs w:val="26"/>
        </w:rPr>
        <w:t>e rider since the SO P</w:t>
      </w:r>
      <w:r w:rsidRPr="00EE5722">
        <w:rPr>
          <w:sz w:val="26"/>
          <w:szCs w:val="26"/>
        </w:rPr>
        <w:t>rogram benefits choice in general and should be borne by all customers</w:t>
      </w:r>
      <w:r>
        <w:rPr>
          <w:sz w:val="26"/>
          <w:szCs w:val="26"/>
        </w:rPr>
        <w:t xml:space="preserve">.  </w:t>
      </w:r>
      <w:r w:rsidR="009925EF">
        <w:rPr>
          <w:sz w:val="26"/>
          <w:szCs w:val="26"/>
        </w:rPr>
        <w:t>Dominion</w:t>
      </w:r>
      <w:r>
        <w:rPr>
          <w:sz w:val="26"/>
          <w:szCs w:val="26"/>
        </w:rPr>
        <w:t xml:space="preserve"> St. 1 at 7:15-8:9</w:t>
      </w:r>
      <w:r w:rsidRPr="00EE5722">
        <w:rPr>
          <w:sz w:val="26"/>
          <w:szCs w:val="26"/>
        </w:rPr>
        <w:t xml:space="preserve">.  </w:t>
      </w:r>
      <w:r>
        <w:rPr>
          <w:sz w:val="26"/>
          <w:szCs w:val="26"/>
        </w:rPr>
        <w:t>According to Dominion, i</w:t>
      </w:r>
      <w:r w:rsidR="00374ADA">
        <w:rPr>
          <w:sz w:val="26"/>
          <w:szCs w:val="26"/>
        </w:rPr>
        <w:t>t would</w:t>
      </w:r>
      <w:r w:rsidRPr="00EE5722">
        <w:rPr>
          <w:sz w:val="26"/>
          <w:szCs w:val="26"/>
        </w:rPr>
        <w:t xml:space="preserve"> not </w:t>
      </w:r>
      <w:r w:rsidR="00374ADA">
        <w:rPr>
          <w:sz w:val="26"/>
          <w:szCs w:val="26"/>
        </w:rPr>
        <w:t xml:space="preserve">be </w:t>
      </w:r>
      <w:r w:rsidRPr="00EE5722">
        <w:rPr>
          <w:sz w:val="26"/>
          <w:szCs w:val="26"/>
        </w:rPr>
        <w:t>appropriate to put suppliers at risk for future recovery of any remaining costs through a POR discount, a</w:t>
      </w:r>
      <w:r>
        <w:rPr>
          <w:sz w:val="26"/>
          <w:szCs w:val="26"/>
        </w:rPr>
        <w:t>s proposed by Duquesne</w:t>
      </w:r>
      <w:r w:rsidRPr="00EE5722">
        <w:rPr>
          <w:sz w:val="26"/>
          <w:szCs w:val="26"/>
        </w:rPr>
        <w:t>, particularly those supplie</w:t>
      </w:r>
      <w:r w:rsidR="00374ADA">
        <w:rPr>
          <w:sz w:val="26"/>
          <w:szCs w:val="26"/>
        </w:rPr>
        <w:t xml:space="preserve">rs that do not participate in the SO </w:t>
      </w:r>
      <w:r w:rsidRPr="00EE5722">
        <w:rPr>
          <w:sz w:val="26"/>
          <w:szCs w:val="26"/>
        </w:rPr>
        <w:t>P</w:t>
      </w:r>
      <w:r>
        <w:rPr>
          <w:sz w:val="26"/>
          <w:szCs w:val="26"/>
        </w:rPr>
        <w:t xml:space="preserve">rogram.  </w:t>
      </w:r>
      <w:r w:rsidR="009925EF">
        <w:rPr>
          <w:sz w:val="26"/>
          <w:szCs w:val="26"/>
        </w:rPr>
        <w:t xml:space="preserve">Dominion </w:t>
      </w:r>
      <w:r>
        <w:rPr>
          <w:sz w:val="26"/>
          <w:szCs w:val="26"/>
        </w:rPr>
        <w:t>St. 1-SR at 4:23-5:13.</w:t>
      </w:r>
    </w:p>
    <w:p w:rsidR="00CF21FC" w:rsidRPr="00EE5722" w:rsidRDefault="00CF21FC" w:rsidP="00CF21FC">
      <w:pPr>
        <w:spacing w:line="360" w:lineRule="auto"/>
        <w:ind w:firstLine="720"/>
        <w:rPr>
          <w:sz w:val="26"/>
          <w:szCs w:val="26"/>
        </w:rPr>
      </w:pPr>
    </w:p>
    <w:p w:rsidR="00CF21FC" w:rsidRPr="00EE5722" w:rsidRDefault="00CF21FC" w:rsidP="00CF21FC">
      <w:pPr>
        <w:pStyle w:val="BodyTextFirstLine5DS"/>
        <w:spacing w:line="360" w:lineRule="auto"/>
        <w:ind w:firstLine="1440"/>
        <w:jc w:val="left"/>
        <w:rPr>
          <w:sz w:val="26"/>
          <w:szCs w:val="26"/>
        </w:rPr>
      </w:pPr>
      <w:r>
        <w:rPr>
          <w:sz w:val="26"/>
          <w:szCs w:val="26"/>
        </w:rPr>
        <w:t>FES disagreed</w:t>
      </w:r>
      <w:r w:rsidRPr="00EE5722">
        <w:rPr>
          <w:sz w:val="26"/>
          <w:szCs w:val="26"/>
        </w:rPr>
        <w:t xml:space="preserve"> </w:t>
      </w:r>
      <w:r>
        <w:rPr>
          <w:sz w:val="26"/>
          <w:szCs w:val="26"/>
        </w:rPr>
        <w:t xml:space="preserve">with </w:t>
      </w:r>
      <w:r w:rsidRPr="00EE5722">
        <w:rPr>
          <w:sz w:val="26"/>
          <w:szCs w:val="26"/>
        </w:rPr>
        <w:t xml:space="preserve">collection </w:t>
      </w:r>
      <w:r w:rsidR="00374ADA">
        <w:rPr>
          <w:sz w:val="26"/>
          <w:szCs w:val="26"/>
        </w:rPr>
        <w:t>of RME P</w:t>
      </w:r>
      <w:r>
        <w:rPr>
          <w:sz w:val="26"/>
          <w:szCs w:val="26"/>
        </w:rPr>
        <w:t xml:space="preserve">rogram costs </w:t>
      </w:r>
      <w:r w:rsidRPr="00EE5722">
        <w:rPr>
          <w:sz w:val="26"/>
          <w:szCs w:val="26"/>
        </w:rPr>
        <w:t>through an increase to</w:t>
      </w:r>
      <w:r>
        <w:rPr>
          <w:sz w:val="26"/>
          <w:szCs w:val="26"/>
        </w:rPr>
        <w:t xml:space="preserve"> the POR discount.  FES St. 1 at 17-21; FES St. </w:t>
      </w:r>
      <w:r w:rsidRPr="00EE5722">
        <w:rPr>
          <w:sz w:val="26"/>
          <w:szCs w:val="26"/>
        </w:rPr>
        <w:t>1-SR at 11.  There</w:t>
      </w:r>
      <w:r>
        <w:rPr>
          <w:sz w:val="26"/>
          <w:szCs w:val="26"/>
        </w:rPr>
        <w:t>fore, FES opposed Duquesne</w:t>
      </w:r>
      <w:r w:rsidRPr="00EE5722">
        <w:rPr>
          <w:sz w:val="26"/>
          <w:szCs w:val="26"/>
        </w:rPr>
        <w:t>’s cost recovery pr</w:t>
      </w:r>
      <w:r>
        <w:rPr>
          <w:sz w:val="26"/>
          <w:szCs w:val="26"/>
        </w:rPr>
        <w:t>oposals.  FES argued that</w:t>
      </w:r>
      <w:r w:rsidRPr="00EE5722">
        <w:rPr>
          <w:sz w:val="26"/>
          <w:szCs w:val="26"/>
        </w:rPr>
        <w:t xml:space="preserve"> the costs of both programs should be recovered from all customers in the class of customers tha</w:t>
      </w:r>
      <w:r>
        <w:rPr>
          <w:sz w:val="26"/>
          <w:szCs w:val="26"/>
        </w:rPr>
        <w:t xml:space="preserve">t are eligible to participate.  FES </w:t>
      </w:r>
      <w:r w:rsidRPr="00EE5722">
        <w:rPr>
          <w:sz w:val="26"/>
          <w:szCs w:val="26"/>
        </w:rPr>
        <w:t>No. 1 at 18-19; FES St</w:t>
      </w:r>
      <w:r>
        <w:rPr>
          <w:sz w:val="26"/>
          <w:szCs w:val="26"/>
        </w:rPr>
        <w:t xml:space="preserve">. </w:t>
      </w:r>
      <w:r w:rsidRPr="00EE5722">
        <w:rPr>
          <w:sz w:val="26"/>
          <w:szCs w:val="26"/>
        </w:rPr>
        <w:t>1-R at 22.</w:t>
      </w:r>
      <w:r>
        <w:rPr>
          <w:sz w:val="26"/>
          <w:szCs w:val="26"/>
        </w:rPr>
        <w:t xml:space="preserve">  FES stated that</w:t>
      </w:r>
      <w:r w:rsidR="00505609">
        <w:rPr>
          <w:sz w:val="26"/>
          <w:szCs w:val="26"/>
        </w:rPr>
        <w:t>,</w:t>
      </w:r>
      <w:r>
        <w:rPr>
          <w:sz w:val="26"/>
          <w:szCs w:val="26"/>
        </w:rPr>
        <w:t xml:space="preserve"> i</w:t>
      </w:r>
      <w:r w:rsidRPr="00EE5722">
        <w:rPr>
          <w:sz w:val="26"/>
          <w:szCs w:val="26"/>
        </w:rPr>
        <w:t xml:space="preserve">f costs are to be recovered from EGSs, it is critical that an EGS’s cost per customer be a known, capped amount.  Otherwise </w:t>
      </w:r>
      <w:r>
        <w:rPr>
          <w:sz w:val="26"/>
          <w:szCs w:val="26"/>
        </w:rPr>
        <w:t xml:space="preserve">FES asserts that </w:t>
      </w:r>
      <w:r w:rsidRPr="00EE5722">
        <w:rPr>
          <w:sz w:val="26"/>
          <w:szCs w:val="26"/>
        </w:rPr>
        <w:t xml:space="preserve">it </w:t>
      </w:r>
      <w:r>
        <w:rPr>
          <w:sz w:val="26"/>
          <w:szCs w:val="26"/>
        </w:rPr>
        <w:t>would be</w:t>
      </w:r>
      <w:r w:rsidRPr="00EE5722">
        <w:rPr>
          <w:sz w:val="26"/>
          <w:szCs w:val="26"/>
        </w:rPr>
        <w:t xml:space="preserve"> unreasonable to expect significant EG</w:t>
      </w:r>
      <w:r>
        <w:rPr>
          <w:sz w:val="26"/>
          <w:szCs w:val="26"/>
        </w:rPr>
        <w:t>S participation.  FES argued that</w:t>
      </w:r>
      <w:r w:rsidRPr="00EE5722">
        <w:rPr>
          <w:sz w:val="26"/>
          <w:szCs w:val="26"/>
        </w:rPr>
        <w:t xml:space="preserve"> there is </w:t>
      </w:r>
      <w:r w:rsidRPr="0083693B">
        <w:rPr>
          <w:sz w:val="26"/>
          <w:szCs w:val="26"/>
        </w:rPr>
        <w:t>no relationship</w:t>
      </w:r>
      <w:r w:rsidRPr="00EE5722">
        <w:rPr>
          <w:sz w:val="26"/>
          <w:szCs w:val="26"/>
        </w:rPr>
        <w:t xml:space="preserve"> between the R</w:t>
      </w:r>
      <w:r w:rsidR="00374ADA">
        <w:rPr>
          <w:sz w:val="26"/>
          <w:szCs w:val="26"/>
        </w:rPr>
        <w:t>ME P</w:t>
      </w:r>
      <w:r w:rsidRPr="00EE5722">
        <w:rPr>
          <w:sz w:val="26"/>
          <w:szCs w:val="26"/>
        </w:rPr>
        <w:t xml:space="preserve">rograms and the </w:t>
      </w:r>
      <w:r>
        <w:rPr>
          <w:sz w:val="26"/>
          <w:szCs w:val="26"/>
        </w:rPr>
        <w:t>d</w:t>
      </w:r>
      <w:r w:rsidRPr="00EE5722">
        <w:rPr>
          <w:sz w:val="26"/>
          <w:szCs w:val="26"/>
        </w:rPr>
        <w:t xml:space="preserve">iscount </w:t>
      </w:r>
      <w:r>
        <w:rPr>
          <w:sz w:val="26"/>
          <w:szCs w:val="26"/>
        </w:rPr>
        <w:t>o</w:t>
      </w:r>
      <w:r w:rsidRPr="00EE5722">
        <w:rPr>
          <w:sz w:val="26"/>
          <w:szCs w:val="26"/>
        </w:rPr>
        <w:t xml:space="preserve">n </w:t>
      </w:r>
      <w:r>
        <w:rPr>
          <w:sz w:val="26"/>
          <w:szCs w:val="26"/>
        </w:rPr>
        <w:t>p</w:t>
      </w:r>
      <w:r w:rsidRPr="00EE5722">
        <w:rPr>
          <w:sz w:val="26"/>
          <w:szCs w:val="26"/>
        </w:rPr>
        <w:t xml:space="preserve">urchased </w:t>
      </w:r>
      <w:r>
        <w:rPr>
          <w:sz w:val="26"/>
          <w:szCs w:val="26"/>
        </w:rPr>
        <w:t>r</w:t>
      </w:r>
      <w:r w:rsidRPr="00EE5722">
        <w:rPr>
          <w:sz w:val="26"/>
          <w:szCs w:val="26"/>
        </w:rPr>
        <w:t xml:space="preserve">eceivables.  </w:t>
      </w:r>
      <w:r w:rsidR="00374ADA">
        <w:rPr>
          <w:sz w:val="26"/>
          <w:szCs w:val="26"/>
        </w:rPr>
        <w:t>FES opined</w:t>
      </w:r>
      <w:r>
        <w:rPr>
          <w:sz w:val="26"/>
          <w:szCs w:val="26"/>
        </w:rPr>
        <w:t xml:space="preserve"> that a</w:t>
      </w:r>
      <w:r w:rsidRPr="00EE5722">
        <w:rPr>
          <w:sz w:val="26"/>
          <w:szCs w:val="26"/>
        </w:rPr>
        <w:t xml:space="preserve"> discount on purchased receivables should be used only for reasons that have a logica</w:t>
      </w:r>
      <w:r w:rsidR="00374ADA">
        <w:rPr>
          <w:sz w:val="26"/>
          <w:szCs w:val="26"/>
        </w:rPr>
        <w:t xml:space="preserve">l connection to </w:t>
      </w:r>
      <w:r w:rsidRPr="00EE5722">
        <w:rPr>
          <w:sz w:val="26"/>
          <w:szCs w:val="26"/>
        </w:rPr>
        <w:t xml:space="preserve">the POR Program, not as a mechanism for recovering costs of programs completely unrelated to </w:t>
      </w:r>
      <w:r w:rsidR="00374ADA">
        <w:rPr>
          <w:sz w:val="26"/>
          <w:szCs w:val="26"/>
        </w:rPr>
        <w:t>POR.  FES claimed that s</w:t>
      </w:r>
      <w:r w:rsidRPr="00EE5722">
        <w:rPr>
          <w:sz w:val="26"/>
          <w:szCs w:val="26"/>
        </w:rPr>
        <w:t>uc</w:t>
      </w:r>
      <w:r w:rsidR="00374ADA">
        <w:rPr>
          <w:sz w:val="26"/>
          <w:szCs w:val="26"/>
        </w:rPr>
        <w:t>h unrelated cost imposition would</w:t>
      </w:r>
      <w:r w:rsidRPr="00EE5722">
        <w:rPr>
          <w:sz w:val="26"/>
          <w:szCs w:val="26"/>
        </w:rPr>
        <w:t xml:space="preserve"> encourage EGSs to discontinue their participation in P</w:t>
      </w:r>
      <w:r w:rsidR="00374ADA">
        <w:rPr>
          <w:sz w:val="26"/>
          <w:szCs w:val="26"/>
        </w:rPr>
        <w:t>OR programs</w:t>
      </w:r>
      <w:r>
        <w:rPr>
          <w:sz w:val="26"/>
          <w:szCs w:val="26"/>
        </w:rPr>
        <w:t>.</w:t>
      </w:r>
      <w:r w:rsidRPr="00EE5722">
        <w:rPr>
          <w:sz w:val="26"/>
          <w:szCs w:val="26"/>
        </w:rPr>
        <w:t xml:space="preserve">  </w:t>
      </w:r>
    </w:p>
    <w:p w:rsidR="00CF21FC" w:rsidRPr="00EE5722" w:rsidRDefault="00CF21FC" w:rsidP="00CF21FC">
      <w:pPr>
        <w:pStyle w:val="BodyTextFirstLine5DS"/>
        <w:spacing w:line="360" w:lineRule="auto"/>
        <w:jc w:val="left"/>
        <w:rPr>
          <w:sz w:val="26"/>
          <w:szCs w:val="26"/>
        </w:rPr>
      </w:pPr>
    </w:p>
    <w:p w:rsidR="00CF21FC" w:rsidRDefault="00374ADA" w:rsidP="00CF21FC">
      <w:pPr>
        <w:pStyle w:val="BodyText"/>
        <w:spacing w:after="0" w:line="360" w:lineRule="auto"/>
        <w:ind w:left="0"/>
        <w:rPr>
          <w:sz w:val="26"/>
          <w:szCs w:val="26"/>
        </w:rPr>
      </w:pPr>
      <w:r>
        <w:rPr>
          <w:sz w:val="26"/>
          <w:szCs w:val="26"/>
        </w:rPr>
        <w:t xml:space="preserve">CAUSE and Constellation </w:t>
      </w:r>
      <w:r w:rsidR="00CF21FC">
        <w:rPr>
          <w:sz w:val="26"/>
          <w:szCs w:val="26"/>
        </w:rPr>
        <w:t>took</w:t>
      </w:r>
      <w:r w:rsidR="00CF21FC" w:rsidRPr="00EE5722">
        <w:rPr>
          <w:sz w:val="26"/>
          <w:szCs w:val="26"/>
        </w:rPr>
        <w:t xml:space="preserve"> no position on this issue.</w:t>
      </w:r>
    </w:p>
    <w:p w:rsidR="00CF21FC" w:rsidRPr="0083693B" w:rsidRDefault="00CF21FC" w:rsidP="00CF21FC">
      <w:pPr>
        <w:pStyle w:val="BodyText"/>
        <w:spacing w:after="0" w:line="360" w:lineRule="auto"/>
        <w:ind w:left="0"/>
        <w:rPr>
          <w:sz w:val="26"/>
          <w:szCs w:val="26"/>
        </w:rPr>
      </w:pPr>
    </w:p>
    <w:p w:rsidR="00CF21FC" w:rsidRPr="00EE5722" w:rsidRDefault="00CF21FC" w:rsidP="00584C88">
      <w:pPr>
        <w:pStyle w:val="Heading4"/>
        <w:numPr>
          <w:ilvl w:val="0"/>
          <w:numId w:val="0"/>
        </w:numPr>
        <w:ind w:left="2880" w:hanging="720"/>
      </w:pPr>
      <w:bookmarkStart w:id="176" w:name="_Toc346705418"/>
      <w:r>
        <w:t>c.</w:t>
      </w:r>
      <w:r>
        <w:tab/>
        <w:t>ALJ’s Recommendation</w:t>
      </w:r>
      <w:bookmarkEnd w:id="176"/>
      <w:r w:rsidR="009925EF">
        <w:t xml:space="preserve"> </w:t>
      </w:r>
      <w:r>
        <w:t xml:space="preserve"> </w:t>
      </w:r>
    </w:p>
    <w:p w:rsidR="00CF21FC" w:rsidRPr="00EE5722" w:rsidRDefault="00CF21FC" w:rsidP="00CF21FC">
      <w:pPr>
        <w:pStyle w:val="BodyText"/>
        <w:spacing w:after="0" w:line="360" w:lineRule="auto"/>
        <w:ind w:left="0" w:firstLine="0"/>
        <w:rPr>
          <w:sz w:val="26"/>
          <w:szCs w:val="26"/>
        </w:rPr>
      </w:pPr>
    </w:p>
    <w:p w:rsidR="00CF21FC" w:rsidRPr="00265E29" w:rsidRDefault="00CF21FC" w:rsidP="00676E9A">
      <w:pPr>
        <w:pStyle w:val="BodyText"/>
        <w:spacing w:after="0" w:line="360" w:lineRule="auto"/>
        <w:ind w:left="0" w:firstLine="0"/>
        <w:rPr>
          <w:sz w:val="26"/>
          <w:szCs w:val="26"/>
        </w:rPr>
      </w:pPr>
      <w:r w:rsidRPr="00EE5722">
        <w:rPr>
          <w:sz w:val="26"/>
          <w:szCs w:val="26"/>
        </w:rPr>
        <w:tab/>
      </w:r>
      <w:r>
        <w:rPr>
          <w:color w:val="000000" w:themeColor="text1"/>
          <w:sz w:val="26"/>
          <w:szCs w:val="26"/>
        </w:rPr>
        <w:tab/>
        <w:t>The ALJ</w:t>
      </w:r>
      <w:r w:rsidRPr="00EE5722">
        <w:rPr>
          <w:color w:val="000000" w:themeColor="text1"/>
          <w:sz w:val="26"/>
          <w:szCs w:val="26"/>
        </w:rPr>
        <w:t xml:space="preserve"> re</w:t>
      </w:r>
      <w:r>
        <w:rPr>
          <w:color w:val="000000" w:themeColor="text1"/>
          <w:sz w:val="26"/>
          <w:szCs w:val="26"/>
        </w:rPr>
        <w:t>commended approving Duquesne</w:t>
      </w:r>
      <w:r w:rsidRPr="00EE5722">
        <w:rPr>
          <w:color w:val="000000" w:themeColor="text1"/>
          <w:sz w:val="26"/>
          <w:szCs w:val="26"/>
        </w:rPr>
        <w:t xml:space="preserve">’s proposal to recover the cost of the </w:t>
      </w:r>
      <w:r>
        <w:rPr>
          <w:color w:val="000000" w:themeColor="text1"/>
          <w:sz w:val="26"/>
          <w:szCs w:val="26"/>
        </w:rPr>
        <w:t>Opt-In</w:t>
      </w:r>
      <w:r w:rsidRPr="00EE5722">
        <w:rPr>
          <w:color w:val="000000" w:themeColor="text1"/>
          <w:sz w:val="26"/>
          <w:szCs w:val="26"/>
        </w:rPr>
        <w:t xml:space="preserve"> Program from participating suppliers.  </w:t>
      </w:r>
      <w:r>
        <w:rPr>
          <w:color w:val="000000" w:themeColor="text1"/>
          <w:sz w:val="26"/>
          <w:szCs w:val="26"/>
        </w:rPr>
        <w:t>The ALJ stated that t</w:t>
      </w:r>
      <w:r w:rsidRPr="00EE5722">
        <w:rPr>
          <w:color w:val="000000" w:themeColor="text1"/>
          <w:sz w:val="26"/>
          <w:szCs w:val="26"/>
        </w:rPr>
        <w:t xml:space="preserve">his proposal is consistent with prior Commission direction specifying that EGSs must be responsible for </w:t>
      </w:r>
      <w:r w:rsidRPr="00EE5722">
        <w:rPr>
          <w:color w:val="000000" w:themeColor="text1"/>
          <w:sz w:val="26"/>
          <w:szCs w:val="26"/>
        </w:rPr>
        <w:lastRenderedPageBreak/>
        <w:t xml:space="preserve">the costs of the programs that enhance the retail market. </w:t>
      </w:r>
      <w:r>
        <w:rPr>
          <w:color w:val="000000" w:themeColor="text1"/>
          <w:sz w:val="26"/>
          <w:szCs w:val="26"/>
        </w:rPr>
        <w:t xml:space="preserve"> The ALJ noted, however, that </w:t>
      </w:r>
      <w:r w:rsidRPr="00EE5722">
        <w:rPr>
          <w:color w:val="000000" w:themeColor="text1"/>
          <w:sz w:val="26"/>
          <w:szCs w:val="26"/>
        </w:rPr>
        <w:t>the issue of how</w:t>
      </w:r>
      <w:r>
        <w:rPr>
          <w:color w:val="000000" w:themeColor="text1"/>
          <w:sz w:val="26"/>
          <w:szCs w:val="26"/>
        </w:rPr>
        <w:t xml:space="preserve"> to organize and structure RME p</w:t>
      </w:r>
      <w:r w:rsidRPr="00EE5722">
        <w:rPr>
          <w:color w:val="000000" w:themeColor="text1"/>
          <w:sz w:val="26"/>
          <w:szCs w:val="26"/>
        </w:rPr>
        <w:t>rogram cost recovery i</w:t>
      </w:r>
      <w:r w:rsidR="00374ADA">
        <w:rPr>
          <w:color w:val="000000" w:themeColor="text1"/>
          <w:sz w:val="26"/>
          <w:szCs w:val="26"/>
        </w:rPr>
        <w:t>s still under consideration by</w:t>
      </w:r>
      <w:r w:rsidRPr="00EE5722">
        <w:rPr>
          <w:color w:val="000000" w:themeColor="text1"/>
          <w:sz w:val="26"/>
          <w:szCs w:val="26"/>
        </w:rPr>
        <w:t xml:space="preserve"> the Commission in the context o</w:t>
      </w:r>
      <w:r w:rsidR="00374ADA">
        <w:rPr>
          <w:color w:val="000000" w:themeColor="text1"/>
          <w:sz w:val="26"/>
          <w:szCs w:val="26"/>
        </w:rPr>
        <w:t>f the FirstEnergy DSP p</w:t>
      </w:r>
      <w:r>
        <w:rPr>
          <w:color w:val="000000" w:themeColor="text1"/>
          <w:sz w:val="26"/>
          <w:szCs w:val="26"/>
        </w:rPr>
        <w:t>roceeding.  The ALJ</w:t>
      </w:r>
      <w:r w:rsidRPr="00EE5722">
        <w:rPr>
          <w:color w:val="000000" w:themeColor="text1"/>
          <w:sz w:val="26"/>
          <w:szCs w:val="26"/>
        </w:rPr>
        <w:t xml:space="preserve"> agree</w:t>
      </w:r>
      <w:r>
        <w:rPr>
          <w:color w:val="000000" w:themeColor="text1"/>
          <w:sz w:val="26"/>
          <w:szCs w:val="26"/>
        </w:rPr>
        <w:t>d with Duquesne</w:t>
      </w:r>
      <w:r w:rsidRPr="00EE5722">
        <w:rPr>
          <w:color w:val="000000" w:themeColor="text1"/>
          <w:sz w:val="26"/>
          <w:szCs w:val="26"/>
        </w:rPr>
        <w:t xml:space="preserve"> that the EGSs are responsible for these costs and </w:t>
      </w:r>
      <w:r w:rsidR="007C0713">
        <w:rPr>
          <w:color w:val="000000" w:themeColor="text1"/>
          <w:sz w:val="26"/>
          <w:szCs w:val="26"/>
        </w:rPr>
        <w:t xml:space="preserve">that </w:t>
      </w:r>
      <w:r w:rsidRPr="00EE5722">
        <w:rPr>
          <w:color w:val="000000" w:themeColor="text1"/>
          <w:sz w:val="26"/>
          <w:szCs w:val="26"/>
        </w:rPr>
        <w:t xml:space="preserve">these costs should be </w:t>
      </w:r>
      <w:r>
        <w:rPr>
          <w:color w:val="000000" w:themeColor="text1"/>
          <w:sz w:val="26"/>
          <w:szCs w:val="26"/>
        </w:rPr>
        <w:t>fully recovered from the EGSs.</w:t>
      </w:r>
      <w:r w:rsidR="009925EF">
        <w:rPr>
          <w:color w:val="000000" w:themeColor="text1"/>
          <w:sz w:val="26"/>
          <w:szCs w:val="26"/>
        </w:rPr>
        <w:t xml:space="preserve">  R.D. at 152-153.</w:t>
      </w:r>
      <w:r>
        <w:rPr>
          <w:sz w:val="26"/>
          <w:szCs w:val="26"/>
        </w:rPr>
        <w:tab/>
      </w:r>
    </w:p>
    <w:p w:rsidR="00CF21FC" w:rsidRPr="00EE5722" w:rsidRDefault="00CF21FC" w:rsidP="00584C88">
      <w:pPr>
        <w:pStyle w:val="Heading4"/>
        <w:numPr>
          <w:ilvl w:val="0"/>
          <w:numId w:val="0"/>
        </w:numPr>
        <w:ind w:left="2880" w:hanging="720"/>
      </w:pPr>
      <w:bookmarkStart w:id="177" w:name="_Toc346705419"/>
      <w:r>
        <w:t>d.</w:t>
      </w:r>
      <w:r>
        <w:tab/>
        <w:t>Exceptions</w:t>
      </w:r>
      <w:bookmarkEnd w:id="177"/>
    </w:p>
    <w:p w:rsidR="00CF21FC" w:rsidRDefault="00CF21FC" w:rsidP="00676E9A">
      <w:pPr>
        <w:pStyle w:val="Heading2"/>
        <w:numPr>
          <w:ilvl w:val="0"/>
          <w:numId w:val="0"/>
        </w:numPr>
        <w:spacing w:after="0" w:line="360" w:lineRule="auto"/>
        <w:ind w:left="1440" w:hanging="720"/>
        <w:jc w:val="left"/>
      </w:pPr>
    </w:p>
    <w:p w:rsidR="00CF21FC" w:rsidRPr="00874241" w:rsidRDefault="00CF21FC" w:rsidP="00B05623">
      <w:pPr>
        <w:pStyle w:val="BodyText2"/>
        <w:spacing w:after="0" w:line="360" w:lineRule="auto"/>
        <w:ind w:firstLine="1440"/>
        <w:rPr>
          <w:sz w:val="26"/>
          <w:szCs w:val="26"/>
        </w:rPr>
      </w:pPr>
      <w:r w:rsidRPr="00547A14">
        <w:rPr>
          <w:sz w:val="26"/>
          <w:szCs w:val="26"/>
        </w:rPr>
        <w:t>In its Exceptions, Duquesne requests that the Commission clarify and amend the ALJ’s recommendation to specifically approve its amended cost r</w:t>
      </w:r>
      <w:r>
        <w:rPr>
          <w:sz w:val="26"/>
          <w:szCs w:val="26"/>
        </w:rPr>
        <w:t>ecovery structures for its RME P</w:t>
      </w:r>
      <w:r w:rsidRPr="00547A14">
        <w:rPr>
          <w:sz w:val="26"/>
          <w:szCs w:val="26"/>
        </w:rPr>
        <w:t xml:space="preserve">rograms.  </w:t>
      </w:r>
      <w:r>
        <w:rPr>
          <w:sz w:val="26"/>
          <w:szCs w:val="26"/>
        </w:rPr>
        <w:t xml:space="preserve">Duquesne states that, in response to EGS </w:t>
      </w:r>
      <w:r w:rsidRPr="00547A14">
        <w:rPr>
          <w:sz w:val="26"/>
          <w:szCs w:val="26"/>
        </w:rPr>
        <w:t xml:space="preserve">concerns </w:t>
      </w:r>
      <w:r>
        <w:rPr>
          <w:sz w:val="26"/>
          <w:szCs w:val="26"/>
        </w:rPr>
        <w:t>about recovery of RME costs through a</w:t>
      </w:r>
      <w:r w:rsidRPr="00547A14">
        <w:rPr>
          <w:sz w:val="26"/>
          <w:szCs w:val="26"/>
        </w:rPr>
        <w:t xml:space="preserve"> POR disc</w:t>
      </w:r>
      <w:r>
        <w:rPr>
          <w:sz w:val="26"/>
          <w:szCs w:val="26"/>
        </w:rPr>
        <w:t xml:space="preserve">ount, Duquesne instead proposed </w:t>
      </w:r>
      <w:r w:rsidRPr="00547A14">
        <w:rPr>
          <w:sz w:val="26"/>
          <w:szCs w:val="26"/>
        </w:rPr>
        <w:t>a $20 per cust</w:t>
      </w:r>
      <w:r>
        <w:rPr>
          <w:sz w:val="26"/>
          <w:szCs w:val="26"/>
        </w:rPr>
        <w:t>omer acquisition fee for the SO Program</w:t>
      </w:r>
      <w:r w:rsidRPr="00547A14">
        <w:rPr>
          <w:sz w:val="26"/>
          <w:szCs w:val="26"/>
        </w:rPr>
        <w:t>, with a back-up fee allocated evenly to all EGSs serving the applicable customer class for any unrecovered</w:t>
      </w:r>
      <w:r>
        <w:rPr>
          <w:sz w:val="26"/>
          <w:szCs w:val="26"/>
        </w:rPr>
        <w:t xml:space="preserve"> costs.  Duquesne explains that</w:t>
      </w:r>
      <w:r w:rsidR="007C0713">
        <w:rPr>
          <w:sz w:val="26"/>
          <w:szCs w:val="26"/>
        </w:rPr>
        <w:t>,</w:t>
      </w:r>
      <w:r>
        <w:rPr>
          <w:sz w:val="26"/>
          <w:szCs w:val="26"/>
        </w:rPr>
        <w:t xml:space="preserve"> while t</w:t>
      </w:r>
      <w:r w:rsidRPr="00547A14">
        <w:rPr>
          <w:sz w:val="26"/>
          <w:szCs w:val="26"/>
        </w:rPr>
        <w:t>he ALJ recommended that the Commission assign all RME costs to EGSs</w:t>
      </w:r>
      <w:r>
        <w:rPr>
          <w:sz w:val="26"/>
          <w:szCs w:val="26"/>
        </w:rPr>
        <w:t>, she</w:t>
      </w:r>
      <w:r w:rsidRPr="00547A14">
        <w:rPr>
          <w:sz w:val="26"/>
          <w:szCs w:val="26"/>
        </w:rPr>
        <w:t xml:space="preserve"> did not recommend a structure for doing so.  </w:t>
      </w:r>
      <w:r>
        <w:rPr>
          <w:sz w:val="26"/>
          <w:szCs w:val="26"/>
        </w:rPr>
        <w:t xml:space="preserve">Duquesne </w:t>
      </w:r>
      <w:r w:rsidRPr="00547A14">
        <w:rPr>
          <w:sz w:val="26"/>
          <w:szCs w:val="26"/>
        </w:rPr>
        <w:t>believes that substantial progress has been made in identifying a structure for recovery of RME costs in this proceed</w:t>
      </w:r>
      <w:r>
        <w:rPr>
          <w:sz w:val="26"/>
          <w:szCs w:val="26"/>
        </w:rPr>
        <w:t xml:space="preserve">ing.  Therefore, Duquesne </w:t>
      </w:r>
      <w:r w:rsidRPr="00547A14">
        <w:rPr>
          <w:sz w:val="26"/>
          <w:szCs w:val="26"/>
        </w:rPr>
        <w:t>requests that the Commiss</w:t>
      </w:r>
      <w:r>
        <w:rPr>
          <w:sz w:val="26"/>
          <w:szCs w:val="26"/>
        </w:rPr>
        <w:t xml:space="preserve">ion clarify </w:t>
      </w:r>
      <w:r w:rsidRPr="00547A14">
        <w:rPr>
          <w:sz w:val="26"/>
          <w:szCs w:val="26"/>
        </w:rPr>
        <w:t>that the Company’s cost recovery proposals</w:t>
      </w:r>
      <w:r>
        <w:rPr>
          <w:sz w:val="26"/>
          <w:szCs w:val="26"/>
        </w:rPr>
        <w:t>,</w:t>
      </w:r>
      <w:r w:rsidRPr="00547A14">
        <w:rPr>
          <w:sz w:val="26"/>
          <w:szCs w:val="26"/>
        </w:rPr>
        <w:t xml:space="preserve"> as amended</w:t>
      </w:r>
      <w:r>
        <w:rPr>
          <w:sz w:val="26"/>
          <w:szCs w:val="26"/>
        </w:rPr>
        <w:t xml:space="preserve"> </w:t>
      </w:r>
      <w:r w:rsidRPr="00547A14">
        <w:rPr>
          <w:sz w:val="26"/>
          <w:szCs w:val="26"/>
        </w:rPr>
        <w:t>and described above</w:t>
      </w:r>
      <w:r>
        <w:rPr>
          <w:sz w:val="26"/>
          <w:szCs w:val="26"/>
        </w:rPr>
        <w:t xml:space="preserve">, will be </w:t>
      </w:r>
      <w:r w:rsidRPr="00547A14">
        <w:rPr>
          <w:sz w:val="26"/>
          <w:szCs w:val="26"/>
        </w:rPr>
        <w:t>used to recover RME</w:t>
      </w:r>
      <w:r>
        <w:rPr>
          <w:sz w:val="26"/>
          <w:szCs w:val="26"/>
        </w:rPr>
        <w:t xml:space="preserve"> costs.  Duquesne states that f</w:t>
      </w:r>
      <w:r w:rsidRPr="00547A14">
        <w:rPr>
          <w:sz w:val="26"/>
          <w:szCs w:val="26"/>
        </w:rPr>
        <w:t>urther d</w:t>
      </w:r>
      <w:r>
        <w:rPr>
          <w:sz w:val="26"/>
          <w:szCs w:val="26"/>
        </w:rPr>
        <w:t>etails within such structure could</w:t>
      </w:r>
      <w:r w:rsidRPr="00547A14">
        <w:rPr>
          <w:sz w:val="26"/>
          <w:szCs w:val="26"/>
        </w:rPr>
        <w:t xml:space="preserve"> be resolved in a collaborative among interested parties.</w:t>
      </w:r>
      <w:r w:rsidR="007C0713">
        <w:rPr>
          <w:sz w:val="26"/>
          <w:szCs w:val="26"/>
        </w:rPr>
        <w:t xml:space="preserve"> </w:t>
      </w:r>
      <w:r w:rsidR="00B05623">
        <w:rPr>
          <w:sz w:val="26"/>
          <w:szCs w:val="26"/>
        </w:rPr>
        <w:t xml:space="preserve"> Duquesne Exc. at 6-7.  </w:t>
      </w:r>
    </w:p>
    <w:p w:rsidR="00CF21FC" w:rsidRDefault="00CF21FC" w:rsidP="000B0447">
      <w:pPr>
        <w:pStyle w:val="Heading3"/>
      </w:pPr>
    </w:p>
    <w:p w:rsidR="00CF21FC" w:rsidRPr="00255AE0" w:rsidRDefault="00CF21FC" w:rsidP="00CF21FC">
      <w:pPr>
        <w:pStyle w:val="BodyText2"/>
        <w:spacing w:after="0" w:line="360" w:lineRule="auto"/>
        <w:ind w:firstLine="1440"/>
      </w:pPr>
      <w:r w:rsidRPr="00271F56">
        <w:rPr>
          <w:sz w:val="26"/>
          <w:szCs w:val="26"/>
        </w:rPr>
        <w:t>In its Exceptions, RESA argues that the ALJ erred in recommending that EGSs be solely responsible for the costs associated with the RME programs.  RES</w:t>
      </w:r>
      <w:r w:rsidR="007C0713">
        <w:rPr>
          <w:sz w:val="26"/>
          <w:szCs w:val="26"/>
        </w:rPr>
        <w:t xml:space="preserve">A agrees with the ALJ that the </w:t>
      </w:r>
      <w:r w:rsidRPr="00271F56">
        <w:rPr>
          <w:sz w:val="26"/>
          <w:szCs w:val="26"/>
        </w:rPr>
        <w:t>issue of how to organize the structure of RME Program cost recovery is still under con</w:t>
      </w:r>
      <w:r w:rsidR="007C0713">
        <w:rPr>
          <w:sz w:val="26"/>
          <w:szCs w:val="26"/>
        </w:rPr>
        <w:t>sideration by the Commission.</w:t>
      </w:r>
      <w:r w:rsidRPr="00271F56">
        <w:rPr>
          <w:sz w:val="26"/>
          <w:szCs w:val="26"/>
        </w:rPr>
        <w:t xml:space="preserve"> </w:t>
      </w:r>
      <w:r>
        <w:rPr>
          <w:sz w:val="26"/>
          <w:szCs w:val="26"/>
        </w:rPr>
        <w:t xml:space="preserve"> </w:t>
      </w:r>
      <w:r w:rsidRPr="00271F56">
        <w:rPr>
          <w:sz w:val="26"/>
          <w:szCs w:val="26"/>
        </w:rPr>
        <w:t>However, RESA objects to the ALJ’s legal conclusion that Commission precedent dictates that all of the costs should be recovered from EGSs, and to her factual conclusion that RESA’s proposal is intended to punish non-shopping customers.</w:t>
      </w:r>
      <w:r>
        <w:rPr>
          <w:sz w:val="26"/>
          <w:szCs w:val="26"/>
        </w:rPr>
        <w:t xml:space="preserve">  RESA states that t</w:t>
      </w:r>
      <w:r w:rsidRPr="00271F56">
        <w:rPr>
          <w:sz w:val="26"/>
          <w:szCs w:val="26"/>
        </w:rPr>
        <w:t>he Commission</w:t>
      </w:r>
      <w:r w:rsidR="00141175">
        <w:rPr>
          <w:sz w:val="26"/>
          <w:szCs w:val="26"/>
        </w:rPr>
        <w:t>’s</w:t>
      </w:r>
      <w:r w:rsidRPr="00271F56">
        <w:rPr>
          <w:sz w:val="26"/>
          <w:szCs w:val="26"/>
        </w:rPr>
        <w:t xml:space="preserve"> recent </w:t>
      </w:r>
      <w:r w:rsidRPr="00141175">
        <w:rPr>
          <w:i/>
          <w:sz w:val="26"/>
          <w:szCs w:val="26"/>
        </w:rPr>
        <w:t xml:space="preserve">PECO </w:t>
      </w:r>
      <w:r w:rsidR="007C0713" w:rsidRPr="00141175">
        <w:rPr>
          <w:i/>
          <w:sz w:val="26"/>
          <w:szCs w:val="26"/>
        </w:rPr>
        <w:t xml:space="preserve">DSP </w:t>
      </w:r>
      <w:r w:rsidR="00141175" w:rsidRPr="00141175">
        <w:rPr>
          <w:i/>
          <w:sz w:val="26"/>
          <w:szCs w:val="26"/>
        </w:rPr>
        <w:t>Order</w:t>
      </w:r>
      <w:r w:rsidRPr="00271F56">
        <w:rPr>
          <w:sz w:val="26"/>
          <w:szCs w:val="26"/>
        </w:rPr>
        <w:t xml:space="preserve"> made clear that EGSs as well as cust</w:t>
      </w:r>
      <w:r w:rsidR="007C0713">
        <w:rPr>
          <w:sz w:val="26"/>
          <w:szCs w:val="26"/>
        </w:rPr>
        <w:t xml:space="preserve">omers may bear the costs of </w:t>
      </w:r>
      <w:r w:rsidRPr="00271F56">
        <w:rPr>
          <w:sz w:val="26"/>
          <w:szCs w:val="26"/>
        </w:rPr>
        <w:t xml:space="preserve">RME programs.  </w:t>
      </w:r>
      <w:r w:rsidRPr="00271F56">
        <w:rPr>
          <w:sz w:val="26"/>
          <w:szCs w:val="26"/>
        </w:rPr>
        <w:lastRenderedPageBreak/>
        <w:t xml:space="preserve">Thus, </w:t>
      </w:r>
      <w:r>
        <w:rPr>
          <w:sz w:val="26"/>
          <w:szCs w:val="26"/>
        </w:rPr>
        <w:t xml:space="preserve">RESA asserts that </w:t>
      </w:r>
      <w:r w:rsidRPr="00271F56">
        <w:rPr>
          <w:sz w:val="26"/>
          <w:szCs w:val="26"/>
        </w:rPr>
        <w:t>the ALJ’s legal conclusion that EGSs must be solely responsible for RME costs is incorrect.</w:t>
      </w:r>
      <w:r w:rsidR="00B05623">
        <w:rPr>
          <w:sz w:val="26"/>
          <w:szCs w:val="26"/>
        </w:rPr>
        <w:t xml:space="preserve"> </w:t>
      </w:r>
      <w:r w:rsidRPr="00271F56">
        <w:rPr>
          <w:sz w:val="26"/>
          <w:szCs w:val="26"/>
        </w:rPr>
        <w:t xml:space="preserve"> </w:t>
      </w:r>
      <w:r w:rsidR="00B05623">
        <w:rPr>
          <w:sz w:val="26"/>
          <w:szCs w:val="26"/>
        </w:rPr>
        <w:t>RESA Exc. at 31-32</w:t>
      </w:r>
      <w:r w:rsidR="00DE6CD2">
        <w:rPr>
          <w:sz w:val="26"/>
          <w:szCs w:val="26"/>
        </w:rPr>
        <w:t xml:space="preserve"> (citing </w:t>
      </w:r>
      <w:r w:rsidR="00DE6CD2">
        <w:rPr>
          <w:i/>
          <w:sz w:val="26"/>
          <w:szCs w:val="26"/>
        </w:rPr>
        <w:t xml:space="preserve">Petition of PECO Energy Company for Approval of its Default Service Program, </w:t>
      </w:r>
      <w:r w:rsidR="00DE6CD2">
        <w:rPr>
          <w:sz w:val="26"/>
          <w:szCs w:val="26"/>
        </w:rPr>
        <w:t>Docket No. P-2012-2283641 (Order on Reconsideration en</w:t>
      </w:r>
      <w:r w:rsidR="00736C76">
        <w:rPr>
          <w:sz w:val="26"/>
          <w:szCs w:val="26"/>
        </w:rPr>
        <w:t>tered November 21, 2012) at 15)</w:t>
      </w:r>
      <w:r w:rsidR="00B05623">
        <w:rPr>
          <w:sz w:val="26"/>
          <w:szCs w:val="26"/>
        </w:rPr>
        <w:t xml:space="preserve">. </w:t>
      </w:r>
      <w:r w:rsidRPr="00271F56">
        <w:rPr>
          <w:sz w:val="26"/>
          <w:szCs w:val="26"/>
        </w:rPr>
        <w:t xml:space="preserve"> </w:t>
      </w:r>
    </w:p>
    <w:p w:rsidR="00CF21FC" w:rsidRPr="004E7BB3" w:rsidRDefault="00CF21FC" w:rsidP="00CF21FC">
      <w:pPr>
        <w:pStyle w:val="BodyText2"/>
        <w:spacing w:after="0" w:line="360" w:lineRule="auto"/>
        <w:ind w:left="1440" w:right="1440"/>
        <w:rPr>
          <w:sz w:val="26"/>
          <w:szCs w:val="26"/>
        </w:rPr>
      </w:pPr>
    </w:p>
    <w:p w:rsidR="00CF21FC" w:rsidRPr="00B05623" w:rsidRDefault="00CF21FC" w:rsidP="00B05623">
      <w:pPr>
        <w:pStyle w:val="BodyText2"/>
        <w:spacing w:after="0" w:line="360" w:lineRule="auto"/>
        <w:ind w:firstLine="1440"/>
        <w:rPr>
          <w:sz w:val="26"/>
          <w:szCs w:val="26"/>
        </w:rPr>
      </w:pPr>
      <w:r w:rsidRPr="00271F56">
        <w:rPr>
          <w:sz w:val="26"/>
          <w:szCs w:val="26"/>
        </w:rPr>
        <w:t>RESA recommends that the Commission rule upon th</w:t>
      </w:r>
      <w:r w:rsidR="007C0713">
        <w:rPr>
          <w:sz w:val="26"/>
          <w:szCs w:val="26"/>
        </w:rPr>
        <w:t>e parameters of Duquesne’s RME P</w:t>
      </w:r>
      <w:r w:rsidRPr="00271F56">
        <w:rPr>
          <w:sz w:val="26"/>
          <w:szCs w:val="26"/>
        </w:rPr>
        <w:t>rograms and</w:t>
      </w:r>
      <w:r>
        <w:rPr>
          <w:sz w:val="26"/>
          <w:szCs w:val="26"/>
        </w:rPr>
        <w:t>, at the same time, direct the P</w:t>
      </w:r>
      <w:r w:rsidRPr="00271F56">
        <w:rPr>
          <w:sz w:val="26"/>
          <w:szCs w:val="26"/>
        </w:rPr>
        <w:t>arties to meet and discuss cost</w:t>
      </w:r>
      <w:r>
        <w:rPr>
          <w:sz w:val="26"/>
          <w:szCs w:val="26"/>
        </w:rPr>
        <w:t xml:space="preserve"> recovery.  At that point, RESA opines that the P</w:t>
      </w:r>
      <w:r w:rsidRPr="00271F56">
        <w:rPr>
          <w:sz w:val="26"/>
          <w:szCs w:val="26"/>
        </w:rPr>
        <w:t xml:space="preserve">arties will have a better understanding of </w:t>
      </w:r>
      <w:r w:rsidR="007C0713">
        <w:rPr>
          <w:sz w:val="26"/>
          <w:szCs w:val="26"/>
        </w:rPr>
        <w:t>the structure and costs of the P</w:t>
      </w:r>
      <w:r w:rsidRPr="00271F56">
        <w:rPr>
          <w:sz w:val="26"/>
          <w:szCs w:val="26"/>
        </w:rPr>
        <w:t>rograms, and will have been assisted by the Commission’s recent guidance relating to cost recovery.</w:t>
      </w:r>
      <w:r>
        <w:rPr>
          <w:sz w:val="26"/>
          <w:szCs w:val="26"/>
        </w:rPr>
        <w:t xml:space="preserve">  </w:t>
      </w:r>
      <w:r w:rsidRPr="00271F56">
        <w:rPr>
          <w:sz w:val="26"/>
          <w:szCs w:val="26"/>
        </w:rPr>
        <w:t xml:space="preserve">Absent a collaborative, RESA continues to believe that customers should pay for RME </w:t>
      </w:r>
      <w:r w:rsidR="007C0713">
        <w:rPr>
          <w:sz w:val="26"/>
          <w:szCs w:val="26"/>
        </w:rPr>
        <w:t xml:space="preserve">Program costs. </w:t>
      </w:r>
      <w:r w:rsidR="00B05623">
        <w:rPr>
          <w:sz w:val="26"/>
          <w:szCs w:val="26"/>
        </w:rPr>
        <w:t xml:space="preserve"> </w:t>
      </w:r>
      <w:r w:rsidR="00B05623">
        <w:rPr>
          <w:i/>
          <w:sz w:val="26"/>
          <w:szCs w:val="26"/>
        </w:rPr>
        <w:t>Id.</w:t>
      </w:r>
      <w:r w:rsidR="00B05623">
        <w:rPr>
          <w:sz w:val="26"/>
          <w:szCs w:val="26"/>
        </w:rPr>
        <w:t xml:space="preserve"> at 32.</w:t>
      </w:r>
    </w:p>
    <w:p w:rsidR="00CF21FC" w:rsidRPr="00271F56" w:rsidRDefault="00CF21FC" w:rsidP="00B05623">
      <w:pPr>
        <w:pStyle w:val="BodyText2"/>
        <w:spacing w:after="0" w:line="360" w:lineRule="auto"/>
        <w:ind w:firstLine="1440"/>
        <w:rPr>
          <w:sz w:val="26"/>
          <w:szCs w:val="26"/>
        </w:rPr>
      </w:pPr>
    </w:p>
    <w:p w:rsidR="00CF21FC" w:rsidRPr="00B05623" w:rsidRDefault="00CF21FC" w:rsidP="00CF21FC">
      <w:pPr>
        <w:pStyle w:val="BodyText2"/>
        <w:spacing w:after="0" w:line="360" w:lineRule="auto"/>
        <w:ind w:firstLine="1440"/>
        <w:rPr>
          <w:sz w:val="26"/>
          <w:szCs w:val="26"/>
        </w:rPr>
      </w:pPr>
      <w:r w:rsidRPr="00271F56">
        <w:rPr>
          <w:sz w:val="26"/>
          <w:szCs w:val="26"/>
        </w:rPr>
        <w:t xml:space="preserve">RESA </w:t>
      </w:r>
      <w:r>
        <w:rPr>
          <w:sz w:val="26"/>
          <w:szCs w:val="26"/>
        </w:rPr>
        <w:t xml:space="preserve">further </w:t>
      </w:r>
      <w:r w:rsidRPr="00271F56">
        <w:rPr>
          <w:sz w:val="26"/>
          <w:szCs w:val="26"/>
        </w:rPr>
        <w:t>recommends that</w:t>
      </w:r>
      <w:r>
        <w:rPr>
          <w:sz w:val="26"/>
          <w:szCs w:val="26"/>
        </w:rPr>
        <w:t>,</w:t>
      </w:r>
      <w:r w:rsidRPr="00271F56">
        <w:rPr>
          <w:sz w:val="26"/>
          <w:szCs w:val="26"/>
        </w:rPr>
        <w:t xml:space="preserve"> if the Commission is inclined to rule absent a collaborative, then it is just and reasonable for the costs of </w:t>
      </w:r>
      <w:r>
        <w:rPr>
          <w:sz w:val="26"/>
          <w:szCs w:val="26"/>
        </w:rPr>
        <w:t xml:space="preserve">the </w:t>
      </w:r>
      <w:r w:rsidRPr="00271F56">
        <w:rPr>
          <w:sz w:val="26"/>
          <w:szCs w:val="26"/>
        </w:rPr>
        <w:t xml:space="preserve">RME </w:t>
      </w:r>
      <w:r w:rsidR="007C0713">
        <w:rPr>
          <w:sz w:val="26"/>
          <w:szCs w:val="26"/>
        </w:rPr>
        <w:t>P</w:t>
      </w:r>
      <w:r>
        <w:rPr>
          <w:sz w:val="26"/>
          <w:szCs w:val="26"/>
        </w:rPr>
        <w:t xml:space="preserve">rograms </w:t>
      </w:r>
      <w:r w:rsidRPr="00271F56">
        <w:rPr>
          <w:sz w:val="26"/>
          <w:szCs w:val="26"/>
        </w:rPr>
        <w:t xml:space="preserve">to be paid only by default service customers.  </w:t>
      </w:r>
      <w:r>
        <w:rPr>
          <w:sz w:val="26"/>
          <w:szCs w:val="26"/>
        </w:rPr>
        <w:t>RESA claims that o</w:t>
      </w:r>
      <w:r w:rsidRPr="00271F56">
        <w:rPr>
          <w:sz w:val="26"/>
          <w:szCs w:val="26"/>
        </w:rPr>
        <w:t>ne of the principal pur</w:t>
      </w:r>
      <w:r w:rsidR="007C0713">
        <w:rPr>
          <w:sz w:val="26"/>
          <w:szCs w:val="26"/>
        </w:rPr>
        <w:t>poses of the Programs</w:t>
      </w:r>
      <w:r w:rsidRPr="00271F56">
        <w:rPr>
          <w:sz w:val="26"/>
          <w:szCs w:val="26"/>
        </w:rPr>
        <w:t xml:space="preserve"> is to provide a way to encourage “sticky” default service customers to take their first venture into the competitive market.</w:t>
      </w:r>
      <w:r>
        <w:rPr>
          <w:sz w:val="26"/>
          <w:szCs w:val="26"/>
        </w:rPr>
        <w:t xml:space="preserve">  RESA opines that</w:t>
      </w:r>
      <w:r w:rsidR="007C0713">
        <w:rPr>
          <w:sz w:val="26"/>
          <w:szCs w:val="26"/>
        </w:rPr>
        <w:t>,</w:t>
      </w:r>
      <w:r>
        <w:rPr>
          <w:sz w:val="26"/>
          <w:szCs w:val="26"/>
        </w:rPr>
        <w:t xml:space="preserve"> </w:t>
      </w:r>
      <w:r w:rsidRPr="00271F56">
        <w:rPr>
          <w:sz w:val="26"/>
          <w:szCs w:val="26"/>
        </w:rPr>
        <w:t>in terms of traditional cost a</w:t>
      </w:r>
      <w:r>
        <w:rPr>
          <w:sz w:val="26"/>
          <w:szCs w:val="26"/>
        </w:rPr>
        <w:t>llocation, the costs of the RME</w:t>
      </w:r>
      <w:r w:rsidR="007C0713">
        <w:rPr>
          <w:sz w:val="26"/>
          <w:szCs w:val="26"/>
        </w:rPr>
        <w:t xml:space="preserve"> Programs </w:t>
      </w:r>
      <w:r w:rsidRPr="00271F56">
        <w:rPr>
          <w:sz w:val="26"/>
          <w:szCs w:val="26"/>
        </w:rPr>
        <w:t xml:space="preserve">are caused by the existence of default service, without which customers would all be on competitive supply, eliminating the need for measures to encourage them to move away from the utility. </w:t>
      </w:r>
      <w:r>
        <w:rPr>
          <w:sz w:val="26"/>
          <w:szCs w:val="26"/>
        </w:rPr>
        <w:t xml:space="preserve"> </w:t>
      </w:r>
      <w:r w:rsidRPr="00271F56">
        <w:rPr>
          <w:sz w:val="26"/>
          <w:szCs w:val="26"/>
        </w:rPr>
        <w:t xml:space="preserve">Thus, </w:t>
      </w:r>
      <w:r>
        <w:rPr>
          <w:sz w:val="26"/>
          <w:szCs w:val="26"/>
        </w:rPr>
        <w:t xml:space="preserve">RESA maintains </w:t>
      </w:r>
      <w:r w:rsidR="007C0713">
        <w:rPr>
          <w:sz w:val="26"/>
          <w:szCs w:val="26"/>
        </w:rPr>
        <w:t>it would be</w:t>
      </w:r>
      <w:r w:rsidRPr="00271F56">
        <w:rPr>
          <w:sz w:val="26"/>
          <w:szCs w:val="26"/>
        </w:rPr>
        <w:t xml:space="preserve"> appropriate that the cost be collected from</w:t>
      </w:r>
      <w:r w:rsidR="007C0713">
        <w:rPr>
          <w:sz w:val="26"/>
          <w:szCs w:val="26"/>
        </w:rPr>
        <w:t xml:space="preserve"> default service customers.  </w:t>
      </w:r>
      <w:r>
        <w:rPr>
          <w:sz w:val="26"/>
          <w:szCs w:val="26"/>
        </w:rPr>
        <w:t>RESA states that, a</w:t>
      </w:r>
      <w:r w:rsidR="007C0713">
        <w:rPr>
          <w:sz w:val="26"/>
          <w:szCs w:val="26"/>
        </w:rPr>
        <w:t>lternatively, it would be</w:t>
      </w:r>
      <w:r w:rsidRPr="00271F56">
        <w:rPr>
          <w:sz w:val="26"/>
          <w:szCs w:val="26"/>
        </w:rPr>
        <w:t xml:space="preserve"> just and reasonable for the costs of these market enhancements to be borne by all customers through non-bypassable charges. </w:t>
      </w:r>
      <w:r w:rsidR="00B05623">
        <w:rPr>
          <w:sz w:val="26"/>
          <w:szCs w:val="26"/>
        </w:rPr>
        <w:t xml:space="preserve"> </w:t>
      </w:r>
      <w:r w:rsidR="00B05623">
        <w:rPr>
          <w:i/>
          <w:sz w:val="26"/>
          <w:szCs w:val="26"/>
        </w:rPr>
        <w:t xml:space="preserve">Id. </w:t>
      </w:r>
      <w:r w:rsidR="00B05623">
        <w:rPr>
          <w:sz w:val="26"/>
          <w:szCs w:val="26"/>
        </w:rPr>
        <w:t>at 33.</w:t>
      </w:r>
    </w:p>
    <w:p w:rsidR="00CF21FC" w:rsidRPr="00080ED0" w:rsidRDefault="00CF21FC" w:rsidP="00CF21FC">
      <w:pPr>
        <w:spacing w:line="360" w:lineRule="auto"/>
        <w:ind w:left="2160" w:hanging="2160"/>
        <w:jc w:val="both"/>
        <w:rPr>
          <w:b/>
          <w:sz w:val="26"/>
          <w:szCs w:val="26"/>
        </w:rPr>
      </w:pPr>
    </w:p>
    <w:p w:rsidR="00CF21FC" w:rsidRDefault="00CF21FC" w:rsidP="007C0713">
      <w:pPr>
        <w:spacing w:line="360" w:lineRule="auto"/>
        <w:ind w:firstLine="1440"/>
        <w:rPr>
          <w:sz w:val="26"/>
          <w:szCs w:val="26"/>
        </w:rPr>
      </w:pPr>
      <w:r w:rsidRPr="00080ED0">
        <w:rPr>
          <w:sz w:val="26"/>
          <w:szCs w:val="26"/>
        </w:rPr>
        <w:t>In its Exceptions, Dominion argues that the ALJ erred in approving Duquesne’s cost recovery mechanism</w:t>
      </w:r>
      <w:r>
        <w:rPr>
          <w:sz w:val="26"/>
          <w:szCs w:val="26"/>
        </w:rPr>
        <w:t xml:space="preserve">s for the RME programs, under which </w:t>
      </w:r>
      <w:r w:rsidRPr="00080ED0">
        <w:rPr>
          <w:sz w:val="26"/>
          <w:szCs w:val="26"/>
        </w:rPr>
        <w:t xml:space="preserve">the costs </w:t>
      </w:r>
      <w:r>
        <w:rPr>
          <w:sz w:val="26"/>
          <w:szCs w:val="26"/>
        </w:rPr>
        <w:t xml:space="preserve">would be recovered </w:t>
      </w:r>
      <w:r w:rsidRPr="00080ED0">
        <w:rPr>
          <w:sz w:val="26"/>
          <w:szCs w:val="26"/>
        </w:rPr>
        <w:t>fro</w:t>
      </w:r>
      <w:r>
        <w:rPr>
          <w:sz w:val="26"/>
          <w:szCs w:val="26"/>
        </w:rPr>
        <w:t xml:space="preserve">m participating suppliers.  Dominion argues that </w:t>
      </w:r>
      <w:r w:rsidRPr="00080ED0">
        <w:rPr>
          <w:sz w:val="26"/>
          <w:szCs w:val="26"/>
        </w:rPr>
        <w:t>having all EGSs backstop those that pa</w:t>
      </w:r>
      <w:r>
        <w:rPr>
          <w:sz w:val="26"/>
          <w:szCs w:val="26"/>
        </w:rPr>
        <w:t>rticipate would tend</w:t>
      </w:r>
      <w:r w:rsidRPr="00080ED0">
        <w:rPr>
          <w:sz w:val="26"/>
          <w:szCs w:val="26"/>
        </w:rPr>
        <w:t xml:space="preserve"> to ensure that the </w:t>
      </w:r>
      <w:r w:rsidRPr="002B7E4A">
        <w:rPr>
          <w:sz w:val="26"/>
          <w:szCs w:val="26"/>
        </w:rPr>
        <w:t>Opt-In</w:t>
      </w:r>
      <w:r>
        <w:rPr>
          <w:sz w:val="26"/>
          <w:szCs w:val="26"/>
        </w:rPr>
        <w:t xml:space="preserve"> P</w:t>
      </w:r>
      <w:r w:rsidRPr="00080ED0">
        <w:rPr>
          <w:sz w:val="26"/>
          <w:szCs w:val="26"/>
        </w:rPr>
        <w:t xml:space="preserve">rogram will fail, </w:t>
      </w:r>
      <w:r w:rsidRPr="00080ED0">
        <w:rPr>
          <w:sz w:val="26"/>
          <w:szCs w:val="26"/>
        </w:rPr>
        <w:lastRenderedPageBreak/>
        <w:t xml:space="preserve">because the backside risk to suppliers is likely to be greater than they are willing to shoulder.  </w:t>
      </w:r>
      <w:r w:rsidR="00F768E9">
        <w:rPr>
          <w:sz w:val="26"/>
          <w:szCs w:val="26"/>
        </w:rPr>
        <w:t>A</w:t>
      </w:r>
      <w:r>
        <w:rPr>
          <w:sz w:val="26"/>
          <w:szCs w:val="26"/>
        </w:rPr>
        <w:t xml:space="preserve">ccording to Dominion, </w:t>
      </w:r>
      <w:r w:rsidRPr="00080ED0">
        <w:rPr>
          <w:sz w:val="26"/>
          <w:szCs w:val="26"/>
        </w:rPr>
        <w:t>su</w:t>
      </w:r>
      <w:r>
        <w:rPr>
          <w:sz w:val="26"/>
          <w:szCs w:val="26"/>
        </w:rPr>
        <w:t xml:space="preserve">ppliers may stay away from the </w:t>
      </w:r>
      <w:r w:rsidRPr="002B7E4A">
        <w:rPr>
          <w:sz w:val="26"/>
          <w:szCs w:val="26"/>
        </w:rPr>
        <w:t>Opt-In</w:t>
      </w:r>
      <w:r>
        <w:rPr>
          <w:sz w:val="26"/>
          <w:szCs w:val="26"/>
        </w:rPr>
        <w:t xml:space="preserve"> P</w:t>
      </w:r>
      <w:r w:rsidRPr="00080ED0">
        <w:rPr>
          <w:sz w:val="26"/>
          <w:szCs w:val="26"/>
        </w:rPr>
        <w:t xml:space="preserve">rogram, and perhaps stay away from the Company’s service territory, simply because of the unaccountable risk of being charged with the costs for a program in which they did not participate.  Therefore, </w:t>
      </w:r>
      <w:r>
        <w:rPr>
          <w:sz w:val="26"/>
          <w:szCs w:val="26"/>
        </w:rPr>
        <w:t xml:space="preserve">Dominion asserts that </w:t>
      </w:r>
      <w:r w:rsidRPr="00080ED0">
        <w:rPr>
          <w:sz w:val="26"/>
          <w:szCs w:val="26"/>
        </w:rPr>
        <w:t>the mere potential for such a fee is likely to cause this program to fail or at least fail to reach its potential if designed properly.</w:t>
      </w:r>
      <w:r w:rsidR="00B87678">
        <w:rPr>
          <w:sz w:val="26"/>
          <w:szCs w:val="26"/>
        </w:rPr>
        <w:t xml:space="preserve">  Dominion Exc. at 3.  </w:t>
      </w:r>
    </w:p>
    <w:p w:rsidR="00CF21FC" w:rsidRPr="00080ED0" w:rsidRDefault="00CF21FC" w:rsidP="00B87678">
      <w:pPr>
        <w:spacing w:line="360" w:lineRule="auto"/>
        <w:ind w:firstLine="1440"/>
        <w:rPr>
          <w:sz w:val="26"/>
          <w:szCs w:val="26"/>
        </w:rPr>
      </w:pPr>
      <w:r>
        <w:rPr>
          <w:sz w:val="26"/>
          <w:szCs w:val="26"/>
        </w:rPr>
        <w:t xml:space="preserve"> </w:t>
      </w:r>
      <w:r>
        <w:rPr>
          <w:sz w:val="26"/>
          <w:szCs w:val="26"/>
        </w:rPr>
        <w:tab/>
      </w:r>
    </w:p>
    <w:p w:rsidR="00CF21FC" w:rsidRPr="00B87678" w:rsidRDefault="00CF21FC" w:rsidP="00B87678">
      <w:pPr>
        <w:pStyle w:val="BodyTextFirstLine5DS"/>
        <w:spacing w:line="360" w:lineRule="auto"/>
        <w:ind w:firstLine="1440"/>
        <w:jc w:val="left"/>
        <w:rPr>
          <w:sz w:val="26"/>
          <w:szCs w:val="26"/>
        </w:rPr>
      </w:pPr>
      <w:r>
        <w:rPr>
          <w:sz w:val="26"/>
          <w:szCs w:val="26"/>
        </w:rPr>
        <w:t xml:space="preserve">Dominion </w:t>
      </w:r>
      <w:r w:rsidRPr="00080ED0">
        <w:rPr>
          <w:sz w:val="26"/>
          <w:szCs w:val="26"/>
        </w:rPr>
        <w:t>urge</w:t>
      </w:r>
      <w:r>
        <w:rPr>
          <w:sz w:val="26"/>
          <w:szCs w:val="26"/>
        </w:rPr>
        <w:t>s</w:t>
      </w:r>
      <w:r w:rsidRPr="00080ED0">
        <w:rPr>
          <w:sz w:val="26"/>
          <w:szCs w:val="26"/>
        </w:rPr>
        <w:t xml:space="preserve"> the Commission to reconsider the flawed notion that supplier</w:t>
      </w:r>
      <w:r w:rsidR="00EF0E10">
        <w:rPr>
          <w:sz w:val="26"/>
          <w:szCs w:val="26"/>
        </w:rPr>
        <w:t>s should be forced to pay 100%</w:t>
      </w:r>
      <w:r w:rsidRPr="00080ED0">
        <w:rPr>
          <w:sz w:val="26"/>
          <w:szCs w:val="26"/>
        </w:rPr>
        <w:t xml:space="preserve"> of </w:t>
      </w:r>
      <w:r w:rsidR="00F768E9">
        <w:rPr>
          <w:sz w:val="26"/>
          <w:szCs w:val="26"/>
        </w:rPr>
        <w:t xml:space="preserve">the costs of </w:t>
      </w:r>
      <w:r w:rsidRPr="00080ED0">
        <w:rPr>
          <w:sz w:val="26"/>
          <w:szCs w:val="26"/>
        </w:rPr>
        <w:t>all market enhancement programs.  Wit</w:t>
      </w:r>
      <w:r w:rsidR="00EF0E10">
        <w:rPr>
          <w:sz w:val="26"/>
          <w:szCs w:val="26"/>
        </w:rPr>
        <w:t>h regard to the SO P</w:t>
      </w:r>
      <w:r w:rsidRPr="00080ED0">
        <w:rPr>
          <w:sz w:val="26"/>
          <w:szCs w:val="26"/>
        </w:rPr>
        <w:t xml:space="preserve">rogram, </w:t>
      </w:r>
      <w:r>
        <w:rPr>
          <w:sz w:val="26"/>
          <w:szCs w:val="26"/>
        </w:rPr>
        <w:t xml:space="preserve">Dominion avers that </w:t>
      </w:r>
      <w:r w:rsidRPr="00080ED0">
        <w:rPr>
          <w:sz w:val="26"/>
          <w:szCs w:val="26"/>
        </w:rPr>
        <w:t xml:space="preserve">Duquesne’s </w:t>
      </w:r>
      <w:r>
        <w:rPr>
          <w:sz w:val="26"/>
          <w:szCs w:val="26"/>
        </w:rPr>
        <w:t xml:space="preserve">proposed twenty </w:t>
      </w:r>
      <w:r w:rsidRPr="00080ED0">
        <w:rPr>
          <w:sz w:val="26"/>
          <w:szCs w:val="26"/>
        </w:rPr>
        <w:t xml:space="preserve">dollar flat fee with programing costs being shared by customers is a good start.  </w:t>
      </w:r>
      <w:r>
        <w:rPr>
          <w:sz w:val="26"/>
          <w:szCs w:val="26"/>
        </w:rPr>
        <w:t>Dominion suggests that t</w:t>
      </w:r>
      <w:r w:rsidRPr="00080ED0">
        <w:rPr>
          <w:sz w:val="26"/>
          <w:szCs w:val="26"/>
        </w:rPr>
        <w:t xml:space="preserve">he </w:t>
      </w:r>
      <w:r w:rsidR="00EF0E10">
        <w:rPr>
          <w:sz w:val="26"/>
          <w:szCs w:val="26"/>
        </w:rPr>
        <w:t xml:space="preserve">backstop mechanism should </w:t>
      </w:r>
      <w:r w:rsidRPr="00080ED0">
        <w:rPr>
          <w:sz w:val="26"/>
          <w:szCs w:val="26"/>
        </w:rPr>
        <w:t>recover remaining costs from participating suppliers or customers, rather tha</w:t>
      </w:r>
      <w:r>
        <w:rPr>
          <w:sz w:val="26"/>
          <w:szCs w:val="26"/>
        </w:rPr>
        <w:t>n from all suppliers through a</w:t>
      </w:r>
      <w:r w:rsidRPr="00080ED0">
        <w:rPr>
          <w:sz w:val="26"/>
          <w:szCs w:val="26"/>
        </w:rPr>
        <w:t xml:space="preserve"> POR discount.  </w:t>
      </w:r>
      <w:r>
        <w:rPr>
          <w:sz w:val="26"/>
          <w:szCs w:val="26"/>
        </w:rPr>
        <w:t>As b</w:t>
      </w:r>
      <w:r w:rsidRPr="00080ED0">
        <w:rPr>
          <w:sz w:val="26"/>
          <w:szCs w:val="26"/>
        </w:rPr>
        <w:t>oth customers and participating suppliers benefit from these programs</w:t>
      </w:r>
      <w:r>
        <w:rPr>
          <w:sz w:val="26"/>
          <w:szCs w:val="26"/>
        </w:rPr>
        <w:t>, Dominion maintains that</w:t>
      </w:r>
      <w:r w:rsidRPr="00080ED0">
        <w:rPr>
          <w:sz w:val="26"/>
          <w:szCs w:val="26"/>
        </w:rPr>
        <w:t xml:space="preserve"> they should share in the costs.</w:t>
      </w:r>
      <w:r w:rsidR="00EF0E10">
        <w:rPr>
          <w:sz w:val="26"/>
          <w:szCs w:val="26"/>
        </w:rPr>
        <w:t xml:space="preserve"> </w:t>
      </w:r>
      <w:r w:rsidR="00B87678">
        <w:rPr>
          <w:sz w:val="26"/>
          <w:szCs w:val="26"/>
        </w:rPr>
        <w:t xml:space="preserve"> </w:t>
      </w:r>
      <w:r w:rsidR="00B87678">
        <w:rPr>
          <w:i/>
          <w:sz w:val="26"/>
          <w:szCs w:val="26"/>
        </w:rPr>
        <w:t>Id.</w:t>
      </w:r>
      <w:r w:rsidR="00B87678">
        <w:rPr>
          <w:sz w:val="26"/>
          <w:szCs w:val="26"/>
        </w:rPr>
        <w:t xml:space="preserve"> at 4.</w:t>
      </w:r>
    </w:p>
    <w:p w:rsidR="00CF21FC" w:rsidRPr="00080ED0" w:rsidRDefault="00CF21FC" w:rsidP="00CF21FC">
      <w:pPr>
        <w:pStyle w:val="BodyTextFirstLine5DS"/>
        <w:spacing w:line="360" w:lineRule="auto"/>
        <w:ind w:firstLine="1440"/>
        <w:rPr>
          <w:sz w:val="26"/>
          <w:szCs w:val="26"/>
        </w:rPr>
      </w:pPr>
    </w:p>
    <w:p w:rsidR="00CF21FC" w:rsidRDefault="00CF21FC" w:rsidP="00CF21FC">
      <w:pPr>
        <w:pStyle w:val="BodyTextFirstLine5DS"/>
        <w:spacing w:line="360" w:lineRule="auto"/>
        <w:ind w:firstLine="1440"/>
        <w:jc w:val="left"/>
        <w:rPr>
          <w:sz w:val="26"/>
          <w:szCs w:val="26"/>
        </w:rPr>
      </w:pPr>
      <w:r>
        <w:rPr>
          <w:sz w:val="26"/>
          <w:szCs w:val="26"/>
        </w:rPr>
        <w:t>In its Exceptions, FES objects to the ALJ’s conclusion that Duquesne should recover the costs of the RME programs solely from EGSs.  I</w:t>
      </w:r>
      <w:r w:rsidRPr="00906449">
        <w:rPr>
          <w:sz w:val="26"/>
          <w:szCs w:val="26"/>
        </w:rPr>
        <w:t xml:space="preserve">n </w:t>
      </w:r>
      <w:r>
        <w:rPr>
          <w:sz w:val="26"/>
          <w:szCs w:val="26"/>
        </w:rPr>
        <w:t>addition, FES excepts to the ALJ</w:t>
      </w:r>
      <w:r w:rsidRPr="00906449">
        <w:rPr>
          <w:sz w:val="26"/>
          <w:szCs w:val="26"/>
        </w:rPr>
        <w:t>’s recommendation that some of those costs may be recovered through a discount on EGS receivables which Duquesne Light purchases through its POR program.</w:t>
      </w:r>
      <w:r>
        <w:rPr>
          <w:sz w:val="26"/>
          <w:szCs w:val="26"/>
        </w:rPr>
        <w:t xml:space="preserve">  </w:t>
      </w:r>
      <w:r w:rsidR="00EF0E10">
        <w:rPr>
          <w:sz w:val="26"/>
          <w:szCs w:val="26"/>
        </w:rPr>
        <w:t>FES believes the costs of both RME P</w:t>
      </w:r>
      <w:r w:rsidRPr="00906449">
        <w:rPr>
          <w:sz w:val="26"/>
          <w:szCs w:val="26"/>
        </w:rPr>
        <w:t>rograms should be recovered from all customers in the class of customers that</w:t>
      </w:r>
      <w:r>
        <w:rPr>
          <w:sz w:val="26"/>
          <w:szCs w:val="26"/>
        </w:rPr>
        <w:t xml:space="preserve"> are eligible to participate because eligible </w:t>
      </w:r>
      <w:r w:rsidRPr="00906449">
        <w:rPr>
          <w:sz w:val="26"/>
          <w:szCs w:val="26"/>
        </w:rPr>
        <w:t xml:space="preserve">customers stand to experience significant savings from a robust, competitive retail electricity market that includes an increase in the number of EGSs from which they can choose. </w:t>
      </w:r>
      <w:r>
        <w:rPr>
          <w:sz w:val="26"/>
          <w:szCs w:val="26"/>
        </w:rPr>
        <w:t xml:space="preserve">  </w:t>
      </w:r>
      <w:r w:rsidR="00B87678">
        <w:rPr>
          <w:sz w:val="26"/>
          <w:szCs w:val="26"/>
        </w:rPr>
        <w:t xml:space="preserve">FES Exc. at 9.  </w:t>
      </w:r>
    </w:p>
    <w:p w:rsidR="00CF21FC" w:rsidRDefault="00CF21FC" w:rsidP="00CF21FC">
      <w:pPr>
        <w:pStyle w:val="BodyTextFirstLine5DS"/>
        <w:spacing w:line="360" w:lineRule="auto"/>
        <w:ind w:firstLine="1440"/>
        <w:jc w:val="left"/>
        <w:rPr>
          <w:sz w:val="26"/>
          <w:szCs w:val="26"/>
        </w:rPr>
      </w:pPr>
    </w:p>
    <w:p w:rsidR="00CF21FC" w:rsidRDefault="00CF21FC" w:rsidP="00CF21FC">
      <w:pPr>
        <w:pStyle w:val="BodyTextFirstLine5DS"/>
        <w:spacing w:line="360" w:lineRule="auto"/>
        <w:ind w:firstLine="1440"/>
        <w:jc w:val="left"/>
        <w:rPr>
          <w:sz w:val="26"/>
          <w:szCs w:val="26"/>
        </w:rPr>
      </w:pPr>
      <w:r>
        <w:rPr>
          <w:sz w:val="26"/>
          <w:szCs w:val="26"/>
        </w:rPr>
        <w:t xml:space="preserve">If the Commission decides that </w:t>
      </w:r>
      <w:r w:rsidRPr="00906449">
        <w:rPr>
          <w:sz w:val="26"/>
          <w:szCs w:val="26"/>
        </w:rPr>
        <w:t xml:space="preserve">costs are to be recovered from EGSs, </w:t>
      </w:r>
      <w:r>
        <w:rPr>
          <w:sz w:val="26"/>
          <w:szCs w:val="26"/>
        </w:rPr>
        <w:t xml:space="preserve">FES argues that </w:t>
      </w:r>
      <w:r w:rsidRPr="00906449">
        <w:rPr>
          <w:sz w:val="26"/>
          <w:szCs w:val="26"/>
        </w:rPr>
        <w:t>such costs should be a known, capped amount.  Otherwi</w:t>
      </w:r>
      <w:r>
        <w:rPr>
          <w:sz w:val="26"/>
          <w:szCs w:val="26"/>
        </w:rPr>
        <w:t xml:space="preserve">se, there will not be </w:t>
      </w:r>
      <w:r w:rsidRPr="00906449">
        <w:rPr>
          <w:sz w:val="26"/>
          <w:szCs w:val="26"/>
        </w:rPr>
        <w:lastRenderedPageBreak/>
        <w:t>significant EGS part</w:t>
      </w:r>
      <w:r>
        <w:rPr>
          <w:sz w:val="26"/>
          <w:szCs w:val="26"/>
        </w:rPr>
        <w:t>i</w:t>
      </w:r>
      <w:r w:rsidR="00EF0E10">
        <w:rPr>
          <w:sz w:val="26"/>
          <w:szCs w:val="26"/>
        </w:rPr>
        <w:t>cipation in either of the RME P</w:t>
      </w:r>
      <w:r>
        <w:rPr>
          <w:sz w:val="26"/>
          <w:szCs w:val="26"/>
        </w:rPr>
        <w:t xml:space="preserve">rograms.  FES also argues that there should </w:t>
      </w:r>
      <w:r w:rsidRPr="00906449">
        <w:rPr>
          <w:sz w:val="26"/>
          <w:szCs w:val="26"/>
        </w:rPr>
        <w:t>be some type of sharing mechanism, whereby at the end of the default service plan</w:t>
      </w:r>
      <w:r>
        <w:rPr>
          <w:sz w:val="26"/>
          <w:szCs w:val="26"/>
        </w:rPr>
        <w:t xml:space="preserve"> period, any under-collection w</w:t>
      </w:r>
      <w:r w:rsidRPr="00906449">
        <w:rPr>
          <w:sz w:val="26"/>
          <w:szCs w:val="26"/>
        </w:rPr>
        <w:t xml:space="preserve">ould be recovered from all </w:t>
      </w:r>
      <w:r>
        <w:rPr>
          <w:sz w:val="26"/>
          <w:szCs w:val="26"/>
        </w:rPr>
        <w:t xml:space="preserve">eligible </w:t>
      </w:r>
      <w:r w:rsidRPr="00906449">
        <w:rPr>
          <w:sz w:val="26"/>
          <w:szCs w:val="26"/>
        </w:rPr>
        <w:t>cu</w:t>
      </w:r>
      <w:r>
        <w:rPr>
          <w:sz w:val="26"/>
          <w:szCs w:val="26"/>
        </w:rPr>
        <w:t>stomers</w:t>
      </w:r>
      <w:r w:rsidRPr="00906449">
        <w:rPr>
          <w:sz w:val="26"/>
          <w:szCs w:val="26"/>
        </w:rPr>
        <w:t>.</w:t>
      </w:r>
      <w:r w:rsidR="00B87678">
        <w:rPr>
          <w:sz w:val="26"/>
          <w:szCs w:val="26"/>
        </w:rPr>
        <w:t xml:space="preserve">  </w:t>
      </w:r>
      <w:r w:rsidR="00B87678">
        <w:rPr>
          <w:i/>
          <w:sz w:val="26"/>
          <w:szCs w:val="26"/>
        </w:rPr>
        <w:t xml:space="preserve">Id. </w:t>
      </w:r>
      <w:r w:rsidR="00B87678">
        <w:rPr>
          <w:sz w:val="26"/>
          <w:szCs w:val="26"/>
        </w:rPr>
        <w:t>at 10.</w:t>
      </w:r>
      <w:r w:rsidR="00EF0E10">
        <w:rPr>
          <w:sz w:val="26"/>
          <w:szCs w:val="26"/>
        </w:rPr>
        <w:t xml:space="preserve"> </w:t>
      </w:r>
    </w:p>
    <w:p w:rsidR="00CF21FC" w:rsidRPr="00906449" w:rsidRDefault="00CF21FC" w:rsidP="00CF21FC">
      <w:pPr>
        <w:pStyle w:val="BodyTextFirstLine5DS"/>
        <w:spacing w:line="360" w:lineRule="auto"/>
        <w:ind w:firstLine="1440"/>
        <w:jc w:val="left"/>
        <w:rPr>
          <w:sz w:val="26"/>
          <w:szCs w:val="26"/>
        </w:rPr>
      </w:pPr>
    </w:p>
    <w:p w:rsidR="00CF21FC" w:rsidRPr="00A8324D" w:rsidRDefault="00CF21FC" w:rsidP="00CF21FC">
      <w:pPr>
        <w:pStyle w:val="BodyText2"/>
        <w:spacing w:after="0" w:line="360" w:lineRule="auto"/>
        <w:ind w:firstLine="1440"/>
        <w:rPr>
          <w:sz w:val="26"/>
          <w:szCs w:val="26"/>
        </w:rPr>
      </w:pPr>
      <w:r w:rsidRPr="00906449">
        <w:rPr>
          <w:sz w:val="26"/>
          <w:szCs w:val="26"/>
        </w:rPr>
        <w:t>FES notes that t</w:t>
      </w:r>
      <w:r>
        <w:rPr>
          <w:sz w:val="26"/>
          <w:szCs w:val="26"/>
        </w:rPr>
        <w:t xml:space="preserve">he Commission in the </w:t>
      </w:r>
      <w:r>
        <w:rPr>
          <w:i/>
          <w:sz w:val="26"/>
          <w:szCs w:val="26"/>
        </w:rPr>
        <w:t>FirstEnergy</w:t>
      </w:r>
      <w:r w:rsidR="00EF0E10">
        <w:rPr>
          <w:i/>
          <w:sz w:val="26"/>
          <w:szCs w:val="26"/>
        </w:rPr>
        <w:t xml:space="preserve"> DSP Order</w:t>
      </w:r>
      <w:r w:rsidR="00EF0E10">
        <w:rPr>
          <w:sz w:val="26"/>
          <w:szCs w:val="26"/>
        </w:rPr>
        <w:t xml:space="preserve"> </w:t>
      </w:r>
      <w:r w:rsidRPr="00906449">
        <w:rPr>
          <w:sz w:val="26"/>
          <w:szCs w:val="26"/>
        </w:rPr>
        <w:t xml:space="preserve">and the </w:t>
      </w:r>
      <w:r w:rsidRPr="003614C1">
        <w:rPr>
          <w:i/>
          <w:sz w:val="26"/>
          <w:szCs w:val="26"/>
        </w:rPr>
        <w:t>PECO</w:t>
      </w:r>
      <w:r w:rsidR="00EF0E10">
        <w:rPr>
          <w:i/>
          <w:sz w:val="26"/>
          <w:szCs w:val="26"/>
        </w:rPr>
        <w:t xml:space="preserve"> DSP Order</w:t>
      </w:r>
      <w:r w:rsidRPr="003614C1">
        <w:rPr>
          <w:i/>
          <w:sz w:val="26"/>
          <w:szCs w:val="26"/>
        </w:rPr>
        <w:t xml:space="preserve"> </w:t>
      </w:r>
      <w:r w:rsidRPr="00906449">
        <w:rPr>
          <w:sz w:val="26"/>
          <w:szCs w:val="26"/>
        </w:rPr>
        <w:t xml:space="preserve">left the issue </w:t>
      </w:r>
      <w:r>
        <w:rPr>
          <w:sz w:val="26"/>
          <w:szCs w:val="26"/>
        </w:rPr>
        <w:t>of cost recovery design to the P</w:t>
      </w:r>
      <w:r w:rsidRPr="00906449">
        <w:rPr>
          <w:sz w:val="26"/>
          <w:szCs w:val="26"/>
        </w:rPr>
        <w:t xml:space="preserve">arties to resolve through collaborative negotiations.  </w:t>
      </w:r>
      <w:r>
        <w:rPr>
          <w:i/>
          <w:sz w:val="26"/>
          <w:szCs w:val="26"/>
        </w:rPr>
        <w:t>FirstEnergy</w:t>
      </w:r>
      <w:r w:rsidR="00EF0E10">
        <w:rPr>
          <w:i/>
          <w:sz w:val="26"/>
          <w:szCs w:val="26"/>
        </w:rPr>
        <w:t xml:space="preserve"> DSP Order</w:t>
      </w:r>
      <w:r w:rsidR="00EF0E10">
        <w:rPr>
          <w:sz w:val="26"/>
          <w:szCs w:val="26"/>
        </w:rPr>
        <w:t xml:space="preserve"> </w:t>
      </w:r>
      <w:r w:rsidRPr="00906449">
        <w:rPr>
          <w:sz w:val="26"/>
          <w:szCs w:val="26"/>
        </w:rPr>
        <w:t xml:space="preserve">at 136-137; </w:t>
      </w:r>
      <w:r w:rsidRPr="00A8324D">
        <w:rPr>
          <w:i/>
          <w:sz w:val="26"/>
          <w:szCs w:val="26"/>
        </w:rPr>
        <w:t>PECO</w:t>
      </w:r>
      <w:r w:rsidR="00EF0E10">
        <w:rPr>
          <w:i/>
          <w:sz w:val="26"/>
          <w:szCs w:val="26"/>
        </w:rPr>
        <w:t xml:space="preserve"> DSP Order</w:t>
      </w:r>
      <w:r w:rsidR="00EF0E10">
        <w:rPr>
          <w:sz w:val="26"/>
          <w:szCs w:val="26"/>
        </w:rPr>
        <w:t xml:space="preserve"> </w:t>
      </w:r>
      <w:r w:rsidRPr="00906449">
        <w:rPr>
          <w:sz w:val="26"/>
          <w:szCs w:val="26"/>
        </w:rPr>
        <w:t>at 148-149</w:t>
      </w:r>
      <w:r>
        <w:rPr>
          <w:sz w:val="26"/>
          <w:szCs w:val="26"/>
        </w:rPr>
        <w:t>.  FES argues that the ALJ</w:t>
      </w:r>
      <w:r w:rsidRPr="00906449">
        <w:rPr>
          <w:sz w:val="26"/>
          <w:szCs w:val="26"/>
        </w:rPr>
        <w:t xml:space="preserve">’s conclusions should be reversed, and if costs associated with </w:t>
      </w:r>
      <w:r w:rsidR="00EF0E10">
        <w:rPr>
          <w:sz w:val="26"/>
          <w:szCs w:val="26"/>
        </w:rPr>
        <w:t>the RME P</w:t>
      </w:r>
      <w:r w:rsidRPr="00906449">
        <w:rPr>
          <w:sz w:val="26"/>
          <w:szCs w:val="26"/>
        </w:rPr>
        <w:t>rograms are to be recovered from EGSs, they should not be recovered through a POR discount but rather through a capped amount communicated to EGSs before they must commit to participation in</w:t>
      </w:r>
      <w:r w:rsidR="00EF0E10">
        <w:rPr>
          <w:sz w:val="26"/>
          <w:szCs w:val="26"/>
        </w:rPr>
        <w:t xml:space="preserve"> the P</w:t>
      </w:r>
      <w:r w:rsidRPr="00906449">
        <w:rPr>
          <w:sz w:val="26"/>
          <w:szCs w:val="26"/>
        </w:rPr>
        <w:t xml:space="preserve">rograms.  </w:t>
      </w:r>
      <w:r>
        <w:rPr>
          <w:sz w:val="26"/>
          <w:szCs w:val="26"/>
        </w:rPr>
        <w:t>Furthermore, FES avers that</w:t>
      </w:r>
      <w:r w:rsidR="00EF0E10">
        <w:rPr>
          <w:sz w:val="26"/>
          <w:szCs w:val="26"/>
        </w:rPr>
        <w:t>,</w:t>
      </w:r>
      <w:r>
        <w:rPr>
          <w:sz w:val="26"/>
          <w:szCs w:val="26"/>
        </w:rPr>
        <w:t xml:space="preserve"> i</w:t>
      </w:r>
      <w:r w:rsidRPr="00906449">
        <w:rPr>
          <w:sz w:val="26"/>
          <w:szCs w:val="26"/>
        </w:rPr>
        <w:t>n the event there is an un</w:t>
      </w:r>
      <w:r w:rsidR="00EF0E10">
        <w:rPr>
          <w:sz w:val="26"/>
          <w:szCs w:val="26"/>
        </w:rPr>
        <w:t>der-recovery of the costs of a P</w:t>
      </w:r>
      <w:r w:rsidRPr="00906449">
        <w:rPr>
          <w:sz w:val="26"/>
          <w:szCs w:val="26"/>
        </w:rPr>
        <w:t>rogram, the under-recovery should be paid by all customers in any class of customers eligib</w:t>
      </w:r>
      <w:r w:rsidR="00EF0E10">
        <w:rPr>
          <w:sz w:val="26"/>
          <w:szCs w:val="26"/>
        </w:rPr>
        <w:t>le to participate</w:t>
      </w:r>
      <w:r>
        <w:rPr>
          <w:sz w:val="26"/>
          <w:szCs w:val="26"/>
        </w:rPr>
        <w:t>.</w:t>
      </w:r>
      <w:r w:rsidR="00B87678">
        <w:rPr>
          <w:sz w:val="26"/>
          <w:szCs w:val="26"/>
        </w:rPr>
        <w:t xml:space="preserve">  </w:t>
      </w:r>
      <w:r w:rsidR="00B87678">
        <w:rPr>
          <w:i/>
          <w:sz w:val="26"/>
          <w:szCs w:val="26"/>
        </w:rPr>
        <w:t>Id.</w:t>
      </w:r>
      <w:r w:rsidR="00211CF2">
        <w:rPr>
          <w:sz w:val="26"/>
          <w:szCs w:val="26"/>
        </w:rPr>
        <w:t xml:space="preserve"> at</w:t>
      </w:r>
      <w:r w:rsidR="00211CF2">
        <w:rPr>
          <w:sz w:val="26"/>
          <w:szCs w:val="26"/>
          <w:lang w:val="en-US"/>
        </w:rPr>
        <w:t> </w:t>
      </w:r>
      <w:r w:rsidR="00B87678">
        <w:rPr>
          <w:sz w:val="26"/>
          <w:szCs w:val="26"/>
        </w:rPr>
        <w:t>10-13.</w:t>
      </w:r>
      <w:r w:rsidR="00B87678">
        <w:rPr>
          <w:i/>
          <w:sz w:val="26"/>
          <w:szCs w:val="26"/>
        </w:rPr>
        <w:t xml:space="preserve">  </w:t>
      </w:r>
      <w:r w:rsidRPr="00EE5722">
        <w:rPr>
          <w:sz w:val="26"/>
          <w:szCs w:val="26"/>
        </w:rPr>
        <w:tab/>
      </w:r>
    </w:p>
    <w:p w:rsidR="00CF21FC" w:rsidRPr="00EE5722" w:rsidRDefault="00CF21FC" w:rsidP="00CF21FC">
      <w:pPr>
        <w:pStyle w:val="BriefL3"/>
        <w:numPr>
          <w:ilvl w:val="0"/>
          <w:numId w:val="0"/>
        </w:numPr>
        <w:spacing w:after="0" w:line="360" w:lineRule="auto"/>
        <w:ind w:firstLine="720"/>
        <w:rPr>
          <w:b/>
          <w:sz w:val="26"/>
          <w:szCs w:val="26"/>
        </w:rPr>
      </w:pPr>
    </w:p>
    <w:p w:rsidR="00CF21FC" w:rsidRPr="00DE1BF7" w:rsidRDefault="00CF21FC" w:rsidP="00584C88">
      <w:pPr>
        <w:pStyle w:val="Heading4"/>
        <w:numPr>
          <w:ilvl w:val="0"/>
          <w:numId w:val="0"/>
        </w:numPr>
        <w:ind w:left="2880" w:hanging="720"/>
      </w:pPr>
      <w:bookmarkStart w:id="178" w:name="_Toc346705420"/>
      <w:r w:rsidRPr="00DE1BF7">
        <w:t>e.</w:t>
      </w:r>
      <w:r w:rsidRPr="00DE1BF7">
        <w:tab/>
        <w:t>Reply Exceptions</w:t>
      </w:r>
      <w:bookmarkEnd w:id="178"/>
    </w:p>
    <w:p w:rsidR="00CF21FC" w:rsidRDefault="00CF21FC" w:rsidP="00CF21FC">
      <w:pPr>
        <w:pStyle w:val="BodyText2"/>
        <w:spacing w:after="0" w:line="360" w:lineRule="auto"/>
        <w:rPr>
          <w:sz w:val="26"/>
          <w:szCs w:val="26"/>
        </w:rPr>
      </w:pPr>
    </w:p>
    <w:p w:rsidR="00CF21FC" w:rsidRPr="00DE1BF7" w:rsidRDefault="00CF21FC" w:rsidP="00CC1434">
      <w:pPr>
        <w:pStyle w:val="BodyText2"/>
        <w:spacing w:after="0" w:line="360" w:lineRule="auto"/>
        <w:ind w:firstLine="1440"/>
        <w:rPr>
          <w:sz w:val="26"/>
          <w:szCs w:val="26"/>
        </w:rPr>
      </w:pPr>
      <w:r w:rsidRPr="00DE1BF7">
        <w:rPr>
          <w:sz w:val="26"/>
          <w:szCs w:val="26"/>
        </w:rPr>
        <w:t>In its R</w:t>
      </w:r>
      <w:r>
        <w:rPr>
          <w:sz w:val="26"/>
          <w:szCs w:val="26"/>
        </w:rPr>
        <w:t>eply Exceptions, Duquesne states</w:t>
      </w:r>
      <w:r w:rsidRPr="00DE1BF7">
        <w:rPr>
          <w:sz w:val="26"/>
          <w:szCs w:val="26"/>
        </w:rPr>
        <w:t xml:space="preserve"> that the ALJ’s cost recovery recommendations are reasonable, and should be clarified to reflect Duquesne’s updated proposals. </w:t>
      </w:r>
      <w:r>
        <w:rPr>
          <w:sz w:val="26"/>
          <w:szCs w:val="26"/>
        </w:rPr>
        <w:t xml:space="preserve"> </w:t>
      </w:r>
      <w:r w:rsidRPr="00DE1BF7">
        <w:rPr>
          <w:sz w:val="26"/>
          <w:szCs w:val="26"/>
        </w:rPr>
        <w:t>Duquesne believes that its final cost recovery proposals in this proceeding are consistent with Commission guidance on this issue and should be approved.</w:t>
      </w:r>
      <w:r>
        <w:rPr>
          <w:sz w:val="26"/>
          <w:szCs w:val="26"/>
        </w:rPr>
        <w:t xml:space="preserve">  </w:t>
      </w:r>
      <w:r w:rsidRPr="00DE1BF7">
        <w:rPr>
          <w:sz w:val="26"/>
          <w:szCs w:val="26"/>
        </w:rPr>
        <w:t xml:space="preserve">As a point of clarification, Duquesne </w:t>
      </w:r>
      <w:r>
        <w:rPr>
          <w:sz w:val="26"/>
          <w:szCs w:val="26"/>
        </w:rPr>
        <w:t xml:space="preserve">notes that it </w:t>
      </w:r>
      <w:r w:rsidRPr="00DE1BF7">
        <w:rPr>
          <w:sz w:val="26"/>
          <w:szCs w:val="26"/>
        </w:rPr>
        <w:t xml:space="preserve">will incur certain capital costs to implement the </w:t>
      </w:r>
      <w:r w:rsidR="00EF0E10">
        <w:rPr>
          <w:sz w:val="26"/>
          <w:szCs w:val="26"/>
        </w:rPr>
        <w:t>RME P</w:t>
      </w:r>
      <w:r w:rsidRPr="00DE1BF7">
        <w:rPr>
          <w:sz w:val="26"/>
          <w:szCs w:val="26"/>
        </w:rPr>
        <w:t>rograms and has proposed to recover th</w:t>
      </w:r>
      <w:r w:rsidR="00EF0E10">
        <w:rPr>
          <w:sz w:val="26"/>
          <w:szCs w:val="26"/>
        </w:rPr>
        <w:t>e</w:t>
      </w:r>
      <w:r w:rsidRPr="00DE1BF7">
        <w:rPr>
          <w:sz w:val="26"/>
          <w:szCs w:val="26"/>
        </w:rPr>
        <w:t>se capital costs throu</w:t>
      </w:r>
      <w:r>
        <w:rPr>
          <w:sz w:val="26"/>
          <w:szCs w:val="26"/>
        </w:rPr>
        <w:t xml:space="preserve">gh base rates. </w:t>
      </w:r>
      <w:r w:rsidRPr="00DE1BF7">
        <w:rPr>
          <w:sz w:val="26"/>
          <w:szCs w:val="26"/>
        </w:rPr>
        <w:t xml:space="preserve">Therefore, under Duquesne’s proposal, EGSs will not bear all </w:t>
      </w:r>
      <w:r w:rsidR="00EF0E10">
        <w:rPr>
          <w:sz w:val="26"/>
          <w:szCs w:val="26"/>
        </w:rPr>
        <w:t>costs for implementing the RME P</w:t>
      </w:r>
      <w:r w:rsidRPr="00DE1BF7">
        <w:rPr>
          <w:sz w:val="26"/>
          <w:szCs w:val="26"/>
        </w:rPr>
        <w:t>rograms.  However, the Company believes that it is reasonable and appropriate for EGSs to bear all other,</w:t>
      </w:r>
      <w:r w:rsidR="00EF0E10">
        <w:rPr>
          <w:sz w:val="26"/>
          <w:szCs w:val="26"/>
        </w:rPr>
        <w:t xml:space="preserve"> non-capital costs for the RME P</w:t>
      </w:r>
      <w:r w:rsidRPr="00DE1BF7">
        <w:rPr>
          <w:sz w:val="26"/>
          <w:szCs w:val="26"/>
        </w:rPr>
        <w:t>rograms because th</w:t>
      </w:r>
      <w:r w:rsidR="00EF0E10">
        <w:rPr>
          <w:sz w:val="26"/>
          <w:szCs w:val="26"/>
        </w:rPr>
        <w:t>e primary beneficiaries of RME P</w:t>
      </w:r>
      <w:r w:rsidRPr="00DE1BF7">
        <w:rPr>
          <w:sz w:val="26"/>
          <w:szCs w:val="26"/>
        </w:rPr>
        <w:t xml:space="preserve">rograms are </w:t>
      </w:r>
      <w:r>
        <w:rPr>
          <w:sz w:val="26"/>
          <w:szCs w:val="26"/>
        </w:rPr>
        <w:t xml:space="preserve">the </w:t>
      </w:r>
      <w:r w:rsidRPr="00DE1BF7">
        <w:rPr>
          <w:sz w:val="26"/>
          <w:szCs w:val="26"/>
        </w:rPr>
        <w:t>EGSs.  Duquesne modified its cost recovery proposals in this</w:t>
      </w:r>
      <w:r w:rsidR="00EF0E10">
        <w:rPr>
          <w:sz w:val="26"/>
          <w:szCs w:val="26"/>
        </w:rPr>
        <w:t xml:space="preserve"> proceeding to recover </w:t>
      </w:r>
      <w:r w:rsidRPr="00DE1BF7">
        <w:rPr>
          <w:sz w:val="26"/>
          <w:szCs w:val="26"/>
        </w:rPr>
        <w:t xml:space="preserve">the operating costs from participating EGSs where </w:t>
      </w:r>
      <w:r w:rsidRPr="00DE1BF7">
        <w:rPr>
          <w:sz w:val="26"/>
          <w:szCs w:val="26"/>
        </w:rPr>
        <w:lastRenderedPageBreak/>
        <w:t>possible.  Duquesne submits that its proposals are consistent with Commission guidance and should be approved.</w:t>
      </w:r>
      <w:r w:rsidR="00EF0E10">
        <w:rPr>
          <w:sz w:val="26"/>
          <w:szCs w:val="26"/>
        </w:rPr>
        <w:t xml:space="preserve"> </w:t>
      </w:r>
      <w:r w:rsidR="00CC1434">
        <w:rPr>
          <w:sz w:val="26"/>
          <w:szCs w:val="26"/>
        </w:rPr>
        <w:t xml:space="preserve"> Duquesne R.Exc. at 20-21.  </w:t>
      </w:r>
    </w:p>
    <w:p w:rsidR="00CF21FC" w:rsidRDefault="00CF21FC" w:rsidP="00CC1434">
      <w:pPr>
        <w:spacing w:line="360" w:lineRule="auto"/>
        <w:ind w:firstLine="1440"/>
        <w:rPr>
          <w:color w:val="000000"/>
          <w:sz w:val="26"/>
          <w:szCs w:val="26"/>
        </w:rPr>
      </w:pPr>
    </w:p>
    <w:p w:rsidR="00CF21FC" w:rsidRDefault="00CF21FC" w:rsidP="00CC1434">
      <w:pPr>
        <w:spacing w:line="360" w:lineRule="auto"/>
        <w:ind w:firstLine="1440"/>
        <w:rPr>
          <w:sz w:val="26"/>
          <w:szCs w:val="26"/>
        </w:rPr>
      </w:pPr>
      <w:r w:rsidRPr="00DE1BF7">
        <w:rPr>
          <w:color w:val="000000"/>
          <w:sz w:val="26"/>
          <w:szCs w:val="26"/>
        </w:rPr>
        <w:t xml:space="preserve">In its Reply Exceptions, the OCA argues that the ALJ correctly </w:t>
      </w:r>
      <w:r w:rsidRPr="00396423">
        <w:rPr>
          <w:color w:val="000000"/>
          <w:sz w:val="26"/>
          <w:szCs w:val="26"/>
        </w:rPr>
        <w:t xml:space="preserve">recommended that EGSs should bear the costs of RME Programs.  Consistent with both the Commission’s </w:t>
      </w:r>
      <w:r w:rsidRPr="00F25874">
        <w:rPr>
          <w:i/>
          <w:color w:val="000000"/>
          <w:sz w:val="26"/>
          <w:szCs w:val="26"/>
        </w:rPr>
        <w:t>IWP</w:t>
      </w:r>
      <w:r w:rsidR="00EF0E10">
        <w:rPr>
          <w:i/>
          <w:color w:val="000000"/>
          <w:sz w:val="26"/>
          <w:szCs w:val="26"/>
        </w:rPr>
        <w:t xml:space="preserve"> Final</w:t>
      </w:r>
      <w:r w:rsidRPr="00F25874">
        <w:rPr>
          <w:i/>
          <w:color w:val="000000"/>
          <w:sz w:val="26"/>
          <w:szCs w:val="26"/>
        </w:rPr>
        <w:t xml:space="preserve"> Order</w:t>
      </w:r>
      <w:r w:rsidRPr="00396423">
        <w:rPr>
          <w:color w:val="000000"/>
          <w:sz w:val="26"/>
          <w:szCs w:val="26"/>
        </w:rPr>
        <w:t xml:space="preserve"> and the</w:t>
      </w:r>
      <w:r w:rsidR="00EF0E10">
        <w:rPr>
          <w:color w:val="000000"/>
          <w:sz w:val="26"/>
          <w:szCs w:val="26"/>
        </w:rPr>
        <w:t xml:space="preserve"> recent </w:t>
      </w:r>
      <w:r w:rsidR="00EF0E10" w:rsidRPr="00EF0E10">
        <w:rPr>
          <w:i/>
          <w:color w:val="000000"/>
          <w:sz w:val="26"/>
          <w:szCs w:val="26"/>
        </w:rPr>
        <w:t>FirstEnergy DSP Order</w:t>
      </w:r>
      <w:r w:rsidRPr="00396423">
        <w:rPr>
          <w:color w:val="000000"/>
          <w:sz w:val="26"/>
          <w:szCs w:val="26"/>
        </w:rPr>
        <w:t>, the OCA submits that all of the costs of the RME Programs should be recover</w:t>
      </w:r>
      <w:r w:rsidR="00EF0E10">
        <w:rPr>
          <w:color w:val="000000"/>
          <w:sz w:val="26"/>
          <w:szCs w:val="26"/>
        </w:rPr>
        <w:t>ed from EGSs and, as such, the E</w:t>
      </w:r>
      <w:r w:rsidRPr="00396423">
        <w:rPr>
          <w:color w:val="000000"/>
          <w:sz w:val="26"/>
          <w:szCs w:val="26"/>
        </w:rPr>
        <w:t>xceptions of RESA and Dominion on this issue should be denied</w:t>
      </w:r>
      <w:r w:rsidRPr="00396423">
        <w:rPr>
          <w:color w:val="000000"/>
          <w:sz w:val="26"/>
          <w:szCs w:val="26"/>
        </w:rPr>
        <w:footnoteReference w:customMarkFollows="1" w:id="99"/>
        <w:t>.</w:t>
      </w:r>
      <w:r>
        <w:rPr>
          <w:color w:val="000000"/>
          <w:sz w:val="26"/>
          <w:szCs w:val="26"/>
        </w:rPr>
        <w:t xml:space="preserve">  The OCA avers that t</w:t>
      </w:r>
      <w:r w:rsidRPr="00396423">
        <w:rPr>
          <w:sz w:val="26"/>
          <w:szCs w:val="26"/>
        </w:rPr>
        <w:t>he EGSs will be the primary beneficiaries through substantially reduced acquisition and transaction costs, and as such, should be responsible for the costs.</w:t>
      </w:r>
      <w:r>
        <w:rPr>
          <w:sz w:val="26"/>
          <w:szCs w:val="26"/>
        </w:rPr>
        <w:t xml:space="preserve">  According to the OCA,</w:t>
      </w:r>
      <w:r w:rsidRPr="00396423">
        <w:rPr>
          <w:sz w:val="26"/>
          <w:szCs w:val="26"/>
        </w:rPr>
        <w:t xml:space="preserve"> </w:t>
      </w:r>
      <w:r>
        <w:rPr>
          <w:sz w:val="26"/>
          <w:szCs w:val="26"/>
        </w:rPr>
        <w:t>e</w:t>
      </w:r>
      <w:r w:rsidRPr="00396423">
        <w:rPr>
          <w:sz w:val="26"/>
          <w:szCs w:val="26"/>
        </w:rPr>
        <w:t xml:space="preserve">specially troubling is RESA’s argument that default service customers alone should be </w:t>
      </w:r>
      <w:r>
        <w:rPr>
          <w:sz w:val="26"/>
          <w:szCs w:val="26"/>
        </w:rPr>
        <w:t xml:space="preserve">responsible for the </w:t>
      </w:r>
      <w:r w:rsidR="00EF0E10">
        <w:rPr>
          <w:sz w:val="26"/>
          <w:szCs w:val="26"/>
        </w:rPr>
        <w:t>costs of the RME P</w:t>
      </w:r>
      <w:r>
        <w:rPr>
          <w:sz w:val="26"/>
          <w:szCs w:val="26"/>
        </w:rPr>
        <w:t xml:space="preserve">rograms.  </w:t>
      </w:r>
      <w:r>
        <w:rPr>
          <w:rFonts w:ascii="Times" w:eastAsia="Calibri" w:hAnsi="Times"/>
          <w:bCs/>
          <w:sz w:val="26"/>
          <w:szCs w:val="26"/>
        </w:rPr>
        <w:t>T</w:t>
      </w:r>
      <w:r w:rsidRPr="00396423">
        <w:rPr>
          <w:rFonts w:ascii="Times" w:eastAsia="Calibri" w:hAnsi="Times"/>
          <w:bCs/>
          <w:sz w:val="26"/>
          <w:szCs w:val="26"/>
        </w:rPr>
        <w:t xml:space="preserve">he OCA opposes any cost recovery proposals that would impose retail enhancement costs on customers rather than the EGSs.  </w:t>
      </w:r>
      <w:r>
        <w:rPr>
          <w:sz w:val="26"/>
          <w:szCs w:val="26"/>
        </w:rPr>
        <w:t xml:space="preserve">The </w:t>
      </w:r>
      <w:r w:rsidRPr="00396423">
        <w:rPr>
          <w:sz w:val="26"/>
          <w:szCs w:val="26"/>
        </w:rPr>
        <w:t xml:space="preserve">OCA urges the Commission to maintain the position that the costs of </w:t>
      </w:r>
      <w:r w:rsidR="00B01091">
        <w:rPr>
          <w:sz w:val="26"/>
          <w:szCs w:val="26"/>
        </w:rPr>
        <w:t>the RME P</w:t>
      </w:r>
      <w:r w:rsidRPr="002B1859">
        <w:rPr>
          <w:sz w:val="26"/>
          <w:szCs w:val="26"/>
        </w:rPr>
        <w:t>rograms be recovered from the EGSs.</w:t>
      </w:r>
      <w:r w:rsidR="00CC1434">
        <w:rPr>
          <w:sz w:val="26"/>
          <w:szCs w:val="26"/>
        </w:rPr>
        <w:t xml:space="preserve">  </w:t>
      </w:r>
      <w:r w:rsidR="00CC1434">
        <w:rPr>
          <w:color w:val="000000"/>
          <w:sz w:val="26"/>
          <w:szCs w:val="26"/>
        </w:rPr>
        <w:t xml:space="preserve">OCA R.Exc. at 20-22.  </w:t>
      </w:r>
    </w:p>
    <w:p w:rsidR="00CF21FC" w:rsidRPr="002B1859" w:rsidRDefault="00CF21FC" w:rsidP="00CC1434">
      <w:pPr>
        <w:pStyle w:val="BodyText2"/>
        <w:spacing w:after="0" w:line="360" w:lineRule="auto"/>
        <w:ind w:firstLine="1440"/>
        <w:rPr>
          <w:sz w:val="26"/>
          <w:szCs w:val="26"/>
        </w:rPr>
      </w:pPr>
    </w:p>
    <w:p w:rsidR="00CF21FC" w:rsidRPr="00CC1434" w:rsidRDefault="00CF21FC" w:rsidP="00CC1434">
      <w:pPr>
        <w:pStyle w:val="BodyText2"/>
        <w:spacing w:after="0" w:line="360" w:lineRule="auto"/>
        <w:ind w:firstLine="1440"/>
        <w:rPr>
          <w:sz w:val="26"/>
          <w:szCs w:val="26"/>
        </w:rPr>
      </w:pPr>
      <w:r w:rsidRPr="002B1859">
        <w:rPr>
          <w:sz w:val="26"/>
          <w:szCs w:val="26"/>
        </w:rPr>
        <w:t>In its Reply Exceptions, the OSBA argues that the Exceptions filed by RESA, Dominion and FES on the issue of cost recovery for the RME Programs should be denied.  T</w:t>
      </w:r>
      <w:r>
        <w:rPr>
          <w:sz w:val="26"/>
          <w:szCs w:val="26"/>
        </w:rPr>
        <w:t>he OSBA agrees</w:t>
      </w:r>
      <w:r w:rsidRPr="002B1859">
        <w:rPr>
          <w:sz w:val="26"/>
          <w:szCs w:val="26"/>
        </w:rPr>
        <w:t xml:space="preserve"> with Duquesne’s initial proposal to recover the costs associated with its RME Programs through a discount on its purchased EGS receivables.  </w:t>
      </w:r>
      <w:r>
        <w:rPr>
          <w:sz w:val="26"/>
          <w:szCs w:val="26"/>
        </w:rPr>
        <w:t>The OSBA believes that t</w:t>
      </w:r>
      <w:r w:rsidRPr="002B1859">
        <w:rPr>
          <w:sz w:val="26"/>
          <w:szCs w:val="26"/>
        </w:rPr>
        <w:t xml:space="preserve">he Company’s proposal was, and is, consistent with the Commission’s </w:t>
      </w:r>
      <w:r w:rsidR="00393B24">
        <w:rPr>
          <w:sz w:val="26"/>
          <w:szCs w:val="26"/>
        </w:rPr>
        <w:t xml:space="preserve">prior </w:t>
      </w:r>
      <w:r w:rsidRPr="002B1859">
        <w:rPr>
          <w:sz w:val="26"/>
          <w:szCs w:val="26"/>
        </w:rPr>
        <w:t>directive</w:t>
      </w:r>
      <w:r w:rsidR="00903A21">
        <w:rPr>
          <w:sz w:val="26"/>
          <w:szCs w:val="26"/>
        </w:rPr>
        <w:t xml:space="preserve"> in the </w:t>
      </w:r>
      <w:r w:rsidR="00903A21" w:rsidRPr="00903A21">
        <w:rPr>
          <w:i/>
          <w:sz w:val="26"/>
          <w:szCs w:val="26"/>
        </w:rPr>
        <w:t>IWP Final Order</w:t>
      </w:r>
      <w:r w:rsidRPr="002B1859">
        <w:rPr>
          <w:sz w:val="26"/>
          <w:szCs w:val="26"/>
        </w:rPr>
        <w:t>.</w:t>
      </w:r>
      <w:r w:rsidR="00CC1434">
        <w:rPr>
          <w:sz w:val="26"/>
          <w:szCs w:val="26"/>
        </w:rPr>
        <w:t xml:space="preserve">  OSBA R.Exc. at 12-15.  </w:t>
      </w:r>
    </w:p>
    <w:p w:rsidR="00CF21FC" w:rsidRPr="00E66804" w:rsidRDefault="00CF21FC" w:rsidP="00CC1434">
      <w:pPr>
        <w:pStyle w:val="BodyText2"/>
        <w:spacing w:after="0" w:line="360" w:lineRule="auto"/>
      </w:pPr>
    </w:p>
    <w:p w:rsidR="00C97E4B" w:rsidRDefault="00CF21FC" w:rsidP="00CF21FC">
      <w:pPr>
        <w:spacing w:line="360" w:lineRule="auto"/>
        <w:ind w:firstLine="1440"/>
        <w:rPr>
          <w:sz w:val="26"/>
          <w:szCs w:val="26"/>
        </w:rPr>
      </w:pPr>
      <w:r w:rsidRPr="00191CF7">
        <w:rPr>
          <w:sz w:val="26"/>
          <w:szCs w:val="26"/>
        </w:rPr>
        <w:t xml:space="preserve">In its Reply Exceptions, DII argues that the ALJ correctly accepted Duquesne’s proposal to collect RME Program costs from EGSs.  </w:t>
      </w:r>
      <w:r>
        <w:rPr>
          <w:sz w:val="26"/>
          <w:szCs w:val="26"/>
        </w:rPr>
        <w:t>DII asserts that t</w:t>
      </w:r>
      <w:r w:rsidRPr="00191CF7">
        <w:rPr>
          <w:sz w:val="26"/>
          <w:szCs w:val="26"/>
        </w:rPr>
        <w:t xml:space="preserve">he </w:t>
      </w:r>
      <w:r w:rsidRPr="00191CF7">
        <w:rPr>
          <w:sz w:val="26"/>
          <w:szCs w:val="26"/>
        </w:rPr>
        <w:lastRenderedPageBreak/>
        <w:t xml:space="preserve">ALJ’s holding is consistent with two prior Commission Orders in other EDCs' default service proceedings, which also called for the collection of RME costs from EGSs. </w:t>
      </w:r>
      <w:r>
        <w:rPr>
          <w:i/>
          <w:sz w:val="26"/>
          <w:szCs w:val="26"/>
        </w:rPr>
        <w:t xml:space="preserve">FirstEnergy </w:t>
      </w:r>
      <w:r w:rsidR="00B01091">
        <w:rPr>
          <w:i/>
          <w:sz w:val="26"/>
          <w:szCs w:val="26"/>
        </w:rPr>
        <w:t xml:space="preserve">DSP </w:t>
      </w:r>
      <w:r>
        <w:rPr>
          <w:i/>
          <w:sz w:val="26"/>
          <w:szCs w:val="26"/>
        </w:rPr>
        <w:t>Order at</w:t>
      </w:r>
      <w:r w:rsidRPr="00191CF7">
        <w:rPr>
          <w:sz w:val="26"/>
          <w:szCs w:val="26"/>
        </w:rPr>
        <w:t xml:space="preserve"> 136; </w:t>
      </w:r>
      <w:r>
        <w:rPr>
          <w:i/>
          <w:sz w:val="26"/>
          <w:szCs w:val="26"/>
        </w:rPr>
        <w:t xml:space="preserve">PECO </w:t>
      </w:r>
      <w:r w:rsidR="00B01091">
        <w:rPr>
          <w:i/>
          <w:sz w:val="26"/>
          <w:szCs w:val="26"/>
        </w:rPr>
        <w:t xml:space="preserve">DSP </w:t>
      </w:r>
      <w:r>
        <w:rPr>
          <w:i/>
          <w:sz w:val="26"/>
          <w:szCs w:val="26"/>
        </w:rPr>
        <w:t>Order at</w:t>
      </w:r>
      <w:r w:rsidRPr="00191CF7">
        <w:rPr>
          <w:sz w:val="26"/>
          <w:szCs w:val="26"/>
        </w:rPr>
        <w:t xml:space="preserve"> 148.  DII agrees with the ALJ’s conclusion that RME costs are properly recoverable from EGSs.</w:t>
      </w:r>
      <w:r>
        <w:rPr>
          <w:sz w:val="26"/>
          <w:szCs w:val="26"/>
        </w:rPr>
        <w:t xml:space="preserve">  </w:t>
      </w:r>
      <w:r w:rsidRPr="00191CF7">
        <w:rPr>
          <w:sz w:val="26"/>
          <w:szCs w:val="26"/>
        </w:rPr>
        <w:t>DII continues to oppose any RME cost collection from customers</w:t>
      </w:r>
      <w:r w:rsidR="00B01091">
        <w:rPr>
          <w:sz w:val="26"/>
          <w:szCs w:val="26"/>
        </w:rPr>
        <w:t>,</w:t>
      </w:r>
      <w:r>
        <w:rPr>
          <w:sz w:val="26"/>
          <w:szCs w:val="26"/>
        </w:rPr>
        <w:t xml:space="preserve"> as </w:t>
      </w:r>
      <w:r w:rsidRPr="00191CF7">
        <w:rPr>
          <w:sz w:val="26"/>
          <w:szCs w:val="26"/>
        </w:rPr>
        <w:t>EGSs are dire</w:t>
      </w:r>
      <w:r w:rsidR="00B01091">
        <w:rPr>
          <w:sz w:val="26"/>
          <w:szCs w:val="26"/>
        </w:rPr>
        <w:t>ctly benefiting from these RME P</w:t>
      </w:r>
      <w:r w:rsidRPr="00191CF7">
        <w:rPr>
          <w:sz w:val="26"/>
          <w:szCs w:val="26"/>
        </w:rPr>
        <w:t>rograms, and can expect an increased customer base and revenue stream as a result</w:t>
      </w:r>
      <w:r w:rsidR="00B01091">
        <w:rPr>
          <w:sz w:val="26"/>
          <w:szCs w:val="26"/>
        </w:rPr>
        <w:t xml:space="preserve">.  </w:t>
      </w:r>
      <w:r w:rsidRPr="00191CF7">
        <w:rPr>
          <w:sz w:val="26"/>
          <w:szCs w:val="26"/>
        </w:rPr>
        <w:t xml:space="preserve">DII </w:t>
      </w:r>
      <w:r>
        <w:rPr>
          <w:sz w:val="26"/>
          <w:szCs w:val="26"/>
        </w:rPr>
        <w:t xml:space="preserve">also </w:t>
      </w:r>
      <w:r w:rsidRPr="00191CF7">
        <w:rPr>
          <w:sz w:val="26"/>
          <w:szCs w:val="26"/>
        </w:rPr>
        <w:t>note</w:t>
      </w:r>
      <w:r>
        <w:rPr>
          <w:sz w:val="26"/>
          <w:szCs w:val="26"/>
        </w:rPr>
        <w:t>s</w:t>
      </w:r>
      <w:r w:rsidRPr="00191CF7">
        <w:rPr>
          <w:sz w:val="26"/>
          <w:szCs w:val="26"/>
        </w:rPr>
        <w:t xml:space="preserve"> that</w:t>
      </w:r>
      <w:r w:rsidR="00B01091">
        <w:rPr>
          <w:sz w:val="26"/>
          <w:szCs w:val="26"/>
        </w:rPr>
        <w:t>,</w:t>
      </w:r>
      <w:r w:rsidRPr="00191CF7">
        <w:rPr>
          <w:sz w:val="26"/>
          <w:szCs w:val="26"/>
        </w:rPr>
        <w:t xml:space="preserve"> because Large C&amp;I customers are inel</w:t>
      </w:r>
      <w:r w:rsidR="00B01091">
        <w:rPr>
          <w:sz w:val="26"/>
          <w:szCs w:val="26"/>
        </w:rPr>
        <w:t>igible to participate in these P</w:t>
      </w:r>
      <w:r w:rsidRPr="00191CF7">
        <w:rPr>
          <w:sz w:val="26"/>
          <w:szCs w:val="26"/>
        </w:rPr>
        <w:t>rograms, no costs may b</w:t>
      </w:r>
      <w:r w:rsidR="00B01091">
        <w:rPr>
          <w:sz w:val="26"/>
          <w:szCs w:val="26"/>
        </w:rPr>
        <w:t xml:space="preserve">e recovered from them. </w:t>
      </w:r>
      <w:r w:rsidR="00CC1434">
        <w:rPr>
          <w:sz w:val="26"/>
          <w:szCs w:val="26"/>
        </w:rPr>
        <w:t xml:space="preserve"> DII R.Exc. at 6-7.  </w:t>
      </w:r>
    </w:p>
    <w:p w:rsidR="00C97E4B" w:rsidRDefault="00C97E4B" w:rsidP="00CF21FC">
      <w:pPr>
        <w:spacing w:line="360" w:lineRule="auto"/>
        <w:ind w:firstLine="1440"/>
        <w:rPr>
          <w:sz w:val="26"/>
          <w:szCs w:val="26"/>
        </w:rPr>
      </w:pPr>
    </w:p>
    <w:p w:rsidR="00CF21FC" w:rsidRPr="007E778A" w:rsidRDefault="00CF21FC" w:rsidP="00CF21FC">
      <w:pPr>
        <w:pStyle w:val="BodyText2"/>
        <w:spacing w:after="0" w:line="360" w:lineRule="auto"/>
        <w:ind w:firstLine="1440"/>
        <w:rPr>
          <w:sz w:val="26"/>
          <w:szCs w:val="26"/>
        </w:rPr>
      </w:pPr>
      <w:r w:rsidRPr="007E778A">
        <w:rPr>
          <w:sz w:val="26"/>
          <w:szCs w:val="26"/>
        </w:rPr>
        <w:t>In its Reply Exceptions, RESA argues that Duquesne’s Exception, which requests that the Commission clarify the ALJ’s recommendation related to RME Program cost recovery, should be denied.  RESA repeats the arg</w:t>
      </w:r>
      <w:r>
        <w:rPr>
          <w:sz w:val="26"/>
          <w:szCs w:val="26"/>
        </w:rPr>
        <w:t>ument</w:t>
      </w:r>
      <w:r w:rsidR="00B01091">
        <w:rPr>
          <w:sz w:val="26"/>
          <w:szCs w:val="26"/>
        </w:rPr>
        <w:t>s</w:t>
      </w:r>
      <w:r>
        <w:rPr>
          <w:sz w:val="26"/>
          <w:szCs w:val="26"/>
        </w:rPr>
        <w:t xml:space="preserve"> that it made in its </w:t>
      </w:r>
      <w:r w:rsidRPr="007E778A">
        <w:rPr>
          <w:sz w:val="26"/>
          <w:szCs w:val="26"/>
        </w:rPr>
        <w:t>Exceptions, to the effect that the ALJ erred in recommending that EGSs be solely responsible for all</w:t>
      </w:r>
      <w:r w:rsidR="00B01091">
        <w:rPr>
          <w:sz w:val="26"/>
          <w:szCs w:val="26"/>
        </w:rPr>
        <w:t xml:space="preserve"> costs associated with the RME P</w:t>
      </w:r>
      <w:r w:rsidRPr="007E778A">
        <w:rPr>
          <w:sz w:val="26"/>
          <w:szCs w:val="26"/>
        </w:rPr>
        <w:t>rograms.</w:t>
      </w:r>
      <w:r>
        <w:rPr>
          <w:sz w:val="26"/>
          <w:szCs w:val="26"/>
        </w:rPr>
        <w:t xml:space="preserve"> </w:t>
      </w:r>
      <w:r w:rsidRPr="007E778A">
        <w:rPr>
          <w:sz w:val="26"/>
          <w:szCs w:val="26"/>
        </w:rPr>
        <w:t xml:space="preserve"> Because Duquesne’s request is premised on the ALJ’s recommendation that EGSs be solely responsible for all costs, RESA submits that Duquesne’s request for clarification should be denied.</w:t>
      </w:r>
      <w:r w:rsidR="00B01091">
        <w:rPr>
          <w:sz w:val="26"/>
          <w:szCs w:val="26"/>
        </w:rPr>
        <w:t xml:space="preserve">  </w:t>
      </w:r>
      <w:r w:rsidR="00CC1434">
        <w:rPr>
          <w:sz w:val="26"/>
          <w:szCs w:val="26"/>
        </w:rPr>
        <w:t xml:space="preserve">RESA R.Exc. at 11-12.   </w:t>
      </w:r>
    </w:p>
    <w:p w:rsidR="00CF21FC" w:rsidRDefault="00CF21FC" w:rsidP="00CF21FC">
      <w:pPr>
        <w:spacing w:line="360" w:lineRule="auto"/>
        <w:ind w:firstLine="1440"/>
        <w:rPr>
          <w:sz w:val="26"/>
          <w:szCs w:val="26"/>
        </w:rPr>
      </w:pPr>
    </w:p>
    <w:p w:rsidR="00CF21FC" w:rsidRPr="00E66804" w:rsidRDefault="00CF21FC" w:rsidP="00CF21FC">
      <w:pPr>
        <w:spacing w:line="360" w:lineRule="auto"/>
        <w:ind w:firstLine="1440"/>
        <w:rPr>
          <w:sz w:val="26"/>
          <w:szCs w:val="26"/>
        </w:rPr>
      </w:pPr>
      <w:r w:rsidRPr="00E66804">
        <w:rPr>
          <w:sz w:val="26"/>
          <w:szCs w:val="26"/>
        </w:rPr>
        <w:t>In its Reply Exceptions, Dominion replies to Duquesne’s request that the Commission clarify the ALJ’s Recommended Decision to approve the Company’s amended cost recovery structure for the RME Programs.  Dominion agrees with Duquesne’s amended cost recovery proposal because it would recover the entire cost of the Opt-In Program only from participating suppliers, and would recover the</w:t>
      </w:r>
      <w:r>
        <w:rPr>
          <w:sz w:val="26"/>
          <w:szCs w:val="26"/>
        </w:rPr>
        <w:t xml:space="preserve"> entire cost of the SO </w:t>
      </w:r>
      <w:r w:rsidRPr="00E66804">
        <w:rPr>
          <w:sz w:val="26"/>
          <w:szCs w:val="26"/>
        </w:rPr>
        <w:t>Program from participating suppliers on a per-switch basis, with customers paying any remainder.  Dominion continues to believe, however, that customers should be asked to pay for some portion of the Opt-I</w:t>
      </w:r>
      <w:r w:rsidR="00B01091">
        <w:rPr>
          <w:sz w:val="26"/>
          <w:szCs w:val="26"/>
        </w:rPr>
        <w:t>n Program, particularly if Duquesne’s proposed auction is approved</w:t>
      </w:r>
      <w:r w:rsidRPr="00E66804">
        <w:rPr>
          <w:sz w:val="26"/>
          <w:szCs w:val="26"/>
        </w:rPr>
        <w:t>, which could cost significantly more to implement.</w:t>
      </w:r>
      <w:r>
        <w:rPr>
          <w:sz w:val="26"/>
          <w:szCs w:val="26"/>
        </w:rPr>
        <w:t xml:space="preserve">  </w:t>
      </w:r>
      <w:r w:rsidR="00CC1434">
        <w:rPr>
          <w:sz w:val="26"/>
          <w:szCs w:val="26"/>
        </w:rPr>
        <w:t>Dominion R.Exc. at 6</w:t>
      </w:r>
      <w:r w:rsidR="00CC1434">
        <w:rPr>
          <w:sz w:val="26"/>
          <w:szCs w:val="26"/>
        </w:rPr>
        <w:noBreakHyphen/>
        <w:t xml:space="preserve">7.  </w:t>
      </w:r>
    </w:p>
    <w:p w:rsidR="00CF21FC" w:rsidRDefault="00CF21FC" w:rsidP="00CF21FC">
      <w:pPr>
        <w:spacing w:line="360" w:lineRule="auto"/>
        <w:ind w:firstLine="1440"/>
        <w:rPr>
          <w:sz w:val="26"/>
          <w:szCs w:val="26"/>
        </w:rPr>
      </w:pPr>
    </w:p>
    <w:p w:rsidR="00CF21FC" w:rsidRPr="00E66804" w:rsidRDefault="00CF21FC" w:rsidP="00443BFF">
      <w:pPr>
        <w:spacing w:line="360" w:lineRule="auto"/>
        <w:ind w:firstLine="1440"/>
        <w:rPr>
          <w:sz w:val="26"/>
          <w:szCs w:val="26"/>
        </w:rPr>
      </w:pPr>
      <w:r w:rsidRPr="00E66804">
        <w:rPr>
          <w:sz w:val="26"/>
          <w:szCs w:val="26"/>
        </w:rPr>
        <w:lastRenderedPageBreak/>
        <w:t>To the extent that Duquesne has proposed to recover</w:t>
      </w:r>
      <w:r w:rsidR="00B01091">
        <w:rPr>
          <w:sz w:val="26"/>
          <w:szCs w:val="26"/>
        </w:rPr>
        <w:t xml:space="preserve"> any cost from suppliers through</w:t>
      </w:r>
      <w:r w:rsidRPr="00E66804">
        <w:rPr>
          <w:sz w:val="26"/>
          <w:szCs w:val="26"/>
        </w:rPr>
        <w:t xml:space="preserve"> a POR discount, Dominion objects.  To the extent that the ALJ’s Recommended Decision would approve Duquesne’s proposed cost recovery split between customers and suppliers, Dominion supports Duquesne’s request.  To the extent that Duquesne’s request for cl</w:t>
      </w:r>
      <w:r w:rsidR="00CC1434">
        <w:rPr>
          <w:sz w:val="26"/>
          <w:szCs w:val="26"/>
        </w:rPr>
        <w:t>arification would have the EGSs</w:t>
      </w:r>
      <w:r w:rsidRPr="00E66804">
        <w:rPr>
          <w:sz w:val="26"/>
          <w:szCs w:val="26"/>
        </w:rPr>
        <w:t xml:space="preserve"> be res</w:t>
      </w:r>
      <w:r w:rsidR="00B01091">
        <w:rPr>
          <w:sz w:val="26"/>
          <w:szCs w:val="26"/>
        </w:rPr>
        <w:t>ponsible for the cost of the P</w:t>
      </w:r>
      <w:r w:rsidRPr="00E66804">
        <w:rPr>
          <w:sz w:val="26"/>
          <w:szCs w:val="26"/>
        </w:rPr>
        <w:t xml:space="preserve">rograms, such a result is opposed by Dominion.  </w:t>
      </w:r>
      <w:r w:rsidR="00CC1434">
        <w:rPr>
          <w:sz w:val="26"/>
          <w:szCs w:val="26"/>
        </w:rPr>
        <w:t>Dominion opines that i</w:t>
      </w:r>
      <w:r w:rsidRPr="00E66804">
        <w:rPr>
          <w:sz w:val="26"/>
          <w:szCs w:val="26"/>
        </w:rPr>
        <w:t>t would not be fair for non-participating EGSs to be taxed for the purposes of paying for programs that directly benefit their competitors.</w:t>
      </w:r>
      <w:r>
        <w:rPr>
          <w:sz w:val="26"/>
          <w:szCs w:val="26"/>
        </w:rPr>
        <w:t xml:space="preserve"> </w:t>
      </w:r>
      <w:r w:rsidR="00CC1434">
        <w:rPr>
          <w:sz w:val="26"/>
          <w:szCs w:val="26"/>
        </w:rPr>
        <w:t xml:space="preserve"> </w:t>
      </w:r>
      <w:r w:rsidR="00CC1434">
        <w:rPr>
          <w:i/>
          <w:sz w:val="26"/>
          <w:szCs w:val="26"/>
        </w:rPr>
        <w:t>Id.</w:t>
      </w:r>
      <w:r w:rsidR="00CC1434">
        <w:rPr>
          <w:sz w:val="26"/>
          <w:szCs w:val="26"/>
        </w:rPr>
        <w:t xml:space="preserve"> at 7.</w:t>
      </w:r>
      <w:r>
        <w:rPr>
          <w:sz w:val="26"/>
          <w:szCs w:val="26"/>
        </w:rPr>
        <w:t xml:space="preserve"> </w:t>
      </w:r>
    </w:p>
    <w:p w:rsidR="00CF21FC" w:rsidRPr="00E66804" w:rsidRDefault="00CF21FC" w:rsidP="00443BFF">
      <w:pPr>
        <w:pStyle w:val="BodyText2"/>
        <w:spacing w:after="0" w:line="360" w:lineRule="auto"/>
        <w:ind w:firstLine="1440"/>
        <w:rPr>
          <w:sz w:val="26"/>
          <w:szCs w:val="26"/>
        </w:rPr>
      </w:pPr>
      <w:r w:rsidRPr="00E66804">
        <w:rPr>
          <w:sz w:val="26"/>
          <w:szCs w:val="26"/>
        </w:rPr>
        <w:tab/>
      </w:r>
    </w:p>
    <w:p w:rsidR="00CF21FC" w:rsidRDefault="00CF21FC" w:rsidP="00584C88">
      <w:pPr>
        <w:pStyle w:val="Heading4"/>
        <w:numPr>
          <w:ilvl w:val="0"/>
          <w:numId w:val="0"/>
        </w:numPr>
        <w:ind w:left="2880" w:hanging="720"/>
      </w:pPr>
      <w:bookmarkStart w:id="179" w:name="_Toc346705421"/>
      <w:r>
        <w:t>f.</w:t>
      </w:r>
      <w:r>
        <w:tab/>
        <w:t>Disposition</w:t>
      </w:r>
      <w:bookmarkEnd w:id="179"/>
    </w:p>
    <w:p w:rsidR="00B01091" w:rsidRDefault="00B01091" w:rsidP="00443BFF">
      <w:pPr>
        <w:pStyle w:val="BriefL3"/>
        <w:numPr>
          <w:ilvl w:val="0"/>
          <w:numId w:val="0"/>
        </w:numPr>
        <w:spacing w:after="0" w:line="360" w:lineRule="auto"/>
        <w:ind w:left="2160"/>
        <w:rPr>
          <w:b/>
          <w:sz w:val="26"/>
          <w:szCs w:val="26"/>
        </w:rPr>
      </w:pPr>
    </w:p>
    <w:p w:rsidR="00CF21FC" w:rsidRPr="002D7C3E" w:rsidRDefault="00CF21FC" w:rsidP="00CF21FC">
      <w:pPr>
        <w:pStyle w:val="BriefL3"/>
        <w:numPr>
          <w:ilvl w:val="0"/>
          <w:numId w:val="0"/>
        </w:numPr>
        <w:spacing w:after="0" w:line="360" w:lineRule="auto"/>
        <w:ind w:firstLine="720"/>
        <w:rPr>
          <w:sz w:val="26"/>
          <w:szCs w:val="26"/>
        </w:rPr>
      </w:pPr>
      <w:r>
        <w:rPr>
          <w:b/>
          <w:sz w:val="26"/>
          <w:szCs w:val="26"/>
        </w:rPr>
        <w:tab/>
      </w:r>
      <w:r w:rsidRPr="00C21E7D">
        <w:rPr>
          <w:sz w:val="26"/>
          <w:szCs w:val="26"/>
        </w:rPr>
        <w:t xml:space="preserve">Upon </w:t>
      </w:r>
      <w:r>
        <w:rPr>
          <w:sz w:val="26"/>
          <w:szCs w:val="26"/>
        </w:rPr>
        <w:t xml:space="preserve">our </w:t>
      </w:r>
      <w:r w:rsidRPr="00C21E7D">
        <w:rPr>
          <w:sz w:val="26"/>
          <w:szCs w:val="26"/>
        </w:rPr>
        <w:t xml:space="preserve">review of the </w:t>
      </w:r>
      <w:r>
        <w:rPr>
          <w:sz w:val="26"/>
          <w:szCs w:val="26"/>
        </w:rPr>
        <w:t xml:space="preserve">Recommended Decision, Exceptions and Reply Exceptions, we find that we do not have sufficient information to adopt the proposal for the cost recovery of the RME Programs as recommended by the ALJ.  We agree with the ALJ and Duquesne that our position articulated in the </w:t>
      </w:r>
      <w:r w:rsidR="00B01091">
        <w:rPr>
          <w:i/>
          <w:sz w:val="26"/>
          <w:szCs w:val="26"/>
        </w:rPr>
        <w:t>IWP Final</w:t>
      </w:r>
      <w:r>
        <w:rPr>
          <w:i/>
          <w:sz w:val="26"/>
          <w:szCs w:val="26"/>
        </w:rPr>
        <w:t xml:space="preserve"> Order</w:t>
      </w:r>
      <w:r>
        <w:rPr>
          <w:sz w:val="26"/>
          <w:szCs w:val="26"/>
        </w:rPr>
        <w:t xml:space="preserve"> was and continues to be that </w:t>
      </w:r>
      <w:r w:rsidR="00505609">
        <w:rPr>
          <w:sz w:val="26"/>
          <w:szCs w:val="26"/>
        </w:rPr>
        <w:t xml:space="preserve">participating </w:t>
      </w:r>
      <w:r>
        <w:rPr>
          <w:sz w:val="26"/>
          <w:szCs w:val="26"/>
        </w:rPr>
        <w:t>EGSs should be responsible for these costs.  However, we are concerned by the multitude of issues raised in the Exceptions filed in this proceeding by the affected EGSs with regard to the various possible recovery mechanisms</w:t>
      </w:r>
      <w:r w:rsidR="00B01091">
        <w:rPr>
          <w:sz w:val="26"/>
          <w:szCs w:val="26"/>
        </w:rPr>
        <w:t>.  W</w:t>
      </w:r>
      <w:r>
        <w:rPr>
          <w:sz w:val="26"/>
          <w:szCs w:val="26"/>
        </w:rPr>
        <w:t xml:space="preserve">e believe </w:t>
      </w:r>
      <w:r w:rsidR="00B01091">
        <w:rPr>
          <w:sz w:val="26"/>
          <w:szCs w:val="26"/>
        </w:rPr>
        <w:t xml:space="preserve">that these issues </w:t>
      </w:r>
      <w:r>
        <w:rPr>
          <w:sz w:val="26"/>
          <w:szCs w:val="26"/>
        </w:rPr>
        <w:t xml:space="preserve">require further deliberations.  Therefore, consistent with our prior determinations with regard to this issue in our </w:t>
      </w:r>
      <w:r>
        <w:rPr>
          <w:i/>
          <w:sz w:val="26"/>
          <w:szCs w:val="26"/>
        </w:rPr>
        <w:t>FirstEnergy</w:t>
      </w:r>
      <w:r w:rsidR="00A6658E">
        <w:rPr>
          <w:i/>
          <w:sz w:val="26"/>
          <w:szCs w:val="26"/>
        </w:rPr>
        <w:t xml:space="preserve"> DSP</w:t>
      </w:r>
      <w:r>
        <w:rPr>
          <w:i/>
          <w:sz w:val="26"/>
          <w:szCs w:val="26"/>
        </w:rPr>
        <w:t xml:space="preserve"> </w:t>
      </w:r>
      <w:r>
        <w:rPr>
          <w:sz w:val="26"/>
          <w:szCs w:val="26"/>
        </w:rPr>
        <w:t xml:space="preserve">and </w:t>
      </w:r>
      <w:r>
        <w:rPr>
          <w:i/>
          <w:sz w:val="26"/>
          <w:szCs w:val="26"/>
        </w:rPr>
        <w:t>PECO</w:t>
      </w:r>
      <w:r w:rsidR="00B01091">
        <w:rPr>
          <w:i/>
          <w:sz w:val="26"/>
          <w:szCs w:val="26"/>
        </w:rPr>
        <w:t xml:space="preserve"> DSP Orders</w:t>
      </w:r>
      <w:r>
        <w:rPr>
          <w:sz w:val="26"/>
          <w:szCs w:val="26"/>
        </w:rPr>
        <w:t>, we direct Duquesne</w:t>
      </w:r>
      <w:r w:rsidR="00E87FD5">
        <w:rPr>
          <w:sz w:val="26"/>
          <w:szCs w:val="26"/>
        </w:rPr>
        <w:t xml:space="preserve"> to consult with </w:t>
      </w:r>
      <w:r>
        <w:rPr>
          <w:sz w:val="26"/>
          <w:szCs w:val="26"/>
        </w:rPr>
        <w:t xml:space="preserve">the EGSs and </w:t>
      </w:r>
      <w:r w:rsidR="00B01091">
        <w:rPr>
          <w:sz w:val="26"/>
          <w:szCs w:val="26"/>
        </w:rPr>
        <w:t>other interested P</w:t>
      </w:r>
      <w:r>
        <w:rPr>
          <w:sz w:val="26"/>
          <w:szCs w:val="26"/>
        </w:rPr>
        <w:t xml:space="preserve">arties </w:t>
      </w:r>
      <w:r w:rsidR="00B01091">
        <w:rPr>
          <w:sz w:val="26"/>
          <w:szCs w:val="26"/>
        </w:rPr>
        <w:t>to this proceeding</w:t>
      </w:r>
      <w:r>
        <w:rPr>
          <w:sz w:val="26"/>
          <w:szCs w:val="26"/>
        </w:rPr>
        <w:t xml:space="preserve"> and resubmit a plan or proposal within </w:t>
      </w:r>
      <w:r w:rsidR="00A74CA9">
        <w:rPr>
          <w:sz w:val="26"/>
          <w:szCs w:val="26"/>
        </w:rPr>
        <w:t>forty-five</w:t>
      </w:r>
      <w:r>
        <w:rPr>
          <w:sz w:val="26"/>
          <w:szCs w:val="26"/>
        </w:rPr>
        <w:t xml:space="preserve"> days of the date of entry of this Opinion and Order, for Commission review and approval, addressing how participating EGSs </w:t>
      </w:r>
      <w:r w:rsidR="004C2A0D">
        <w:rPr>
          <w:sz w:val="26"/>
          <w:szCs w:val="26"/>
        </w:rPr>
        <w:t xml:space="preserve">and/or customers </w:t>
      </w:r>
      <w:r>
        <w:rPr>
          <w:sz w:val="26"/>
          <w:szCs w:val="26"/>
        </w:rPr>
        <w:t>will pay for the c</w:t>
      </w:r>
      <w:r w:rsidR="00B01091">
        <w:rPr>
          <w:sz w:val="26"/>
          <w:szCs w:val="26"/>
        </w:rPr>
        <w:t>osts of the RME P</w:t>
      </w:r>
      <w:r>
        <w:rPr>
          <w:sz w:val="26"/>
          <w:szCs w:val="26"/>
        </w:rPr>
        <w:t xml:space="preserve">rograms approved in this DSP proceeding.   </w:t>
      </w:r>
    </w:p>
    <w:p w:rsidR="00CF21FC" w:rsidRPr="00EE5722" w:rsidRDefault="00CF21FC" w:rsidP="00CF21FC">
      <w:pPr>
        <w:pStyle w:val="BriefL3"/>
        <w:numPr>
          <w:ilvl w:val="0"/>
          <w:numId w:val="0"/>
        </w:numPr>
        <w:spacing w:after="0" w:line="360" w:lineRule="auto"/>
        <w:ind w:firstLine="720"/>
        <w:rPr>
          <w:sz w:val="26"/>
          <w:szCs w:val="26"/>
        </w:rPr>
      </w:pPr>
    </w:p>
    <w:p w:rsidR="00CF21FC" w:rsidRPr="000D79CA" w:rsidRDefault="00CF21FC" w:rsidP="00A6658E">
      <w:pPr>
        <w:pStyle w:val="BodyText2"/>
        <w:spacing w:after="0" w:line="360" w:lineRule="auto"/>
        <w:rPr>
          <w:sz w:val="26"/>
          <w:szCs w:val="26"/>
        </w:rPr>
      </w:pPr>
      <w:r w:rsidRPr="00EE5722">
        <w:rPr>
          <w:sz w:val="26"/>
          <w:szCs w:val="26"/>
        </w:rPr>
        <w:tab/>
      </w:r>
      <w:r w:rsidRPr="00EE5722">
        <w:rPr>
          <w:sz w:val="26"/>
          <w:szCs w:val="26"/>
        </w:rPr>
        <w:tab/>
      </w:r>
      <w:r>
        <w:rPr>
          <w:sz w:val="26"/>
          <w:szCs w:val="26"/>
        </w:rPr>
        <w:t>We believe that the resolution of these issues is particularly important, as they are the corne</w:t>
      </w:r>
      <w:r w:rsidR="00B01091">
        <w:rPr>
          <w:sz w:val="26"/>
          <w:szCs w:val="26"/>
        </w:rPr>
        <w:t>rstone to the success of these Programs.  T</w:t>
      </w:r>
      <w:r>
        <w:rPr>
          <w:sz w:val="26"/>
          <w:szCs w:val="26"/>
        </w:rPr>
        <w:t xml:space="preserve">he </w:t>
      </w:r>
      <w:r w:rsidR="00B01091">
        <w:rPr>
          <w:i/>
          <w:sz w:val="26"/>
          <w:szCs w:val="26"/>
        </w:rPr>
        <w:t>IWP Final</w:t>
      </w:r>
      <w:r>
        <w:rPr>
          <w:i/>
          <w:sz w:val="26"/>
          <w:szCs w:val="26"/>
        </w:rPr>
        <w:t xml:space="preserve"> Order</w:t>
      </w:r>
      <w:r w:rsidR="00B01091">
        <w:rPr>
          <w:i/>
          <w:sz w:val="26"/>
          <w:szCs w:val="26"/>
        </w:rPr>
        <w:t xml:space="preserve"> </w:t>
      </w:r>
      <w:r>
        <w:rPr>
          <w:sz w:val="26"/>
          <w:szCs w:val="26"/>
        </w:rPr>
        <w:t>suggest</w:t>
      </w:r>
      <w:r w:rsidR="00B01091">
        <w:rPr>
          <w:sz w:val="26"/>
          <w:szCs w:val="26"/>
        </w:rPr>
        <w:t>ed</w:t>
      </w:r>
      <w:r>
        <w:rPr>
          <w:sz w:val="26"/>
          <w:szCs w:val="26"/>
        </w:rPr>
        <w:t xml:space="preserve"> programs that would be implemented dur</w:t>
      </w:r>
      <w:r w:rsidR="00B01091">
        <w:rPr>
          <w:sz w:val="26"/>
          <w:szCs w:val="26"/>
        </w:rPr>
        <w:t xml:space="preserve">ing this round of DSPs </w:t>
      </w:r>
      <w:r>
        <w:rPr>
          <w:sz w:val="26"/>
          <w:szCs w:val="26"/>
        </w:rPr>
        <w:t xml:space="preserve">to bolster </w:t>
      </w:r>
      <w:r>
        <w:rPr>
          <w:sz w:val="26"/>
          <w:szCs w:val="26"/>
        </w:rPr>
        <w:lastRenderedPageBreak/>
        <w:t>customer participation in the retail electric market.  However, these steps can only jumpstart the market if they are effectively implemente</w:t>
      </w:r>
      <w:r w:rsidR="00817D6D">
        <w:rPr>
          <w:sz w:val="26"/>
          <w:szCs w:val="26"/>
        </w:rPr>
        <w:t xml:space="preserve">d.  We urge the EGSs, </w:t>
      </w:r>
      <w:r>
        <w:rPr>
          <w:sz w:val="26"/>
          <w:szCs w:val="26"/>
        </w:rPr>
        <w:t xml:space="preserve">Duquesne </w:t>
      </w:r>
      <w:r w:rsidR="00817D6D">
        <w:rPr>
          <w:sz w:val="26"/>
          <w:szCs w:val="26"/>
        </w:rPr>
        <w:t xml:space="preserve">and other Parties </w:t>
      </w:r>
      <w:r>
        <w:rPr>
          <w:sz w:val="26"/>
          <w:szCs w:val="26"/>
        </w:rPr>
        <w:t>to reach an agr</w:t>
      </w:r>
      <w:r w:rsidR="00817D6D">
        <w:rPr>
          <w:sz w:val="26"/>
          <w:szCs w:val="26"/>
        </w:rPr>
        <w:t xml:space="preserve">eement on how to minimize </w:t>
      </w:r>
      <w:r>
        <w:rPr>
          <w:sz w:val="26"/>
          <w:szCs w:val="26"/>
        </w:rPr>
        <w:t xml:space="preserve">costs and allocate these costs </w:t>
      </w:r>
      <w:r w:rsidR="00817D6D">
        <w:rPr>
          <w:sz w:val="26"/>
          <w:szCs w:val="26"/>
        </w:rPr>
        <w:t>to participating EGSs in order to carry out these P</w:t>
      </w:r>
      <w:r>
        <w:rPr>
          <w:sz w:val="26"/>
          <w:szCs w:val="26"/>
        </w:rPr>
        <w:t xml:space="preserve">rograms in a cost-effective manner and bring more retail customers to the competitive electric generation market.  </w:t>
      </w:r>
    </w:p>
    <w:p w:rsidR="006D47C0" w:rsidRDefault="006D47C0" w:rsidP="00584C88">
      <w:pPr>
        <w:pStyle w:val="Heading3"/>
      </w:pPr>
      <w:bookmarkStart w:id="180" w:name="_Toc346705422"/>
      <w:r w:rsidRPr="00EE5722">
        <w:t>4.</w:t>
      </w:r>
      <w:r w:rsidRPr="00EE5722">
        <w:tab/>
        <w:t>CAP Customer Participation</w:t>
      </w:r>
      <w:r w:rsidR="004E7BB3">
        <w:t xml:space="preserve"> in RME</w:t>
      </w:r>
      <w:r w:rsidR="00265E29">
        <w:t xml:space="preserve"> Programs</w:t>
      </w:r>
      <w:bookmarkEnd w:id="180"/>
    </w:p>
    <w:p w:rsidR="00715FCE" w:rsidRPr="00EE5722" w:rsidRDefault="00715FCE" w:rsidP="002C14B3">
      <w:pPr>
        <w:pStyle w:val="BriefL3"/>
        <w:numPr>
          <w:ilvl w:val="0"/>
          <w:numId w:val="0"/>
        </w:numPr>
        <w:spacing w:after="0" w:line="360" w:lineRule="auto"/>
        <w:ind w:left="1440"/>
        <w:outlineLvl w:val="9"/>
        <w:rPr>
          <w:b/>
          <w:sz w:val="26"/>
          <w:szCs w:val="26"/>
        </w:rPr>
      </w:pPr>
    </w:p>
    <w:p w:rsidR="006D47C0" w:rsidRPr="00EE5722" w:rsidRDefault="006738F4" w:rsidP="00584C88">
      <w:pPr>
        <w:pStyle w:val="Heading4"/>
        <w:numPr>
          <w:ilvl w:val="0"/>
          <w:numId w:val="0"/>
        </w:numPr>
        <w:ind w:left="2880" w:hanging="720"/>
      </w:pPr>
      <w:bookmarkStart w:id="181" w:name="_Toc346705423"/>
      <w:r>
        <w:t>a.</w:t>
      </w:r>
      <w:r>
        <w:tab/>
        <w:t>Duquesne</w:t>
      </w:r>
      <w:r w:rsidR="006D47C0" w:rsidRPr="00EE5722">
        <w:t>’s Proposal</w:t>
      </w:r>
      <w:bookmarkEnd w:id="181"/>
    </w:p>
    <w:p w:rsidR="006D47C0" w:rsidRPr="00EE5722" w:rsidRDefault="006D47C0" w:rsidP="00A6658E">
      <w:pPr>
        <w:pStyle w:val="BodyText"/>
        <w:spacing w:after="0" w:line="360" w:lineRule="auto"/>
        <w:ind w:left="0" w:firstLine="0"/>
        <w:rPr>
          <w:sz w:val="26"/>
          <w:szCs w:val="26"/>
        </w:rPr>
      </w:pPr>
    </w:p>
    <w:p w:rsidR="006D47C0" w:rsidRDefault="006D47C0" w:rsidP="00A6658E">
      <w:pPr>
        <w:pStyle w:val="BodyText2"/>
        <w:spacing w:after="0" w:line="360" w:lineRule="auto"/>
        <w:rPr>
          <w:sz w:val="26"/>
          <w:szCs w:val="26"/>
        </w:rPr>
      </w:pPr>
      <w:r w:rsidRPr="00EE5722">
        <w:rPr>
          <w:sz w:val="26"/>
          <w:szCs w:val="26"/>
        </w:rPr>
        <w:tab/>
      </w:r>
      <w:r w:rsidRPr="00EE5722">
        <w:rPr>
          <w:sz w:val="26"/>
          <w:szCs w:val="26"/>
        </w:rPr>
        <w:tab/>
        <w:t xml:space="preserve">In </w:t>
      </w:r>
      <w:r w:rsidR="006738F4">
        <w:rPr>
          <w:sz w:val="26"/>
          <w:szCs w:val="26"/>
        </w:rPr>
        <w:t xml:space="preserve">this proceeding, Duquesne </w:t>
      </w:r>
      <w:r w:rsidRPr="00EE5722">
        <w:rPr>
          <w:sz w:val="26"/>
          <w:szCs w:val="26"/>
        </w:rPr>
        <w:t xml:space="preserve">proposed that CAP customers not be allowed to participate in the RME Programs until the Commission sets rules and procedures for portability </w:t>
      </w:r>
      <w:r w:rsidR="006738F4">
        <w:rPr>
          <w:sz w:val="26"/>
          <w:szCs w:val="26"/>
        </w:rPr>
        <w:t>of CAP discounts.  Duquesne</w:t>
      </w:r>
      <w:r w:rsidRPr="00EE5722">
        <w:rPr>
          <w:sz w:val="26"/>
          <w:szCs w:val="26"/>
        </w:rPr>
        <w:t>’s proposal was based on the following considerations:</w:t>
      </w:r>
    </w:p>
    <w:p w:rsidR="00817D6D" w:rsidRPr="00817D6D" w:rsidRDefault="00817D6D" w:rsidP="006D47C0">
      <w:pPr>
        <w:pStyle w:val="BodyText2"/>
        <w:spacing w:after="0" w:line="360" w:lineRule="auto"/>
        <w:rPr>
          <w:sz w:val="26"/>
          <w:szCs w:val="26"/>
        </w:rPr>
      </w:pPr>
    </w:p>
    <w:p w:rsidR="006D47C0" w:rsidRPr="00EE5722" w:rsidRDefault="006D47C0" w:rsidP="009A739B">
      <w:pPr>
        <w:pStyle w:val="BodyText2"/>
        <w:numPr>
          <w:ilvl w:val="0"/>
          <w:numId w:val="12"/>
        </w:numPr>
        <w:spacing w:after="0" w:line="240" w:lineRule="auto"/>
        <w:rPr>
          <w:sz w:val="26"/>
          <w:szCs w:val="26"/>
        </w:rPr>
      </w:pPr>
      <w:r w:rsidRPr="00EE5722">
        <w:rPr>
          <w:sz w:val="26"/>
          <w:szCs w:val="26"/>
        </w:rPr>
        <w:t>CAP customer benefits are not portable and most CAP customers would pay higher rates by participating in the RME prog</w:t>
      </w:r>
      <w:r w:rsidR="00265E29">
        <w:rPr>
          <w:sz w:val="26"/>
          <w:szCs w:val="26"/>
        </w:rPr>
        <w:t>rams without portable benefits;</w:t>
      </w:r>
    </w:p>
    <w:p w:rsidR="006D47C0" w:rsidRPr="00EE5722" w:rsidRDefault="006D47C0" w:rsidP="006D47C0">
      <w:pPr>
        <w:pStyle w:val="BodyText2"/>
        <w:spacing w:after="0" w:line="240" w:lineRule="auto"/>
        <w:ind w:left="2160"/>
        <w:rPr>
          <w:sz w:val="26"/>
          <w:szCs w:val="26"/>
        </w:rPr>
      </w:pPr>
    </w:p>
    <w:p w:rsidR="006D47C0" w:rsidRPr="00EE5722" w:rsidRDefault="006D47C0" w:rsidP="009A739B">
      <w:pPr>
        <w:pStyle w:val="BodyText2"/>
        <w:numPr>
          <w:ilvl w:val="0"/>
          <w:numId w:val="12"/>
        </w:numPr>
        <w:spacing w:after="0" w:line="240" w:lineRule="auto"/>
        <w:rPr>
          <w:sz w:val="26"/>
          <w:szCs w:val="26"/>
        </w:rPr>
      </w:pPr>
      <w:r w:rsidRPr="00EE5722">
        <w:rPr>
          <w:sz w:val="26"/>
          <w:szCs w:val="26"/>
        </w:rPr>
        <w:t xml:space="preserve">Current billing system limitations prevent the Company from issuing an integrated CAP </w:t>
      </w:r>
      <w:r w:rsidR="00265E29">
        <w:rPr>
          <w:sz w:val="26"/>
          <w:szCs w:val="26"/>
        </w:rPr>
        <w:t>bill with supplier charges; and</w:t>
      </w:r>
    </w:p>
    <w:p w:rsidR="006D47C0" w:rsidRPr="00EE5722" w:rsidRDefault="006D47C0" w:rsidP="006D47C0">
      <w:pPr>
        <w:pStyle w:val="BodyText2"/>
        <w:spacing w:after="0" w:line="240" w:lineRule="auto"/>
        <w:ind w:left="2160"/>
        <w:rPr>
          <w:sz w:val="26"/>
          <w:szCs w:val="26"/>
        </w:rPr>
      </w:pPr>
    </w:p>
    <w:p w:rsidR="006D47C0" w:rsidRPr="00EE5722" w:rsidRDefault="006D47C0" w:rsidP="006D47C0">
      <w:pPr>
        <w:pStyle w:val="BodyText2"/>
        <w:spacing w:after="0" w:line="240" w:lineRule="auto"/>
        <w:ind w:left="2160" w:hanging="720"/>
        <w:rPr>
          <w:sz w:val="26"/>
          <w:szCs w:val="26"/>
        </w:rPr>
      </w:pPr>
      <w:r w:rsidRPr="00EE5722">
        <w:rPr>
          <w:sz w:val="26"/>
          <w:szCs w:val="26"/>
        </w:rPr>
        <w:t>(3)</w:t>
      </w:r>
      <w:r w:rsidRPr="00EE5722">
        <w:rPr>
          <w:sz w:val="26"/>
          <w:szCs w:val="26"/>
        </w:rPr>
        <w:tab/>
        <w:t>The Commission should first conduct a generic process to address issues regarding CAP customer shopping, portability of CAP benefits and participation in RME programs.</w:t>
      </w:r>
    </w:p>
    <w:p w:rsidR="006D47C0" w:rsidRPr="00EE5722" w:rsidRDefault="006D47C0" w:rsidP="006D47C0">
      <w:pPr>
        <w:pStyle w:val="BodyText2"/>
        <w:spacing w:after="0" w:line="240" w:lineRule="auto"/>
        <w:rPr>
          <w:sz w:val="26"/>
          <w:szCs w:val="26"/>
        </w:rPr>
      </w:pPr>
    </w:p>
    <w:p w:rsidR="006D47C0" w:rsidRPr="00265E29" w:rsidRDefault="005538CD" w:rsidP="00947667">
      <w:pPr>
        <w:pStyle w:val="BodyText2"/>
        <w:spacing w:after="0" w:line="360" w:lineRule="auto"/>
        <w:rPr>
          <w:sz w:val="26"/>
          <w:szCs w:val="26"/>
        </w:rPr>
      </w:pPr>
      <w:r>
        <w:rPr>
          <w:sz w:val="26"/>
          <w:szCs w:val="26"/>
        </w:rPr>
        <w:t xml:space="preserve">Duquesne St. </w:t>
      </w:r>
      <w:r w:rsidR="006738F4">
        <w:rPr>
          <w:sz w:val="26"/>
          <w:szCs w:val="26"/>
        </w:rPr>
        <w:t>5-R, Exh.</w:t>
      </w:r>
      <w:r w:rsidR="00265E29">
        <w:rPr>
          <w:sz w:val="26"/>
          <w:szCs w:val="26"/>
        </w:rPr>
        <w:t xml:space="preserve"> MRS-2.</w:t>
      </w:r>
    </w:p>
    <w:p w:rsidR="006D47C0" w:rsidRPr="00EE5722" w:rsidRDefault="006D47C0" w:rsidP="006D47C0">
      <w:pPr>
        <w:pStyle w:val="BodyText2"/>
        <w:spacing w:after="0" w:line="360" w:lineRule="auto"/>
        <w:rPr>
          <w:sz w:val="26"/>
          <w:szCs w:val="26"/>
        </w:rPr>
      </w:pPr>
    </w:p>
    <w:p w:rsidR="006D47C0" w:rsidRPr="003207EB" w:rsidRDefault="006738F4" w:rsidP="006D47C0">
      <w:pPr>
        <w:pStyle w:val="BodyText2"/>
        <w:spacing w:after="0" w:line="360" w:lineRule="auto"/>
        <w:rPr>
          <w:sz w:val="26"/>
          <w:szCs w:val="26"/>
        </w:rPr>
      </w:pPr>
      <w:r>
        <w:rPr>
          <w:sz w:val="26"/>
          <w:szCs w:val="26"/>
        </w:rPr>
        <w:tab/>
      </w:r>
      <w:r>
        <w:rPr>
          <w:sz w:val="26"/>
          <w:szCs w:val="26"/>
        </w:rPr>
        <w:tab/>
        <w:t>Duquesne</w:t>
      </w:r>
      <w:r w:rsidR="002C14B3">
        <w:rPr>
          <w:sz w:val="26"/>
          <w:szCs w:val="26"/>
        </w:rPr>
        <w:t xml:space="preserve"> acknowledged that the Commission determined that </w:t>
      </w:r>
      <w:r w:rsidR="006D47C0" w:rsidRPr="00EE5722">
        <w:rPr>
          <w:sz w:val="26"/>
          <w:szCs w:val="26"/>
        </w:rPr>
        <w:t>CAP customers should be permi</w:t>
      </w:r>
      <w:r w:rsidR="005538CD">
        <w:rPr>
          <w:sz w:val="26"/>
          <w:szCs w:val="26"/>
        </w:rPr>
        <w:t>tted to participate in RME p</w:t>
      </w:r>
      <w:r w:rsidR="006D47C0" w:rsidRPr="00EE5722">
        <w:rPr>
          <w:sz w:val="26"/>
          <w:szCs w:val="26"/>
        </w:rPr>
        <w:t>rograms</w:t>
      </w:r>
      <w:r w:rsidR="005538CD">
        <w:rPr>
          <w:sz w:val="26"/>
          <w:szCs w:val="26"/>
        </w:rPr>
        <w:t xml:space="preserve"> </w:t>
      </w:r>
      <w:r w:rsidR="006D47C0" w:rsidRPr="00EE5722">
        <w:rPr>
          <w:sz w:val="26"/>
          <w:szCs w:val="26"/>
        </w:rPr>
        <w:t>in the</w:t>
      </w:r>
      <w:r w:rsidR="006D47C0" w:rsidRPr="002C14B3">
        <w:rPr>
          <w:sz w:val="26"/>
          <w:szCs w:val="26"/>
        </w:rPr>
        <w:t xml:space="preserve"> PECO</w:t>
      </w:r>
      <w:r w:rsidR="005538CD">
        <w:rPr>
          <w:i/>
          <w:sz w:val="26"/>
          <w:szCs w:val="26"/>
        </w:rPr>
        <w:t xml:space="preserve"> </w:t>
      </w:r>
      <w:r w:rsidR="005538CD">
        <w:rPr>
          <w:sz w:val="26"/>
          <w:szCs w:val="26"/>
        </w:rPr>
        <w:t xml:space="preserve">and </w:t>
      </w:r>
      <w:r w:rsidR="006D47C0" w:rsidRPr="002C14B3">
        <w:rPr>
          <w:sz w:val="26"/>
          <w:szCs w:val="26"/>
        </w:rPr>
        <w:t>F</w:t>
      </w:r>
      <w:r w:rsidR="002C14B3" w:rsidRPr="002C14B3">
        <w:rPr>
          <w:sz w:val="26"/>
          <w:szCs w:val="26"/>
        </w:rPr>
        <w:t>irstEnergy</w:t>
      </w:r>
      <w:r w:rsidR="002C14B3">
        <w:rPr>
          <w:sz w:val="26"/>
          <w:szCs w:val="26"/>
        </w:rPr>
        <w:t xml:space="preserve"> DSP </w:t>
      </w:r>
      <w:r w:rsidR="006D47C0" w:rsidRPr="00EE5722">
        <w:rPr>
          <w:sz w:val="26"/>
          <w:szCs w:val="26"/>
        </w:rPr>
        <w:t>proceeding</w:t>
      </w:r>
      <w:r w:rsidR="005538CD">
        <w:rPr>
          <w:sz w:val="26"/>
          <w:szCs w:val="26"/>
        </w:rPr>
        <w:t>s</w:t>
      </w:r>
      <w:r w:rsidR="006D47C0" w:rsidRPr="00EE5722">
        <w:rPr>
          <w:sz w:val="26"/>
          <w:szCs w:val="26"/>
        </w:rPr>
        <w:t xml:space="preserve">.  </w:t>
      </w:r>
      <w:r w:rsidR="002C14B3">
        <w:rPr>
          <w:sz w:val="26"/>
          <w:szCs w:val="26"/>
        </w:rPr>
        <w:t>However</w:t>
      </w:r>
      <w:r>
        <w:rPr>
          <w:sz w:val="26"/>
          <w:szCs w:val="26"/>
        </w:rPr>
        <w:t xml:space="preserve">, Duquesne </w:t>
      </w:r>
      <w:r w:rsidR="006D47C0" w:rsidRPr="00EE5722">
        <w:rPr>
          <w:sz w:val="26"/>
          <w:szCs w:val="26"/>
        </w:rPr>
        <w:t>will be required to implement complex IT procedures and tracking mechanisms before it can comply with the Commissio</w:t>
      </w:r>
      <w:r>
        <w:rPr>
          <w:sz w:val="26"/>
          <w:szCs w:val="26"/>
        </w:rPr>
        <w:t>n’</w:t>
      </w:r>
      <w:r w:rsidR="005538CD">
        <w:rPr>
          <w:sz w:val="26"/>
          <w:szCs w:val="26"/>
        </w:rPr>
        <w:t xml:space="preserve">s directives.  Duquesne St. </w:t>
      </w:r>
      <w:r>
        <w:rPr>
          <w:sz w:val="26"/>
          <w:szCs w:val="26"/>
        </w:rPr>
        <w:t xml:space="preserve">5-R at </w:t>
      </w:r>
      <w:r w:rsidR="006D47C0" w:rsidRPr="00EE5722">
        <w:rPr>
          <w:sz w:val="26"/>
          <w:szCs w:val="26"/>
        </w:rPr>
        <w:t>5.</w:t>
      </w:r>
      <w:r w:rsidR="005538CD">
        <w:rPr>
          <w:sz w:val="26"/>
          <w:szCs w:val="26"/>
        </w:rPr>
        <w:t xml:space="preserve">  In anticipation of this project</w:t>
      </w:r>
      <w:r w:rsidR="006D47C0" w:rsidRPr="00EE5722">
        <w:rPr>
          <w:sz w:val="26"/>
          <w:szCs w:val="26"/>
        </w:rPr>
        <w:t xml:space="preserve"> </w:t>
      </w:r>
      <w:r>
        <w:rPr>
          <w:sz w:val="26"/>
          <w:szCs w:val="26"/>
        </w:rPr>
        <w:t xml:space="preserve">being </w:t>
      </w:r>
      <w:r>
        <w:rPr>
          <w:sz w:val="26"/>
          <w:szCs w:val="26"/>
        </w:rPr>
        <w:lastRenderedPageBreak/>
        <w:t xml:space="preserve">completed, Duquesne </w:t>
      </w:r>
      <w:r w:rsidR="006D47C0" w:rsidRPr="00EE5722">
        <w:rPr>
          <w:sz w:val="26"/>
          <w:szCs w:val="26"/>
        </w:rPr>
        <w:t>proposed to work with the C</w:t>
      </w:r>
      <w:r w:rsidR="005538CD">
        <w:rPr>
          <w:sz w:val="26"/>
          <w:szCs w:val="26"/>
        </w:rPr>
        <w:t>ommission Staff and interested P</w:t>
      </w:r>
      <w:r w:rsidR="006D47C0" w:rsidRPr="00EE5722">
        <w:rPr>
          <w:sz w:val="26"/>
          <w:szCs w:val="26"/>
        </w:rPr>
        <w:t>arties to develop a plan to make CAP customer benefits portable by January 1, 2014, consistent with the</w:t>
      </w:r>
      <w:r w:rsidR="006D47C0" w:rsidRPr="002C14B3">
        <w:rPr>
          <w:sz w:val="26"/>
          <w:szCs w:val="26"/>
        </w:rPr>
        <w:t xml:space="preserve"> </w:t>
      </w:r>
      <w:r w:rsidR="003207EB">
        <w:rPr>
          <w:sz w:val="26"/>
          <w:szCs w:val="26"/>
        </w:rPr>
        <w:t xml:space="preserve">Commission’s decision in the </w:t>
      </w:r>
      <w:r w:rsidR="006D47C0" w:rsidRPr="002C14B3">
        <w:rPr>
          <w:sz w:val="26"/>
          <w:szCs w:val="26"/>
        </w:rPr>
        <w:t xml:space="preserve">PECO </w:t>
      </w:r>
      <w:r w:rsidR="002C14B3" w:rsidRPr="002C14B3">
        <w:rPr>
          <w:sz w:val="26"/>
          <w:szCs w:val="26"/>
        </w:rPr>
        <w:t>DSP</w:t>
      </w:r>
      <w:r w:rsidR="003207EB">
        <w:rPr>
          <w:sz w:val="26"/>
          <w:szCs w:val="26"/>
        </w:rPr>
        <w:t xml:space="preserve"> proceeding.  </w:t>
      </w:r>
      <w:r w:rsidR="003207EB" w:rsidRPr="003207EB">
        <w:rPr>
          <w:i/>
          <w:sz w:val="26"/>
          <w:szCs w:val="26"/>
        </w:rPr>
        <w:t>PECO DSP Order</w:t>
      </w:r>
      <w:r w:rsidR="00211CF2">
        <w:rPr>
          <w:sz w:val="26"/>
          <w:szCs w:val="26"/>
        </w:rPr>
        <w:t xml:space="preserve"> at</w:t>
      </w:r>
      <w:r w:rsidR="00211CF2">
        <w:rPr>
          <w:sz w:val="26"/>
          <w:szCs w:val="26"/>
          <w:lang w:val="en-US"/>
        </w:rPr>
        <w:t> </w:t>
      </w:r>
      <w:r w:rsidR="003207EB">
        <w:rPr>
          <w:sz w:val="26"/>
          <w:szCs w:val="26"/>
        </w:rPr>
        <w:t>131-132.</w:t>
      </w:r>
    </w:p>
    <w:p w:rsidR="006D47C0" w:rsidRPr="00EE5722" w:rsidRDefault="006D47C0" w:rsidP="006D47C0">
      <w:pPr>
        <w:pStyle w:val="BodyText"/>
        <w:spacing w:after="0" w:line="360" w:lineRule="auto"/>
        <w:ind w:left="0" w:firstLine="0"/>
        <w:rPr>
          <w:sz w:val="26"/>
          <w:szCs w:val="26"/>
        </w:rPr>
      </w:pPr>
    </w:p>
    <w:p w:rsidR="006D47C0" w:rsidRPr="00EE5722" w:rsidRDefault="005538CD" w:rsidP="00584C88">
      <w:pPr>
        <w:pStyle w:val="Heading4"/>
        <w:numPr>
          <w:ilvl w:val="0"/>
          <w:numId w:val="0"/>
        </w:numPr>
        <w:ind w:left="2880" w:hanging="720"/>
      </w:pPr>
      <w:bookmarkStart w:id="182" w:name="_Toc346705424"/>
      <w:r>
        <w:t>b.</w:t>
      </w:r>
      <w:r>
        <w:tab/>
      </w:r>
      <w:r w:rsidR="006D47C0" w:rsidRPr="00EE5722">
        <w:t>Position</w:t>
      </w:r>
      <w:r>
        <w:t>s of the Parties</w:t>
      </w:r>
      <w:bookmarkEnd w:id="182"/>
    </w:p>
    <w:p w:rsidR="006D47C0" w:rsidRPr="00EE5722" w:rsidRDefault="006D47C0" w:rsidP="006D47C0">
      <w:pPr>
        <w:pStyle w:val="BodyText"/>
        <w:spacing w:after="0" w:line="360" w:lineRule="auto"/>
        <w:ind w:left="0" w:firstLine="0"/>
        <w:rPr>
          <w:sz w:val="26"/>
          <w:szCs w:val="26"/>
        </w:rPr>
      </w:pPr>
    </w:p>
    <w:p w:rsidR="006D47C0" w:rsidRDefault="002C14B3" w:rsidP="006D47C0">
      <w:pPr>
        <w:spacing w:line="360" w:lineRule="auto"/>
        <w:ind w:firstLine="1440"/>
        <w:rPr>
          <w:sz w:val="26"/>
          <w:szCs w:val="26"/>
        </w:rPr>
      </w:pPr>
      <w:r>
        <w:rPr>
          <w:sz w:val="26"/>
          <w:szCs w:val="26"/>
        </w:rPr>
        <w:t xml:space="preserve">The </w:t>
      </w:r>
      <w:r w:rsidR="003A5389">
        <w:rPr>
          <w:sz w:val="26"/>
          <w:szCs w:val="26"/>
        </w:rPr>
        <w:t>OCA pointed</w:t>
      </w:r>
      <w:r w:rsidR="006D47C0" w:rsidRPr="00EE5722">
        <w:rPr>
          <w:sz w:val="26"/>
          <w:szCs w:val="26"/>
        </w:rPr>
        <w:t xml:space="preserve"> out that, in the </w:t>
      </w:r>
      <w:r w:rsidR="006D47C0" w:rsidRPr="00EE5722">
        <w:rPr>
          <w:i/>
          <w:sz w:val="26"/>
          <w:szCs w:val="26"/>
        </w:rPr>
        <w:t xml:space="preserve">IWP </w:t>
      </w:r>
      <w:r w:rsidR="00F25874">
        <w:rPr>
          <w:i/>
          <w:sz w:val="26"/>
          <w:szCs w:val="26"/>
        </w:rPr>
        <w:t xml:space="preserve">Final </w:t>
      </w:r>
      <w:r w:rsidR="006D47C0" w:rsidRPr="00EE5722">
        <w:rPr>
          <w:i/>
          <w:sz w:val="26"/>
          <w:szCs w:val="26"/>
        </w:rPr>
        <w:t>Order</w:t>
      </w:r>
      <w:r w:rsidR="006D47C0" w:rsidRPr="00EE5722">
        <w:rPr>
          <w:sz w:val="26"/>
          <w:szCs w:val="26"/>
        </w:rPr>
        <w:t>, the Commission referred the question of whether CAP c</w:t>
      </w:r>
      <w:r>
        <w:rPr>
          <w:sz w:val="26"/>
          <w:szCs w:val="26"/>
        </w:rPr>
        <w:t>ustomers can participate in RME programs</w:t>
      </w:r>
      <w:r w:rsidR="006D47C0" w:rsidRPr="00EE5722">
        <w:rPr>
          <w:sz w:val="26"/>
          <w:szCs w:val="26"/>
        </w:rPr>
        <w:t xml:space="preserve"> to the RMI Universal Service working group</w:t>
      </w:r>
      <w:r w:rsidR="006D47C0" w:rsidRPr="00EE5722">
        <w:rPr>
          <w:i/>
          <w:sz w:val="26"/>
          <w:szCs w:val="26"/>
        </w:rPr>
        <w:t xml:space="preserve">.  IWP </w:t>
      </w:r>
      <w:r w:rsidR="00F25874">
        <w:rPr>
          <w:i/>
          <w:sz w:val="26"/>
          <w:szCs w:val="26"/>
        </w:rPr>
        <w:t xml:space="preserve">Final </w:t>
      </w:r>
      <w:r w:rsidR="006D47C0" w:rsidRPr="00EE5722">
        <w:rPr>
          <w:i/>
          <w:sz w:val="26"/>
          <w:szCs w:val="26"/>
        </w:rPr>
        <w:t>Order</w:t>
      </w:r>
      <w:r w:rsidR="006D47C0" w:rsidRPr="00EE5722">
        <w:rPr>
          <w:sz w:val="26"/>
          <w:szCs w:val="26"/>
        </w:rPr>
        <w:t xml:space="preserve"> at 18.  While </w:t>
      </w:r>
      <w:r>
        <w:rPr>
          <w:sz w:val="26"/>
          <w:szCs w:val="26"/>
        </w:rPr>
        <w:t xml:space="preserve">the </w:t>
      </w:r>
      <w:r w:rsidR="006D47C0" w:rsidRPr="00EE5722">
        <w:rPr>
          <w:sz w:val="26"/>
          <w:szCs w:val="26"/>
        </w:rPr>
        <w:t xml:space="preserve">OCA did not present specific testimony on this issue </w:t>
      </w:r>
      <w:r w:rsidR="003A5389">
        <w:rPr>
          <w:sz w:val="26"/>
          <w:szCs w:val="26"/>
        </w:rPr>
        <w:t xml:space="preserve">in this proceeding, </w:t>
      </w:r>
      <w:r>
        <w:rPr>
          <w:sz w:val="26"/>
          <w:szCs w:val="26"/>
        </w:rPr>
        <w:t xml:space="preserve">the </w:t>
      </w:r>
      <w:r w:rsidR="003A5389">
        <w:rPr>
          <w:sz w:val="26"/>
          <w:szCs w:val="26"/>
        </w:rPr>
        <w:t>OCA supported</w:t>
      </w:r>
      <w:r w:rsidR="006D47C0" w:rsidRPr="00EE5722">
        <w:rPr>
          <w:sz w:val="26"/>
          <w:szCs w:val="26"/>
        </w:rPr>
        <w:t xml:space="preserve"> the p</w:t>
      </w:r>
      <w:r w:rsidR="006738F4">
        <w:rPr>
          <w:sz w:val="26"/>
          <w:szCs w:val="26"/>
        </w:rPr>
        <w:t>roposal of Duquesne and CAUSE</w:t>
      </w:r>
      <w:r w:rsidR="002C7160">
        <w:rPr>
          <w:sz w:val="26"/>
          <w:szCs w:val="26"/>
        </w:rPr>
        <w:t xml:space="preserve"> </w:t>
      </w:r>
      <w:r w:rsidR="006D47C0" w:rsidRPr="00EE5722">
        <w:rPr>
          <w:sz w:val="26"/>
          <w:szCs w:val="26"/>
        </w:rPr>
        <w:t xml:space="preserve">that this question be considered </w:t>
      </w:r>
      <w:r w:rsidR="00393B24">
        <w:rPr>
          <w:sz w:val="26"/>
          <w:szCs w:val="26"/>
        </w:rPr>
        <w:t xml:space="preserve">by </w:t>
      </w:r>
      <w:r w:rsidR="006D47C0" w:rsidRPr="00EE5722">
        <w:rPr>
          <w:sz w:val="26"/>
          <w:szCs w:val="26"/>
        </w:rPr>
        <w:t>the Commis</w:t>
      </w:r>
      <w:r>
        <w:rPr>
          <w:sz w:val="26"/>
          <w:szCs w:val="26"/>
        </w:rPr>
        <w:t xml:space="preserve">sion’s RMI Universal Service working </w:t>
      </w:r>
      <w:r w:rsidR="006D47C0" w:rsidRPr="00EE5722">
        <w:rPr>
          <w:sz w:val="26"/>
          <w:szCs w:val="26"/>
        </w:rPr>
        <w:t xml:space="preserve">group.  </w:t>
      </w:r>
      <w:r w:rsidR="00265E29">
        <w:rPr>
          <w:sz w:val="26"/>
          <w:szCs w:val="26"/>
        </w:rPr>
        <w:t>OCA St. 2-R at 6.</w:t>
      </w:r>
    </w:p>
    <w:p w:rsidR="003A5389" w:rsidRPr="00EE5722" w:rsidRDefault="003A5389" w:rsidP="006D47C0">
      <w:pPr>
        <w:spacing w:line="360" w:lineRule="auto"/>
        <w:ind w:firstLine="1440"/>
        <w:rPr>
          <w:sz w:val="26"/>
          <w:szCs w:val="26"/>
        </w:rPr>
      </w:pPr>
    </w:p>
    <w:p w:rsidR="003A5389" w:rsidRDefault="0038269A" w:rsidP="003A5389">
      <w:pPr>
        <w:tabs>
          <w:tab w:val="num" w:pos="720"/>
        </w:tabs>
        <w:spacing w:line="360" w:lineRule="auto"/>
        <w:ind w:firstLine="1440"/>
        <w:rPr>
          <w:sz w:val="26"/>
          <w:szCs w:val="26"/>
        </w:rPr>
      </w:pPr>
      <w:r>
        <w:rPr>
          <w:sz w:val="26"/>
          <w:szCs w:val="26"/>
        </w:rPr>
        <w:t xml:space="preserve">RESA </w:t>
      </w:r>
      <w:r w:rsidR="002C14B3">
        <w:rPr>
          <w:sz w:val="26"/>
          <w:szCs w:val="26"/>
        </w:rPr>
        <w:t xml:space="preserve">asserted that </w:t>
      </w:r>
      <w:r w:rsidR="003A5389" w:rsidRPr="00EE5722">
        <w:rPr>
          <w:sz w:val="26"/>
          <w:szCs w:val="26"/>
        </w:rPr>
        <w:t>there i</w:t>
      </w:r>
      <w:r>
        <w:rPr>
          <w:sz w:val="26"/>
          <w:szCs w:val="26"/>
        </w:rPr>
        <w:t xml:space="preserve">s no reason not to include CAP customers in </w:t>
      </w:r>
      <w:r w:rsidR="003A5389" w:rsidRPr="00EE5722">
        <w:rPr>
          <w:sz w:val="26"/>
          <w:szCs w:val="26"/>
        </w:rPr>
        <w:t>th</w:t>
      </w:r>
      <w:r w:rsidR="003450DD">
        <w:rPr>
          <w:sz w:val="26"/>
          <w:szCs w:val="26"/>
        </w:rPr>
        <w:t xml:space="preserve">e full range of RME </w:t>
      </w:r>
      <w:r w:rsidR="002C14B3">
        <w:rPr>
          <w:sz w:val="26"/>
          <w:szCs w:val="26"/>
        </w:rPr>
        <w:t>programs</w:t>
      </w:r>
      <w:r>
        <w:rPr>
          <w:sz w:val="26"/>
          <w:szCs w:val="26"/>
        </w:rPr>
        <w:t>.  RESA pronounced</w:t>
      </w:r>
      <w:r w:rsidR="002C14B3">
        <w:rPr>
          <w:sz w:val="26"/>
          <w:szCs w:val="26"/>
        </w:rPr>
        <w:t xml:space="preserve"> that </w:t>
      </w:r>
      <w:r w:rsidR="003A5389" w:rsidRPr="00EE5722">
        <w:rPr>
          <w:sz w:val="26"/>
          <w:szCs w:val="26"/>
        </w:rPr>
        <w:t xml:space="preserve">CAP </w:t>
      </w:r>
      <w:r w:rsidR="002C14B3">
        <w:rPr>
          <w:sz w:val="26"/>
          <w:szCs w:val="26"/>
        </w:rPr>
        <w:t xml:space="preserve">customers </w:t>
      </w:r>
      <w:r w:rsidR="003A5389" w:rsidRPr="00EE5722">
        <w:rPr>
          <w:sz w:val="26"/>
          <w:szCs w:val="26"/>
        </w:rPr>
        <w:t xml:space="preserve">are no different from other customers in their need to manage their electricity consumption, and the competitive market gives them options they would not </w:t>
      </w:r>
      <w:r>
        <w:rPr>
          <w:sz w:val="26"/>
          <w:szCs w:val="26"/>
        </w:rPr>
        <w:t>otherwise have</w:t>
      </w:r>
      <w:r w:rsidR="003A5389" w:rsidRPr="00EE5722">
        <w:rPr>
          <w:sz w:val="26"/>
          <w:szCs w:val="26"/>
        </w:rPr>
        <w:t>.</w:t>
      </w:r>
      <w:r w:rsidR="003A5389">
        <w:rPr>
          <w:sz w:val="26"/>
          <w:szCs w:val="26"/>
        </w:rPr>
        <w:t xml:space="preserve">  </w:t>
      </w:r>
      <w:r>
        <w:rPr>
          <w:sz w:val="26"/>
          <w:szCs w:val="26"/>
        </w:rPr>
        <w:t>I</w:t>
      </w:r>
      <w:r w:rsidRPr="00EE5722">
        <w:rPr>
          <w:sz w:val="26"/>
          <w:szCs w:val="26"/>
        </w:rPr>
        <w:t>f the logistics of the CAP program limit a customer’s ability to participate in the competitive m</w:t>
      </w:r>
      <w:r w:rsidR="003450DD">
        <w:rPr>
          <w:sz w:val="26"/>
          <w:szCs w:val="26"/>
        </w:rPr>
        <w:t>arket,</w:t>
      </w:r>
      <w:r>
        <w:rPr>
          <w:sz w:val="26"/>
          <w:szCs w:val="26"/>
        </w:rPr>
        <w:t xml:space="preserve"> </w:t>
      </w:r>
      <w:r w:rsidR="003A5389">
        <w:rPr>
          <w:sz w:val="26"/>
          <w:szCs w:val="26"/>
        </w:rPr>
        <w:t>RESA</w:t>
      </w:r>
      <w:r>
        <w:rPr>
          <w:sz w:val="26"/>
          <w:szCs w:val="26"/>
        </w:rPr>
        <w:t xml:space="preserve">’s </w:t>
      </w:r>
      <w:r w:rsidR="003A5389" w:rsidRPr="00EE5722">
        <w:rPr>
          <w:sz w:val="26"/>
          <w:szCs w:val="26"/>
        </w:rPr>
        <w:t xml:space="preserve">solution is to change the CAP program rather than to discriminate against CAP customers.  RESA </w:t>
      </w:r>
      <w:r w:rsidR="003A5389">
        <w:rPr>
          <w:sz w:val="26"/>
          <w:szCs w:val="26"/>
        </w:rPr>
        <w:t>supported</w:t>
      </w:r>
      <w:r w:rsidR="003A5389" w:rsidRPr="00EE5722">
        <w:rPr>
          <w:sz w:val="26"/>
          <w:szCs w:val="26"/>
        </w:rPr>
        <w:t xml:space="preserve"> the transition of the CAP Program to one in which benefits are provided on a portable</w:t>
      </w:r>
      <w:r>
        <w:rPr>
          <w:sz w:val="26"/>
          <w:szCs w:val="26"/>
        </w:rPr>
        <w:t xml:space="preserve"> basis</w:t>
      </w:r>
      <w:r w:rsidR="003A5389" w:rsidRPr="00EE5722">
        <w:rPr>
          <w:sz w:val="26"/>
          <w:szCs w:val="26"/>
        </w:rPr>
        <w:t>.</w:t>
      </w:r>
      <w:r>
        <w:rPr>
          <w:sz w:val="26"/>
          <w:szCs w:val="26"/>
        </w:rPr>
        <w:t xml:space="preserve"> </w:t>
      </w:r>
    </w:p>
    <w:p w:rsidR="003A5389" w:rsidRPr="00EE5722" w:rsidRDefault="003A5389" w:rsidP="003A5389">
      <w:pPr>
        <w:tabs>
          <w:tab w:val="num" w:pos="720"/>
        </w:tabs>
        <w:spacing w:line="360" w:lineRule="auto"/>
        <w:ind w:firstLine="1440"/>
        <w:rPr>
          <w:sz w:val="26"/>
          <w:szCs w:val="26"/>
        </w:rPr>
      </w:pPr>
    </w:p>
    <w:p w:rsidR="003A5389" w:rsidRPr="00EE5722" w:rsidRDefault="0038269A" w:rsidP="00A6658E">
      <w:pPr>
        <w:spacing w:line="360" w:lineRule="auto"/>
        <w:ind w:firstLine="1440"/>
        <w:rPr>
          <w:sz w:val="26"/>
          <w:szCs w:val="26"/>
        </w:rPr>
      </w:pPr>
      <w:r>
        <w:rPr>
          <w:sz w:val="26"/>
          <w:szCs w:val="26"/>
        </w:rPr>
        <w:t xml:space="preserve">CAUSE </w:t>
      </w:r>
      <w:r w:rsidR="00EB24C1">
        <w:rPr>
          <w:sz w:val="26"/>
          <w:szCs w:val="26"/>
        </w:rPr>
        <w:t xml:space="preserve">argued that </w:t>
      </w:r>
      <w:r w:rsidR="00EB24C1" w:rsidRPr="00EE5722">
        <w:rPr>
          <w:sz w:val="26"/>
          <w:szCs w:val="26"/>
        </w:rPr>
        <w:t>CAP customer p</w:t>
      </w:r>
      <w:r w:rsidR="00EB24C1">
        <w:rPr>
          <w:sz w:val="26"/>
          <w:szCs w:val="26"/>
        </w:rPr>
        <w:t xml:space="preserve">articipation in RME Programs should </w:t>
      </w:r>
      <w:r w:rsidR="00EB24C1" w:rsidRPr="00EE5722">
        <w:rPr>
          <w:sz w:val="26"/>
          <w:szCs w:val="26"/>
        </w:rPr>
        <w:t>be deferred until Duquesne and the Commission take the necessary steps to ensure that low-income and other economically vulnerable consu</w:t>
      </w:r>
      <w:r w:rsidR="00EB24C1">
        <w:rPr>
          <w:sz w:val="26"/>
          <w:szCs w:val="26"/>
        </w:rPr>
        <w:t>mers are adequately protected.</w:t>
      </w:r>
      <w:r w:rsidR="00EB24C1" w:rsidRPr="00644DFF">
        <w:rPr>
          <w:sz w:val="26"/>
          <w:szCs w:val="26"/>
        </w:rPr>
        <w:t xml:space="preserve"> </w:t>
      </w:r>
      <w:r w:rsidR="00EB24C1">
        <w:rPr>
          <w:sz w:val="26"/>
          <w:szCs w:val="26"/>
        </w:rPr>
        <w:t xml:space="preserve">CAUSE </w:t>
      </w:r>
      <w:r>
        <w:rPr>
          <w:sz w:val="26"/>
          <w:szCs w:val="26"/>
        </w:rPr>
        <w:t>submitted that no P</w:t>
      </w:r>
      <w:r w:rsidR="003A5389" w:rsidRPr="00EE5722">
        <w:rPr>
          <w:sz w:val="26"/>
          <w:szCs w:val="26"/>
        </w:rPr>
        <w:t xml:space="preserve">arty contested </w:t>
      </w:r>
      <w:r>
        <w:rPr>
          <w:sz w:val="26"/>
          <w:szCs w:val="26"/>
        </w:rPr>
        <w:t xml:space="preserve">its testimony </w:t>
      </w:r>
      <w:r w:rsidR="003A5389" w:rsidRPr="00EE5722">
        <w:rPr>
          <w:sz w:val="26"/>
          <w:szCs w:val="26"/>
        </w:rPr>
        <w:t>concerning the economic vulnerability of Duquesne’s confirmed low-income cu</w:t>
      </w:r>
      <w:r>
        <w:rPr>
          <w:sz w:val="26"/>
          <w:szCs w:val="26"/>
        </w:rPr>
        <w:t>stomers</w:t>
      </w:r>
      <w:r w:rsidR="003A5389" w:rsidRPr="00EE5722">
        <w:rPr>
          <w:sz w:val="26"/>
          <w:szCs w:val="26"/>
        </w:rPr>
        <w:t xml:space="preserve">.  Households with incomes at or below 150% of the federal poverty guideline lack sufficient income to pay for all of </w:t>
      </w:r>
      <w:r w:rsidR="003A5389" w:rsidRPr="00EE5722">
        <w:rPr>
          <w:sz w:val="26"/>
          <w:szCs w:val="26"/>
        </w:rPr>
        <w:lastRenderedPageBreak/>
        <w:t>their essential needs.</w:t>
      </w:r>
      <w:r w:rsidR="003A5389" w:rsidRPr="00EE5722">
        <w:rPr>
          <w:rStyle w:val="FootnoteReference"/>
          <w:sz w:val="26"/>
          <w:szCs w:val="26"/>
        </w:rPr>
        <w:footnoteReference w:id="100"/>
      </w:r>
      <w:r>
        <w:rPr>
          <w:sz w:val="26"/>
          <w:szCs w:val="26"/>
        </w:rPr>
        <w:t xml:space="preserve">  </w:t>
      </w:r>
      <w:r w:rsidR="003A5389" w:rsidRPr="00EE5722">
        <w:rPr>
          <w:sz w:val="26"/>
          <w:szCs w:val="26"/>
        </w:rPr>
        <w:t>Approximately 10% of Duquesne’s residential customers have been confirmed by Duquesne as being low-income, that is, these households have incomes that are at or below 150%</w:t>
      </w:r>
      <w:r w:rsidR="003A5389">
        <w:rPr>
          <w:sz w:val="26"/>
          <w:szCs w:val="26"/>
        </w:rPr>
        <w:t xml:space="preserve"> of the Federal Poverty Level (FPL</w:t>
      </w:r>
      <w:r w:rsidR="003A5389" w:rsidRPr="00EE5722">
        <w:rPr>
          <w:sz w:val="26"/>
          <w:szCs w:val="26"/>
        </w:rPr>
        <w:t>).</w:t>
      </w:r>
      <w:r w:rsidR="003A5389" w:rsidRPr="00EE5722">
        <w:rPr>
          <w:rStyle w:val="FootnoteReference"/>
          <w:sz w:val="26"/>
          <w:szCs w:val="26"/>
        </w:rPr>
        <w:footnoteReference w:id="101"/>
      </w:r>
      <w:r w:rsidR="003A5389" w:rsidRPr="00EE5722">
        <w:rPr>
          <w:sz w:val="26"/>
          <w:szCs w:val="26"/>
        </w:rPr>
        <w:t xml:space="preserve">  In raw numbers, this is more than 53,000 households out of its approximately 524,000 residential customers.</w:t>
      </w:r>
      <w:r w:rsidR="00533A86">
        <w:rPr>
          <w:sz w:val="26"/>
          <w:szCs w:val="26"/>
        </w:rPr>
        <w:t xml:space="preserve">  </w:t>
      </w:r>
      <w:r w:rsidR="003A5389" w:rsidRPr="00EE5722">
        <w:rPr>
          <w:sz w:val="26"/>
          <w:szCs w:val="26"/>
        </w:rPr>
        <w:t xml:space="preserve">By way of perspective, 150% of the </w:t>
      </w:r>
      <w:r w:rsidR="009200C6">
        <w:rPr>
          <w:sz w:val="26"/>
          <w:szCs w:val="26"/>
        </w:rPr>
        <w:t xml:space="preserve">2012 </w:t>
      </w:r>
      <w:r w:rsidR="003A5389" w:rsidRPr="00EE5722">
        <w:rPr>
          <w:sz w:val="26"/>
          <w:szCs w:val="26"/>
        </w:rPr>
        <w:t>FPL for a family</w:t>
      </w:r>
      <w:r w:rsidR="003450DD">
        <w:rPr>
          <w:sz w:val="26"/>
          <w:szCs w:val="26"/>
        </w:rPr>
        <w:t xml:space="preserve"> of two is $22,695 annually; </w:t>
      </w:r>
      <w:r w:rsidR="003A5389" w:rsidRPr="00EE5722">
        <w:rPr>
          <w:sz w:val="26"/>
          <w:szCs w:val="26"/>
        </w:rPr>
        <w:t>for a family of four</w:t>
      </w:r>
      <w:r w:rsidR="00393B24">
        <w:rPr>
          <w:sz w:val="26"/>
          <w:szCs w:val="26"/>
        </w:rPr>
        <w:t>,</w:t>
      </w:r>
      <w:r w:rsidR="003A5389" w:rsidRPr="00EE5722">
        <w:rPr>
          <w:sz w:val="26"/>
          <w:szCs w:val="26"/>
        </w:rPr>
        <w:t xml:space="preserve"> </w:t>
      </w:r>
      <w:r w:rsidR="003450DD">
        <w:rPr>
          <w:sz w:val="26"/>
          <w:szCs w:val="26"/>
        </w:rPr>
        <w:t xml:space="preserve">150% of the </w:t>
      </w:r>
      <w:r w:rsidR="009200C6">
        <w:rPr>
          <w:sz w:val="26"/>
          <w:szCs w:val="26"/>
        </w:rPr>
        <w:t xml:space="preserve">2012 </w:t>
      </w:r>
      <w:r w:rsidR="003450DD">
        <w:rPr>
          <w:sz w:val="26"/>
          <w:szCs w:val="26"/>
        </w:rPr>
        <w:t xml:space="preserve">FPL </w:t>
      </w:r>
      <w:r w:rsidR="003A5389" w:rsidRPr="00EE5722">
        <w:rPr>
          <w:sz w:val="26"/>
          <w:szCs w:val="26"/>
        </w:rPr>
        <w:t>is $34,</w:t>
      </w:r>
      <w:r w:rsidR="003450DD">
        <w:rPr>
          <w:sz w:val="26"/>
          <w:szCs w:val="26"/>
        </w:rPr>
        <w:t xml:space="preserve">575 annually.  This </w:t>
      </w:r>
      <w:r w:rsidR="003A5389" w:rsidRPr="0038269A">
        <w:rPr>
          <w:sz w:val="26"/>
          <w:szCs w:val="26"/>
        </w:rPr>
        <w:t>is the high end of eligibility</w:t>
      </w:r>
      <w:r w:rsidR="003A5389" w:rsidRPr="00EE5722">
        <w:rPr>
          <w:i/>
          <w:sz w:val="26"/>
          <w:szCs w:val="26"/>
        </w:rPr>
        <w:t xml:space="preserve"> </w:t>
      </w:r>
      <w:r w:rsidR="003A5389" w:rsidRPr="00EE5722">
        <w:rPr>
          <w:sz w:val="26"/>
          <w:szCs w:val="26"/>
        </w:rPr>
        <w:t xml:space="preserve">for CAP and other universal service programs administered </w:t>
      </w:r>
      <w:r>
        <w:rPr>
          <w:sz w:val="26"/>
          <w:szCs w:val="26"/>
        </w:rPr>
        <w:t xml:space="preserve">by Duquesne. </w:t>
      </w:r>
    </w:p>
    <w:p w:rsidR="003A5389" w:rsidRPr="00EE5722" w:rsidRDefault="003A5389" w:rsidP="00A6658E">
      <w:pPr>
        <w:spacing w:line="360" w:lineRule="auto"/>
        <w:ind w:left="720" w:right="720" w:firstLine="720"/>
        <w:jc w:val="both"/>
        <w:rPr>
          <w:sz w:val="26"/>
          <w:szCs w:val="26"/>
        </w:rPr>
      </w:pPr>
    </w:p>
    <w:p w:rsidR="003A5389" w:rsidRPr="00EE5722" w:rsidRDefault="0038269A" w:rsidP="00A6658E">
      <w:pPr>
        <w:spacing w:line="360" w:lineRule="auto"/>
        <w:ind w:firstLine="720"/>
        <w:rPr>
          <w:sz w:val="26"/>
          <w:szCs w:val="26"/>
        </w:rPr>
      </w:pPr>
      <w:r>
        <w:rPr>
          <w:sz w:val="26"/>
          <w:szCs w:val="26"/>
        </w:rPr>
        <w:tab/>
      </w:r>
      <w:r w:rsidR="00533A86">
        <w:rPr>
          <w:sz w:val="26"/>
          <w:szCs w:val="26"/>
        </w:rPr>
        <w:t>CAUSE submitted that t</w:t>
      </w:r>
      <w:r>
        <w:rPr>
          <w:sz w:val="26"/>
          <w:szCs w:val="26"/>
        </w:rPr>
        <w:t>he</w:t>
      </w:r>
      <w:r w:rsidR="003A5389" w:rsidRPr="00EE5722">
        <w:rPr>
          <w:sz w:val="26"/>
          <w:szCs w:val="26"/>
        </w:rPr>
        <w:t xml:space="preserve"> inability to meet essential </w:t>
      </w:r>
      <w:r w:rsidR="00393B24">
        <w:rPr>
          <w:sz w:val="26"/>
          <w:szCs w:val="26"/>
        </w:rPr>
        <w:t>needs</w:t>
      </w:r>
      <w:r>
        <w:rPr>
          <w:sz w:val="26"/>
          <w:szCs w:val="26"/>
        </w:rPr>
        <w:t xml:space="preserve"> </w:t>
      </w:r>
      <w:r w:rsidR="003A5389" w:rsidRPr="00EE5722">
        <w:rPr>
          <w:sz w:val="26"/>
          <w:szCs w:val="26"/>
        </w:rPr>
        <w:t>requires specific Commission consideration.  The Commission recognized the v</w:t>
      </w:r>
      <w:r>
        <w:rPr>
          <w:sz w:val="26"/>
          <w:szCs w:val="26"/>
        </w:rPr>
        <w:t>ulnerability and unique needs of</w:t>
      </w:r>
      <w:r w:rsidR="003A5389" w:rsidRPr="00EE5722">
        <w:rPr>
          <w:sz w:val="26"/>
          <w:szCs w:val="26"/>
        </w:rPr>
        <w:t xml:space="preserve"> CAP customers in its </w:t>
      </w:r>
      <w:r>
        <w:rPr>
          <w:i/>
          <w:sz w:val="26"/>
          <w:szCs w:val="26"/>
        </w:rPr>
        <w:t>IWP</w:t>
      </w:r>
      <w:r w:rsidR="003A5389" w:rsidRPr="00EE5722">
        <w:rPr>
          <w:i/>
          <w:sz w:val="26"/>
          <w:szCs w:val="26"/>
        </w:rPr>
        <w:t xml:space="preserve"> Final Order</w:t>
      </w:r>
      <w:r w:rsidR="003A5389" w:rsidRPr="00EE5722">
        <w:rPr>
          <w:sz w:val="26"/>
          <w:szCs w:val="26"/>
        </w:rPr>
        <w:t xml:space="preserve"> when it stated that CAP custome</w:t>
      </w:r>
      <w:r>
        <w:rPr>
          <w:sz w:val="26"/>
          <w:szCs w:val="26"/>
        </w:rPr>
        <w:t>rs should not participate in a</w:t>
      </w:r>
      <w:r w:rsidR="003450DD">
        <w:rPr>
          <w:sz w:val="26"/>
          <w:szCs w:val="26"/>
        </w:rPr>
        <w:t xml:space="preserve"> customer r</w:t>
      </w:r>
      <w:r w:rsidR="003A5389" w:rsidRPr="00EE5722">
        <w:rPr>
          <w:sz w:val="26"/>
          <w:szCs w:val="26"/>
        </w:rPr>
        <w:t>eferral</w:t>
      </w:r>
      <w:r w:rsidR="003450DD">
        <w:rPr>
          <w:sz w:val="26"/>
          <w:szCs w:val="26"/>
        </w:rPr>
        <w:t xml:space="preserve"> p</w:t>
      </w:r>
      <w:r w:rsidR="003A5389" w:rsidRPr="00EE5722">
        <w:rPr>
          <w:sz w:val="26"/>
          <w:szCs w:val="26"/>
        </w:rPr>
        <w:t>rogram</w:t>
      </w:r>
      <w:r w:rsidR="003450DD">
        <w:rPr>
          <w:sz w:val="26"/>
          <w:szCs w:val="26"/>
        </w:rPr>
        <w:t>,</w:t>
      </w:r>
      <w:r w:rsidR="003A5389" w:rsidRPr="00EE5722">
        <w:rPr>
          <w:sz w:val="26"/>
          <w:szCs w:val="26"/>
        </w:rPr>
        <w:t xml:space="preserve"> an</w:t>
      </w:r>
      <w:r>
        <w:rPr>
          <w:sz w:val="26"/>
          <w:szCs w:val="26"/>
        </w:rPr>
        <w:t>d</w:t>
      </w:r>
      <w:r w:rsidR="003450DD">
        <w:rPr>
          <w:sz w:val="26"/>
          <w:szCs w:val="26"/>
        </w:rPr>
        <w:t xml:space="preserve"> should only participate in an opt-in p</w:t>
      </w:r>
      <w:r>
        <w:rPr>
          <w:sz w:val="26"/>
          <w:szCs w:val="26"/>
        </w:rPr>
        <w:t>rogram</w:t>
      </w:r>
      <w:r w:rsidR="003A5389" w:rsidRPr="00EE5722">
        <w:rPr>
          <w:sz w:val="26"/>
          <w:szCs w:val="26"/>
        </w:rPr>
        <w:t xml:space="preserve"> if they could do so and not be subject to harm.</w:t>
      </w:r>
      <w:r w:rsidR="003A5389" w:rsidRPr="00EE5722">
        <w:rPr>
          <w:rStyle w:val="FootnoteReference"/>
          <w:sz w:val="26"/>
          <w:szCs w:val="26"/>
        </w:rPr>
        <w:footnoteReference w:id="102"/>
      </w:r>
    </w:p>
    <w:p w:rsidR="003A5389" w:rsidRPr="00EE5722" w:rsidRDefault="003A5389" w:rsidP="00A6658E">
      <w:pPr>
        <w:pStyle w:val="CommentText"/>
        <w:spacing w:line="360" w:lineRule="auto"/>
        <w:ind w:firstLine="720"/>
        <w:rPr>
          <w:sz w:val="26"/>
          <w:szCs w:val="26"/>
        </w:rPr>
      </w:pPr>
    </w:p>
    <w:p w:rsidR="003A5389" w:rsidRPr="00EE5722" w:rsidRDefault="00533A86" w:rsidP="00A6658E">
      <w:pPr>
        <w:pStyle w:val="CommentText"/>
        <w:spacing w:line="360" w:lineRule="auto"/>
        <w:ind w:firstLine="720"/>
        <w:rPr>
          <w:sz w:val="26"/>
          <w:szCs w:val="26"/>
        </w:rPr>
      </w:pPr>
      <w:r>
        <w:rPr>
          <w:sz w:val="26"/>
          <w:szCs w:val="26"/>
        </w:rPr>
        <w:tab/>
        <w:t>CAUSE argued that t</w:t>
      </w:r>
      <w:r w:rsidR="003A5389" w:rsidRPr="00EE5722">
        <w:rPr>
          <w:sz w:val="26"/>
          <w:szCs w:val="26"/>
        </w:rPr>
        <w:t xml:space="preserve">he </w:t>
      </w:r>
      <w:r>
        <w:rPr>
          <w:sz w:val="26"/>
          <w:szCs w:val="26"/>
        </w:rPr>
        <w:t>record evidence demonstrates that</w:t>
      </w:r>
      <w:r w:rsidR="003A5389" w:rsidRPr="00EE5722">
        <w:rPr>
          <w:sz w:val="26"/>
          <w:szCs w:val="26"/>
        </w:rPr>
        <w:t xml:space="preserve"> CAP customers would be subject to harm – as that term has been defined by the Commission to mean a total loss of CAP benefits – through their participation in either o</w:t>
      </w:r>
      <w:r>
        <w:rPr>
          <w:sz w:val="26"/>
          <w:szCs w:val="26"/>
        </w:rPr>
        <w:t xml:space="preserve">f the RME Programs.  Although CAP customers </w:t>
      </w:r>
      <w:r w:rsidR="003A5389" w:rsidRPr="00EE5722">
        <w:rPr>
          <w:sz w:val="26"/>
          <w:szCs w:val="26"/>
        </w:rPr>
        <w:t xml:space="preserve">technically </w:t>
      </w:r>
      <w:r>
        <w:rPr>
          <w:sz w:val="26"/>
          <w:szCs w:val="26"/>
        </w:rPr>
        <w:t xml:space="preserve">are </w:t>
      </w:r>
      <w:r w:rsidR="003A5389" w:rsidRPr="00EE5722">
        <w:rPr>
          <w:sz w:val="26"/>
          <w:szCs w:val="26"/>
        </w:rPr>
        <w:t>allowed to shop for an alternate supplier, the supplier would have to separately bil</w:t>
      </w:r>
      <w:r w:rsidR="003450DD">
        <w:rPr>
          <w:sz w:val="26"/>
          <w:szCs w:val="26"/>
        </w:rPr>
        <w:t>l the CAP customer.  T</w:t>
      </w:r>
      <w:r>
        <w:rPr>
          <w:sz w:val="26"/>
          <w:szCs w:val="26"/>
        </w:rPr>
        <w:t>o date</w:t>
      </w:r>
      <w:r w:rsidR="003450DD">
        <w:rPr>
          <w:sz w:val="26"/>
          <w:szCs w:val="26"/>
        </w:rPr>
        <w:t>,</w:t>
      </w:r>
      <w:r w:rsidR="003A5389" w:rsidRPr="00EE5722">
        <w:rPr>
          <w:sz w:val="26"/>
          <w:szCs w:val="26"/>
        </w:rPr>
        <w:t xml:space="preserve"> no supplier is able to do so.</w:t>
      </w:r>
      <w:r w:rsidR="003A5389" w:rsidRPr="00EE5722">
        <w:rPr>
          <w:rStyle w:val="FootnoteReference"/>
          <w:sz w:val="26"/>
          <w:szCs w:val="26"/>
        </w:rPr>
        <w:footnoteReference w:id="103"/>
      </w:r>
      <w:r w:rsidR="003A5389" w:rsidRPr="00EE5722">
        <w:rPr>
          <w:sz w:val="26"/>
          <w:szCs w:val="26"/>
        </w:rPr>
        <w:t xml:space="preserve">  Even if a supplier were to offer separate or </w:t>
      </w:r>
      <w:r w:rsidR="003450DD">
        <w:rPr>
          <w:sz w:val="26"/>
          <w:szCs w:val="26"/>
        </w:rPr>
        <w:t xml:space="preserve">dual billing, </w:t>
      </w:r>
      <w:r w:rsidR="003A5389">
        <w:rPr>
          <w:sz w:val="26"/>
          <w:szCs w:val="26"/>
        </w:rPr>
        <w:t xml:space="preserve">CAUSE </w:t>
      </w:r>
      <w:r w:rsidR="003A5389" w:rsidRPr="00EE5722">
        <w:rPr>
          <w:sz w:val="26"/>
          <w:szCs w:val="26"/>
        </w:rPr>
        <w:t xml:space="preserve">introduced uncontested testimony that CAP customers would be harmed by such an arrangement.  For instance, under Duquesne’s currently stated model, if a supplier were to offer a CAP </w:t>
      </w:r>
      <w:r w:rsidR="003A5389" w:rsidRPr="00EE5722">
        <w:rPr>
          <w:sz w:val="26"/>
          <w:szCs w:val="26"/>
        </w:rPr>
        <w:lastRenderedPageBreak/>
        <w:t>customer a lowe</w:t>
      </w:r>
      <w:r w:rsidR="003450DD">
        <w:rPr>
          <w:sz w:val="26"/>
          <w:szCs w:val="26"/>
        </w:rPr>
        <w:t>r rate than the PTC</w:t>
      </w:r>
      <w:r w:rsidR="003A5389" w:rsidRPr="00EE5722">
        <w:rPr>
          <w:sz w:val="26"/>
          <w:szCs w:val="26"/>
        </w:rPr>
        <w:t>, accompanied by dual billing,</w:t>
      </w:r>
      <w:r>
        <w:rPr>
          <w:sz w:val="26"/>
          <w:szCs w:val="26"/>
        </w:rPr>
        <w:t xml:space="preserve"> the CAP customer could shop.  However, t</w:t>
      </w:r>
      <w:r w:rsidR="003A5389" w:rsidRPr="00EE5722">
        <w:rPr>
          <w:sz w:val="26"/>
          <w:szCs w:val="26"/>
        </w:rPr>
        <w:t>his would create a host of complications with CAP customers accessing other services such as LIHEAP.</w:t>
      </w:r>
    </w:p>
    <w:p w:rsidR="003A5389" w:rsidRPr="00EE5722" w:rsidRDefault="003A5389" w:rsidP="003A5389">
      <w:pPr>
        <w:pStyle w:val="CommentText"/>
        <w:spacing w:line="360" w:lineRule="auto"/>
        <w:ind w:firstLine="720"/>
        <w:rPr>
          <w:sz w:val="26"/>
          <w:szCs w:val="26"/>
        </w:rPr>
      </w:pPr>
      <w:r w:rsidRPr="00EE5722">
        <w:rPr>
          <w:sz w:val="26"/>
          <w:szCs w:val="26"/>
        </w:rPr>
        <w:tab/>
        <w:t xml:space="preserve">LIHEAP is a federally-funded block grant program administered on the Federal level by the U.S. Department of Health and Human Services </w:t>
      </w:r>
      <w:r w:rsidR="009200C6">
        <w:rPr>
          <w:sz w:val="26"/>
          <w:szCs w:val="26"/>
        </w:rPr>
        <w:t xml:space="preserve">(HHS), </w:t>
      </w:r>
      <w:r w:rsidRPr="00EE5722">
        <w:rPr>
          <w:sz w:val="26"/>
          <w:szCs w:val="26"/>
        </w:rPr>
        <w:t>Administration for Children and Families.  In Pennsylvania, the block grant allocation is administered by the Department</w:t>
      </w:r>
      <w:r>
        <w:rPr>
          <w:sz w:val="26"/>
          <w:szCs w:val="26"/>
        </w:rPr>
        <w:t xml:space="preserve"> of Public Welfare (DPW</w:t>
      </w:r>
      <w:r w:rsidRPr="00EE5722">
        <w:rPr>
          <w:sz w:val="26"/>
          <w:szCs w:val="26"/>
        </w:rPr>
        <w:t xml:space="preserve">) pursuant to a State Plan that is submitted each year to HHS.  The LIHEAP State Plan specifically excludes the possibility that </w:t>
      </w:r>
      <w:r>
        <w:rPr>
          <w:sz w:val="26"/>
          <w:szCs w:val="26"/>
        </w:rPr>
        <w:t>an EGS can be a LIHEAP vendor.</w:t>
      </w:r>
    </w:p>
    <w:p w:rsidR="003A5389" w:rsidRPr="00EE5722" w:rsidRDefault="003A5389" w:rsidP="003A5389">
      <w:pPr>
        <w:pStyle w:val="ListParagraph"/>
        <w:spacing w:line="360" w:lineRule="auto"/>
        <w:ind w:left="0"/>
        <w:rPr>
          <w:sz w:val="26"/>
          <w:szCs w:val="26"/>
        </w:rPr>
      </w:pPr>
    </w:p>
    <w:p w:rsidR="003A5389" w:rsidRPr="00EE5722" w:rsidRDefault="003A5389" w:rsidP="003A5389">
      <w:pPr>
        <w:pStyle w:val="ListParagraph"/>
        <w:spacing w:line="360" w:lineRule="auto"/>
        <w:ind w:left="0"/>
        <w:rPr>
          <w:sz w:val="26"/>
          <w:szCs w:val="26"/>
        </w:rPr>
      </w:pPr>
      <w:r w:rsidRPr="00EE5722">
        <w:rPr>
          <w:sz w:val="26"/>
          <w:szCs w:val="26"/>
        </w:rPr>
        <w:tab/>
      </w:r>
      <w:r w:rsidRPr="00EE5722">
        <w:rPr>
          <w:sz w:val="26"/>
          <w:szCs w:val="26"/>
        </w:rPr>
        <w:tab/>
        <w:t>Given that an EGS cannot be a direct recipient of LIHEAP grants, a low-income c</w:t>
      </w:r>
      <w:r w:rsidR="00533A86">
        <w:rPr>
          <w:sz w:val="26"/>
          <w:szCs w:val="26"/>
        </w:rPr>
        <w:t>ustomer who chooses an EGS that</w:t>
      </w:r>
      <w:r w:rsidRPr="00EE5722">
        <w:rPr>
          <w:sz w:val="26"/>
          <w:szCs w:val="26"/>
        </w:rPr>
        <w:t xml:space="preserve"> utilizes dual billing would not be able to have his or her LIHEAP grant applied to his or her full energy bill.  Inste</w:t>
      </w:r>
      <w:r w:rsidR="00533A86">
        <w:rPr>
          <w:sz w:val="26"/>
          <w:szCs w:val="26"/>
        </w:rPr>
        <w:t xml:space="preserve">ad, the LIHEAP grant could </w:t>
      </w:r>
      <w:r w:rsidRPr="00EE5722">
        <w:rPr>
          <w:sz w:val="26"/>
          <w:szCs w:val="26"/>
        </w:rPr>
        <w:t xml:space="preserve">be applied </w:t>
      </w:r>
      <w:r w:rsidR="00533A86">
        <w:rPr>
          <w:sz w:val="26"/>
          <w:szCs w:val="26"/>
        </w:rPr>
        <w:t xml:space="preserve">only to </w:t>
      </w:r>
      <w:r w:rsidRPr="00EE5722">
        <w:rPr>
          <w:sz w:val="26"/>
          <w:szCs w:val="26"/>
        </w:rPr>
        <w:t>Duquesne</w:t>
      </w:r>
      <w:r w:rsidR="00533A86">
        <w:rPr>
          <w:sz w:val="26"/>
          <w:szCs w:val="26"/>
        </w:rPr>
        <w:t>’s bill for distribution service</w:t>
      </w:r>
      <w:r w:rsidRPr="00EE5722">
        <w:rPr>
          <w:sz w:val="26"/>
          <w:szCs w:val="26"/>
        </w:rPr>
        <w:t xml:space="preserve">.  A dual billing customer who has remained current on his Duquesne distribution bill would have no way to utilize a LIHEAP cash grant to eliminate the risk of default on EGS bills which have remained unpaid.  </w:t>
      </w:r>
      <w:r w:rsidR="009200C6">
        <w:rPr>
          <w:sz w:val="26"/>
          <w:szCs w:val="26"/>
        </w:rPr>
        <w:t>CAUSE argued that t</w:t>
      </w:r>
      <w:r w:rsidRPr="00EE5722">
        <w:rPr>
          <w:sz w:val="26"/>
          <w:szCs w:val="26"/>
        </w:rPr>
        <w:t>his is unacceptable and would violate the intent of the LIHEAP program</w:t>
      </w:r>
      <w:r w:rsidR="00533A86">
        <w:rPr>
          <w:sz w:val="26"/>
          <w:szCs w:val="26"/>
        </w:rPr>
        <w:t>,</w:t>
      </w:r>
      <w:r w:rsidRPr="00EE5722">
        <w:rPr>
          <w:sz w:val="26"/>
          <w:szCs w:val="26"/>
        </w:rPr>
        <w:t xml:space="preserve"> which is to assist low-income households in paying for home hea</w:t>
      </w:r>
      <w:r>
        <w:rPr>
          <w:sz w:val="26"/>
          <w:szCs w:val="26"/>
        </w:rPr>
        <w:t>ting during the winter months.</w:t>
      </w:r>
    </w:p>
    <w:p w:rsidR="003A5389" w:rsidRPr="00EE5722" w:rsidRDefault="003A5389" w:rsidP="003A5389">
      <w:pPr>
        <w:pStyle w:val="ListParagraph"/>
        <w:spacing w:line="360" w:lineRule="auto"/>
        <w:ind w:left="0"/>
        <w:rPr>
          <w:sz w:val="26"/>
          <w:szCs w:val="26"/>
        </w:rPr>
      </w:pPr>
    </w:p>
    <w:p w:rsidR="003A5389" w:rsidRPr="00EE5722" w:rsidRDefault="003A5389" w:rsidP="00A6658E">
      <w:pPr>
        <w:pStyle w:val="ListParagraph"/>
        <w:spacing w:line="360" w:lineRule="auto"/>
        <w:ind w:left="0"/>
        <w:rPr>
          <w:sz w:val="26"/>
          <w:szCs w:val="26"/>
        </w:rPr>
      </w:pPr>
      <w:r w:rsidRPr="00EE5722">
        <w:rPr>
          <w:sz w:val="26"/>
          <w:szCs w:val="26"/>
        </w:rPr>
        <w:tab/>
      </w:r>
      <w:r w:rsidRPr="00EE5722">
        <w:rPr>
          <w:sz w:val="26"/>
          <w:szCs w:val="26"/>
        </w:rPr>
        <w:tab/>
        <w:t>Furthermore, there are many unanswered questions conce</w:t>
      </w:r>
      <w:r>
        <w:rPr>
          <w:sz w:val="26"/>
          <w:szCs w:val="26"/>
        </w:rPr>
        <w:t xml:space="preserve">rning CAP portability.  </w:t>
      </w:r>
      <w:r w:rsidR="003450DD">
        <w:rPr>
          <w:sz w:val="26"/>
          <w:szCs w:val="26"/>
        </w:rPr>
        <w:t xml:space="preserve">For these reasons, </w:t>
      </w:r>
      <w:r>
        <w:rPr>
          <w:sz w:val="26"/>
          <w:szCs w:val="26"/>
        </w:rPr>
        <w:t>CAUSE</w:t>
      </w:r>
      <w:r w:rsidR="003450DD">
        <w:rPr>
          <w:sz w:val="26"/>
          <w:szCs w:val="26"/>
        </w:rPr>
        <w:t xml:space="preserve"> argued </w:t>
      </w:r>
      <w:r w:rsidRPr="00EE5722">
        <w:rPr>
          <w:sz w:val="26"/>
          <w:szCs w:val="26"/>
        </w:rPr>
        <w:t>that D</w:t>
      </w:r>
      <w:r w:rsidR="00533A86">
        <w:rPr>
          <w:sz w:val="26"/>
          <w:szCs w:val="26"/>
        </w:rPr>
        <w:t xml:space="preserve">uquesne CAP customers at present are </w:t>
      </w:r>
      <w:r w:rsidRPr="00EE5722">
        <w:rPr>
          <w:sz w:val="26"/>
          <w:szCs w:val="26"/>
        </w:rPr>
        <w:t>best served thr</w:t>
      </w:r>
      <w:r w:rsidR="003450DD">
        <w:rPr>
          <w:sz w:val="26"/>
          <w:szCs w:val="26"/>
        </w:rPr>
        <w:t xml:space="preserve">ough default service.  </w:t>
      </w:r>
      <w:r w:rsidRPr="00EE5722">
        <w:rPr>
          <w:sz w:val="26"/>
          <w:szCs w:val="26"/>
        </w:rPr>
        <w:t>Duquesne’s CAP program is designed to work effectively with regulated, default supply and coordination with LIHEAP.  It is not designed to coordina</w:t>
      </w:r>
      <w:r w:rsidR="003450DD">
        <w:rPr>
          <w:sz w:val="26"/>
          <w:szCs w:val="26"/>
        </w:rPr>
        <w:t xml:space="preserve">te with EGS </w:t>
      </w:r>
      <w:r w:rsidRPr="00EE5722">
        <w:rPr>
          <w:sz w:val="26"/>
          <w:szCs w:val="26"/>
        </w:rPr>
        <w:t>offers.</w:t>
      </w:r>
    </w:p>
    <w:p w:rsidR="003A5389" w:rsidRPr="00EE5722" w:rsidRDefault="003A5389" w:rsidP="00A6658E">
      <w:pPr>
        <w:spacing w:line="360" w:lineRule="auto"/>
        <w:ind w:firstLine="720"/>
        <w:rPr>
          <w:sz w:val="26"/>
          <w:szCs w:val="26"/>
        </w:rPr>
      </w:pPr>
    </w:p>
    <w:p w:rsidR="00644DFF" w:rsidRDefault="003A5389" w:rsidP="00EB24C1">
      <w:pPr>
        <w:spacing w:line="360" w:lineRule="auto"/>
        <w:ind w:firstLine="720"/>
        <w:rPr>
          <w:sz w:val="26"/>
          <w:szCs w:val="26"/>
        </w:rPr>
      </w:pPr>
      <w:r>
        <w:rPr>
          <w:sz w:val="26"/>
          <w:szCs w:val="26"/>
        </w:rPr>
        <w:tab/>
        <w:t>CAUSE respectfully submitted</w:t>
      </w:r>
      <w:r w:rsidRPr="00EE5722">
        <w:rPr>
          <w:sz w:val="26"/>
          <w:szCs w:val="26"/>
        </w:rPr>
        <w:t xml:space="preserve"> that</w:t>
      </w:r>
      <w:r w:rsidR="00533A86">
        <w:rPr>
          <w:sz w:val="26"/>
          <w:szCs w:val="26"/>
        </w:rPr>
        <w:t>,</w:t>
      </w:r>
      <w:r w:rsidRPr="00EE5722">
        <w:rPr>
          <w:sz w:val="26"/>
          <w:szCs w:val="26"/>
        </w:rPr>
        <w:t xml:space="preserve"> if the Commission is inclined to take a similar approach to that which was taken in</w:t>
      </w:r>
      <w:r w:rsidRPr="00533A86">
        <w:rPr>
          <w:sz w:val="26"/>
          <w:szCs w:val="26"/>
        </w:rPr>
        <w:t xml:space="preserve"> </w:t>
      </w:r>
      <w:r w:rsidR="009200C6">
        <w:rPr>
          <w:sz w:val="26"/>
          <w:szCs w:val="26"/>
        </w:rPr>
        <w:t xml:space="preserve">the </w:t>
      </w:r>
      <w:r w:rsidRPr="00533A86">
        <w:rPr>
          <w:sz w:val="26"/>
          <w:szCs w:val="26"/>
        </w:rPr>
        <w:t>PECO</w:t>
      </w:r>
      <w:r w:rsidR="00533A86" w:rsidRPr="00533A86">
        <w:rPr>
          <w:sz w:val="26"/>
          <w:szCs w:val="26"/>
        </w:rPr>
        <w:t xml:space="preserve"> DSP proceeding</w:t>
      </w:r>
      <w:r w:rsidRPr="00EE5722">
        <w:rPr>
          <w:sz w:val="26"/>
          <w:szCs w:val="26"/>
        </w:rPr>
        <w:t>, the Commission should direct Duquesne to work</w:t>
      </w:r>
      <w:r w:rsidR="00533A86">
        <w:rPr>
          <w:sz w:val="26"/>
          <w:szCs w:val="26"/>
        </w:rPr>
        <w:t>,</w:t>
      </w:r>
      <w:r w:rsidRPr="00EE5722">
        <w:rPr>
          <w:sz w:val="26"/>
          <w:szCs w:val="26"/>
        </w:rPr>
        <w:t xml:space="preserve"> not only with </w:t>
      </w:r>
      <w:r w:rsidR="002D12E1">
        <w:rPr>
          <w:sz w:val="26"/>
          <w:szCs w:val="26"/>
        </w:rPr>
        <w:t xml:space="preserve">the Office of Competitive Market </w:t>
      </w:r>
      <w:r w:rsidR="002D12E1">
        <w:rPr>
          <w:sz w:val="26"/>
          <w:szCs w:val="26"/>
        </w:rPr>
        <w:lastRenderedPageBreak/>
        <w:t>Oversight (</w:t>
      </w:r>
      <w:r w:rsidRPr="00EE5722">
        <w:rPr>
          <w:sz w:val="26"/>
          <w:szCs w:val="26"/>
        </w:rPr>
        <w:t>OCMO</w:t>
      </w:r>
      <w:r w:rsidR="002D12E1">
        <w:rPr>
          <w:sz w:val="26"/>
          <w:szCs w:val="26"/>
        </w:rPr>
        <w:t>)</w:t>
      </w:r>
      <w:r w:rsidRPr="00EE5722">
        <w:rPr>
          <w:sz w:val="26"/>
          <w:szCs w:val="26"/>
        </w:rPr>
        <w:t xml:space="preserve">, but also </w:t>
      </w:r>
      <w:r w:rsidR="009200C6">
        <w:rPr>
          <w:sz w:val="26"/>
          <w:szCs w:val="26"/>
        </w:rPr>
        <w:t xml:space="preserve">with </w:t>
      </w:r>
      <w:r w:rsidRPr="00EE5722">
        <w:rPr>
          <w:sz w:val="26"/>
          <w:szCs w:val="26"/>
        </w:rPr>
        <w:t>low-income advocates and the OCA</w:t>
      </w:r>
      <w:r w:rsidR="00533A86">
        <w:rPr>
          <w:sz w:val="26"/>
          <w:szCs w:val="26"/>
        </w:rPr>
        <w:t>,</w:t>
      </w:r>
      <w:r w:rsidRPr="00EE5722">
        <w:rPr>
          <w:sz w:val="26"/>
          <w:szCs w:val="26"/>
        </w:rPr>
        <w:t xml:space="preserve"> both of wh</w:t>
      </w:r>
      <w:r w:rsidR="00533A86">
        <w:rPr>
          <w:sz w:val="26"/>
          <w:szCs w:val="26"/>
        </w:rPr>
        <w:t xml:space="preserve">om can provide </w:t>
      </w:r>
      <w:r w:rsidR="003450DD">
        <w:rPr>
          <w:sz w:val="26"/>
          <w:szCs w:val="26"/>
        </w:rPr>
        <w:t xml:space="preserve">needed </w:t>
      </w:r>
      <w:r w:rsidR="00533A86">
        <w:rPr>
          <w:sz w:val="26"/>
          <w:szCs w:val="26"/>
        </w:rPr>
        <w:t>insight into the</w:t>
      </w:r>
      <w:r w:rsidR="003450DD">
        <w:rPr>
          <w:sz w:val="26"/>
          <w:szCs w:val="26"/>
        </w:rPr>
        <w:t xml:space="preserve"> process</w:t>
      </w:r>
      <w:r w:rsidRPr="00EE5722">
        <w:rPr>
          <w:sz w:val="26"/>
          <w:szCs w:val="26"/>
        </w:rPr>
        <w:t>.  While OCMO has a breadth of experience concerning the oper</w:t>
      </w:r>
      <w:r w:rsidR="00533A86">
        <w:rPr>
          <w:sz w:val="26"/>
          <w:szCs w:val="26"/>
        </w:rPr>
        <w:t>ation of the competitive market</w:t>
      </w:r>
      <w:r w:rsidRPr="00EE5722">
        <w:rPr>
          <w:sz w:val="26"/>
          <w:szCs w:val="26"/>
        </w:rPr>
        <w:t xml:space="preserve">, the integration of CAP benefits </w:t>
      </w:r>
      <w:r w:rsidR="003450DD">
        <w:rPr>
          <w:sz w:val="26"/>
          <w:szCs w:val="26"/>
        </w:rPr>
        <w:t xml:space="preserve">and LIHEAP benefits </w:t>
      </w:r>
      <w:r w:rsidRPr="00EE5722">
        <w:rPr>
          <w:sz w:val="26"/>
          <w:szCs w:val="26"/>
        </w:rPr>
        <w:t>wi</w:t>
      </w:r>
      <w:r w:rsidR="003450DD">
        <w:rPr>
          <w:sz w:val="26"/>
          <w:szCs w:val="26"/>
        </w:rPr>
        <w:t>th those markets,</w:t>
      </w:r>
      <w:r w:rsidRPr="00EE5722">
        <w:rPr>
          <w:sz w:val="26"/>
          <w:szCs w:val="26"/>
        </w:rPr>
        <w:t xml:space="preserve"> would benefit from a discussion with a broader audience. Additionally, the Commission must ensure that any</w:t>
      </w:r>
      <w:r w:rsidR="00533A86">
        <w:rPr>
          <w:sz w:val="26"/>
          <w:szCs w:val="26"/>
        </w:rPr>
        <w:t xml:space="preserve"> changes made by Duquesne in an</w:t>
      </w:r>
      <w:r w:rsidRPr="00EE5722">
        <w:rPr>
          <w:sz w:val="26"/>
          <w:szCs w:val="26"/>
        </w:rPr>
        <w:t xml:space="preserve"> effort to develop a CA</w:t>
      </w:r>
      <w:r w:rsidR="00533A86">
        <w:rPr>
          <w:sz w:val="26"/>
          <w:szCs w:val="26"/>
        </w:rPr>
        <w:t xml:space="preserve">P program that will </w:t>
      </w:r>
      <w:r w:rsidRPr="00EE5722">
        <w:rPr>
          <w:sz w:val="26"/>
          <w:szCs w:val="26"/>
        </w:rPr>
        <w:t xml:space="preserve">allow its customers to receive service by an EGS will do so </w:t>
      </w:r>
      <w:r w:rsidRPr="00A6658E">
        <w:rPr>
          <w:sz w:val="26"/>
          <w:szCs w:val="26"/>
        </w:rPr>
        <w:t>without a diminution in the benefits to CAP customers.</w:t>
      </w:r>
      <w:r w:rsidRPr="00EE5722">
        <w:rPr>
          <w:b/>
          <w:sz w:val="26"/>
          <w:szCs w:val="26"/>
        </w:rPr>
        <w:t xml:space="preserve">  </w:t>
      </w:r>
      <w:r w:rsidRPr="00EE5722">
        <w:rPr>
          <w:sz w:val="26"/>
          <w:szCs w:val="26"/>
        </w:rPr>
        <w:t xml:space="preserve">Finally, consistent with the direction taken in the </w:t>
      </w:r>
      <w:r w:rsidRPr="00533A86">
        <w:rPr>
          <w:sz w:val="26"/>
          <w:szCs w:val="26"/>
        </w:rPr>
        <w:t xml:space="preserve">PECO </w:t>
      </w:r>
      <w:r w:rsidR="00533A86">
        <w:rPr>
          <w:sz w:val="26"/>
          <w:szCs w:val="26"/>
        </w:rPr>
        <w:t xml:space="preserve">DSP </w:t>
      </w:r>
      <w:r>
        <w:rPr>
          <w:sz w:val="26"/>
          <w:szCs w:val="26"/>
        </w:rPr>
        <w:t>proceeding, CAUSE</w:t>
      </w:r>
      <w:r w:rsidR="00533A86">
        <w:rPr>
          <w:sz w:val="26"/>
          <w:szCs w:val="26"/>
        </w:rPr>
        <w:t xml:space="preserve"> urges the Commission </w:t>
      </w:r>
      <w:r w:rsidRPr="00EE5722">
        <w:rPr>
          <w:sz w:val="26"/>
          <w:szCs w:val="26"/>
        </w:rPr>
        <w:t>to afford Duquesne some time to work collaboratively with the interested stakeholders in this process</w:t>
      </w:r>
      <w:r w:rsidR="00533A86">
        <w:rPr>
          <w:sz w:val="26"/>
          <w:szCs w:val="26"/>
        </w:rPr>
        <w:t>,</w:t>
      </w:r>
      <w:r w:rsidRPr="00EE5722">
        <w:rPr>
          <w:sz w:val="26"/>
          <w:szCs w:val="26"/>
        </w:rPr>
        <w:t xml:space="preserve"> and to have until at least January 1, 2014</w:t>
      </w:r>
      <w:r w:rsidR="00533A86">
        <w:rPr>
          <w:sz w:val="26"/>
          <w:szCs w:val="26"/>
        </w:rPr>
        <w:t>,</w:t>
      </w:r>
      <w:r w:rsidR="00EB24C1">
        <w:rPr>
          <w:sz w:val="26"/>
          <w:szCs w:val="26"/>
        </w:rPr>
        <w:t xml:space="preserve"> to implement</w:t>
      </w:r>
      <w:r w:rsidRPr="00EE5722">
        <w:rPr>
          <w:sz w:val="26"/>
          <w:szCs w:val="26"/>
        </w:rPr>
        <w:t xml:space="preserve"> any CAP shopping.  This date is consistent with the directive given to</w:t>
      </w:r>
      <w:r w:rsidRPr="00E53515">
        <w:rPr>
          <w:sz w:val="26"/>
          <w:szCs w:val="26"/>
        </w:rPr>
        <w:t xml:space="preserve"> PECO</w:t>
      </w:r>
      <w:r w:rsidRPr="00EE5722">
        <w:rPr>
          <w:sz w:val="26"/>
          <w:szCs w:val="26"/>
        </w:rPr>
        <w:t xml:space="preserve"> and would allow Duquesne to implement such a plan after the April 2013 lau</w:t>
      </w:r>
      <w:r>
        <w:rPr>
          <w:sz w:val="26"/>
          <w:szCs w:val="26"/>
        </w:rPr>
        <w:t>nch of its new billing system.</w:t>
      </w:r>
      <w:r w:rsidR="00EB24C1">
        <w:rPr>
          <w:sz w:val="26"/>
          <w:szCs w:val="26"/>
        </w:rPr>
        <w:t xml:space="preserve">  </w:t>
      </w:r>
      <w:r w:rsidR="00261BFA">
        <w:rPr>
          <w:sz w:val="26"/>
          <w:szCs w:val="26"/>
        </w:rPr>
        <w:t>CAUSE</w:t>
      </w:r>
      <w:r w:rsidR="00EB24C1">
        <w:rPr>
          <w:sz w:val="26"/>
          <w:szCs w:val="26"/>
        </w:rPr>
        <w:t xml:space="preserve"> also </w:t>
      </w:r>
      <w:r w:rsidR="00261BFA" w:rsidRPr="00EE5722">
        <w:rPr>
          <w:sz w:val="26"/>
          <w:szCs w:val="26"/>
        </w:rPr>
        <w:t>recommended that</w:t>
      </w:r>
      <w:r w:rsidR="00EB24C1">
        <w:rPr>
          <w:sz w:val="26"/>
          <w:szCs w:val="26"/>
        </w:rPr>
        <w:t>,</w:t>
      </w:r>
      <w:r w:rsidR="00261BFA" w:rsidRPr="00EE5722">
        <w:rPr>
          <w:sz w:val="26"/>
          <w:szCs w:val="26"/>
        </w:rPr>
        <w:t xml:space="preserve"> pr</w:t>
      </w:r>
      <w:r w:rsidR="00EB24C1">
        <w:rPr>
          <w:sz w:val="26"/>
          <w:szCs w:val="26"/>
        </w:rPr>
        <w:t>ior to participating in either RME program</w:t>
      </w:r>
      <w:r w:rsidR="00261BFA" w:rsidRPr="00EE5722">
        <w:rPr>
          <w:sz w:val="26"/>
          <w:szCs w:val="26"/>
        </w:rPr>
        <w:t>, confirmed low-income customers not enrolled in CAP should be informed about and assessed for CAP eligibility.</w:t>
      </w:r>
      <w:r w:rsidR="00261BFA" w:rsidRPr="00EE5722">
        <w:rPr>
          <w:rStyle w:val="FootnoteReference"/>
          <w:sz w:val="26"/>
          <w:szCs w:val="26"/>
        </w:rPr>
        <w:footnoteReference w:id="104"/>
      </w:r>
      <w:r w:rsidR="00B27202">
        <w:rPr>
          <w:sz w:val="26"/>
          <w:szCs w:val="26"/>
        </w:rPr>
        <w:t xml:space="preserve">  </w:t>
      </w:r>
    </w:p>
    <w:p w:rsidR="00A74CA9" w:rsidRDefault="00A74CA9" w:rsidP="00EB24C1">
      <w:pPr>
        <w:spacing w:line="360" w:lineRule="auto"/>
        <w:ind w:firstLine="720"/>
        <w:rPr>
          <w:sz w:val="26"/>
          <w:szCs w:val="26"/>
        </w:rPr>
      </w:pPr>
    </w:p>
    <w:p w:rsidR="00D7359A" w:rsidRDefault="003A5389" w:rsidP="00A6658E">
      <w:pPr>
        <w:spacing w:line="360" w:lineRule="auto"/>
        <w:ind w:firstLine="1440"/>
        <w:rPr>
          <w:sz w:val="26"/>
          <w:szCs w:val="26"/>
        </w:rPr>
      </w:pPr>
      <w:r>
        <w:rPr>
          <w:sz w:val="26"/>
          <w:szCs w:val="26"/>
        </w:rPr>
        <w:t>Citizen Power opposed RESA</w:t>
      </w:r>
      <w:r w:rsidR="001341C6">
        <w:rPr>
          <w:sz w:val="26"/>
          <w:szCs w:val="26"/>
        </w:rPr>
        <w:t>’s</w:t>
      </w:r>
      <w:r>
        <w:rPr>
          <w:sz w:val="26"/>
          <w:szCs w:val="26"/>
        </w:rPr>
        <w:t xml:space="preserve"> suggestion that </w:t>
      </w:r>
      <w:r w:rsidRPr="00EE5722">
        <w:rPr>
          <w:sz w:val="26"/>
          <w:szCs w:val="26"/>
        </w:rPr>
        <w:t>the partic</w:t>
      </w:r>
      <w:r>
        <w:rPr>
          <w:sz w:val="26"/>
          <w:szCs w:val="26"/>
        </w:rPr>
        <w:t>ipation of CAP customers in the RME P</w:t>
      </w:r>
      <w:r w:rsidRPr="00EE5722">
        <w:rPr>
          <w:sz w:val="26"/>
          <w:szCs w:val="26"/>
        </w:rPr>
        <w:t xml:space="preserve">rograms </w:t>
      </w:r>
      <w:r>
        <w:rPr>
          <w:sz w:val="26"/>
          <w:szCs w:val="26"/>
        </w:rPr>
        <w:t>be accommodated by redesigning</w:t>
      </w:r>
      <w:r w:rsidRPr="00EE5722">
        <w:rPr>
          <w:sz w:val="26"/>
          <w:szCs w:val="26"/>
        </w:rPr>
        <w:t xml:space="preserve"> </w:t>
      </w:r>
      <w:r w:rsidR="001341C6">
        <w:rPr>
          <w:sz w:val="26"/>
          <w:szCs w:val="26"/>
        </w:rPr>
        <w:t xml:space="preserve">the </w:t>
      </w:r>
      <w:r w:rsidRPr="00EE5722">
        <w:rPr>
          <w:sz w:val="26"/>
          <w:szCs w:val="26"/>
        </w:rPr>
        <w:t>CAP</w:t>
      </w:r>
      <w:r w:rsidR="001341C6">
        <w:rPr>
          <w:sz w:val="26"/>
          <w:szCs w:val="26"/>
        </w:rPr>
        <w:t xml:space="preserve"> Program. </w:t>
      </w:r>
      <w:r w:rsidRPr="00EE5722">
        <w:rPr>
          <w:sz w:val="26"/>
          <w:szCs w:val="26"/>
        </w:rPr>
        <w:t>Sp</w:t>
      </w:r>
      <w:r>
        <w:rPr>
          <w:sz w:val="26"/>
          <w:szCs w:val="26"/>
        </w:rPr>
        <w:t>ecifically, Citizen Power argued</w:t>
      </w:r>
      <w:r w:rsidRPr="00EE5722">
        <w:rPr>
          <w:sz w:val="26"/>
          <w:szCs w:val="26"/>
        </w:rPr>
        <w:t xml:space="preserve"> there is no evidence in the record indicating that it is technically possible to make CAP benefits portable in a way that benefits</w:t>
      </w:r>
      <w:r>
        <w:rPr>
          <w:sz w:val="26"/>
          <w:szCs w:val="26"/>
        </w:rPr>
        <w:t xml:space="preserve"> low-income customers.</w:t>
      </w:r>
    </w:p>
    <w:p w:rsidR="003A5389" w:rsidRDefault="003A5389" w:rsidP="006D47C0">
      <w:pPr>
        <w:spacing w:line="360" w:lineRule="auto"/>
        <w:ind w:firstLine="1440"/>
        <w:rPr>
          <w:sz w:val="26"/>
          <w:szCs w:val="26"/>
        </w:rPr>
      </w:pPr>
    </w:p>
    <w:p w:rsidR="003A5389" w:rsidRDefault="003A5389" w:rsidP="00A6658E">
      <w:pPr>
        <w:spacing w:line="360" w:lineRule="auto"/>
        <w:ind w:firstLine="1440"/>
        <w:rPr>
          <w:sz w:val="26"/>
          <w:szCs w:val="26"/>
        </w:rPr>
      </w:pPr>
      <w:r>
        <w:rPr>
          <w:sz w:val="26"/>
          <w:szCs w:val="26"/>
        </w:rPr>
        <w:t>The OSBA, DII, Domini</w:t>
      </w:r>
      <w:r w:rsidR="00621057">
        <w:rPr>
          <w:sz w:val="26"/>
          <w:szCs w:val="26"/>
        </w:rPr>
        <w:t xml:space="preserve">on, FES and Constellation </w:t>
      </w:r>
      <w:r>
        <w:rPr>
          <w:sz w:val="26"/>
          <w:szCs w:val="26"/>
        </w:rPr>
        <w:t>took no position on this issue.</w:t>
      </w:r>
    </w:p>
    <w:p w:rsidR="00644B4A" w:rsidRPr="00EE5722" w:rsidRDefault="00644B4A" w:rsidP="00A6658E">
      <w:pPr>
        <w:spacing w:line="360" w:lineRule="auto"/>
        <w:ind w:firstLine="1440"/>
        <w:rPr>
          <w:sz w:val="26"/>
          <w:szCs w:val="26"/>
        </w:rPr>
      </w:pPr>
    </w:p>
    <w:p w:rsidR="006D47C0" w:rsidRPr="00EE5722" w:rsidRDefault="006D47C0" w:rsidP="00584C88">
      <w:pPr>
        <w:pStyle w:val="Heading4"/>
        <w:numPr>
          <w:ilvl w:val="0"/>
          <w:numId w:val="0"/>
        </w:numPr>
        <w:ind w:left="2880" w:hanging="720"/>
      </w:pPr>
      <w:bookmarkStart w:id="183" w:name="_Toc346705425"/>
      <w:r w:rsidRPr="001341C6">
        <w:lastRenderedPageBreak/>
        <w:t>c</w:t>
      </w:r>
      <w:r w:rsidR="003A5389" w:rsidRPr="001341C6">
        <w:t>.</w:t>
      </w:r>
      <w:r w:rsidR="003A5389" w:rsidRPr="001341C6">
        <w:tab/>
      </w:r>
      <w:r w:rsidR="003A5389">
        <w:t>ALJ’s Recommendation</w:t>
      </w:r>
      <w:bookmarkEnd w:id="183"/>
      <w:r w:rsidR="00A6658E">
        <w:t xml:space="preserve"> </w:t>
      </w:r>
    </w:p>
    <w:p w:rsidR="006D47C0" w:rsidRPr="00EE5722" w:rsidRDefault="006D47C0" w:rsidP="00A6658E">
      <w:pPr>
        <w:pStyle w:val="BodyText"/>
        <w:spacing w:after="0" w:line="360" w:lineRule="auto"/>
        <w:ind w:left="0" w:firstLine="0"/>
        <w:rPr>
          <w:sz w:val="26"/>
          <w:szCs w:val="26"/>
        </w:rPr>
      </w:pPr>
    </w:p>
    <w:p w:rsidR="003A5389" w:rsidRPr="00EE5722" w:rsidRDefault="003A5389" w:rsidP="00A6658E">
      <w:pPr>
        <w:pStyle w:val="BodyText"/>
        <w:spacing w:after="0" w:line="360" w:lineRule="auto"/>
        <w:ind w:left="0" w:firstLine="0"/>
        <w:rPr>
          <w:color w:val="000000" w:themeColor="text1"/>
          <w:sz w:val="26"/>
          <w:szCs w:val="26"/>
        </w:rPr>
      </w:pPr>
      <w:r>
        <w:rPr>
          <w:color w:val="000000" w:themeColor="text1"/>
          <w:sz w:val="26"/>
          <w:szCs w:val="26"/>
        </w:rPr>
        <w:tab/>
      </w:r>
      <w:r>
        <w:rPr>
          <w:color w:val="000000" w:themeColor="text1"/>
          <w:sz w:val="26"/>
          <w:szCs w:val="26"/>
        </w:rPr>
        <w:tab/>
        <w:t>The ALJ</w:t>
      </w:r>
      <w:r w:rsidRPr="00EE5722">
        <w:rPr>
          <w:color w:val="000000" w:themeColor="text1"/>
          <w:sz w:val="26"/>
          <w:szCs w:val="26"/>
        </w:rPr>
        <w:t xml:space="preserve"> re</w:t>
      </w:r>
      <w:r>
        <w:rPr>
          <w:color w:val="000000" w:themeColor="text1"/>
          <w:sz w:val="26"/>
          <w:szCs w:val="26"/>
        </w:rPr>
        <w:t>commended approving Duquesne</w:t>
      </w:r>
      <w:r w:rsidRPr="00EE5722">
        <w:rPr>
          <w:color w:val="000000" w:themeColor="text1"/>
          <w:sz w:val="26"/>
          <w:szCs w:val="26"/>
        </w:rPr>
        <w:t xml:space="preserve">’s proposal to preclude </w:t>
      </w:r>
      <w:r w:rsidR="001341C6">
        <w:rPr>
          <w:color w:val="000000" w:themeColor="text1"/>
          <w:sz w:val="26"/>
          <w:szCs w:val="26"/>
        </w:rPr>
        <w:t>CAP customers from participating</w:t>
      </w:r>
      <w:r w:rsidRPr="00EE5722">
        <w:rPr>
          <w:color w:val="000000" w:themeColor="text1"/>
          <w:sz w:val="26"/>
          <w:szCs w:val="26"/>
        </w:rPr>
        <w:t xml:space="preserve"> in the RME Programs until such time as the Commission sets rules and procedures about the portability of CAP discounts.</w:t>
      </w:r>
      <w:r w:rsidR="001341C6">
        <w:rPr>
          <w:color w:val="000000" w:themeColor="text1"/>
          <w:sz w:val="26"/>
          <w:szCs w:val="26"/>
        </w:rPr>
        <w:t xml:space="preserve">  In addition, </w:t>
      </w:r>
      <w:r w:rsidR="00A6658E">
        <w:rPr>
          <w:color w:val="000000" w:themeColor="text1"/>
          <w:sz w:val="26"/>
          <w:szCs w:val="26"/>
        </w:rPr>
        <w:t xml:space="preserve">the ALJ recommended that </w:t>
      </w:r>
      <w:r w:rsidR="001341C6">
        <w:rPr>
          <w:color w:val="000000" w:themeColor="text1"/>
          <w:sz w:val="26"/>
          <w:szCs w:val="26"/>
        </w:rPr>
        <w:t xml:space="preserve">the Commission must </w:t>
      </w:r>
      <w:r w:rsidRPr="00EE5722">
        <w:rPr>
          <w:color w:val="000000" w:themeColor="text1"/>
          <w:sz w:val="26"/>
          <w:szCs w:val="26"/>
        </w:rPr>
        <w:t xml:space="preserve">ascertain how to </w:t>
      </w:r>
      <w:r w:rsidR="001341C6">
        <w:rPr>
          <w:color w:val="000000" w:themeColor="text1"/>
          <w:sz w:val="26"/>
          <w:szCs w:val="26"/>
        </w:rPr>
        <w:t xml:space="preserve">preserve LIHEAP benefits for CAP customers who leave default service </w:t>
      </w:r>
      <w:r w:rsidRPr="00EE5722">
        <w:rPr>
          <w:color w:val="000000" w:themeColor="text1"/>
          <w:sz w:val="26"/>
          <w:szCs w:val="26"/>
        </w:rPr>
        <w:t>without running afoul of federal provisions in the LIHEAP progra</w:t>
      </w:r>
      <w:r w:rsidR="004D2729">
        <w:rPr>
          <w:color w:val="000000" w:themeColor="text1"/>
          <w:sz w:val="26"/>
          <w:szCs w:val="26"/>
        </w:rPr>
        <w:t>m</w:t>
      </w:r>
      <w:r w:rsidR="001341C6">
        <w:rPr>
          <w:color w:val="000000" w:themeColor="text1"/>
          <w:sz w:val="26"/>
          <w:szCs w:val="26"/>
        </w:rPr>
        <w:t xml:space="preserve">.  </w:t>
      </w:r>
      <w:r w:rsidR="00A6658E">
        <w:rPr>
          <w:color w:val="000000" w:themeColor="text1"/>
          <w:sz w:val="26"/>
          <w:szCs w:val="26"/>
        </w:rPr>
        <w:t>The ALJ concluded that b</w:t>
      </w:r>
      <w:r w:rsidRPr="00EE5722">
        <w:rPr>
          <w:color w:val="000000" w:themeColor="text1"/>
          <w:sz w:val="26"/>
          <w:szCs w:val="26"/>
        </w:rPr>
        <w:t xml:space="preserve">ecause many questions and concerns remain about whether and how </w:t>
      </w:r>
      <w:r w:rsidR="004D2729">
        <w:rPr>
          <w:color w:val="000000" w:themeColor="text1"/>
          <w:sz w:val="26"/>
          <w:szCs w:val="26"/>
        </w:rPr>
        <w:t xml:space="preserve">to move CAP discounts </w:t>
      </w:r>
      <w:r w:rsidR="001341C6">
        <w:rPr>
          <w:color w:val="000000" w:themeColor="text1"/>
          <w:sz w:val="26"/>
          <w:szCs w:val="26"/>
        </w:rPr>
        <w:t xml:space="preserve">and LIHEAP benefits </w:t>
      </w:r>
      <w:r w:rsidR="004D2729">
        <w:rPr>
          <w:color w:val="000000" w:themeColor="text1"/>
          <w:sz w:val="26"/>
          <w:szCs w:val="26"/>
        </w:rPr>
        <w:t>to an EGS</w:t>
      </w:r>
      <w:r w:rsidRPr="00EE5722">
        <w:rPr>
          <w:color w:val="000000" w:themeColor="text1"/>
          <w:sz w:val="26"/>
          <w:szCs w:val="26"/>
        </w:rPr>
        <w:t xml:space="preserve"> (especially when EGSs are not considered “vendors” as the federal provisions define that term), it is imprudent and inappropriate to permit CAP customers to </w:t>
      </w:r>
      <w:r>
        <w:rPr>
          <w:color w:val="000000" w:themeColor="text1"/>
          <w:sz w:val="26"/>
          <w:szCs w:val="26"/>
        </w:rPr>
        <w:t xml:space="preserve">participate in these </w:t>
      </w:r>
      <w:r w:rsidR="001341C6">
        <w:rPr>
          <w:color w:val="000000" w:themeColor="text1"/>
          <w:sz w:val="26"/>
          <w:szCs w:val="26"/>
        </w:rPr>
        <w:t xml:space="preserve">RME </w:t>
      </w:r>
      <w:r>
        <w:rPr>
          <w:color w:val="000000" w:themeColor="text1"/>
          <w:sz w:val="26"/>
          <w:szCs w:val="26"/>
        </w:rPr>
        <w:t>programs</w:t>
      </w:r>
      <w:r w:rsidR="001341C6">
        <w:rPr>
          <w:color w:val="000000" w:themeColor="text1"/>
          <w:sz w:val="26"/>
          <w:szCs w:val="26"/>
        </w:rPr>
        <w:t xml:space="preserve"> at this time</w:t>
      </w:r>
      <w:r>
        <w:rPr>
          <w:color w:val="000000" w:themeColor="text1"/>
          <w:sz w:val="26"/>
          <w:szCs w:val="26"/>
        </w:rPr>
        <w:t>.</w:t>
      </w:r>
      <w:r w:rsidR="00A6658E">
        <w:rPr>
          <w:color w:val="000000" w:themeColor="text1"/>
          <w:sz w:val="26"/>
          <w:szCs w:val="26"/>
        </w:rPr>
        <w:t xml:space="preserve">  R.D. at 159.</w:t>
      </w:r>
    </w:p>
    <w:p w:rsidR="006D47C0" w:rsidRPr="004D2729" w:rsidRDefault="006D47C0" w:rsidP="00A6658E">
      <w:pPr>
        <w:tabs>
          <w:tab w:val="num" w:pos="720"/>
        </w:tabs>
        <w:spacing w:line="360" w:lineRule="auto"/>
        <w:ind w:firstLine="720"/>
        <w:rPr>
          <w:sz w:val="26"/>
          <w:szCs w:val="26"/>
        </w:rPr>
      </w:pPr>
      <w:r w:rsidRPr="00EE5722">
        <w:rPr>
          <w:sz w:val="26"/>
          <w:szCs w:val="26"/>
        </w:rPr>
        <w:tab/>
      </w:r>
    </w:p>
    <w:p w:rsidR="006D47C0" w:rsidRPr="00EE5722" w:rsidRDefault="003A5389" w:rsidP="00584C88">
      <w:pPr>
        <w:pStyle w:val="Heading4"/>
        <w:numPr>
          <w:ilvl w:val="0"/>
          <w:numId w:val="0"/>
        </w:numPr>
        <w:ind w:left="2880" w:hanging="720"/>
      </w:pPr>
      <w:bookmarkStart w:id="184" w:name="_Toc346705426"/>
      <w:r>
        <w:t>d.</w:t>
      </w:r>
      <w:r>
        <w:tab/>
        <w:t>Exceptions</w:t>
      </w:r>
      <w:bookmarkEnd w:id="184"/>
    </w:p>
    <w:p w:rsidR="006D47C0" w:rsidRPr="00EE5722" w:rsidRDefault="006D47C0" w:rsidP="006D47C0">
      <w:pPr>
        <w:pStyle w:val="BodyText"/>
        <w:spacing w:after="0" w:line="360" w:lineRule="auto"/>
        <w:ind w:left="0" w:firstLine="0"/>
        <w:rPr>
          <w:sz w:val="26"/>
          <w:szCs w:val="26"/>
        </w:rPr>
      </w:pPr>
    </w:p>
    <w:p w:rsidR="009A5DB4" w:rsidRDefault="004D2729" w:rsidP="00FF3F60">
      <w:pPr>
        <w:pStyle w:val="BodyText2"/>
        <w:spacing w:after="0" w:line="360" w:lineRule="auto"/>
        <w:ind w:firstLine="1440"/>
        <w:rPr>
          <w:sz w:val="26"/>
          <w:szCs w:val="26"/>
        </w:rPr>
      </w:pPr>
      <w:r>
        <w:rPr>
          <w:sz w:val="26"/>
          <w:szCs w:val="26"/>
        </w:rPr>
        <w:t xml:space="preserve">In its Exceptions, RESA states that the ALJ appears to have adopted Duquesne’s initial position of precluding CAP customers from participating in </w:t>
      </w:r>
      <w:r w:rsidR="002471C2">
        <w:rPr>
          <w:sz w:val="26"/>
          <w:szCs w:val="26"/>
        </w:rPr>
        <w:t xml:space="preserve">its </w:t>
      </w:r>
      <w:r>
        <w:rPr>
          <w:sz w:val="26"/>
          <w:szCs w:val="26"/>
        </w:rPr>
        <w:t>RME prog</w:t>
      </w:r>
      <w:r w:rsidR="001341C6">
        <w:rPr>
          <w:sz w:val="26"/>
          <w:szCs w:val="26"/>
        </w:rPr>
        <w:t>rams</w:t>
      </w:r>
      <w:r>
        <w:rPr>
          <w:sz w:val="26"/>
          <w:szCs w:val="26"/>
        </w:rPr>
        <w:t xml:space="preserve">.  If that is the case, RESA objects to the ALJ’s recommendation.  RESA explains that </w:t>
      </w:r>
      <w:r w:rsidRPr="00144DF4">
        <w:rPr>
          <w:sz w:val="26"/>
          <w:szCs w:val="26"/>
        </w:rPr>
        <w:t xml:space="preserve">Duquesne </w:t>
      </w:r>
      <w:r>
        <w:rPr>
          <w:sz w:val="26"/>
          <w:szCs w:val="26"/>
        </w:rPr>
        <w:t xml:space="preserve">initially </w:t>
      </w:r>
      <w:r w:rsidRPr="00144DF4">
        <w:rPr>
          <w:sz w:val="26"/>
          <w:szCs w:val="26"/>
        </w:rPr>
        <w:t>proposed to exclude CAP customers fro</w:t>
      </w:r>
      <w:r w:rsidR="002471C2">
        <w:rPr>
          <w:sz w:val="26"/>
          <w:szCs w:val="26"/>
        </w:rPr>
        <w:t>m its RME programs.</w:t>
      </w:r>
      <w:r w:rsidR="002471C2">
        <w:rPr>
          <w:rStyle w:val="FootnoteReference"/>
          <w:sz w:val="26"/>
          <w:szCs w:val="26"/>
        </w:rPr>
        <w:footnoteReference w:id="105"/>
      </w:r>
      <w:r w:rsidR="002471C2">
        <w:rPr>
          <w:sz w:val="26"/>
          <w:szCs w:val="26"/>
        </w:rPr>
        <w:t xml:space="preserve">  However, after the Commission directed FirstEnergy and PECO to include CAP customers in their RME programs, </w:t>
      </w:r>
      <w:r w:rsidRPr="00144DF4">
        <w:rPr>
          <w:sz w:val="26"/>
          <w:szCs w:val="26"/>
        </w:rPr>
        <w:t xml:space="preserve">Duquesne stated that it would work with </w:t>
      </w:r>
      <w:r>
        <w:rPr>
          <w:sz w:val="26"/>
          <w:szCs w:val="26"/>
        </w:rPr>
        <w:t>Commission Staff and the P</w:t>
      </w:r>
      <w:r w:rsidRPr="00144DF4">
        <w:rPr>
          <w:sz w:val="26"/>
          <w:szCs w:val="26"/>
        </w:rPr>
        <w:t>ar</w:t>
      </w:r>
      <w:r w:rsidR="002471C2">
        <w:rPr>
          <w:sz w:val="26"/>
          <w:szCs w:val="26"/>
        </w:rPr>
        <w:t xml:space="preserve">ties to develop a plan for </w:t>
      </w:r>
      <w:r w:rsidRPr="00144DF4">
        <w:rPr>
          <w:sz w:val="26"/>
          <w:szCs w:val="26"/>
        </w:rPr>
        <w:t xml:space="preserve">CAP </w:t>
      </w:r>
      <w:r w:rsidR="002471C2">
        <w:rPr>
          <w:sz w:val="26"/>
          <w:szCs w:val="26"/>
        </w:rPr>
        <w:t xml:space="preserve">benefit portability </w:t>
      </w:r>
      <w:r w:rsidRPr="00144DF4">
        <w:rPr>
          <w:sz w:val="26"/>
          <w:szCs w:val="26"/>
        </w:rPr>
        <w:t xml:space="preserve">by January 1, 2014, consistent with </w:t>
      </w:r>
      <w:r>
        <w:rPr>
          <w:sz w:val="26"/>
          <w:szCs w:val="26"/>
        </w:rPr>
        <w:t xml:space="preserve">the </w:t>
      </w:r>
      <w:r w:rsidR="002471C2">
        <w:rPr>
          <w:i/>
          <w:iCs/>
          <w:sz w:val="26"/>
          <w:szCs w:val="26"/>
        </w:rPr>
        <w:t>PECO DSP</w:t>
      </w:r>
      <w:r w:rsidRPr="00144DF4">
        <w:rPr>
          <w:i/>
          <w:iCs/>
          <w:sz w:val="26"/>
          <w:szCs w:val="26"/>
        </w:rPr>
        <w:t xml:space="preserve"> Order</w:t>
      </w:r>
      <w:r w:rsidRPr="00144DF4">
        <w:rPr>
          <w:sz w:val="26"/>
          <w:szCs w:val="26"/>
        </w:rPr>
        <w:t>.</w:t>
      </w:r>
      <w:r w:rsidRPr="00144DF4">
        <w:rPr>
          <w:rStyle w:val="FootnoteReference"/>
          <w:sz w:val="26"/>
          <w:szCs w:val="26"/>
        </w:rPr>
        <w:footnoteReference w:id="106"/>
      </w:r>
      <w:r w:rsidRPr="00144DF4">
        <w:rPr>
          <w:sz w:val="26"/>
          <w:szCs w:val="26"/>
        </w:rPr>
        <w:t xml:space="preserve">  Although </w:t>
      </w:r>
      <w:r w:rsidR="002471C2">
        <w:rPr>
          <w:sz w:val="26"/>
          <w:szCs w:val="26"/>
        </w:rPr>
        <w:t xml:space="preserve">it is </w:t>
      </w:r>
      <w:r w:rsidRPr="00144DF4">
        <w:rPr>
          <w:sz w:val="26"/>
          <w:szCs w:val="26"/>
        </w:rPr>
        <w:t>unclear from the R</w:t>
      </w:r>
      <w:r>
        <w:rPr>
          <w:sz w:val="26"/>
          <w:szCs w:val="26"/>
        </w:rPr>
        <w:t xml:space="preserve">ecommended </w:t>
      </w:r>
      <w:r w:rsidRPr="00144DF4">
        <w:rPr>
          <w:sz w:val="26"/>
          <w:szCs w:val="26"/>
        </w:rPr>
        <w:t>D</w:t>
      </w:r>
      <w:r>
        <w:rPr>
          <w:sz w:val="26"/>
          <w:szCs w:val="26"/>
        </w:rPr>
        <w:t>ecision</w:t>
      </w:r>
      <w:r w:rsidR="002471C2">
        <w:rPr>
          <w:sz w:val="26"/>
          <w:szCs w:val="26"/>
        </w:rPr>
        <w:t xml:space="preserve">, </w:t>
      </w:r>
      <w:r w:rsidRPr="00144DF4">
        <w:rPr>
          <w:sz w:val="26"/>
          <w:szCs w:val="26"/>
        </w:rPr>
        <w:t>the ALJ seems to reject this position as “imprudent and inappropriate.”</w:t>
      </w:r>
      <w:r w:rsidRPr="00144DF4">
        <w:rPr>
          <w:rStyle w:val="FootnoteReference"/>
          <w:sz w:val="26"/>
          <w:szCs w:val="26"/>
        </w:rPr>
        <w:footnoteReference w:id="107"/>
      </w:r>
      <w:r w:rsidRPr="00144DF4">
        <w:rPr>
          <w:sz w:val="26"/>
          <w:szCs w:val="26"/>
        </w:rPr>
        <w:t xml:space="preserve">  If that is the ALJ’s recommendation, RESA objects because it is </w:t>
      </w:r>
      <w:r w:rsidRPr="00144DF4">
        <w:rPr>
          <w:sz w:val="26"/>
          <w:szCs w:val="26"/>
        </w:rPr>
        <w:lastRenderedPageBreak/>
        <w:t xml:space="preserve">inconsistent with the </w:t>
      </w:r>
      <w:r w:rsidRPr="00144DF4">
        <w:rPr>
          <w:i/>
          <w:sz w:val="26"/>
          <w:szCs w:val="26"/>
        </w:rPr>
        <w:t>F</w:t>
      </w:r>
      <w:r w:rsidR="002471C2">
        <w:rPr>
          <w:i/>
          <w:sz w:val="26"/>
          <w:szCs w:val="26"/>
        </w:rPr>
        <w:t>irstEnergy</w:t>
      </w:r>
      <w:r w:rsidR="0054609D">
        <w:rPr>
          <w:i/>
          <w:sz w:val="26"/>
          <w:szCs w:val="26"/>
        </w:rPr>
        <w:t xml:space="preserve"> DSP</w:t>
      </w:r>
      <w:r w:rsidRPr="00144DF4">
        <w:rPr>
          <w:sz w:val="26"/>
          <w:szCs w:val="26"/>
        </w:rPr>
        <w:t xml:space="preserve"> and </w:t>
      </w:r>
      <w:r w:rsidRPr="00144DF4">
        <w:rPr>
          <w:i/>
          <w:sz w:val="26"/>
          <w:szCs w:val="26"/>
        </w:rPr>
        <w:t>PECO</w:t>
      </w:r>
      <w:r w:rsidR="002471C2">
        <w:rPr>
          <w:i/>
          <w:sz w:val="26"/>
          <w:szCs w:val="26"/>
        </w:rPr>
        <w:t xml:space="preserve"> DSP Orders</w:t>
      </w:r>
      <w:r w:rsidRPr="00144DF4">
        <w:rPr>
          <w:sz w:val="26"/>
          <w:szCs w:val="26"/>
        </w:rPr>
        <w:t>, and there is no evidence to suggest that Duquesne should be treated d</w:t>
      </w:r>
      <w:r w:rsidR="002471C2">
        <w:rPr>
          <w:sz w:val="26"/>
          <w:szCs w:val="26"/>
        </w:rPr>
        <w:t>ifferently from FirstEnergy</w:t>
      </w:r>
      <w:r w:rsidRPr="00144DF4">
        <w:rPr>
          <w:sz w:val="26"/>
          <w:szCs w:val="26"/>
        </w:rPr>
        <w:t xml:space="preserve"> or PECO. </w:t>
      </w:r>
      <w:r w:rsidR="00393B24">
        <w:rPr>
          <w:sz w:val="26"/>
          <w:szCs w:val="26"/>
        </w:rPr>
        <w:t xml:space="preserve"> </w:t>
      </w:r>
      <w:r w:rsidR="0054609D">
        <w:rPr>
          <w:sz w:val="26"/>
          <w:szCs w:val="26"/>
        </w:rPr>
        <w:t>RESA Exc. at 34</w:t>
      </w:r>
      <w:r w:rsidR="00A6658E">
        <w:rPr>
          <w:sz w:val="26"/>
          <w:szCs w:val="26"/>
        </w:rPr>
        <w:t xml:space="preserve">.  </w:t>
      </w:r>
    </w:p>
    <w:p w:rsidR="006D47C0" w:rsidRPr="00EE5722" w:rsidRDefault="006D47C0" w:rsidP="00FF3F60">
      <w:pPr>
        <w:pStyle w:val="BodyText2"/>
        <w:spacing w:after="0" w:line="360" w:lineRule="auto"/>
        <w:ind w:firstLine="1440"/>
        <w:rPr>
          <w:sz w:val="26"/>
          <w:szCs w:val="26"/>
        </w:rPr>
      </w:pPr>
      <w:r w:rsidRPr="00EE5722">
        <w:rPr>
          <w:sz w:val="26"/>
          <w:szCs w:val="26"/>
        </w:rPr>
        <w:tab/>
      </w:r>
    </w:p>
    <w:p w:rsidR="006D47C0" w:rsidRDefault="002471C2" w:rsidP="00584C88">
      <w:pPr>
        <w:pStyle w:val="Heading4"/>
        <w:numPr>
          <w:ilvl w:val="0"/>
          <w:numId w:val="0"/>
        </w:numPr>
        <w:ind w:left="2880" w:hanging="720"/>
      </w:pPr>
      <w:bookmarkStart w:id="185" w:name="_Toc346705427"/>
      <w:r>
        <w:t>e.</w:t>
      </w:r>
      <w:r>
        <w:tab/>
      </w:r>
      <w:r w:rsidR="003A5389" w:rsidRPr="00644B4A">
        <w:t>Reply Exceptions</w:t>
      </w:r>
      <w:bookmarkEnd w:id="185"/>
    </w:p>
    <w:p w:rsidR="00644B4A" w:rsidRPr="00644B4A" w:rsidRDefault="00644B4A" w:rsidP="00644B4A">
      <w:pPr>
        <w:pStyle w:val="BriefL3"/>
        <w:numPr>
          <w:ilvl w:val="0"/>
          <w:numId w:val="0"/>
        </w:numPr>
        <w:spacing w:after="0" w:line="360" w:lineRule="auto"/>
        <w:ind w:left="2160"/>
        <w:outlineLvl w:val="9"/>
        <w:rPr>
          <w:b/>
          <w:sz w:val="26"/>
          <w:szCs w:val="26"/>
        </w:rPr>
      </w:pPr>
    </w:p>
    <w:p w:rsidR="00644B4A" w:rsidRDefault="00644B4A" w:rsidP="00644B4A">
      <w:pPr>
        <w:spacing w:line="360" w:lineRule="auto"/>
        <w:ind w:firstLine="1440"/>
        <w:rPr>
          <w:sz w:val="26"/>
          <w:szCs w:val="26"/>
        </w:rPr>
      </w:pPr>
      <w:r w:rsidRPr="00644B4A">
        <w:rPr>
          <w:sz w:val="26"/>
          <w:szCs w:val="26"/>
        </w:rPr>
        <w:t xml:space="preserve">In </w:t>
      </w:r>
      <w:r>
        <w:rPr>
          <w:sz w:val="26"/>
          <w:szCs w:val="26"/>
        </w:rPr>
        <w:t xml:space="preserve">its Reply Exceptions, the OCA argues that the ALJ did not err in recommending that CAP customers be excluded from the RME Programs.  The OCA explains that the ALJ recommended that </w:t>
      </w:r>
      <w:r w:rsidRPr="00644B4A">
        <w:rPr>
          <w:sz w:val="26"/>
          <w:szCs w:val="26"/>
        </w:rPr>
        <w:t xml:space="preserve">CAP customers </w:t>
      </w:r>
      <w:r>
        <w:rPr>
          <w:sz w:val="26"/>
          <w:szCs w:val="26"/>
        </w:rPr>
        <w:t xml:space="preserve">be excluded from </w:t>
      </w:r>
      <w:r w:rsidRPr="00644B4A">
        <w:rPr>
          <w:sz w:val="26"/>
          <w:szCs w:val="26"/>
        </w:rPr>
        <w:t xml:space="preserve">the RME Programs until such time as the Commission sets rules and procedures about the portability of </w:t>
      </w:r>
      <w:r w:rsidR="00FF3F60">
        <w:rPr>
          <w:sz w:val="26"/>
          <w:szCs w:val="26"/>
        </w:rPr>
        <w:t xml:space="preserve">CAP discounts.  </w:t>
      </w:r>
      <w:r>
        <w:rPr>
          <w:sz w:val="26"/>
          <w:szCs w:val="26"/>
        </w:rPr>
        <w:t xml:space="preserve">The ALJ </w:t>
      </w:r>
      <w:r w:rsidRPr="00644B4A">
        <w:rPr>
          <w:sz w:val="26"/>
          <w:szCs w:val="26"/>
        </w:rPr>
        <w:t>noted the need to address many unanswered questions and concerns, including how to move CAP discounts without running afoul of federal LIHEAP provisions, and determined that without resolution of these issues “it is imprudent and inappropriate to permit CAP customers to participate in these progra</w:t>
      </w:r>
      <w:r>
        <w:rPr>
          <w:sz w:val="26"/>
          <w:szCs w:val="26"/>
        </w:rPr>
        <w:t>m</w:t>
      </w:r>
      <w:r w:rsidR="00FF3F60">
        <w:rPr>
          <w:sz w:val="26"/>
          <w:szCs w:val="26"/>
        </w:rPr>
        <w:t xml:space="preserve">s.”  OCA R.Exc. at 22-23.  </w:t>
      </w:r>
    </w:p>
    <w:p w:rsidR="00644B4A" w:rsidRPr="00644B4A" w:rsidRDefault="00644B4A" w:rsidP="00644B4A">
      <w:pPr>
        <w:spacing w:line="360" w:lineRule="auto"/>
        <w:ind w:firstLine="1440"/>
        <w:rPr>
          <w:sz w:val="26"/>
          <w:szCs w:val="26"/>
        </w:rPr>
      </w:pPr>
    </w:p>
    <w:p w:rsidR="006D47C0" w:rsidRPr="00FF3F60" w:rsidRDefault="00644B4A" w:rsidP="0019536D">
      <w:pPr>
        <w:pStyle w:val="BodyText"/>
        <w:spacing w:after="0" w:line="360" w:lineRule="auto"/>
        <w:ind w:left="0"/>
        <w:rPr>
          <w:sz w:val="26"/>
          <w:szCs w:val="26"/>
        </w:rPr>
      </w:pPr>
      <w:r w:rsidRPr="00644B4A">
        <w:rPr>
          <w:sz w:val="26"/>
          <w:szCs w:val="26"/>
        </w:rPr>
        <w:t xml:space="preserve">The OCA </w:t>
      </w:r>
      <w:r w:rsidR="004D732D">
        <w:rPr>
          <w:sz w:val="26"/>
          <w:szCs w:val="26"/>
        </w:rPr>
        <w:t>supports the ALJ’s conclusion</w:t>
      </w:r>
      <w:r w:rsidRPr="00644B4A">
        <w:rPr>
          <w:sz w:val="26"/>
          <w:szCs w:val="26"/>
        </w:rPr>
        <w:t xml:space="preserve"> that there are many un</w:t>
      </w:r>
      <w:r w:rsidR="004D732D">
        <w:rPr>
          <w:sz w:val="26"/>
          <w:szCs w:val="26"/>
        </w:rPr>
        <w:t xml:space="preserve">answered questions </w:t>
      </w:r>
      <w:r w:rsidRPr="00644B4A">
        <w:rPr>
          <w:sz w:val="26"/>
          <w:szCs w:val="26"/>
        </w:rPr>
        <w:t xml:space="preserve">with respect to the participation of CAP customers in these programs and in retail markets generally.  In the </w:t>
      </w:r>
      <w:r w:rsidRPr="00F25874">
        <w:rPr>
          <w:i/>
          <w:sz w:val="26"/>
          <w:szCs w:val="26"/>
        </w:rPr>
        <w:t xml:space="preserve">IWP </w:t>
      </w:r>
      <w:r w:rsidR="00F25874" w:rsidRPr="00F25874">
        <w:rPr>
          <w:i/>
          <w:sz w:val="26"/>
          <w:szCs w:val="26"/>
        </w:rPr>
        <w:t xml:space="preserve">Final </w:t>
      </w:r>
      <w:r w:rsidRPr="00F25874">
        <w:rPr>
          <w:i/>
          <w:sz w:val="26"/>
          <w:szCs w:val="26"/>
        </w:rPr>
        <w:t>Order</w:t>
      </w:r>
      <w:r w:rsidRPr="00644B4A">
        <w:rPr>
          <w:sz w:val="26"/>
          <w:szCs w:val="26"/>
        </w:rPr>
        <w:t xml:space="preserve">, the Commission referred the question of whether CAP customers can participate in the retail market enhancements to the RMI Universal Service working group.  </w:t>
      </w:r>
      <w:r w:rsidRPr="00F25874">
        <w:rPr>
          <w:i/>
          <w:sz w:val="26"/>
          <w:szCs w:val="26"/>
        </w:rPr>
        <w:t xml:space="preserve">IWP </w:t>
      </w:r>
      <w:r w:rsidR="00F25874" w:rsidRPr="00F25874">
        <w:rPr>
          <w:i/>
          <w:sz w:val="26"/>
          <w:szCs w:val="26"/>
        </w:rPr>
        <w:t xml:space="preserve">Final </w:t>
      </w:r>
      <w:r w:rsidRPr="00F25874">
        <w:rPr>
          <w:i/>
          <w:sz w:val="26"/>
          <w:szCs w:val="26"/>
        </w:rPr>
        <w:t>Order</w:t>
      </w:r>
      <w:r w:rsidR="004D732D">
        <w:rPr>
          <w:sz w:val="26"/>
          <w:szCs w:val="26"/>
        </w:rPr>
        <w:t xml:space="preserve"> at 18.  T</w:t>
      </w:r>
      <w:r w:rsidRPr="00644B4A">
        <w:rPr>
          <w:sz w:val="26"/>
          <w:szCs w:val="26"/>
        </w:rPr>
        <w:t>he OCA supports the ALJ’s recommenda</w:t>
      </w:r>
      <w:r w:rsidR="004D732D">
        <w:rPr>
          <w:sz w:val="26"/>
          <w:szCs w:val="26"/>
        </w:rPr>
        <w:t>tion that the question of whether Duquesne’s CAP customers can participate in Duquesne’s RME Programs similarly be referred to the working group</w:t>
      </w:r>
      <w:r w:rsidRPr="00644B4A">
        <w:rPr>
          <w:sz w:val="26"/>
          <w:szCs w:val="26"/>
        </w:rPr>
        <w:t xml:space="preserve">.  OCA St. 2-R at 6.  Accordingly, the OCA supports the recommendation of the ALJ and urges the Commission to deny RESA’s </w:t>
      </w:r>
      <w:r w:rsidR="00393B24">
        <w:rPr>
          <w:sz w:val="26"/>
          <w:szCs w:val="26"/>
        </w:rPr>
        <w:t>E</w:t>
      </w:r>
      <w:r w:rsidRPr="00644B4A">
        <w:rPr>
          <w:sz w:val="26"/>
          <w:szCs w:val="26"/>
        </w:rPr>
        <w:t>xception.</w:t>
      </w:r>
      <w:r w:rsidR="00FF3F60">
        <w:rPr>
          <w:sz w:val="26"/>
          <w:szCs w:val="26"/>
        </w:rPr>
        <w:t xml:space="preserve">  </w:t>
      </w:r>
      <w:r w:rsidR="00FF3F60">
        <w:rPr>
          <w:i/>
          <w:sz w:val="26"/>
          <w:szCs w:val="26"/>
        </w:rPr>
        <w:t>Id.</w:t>
      </w:r>
      <w:r w:rsidR="00FF3F60">
        <w:rPr>
          <w:sz w:val="26"/>
          <w:szCs w:val="26"/>
        </w:rPr>
        <w:t xml:space="preserve"> at 23.</w:t>
      </w:r>
    </w:p>
    <w:p w:rsidR="0019536D" w:rsidRPr="0019536D" w:rsidRDefault="0019536D" w:rsidP="0019536D">
      <w:pPr>
        <w:pStyle w:val="BodyText"/>
        <w:spacing w:after="0" w:line="360" w:lineRule="auto"/>
        <w:ind w:left="0"/>
        <w:rPr>
          <w:sz w:val="26"/>
          <w:szCs w:val="26"/>
        </w:rPr>
      </w:pPr>
    </w:p>
    <w:p w:rsidR="004F5D91" w:rsidRDefault="00FF3F60" w:rsidP="00E23CEC">
      <w:pPr>
        <w:spacing w:line="360" w:lineRule="auto"/>
        <w:ind w:firstLine="1440"/>
        <w:rPr>
          <w:sz w:val="26"/>
          <w:szCs w:val="26"/>
        </w:rPr>
      </w:pPr>
      <w:r>
        <w:rPr>
          <w:sz w:val="26"/>
          <w:szCs w:val="26"/>
        </w:rPr>
        <w:t>In its Repl</w:t>
      </w:r>
      <w:r w:rsidR="00393B24">
        <w:rPr>
          <w:sz w:val="26"/>
          <w:szCs w:val="26"/>
        </w:rPr>
        <w:t>y</w:t>
      </w:r>
      <w:r>
        <w:rPr>
          <w:sz w:val="26"/>
          <w:szCs w:val="26"/>
        </w:rPr>
        <w:t xml:space="preserve"> Exceptions, </w:t>
      </w:r>
      <w:r w:rsidR="0019536D">
        <w:rPr>
          <w:sz w:val="26"/>
          <w:szCs w:val="26"/>
        </w:rPr>
        <w:t xml:space="preserve">CAUSE explains that </w:t>
      </w:r>
      <w:r w:rsidR="0019536D" w:rsidRPr="0019536D">
        <w:rPr>
          <w:sz w:val="26"/>
          <w:szCs w:val="26"/>
        </w:rPr>
        <w:t>the ALJ thoroughly reviewed the evidence presented in the proceeding and</w:t>
      </w:r>
      <w:r w:rsidR="004D732D">
        <w:rPr>
          <w:sz w:val="26"/>
          <w:szCs w:val="26"/>
        </w:rPr>
        <w:t xml:space="preserve"> concluded that there is </w:t>
      </w:r>
      <w:r w:rsidR="0019536D" w:rsidRPr="0019536D">
        <w:rPr>
          <w:sz w:val="26"/>
          <w:szCs w:val="26"/>
        </w:rPr>
        <w:t>ample evidence in the record demonstrating that CAP customers would be subject to harm</w:t>
      </w:r>
      <w:r>
        <w:rPr>
          <w:sz w:val="26"/>
          <w:szCs w:val="26"/>
        </w:rPr>
        <w:t xml:space="preserve"> </w:t>
      </w:r>
      <w:r w:rsidR="0019536D" w:rsidRPr="0019536D">
        <w:rPr>
          <w:sz w:val="26"/>
          <w:szCs w:val="26"/>
        </w:rPr>
        <w:lastRenderedPageBreak/>
        <w:t>through</w:t>
      </w:r>
      <w:r w:rsidR="004D732D">
        <w:rPr>
          <w:sz w:val="26"/>
          <w:szCs w:val="26"/>
        </w:rPr>
        <w:t xml:space="preserve"> their participation in the RME Programs</w:t>
      </w:r>
      <w:r w:rsidR="0019536D" w:rsidRPr="0019536D">
        <w:rPr>
          <w:sz w:val="26"/>
          <w:szCs w:val="26"/>
        </w:rPr>
        <w:t xml:space="preserve">.  In response to </w:t>
      </w:r>
      <w:r w:rsidR="004F5D91">
        <w:rPr>
          <w:sz w:val="26"/>
          <w:szCs w:val="26"/>
        </w:rPr>
        <w:t xml:space="preserve">CAUSE’s </w:t>
      </w:r>
      <w:r w:rsidR="0019536D" w:rsidRPr="0019536D">
        <w:rPr>
          <w:sz w:val="26"/>
          <w:szCs w:val="26"/>
        </w:rPr>
        <w:t>dis</w:t>
      </w:r>
      <w:r w:rsidR="004F5D91">
        <w:rPr>
          <w:sz w:val="26"/>
          <w:szCs w:val="26"/>
        </w:rPr>
        <w:t>covery requests</w:t>
      </w:r>
      <w:r w:rsidR="0019536D" w:rsidRPr="0019536D">
        <w:rPr>
          <w:sz w:val="26"/>
          <w:szCs w:val="26"/>
        </w:rPr>
        <w:t>, Duquesne explained that</w:t>
      </w:r>
      <w:r w:rsidR="004F5D91">
        <w:rPr>
          <w:sz w:val="26"/>
          <w:szCs w:val="26"/>
        </w:rPr>
        <w:t>,</w:t>
      </w:r>
      <w:r w:rsidR="0019536D" w:rsidRPr="0019536D">
        <w:rPr>
          <w:sz w:val="26"/>
          <w:szCs w:val="26"/>
        </w:rPr>
        <w:t xml:space="preserve"> although CA</w:t>
      </w:r>
      <w:r w:rsidR="004F5D91">
        <w:rPr>
          <w:sz w:val="26"/>
          <w:szCs w:val="26"/>
        </w:rPr>
        <w:t xml:space="preserve">P customers </w:t>
      </w:r>
      <w:r w:rsidR="0019536D" w:rsidRPr="0019536D">
        <w:rPr>
          <w:sz w:val="26"/>
          <w:szCs w:val="26"/>
        </w:rPr>
        <w:t xml:space="preserve">technically </w:t>
      </w:r>
      <w:r w:rsidR="004F5D91">
        <w:rPr>
          <w:sz w:val="26"/>
          <w:szCs w:val="26"/>
        </w:rPr>
        <w:t xml:space="preserve">are </w:t>
      </w:r>
      <w:r w:rsidR="0019536D" w:rsidRPr="0019536D">
        <w:rPr>
          <w:sz w:val="26"/>
          <w:szCs w:val="26"/>
        </w:rPr>
        <w:t>allowed to shop for an alternate supplier, the supplier would have to separately bill the CAP custo</w:t>
      </w:r>
      <w:r w:rsidR="004F5D91">
        <w:rPr>
          <w:sz w:val="26"/>
          <w:szCs w:val="26"/>
        </w:rPr>
        <w:t>mer and, to date, no supplier has been</w:t>
      </w:r>
      <w:r w:rsidR="0019536D" w:rsidRPr="0019536D">
        <w:rPr>
          <w:sz w:val="26"/>
          <w:szCs w:val="26"/>
        </w:rPr>
        <w:t xml:space="preserve"> able to do so.</w:t>
      </w:r>
      <w:r w:rsidR="0019536D" w:rsidRPr="0019536D">
        <w:rPr>
          <w:rStyle w:val="FootnoteReference"/>
          <w:sz w:val="26"/>
          <w:szCs w:val="26"/>
        </w:rPr>
        <w:footnoteReference w:id="108"/>
      </w:r>
      <w:r w:rsidR="0019536D" w:rsidRPr="0019536D">
        <w:rPr>
          <w:sz w:val="26"/>
          <w:szCs w:val="26"/>
        </w:rPr>
        <w:t xml:space="preserve">  Even if a supplier were to offer separate or</w:t>
      </w:r>
      <w:r w:rsidR="004F5D91">
        <w:rPr>
          <w:sz w:val="26"/>
          <w:szCs w:val="26"/>
        </w:rPr>
        <w:t xml:space="preserve"> dual billing, however, CAUSE</w:t>
      </w:r>
      <w:r w:rsidR="0019536D" w:rsidRPr="0019536D">
        <w:rPr>
          <w:sz w:val="26"/>
          <w:szCs w:val="26"/>
        </w:rPr>
        <w:t xml:space="preserve"> introduced uncontested testimony that CAP customers would be harmed by such an arrangement.  For instance, under Duquesne’s currently stated model, if a supplier were to offer a CAP customer a lowe</w:t>
      </w:r>
      <w:r w:rsidR="004D732D">
        <w:rPr>
          <w:sz w:val="26"/>
          <w:szCs w:val="26"/>
        </w:rPr>
        <w:t>r rate than the PTC</w:t>
      </w:r>
      <w:r w:rsidR="0019536D" w:rsidRPr="0019536D">
        <w:rPr>
          <w:sz w:val="26"/>
          <w:szCs w:val="26"/>
        </w:rPr>
        <w:t>, accompanied by dual billing,</w:t>
      </w:r>
      <w:r w:rsidR="004D732D">
        <w:rPr>
          <w:sz w:val="26"/>
          <w:szCs w:val="26"/>
        </w:rPr>
        <w:t xml:space="preserve"> the CAP customer could shop.  However, t</w:t>
      </w:r>
      <w:r w:rsidR="0019536D" w:rsidRPr="0019536D">
        <w:rPr>
          <w:sz w:val="26"/>
          <w:szCs w:val="26"/>
        </w:rPr>
        <w:t>his would create a host of complications with CAP customers accessing other services such as LIHEAP.</w:t>
      </w:r>
      <w:r>
        <w:rPr>
          <w:sz w:val="26"/>
          <w:szCs w:val="26"/>
        </w:rPr>
        <w:t xml:space="preserve">  CAUSE R.Exc. at 2-</w:t>
      </w:r>
      <w:r w:rsidR="00E23CEC">
        <w:rPr>
          <w:sz w:val="26"/>
          <w:szCs w:val="26"/>
        </w:rPr>
        <w:t>3</w:t>
      </w:r>
      <w:r>
        <w:rPr>
          <w:sz w:val="26"/>
          <w:szCs w:val="26"/>
        </w:rPr>
        <w:t xml:space="preserve">. </w:t>
      </w:r>
    </w:p>
    <w:p w:rsidR="004F5D91" w:rsidRDefault="004F5D91" w:rsidP="00E23CEC">
      <w:pPr>
        <w:pStyle w:val="ListParagraph"/>
        <w:spacing w:line="360" w:lineRule="auto"/>
        <w:ind w:left="0"/>
        <w:rPr>
          <w:sz w:val="26"/>
          <w:szCs w:val="26"/>
        </w:rPr>
      </w:pPr>
    </w:p>
    <w:p w:rsidR="004F5D91" w:rsidRDefault="000B6AD0" w:rsidP="00E23CEC">
      <w:pPr>
        <w:pStyle w:val="ListParagraph"/>
        <w:spacing w:line="360" w:lineRule="auto"/>
        <w:ind w:left="0" w:firstLine="1440"/>
        <w:rPr>
          <w:sz w:val="26"/>
          <w:szCs w:val="26"/>
        </w:rPr>
      </w:pPr>
      <w:r>
        <w:rPr>
          <w:sz w:val="26"/>
          <w:szCs w:val="26"/>
        </w:rPr>
        <w:t>CAUSE explains that, g</w:t>
      </w:r>
      <w:r w:rsidR="0019536D" w:rsidRPr="004F5D91">
        <w:rPr>
          <w:sz w:val="26"/>
          <w:szCs w:val="26"/>
        </w:rPr>
        <w:t>iven that an EGS</w:t>
      </w:r>
      <w:r w:rsidR="0019536D" w:rsidRPr="0019536D">
        <w:rPr>
          <w:sz w:val="26"/>
          <w:szCs w:val="26"/>
        </w:rPr>
        <w:t xml:space="preserve"> cannot be a direct recipient of LIHEAP grants, a low-income c</w:t>
      </w:r>
      <w:r w:rsidR="004F5D91">
        <w:rPr>
          <w:sz w:val="26"/>
          <w:szCs w:val="26"/>
        </w:rPr>
        <w:t>ustomer who chooses an EGS that</w:t>
      </w:r>
      <w:r w:rsidR="0019536D" w:rsidRPr="0019536D">
        <w:rPr>
          <w:sz w:val="26"/>
          <w:szCs w:val="26"/>
        </w:rPr>
        <w:t xml:space="preserve"> utilizes dual billing would not be able to have his or her LIHEAP grant applied to his or her full energy bill.  Ins</w:t>
      </w:r>
      <w:r w:rsidR="004F5D91">
        <w:rPr>
          <w:sz w:val="26"/>
          <w:szCs w:val="26"/>
        </w:rPr>
        <w:t xml:space="preserve">tead, the LIHEAP grant could </w:t>
      </w:r>
      <w:r w:rsidR="0019536D" w:rsidRPr="0019536D">
        <w:rPr>
          <w:sz w:val="26"/>
          <w:szCs w:val="26"/>
        </w:rPr>
        <w:t xml:space="preserve">be applied </w:t>
      </w:r>
      <w:r w:rsidR="004F5D91">
        <w:rPr>
          <w:sz w:val="26"/>
          <w:szCs w:val="26"/>
        </w:rPr>
        <w:t xml:space="preserve">only to </w:t>
      </w:r>
      <w:r w:rsidR="0019536D" w:rsidRPr="0019536D">
        <w:rPr>
          <w:sz w:val="26"/>
          <w:szCs w:val="26"/>
        </w:rPr>
        <w:t>Duquesne</w:t>
      </w:r>
      <w:r w:rsidR="004F5D91">
        <w:rPr>
          <w:sz w:val="26"/>
          <w:szCs w:val="26"/>
        </w:rPr>
        <w:t>’s</w:t>
      </w:r>
      <w:r w:rsidR="0019536D" w:rsidRPr="0019536D">
        <w:rPr>
          <w:sz w:val="26"/>
          <w:szCs w:val="26"/>
        </w:rPr>
        <w:t xml:space="preserve"> bill for distribution services.  A dual billing customer who has remained current on his Duquesne distribution bill would h</w:t>
      </w:r>
      <w:r w:rsidR="004F5D91">
        <w:rPr>
          <w:sz w:val="26"/>
          <w:szCs w:val="26"/>
        </w:rPr>
        <w:t>ave no way to utilize a LIHEAP c</w:t>
      </w:r>
      <w:r w:rsidR="0019536D" w:rsidRPr="0019536D">
        <w:rPr>
          <w:sz w:val="26"/>
          <w:szCs w:val="26"/>
        </w:rPr>
        <w:t>ash grant to eliminate the ri</w:t>
      </w:r>
      <w:r w:rsidR="004F5D91">
        <w:rPr>
          <w:sz w:val="26"/>
          <w:szCs w:val="26"/>
        </w:rPr>
        <w:t>sk</w:t>
      </w:r>
      <w:r w:rsidR="00E23CEC">
        <w:rPr>
          <w:sz w:val="26"/>
          <w:szCs w:val="26"/>
        </w:rPr>
        <w:t xml:space="preserve"> of default on unpaid EGS bills</w:t>
      </w:r>
      <w:r w:rsidR="0019536D" w:rsidRPr="0019536D">
        <w:rPr>
          <w:sz w:val="26"/>
          <w:szCs w:val="26"/>
        </w:rPr>
        <w:t xml:space="preserve">.  </w:t>
      </w:r>
      <w:r w:rsidR="00E23CEC">
        <w:rPr>
          <w:sz w:val="26"/>
          <w:szCs w:val="26"/>
        </w:rPr>
        <w:t>According to CAUSE, t</w:t>
      </w:r>
      <w:r w:rsidR="0019536D" w:rsidRPr="0019536D">
        <w:rPr>
          <w:sz w:val="26"/>
          <w:szCs w:val="26"/>
        </w:rPr>
        <w:t>his is unacceptable and would violate the intent of the LIHEAP program</w:t>
      </w:r>
      <w:r w:rsidR="004F5D91">
        <w:rPr>
          <w:sz w:val="26"/>
          <w:szCs w:val="26"/>
        </w:rPr>
        <w:t>,</w:t>
      </w:r>
      <w:r w:rsidR="0019536D" w:rsidRPr="0019536D">
        <w:rPr>
          <w:sz w:val="26"/>
          <w:szCs w:val="26"/>
        </w:rPr>
        <w:t xml:space="preserve"> which is to assist low-income households in paying for home heating during the winter months.</w:t>
      </w:r>
      <w:r w:rsidR="00E23CEC">
        <w:rPr>
          <w:sz w:val="26"/>
          <w:szCs w:val="26"/>
        </w:rPr>
        <w:t xml:space="preserve">  </w:t>
      </w:r>
      <w:r w:rsidR="00E23CEC">
        <w:rPr>
          <w:i/>
          <w:sz w:val="26"/>
          <w:szCs w:val="26"/>
        </w:rPr>
        <w:t xml:space="preserve">Id. </w:t>
      </w:r>
      <w:r w:rsidR="00E23CEC">
        <w:rPr>
          <w:sz w:val="26"/>
          <w:szCs w:val="26"/>
        </w:rPr>
        <w:t>at 3-4.</w:t>
      </w:r>
      <w:r w:rsidR="0019536D" w:rsidRPr="0019536D">
        <w:rPr>
          <w:sz w:val="26"/>
          <w:szCs w:val="26"/>
        </w:rPr>
        <w:t xml:space="preserve"> </w:t>
      </w:r>
    </w:p>
    <w:p w:rsidR="0019536D" w:rsidRPr="0019536D" w:rsidRDefault="0019536D" w:rsidP="00E23CEC">
      <w:pPr>
        <w:pStyle w:val="ListParagraph"/>
        <w:spacing w:line="360" w:lineRule="auto"/>
        <w:ind w:left="0" w:firstLine="1440"/>
        <w:rPr>
          <w:sz w:val="26"/>
          <w:szCs w:val="26"/>
        </w:rPr>
      </w:pPr>
      <w:r w:rsidRPr="0019536D">
        <w:rPr>
          <w:sz w:val="26"/>
          <w:szCs w:val="26"/>
        </w:rPr>
        <w:t xml:space="preserve"> </w:t>
      </w:r>
    </w:p>
    <w:p w:rsidR="0019536D" w:rsidRPr="00DA0F0D" w:rsidRDefault="000B6AD0" w:rsidP="00DA0F0D">
      <w:pPr>
        <w:pStyle w:val="ListParagraph"/>
        <w:spacing w:line="360" w:lineRule="auto"/>
        <w:ind w:left="0" w:firstLine="1440"/>
        <w:rPr>
          <w:sz w:val="26"/>
          <w:szCs w:val="26"/>
        </w:rPr>
      </w:pPr>
      <w:r>
        <w:rPr>
          <w:sz w:val="26"/>
          <w:szCs w:val="26"/>
        </w:rPr>
        <w:t xml:space="preserve">CAUSE also explains that </w:t>
      </w:r>
      <w:r w:rsidR="0019536D" w:rsidRPr="0019536D">
        <w:rPr>
          <w:sz w:val="26"/>
          <w:szCs w:val="26"/>
        </w:rPr>
        <w:t>there are many unanswered questions concerning CAP portab</w:t>
      </w:r>
      <w:r>
        <w:rPr>
          <w:sz w:val="26"/>
          <w:szCs w:val="26"/>
        </w:rPr>
        <w:t xml:space="preserve">ility.  For instance, there </w:t>
      </w:r>
      <w:r w:rsidR="0019536D" w:rsidRPr="0019536D">
        <w:rPr>
          <w:sz w:val="26"/>
          <w:szCs w:val="26"/>
        </w:rPr>
        <w:t xml:space="preserve">currently </w:t>
      </w:r>
      <w:r>
        <w:rPr>
          <w:sz w:val="26"/>
          <w:szCs w:val="26"/>
        </w:rPr>
        <w:t xml:space="preserve">is </w:t>
      </w:r>
      <w:r w:rsidR="0019536D" w:rsidRPr="0019536D">
        <w:rPr>
          <w:sz w:val="26"/>
          <w:szCs w:val="26"/>
        </w:rPr>
        <w:t>no effective means of perm</w:t>
      </w:r>
      <w:r>
        <w:rPr>
          <w:sz w:val="26"/>
          <w:szCs w:val="26"/>
        </w:rPr>
        <w:t xml:space="preserve">itting CAP customers to shop </w:t>
      </w:r>
      <w:r w:rsidR="0019536D" w:rsidRPr="0019536D">
        <w:rPr>
          <w:sz w:val="26"/>
          <w:szCs w:val="26"/>
        </w:rPr>
        <w:t>without first requiring Duquesne to “implement complex procedure</w:t>
      </w:r>
      <w:r>
        <w:rPr>
          <w:sz w:val="26"/>
          <w:szCs w:val="26"/>
        </w:rPr>
        <w:t xml:space="preserve">s </w:t>
      </w:r>
      <w:r>
        <w:rPr>
          <w:sz w:val="26"/>
          <w:szCs w:val="26"/>
        </w:rPr>
        <w:lastRenderedPageBreak/>
        <w:t>and tracking mechanisms” that</w:t>
      </w:r>
      <w:r w:rsidR="0019536D" w:rsidRPr="0019536D">
        <w:rPr>
          <w:sz w:val="26"/>
          <w:szCs w:val="26"/>
        </w:rPr>
        <w:t xml:space="preserve"> would be both difficult and expensive.</w:t>
      </w:r>
      <w:r w:rsidR="0019536D" w:rsidRPr="0019536D">
        <w:rPr>
          <w:rStyle w:val="FootnoteReference"/>
          <w:sz w:val="26"/>
          <w:szCs w:val="26"/>
        </w:rPr>
        <w:footnoteReference w:id="109"/>
      </w:r>
      <w:r>
        <w:rPr>
          <w:sz w:val="26"/>
          <w:szCs w:val="26"/>
        </w:rPr>
        <w:t xml:space="preserve">  CAUSE supports </w:t>
      </w:r>
      <w:r w:rsidR="0019536D" w:rsidRPr="0019536D">
        <w:rPr>
          <w:sz w:val="26"/>
          <w:szCs w:val="26"/>
        </w:rPr>
        <w:t>the ALJ’s decision</w:t>
      </w:r>
      <w:r>
        <w:rPr>
          <w:sz w:val="26"/>
          <w:szCs w:val="26"/>
        </w:rPr>
        <w:t xml:space="preserve"> that the participation of CAP customers</w:t>
      </w:r>
      <w:r w:rsidR="0019536D" w:rsidRPr="0019536D">
        <w:rPr>
          <w:sz w:val="26"/>
          <w:szCs w:val="26"/>
        </w:rPr>
        <w:t xml:space="preserve"> in the retail electric market is best deferred until such time as the Commission sets rules and procedures about the portability of CAP discounts.</w:t>
      </w:r>
      <w:r w:rsidR="00DA0F0D">
        <w:rPr>
          <w:sz w:val="26"/>
          <w:szCs w:val="26"/>
        </w:rPr>
        <w:t xml:space="preserve">  </w:t>
      </w:r>
      <w:r w:rsidR="00DA0F0D">
        <w:rPr>
          <w:i/>
          <w:sz w:val="26"/>
          <w:szCs w:val="26"/>
        </w:rPr>
        <w:t xml:space="preserve">Id. </w:t>
      </w:r>
      <w:r w:rsidR="00DA0F0D">
        <w:rPr>
          <w:sz w:val="26"/>
          <w:szCs w:val="26"/>
        </w:rPr>
        <w:t>at 4.</w:t>
      </w:r>
    </w:p>
    <w:p w:rsidR="00F10D93" w:rsidRPr="00644B4A" w:rsidRDefault="00F10D93" w:rsidP="00DA0F0D">
      <w:pPr>
        <w:spacing w:line="360" w:lineRule="auto"/>
        <w:rPr>
          <w:sz w:val="26"/>
          <w:szCs w:val="26"/>
        </w:rPr>
      </w:pPr>
    </w:p>
    <w:p w:rsidR="006D47C0" w:rsidRDefault="003A5389" w:rsidP="00584C88">
      <w:pPr>
        <w:pStyle w:val="Heading4"/>
        <w:numPr>
          <w:ilvl w:val="0"/>
          <w:numId w:val="0"/>
        </w:numPr>
        <w:ind w:left="2880" w:hanging="720"/>
      </w:pPr>
      <w:bookmarkStart w:id="186" w:name="_Toc346705428"/>
      <w:r w:rsidRPr="00644B4A">
        <w:t>f.</w:t>
      </w:r>
      <w:r w:rsidRPr="00644B4A">
        <w:tab/>
      </w:r>
      <w:r>
        <w:t>Disposition</w:t>
      </w:r>
      <w:bookmarkEnd w:id="186"/>
    </w:p>
    <w:p w:rsidR="000B6AD0" w:rsidRDefault="000B6AD0" w:rsidP="000B6AD0">
      <w:pPr>
        <w:pStyle w:val="BriefL3"/>
        <w:numPr>
          <w:ilvl w:val="0"/>
          <w:numId w:val="0"/>
        </w:numPr>
        <w:spacing w:after="0" w:line="360" w:lineRule="auto"/>
        <w:rPr>
          <w:b/>
          <w:sz w:val="26"/>
          <w:szCs w:val="26"/>
        </w:rPr>
      </w:pPr>
    </w:p>
    <w:p w:rsidR="00452A57" w:rsidRDefault="000B6AD0" w:rsidP="00DA0F0D">
      <w:pPr>
        <w:pStyle w:val="BriefL3"/>
        <w:numPr>
          <w:ilvl w:val="0"/>
          <w:numId w:val="0"/>
        </w:numPr>
        <w:spacing w:after="0" w:line="360" w:lineRule="auto"/>
        <w:ind w:firstLine="1440"/>
        <w:outlineLvl w:val="9"/>
        <w:rPr>
          <w:sz w:val="26"/>
          <w:szCs w:val="26"/>
        </w:rPr>
      </w:pPr>
      <w:r>
        <w:rPr>
          <w:sz w:val="26"/>
          <w:szCs w:val="26"/>
        </w:rPr>
        <w:t xml:space="preserve">Consistent with our decision in the </w:t>
      </w:r>
      <w:r w:rsidRPr="005E39D2">
        <w:rPr>
          <w:i/>
          <w:sz w:val="26"/>
          <w:szCs w:val="26"/>
        </w:rPr>
        <w:t>PECO DSP Order</w:t>
      </w:r>
      <w:r>
        <w:rPr>
          <w:sz w:val="26"/>
          <w:szCs w:val="26"/>
        </w:rPr>
        <w:t xml:space="preserve">, we shall </w:t>
      </w:r>
      <w:r w:rsidR="00452A57">
        <w:rPr>
          <w:sz w:val="26"/>
          <w:szCs w:val="26"/>
        </w:rPr>
        <w:t xml:space="preserve">grant, in part, and </w:t>
      </w:r>
      <w:r>
        <w:rPr>
          <w:sz w:val="26"/>
          <w:szCs w:val="26"/>
        </w:rPr>
        <w:t>deny</w:t>
      </w:r>
      <w:r w:rsidR="00452A57">
        <w:rPr>
          <w:sz w:val="26"/>
          <w:szCs w:val="26"/>
        </w:rPr>
        <w:t>, in part,</w:t>
      </w:r>
      <w:r>
        <w:rPr>
          <w:sz w:val="26"/>
          <w:szCs w:val="26"/>
        </w:rPr>
        <w:t xml:space="preserve"> RESA’s Exception on this issue.  While we </w:t>
      </w:r>
      <w:r w:rsidR="007C25B6">
        <w:rPr>
          <w:sz w:val="26"/>
          <w:szCs w:val="26"/>
        </w:rPr>
        <w:t>believe that ideally CAP customers should be able to participate in Duquesne’s RME Programs</w:t>
      </w:r>
      <w:r>
        <w:rPr>
          <w:sz w:val="26"/>
          <w:szCs w:val="26"/>
        </w:rPr>
        <w:t xml:space="preserve">, we acknowledge that there are a number of </w:t>
      </w:r>
      <w:r w:rsidR="007C25B6">
        <w:rPr>
          <w:sz w:val="26"/>
          <w:szCs w:val="26"/>
        </w:rPr>
        <w:t xml:space="preserve">complex </w:t>
      </w:r>
      <w:r>
        <w:rPr>
          <w:sz w:val="26"/>
          <w:szCs w:val="26"/>
        </w:rPr>
        <w:t xml:space="preserve">issues that must be addressed before CAP customers can participate in the RME Programs, and the retail market in general, without negative impacts to their CAP </w:t>
      </w:r>
      <w:r w:rsidR="007C25B6">
        <w:rPr>
          <w:sz w:val="26"/>
          <w:szCs w:val="26"/>
        </w:rPr>
        <w:t xml:space="preserve">credits </w:t>
      </w:r>
      <w:r>
        <w:rPr>
          <w:sz w:val="26"/>
          <w:szCs w:val="26"/>
        </w:rPr>
        <w:t>and LIHEAP benefits.</w:t>
      </w:r>
      <w:r w:rsidR="007C25B6">
        <w:rPr>
          <w:sz w:val="26"/>
          <w:szCs w:val="26"/>
        </w:rPr>
        <w:t xml:space="preserve">  </w:t>
      </w:r>
    </w:p>
    <w:p w:rsidR="00452A57" w:rsidRDefault="00452A57" w:rsidP="00DA0F0D">
      <w:pPr>
        <w:pStyle w:val="BriefL3"/>
        <w:numPr>
          <w:ilvl w:val="0"/>
          <w:numId w:val="0"/>
        </w:numPr>
        <w:spacing w:after="0" w:line="360" w:lineRule="auto"/>
        <w:ind w:firstLine="1440"/>
        <w:outlineLvl w:val="9"/>
        <w:rPr>
          <w:sz w:val="26"/>
          <w:szCs w:val="26"/>
        </w:rPr>
      </w:pPr>
    </w:p>
    <w:p w:rsidR="000B6AD0" w:rsidRPr="000B6AD0" w:rsidRDefault="007C25B6" w:rsidP="00DA0F0D">
      <w:pPr>
        <w:pStyle w:val="BriefL3"/>
        <w:numPr>
          <w:ilvl w:val="0"/>
          <w:numId w:val="0"/>
        </w:numPr>
        <w:spacing w:after="0" w:line="360" w:lineRule="auto"/>
        <w:ind w:firstLine="1440"/>
        <w:outlineLvl w:val="9"/>
        <w:rPr>
          <w:sz w:val="26"/>
          <w:szCs w:val="26"/>
        </w:rPr>
      </w:pPr>
      <w:r>
        <w:rPr>
          <w:sz w:val="26"/>
          <w:szCs w:val="26"/>
        </w:rPr>
        <w:t xml:space="preserve">Rather than refer this issue to the RMI Universal Service working group, we shall direct Duquesne to work with </w:t>
      </w:r>
      <w:r w:rsidR="00452A57">
        <w:rPr>
          <w:sz w:val="26"/>
          <w:szCs w:val="26"/>
        </w:rPr>
        <w:t xml:space="preserve">OCMO </w:t>
      </w:r>
      <w:r>
        <w:rPr>
          <w:sz w:val="26"/>
          <w:szCs w:val="26"/>
        </w:rPr>
        <w:t>to develop a plan that</w:t>
      </w:r>
      <w:r w:rsidR="009200C6">
        <w:rPr>
          <w:sz w:val="26"/>
          <w:szCs w:val="26"/>
        </w:rPr>
        <w:t>, by January 1, 2014,</w:t>
      </w:r>
      <w:r>
        <w:rPr>
          <w:sz w:val="26"/>
          <w:szCs w:val="26"/>
        </w:rPr>
        <w:t xml:space="preserve"> will allow its CAP customers to purchase generation supply from EGSs.  Toward this end, we shall direct OCMO to work with Duquesne to: (1) ensure that, to the extent possible, Duquesne’s Opt-In and SO Programs (or their future replacements, if any) will be available to CAP customers; and (2) provide a path that allows both CAP credits and LIHEAP benefits to be used by low-income customers who choose an EGS to supply their generation service.  Our goal is to ensure that all customers have the ability to avail themselves of the full benefits of retail electric competition.</w:t>
      </w:r>
      <w:r w:rsidR="00452A57">
        <w:rPr>
          <w:sz w:val="26"/>
          <w:szCs w:val="26"/>
        </w:rPr>
        <w:t xml:space="preserve">  Interested Parties, including CAUSE and the OCA, will be provided the opportunity to provide input into the plan developed by Duquesne prior to its review by the Commission.</w:t>
      </w:r>
    </w:p>
    <w:p w:rsidR="00DE352D" w:rsidRPr="00B44864" w:rsidRDefault="00DE352D" w:rsidP="00B44864">
      <w:pPr>
        <w:spacing w:line="360" w:lineRule="auto"/>
        <w:rPr>
          <w:sz w:val="26"/>
          <w:szCs w:val="26"/>
        </w:rPr>
      </w:pPr>
    </w:p>
    <w:p w:rsidR="006D47C0" w:rsidRPr="00265E29" w:rsidRDefault="006D47C0" w:rsidP="005915E1">
      <w:pPr>
        <w:pStyle w:val="Heading3"/>
      </w:pPr>
      <w:bookmarkStart w:id="187" w:name="_Toc346705429"/>
      <w:r w:rsidRPr="00EE5722">
        <w:t>5.</w:t>
      </w:r>
      <w:r w:rsidRPr="00EE5722">
        <w:tab/>
        <w:t>Shopping Customer Participation</w:t>
      </w:r>
      <w:r w:rsidR="00B44864">
        <w:t xml:space="preserve"> in RME</w:t>
      </w:r>
      <w:r w:rsidR="00265E29">
        <w:t xml:space="preserve"> Programs</w:t>
      </w:r>
      <w:bookmarkEnd w:id="187"/>
    </w:p>
    <w:p w:rsidR="006D47C0" w:rsidRPr="00EE5722" w:rsidRDefault="006D47C0" w:rsidP="005915E1">
      <w:pPr>
        <w:pStyle w:val="BriefL3"/>
        <w:keepNext/>
        <w:numPr>
          <w:ilvl w:val="0"/>
          <w:numId w:val="0"/>
        </w:numPr>
        <w:spacing w:after="0" w:line="360" w:lineRule="auto"/>
        <w:outlineLvl w:val="9"/>
        <w:rPr>
          <w:b/>
          <w:sz w:val="26"/>
          <w:szCs w:val="26"/>
        </w:rPr>
      </w:pPr>
    </w:p>
    <w:p w:rsidR="006D47C0" w:rsidRPr="00EE5722" w:rsidRDefault="00CD3B94" w:rsidP="005915E1">
      <w:pPr>
        <w:pStyle w:val="Heading4"/>
        <w:numPr>
          <w:ilvl w:val="0"/>
          <w:numId w:val="0"/>
        </w:numPr>
        <w:ind w:left="2880" w:hanging="720"/>
      </w:pPr>
      <w:bookmarkStart w:id="188" w:name="_Toc346705430"/>
      <w:r>
        <w:t>a.</w:t>
      </w:r>
      <w:r>
        <w:tab/>
        <w:t>Duquesne</w:t>
      </w:r>
      <w:r w:rsidR="006D47C0" w:rsidRPr="00EE5722">
        <w:t>’s Proposal</w:t>
      </w:r>
      <w:bookmarkEnd w:id="188"/>
    </w:p>
    <w:p w:rsidR="006D47C0" w:rsidRPr="00EE5722" w:rsidRDefault="006D47C0" w:rsidP="005915E1">
      <w:pPr>
        <w:pStyle w:val="BodyText"/>
        <w:keepNext/>
        <w:spacing w:after="0" w:line="360" w:lineRule="auto"/>
        <w:ind w:left="0" w:firstLine="0"/>
        <w:rPr>
          <w:sz w:val="26"/>
          <w:szCs w:val="26"/>
        </w:rPr>
      </w:pPr>
    </w:p>
    <w:p w:rsidR="006D47C0" w:rsidRPr="00EE5722" w:rsidRDefault="006D47C0" w:rsidP="006D47C0">
      <w:pPr>
        <w:pStyle w:val="BodyText2"/>
        <w:spacing w:after="0" w:line="360" w:lineRule="auto"/>
        <w:rPr>
          <w:sz w:val="26"/>
          <w:szCs w:val="26"/>
        </w:rPr>
      </w:pPr>
      <w:r w:rsidRPr="00EE5722">
        <w:rPr>
          <w:sz w:val="26"/>
          <w:szCs w:val="26"/>
        </w:rPr>
        <w:tab/>
      </w:r>
      <w:r w:rsidRPr="00EE5722">
        <w:rPr>
          <w:sz w:val="26"/>
          <w:szCs w:val="26"/>
        </w:rPr>
        <w:tab/>
        <w:t xml:space="preserve">In </w:t>
      </w:r>
      <w:r w:rsidR="00CD3B94">
        <w:rPr>
          <w:sz w:val="26"/>
          <w:szCs w:val="26"/>
        </w:rPr>
        <w:t xml:space="preserve">this proceeding, Duquesne </w:t>
      </w:r>
      <w:r w:rsidRPr="00EE5722">
        <w:rPr>
          <w:sz w:val="26"/>
          <w:szCs w:val="26"/>
        </w:rPr>
        <w:t xml:space="preserve">proposed that shopping customers be eligible to participate in the RME Programs but </w:t>
      </w:r>
      <w:r w:rsidR="002F3CE7">
        <w:rPr>
          <w:sz w:val="26"/>
          <w:szCs w:val="26"/>
        </w:rPr>
        <w:t xml:space="preserve">stated that it would </w:t>
      </w:r>
      <w:r w:rsidRPr="00EE5722">
        <w:rPr>
          <w:sz w:val="26"/>
          <w:szCs w:val="26"/>
        </w:rPr>
        <w:t xml:space="preserve">focus its marketing and customer education efforts </w:t>
      </w:r>
      <w:r w:rsidR="002F3CE7">
        <w:rPr>
          <w:sz w:val="26"/>
          <w:szCs w:val="26"/>
        </w:rPr>
        <w:t xml:space="preserve">only </w:t>
      </w:r>
      <w:r w:rsidRPr="00EE5722">
        <w:rPr>
          <w:sz w:val="26"/>
          <w:szCs w:val="26"/>
        </w:rPr>
        <w:t>on default ser</w:t>
      </w:r>
      <w:r w:rsidR="00CD3B94">
        <w:rPr>
          <w:sz w:val="26"/>
          <w:szCs w:val="26"/>
        </w:rPr>
        <w:t>vi</w:t>
      </w:r>
      <w:r w:rsidR="004D2729">
        <w:rPr>
          <w:sz w:val="26"/>
          <w:szCs w:val="26"/>
        </w:rPr>
        <w:t xml:space="preserve">ce customers.  Duquesne St. </w:t>
      </w:r>
      <w:r w:rsidR="00CD3B94">
        <w:rPr>
          <w:sz w:val="26"/>
          <w:szCs w:val="26"/>
        </w:rPr>
        <w:t xml:space="preserve">3 at </w:t>
      </w:r>
      <w:r w:rsidRPr="00EE5722">
        <w:rPr>
          <w:sz w:val="26"/>
          <w:szCs w:val="26"/>
        </w:rPr>
        <w:t xml:space="preserve">24, 28.  </w:t>
      </w:r>
      <w:r w:rsidR="009200C6">
        <w:rPr>
          <w:sz w:val="26"/>
          <w:szCs w:val="26"/>
        </w:rPr>
        <w:t>Duquesne submitted that t</w:t>
      </w:r>
      <w:r w:rsidRPr="00EE5722">
        <w:rPr>
          <w:sz w:val="26"/>
          <w:szCs w:val="26"/>
        </w:rPr>
        <w:t xml:space="preserve">his approach is consistent with the Commission’s guidance set forth in the </w:t>
      </w:r>
      <w:r w:rsidR="000E069B">
        <w:rPr>
          <w:i/>
          <w:sz w:val="26"/>
          <w:szCs w:val="26"/>
        </w:rPr>
        <w:t>IWP Final</w:t>
      </w:r>
      <w:r w:rsidRPr="00EE5722">
        <w:rPr>
          <w:i/>
          <w:sz w:val="26"/>
          <w:szCs w:val="26"/>
        </w:rPr>
        <w:t xml:space="preserve"> Order</w:t>
      </w:r>
      <w:r w:rsidR="000E069B">
        <w:rPr>
          <w:sz w:val="26"/>
          <w:szCs w:val="26"/>
        </w:rPr>
        <w:t xml:space="preserve"> </w:t>
      </w:r>
      <w:r w:rsidRPr="00EE5722">
        <w:rPr>
          <w:sz w:val="26"/>
          <w:szCs w:val="26"/>
        </w:rPr>
        <w:t>at 42.</w:t>
      </w:r>
    </w:p>
    <w:p w:rsidR="006D47C0" w:rsidRPr="00EE5722" w:rsidRDefault="004D2729" w:rsidP="001D0068">
      <w:pPr>
        <w:pStyle w:val="BodyText2"/>
        <w:spacing w:after="0" w:line="360" w:lineRule="auto"/>
        <w:rPr>
          <w:sz w:val="26"/>
          <w:szCs w:val="26"/>
        </w:rPr>
      </w:pPr>
      <w:r>
        <w:rPr>
          <w:sz w:val="26"/>
          <w:szCs w:val="26"/>
        </w:rPr>
        <w:tab/>
      </w:r>
      <w:r>
        <w:rPr>
          <w:sz w:val="26"/>
          <w:szCs w:val="26"/>
        </w:rPr>
        <w:tab/>
      </w:r>
    </w:p>
    <w:p w:rsidR="006D47C0" w:rsidRPr="00EE5722" w:rsidRDefault="004D2729" w:rsidP="00584C88">
      <w:pPr>
        <w:pStyle w:val="Heading4"/>
        <w:numPr>
          <w:ilvl w:val="0"/>
          <w:numId w:val="0"/>
        </w:numPr>
        <w:ind w:left="2880" w:hanging="720"/>
      </w:pPr>
      <w:bookmarkStart w:id="189" w:name="_Toc346705431"/>
      <w:r>
        <w:t>b.</w:t>
      </w:r>
      <w:r>
        <w:tab/>
        <w:t>Positions of the Parties</w:t>
      </w:r>
      <w:bookmarkEnd w:id="189"/>
    </w:p>
    <w:p w:rsidR="006D47C0" w:rsidRPr="00EE5722" w:rsidRDefault="006D47C0" w:rsidP="00DA0F0D">
      <w:pPr>
        <w:pStyle w:val="BodyText"/>
        <w:spacing w:after="0" w:line="360" w:lineRule="auto"/>
        <w:ind w:left="0" w:firstLine="0"/>
        <w:rPr>
          <w:sz w:val="26"/>
          <w:szCs w:val="26"/>
        </w:rPr>
      </w:pPr>
    </w:p>
    <w:p w:rsidR="006D47C0" w:rsidRDefault="000E069B" w:rsidP="00DA0F0D">
      <w:pPr>
        <w:pStyle w:val="BodyText2"/>
        <w:spacing w:after="0" w:line="360" w:lineRule="auto"/>
        <w:ind w:firstLine="1440"/>
        <w:rPr>
          <w:sz w:val="26"/>
          <w:szCs w:val="26"/>
          <w:lang w:val="en-US"/>
        </w:rPr>
      </w:pPr>
      <w:r>
        <w:rPr>
          <w:sz w:val="26"/>
          <w:szCs w:val="26"/>
        </w:rPr>
        <w:t xml:space="preserve">The </w:t>
      </w:r>
      <w:r w:rsidR="004D2729">
        <w:rPr>
          <w:sz w:val="26"/>
          <w:szCs w:val="26"/>
        </w:rPr>
        <w:t xml:space="preserve">OCA supported </w:t>
      </w:r>
      <w:r w:rsidR="006D47C0" w:rsidRPr="00EE5722">
        <w:rPr>
          <w:sz w:val="26"/>
          <w:szCs w:val="26"/>
        </w:rPr>
        <w:t>Duquesne</w:t>
      </w:r>
      <w:r w:rsidR="004D2729">
        <w:rPr>
          <w:sz w:val="26"/>
          <w:szCs w:val="26"/>
        </w:rPr>
        <w:t>’s</w:t>
      </w:r>
      <w:r w:rsidR="006D47C0" w:rsidRPr="00EE5722">
        <w:rPr>
          <w:sz w:val="26"/>
          <w:szCs w:val="26"/>
        </w:rPr>
        <w:t xml:space="preserve"> </w:t>
      </w:r>
      <w:r w:rsidR="004D2729">
        <w:rPr>
          <w:sz w:val="26"/>
          <w:szCs w:val="26"/>
        </w:rPr>
        <w:t>proposal</w:t>
      </w:r>
      <w:r>
        <w:rPr>
          <w:sz w:val="26"/>
          <w:szCs w:val="26"/>
        </w:rPr>
        <w:t xml:space="preserve"> to market its RME</w:t>
      </w:r>
      <w:r w:rsidR="004D2729">
        <w:rPr>
          <w:sz w:val="26"/>
          <w:szCs w:val="26"/>
        </w:rPr>
        <w:t xml:space="preserve"> Programs to </w:t>
      </w:r>
      <w:r>
        <w:rPr>
          <w:sz w:val="26"/>
          <w:szCs w:val="26"/>
        </w:rPr>
        <w:t>default service</w:t>
      </w:r>
      <w:r w:rsidR="004D2729">
        <w:rPr>
          <w:sz w:val="26"/>
          <w:szCs w:val="26"/>
        </w:rPr>
        <w:t xml:space="preserve"> </w:t>
      </w:r>
      <w:r w:rsidR="006D47C0" w:rsidRPr="00EE5722">
        <w:rPr>
          <w:sz w:val="26"/>
          <w:szCs w:val="26"/>
        </w:rPr>
        <w:t>custom</w:t>
      </w:r>
      <w:r w:rsidR="004D2729">
        <w:rPr>
          <w:sz w:val="26"/>
          <w:szCs w:val="26"/>
        </w:rPr>
        <w:t>ers</w:t>
      </w:r>
      <w:r w:rsidR="006D47C0" w:rsidRPr="00EE5722">
        <w:rPr>
          <w:sz w:val="26"/>
          <w:szCs w:val="26"/>
        </w:rPr>
        <w:t>, but to</w:t>
      </w:r>
      <w:r>
        <w:rPr>
          <w:sz w:val="26"/>
          <w:szCs w:val="26"/>
        </w:rPr>
        <w:t xml:space="preserve"> allow shopping </w:t>
      </w:r>
      <w:r w:rsidR="006D47C0" w:rsidRPr="00EE5722">
        <w:rPr>
          <w:sz w:val="26"/>
          <w:szCs w:val="26"/>
        </w:rPr>
        <w:t>customers to partici</w:t>
      </w:r>
      <w:r>
        <w:rPr>
          <w:sz w:val="26"/>
          <w:szCs w:val="26"/>
        </w:rPr>
        <w:t xml:space="preserve">pate </w:t>
      </w:r>
      <w:r w:rsidR="006D47C0" w:rsidRPr="00EE5722">
        <w:rPr>
          <w:sz w:val="26"/>
          <w:szCs w:val="26"/>
        </w:rPr>
        <w:t xml:space="preserve">if they so request.  </w:t>
      </w:r>
      <w:r w:rsidR="00744BE6">
        <w:rPr>
          <w:sz w:val="26"/>
          <w:szCs w:val="26"/>
        </w:rPr>
        <w:t xml:space="preserve">The OCA pointed </w:t>
      </w:r>
      <w:r w:rsidR="005E39D2">
        <w:rPr>
          <w:sz w:val="26"/>
          <w:szCs w:val="26"/>
        </w:rPr>
        <w:t xml:space="preserve">out </w:t>
      </w:r>
      <w:r w:rsidR="00744BE6">
        <w:rPr>
          <w:sz w:val="26"/>
          <w:szCs w:val="26"/>
        </w:rPr>
        <w:t xml:space="preserve">that shopping </w:t>
      </w:r>
      <w:r w:rsidR="006D47C0" w:rsidRPr="00EE5722">
        <w:rPr>
          <w:sz w:val="26"/>
          <w:szCs w:val="26"/>
        </w:rPr>
        <w:t xml:space="preserve">customers </w:t>
      </w:r>
      <w:r w:rsidR="00744BE6">
        <w:rPr>
          <w:sz w:val="26"/>
          <w:szCs w:val="26"/>
        </w:rPr>
        <w:t>are likely to hear about the RME Programs and s</w:t>
      </w:r>
      <w:r w:rsidR="006D47C0" w:rsidRPr="00EE5722">
        <w:rPr>
          <w:sz w:val="26"/>
          <w:szCs w:val="26"/>
        </w:rPr>
        <w:t xml:space="preserve">eek enrollment.  </w:t>
      </w:r>
      <w:r w:rsidR="00744BE6">
        <w:rPr>
          <w:sz w:val="26"/>
          <w:szCs w:val="26"/>
        </w:rPr>
        <w:t xml:space="preserve">While the </w:t>
      </w:r>
      <w:r w:rsidR="006D47C0" w:rsidRPr="00EE5722">
        <w:rPr>
          <w:sz w:val="26"/>
          <w:szCs w:val="26"/>
        </w:rPr>
        <w:t>OCA agr</w:t>
      </w:r>
      <w:r w:rsidR="004D2729">
        <w:rPr>
          <w:sz w:val="26"/>
          <w:szCs w:val="26"/>
        </w:rPr>
        <w:t>eed</w:t>
      </w:r>
      <w:r w:rsidR="006D47C0" w:rsidRPr="00EE5722">
        <w:rPr>
          <w:sz w:val="26"/>
          <w:szCs w:val="26"/>
        </w:rPr>
        <w:t xml:space="preserve"> with RES</w:t>
      </w:r>
      <w:r w:rsidR="00744BE6">
        <w:rPr>
          <w:sz w:val="26"/>
          <w:szCs w:val="26"/>
        </w:rPr>
        <w:t>A that the main purpose of the RME P</w:t>
      </w:r>
      <w:r w:rsidR="006D47C0" w:rsidRPr="00EE5722">
        <w:rPr>
          <w:sz w:val="26"/>
          <w:szCs w:val="26"/>
        </w:rPr>
        <w:t>rogram</w:t>
      </w:r>
      <w:r w:rsidR="00744BE6">
        <w:rPr>
          <w:sz w:val="26"/>
          <w:szCs w:val="26"/>
        </w:rPr>
        <w:t>s</w:t>
      </w:r>
      <w:r w:rsidR="006D47C0" w:rsidRPr="00EE5722">
        <w:rPr>
          <w:sz w:val="26"/>
          <w:szCs w:val="26"/>
        </w:rPr>
        <w:t xml:space="preserve"> is to provide </w:t>
      </w:r>
      <w:r w:rsidR="00744BE6">
        <w:rPr>
          <w:sz w:val="26"/>
          <w:szCs w:val="26"/>
        </w:rPr>
        <w:t xml:space="preserve">default service customers </w:t>
      </w:r>
      <w:r w:rsidR="006D47C0" w:rsidRPr="00EE5722">
        <w:rPr>
          <w:sz w:val="26"/>
          <w:szCs w:val="26"/>
        </w:rPr>
        <w:t xml:space="preserve">with additional opportunities to test the market, </w:t>
      </w:r>
      <w:r w:rsidR="00744BE6">
        <w:rPr>
          <w:sz w:val="26"/>
          <w:szCs w:val="26"/>
        </w:rPr>
        <w:t xml:space="preserve">and not to shift customers who currently are shopping, the </w:t>
      </w:r>
      <w:r w:rsidR="004D2729">
        <w:rPr>
          <w:sz w:val="26"/>
          <w:szCs w:val="26"/>
        </w:rPr>
        <w:t>OCA did</w:t>
      </w:r>
      <w:r w:rsidR="00744BE6">
        <w:rPr>
          <w:sz w:val="26"/>
          <w:szCs w:val="26"/>
        </w:rPr>
        <w:t xml:space="preserve"> not agree that closing the RME P</w:t>
      </w:r>
      <w:r w:rsidR="006D47C0" w:rsidRPr="00EE5722">
        <w:rPr>
          <w:sz w:val="26"/>
          <w:szCs w:val="26"/>
        </w:rPr>
        <w:t>rogram</w:t>
      </w:r>
      <w:r w:rsidR="00744BE6">
        <w:rPr>
          <w:sz w:val="26"/>
          <w:szCs w:val="26"/>
        </w:rPr>
        <w:t>s</w:t>
      </w:r>
      <w:r w:rsidR="006D47C0" w:rsidRPr="00EE5722">
        <w:rPr>
          <w:sz w:val="26"/>
          <w:szCs w:val="26"/>
        </w:rPr>
        <w:t xml:space="preserve"> to shop</w:t>
      </w:r>
      <w:r w:rsidR="00DA0F0D">
        <w:rPr>
          <w:sz w:val="26"/>
          <w:szCs w:val="26"/>
        </w:rPr>
        <w:t xml:space="preserve">ping customers is the answer.  </w:t>
      </w:r>
      <w:r w:rsidR="00744BE6">
        <w:rPr>
          <w:sz w:val="26"/>
          <w:szCs w:val="26"/>
        </w:rPr>
        <w:t xml:space="preserve">The </w:t>
      </w:r>
      <w:r w:rsidR="004D2729">
        <w:rPr>
          <w:sz w:val="26"/>
          <w:szCs w:val="26"/>
        </w:rPr>
        <w:t>OCA submitted</w:t>
      </w:r>
      <w:r w:rsidR="006D47C0" w:rsidRPr="00EE5722">
        <w:rPr>
          <w:sz w:val="26"/>
          <w:szCs w:val="26"/>
        </w:rPr>
        <w:t xml:space="preserve"> that all non-CAP residential customers, both default service and shopping customers, should be eligible to pa</w:t>
      </w:r>
      <w:r w:rsidR="00744BE6">
        <w:rPr>
          <w:sz w:val="26"/>
          <w:szCs w:val="26"/>
        </w:rPr>
        <w:t>rticipate in the Opt-In Program, but</w:t>
      </w:r>
      <w:r w:rsidR="006D47C0" w:rsidRPr="00EE5722">
        <w:rPr>
          <w:sz w:val="26"/>
          <w:szCs w:val="26"/>
        </w:rPr>
        <w:t xml:space="preserve"> all marketing materials should be specifically directed towards non-shopping customers as the Company proposed.</w:t>
      </w:r>
    </w:p>
    <w:p w:rsidR="00A74CA9" w:rsidRPr="00A74CA9" w:rsidRDefault="00A74CA9" w:rsidP="00DA0F0D">
      <w:pPr>
        <w:pStyle w:val="BodyText2"/>
        <w:spacing w:after="0" w:line="360" w:lineRule="auto"/>
        <w:ind w:firstLine="1440"/>
        <w:rPr>
          <w:sz w:val="26"/>
          <w:szCs w:val="26"/>
          <w:lang w:val="en-US"/>
        </w:rPr>
      </w:pPr>
    </w:p>
    <w:p w:rsidR="0059662F" w:rsidRPr="00EE5722" w:rsidRDefault="0059662F" w:rsidP="0059662F">
      <w:pPr>
        <w:spacing w:line="360" w:lineRule="auto"/>
        <w:ind w:firstLine="1440"/>
        <w:rPr>
          <w:sz w:val="26"/>
          <w:szCs w:val="26"/>
        </w:rPr>
      </w:pPr>
      <w:r>
        <w:rPr>
          <w:sz w:val="26"/>
          <w:szCs w:val="26"/>
        </w:rPr>
        <w:t>RESA argued that</w:t>
      </w:r>
      <w:r w:rsidRPr="00EE5722">
        <w:rPr>
          <w:sz w:val="26"/>
          <w:szCs w:val="26"/>
        </w:rPr>
        <w:t xml:space="preserve"> it is not appropriate to allow existing shopping cus</w:t>
      </w:r>
      <w:r>
        <w:rPr>
          <w:sz w:val="26"/>
          <w:szCs w:val="26"/>
        </w:rPr>
        <w:t>tome</w:t>
      </w:r>
      <w:r w:rsidR="0080678A">
        <w:rPr>
          <w:sz w:val="26"/>
          <w:szCs w:val="26"/>
        </w:rPr>
        <w:t xml:space="preserve">rs to participate in the RME </w:t>
      </w:r>
      <w:r>
        <w:rPr>
          <w:sz w:val="26"/>
          <w:szCs w:val="26"/>
        </w:rPr>
        <w:t>Program</w:t>
      </w:r>
      <w:r w:rsidR="0080678A">
        <w:rPr>
          <w:sz w:val="26"/>
          <w:szCs w:val="26"/>
        </w:rPr>
        <w:t>s</w:t>
      </w:r>
      <w:r w:rsidRPr="00EE5722">
        <w:rPr>
          <w:sz w:val="26"/>
          <w:szCs w:val="26"/>
        </w:rPr>
        <w:t xml:space="preserve"> because the primary inten</w:t>
      </w:r>
      <w:r>
        <w:rPr>
          <w:sz w:val="26"/>
          <w:szCs w:val="26"/>
        </w:rPr>
        <w:t>t of the program</w:t>
      </w:r>
      <w:r w:rsidRPr="00EE5722">
        <w:rPr>
          <w:sz w:val="26"/>
          <w:szCs w:val="26"/>
        </w:rPr>
        <w:t xml:space="preserve"> and other retail market enhancements is to introduce default service </w:t>
      </w:r>
    </w:p>
    <w:p w:rsidR="0059662F" w:rsidRPr="00EE5722" w:rsidRDefault="0059662F" w:rsidP="00DA0F0D">
      <w:pPr>
        <w:spacing w:line="360" w:lineRule="auto"/>
        <w:rPr>
          <w:sz w:val="26"/>
          <w:szCs w:val="26"/>
        </w:rPr>
      </w:pPr>
      <w:r w:rsidRPr="00EE5722">
        <w:rPr>
          <w:sz w:val="26"/>
          <w:szCs w:val="26"/>
        </w:rPr>
        <w:lastRenderedPageBreak/>
        <w:t>customers to competitive alternatives.</w:t>
      </w:r>
      <w:r>
        <w:rPr>
          <w:sz w:val="26"/>
          <w:szCs w:val="26"/>
          <w:vertAlign w:val="superscript"/>
        </w:rPr>
        <w:t xml:space="preserve"> </w:t>
      </w:r>
      <w:r w:rsidRPr="00EE5722">
        <w:rPr>
          <w:sz w:val="26"/>
          <w:szCs w:val="26"/>
        </w:rPr>
        <w:t xml:space="preserve"> Accordingly, only default service custom</w:t>
      </w:r>
      <w:r w:rsidR="00744BE6">
        <w:rPr>
          <w:sz w:val="26"/>
          <w:szCs w:val="26"/>
        </w:rPr>
        <w:t xml:space="preserve">ers should be eligible for the </w:t>
      </w:r>
      <w:r>
        <w:rPr>
          <w:sz w:val="26"/>
          <w:szCs w:val="26"/>
        </w:rPr>
        <w:t>Opt-In Program</w:t>
      </w:r>
      <w:r w:rsidRPr="00EE5722">
        <w:rPr>
          <w:sz w:val="26"/>
          <w:szCs w:val="26"/>
        </w:rPr>
        <w:t>.</w:t>
      </w:r>
      <w:r w:rsidR="00744BE6">
        <w:rPr>
          <w:sz w:val="26"/>
          <w:szCs w:val="26"/>
        </w:rPr>
        <w:t xml:space="preserve">  </w:t>
      </w:r>
      <w:r>
        <w:rPr>
          <w:sz w:val="26"/>
          <w:szCs w:val="26"/>
        </w:rPr>
        <w:t>RESA insisted</w:t>
      </w:r>
      <w:r w:rsidR="00744BE6">
        <w:rPr>
          <w:sz w:val="26"/>
          <w:szCs w:val="26"/>
        </w:rPr>
        <w:t xml:space="preserve"> </w:t>
      </w:r>
      <w:r w:rsidR="005E39D2">
        <w:rPr>
          <w:sz w:val="26"/>
          <w:szCs w:val="26"/>
        </w:rPr>
        <w:t xml:space="preserve">that </w:t>
      </w:r>
      <w:r w:rsidR="00744BE6">
        <w:rPr>
          <w:sz w:val="26"/>
          <w:szCs w:val="26"/>
        </w:rPr>
        <w:t>Duquesne’s messages</w:t>
      </w:r>
      <w:r w:rsidRPr="00EE5722">
        <w:rPr>
          <w:sz w:val="26"/>
          <w:szCs w:val="26"/>
        </w:rPr>
        <w:t xml:space="preserve">, call center scripts and </w:t>
      </w:r>
      <w:r w:rsidR="00744BE6">
        <w:rPr>
          <w:sz w:val="26"/>
          <w:szCs w:val="26"/>
        </w:rPr>
        <w:t xml:space="preserve">other materials </w:t>
      </w:r>
      <w:r w:rsidRPr="00EE5722">
        <w:rPr>
          <w:sz w:val="26"/>
          <w:szCs w:val="26"/>
        </w:rPr>
        <w:t>should inform custome</w:t>
      </w:r>
      <w:r w:rsidR="00DA0F0D">
        <w:rPr>
          <w:sz w:val="26"/>
          <w:szCs w:val="26"/>
        </w:rPr>
        <w:t xml:space="preserve">rs that they are not eligible </w:t>
      </w:r>
      <w:r w:rsidR="00744BE6">
        <w:rPr>
          <w:sz w:val="26"/>
          <w:szCs w:val="26"/>
        </w:rPr>
        <w:t xml:space="preserve">if they </w:t>
      </w:r>
      <w:r w:rsidRPr="00EE5722">
        <w:rPr>
          <w:sz w:val="26"/>
          <w:szCs w:val="26"/>
        </w:rPr>
        <w:t xml:space="preserve">already </w:t>
      </w:r>
      <w:r w:rsidR="00744BE6">
        <w:rPr>
          <w:sz w:val="26"/>
          <w:szCs w:val="26"/>
        </w:rPr>
        <w:t>are being served by an EGS.  RESA asserted that t</w:t>
      </w:r>
      <w:r w:rsidRPr="00EE5722">
        <w:rPr>
          <w:sz w:val="26"/>
          <w:szCs w:val="26"/>
        </w:rPr>
        <w:t>his limitation is also important from a customer perspective, because some EGSs impose early termination fees on customers who cancel their contract early.  Limiting eligibilit</w:t>
      </w:r>
      <w:r>
        <w:rPr>
          <w:sz w:val="26"/>
          <w:szCs w:val="26"/>
        </w:rPr>
        <w:t>y to non-shopping customers would</w:t>
      </w:r>
      <w:r w:rsidRPr="00EE5722">
        <w:rPr>
          <w:sz w:val="26"/>
          <w:szCs w:val="26"/>
        </w:rPr>
        <w:t xml:space="preserve"> eliminate the risk that </w:t>
      </w:r>
      <w:r w:rsidR="00744BE6">
        <w:rPr>
          <w:sz w:val="26"/>
          <w:szCs w:val="26"/>
        </w:rPr>
        <w:t>existing shopping customers would</w:t>
      </w:r>
      <w:r w:rsidRPr="00EE5722">
        <w:rPr>
          <w:sz w:val="26"/>
          <w:szCs w:val="26"/>
        </w:rPr>
        <w:t xml:space="preserve"> be</w:t>
      </w:r>
      <w:r w:rsidR="00744BE6">
        <w:rPr>
          <w:sz w:val="26"/>
          <w:szCs w:val="26"/>
        </w:rPr>
        <w:t xml:space="preserve"> subject to such penalties </w:t>
      </w:r>
      <w:r w:rsidRPr="00EE5722">
        <w:rPr>
          <w:sz w:val="26"/>
          <w:szCs w:val="26"/>
        </w:rPr>
        <w:t>should they choose to enroll i</w:t>
      </w:r>
      <w:r w:rsidR="0080678A">
        <w:rPr>
          <w:sz w:val="26"/>
          <w:szCs w:val="26"/>
        </w:rPr>
        <w:t>n the RME Programs</w:t>
      </w:r>
      <w:r w:rsidRPr="00EE5722">
        <w:rPr>
          <w:sz w:val="26"/>
          <w:szCs w:val="26"/>
        </w:rPr>
        <w:t>.</w:t>
      </w:r>
      <w:r w:rsidRPr="00EE5722">
        <w:rPr>
          <w:sz w:val="26"/>
          <w:szCs w:val="26"/>
          <w:vertAlign w:val="superscript"/>
        </w:rPr>
        <w:footnoteReference w:id="110"/>
      </w:r>
    </w:p>
    <w:p w:rsidR="0059662F" w:rsidRPr="00EE5722" w:rsidRDefault="0059662F" w:rsidP="00DA0F0D">
      <w:pPr>
        <w:spacing w:line="360" w:lineRule="auto"/>
        <w:ind w:firstLine="720"/>
        <w:rPr>
          <w:sz w:val="26"/>
          <w:szCs w:val="26"/>
        </w:rPr>
      </w:pPr>
    </w:p>
    <w:p w:rsidR="006D47C0" w:rsidRDefault="00F027AB" w:rsidP="00DA0F0D">
      <w:pPr>
        <w:pStyle w:val="BodyText"/>
        <w:spacing w:after="0" w:line="360" w:lineRule="auto"/>
        <w:ind w:left="0"/>
        <w:rPr>
          <w:sz w:val="26"/>
          <w:szCs w:val="26"/>
        </w:rPr>
      </w:pPr>
      <w:r>
        <w:rPr>
          <w:sz w:val="26"/>
          <w:szCs w:val="26"/>
        </w:rPr>
        <w:t>RESA acknowledg</w:t>
      </w:r>
      <w:r w:rsidR="0059662F">
        <w:rPr>
          <w:sz w:val="26"/>
          <w:szCs w:val="26"/>
        </w:rPr>
        <w:t>ed</w:t>
      </w:r>
      <w:r w:rsidR="0059662F" w:rsidRPr="00EE5722">
        <w:rPr>
          <w:sz w:val="26"/>
          <w:szCs w:val="26"/>
        </w:rPr>
        <w:t xml:space="preserve"> </w:t>
      </w:r>
      <w:r>
        <w:rPr>
          <w:sz w:val="26"/>
          <w:szCs w:val="26"/>
        </w:rPr>
        <w:t xml:space="preserve">that </w:t>
      </w:r>
      <w:r w:rsidR="0059662F" w:rsidRPr="00EE5722">
        <w:rPr>
          <w:sz w:val="26"/>
          <w:szCs w:val="26"/>
        </w:rPr>
        <w:t xml:space="preserve">the exclusion of shopping customers departs from the Commission’s guidelines and recent pronouncements in the </w:t>
      </w:r>
      <w:r w:rsidR="0059662F" w:rsidRPr="00EE5722">
        <w:rPr>
          <w:i/>
          <w:sz w:val="26"/>
          <w:szCs w:val="26"/>
        </w:rPr>
        <w:t>F</w:t>
      </w:r>
      <w:r>
        <w:rPr>
          <w:i/>
          <w:sz w:val="26"/>
          <w:szCs w:val="26"/>
        </w:rPr>
        <w:t>irstEnergy</w:t>
      </w:r>
      <w:r w:rsidR="00DA0F0D">
        <w:rPr>
          <w:i/>
          <w:sz w:val="26"/>
          <w:szCs w:val="26"/>
        </w:rPr>
        <w:t xml:space="preserve"> DSP</w:t>
      </w:r>
      <w:r>
        <w:rPr>
          <w:i/>
          <w:sz w:val="26"/>
          <w:szCs w:val="26"/>
        </w:rPr>
        <w:t xml:space="preserve"> </w:t>
      </w:r>
      <w:r w:rsidR="0059662F" w:rsidRPr="00EE5722">
        <w:rPr>
          <w:sz w:val="26"/>
          <w:szCs w:val="26"/>
        </w:rPr>
        <w:t xml:space="preserve">and </w:t>
      </w:r>
      <w:r w:rsidR="0059662F" w:rsidRPr="00EE5722">
        <w:rPr>
          <w:i/>
          <w:sz w:val="26"/>
          <w:szCs w:val="26"/>
        </w:rPr>
        <w:t>PECO</w:t>
      </w:r>
      <w:r>
        <w:rPr>
          <w:i/>
          <w:sz w:val="26"/>
          <w:szCs w:val="26"/>
        </w:rPr>
        <w:t xml:space="preserve"> DSP Orders</w:t>
      </w:r>
      <w:r w:rsidR="00DA0F0D">
        <w:rPr>
          <w:sz w:val="26"/>
          <w:szCs w:val="26"/>
        </w:rPr>
        <w:t xml:space="preserve"> </w:t>
      </w:r>
      <w:r>
        <w:rPr>
          <w:sz w:val="26"/>
          <w:szCs w:val="26"/>
        </w:rPr>
        <w:t>but insisted</w:t>
      </w:r>
      <w:r w:rsidR="0059662F" w:rsidRPr="00EE5722">
        <w:rPr>
          <w:sz w:val="26"/>
          <w:szCs w:val="26"/>
        </w:rPr>
        <w:t xml:space="preserve"> good cause exists to justify a departure.  Customers in Duquesne’s service territory have been exposed to many offers and yet numerous default service customers have not </w:t>
      </w:r>
      <w:r w:rsidR="005E39D2">
        <w:rPr>
          <w:sz w:val="26"/>
          <w:szCs w:val="26"/>
        </w:rPr>
        <w:t>shopped</w:t>
      </w:r>
      <w:r w:rsidR="0059662F" w:rsidRPr="00EE5722">
        <w:rPr>
          <w:sz w:val="26"/>
          <w:szCs w:val="26"/>
        </w:rPr>
        <w:t>.  RESA conten</w:t>
      </w:r>
      <w:r>
        <w:rPr>
          <w:sz w:val="26"/>
          <w:szCs w:val="26"/>
        </w:rPr>
        <w:t>ded</w:t>
      </w:r>
      <w:r w:rsidR="0059662F" w:rsidRPr="00EE5722">
        <w:rPr>
          <w:sz w:val="26"/>
          <w:szCs w:val="26"/>
        </w:rPr>
        <w:t xml:space="preserve"> this scenario presents a unique risk that a large number of shopping customers could leave their existing contracts to participate in t</w:t>
      </w:r>
      <w:r>
        <w:rPr>
          <w:sz w:val="26"/>
          <w:szCs w:val="26"/>
        </w:rPr>
        <w:t>he RME Programs</w:t>
      </w:r>
      <w:r w:rsidR="0059662F">
        <w:rPr>
          <w:sz w:val="26"/>
          <w:szCs w:val="26"/>
        </w:rPr>
        <w:t>.</w:t>
      </w:r>
    </w:p>
    <w:p w:rsidR="001D0068" w:rsidRPr="001D0068" w:rsidRDefault="001D0068" w:rsidP="00DA0F0D">
      <w:pPr>
        <w:pStyle w:val="BodyText"/>
        <w:spacing w:after="0" w:line="360" w:lineRule="auto"/>
        <w:ind w:left="0"/>
        <w:rPr>
          <w:sz w:val="26"/>
          <w:szCs w:val="26"/>
        </w:rPr>
      </w:pPr>
    </w:p>
    <w:p w:rsidR="001D0068" w:rsidRDefault="001D0068" w:rsidP="001D0068">
      <w:pPr>
        <w:pStyle w:val="BodyText2"/>
        <w:spacing w:after="0" w:line="360" w:lineRule="auto"/>
        <w:ind w:firstLine="1440"/>
        <w:rPr>
          <w:sz w:val="26"/>
          <w:szCs w:val="26"/>
          <w:lang w:val="en-US"/>
        </w:rPr>
      </w:pPr>
      <w:r>
        <w:rPr>
          <w:sz w:val="26"/>
          <w:szCs w:val="26"/>
        </w:rPr>
        <w:t>Duquesne opposed</w:t>
      </w:r>
      <w:r w:rsidRPr="00EE5722">
        <w:rPr>
          <w:sz w:val="26"/>
          <w:szCs w:val="26"/>
        </w:rPr>
        <w:t xml:space="preserve"> </w:t>
      </w:r>
      <w:r>
        <w:rPr>
          <w:sz w:val="26"/>
          <w:szCs w:val="26"/>
        </w:rPr>
        <w:t>RESA’s position that shopping customers should be ineligible to participate in the RME Programs a</w:t>
      </w:r>
      <w:r w:rsidRPr="00EE5722">
        <w:rPr>
          <w:sz w:val="26"/>
          <w:szCs w:val="26"/>
        </w:rPr>
        <w:t>s contrar</w:t>
      </w:r>
      <w:r>
        <w:rPr>
          <w:sz w:val="26"/>
          <w:szCs w:val="26"/>
        </w:rPr>
        <w:t xml:space="preserve">y to the Commission’s directive in the </w:t>
      </w:r>
      <w:r>
        <w:rPr>
          <w:i/>
          <w:sz w:val="26"/>
          <w:szCs w:val="26"/>
        </w:rPr>
        <w:t>IWP Final</w:t>
      </w:r>
      <w:r w:rsidRPr="00EE5722">
        <w:rPr>
          <w:i/>
          <w:sz w:val="26"/>
          <w:szCs w:val="26"/>
        </w:rPr>
        <w:t xml:space="preserve"> Order</w:t>
      </w:r>
      <w:r>
        <w:rPr>
          <w:sz w:val="26"/>
          <w:szCs w:val="26"/>
        </w:rPr>
        <w:t xml:space="preserve">; </w:t>
      </w:r>
      <w:r w:rsidRPr="00EE5722">
        <w:rPr>
          <w:sz w:val="26"/>
          <w:szCs w:val="26"/>
        </w:rPr>
        <w:t xml:space="preserve">contrary to the Commission’s </w:t>
      </w:r>
      <w:r>
        <w:rPr>
          <w:sz w:val="26"/>
          <w:szCs w:val="26"/>
        </w:rPr>
        <w:t>directive in the</w:t>
      </w:r>
      <w:r w:rsidRPr="00EE5722">
        <w:rPr>
          <w:sz w:val="26"/>
          <w:szCs w:val="26"/>
        </w:rPr>
        <w:t xml:space="preserve"> </w:t>
      </w:r>
      <w:r w:rsidRPr="000E069B">
        <w:rPr>
          <w:i/>
          <w:sz w:val="26"/>
          <w:szCs w:val="26"/>
        </w:rPr>
        <w:t>FirstEnergy DSP Order</w:t>
      </w:r>
      <w:r>
        <w:rPr>
          <w:sz w:val="26"/>
          <w:szCs w:val="26"/>
        </w:rPr>
        <w:t xml:space="preserve"> at 107 (</w:t>
      </w:r>
      <w:r w:rsidRPr="00EE5722">
        <w:rPr>
          <w:sz w:val="26"/>
          <w:szCs w:val="26"/>
        </w:rPr>
        <w:t>where the Commission rejected RESA’s proposal to exclude s</w:t>
      </w:r>
      <w:r>
        <w:rPr>
          <w:sz w:val="26"/>
          <w:szCs w:val="26"/>
        </w:rPr>
        <w:t>hopping customers from RME P</w:t>
      </w:r>
      <w:r w:rsidRPr="00EE5722">
        <w:rPr>
          <w:sz w:val="26"/>
          <w:szCs w:val="26"/>
        </w:rPr>
        <w:t>rograms</w:t>
      </w:r>
      <w:r>
        <w:rPr>
          <w:sz w:val="26"/>
          <w:szCs w:val="26"/>
        </w:rPr>
        <w:t xml:space="preserve">); and </w:t>
      </w:r>
      <w:r w:rsidRPr="00EE5722">
        <w:rPr>
          <w:sz w:val="26"/>
          <w:szCs w:val="26"/>
        </w:rPr>
        <w:t xml:space="preserve">contrary to the recent </w:t>
      </w:r>
      <w:r w:rsidRPr="00EE5722">
        <w:rPr>
          <w:i/>
          <w:sz w:val="26"/>
          <w:szCs w:val="26"/>
        </w:rPr>
        <w:t>PECO Binding Poll</w:t>
      </w:r>
      <w:r w:rsidRPr="00EE5722">
        <w:rPr>
          <w:sz w:val="26"/>
          <w:szCs w:val="26"/>
        </w:rPr>
        <w:t>, Issue No. 13.  For these reasons,</w:t>
      </w:r>
      <w:r>
        <w:rPr>
          <w:sz w:val="26"/>
          <w:szCs w:val="26"/>
        </w:rPr>
        <w:t xml:space="preserve"> Duquesne argued that </w:t>
      </w:r>
      <w:r w:rsidRPr="00EE5722">
        <w:rPr>
          <w:sz w:val="26"/>
          <w:szCs w:val="26"/>
        </w:rPr>
        <w:t>RESA</w:t>
      </w:r>
      <w:r>
        <w:rPr>
          <w:sz w:val="26"/>
          <w:szCs w:val="26"/>
        </w:rPr>
        <w:t>’s</w:t>
      </w:r>
      <w:r w:rsidRPr="00EE5722">
        <w:rPr>
          <w:sz w:val="26"/>
          <w:szCs w:val="26"/>
        </w:rPr>
        <w:t xml:space="preserve"> proposal</w:t>
      </w:r>
      <w:r>
        <w:rPr>
          <w:sz w:val="26"/>
          <w:szCs w:val="26"/>
        </w:rPr>
        <w:t xml:space="preserve"> </w:t>
      </w:r>
      <w:r w:rsidRPr="00EE5722">
        <w:rPr>
          <w:sz w:val="26"/>
          <w:szCs w:val="26"/>
        </w:rPr>
        <w:t xml:space="preserve">should be denied </w:t>
      </w:r>
      <w:r>
        <w:rPr>
          <w:sz w:val="26"/>
          <w:szCs w:val="26"/>
        </w:rPr>
        <w:t>and Duquesne</w:t>
      </w:r>
      <w:r w:rsidRPr="00EE5722">
        <w:rPr>
          <w:sz w:val="26"/>
          <w:szCs w:val="26"/>
        </w:rPr>
        <w:t xml:space="preserve"> should be permitted to include shopping customers in its RME programs.</w:t>
      </w:r>
    </w:p>
    <w:p w:rsidR="00A74CA9" w:rsidRPr="00A74CA9" w:rsidRDefault="00A74CA9" w:rsidP="001D0068">
      <w:pPr>
        <w:pStyle w:val="BodyText2"/>
        <w:spacing w:after="0" w:line="360" w:lineRule="auto"/>
        <w:ind w:firstLine="1440"/>
        <w:rPr>
          <w:sz w:val="26"/>
          <w:szCs w:val="26"/>
          <w:lang w:val="en-US"/>
        </w:rPr>
      </w:pPr>
    </w:p>
    <w:p w:rsidR="0059662F" w:rsidRPr="00EE5722" w:rsidRDefault="0059662F" w:rsidP="0059662F">
      <w:pPr>
        <w:spacing w:line="360" w:lineRule="auto"/>
        <w:ind w:firstLine="1440"/>
        <w:rPr>
          <w:sz w:val="26"/>
          <w:szCs w:val="26"/>
        </w:rPr>
      </w:pPr>
      <w:r>
        <w:rPr>
          <w:sz w:val="26"/>
          <w:szCs w:val="26"/>
        </w:rPr>
        <w:lastRenderedPageBreak/>
        <w:t>The OSBA, CAUSE, Citizen Power, DII, Domini</w:t>
      </w:r>
      <w:r w:rsidR="00621057">
        <w:rPr>
          <w:sz w:val="26"/>
          <w:szCs w:val="26"/>
        </w:rPr>
        <w:t xml:space="preserve">on, FES and Constellation </w:t>
      </w:r>
      <w:r>
        <w:rPr>
          <w:sz w:val="26"/>
          <w:szCs w:val="26"/>
        </w:rPr>
        <w:t>took no position on this issue.</w:t>
      </w:r>
    </w:p>
    <w:p w:rsidR="0059662F" w:rsidRPr="0059662F" w:rsidRDefault="0059662F" w:rsidP="0059662F">
      <w:pPr>
        <w:pStyle w:val="BodyText"/>
        <w:spacing w:after="0" w:line="360" w:lineRule="auto"/>
        <w:ind w:left="0"/>
        <w:rPr>
          <w:sz w:val="26"/>
          <w:szCs w:val="26"/>
        </w:rPr>
      </w:pPr>
    </w:p>
    <w:p w:rsidR="006D47C0" w:rsidRPr="00EE5722" w:rsidRDefault="0059662F" w:rsidP="00584C88">
      <w:pPr>
        <w:pStyle w:val="Heading4"/>
        <w:numPr>
          <w:ilvl w:val="0"/>
          <w:numId w:val="0"/>
        </w:numPr>
        <w:ind w:left="2880" w:hanging="720"/>
      </w:pPr>
      <w:bookmarkStart w:id="190" w:name="_Toc346705432"/>
      <w:r>
        <w:t>c.</w:t>
      </w:r>
      <w:r>
        <w:tab/>
        <w:t>ALJ’s Recommendation</w:t>
      </w:r>
      <w:bookmarkEnd w:id="190"/>
      <w:r w:rsidR="00DA0F0D">
        <w:t xml:space="preserve"> </w:t>
      </w:r>
    </w:p>
    <w:p w:rsidR="006D47C0" w:rsidRPr="00EE5722" w:rsidRDefault="006D47C0" w:rsidP="006D47C0">
      <w:pPr>
        <w:pStyle w:val="BodyText"/>
        <w:spacing w:after="0" w:line="360" w:lineRule="auto"/>
        <w:ind w:left="0" w:firstLine="0"/>
        <w:rPr>
          <w:sz w:val="26"/>
          <w:szCs w:val="26"/>
        </w:rPr>
      </w:pPr>
    </w:p>
    <w:p w:rsidR="0059662F" w:rsidRPr="00EE5722" w:rsidRDefault="0059662F" w:rsidP="0059662F">
      <w:pPr>
        <w:pStyle w:val="BodyText"/>
        <w:spacing w:after="0" w:line="360" w:lineRule="auto"/>
        <w:ind w:left="0"/>
        <w:rPr>
          <w:color w:val="000000" w:themeColor="text1"/>
          <w:sz w:val="26"/>
          <w:szCs w:val="26"/>
        </w:rPr>
      </w:pPr>
      <w:r>
        <w:rPr>
          <w:color w:val="000000" w:themeColor="text1"/>
          <w:sz w:val="26"/>
          <w:szCs w:val="26"/>
        </w:rPr>
        <w:t>The ALJ</w:t>
      </w:r>
      <w:r w:rsidRPr="00EE5722">
        <w:rPr>
          <w:color w:val="000000" w:themeColor="text1"/>
          <w:sz w:val="26"/>
          <w:szCs w:val="26"/>
        </w:rPr>
        <w:t xml:space="preserve"> re</w:t>
      </w:r>
      <w:r>
        <w:rPr>
          <w:color w:val="000000" w:themeColor="text1"/>
          <w:sz w:val="26"/>
          <w:szCs w:val="26"/>
        </w:rPr>
        <w:t>commended approving Duquesne</w:t>
      </w:r>
      <w:r w:rsidRPr="00EE5722">
        <w:rPr>
          <w:color w:val="000000" w:themeColor="text1"/>
          <w:sz w:val="26"/>
          <w:szCs w:val="26"/>
        </w:rPr>
        <w:t>’s proposal to make shopping customers eligible for th</w:t>
      </w:r>
      <w:r>
        <w:rPr>
          <w:color w:val="000000" w:themeColor="text1"/>
          <w:sz w:val="26"/>
          <w:szCs w:val="26"/>
        </w:rPr>
        <w:t>e RME p</w:t>
      </w:r>
      <w:r w:rsidRPr="00EE5722">
        <w:rPr>
          <w:color w:val="000000" w:themeColor="text1"/>
          <w:sz w:val="26"/>
          <w:szCs w:val="26"/>
        </w:rPr>
        <w:t>rograms</w:t>
      </w:r>
      <w:r>
        <w:rPr>
          <w:color w:val="000000" w:themeColor="text1"/>
          <w:sz w:val="26"/>
          <w:szCs w:val="26"/>
        </w:rPr>
        <w:t>,</w:t>
      </w:r>
      <w:r w:rsidRPr="00EE5722">
        <w:rPr>
          <w:color w:val="000000" w:themeColor="text1"/>
          <w:sz w:val="26"/>
          <w:szCs w:val="26"/>
        </w:rPr>
        <w:t xml:space="preserve"> even though the focus of the Company’s marketing and customer education efforts would be squarely on default service customers.  T</w:t>
      </w:r>
      <w:r w:rsidR="00F027AB">
        <w:rPr>
          <w:color w:val="000000" w:themeColor="text1"/>
          <w:sz w:val="26"/>
          <w:szCs w:val="26"/>
        </w:rPr>
        <w:t>he ALJ concluded that t</w:t>
      </w:r>
      <w:r w:rsidRPr="00EE5722">
        <w:rPr>
          <w:color w:val="000000" w:themeColor="text1"/>
          <w:sz w:val="26"/>
          <w:szCs w:val="26"/>
        </w:rPr>
        <w:t xml:space="preserve">his proposal is consistent with prior Commission </w:t>
      </w:r>
      <w:r w:rsidR="005E39D2">
        <w:rPr>
          <w:color w:val="000000" w:themeColor="text1"/>
          <w:sz w:val="26"/>
          <w:szCs w:val="26"/>
        </w:rPr>
        <w:t>determinat</w:t>
      </w:r>
      <w:r w:rsidR="00BE67D6">
        <w:rPr>
          <w:color w:val="000000" w:themeColor="text1"/>
          <w:sz w:val="26"/>
          <w:szCs w:val="26"/>
        </w:rPr>
        <w:t>i</w:t>
      </w:r>
      <w:r w:rsidR="005E39D2">
        <w:rPr>
          <w:color w:val="000000" w:themeColor="text1"/>
          <w:sz w:val="26"/>
          <w:szCs w:val="26"/>
        </w:rPr>
        <w:t xml:space="preserve">ons that </w:t>
      </w:r>
      <w:r w:rsidRPr="00EE5722">
        <w:rPr>
          <w:color w:val="000000" w:themeColor="text1"/>
          <w:sz w:val="26"/>
          <w:szCs w:val="26"/>
        </w:rPr>
        <w:t xml:space="preserve">these incentives should be available to </w:t>
      </w:r>
      <w:r w:rsidRPr="00F027AB">
        <w:rPr>
          <w:color w:val="000000" w:themeColor="text1"/>
          <w:sz w:val="26"/>
          <w:szCs w:val="26"/>
        </w:rPr>
        <w:t>all</w:t>
      </w:r>
      <w:r>
        <w:rPr>
          <w:color w:val="000000" w:themeColor="text1"/>
          <w:sz w:val="26"/>
          <w:szCs w:val="26"/>
        </w:rPr>
        <w:t xml:space="preserve"> customers.  The ALJ</w:t>
      </w:r>
      <w:r w:rsidRPr="00EE5722">
        <w:rPr>
          <w:color w:val="000000" w:themeColor="text1"/>
          <w:sz w:val="26"/>
          <w:szCs w:val="26"/>
        </w:rPr>
        <w:t xml:space="preserve"> disagree</w:t>
      </w:r>
      <w:r>
        <w:rPr>
          <w:color w:val="000000" w:themeColor="text1"/>
          <w:sz w:val="26"/>
          <w:szCs w:val="26"/>
        </w:rPr>
        <w:t>d</w:t>
      </w:r>
      <w:r w:rsidRPr="00EE5722">
        <w:rPr>
          <w:color w:val="000000" w:themeColor="text1"/>
          <w:sz w:val="26"/>
          <w:szCs w:val="26"/>
        </w:rPr>
        <w:t xml:space="preserve"> with RESA’s contention that shopping customers already know how to shop and, therefore, should</w:t>
      </w:r>
      <w:r w:rsidR="00F027AB">
        <w:rPr>
          <w:color w:val="000000" w:themeColor="text1"/>
          <w:sz w:val="26"/>
          <w:szCs w:val="26"/>
        </w:rPr>
        <w:t xml:space="preserve"> be excluded.  The ALJ reasoned that the Commission must either respect the ability of </w:t>
      </w:r>
      <w:r w:rsidRPr="00EE5722">
        <w:rPr>
          <w:color w:val="000000" w:themeColor="text1"/>
          <w:sz w:val="26"/>
          <w:szCs w:val="26"/>
        </w:rPr>
        <w:t xml:space="preserve">shopping customers to </w:t>
      </w:r>
      <w:r w:rsidR="00F027AB">
        <w:rPr>
          <w:color w:val="000000" w:themeColor="text1"/>
          <w:sz w:val="26"/>
          <w:szCs w:val="26"/>
        </w:rPr>
        <w:t>make decisions</w:t>
      </w:r>
      <w:r w:rsidR="00DA0F0D">
        <w:rPr>
          <w:color w:val="000000" w:themeColor="text1"/>
          <w:sz w:val="26"/>
          <w:szCs w:val="26"/>
        </w:rPr>
        <w:t>,</w:t>
      </w:r>
      <w:r w:rsidRPr="00EE5722">
        <w:rPr>
          <w:color w:val="000000" w:themeColor="text1"/>
          <w:sz w:val="26"/>
          <w:szCs w:val="26"/>
        </w:rPr>
        <w:t xml:space="preserve"> and know whether termination fee</w:t>
      </w:r>
      <w:r w:rsidR="00DA0F0D">
        <w:rPr>
          <w:color w:val="000000" w:themeColor="text1"/>
          <w:sz w:val="26"/>
          <w:szCs w:val="26"/>
        </w:rPr>
        <w:t xml:space="preserve">s apply, or </w:t>
      </w:r>
      <w:r w:rsidRPr="00EE5722">
        <w:rPr>
          <w:color w:val="000000" w:themeColor="text1"/>
          <w:sz w:val="26"/>
          <w:szCs w:val="26"/>
        </w:rPr>
        <w:t>make decisions for them</w:t>
      </w:r>
      <w:r w:rsidR="00DA0F0D">
        <w:rPr>
          <w:color w:val="000000" w:themeColor="text1"/>
          <w:sz w:val="26"/>
          <w:szCs w:val="26"/>
        </w:rPr>
        <w:t>.  R.D. at 163-164.</w:t>
      </w:r>
      <w:r w:rsidR="00F027AB">
        <w:rPr>
          <w:color w:val="000000" w:themeColor="text1"/>
          <w:sz w:val="26"/>
          <w:szCs w:val="26"/>
        </w:rPr>
        <w:t xml:space="preserve"> </w:t>
      </w:r>
    </w:p>
    <w:p w:rsidR="0059662F" w:rsidRPr="00EE5722" w:rsidRDefault="0059662F" w:rsidP="0059662F">
      <w:pPr>
        <w:pStyle w:val="ListParagraph"/>
        <w:autoSpaceDE/>
        <w:autoSpaceDN/>
        <w:spacing w:line="360" w:lineRule="auto"/>
        <w:ind w:left="0"/>
        <w:rPr>
          <w:b/>
          <w:sz w:val="26"/>
          <w:szCs w:val="26"/>
          <w:u w:val="single"/>
        </w:rPr>
      </w:pPr>
    </w:p>
    <w:p w:rsidR="006D47C0" w:rsidRPr="00EE5722" w:rsidRDefault="0059662F" w:rsidP="00584C88">
      <w:pPr>
        <w:pStyle w:val="Heading4"/>
        <w:numPr>
          <w:ilvl w:val="0"/>
          <w:numId w:val="0"/>
        </w:numPr>
        <w:ind w:left="2880" w:hanging="720"/>
      </w:pPr>
      <w:bookmarkStart w:id="191" w:name="_Toc346705433"/>
      <w:r>
        <w:t>d.</w:t>
      </w:r>
      <w:r>
        <w:tab/>
        <w:t>Exceptions</w:t>
      </w:r>
      <w:bookmarkEnd w:id="191"/>
    </w:p>
    <w:p w:rsidR="00395596" w:rsidRDefault="00395596" w:rsidP="000B0447">
      <w:pPr>
        <w:pStyle w:val="Heading3"/>
      </w:pPr>
    </w:p>
    <w:p w:rsidR="006D47C0" w:rsidRPr="0011642C" w:rsidRDefault="0011642C" w:rsidP="00A74CA9">
      <w:pPr>
        <w:pStyle w:val="BodyText2"/>
        <w:spacing w:after="0" w:line="360" w:lineRule="auto"/>
        <w:ind w:firstLine="1440"/>
        <w:rPr>
          <w:sz w:val="26"/>
          <w:szCs w:val="26"/>
        </w:rPr>
      </w:pPr>
      <w:r>
        <w:rPr>
          <w:sz w:val="26"/>
          <w:szCs w:val="26"/>
        </w:rPr>
        <w:t xml:space="preserve">In its Exceptions, </w:t>
      </w:r>
      <w:r w:rsidR="00395596" w:rsidRPr="00395596">
        <w:rPr>
          <w:sz w:val="26"/>
          <w:szCs w:val="26"/>
        </w:rPr>
        <w:t>RESA argues that the ALJ erred in recommending that shopping customers be all</w:t>
      </w:r>
      <w:r>
        <w:rPr>
          <w:sz w:val="26"/>
          <w:szCs w:val="26"/>
        </w:rPr>
        <w:t>owed to participate in the RME P</w:t>
      </w:r>
      <w:r w:rsidR="00395596" w:rsidRPr="00395596">
        <w:rPr>
          <w:sz w:val="26"/>
          <w:szCs w:val="26"/>
        </w:rPr>
        <w:t>rograms</w:t>
      </w:r>
      <w:r w:rsidR="00813F46">
        <w:rPr>
          <w:sz w:val="26"/>
          <w:szCs w:val="26"/>
        </w:rPr>
        <w:t xml:space="preserve">.  </w:t>
      </w:r>
      <w:r w:rsidR="009A5DB4">
        <w:rPr>
          <w:sz w:val="26"/>
          <w:szCs w:val="26"/>
        </w:rPr>
        <w:t>RESA asserts</w:t>
      </w:r>
      <w:r>
        <w:rPr>
          <w:sz w:val="26"/>
          <w:szCs w:val="26"/>
        </w:rPr>
        <w:t xml:space="preserve"> that, because there are many </w:t>
      </w:r>
      <w:r w:rsidR="009A5DB4">
        <w:rPr>
          <w:sz w:val="26"/>
          <w:szCs w:val="26"/>
        </w:rPr>
        <w:t>c</w:t>
      </w:r>
      <w:r w:rsidR="00395596" w:rsidRPr="00395596">
        <w:rPr>
          <w:sz w:val="26"/>
          <w:szCs w:val="26"/>
        </w:rPr>
        <w:t xml:space="preserve">ustomers in Duquesne’s service territory </w:t>
      </w:r>
      <w:r>
        <w:rPr>
          <w:sz w:val="26"/>
          <w:szCs w:val="26"/>
        </w:rPr>
        <w:t xml:space="preserve">who </w:t>
      </w:r>
      <w:r w:rsidR="009A5DB4">
        <w:rPr>
          <w:sz w:val="26"/>
          <w:szCs w:val="26"/>
        </w:rPr>
        <w:t xml:space="preserve">have been exposed to many </w:t>
      </w:r>
      <w:r w:rsidR="00395596" w:rsidRPr="00395596">
        <w:rPr>
          <w:sz w:val="26"/>
          <w:szCs w:val="26"/>
        </w:rPr>
        <w:t>offers a</w:t>
      </w:r>
      <w:r>
        <w:rPr>
          <w:sz w:val="26"/>
          <w:szCs w:val="26"/>
        </w:rPr>
        <w:t xml:space="preserve">nd have not shopped, there is </w:t>
      </w:r>
      <w:r w:rsidR="00395596" w:rsidRPr="00395596">
        <w:rPr>
          <w:sz w:val="26"/>
          <w:szCs w:val="26"/>
        </w:rPr>
        <w:t xml:space="preserve">a </w:t>
      </w:r>
      <w:r>
        <w:rPr>
          <w:sz w:val="26"/>
          <w:szCs w:val="26"/>
        </w:rPr>
        <w:t>“</w:t>
      </w:r>
      <w:r w:rsidR="00395596" w:rsidRPr="00395596">
        <w:rPr>
          <w:sz w:val="26"/>
          <w:szCs w:val="26"/>
        </w:rPr>
        <w:t>unique risk</w:t>
      </w:r>
      <w:r>
        <w:rPr>
          <w:sz w:val="26"/>
          <w:szCs w:val="26"/>
        </w:rPr>
        <w:t>”</w:t>
      </w:r>
      <w:r w:rsidR="00395596" w:rsidRPr="00395596">
        <w:rPr>
          <w:sz w:val="26"/>
          <w:szCs w:val="26"/>
        </w:rPr>
        <w:t xml:space="preserve"> that a large number of shopping customers could leave their existing contracts to participate in the RME</w:t>
      </w:r>
      <w:r>
        <w:rPr>
          <w:sz w:val="26"/>
          <w:szCs w:val="26"/>
        </w:rPr>
        <w:t xml:space="preserve"> Program</w:t>
      </w:r>
      <w:r w:rsidR="00813F46">
        <w:rPr>
          <w:sz w:val="26"/>
          <w:szCs w:val="26"/>
        </w:rPr>
        <w:t>s.  RESA avers that e</w:t>
      </w:r>
      <w:r w:rsidR="00395596" w:rsidRPr="00395596">
        <w:rPr>
          <w:sz w:val="26"/>
          <w:szCs w:val="26"/>
        </w:rPr>
        <w:t>xcluding shopping customers would ensure that “space” is available for de</w:t>
      </w:r>
      <w:r>
        <w:rPr>
          <w:sz w:val="26"/>
          <w:szCs w:val="26"/>
        </w:rPr>
        <w:t>fault service customers in the RME Programs.</w:t>
      </w:r>
      <w:r w:rsidR="00211CF2">
        <w:rPr>
          <w:sz w:val="26"/>
          <w:szCs w:val="26"/>
        </w:rPr>
        <w:t xml:space="preserve">  RESA Exc. at</w:t>
      </w:r>
      <w:r w:rsidR="00211CF2">
        <w:rPr>
          <w:sz w:val="26"/>
          <w:szCs w:val="26"/>
          <w:lang w:val="en-US"/>
        </w:rPr>
        <w:t> </w:t>
      </w:r>
      <w:r w:rsidR="00813F46">
        <w:rPr>
          <w:sz w:val="26"/>
          <w:szCs w:val="26"/>
        </w:rPr>
        <w:t xml:space="preserve">35.    </w:t>
      </w:r>
      <w:r>
        <w:rPr>
          <w:sz w:val="26"/>
          <w:szCs w:val="26"/>
        </w:rPr>
        <w:t xml:space="preserve"> </w:t>
      </w:r>
    </w:p>
    <w:p w:rsidR="006D47C0" w:rsidRPr="00EE5722" w:rsidRDefault="006D47C0" w:rsidP="00A74CA9">
      <w:pPr>
        <w:pStyle w:val="BodyText"/>
        <w:spacing w:after="0" w:line="360" w:lineRule="auto"/>
        <w:ind w:left="0" w:firstLine="0"/>
        <w:rPr>
          <w:sz w:val="26"/>
          <w:szCs w:val="26"/>
        </w:rPr>
      </w:pPr>
    </w:p>
    <w:p w:rsidR="006D47C0" w:rsidRDefault="0011642C" w:rsidP="00584C88">
      <w:pPr>
        <w:pStyle w:val="Heading4"/>
        <w:numPr>
          <w:ilvl w:val="0"/>
          <w:numId w:val="0"/>
        </w:numPr>
        <w:ind w:left="2880" w:hanging="720"/>
      </w:pPr>
      <w:bookmarkStart w:id="192" w:name="_Toc346705434"/>
      <w:r>
        <w:lastRenderedPageBreak/>
        <w:t>e.</w:t>
      </w:r>
      <w:r>
        <w:tab/>
      </w:r>
      <w:r w:rsidR="0059662F">
        <w:t>Reply Exceptions</w:t>
      </w:r>
      <w:bookmarkEnd w:id="192"/>
    </w:p>
    <w:p w:rsidR="002F3CE7" w:rsidRPr="003C240C" w:rsidRDefault="002F3CE7" w:rsidP="00211CF2">
      <w:pPr>
        <w:pStyle w:val="BriefL3"/>
        <w:keepNext/>
        <w:numPr>
          <w:ilvl w:val="0"/>
          <w:numId w:val="0"/>
        </w:numPr>
        <w:spacing w:after="0" w:line="276" w:lineRule="auto"/>
        <w:ind w:left="2160"/>
        <w:rPr>
          <w:b/>
          <w:sz w:val="26"/>
          <w:szCs w:val="26"/>
        </w:rPr>
      </w:pPr>
    </w:p>
    <w:p w:rsidR="003C240C" w:rsidRDefault="002F3CE7" w:rsidP="00813F46">
      <w:pPr>
        <w:spacing w:line="360" w:lineRule="auto"/>
        <w:ind w:firstLine="1440"/>
        <w:rPr>
          <w:sz w:val="26"/>
          <w:szCs w:val="26"/>
        </w:rPr>
      </w:pPr>
      <w:r>
        <w:rPr>
          <w:sz w:val="26"/>
          <w:szCs w:val="26"/>
        </w:rPr>
        <w:t>In its Reply E</w:t>
      </w:r>
      <w:r w:rsidR="0011642C">
        <w:rPr>
          <w:sz w:val="26"/>
          <w:szCs w:val="26"/>
        </w:rPr>
        <w:t xml:space="preserve">xceptions, Duquesne states that </w:t>
      </w:r>
      <w:r>
        <w:rPr>
          <w:sz w:val="26"/>
          <w:szCs w:val="26"/>
        </w:rPr>
        <w:t xml:space="preserve">the ALJ’s recommendation to allow shopping customers to participate in the </w:t>
      </w:r>
      <w:r w:rsidR="0011642C">
        <w:rPr>
          <w:sz w:val="26"/>
          <w:szCs w:val="26"/>
        </w:rPr>
        <w:t xml:space="preserve">RME Programs was not in error.  </w:t>
      </w:r>
      <w:r>
        <w:rPr>
          <w:sz w:val="26"/>
          <w:szCs w:val="26"/>
        </w:rPr>
        <w:t>Duquesne argues that the ALJ’s recommendation is consistent with the Commi</w:t>
      </w:r>
      <w:r w:rsidR="0011642C">
        <w:rPr>
          <w:sz w:val="26"/>
          <w:szCs w:val="26"/>
        </w:rPr>
        <w:t>ssion’s decisions in both the FirstEnergy</w:t>
      </w:r>
      <w:r w:rsidR="00813F46">
        <w:rPr>
          <w:sz w:val="26"/>
          <w:szCs w:val="26"/>
        </w:rPr>
        <w:t xml:space="preserve"> DSP</w:t>
      </w:r>
      <w:r w:rsidR="0011642C">
        <w:rPr>
          <w:sz w:val="26"/>
          <w:szCs w:val="26"/>
        </w:rPr>
        <w:t xml:space="preserve"> and PECO DSP proceedings.  </w:t>
      </w:r>
      <w:r w:rsidR="0011642C" w:rsidRPr="0011642C">
        <w:rPr>
          <w:i/>
          <w:sz w:val="26"/>
          <w:szCs w:val="26"/>
        </w:rPr>
        <w:t>FirstEnergy DSP</w:t>
      </w:r>
      <w:r w:rsidRPr="0011642C">
        <w:rPr>
          <w:i/>
          <w:sz w:val="26"/>
          <w:szCs w:val="26"/>
        </w:rPr>
        <w:t xml:space="preserve"> Order</w:t>
      </w:r>
      <w:r>
        <w:rPr>
          <w:sz w:val="26"/>
          <w:szCs w:val="26"/>
        </w:rPr>
        <w:t xml:space="preserve"> at 62-63, 107; </w:t>
      </w:r>
      <w:r w:rsidRPr="0011642C">
        <w:rPr>
          <w:i/>
          <w:sz w:val="26"/>
          <w:szCs w:val="26"/>
        </w:rPr>
        <w:t xml:space="preserve">PECO </w:t>
      </w:r>
      <w:r w:rsidR="0011642C" w:rsidRPr="0011642C">
        <w:rPr>
          <w:i/>
          <w:sz w:val="26"/>
          <w:szCs w:val="26"/>
        </w:rPr>
        <w:t xml:space="preserve">DSP </w:t>
      </w:r>
      <w:r w:rsidRPr="0011642C">
        <w:rPr>
          <w:i/>
          <w:sz w:val="26"/>
          <w:szCs w:val="26"/>
        </w:rPr>
        <w:t>Order</w:t>
      </w:r>
      <w:r w:rsidR="0080678A">
        <w:rPr>
          <w:sz w:val="26"/>
          <w:szCs w:val="26"/>
        </w:rPr>
        <w:t xml:space="preserve"> at 8</w:t>
      </w:r>
      <w:r>
        <w:rPr>
          <w:sz w:val="26"/>
          <w:szCs w:val="26"/>
        </w:rPr>
        <w:t xml:space="preserve">6.  </w:t>
      </w:r>
      <w:r w:rsidR="0011642C">
        <w:rPr>
          <w:sz w:val="26"/>
          <w:szCs w:val="26"/>
        </w:rPr>
        <w:t>Duquesne states</w:t>
      </w:r>
      <w:r>
        <w:rPr>
          <w:sz w:val="26"/>
          <w:szCs w:val="26"/>
        </w:rPr>
        <w:t xml:space="preserve"> that RESA has offered no basis</w:t>
      </w:r>
      <w:r w:rsidR="0011642C">
        <w:rPr>
          <w:sz w:val="26"/>
          <w:szCs w:val="26"/>
        </w:rPr>
        <w:t xml:space="preserve"> to distinguish Duquesne from FirstEnergy</w:t>
      </w:r>
      <w:r>
        <w:rPr>
          <w:sz w:val="26"/>
          <w:szCs w:val="26"/>
        </w:rPr>
        <w:t xml:space="preserve"> and PECO on these issues, and that RESA’s Exception should be denied.  </w:t>
      </w:r>
      <w:r w:rsidR="00813F46">
        <w:rPr>
          <w:sz w:val="26"/>
          <w:szCs w:val="26"/>
        </w:rPr>
        <w:t xml:space="preserve">Duquesne R.Exc. at 22-23.  </w:t>
      </w:r>
    </w:p>
    <w:p w:rsidR="002F3CE7" w:rsidRDefault="002F3CE7" w:rsidP="00813F46">
      <w:pPr>
        <w:spacing w:line="360" w:lineRule="auto"/>
        <w:ind w:firstLine="1440"/>
        <w:rPr>
          <w:sz w:val="26"/>
          <w:szCs w:val="26"/>
        </w:rPr>
      </w:pPr>
    </w:p>
    <w:p w:rsidR="003C240C" w:rsidRDefault="003C240C" w:rsidP="00813F46">
      <w:pPr>
        <w:spacing w:line="360" w:lineRule="auto"/>
        <w:ind w:firstLine="1440"/>
        <w:rPr>
          <w:sz w:val="26"/>
          <w:szCs w:val="26"/>
        </w:rPr>
      </w:pPr>
      <w:r>
        <w:rPr>
          <w:sz w:val="26"/>
          <w:szCs w:val="26"/>
        </w:rPr>
        <w:t>I</w:t>
      </w:r>
      <w:r w:rsidR="00813F46">
        <w:rPr>
          <w:sz w:val="26"/>
          <w:szCs w:val="26"/>
        </w:rPr>
        <w:t>n its Reply Exceptions, the</w:t>
      </w:r>
      <w:r w:rsidR="006A7D53">
        <w:rPr>
          <w:sz w:val="26"/>
          <w:szCs w:val="26"/>
        </w:rPr>
        <w:t xml:space="preserve"> OCA explains that Duquesne </w:t>
      </w:r>
      <w:r w:rsidRPr="003C240C">
        <w:rPr>
          <w:sz w:val="26"/>
          <w:szCs w:val="26"/>
        </w:rPr>
        <w:t xml:space="preserve">will not specifically market its Opt-In or </w:t>
      </w:r>
      <w:r w:rsidR="000A4D82">
        <w:rPr>
          <w:sz w:val="26"/>
          <w:szCs w:val="26"/>
        </w:rPr>
        <w:t xml:space="preserve">SO </w:t>
      </w:r>
      <w:r w:rsidR="006A7D53">
        <w:rPr>
          <w:sz w:val="26"/>
          <w:szCs w:val="26"/>
        </w:rPr>
        <w:t>P</w:t>
      </w:r>
      <w:r w:rsidR="0011642C">
        <w:rPr>
          <w:sz w:val="26"/>
          <w:szCs w:val="26"/>
        </w:rPr>
        <w:t xml:space="preserve">rograms to shopping </w:t>
      </w:r>
      <w:r w:rsidRPr="003C240C">
        <w:rPr>
          <w:sz w:val="26"/>
          <w:szCs w:val="26"/>
        </w:rPr>
        <w:t>custom</w:t>
      </w:r>
      <w:r w:rsidR="0011642C">
        <w:rPr>
          <w:sz w:val="26"/>
          <w:szCs w:val="26"/>
        </w:rPr>
        <w:t>ers</w:t>
      </w:r>
      <w:r w:rsidRPr="003C240C">
        <w:rPr>
          <w:sz w:val="26"/>
          <w:szCs w:val="26"/>
        </w:rPr>
        <w:t xml:space="preserve">, but will allow these customers to participate in the RME Programs if they so request.  Duquesne St. 3-R at 13-14.  </w:t>
      </w:r>
      <w:r w:rsidR="00813F46">
        <w:rPr>
          <w:sz w:val="26"/>
          <w:szCs w:val="26"/>
        </w:rPr>
        <w:t>According to the OCA, t</w:t>
      </w:r>
      <w:r w:rsidRPr="003C240C">
        <w:rPr>
          <w:sz w:val="26"/>
          <w:szCs w:val="26"/>
        </w:rPr>
        <w:t xml:space="preserve">his approach is consistent with the </w:t>
      </w:r>
      <w:r w:rsidRPr="00F25874">
        <w:rPr>
          <w:i/>
          <w:sz w:val="26"/>
          <w:szCs w:val="26"/>
        </w:rPr>
        <w:t xml:space="preserve">IWP </w:t>
      </w:r>
      <w:r w:rsidR="00F25874" w:rsidRPr="00F25874">
        <w:rPr>
          <w:i/>
          <w:sz w:val="26"/>
          <w:szCs w:val="26"/>
        </w:rPr>
        <w:t xml:space="preserve">Final </w:t>
      </w:r>
      <w:r w:rsidRPr="00F25874">
        <w:rPr>
          <w:i/>
          <w:sz w:val="26"/>
          <w:szCs w:val="26"/>
        </w:rPr>
        <w:t>Order</w:t>
      </w:r>
      <w:r w:rsidR="005969AB" w:rsidRPr="003C240C">
        <w:rPr>
          <w:sz w:val="26"/>
          <w:szCs w:val="26"/>
          <w:u w:val="single"/>
        </w:rPr>
        <w:fldChar w:fldCharType="begin"/>
      </w:r>
      <w:r w:rsidRPr="003C240C">
        <w:rPr>
          <w:sz w:val="26"/>
          <w:szCs w:val="26"/>
        </w:rPr>
        <w:instrText xml:space="preserve"> TA \s "IWP Order" </w:instrText>
      </w:r>
      <w:r w:rsidR="005969AB" w:rsidRPr="003C240C">
        <w:rPr>
          <w:sz w:val="26"/>
          <w:szCs w:val="26"/>
          <w:u w:val="single"/>
        </w:rPr>
        <w:fldChar w:fldCharType="end"/>
      </w:r>
      <w:r w:rsidR="0011642C">
        <w:rPr>
          <w:sz w:val="26"/>
          <w:szCs w:val="26"/>
        </w:rPr>
        <w:t xml:space="preserve"> a</w:t>
      </w:r>
      <w:r w:rsidR="00211CF2">
        <w:rPr>
          <w:sz w:val="26"/>
          <w:szCs w:val="26"/>
        </w:rPr>
        <w:t>t </w:t>
      </w:r>
      <w:r w:rsidR="006A7D53">
        <w:rPr>
          <w:sz w:val="26"/>
          <w:szCs w:val="26"/>
        </w:rPr>
        <w:t xml:space="preserve">42.  The OCA supports Duquesne’s proposal.  </w:t>
      </w:r>
      <w:r w:rsidR="00813F46">
        <w:rPr>
          <w:sz w:val="26"/>
          <w:szCs w:val="26"/>
        </w:rPr>
        <w:t xml:space="preserve">OCA R.Exc. at 23-25.  </w:t>
      </w:r>
    </w:p>
    <w:p w:rsidR="006D47C0" w:rsidRPr="0059662F" w:rsidRDefault="006D47C0" w:rsidP="00813F46">
      <w:pPr>
        <w:pStyle w:val="BodyText2"/>
        <w:spacing w:after="0" w:line="360" w:lineRule="auto"/>
        <w:rPr>
          <w:sz w:val="26"/>
          <w:szCs w:val="26"/>
        </w:rPr>
      </w:pPr>
    </w:p>
    <w:p w:rsidR="006D47C0" w:rsidRDefault="0011642C" w:rsidP="00584C88">
      <w:pPr>
        <w:pStyle w:val="Heading4"/>
        <w:numPr>
          <w:ilvl w:val="0"/>
          <w:numId w:val="0"/>
        </w:numPr>
        <w:ind w:left="2880" w:hanging="720"/>
      </w:pPr>
      <w:bookmarkStart w:id="193" w:name="_Toc346705435"/>
      <w:r>
        <w:t>f.</w:t>
      </w:r>
      <w:r>
        <w:tab/>
      </w:r>
      <w:r w:rsidR="0059662F">
        <w:t>Disposition</w:t>
      </w:r>
      <w:bookmarkEnd w:id="193"/>
    </w:p>
    <w:p w:rsidR="0059662F" w:rsidRPr="00EE5722" w:rsidRDefault="0059662F" w:rsidP="00813F46">
      <w:pPr>
        <w:pStyle w:val="BriefL3"/>
        <w:numPr>
          <w:ilvl w:val="0"/>
          <w:numId w:val="0"/>
        </w:numPr>
        <w:spacing w:after="0" w:line="360" w:lineRule="auto"/>
        <w:ind w:left="2160" w:hanging="720"/>
        <w:rPr>
          <w:sz w:val="26"/>
          <w:szCs w:val="26"/>
        </w:rPr>
      </w:pPr>
    </w:p>
    <w:p w:rsidR="0080678A" w:rsidRPr="0080678A" w:rsidRDefault="0080678A" w:rsidP="00813F46">
      <w:pPr>
        <w:pStyle w:val="BodyText"/>
        <w:spacing w:after="0" w:line="360" w:lineRule="auto"/>
        <w:ind w:left="0"/>
        <w:rPr>
          <w:color w:val="000000" w:themeColor="text1"/>
          <w:sz w:val="26"/>
          <w:szCs w:val="26"/>
        </w:rPr>
      </w:pPr>
      <w:r>
        <w:rPr>
          <w:color w:val="000000" w:themeColor="text1"/>
          <w:sz w:val="26"/>
          <w:szCs w:val="26"/>
        </w:rPr>
        <w:t xml:space="preserve">Consistent with our prior holdings on this issue, we shall deny RESA’s Exception.  We believe that Duquesne’s proposal to market the RME Programs to default service customers, while allowing shopping customers to participate if they affirmatively inquire about the RME Programs, is reasonable.  We are unconvinced by RESA’s argument that shopping customers in Duquesne’s service territory are unique compared to shopping customers in other EDC service territories, </w:t>
      </w:r>
      <w:r w:rsidR="006419C6">
        <w:rPr>
          <w:color w:val="000000" w:themeColor="text1"/>
          <w:sz w:val="26"/>
          <w:szCs w:val="26"/>
        </w:rPr>
        <w:t>and</w:t>
      </w:r>
      <w:r>
        <w:rPr>
          <w:color w:val="000000" w:themeColor="text1"/>
          <w:sz w:val="26"/>
          <w:szCs w:val="26"/>
        </w:rPr>
        <w:t xml:space="preserve"> that this uniqueness </w:t>
      </w:r>
      <w:r w:rsidR="006419C6">
        <w:rPr>
          <w:color w:val="000000" w:themeColor="text1"/>
          <w:sz w:val="26"/>
          <w:szCs w:val="26"/>
        </w:rPr>
        <w:t>justifies</w:t>
      </w:r>
      <w:r>
        <w:rPr>
          <w:color w:val="000000" w:themeColor="text1"/>
          <w:sz w:val="26"/>
          <w:szCs w:val="26"/>
        </w:rPr>
        <w:t xml:space="preserve"> a departure from our prior determinations on this issue</w:t>
      </w:r>
      <w:r w:rsidR="006419C6">
        <w:rPr>
          <w:color w:val="000000" w:themeColor="text1"/>
          <w:sz w:val="26"/>
          <w:szCs w:val="26"/>
        </w:rPr>
        <w:t>.</w:t>
      </w:r>
    </w:p>
    <w:p w:rsidR="007C6954" w:rsidRPr="006419C6" w:rsidRDefault="007C6954" w:rsidP="00813F46">
      <w:pPr>
        <w:pStyle w:val="BodyText"/>
        <w:spacing w:after="0" w:line="360" w:lineRule="auto"/>
        <w:ind w:left="0" w:firstLine="0"/>
        <w:rPr>
          <w:sz w:val="26"/>
          <w:szCs w:val="26"/>
        </w:rPr>
      </w:pPr>
    </w:p>
    <w:p w:rsidR="006D47C0" w:rsidRPr="00EE5722" w:rsidRDefault="006D47C0" w:rsidP="00584C88">
      <w:pPr>
        <w:pStyle w:val="Heading3"/>
      </w:pPr>
      <w:bookmarkStart w:id="194" w:name="_Toc346705436"/>
      <w:r w:rsidRPr="00EE5722">
        <w:lastRenderedPageBreak/>
        <w:t>6.</w:t>
      </w:r>
      <w:r w:rsidRPr="00EE5722">
        <w:tab/>
        <w:t xml:space="preserve">Small C&amp;I Customer Participation in </w:t>
      </w:r>
      <w:r w:rsidR="006419C6">
        <w:t xml:space="preserve">RME </w:t>
      </w:r>
      <w:r w:rsidRPr="00EE5722">
        <w:t>Programs</w:t>
      </w:r>
      <w:bookmarkEnd w:id="194"/>
      <w:r w:rsidRPr="00EE5722">
        <w:t xml:space="preserve"> </w:t>
      </w:r>
    </w:p>
    <w:p w:rsidR="006D47C0" w:rsidRPr="00EE5722" w:rsidRDefault="006D47C0" w:rsidP="00211CF2">
      <w:pPr>
        <w:pStyle w:val="BriefL3"/>
        <w:keepNext/>
        <w:numPr>
          <w:ilvl w:val="0"/>
          <w:numId w:val="0"/>
        </w:numPr>
        <w:spacing w:after="0" w:line="360" w:lineRule="auto"/>
        <w:ind w:firstLine="720"/>
        <w:outlineLvl w:val="9"/>
        <w:rPr>
          <w:b/>
          <w:sz w:val="26"/>
          <w:szCs w:val="26"/>
        </w:rPr>
      </w:pPr>
    </w:p>
    <w:p w:rsidR="006D47C0" w:rsidRPr="00EE5722" w:rsidRDefault="00CD3B94" w:rsidP="00584C88">
      <w:pPr>
        <w:pStyle w:val="Heading4"/>
        <w:numPr>
          <w:ilvl w:val="0"/>
          <w:numId w:val="0"/>
        </w:numPr>
        <w:ind w:left="2880" w:hanging="720"/>
      </w:pPr>
      <w:bookmarkStart w:id="195" w:name="_Toc346705437"/>
      <w:r>
        <w:t>a.</w:t>
      </w:r>
      <w:r>
        <w:tab/>
        <w:t>Duquesne</w:t>
      </w:r>
      <w:r w:rsidR="006D47C0" w:rsidRPr="00EE5722">
        <w:t>’s Proposal</w:t>
      </w:r>
      <w:bookmarkEnd w:id="195"/>
    </w:p>
    <w:p w:rsidR="006D47C0" w:rsidRPr="00EE5722" w:rsidRDefault="006D47C0" w:rsidP="006D47C0">
      <w:pPr>
        <w:pStyle w:val="BodyText"/>
        <w:spacing w:after="0" w:line="360" w:lineRule="auto"/>
        <w:ind w:left="0" w:firstLine="0"/>
        <w:rPr>
          <w:sz w:val="26"/>
          <w:szCs w:val="26"/>
        </w:rPr>
      </w:pPr>
    </w:p>
    <w:p w:rsidR="006D47C0" w:rsidRDefault="006D47C0" w:rsidP="006D47C0">
      <w:pPr>
        <w:pStyle w:val="BodyText2"/>
        <w:spacing w:after="0" w:line="360" w:lineRule="auto"/>
        <w:rPr>
          <w:sz w:val="26"/>
          <w:szCs w:val="26"/>
        </w:rPr>
      </w:pPr>
      <w:r w:rsidRPr="00EE5722">
        <w:rPr>
          <w:sz w:val="26"/>
          <w:szCs w:val="26"/>
        </w:rPr>
        <w:tab/>
      </w:r>
      <w:r w:rsidRPr="00EE5722">
        <w:rPr>
          <w:sz w:val="26"/>
          <w:szCs w:val="26"/>
        </w:rPr>
        <w:tab/>
      </w:r>
      <w:r w:rsidR="00CD3B94">
        <w:rPr>
          <w:sz w:val="26"/>
          <w:szCs w:val="26"/>
        </w:rPr>
        <w:t xml:space="preserve">Duquesne </w:t>
      </w:r>
      <w:r w:rsidRPr="00EE5722">
        <w:rPr>
          <w:sz w:val="26"/>
          <w:szCs w:val="26"/>
        </w:rPr>
        <w:t>proposed to exclude Small C&amp;I customers from participating in the RME Programs</w:t>
      </w:r>
      <w:r w:rsidR="006419C6">
        <w:rPr>
          <w:sz w:val="26"/>
          <w:szCs w:val="26"/>
        </w:rPr>
        <w:t>, for the following reasons</w:t>
      </w:r>
      <w:r w:rsidRPr="00EE5722">
        <w:rPr>
          <w:sz w:val="26"/>
          <w:szCs w:val="26"/>
        </w:rPr>
        <w:t>:</w:t>
      </w:r>
    </w:p>
    <w:p w:rsidR="006419C6" w:rsidRPr="006419C6" w:rsidRDefault="006419C6" w:rsidP="006D47C0">
      <w:pPr>
        <w:pStyle w:val="BodyText2"/>
        <w:spacing w:after="0" w:line="360" w:lineRule="auto"/>
        <w:rPr>
          <w:sz w:val="26"/>
          <w:szCs w:val="26"/>
        </w:rPr>
      </w:pPr>
    </w:p>
    <w:p w:rsidR="006D47C0" w:rsidRPr="006419C6" w:rsidRDefault="006D47C0" w:rsidP="009A739B">
      <w:pPr>
        <w:pStyle w:val="BodyText2"/>
        <w:numPr>
          <w:ilvl w:val="0"/>
          <w:numId w:val="13"/>
        </w:numPr>
        <w:spacing w:after="0" w:line="240" w:lineRule="auto"/>
        <w:ind w:left="2160" w:hanging="720"/>
        <w:rPr>
          <w:sz w:val="26"/>
          <w:szCs w:val="26"/>
        </w:rPr>
      </w:pPr>
      <w:r w:rsidRPr="00EE5722">
        <w:rPr>
          <w:sz w:val="26"/>
          <w:szCs w:val="26"/>
        </w:rPr>
        <w:t xml:space="preserve">It would be prudent to consider the benefits and costs of the residential RME Programs before expanding applicability to Small C&amp;I customers; </w:t>
      </w:r>
    </w:p>
    <w:p w:rsidR="006D47C0" w:rsidRPr="006419C6" w:rsidRDefault="00650A88" w:rsidP="009A739B">
      <w:pPr>
        <w:pStyle w:val="BodyText2"/>
        <w:numPr>
          <w:ilvl w:val="0"/>
          <w:numId w:val="13"/>
        </w:numPr>
        <w:spacing w:after="0" w:line="240" w:lineRule="auto"/>
        <w:ind w:left="2160" w:hanging="720"/>
        <w:rPr>
          <w:sz w:val="26"/>
          <w:szCs w:val="26"/>
        </w:rPr>
      </w:pPr>
      <w:r>
        <w:rPr>
          <w:sz w:val="26"/>
          <w:szCs w:val="26"/>
        </w:rPr>
        <w:t xml:space="preserve">Duquesne </w:t>
      </w:r>
      <w:r w:rsidR="006D47C0" w:rsidRPr="00EE5722">
        <w:rPr>
          <w:sz w:val="26"/>
          <w:szCs w:val="26"/>
        </w:rPr>
        <w:t>already has high levels of customer shopping in its service territory with 42% of Small C&amp;I customers shopping as of August 2012; and</w:t>
      </w:r>
    </w:p>
    <w:p w:rsidR="006D47C0" w:rsidRPr="00EE5722" w:rsidRDefault="00650A88" w:rsidP="009A739B">
      <w:pPr>
        <w:pStyle w:val="BodyText2"/>
        <w:numPr>
          <w:ilvl w:val="0"/>
          <w:numId w:val="13"/>
        </w:numPr>
        <w:spacing w:after="0" w:line="240" w:lineRule="auto"/>
        <w:ind w:left="2160" w:hanging="720"/>
        <w:rPr>
          <w:sz w:val="26"/>
          <w:szCs w:val="26"/>
        </w:rPr>
      </w:pPr>
      <w:r>
        <w:rPr>
          <w:sz w:val="26"/>
          <w:szCs w:val="26"/>
        </w:rPr>
        <w:t xml:space="preserve">Duquesne </w:t>
      </w:r>
      <w:r w:rsidR="006D47C0" w:rsidRPr="00EE5722">
        <w:rPr>
          <w:sz w:val="26"/>
          <w:szCs w:val="26"/>
        </w:rPr>
        <w:t>is making its Small C&amp;I procurement plan more market responsive under DSP VI than under DSP V.</w:t>
      </w:r>
    </w:p>
    <w:p w:rsidR="006D47C0" w:rsidRPr="00EE5722" w:rsidRDefault="006D47C0" w:rsidP="006D47C0">
      <w:pPr>
        <w:pStyle w:val="BodyText2"/>
        <w:spacing w:after="0" w:line="240" w:lineRule="auto"/>
        <w:ind w:left="1800"/>
        <w:rPr>
          <w:sz w:val="26"/>
          <w:szCs w:val="26"/>
        </w:rPr>
      </w:pPr>
    </w:p>
    <w:p w:rsidR="006D47C0" w:rsidRPr="00EE5722" w:rsidRDefault="00CD3B94" w:rsidP="00813F46">
      <w:pPr>
        <w:pStyle w:val="BodyText2"/>
        <w:spacing w:after="0" w:line="360" w:lineRule="auto"/>
        <w:rPr>
          <w:sz w:val="26"/>
          <w:szCs w:val="26"/>
        </w:rPr>
      </w:pPr>
      <w:r>
        <w:rPr>
          <w:sz w:val="26"/>
          <w:szCs w:val="26"/>
        </w:rPr>
        <w:t xml:space="preserve">Duquesne St. No. 3-RJ at </w:t>
      </w:r>
      <w:r w:rsidR="006D47C0" w:rsidRPr="00EE5722">
        <w:rPr>
          <w:sz w:val="26"/>
          <w:szCs w:val="26"/>
        </w:rPr>
        <w:t>21-23.</w:t>
      </w:r>
    </w:p>
    <w:p w:rsidR="006D47C0" w:rsidRPr="00EE5722" w:rsidRDefault="006D47C0" w:rsidP="00813F46">
      <w:pPr>
        <w:pStyle w:val="BodyText2"/>
        <w:spacing w:after="0" w:line="360" w:lineRule="auto"/>
        <w:rPr>
          <w:sz w:val="26"/>
          <w:szCs w:val="26"/>
        </w:rPr>
      </w:pPr>
    </w:p>
    <w:p w:rsidR="006D47C0" w:rsidRPr="006419C6" w:rsidRDefault="006D47C0" w:rsidP="00813F46">
      <w:pPr>
        <w:pStyle w:val="BodyText2"/>
        <w:spacing w:after="0" w:line="360" w:lineRule="auto"/>
        <w:rPr>
          <w:sz w:val="26"/>
          <w:szCs w:val="26"/>
        </w:rPr>
      </w:pPr>
      <w:r w:rsidRPr="00EE5722">
        <w:rPr>
          <w:sz w:val="26"/>
          <w:szCs w:val="26"/>
        </w:rPr>
        <w:tab/>
      </w:r>
      <w:r w:rsidRPr="00EE5722">
        <w:rPr>
          <w:sz w:val="26"/>
          <w:szCs w:val="26"/>
        </w:rPr>
        <w:tab/>
      </w:r>
      <w:r w:rsidR="00CD3B94">
        <w:rPr>
          <w:sz w:val="26"/>
          <w:szCs w:val="26"/>
        </w:rPr>
        <w:t xml:space="preserve">Duquesne </w:t>
      </w:r>
      <w:r w:rsidRPr="00EE5722">
        <w:rPr>
          <w:sz w:val="26"/>
          <w:szCs w:val="26"/>
        </w:rPr>
        <w:t>acknowledged the Commission re</w:t>
      </w:r>
      <w:r w:rsidR="006419C6">
        <w:rPr>
          <w:sz w:val="26"/>
          <w:szCs w:val="26"/>
        </w:rPr>
        <w:t xml:space="preserve">cently held that Small C&amp;I customers should be included in the RME Programs offered by FirstEnergy and PECO.  However, Duquesne asserted that </w:t>
      </w:r>
      <w:r w:rsidRPr="00EE5722">
        <w:rPr>
          <w:sz w:val="26"/>
          <w:szCs w:val="26"/>
        </w:rPr>
        <w:t>there are special challenges in designing a Small C&amp;I program due to the load diversity in this class, and it is not clear th</w:t>
      </w:r>
      <w:r w:rsidR="006419C6">
        <w:rPr>
          <w:sz w:val="26"/>
          <w:szCs w:val="26"/>
        </w:rPr>
        <w:t>at either PECO or the FirstEnergy</w:t>
      </w:r>
      <w:r w:rsidRPr="00EE5722">
        <w:rPr>
          <w:sz w:val="26"/>
          <w:szCs w:val="26"/>
        </w:rPr>
        <w:t xml:space="preserve"> </w:t>
      </w:r>
      <w:r w:rsidR="006419C6">
        <w:rPr>
          <w:sz w:val="26"/>
          <w:szCs w:val="26"/>
        </w:rPr>
        <w:t xml:space="preserve">Companies </w:t>
      </w:r>
      <w:r w:rsidRPr="00EE5722">
        <w:rPr>
          <w:sz w:val="26"/>
          <w:szCs w:val="26"/>
        </w:rPr>
        <w:t>had levels of Small C&amp;I shopping that Duquesne already</w:t>
      </w:r>
      <w:r w:rsidR="006419C6">
        <w:rPr>
          <w:sz w:val="26"/>
          <w:szCs w:val="26"/>
        </w:rPr>
        <w:t xml:space="preserve"> has achieved.  </w:t>
      </w:r>
      <w:r w:rsidR="008C6CB0">
        <w:rPr>
          <w:sz w:val="26"/>
          <w:szCs w:val="26"/>
        </w:rPr>
        <w:t xml:space="preserve">Duquesne St. </w:t>
      </w:r>
      <w:r w:rsidR="00CD3B94">
        <w:rPr>
          <w:sz w:val="26"/>
          <w:szCs w:val="26"/>
        </w:rPr>
        <w:t xml:space="preserve">3-RJ at </w:t>
      </w:r>
      <w:r w:rsidRPr="00EE5722">
        <w:rPr>
          <w:sz w:val="26"/>
          <w:szCs w:val="26"/>
        </w:rPr>
        <w:t xml:space="preserve">16.  The </w:t>
      </w:r>
      <w:r w:rsidR="008C6CB0">
        <w:rPr>
          <w:sz w:val="26"/>
          <w:szCs w:val="26"/>
        </w:rPr>
        <w:t>Company argued that</w:t>
      </w:r>
      <w:r w:rsidRPr="00EE5722">
        <w:rPr>
          <w:sz w:val="26"/>
          <w:szCs w:val="26"/>
        </w:rPr>
        <w:t xml:space="preserve"> the Commission should give consideration to these issues in determining </w:t>
      </w:r>
      <w:r w:rsidR="006419C6">
        <w:rPr>
          <w:sz w:val="26"/>
          <w:szCs w:val="26"/>
        </w:rPr>
        <w:t xml:space="preserve">whether the Company should offer </w:t>
      </w:r>
      <w:r w:rsidRPr="00EE5722">
        <w:rPr>
          <w:sz w:val="26"/>
          <w:szCs w:val="26"/>
        </w:rPr>
        <w:t xml:space="preserve">RME Programs </w:t>
      </w:r>
      <w:r w:rsidR="006419C6">
        <w:rPr>
          <w:sz w:val="26"/>
          <w:szCs w:val="26"/>
        </w:rPr>
        <w:t>to Small C&amp;I customers.</w:t>
      </w:r>
    </w:p>
    <w:p w:rsidR="006D47C0" w:rsidRPr="00EE5722" w:rsidRDefault="006D47C0" w:rsidP="00813F46">
      <w:pPr>
        <w:pStyle w:val="ListParagraph"/>
        <w:autoSpaceDE/>
        <w:autoSpaceDN/>
        <w:spacing w:line="360" w:lineRule="auto"/>
        <w:ind w:left="0"/>
        <w:rPr>
          <w:sz w:val="26"/>
          <w:szCs w:val="26"/>
          <w:u w:val="single"/>
        </w:rPr>
      </w:pPr>
    </w:p>
    <w:p w:rsidR="006D47C0" w:rsidRDefault="008C6CB0" w:rsidP="00584C88">
      <w:pPr>
        <w:pStyle w:val="Heading4"/>
        <w:numPr>
          <w:ilvl w:val="0"/>
          <w:numId w:val="0"/>
        </w:numPr>
        <w:ind w:left="2880" w:hanging="720"/>
      </w:pPr>
      <w:bookmarkStart w:id="196" w:name="_Toc346705438"/>
      <w:r>
        <w:t>b.</w:t>
      </w:r>
      <w:r>
        <w:tab/>
      </w:r>
      <w:r w:rsidR="006D47C0" w:rsidRPr="00EE5722">
        <w:t>Position</w:t>
      </w:r>
      <w:r>
        <w:t>s of the Parties</w:t>
      </w:r>
      <w:bookmarkEnd w:id="196"/>
    </w:p>
    <w:p w:rsidR="001856BA" w:rsidRPr="00EE5722" w:rsidRDefault="001856BA" w:rsidP="00813F46">
      <w:pPr>
        <w:pStyle w:val="BriefL3"/>
        <w:numPr>
          <w:ilvl w:val="0"/>
          <w:numId w:val="0"/>
        </w:numPr>
        <w:spacing w:after="0" w:line="360" w:lineRule="auto"/>
        <w:ind w:left="1440" w:hanging="720"/>
        <w:rPr>
          <w:b/>
          <w:sz w:val="26"/>
          <w:szCs w:val="26"/>
        </w:rPr>
      </w:pPr>
    </w:p>
    <w:p w:rsidR="008C6CB0" w:rsidRPr="00EE5722" w:rsidRDefault="008C6CB0" w:rsidP="001856BA">
      <w:pPr>
        <w:spacing w:line="360" w:lineRule="auto"/>
        <w:ind w:firstLine="1440"/>
        <w:rPr>
          <w:sz w:val="26"/>
          <w:szCs w:val="26"/>
        </w:rPr>
      </w:pPr>
      <w:r>
        <w:rPr>
          <w:sz w:val="26"/>
          <w:szCs w:val="26"/>
        </w:rPr>
        <w:lastRenderedPageBreak/>
        <w:t xml:space="preserve">RESA argued that </w:t>
      </w:r>
      <w:r w:rsidRPr="00EE5722">
        <w:rPr>
          <w:sz w:val="26"/>
          <w:szCs w:val="26"/>
        </w:rPr>
        <w:t xml:space="preserve">Small C&amp;I customers </w:t>
      </w:r>
      <w:r>
        <w:rPr>
          <w:sz w:val="26"/>
          <w:szCs w:val="26"/>
        </w:rPr>
        <w:t xml:space="preserve">should </w:t>
      </w:r>
      <w:r w:rsidRPr="00EE5722">
        <w:rPr>
          <w:sz w:val="26"/>
          <w:szCs w:val="26"/>
        </w:rPr>
        <w:t>be eligible t</w:t>
      </w:r>
      <w:r>
        <w:rPr>
          <w:sz w:val="26"/>
          <w:szCs w:val="26"/>
        </w:rPr>
        <w:t>o participate in Duquesne’s RME Programs</w:t>
      </w:r>
      <w:r w:rsidRPr="00EE5722">
        <w:rPr>
          <w:sz w:val="26"/>
          <w:szCs w:val="26"/>
        </w:rPr>
        <w:t xml:space="preserve">.  </w:t>
      </w:r>
      <w:r w:rsidR="001856BA">
        <w:rPr>
          <w:sz w:val="26"/>
          <w:szCs w:val="26"/>
        </w:rPr>
        <w:t>RESA argued</w:t>
      </w:r>
      <w:r>
        <w:rPr>
          <w:sz w:val="26"/>
          <w:szCs w:val="26"/>
        </w:rPr>
        <w:t xml:space="preserve"> that this was the conclusion reached by the Commission in</w:t>
      </w:r>
      <w:r w:rsidRPr="00EE5722">
        <w:rPr>
          <w:sz w:val="26"/>
          <w:szCs w:val="26"/>
        </w:rPr>
        <w:t xml:space="preserve"> the </w:t>
      </w:r>
      <w:r w:rsidR="00747A9A">
        <w:rPr>
          <w:sz w:val="26"/>
          <w:szCs w:val="26"/>
        </w:rPr>
        <w:t>FirstEnergy</w:t>
      </w:r>
      <w:r w:rsidR="00813F46">
        <w:rPr>
          <w:sz w:val="26"/>
          <w:szCs w:val="26"/>
        </w:rPr>
        <w:t xml:space="preserve"> DSP</w:t>
      </w:r>
      <w:r w:rsidR="00747A9A">
        <w:rPr>
          <w:sz w:val="26"/>
          <w:szCs w:val="26"/>
        </w:rPr>
        <w:t xml:space="preserve"> </w:t>
      </w:r>
      <w:r w:rsidRPr="00EE5722">
        <w:rPr>
          <w:sz w:val="26"/>
          <w:szCs w:val="26"/>
        </w:rPr>
        <w:t xml:space="preserve">and </w:t>
      </w:r>
      <w:r w:rsidRPr="00747A9A">
        <w:rPr>
          <w:sz w:val="26"/>
          <w:szCs w:val="26"/>
        </w:rPr>
        <w:t xml:space="preserve">PECO </w:t>
      </w:r>
      <w:r w:rsidR="00747A9A">
        <w:rPr>
          <w:sz w:val="26"/>
          <w:szCs w:val="26"/>
        </w:rPr>
        <w:t>DSP proceedings</w:t>
      </w:r>
      <w:r w:rsidR="001856BA">
        <w:rPr>
          <w:sz w:val="26"/>
          <w:szCs w:val="26"/>
        </w:rPr>
        <w:t>.</w:t>
      </w:r>
      <w:r w:rsidRPr="00EE5722">
        <w:rPr>
          <w:sz w:val="26"/>
          <w:szCs w:val="26"/>
          <w:vertAlign w:val="superscript"/>
        </w:rPr>
        <w:footnoteReference w:id="111"/>
      </w:r>
      <w:r w:rsidR="00747A9A">
        <w:rPr>
          <w:sz w:val="26"/>
          <w:szCs w:val="26"/>
        </w:rPr>
        <w:t xml:space="preserve">  RESA asserted that only </w:t>
      </w:r>
      <w:r w:rsidRPr="00EE5722">
        <w:rPr>
          <w:sz w:val="26"/>
          <w:szCs w:val="26"/>
        </w:rPr>
        <w:t xml:space="preserve">30% of </w:t>
      </w:r>
      <w:r w:rsidR="00747A9A">
        <w:rPr>
          <w:sz w:val="26"/>
          <w:szCs w:val="26"/>
        </w:rPr>
        <w:t xml:space="preserve">Duquesne’s </w:t>
      </w:r>
      <w:r w:rsidRPr="00EE5722">
        <w:rPr>
          <w:sz w:val="26"/>
          <w:szCs w:val="26"/>
        </w:rPr>
        <w:t xml:space="preserve">Small C&amp;I </w:t>
      </w:r>
      <w:r w:rsidR="00747A9A">
        <w:rPr>
          <w:sz w:val="26"/>
          <w:szCs w:val="26"/>
        </w:rPr>
        <w:t xml:space="preserve">customers (accounting for </w:t>
      </w:r>
      <w:r w:rsidRPr="00EE5722">
        <w:rPr>
          <w:sz w:val="26"/>
          <w:szCs w:val="26"/>
        </w:rPr>
        <w:t>38% of the load) had switched to an EGS as of May 2012, meaning that Small C&amp;I customers were switching at a rate materially le</w:t>
      </w:r>
      <w:r w:rsidR="00813F46">
        <w:rPr>
          <w:sz w:val="26"/>
          <w:szCs w:val="26"/>
        </w:rPr>
        <w:t>ss than the switching rates of r</w:t>
      </w:r>
      <w:r w:rsidRPr="00EE5722">
        <w:rPr>
          <w:sz w:val="26"/>
          <w:szCs w:val="26"/>
        </w:rPr>
        <w:t>esidential customers in the Duquesne service territory.</w:t>
      </w:r>
      <w:r w:rsidRPr="00EE5722">
        <w:rPr>
          <w:rStyle w:val="FootnoteReference"/>
          <w:sz w:val="26"/>
          <w:szCs w:val="26"/>
        </w:rPr>
        <w:footnoteReference w:id="112"/>
      </w:r>
      <w:r w:rsidRPr="00EE5722">
        <w:rPr>
          <w:sz w:val="26"/>
          <w:szCs w:val="26"/>
        </w:rPr>
        <w:t xml:space="preserve">  This trend is sufficient to justify application of the result reached in the </w:t>
      </w:r>
      <w:r w:rsidR="00747A9A">
        <w:rPr>
          <w:i/>
          <w:sz w:val="26"/>
          <w:szCs w:val="26"/>
        </w:rPr>
        <w:t>FirstEnergy DSP</w:t>
      </w:r>
      <w:r w:rsidRPr="00EE5722">
        <w:rPr>
          <w:i/>
          <w:sz w:val="26"/>
          <w:szCs w:val="26"/>
        </w:rPr>
        <w:t xml:space="preserve"> Order</w:t>
      </w:r>
      <w:r w:rsidRPr="00EE5722">
        <w:rPr>
          <w:sz w:val="26"/>
          <w:szCs w:val="26"/>
        </w:rPr>
        <w:t xml:space="preserve"> and the </w:t>
      </w:r>
      <w:r w:rsidRPr="00EE5722">
        <w:rPr>
          <w:i/>
          <w:sz w:val="26"/>
          <w:szCs w:val="26"/>
        </w:rPr>
        <w:t>PECO Binding Poll</w:t>
      </w:r>
      <w:r w:rsidRPr="00EE5722">
        <w:rPr>
          <w:sz w:val="26"/>
          <w:szCs w:val="26"/>
        </w:rPr>
        <w:t xml:space="preserve"> </w:t>
      </w:r>
      <w:r w:rsidR="00747A9A">
        <w:rPr>
          <w:sz w:val="26"/>
          <w:szCs w:val="26"/>
        </w:rPr>
        <w:t>to Duquesne</w:t>
      </w:r>
      <w:r w:rsidRPr="00EE5722">
        <w:rPr>
          <w:sz w:val="26"/>
          <w:szCs w:val="26"/>
        </w:rPr>
        <w:t>.</w:t>
      </w:r>
    </w:p>
    <w:p w:rsidR="008C6CB0" w:rsidRPr="00EE5722" w:rsidRDefault="008C6CB0" w:rsidP="001856BA">
      <w:pPr>
        <w:spacing w:line="360" w:lineRule="auto"/>
        <w:rPr>
          <w:sz w:val="26"/>
          <w:szCs w:val="26"/>
        </w:rPr>
      </w:pPr>
    </w:p>
    <w:p w:rsidR="00813F46" w:rsidRDefault="001856BA" w:rsidP="00813F46">
      <w:pPr>
        <w:pStyle w:val="BodyText2"/>
        <w:spacing w:after="0" w:line="360" w:lineRule="auto"/>
        <w:ind w:firstLine="1440"/>
        <w:rPr>
          <w:sz w:val="26"/>
          <w:szCs w:val="26"/>
        </w:rPr>
      </w:pPr>
      <w:r>
        <w:rPr>
          <w:sz w:val="26"/>
          <w:szCs w:val="26"/>
        </w:rPr>
        <w:t xml:space="preserve">FES argued that RME </w:t>
      </w:r>
      <w:r w:rsidRPr="00EE5722">
        <w:rPr>
          <w:sz w:val="26"/>
          <w:szCs w:val="26"/>
        </w:rPr>
        <w:t>Programs should be open to customers in all rat</w:t>
      </w:r>
      <w:r>
        <w:rPr>
          <w:sz w:val="26"/>
          <w:szCs w:val="26"/>
        </w:rPr>
        <w:t>e classes.  While Duquesne</w:t>
      </w:r>
      <w:r w:rsidRPr="00EE5722">
        <w:rPr>
          <w:sz w:val="26"/>
          <w:szCs w:val="26"/>
        </w:rPr>
        <w:t xml:space="preserve">’s proposal is consistent with the </w:t>
      </w:r>
      <w:r w:rsidRPr="00EE5722">
        <w:rPr>
          <w:i/>
          <w:sz w:val="26"/>
          <w:szCs w:val="26"/>
        </w:rPr>
        <w:t xml:space="preserve">IWP </w:t>
      </w:r>
      <w:r w:rsidR="00F25874">
        <w:rPr>
          <w:i/>
          <w:sz w:val="26"/>
          <w:szCs w:val="26"/>
        </w:rPr>
        <w:t xml:space="preserve">Final </w:t>
      </w:r>
      <w:r w:rsidRPr="00EE5722">
        <w:rPr>
          <w:i/>
          <w:sz w:val="26"/>
          <w:szCs w:val="26"/>
        </w:rPr>
        <w:t>Order</w:t>
      </w:r>
      <w:r w:rsidRPr="00EE5722">
        <w:rPr>
          <w:sz w:val="26"/>
          <w:szCs w:val="26"/>
        </w:rPr>
        <w:t xml:space="preserve">, </w:t>
      </w:r>
      <w:r>
        <w:rPr>
          <w:sz w:val="26"/>
          <w:szCs w:val="26"/>
        </w:rPr>
        <w:t xml:space="preserve">FES submitted that </w:t>
      </w:r>
      <w:r w:rsidRPr="00EE5722">
        <w:rPr>
          <w:sz w:val="26"/>
          <w:szCs w:val="26"/>
        </w:rPr>
        <w:t xml:space="preserve">the Commission’s holding in the </w:t>
      </w:r>
      <w:r>
        <w:rPr>
          <w:i/>
          <w:sz w:val="26"/>
          <w:szCs w:val="26"/>
        </w:rPr>
        <w:t>FE</w:t>
      </w:r>
      <w:r w:rsidRPr="00EE5722">
        <w:rPr>
          <w:i/>
          <w:sz w:val="26"/>
          <w:szCs w:val="26"/>
        </w:rPr>
        <w:t xml:space="preserve"> </w:t>
      </w:r>
      <w:r w:rsidR="00747A9A">
        <w:rPr>
          <w:i/>
          <w:sz w:val="26"/>
          <w:szCs w:val="26"/>
        </w:rPr>
        <w:t xml:space="preserve">DSP </w:t>
      </w:r>
      <w:r w:rsidRPr="00EE5722">
        <w:rPr>
          <w:i/>
          <w:sz w:val="26"/>
          <w:szCs w:val="26"/>
        </w:rPr>
        <w:t>Order</w:t>
      </w:r>
      <w:r>
        <w:rPr>
          <w:sz w:val="26"/>
          <w:szCs w:val="26"/>
        </w:rPr>
        <w:t xml:space="preserve"> </w:t>
      </w:r>
      <w:r w:rsidRPr="00EE5722">
        <w:rPr>
          <w:sz w:val="26"/>
          <w:szCs w:val="26"/>
        </w:rPr>
        <w:t xml:space="preserve">shows its intention that Small C&amp;I customers should be included in the </w:t>
      </w:r>
      <w:r>
        <w:rPr>
          <w:sz w:val="26"/>
          <w:szCs w:val="26"/>
        </w:rPr>
        <w:t xml:space="preserve">RME </w:t>
      </w:r>
      <w:r w:rsidRPr="00EE5722">
        <w:rPr>
          <w:sz w:val="26"/>
          <w:szCs w:val="26"/>
        </w:rPr>
        <w:t>Programs.</w:t>
      </w:r>
      <w:r w:rsidRPr="00EE5722">
        <w:rPr>
          <w:rStyle w:val="FootnoteReference"/>
          <w:sz w:val="26"/>
          <w:szCs w:val="26"/>
        </w:rPr>
        <w:footnoteReference w:id="113"/>
      </w:r>
    </w:p>
    <w:p w:rsidR="008C6CB0" w:rsidRDefault="006D47C0" w:rsidP="00813F46">
      <w:pPr>
        <w:pStyle w:val="BodyText2"/>
        <w:spacing w:after="0" w:line="360" w:lineRule="auto"/>
        <w:ind w:firstLine="1440"/>
        <w:rPr>
          <w:sz w:val="26"/>
          <w:szCs w:val="26"/>
        </w:rPr>
      </w:pPr>
      <w:r w:rsidRPr="00EE5722">
        <w:rPr>
          <w:sz w:val="26"/>
          <w:szCs w:val="26"/>
        </w:rPr>
        <w:tab/>
      </w:r>
    </w:p>
    <w:p w:rsidR="006D47C0" w:rsidRDefault="001856BA" w:rsidP="00813F46">
      <w:pPr>
        <w:pStyle w:val="BodyText2"/>
        <w:spacing w:after="0" w:line="360" w:lineRule="auto"/>
        <w:ind w:firstLine="1440"/>
        <w:rPr>
          <w:sz w:val="26"/>
          <w:szCs w:val="26"/>
        </w:rPr>
      </w:pPr>
      <w:r>
        <w:rPr>
          <w:sz w:val="26"/>
          <w:szCs w:val="26"/>
        </w:rPr>
        <w:t xml:space="preserve">The OCA, CAUSE, Citizen Power, DII, </w:t>
      </w:r>
      <w:r w:rsidR="00621057">
        <w:rPr>
          <w:sz w:val="26"/>
          <w:szCs w:val="26"/>
        </w:rPr>
        <w:t>Dominion and Constellation</w:t>
      </w:r>
      <w:r>
        <w:rPr>
          <w:sz w:val="26"/>
          <w:szCs w:val="26"/>
        </w:rPr>
        <w:t xml:space="preserve"> took</w:t>
      </w:r>
      <w:r w:rsidR="006D47C0" w:rsidRPr="00EE5722">
        <w:rPr>
          <w:sz w:val="26"/>
          <w:szCs w:val="26"/>
        </w:rPr>
        <w:t xml:space="preserve"> no position on this issue.</w:t>
      </w:r>
    </w:p>
    <w:p w:rsidR="001856BA" w:rsidRPr="001856BA" w:rsidRDefault="001856BA" w:rsidP="00813F46">
      <w:pPr>
        <w:pStyle w:val="BodyText2"/>
        <w:spacing w:after="0" w:line="360" w:lineRule="auto"/>
        <w:ind w:firstLine="1440"/>
        <w:rPr>
          <w:sz w:val="26"/>
          <w:szCs w:val="26"/>
        </w:rPr>
      </w:pPr>
    </w:p>
    <w:p w:rsidR="006D47C0" w:rsidRDefault="001856BA" w:rsidP="00584C88">
      <w:pPr>
        <w:pStyle w:val="Heading4"/>
        <w:numPr>
          <w:ilvl w:val="0"/>
          <w:numId w:val="0"/>
        </w:numPr>
        <w:ind w:left="2880" w:hanging="720"/>
      </w:pPr>
      <w:bookmarkStart w:id="197" w:name="_Toc346705439"/>
      <w:r>
        <w:t>c.</w:t>
      </w:r>
      <w:r>
        <w:tab/>
        <w:t>ALJ’s Recommendation</w:t>
      </w:r>
      <w:bookmarkEnd w:id="197"/>
      <w:r w:rsidR="00813F46">
        <w:t xml:space="preserve"> </w:t>
      </w:r>
    </w:p>
    <w:p w:rsidR="00297C57" w:rsidRPr="00EE5722" w:rsidRDefault="00297C57" w:rsidP="00813F46">
      <w:pPr>
        <w:pStyle w:val="BriefL3"/>
        <w:numPr>
          <w:ilvl w:val="0"/>
          <w:numId w:val="0"/>
        </w:numPr>
        <w:spacing w:after="0" w:line="360" w:lineRule="auto"/>
        <w:ind w:left="2160"/>
        <w:rPr>
          <w:b/>
          <w:sz w:val="26"/>
          <w:szCs w:val="26"/>
        </w:rPr>
      </w:pPr>
    </w:p>
    <w:p w:rsidR="001856BA" w:rsidRPr="00EE5722" w:rsidRDefault="00813F46" w:rsidP="00211CF2">
      <w:pPr>
        <w:pStyle w:val="BodyText"/>
        <w:widowControl/>
        <w:spacing w:after="0" w:line="360" w:lineRule="auto"/>
        <w:ind w:left="0"/>
        <w:rPr>
          <w:color w:val="000000" w:themeColor="text1"/>
          <w:sz w:val="26"/>
          <w:szCs w:val="26"/>
        </w:rPr>
      </w:pPr>
      <w:r>
        <w:rPr>
          <w:color w:val="000000" w:themeColor="text1"/>
          <w:sz w:val="26"/>
          <w:szCs w:val="26"/>
        </w:rPr>
        <w:t>The ALJ stated that</w:t>
      </w:r>
      <w:r w:rsidR="005E39D2">
        <w:rPr>
          <w:color w:val="000000" w:themeColor="text1"/>
          <w:sz w:val="26"/>
          <w:szCs w:val="26"/>
        </w:rPr>
        <w:t>,</w:t>
      </w:r>
      <w:r>
        <w:rPr>
          <w:color w:val="000000" w:themeColor="text1"/>
          <w:sz w:val="26"/>
          <w:szCs w:val="26"/>
        </w:rPr>
        <w:t xml:space="preserve"> b</w:t>
      </w:r>
      <w:r w:rsidR="001856BA">
        <w:rPr>
          <w:color w:val="000000" w:themeColor="text1"/>
          <w:sz w:val="26"/>
          <w:szCs w:val="26"/>
        </w:rPr>
        <w:t>ecause t</w:t>
      </w:r>
      <w:r w:rsidR="001856BA" w:rsidRPr="00EE5722">
        <w:rPr>
          <w:color w:val="000000" w:themeColor="text1"/>
          <w:sz w:val="26"/>
          <w:szCs w:val="26"/>
        </w:rPr>
        <w:t xml:space="preserve">he level of Small C&amp;I customers </w:t>
      </w:r>
      <w:r w:rsidR="0044643C">
        <w:rPr>
          <w:color w:val="000000" w:themeColor="text1"/>
          <w:sz w:val="26"/>
          <w:szCs w:val="26"/>
        </w:rPr>
        <w:t xml:space="preserve">shopping in Duquesne’s </w:t>
      </w:r>
      <w:r w:rsidR="001856BA" w:rsidRPr="00EE5722">
        <w:rPr>
          <w:color w:val="000000" w:themeColor="text1"/>
          <w:sz w:val="26"/>
          <w:szCs w:val="26"/>
        </w:rPr>
        <w:t xml:space="preserve">territory is only slightly higher than the </w:t>
      </w:r>
      <w:r>
        <w:rPr>
          <w:color w:val="000000" w:themeColor="text1"/>
          <w:sz w:val="26"/>
          <w:szCs w:val="26"/>
        </w:rPr>
        <w:t>r</w:t>
      </w:r>
      <w:r w:rsidR="0044643C">
        <w:rPr>
          <w:color w:val="000000" w:themeColor="text1"/>
          <w:sz w:val="26"/>
          <w:szCs w:val="26"/>
        </w:rPr>
        <w:t xml:space="preserve">esidential </w:t>
      </w:r>
      <w:r w:rsidR="005E39D2">
        <w:rPr>
          <w:color w:val="000000" w:themeColor="text1"/>
          <w:sz w:val="26"/>
          <w:szCs w:val="26"/>
        </w:rPr>
        <w:t>level of shopping</w:t>
      </w:r>
      <w:r w:rsidR="001856BA">
        <w:rPr>
          <w:color w:val="000000" w:themeColor="text1"/>
          <w:sz w:val="26"/>
          <w:szCs w:val="26"/>
        </w:rPr>
        <w:t>, t</w:t>
      </w:r>
      <w:r w:rsidR="001856BA" w:rsidRPr="00EE5722">
        <w:rPr>
          <w:color w:val="000000" w:themeColor="text1"/>
          <w:sz w:val="26"/>
          <w:szCs w:val="26"/>
        </w:rPr>
        <w:t>here are reasons to seek expanded pa</w:t>
      </w:r>
      <w:r w:rsidR="001856BA">
        <w:rPr>
          <w:color w:val="000000" w:themeColor="text1"/>
          <w:sz w:val="26"/>
          <w:szCs w:val="26"/>
        </w:rPr>
        <w:t>rticipation by this class.  T</w:t>
      </w:r>
      <w:r w:rsidR="001856BA" w:rsidRPr="00EE5722">
        <w:rPr>
          <w:color w:val="000000" w:themeColor="text1"/>
          <w:sz w:val="26"/>
          <w:szCs w:val="26"/>
        </w:rPr>
        <w:t xml:space="preserve">herefore, the </w:t>
      </w:r>
      <w:r w:rsidR="001856BA">
        <w:rPr>
          <w:color w:val="000000" w:themeColor="text1"/>
          <w:sz w:val="26"/>
          <w:szCs w:val="26"/>
        </w:rPr>
        <w:t xml:space="preserve">ALJ </w:t>
      </w:r>
      <w:r w:rsidR="001856BA">
        <w:rPr>
          <w:color w:val="000000" w:themeColor="text1"/>
          <w:sz w:val="26"/>
          <w:szCs w:val="26"/>
        </w:rPr>
        <w:lastRenderedPageBreak/>
        <w:t xml:space="preserve">recommended that the </w:t>
      </w:r>
      <w:r w:rsidR="0044643C">
        <w:rPr>
          <w:color w:val="000000" w:themeColor="text1"/>
          <w:sz w:val="26"/>
          <w:szCs w:val="26"/>
        </w:rPr>
        <w:t xml:space="preserve">SO </w:t>
      </w:r>
      <w:r w:rsidR="001856BA" w:rsidRPr="00EE5722">
        <w:rPr>
          <w:color w:val="000000" w:themeColor="text1"/>
          <w:sz w:val="26"/>
          <w:szCs w:val="26"/>
        </w:rPr>
        <w:t>Program shoul</w:t>
      </w:r>
      <w:r w:rsidR="001856BA">
        <w:rPr>
          <w:color w:val="000000" w:themeColor="text1"/>
          <w:sz w:val="26"/>
          <w:szCs w:val="26"/>
        </w:rPr>
        <w:t xml:space="preserve">d be available to </w:t>
      </w:r>
      <w:r w:rsidR="001856BA" w:rsidRPr="00EE5722">
        <w:rPr>
          <w:color w:val="000000" w:themeColor="text1"/>
          <w:sz w:val="26"/>
          <w:szCs w:val="26"/>
        </w:rPr>
        <w:t>Small C&amp;I customers to the sa</w:t>
      </w:r>
      <w:r w:rsidR="0044643C">
        <w:rPr>
          <w:color w:val="000000" w:themeColor="text1"/>
          <w:sz w:val="26"/>
          <w:szCs w:val="26"/>
        </w:rPr>
        <w:t>me extent it is applied to the R</w:t>
      </w:r>
      <w:r w:rsidR="001856BA" w:rsidRPr="00EE5722">
        <w:rPr>
          <w:color w:val="000000" w:themeColor="text1"/>
          <w:sz w:val="26"/>
          <w:szCs w:val="26"/>
        </w:rPr>
        <w:t>esidential class, and for the same reasons.</w:t>
      </w:r>
      <w:r w:rsidR="00FD7779">
        <w:rPr>
          <w:rStyle w:val="FootnoteReference"/>
          <w:color w:val="000000" w:themeColor="text1"/>
          <w:sz w:val="26"/>
          <w:szCs w:val="26"/>
        </w:rPr>
        <w:footnoteReference w:id="114"/>
      </w:r>
      <w:r w:rsidR="0021604E">
        <w:rPr>
          <w:color w:val="000000" w:themeColor="text1"/>
          <w:sz w:val="26"/>
          <w:szCs w:val="26"/>
        </w:rPr>
        <w:t xml:space="preserve"> </w:t>
      </w:r>
      <w:r w:rsidR="00D83F24">
        <w:rPr>
          <w:color w:val="000000" w:themeColor="text1"/>
          <w:sz w:val="26"/>
          <w:szCs w:val="26"/>
        </w:rPr>
        <w:t xml:space="preserve"> R.D. at 168.</w:t>
      </w:r>
    </w:p>
    <w:p w:rsidR="006D47C0" w:rsidRPr="00EE5722" w:rsidRDefault="001856BA" w:rsidP="00584C88">
      <w:pPr>
        <w:pStyle w:val="Heading4"/>
        <w:numPr>
          <w:ilvl w:val="0"/>
          <w:numId w:val="0"/>
        </w:numPr>
        <w:ind w:left="2880" w:hanging="720"/>
      </w:pPr>
      <w:bookmarkStart w:id="198" w:name="_Toc346705440"/>
      <w:r>
        <w:t>d.</w:t>
      </w:r>
      <w:r>
        <w:tab/>
        <w:t>Exceptions</w:t>
      </w:r>
      <w:bookmarkEnd w:id="198"/>
    </w:p>
    <w:p w:rsidR="006D47C0" w:rsidRDefault="006D47C0" w:rsidP="00D83F24">
      <w:pPr>
        <w:pStyle w:val="BodyText"/>
        <w:spacing w:after="0" w:line="360" w:lineRule="auto"/>
        <w:ind w:left="0" w:firstLine="0"/>
        <w:rPr>
          <w:sz w:val="26"/>
          <w:szCs w:val="26"/>
        </w:rPr>
      </w:pPr>
    </w:p>
    <w:p w:rsidR="008C162C" w:rsidRDefault="008C162C" w:rsidP="00D83F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right" w:pos="9360"/>
        </w:tabs>
        <w:spacing w:line="360" w:lineRule="auto"/>
        <w:ind w:firstLine="1440"/>
        <w:rPr>
          <w:sz w:val="26"/>
          <w:szCs w:val="26"/>
        </w:rPr>
      </w:pPr>
      <w:r>
        <w:rPr>
          <w:sz w:val="26"/>
          <w:szCs w:val="26"/>
        </w:rPr>
        <w:t>In its Exceptions, the OSBA argues that t</w:t>
      </w:r>
      <w:r w:rsidRPr="008C162C">
        <w:rPr>
          <w:sz w:val="26"/>
          <w:szCs w:val="26"/>
        </w:rPr>
        <w:t>he ALJ erred in recommending that Duq</w:t>
      </w:r>
      <w:r w:rsidR="00FD7779">
        <w:rPr>
          <w:sz w:val="26"/>
          <w:szCs w:val="26"/>
        </w:rPr>
        <w:t xml:space="preserve">uesne’s RME </w:t>
      </w:r>
      <w:r w:rsidRPr="008C162C">
        <w:rPr>
          <w:sz w:val="26"/>
          <w:szCs w:val="26"/>
        </w:rPr>
        <w:t>Program</w:t>
      </w:r>
      <w:r w:rsidR="00FD7779">
        <w:rPr>
          <w:sz w:val="26"/>
          <w:szCs w:val="26"/>
        </w:rPr>
        <w:t>s</w:t>
      </w:r>
      <w:r w:rsidRPr="008C162C">
        <w:rPr>
          <w:sz w:val="26"/>
          <w:szCs w:val="26"/>
        </w:rPr>
        <w:t xml:space="preserve"> should be available to Sm</w:t>
      </w:r>
      <w:r w:rsidR="00FD7779">
        <w:rPr>
          <w:sz w:val="26"/>
          <w:szCs w:val="26"/>
        </w:rPr>
        <w:t xml:space="preserve">all C&amp;I customers.  </w:t>
      </w:r>
      <w:r w:rsidR="004C2B27">
        <w:rPr>
          <w:sz w:val="26"/>
          <w:szCs w:val="26"/>
        </w:rPr>
        <w:t xml:space="preserve">  </w:t>
      </w:r>
      <w:r w:rsidR="00FD7779">
        <w:rPr>
          <w:sz w:val="26"/>
          <w:szCs w:val="26"/>
        </w:rPr>
        <w:t>According to t</w:t>
      </w:r>
      <w:r w:rsidRPr="008C162C">
        <w:rPr>
          <w:sz w:val="26"/>
          <w:szCs w:val="26"/>
        </w:rPr>
        <w:t xml:space="preserve">he </w:t>
      </w:r>
      <w:r w:rsidR="00FD7779">
        <w:rPr>
          <w:sz w:val="26"/>
          <w:szCs w:val="26"/>
        </w:rPr>
        <w:t xml:space="preserve">OSBA, the </w:t>
      </w:r>
      <w:r w:rsidRPr="008C162C">
        <w:rPr>
          <w:sz w:val="26"/>
          <w:szCs w:val="26"/>
        </w:rPr>
        <w:t xml:space="preserve">ALJ concluded that the level of Small C&amp;I customers shopping in Duquesne’s service territory is only slightly higher than the percentage of residential shopping customers.  That conclusion forms the sole basis for the ALJ’s recommendation that Small C&amp;I customers </w:t>
      </w:r>
      <w:r w:rsidR="00FD7779">
        <w:rPr>
          <w:sz w:val="26"/>
          <w:szCs w:val="26"/>
        </w:rPr>
        <w:t xml:space="preserve">should be eligible for Duquesne’s RME </w:t>
      </w:r>
      <w:r w:rsidRPr="008C162C">
        <w:rPr>
          <w:sz w:val="26"/>
          <w:szCs w:val="26"/>
        </w:rPr>
        <w:t>Program</w:t>
      </w:r>
      <w:r w:rsidR="00FD7779">
        <w:rPr>
          <w:sz w:val="26"/>
          <w:szCs w:val="26"/>
        </w:rPr>
        <w:t>s.  The OSBA asserts that the ALJ ignored Duquesne’s shopping levels and the fact that Duquesne’s proposed Small C&amp;I procurement plan is designed to promote shopping.</w:t>
      </w:r>
      <w:r w:rsidR="00D83F24">
        <w:rPr>
          <w:sz w:val="26"/>
          <w:szCs w:val="26"/>
        </w:rPr>
        <w:t xml:space="preserve">  OSBA Exc. at 3. </w:t>
      </w:r>
    </w:p>
    <w:p w:rsidR="00FD7779" w:rsidRPr="008C162C" w:rsidRDefault="00FD7779" w:rsidP="00D83F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right" w:pos="9360"/>
        </w:tabs>
        <w:spacing w:line="360" w:lineRule="auto"/>
        <w:rPr>
          <w:sz w:val="26"/>
          <w:szCs w:val="26"/>
        </w:rPr>
      </w:pPr>
    </w:p>
    <w:p w:rsidR="008C162C" w:rsidRPr="00D83F24" w:rsidRDefault="00F31169" w:rsidP="00F31169">
      <w:pPr>
        <w:pStyle w:val="BodyText2"/>
        <w:spacing w:line="360" w:lineRule="auto"/>
        <w:ind w:firstLine="1440"/>
        <w:rPr>
          <w:sz w:val="26"/>
          <w:szCs w:val="26"/>
        </w:rPr>
      </w:pPr>
      <w:r>
        <w:rPr>
          <w:sz w:val="26"/>
          <w:szCs w:val="26"/>
        </w:rPr>
        <w:t xml:space="preserve">The OSBA notes that Duquesne has </w:t>
      </w:r>
      <w:r w:rsidR="008C162C" w:rsidRPr="008C162C">
        <w:rPr>
          <w:sz w:val="26"/>
          <w:szCs w:val="26"/>
        </w:rPr>
        <w:t>one of the most competitive shopping e</w:t>
      </w:r>
      <w:r>
        <w:rPr>
          <w:sz w:val="26"/>
          <w:szCs w:val="26"/>
        </w:rPr>
        <w:t xml:space="preserve">nvironments </w:t>
      </w:r>
      <w:r w:rsidR="001D0068">
        <w:rPr>
          <w:sz w:val="26"/>
          <w:szCs w:val="26"/>
        </w:rPr>
        <w:t xml:space="preserve">in </w:t>
      </w:r>
      <w:r w:rsidR="008C162C" w:rsidRPr="008C162C">
        <w:rPr>
          <w:sz w:val="26"/>
          <w:szCs w:val="26"/>
        </w:rPr>
        <w:t>the countr</w:t>
      </w:r>
      <w:r>
        <w:rPr>
          <w:sz w:val="26"/>
          <w:szCs w:val="26"/>
        </w:rPr>
        <w:t>y, and that</w:t>
      </w:r>
      <w:r w:rsidRPr="008C162C">
        <w:rPr>
          <w:sz w:val="26"/>
          <w:szCs w:val="26"/>
        </w:rPr>
        <w:t xml:space="preserve"> </w:t>
      </w:r>
      <w:r>
        <w:rPr>
          <w:sz w:val="26"/>
          <w:szCs w:val="26"/>
        </w:rPr>
        <w:t xml:space="preserve">RESA </w:t>
      </w:r>
      <w:r w:rsidR="008C162C" w:rsidRPr="008C162C">
        <w:rPr>
          <w:sz w:val="26"/>
          <w:szCs w:val="26"/>
        </w:rPr>
        <w:t>even acknowledged the high level of competitive activity in Duquesne’s service territory.</w:t>
      </w:r>
      <w:r w:rsidR="008C162C" w:rsidRPr="008C162C">
        <w:rPr>
          <w:rStyle w:val="FootnoteReference"/>
          <w:sz w:val="26"/>
          <w:szCs w:val="26"/>
        </w:rPr>
        <w:footnoteReference w:id="115"/>
      </w:r>
      <w:r>
        <w:rPr>
          <w:sz w:val="26"/>
          <w:szCs w:val="26"/>
        </w:rPr>
        <w:t xml:space="preserve">  The OSBA submits that </w:t>
      </w:r>
      <w:r w:rsidR="008C162C" w:rsidRPr="008C162C">
        <w:rPr>
          <w:sz w:val="26"/>
          <w:szCs w:val="26"/>
        </w:rPr>
        <w:t>Duq</w:t>
      </w:r>
      <w:r>
        <w:rPr>
          <w:sz w:val="26"/>
          <w:szCs w:val="26"/>
        </w:rPr>
        <w:t xml:space="preserve">uesne’s reasons, </w:t>
      </w:r>
      <w:r w:rsidRPr="00F31169">
        <w:rPr>
          <w:i/>
          <w:sz w:val="26"/>
          <w:szCs w:val="26"/>
        </w:rPr>
        <w:t>supra</w:t>
      </w:r>
      <w:r>
        <w:rPr>
          <w:sz w:val="26"/>
          <w:szCs w:val="26"/>
        </w:rPr>
        <w:t>, for excluding</w:t>
      </w:r>
      <w:r w:rsidR="008C162C" w:rsidRPr="008C162C">
        <w:rPr>
          <w:sz w:val="26"/>
          <w:szCs w:val="26"/>
        </w:rPr>
        <w:t xml:space="preserve"> Small C</w:t>
      </w:r>
      <w:r>
        <w:rPr>
          <w:sz w:val="26"/>
          <w:szCs w:val="26"/>
        </w:rPr>
        <w:t>&amp;I customers from the RME Programs at this time</w:t>
      </w:r>
      <w:r w:rsidR="00AF4873">
        <w:rPr>
          <w:sz w:val="26"/>
          <w:szCs w:val="26"/>
        </w:rPr>
        <w:t xml:space="preserve"> are</w:t>
      </w:r>
      <w:r>
        <w:rPr>
          <w:sz w:val="26"/>
          <w:szCs w:val="26"/>
        </w:rPr>
        <w:t xml:space="preserve"> valid.</w:t>
      </w:r>
      <w:r w:rsidR="008C162C" w:rsidRPr="008C162C">
        <w:rPr>
          <w:rStyle w:val="FootnoteReference"/>
          <w:sz w:val="26"/>
          <w:szCs w:val="26"/>
        </w:rPr>
        <w:footnoteReference w:id="116"/>
      </w:r>
      <w:r>
        <w:rPr>
          <w:sz w:val="26"/>
          <w:szCs w:val="26"/>
        </w:rPr>
        <w:t xml:space="preserve">  The OSBA argues that, g</w:t>
      </w:r>
      <w:r w:rsidR="008C162C" w:rsidRPr="008C162C">
        <w:rPr>
          <w:sz w:val="26"/>
          <w:szCs w:val="26"/>
        </w:rPr>
        <w:t xml:space="preserve">iven the overall level of shopping in Duquesne’s service territory and the changes that the Company is proposing to further promote shopping in DSP VI, the Commission should carefully weigh the results of the </w:t>
      </w:r>
      <w:r w:rsidR="008C162C" w:rsidRPr="008C162C">
        <w:rPr>
          <w:sz w:val="26"/>
          <w:szCs w:val="26"/>
        </w:rPr>
        <w:lastRenderedPageBreak/>
        <w:t>Company’s proposed residential RME programs before considering an expansion of the programs to Small C&amp;I customers.</w:t>
      </w:r>
      <w:r w:rsidR="00D83F24">
        <w:rPr>
          <w:sz w:val="26"/>
          <w:szCs w:val="26"/>
        </w:rPr>
        <w:t xml:space="preserve">  </w:t>
      </w:r>
      <w:r w:rsidR="00D83F24">
        <w:rPr>
          <w:i/>
          <w:sz w:val="26"/>
          <w:szCs w:val="26"/>
        </w:rPr>
        <w:t>Id.</w:t>
      </w:r>
      <w:r w:rsidR="00D83F24">
        <w:rPr>
          <w:sz w:val="26"/>
          <w:szCs w:val="26"/>
        </w:rPr>
        <w:t xml:space="preserve"> at 3-4.</w:t>
      </w:r>
    </w:p>
    <w:p w:rsidR="00AF4873" w:rsidRPr="00AF4873" w:rsidRDefault="00AF4873" w:rsidP="00F31169">
      <w:pPr>
        <w:pStyle w:val="BodyText2"/>
        <w:spacing w:line="360" w:lineRule="auto"/>
        <w:ind w:firstLine="1440"/>
        <w:rPr>
          <w:sz w:val="26"/>
          <w:szCs w:val="26"/>
        </w:rPr>
      </w:pPr>
    </w:p>
    <w:p w:rsidR="008C162C" w:rsidRPr="00D83F24" w:rsidRDefault="00F31169" w:rsidP="00643872">
      <w:pPr>
        <w:spacing w:line="360" w:lineRule="auto"/>
        <w:ind w:firstLine="1440"/>
        <w:rPr>
          <w:sz w:val="26"/>
          <w:szCs w:val="26"/>
        </w:rPr>
      </w:pPr>
      <w:r>
        <w:rPr>
          <w:sz w:val="26"/>
          <w:szCs w:val="26"/>
        </w:rPr>
        <w:t xml:space="preserve">In addition, the OSBA argues that the record is devoid of any evidence as to how Duquesne’s proposed </w:t>
      </w:r>
      <w:r w:rsidR="00771A65">
        <w:rPr>
          <w:sz w:val="26"/>
          <w:szCs w:val="26"/>
        </w:rPr>
        <w:t>r</w:t>
      </w:r>
      <w:r>
        <w:rPr>
          <w:sz w:val="26"/>
          <w:szCs w:val="26"/>
        </w:rPr>
        <w:t xml:space="preserve">esidential RME Programs could be tailored to fit Small C&amp;I customers.  </w:t>
      </w:r>
      <w:r w:rsidR="00D83F24">
        <w:rPr>
          <w:sz w:val="26"/>
          <w:szCs w:val="26"/>
        </w:rPr>
        <w:t xml:space="preserve">The OSBA avers that </w:t>
      </w:r>
      <w:r w:rsidR="00AF4873">
        <w:rPr>
          <w:sz w:val="26"/>
          <w:szCs w:val="26"/>
        </w:rPr>
        <w:t>RESA provided</w:t>
      </w:r>
      <w:r w:rsidR="008C162C" w:rsidRPr="008C162C">
        <w:rPr>
          <w:sz w:val="26"/>
          <w:szCs w:val="26"/>
        </w:rPr>
        <w:t xml:space="preserve"> no specifics as to </w:t>
      </w:r>
      <w:r w:rsidR="00AF4873">
        <w:rPr>
          <w:sz w:val="26"/>
          <w:szCs w:val="26"/>
        </w:rPr>
        <w:t>how the Company’s proposed RME Programs c</w:t>
      </w:r>
      <w:r w:rsidR="008C162C" w:rsidRPr="008C162C">
        <w:rPr>
          <w:sz w:val="26"/>
          <w:szCs w:val="26"/>
        </w:rPr>
        <w:t>ould be modified to a</w:t>
      </w:r>
      <w:r>
        <w:rPr>
          <w:sz w:val="26"/>
          <w:szCs w:val="26"/>
        </w:rPr>
        <w:t xml:space="preserve">ccount for differences between </w:t>
      </w:r>
      <w:r w:rsidR="00D83F24">
        <w:rPr>
          <w:sz w:val="26"/>
          <w:szCs w:val="26"/>
        </w:rPr>
        <w:t>r</w:t>
      </w:r>
      <w:r w:rsidR="008C162C" w:rsidRPr="008C162C">
        <w:rPr>
          <w:sz w:val="26"/>
          <w:szCs w:val="26"/>
        </w:rPr>
        <w:t>esidential and Small C&amp;I cu</w:t>
      </w:r>
      <w:r w:rsidR="00AF4873">
        <w:rPr>
          <w:sz w:val="26"/>
          <w:szCs w:val="26"/>
        </w:rPr>
        <w:t xml:space="preserve">stomers.  Instead, </w:t>
      </w:r>
      <w:r w:rsidR="00D83F24">
        <w:rPr>
          <w:sz w:val="26"/>
          <w:szCs w:val="26"/>
        </w:rPr>
        <w:t xml:space="preserve">the OSBA notes that </w:t>
      </w:r>
      <w:r w:rsidR="00AF4873">
        <w:rPr>
          <w:sz w:val="26"/>
          <w:szCs w:val="26"/>
        </w:rPr>
        <w:t>RESA suggested</w:t>
      </w:r>
      <w:r w:rsidR="008C162C" w:rsidRPr="008C162C">
        <w:rPr>
          <w:sz w:val="26"/>
          <w:szCs w:val="26"/>
        </w:rPr>
        <w:t xml:space="preserve"> that th</w:t>
      </w:r>
      <w:r w:rsidR="00AF4873">
        <w:rPr>
          <w:sz w:val="26"/>
          <w:szCs w:val="26"/>
        </w:rPr>
        <w:t>e details of the RME P</w:t>
      </w:r>
      <w:r w:rsidR="008C162C" w:rsidRPr="008C162C">
        <w:rPr>
          <w:sz w:val="26"/>
          <w:szCs w:val="26"/>
        </w:rPr>
        <w:t>rograms, as applied to Small C&amp;I customers, should be determined later in a stakeholder process.</w:t>
      </w:r>
      <w:r w:rsidR="008C162C" w:rsidRPr="008C162C">
        <w:rPr>
          <w:rStyle w:val="FootnoteReference"/>
          <w:sz w:val="26"/>
          <w:szCs w:val="26"/>
        </w:rPr>
        <w:footnoteReference w:id="117"/>
      </w:r>
      <w:r w:rsidR="00D83F24">
        <w:rPr>
          <w:sz w:val="26"/>
          <w:szCs w:val="26"/>
        </w:rPr>
        <w:t xml:space="preserve">  </w:t>
      </w:r>
      <w:r w:rsidR="00AF4873">
        <w:rPr>
          <w:sz w:val="26"/>
          <w:szCs w:val="26"/>
        </w:rPr>
        <w:t>Given the P</w:t>
      </w:r>
      <w:r w:rsidR="008C162C" w:rsidRPr="008C162C">
        <w:rPr>
          <w:sz w:val="26"/>
          <w:szCs w:val="26"/>
        </w:rPr>
        <w:t>arties’ differing litigation positions with respe</w:t>
      </w:r>
      <w:r w:rsidR="00AF4873">
        <w:rPr>
          <w:sz w:val="26"/>
          <w:szCs w:val="26"/>
        </w:rPr>
        <w:t xml:space="preserve">ct to the design of Duquesne’s </w:t>
      </w:r>
      <w:r w:rsidR="00771A65">
        <w:rPr>
          <w:sz w:val="26"/>
          <w:szCs w:val="26"/>
        </w:rPr>
        <w:t>r</w:t>
      </w:r>
      <w:r w:rsidR="008C162C" w:rsidRPr="008C162C">
        <w:rPr>
          <w:sz w:val="26"/>
          <w:szCs w:val="26"/>
        </w:rPr>
        <w:t>esidential RME pro</w:t>
      </w:r>
      <w:r w:rsidR="00AF4873">
        <w:rPr>
          <w:sz w:val="26"/>
          <w:szCs w:val="26"/>
        </w:rPr>
        <w:t>grams, the OSBA states that it is unlikely that the P</w:t>
      </w:r>
      <w:r w:rsidR="008C162C" w:rsidRPr="008C162C">
        <w:rPr>
          <w:sz w:val="26"/>
          <w:szCs w:val="26"/>
        </w:rPr>
        <w:t>arties would reach agreement on the details necessary to implem</w:t>
      </w:r>
      <w:r w:rsidR="00AF4873">
        <w:rPr>
          <w:sz w:val="26"/>
          <w:szCs w:val="26"/>
        </w:rPr>
        <w:t>ent a successful Small C&amp;I RME P</w:t>
      </w:r>
      <w:r w:rsidR="008C162C" w:rsidRPr="008C162C">
        <w:rPr>
          <w:sz w:val="26"/>
          <w:szCs w:val="26"/>
        </w:rPr>
        <w:t>rogram(s) in a stakeholder process.</w:t>
      </w:r>
      <w:r w:rsidR="008C162C" w:rsidRPr="008C162C">
        <w:rPr>
          <w:rStyle w:val="FootnoteReference"/>
          <w:sz w:val="26"/>
          <w:szCs w:val="26"/>
        </w:rPr>
        <w:footnoteReference w:id="118"/>
      </w:r>
      <w:r w:rsidR="00D83F24">
        <w:rPr>
          <w:sz w:val="26"/>
          <w:szCs w:val="26"/>
        </w:rPr>
        <w:t xml:space="preserve">  </w:t>
      </w:r>
      <w:r w:rsidR="00D83F24">
        <w:rPr>
          <w:i/>
          <w:sz w:val="26"/>
          <w:szCs w:val="26"/>
        </w:rPr>
        <w:t xml:space="preserve">Id. </w:t>
      </w:r>
      <w:r w:rsidR="00D83F24">
        <w:rPr>
          <w:sz w:val="26"/>
          <w:szCs w:val="26"/>
        </w:rPr>
        <w:t>at 4-5.</w:t>
      </w:r>
    </w:p>
    <w:p w:rsidR="00AF4873" w:rsidRPr="008C162C" w:rsidRDefault="00AF4873" w:rsidP="00643872">
      <w:pPr>
        <w:spacing w:line="360" w:lineRule="auto"/>
        <w:rPr>
          <w:sz w:val="26"/>
          <w:szCs w:val="26"/>
        </w:rPr>
      </w:pPr>
    </w:p>
    <w:p w:rsidR="006D47C0" w:rsidRDefault="00AF4873" w:rsidP="00584C88">
      <w:pPr>
        <w:pStyle w:val="Heading4"/>
        <w:numPr>
          <w:ilvl w:val="0"/>
          <w:numId w:val="0"/>
        </w:numPr>
        <w:ind w:left="2880" w:hanging="720"/>
      </w:pPr>
      <w:bookmarkStart w:id="199" w:name="_Toc346705441"/>
      <w:r>
        <w:t>e.</w:t>
      </w:r>
      <w:r>
        <w:tab/>
      </w:r>
      <w:r w:rsidR="001856BA">
        <w:t>Reply Exceptions</w:t>
      </w:r>
      <w:bookmarkEnd w:id="199"/>
    </w:p>
    <w:p w:rsidR="00FE7195" w:rsidRPr="00EE5722" w:rsidRDefault="00FE7195" w:rsidP="00643872">
      <w:pPr>
        <w:pStyle w:val="BriefL3"/>
        <w:numPr>
          <w:ilvl w:val="0"/>
          <w:numId w:val="0"/>
        </w:numPr>
        <w:spacing w:after="0" w:line="360" w:lineRule="auto"/>
        <w:ind w:left="2160"/>
        <w:rPr>
          <w:b/>
          <w:sz w:val="26"/>
          <w:szCs w:val="26"/>
        </w:rPr>
      </w:pPr>
    </w:p>
    <w:p w:rsidR="008F4B58" w:rsidRDefault="00E8102A" w:rsidP="00A730A1">
      <w:pPr>
        <w:pStyle w:val="BodyText2"/>
        <w:spacing w:after="0" w:line="360" w:lineRule="auto"/>
        <w:ind w:firstLine="1440"/>
        <w:rPr>
          <w:sz w:val="26"/>
          <w:szCs w:val="26"/>
          <w:lang w:val="en-US"/>
        </w:rPr>
      </w:pPr>
      <w:r w:rsidRPr="00FE7195">
        <w:rPr>
          <w:sz w:val="26"/>
          <w:szCs w:val="26"/>
        </w:rPr>
        <w:t xml:space="preserve">In its Reply </w:t>
      </w:r>
      <w:r w:rsidR="00573B53">
        <w:rPr>
          <w:sz w:val="26"/>
          <w:szCs w:val="26"/>
        </w:rPr>
        <w:t xml:space="preserve">Exceptions, RESA argues </w:t>
      </w:r>
      <w:r w:rsidRPr="00FE7195">
        <w:rPr>
          <w:sz w:val="26"/>
          <w:szCs w:val="26"/>
        </w:rPr>
        <w:t xml:space="preserve">that the OSBA’s Exception </w:t>
      </w:r>
      <w:r w:rsidR="00573B53">
        <w:rPr>
          <w:sz w:val="26"/>
          <w:szCs w:val="26"/>
        </w:rPr>
        <w:t xml:space="preserve">should be denied because it </w:t>
      </w:r>
      <w:r w:rsidRPr="00FE7195">
        <w:rPr>
          <w:sz w:val="26"/>
          <w:szCs w:val="26"/>
        </w:rPr>
        <w:t xml:space="preserve">runs counter to the Commission’s recent decisions in the </w:t>
      </w:r>
      <w:r w:rsidRPr="00FE7195">
        <w:rPr>
          <w:i/>
          <w:sz w:val="26"/>
          <w:szCs w:val="26"/>
        </w:rPr>
        <w:t>F</w:t>
      </w:r>
      <w:r w:rsidR="00573B53">
        <w:rPr>
          <w:i/>
          <w:sz w:val="26"/>
          <w:szCs w:val="26"/>
        </w:rPr>
        <w:t>irstEnergy</w:t>
      </w:r>
      <w:r w:rsidR="00643872">
        <w:rPr>
          <w:i/>
          <w:sz w:val="26"/>
          <w:szCs w:val="26"/>
        </w:rPr>
        <w:t xml:space="preserve"> DSP</w:t>
      </w:r>
      <w:r w:rsidRPr="00FE7195">
        <w:rPr>
          <w:sz w:val="26"/>
          <w:szCs w:val="26"/>
        </w:rPr>
        <w:t xml:space="preserve"> and </w:t>
      </w:r>
      <w:r w:rsidRPr="00FE7195">
        <w:rPr>
          <w:i/>
          <w:sz w:val="26"/>
          <w:szCs w:val="26"/>
        </w:rPr>
        <w:t>PECO</w:t>
      </w:r>
      <w:r w:rsidR="00573B53">
        <w:rPr>
          <w:i/>
          <w:sz w:val="26"/>
          <w:szCs w:val="26"/>
        </w:rPr>
        <w:t xml:space="preserve"> DSP Orders</w:t>
      </w:r>
      <w:r w:rsidRPr="00FE7195">
        <w:rPr>
          <w:sz w:val="26"/>
          <w:szCs w:val="26"/>
        </w:rPr>
        <w:t>, and the OSBA has not offered any reason to deviate from those rulings on this issue.</w:t>
      </w:r>
      <w:r w:rsidR="00D96DBA">
        <w:rPr>
          <w:sz w:val="26"/>
          <w:szCs w:val="26"/>
        </w:rPr>
        <w:t xml:space="preserve">  </w:t>
      </w:r>
      <w:r w:rsidRPr="00FE7195">
        <w:rPr>
          <w:sz w:val="26"/>
          <w:szCs w:val="26"/>
        </w:rPr>
        <w:t>RESA disputes the OSBA</w:t>
      </w:r>
      <w:r w:rsidR="00771A65">
        <w:rPr>
          <w:sz w:val="26"/>
          <w:szCs w:val="26"/>
        </w:rPr>
        <w:t>’s</w:t>
      </w:r>
      <w:r w:rsidRPr="00FE7195">
        <w:rPr>
          <w:sz w:val="26"/>
          <w:szCs w:val="26"/>
        </w:rPr>
        <w:t xml:space="preserve"> contention that the high percentage of shopping </w:t>
      </w:r>
      <w:r w:rsidR="00D96DBA">
        <w:rPr>
          <w:sz w:val="26"/>
          <w:szCs w:val="26"/>
        </w:rPr>
        <w:t xml:space="preserve">and Duquesne’s proposed DSP </w:t>
      </w:r>
      <w:r w:rsidRPr="00FE7195">
        <w:rPr>
          <w:sz w:val="26"/>
          <w:szCs w:val="26"/>
        </w:rPr>
        <w:t>justify exclusion of Sm</w:t>
      </w:r>
      <w:r w:rsidR="00573B53">
        <w:rPr>
          <w:sz w:val="26"/>
          <w:szCs w:val="26"/>
        </w:rPr>
        <w:t>all C&amp;I c</w:t>
      </w:r>
      <w:r w:rsidR="00D96DBA">
        <w:rPr>
          <w:sz w:val="26"/>
          <w:szCs w:val="26"/>
        </w:rPr>
        <w:t>ustomers from Duquesne’s</w:t>
      </w:r>
      <w:r w:rsidR="00573B53">
        <w:rPr>
          <w:sz w:val="26"/>
          <w:szCs w:val="26"/>
        </w:rPr>
        <w:t xml:space="preserve"> RME P</w:t>
      </w:r>
      <w:r w:rsidRPr="00FE7195">
        <w:rPr>
          <w:sz w:val="26"/>
          <w:szCs w:val="26"/>
        </w:rPr>
        <w:t>rograms.</w:t>
      </w:r>
      <w:r w:rsidRPr="00FE7195">
        <w:rPr>
          <w:rStyle w:val="FootnoteReference"/>
          <w:sz w:val="26"/>
          <w:szCs w:val="26"/>
        </w:rPr>
        <w:footnoteReference w:id="119"/>
      </w:r>
      <w:r w:rsidR="00573B53">
        <w:rPr>
          <w:sz w:val="26"/>
          <w:szCs w:val="26"/>
        </w:rPr>
        <w:t xml:space="preserve">  RESA submits that</w:t>
      </w:r>
      <w:r w:rsidR="00D96DBA">
        <w:rPr>
          <w:sz w:val="26"/>
          <w:szCs w:val="26"/>
        </w:rPr>
        <w:t xml:space="preserve"> </w:t>
      </w:r>
      <w:r w:rsidRPr="00FE7195">
        <w:rPr>
          <w:sz w:val="26"/>
          <w:szCs w:val="26"/>
        </w:rPr>
        <w:t>over hal</w:t>
      </w:r>
      <w:r w:rsidR="00EE2E00" w:rsidRPr="00FE7195">
        <w:rPr>
          <w:sz w:val="26"/>
          <w:szCs w:val="26"/>
        </w:rPr>
        <w:t>f of Duquesne’s S</w:t>
      </w:r>
      <w:r w:rsidRPr="00FE7195">
        <w:rPr>
          <w:sz w:val="26"/>
          <w:szCs w:val="26"/>
        </w:rPr>
        <w:t>mall C&amp;I custome</w:t>
      </w:r>
      <w:r w:rsidR="00EE2E00" w:rsidRPr="00FE7195">
        <w:rPr>
          <w:sz w:val="26"/>
          <w:szCs w:val="26"/>
        </w:rPr>
        <w:t>rs are not shopping</w:t>
      </w:r>
      <w:r w:rsidR="00573B53">
        <w:rPr>
          <w:sz w:val="26"/>
          <w:szCs w:val="26"/>
        </w:rPr>
        <w:t xml:space="preserve">, and </w:t>
      </w:r>
      <w:r w:rsidR="00D96DBA">
        <w:rPr>
          <w:sz w:val="26"/>
          <w:szCs w:val="26"/>
        </w:rPr>
        <w:t xml:space="preserve">that </w:t>
      </w:r>
      <w:r w:rsidR="00EE2E00" w:rsidRPr="00FE7195">
        <w:rPr>
          <w:sz w:val="26"/>
          <w:szCs w:val="26"/>
        </w:rPr>
        <w:t xml:space="preserve">Duquesne’s </w:t>
      </w:r>
      <w:r w:rsidR="00573B53">
        <w:rPr>
          <w:sz w:val="26"/>
          <w:szCs w:val="26"/>
        </w:rPr>
        <w:t xml:space="preserve">DSP </w:t>
      </w:r>
      <w:r w:rsidR="00D96DBA">
        <w:rPr>
          <w:sz w:val="26"/>
          <w:szCs w:val="26"/>
        </w:rPr>
        <w:t xml:space="preserve">proposal </w:t>
      </w:r>
      <w:r w:rsidR="00573B53">
        <w:rPr>
          <w:sz w:val="26"/>
          <w:szCs w:val="26"/>
        </w:rPr>
        <w:lastRenderedPageBreak/>
        <w:t xml:space="preserve">does not justify </w:t>
      </w:r>
      <w:r w:rsidR="00EE2E00" w:rsidRPr="00FE7195">
        <w:rPr>
          <w:sz w:val="26"/>
          <w:szCs w:val="26"/>
        </w:rPr>
        <w:t>the exclusion of S</w:t>
      </w:r>
      <w:r w:rsidRPr="00FE7195">
        <w:rPr>
          <w:sz w:val="26"/>
          <w:szCs w:val="26"/>
        </w:rPr>
        <w:t>m</w:t>
      </w:r>
      <w:r w:rsidR="00D96DBA">
        <w:rPr>
          <w:sz w:val="26"/>
          <w:szCs w:val="26"/>
        </w:rPr>
        <w:t>all C&amp;I customers from the RME P</w:t>
      </w:r>
      <w:r w:rsidR="00EE2E00" w:rsidRPr="00FE7195">
        <w:rPr>
          <w:sz w:val="26"/>
          <w:szCs w:val="26"/>
        </w:rPr>
        <w:t>rograms.</w:t>
      </w:r>
      <w:r w:rsidR="00A730A1">
        <w:rPr>
          <w:sz w:val="26"/>
          <w:szCs w:val="26"/>
        </w:rPr>
        <w:t xml:space="preserve">  RESA R.Exc. at 8. </w:t>
      </w:r>
    </w:p>
    <w:p w:rsidR="00FE7195" w:rsidRPr="00D96DBA" w:rsidRDefault="00A730A1" w:rsidP="00A730A1">
      <w:pPr>
        <w:pStyle w:val="BodyText2"/>
        <w:spacing w:after="0" w:line="360" w:lineRule="auto"/>
        <w:ind w:firstLine="1440"/>
        <w:rPr>
          <w:sz w:val="26"/>
          <w:szCs w:val="26"/>
        </w:rPr>
      </w:pPr>
      <w:r>
        <w:rPr>
          <w:sz w:val="26"/>
          <w:szCs w:val="26"/>
        </w:rPr>
        <w:t xml:space="preserve"> </w:t>
      </w:r>
      <w:r w:rsidR="00EE2E00" w:rsidRPr="00FE7195">
        <w:rPr>
          <w:sz w:val="26"/>
          <w:szCs w:val="26"/>
        </w:rPr>
        <w:t xml:space="preserve"> </w:t>
      </w:r>
    </w:p>
    <w:p w:rsidR="00E8102A" w:rsidRPr="00A730A1" w:rsidRDefault="00FE7195" w:rsidP="00F226F6">
      <w:pPr>
        <w:pStyle w:val="BodyText2"/>
        <w:spacing w:after="0" w:line="360" w:lineRule="auto"/>
        <w:ind w:firstLine="1440"/>
        <w:rPr>
          <w:sz w:val="26"/>
          <w:szCs w:val="26"/>
        </w:rPr>
      </w:pPr>
      <w:r>
        <w:rPr>
          <w:sz w:val="26"/>
          <w:szCs w:val="26"/>
        </w:rPr>
        <w:t xml:space="preserve">With respect to </w:t>
      </w:r>
      <w:r w:rsidRPr="00FE7195">
        <w:rPr>
          <w:sz w:val="26"/>
          <w:szCs w:val="26"/>
        </w:rPr>
        <w:t xml:space="preserve">the </w:t>
      </w:r>
      <w:r>
        <w:rPr>
          <w:sz w:val="26"/>
          <w:szCs w:val="26"/>
        </w:rPr>
        <w:t>OSBA</w:t>
      </w:r>
      <w:r w:rsidR="00573B53">
        <w:rPr>
          <w:sz w:val="26"/>
          <w:szCs w:val="26"/>
        </w:rPr>
        <w:t>’s</w:t>
      </w:r>
      <w:r>
        <w:rPr>
          <w:sz w:val="26"/>
          <w:szCs w:val="26"/>
        </w:rPr>
        <w:t xml:space="preserve"> argument</w:t>
      </w:r>
      <w:r w:rsidR="00E8102A" w:rsidRPr="00FE7195">
        <w:rPr>
          <w:sz w:val="26"/>
          <w:szCs w:val="26"/>
        </w:rPr>
        <w:t xml:space="preserve"> that the record does not provide sufficient details on how </w:t>
      </w:r>
      <w:r w:rsidR="00573B53">
        <w:rPr>
          <w:sz w:val="26"/>
          <w:szCs w:val="26"/>
        </w:rPr>
        <w:t>Small C&amp;I RME Programs would work</w:t>
      </w:r>
      <w:r>
        <w:rPr>
          <w:sz w:val="26"/>
          <w:szCs w:val="26"/>
        </w:rPr>
        <w:t>,</w:t>
      </w:r>
      <w:r w:rsidR="00E8102A" w:rsidRPr="00FE7195">
        <w:rPr>
          <w:rStyle w:val="FootnoteReference"/>
          <w:sz w:val="26"/>
          <w:szCs w:val="26"/>
        </w:rPr>
        <w:footnoteReference w:id="120"/>
      </w:r>
      <w:r>
        <w:rPr>
          <w:sz w:val="26"/>
          <w:szCs w:val="26"/>
        </w:rPr>
        <w:t xml:space="preserve">  RESA agrees</w:t>
      </w:r>
      <w:r w:rsidR="00E8102A" w:rsidRPr="00FE7195">
        <w:rPr>
          <w:sz w:val="26"/>
          <w:szCs w:val="26"/>
        </w:rPr>
        <w:t xml:space="preserve"> </w:t>
      </w:r>
      <w:r w:rsidR="00573B53">
        <w:rPr>
          <w:sz w:val="26"/>
          <w:szCs w:val="26"/>
        </w:rPr>
        <w:t xml:space="preserve">that the details </w:t>
      </w:r>
      <w:r w:rsidR="00E8102A" w:rsidRPr="00FE7195">
        <w:rPr>
          <w:sz w:val="26"/>
          <w:szCs w:val="26"/>
        </w:rPr>
        <w:t xml:space="preserve">need to be worked out, but </w:t>
      </w:r>
      <w:r w:rsidR="00573B53">
        <w:rPr>
          <w:sz w:val="26"/>
          <w:szCs w:val="26"/>
        </w:rPr>
        <w:t xml:space="preserve">argues that </w:t>
      </w:r>
      <w:r w:rsidR="00E8102A" w:rsidRPr="00FE7195">
        <w:rPr>
          <w:sz w:val="26"/>
          <w:szCs w:val="26"/>
        </w:rPr>
        <w:t>the details are not so numerous that they cannot be easily addressed.</w:t>
      </w:r>
      <w:r w:rsidR="00E8102A" w:rsidRPr="00FE7195">
        <w:rPr>
          <w:rStyle w:val="FootnoteReference"/>
          <w:sz w:val="26"/>
          <w:szCs w:val="26"/>
        </w:rPr>
        <w:footnoteReference w:id="121"/>
      </w:r>
      <w:r w:rsidR="00E8102A" w:rsidRPr="00FE7195">
        <w:rPr>
          <w:sz w:val="26"/>
          <w:szCs w:val="26"/>
        </w:rPr>
        <w:t xml:space="preserve"> </w:t>
      </w:r>
      <w:r w:rsidR="00D96DBA">
        <w:rPr>
          <w:sz w:val="26"/>
          <w:szCs w:val="26"/>
        </w:rPr>
        <w:t xml:space="preserve"> </w:t>
      </w:r>
      <w:r w:rsidRPr="00FE7195">
        <w:rPr>
          <w:sz w:val="26"/>
          <w:szCs w:val="26"/>
        </w:rPr>
        <w:t xml:space="preserve">RESA submits that </w:t>
      </w:r>
      <w:r w:rsidR="00E8102A" w:rsidRPr="00FE7195">
        <w:rPr>
          <w:sz w:val="26"/>
          <w:szCs w:val="26"/>
        </w:rPr>
        <w:t>there is sufficient</w:t>
      </w:r>
      <w:r w:rsidRPr="00FE7195">
        <w:rPr>
          <w:sz w:val="26"/>
          <w:szCs w:val="26"/>
        </w:rPr>
        <w:t xml:space="preserve"> evidence to support including S</w:t>
      </w:r>
      <w:r w:rsidR="00573B53">
        <w:rPr>
          <w:sz w:val="26"/>
          <w:szCs w:val="26"/>
        </w:rPr>
        <w:t>mall C&amp;I customers in the RME P</w:t>
      </w:r>
      <w:r w:rsidR="00E8102A" w:rsidRPr="00FE7195">
        <w:rPr>
          <w:sz w:val="26"/>
          <w:szCs w:val="26"/>
        </w:rPr>
        <w:t xml:space="preserve">rograms, with the </w:t>
      </w:r>
      <w:r w:rsidRPr="00FE7195">
        <w:rPr>
          <w:sz w:val="26"/>
          <w:szCs w:val="26"/>
        </w:rPr>
        <w:t xml:space="preserve">details to be resolved </w:t>
      </w:r>
      <w:r w:rsidR="00E8102A" w:rsidRPr="00FE7195">
        <w:rPr>
          <w:sz w:val="26"/>
          <w:szCs w:val="26"/>
        </w:rPr>
        <w:t xml:space="preserve">in the near future. </w:t>
      </w:r>
      <w:r w:rsidR="00573B53">
        <w:rPr>
          <w:sz w:val="26"/>
          <w:szCs w:val="26"/>
        </w:rPr>
        <w:t xml:space="preserve"> Finally</w:t>
      </w:r>
      <w:r w:rsidR="00E8102A" w:rsidRPr="00FE7195">
        <w:rPr>
          <w:sz w:val="26"/>
          <w:szCs w:val="26"/>
        </w:rPr>
        <w:t xml:space="preserve">, </w:t>
      </w:r>
      <w:r w:rsidR="00573B53">
        <w:rPr>
          <w:sz w:val="26"/>
          <w:szCs w:val="26"/>
        </w:rPr>
        <w:t xml:space="preserve">RESA asserts that </w:t>
      </w:r>
      <w:r w:rsidR="00E8102A" w:rsidRPr="00FE7195">
        <w:rPr>
          <w:sz w:val="26"/>
          <w:szCs w:val="26"/>
        </w:rPr>
        <w:t>the programma</w:t>
      </w:r>
      <w:r w:rsidR="00573B53">
        <w:rPr>
          <w:sz w:val="26"/>
          <w:szCs w:val="26"/>
        </w:rPr>
        <w:t xml:space="preserve">tic details were not </w:t>
      </w:r>
      <w:r w:rsidR="00E8102A" w:rsidRPr="00FE7195">
        <w:rPr>
          <w:sz w:val="26"/>
          <w:szCs w:val="26"/>
        </w:rPr>
        <w:t xml:space="preserve">resolved prior to the issuance of the </w:t>
      </w:r>
      <w:r w:rsidR="00E8102A" w:rsidRPr="00FE7195">
        <w:rPr>
          <w:i/>
          <w:sz w:val="26"/>
          <w:szCs w:val="26"/>
        </w:rPr>
        <w:t>F</w:t>
      </w:r>
      <w:r w:rsidR="00573B53">
        <w:rPr>
          <w:i/>
          <w:sz w:val="26"/>
          <w:szCs w:val="26"/>
        </w:rPr>
        <w:t>irstEnergy</w:t>
      </w:r>
      <w:r w:rsidR="00A730A1">
        <w:rPr>
          <w:i/>
          <w:sz w:val="26"/>
          <w:szCs w:val="26"/>
        </w:rPr>
        <w:t xml:space="preserve"> DSP</w:t>
      </w:r>
      <w:r w:rsidR="00E8102A" w:rsidRPr="00FE7195">
        <w:rPr>
          <w:sz w:val="26"/>
          <w:szCs w:val="26"/>
        </w:rPr>
        <w:t xml:space="preserve"> and </w:t>
      </w:r>
      <w:r w:rsidR="00E8102A" w:rsidRPr="00FE7195">
        <w:rPr>
          <w:i/>
          <w:sz w:val="26"/>
          <w:szCs w:val="26"/>
        </w:rPr>
        <w:t>PECO</w:t>
      </w:r>
      <w:r w:rsidR="00573B53">
        <w:rPr>
          <w:i/>
          <w:sz w:val="26"/>
          <w:szCs w:val="26"/>
        </w:rPr>
        <w:t xml:space="preserve"> DSP Orders</w:t>
      </w:r>
      <w:r w:rsidR="00573B53">
        <w:rPr>
          <w:sz w:val="26"/>
          <w:szCs w:val="26"/>
        </w:rPr>
        <w:t xml:space="preserve">, and </w:t>
      </w:r>
      <w:r w:rsidR="00E8102A" w:rsidRPr="00FE7195">
        <w:rPr>
          <w:sz w:val="26"/>
          <w:szCs w:val="26"/>
        </w:rPr>
        <w:t>there is</w:t>
      </w:r>
      <w:r w:rsidRPr="00FE7195">
        <w:rPr>
          <w:sz w:val="26"/>
          <w:szCs w:val="26"/>
        </w:rPr>
        <w:t xml:space="preserve"> no reason to treat Duquesne’s S</w:t>
      </w:r>
      <w:r w:rsidR="00E8102A" w:rsidRPr="00FE7195">
        <w:rPr>
          <w:sz w:val="26"/>
          <w:szCs w:val="26"/>
        </w:rPr>
        <w:t>mall C&amp;I customers differently f</w:t>
      </w:r>
      <w:r w:rsidR="00573B53">
        <w:rPr>
          <w:sz w:val="26"/>
          <w:szCs w:val="26"/>
        </w:rPr>
        <w:t>rom their counterparts in the FirstEnergy and PECO service territories</w:t>
      </w:r>
      <w:r w:rsidR="00E8102A" w:rsidRPr="00FE7195">
        <w:rPr>
          <w:sz w:val="26"/>
          <w:szCs w:val="26"/>
        </w:rPr>
        <w:t xml:space="preserve">.  </w:t>
      </w:r>
      <w:r w:rsidR="00A730A1">
        <w:rPr>
          <w:i/>
          <w:sz w:val="26"/>
          <w:szCs w:val="26"/>
        </w:rPr>
        <w:t xml:space="preserve">Id. </w:t>
      </w:r>
      <w:r w:rsidR="00A730A1">
        <w:rPr>
          <w:sz w:val="26"/>
          <w:szCs w:val="26"/>
        </w:rPr>
        <w:t>at 10-11.</w:t>
      </w:r>
    </w:p>
    <w:p w:rsidR="00D52C15" w:rsidRPr="00EE5722" w:rsidRDefault="00D52C15" w:rsidP="00D42950">
      <w:pPr>
        <w:pStyle w:val="BodyText2"/>
        <w:spacing w:after="0" w:line="360" w:lineRule="auto"/>
        <w:rPr>
          <w:b/>
          <w:sz w:val="26"/>
          <w:szCs w:val="26"/>
        </w:rPr>
      </w:pPr>
    </w:p>
    <w:p w:rsidR="006D47C0" w:rsidRDefault="001856BA" w:rsidP="00584C88">
      <w:pPr>
        <w:pStyle w:val="Heading4"/>
        <w:numPr>
          <w:ilvl w:val="0"/>
          <w:numId w:val="0"/>
        </w:numPr>
        <w:ind w:left="2880" w:hanging="720"/>
      </w:pPr>
      <w:bookmarkStart w:id="200" w:name="_Toc346705442"/>
      <w:r>
        <w:t>f.</w:t>
      </w:r>
      <w:r>
        <w:tab/>
        <w:t>Disposition</w:t>
      </w:r>
      <w:bookmarkEnd w:id="200"/>
    </w:p>
    <w:p w:rsidR="00EC4A06" w:rsidRDefault="00EC4A06" w:rsidP="00EC4A06">
      <w:pPr>
        <w:pStyle w:val="BriefL3"/>
        <w:numPr>
          <w:ilvl w:val="0"/>
          <w:numId w:val="0"/>
        </w:numPr>
        <w:spacing w:after="0" w:line="360" w:lineRule="auto"/>
        <w:ind w:left="2160"/>
        <w:rPr>
          <w:sz w:val="26"/>
          <w:szCs w:val="26"/>
        </w:rPr>
      </w:pPr>
    </w:p>
    <w:p w:rsidR="00EC4A06" w:rsidRPr="00EC4A06" w:rsidRDefault="00EC4A06" w:rsidP="00EC4A06">
      <w:pPr>
        <w:pStyle w:val="BriefL3"/>
        <w:numPr>
          <w:ilvl w:val="0"/>
          <w:numId w:val="0"/>
        </w:numPr>
        <w:spacing w:after="0" w:line="360" w:lineRule="auto"/>
        <w:ind w:firstLine="1440"/>
        <w:outlineLvl w:val="9"/>
        <w:rPr>
          <w:sz w:val="26"/>
          <w:szCs w:val="26"/>
        </w:rPr>
      </w:pPr>
      <w:r>
        <w:rPr>
          <w:sz w:val="26"/>
          <w:szCs w:val="26"/>
        </w:rPr>
        <w:t xml:space="preserve">On review, we shall deny the OSBA’s Exception regarding the inclusion of Small C&amp;I customers in Duquesne’s RME Programs.  Consistent with our determination in the PECO </w:t>
      </w:r>
      <w:r w:rsidR="004F0C89">
        <w:rPr>
          <w:sz w:val="26"/>
          <w:szCs w:val="26"/>
        </w:rPr>
        <w:t xml:space="preserve">and FirstEnergy </w:t>
      </w:r>
      <w:r>
        <w:rPr>
          <w:sz w:val="26"/>
          <w:szCs w:val="26"/>
        </w:rPr>
        <w:t>DSP proceeding</w:t>
      </w:r>
      <w:r w:rsidR="004F0C89">
        <w:rPr>
          <w:sz w:val="26"/>
          <w:szCs w:val="26"/>
        </w:rPr>
        <w:t>s</w:t>
      </w:r>
      <w:r>
        <w:rPr>
          <w:sz w:val="26"/>
          <w:szCs w:val="26"/>
        </w:rPr>
        <w:t>,</w:t>
      </w:r>
      <w:r w:rsidR="004F0C89">
        <w:rPr>
          <w:sz w:val="26"/>
          <w:szCs w:val="26"/>
        </w:rPr>
        <w:t xml:space="preserve"> we conclude that the need to increase shopping among Small C&amp;I customers supports the eligibility of these customers for Duquesne’s R</w:t>
      </w:r>
      <w:r w:rsidR="00771A65">
        <w:rPr>
          <w:sz w:val="26"/>
          <w:szCs w:val="26"/>
        </w:rPr>
        <w:t>ME</w:t>
      </w:r>
      <w:r w:rsidR="004F0C89">
        <w:rPr>
          <w:sz w:val="26"/>
          <w:szCs w:val="26"/>
        </w:rPr>
        <w:t xml:space="preserve"> Programs.  </w:t>
      </w:r>
      <w:r w:rsidR="004F0C89" w:rsidRPr="004F0C89">
        <w:rPr>
          <w:i/>
          <w:sz w:val="26"/>
          <w:szCs w:val="26"/>
        </w:rPr>
        <w:t>PECO DSP Order</w:t>
      </w:r>
      <w:r w:rsidR="004F0C89">
        <w:rPr>
          <w:sz w:val="26"/>
          <w:szCs w:val="26"/>
        </w:rPr>
        <w:t xml:space="preserve"> at 85-86; </w:t>
      </w:r>
      <w:r w:rsidR="004F0C89" w:rsidRPr="004F0C89">
        <w:rPr>
          <w:i/>
          <w:sz w:val="26"/>
          <w:szCs w:val="26"/>
        </w:rPr>
        <w:t>FirstEnergy DSP Order</w:t>
      </w:r>
      <w:r w:rsidR="004F0C89">
        <w:rPr>
          <w:sz w:val="26"/>
          <w:szCs w:val="26"/>
        </w:rPr>
        <w:t xml:space="preserve"> at</w:t>
      </w:r>
      <w:r w:rsidR="00211CF2">
        <w:rPr>
          <w:sz w:val="26"/>
          <w:szCs w:val="26"/>
        </w:rPr>
        <w:t> </w:t>
      </w:r>
      <w:r w:rsidR="00D42950">
        <w:rPr>
          <w:sz w:val="26"/>
          <w:szCs w:val="26"/>
        </w:rPr>
        <w:t>103-104</w:t>
      </w:r>
      <w:r w:rsidR="004F0C89">
        <w:rPr>
          <w:sz w:val="26"/>
          <w:szCs w:val="26"/>
        </w:rPr>
        <w:t xml:space="preserve">.  </w:t>
      </w:r>
      <w:r w:rsidR="00FF5D7F">
        <w:rPr>
          <w:sz w:val="26"/>
          <w:szCs w:val="26"/>
        </w:rPr>
        <w:t>We agree with the ALJ’s recommendation that</w:t>
      </w:r>
      <w:r w:rsidR="00771A65">
        <w:rPr>
          <w:sz w:val="26"/>
          <w:szCs w:val="26"/>
        </w:rPr>
        <w:t>,</w:t>
      </w:r>
      <w:r w:rsidR="00FF5D7F">
        <w:rPr>
          <w:sz w:val="26"/>
          <w:szCs w:val="26"/>
        </w:rPr>
        <w:t xml:space="preserve"> </w:t>
      </w:r>
      <w:r w:rsidR="00FF5D7F">
        <w:rPr>
          <w:color w:val="000000" w:themeColor="text1"/>
          <w:sz w:val="26"/>
          <w:szCs w:val="26"/>
        </w:rPr>
        <w:t>because t</w:t>
      </w:r>
      <w:r w:rsidR="00FF5D7F" w:rsidRPr="00EE5722">
        <w:rPr>
          <w:color w:val="000000" w:themeColor="text1"/>
          <w:sz w:val="26"/>
          <w:szCs w:val="26"/>
        </w:rPr>
        <w:t>he level of Small C&amp;I customers already</w:t>
      </w:r>
      <w:r w:rsidR="00FF5D7F">
        <w:rPr>
          <w:color w:val="000000" w:themeColor="text1"/>
          <w:sz w:val="26"/>
          <w:szCs w:val="26"/>
        </w:rPr>
        <w:t xml:space="preserve"> shopping in Duquesne’s </w:t>
      </w:r>
      <w:r w:rsidR="00FF5D7F" w:rsidRPr="00EE5722">
        <w:rPr>
          <w:color w:val="000000" w:themeColor="text1"/>
          <w:sz w:val="26"/>
          <w:szCs w:val="26"/>
        </w:rPr>
        <w:t xml:space="preserve">territory is only slightly higher than the </w:t>
      </w:r>
      <w:r w:rsidR="00FF5D7F">
        <w:rPr>
          <w:color w:val="000000" w:themeColor="text1"/>
          <w:sz w:val="26"/>
          <w:szCs w:val="26"/>
        </w:rPr>
        <w:t xml:space="preserve">percentage seen with residential customers, there is a need to </w:t>
      </w:r>
      <w:r w:rsidR="00FF5D7F" w:rsidRPr="00EE5722">
        <w:rPr>
          <w:color w:val="000000" w:themeColor="text1"/>
          <w:sz w:val="26"/>
          <w:szCs w:val="26"/>
        </w:rPr>
        <w:t>seek expanded pa</w:t>
      </w:r>
      <w:r w:rsidR="00FF5D7F">
        <w:rPr>
          <w:color w:val="000000" w:themeColor="text1"/>
          <w:sz w:val="26"/>
          <w:szCs w:val="26"/>
        </w:rPr>
        <w:t xml:space="preserve">rticipation by this class.  Although we acknowledge that the inclusion of </w:t>
      </w:r>
      <w:r w:rsidR="00771A65">
        <w:rPr>
          <w:color w:val="000000" w:themeColor="text1"/>
          <w:sz w:val="26"/>
          <w:szCs w:val="26"/>
        </w:rPr>
        <w:t>S</w:t>
      </w:r>
      <w:r w:rsidR="00FF5D7F">
        <w:rPr>
          <w:color w:val="000000" w:themeColor="text1"/>
          <w:sz w:val="26"/>
          <w:szCs w:val="26"/>
        </w:rPr>
        <w:t xml:space="preserve">mall </w:t>
      </w:r>
      <w:r w:rsidR="00771A65">
        <w:rPr>
          <w:color w:val="000000" w:themeColor="text1"/>
          <w:sz w:val="26"/>
          <w:szCs w:val="26"/>
        </w:rPr>
        <w:t>C&amp;I</w:t>
      </w:r>
      <w:r w:rsidR="00FF5D7F">
        <w:rPr>
          <w:color w:val="000000" w:themeColor="text1"/>
          <w:sz w:val="26"/>
          <w:szCs w:val="26"/>
        </w:rPr>
        <w:t xml:space="preserve"> customers will add some complexity to administration of the RME Programs, we are not persuaded that this added complexity is insurmountable, or that it should outweigh the benefits that will </w:t>
      </w:r>
      <w:r w:rsidR="00FF5D7F">
        <w:rPr>
          <w:color w:val="000000" w:themeColor="text1"/>
          <w:sz w:val="26"/>
          <w:szCs w:val="26"/>
        </w:rPr>
        <w:lastRenderedPageBreak/>
        <w:t xml:space="preserve">flow to this group of customers through inclusion in these programs.  Accordingly, we adopt the recommendation of the ALJ and deny the OSBA Exception on this issue. </w:t>
      </w:r>
      <w:r w:rsidR="00FF5D7F">
        <w:rPr>
          <w:sz w:val="26"/>
          <w:szCs w:val="26"/>
        </w:rPr>
        <w:t xml:space="preserve"> </w:t>
      </w:r>
    </w:p>
    <w:p w:rsidR="006D47C0" w:rsidRPr="004579CD" w:rsidRDefault="006D47C0" w:rsidP="004579CD">
      <w:pPr>
        <w:pStyle w:val="BodyText"/>
        <w:spacing w:after="0" w:line="360" w:lineRule="auto"/>
        <w:ind w:left="0" w:firstLine="0"/>
        <w:rPr>
          <w:color w:val="000000" w:themeColor="text1"/>
          <w:sz w:val="26"/>
          <w:szCs w:val="26"/>
        </w:rPr>
      </w:pPr>
    </w:p>
    <w:p w:rsidR="006D47C0" w:rsidRPr="00EE5722" w:rsidRDefault="006D47C0" w:rsidP="005915E1">
      <w:pPr>
        <w:pStyle w:val="Heading3"/>
      </w:pPr>
      <w:bookmarkStart w:id="201" w:name="_Toc346705443"/>
      <w:r w:rsidRPr="00EE5722">
        <w:t>7.</w:t>
      </w:r>
      <w:r w:rsidRPr="00EE5722">
        <w:tab/>
        <w:t>Customer Status at th</w:t>
      </w:r>
      <w:r w:rsidR="004579CD">
        <w:t xml:space="preserve">e End of the RME </w:t>
      </w:r>
      <w:r w:rsidRPr="00EE5722">
        <w:t>Product</w:t>
      </w:r>
      <w:bookmarkEnd w:id="201"/>
      <w:r w:rsidRPr="00EE5722">
        <w:t xml:space="preserve"> </w:t>
      </w:r>
    </w:p>
    <w:p w:rsidR="006D47C0" w:rsidRPr="00EE5722" w:rsidRDefault="006D47C0" w:rsidP="005915E1">
      <w:pPr>
        <w:pStyle w:val="BriefL3"/>
        <w:keepNext/>
        <w:numPr>
          <w:ilvl w:val="0"/>
          <w:numId w:val="0"/>
        </w:numPr>
        <w:spacing w:after="0" w:line="360" w:lineRule="auto"/>
        <w:outlineLvl w:val="9"/>
        <w:rPr>
          <w:b/>
          <w:sz w:val="26"/>
          <w:szCs w:val="26"/>
        </w:rPr>
      </w:pPr>
    </w:p>
    <w:p w:rsidR="006D47C0" w:rsidRPr="00EE5722" w:rsidRDefault="00CD3B94" w:rsidP="00584C88">
      <w:pPr>
        <w:pStyle w:val="Heading4"/>
        <w:numPr>
          <w:ilvl w:val="0"/>
          <w:numId w:val="0"/>
        </w:numPr>
        <w:ind w:left="2880" w:hanging="720"/>
      </w:pPr>
      <w:bookmarkStart w:id="202" w:name="_Toc346705444"/>
      <w:r>
        <w:t>a.</w:t>
      </w:r>
      <w:r>
        <w:tab/>
        <w:t>Duquesne</w:t>
      </w:r>
      <w:r w:rsidR="006D47C0" w:rsidRPr="00EE5722">
        <w:t>’s Proposal</w:t>
      </w:r>
      <w:bookmarkEnd w:id="202"/>
    </w:p>
    <w:p w:rsidR="006D47C0" w:rsidRPr="00EE5722" w:rsidRDefault="006D47C0" w:rsidP="00A14A1A">
      <w:pPr>
        <w:pStyle w:val="BodyText"/>
        <w:spacing w:after="0" w:line="360" w:lineRule="auto"/>
        <w:ind w:left="0" w:firstLine="0"/>
        <w:rPr>
          <w:sz w:val="26"/>
          <w:szCs w:val="26"/>
        </w:rPr>
      </w:pPr>
    </w:p>
    <w:p w:rsidR="006D47C0" w:rsidRPr="00EE5722" w:rsidRDefault="006D47C0" w:rsidP="00A14A1A">
      <w:pPr>
        <w:pStyle w:val="BodyText2"/>
        <w:spacing w:after="0" w:line="360" w:lineRule="auto"/>
        <w:rPr>
          <w:sz w:val="26"/>
          <w:szCs w:val="26"/>
        </w:rPr>
      </w:pPr>
      <w:r w:rsidRPr="00EE5722">
        <w:rPr>
          <w:sz w:val="26"/>
          <w:szCs w:val="26"/>
        </w:rPr>
        <w:tab/>
      </w:r>
      <w:r w:rsidRPr="00EE5722">
        <w:rPr>
          <w:sz w:val="26"/>
          <w:szCs w:val="26"/>
        </w:rPr>
        <w:tab/>
      </w:r>
      <w:r w:rsidR="00CD3B94">
        <w:rPr>
          <w:sz w:val="26"/>
          <w:szCs w:val="26"/>
        </w:rPr>
        <w:t xml:space="preserve">Duquesne </w:t>
      </w:r>
      <w:r w:rsidRPr="00EE5722">
        <w:rPr>
          <w:sz w:val="26"/>
          <w:szCs w:val="26"/>
        </w:rPr>
        <w:t>proposed that</w:t>
      </w:r>
      <w:r w:rsidR="004579CD">
        <w:rPr>
          <w:sz w:val="26"/>
          <w:szCs w:val="26"/>
        </w:rPr>
        <w:t>, at the end of the RME contracts,</w:t>
      </w:r>
      <w:r w:rsidRPr="00EE5722">
        <w:rPr>
          <w:sz w:val="26"/>
          <w:szCs w:val="26"/>
        </w:rPr>
        <w:t xml:space="preserve"> </w:t>
      </w:r>
      <w:r w:rsidR="004579CD">
        <w:rPr>
          <w:sz w:val="26"/>
          <w:szCs w:val="26"/>
        </w:rPr>
        <w:t xml:space="preserve">participating </w:t>
      </w:r>
      <w:r w:rsidRPr="00EE5722">
        <w:rPr>
          <w:sz w:val="26"/>
          <w:szCs w:val="26"/>
        </w:rPr>
        <w:t xml:space="preserve">customers should remain with the EGS on a month-to-month contract unless the customer makes an affirmative choice </w:t>
      </w:r>
      <w:r w:rsidR="004579CD">
        <w:rPr>
          <w:sz w:val="26"/>
          <w:szCs w:val="26"/>
        </w:rPr>
        <w:t xml:space="preserve">either </w:t>
      </w:r>
      <w:r w:rsidRPr="00EE5722">
        <w:rPr>
          <w:sz w:val="26"/>
          <w:szCs w:val="26"/>
        </w:rPr>
        <w:t xml:space="preserve">to select another EGS or return to default service.  </w:t>
      </w:r>
      <w:r w:rsidR="001D0068">
        <w:rPr>
          <w:sz w:val="26"/>
          <w:szCs w:val="26"/>
        </w:rPr>
        <w:t>According to Duquesne, t</w:t>
      </w:r>
      <w:r w:rsidRPr="00EE5722">
        <w:rPr>
          <w:sz w:val="26"/>
          <w:szCs w:val="26"/>
        </w:rPr>
        <w:t xml:space="preserve">his proposal is consistent with the Commission’s </w:t>
      </w:r>
      <w:r w:rsidR="004579CD">
        <w:rPr>
          <w:i/>
          <w:sz w:val="26"/>
          <w:szCs w:val="26"/>
        </w:rPr>
        <w:t>IWP Final</w:t>
      </w:r>
      <w:r w:rsidRPr="00EE5722">
        <w:rPr>
          <w:i/>
          <w:sz w:val="26"/>
          <w:szCs w:val="26"/>
        </w:rPr>
        <w:t xml:space="preserve"> Order</w:t>
      </w:r>
      <w:r w:rsidRPr="00EE5722">
        <w:rPr>
          <w:sz w:val="26"/>
          <w:szCs w:val="26"/>
        </w:rPr>
        <w:t xml:space="preserve"> at 32</w:t>
      </w:r>
      <w:r w:rsidR="004579CD">
        <w:rPr>
          <w:sz w:val="26"/>
          <w:szCs w:val="26"/>
        </w:rPr>
        <w:t xml:space="preserve"> and the </w:t>
      </w:r>
      <w:r w:rsidRPr="00EE5722">
        <w:rPr>
          <w:i/>
          <w:sz w:val="26"/>
          <w:szCs w:val="26"/>
        </w:rPr>
        <w:t>F</w:t>
      </w:r>
      <w:r w:rsidR="004579CD">
        <w:rPr>
          <w:i/>
          <w:sz w:val="26"/>
          <w:szCs w:val="26"/>
        </w:rPr>
        <w:t>irst</w:t>
      </w:r>
      <w:r w:rsidRPr="00EE5722">
        <w:rPr>
          <w:i/>
          <w:sz w:val="26"/>
          <w:szCs w:val="26"/>
        </w:rPr>
        <w:t>E</w:t>
      </w:r>
      <w:r w:rsidR="004579CD">
        <w:rPr>
          <w:i/>
          <w:sz w:val="26"/>
          <w:szCs w:val="26"/>
        </w:rPr>
        <w:t>nergy</w:t>
      </w:r>
      <w:r w:rsidRPr="00EE5722">
        <w:rPr>
          <w:i/>
          <w:sz w:val="26"/>
          <w:szCs w:val="26"/>
        </w:rPr>
        <w:t xml:space="preserve"> </w:t>
      </w:r>
      <w:r w:rsidR="004579CD">
        <w:rPr>
          <w:i/>
          <w:sz w:val="26"/>
          <w:szCs w:val="26"/>
        </w:rPr>
        <w:t xml:space="preserve">DSP </w:t>
      </w:r>
      <w:r w:rsidRPr="00EE5722">
        <w:rPr>
          <w:i/>
          <w:sz w:val="26"/>
          <w:szCs w:val="26"/>
        </w:rPr>
        <w:t>Order</w:t>
      </w:r>
      <w:r w:rsidRPr="00EE5722">
        <w:rPr>
          <w:sz w:val="26"/>
          <w:szCs w:val="26"/>
        </w:rPr>
        <w:t xml:space="preserve"> at 129.  </w:t>
      </w:r>
    </w:p>
    <w:p w:rsidR="00104D86" w:rsidRPr="00EE5722" w:rsidRDefault="00104D86" w:rsidP="00A14A1A">
      <w:pPr>
        <w:pStyle w:val="BodyText"/>
        <w:spacing w:after="0" w:line="360" w:lineRule="auto"/>
        <w:ind w:left="0" w:firstLine="0"/>
        <w:rPr>
          <w:sz w:val="26"/>
          <w:szCs w:val="26"/>
        </w:rPr>
      </w:pPr>
    </w:p>
    <w:p w:rsidR="006D47C0" w:rsidRPr="00EE5722" w:rsidRDefault="004579CD" w:rsidP="00584C88">
      <w:pPr>
        <w:pStyle w:val="Heading4"/>
        <w:numPr>
          <w:ilvl w:val="0"/>
          <w:numId w:val="0"/>
        </w:numPr>
        <w:ind w:left="2880" w:hanging="720"/>
      </w:pPr>
      <w:bookmarkStart w:id="203" w:name="_Toc346705445"/>
      <w:r>
        <w:t>b.</w:t>
      </w:r>
      <w:r>
        <w:tab/>
      </w:r>
      <w:r w:rsidR="006D47C0" w:rsidRPr="00EE5722">
        <w:t>Position</w:t>
      </w:r>
      <w:r>
        <w:t>s of the Parties</w:t>
      </w:r>
      <w:bookmarkEnd w:id="203"/>
    </w:p>
    <w:p w:rsidR="006D47C0" w:rsidRPr="00EE5722" w:rsidRDefault="006D47C0" w:rsidP="00A14A1A">
      <w:pPr>
        <w:pStyle w:val="BodyText"/>
        <w:spacing w:after="0" w:line="360" w:lineRule="auto"/>
        <w:ind w:left="0" w:firstLine="0"/>
        <w:rPr>
          <w:sz w:val="26"/>
          <w:szCs w:val="26"/>
        </w:rPr>
      </w:pPr>
    </w:p>
    <w:p w:rsidR="006D47C0" w:rsidRPr="00265E29" w:rsidRDefault="004579CD" w:rsidP="00A14A1A">
      <w:pPr>
        <w:pStyle w:val="BodyText2"/>
        <w:spacing w:after="0" w:line="360" w:lineRule="auto"/>
        <w:ind w:firstLine="1440"/>
        <w:rPr>
          <w:sz w:val="26"/>
          <w:szCs w:val="26"/>
        </w:rPr>
      </w:pPr>
      <w:r>
        <w:rPr>
          <w:sz w:val="26"/>
          <w:szCs w:val="26"/>
        </w:rPr>
        <w:t xml:space="preserve">The </w:t>
      </w:r>
      <w:r w:rsidR="006D47C0" w:rsidRPr="00EE5722">
        <w:rPr>
          <w:sz w:val="26"/>
          <w:szCs w:val="26"/>
        </w:rPr>
        <w:t xml:space="preserve">OCA proposed different treatment of the customers at the end of the two </w:t>
      </w:r>
      <w:r>
        <w:rPr>
          <w:sz w:val="26"/>
          <w:szCs w:val="26"/>
        </w:rPr>
        <w:t xml:space="preserve">RME </w:t>
      </w:r>
      <w:r w:rsidR="00E90B9C" w:rsidRPr="00EE5722">
        <w:rPr>
          <w:sz w:val="26"/>
          <w:szCs w:val="26"/>
        </w:rPr>
        <w:t>P</w:t>
      </w:r>
      <w:r w:rsidR="006D47C0" w:rsidRPr="00EE5722">
        <w:rPr>
          <w:sz w:val="26"/>
          <w:szCs w:val="26"/>
        </w:rPr>
        <w:t xml:space="preserve">rograms.  The </w:t>
      </w:r>
      <w:r>
        <w:rPr>
          <w:sz w:val="26"/>
          <w:szCs w:val="26"/>
        </w:rPr>
        <w:t xml:space="preserve">OCA </w:t>
      </w:r>
      <w:r w:rsidR="006D47C0" w:rsidRPr="00EE5722">
        <w:rPr>
          <w:sz w:val="26"/>
          <w:szCs w:val="26"/>
        </w:rPr>
        <w:t>reason</w:t>
      </w:r>
      <w:r>
        <w:rPr>
          <w:sz w:val="26"/>
          <w:szCs w:val="26"/>
        </w:rPr>
        <w:t xml:space="preserve">ed </w:t>
      </w:r>
      <w:r w:rsidR="006D47C0" w:rsidRPr="00EE5722">
        <w:rPr>
          <w:sz w:val="26"/>
          <w:szCs w:val="26"/>
        </w:rPr>
        <w:t>that customers who enroll</w:t>
      </w:r>
      <w:r>
        <w:rPr>
          <w:sz w:val="26"/>
          <w:szCs w:val="26"/>
        </w:rPr>
        <w:t>ed</w:t>
      </w:r>
      <w:r w:rsidR="006D47C0" w:rsidRPr="00EE5722">
        <w:rPr>
          <w:sz w:val="26"/>
          <w:szCs w:val="26"/>
        </w:rPr>
        <w:t xml:space="preserve"> in the Opt-In </w:t>
      </w:r>
      <w:r w:rsidR="00E90B9C" w:rsidRPr="00EE5722">
        <w:rPr>
          <w:sz w:val="26"/>
          <w:szCs w:val="26"/>
        </w:rPr>
        <w:t>P</w:t>
      </w:r>
      <w:r>
        <w:rPr>
          <w:sz w:val="26"/>
          <w:szCs w:val="26"/>
        </w:rPr>
        <w:t>rogram were solicited by mail and had</w:t>
      </w:r>
      <w:r w:rsidR="006D47C0" w:rsidRPr="00EE5722">
        <w:rPr>
          <w:sz w:val="26"/>
          <w:szCs w:val="26"/>
        </w:rPr>
        <w:t xml:space="preserve"> to take the action of calling, enrolling online, or sending in a return </w:t>
      </w:r>
      <w:r>
        <w:rPr>
          <w:sz w:val="26"/>
          <w:szCs w:val="26"/>
        </w:rPr>
        <w:t>card in order to enroll in the Opt-In Program</w:t>
      </w:r>
      <w:r w:rsidR="006D47C0" w:rsidRPr="00EE5722">
        <w:rPr>
          <w:sz w:val="26"/>
          <w:szCs w:val="26"/>
        </w:rPr>
        <w:t xml:space="preserve">.  </w:t>
      </w:r>
      <w:r>
        <w:rPr>
          <w:sz w:val="26"/>
          <w:szCs w:val="26"/>
        </w:rPr>
        <w:t xml:space="preserve">In contrast, customers who </w:t>
      </w:r>
      <w:r w:rsidR="006D47C0" w:rsidRPr="00EE5722">
        <w:rPr>
          <w:sz w:val="26"/>
          <w:szCs w:val="26"/>
        </w:rPr>
        <w:t xml:space="preserve">enrolled </w:t>
      </w:r>
      <w:r>
        <w:rPr>
          <w:sz w:val="26"/>
          <w:szCs w:val="26"/>
        </w:rPr>
        <w:t xml:space="preserve">in the SO Program were solicited </w:t>
      </w:r>
      <w:r w:rsidR="006D47C0" w:rsidRPr="00EE5722">
        <w:rPr>
          <w:sz w:val="26"/>
          <w:szCs w:val="26"/>
        </w:rPr>
        <w:t>when they call</w:t>
      </w:r>
      <w:r>
        <w:rPr>
          <w:sz w:val="26"/>
          <w:szCs w:val="26"/>
        </w:rPr>
        <w:t>ed Duquesne</w:t>
      </w:r>
      <w:r w:rsidR="006D47C0" w:rsidRPr="00EE5722">
        <w:rPr>
          <w:sz w:val="26"/>
          <w:szCs w:val="26"/>
        </w:rPr>
        <w:t xml:space="preserve"> about a completely separate matter.  Therefore, </w:t>
      </w:r>
      <w:r>
        <w:rPr>
          <w:sz w:val="26"/>
          <w:szCs w:val="26"/>
        </w:rPr>
        <w:t xml:space="preserve">the OCA submitted that </w:t>
      </w:r>
      <w:r w:rsidR="006D47C0" w:rsidRPr="00EE5722">
        <w:rPr>
          <w:sz w:val="26"/>
          <w:szCs w:val="26"/>
        </w:rPr>
        <w:t>customer</w:t>
      </w:r>
      <w:r>
        <w:rPr>
          <w:sz w:val="26"/>
          <w:szCs w:val="26"/>
        </w:rPr>
        <w:t xml:space="preserve">s enrolled in the </w:t>
      </w:r>
      <w:r w:rsidR="00771A65">
        <w:rPr>
          <w:sz w:val="26"/>
          <w:szCs w:val="26"/>
        </w:rPr>
        <w:t>SO</w:t>
      </w:r>
      <w:r>
        <w:rPr>
          <w:sz w:val="26"/>
          <w:szCs w:val="26"/>
        </w:rPr>
        <w:t xml:space="preserve"> Program</w:t>
      </w:r>
      <w:r w:rsidR="00293139">
        <w:rPr>
          <w:sz w:val="26"/>
          <w:szCs w:val="26"/>
        </w:rPr>
        <w:t xml:space="preserve"> should be required to take </w:t>
      </w:r>
      <w:r w:rsidR="006D47C0" w:rsidRPr="00EE5722">
        <w:rPr>
          <w:sz w:val="26"/>
          <w:szCs w:val="26"/>
        </w:rPr>
        <w:t xml:space="preserve">“affirmative” action </w:t>
      </w:r>
      <w:r w:rsidR="00293139">
        <w:rPr>
          <w:sz w:val="26"/>
          <w:szCs w:val="26"/>
        </w:rPr>
        <w:t xml:space="preserve">to remain with the EGS </w:t>
      </w:r>
      <w:r w:rsidR="006D47C0" w:rsidRPr="00EE5722">
        <w:rPr>
          <w:sz w:val="26"/>
          <w:szCs w:val="26"/>
        </w:rPr>
        <w:t>at th</w:t>
      </w:r>
      <w:r w:rsidR="00293139">
        <w:rPr>
          <w:sz w:val="26"/>
          <w:szCs w:val="26"/>
        </w:rPr>
        <w:t xml:space="preserve">e end of the SO Program, </w:t>
      </w:r>
      <w:r w:rsidR="006D47C0" w:rsidRPr="00EE5722">
        <w:rPr>
          <w:sz w:val="26"/>
          <w:szCs w:val="26"/>
        </w:rPr>
        <w:t>and be returned to default service if</w:t>
      </w:r>
      <w:r w:rsidR="00265E29">
        <w:rPr>
          <w:sz w:val="26"/>
          <w:szCs w:val="26"/>
        </w:rPr>
        <w:t xml:space="preserve"> such action is not taken.</w:t>
      </w:r>
      <w:r w:rsidR="00293139" w:rsidRPr="00293139">
        <w:rPr>
          <w:sz w:val="26"/>
          <w:szCs w:val="26"/>
        </w:rPr>
        <w:t xml:space="preserve"> </w:t>
      </w:r>
      <w:r w:rsidR="00293139" w:rsidRPr="00EE5722">
        <w:rPr>
          <w:sz w:val="26"/>
          <w:szCs w:val="26"/>
        </w:rPr>
        <w:t>OCA St. 2 at 16-17.</w:t>
      </w:r>
      <w:r w:rsidR="00293139" w:rsidRPr="00293139">
        <w:rPr>
          <w:sz w:val="26"/>
          <w:szCs w:val="26"/>
        </w:rPr>
        <w:t xml:space="preserve"> </w:t>
      </w:r>
      <w:r w:rsidR="00293139">
        <w:rPr>
          <w:sz w:val="26"/>
          <w:szCs w:val="26"/>
        </w:rPr>
        <w:t xml:space="preserve"> The </w:t>
      </w:r>
      <w:r w:rsidR="00293139" w:rsidRPr="00EE5722">
        <w:rPr>
          <w:sz w:val="26"/>
          <w:szCs w:val="26"/>
        </w:rPr>
        <w:t>OCA</w:t>
      </w:r>
      <w:r w:rsidR="00293139">
        <w:rPr>
          <w:sz w:val="26"/>
          <w:szCs w:val="26"/>
        </w:rPr>
        <w:t xml:space="preserve"> argued that the SO</w:t>
      </w:r>
      <w:r w:rsidR="00293139" w:rsidRPr="00EE5722">
        <w:rPr>
          <w:sz w:val="26"/>
          <w:szCs w:val="26"/>
        </w:rPr>
        <w:t xml:space="preserve"> Program should provide an opportunity for a customer to shop with a guaranteed price reduction, for a short period of time</w:t>
      </w:r>
      <w:r w:rsidR="00293139">
        <w:rPr>
          <w:sz w:val="26"/>
          <w:szCs w:val="26"/>
        </w:rPr>
        <w:t xml:space="preserve">, and at no risk.  OCA submitted that the SO </w:t>
      </w:r>
      <w:r w:rsidR="00293139" w:rsidRPr="00EE5722">
        <w:rPr>
          <w:sz w:val="26"/>
          <w:szCs w:val="26"/>
        </w:rPr>
        <w:t>Program should be revised so that the customer will return to default service after the introductory offer period expires unless the customer af</w:t>
      </w:r>
      <w:r w:rsidR="00293139">
        <w:rPr>
          <w:sz w:val="26"/>
          <w:szCs w:val="26"/>
        </w:rPr>
        <w:t>firmatively chooses otherwise.</w:t>
      </w:r>
    </w:p>
    <w:p w:rsidR="006D47C0" w:rsidRPr="00EE5722" w:rsidRDefault="006D47C0" w:rsidP="00A14A1A">
      <w:pPr>
        <w:pStyle w:val="BodyText2"/>
        <w:spacing w:after="0" w:line="360" w:lineRule="auto"/>
        <w:ind w:firstLine="1440"/>
        <w:rPr>
          <w:sz w:val="26"/>
          <w:szCs w:val="26"/>
        </w:rPr>
      </w:pPr>
      <w:r w:rsidRPr="00EE5722">
        <w:rPr>
          <w:sz w:val="26"/>
          <w:szCs w:val="26"/>
        </w:rPr>
        <w:t xml:space="preserve"> </w:t>
      </w:r>
    </w:p>
    <w:p w:rsidR="006D47C0" w:rsidRDefault="006D47C0" w:rsidP="006D47C0">
      <w:pPr>
        <w:spacing w:line="360" w:lineRule="auto"/>
        <w:rPr>
          <w:sz w:val="26"/>
          <w:szCs w:val="26"/>
        </w:rPr>
      </w:pPr>
      <w:r w:rsidRPr="00EE5722">
        <w:rPr>
          <w:sz w:val="26"/>
          <w:szCs w:val="26"/>
        </w:rPr>
        <w:lastRenderedPageBreak/>
        <w:tab/>
      </w:r>
      <w:r w:rsidRPr="00EE5722">
        <w:rPr>
          <w:sz w:val="26"/>
          <w:szCs w:val="26"/>
        </w:rPr>
        <w:tab/>
      </w:r>
      <w:r w:rsidR="00293139">
        <w:rPr>
          <w:sz w:val="26"/>
          <w:szCs w:val="26"/>
        </w:rPr>
        <w:t xml:space="preserve">The </w:t>
      </w:r>
      <w:r w:rsidRPr="00EE5722">
        <w:rPr>
          <w:sz w:val="26"/>
          <w:szCs w:val="26"/>
        </w:rPr>
        <w:t xml:space="preserve">OCA </w:t>
      </w:r>
      <w:r w:rsidR="00293139">
        <w:rPr>
          <w:sz w:val="26"/>
          <w:szCs w:val="26"/>
        </w:rPr>
        <w:t>also recommended</w:t>
      </w:r>
      <w:r w:rsidRPr="00EE5722">
        <w:rPr>
          <w:sz w:val="26"/>
          <w:szCs w:val="26"/>
        </w:rPr>
        <w:t xml:space="preserve"> that, if no response to</w:t>
      </w:r>
      <w:r w:rsidR="00293139">
        <w:rPr>
          <w:sz w:val="26"/>
          <w:szCs w:val="26"/>
        </w:rPr>
        <w:t xml:space="preserve"> an EGS offer is provided by a</w:t>
      </w:r>
      <w:r w:rsidRPr="00EE5722">
        <w:rPr>
          <w:sz w:val="26"/>
          <w:szCs w:val="26"/>
        </w:rPr>
        <w:t xml:space="preserve"> customer</w:t>
      </w:r>
      <w:r w:rsidR="00293139">
        <w:rPr>
          <w:sz w:val="26"/>
          <w:szCs w:val="26"/>
        </w:rPr>
        <w:t xml:space="preserve"> </w:t>
      </w:r>
      <w:r w:rsidR="00293139" w:rsidRPr="00293139">
        <w:rPr>
          <w:sz w:val="26"/>
          <w:szCs w:val="26"/>
        </w:rPr>
        <w:t>in the Opt-In Program</w:t>
      </w:r>
      <w:r w:rsidRPr="00EE5722">
        <w:rPr>
          <w:sz w:val="26"/>
          <w:szCs w:val="26"/>
        </w:rPr>
        <w:t>, the custo</w:t>
      </w:r>
      <w:r w:rsidR="00293139">
        <w:rPr>
          <w:sz w:val="26"/>
          <w:szCs w:val="26"/>
        </w:rPr>
        <w:t>mer should be placed on a fixed-</w:t>
      </w:r>
      <w:r w:rsidRPr="00EE5722">
        <w:rPr>
          <w:sz w:val="26"/>
          <w:szCs w:val="26"/>
        </w:rPr>
        <w:t>price</w:t>
      </w:r>
      <w:r w:rsidR="00293139">
        <w:rPr>
          <w:sz w:val="26"/>
          <w:szCs w:val="26"/>
        </w:rPr>
        <w:t>,</w:t>
      </w:r>
      <w:r w:rsidRPr="00EE5722">
        <w:rPr>
          <w:sz w:val="26"/>
          <w:szCs w:val="26"/>
        </w:rPr>
        <w:t xml:space="preserve"> month-to-month contract with no penalties or te</w:t>
      </w:r>
      <w:r w:rsidR="00293139">
        <w:rPr>
          <w:sz w:val="26"/>
          <w:szCs w:val="26"/>
        </w:rPr>
        <w:t>rmination fees.  Customers who o</w:t>
      </w:r>
      <w:r w:rsidRPr="00EE5722">
        <w:rPr>
          <w:sz w:val="26"/>
          <w:szCs w:val="26"/>
        </w:rPr>
        <w:t>pt</w:t>
      </w:r>
      <w:r w:rsidR="00293139">
        <w:rPr>
          <w:sz w:val="26"/>
          <w:szCs w:val="26"/>
        </w:rPr>
        <w:t xml:space="preserve">ed in to this program </w:t>
      </w:r>
      <w:r w:rsidRPr="00EE5722">
        <w:rPr>
          <w:sz w:val="26"/>
          <w:szCs w:val="26"/>
        </w:rPr>
        <w:t xml:space="preserve">likely </w:t>
      </w:r>
      <w:r w:rsidR="00293139">
        <w:rPr>
          <w:sz w:val="26"/>
          <w:szCs w:val="26"/>
        </w:rPr>
        <w:t xml:space="preserve">will </w:t>
      </w:r>
      <w:r w:rsidRPr="00EE5722">
        <w:rPr>
          <w:sz w:val="26"/>
          <w:szCs w:val="26"/>
        </w:rPr>
        <w:t xml:space="preserve">receive some type of offer from the EGS before the program ends.  </w:t>
      </w:r>
      <w:r w:rsidR="00293139">
        <w:rPr>
          <w:sz w:val="26"/>
          <w:szCs w:val="26"/>
        </w:rPr>
        <w:t>The OCA submitted</w:t>
      </w:r>
      <w:r w:rsidRPr="00EE5722">
        <w:rPr>
          <w:sz w:val="26"/>
          <w:szCs w:val="26"/>
        </w:rPr>
        <w:t xml:space="preserve"> that one of</w:t>
      </w:r>
      <w:r w:rsidR="00293139">
        <w:rPr>
          <w:sz w:val="26"/>
          <w:szCs w:val="26"/>
        </w:rPr>
        <w:t xml:space="preserve"> the products should be a fixed-</w:t>
      </w:r>
      <w:r w:rsidRPr="00EE5722">
        <w:rPr>
          <w:sz w:val="26"/>
          <w:szCs w:val="26"/>
        </w:rPr>
        <w:t>price offer</w:t>
      </w:r>
      <w:r w:rsidR="00293139">
        <w:rPr>
          <w:sz w:val="26"/>
          <w:szCs w:val="26"/>
        </w:rPr>
        <w:t>, and that the fixed-</w:t>
      </w:r>
      <w:r w:rsidRPr="00EE5722">
        <w:rPr>
          <w:sz w:val="26"/>
          <w:szCs w:val="26"/>
        </w:rPr>
        <w:t xml:space="preserve">price offer should be the offer the customer is placed on if the customer does not </w:t>
      </w:r>
      <w:r w:rsidR="00265E29">
        <w:rPr>
          <w:sz w:val="26"/>
          <w:szCs w:val="26"/>
        </w:rPr>
        <w:t>make an affirmative selection.</w:t>
      </w:r>
      <w:r w:rsidR="00293139">
        <w:rPr>
          <w:sz w:val="26"/>
          <w:szCs w:val="26"/>
        </w:rPr>
        <w:t xml:space="preserve">  The OCA argued that a</w:t>
      </w:r>
      <w:r w:rsidRPr="00EE5722">
        <w:rPr>
          <w:sz w:val="26"/>
          <w:szCs w:val="26"/>
        </w:rPr>
        <w:t xml:space="preserve"> customer should not</w:t>
      </w:r>
      <w:r w:rsidR="00293139">
        <w:rPr>
          <w:sz w:val="26"/>
          <w:szCs w:val="26"/>
        </w:rPr>
        <w:t xml:space="preserve"> be placed on a variable </w:t>
      </w:r>
      <w:r w:rsidRPr="00EE5722">
        <w:rPr>
          <w:sz w:val="26"/>
          <w:szCs w:val="26"/>
        </w:rPr>
        <w:t>ra</w:t>
      </w:r>
      <w:r w:rsidR="00293139">
        <w:rPr>
          <w:sz w:val="26"/>
          <w:szCs w:val="26"/>
        </w:rPr>
        <w:t xml:space="preserve">te or other rate that is </w:t>
      </w:r>
      <w:r w:rsidRPr="00EE5722">
        <w:rPr>
          <w:sz w:val="26"/>
          <w:szCs w:val="26"/>
        </w:rPr>
        <w:t>inconsistent with the</w:t>
      </w:r>
      <w:r w:rsidR="00293139">
        <w:rPr>
          <w:sz w:val="26"/>
          <w:szCs w:val="26"/>
        </w:rPr>
        <w:t xml:space="preserve"> purpose of the RME Programs.  The Opt-In Program is intend</w:t>
      </w:r>
      <w:r w:rsidRPr="00EE5722">
        <w:rPr>
          <w:sz w:val="26"/>
          <w:szCs w:val="26"/>
        </w:rPr>
        <w:t xml:space="preserve">ed to create a </w:t>
      </w:r>
      <w:r w:rsidRPr="00293139">
        <w:rPr>
          <w:sz w:val="26"/>
          <w:szCs w:val="26"/>
        </w:rPr>
        <w:t>positive</w:t>
      </w:r>
      <w:r w:rsidRPr="00EE5722">
        <w:rPr>
          <w:sz w:val="26"/>
          <w:szCs w:val="26"/>
        </w:rPr>
        <w:t xml:space="preserve"> experience for customers who otherwise have chosen not to shop, and a fixed price month-to-mont</w:t>
      </w:r>
      <w:r w:rsidR="00293139">
        <w:rPr>
          <w:sz w:val="26"/>
          <w:szCs w:val="26"/>
        </w:rPr>
        <w:t>h product after the end of the Opt-In Program would</w:t>
      </w:r>
      <w:r w:rsidRPr="00EE5722">
        <w:rPr>
          <w:sz w:val="26"/>
          <w:szCs w:val="26"/>
        </w:rPr>
        <w:t xml:space="preserve"> help to maintain customers’ comfort level with continuing to receive supply fr</w:t>
      </w:r>
      <w:r w:rsidR="00293139">
        <w:rPr>
          <w:sz w:val="26"/>
          <w:szCs w:val="26"/>
        </w:rPr>
        <w:t xml:space="preserve">om an EGS. </w:t>
      </w:r>
    </w:p>
    <w:p w:rsidR="006279F4" w:rsidRDefault="006279F4" w:rsidP="006279F4">
      <w:pPr>
        <w:spacing w:line="360" w:lineRule="auto"/>
        <w:rPr>
          <w:sz w:val="26"/>
          <w:szCs w:val="26"/>
        </w:rPr>
      </w:pPr>
    </w:p>
    <w:p w:rsidR="003E1842" w:rsidRDefault="006279F4" w:rsidP="00A14A1A">
      <w:pPr>
        <w:spacing w:line="360" w:lineRule="auto"/>
        <w:ind w:firstLine="1440"/>
        <w:rPr>
          <w:sz w:val="26"/>
          <w:szCs w:val="26"/>
        </w:rPr>
      </w:pPr>
      <w:r>
        <w:rPr>
          <w:sz w:val="26"/>
          <w:szCs w:val="26"/>
        </w:rPr>
        <w:t>CAUSE supported</w:t>
      </w:r>
      <w:r w:rsidRPr="00EE5722">
        <w:rPr>
          <w:sz w:val="26"/>
          <w:szCs w:val="26"/>
        </w:rPr>
        <w:t xml:space="preserve"> the </w:t>
      </w:r>
      <w:r>
        <w:rPr>
          <w:sz w:val="26"/>
          <w:szCs w:val="26"/>
        </w:rPr>
        <w:t xml:space="preserve">OCA’s </w:t>
      </w:r>
      <w:r w:rsidRPr="00EE5722">
        <w:rPr>
          <w:sz w:val="26"/>
          <w:szCs w:val="26"/>
        </w:rPr>
        <w:t xml:space="preserve">positions concerning customer status at the end of the </w:t>
      </w:r>
      <w:r>
        <w:rPr>
          <w:sz w:val="26"/>
          <w:szCs w:val="26"/>
        </w:rPr>
        <w:t>RME</w:t>
      </w:r>
      <w:r w:rsidRPr="00EE5722">
        <w:rPr>
          <w:sz w:val="26"/>
          <w:szCs w:val="26"/>
        </w:rPr>
        <w:t xml:space="preserve"> Programs.  </w:t>
      </w:r>
    </w:p>
    <w:p w:rsidR="00A14A1A" w:rsidRPr="00EE5722" w:rsidRDefault="00A14A1A" w:rsidP="00A14A1A">
      <w:pPr>
        <w:spacing w:line="360" w:lineRule="auto"/>
        <w:ind w:firstLine="1440"/>
        <w:rPr>
          <w:sz w:val="26"/>
          <w:szCs w:val="26"/>
        </w:rPr>
      </w:pPr>
    </w:p>
    <w:p w:rsidR="006D47C0" w:rsidRDefault="003E1842" w:rsidP="00A14A1A">
      <w:pPr>
        <w:spacing w:line="360" w:lineRule="auto"/>
        <w:ind w:firstLine="1440"/>
        <w:rPr>
          <w:sz w:val="26"/>
          <w:szCs w:val="26"/>
        </w:rPr>
      </w:pPr>
      <w:r w:rsidRPr="00EE5722">
        <w:rPr>
          <w:sz w:val="26"/>
          <w:szCs w:val="26"/>
        </w:rPr>
        <w:t xml:space="preserve">Citizen Power </w:t>
      </w:r>
      <w:r>
        <w:rPr>
          <w:sz w:val="26"/>
          <w:szCs w:val="26"/>
        </w:rPr>
        <w:t>agreed</w:t>
      </w:r>
      <w:r w:rsidRPr="00EE5722">
        <w:rPr>
          <w:sz w:val="26"/>
          <w:szCs w:val="26"/>
        </w:rPr>
        <w:t xml:space="preserve"> with the position of </w:t>
      </w:r>
      <w:r>
        <w:rPr>
          <w:sz w:val="26"/>
          <w:szCs w:val="26"/>
        </w:rPr>
        <w:t xml:space="preserve">the </w:t>
      </w:r>
      <w:r w:rsidRPr="00EE5722">
        <w:rPr>
          <w:sz w:val="26"/>
          <w:szCs w:val="26"/>
        </w:rPr>
        <w:t>OCA that, at the end</w:t>
      </w:r>
      <w:r>
        <w:rPr>
          <w:sz w:val="26"/>
          <w:szCs w:val="26"/>
        </w:rPr>
        <w:t xml:space="preserve"> of the SO Program, </w:t>
      </w:r>
      <w:r w:rsidRPr="00EE5722">
        <w:rPr>
          <w:sz w:val="26"/>
          <w:szCs w:val="26"/>
        </w:rPr>
        <w:t>customer</w:t>
      </w:r>
      <w:r>
        <w:rPr>
          <w:sz w:val="26"/>
          <w:szCs w:val="26"/>
        </w:rPr>
        <w:t>s</w:t>
      </w:r>
      <w:r w:rsidRPr="00EE5722">
        <w:rPr>
          <w:sz w:val="26"/>
          <w:szCs w:val="26"/>
        </w:rPr>
        <w:t xml:space="preserve"> should be returned to default service unle</w:t>
      </w:r>
      <w:r>
        <w:rPr>
          <w:sz w:val="26"/>
          <w:szCs w:val="26"/>
        </w:rPr>
        <w:t xml:space="preserve">ss they affirmatively </w:t>
      </w:r>
      <w:r w:rsidRPr="00EE5722">
        <w:rPr>
          <w:sz w:val="26"/>
          <w:szCs w:val="26"/>
        </w:rPr>
        <w:t>accept a new offer from the EGS.</w:t>
      </w:r>
    </w:p>
    <w:p w:rsidR="003E1842" w:rsidRPr="00EE5722" w:rsidRDefault="003E1842" w:rsidP="006D47C0">
      <w:pPr>
        <w:spacing w:line="360" w:lineRule="auto"/>
        <w:rPr>
          <w:sz w:val="26"/>
          <w:szCs w:val="26"/>
        </w:rPr>
      </w:pPr>
    </w:p>
    <w:p w:rsidR="006D47C0" w:rsidRDefault="006279F4" w:rsidP="00172143">
      <w:pPr>
        <w:spacing w:line="360" w:lineRule="auto"/>
        <w:ind w:firstLine="1440"/>
        <w:rPr>
          <w:sz w:val="26"/>
          <w:szCs w:val="26"/>
        </w:rPr>
      </w:pPr>
      <w:r>
        <w:rPr>
          <w:sz w:val="26"/>
          <w:szCs w:val="26"/>
        </w:rPr>
        <w:t>RESA argued that</w:t>
      </w:r>
      <w:r w:rsidR="00293139" w:rsidRPr="00EE5722">
        <w:rPr>
          <w:sz w:val="26"/>
          <w:szCs w:val="26"/>
        </w:rPr>
        <w:t xml:space="preserve"> </w:t>
      </w:r>
      <w:r>
        <w:rPr>
          <w:sz w:val="26"/>
          <w:szCs w:val="26"/>
        </w:rPr>
        <w:t xml:space="preserve">customers enrolled in </w:t>
      </w:r>
      <w:r w:rsidR="00293139" w:rsidRPr="00EE5722">
        <w:rPr>
          <w:sz w:val="26"/>
          <w:szCs w:val="26"/>
        </w:rPr>
        <w:t>the S</w:t>
      </w:r>
      <w:r w:rsidR="00293139">
        <w:rPr>
          <w:sz w:val="26"/>
          <w:szCs w:val="26"/>
        </w:rPr>
        <w:t>O</w:t>
      </w:r>
      <w:r w:rsidR="00293139" w:rsidRPr="00EE5722">
        <w:rPr>
          <w:sz w:val="26"/>
          <w:szCs w:val="26"/>
        </w:rPr>
        <w:t xml:space="preserve"> P</w:t>
      </w:r>
      <w:r>
        <w:rPr>
          <w:sz w:val="26"/>
          <w:szCs w:val="26"/>
        </w:rPr>
        <w:t xml:space="preserve">rogram were required to make an </w:t>
      </w:r>
      <w:r w:rsidR="00293139" w:rsidRPr="00EE5722">
        <w:rPr>
          <w:sz w:val="26"/>
          <w:szCs w:val="26"/>
        </w:rPr>
        <w:t>aff</w:t>
      </w:r>
      <w:r>
        <w:rPr>
          <w:sz w:val="26"/>
          <w:szCs w:val="26"/>
        </w:rPr>
        <w:t xml:space="preserve">irmative choice, and </w:t>
      </w:r>
      <w:r w:rsidR="00293139" w:rsidRPr="00EE5722">
        <w:rPr>
          <w:sz w:val="26"/>
          <w:szCs w:val="26"/>
        </w:rPr>
        <w:t>should not be automatically returned to default service without an affirm</w:t>
      </w:r>
      <w:r>
        <w:rPr>
          <w:sz w:val="26"/>
          <w:szCs w:val="26"/>
        </w:rPr>
        <w:t>ative action by the customer.  RESA argued that a</w:t>
      </w:r>
      <w:r w:rsidR="00293139" w:rsidRPr="00EE5722">
        <w:rPr>
          <w:sz w:val="26"/>
          <w:szCs w:val="26"/>
        </w:rPr>
        <w:t>utomatically returning customers to default service at</w:t>
      </w:r>
      <w:r>
        <w:rPr>
          <w:sz w:val="26"/>
          <w:szCs w:val="26"/>
        </w:rPr>
        <w:t xml:space="preserve"> the end of the SO P</w:t>
      </w:r>
      <w:r w:rsidR="00293139" w:rsidRPr="00EE5722">
        <w:rPr>
          <w:sz w:val="26"/>
          <w:szCs w:val="26"/>
        </w:rPr>
        <w:t xml:space="preserve">rogram would be “forcing” them back to </w:t>
      </w:r>
      <w:r>
        <w:rPr>
          <w:sz w:val="26"/>
          <w:szCs w:val="26"/>
        </w:rPr>
        <w:t xml:space="preserve">default service, </w:t>
      </w:r>
      <w:r w:rsidR="00293139" w:rsidRPr="00EE5722">
        <w:rPr>
          <w:sz w:val="26"/>
          <w:szCs w:val="26"/>
        </w:rPr>
        <w:t>contrary to the standard</w:t>
      </w:r>
      <w:r>
        <w:rPr>
          <w:sz w:val="26"/>
          <w:szCs w:val="26"/>
        </w:rPr>
        <w:t xml:space="preserve"> in 66 Pa. C.S.</w:t>
      </w:r>
      <w:r w:rsidR="00293139">
        <w:rPr>
          <w:sz w:val="26"/>
          <w:szCs w:val="26"/>
        </w:rPr>
        <w:t xml:space="preserve"> §</w:t>
      </w:r>
      <w:r>
        <w:rPr>
          <w:sz w:val="26"/>
          <w:szCs w:val="26"/>
        </w:rPr>
        <w:t xml:space="preserve"> </w:t>
      </w:r>
      <w:r w:rsidR="00293139">
        <w:rPr>
          <w:sz w:val="26"/>
          <w:szCs w:val="26"/>
        </w:rPr>
        <w:t>2807(d)(1).</w:t>
      </w:r>
      <w:r>
        <w:rPr>
          <w:sz w:val="26"/>
          <w:szCs w:val="26"/>
        </w:rPr>
        <w:t xml:space="preserve">  Finally, RESA submitted that</w:t>
      </w:r>
      <w:r w:rsidR="00293139" w:rsidRPr="00EE5722">
        <w:rPr>
          <w:sz w:val="26"/>
          <w:szCs w:val="26"/>
        </w:rPr>
        <w:t xml:space="preserve"> its recommendation is consistent with the</w:t>
      </w:r>
      <w:r>
        <w:rPr>
          <w:sz w:val="26"/>
          <w:szCs w:val="26"/>
        </w:rPr>
        <w:t xml:space="preserve"> Commission’s decisions in the </w:t>
      </w:r>
      <w:r w:rsidRPr="006279F4">
        <w:rPr>
          <w:i/>
          <w:sz w:val="26"/>
          <w:szCs w:val="26"/>
        </w:rPr>
        <w:t>IWP Final Order</w:t>
      </w:r>
      <w:r>
        <w:rPr>
          <w:sz w:val="26"/>
          <w:szCs w:val="26"/>
        </w:rPr>
        <w:t xml:space="preserve">, the </w:t>
      </w:r>
      <w:r w:rsidRPr="006279F4">
        <w:rPr>
          <w:i/>
          <w:sz w:val="26"/>
          <w:szCs w:val="26"/>
        </w:rPr>
        <w:t>Pike County DSP Order</w:t>
      </w:r>
      <w:r>
        <w:rPr>
          <w:sz w:val="26"/>
          <w:szCs w:val="26"/>
        </w:rPr>
        <w:t xml:space="preserve">, and the </w:t>
      </w:r>
      <w:r>
        <w:rPr>
          <w:i/>
          <w:sz w:val="26"/>
          <w:szCs w:val="26"/>
        </w:rPr>
        <w:t xml:space="preserve">FirstEnergy DSP </w:t>
      </w:r>
      <w:r w:rsidR="00293139" w:rsidRPr="00EE5722">
        <w:rPr>
          <w:i/>
          <w:sz w:val="26"/>
          <w:szCs w:val="26"/>
        </w:rPr>
        <w:t>Order</w:t>
      </w:r>
      <w:r>
        <w:rPr>
          <w:sz w:val="26"/>
          <w:szCs w:val="26"/>
        </w:rPr>
        <w:t xml:space="preserve"> at 127-129</w:t>
      </w:r>
      <w:r w:rsidR="00293139" w:rsidRPr="00EE5722">
        <w:rPr>
          <w:sz w:val="26"/>
          <w:szCs w:val="26"/>
        </w:rPr>
        <w:t xml:space="preserve">, in which the Commission determined that, </w:t>
      </w:r>
      <w:r>
        <w:rPr>
          <w:sz w:val="26"/>
          <w:szCs w:val="26"/>
        </w:rPr>
        <w:t xml:space="preserve">at end of the </w:t>
      </w:r>
      <w:r w:rsidRPr="00771A65">
        <w:rPr>
          <w:i/>
          <w:sz w:val="26"/>
          <w:szCs w:val="26"/>
        </w:rPr>
        <w:t>Opt-In</w:t>
      </w:r>
      <w:r>
        <w:rPr>
          <w:sz w:val="26"/>
          <w:szCs w:val="26"/>
        </w:rPr>
        <w:t xml:space="preserve"> </w:t>
      </w:r>
      <w:r w:rsidR="00293139" w:rsidRPr="00EE5722">
        <w:rPr>
          <w:sz w:val="26"/>
          <w:szCs w:val="26"/>
        </w:rPr>
        <w:t xml:space="preserve">Program term, the customer must affirmatively choose to receive service from a different EGS or elect </w:t>
      </w:r>
      <w:r w:rsidR="00293139" w:rsidRPr="00EE5722">
        <w:rPr>
          <w:sz w:val="26"/>
          <w:szCs w:val="26"/>
        </w:rPr>
        <w:lastRenderedPageBreak/>
        <w:t>default service; absent such an affirmative selection, the customer wil</w:t>
      </w:r>
      <w:r>
        <w:rPr>
          <w:sz w:val="26"/>
          <w:szCs w:val="26"/>
        </w:rPr>
        <w:t>l remain with the EGS providing</w:t>
      </w:r>
      <w:r w:rsidR="00293139" w:rsidRPr="00EE5722">
        <w:rPr>
          <w:sz w:val="26"/>
          <w:szCs w:val="26"/>
        </w:rPr>
        <w:t xml:space="preserve"> ser</w:t>
      </w:r>
      <w:r>
        <w:rPr>
          <w:sz w:val="26"/>
          <w:szCs w:val="26"/>
        </w:rPr>
        <w:t>vice under the Opt-In P</w:t>
      </w:r>
      <w:r w:rsidR="00293139" w:rsidRPr="00EE5722">
        <w:rPr>
          <w:sz w:val="26"/>
          <w:szCs w:val="26"/>
        </w:rPr>
        <w:t xml:space="preserve">rogram.  </w:t>
      </w:r>
    </w:p>
    <w:p w:rsidR="003E1842" w:rsidRDefault="003E1842" w:rsidP="00172143">
      <w:pPr>
        <w:spacing w:line="360" w:lineRule="auto"/>
        <w:ind w:firstLine="1440"/>
        <w:rPr>
          <w:sz w:val="26"/>
          <w:szCs w:val="26"/>
        </w:rPr>
      </w:pPr>
    </w:p>
    <w:p w:rsidR="003E1842" w:rsidRPr="00EE5722" w:rsidRDefault="003E1842" w:rsidP="00172143">
      <w:pPr>
        <w:spacing w:line="360" w:lineRule="auto"/>
        <w:ind w:firstLine="1440"/>
        <w:rPr>
          <w:sz w:val="26"/>
          <w:szCs w:val="26"/>
        </w:rPr>
      </w:pPr>
      <w:r>
        <w:rPr>
          <w:sz w:val="26"/>
          <w:szCs w:val="26"/>
        </w:rPr>
        <w:t>The OSBA, DII, Dominion, FES and Constellation took no position on this issue.</w:t>
      </w:r>
    </w:p>
    <w:p w:rsidR="006D47C0" w:rsidRPr="00EE5722" w:rsidRDefault="003E1842" w:rsidP="00172143">
      <w:pPr>
        <w:spacing w:line="360" w:lineRule="auto"/>
        <w:rPr>
          <w:sz w:val="26"/>
          <w:szCs w:val="26"/>
        </w:rPr>
      </w:pPr>
      <w:r>
        <w:rPr>
          <w:sz w:val="26"/>
          <w:szCs w:val="26"/>
        </w:rPr>
        <w:tab/>
      </w:r>
    </w:p>
    <w:p w:rsidR="006D47C0" w:rsidRPr="00EE5722" w:rsidRDefault="006D47C0" w:rsidP="00584C88">
      <w:pPr>
        <w:pStyle w:val="Heading4"/>
        <w:numPr>
          <w:ilvl w:val="0"/>
          <w:numId w:val="0"/>
        </w:numPr>
        <w:ind w:left="2880" w:hanging="720"/>
      </w:pPr>
      <w:bookmarkStart w:id="204" w:name="_Toc346705446"/>
      <w:r w:rsidRPr="00EE5722">
        <w:t>c.</w:t>
      </w:r>
      <w:r w:rsidRPr="00EE5722">
        <w:tab/>
      </w:r>
      <w:r w:rsidR="00293139">
        <w:t>AL</w:t>
      </w:r>
      <w:r w:rsidR="00172143">
        <w:t>J’s Recommendation</w:t>
      </w:r>
      <w:bookmarkEnd w:id="204"/>
      <w:r w:rsidR="00172143">
        <w:t xml:space="preserve"> </w:t>
      </w:r>
    </w:p>
    <w:p w:rsidR="006D47C0" w:rsidRPr="00EE5722" w:rsidRDefault="006D47C0" w:rsidP="006D47C0">
      <w:pPr>
        <w:pStyle w:val="BodyText"/>
        <w:spacing w:after="0" w:line="360" w:lineRule="auto"/>
        <w:ind w:left="0" w:firstLine="0"/>
        <w:rPr>
          <w:sz w:val="26"/>
          <w:szCs w:val="26"/>
        </w:rPr>
      </w:pPr>
    </w:p>
    <w:p w:rsidR="00293139" w:rsidRPr="00EE5722" w:rsidRDefault="003E1842" w:rsidP="00256930">
      <w:pPr>
        <w:spacing w:line="360" w:lineRule="auto"/>
        <w:ind w:firstLine="1440"/>
        <w:rPr>
          <w:sz w:val="26"/>
          <w:szCs w:val="26"/>
        </w:rPr>
      </w:pPr>
      <w:r>
        <w:rPr>
          <w:color w:val="000000" w:themeColor="text1"/>
          <w:sz w:val="26"/>
          <w:szCs w:val="26"/>
        </w:rPr>
        <w:t xml:space="preserve">The ALJ </w:t>
      </w:r>
      <w:r w:rsidRPr="00EE5722">
        <w:rPr>
          <w:color w:val="000000" w:themeColor="text1"/>
          <w:sz w:val="26"/>
          <w:szCs w:val="26"/>
        </w:rPr>
        <w:t>re</w:t>
      </w:r>
      <w:r>
        <w:rPr>
          <w:color w:val="000000" w:themeColor="text1"/>
          <w:sz w:val="26"/>
          <w:szCs w:val="26"/>
        </w:rPr>
        <w:t>commended approving Duquesne</w:t>
      </w:r>
      <w:r w:rsidRPr="00EE5722">
        <w:rPr>
          <w:color w:val="000000" w:themeColor="text1"/>
          <w:sz w:val="26"/>
          <w:szCs w:val="26"/>
        </w:rPr>
        <w:t>’s proposal that</w:t>
      </w:r>
      <w:r>
        <w:rPr>
          <w:color w:val="000000" w:themeColor="text1"/>
          <w:sz w:val="26"/>
          <w:szCs w:val="26"/>
        </w:rPr>
        <w:t xml:space="preserve">, at the end of the term of </w:t>
      </w:r>
      <w:r w:rsidR="00B825D5">
        <w:rPr>
          <w:color w:val="000000" w:themeColor="text1"/>
          <w:sz w:val="26"/>
          <w:szCs w:val="26"/>
        </w:rPr>
        <w:t xml:space="preserve">both of </w:t>
      </w:r>
      <w:r>
        <w:rPr>
          <w:color w:val="000000" w:themeColor="text1"/>
          <w:sz w:val="26"/>
          <w:szCs w:val="26"/>
        </w:rPr>
        <w:t>the RME Programs,</w:t>
      </w:r>
      <w:r w:rsidRPr="00EE5722">
        <w:rPr>
          <w:color w:val="000000" w:themeColor="text1"/>
          <w:sz w:val="26"/>
          <w:szCs w:val="26"/>
        </w:rPr>
        <w:t xml:space="preserve"> customers should remain with the EGS on a month-to-month contract unless the customer makes an affirmative choice to select another EGS or </w:t>
      </w:r>
      <w:r>
        <w:rPr>
          <w:color w:val="000000" w:themeColor="text1"/>
          <w:sz w:val="26"/>
          <w:szCs w:val="26"/>
        </w:rPr>
        <w:t>to return to default service.  The ALJ stated that t</w:t>
      </w:r>
      <w:r w:rsidRPr="00EE5722">
        <w:rPr>
          <w:color w:val="000000" w:themeColor="text1"/>
          <w:sz w:val="26"/>
          <w:szCs w:val="26"/>
        </w:rPr>
        <w:t xml:space="preserve">his proposal is consistent </w:t>
      </w:r>
      <w:r>
        <w:rPr>
          <w:color w:val="000000" w:themeColor="text1"/>
          <w:sz w:val="26"/>
          <w:szCs w:val="26"/>
        </w:rPr>
        <w:t>with prior Commission action, and reasoned that a customer who wa</w:t>
      </w:r>
      <w:r w:rsidRPr="00EE5722">
        <w:rPr>
          <w:color w:val="000000" w:themeColor="text1"/>
          <w:sz w:val="26"/>
          <w:szCs w:val="26"/>
        </w:rPr>
        <w:t xml:space="preserve">s sophisticated enough to shop </w:t>
      </w:r>
      <w:r>
        <w:rPr>
          <w:color w:val="000000" w:themeColor="text1"/>
          <w:sz w:val="26"/>
          <w:szCs w:val="26"/>
        </w:rPr>
        <w:t xml:space="preserve">will be familiar with the concept that </w:t>
      </w:r>
      <w:r w:rsidRPr="00EE5722">
        <w:rPr>
          <w:color w:val="000000" w:themeColor="text1"/>
          <w:sz w:val="26"/>
          <w:szCs w:val="26"/>
        </w:rPr>
        <w:t>the EGS will remain the same until</w:t>
      </w:r>
      <w:r>
        <w:rPr>
          <w:color w:val="000000" w:themeColor="text1"/>
          <w:sz w:val="26"/>
          <w:szCs w:val="26"/>
        </w:rPr>
        <w:t xml:space="preserve"> such time as the consumer opts-</w:t>
      </w:r>
      <w:r w:rsidRPr="00EE5722">
        <w:rPr>
          <w:color w:val="000000" w:themeColor="text1"/>
          <w:sz w:val="26"/>
          <w:szCs w:val="26"/>
        </w:rPr>
        <w:t xml:space="preserve">out.  </w:t>
      </w:r>
      <w:r w:rsidR="00256930">
        <w:rPr>
          <w:color w:val="000000" w:themeColor="text1"/>
          <w:sz w:val="26"/>
          <w:szCs w:val="26"/>
        </w:rPr>
        <w:t>According to the ALJ, t</w:t>
      </w:r>
      <w:r w:rsidRPr="00EE5722">
        <w:rPr>
          <w:color w:val="000000" w:themeColor="text1"/>
          <w:sz w:val="26"/>
          <w:szCs w:val="26"/>
        </w:rPr>
        <w:t>he opt-out could be to default service or to another EGS but the consumer is in the best position to know which product is best for him or her.</w:t>
      </w:r>
      <w:r w:rsidR="00172143">
        <w:rPr>
          <w:color w:val="000000" w:themeColor="text1"/>
          <w:sz w:val="26"/>
          <w:szCs w:val="26"/>
        </w:rPr>
        <w:t xml:space="preserve">  R.D. at 172.</w:t>
      </w:r>
      <w:r w:rsidR="006D47C0" w:rsidRPr="00EE5722">
        <w:rPr>
          <w:sz w:val="26"/>
          <w:szCs w:val="26"/>
        </w:rPr>
        <w:tab/>
      </w:r>
    </w:p>
    <w:p w:rsidR="006D47C0" w:rsidRPr="00EE5722" w:rsidRDefault="006D47C0" w:rsidP="00256930">
      <w:pPr>
        <w:pStyle w:val="BodyText"/>
        <w:spacing w:after="0" w:line="360" w:lineRule="auto"/>
        <w:ind w:left="0" w:firstLine="0"/>
        <w:rPr>
          <w:sz w:val="26"/>
          <w:szCs w:val="26"/>
        </w:rPr>
      </w:pPr>
    </w:p>
    <w:p w:rsidR="006D47C0" w:rsidRPr="00EE5722" w:rsidRDefault="003E1842" w:rsidP="00584C88">
      <w:pPr>
        <w:pStyle w:val="Heading4"/>
        <w:numPr>
          <w:ilvl w:val="0"/>
          <w:numId w:val="0"/>
        </w:numPr>
        <w:ind w:left="2880" w:hanging="720"/>
      </w:pPr>
      <w:bookmarkStart w:id="205" w:name="_Toc346705447"/>
      <w:r>
        <w:t>d.</w:t>
      </w:r>
      <w:r>
        <w:tab/>
        <w:t>Exceptions and Reply Exceptions</w:t>
      </w:r>
      <w:bookmarkEnd w:id="205"/>
    </w:p>
    <w:p w:rsidR="006D47C0" w:rsidRPr="00EE5722" w:rsidRDefault="006D47C0" w:rsidP="00B825D5">
      <w:pPr>
        <w:pStyle w:val="BodyText"/>
        <w:spacing w:after="0" w:line="360" w:lineRule="auto"/>
        <w:ind w:left="0" w:firstLine="0"/>
        <w:rPr>
          <w:sz w:val="26"/>
          <w:szCs w:val="26"/>
        </w:rPr>
      </w:pPr>
    </w:p>
    <w:p w:rsidR="00A31287" w:rsidRDefault="003E1842" w:rsidP="00256930">
      <w:pPr>
        <w:pStyle w:val="BodyText2"/>
        <w:spacing w:after="0" w:line="360" w:lineRule="auto"/>
        <w:ind w:firstLine="1440"/>
        <w:rPr>
          <w:sz w:val="26"/>
          <w:szCs w:val="26"/>
        </w:rPr>
      </w:pPr>
      <w:r>
        <w:rPr>
          <w:sz w:val="26"/>
          <w:szCs w:val="26"/>
        </w:rPr>
        <w:t>No Party filed an Exception to the ALJ’s recommendation to adopt Duquesne’s proposal.</w:t>
      </w:r>
      <w:r w:rsidR="00B825D5">
        <w:rPr>
          <w:sz w:val="26"/>
          <w:szCs w:val="26"/>
        </w:rPr>
        <w:t xml:space="preserve">  </w:t>
      </w:r>
    </w:p>
    <w:p w:rsidR="00256930" w:rsidRPr="003E1842" w:rsidRDefault="00256930" w:rsidP="00256930">
      <w:pPr>
        <w:pStyle w:val="BodyText2"/>
        <w:spacing w:after="0" w:line="360" w:lineRule="auto"/>
        <w:ind w:firstLine="1440"/>
        <w:rPr>
          <w:sz w:val="26"/>
          <w:szCs w:val="26"/>
        </w:rPr>
      </w:pPr>
    </w:p>
    <w:p w:rsidR="006D47C0" w:rsidRDefault="003E1842" w:rsidP="00584C88">
      <w:pPr>
        <w:pStyle w:val="Heading4"/>
        <w:numPr>
          <w:ilvl w:val="0"/>
          <w:numId w:val="0"/>
        </w:numPr>
        <w:ind w:left="2880" w:hanging="720"/>
      </w:pPr>
      <w:bookmarkStart w:id="206" w:name="_Toc346705448"/>
      <w:r>
        <w:t>e.</w:t>
      </w:r>
      <w:r>
        <w:tab/>
        <w:t>Disposition</w:t>
      </w:r>
      <w:bookmarkEnd w:id="206"/>
    </w:p>
    <w:p w:rsidR="00F226F6" w:rsidRDefault="00F226F6" w:rsidP="00256930">
      <w:pPr>
        <w:pStyle w:val="BriefL3"/>
        <w:numPr>
          <w:ilvl w:val="0"/>
          <w:numId w:val="0"/>
        </w:numPr>
        <w:spacing w:after="0" w:line="360" w:lineRule="auto"/>
        <w:ind w:left="2160"/>
        <w:rPr>
          <w:b/>
          <w:sz w:val="26"/>
          <w:szCs w:val="26"/>
        </w:rPr>
      </w:pPr>
    </w:p>
    <w:p w:rsidR="006D47C0" w:rsidRPr="00B825D5" w:rsidRDefault="003E1842" w:rsidP="00256930">
      <w:pPr>
        <w:pStyle w:val="BriefL3"/>
        <w:numPr>
          <w:ilvl w:val="0"/>
          <w:numId w:val="0"/>
        </w:numPr>
        <w:spacing w:after="0" w:line="360" w:lineRule="auto"/>
        <w:ind w:firstLine="1440"/>
        <w:rPr>
          <w:sz w:val="26"/>
          <w:szCs w:val="26"/>
        </w:rPr>
      </w:pPr>
      <w:r>
        <w:rPr>
          <w:sz w:val="26"/>
          <w:szCs w:val="26"/>
        </w:rPr>
        <w:t>We shall adopt the ALJ’s recommendation on this issue.</w:t>
      </w:r>
      <w:r w:rsidR="00B825D5" w:rsidRPr="00B825D5">
        <w:rPr>
          <w:sz w:val="26"/>
          <w:szCs w:val="26"/>
        </w:rPr>
        <w:t xml:space="preserve"> </w:t>
      </w:r>
      <w:r w:rsidR="00B825D5">
        <w:rPr>
          <w:sz w:val="26"/>
          <w:szCs w:val="26"/>
        </w:rPr>
        <w:t xml:space="preserve">As we determined in the PECO DSP proceeding, there is no reason to treat an Opt-In customer differently than any other customer whose contract with an EGS is about to expire.  </w:t>
      </w:r>
      <w:r w:rsidR="00B825D5" w:rsidRPr="00B825D5">
        <w:rPr>
          <w:i/>
          <w:sz w:val="26"/>
          <w:szCs w:val="26"/>
        </w:rPr>
        <w:t xml:space="preserve">PECO DSP </w:t>
      </w:r>
      <w:r w:rsidR="00B825D5" w:rsidRPr="00B825D5">
        <w:rPr>
          <w:i/>
          <w:sz w:val="26"/>
          <w:szCs w:val="26"/>
        </w:rPr>
        <w:lastRenderedPageBreak/>
        <w:t>Order</w:t>
      </w:r>
      <w:r w:rsidR="00B825D5">
        <w:rPr>
          <w:sz w:val="26"/>
          <w:szCs w:val="26"/>
        </w:rPr>
        <w:t xml:space="preserve"> at 100.  We believe that the same reasoning applie</w:t>
      </w:r>
      <w:r w:rsidR="001D0068">
        <w:rPr>
          <w:sz w:val="26"/>
          <w:szCs w:val="26"/>
        </w:rPr>
        <w:t>s</w:t>
      </w:r>
      <w:r w:rsidR="00B825D5">
        <w:rPr>
          <w:sz w:val="26"/>
          <w:szCs w:val="26"/>
        </w:rPr>
        <w:t xml:space="preserve"> to customers who elect to enroll in the SO Program.</w:t>
      </w:r>
    </w:p>
    <w:p w:rsidR="006D47C0" w:rsidRPr="00EE5722" w:rsidRDefault="006D47C0" w:rsidP="00256930">
      <w:pPr>
        <w:pStyle w:val="BodyText"/>
        <w:spacing w:after="0" w:line="360" w:lineRule="auto"/>
        <w:ind w:left="0" w:firstLine="0"/>
        <w:rPr>
          <w:sz w:val="26"/>
          <w:szCs w:val="26"/>
        </w:rPr>
      </w:pPr>
    </w:p>
    <w:p w:rsidR="006D47C0" w:rsidRPr="00EE5722" w:rsidRDefault="00015290" w:rsidP="00584C88">
      <w:pPr>
        <w:pStyle w:val="Heading3"/>
      </w:pPr>
      <w:bookmarkStart w:id="207" w:name="_Toc346705449"/>
      <w:r>
        <w:t>8.</w:t>
      </w:r>
      <w:r>
        <w:tab/>
      </w:r>
      <w:r w:rsidR="00395596">
        <w:t>RESA’s Proposed Su</w:t>
      </w:r>
      <w:r>
        <w:t>rcharge on Default Service</w:t>
      </w:r>
      <w:bookmarkEnd w:id="207"/>
      <w:r w:rsidR="006D47C0" w:rsidRPr="00EE5722">
        <w:t xml:space="preserve"> </w:t>
      </w:r>
    </w:p>
    <w:p w:rsidR="00DF3A33" w:rsidRPr="00EE5722" w:rsidRDefault="00DF3A33" w:rsidP="006D47C0">
      <w:pPr>
        <w:pStyle w:val="BriefL3"/>
        <w:numPr>
          <w:ilvl w:val="0"/>
          <w:numId w:val="0"/>
        </w:numPr>
        <w:spacing w:after="0" w:line="360" w:lineRule="auto"/>
        <w:outlineLvl w:val="9"/>
        <w:rPr>
          <w:b/>
          <w:sz w:val="26"/>
          <w:szCs w:val="26"/>
        </w:rPr>
      </w:pPr>
    </w:p>
    <w:p w:rsidR="006D47C0" w:rsidRPr="00EE5722" w:rsidRDefault="00015290" w:rsidP="00584C88">
      <w:pPr>
        <w:pStyle w:val="Heading4"/>
        <w:numPr>
          <w:ilvl w:val="0"/>
          <w:numId w:val="0"/>
        </w:numPr>
        <w:ind w:left="2880" w:hanging="720"/>
      </w:pPr>
      <w:bookmarkStart w:id="208" w:name="_Toc346705450"/>
      <w:r>
        <w:t>a.</w:t>
      </w:r>
      <w:r>
        <w:tab/>
        <w:t>Positions of the Parties</w:t>
      </w:r>
      <w:bookmarkEnd w:id="208"/>
    </w:p>
    <w:p w:rsidR="00395596" w:rsidRDefault="00395596" w:rsidP="00395596">
      <w:pPr>
        <w:spacing w:line="360" w:lineRule="auto"/>
        <w:ind w:firstLine="720"/>
        <w:rPr>
          <w:sz w:val="26"/>
          <w:szCs w:val="26"/>
        </w:rPr>
      </w:pPr>
    </w:p>
    <w:p w:rsidR="00395596" w:rsidRPr="00EE5722" w:rsidRDefault="00395596" w:rsidP="00256930">
      <w:pPr>
        <w:spacing w:line="360" w:lineRule="auto"/>
        <w:ind w:firstLine="1440"/>
        <w:rPr>
          <w:sz w:val="26"/>
          <w:szCs w:val="26"/>
        </w:rPr>
      </w:pPr>
      <w:r w:rsidRPr="00EE5722">
        <w:rPr>
          <w:sz w:val="26"/>
          <w:szCs w:val="26"/>
        </w:rPr>
        <w:t>RESA re</w:t>
      </w:r>
      <w:r>
        <w:rPr>
          <w:sz w:val="26"/>
          <w:szCs w:val="26"/>
        </w:rPr>
        <w:t xml:space="preserve">commended a new surcharge on default service, based on the </w:t>
      </w:r>
      <w:r w:rsidRPr="00EE5722">
        <w:rPr>
          <w:sz w:val="26"/>
          <w:szCs w:val="26"/>
        </w:rPr>
        <w:t>uncertainty in estim</w:t>
      </w:r>
      <w:r w:rsidR="00261BFA">
        <w:rPr>
          <w:sz w:val="26"/>
          <w:szCs w:val="26"/>
        </w:rPr>
        <w:t xml:space="preserve">ating the </w:t>
      </w:r>
      <w:r w:rsidRPr="00EE5722">
        <w:rPr>
          <w:sz w:val="26"/>
          <w:szCs w:val="26"/>
        </w:rPr>
        <w:t xml:space="preserve">costs of providing default service </w:t>
      </w:r>
      <w:r w:rsidR="00771A65">
        <w:rPr>
          <w:sz w:val="26"/>
          <w:szCs w:val="26"/>
        </w:rPr>
        <w:t>and</w:t>
      </w:r>
      <w:r w:rsidRPr="00EE5722">
        <w:rPr>
          <w:sz w:val="26"/>
          <w:szCs w:val="26"/>
        </w:rPr>
        <w:t xml:space="preserve"> implementing </w:t>
      </w:r>
      <w:r w:rsidR="00015290">
        <w:rPr>
          <w:sz w:val="26"/>
          <w:szCs w:val="26"/>
        </w:rPr>
        <w:t>the RME Programs</w:t>
      </w:r>
      <w:r w:rsidRPr="00EE5722">
        <w:rPr>
          <w:sz w:val="26"/>
          <w:szCs w:val="26"/>
        </w:rPr>
        <w:t>.</w:t>
      </w:r>
      <w:r w:rsidR="00261BFA">
        <w:rPr>
          <w:sz w:val="26"/>
          <w:szCs w:val="26"/>
        </w:rPr>
        <w:t xml:space="preserve"> </w:t>
      </w:r>
      <w:r w:rsidR="00015290">
        <w:rPr>
          <w:sz w:val="26"/>
          <w:szCs w:val="26"/>
        </w:rPr>
        <w:t xml:space="preserve"> RESA St. </w:t>
      </w:r>
      <w:r w:rsidR="00015290" w:rsidRPr="00326326">
        <w:rPr>
          <w:sz w:val="26"/>
          <w:szCs w:val="26"/>
        </w:rPr>
        <w:t xml:space="preserve">2 </w:t>
      </w:r>
      <w:r w:rsidR="00337A30">
        <w:rPr>
          <w:sz w:val="26"/>
          <w:szCs w:val="26"/>
        </w:rPr>
        <w:t>at 25</w:t>
      </w:r>
      <w:r w:rsidR="00015290" w:rsidRPr="00326326">
        <w:rPr>
          <w:sz w:val="26"/>
          <w:szCs w:val="26"/>
        </w:rPr>
        <w:t>-29.</w:t>
      </w:r>
      <w:r w:rsidR="00261BFA">
        <w:rPr>
          <w:sz w:val="26"/>
          <w:szCs w:val="26"/>
        </w:rPr>
        <w:t xml:space="preserve"> </w:t>
      </w:r>
      <w:r w:rsidR="00015290">
        <w:rPr>
          <w:sz w:val="26"/>
          <w:szCs w:val="26"/>
        </w:rPr>
        <w:t xml:space="preserve"> </w:t>
      </w:r>
      <w:r w:rsidR="00261BFA">
        <w:rPr>
          <w:sz w:val="26"/>
          <w:szCs w:val="26"/>
        </w:rPr>
        <w:t>RESA recommended</w:t>
      </w:r>
      <w:r w:rsidR="00256930">
        <w:rPr>
          <w:sz w:val="26"/>
          <w:szCs w:val="26"/>
        </w:rPr>
        <w:t xml:space="preserve"> an initial surcharge of five</w:t>
      </w:r>
      <w:r w:rsidR="00015290">
        <w:rPr>
          <w:sz w:val="26"/>
          <w:szCs w:val="26"/>
        </w:rPr>
        <w:t xml:space="preserve"> mils per </w:t>
      </w:r>
      <w:r w:rsidRPr="00EE5722">
        <w:rPr>
          <w:sz w:val="26"/>
          <w:szCs w:val="26"/>
        </w:rPr>
        <w:t>kWh</w:t>
      </w:r>
      <w:r w:rsidR="00015290">
        <w:rPr>
          <w:sz w:val="26"/>
          <w:szCs w:val="26"/>
        </w:rPr>
        <w:t xml:space="preserve"> ($5 per MWh)</w:t>
      </w:r>
      <w:r w:rsidR="00261BFA">
        <w:rPr>
          <w:sz w:val="26"/>
          <w:szCs w:val="26"/>
        </w:rPr>
        <w:t>,</w:t>
      </w:r>
      <w:r w:rsidRPr="00EE5722">
        <w:rPr>
          <w:sz w:val="26"/>
          <w:szCs w:val="26"/>
        </w:rPr>
        <w:t xml:space="preserve"> with the proceeds to be used as follows:</w:t>
      </w:r>
    </w:p>
    <w:p w:rsidR="00395596" w:rsidRPr="00EE5722" w:rsidRDefault="00395596" w:rsidP="00256930">
      <w:pPr>
        <w:spacing w:line="360" w:lineRule="auto"/>
        <w:ind w:firstLine="720"/>
        <w:rPr>
          <w:sz w:val="26"/>
          <w:szCs w:val="26"/>
        </w:rPr>
      </w:pPr>
    </w:p>
    <w:p w:rsidR="00395596" w:rsidRPr="00EE5722" w:rsidRDefault="00395596" w:rsidP="009A739B">
      <w:pPr>
        <w:numPr>
          <w:ilvl w:val="0"/>
          <w:numId w:val="10"/>
        </w:numPr>
        <w:autoSpaceDE/>
        <w:autoSpaceDN/>
        <w:spacing w:after="240"/>
        <w:rPr>
          <w:sz w:val="26"/>
          <w:szCs w:val="26"/>
        </w:rPr>
      </w:pPr>
      <w:r w:rsidRPr="00EE5722">
        <w:rPr>
          <w:sz w:val="26"/>
          <w:szCs w:val="26"/>
        </w:rPr>
        <w:t>Payment of any verifiable costs related to providing default service that have otherwi</w:t>
      </w:r>
      <w:r w:rsidR="00015290">
        <w:rPr>
          <w:sz w:val="26"/>
          <w:szCs w:val="26"/>
        </w:rPr>
        <w:t>se not been collected by Duquesne</w:t>
      </w:r>
      <w:r w:rsidRPr="00EE5722">
        <w:rPr>
          <w:sz w:val="26"/>
          <w:szCs w:val="26"/>
        </w:rPr>
        <w:t>;</w:t>
      </w:r>
    </w:p>
    <w:p w:rsidR="00395596" w:rsidRPr="00EE5722" w:rsidRDefault="00395596" w:rsidP="009A739B">
      <w:pPr>
        <w:numPr>
          <w:ilvl w:val="0"/>
          <w:numId w:val="10"/>
        </w:numPr>
        <w:autoSpaceDE/>
        <w:autoSpaceDN/>
        <w:spacing w:after="240"/>
        <w:rPr>
          <w:sz w:val="26"/>
          <w:szCs w:val="26"/>
        </w:rPr>
      </w:pPr>
      <w:r w:rsidRPr="00EE5722">
        <w:rPr>
          <w:sz w:val="26"/>
          <w:szCs w:val="26"/>
        </w:rPr>
        <w:t>Payment of costs related to implementing and maintaining competitive market enhance</w:t>
      </w:r>
      <w:r w:rsidR="00015290">
        <w:rPr>
          <w:sz w:val="26"/>
          <w:szCs w:val="26"/>
        </w:rPr>
        <w:t>ments, such as the Opt-In and SO Programs</w:t>
      </w:r>
      <w:r w:rsidRPr="00EE5722">
        <w:rPr>
          <w:sz w:val="26"/>
          <w:szCs w:val="26"/>
        </w:rPr>
        <w:t>; and,</w:t>
      </w:r>
    </w:p>
    <w:p w:rsidR="00395596" w:rsidRPr="00EE5722" w:rsidRDefault="00395596" w:rsidP="009A739B">
      <w:pPr>
        <w:numPr>
          <w:ilvl w:val="0"/>
          <w:numId w:val="11"/>
        </w:numPr>
        <w:autoSpaceDE/>
        <w:autoSpaceDN/>
        <w:rPr>
          <w:sz w:val="26"/>
          <w:szCs w:val="26"/>
        </w:rPr>
      </w:pPr>
      <w:r w:rsidRPr="00EE5722">
        <w:rPr>
          <w:sz w:val="26"/>
          <w:szCs w:val="26"/>
        </w:rPr>
        <w:t>Any balance remaining being carried forward up to some amount, with the remainder returned to all distribution customers.</w:t>
      </w:r>
    </w:p>
    <w:p w:rsidR="00395596" w:rsidRPr="00EE5722" w:rsidRDefault="00395596" w:rsidP="00256930">
      <w:pPr>
        <w:spacing w:line="360" w:lineRule="auto"/>
        <w:ind w:left="1080"/>
        <w:rPr>
          <w:sz w:val="26"/>
          <w:szCs w:val="26"/>
        </w:rPr>
      </w:pPr>
    </w:p>
    <w:p w:rsidR="00395596" w:rsidRPr="00EE5722" w:rsidRDefault="00261BFA" w:rsidP="00015290">
      <w:pPr>
        <w:spacing w:line="360" w:lineRule="auto"/>
        <w:ind w:firstLine="720"/>
        <w:rPr>
          <w:sz w:val="26"/>
          <w:szCs w:val="26"/>
        </w:rPr>
      </w:pPr>
      <w:r>
        <w:rPr>
          <w:sz w:val="26"/>
          <w:szCs w:val="26"/>
        </w:rPr>
        <w:tab/>
        <w:t>RESA argued</w:t>
      </w:r>
      <w:r w:rsidR="00395596" w:rsidRPr="00EE5722">
        <w:rPr>
          <w:sz w:val="26"/>
          <w:szCs w:val="26"/>
        </w:rPr>
        <w:t xml:space="preserve"> th</w:t>
      </w:r>
      <w:r w:rsidR="00015290">
        <w:rPr>
          <w:sz w:val="26"/>
          <w:szCs w:val="26"/>
        </w:rPr>
        <w:t>at, because the costs of RME Programs are incurred on behalf of default service customers, default service custome</w:t>
      </w:r>
      <w:r w:rsidR="00337A30">
        <w:rPr>
          <w:sz w:val="26"/>
          <w:szCs w:val="26"/>
        </w:rPr>
        <w:t>r</w:t>
      </w:r>
      <w:r w:rsidR="00015290">
        <w:rPr>
          <w:sz w:val="26"/>
          <w:szCs w:val="26"/>
        </w:rPr>
        <w:t xml:space="preserve">s should pay </w:t>
      </w:r>
      <w:r w:rsidR="00395596" w:rsidRPr="00EE5722">
        <w:rPr>
          <w:sz w:val="26"/>
          <w:szCs w:val="26"/>
        </w:rPr>
        <w:t>the costs</w:t>
      </w:r>
      <w:r w:rsidR="00337A30">
        <w:rPr>
          <w:sz w:val="26"/>
          <w:szCs w:val="26"/>
        </w:rPr>
        <w:t xml:space="preserve"> of the RME Programs,</w:t>
      </w:r>
      <w:r w:rsidR="00395596" w:rsidRPr="00EE5722">
        <w:rPr>
          <w:sz w:val="26"/>
          <w:szCs w:val="26"/>
        </w:rPr>
        <w:t xml:space="preserve"> with the remainder credited to all distribution</w:t>
      </w:r>
      <w:r w:rsidR="00015290">
        <w:rPr>
          <w:sz w:val="26"/>
          <w:szCs w:val="26"/>
        </w:rPr>
        <w:t xml:space="preserve"> customers</w:t>
      </w:r>
      <w:r w:rsidR="00337A30">
        <w:rPr>
          <w:sz w:val="26"/>
          <w:szCs w:val="26"/>
        </w:rPr>
        <w:t xml:space="preserve"> in furtherance of the goal of moving</w:t>
      </w:r>
      <w:r w:rsidR="00395596" w:rsidRPr="00EE5722">
        <w:rPr>
          <w:sz w:val="26"/>
          <w:szCs w:val="26"/>
        </w:rPr>
        <w:t xml:space="preserve"> default service customers into the competitive market.</w:t>
      </w:r>
      <w:r w:rsidR="00337A30">
        <w:rPr>
          <w:sz w:val="26"/>
          <w:szCs w:val="26"/>
        </w:rPr>
        <w:t xml:space="preserve"> </w:t>
      </w:r>
    </w:p>
    <w:p w:rsidR="00395596" w:rsidRPr="00EE5722" w:rsidRDefault="00395596" w:rsidP="00395596">
      <w:pPr>
        <w:spacing w:line="360" w:lineRule="auto"/>
        <w:ind w:firstLine="720"/>
        <w:rPr>
          <w:sz w:val="26"/>
          <w:szCs w:val="26"/>
        </w:rPr>
      </w:pPr>
    </w:p>
    <w:p w:rsidR="006D47C0" w:rsidRDefault="00337A30" w:rsidP="00337A30">
      <w:pPr>
        <w:spacing w:line="360" w:lineRule="auto"/>
        <w:ind w:firstLine="720"/>
        <w:rPr>
          <w:sz w:val="26"/>
          <w:szCs w:val="26"/>
        </w:rPr>
      </w:pPr>
      <w:r>
        <w:rPr>
          <w:sz w:val="26"/>
          <w:szCs w:val="26"/>
        </w:rPr>
        <w:tab/>
        <w:t>RESA alleged that</w:t>
      </w:r>
      <w:r w:rsidR="00395596" w:rsidRPr="00EE5722">
        <w:rPr>
          <w:sz w:val="26"/>
          <w:szCs w:val="26"/>
        </w:rPr>
        <w:t xml:space="preserve"> </w:t>
      </w:r>
      <w:r>
        <w:rPr>
          <w:sz w:val="26"/>
          <w:szCs w:val="26"/>
        </w:rPr>
        <w:t xml:space="preserve">shopping customers are </w:t>
      </w:r>
      <w:r w:rsidR="00395596" w:rsidRPr="00EE5722">
        <w:rPr>
          <w:sz w:val="26"/>
          <w:szCs w:val="26"/>
        </w:rPr>
        <w:t>sub</w:t>
      </w:r>
      <w:r>
        <w:rPr>
          <w:sz w:val="26"/>
          <w:szCs w:val="26"/>
        </w:rPr>
        <w:t xml:space="preserve">sidizing non-shopping customers </w:t>
      </w:r>
      <w:r w:rsidR="00395596" w:rsidRPr="00EE5722">
        <w:rPr>
          <w:sz w:val="26"/>
          <w:szCs w:val="26"/>
        </w:rPr>
        <w:t>in Pennsylvania’s bundl</w:t>
      </w:r>
      <w:r>
        <w:rPr>
          <w:sz w:val="26"/>
          <w:szCs w:val="26"/>
        </w:rPr>
        <w:t>ed electricity market.   RESA asserted that the proposed sur</w:t>
      </w:r>
      <w:r w:rsidR="00395596" w:rsidRPr="00EE5722">
        <w:rPr>
          <w:sz w:val="26"/>
          <w:szCs w:val="26"/>
        </w:rPr>
        <w:t xml:space="preserve">charge </w:t>
      </w:r>
      <w:r>
        <w:rPr>
          <w:sz w:val="26"/>
          <w:szCs w:val="26"/>
        </w:rPr>
        <w:t>would operate</w:t>
      </w:r>
      <w:r w:rsidR="00395596" w:rsidRPr="00EE5722">
        <w:rPr>
          <w:sz w:val="26"/>
          <w:szCs w:val="26"/>
        </w:rPr>
        <w:t xml:space="preserve"> as a pro</w:t>
      </w:r>
      <w:r w:rsidR="00261BFA">
        <w:rPr>
          <w:sz w:val="26"/>
          <w:szCs w:val="26"/>
        </w:rPr>
        <w:t>xy for those costs to eliminate</w:t>
      </w:r>
      <w:r w:rsidR="00395596" w:rsidRPr="00EE5722">
        <w:rPr>
          <w:sz w:val="26"/>
          <w:szCs w:val="26"/>
        </w:rPr>
        <w:t xml:space="preserve"> the current subsidization of default service rates.  </w:t>
      </w:r>
    </w:p>
    <w:p w:rsidR="00337A30" w:rsidRPr="00EE5722" w:rsidRDefault="00337A30" w:rsidP="00337A30">
      <w:pPr>
        <w:spacing w:line="360" w:lineRule="auto"/>
        <w:ind w:firstLine="720"/>
        <w:rPr>
          <w:sz w:val="26"/>
          <w:szCs w:val="26"/>
        </w:rPr>
      </w:pPr>
    </w:p>
    <w:p w:rsidR="006D47C0" w:rsidRPr="00337A30" w:rsidRDefault="006D47C0" w:rsidP="00256930">
      <w:pPr>
        <w:pStyle w:val="BodyText"/>
        <w:spacing w:after="0" w:line="360" w:lineRule="auto"/>
        <w:ind w:left="0" w:firstLine="0"/>
        <w:rPr>
          <w:sz w:val="26"/>
          <w:szCs w:val="26"/>
        </w:rPr>
      </w:pPr>
      <w:r w:rsidRPr="00EE5722">
        <w:rPr>
          <w:sz w:val="26"/>
          <w:szCs w:val="26"/>
        </w:rPr>
        <w:tab/>
      </w:r>
      <w:r w:rsidRPr="00EE5722">
        <w:rPr>
          <w:sz w:val="26"/>
          <w:szCs w:val="26"/>
        </w:rPr>
        <w:tab/>
      </w:r>
      <w:r w:rsidR="00261BFA">
        <w:rPr>
          <w:sz w:val="26"/>
          <w:szCs w:val="26"/>
        </w:rPr>
        <w:t xml:space="preserve">The </w:t>
      </w:r>
      <w:r w:rsidRPr="00EE5722">
        <w:rPr>
          <w:sz w:val="26"/>
          <w:szCs w:val="26"/>
        </w:rPr>
        <w:t>OC</w:t>
      </w:r>
      <w:r w:rsidR="00261BFA">
        <w:rPr>
          <w:sz w:val="26"/>
          <w:szCs w:val="26"/>
        </w:rPr>
        <w:t>A opposed</w:t>
      </w:r>
      <w:r w:rsidR="00337A30">
        <w:rPr>
          <w:sz w:val="26"/>
          <w:szCs w:val="26"/>
        </w:rPr>
        <w:t xml:space="preserve"> RESA’s proposed surcharge on</w:t>
      </w:r>
      <w:r w:rsidR="00261BFA">
        <w:rPr>
          <w:sz w:val="26"/>
          <w:szCs w:val="26"/>
        </w:rPr>
        <w:t xml:space="preserve"> default service r</w:t>
      </w:r>
      <w:r w:rsidRPr="00EE5722">
        <w:rPr>
          <w:sz w:val="26"/>
          <w:szCs w:val="26"/>
        </w:rPr>
        <w:t xml:space="preserve">ates.  </w:t>
      </w:r>
      <w:r w:rsidR="00261BFA">
        <w:rPr>
          <w:sz w:val="26"/>
          <w:szCs w:val="26"/>
        </w:rPr>
        <w:lastRenderedPageBreak/>
        <w:t xml:space="preserve">The </w:t>
      </w:r>
      <w:r w:rsidRPr="00EE5722">
        <w:rPr>
          <w:sz w:val="26"/>
          <w:szCs w:val="26"/>
        </w:rPr>
        <w:t>OCA calculated that, if this proposal were</w:t>
      </w:r>
      <w:r w:rsidR="00337A30">
        <w:rPr>
          <w:sz w:val="26"/>
          <w:szCs w:val="26"/>
        </w:rPr>
        <w:t xml:space="preserve"> implemented, Duquesne </w:t>
      </w:r>
      <w:r w:rsidRPr="00EE5722">
        <w:rPr>
          <w:sz w:val="26"/>
          <w:szCs w:val="26"/>
        </w:rPr>
        <w:t xml:space="preserve">would collect an additional $27 million from residential default service customers over the two-year </w:t>
      </w:r>
      <w:r w:rsidR="00337A30">
        <w:rPr>
          <w:sz w:val="26"/>
          <w:szCs w:val="26"/>
        </w:rPr>
        <w:t xml:space="preserve">DSP VI </w:t>
      </w:r>
      <w:r w:rsidRPr="00EE5722">
        <w:rPr>
          <w:sz w:val="26"/>
          <w:szCs w:val="26"/>
        </w:rPr>
        <w:t xml:space="preserve">period, resulting in an </w:t>
      </w:r>
      <w:r w:rsidR="00337A30">
        <w:rPr>
          <w:sz w:val="26"/>
          <w:szCs w:val="26"/>
        </w:rPr>
        <w:t xml:space="preserve">adder of </w:t>
      </w:r>
      <w:r w:rsidRPr="00EE5722">
        <w:rPr>
          <w:sz w:val="26"/>
          <w:szCs w:val="26"/>
        </w:rPr>
        <w:t xml:space="preserve">approximately </w:t>
      </w:r>
      <w:r w:rsidRPr="00337A30">
        <w:rPr>
          <w:sz w:val="26"/>
          <w:szCs w:val="26"/>
        </w:rPr>
        <w:t>$41 per year</w:t>
      </w:r>
      <w:r w:rsidRPr="00EE5722">
        <w:rPr>
          <w:sz w:val="26"/>
          <w:szCs w:val="26"/>
        </w:rPr>
        <w:t xml:space="preserve"> to the average residential customer bill.  In those two years, Duquesne </w:t>
      </w:r>
      <w:r w:rsidR="00261BFA">
        <w:rPr>
          <w:sz w:val="26"/>
          <w:szCs w:val="26"/>
        </w:rPr>
        <w:t xml:space="preserve">would </w:t>
      </w:r>
      <w:r w:rsidRPr="00EE5722">
        <w:rPr>
          <w:sz w:val="26"/>
          <w:szCs w:val="26"/>
        </w:rPr>
        <w:t>receive approximately $4 million i</w:t>
      </w:r>
      <w:r w:rsidR="00337A30">
        <w:rPr>
          <w:sz w:val="26"/>
          <w:szCs w:val="26"/>
        </w:rPr>
        <w:t>n excess of any costs incurred.</w:t>
      </w:r>
      <w:r w:rsidR="00337A30" w:rsidRPr="00337A30">
        <w:rPr>
          <w:sz w:val="26"/>
          <w:szCs w:val="26"/>
        </w:rPr>
        <w:t xml:space="preserve"> </w:t>
      </w:r>
      <w:r w:rsidR="00337A30">
        <w:rPr>
          <w:sz w:val="26"/>
          <w:szCs w:val="26"/>
        </w:rPr>
        <w:t xml:space="preserve"> </w:t>
      </w:r>
      <w:r w:rsidR="00337A30" w:rsidRPr="00EE5722">
        <w:rPr>
          <w:sz w:val="26"/>
          <w:szCs w:val="26"/>
        </w:rPr>
        <w:t>OCA St. 1-R at 12.</w:t>
      </w:r>
    </w:p>
    <w:p w:rsidR="00CD3B94" w:rsidRPr="00CD3B94" w:rsidRDefault="00CD3B94" w:rsidP="00256930">
      <w:pPr>
        <w:pStyle w:val="BodyText"/>
        <w:spacing w:after="0" w:line="360" w:lineRule="auto"/>
        <w:ind w:left="0" w:firstLine="0"/>
        <w:rPr>
          <w:sz w:val="26"/>
          <w:szCs w:val="26"/>
        </w:rPr>
      </w:pPr>
    </w:p>
    <w:p w:rsidR="006D47C0" w:rsidRPr="00EE5722" w:rsidRDefault="00261BFA" w:rsidP="00256930">
      <w:pPr>
        <w:spacing w:line="360" w:lineRule="auto"/>
        <w:ind w:firstLine="1440"/>
        <w:rPr>
          <w:sz w:val="26"/>
          <w:szCs w:val="26"/>
        </w:rPr>
      </w:pPr>
      <w:r>
        <w:rPr>
          <w:sz w:val="26"/>
          <w:szCs w:val="26"/>
        </w:rPr>
        <w:t>The OCA submitted</w:t>
      </w:r>
      <w:r w:rsidR="00337A30">
        <w:rPr>
          <w:sz w:val="26"/>
          <w:szCs w:val="26"/>
        </w:rPr>
        <w:t xml:space="preserve"> </w:t>
      </w:r>
      <w:r w:rsidR="00256930">
        <w:rPr>
          <w:sz w:val="26"/>
          <w:szCs w:val="26"/>
        </w:rPr>
        <w:t xml:space="preserve">that </w:t>
      </w:r>
      <w:r w:rsidR="00337A30">
        <w:rPr>
          <w:sz w:val="26"/>
          <w:szCs w:val="26"/>
        </w:rPr>
        <w:t>RESA’s proposed surcharge</w:t>
      </w:r>
      <w:r w:rsidR="006D47C0" w:rsidRPr="00EE5722">
        <w:rPr>
          <w:sz w:val="26"/>
          <w:szCs w:val="26"/>
        </w:rPr>
        <w:t xml:space="preserve"> is in conflict with the  Code in several respects, particularly since the Company will receive full recovery for all its costs to provide default service on a dollar-for-dollar basis thr</w:t>
      </w:r>
      <w:r w:rsidR="00337A30">
        <w:rPr>
          <w:sz w:val="26"/>
          <w:szCs w:val="26"/>
        </w:rPr>
        <w:t>ough an automatic adjustment charge.  The proposed surcharge</w:t>
      </w:r>
      <w:r w:rsidR="006D47C0" w:rsidRPr="00EE5722">
        <w:rPr>
          <w:sz w:val="26"/>
          <w:szCs w:val="26"/>
        </w:rPr>
        <w:t xml:space="preserve"> </w:t>
      </w:r>
      <w:r>
        <w:rPr>
          <w:sz w:val="26"/>
          <w:szCs w:val="26"/>
        </w:rPr>
        <w:t xml:space="preserve">also would </w:t>
      </w:r>
      <w:r w:rsidR="006D47C0" w:rsidRPr="00EE5722">
        <w:rPr>
          <w:sz w:val="26"/>
          <w:szCs w:val="26"/>
        </w:rPr>
        <w:t>impa</w:t>
      </w:r>
      <w:r w:rsidR="00337A30">
        <w:rPr>
          <w:sz w:val="26"/>
          <w:szCs w:val="26"/>
        </w:rPr>
        <w:t xml:space="preserve">ct shopping customers, because </w:t>
      </w:r>
      <w:r w:rsidR="006D47C0" w:rsidRPr="00EE5722">
        <w:rPr>
          <w:sz w:val="26"/>
          <w:szCs w:val="26"/>
        </w:rPr>
        <w:t>an artificial</w:t>
      </w:r>
      <w:r w:rsidR="00337A30">
        <w:rPr>
          <w:sz w:val="26"/>
          <w:szCs w:val="26"/>
        </w:rPr>
        <w:t xml:space="preserve">ly inflated PTC would lead to increased </w:t>
      </w:r>
      <w:r w:rsidR="006D47C0" w:rsidRPr="00EE5722">
        <w:rPr>
          <w:sz w:val="26"/>
          <w:szCs w:val="26"/>
        </w:rPr>
        <w:t xml:space="preserve">charges </w:t>
      </w:r>
      <w:r w:rsidR="00337A30">
        <w:rPr>
          <w:sz w:val="26"/>
          <w:szCs w:val="26"/>
        </w:rPr>
        <w:t xml:space="preserve">by EGSs </w:t>
      </w:r>
      <w:r w:rsidR="006D47C0" w:rsidRPr="00EE5722">
        <w:rPr>
          <w:sz w:val="26"/>
          <w:szCs w:val="26"/>
        </w:rPr>
        <w:t>for consumers who accept a percent-o</w:t>
      </w:r>
      <w:r w:rsidR="008F2D4F">
        <w:rPr>
          <w:sz w:val="26"/>
          <w:szCs w:val="26"/>
        </w:rPr>
        <w:t>ff-the-default price offering.</w:t>
      </w:r>
    </w:p>
    <w:p w:rsidR="006D47C0" w:rsidRPr="00EE5722" w:rsidRDefault="006D47C0" w:rsidP="006D47C0">
      <w:pPr>
        <w:spacing w:line="360" w:lineRule="auto"/>
        <w:ind w:firstLine="1440"/>
        <w:rPr>
          <w:sz w:val="26"/>
          <w:szCs w:val="26"/>
        </w:rPr>
      </w:pPr>
    </w:p>
    <w:p w:rsidR="006D47C0" w:rsidRDefault="00261BFA" w:rsidP="00256930">
      <w:pPr>
        <w:spacing w:line="360" w:lineRule="auto"/>
        <w:ind w:firstLine="1440"/>
        <w:rPr>
          <w:sz w:val="26"/>
          <w:szCs w:val="26"/>
        </w:rPr>
      </w:pPr>
      <w:r>
        <w:rPr>
          <w:sz w:val="26"/>
          <w:szCs w:val="26"/>
        </w:rPr>
        <w:t>The OCA pointed</w:t>
      </w:r>
      <w:r w:rsidR="006D47C0" w:rsidRPr="00EE5722">
        <w:rPr>
          <w:sz w:val="26"/>
          <w:szCs w:val="26"/>
        </w:rPr>
        <w:t xml:space="preserve"> out </w:t>
      </w:r>
      <w:r w:rsidR="0044749C">
        <w:rPr>
          <w:sz w:val="26"/>
          <w:szCs w:val="26"/>
        </w:rPr>
        <w:t xml:space="preserve">that, as the proponent of this proposal, </w:t>
      </w:r>
      <w:r w:rsidR="006D47C0" w:rsidRPr="00EE5722">
        <w:rPr>
          <w:sz w:val="26"/>
          <w:szCs w:val="26"/>
        </w:rPr>
        <w:t>RESA carries the b</w:t>
      </w:r>
      <w:r w:rsidR="0044749C">
        <w:rPr>
          <w:sz w:val="26"/>
          <w:szCs w:val="26"/>
        </w:rPr>
        <w:t>urden of proving that the surcharge would</w:t>
      </w:r>
      <w:r w:rsidR="006D47C0" w:rsidRPr="00EE5722">
        <w:rPr>
          <w:sz w:val="26"/>
          <w:szCs w:val="26"/>
        </w:rPr>
        <w:t xml:space="preserve"> result in just and reasonable rate</w:t>
      </w:r>
      <w:r w:rsidR="0044749C">
        <w:rPr>
          <w:sz w:val="26"/>
          <w:szCs w:val="26"/>
        </w:rPr>
        <w:t xml:space="preserve">s for Duquesne’s customers.  The OCA argued that </w:t>
      </w:r>
      <w:r w:rsidR="006D47C0" w:rsidRPr="00EE5722">
        <w:rPr>
          <w:sz w:val="26"/>
          <w:szCs w:val="26"/>
        </w:rPr>
        <w:t xml:space="preserve">RESA failed to carry its burden of proof, failed to provide substantial </w:t>
      </w:r>
      <w:r w:rsidR="0044749C">
        <w:rPr>
          <w:sz w:val="26"/>
          <w:szCs w:val="26"/>
        </w:rPr>
        <w:t>evidence in support of the surcharge</w:t>
      </w:r>
      <w:r w:rsidR="006D47C0" w:rsidRPr="00EE5722">
        <w:rPr>
          <w:sz w:val="26"/>
          <w:szCs w:val="26"/>
        </w:rPr>
        <w:t xml:space="preserve">, </w:t>
      </w:r>
      <w:r w:rsidR="0044749C">
        <w:rPr>
          <w:sz w:val="26"/>
          <w:szCs w:val="26"/>
        </w:rPr>
        <w:t xml:space="preserve">and failed to show the surcharge </w:t>
      </w:r>
      <w:r w:rsidR="006D47C0" w:rsidRPr="00EE5722">
        <w:rPr>
          <w:sz w:val="26"/>
          <w:szCs w:val="26"/>
        </w:rPr>
        <w:t>would result in just and reasonabl</w:t>
      </w:r>
      <w:r>
        <w:rPr>
          <w:sz w:val="26"/>
          <w:szCs w:val="26"/>
        </w:rPr>
        <w:t>e rates.  Therefore, the OCA submitted</w:t>
      </w:r>
      <w:r w:rsidR="006D47C0" w:rsidRPr="00EE5722">
        <w:rPr>
          <w:sz w:val="26"/>
          <w:szCs w:val="26"/>
        </w:rPr>
        <w:t xml:space="preserve"> that RESA’s p</w:t>
      </w:r>
      <w:r w:rsidR="0044749C">
        <w:rPr>
          <w:sz w:val="26"/>
          <w:szCs w:val="26"/>
        </w:rPr>
        <w:t xml:space="preserve">roposed surcharge </w:t>
      </w:r>
      <w:r w:rsidR="006D47C0" w:rsidRPr="00EE5722">
        <w:rPr>
          <w:sz w:val="26"/>
          <w:szCs w:val="26"/>
        </w:rPr>
        <w:t>to default s</w:t>
      </w:r>
      <w:r w:rsidR="008F2D4F">
        <w:rPr>
          <w:sz w:val="26"/>
          <w:szCs w:val="26"/>
        </w:rPr>
        <w:t>ervice rates must be rejected.</w:t>
      </w:r>
    </w:p>
    <w:p w:rsidR="00261BFA" w:rsidRPr="00EE5722" w:rsidRDefault="00261BFA" w:rsidP="00256930">
      <w:pPr>
        <w:spacing w:line="360" w:lineRule="auto"/>
        <w:ind w:firstLine="1440"/>
        <w:rPr>
          <w:sz w:val="26"/>
          <w:szCs w:val="26"/>
        </w:rPr>
      </w:pPr>
    </w:p>
    <w:p w:rsidR="00261BFA" w:rsidRPr="0044749C" w:rsidRDefault="00261BFA" w:rsidP="0044749C">
      <w:pPr>
        <w:pStyle w:val="BodyText2"/>
        <w:spacing w:after="0" w:line="360" w:lineRule="auto"/>
        <w:ind w:firstLine="1440"/>
        <w:rPr>
          <w:sz w:val="26"/>
          <w:szCs w:val="26"/>
        </w:rPr>
      </w:pPr>
      <w:r>
        <w:rPr>
          <w:sz w:val="26"/>
          <w:szCs w:val="26"/>
        </w:rPr>
        <w:t>The OSBA argued</w:t>
      </w:r>
      <w:r w:rsidRPr="00EE5722">
        <w:rPr>
          <w:sz w:val="26"/>
          <w:szCs w:val="26"/>
        </w:rPr>
        <w:t xml:space="preserve"> </w:t>
      </w:r>
      <w:r w:rsidR="0044749C">
        <w:rPr>
          <w:sz w:val="26"/>
          <w:szCs w:val="26"/>
        </w:rPr>
        <w:t xml:space="preserve">that </w:t>
      </w:r>
      <w:r w:rsidRPr="00EE5722">
        <w:rPr>
          <w:sz w:val="26"/>
          <w:szCs w:val="26"/>
        </w:rPr>
        <w:t>RESA’s proposal</w:t>
      </w:r>
      <w:r w:rsidR="0044749C">
        <w:rPr>
          <w:sz w:val="26"/>
          <w:szCs w:val="26"/>
        </w:rPr>
        <w:t xml:space="preserve"> </w:t>
      </w:r>
      <w:r w:rsidRPr="00EE5722">
        <w:rPr>
          <w:sz w:val="26"/>
          <w:szCs w:val="26"/>
        </w:rPr>
        <w:t xml:space="preserve">is unnecessary, unlawful, and inequitable.  </w:t>
      </w:r>
      <w:r w:rsidR="0044749C">
        <w:rPr>
          <w:sz w:val="26"/>
          <w:szCs w:val="26"/>
        </w:rPr>
        <w:t xml:space="preserve">The OSBA noted that default service providers such as Duquesne  </w:t>
      </w:r>
      <w:r w:rsidRPr="00EE5722">
        <w:rPr>
          <w:sz w:val="26"/>
          <w:szCs w:val="26"/>
        </w:rPr>
        <w:t xml:space="preserve">are permitted to fully recover all reasonable costs incurred </w:t>
      </w:r>
      <w:r w:rsidR="0044749C">
        <w:rPr>
          <w:sz w:val="26"/>
          <w:szCs w:val="26"/>
        </w:rPr>
        <w:t xml:space="preserve">to provide default service </w:t>
      </w:r>
      <w:r w:rsidRPr="00EE5722">
        <w:rPr>
          <w:sz w:val="26"/>
          <w:szCs w:val="26"/>
        </w:rPr>
        <w:t>through the use of a reconciliation mechanism under Section 280</w:t>
      </w:r>
      <w:r>
        <w:rPr>
          <w:sz w:val="26"/>
          <w:szCs w:val="26"/>
        </w:rPr>
        <w:t xml:space="preserve">7(e)(3.9) of the </w:t>
      </w:r>
      <w:r w:rsidRPr="00EE5722">
        <w:rPr>
          <w:sz w:val="26"/>
          <w:szCs w:val="26"/>
        </w:rPr>
        <w:t>Code</w:t>
      </w:r>
      <w:r w:rsidR="0044749C">
        <w:rPr>
          <w:sz w:val="26"/>
          <w:szCs w:val="26"/>
        </w:rPr>
        <w:t>, 66 Pa. C.S.</w:t>
      </w:r>
      <w:r w:rsidR="0044749C" w:rsidRPr="00326326">
        <w:rPr>
          <w:sz w:val="26"/>
          <w:szCs w:val="26"/>
        </w:rPr>
        <w:t xml:space="preserve"> §</w:t>
      </w:r>
      <w:r w:rsidR="0044749C">
        <w:rPr>
          <w:sz w:val="26"/>
          <w:szCs w:val="26"/>
        </w:rPr>
        <w:t xml:space="preserve"> </w:t>
      </w:r>
      <w:r w:rsidR="0044749C" w:rsidRPr="00326326">
        <w:rPr>
          <w:sz w:val="26"/>
          <w:szCs w:val="26"/>
        </w:rPr>
        <w:t>2807(e)(3.9)</w:t>
      </w:r>
      <w:r w:rsidRPr="00EE5722">
        <w:rPr>
          <w:sz w:val="26"/>
          <w:szCs w:val="26"/>
        </w:rPr>
        <w:t xml:space="preserve">.  </w:t>
      </w:r>
      <w:r w:rsidR="0044749C">
        <w:rPr>
          <w:sz w:val="26"/>
          <w:szCs w:val="26"/>
        </w:rPr>
        <w:t xml:space="preserve">Therefore, a </w:t>
      </w:r>
      <w:r w:rsidRPr="00EE5722">
        <w:rPr>
          <w:sz w:val="26"/>
          <w:szCs w:val="26"/>
        </w:rPr>
        <w:t>surcharge is unnecessary for Duquesne to recover its costs.</w:t>
      </w:r>
      <w:r w:rsidR="0044749C">
        <w:rPr>
          <w:sz w:val="26"/>
          <w:szCs w:val="26"/>
        </w:rPr>
        <w:t xml:space="preserve">  </w:t>
      </w:r>
      <w:r w:rsidRPr="00EE5722">
        <w:rPr>
          <w:sz w:val="26"/>
          <w:szCs w:val="26"/>
        </w:rPr>
        <w:t xml:space="preserve">Furthermore, </w:t>
      </w:r>
      <w:r>
        <w:rPr>
          <w:sz w:val="26"/>
          <w:szCs w:val="26"/>
        </w:rPr>
        <w:t>the OSBA disagreed</w:t>
      </w:r>
      <w:r w:rsidRPr="00EE5722">
        <w:rPr>
          <w:sz w:val="26"/>
          <w:szCs w:val="26"/>
        </w:rPr>
        <w:t xml:space="preserve"> with RESA’s </w:t>
      </w:r>
      <w:r w:rsidR="0044749C">
        <w:rPr>
          <w:sz w:val="26"/>
          <w:szCs w:val="26"/>
        </w:rPr>
        <w:t>position that the cost of RME Programs should be imposed</w:t>
      </w:r>
      <w:r w:rsidRPr="00EE5722">
        <w:rPr>
          <w:sz w:val="26"/>
          <w:szCs w:val="26"/>
        </w:rPr>
        <w:t xml:space="preserve"> on def</w:t>
      </w:r>
      <w:r w:rsidR="0044749C">
        <w:rPr>
          <w:sz w:val="26"/>
          <w:szCs w:val="26"/>
        </w:rPr>
        <w:t xml:space="preserve">ault service customers.  Additionally, </w:t>
      </w:r>
      <w:r w:rsidRPr="00EE5722">
        <w:rPr>
          <w:sz w:val="26"/>
          <w:szCs w:val="26"/>
        </w:rPr>
        <w:t>RESA</w:t>
      </w:r>
      <w:r w:rsidR="0044749C">
        <w:rPr>
          <w:sz w:val="26"/>
          <w:szCs w:val="26"/>
        </w:rPr>
        <w:t xml:space="preserve"> provided</w:t>
      </w:r>
      <w:r w:rsidRPr="00EE5722">
        <w:rPr>
          <w:sz w:val="26"/>
          <w:szCs w:val="26"/>
        </w:rPr>
        <w:t xml:space="preserve"> </w:t>
      </w:r>
      <w:r w:rsidRPr="00EE5722">
        <w:rPr>
          <w:sz w:val="26"/>
          <w:szCs w:val="26"/>
        </w:rPr>
        <w:lastRenderedPageBreak/>
        <w:t>no basis for how it arrived at the proposed level of its re</w:t>
      </w:r>
      <w:r w:rsidR="0044749C">
        <w:rPr>
          <w:sz w:val="26"/>
          <w:szCs w:val="26"/>
        </w:rPr>
        <w:t xml:space="preserve">commended surcharge, which </w:t>
      </w:r>
      <w:r w:rsidRPr="00EE5722">
        <w:rPr>
          <w:sz w:val="26"/>
          <w:szCs w:val="26"/>
        </w:rPr>
        <w:t>appears to be completely arbitrary.</w:t>
      </w:r>
      <w:r w:rsidRPr="00EE5722">
        <w:rPr>
          <w:rStyle w:val="FootnoteReference"/>
          <w:sz w:val="26"/>
          <w:szCs w:val="26"/>
        </w:rPr>
        <w:footnoteReference w:id="122"/>
      </w:r>
      <w:r w:rsidRPr="00EE5722">
        <w:rPr>
          <w:sz w:val="26"/>
          <w:szCs w:val="26"/>
        </w:rPr>
        <w:t xml:space="preserve">  RESA’s proposed surcharge would result in Duquesne collecting revenues of approximately $41 milli</w:t>
      </w:r>
      <w:r w:rsidR="0044749C">
        <w:rPr>
          <w:sz w:val="26"/>
          <w:szCs w:val="26"/>
        </w:rPr>
        <w:t>on over the two-year DSP period,</w:t>
      </w:r>
      <w:r w:rsidRPr="00EE5722">
        <w:rPr>
          <w:sz w:val="26"/>
          <w:szCs w:val="26"/>
        </w:rPr>
        <w:t xml:space="preserve"> based on default service sales for just residential and small commercial and medium commercial customers</w:t>
      </w:r>
      <w:r w:rsidR="00F22E66" w:rsidRPr="00EE5722">
        <w:rPr>
          <w:sz w:val="26"/>
          <w:szCs w:val="26"/>
        </w:rPr>
        <w:t xml:space="preserve">.  </w:t>
      </w:r>
      <w:r w:rsidRPr="00EE5722">
        <w:rPr>
          <w:sz w:val="26"/>
          <w:szCs w:val="26"/>
        </w:rPr>
        <w:t xml:space="preserve">However, </w:t>
      </w:r>
      <w:r>
        <w:rPr>
          <w:sz w:val="26"/>
          <w:szCs w:val="26"/>
        </w:rPr>
        <w:t>the OSBA pointed</w:t>
      </w:r>
      <w:r w:rsidRPr="00EE5722">
        <w:rPr>
          <w:sz w:val="26"/>
          <w:szCs w:val="26"/>
        </w:rPr>
        <w:t xml:space="preserve"> out the estimated cost for </w:t>
      </w:r>
      <w:r w:rsidR="0044749C">
        <w:rPr>
          <w:sz w:val="26"/>
          <w:szCs w:val="26"/>
        </w:rPr>
        <w:t xml:space="preserve">Duquesne’s </w:t>
      </w:r>
      <w:r w:rsidR="00021754">
        <w:rPr>
          <w:sz w:val="26"/>
          <w:szCs w:val="26"/>
        </w:rPr>
        <w:t>r</w:t>
      </w:r>
      <w:r w:rsidRPr="00EE5722">
        <w:rPr>
          <w:sz w:val="26"/>
          <w:szCs w:val="26"/>
        </w:rPr>
        <w:t>etail market enhancements is only $2.5 million.</w:t>
      </w:r>
      <w:r w:rsidRPr="00EE5722">
        <w:rPr>
          <w:rStyle w:val="FootnoteReference"/>
          <w:sz w:val="26"/>
          <w:szCs w:val="26"/>
        </w:rPr>
        <w:footnoteReference w:id="123"/>
      </w:r>
    </w:p>
    <w:p w:rsidR="00261BFA" w:rsidRPr="00EE5722" w:rsidRDefault="00261BFA" w:rsidP="00261BFA">
      <w:pPr>
        <w:pStyle w:val="BodyText2"/>
        <w:spacing w:after="0" w:line="360" w:lineRule="auto"/>
        <w:rPr>
          <w:sz w:val="26"/>
          <w:szCs w:val="26"/>
        </w:rPr>
      </w:pPr>
    </w:p>
    <w:p w:rsidR="00261BFA" w:rsidRPr="00EE5722" w:rsidRDefault="00261BFA" w:rsidP="00021754">
      <w:pPr>
        <w:pStyle w:val="BodyText2"/>
        <w:spacing w:after="0" w:line="360" w:lineRule="auto"/>
        <w:rPr>
          <w:sz w:val="26"/>
          <w:szCs w:val="26"/>
        </w:rPr>
      </w:pPr>
      <w:r w:rsidRPr="00EE5722">
        <w:rPr>
          <w:sz w:val="26"/>
          <w:szCs w:val="26"/>
        </w:rPr>
        <w:tab/>
      </w:r>
      <w:r w:rsidRPr="00EE5722">
        <w:rPr>
          <w:sz w:val="26"/>
          <w:szCs w:val="26"/>
        </w:rPr>
        <w:tab/>
      </w:r>
      <w:r w:rsidR="0044749C">
        <w:rPr>
          <w:sz w:val="26"/>
          <w:szCs w:val="26"/>
        </w:rPr>
        <w:t xml:space="preserve">The OSBA argued </w:t>
      </w:r>
      <w:r w:rsidRPr="00EE5722">
        <w:rPr>
          <w:sz w:val="26"/>
          <w:szCs w:val="26"/>
        </w:rPr>
        <w:t>that</w:t>
      </w:r>
      <w:r w:rsidR="00F22E66">
        <w:rPr>
          <w:sz w:val="26"/>
          <w:szCs w:val="26"/>
        </w:rPr>
        <w:t>, because</w:t>
      </w:r>
      <w:r w:rsidRPr="00EE5722">
        <w:rPr>
          <w:sz w:val="26"/>
          <w:szCs w:val="26"/>
        </w:rPr>
        <w:t xml:space="preserve"> RESA</w:t>
      </w:r>
      <w:r w:rsidR="0044749C">
        <w:rPr>
          <w:sz w:val="26"/>
          <w:szCs w:val="26"/>
        </w:rPr>
        <w:t xml:space="preserve"> </w:t>
      </w:r>
      <w:r>
        <w:rPr>
          <w:sz w:val="26"/>
          <w:szCs w:val="26"/>
        </w:rPr>
        <w:t>anticipated</w:t>
      </w:r>
      <w:r w:rsidRPr="00EE5722">
        <w:rPr>
          <w:sz w:val="26"/>
          <w:szCs w:val="26"/>
        </w:rPr>
        <w:t xml:space="preserve"> </w:t>
      </w:r>
      <w:r w:rsidR="0044749C">
        <w:rPr>
          <w:sz w:val="26"/>
          <w:szCs w:val="26"/>
        </w:rPr>
        <w:t xml:space="preserve">that its proposed </w:t>
      </w:r>
      <w:r w:rsidRPr="00EE5722">
        <w:rPr>
          <w:sz w:val="26"/>
          <w:szCs w:val="26"/>
        </w:rPr>
        <w:t>surcharge would produc</w:t>
      </w:r>
      <w:r w:rsidR="0044749C">
        <w:rPr>
          <w:sz w:val="26"/>
          <w:szCs w:val="26"/>
        </w:rPr>
        <w:t xml:space="preserve">e </w:t>
      </w:r>
      <w:r w:rsidR="00D62F8D">
        <w:rPr>
          <w:sz w:val="26"/>
          <w:szCs w:val="26"/>
        </w:rPr>
        <w:t xml:space="preserve">excess </w:t>
      </w:r>
      <w:r w:rsidR="0044749C">
        <w:rPr>
          <w:sz w:val="26"/>
          <w:szCs w:val="26"/>
        </w:rPr>
        <w:t xml:space="preserve">revenue, </w:t>
      </w:r>
      <w:r w:rsidRPr="00EE5722">
        <w:rPr>
          <w:sz w:val="26"/>
          <w:szCs w:val="26"/>
        </w:rPr>
        <w:t>RESA</w:t>
      </w:r>
      <w:r w:rsidR="0044749C">
        <w:rPr>
          <w:sz w:val="26"/>
          <w:szCs w:val="26"/>
        </w:rPr>
        <w:t xml:space="preserve"> recommended </w:t>
      </w:r>
      <w:r w:rsidRPr="00EE5722">
        <w:rPr>
          <w:sz w:val="26"/>
          <w:szCs w:val="26"/>
        </w:rPr>
        <w:t xml:space="preserve">that excess revenue should be </w:t>
      </w:r>
      <w:r w:rsidR="00D62F8D" w:rsidRPr="00EE5722">
        <w:rPr>
          <w:sz w:val="26"/>
          <w:szCs w:val="26"/>
        </w:rPr>
        <w:t xml:space="preserve">returned to all distribution customers, </w:t>
      </w:r>
      <w:r w:rsidR="00D62F8D" w:rsidRPr="00EE5722">
        <w:rPr>
          <w:i/>
          <w:sz w:val="26"/>
          <w:szCs w:val="26"/>
        </w:rPr>
        <w:t>i.e.</w:t>
      </w:r>
      <w:r w:rsidR="00D62F8D" w:rsidRPr="00EE5722">
        <w:rPr>
          <w:sz w:val="26"/>
          <w:szCs w:val="26"/>
        </w:rPr>
        <w:t xml:space="preserve"> both default service and shopping customers</w:t>
      </w:r>
      <w:r w:rsidR="00D62F8D">
        <w:rPr>
          <w:sz w:val="26"/>
          <w:szCs w:val="26"/>
        </w:rPr>
        <w:t xml:space="preserve"> after Duquesne </w:t>
      </w:r>
      <w:r w:rsidRPr="00EE5722">
        <w:rPr>
          <w:sz w:val="26"/>
          <w:szCs w:val="26"/>
        </w:rPr>
        <w:t>retain</w:t>
      </w:r>
      <w:r w:rsidR="00D62F8D">
        <w:rPr>
          <w:sz w:val="26"/>
          <w:szCs w:val="26"/>
        </w:rPr>
        <w:t xml:space="preserve">ed up to 10% of the </w:t>
      </w:r>
      <w:r w:rsidRPr="00EE5722">
        <w:rPr>
          <w:sz w:val="26"/>
          <w:szCs w:val="26"/>
        </w:rPr>
        <w:t>excess revenue a</w:t>
      </w:r>
      <w:r w:rsidR="00021754">
        <w:rPr>
          <w:sz w:val="26"/>
          <w:szCs w:val="26"/>
        </w:rPr>
        <w:t>s an incentive</w:t>
      </w:r>
      <w:r w:rsidRPr="00EE5722">
        <w:rPr>
          <w:sz w:val="26"/>
          <w:szCs w:val="26"/>
        </w:rPr>
        <w:t xml:space="preserve">. </w:t>
      </w:r>
      <w:r w:rsidR="00D62F8D">
        <w:rPr>
          <w:sz w:val="26"/>
          <w:szCs w:val="26"/>
        </w:rPr>
        <w:t xml:space="preserve">  The OSBA averred that </w:t>
      </w:r>
      <w:r w:rsidRPr="00EE5722">
        <w:rPr>
          <w:sz w:val="26"/>
          <w:szCs w:val="26"/>
        </w:rPr>
        <w:t>Duquesne’s profit would be approximately $4 million over the two</w:t>
      </w:r>
      <w:r w:rsidR="00D62F8D">
        <w:rPr>
          <w:sz w:val="26"/>
          <w:szCs w:val="26"/>
        </w:rPr>
        <w:noBreakHyphen/>
      </w:r>
      <w:r w:rsidRPr="00EE5722">
        <w:rPr>
          <w:sz w:val="26"/>
          <w:szCs w:val="26"/>
        </w:rPr>
        <w:t>year</w:t>
      </w:r>
      <w:r w:rsidR="00D62F8D">
        <w:rPr>
          <w:sz w:val="26"/>
          <w:szCs w:val="26"/>
        </w:rPr>
        <w:t xml:space="preserve"> DSP period.</w:t>
      </w:r>
      <w:r w:rsidRPr="00EE5722">
        <w:rPr>
          <w:rStyle w:val="FootnoteReference"/>
          <w:sz w:val="26"/>
          <w:szCs w:val="26"/>
        </w:rPr>
        <w:footnoteReference w:id="124"/>
      </w:r>
    </w:p>
    <w:p w:rsidR="00D62F8D" w:rsidRPr="00B27202" w:rsidRDefault="00261BFA" w:rsidP="00021754">
      <w:pPr>
        <w:pStyle w:val="BodyText2"/>
        <w:spacing w:after="0" w:line="360" w:lineRule="auto"/>
        <w:rPr>
          <w:sz w:val="26"/>
          <w:szCs w:val="26"/>
        </w:rPr>
      </w:pPr>
      <w:r w:rsidRPr="00EE5722">
        <w:rPr>
          <w:sz w:val="26"/>
          <w:szCs w:val="26"/>
        </w:rPr>
        <w:tab/>
      </w:r>
      <w:r w:rsidRPr="00EE5722">
        <w:rPr>
          <w:sz w:val="26"/>
          <w:szCs w:val="26"/>
        </w:rPr>
        <w:tab/>
      </w:r>
    </w:p>
    <w:p w:rsidR="00B27202" w:rsidRDefault="00B27202" w:rsidP="00021754">
      <w:pPr>
        <w:spacing w:line="360" w:lineRule="auto"/>
        <w:ind w:firstLine="1440"/>
        <w:rPr>
          <w:sz w:val="26"/>
          <w:szCs w:val="26"/>
        </w:rPr>
      </w:pPr>
      <w:r>
        <w:rPr>
          <w:sz w:val="26"/>
          <w:szCs w:val="26"/>
        </w:rPr>
        <w:t>DII opposed</w:t>
      </w:r>
      <w:r w:rsidR="00D62F8D">
        <w:rPr>
          <w:sz w:val="26"/>
          <w:szCs w:val="26"/>
        </w:rPr>
        <w:t xml:space="preserve"> RESA’s proposed surcharge and concurred</w:t>
      </w:r>
      <w:r w:rsidRPr="00EE5722">
        <w:rPr>
          <w:sz w:val="26"/>
          <w:szCs w:val="26"/>
        </w:rPr>
        <w:t xml:space="preserve"> with Duquesne and </w:t>
      </w:r>
      <w:r>
        <w:rPr>
          <w:sz w:val="26"/>
          <w:szCs w:val="26"/>
        </w:rPr>
        <w:t xml:space="preserve">the </w:t>
      </w:r>
      <w:r w:rsidRPr="00EE5722">
        <w:rPr>
          <w:sz w:val="26"/>
          <w:szCs w:val="26"/>
        </w:rPr>
        <w:t>OCA that RESA’s proposal would recover excess costs from default service customers, artificially inflate the PTC, and inappropriately refund costs recovered from default service customers to all customers.</w:t>
      </w:r>
      <w:r w:rsidR="00D62F8D">
        <w:rPr>
          <w:sz w:val="26"/>
          <w:szCs w:val="26"/>
        </w:rPr>
        <w:t xml:space="preserve">  </w:t>
      </w:r>
      <w:r w:rsidR="008F197D">
        <w:rPr>
          <w:sz w:val="26"/>
          <w:szCs w:val="26"/>
        </w:rPr>
        <w:t xml:space="preserve">DII </w:t>
      </w:r>
      <w:r w:rsidR="00021754">
        <w:rPr>
          <w:sz w:val="26"/>
          <w:szCs w:val="26"/>
        </w:rPr>
        <w:t xml:space="preserve">also </w:t>
      </w:r>
      <w:r w:rsidR="008F197D">
        <w:rPr>
          <w:sz w:val="26"/>
          <w:szCs w:val="26"/>
        </w:rPr>
        <w:t xml:space="preserve">argued that RESA’s proposal to impose the surcharge on </w:t>
      </w:r>
      <w:r w:rsidRPr="00EE5722">
        <w:rPr>
          <w:sz w:val="26"/>
          <w:szCs w:val="26"/>
        </w:rPr>
        <w:t>default service customers</w:t>
      </w:r>
      <w:r w:rsidR="00021754">
        <w:rPr>
          <w:sz w:val="26"/>
          <w:szCs w:val="26"/>
        </w:rPr>
        <w:t>, and then refund excess reve</w:t>
      </w:r>
      <w:r w:rsidR="008F197D">
        <w:rPr>
          <w:sz w:val="26"/>
          <w:szCs w:val="26"/>
        </w:rPr>
        <w:t>n</w:t>
      </w:r>
      <w:r w:rsidR="00021754">
        <w:rPr>
          <w:sz w:val="26"/>
          <w:szCs w:val="26"/>
        </w:rPr>
        <w:t>u</w:t>
      </w:r>
      <w:r w:rsidR="008F197D">
        <w:rPr>
          <w:sz w:val="26"/>
          <w:szCs w:val="26"/>
        </w:rPr>
        <w:t>es</w:t>
      </w:r>
      <w:r w:rsidRPr="00EE5722">
        <w:rPr>
          <w:sz w:val="26"/>
          <w:szCs w:val="26"/>
        </w:rPr>
        <w:t xml:space="preserve"> to Duquesne and all customers flatly contradicts cost causation principles and must be rejected.  Implementation of RESA’s proposed adder is counter to the Commission’s commitment to cost-based rates, and would reverse the cost causation principles established by </w:t>
      </w:r>
      <w:r w:rsidRPr="00EE5722">
        <w:rPr>
          <w:i/>
          <w:sz w:val="26"/>
          <w:szCs w:val="26"/>
        </w:rPr>
        <w:t>L</w:t>
      </w:r>
      <w:r w:rsidRPr="00EE5722">
        <w:rPr>
          <w:i/>
          <w:iCs/>
          <w:sz w:val="26"/>
          <w:szCs w:val="26"/>
        </w:rPr>
        <w:t>loyd v. Pa. PUC</w:t>
      </w:r>
      <w:r w:rsidR="008F197D">
        <w:rPr>
          <w:sz w:val="26"/>
          <w:szCs w:val="26"/>
        </w:rPr>
        <w:t>, 904 A.2d 1010 (Pa. Cmwlth. 2006).  DII conclude</w:t>
      </w:r>
      <w:r w:rsidR="00F22E66">
        <w:rPr>
          <w:sz w:val="26"/>
          <w:szCs w:val="26"/>
        </w:rPr>
        <w:t>d</w:t>
      </w:r>
      <w:r w:rsidR="008F197D">
        <w:rPr>
          <w:sz w:val="26"/>
          <w:szCs w:val="26"/>
        </w:rPr>
        <w:t xml:space="preserve"> that RESA’s proposed surcharge </w:t>
      </w:r>
      <w:r w:rsidRPr="00EE5722">
        <w:rPr>
          <w:sz w:val="26"/>
          <w:szCs w:val="26"/>
        </w:rPr>
        <w:t xml:space="preserve">inappropriately </w:t>
      </w:r>
      <w:r w:rsidR="008F197D">
        <w:rPr>
          <w:sz w:val="26"/>
          <w:szCs w:val="26"/>
        </w:rPr>
        <w:t>would encourage</w:t>
      </w:r>
      <w:r w:rsidRPr="00EE5722">
        <w:rPr>
          <w:sz w:val="26"/>
          <w:szCs w:val="26"/>
        </w:rPr>
        <w:t xml:space="preserve"> competition through market distortion at the expense of all cust</w:t>
      </w:r>
      <w:r w:rsidR="008F197D">
        <w:rPr>
          <w:sz w:val="26"/>
          <w:szCs w:val="26"/>
        </w:rPr>
        <w:t>omers.</w:t>
      </w:r>
    </w:p>
    <w:p w:rsidR="00B27202" w:rsidRDefault="00B27202" w:rsidP="00021754">
      <w:pPr>
        <w:spacing w:line="360" w:lineRule="auto"/>
        <w:ind w:firstLine="720"/>
        <w:rPr>
          <w:sz w:val="26"/>
          <w:szCs w:val="26"/>
        </w:rPr>
      </w:pPr>
    </w:p>
    <w:p w:rsidR="00261BFA" w:rsidRDefault="00B27202" w:rsidP="00021754">
      <w:pPr>
        <w:spacing w:line="360" w:lineRule="auto"/>
        <w:ind w:firstLine="1440"/>
        <w:rPr>
          <w:sz w:val="26"/>
          <w:szCs w:val="26"/>
        </w:rPr>
      </w:pPr>
      <w:r>
        <w:rPr>
          <w:sz w:val="26"/>
          <w:szCs w:val="26"/>
        </w:rPr>
        <w:t>CAUSE, Citizen Power, Domin</w:t>
      </w:r>
      <w:r w:rsidR="00621057">
        <w:rPr>
          <w:sz w:val="26"/>
          <w:szCs w:val="26"/>
        </w:rPr>
        <w:t>ion, FES and Constellation</w:t>
      </w:r>
      <w:r>
        <w:rPr>
          <w:sz w:val="26"/>
          <w:szCs w:val="26"/>
        </w:rPr>
        <w:t xml:space="preserve"> did not take a position on this issue.</w:t>
      </w:r>
    </w:p>
    <w:p w:rsidR="006D47C0" w:rsidRPr="00EE5722" w:rsidRDefault="008F197D" w:rsidP="00584C88">
      <w:pPr>
        <w:pStyle w:val="Heading4"/>
        <w:numPr>
          <w:ilvl w:val="0"/>
          <w:numId w:val="0"/>
        </w:numPr>
        <w:ind w:left="2880" w:hanging="720"/>
      </w:pPr>
      <w:bookmarkStart w:id="209" w:name="_Toc346705451"/>
      <w:r>
        <w:t>b</w:t>
      </w:r>
      <w:r w:rsidR="00261BFA">
        <w:t>.</w:t>
      </w:r>
      <w:r w:rsidR="00261BFA">
        <w:tab/>
        <w:t>ALJ’s Recommendation</w:t>
      </w:r>
      <w:bookmarkEnd w:id="209"/>
      <w:r w:rsidR="009554A0">
        <w:t xml:space="preserve"> </w:t>
      </w:r>
    </w:p>
    <w:p w:rsidR="006D47C0" w:rsidRPr="00EE5722" w:rsidRDefault="006D47C0" w:rsidP="006D47C0">
      <w:pPr>
        <w:pStyle w:val="BodyText"/>
        <w:spacing w:after="0" w:line="360" w:lineRule="auto"/>
        <w:ind w:left="0" w:firstLine="0"/>
        <w:rPr>
          <w:sz w:val="26"/>
          <w:szCs w:val="26"/>
        </w:rPr>
      </w:pPr>
    </w:p>
    <w:p w:rsidR="00B27202" w:rsidRPr="00EE5722" w:rsidRDefault="00B27202" w:rsidP="00600E67">
      <w:pPr>
        <w:pStyle w:val="BodyText"/>
        <w:spacing w:after="0" w:line="360" w:lineRule="auto"/>
        <w:ind w:left="0"/>
        <w:rPr>
          <w:color w:val="000000" w:themeColor="text1"/>
          <w:sz w:val="26"/>
          <w:szCs w:val="26"/>
        </w:rPr>
      </w:pPr>
      <w:r>
        <w:rPr>
          <w:color w:val="000000" w:themeColor="text1"/>
          <w:sz w:val="26"/>
          <w:szCs w:val="26"/>
        </w:rPr>
        <w:t>The ALJ</w:t>
      </w:r>
      <w:r w:rsidRPr="00EE5722">
        <w:rPr>
          <w:color w:val="000000" w:themeColor="text1"/>
          <w:sz w:val="26"/>
          <w:szCs w:val="26"/>
        </w:rPr>
        <w:t xml:space="preserve"> recommend</w:t>
      </w:r>
      <w:r>
        <w:rPr>
          <w:color w:val="000000" w:themeColor="text1"/>
          <w:sz w:val="26"/>
          <w:szCs w:val="26"/>
        </w:rPr>
        <w:t>ed</w:t>
      </w:r>
      <w:r w:rsidRPr="00EE5722">
        <w:rPr>
          <w:color w:val="000000" w:themeColor="text1"/>
          <w:sz w:val="26"/>
          <w:szCs w:val="26"/>
        </w:rPr>
        <w:t xml:space="preserve"> reject</w:t>
      </w:r>
      <w:r w:rsidR="008F197D">
        <w:rPr>
          <w:color w:val="000000" w:themeColor="text1"/>
          <w:sz w:val="26"/>
          <w:szCs w:val="26"/>
        </w:rPr>
        <w:t xml:space="preserve">ing RESA’s proposed surcharge on </w:t>
      </w:r>
      <w:r w:rsidRPr="00EE5722">
        <w:rPr>
          <w:color w:val="000000" w:themeColor="text1"/>
          <w:sz w:val="26"/>
          <w:szCs w:val="26"/>
        </w:rPr>
        <w:t>defaul</w:t>
      </w:r>
      <w:r w:rsidR="008F197D">
        <w:rPr>
          <w:color w:val="000000" w:themeColor="text1"/>
          <w:sz w:val="26"/>
          <w:szCs w:val="26"/>
        </w:rPr>
        <w:t xml:space="preserve">t service rates.  </w:t>
      </w:r>
      <w:r>
        <w:rPr>
          <w:color w:val="000000" w:themeColor="text1"/>
          <w:sz w:val="26"/>
          <w:szCs w:val="26"/>
        </w:rPr>
        <w:t>The ALJ</w:t>
      </w:r>
      <w:r w:rsidRPr="00EE5722">
        <w:rPr>
          <w:color w:val="000000" w:themeColor="text1"/>
          <w:sz w:val="26"/>
          <w:szCs w:val="26"/>
        </w:rPr>
        <w:t xml:space="preserve"> agree</w:t>
      </w:r>
      <w:r>
        <w:rPr>
          <w:color w:val="000000" w:themeColor="text1"/>
          <w:sz w:val="26"/>
          <w:szCs w:val="26"/>
        </w:rPr>
        <w:t>d</w:t>
      </w:r>
      <w:r w:rsidRPr="00EE5722">
        <w:rPr>
          <w:color w:val="000000" w:themeColor="text1"/>
          <w:sz w:val="26"/>
          <w:szCs w:val="26"/>
        </w:rPr>
        <w:t xml:space="preserve"> with </w:t>
      </w:r>
      <w:r>
        <w:rPr>
          <w:color w:val="000000" w:themeColor="text1"/>
          <w:sz w:val="26"/>
          <w:szCs w:val="26"/>
        </w:rPr>
        <w:t xml:space="preserve">the </w:t>
      </w:r>
      <w:r w:rsidR="008F197D">
        <w:rPr>
          <w:color w:val="000000" w:themeColor="text1"/>
          <w:sz w:val="26"/>
          <w:szCs w:val="26"/>
        </w:rPr>
        <w:t xml:space="preserve">OCA that RESA’s </w:t>
      </w:r>
      <w:r w:rsidRPr="00EE5722">
        <w:rPr>
          <w:color w:val="000000" w:themeColor="text1"/>
          <w:sz w:val="26"/>
          <w:szCs w:val="26"/>
        </w:rPr>
        <w:t xml:space="preserve">proposal </w:t>
      </w:r>
      <w:r w:rsidR="008F197D">
        <w:rPr>
          <w:color w:val="000000" w:themeColor="text1"/>
          <w:sz w:val="26"/>
          <w:szCs w:val="26"/>
        </w:rPr>
        <w:t>would constitute</w:t>
      </w:r>
      <w:r w:rsidRPr="00EE5722">
        <w:rPr>
          <w:color w:val="000000" w:themeColor="text1"/>
          <w:sz w:val="26"/>
          <w:szCs w:val="26"/>
        </w:rPr>
        <w:t xml:space="preserve"> a wealth transfer from default service customers to shopping customers that is unsupported by any concept of cost causality and is on its face inequitable.</w:t>
      </w:r>
      <w:r w:rsidR="009554A0">
        <w:rPr>
          <w:color w:val="000000" w:themeColor="text1"/>
          <w:sz w:val="26"/>
          <w:szCs w:val="26"/>
        </w:rPr>
        <w:t xml:space="preserve">  </w:t>
      </w:r>
      <w:r>
        <w:rPr>
          <w:color w:val="000000" w:themeColor="text1"/>
          <w:sz w:val="26"/>
          <w:szCs w:val="26"/>
        </w:rPr>
        <w:t xml:space="preserve">The </w:t>
      </w:r>
      <w:r w:rsidR="008F197D">
        <w:rPr>
          <w:color w:val="000000" w:themeColor="text1"/>
          <w:sz w:val="26"/>
          <w:szCs w:val="26"/>
        </w:rPr>
        <w:t xml:space="preserve">ALJ noted that the </w:t>
      </w:r>
      <w:r w:rsidRPr="00EE5722">
        <w:rPr>
          <w:color w:val="000000" w:themeColor="text1"/>
          <w:sz w:val="26"/>
          <w:szCs w:val="26"/>
        </w:rPr>
        <w:t>Code gives a default service provider the right to “recover” all reasonable costs “incurred</w:t>
      </w:r>
      <w:r w:rsidR="008F197D">
        <w:rPr>
          <w:color w:val="000000" w:themeColor="text1"/>
          <w:sz w:val="26"/>
          <w:szCs w:val="26"/>
        </w:rPr>
        <w:t>.</w:t>
      </w:r>
      <w:r w:rsidRPr="00EE5722">
        <w:rPr>
          <w:color w:val="000000" w:themeColor="text1"/>
          <w:sz w:val="26"/>
          <w:szCs w:val="26"/>
        </w:rPr>
        <w:t>”</w:t>
      </w:r>
      <w:r w:rsidR="00F22E66">
        <w:rPr>
          <w:color w:val="000000" w:themeColor="text1"/>
          <w:sz w:val="26"/>
          <w:szCs w:val="26"/>
        </w:rPr>
        <w:t xml:space="preserve">  The Commission has no authority to permit the recovery of hypothetical expenses that the utility does not actually incur.  </w:t>
      </w:r>
      <w:r w:rsidRPr="00B27202">
        <w:rPr>
          <w:i/>
          <w:color w:val="000000" w:themeColor="text1"/>
          <w:sz w:val="26"/>
          <w:szCs w:val="26"/>
        </w:rPr>
        <w:t xml:space="preserve">Barasch v Pa. </w:t>
      </w:r>
      <w:r>
        <w:rPr>
          <w:i/>
          <w:color w:val="000000" w:themeColor="text1"/>
          <w:sz w:val="26"/>
          <w:szCs w:val="26"/>
        </w:rPr>
        <w:t>PUC</w:t>
      </w:r>
      <w:r w:rsidRPr="00EE5722">
        <w:rPr>
          <w:color w:val="000000" w:themeColor="text1"/>
          <w:sz w:val="26"/>
          <w:szCs w:val="26"/>
        </w:rPr>
        <w:t>, 493 A.2d 653 (Pa. 1985)</w:t>
      </w:r>
      <w:r w:rsidR="00F22E66">
        <w:rPr>
          <w:color w:val="000000" w:themeColor="text1"/>
          <w:sz w:val="26"/>
          <w:szCs w:val="26"/>
        </w:rPr>
        <w:t xml:space="preserve">; </w:t>
      </w:r>
      <w:r w:rsidR="00727AD9" w:rsidRPr="005751B0">
        <w:rPr>
          <w:i/>
          <w:color w:val="000000"/>
          <w:sz w:val="26"/>
          <w:szCs w:val="26"/>
        </w:rPr>
        <w:t>Cohen v. Pa. PUC</w:t>
      </w:r>
      <w:r w:rsidR="00727AD9" w:rsidRPr="005751B0">
        <w:rPr>
          <w:color w:val="000000"/>
          <w:sz w:val="26"/>
          <w:szCs w:val="26"/>
        </w:rPr>
        <w:t xml:space="preserve">, 468 </w:t>
      </w:r>
      <w:r w:rsidR="00727AD9">
        <w:rPr>
          <w:color w:val="000000"/>
          <w:sz w:val="26"/>
          <w:szCs w:val="26"/>
        </w:rPr>
        <w:t xml:space="preserve">A.2d 1143, 1150 (Pa. Cmwlth. </w:t>
      </w:r>
      <w:r w:rsidR="00727AD9" w:rsidRPr="005751B0">
        <w:rPr>
          <w:color w:val="000000"/>
          <w:sz w:val="26"/>
          <w:szCs w:val="26"/>
        </w:rPr>
        <w:t>1983)</w:t>
      </w:r>
      <w:r w:rsidR="00F22E66">
        <w:rPr>
          <w:color w:val="000000"/>
          <w:sz w:val="26"/>
          <w:szCs w:val="26"/>
        </w:rPr>
        <w:t xml:space="preserve">.  </w:t>
      </w:r>
      <w:r w:rsidR="00727AD9" w:rsidRPr="005751B0">
        <w:rPr>
          <w:i/>
          <w:color w:val="000000"/>
          <w:sz w:val="26"/>
          <w:szCs w:val="26"/>
        </w:rPr>
        <w:t>See also</w:t>
      </w:r>
      <w:r w:rsidR="00727AD9" w:rsidRPr="005751B0">
        <w:rPr>
          <w:color w:val="000000"/>
          <w:sz w:val="26"/>
          <w:szCs w:val="26"/>
        </w:rPr>
        <w:t xml:space="preserve">, </w:t>
      </w:r>
      <w:r w:rsidR="00727AD9" w:rsidRPr="005751B0">
        <w:rPr>
          <w:i/>
          <w:color w:val="000000"/>
          <w:sz w:val="26"/>
          <w:szCs w:val="26"/>
        </w:rPr>
        <w:t>Barasch v. Pa. PUC</w:t>
      </w:r>
      <w:r w:rsidR="00727AD9" w:rsidRPr="005751B0">
        <w:rPr>
          <w:color w:val="000000"/>
          <w:sz w:val="26"/>
          <w:szCs w:val="26"/>
        </w:rPr>
        <w:t xml:space="preserve">, 532 A.2d 325, 336 (Pa. 1987); </w:t>
      </w:r>
      <w:r w:rsidR="00727AD9" w:rsidRPr="005751B0">
        <w:rPr>
          <w:i/>
          <w:color w:val="000000"/>
          <w:sz w:val="26"/>
          <w:szCs w:val="26"/>
        </w:rPr>
        <w:t>Popowsky v. Pa. PUC</w:t>
      </w:r>
      <w:r w:rsidR="00727AD9" w:rsidRPr="005751B0">
        <w:rPr>
          <w:color w:val="000000"/>
          <w:sz w:val="26"/>
          <w:szCs w:val="26"/>
        </w:rPr>
        <w:t>, 69</w:t>
      </w:r>
      <w:r w:rsidR="00727AD9">
        <w:rPr>
          <w:color w:val="000000"/>
          <w:sz w:val="26"/>
          <w:szCs w:val="26"/>
        </w:rPr>
        <w:t xml:space="preserve">5 A.2d 448, 455 (Pa. Cmwlth. </w:t>
      </w:r>
      <w:r w:rsidR="00727AD9" w:rsidRPr="005751B0">
        <w:rPr>
          <w:color w:val="000000"/>
          <w:sz w:val="26"/>
          <w:szCs w:val="26"/>
        </w:rPr>
        <w:t>1997).</w:t>
      </w:r>
      <w:r w:rsidR="00727AD9">
        <w:rPr>
          <w:color w:val="000000"/>
          <w:sz w:val="26"/>
          <w:szCs w:val="26"/>
        </w:rPr>
        <w:t xml:space="preserve">  </w:t>
      </w:r>
      <w:r>
        <w:rPr>
          <w:color w:val="000000" w:themeColor="text1"/>
          <w:sz w:val="26"/>
          <w:szCs w:val="26"/>
        </w:rPr>
        <w:t>Therefore, the ALJ</w:t>
      </w:r>
      <w:r w:rsidRPr="00EE5722">
        <w:rPr>
          <w:color w:val="000000" w:themeColor="text1"/>
          <w:sz w:val="26"/>
          <w:szCs w:val="26"/>
        </w:rPr>
        <w:t xml:space="preserve"> agree</w:t>
      </w:r>
      <w:r>
        <w:rPr>
          <w:color w:val="000000" w:themeColor="text1"/>
          <w:sz w:val="26"/>
          <w:szCs w:val="26"/>
        </w:rPr>
        <w:t>d with the P</w:t>
      </w:r>
      <w:r w:rsidRPr="00EE5722">
        <w:rPr>
          <w:color w:val="000000" w:themeColor="text1"/>
          <w:sz w:val="26"/>
          <w:szCs w:val="26"/>
        </w:rPr>
        <w:t xml:space="preserve">arties </w:t>
      </w:r>
      <w:r>
        <w:rPr>
          <w:color w:val="000000" w:themeColor="text1"/>
          <w:sz w:val="26"/>
          <w:szCs w:val="26"/>
        </w:rPr>
        <w:t xml:space="preserve">who opposed RESA’s request </w:t>
      </w:r>
      <w:r w:rsidRPr="00EE5722">
        <w:rPr>
          <w:color w:val="000000" w:themeColor="text1"/>
          <w:sz w:val="26"/>
          <w:szCs w:val="26"/>
        </w:rPr>
        <w:t>as contrary to the public interest and as contrary to the established law in Pennsylvania.</w:t>
      </w:r>
      <w:r w:rsidR="009554A0">
        <w:rPr>
          <w:color w:val="000000" w:themeColor="text1"/>
          <w:sz w:val="26"/>
          <w:szCs w:val="26"/>
        </w:rPr>
        <w:t xml:space="preserve">  R.D. at 179-180.</w:t>
      </w:r>
    </w:p>
    <w:p w:rsidR="006D47C0" w:rsidRPr="00EE5722" w:rsidRDefault="006D47C0" w:rsidP="009554A0">
      <w:pPr>
        <w:spacing w:line="360" w:lineRule="auto"/>
        <w:ind w:firstLine="720"/>
        <w:rPr>
          <w:sz w:val="26"/>
          <w:szCs w:val="26"/>
        </w:rPr>
      </w:pPr>
      <w:r w:rsidRPr="00EE5722">
        <w:rPr>
          <w:sz w:val="26"/>
          <w:szCs w:val="26"/>
        </w:rPr>
        <w:tab/>
      </w:r>
    </w:p>
    <w:p w:rsidR="006D47C0" w:rsidRPr="00EE5722" w:rsidRDefault="00727AD9" w:rsidP="00584C88">
      <w:pPr>
        <w:pStyle w:val="Heading4"/>
        <w:numPr>
          <w:ilvl w:val="0"/>
          <w:numId w:val="0"/>
        </w:numPr>
        <w:ind w:left="2880" w:hanging="720"/>
      </w:pPr>
      <w:bookmarkStart w:id="210" w:name="_Toc346705452"/>
      <w:r>
        <w:t>c</w:t>
      </w:r>
      <w:r w:rsidR="00261BFA">
        <w:t>.</w:t>
      </w:r>
      <w:r w:rsidR="00261BFA">
        <w:tab/>
        <w:t>Exceptions</w:t>
      </w:r>
      <w:bookmarkEnd w:id="210"/>
    </w:p>
    <w:p w:rsidR="00492FD1" w:rsidRDefault="00492FD1" w:rsidP="000B0447">
      <w:pPr>
        <w:pStyle w:val="Heading3"/>
      </w:pPr>
    </w:p>
    <w:p w:rsidR="00492FD1" w:rsidRDefault="00727AD9" w:rsidP="009554A0">
      <w:pPr>
        <w:pStyle w:val="BodyText2"/>
        <w:tabs>
          <w:tab w:val="left" w:pos="1080"/>
        </w:tabs>
        <w:spacing w:after="0" w:line="360" w:lineRule="auto"/>
        <w:ind w:firstLine="1440"/>
        <w:rPr>
          <w:sz w:val="26"/>
          <w:szCs w:val="26"/>
        </w:rPr>
      </w:pPr>
      <w:r>
        <w:rPr>
          <w:sz w:val="26"/>
          <w:szCs w:val="26"/>
        </w:rPr>
        <w:t xml:space="preserve">In its Exceptions, </w:t>
      </w:r>
      <w:r w:rsidR="00492FD1" w:rsidRPr="00492FD1">
        <w:rPr>
          <w:sz w:val="26"/>
          <w:szCs w:val="26"/>
        </w:rPr>
        <w:t>RESA argues that the ALJ erred in reje</w:t>
      </w:r>
      <w:r>
        <w:rPr>
          <w:sz w:val="26"/>
          <w:szCs w:val="26"/>
        </w:rPr>
        <w:t>cting its proposed surcharge, and averred that the ALJ’s conclusion that the surcharge would result in a wealth transfer from default service customers to shopping customers was incorrect.</w:t>
      </w:r>
      <w:r w:rsidR="004C2B27">
        <w:rPr>
          <w:sz w:val="26"/>
          <w:szCs w:val="26"/>
        </w:rPr>
        <w:t xml:space="preserve">  </w:t>
      </w:r>
      <w:r>
        <w:rPr>
          <w:sz w:val="26"/>
          <w:szCs w:val="26"/>
        </w:rPr>
        <w:t>According to RESA, the ALJ overlooked</w:t>
      </w:r>
      <w:r w:rsidR="00492FD1" w:rsidRPr="00492FD1">
        <w:rPr>
          <w:sz w:val="26"/>
          <w:szCs w:val="26"/>
        </w:rPr>
        <w:t xml:space="preserve"> the fact that the purpose of the </w:t>
      </w:r>
      <w:r>
        <w:rPr>
          <w:sz w:val="26"/>
          <w:szCs w:val="26"/>
        </w:rPr>
        <w:t>sur</w:t>
      </w:r>
      <w:r w:rsidR="00492FD1" w:rsidRPr="00492FD1">
        <w:rPr>
          <w:sz w:val="26"/>
          <w:szCs w:val="26"/>
        </w:rPr>
        <w:t xml:space="preserve">charge is to counter the subsidization by shopping customers of non-shopping customers that exists today in Pennsylvania’s bundled electricity market.  </w:t>
      </w:r>
      <w:r w:rsidR="009554A0">
        <w:rPr>
          <w:sz w:val="26"/>
          <w:szCs w:val="26"/>
        </w:rPr>
        <w:t xml:space="preserve">RESA Exc. at 35-37.  </w:t>
      </w:r>
    </w:p>
    <w:p w:rsidR="006D47C0" w:rsidRPr="00EE5722" w:rsidRDefault="006D47C0" w:rsidP="009554A0">
      <w:pPr>
        <w:pStyle w:val="BodyText"/>
        <w:spacing w:after="0" w:line="360" w:lineRule="auto"/>
        <w:ind w:left="0" w:firstLine="0"/>
        <w:rPr>
          <w:sz w:val="26"/>
          <w:szCs w:val="26"/>
        </w:rPr>
      </w:pPr>
    </w:p>
    <w:p w:rsidR="006D47C0" w:rsidRDefault="00727AD9" w:rsidP="00584C88">
      <w:pPr>
        <w:pStyle w:val="Heading4"/>
        <w:numPr>
          <w:ilvl w:val="0"/>
          <w:numId w:val="0"/>
        </w:numPr>
        <w:ind w:left="2880" w:hanging="720"/>
      </w:pPr>
      <w:bookmarkStart w:id="211" w:name="_Toc346705453"/>
      <w:r>
        <w:t>d.</w:t>
      </w:r>
      <w:r>
        <w:tab/>
      </w:r>
      <w:r w:rsidR="00261BFA">
        <w:t>Reply Exceptions</w:t>
      </w:r>
      <w:bookmarkEnd w:id="211"/>
    </w:p>
    <w:p w:rsidR="00E14091" w:rsidRPr="00664E0C" w:rsidRDefault="00E14091" w:rsidP="00E14091">
      <w:pPr>
        <w:pStyle w:val="BriefL3"/>
        <w:numPr>
          <w:ilvl w:val="0"/>
          <w:numId w:val="0"/>
        </w:numPr>
        <w:spacing w:after="0" w:line="360" w:lineRule="auto"/>
        <w:ind w:left="2160"/>
        <w:rPr>
          <w:b/>
          <w:sz w:val="26"/>
          <w:szCs w:val="26"/>
        </w:rPr>
      </w:pPr>
    </w:p>
    <w:p w:rsidR="00E14091" w:rsidRDefault="00E14091" w:rsidP="001359DE">
      <w:pPr>
        <w:spacing w:line="360" w:lineRule="auto"/>
        <w:ind w:firstLine="1440"/>
        <w:rPr>
          <w:sz w:val="26"/>
          <w:szCs w:val="26"/>
        </w:rPr>
      </w:pPr>
      <w:r>
        <w:rPr>
          <w:sz w:val="26"/>
          <w:szCs w:val="26"/>
        </w:rPr>
        <w:lastRenderedPageBreak/>
        <w:t xml:space="preserve">In </w:t>
      </w:r>
      <w:r w:rsidR="00727AD9">
        <w:rPr>
          <w:sz w:val="26"/>
          <w:szCs w:val="26"/>
        </w:rPr>
        <w:t xml:space="preserve">its Reply Exceptions, Duquesne </w:t>
      </w:r>
      <w:r>
        <w:rPr>
          <w:sz w:val="26"/>
          <w:szCs w:val="26"/>
        </w:rPr>
        <w:t>argues that the ALJ’s recommendation is consistent with the Commi</w:t>
      </w:r>
      <w:r w:rsidR="00727AD9">
        <w:rPr>
          <w:sz w:val="26"/>
          <w:szCs w:val="26"/>
        </w:rPr>
        <w:t>ssion’s decisions in both the FirstEnergy</w:t>
      </w:r>
      <w:r w:rsidR="009554A0">
        <w:rPr>
          <w:sz w:val="26"/>
          <w:szCs w:val="26"/>
        </w:rPr>
        <w:t xml:space="preserve"> DSP</w:t>
      </w:r>
      <w:r>
        <w:rPr>
          <w:sz w:val="26"/>
          <w:szCs w:val="26"/>
        </w:rPr>
        <w:t xml:space="preserve"> and PECO DSP proceedings.  </w:t>
      </w:r>
      <w:r w:rsidR="00727AD9">
        <w:rPr>
          <w:i/>
          <w:sz w:val="26"/>
          <w:szCs w:val="26"/>
        </w:rPr>
        <w:t>FirstEnergy DSP</w:t>
      </w:r>
      <w:r w:rsidRPr="00E14091">
        <w:rPr>
          <w:i/>
          <w:sz w:val="26"/>
          <w:szCs w:val="26"/>
        </w:rPr>
        <w:t xml:space="preserve"> Order</w:t>
      </w:r>
      <w:r>
        <w:rPr>
          <w:sz w:val="26"/>
          <w:szCs w:val="26"/>
        </w:rPr>
        <w:t xml:space="preserve"> at 62-63, 107; </w:t>
      </w:r>
      <w:r w:rsidRPr="00E14091">
        <w:rPr>
          <w:i/>
          <w:sz w:val="26"/>
          <w:szCs w:val="26"/>
        </w:rPr>
        <w:t xml:space="preserve">PECO </w:t>
      </w:r>
      <w:r w:rsidR="00727AD9">
        <w:rPr>
          <w:i/>
          <w:sz w:val="26"/>
          <w:szCs w:val="26"/>
        </w:rPr>
        <w:t xml:space="preserve">DSP </w:t>
      </w:r>
      <w:r w:rsidRPr="00E14091">
        <w:rPr>
          <w:i/>
          <w:sz w:val="26"/>
          <w:szCs w:val="26"/>
        </w:rPr>
        <w:t>Order</w:t>
      </w:r>
      <w:r>
        <w:rPr>
          <w:sz w:val="26"/>
          <w:szCs w:val="26"/>
        </w:rPr>
        <w:t xml:space="preserve"> at 76.  Duquesne states that RESA has offered no basis</w:t>
      </w:r>
      <w:r w:rsidR="00727AD9">
        <w:rPr>
          <w:sz w:val="26"/>
          <w:szCs w:val="26"/>
        </w:rPr>
        <w:t xml:space="preserve"> to distinguish Duquesne from FirstEnergy and PECO</w:t>
      </w:r>
      <w:r>
        <w:rPr>
          <w:sz w:val="26"/>
          <w:szCs w:val="26"/>
        </w:rPr>
        <w:t>, and that RESA’s Exception should be denied.  Duquesne R.Exc. at 22-23.</w:t>
      </w:r>
    </w:p>
    <w:p w:rsidR="006D47C0" w:rsidRPr="00664E0C" w:rsidRDefault="006D47C0" w:rsidP="001359DE">
      <w:pPr>
        <w:pStyle w:val="BodyText"/>
        <w:spacing w:after="0" w:line="360" w:lineRule="auto"/>
        <w:ind w:left="0" w:firstLine="0"/>
        <w:rPr>
          <w:sz w:val="26"/>
          <w:szCs w:val="26"/>
        </w:rPr>
      </w:pPr>
    </w:p>
    <w:p w:rsidR="006C41F8" w:rsidRDefault="00664E0C" w:rsidP="001359DE">
      <w:pPr>
        <w:spacing w:line="360" w:lineRule="auto"/>
        <w:ind w:firstLine="1440"/>
        <w:rPr>
          <w:sz w:val="26"/>
          <w:szCs w:val="26"/>
        </w:rPr>
      </w:pPr>
      <w:r>
        <w:rPr>
          <w:sz w:val="26"/>
          <w:szCs w:val="26"/>
        </w:rPr>
        <w:t>In its Reply Exceptions, the OCA argues that the ALJ correctly rejected RESA’</w:t>
      </w:r>
      <w:r w:rsidR="00727AD9">
        <w:rPr>
          <w:sz w:val="26"/>
          <w:szCs w:val="26"/>
        </w:rPr>
        <w:t xml:space="preserve">s proposed surcharge, under which the </w:t>
      </w:r>
      <w:r w:rsidRPr="00664E0C">
        <w:rPr>
          <w:sz w:val="26"/>
          <w:szCs w:val="26"/>
        </w:rPr>
        <w:t xml:space="preserve">costs </w:t>
      </w:r>
      <w:r>
        <w:rPr>
          <w:sz w:val="26"/>
          <w:szCs w:val="26"/>
        </w:rPr>
        <w:t>of the RME</w:t>
      </w:r>
      <w:r w:rsidRPr="00664E0C">
        <w:rPr>
          <w:sz w:val="26"/>
          <w:szCs w:val="26"/>
        </w:rPr>
        <w:t xml:space="preserve"> Programs </w:t>
      </w:r>
      <w:r w:rsidR="00727AD9">
        <w:rPr>
          <w:sz w:val="26"/>
          <w:szCs w:val="26"/>
        </w:rPr>
        <w:t xml:space="preserve">would </w:t>
      </w:r>
      <w:r w:rsidRPr="00664E0C">
        <w:rPr>
          <w:sz w:val="26"/>
          <w:szCs w:val="26"/>
        </w:rPr>
        <w:t>be recovered t</w:t>
      </w:r>
      <w:r>
        <w:rPr>
          <w:sz w:val="26"/>
          <w:szCs w:val="26"/>
        </w:rPr>
        <w:t>hr</w:t>
      </w:r>
      <w:r w:rsidR="00727AD9">
        <w:rPr>
          <w:sz w:val="26"/>
          <w:szCs w:val="26"/>
        </w:rPr>
        <w:t>ough a $5/MWh charge</w:t>
      </w:r>
      <w:r w:rsidRPr="00664E0C">
        <w:rPr>
          <w:sz w:val="26"/>
          <w:szCs w:val="26"/>
        </w:rPr>
        <w:t xml:space="preserve"> to </w:t>
      </w:r>
      <w:r w:rsidRPr="00727AD9">
        <w:rPr>
          <w:sz w:val="26"/>
          <w:szCs w:val="26"/>
        </w:rPr>
        <w:t>default service</w:t>
      </w:r>
      <w:r w:rsidR="00315FF6">
        <w:rPr>
          <w:sz w:val="26"/>
          <w:szCs w:val="26"/>
        </w:rPr>
        <w:t xml:space="preserve"> customers.  Despite the fact that </w:t>
      </w:r>
      <w:r>
        <w:rPr>
          <w:sz w:val="26"/>
          <w:szCs w:val="26"/>
        </w:rPr>
        <w:t xml:space="preserve">Duquesne would </w:t>
      </w:r>
      <w:r w:rsidRPr="00664E0C">
        <w:rPr>
          <w:sz w:val="26"/>
          <w:szCs w:val="26"/>
        </w:rPr>
        <w:t>receive approximately $4 million in excess of</w:t>
      </w:r>
      <w:r>
        <w:rPr>
          <w:sz w:val="26"/>
          <w:szCs w:val="26"/>
        </w:rPr>
        <w:t xml:space="preserve"> any costs incurred</w:t>
      </w:r>
      <w:r w:rsidR="00315FF6">
        <w:rPr>
          <w:sz w:val="26"/>
          <w:szCs w:val="26"/>
        </w:rPr>
        <w:t xml:space="preserve"> under RESA’s proposal, Duquesne itself opposed RESA’s proposal</w:t>
      </w:r>
      <w:r w:rsidR="004C2B27">
        <w:rPr>
          <w:sz w:val="26"/>
          <w:szCs w:val="26"/>
        </w:rPr>
        <w:t xml:space="preserve">.  </w:t>
      </w:r>
      <w:r w:rsidR="001359DE">
        <w:rPr>
          <w:i/>
          <w:sz w:val="26"/>
          <w:szCs w:val="26"/>
        </w:rPr>
        <w:t xml:space="preserve">See </w:t>
      </w:r>
      <w:r w:rsidRPr="00664E0C">
        <w:rPr>
          <w:sz w:val="26"/>
          <w:szCs w:val="26"/>
        </w:rPr>
        <w:t>Duquesne St. 3-R</w:t>
      </w:r>
      <w:r w:rsidR="004C2B27">
        <w:rPr>
          <w:sz w:val="26"/>
          <w:szCs w:val="26"/>
        </w:rPr>
        <w:t xml:space="preserve"> at 82-83;</w:t>
      </w:r>
      <w:r w:rsidR="00315FF6">
        <w:rPr>
          <w:sz w:val="26"/>
          <w:szCs w:val="26"/>
        </w:rPr>
        <w:t xml:space="preserve"> Duquesne M.B. at 70.  The OCA argued that RESA’s proposed surcharge</w:t>
      </w:r>
      <w:r w:rsidRPr="00664E0C">
        <w:rPr>
          <w:sz w:val="26"/>
          <w:szCs w:val="26"/>
        </w:rPr>
        <w:t xml:space="preserve"> </w:t>
      </w:r>
      <w:r w:rsidR="00315FF6">
        <w:rPr>
          <w:iCs/>
          <w:sz w:val="26"/>
          <w:szCs w:val="26"/>
        </w:rPr>
        <w:t xml:space="preserve">would </w:t>
      </w:r>
      <w:r w:rsidRPr="00664E0C">
        <w:rPr>
          <w:iCs/>
          <w:sz w:val="26"/>
          <w:szCs w:val="26"/>
        </w:rPr>
        <w:t xml:space="preserve">increase the power supply costs for both default service customers and </w:t>
      </w:r>
      <w:r w:rsidR="00315FF6">
        <w:rPr>
          <w:iCs/>
          <w:sz w:val="26"/>
          <w:szCs w:val="26"/>
        </w:rPr>
        <w:t>shopping customers;</w:t>
      </w:r>
      <w:r w:rsidRPr="00664E0C">
        <w:rPr>
          <w:iCs/>
          <w:sz w:val="26"/>
          <w:szCs w:val="26"/>
        </w:rPr>
        <w:t xml:space="preserve"> </w:t>
      </w:r>
      <w:r w:rsidRPr="00664E0C">
        <w:rPr>
          <w:sz w:val="26"/>
          <w:szCs w:val="26"/>
        </w:rPr>
        <w:t xml:space="preserve">would result in </w:t>
      </w:r>
      <w:r w:rsidR="00315FF6">
        <w:rPr>
          <w:sz w:val="26"/>
          <w:szCs w:val="26"/>
        </w:rPr>
        <w:t xml:space="preserve">unlawful </w:t>
      </w:r>
      <w:r w:rsidRPr="00664E0C">
        <w:rPr>
          <w:sz w:val="26"/>
          <w:szCs w:val="26"/>
        </w:rPr>
        <w:t>cross-subsidization of shopping customers by def</w:t>
      </w:r>
      <w:r w:rsidR="00315FF6">
        <w:rPr>
          <w:sz w:val="26"/>
          <w:szCs w:val="26"/>
        </w:rPr>
        <w:t>ault service customers; would violate the Code’s prohibition against a utility’s recovery of hypothetical costs;</w:t>
      </w:r>
      <w:r w:rsidR="00315FF6" w:rsidRPr="00315FF6">
        <w:rPr>
          <w:sz w:val="26"/>
          <w:szCs w:val="26"/>
        </w:rPr>
        <w:t xml:space="preserve"> </w:t>
      </w:r>
      <w:r w:rsidR="00F22E66">
        <w:rPr>
          <w:sz w:val="26"/>
          <w:szCs w:val="26"/>
        </w:rPr>
        <w:t xml:space="preserve">and </w:t>
      </w:r>
      <w:r w:rsidR="00315FF6">
        <w:rPr>
          <w:sz w:val="26"/>
          <w:szCs w:val="26"/>
        </w:rPr>
        <w:t>would violate the Code’s prohibition against a utility earning a profit on the provision of default service.</w:t>
      </w:r>
      <w:r w:rsidR="001359DE">
        <w:rPr>
          <w:sz w:val="26"/>
          <w:szCs w:val="26"/>
        </w:rPr>
        <w:t xml:space="preserve">  OCA R.Exc. at 25-28.  </w:t>
      </w:r>
    </w:p>
    <w:p w:rsidR="00315FF6" w:rsidRDefault="00315FF6" w:rsidP="001359DE">
      <w:pPr>
        <w:spacing w:line="360" w:lineRule="auto"/>
        <w:ind w:firstLine="1440"/>
        <w:rPr>
          <w:sz w:val="26"/>
          <w:szCs w:val="26"/>
        </w:rPr>
      </w:pPr>
    </w:p>
    <w:p w:rsidR="006C41F8" w:rsidRPr="006C41F8" w:rsidRDefault="006C41F8" w:rsidP="001359DE">
      <w:pPr>
        <w:spacing w:line="360" w:lineRule="auto"/>
        <w:ind w:right="-720" w:firstLine="1440"/>
        <w:rPr>
          <w:sz w:val="26"/>
          <w:szCs w:val="26"/>
        </w:rPr>
      </w:pPr>
      <w:r w:rsidRPr="006C41F8">
        <w:rPr>
          <w:sz w:val="26"/>
          <w:szCs w:val="26"/>
        </w:rPr>
        <w:t>In its Re</w:t>
      </w:r>
      <w:r w:rsidR="001359DE">
        <w:rPr>
          <w:sz w:val="26"/>
          <w:szCs w:val="26"/>
        </w:rPr>
        <w:t xml:space="preserve">ply Exceptions, the </w:t>
      </w:r>
      <w:r w:rsidR="00CB3DC7">
        <w:rPr>
          <w:sz w:val="26"/>
          <w:szCs w:val="26"/>
        </w:rPr>
        <w:t xml:space="preserve">OSBA submits that </w:t>
      </w:r>
      <w:r w:rsidRPr="006C41F8">
        <w:rPr>
          <w:sz w:val="26"/>
          <w:szCs w:val="26"/>
        </w:rPr>
        <w:t>RESA</w:t>
      </w:r>
      <w:r w:rsidR="00CB3DC7">
        <w:rPr>
          <w:sz w:val="26"/>
          <w:szCs w:val="26"/>
        </w:rPr>
        <w:t xml:space="preserve">’s </w:t>
      </w:r>
      <w:r w:rsidRPr="006C41F8">
        <w:rPr>
          <w:sz w:val="26"/>
          <w:szCs w:val="26"/>
        </w:rPr>
        <w:t xml:space="preserve">claims that shopping customers are paying for default service costs in distribution rates </w:t>
      </w:r>
      <w:r w:rsidR="001D0068">
        <w:rPr>
          <w:sz w:val="26"/>
          <w:szCs w:val="26"/>
        </w:rPr>
        <w:t>(</w:t>
      </w:r>
      <w:r w:rsidRPr="006C41F8">
        <w:rPr>
          <w:i/>
          <w:sz w:val="26"/>
          <w:szCs w:val="26"/>
        </w:rPr>
        <w:t>i.e.</w:t>
      </w:r>
      <w:r w:rsidRPr="006C41F8">
        <w:rPr>
          <w:sz w:val="26"/>
          <w:szCs w:val="26"/>
        </w:rPr>
        <w:t>, that Duquesne’s rates are not fully unbundled, and thereby subsidize default service customers</w:t>
      </w:r>
      <w:r w:rsidR="001D0068">
        <w:rPr>
          <w:sz w:val="26"/>
          <w:szCs w:val="26"/>
        </w:rPr>
        <w:t>)</w:t>
      </w:r>
      <w:r w:rsidR="00CB3DC7">
        <w:rPr>
          <w:sz w:val="26"/>
          <w:szCs w:val="26"/>
        </w:rPr>
        <w:t xml:space="preserve"> is unsubstantiated</w:t>
      </w:r>
      <w:r w:rsidRPr="006C41F8">
        <w:rPr>
          <w:sz w:val="26"/>
          <w:szCs w:val="26"/>
        </w:rPr>
        <w:t>.</w:t>
      </w:r>
      <w:r w:rsidRPr="006C41F8">
        <w:rPr>
          <w:rStyle w:val="FootnoteReference"/>
          <w:sz w:val="26"/>
          <w:szCs w:val="26"/>
        </w:rPr>
        <w:footnoteReference w:id="125"/>
      </w:r>
      <w:r w:rsidR="00CB3DC7">
        <w:rPr>
          <w:sz w:val="26"/>
          <w:szCs w:val="26"/>
        </w:rPr>
        <w:t xml:space="preserve">  The OSBA argues that </w:t>
      </w:r>
      <w:r w:rsidRPr="006C41F8">
        <w:rPr>
          <w:sz w:val="26"/>
          <w:szCs w:val="26"/>
        </w:rPr>
        <w:t xml:space="preserve">RESA then takes the opposite position </w:t>
      </w:r>
      <w:r w:rsidR="00F22E66">
        <w:rPr>
          <w:sz w:val="26"/>
          <w:szCs w:val="26"/>
        </w:rPr>
        <w:t xml:space="preserve">when RESA argues </w:t>
      </w:r>
      <w:r w:rsidRPr="006C41F8">
        <w:rPr>
          <w:sz w:val="26"/>
          <w:szCs w:val="26"/>
        </w:rPr>
        <w:t>that cross-subsidization of shopping customers by default service</w:t>
      </w:r>
      <w:r w:rsidR="00CB3DC7">
        <w:rPr>
          <w:sz w:val="26"/>
          <w:szCs w:val="26"/>
        </w:rPr>
        <w:t xml:space="preserve"> customers through the surcharge </w:t>
      </w:r>
      <w:r w:rsidRPr="006C41F8">
        <w:rPr>
          <w:sz w:val="26"/>
          <w:szCs w:val="26"/>
        </w:rPr>
        <w:t xml:space="preserve">is </w:t>
      </w:r>
      <w:r w:rsidRPr="006C41F8">
        <w:rPr>
          <w:sz w:val="26"/>
          <w:szCs w:val="26"/>
        </w:rPr>
        <w:lastRenderedPageBreak/>
        <w:t>appropriate.  Although RESA argues that all customers will benefit from the retail market initiatives, RESA contends that only default service customers shoul</w:t>
      </w:r>
      <w:r w:rsidR="00CB3DC7">
        <w:rPr>
          <w:sz w:val="26"/>
          <w:szCs w:val="26"/>
        </w:rPr>
        <w:t>d pay for them</w:t>
      </w:r>
      <w:r w:rsidRPr="006C41F8">
        <w:rPr>
          <w:sz w:val="26"/>
          <w:szCs w:val="26"/>
        </w:rPr>
        <w:t xml:space="preserve">.  </w:t>
      </w:r>
      <w:r w:rsidR="00CB3DC7">
        <w:rPr>
          <w:sz w:val="26"/>
          <w:szCs w:val="26"/>
        </w:rPr>
        <w:t xml:space="preserve">The OSBA submits that </w:t>
      </w:r>
      <w:r w:rsidRPr="006C41F8">
        <w:rPr>
          <w:sz w:val="26"/>
          <w:szCs w:val="26"/>
        </w:rPr>
        <w:t>RESA cannot have it both ways.</w:t>
      </w:r>
      <w:r w:rsidR="00CB3DC7">
        <w:rPr>
          <w:sz w:val="26"/>
          <w:szCs w:val="26"/>
        </w:rPr>
        <w:t xml:space="preserve">  </w:t>
      </w:r>
      <w:r w:rsidRPr="006C41F8">
        <w:rPr>
          <w:sz w:val="26"/>
          <w:szCs w:val="26"/>
        </w:rPr>
        <w:t>In RESA’s view, default service ratepayers should pay for all of the costs of providing default service, and then pa</w:t>
      </w:r>
      <w:r w:rsidR="00CB3DC7">
        <w:rPr>
          <w:sz w:val="26"/>
          <w:szCs w:val="26"/>
        </w:rPr>
        <w:t>y for </w:t>
      </w:r>
      <w:r w:rsidRPr="006C41F8">
        <w:rPr>
          <w:sz w:val="26"/>
          <w:szCs w:val="26"/>
        </w:rPr>
        <w:t xml:space="preserve">the costs </w:t>
      </w:r>
      <w:r w:rsidR="00CB3DC7">
        <w:rPr>
          <w:sz w:val="26"/>
          <w:szCs w:val="26"/>
        </w:rPr>
        <w:t xml:space="preserve">of EGS marketing efforts and retail marketing initiatives.   The OSBA observes that RESA similarly </w:t>
      </w:r>
      <w:r w:rsidRPr="006C41F8">
        <w:rPr>
          <w:sz w:val="26"/>
          <w:szCs w:val="26"/>
        </w:rPr>
        <w:t>argues against annual reconciliation because the result “will be to divorce the default service rates from underlying wholesale costs…thus distorting [customers’] perception of the market price of energy.”</w:t>
      </w:r>
      <w:r w:rsidRPr="006C41F8">
        <w:rPr>
          <w:rStyle w:val="FootnoteReference"/>
          <w:sz w:val="26"/>
          <w:szCs w:val="26"/>
        </w:rPr>
        <w:footnoteReference w:id="126"/>
      </w:r>
      <w:r w:rsidR="00CB3DC7">
        <w:rPr>
          <w:sz w:val="26"/>
          <w:szCs w:val="26"/>
        </w:rPr>
        <w:t xml:space="preserve">  The OSBA states that RESA’s proposed surcharge</w:t>
      </w:r>
      <w:r w:rsidRPr="006C41F8">
        <w:rPr>
          <w:sz w:val="26"/>
          <w:szCs w:val="26"/>
        </w:rPr>
        <w:t xml:space="preserve"> would do just that by artificially inflati</w:t>
      </w:r>
      <w:r w:rsidR="00CB3DC7">
        <w:rPr>
          <w:sz w:val="26"/>
          <w:szCs w:val="26"/>
        </w:rPr>
        <w:t xml:space="preserve">ng the PTC with a </w:t>
      </w:r>
      <w:r w:rsidRPr="006C41F8">
        <w:rPr>
          <w:sz w:val="26"/>
          <w:szCs w:val="26"/>
        </w:rPr>
        <w:t xml:space="preserve">surcharge </w:t>
      </w:r>
      <w:r w:rsidR="00CB3DC7">
        <w:rPr>
          <w:sz w:val="26"/>
          <w:szCs w:val="26"/>
        </w:rPr>
        <w:t xml:space="preserve">that </w:t>
      </w:r>
      <w:r w:rsidRPr="006C41F8">
        <w:rPr>
          <w:sz w:val="26"/>
          <w:szCs w:val="26"/>
        </w:rPr>
        <w:t>is not based on the true cost of providing default service.</w:t>
      </w:r>
      <w:r w:rsidR="001359DE">
        <w:rPr>
          <w:sz w:val="26"/>
          <w:szCs w:val="26"/>
        </w:rPr>
        <w:t xml:space="preserve">  OSBA R.Exc. at 15-17.</w:t>
      </w:r>
    </w:p>
    <w:p w:rsidR="00C26679" w:rsidRDefault="00C26679" w:rsidP="001359DE">
      <w:pPr>
        <w:spacing w:line="360" w:lineRule="auto"/>
        <w:rPr>
          <w:sz w:val="26"/>
          <w:szCs w:val="26"/>
        </w:rPr>
      </w:pPr>
    </w:p>
    <w:p w:rsidR="00510F61" w:rsidRPr="00C26679" w:rsidRDefault="00510F61" w:rsidP="001359DE">
      <w:pPr>
        <w:spacing w:line="360" w:lineRule="auto"/>
        <w:ind w:firstLine="1440"/>
        <w:rPr>
          <w:sz w:val="26"/>
          <w:szCs w:val="26"/>
        </w:rPr>
      </w:pPr>
      <w:r w:rsidRPr="00C26679">
        <w:rPr>
          <w:sz w:val="26"/>
          <w:szCs w:val="26"/>
        </w:rPr>
        <w:t xml:space="preserve">In its </w:t>
      </w:r>
      <w:r w:rsidR="001359DE">
        <w:rPr>
          <w:sz w:val="26"/>
          <w:szCs w:val="26"/>
        </w:rPr>
        <w:t xml:space="preserve">Reply Exceptions, </w:t>
      </w:r>
      <w:r w:rsidR="00CB3DC7">
        <w:rPr>
          <w:sz w:val="26"/>
          <w:szCs w:val="26"/>
        </w:rPr>
        <w:t>DII reiterates</w:t>
      </w:r>
      <w:r w:rsidRPr="00C26679">
        <w:rPr>
          <w:sz w:val="26"/>
          <w:szCs w:val="26"/>
        </w:rPr>
        <w:t xml:space="preserve"> th</w:t>
      </w:r>
      <w:r w:rsidR="00CB3DC7">
        <w:rPr>
          <w:sz w:val="26"/>
          <w:szCs w:val="26"/>
        </w:rPr>
        <w:t>at RESA’s proposed surcharge</w:t>
      </w:r>
      <w:r w:rsidRPr="00C26679">
        <w:rPr>
          <w:sz w:val="26"/>
          <w:szCs w:val="26"/>
        </w:rPr>
        <w:t xml:space="preserve"> would artificially </w:t>
      </w:r>
      <w:r w:rsidR="00CB3DC7">
        <w:rPr>
          <w:sz w:val="26"/>
          <w:szCs w:val="26"/>
        </w:rPr>
        <w:t>increase default service costs</w:t>
      </w:r>
      <w:r w:rsidRPr="00C26679">
        <w:rPr>
          <w:sz w:val="26"/>
          <w:szCs w:val="26"/>
        </w:rPr>
        <w:t>, lead to excess cost recovery from default service customers, and inappropriately refund costs to both shopping and</w:t>
      </w:r>
      <w:r w:rsidR="00CB3DC7">
        <w:rPr>
          <w:sz w:val="26"/>
          <w:szCs w:val="26"/>
        </w:rPr>
        <w:t xml:space="preserve"> default service customers.  DII submits that</w:t>
      </w:r>
      <w:r w:rsidRPr="00C26679">
        <w:rPr>
          <w:sz w:val="26"/>
          <w:szCs w:val="26"/>
        </w:rPr>
        <w:t xml:space="preserve"> RESA fails to provide </w:t>
      </w:r>
      <w:r w:rsidR="00C26679" w:rsidRPr="00C26679">
        <w:rPr>
          <w:sz w:val="26"/>
          <w:szCs w:val="26"/>
        </w:rPr>
        <w:t>any additional support for its proposed adder, merely referring to the a</w:t>
      </w:r>
      <w:r w:rsidRPr="00C26679">
        <w:rPr>
          <w:sz w:val="26"/>
          <w:szCs w:val="26"/>
        </w:rPr>
        <w:t>dder as a means for recovering RME costs and other "verifiable" default</w:t>
      </w:r>
      <w:r w:rsidR="00B628C9">
        <w:rPr>
          <w:sz w:val="26"/>
          <w:szCs w:val="26"/>
        </w:rPr>
        <w:t xml:space="preserve"> service costs.  </w:t>
      </w:r>
      <w:r w:rsidRPr="00C26679">
        <w:rPr>
          <w:sz w:val="26"/>
          <w:szCs w:val="26"/>
        </w:rPr>
        <w:t xml:space="preserve">Duquesne has </w:t>
      </w:r>
      <w:r w:rsidR="00B628C9">
        <w:rPr>
          <w:sz w:val="26"/>
          <w:szCs w:val="26"/>
        </w:rPr>
        <w:t>explained that RESA's proposal</w:t>
      </w:r>
      <w:r w:rsidRPr="00C26679">
        <w:rPr>
          <w:sz w:val="26"/>
          <w:szCs w:val="26"/>
        </w:rPr>
        <w:t xml:space="preserve"> would result in charges to default service customers that significantly exceed any leg</w:t>
      </w:r>
      <w:r w:rsidR="00C26679" w:rsidRPr="00C26679">
        <w:rPr>
          <w:sz w:val="26"/>
          <w:szCs w:val="26"/>
        </w:rPr>
        <w:t xml:space="preserve">itimate default service costs.  Duquesne St. 3-R at </w:t>
      </w:r>
      <w:r w:rsidR="00B628C9">
        <w:rPr>
          <w:sz w:val="26"/>
          <w:szCs w:val="26"/>
        </w:rPr>
        <w:t xml:space="preserve">82.  DII submits that, in addition, RESA's proposal would require </w:t>
      </w:r>
      <w:r w:rsidRPr="00C26679">
        <w:rPr>
          <w:sz w:val="26"/>
          <w:szCs w:val="26"/>
        </w:rPr>
        <w:t>default service customers to remit costs that would be refunded to shopping customers, a truly unreasonable example of cross-subsidization among customers.  Based on these flaws in RESA's position, as well as the con</w:t>
      </w:r>
      <w:r w:rsidR="00C26679" w:rsidRPr="00C26679">
        <w:rPr>
          <w:sz w:val="26"/>
          <w:szCs w:val="26"/>
        </w:rPr>
        <w:t>trary Commission precedent reject</w:t>
      </w:r>
      <w:r w:rsidRPr="00C26679">
        <w:rPr>
          <w:sz w:val="26"/>
          <w:szCs w:val="26"/>
        </w:rPr>
        <w:t xml:space="preserve">ing such an </w:t>
      </w:r>
      <w:r w:rsidR="00C26679" w:rsidRPr="00C26679">
        <w:rPr>
          <w:sz w:val="26"/>
          <w:szCs w:val="26"/>
        </w:rPr>
        <w:t>a</w:t>
      </w:r>
      <w:r w:rsidRPr="00C26679">
        <w:rPr>
          <w:sz w:val="26"/>
          <w:szCs w:val="26"/>
        </w:rPr>
        <w:t xml:space="preserve">dder, </w:t>
      </w:r>
      <w:r w:rsidR="00B628C9">
        <w:rPr>
          <w:sz w:val="26"/>
          <w:szCs w:val="26"/>
        </w:rPr>
        <w:t xml:space="preserve">DII argues that </w:t>
      </w:r>
      <w:r w:rsidRPr="00C26679">
        <w:rPr>
          <w:sz w:val="26"/>
          <w:szCs w:val="26"/>
        </w:rPr>
        <w:t xml:space="preserve">the Commission </w:t>
      </w:r>
      <w:r w:rsidR="00B628C9">
        <w:rPr>
          <w:sz w:val="26"/>
          <w:szCs w:val="26"/>
        </w:rPr>
        <w:t>must reject RESA's Exception.</w:t>
      </w:r>
      <w:r w:rsidR="001359DE">
        <w:rPr>
          <w:sz w:val="26"/>
          <w:szCs w:val="26"/>
        </w:rPr>
        <w:t xml:space="preserve">  DII R.Exc. at 5-6.  </w:t>
      </w:r>
    </w:p>
    <w:p w:rsidR="006D47C0" w:rsidRPr="00EE5722" w:rsidRDefault="006D47C0" w:rsidP="001359DE">
      <w:pPr>
        <w:spacing w:line="360" w:lineRule="auto"/>
        <w:rPr>
          <w:sz w:val="26"/>
          <w:szCs w:val="26"/>
        </w:rPr>
      </w:pPr>
    </w:p>
    <w:p w:rsidR="006D47C0" w:rsidRDefault="00B628C9" w:rsidP="00584C88">
      <w:pPr>
        <w:pStyle w:val="Heading4"/>
        <w:numPr>
          <w:ilvl w:val="0"/>
          <w:numId w:val="0"/>
        </w:numPr>
        <w:ind w:left="2880" w:hanging="720"/>
      </w:pPr>
      <w:bookmarkStart w:id="212" w:name="_Toc346705454"/>
      <w:r>
        <w:lastRenderedPageBreak/>
        <w:t>e</w:t>
      </w:r>
      <w:r w:rsidR="00B27202">
        <w:t>.</w:t>
      </w:r>
      <w:r w:rsidR="00B27202">
        <w:tab/>
        <w:t>Disposition</w:t>
      </w:r>
      <w:bookmarkEnd w:id="212"/>
    </w:p>
    <w:p w:rsidR="00B628C9" w:rsidRDefault="00B628C9" w:rsidP="00B628C9">
      <w:pPr>
        <w:pStyle w:val="BriefL3"/>
        <w:numPr>
          <w:ilvl w:val="0"/>
          <w:numId w:val="0"/>
        </w:numPr>
        <w:spacing w:after="0" w:line="360" w:lineRule="auto"/>
        <w:ind w:left="2160"/>
        <w:rPr>
          <w:b/>
          <w:sz w:val="26"/>
          <w:szCs w:val="26"/>
        </w:rPr>
      </w:pPr>
    </w:p>
    <w:p w:rsidR="00B628C9" w:rsidRPr="00B628C9" w:rsidRDefault="00B628C9" w:rsidP="00B628C9">
      <w:pPr>
        <w:pStyle w:val="BriefL3"/>
        <w:numPr>
          <w:ilvl w:val="0"/>
          <w:numId w:val="0"/>
        </w:numPr>
        <w:spacing w:after="0" w:line="360" w:lineRule="auto"/>
        <w:ind w:firstLine="1440"/>
        <w:outlineLvl w:val="9"/>
        <w:rPr>
          <w:sz w:val="26"/>
          <w:szCs w:val="26"/>
        </w:rPr>
      </w:pPr>
      <w:r>
        <w:rPr>
          <w:sz w:val="26"/>
          <w:szCs w:val="26"/>
        </w:rPr>
        <w:t>Consistent with our prior decisions on this issue, we shall deny RESA’s Exception, adopt the ALJ’s recommendation, and reject RESA’s proposed surcharge on default service customers.</w:t>
      </w:r>
      <w:r w:rsidR="00777BA2">
        <w:rPr>
          <w:sz w:val="26"/>
          <w:szCs w:val="26"/>
        </w:rPr>
        <w:t xml:space="preserve">  As we stated in the </w:t>
      </w:r>
      <w:r w:rsidR="00777BA2" w:rsidRPr="00777BA2">
        <w:rPr>
          <w:i/>
          <w:sz w:val="26"/>
          <w:szCs w:val="26"/>
        </w:rPr>
        <w:t>PECO DSP Order</w:t>
      </w:r>
      <w:r w:rsidR="00777BA2">
        <w:rPr>
          <w:sz w:val="26"/>
          <w:szCs w:val="26"/>
        </w:rPr>
        <w:t xml:space="preserve"> at 76, RESA’s proposed surcharge on default service lacks record support, would improperly require default service customers to subsidize shopping customers, and would unlawfully allow Duquesne to make a profit on the provision of default service.  We see no merit to RESA’s proposal; therefore, we shall </w:t>
      </w:r>
      <w:r w:rsidR="00D16DFB">
        <w:rPr>
          <w:sz w:val="26"/>
          <w:szCs w:val="26"/>
        </w:rPr>
        <w:t xml:space="preserve">deny </w:t>
      </w:r>
      <w:r w:rsidR="00777BA2">
        <w:rPr>
          <w:sz w:val="26"/>
          <w:szCs w:val="26"/>
        </w:rPr>
        <w:t>RESA’s Exception and adopt the recommendation of the ALJ on this issue.</w:t>
      </w:r>
    </w:p>
    <w:p w:rsidR="006D47C0" w:rsidRDefault="006D47C0" w:rsidP="00B27202">
      <w:pPr>
        <w:spacing w:line="360" w:lineRule="auto"/>
        <w:ind w:firstLine="720"/>
        <w:rPr>
          <w:sz w:val="26"/>
          <w:szCs w:val="26"/>
        </w:rPr>
      </w:pPr>
      <w:r w:rsidRPr="00EE5722">
        <w:rPr>
          <w:sz w:val="26"/>
          <w:szCs w:val="26"/>
        </w:rPr>
        <w:tab/>
      </w:r>
    </w:p>
    <w:p w:rsidR="002D3E17" w:rsidRPr="00EE5722" w:rsidRDefault="00284737" w:rsidP="00584C88">
      <w:pPr>
        <w:pStyle w:val="Heading2"/>
        <w:numPr>
          <w:ilvl w:val="0"/>
          <w:numId w:val="0"/>
        </w:numPr>
        <w:ind w:left="1440" w:hanging="720"/>
      </w:pPr>
      <w:bookmarkStart w:id="213" w:name="_Toc346705455"/>
      <w:r>
        <w:t>E</w:t>
      </w:r>
      <w:r w:rsidR="002D3E17" w:rsidRPr="00EE5722">
        <w:t>.</w:t>
      </w:r>
      <w:r w:rsidR="002D3E17" w:rsidRPr="00EE5722">
        <w:tab/>
        <w:t>Rate Design</w:t>
      </w:r>
      <w:bookmarkEnd w:id="213"/>
    </w:p>
    <w:p w:rsidR="002D3E17" w:rsidRPr="00EE5722" w:rsidRDefault="002D3E17" w:rsidP="002D3E17">
      <w:pPr>
        <w:pStyle w:val="BodyText"/>
        <w:spacing w:after="0" w:line="360" w:lineRule="auto"/>
        <w:rPr>
          <w:b/>
          <w:sz w:val="26"/>
          <w:szCs w:val="26"/>
        </w:rPr>
      </w:pPr>
    </w:p>
    <w:p w:rsidR="002D3E17" w:rsidRPr="00EE5722" w:rsidRDefault="002D3E17" w:rsidP="00584C88">
      <w:pPr>
        <w:pStyle w:val="Heading3"/>
      </w:pPr>
      <w:bookmarkStart w:id="214" w:name="_Toc346705456"/>
      <w:r w:rsidRPr="00EE5722">
        <w:t>1.</w:t>
      </w:r>
      <w:r w:rsidRPr="00EE5722">
        <w:tab/>
        <w:t>Reconciliation Issues</w:t>
      </w:r>
      <w:bookmarkEnd w:id="214"/>
      <w:r w:rsidRPr="00EE5722">
        <w:t xml:space="preserve"> </w:t>
      </w:r>
    </w:p>
    <w:p w:rsidR="002D3E17" w:rsidRPr="00EE5722" w:rsidRDefault="002D3E17" w:rsidP="002D3E17">
      <w:pPr>
        <w:pStyle w:val="BriefL3"/>
        <w:numPr>
          <w:ilvl w:val="0"/>
          <w:numId w:val="0"/>
        </w:numPr>
        <w:spacing w:after="0" w:line="360" w:lineRule="auto"/>
        <w:ind w:left="720" w:firstLine="720"/>
        <w:rPr>
          <w:b/>
          <w:sz w:val="26"/>
          <w:szCs w:val="26"/>
        </w:rPr>
      </w:pPr>
    </w:p>
    <w:p w:rsidR="002D3E17" w:rsidRPr="00EE5722" w:rsidRDefault="002D3E17" w:rsidP="00584C88">
      <w:pPr>
        <w:pStyle w:val="Heading4"/>
        <w:numPr>
          <w:ilvl w:val="0"/>
          <w:numId w:val="0"/>
        </w:numPr>
        <w:ind w:left="2880" w:hanging="720"/>
      </w:pPr>
      <w:bookmarkStart w:id="215" w:name="_Toc346705457"/>
      <w:r>
        <w:t>a.</w:t>
      </w:r>
      <w:r>
        <w:tab/>
        <w:t>Duquesne</w:t>
      </w:r>
      <w:r w:rsidRPr="00EE5722">
        <w:t>’s Proposal</w:t>
      </w:r>
      <w:bookmarkEnd w:id="215"/>
    </w:p>
    <w:p w:rsidR="002D3E17" w:rsidRPr="00EE5722" w:rsidRDefault="002D3E17" w:rsidP="002D3E17">
      <w:pPr>
        <w:pStyle w:val="BodyText"/>
        <w:spacing w:after="0" w:line="360" w:lineRule="auto"/>
        <w:ind w:left="0" w:firstLine="0"/>
        <w:rPr>
          <w:sz w:val="26"/>
          <w:szCs w:val="26"/>
        </w:rPr>
      </w:pPr>
    </w:p>
    <w:p w:rsidR="002D3E17" w:rsidRPr="00656D38" w:rsidRDefault="002D3E17" w:rsidP="002D3E17">
      <w:pPr>
        <w:pStyle w:val="BodyText2"/>
        <w:spacing w:after="0" w:line="360" w:lineRule="auto"/>
        <w:rPr>
          <w:sz w:val="26"/>
          <w:szCs w:val="26"/>
        </w:rPr>
      </w:pPr>
      <w:r w:rsidRPr="00EE5722">
        <w:rPr>
          <w:sz w:val="26"/>
          <w:szCs w:val="26"/>
        </w:rPr>
        <w:tab/>
      </w:r>
      <w:r w:rsidRPr="00EE5722">
        <w:rPr>
          <w:sz w:val="26"/>
          <w:szCs w:val="26"/>
        </w:rPr>
        <w:tab/>
      </w:r>
      <w:r>
        <w:rPr>
          <w:sz w:val="26"/>
          <w:szCs w:val="26"/>
        </w:rPr>
        <w:t xml:space="preserve">The Company proposed </w:t>
      </w:r>
      <w:r w:rsidR="005D7767">
        <w:rPr>
          <w:sz w:val="26"/>
          <w:szCs w:val="26"/>
        </w:rPr>
        <w:t xml:space="preserve">the </w:t>
      </w:r>
      <w:r w:rsidRPr="00EE5722">
        <w:rPr>
          <w:sz w:val="26"/>
          <w:szCs w:val="26"/>
        </w:rPr>
        <w:t>reconciliation of default service costs an</w:t>
      </w:r>
      <w:r w:rsidR="00E725D0">
        <w:rPr>
          <w:sz w:val="26"/>
          <w:szCs w:val="26"/>
        </w:rPr>
        <w:t xml:space="preserve">d </w:t>
      </w:r>
      <w:r w:rsidR="00E37DAE">
        <w:rPr>
          <w:sz w:val="26"/>
          <w:szCs w:val="26"/>
        </w:rPr>
        <w:t>revenues</w:t>
      </w:r>
      <w:r w:rsidR="00E725D0">
        <w:rPr>
          <w:sz w:val="26"/>
          <w:szCs w:val="26"/>
        </w:rPr>
        <w:t xml:space="preserve"> for each of the r</w:t>
      </w:r>
      <w:r w:rsidRPr="00EE5722">
        <w:rPr>
          <w:sz w:val="26"/>
          <w:szCs w:val="26"/>
        </w:rPr>
        <w:t>esidential, Small C&amp;I and Medium C&amp;I rate classes</w:t>
      </w:r>
      <w:r>
        <w:rPr>
          <w:sz w:val="26"/>
          <w:szCs w:val="26"/>
        </w:rPr>
        <w:t xml:space="preserve"> on an annual basis</w:t>
      </w:r>
      <w:r w:rsidRPr="00EE5722">
        <w:rPr>
          <w:sz w:val="26"/>
          <w:szCs w:val="26"/>
        </w:rPr>
        <w:t xml:space="preserve">.  If approved, the Company explained </w:t>
      </w:r>
      <w:r>
        <w:rPr>
          <w:sz w:val="26"/>
          <w:szCs w:val="26"/>
        </w:rPr>
        <w:t xml:space="preserve">that </w:t>
      </w:r>
      <w:r w:rsidRPr="00EE5722">
        <w:rPr>
          <w:sz w:val="26"/>
          <w:szCs w:val="26"/>
        </w:rPr>
        <w:t xml:space="preserve">it would not experience large over- or under- collections because all </w:t>
      </w:r>
      <w:r>
        <w:rPr>
          <w:sz w:val="26"/>
          <w:szCs w:val="26"/>
        </w:rPr>
        <w:t xml:space="preserve">its proposed </w:t>
      </w:r>
      <w:r w:rsidRPr="00EE5722">
        <w:rPr>
          <w:sz w:val="26"/>
          <w:szCs w:val="26"/>
        </w:rPr>
        <w:t>default supply procurements involve the exclusive use of fixed-price full requirements contracts and the default service rates are set after the supply solicitations for the applicable period</w:t>
      </w:r>
      <w:r>
        <w:rPr>
          <w:sz w:val="26"/>
          <w:szCs w:val="26"/>
        </w:rPr>
        <w:t xml:space="preserve"> are completed.  Duquesne stated that t</w:t>
      </w:r>
      <w:r w:rsidRPr="00EE5722">
        <w:rPr>
          <w:sz w:val="26"/>
          <w:szCs w:val="26"/>
        </w:rPr>
        <w:t>he exclusive use of full-requirements contracts greatly reduces the risk of over/und</w:t>
      </w:r>
      <w:r>
        <w:rPr>
          <w:sz w:val="26"/>
          <w:szCs w:val="26"/>
        </w:rPr>
        <w:t xml:space="preserve">er collections.  </w:t>
      </w:r>
      <w:r w:rsidRPr="00EE5722">
        <w:rPr>
          <w:sz w:val="26"/>
          <w:szCs w:val="26"/>
        </w:rPr>
        <w:t xml:space="preserve">Furthermore, </w:t>
      </w:r>
      <w:r>
        <w:rPr>
          <w:sz w:val="26"/>
          <w:szCs w:val="26"/>
        </w:rPr>
        <w:t xml:space="preserve">Duquesne noted that </w:t>
      </w:r>
      <w:r w:rsidRPr="00EE5722">
        <w:rPr>
          <w:sz w:val="26"/>
          <w:szCs w:val="26"/>
        </w:rPr>
        <w:t>the over/under collection component of the Company’s default service rate has only deviated +/- 0.03 cents per kWh since implementing the RFP process and reconciliation for Medium C&amp;I customers.</w:t>
      </w:r>
      <w:r>
        <w:rPr>
          <w:sz w:val="26"/>
          <w:szCs w:val="26"/>
        </w:rPr>
        <w:t xml:space="preserve">  Duquesne St. 4-R at </w:t>
      </w:r>
      <w:r w:rsidRPr="00EE5722">
        <w:rPr>
          <w:sz w:val="26"/>
          <w:szCs w:val="26"/>
        </w:rPr>
        <w:t>9</w:t>
      </w:r>
      <w:r>
        <w:rPr>
          <w:sz w:val="26"/>
          <w:szCs w:val="26"/>
        </w:rPr>
        <w:t>-10</w:t>
      </w:r>
      <w:r w:rsidRPr="00EE5722">
        <w:rPr>
          <w:sz w:val="26"/>
          <w:szCs w:val="26"/>
        </w:rPr>
        <w:t xml:space="preserve">.  </w:t>
      </w:r>
    </w:p>
    <w:p w:rsidR="002D3E17" w:rsidRPr="00CD3B94" w:rsidRDefault="002D3E17" w:rsidP="002D3E17">
      <w:pPr>
        <w:pStyle w:val="BodyText2"/>
        <w:spacing w:after="0" w:line="360" w:lineRule="auto"/>
        <w:rPr>
          <w:sz w:val="26"/>
          <w:szCs w:val="26"/>
        </w:rPr>
      </w:pPr>
    </w:p>
    <w:p w:rsidR="002D3E17" w:rsidRPr="00EE1E14" w:rsidRDefault="002D3E17" w:rsidP="00E725D0">
      <w:pPr>
        <w:pStyle w:val="BodyText2"/>
        <w:spacing w:after="0" w:line="360" w:lineRule="auto"/>
        <w:rPr>
          <w:sz w:val="26"/>
          <w:szCs w:val="26"/>
        </w:rPr>
      </w:pPr>
      <w:r w:rsidRPr="00EE5722">
        <w:rPr>
          <w:sz w:val="26"/>
          <w:szCs w:val="26"/>
        </w:rPr>
        <w:lastRenderedPageBreak/>
        <w:tab/>
      </w:r>
      <w:r w:rsidRPr="00EE5722">
        <w:rPr>
          <w:sz w:val="26"/>
          <w:szCs w:val="26"/>
        </w:rPr>
        <w:tab/>
        <w:t xml:space="preserve">The Company </w:t>
      </w:r>
      <w:r>
        <w:rPr>
          <w:sz w:val="26"/>
          <w:szCs w:val="26"/>
        </w:rPr>
        <w:t>contended that</w:t>
      </w:r>
      <w:r w:rsidRPr="00EE5722">
        <w:rPr>
          <w:sz w:val="26"/>
          <w:szCs w:val="26"/>
        </w:rPr>
        <w:t xml:space="preserve"> RESA’s proposal for quarterly reconciliation is not necessary unless the procurement plan is revised to include block and/or spot purchases.  As long as the procurement plan consists entirely of full requirements contracts, the default service price will be known and fixed before each appl</w:t>
      </w:r>
      <w:r>
        <w:rPr>
          <w:sz w:val="26"/>
          <w:szCs w:val="26"/>
        </w:rPr>
        <w:t xml:space="preserve">ication period.  </w:t>
      </w:r>
      <w:r w:rsidRPr="00EE5722">
        <w:rPr>
          <w:sz w:val="26"/>
          <w:szCs w:val="26"/>
        </w:rPr>
        <w:t xml:space="preserve">The Company will pay wholesale suppliers the fixed rate based on actual volumes sold.  Therefore, </w:t>
      </w:r>
      <w:r>
        <w:rPr>
          <w:sz w:val="26"/>
          <w:szCs w:val="26"/>
        </w:rPr>
        <w:t xml:space="preserve">according to Duquesne, </w:t>
      </w:r>
      <w:r w:rsidRPr="00EE5722">
        <w:rPr>
          <w:sz w:val="26"/>
          <w:szCs w:val="26"/>
        </w:rPr>
        <w:t>the reconciliation amounts will be minimal, and it is unnecessary to adopt RESA’s reconciliation proposal under such circumstances.</w:t>
      </w:r>
      <w:r>
        <w:rPr>
          <w:sz w:val="26"/>
          <w:szCs w:val="26"/>
        </w:rPr>
        <w:t xml:space="preserve">  Duquesne St. 4-SR at </w:t>
      </w:r>
      <w:r w:rsidRPr="00EE5722">
        <w:rPr>
          <w:sz w:val="26"/>
          <w:szCs w:val="26"/>
        </w:rPr>
        <w:t xml:space="preserve">4.  </w:t>
      </w:r>
    </w:p>
    <w:p w:rsidR="002D3E17" w:rsidRPr="00EE5722" w:rsidRDefault="002D3E17" w:rsidP="002D3E17">
      <w:pPr>
        <w:pStyle w:val="BodyText"/>
        <w:spacing w:after="0" w:line="360" w:lineRule="auto"/>
        <w:ind w:left="0" w:firstLine="0"/>
        <w:rPr>
          <w:sz w:val="26"/>
          <w:szCs w:val="26"/>
        </w:rPr>
      </w:pPr>
    </w:p>
    <w:p w:rsidR="002D3E17" w:rsidRPr="00EE5722" w:rsidRDefault="002D3E17" w:rsidP="00584C88">
      <w:pPr>
        <w:pStyle w:val="Heading4"/>
        <w:numPr>
          <w:ilvl w:val="0"/>
          <w:numId w:val="0"/>
        </w:numPr>
        <w:ind w:left="2880" w:hanging="720"/>
      </w:pPr>
      <w:bookmarkStart w:id="216" w:name="_Toc346705458"/>
      <w:r>
        <w:t>b.</w:t>
      </w:r>
      <w:r>
        <w:tab/>
        <w:t>Positions of the Parties</w:t>
      </w:r>
      <w:bookmarkEnd w:id="216"/>
    </w:p>
    <w:p w:rsidR="002D3E17" w:rsidRPr="00EE5722" w:rsidRDefault="002D3E17" w:rsidP="002D3E17">
      <w:pPr>
        <w:pStyle w:val="BodyText"/>
        <w:spacing w:after="0" w:line="360" w:lineRule="auto"/>
        <w:ind w:left="0" w:firstLine="0"/>
        <w:rPr>
          <w:sz w:val="26"/>
          <w:szCs w:val="26"/>
        </w:rPr>
      </w:pPr>
    </w:p>
    <w:p w:rsidR="002D3E17" w:rsidRPr="00EE1E14" w:rsidRDefault="002D3E17" w:rsidP="002D3E17">
      <w:pPr>
        <w:pStyle w:val="BodyText2"/>
        <w:spacing w:after="0" w:line="360" w:lineRule="auto"/>
        <w:ind w:firstLine="1440"/>
        <w:rPr>
          <w:i/>
          <w:sz w:val="26"/>
          <w:szCs w:val="26"/>
        </w:rPr>
      </w:pPr>
      <w:r>
        <w:rPr>
          <w:sz w:val="26"/>
          <w:szCs w:val="26"/>
        </w:rPr>
        <w:t>The OCA supported</w:t>
      </w:r>
      <w:r w:rsidRPr="00EE5722">
        <w:rPr>
          <w:sz w:val="26"/>
          <w:szCs w:val="26"/>
        </w:rPr>
        <w:t xml:space="preserve"> the Company’s proposal for annual reconciliation and changes to the PTC</w:t>
      </w:r>
      <w:r w:rsidR="003207EB">
        <w:rPr>
          <w:sz w:val="26"/>
          <w:szCs w:val="26"/>
        </w:rPr>
        <w:t xml:space="preserve"> for residential customers</w:t>
      </w:r>
      <w:r w:rsidRPr="00EE5722">
        <w:rPr>
          <w:sz w:val="26"/>
          <w:szCs w:val="26"/>
        </w:rPr>
        <w:t xml:space="preserve">.  </w:t>
      </w:r>
      <w:r>
        <w:rPr>
          <w:sz w:val="26"/>
          <w:szCs w:val="26"/>
        </w:rPr>
        <w:t xml:space="preserve">The OCA stated that Duquesne is unique among </w:t>
      </w:r>
      <w:r w:rsidRPr="00EE5722">
        <w:rPr>
          <w:sz w:val="26"/>
          <w:szCs w:val="26"/>
        </w:rPr>
        <w:t>large EDCs in the Common</w:t>
      </w:r>
      <w:r>
        <w:rPr>
          <w:sz w:val="26"/>
          <w:szCs w:val="26"/>
        </w:rPr>
        <w:t>wealth, as t</w:t>
      </w:r>
      <w:r w:rsidRPr="00EE5722">
        <w:rPr>
          <w:sz w:val="26"/>
          <w:szCs w:val="26"/>
        </w:rPr>
        <w:t>he Company’s current PTC has been set for t</w:t>
      </w:r>
      <w:r>
        <w:rPr>
          <w:sz w:val="26"/>
          <w:szCs w:val="26"/>
        </w:rPr>
        <w:t>he duration of its existing twenty-nine</w:t>
      </w:r>
      <w:r w:rsidRPr="00EE5722">
        <w:rPr>
          <w:sz w:val="26"/>
          <w:szCs w:val="26"/>
        </w:rPr>
        <w:t xml:space="preserve">-month default service plan.  </w:t>
      </w:r>
      <w:r>
        <w:rPr>
          <w:sz w:val="26"/>
          <w:szCs w:val="26"/>
        </w:rPr>
        <w:t xml:space="preserve">According to the OCA, as a result, </w:t>
      </w:r>
      <w:r w:rsidRPr="00EE5722">
        <w:rPr>
          <w:sz w:val="26"/>
          <w:szCs w:val="26"/>
        </w:rPr>
        <w:t xml:space="preserve">Duquesne’s customers are not accustomed to the quarterly shifts in the PTC that are experienced by the customers of other large EDCs.  Further, </w:t>
      </w:r>
      <w:r>
        <w:rPr>
          <w:sz w:val="26"/>
          <w:szCs w:val="26"/>
        </w:rPr>
        <w:t xml:space="preserve">the OCA noted that Duquesne </w:t>
      </w:r>
      <w:r w:rsidRPr="00EE5722">
        <w:rPr>
          <w:sz w:val="26"/>
          <w:szCs w:val="26"/>
        </w:rPr>
        <w:t>has been out from under rate caps for a much longer time</w:t>
      </w:r>
      <w:r>
        <w:rPr>
          <w:sz w:val="26"/>
          <w:szCs w:val="26"/>
        </w:rPr>
        <w:t xml:space="preserve"> than other EDCs.  According to the OCA, th</w:t>
      </w:r>
      <w:r w:rsidR="00642E81">
        <w:rPr>
          <w:sz w:val="26"/>
          <w:szCs w:val="26"/>
        </w:rPr>
        <w:t>e relative stability of</w:t>
      </w:r>
      <w:r w:rsidRPr="00EE5722">
        <w:rPr>
          <w:sz w:val="26"/>
          <w:szCs w:val="26"/>
        </w:rPr>
        <w:t xml:space="preserve"> the PTC has helped customer shopping in Duq</w:t>
      </w:r>
      <w:r w:rsidR="00642E81">
        <w:rPr>
          <w:sz w:val="26"/>
          <w:szCs w:val="26"/>
        </w:rPr>
        <w:t xml:space="preserve">uesne’s service territory, which </w:t>
      </w:r>
      <w:r w:rsidRPr="00EE5722">
        <w:rPr>
          <w:sz w:val="26"/>
          <w:szCs w:val="26"/>
        </w:rPr>
        <w:t>has experienced high levels of shopping for many years.  For these reasons</w:t>
      </w:r>
      <w:r>
        <w:rPr>
          <w:sz w:val="26"/>
          <w:szCs w:val="26"/>
        </w:rPr>
        <w:t>,</w:t>
      </w:r>
      <w:r w:rsidRPr="00EE5722">
        <w:rPr>
          <w:sz w:val="26"/>
          <w:szCs w:val="26"/>
        </w:rPr>
        <w:t xml:space="preserve"> </w:t>
      </w:r>
      <w:r>
        <w:rPr>
          <w:sz w:val="26"/>
          <w:szCs w:val="26"/>
        </w:rPr>
        <w:t>the OCA supported</w:t>
      </w:r>
      <w:r w:rsidRPr="00EE5722">
        <w:rPr>
          <w:sz w:val="26"/>
          <w:szCs w:val="26"/>
        </w:rPr>
        <w:t xml:space="preserve"> the Company’s proposals with respect to annual reconciliation and c</w:t>
      </w:r>
      <w:r>
        <w:rPr>
          <w:sz w:val="26"/>
          <w:szCs w:val="26"/>
        </w:rPr>
        <w:t>hanges in the PTC and encouraged</w:t>
      </w:r>
      <w:r w:rsidRPr="00EE5722">
        <w:rPr>
          <w:sz w:val="26"/>
          <w:szCs w:val="26"/>
        </w:rPr>
        <w:t xml:space="preserve"> the Commission to adopt the Company</w:t>
      </w:r>
      <w:r>
        <w:rPr>
          <w:sz w:val="26"/>
          <w:szCs w:val="26"/>
        </w:rPr>
        <w:t>’s position on these issues.</w:t>
      </w:r>
    </w:p>
    <w:p w:rsidR="002D3E17" w:rsidRPr="00A122D7" w:rsidRDefault="002D3E17" w:rsidP="002D3E17">
      <w:pPr>
        <w:pStyle w:val="BodyText2"/>
        <w:spacing w:after="0" w:line="360" w:lineRule="auto"/>
        <w:ind w:firstLine="1440"/>
        <w:rPr>
          <w:sz w:val="26"/>
          <w:szCs w:val="26"/>
        </w:rPr>
      </w:pPr>
    </w:p>
    <w:p w:rsidR="002D3E17" w:rsidRPr="00EE1E14" w:rsidRDefault="002D3E17" w:rsidP="002D3E17">
      <w:pPr>
        <w:pStyle w:val="FootnoteText"/>
        <w:spacing w:line="360" w:lineRule="auto"/>
        <w:ind w:firstLine="1440"/>
        <w:rPr>
          <w:sz w:val="26"/>
          <w:szCs w:val="26"/>
        </w:rPr>
      </w:pPr>
      <w:r>
        <w:rPr>
          <w:sz w:val="26"/>
          <w:szCs w:val="26"/>
        </w:rPr>
        <w:t xml:space="preserve">RESA argued that </w:t>
      </w:r>
      <w:r w:rsidRPr="00EE5722">
        <w:rPr>
          <w:sz w:val="26"/>
          <w:szCs w:val="26"/>
        </w:rPr>
        <w:t xml:space="preserve">reconciliations should be conducted quarterly to account for the significant amount of default service contracts that </w:t>
      </w:r>
      <w:r w:rsidR="00642E81">
        <w:rPr>
          <w:sz w:val="26"/>
          <w:szCs w:val="26"/>
        </w:rPr>
        <w:t xml:space="preserve">RESA has proposed to </w:t>
      </w:r>
      <w:r w:rsidRPr="00EE5722">
        <w:rPr>
          <w:sz w:val="26"/>
          <w:szCs w:val="26"/>
        </w:rPr>
        <w:t>be procure</w:t>
      </w:r>
      <w:r w:rsidR="00E725D0">
        <w:rPr>
          <w:sz w:val="26"/>
          <w:szCs w:val="26"/>
        </w:rPr>
        <w:t>d on a quarterly basis for the r</w:t>
      </w:r>
      <w:r w:rsidRPr="00EE5722">
        <w:rPr>
          <w:sz w:val="26"/>
          <w:szCs w:val="26"/>
        </w:rPr>
        <w:t>esidential, Small C&amp;I, and Mediu</w:t>
      </w:r>
      <w:r w:rsidR="00642E81">
        <w:rPr>
          <w:sz w:val="26"/>
          <w:szCs w:val="26"/>
        </w:rPr>
        <w:t xml:space="preserve">m C&amp;I customer classes.  RESA also proposed </w:t>
      </w:r>
      <w:r w:rsidRPr="00EE5722">
        <w:rPr>
          <w:sz w:val="26"/>
          <w:szCs w:val="26"/>
        </w:rPr>
        <w:t>associated quarterly default service rate changes for each class.</w:t>
      </w:r>
      <w:r>
        <w:rPr>
          <w:sz w:val="26"/>
          <w:szCs w:val="26"/>
        </w:rPr>
        <w:t xml:space="preserve">  RESA stated </w:t>
      </w:r>
      <w:r w:rsidRPr="00EE5722">
        <w:rPr>
          <w:sz w:val="26"/>
          <w:szCs w:val="26"/>
        </w:rPr>
        <w:t xml:space="preserve">that quarterly procurements and price changes, with annual </w:t>
      </w:r>
      <w:r w:rsidRPr="00EE5722">
        <w:rPr>
          <w:sz w:val="26"/>
          <w:szCs w:val="26"/>
        </w:rPr>
        <w:lastRenderedPageBreak/>
        <w:t>reconciliations, could cause the actual default service rates to become divorced from actual underlying wholesale costs.</w:t>
      </w:r>
      <w:r>
        <w:rPr>
          <w:sz w:val="26"/>
          <w:szCs w:val="26"/>
        </w:rPr>
        <w:t xml:space="preserve"> </w:t>
      </w:r>
      <w:r w:rsidR="00E725D0">
        <w:rPr>
          <w:sz w:val="26"/>
          <w:szCs w:val="26"/>
        </w:rPr>
        <w:t xml:space="preserve"> </w:t>
      </w:r>
      <w:r>
        <w:rPr>
          <w:sz w:val="26"/>
          <w:szCs w:val="26"/>
        </w:rPr>
        <w:t xml:space="preserve">RESA opined that </w:t>
      </w:r>
      <w:r w:rsidRPr="00EE5722">
        <w:rPr>
          <w:sz w:val="26"/>
          <w:szCs w:val="26"/>
        </w:rPr>
        <w:t>administrative mechanisms like reconciliations, regardless of frequency, have the potential to impair the development of a thriving retail market.</w:t>
      </w:r>
      <w:r>
        <w:rPr>
          <w:sz w:val="26"/>
          <w:szCs w:val="26"/>
        </w:rPr>
        <w:t xml:space="preserve">  RESA St. </w:t>
      </w:r>
      <w:r w:rsidR="00642E81">
        <w:rPr>
          <w:sz w:val="26"/>
          <w:szCs w:val="26"/>
        </w:rPr>
        <w:t xml:space="preserve">1 at 20; </w:t>
      </w:r>
      <w:r>
        <w:rPr>
          <w:sz w:val="26"/>
          <w:szCs w:val="26"/>
        </w:rPr>
        <w:t xml:space="preserve">RESA St. </w:t>
      </w:r>
      <w:r w:rsidRPr="005751B0">
        <w:rPr>
          <w:sz w:val="26"/>
          <w:szCs w:val="26"/>
        </w:rPr>
        <w:t>2-R at 8</w:t>
      </w:r>
      <w:r>
        <w:rPr>
          <w:sz w:val="26"/>
          <w:szCs w:val="26"/>
        </w:rPr>
        <w:t>.</w:t>
      </w:r>
    </w:p>
    <w:p w:rsidR="002D3E17" w:rsidRDefault="002D3E17" w:rsidP="007B4B36">
      <w:pPr>
        <w:pStyle w:val="BodyText"/>
        <w:keepNext/>
        <w:widowControl/>
        <w:spacing w:after="0" w:line="360" w:lineRule="auto"/>
        <w:ind w:left="0"/>
        <w:rPr>
          <w:sz w:val="26"/>
          <w:szCs w:val="26"/>
        </w:rPr>
      </w:pPr>
      <w:r>
        <w:rPr>
          <w:sz w:val="26"/>
          <w:szCs w:val="26"/>
        </w:rPr>
        <w:t xml:space="preserve">The </w:t>
      </w:r>
      <w:r w:rsidRPr="00EE5722">
        <w:rPr>
          <w:sz w:val="26"/>
          <w:szCs w:val="26"/>
        </w:rPr>
        <w:t xml:space="preserve">OSBA </w:t>
      </w:r>
      <w:r>
        <w:rPr>
          <w:sz w:val="26"/>
          <w:szCs w:val="26"/>
        </w:rPr>
        <w:t xml:space="preserve">supported the Company’s proposed annual </w:t>
      </w:r>
      <w:r w:rsidRPr="00EE5722">
        <w:rPr>
          <w:sz w:val="26"/>
          <w:szCs w:val="26"/>
        </w:rPr>
        <w:t>reconcilia</w:t>
      </w:r>
      <w:r>
        <w:rPr>
          <w:sz w:val="26"/>
          <w:szCs w:val="26"/>
        </w:rPr>
        <w:t xml:space="preserve">tion for the Small </w:t>
      </w:r>
      <w:r w:rsidRPr="00EE5722">
        <w:rPr>
          <w:sz w:val="26"/>
          <w:szCs w:val="26"/>
        </w:rPr>
        <w:t xml:space="preserve">and Medium </w:t>
      </w:r>
      <w:r>
        <w:rPr>
          <w:sz w:val="26"/>
          <w:szCs w:val="26"/>
        </w:rPr>
        <w:t>C&amp;I customer classes</w:t>
      </w:r>
      <w:r w:rsidRPr="00EE5722">
        <w:rPr>
          <w:sz w:val="26"/>
          <w:szCs w:val="26"/>
        </w:rPr>
        <w:t>.</w:t>
      </w:r>
    </w:p>
    <w:p w:rsidR="002D3E17" w:rsidRDefault="002D3E17" w:rsidP="002D3E17">
      <w:pPr>
        <w:pStyle w:val="BodyText"/>
        <w:spacing w:after="0" w:line="360" w:lineRule="auto"/>
        <w:ind w:left="0"/>
        <w:rPr>
          <w:sz w:val="26"/>
          <w:szCs w:val="26"/>
        </w:rPr>
      </w:pPr>
    </w:p>
    <w:p w:rsidR="002D3E17" w:rsidRDefault="002D3E17" w:rsidP="002D3E17">
      <w:pPr>
        <w:pStyle w:val="BodyText"/>
        <w:spacing w:after="0" w:line="360" w:lineRule="auto"/>
        <w:ind w:left="0"/>
        <w:rPr>
          <w:sz w:val="26"/>
          <w:szCs w:val="26"/>
        </w:rPr>
      </w:pPr>
      <w:r>
        <w:rPr>
          <w:sz w:val="26"/>
          <w:szCs w:val="26"/>
        </w:rPr>
        <w:t>CAUSE, Citizen Power, DII, Domin</w:t>
      </w:r>
      <w:r w:rsidR="00642E81">
        <w:rPr>
          <w:sz w:val="26"/>
          <w:szCs w:val="26"/>
        </w:rPr>
        <w:t>ion, FES and Constellation</w:t>
      </w:r>
      <w:r>
        <w:rPr>
          <w:sz w:val="26"/>
          <w:szCs w:val="26"/>
        </w:rPr>
        <w:t xml:space="preserve"> did not take a position on this issue.</w:t>
      </w:r>
    </w:p>
    <w:p w:rsidR="002D3E17" w:rsidRPr="00A122D7" w:rsidRDefault="002D3E17" w:rsidP="002D3E17">
      <w:pPr>
        <w:pStyle w:val="BodyText"/>
        <w:spacing w:after="0" w:line="360" w:lineRule="auto"/>
        <w:ind w:left="0" w:firstLine="0"/>
        <w:rPr>
          <w:sz w:val="26"/>
          <w:szCs w:val="26"/>
        </w:rPr>
      </w:pPr>
    </w:p>
    <w:p w:rsidR="002D3E17" w:rsidRPr="00EE5722" w:rsidRDefault="002D3E17" w:rsidP="00584C88">
      <w:pPr>
        <w:pStyle w:val="Heading4"/>
        <w:numPr>
          <w:ilvl w:val="0"/>
          <w:numId w:val="0"/>
        </w:numPr>
        <w:ind w:left="2880" w:hanging="720"/>
      </w:pPr>
      <w:bookmarkStart w:id="217" w:name="_Toc346705459"/>
      <w:r>
        <w:t>c.</w:t>
      </w:r>
      <w:r>
        <w:tab/>
        <w:t>ALJ’s Recommendation</w:t>
      </w:r>
      <w:bookmarkEnd w:id="217"/>
      <w:r w:rsidR="00E725D0">
        <w:t xml:space="preserve"> </w:t>
      </w:r>
    </w:p>
    <w:p w:rsidR="002D3E17" w:rsidRPr="00EE5722" w:rsidRDefault="002D3E17" w:rsidP="002D3E17">
      <w:pPr>
        <w:pStyle w:val="BodyText"/>
        <w:spacing w:after="0" w:line="360" w:lineRule="auto"/>
        <w:ind w:left="0" w:firstLine="0"/>
        <w:rPr>
          <w:sz w:val="26"/>
          <w:szCs w:val="26"/>
        </w:rPr>
      </w:pPr>
    </w:p>
    <w:p w:rsidR="002D3E17" w:rsidRPr="008F2D4F" w:rsidRDefault="002D3E17" w:rsidP="00E725D0">
      <w:pPr>
        <w:pStyle w:val="BodyText2"/>
        <w:spacing w:after="0" w:line="360" w:lineRule="auto"/>
        <w:rPr>
          <w:sz w:val="26"/>
          <w:szCs w:val="26"/>
        </w:rPr>
      </w:pPr>
      <w:r w:rsidRPr="00EE5722">
        <w:rPr>
          <w:sz w:val="26"/>
          <w:szCs w:val="26"/>
        </w:rPr>
        <w:tab/>
      </w:r>
      <w:r w:rsidRPr="00EE5722">
        <w:rPr>
          <w:sz w:val="26"/>
          <w:szCs w:val="26"/>
        </w:rPr>
        <w:tab/>
      </w:r>
      <w:r>
        <w:rPr>
          <w:sz w:val="26"/>
          <w:szCs w:val="26"/>
        </w:rPr>
        <w:t>The ALJ recommended that Duquesne’s proposal for annual reconciliation be approved.  The ALJ found that t</w:t>
      </w:r>
      <w:r w:rsidRPr="00EE5722">
        <w:rPr>
          <w:color w:val="000000" w:themeColor="text1"/>
          <w:sz w:val="26"/>
          <w:szCs w:val="26"/>
        </w:rPr>
        <w:t xml:space="preserve">he reconciliation period should coincide with the mix and timing of the default service supply products; therefore, it should be done annually at this time.  </w:t>
      </w:r>
      <w:r>
        <w:rPr>
          <w:color w:val="000000" w:themeColor="text1"/>
          <w:sz w:val="26"/>
          <w:szCs w:val="26"/>
        </w:rPr>
        <w:t>According to the ALJ, i</w:t>
      </w:r>
      <w:r w:rsidRPr="00EE5722">
        <w:rPr>
          <w:color w:val="000000" w:themeColor="text1"/>
          <w:sz w:val="26"/>
          <w:szCs w:val="26"/>
        </w:rPr>
        <w:t>f reconciliations occur more frequently, the cost must be borne by the EDC, and eventually passed on to all defa</w:t>
      </w:r>
      <w:r w:rsidR="00642E81">
        <w:rPr>
          <w:color w:val="000000" w:themeColor="text1"/>
          <w:sz w:val="26"/>
          <w:szCs w:val="26"/>
        </w:rPr>
        <w:t>ult service customers</w:t>
      </w:r>
      <w:r w:rsidRPr="00EE5722">
        <w:rPr>
          <w:color w:val="000000" w:themeColor="text1"/>
          <w:sz w:val="26"/>
          <w:szCs w:val="26"/>
        </w:rPr>
        <w:t xml:space="preserve">.  </w:t>
      </w:r>
      <w:r>
        <w:rPr>
          <w:color w:val="000000" w:themeColor="text1"/>
          <w:sz w:val="26"/>
          <w:szCs w:val="26"/>
        </w:rPr>
        <w:t>The ALJ concluded tha</w:t>
      </w:r>
      <w:r w:rsidR="00642E81">
        <w:rPr>
          <w:color w:val="000000" w:themeColor="text1"/>
          <w:sz w:val="26"/>
          <w:szCs w:val="26"/>
        </w:rPr>
        <w:t xml:space="preserve">t, if </w:t>
      </w:r>
      <w:r>
        <w:rPr>
          <w:color w:val="000000" w:themeColor="text1"/>
          <w:sz w:val="26"/>
          <w:szCs w:val="26"/>
        </w:rPr>
        <w:t>Duquesne</w:t>
      </w:r>
      <w:r w:rsidRPr="00EE5722">
        <w:rPr>
          <w:color w:val="000000" w:themeColor="text1"/>
          <w:sz w:val="26"/>
          <w:szCs w:val="26"/>
        </w:rPr>
        <w:t xml:space="preserve">’s plan is amended </w:t>
      </w:r>
      <w:r w:rsidR="00642E81">
        <w:rPr>
          <w:color w:val="000000" w:themeColor="text1"/>
          <w:sz w:val="26"/>
          <w:szCs w:val="26"/>
        </w:rPr>
        <w:t xml:space="preserve">in future DSP proceedings </w:t>
      </w:r>
      <w:r w:rsidRPr="00EE5722">
        <w:rPr>
          <w:color w:val="000000" w:themeColor="text1"/>
          <w:sz w:val="26"/>
          <w:szCs w:val="26"/>
        </w:rPr>
        <w:t>to reflect more frequent turn-over in the mix and timing for all load cla</w:t>
      </w:r>
      <w:r w:rsidR="00642E81">
        <w:rPr>
          <w:color w:val="000000" w:themeColor="text1"/>
          <w:sz w:val="26"/>
          <w:szCs w:val="26"/>
        </w:rPr>
        <w:t>sses</w:t>
      </w:r>
      <w:r w:rsidRPr="00EE5722">
        <w:rPr>
          <w:color w:val="000000" w:themeColor="text1"/>
          <w:sz w:val="26"/>
          <w:szCs w:val="26"/>
        </w:rPr>
        <w:t>, then there may be a need to reconcile more frequently.  In the</w:t>
      </w:r>
      <w:r>
        <w:rPr>
          <w:color w:val="000000" w:themeColor="text1"/>
          <w:sz w:val="26"/>
          <w:szCs w:val="26"/>
        </w:rPr>
        <w:t xml:space="preserve"> meantime, however, the ALJ</w:t>
      </w:r>
      <w:r w:rsidRPr="00EE5722">
        <w:rPr>
          <w:color w:val="000000" w:themeColor="text1"/>
          <w:sz w:val="26"/>
          <w:szCs w:val="26"/>
        </w:rPr>
        <w:t xml:space="preserve"> agree</w:t>
      </w:r>
      <w:r>
        <w:rPr>
          <w:color w:val="000000" w:themeColor="text1"/>
          <w:sz w:val="26"/>
          <w:szCs w:val="26"/>
        </w:rPr>
        <w:t>d</w:t>
      </w:r>
      <w:r w:rsidRPr="00EE5722">
        <w:rPr>
          <w:color w:val="000000" w:themeColor="text1"/>
          <w:sz w:val="26"/>
          <w:szCs w:val="26"/>
        </w:rPr>
        <w:t xml:space="preserve"> with the</w:t>
      </w:r>
      <w:r w:rsidR="00642E81">
        <w:rPr>
          <w:color w:val="000000" w:themeColor="text1"/>
          <w:sz w:val="26"/>
          <w:szCs w:val="26"/>
        </w:rPr>
        <w:t xml:space="preserve"> Company that </w:t>
      </w:r>
      <w:r w:rsidRPr="00EE5722">
        <w:rPr>
          <w:color w:val="000000" w:themeColor="text1"/>
          <w:sz w:val="26"/>
          <w:szCs w:val="26"/>
        </w:rPr>
        <w:t xml:space="preserve">reconciliation of default service costs </w:t>
      </w:r>
      <w:r w:rsidR="00642E81">
        <w:rPr>
          <w:color w:val="000000" w:themeColor="text1"/>
          <w:sz w:val="26"/>
          <w:szCs w:val="26"/>
        </w:rPr>
        <w:t xml:space="preserve">should be done </w:t>
      </w:r>
      <w:r w:rsidRPr="00EE5722">
        <w:rPr>
          <w:color w:val="000000" w:themeColor="text1"/>
          <w:sz w:val="26"/>
          <w:szCs w:val="26"/>
        </w:rPr>
        <w:t>annually.</w:t>
      </w:r>
      <w:r w:rsidR="00E725D0">
        <w:rPr>
          <w:color w:val="000000" w:themeColor="text1"/>
          <w:sz w:val="26"/>
          <w:szCs w:val="26"/>
        </w:rPr>
        <w:t xml:space="preserve">  R.D. at 183.</w:t>
      </w:r>
      <w:r>
        <w:rPr>
          <w:color w:val="000000" w:themeColor="text1"/>
          <w:sz w:val="26"/>
          <w:szCs w:val="26"/>
        </w:rPr>
        <w:t xml:space="preserve"> </w:t>
      </w:r>
    </w:p>
    <w:p w:rsidR="002D3E17" w:rsidRPr="00EE5722" w:rsidRDefault="002D3E17" w:rsidP="00E725D0">
      <w:pPr>
        <w:pStyle w:val="BodyText"/>
        <w:spacing w:after="0" w:line="360" w:lineRule="auto"/>
        <w:ind w:left="0" w:firstLine="0"/>
        <w:rPr>
          <w:sz w:val="26"/>
          <w:szCs w:val="26"/>
        </w:rPr>
      </w:pPr>
    </w:p>
    <w:p w:rsidR="002D3E17" w:rsidRPr="00EE5722" w:rsidRDefault="002D3E17" w:rsidP="00584C88">
      <w:pPr>
        <w:pStyle w:val="Heading4"/>
        <w:numPr>
          <w:ilvl w:val="0"/>
          <w:numId w:val="0"/>
        </w:numPr>
        <w:ind w:left="2880" w:hanging="720"/>
      </w:pPr>
      <w:bookmarkStart w:id="218" w:name="_Toc346705460"/>
      <w:r>
        <w:t>d.</w:t>
      </w:r>
      <w:r>
        <w:tab/>
        <w:t>Exceptions</w:t>
      </w:r>
      <w:bookmarkEnd w:id="218"/>
    </w:p>
    <w:p w:rsidR="002D3E17" w:rsidRPr="00EE5722" w:rsidRDefault="002D3E17" w:rsidP="00E725D0">
      <w:pPr>
        <w:pStyle w:val="BodyText"/>
        <w:spacing w:after="0" w:line="360" w:lineRule="auto"/>
        <w:ind w:left="0" w:firstLine="0"/>
        <w:rPr>
          <w:sz w:val="26"/>
          <w:szCs w:val="26"/>
        </w:rPr>
      </w:pPr>
    </w:p>
    <w:p w:rsidR="002D3E17" w:rsidRPr="0053114A" w:rsidRDefault="002D3E17" w:rsidP="0053114A">
      <w:pPr>
        <w:spacing w:line="360" w:lineRule="auto"/>
        <w:ind w:firstLine="1440"/>
        <w:rPr>
          <w:color w:val="000000" w:themeColor="text1"/>
          <w:sz w:val="26"/>
          <w:szCs w:val="26"/>
          <w:lang w:val="x-none" w:eastAsia="x-none"/>
        </w:rPr>
      </w:pPr>
      <w:r w:rsidRPr="0053114A">
        <w:rPr>
          <w:color w:val="000000" w:themeColor="text1"/>
          <w:sz w:val="26"/>
          <w:szCs w:val="26"/>
          <w:lang w:val="x-none" w:eastAsia="x-none"/>
        </w:rPr>
        <w:t xml:space="preserve">In its Exceptions, RESA argues that the ALJ erred in recommending approval of Duquesne’s proposal to reconcile default service supply costs on an annual basis.  RESA notes that the ALJ’s recommendation relating to reconciliations is the result of her recommendation relating to procurements.  According to RESA, if the </w:t>
      </w:r>
      <w:r w:rsidRPr="0053114A">
        <w:rPr>
          <w:color w:val="000000" w:themeColor="text1"/>
          <w:sz w:val="26"/>
          <w:szCs w:val="26"/>
          <w:lang w:val="x-none" w:eastAsia="x-none"/>
        </w:rPr>
        <w:lastRenderedPageBreak/>
        <w:t>Commission adopts RESA’s procurement proposals, then the Commission should also adopt R</w:t>
      </w:r>
      <w:r w:rsidR="00642E81" w:rsidRPr="0053114A">
        <w:rPr>
          <w:color w:val="000000" w:themeColor="text1"/>
          <w:sz w:val="26"/>
          <w:szCs w:val="26"/>
          <w:lang w:val="x-none" w:eastAsia="x-none"/>
        </w:rPr>
        <w:t xml:space="preserve">ESA’s reconciliation proposal. </w:t>
      </w:r>
      <w:r w:rsidR="00E725D0" w:rsidRPr="0053114A">
        <w:rPr>
          <w:color w:val="000000" w:themeColor="text1"/>
          <w:sz w:val="26"/>
          <w:szCs w:val="26"/>
          <w:lang w:val="x-none" w:eastAsia="x-none"/>
        </w:rPr>
        <w:t xml:space="preserve"> RESA Exc. at 37.  </w:t>
      </w:r>
    </w:p>
    <w:p w:rsidR="002D3E17" w:rsidRPr="0053114A" w:rsidRDefault="002D3E17" w:rsidP="0053114A">
      <w:pPr>
        <w:pStyle w:val="BodyText2"/>
        <w:spacing w:after="0" w:line="360" w:lineRule="auto"/>
        <w:rPr>
          <w:color w:val="000000" w:themeColor="text1"/>
          <w:sz w:val="26"/>
          <w:szCs w:val="26"/>
        </w:rPr>
      </w:pPr>
    </w:p>
    <w:p w:rsidR="002D3E17" w:rsidRDefault="002D3E17" w:rsidP="0053114A">
      <w:pPr>
        <w:pStyle w:val="Heading4"/>
        <w:numPr>
          <w:ilvl w:val="0"/>
          <w:numId w:val="0"/>
        </w:numPr>
        <w:ind w:left="2880" w:hanging="720"/>
      </w:pPr>
      <w:bookmarkStart w:id="219" w:name="_Toc346705461"/>
      <w:r>
        <w:t>e.</w:t>
      </w:r>
      <w:r>
        <w:tab/>
        <w:t>Reply Exceptions</w:t>
      </w:r>
      <w:bookmarkEnd w:id="219"/>
    </w:p>
    <w:p w:rsidR="002D3E17" w:rsidRPr="00EE5722" w:rsidRDefault="002D3E17" w:rsidP="007B4B36">
      <w:pPr>
        <w:pStyle w:val="BriefL3"/>
        <w:keepNext/>
        <w:numPr>
          <w:ilvl w:val="0"/>
          <w:numId w:val="0"/>
        </w:numPr>
        <w:spacing w:after="0" w:line="360" w:lineRule="auto"/>
        <w:ind w:left="2160"/>
        <w:rPr>
          <w:b/>
          <w:sz w:val="26"/>
          <w:szCs w:val="26"/>
        </w:rPr>
      </w:pPr>
    </w:p>
    <w:p w:rsidR="00642E81" w:rsidRPr="00E725D0" w:rsidRDefault="002D3E17" w:rsidP="00E725D0">
      <w:pPr>
        <w:pStyle w:val="BodyText2"/>
        <w:spacing w:after="0" w:line="360" w:lineRule="auto"/>
        <w:ind w:firstLine="1440"/>
        <w:rPr>
          <w:sz w:val="26"/>
          <w:szCs w:val="26"/>
        </w:rPr>
      </w:pPr>
      <w:r w:rsidRPr="00333E26">
        <w:rPr>
          <w:sz w:val="26"/>
          <w:szCs w:val="26"/>
        </w:rPr>
        <w:t>In its Reply Exceptions, Duquesne argues that the ALJ’s recommendation to allow annual reconciliation of default serv</w:t>
      </w:r>
      <w:r>
        <w:rPr>
          <w:sz w:val="26"/>
          <w:szCs w:val="26"/>
        </w:rPr>
        <w:t xml:space="preserve">ice costs should be approved.  </w:t>
      </w:r>
      <w:r w:rsidRPr="00333E26">
        <w:rPr>
          <w:sz w:val="26"/>
          <w:szCs w:val="26"/>
        </w:rPr>
        <w:t xml:space="preserve">As Duquesne </w:t>
      </w:r>
      <w:r>
        <w:rPr>
          <w:sz w:val="26"/>
          <w:szCs w:val="26"/>
        </w:rPr>
        <w:t xml:space="preserve">previously </w:t>
      </w:r>
      <w:r w:rsidRPr="00333E26">
        <w:rPr>
          <w:sz w:val="26"/>
          <w:szCs w:val="26"/>
        </w:rPr>
        <w:t xml:space="preserve">explained, the Commission should not adopt RESA’s procurement proposals.  However, </w:t>
      </w:r>
      <w:r>
        <w:rPr>
          <w:sz w:val="26"/>
          <w:szCs w:val="26"/>
        </w:rPr>
        <w:t xml:space="preserve">according to Duquesne, </w:t>
      </w:r>
      <w:r w:rsidRPr="00333E26">
        <w:rPr>
          <w:sz w:val="26"/>
          <w:szCs w:val="26"/>
        </w:rPr>
        <w:t xml:space="preserve">if the Commission were to adopt RESA’s procurement proposals, </w:t>
      </w:r>
      <w:r>
        <w:rPr>
          <w:sz w:val="26"/>
          <w:szCs w:val="26"/>
        </w:rPr>
        <w:t>it</w:t>
      </w:r>
      <w:r w:rsidRPr="00333E26">
        <w:rPr>
          <w:sz w:val="26"/>
          <w:szCs w:val="26"/>
        </w:rPr>
        <w:t xml:space="preserve"> would not oppose quarterly reconciliation, provided that the reconciliations would only be subject to annual hearings consistent with Section 1307(e) of the Code, 66 Pa.</w:t>
      </w:r>
      <w:r>
        <w:rPr>
          <w:sz w:val="26"/>
          <w:szCs w:val="26"/>
        </w:rPr>
        <w:t xml:space="preserve"> </w:t>
      </w:r>
      <w:r w:rsidRPr="00333E26">
        <w:rPr>
          <w:sz w:val="26"/>
          <w:szCs w:val="26"/>
        </w:rPr>
        <w:t>C.S. § 1307(e).</w:t>
      </w:r>
      <w:r w:rsidR="00E725D0">
        <w:rPr>
          <w:sz w:val="26"/>
          <w:szCs w:val="26"/>
        </w:rPr>
        <w:t xml:space="preserve">  R.Exc. at 21.   </w:t>
      </w:r>
    </w:p>
    <w:p w:rsidR="00642E81" w:rsidRDefault="00642E81" w:rsidP="00E725D0">
      <w:pPr>
        <w:pStyle w:val="BodyText2"/>
        <w:spacing w:after="0" w:line="360" w:lineRule="auto"/>
        <w:ind w:firstLine="1440"/>
        <w:rPr>
          <w:sz w:val="26"/>
          <w:szCs w:val="26"/>
        </w:rPr>
      </w:pPr>
    </w:p>
    <w:p w:rsidR="002D3E17" w:rsidRPr="00642E81" w:rsidRDefault="002D3E17" w:rsidP="00642E81">
      <w:pPr>
        <w:pStyle w:val="BodyText2"/>
        <w:spacing w:after="0" w:line="360" w:lineRule="auto"/>
        <w:ind w:firstLine="1440"/>
        <w:rPr>
          <w:sz w:val="26"/>
          <w:szCs w:val="26"/>
        </w:rPr>
      </w:pPr>
      <w:r w:rsidRPr="00033FCB">
        <w:rPr>
          <w:sz w:val="26"/>
          <w:szCs w:val="26"/>
        </w:rPr>
        <w:t>In its Reply Exceptions, the OCA argues that the ALJ did not err in approving Duquesne’s plan to set the PTC on an annual basis, and to reconcile default service costs annually.  The OCA explains that Duquesne proposed, and the A</w:t>
      </w:r>
      <w:r w:rsidR="001F132B">
        <w:rPr>
          <w:sz w:val="26"/>
          <w:szCs w:val="26"/>
        </w:rPr>
        <w:t>LJ recommended</w:t>
      </w:r>
      <w:r>
        <w:rPr>
          <w:sz w:val="26"/>
          <w:szCs w:val="26"/>
        </w:rPr>
        <w:t>, a twelve</w:t>
      </w:r>
      <w:r w:rsidRPr="00033FCB">
        <w:rPr>
          <w:sz w:val="26"/>
          <w:szCs w:val="26"/>
        </w:rPr>
        <w:t>-month reconciliation period for its default service plan coupled with annual changes to the PTC</w:t>
      </w:r>
      <w:r>
        <w:rPr>
          <w:sz w:val="26"/>
          <w:szCs w:val="26"/>
        </w:rPr>
        <w:t>.  The OCA avers that t</w:t>
      </w:r>
      <w:r w:rsidRPr="00033FCB">
        <w:rPr>
          <w:sz w:val="26"/>
          <w:szCs w:val="26"/>
        </w:rPr>
        <w:t>his approach either was supported or not opposed by a number of Parties in the proceeding</w:t>
      </w:r>
      <w:r>
        <w:rPr>
          <w:sz w:val="26"/>
          <w:szCs w:val="26"/>
        </w:rPr>
        <w:t>,</w:t>
      </w:r>
      <w:r w:rsidRPr="00033FCB">
        <w:rPr>
          <w:sz w:val="26"/>
          <w:szCs w:val="26"/>
        </w:rPr>
        <w:t xml:space="preserve"> including the OCA, the OSBA, Dominion and Constellation.  </w:t>
      </w:r>
      <w:r>
        <w:rPr>
          <w:sz w:val="26"/>
          <w:szCs w:val="26"/>
        </w:rPr>
        <w:t>The OCA explains</w:t>
      </w:r>
      <w:r w:rsidRPr="00033FCB">
        <w:rPr>
          <w:sz w:val="26"/>
          <w:szCs w:val="26"/>
        </w:rPr>
        <w:t xml:space="preserve"> </w:t>
      </w:r>
      <w:r>
        <w:rPr>
          <w:sz w:val="26"/>
          <w:szCs w:val="26"/>
        </w:rPr>
        <w:t xml:space="preserve">that </w:t>
      </w:r>
      <w:r w:rsidRPr="00033FCB">
        <w:rPr>
          <w:sz w:val="26"/>
          <w:szCs w:val="26"/>
        </w:rPr>
        <w:t xml:space="preserve">Duquesne is unique </w:t>
      </w:r>
      <w:r w:rsidR="00E37DAE">
        <w:rPr>
          <w:sz w:val="26"/>
          <w:szCs w:val="26"/>
        </w:rPr>
        <w:t>among</w:t>
      </w:r>
      <w:r w:rsidRPr="00033FCB">
        <w:rPr>
          <w:sz w:val="26"/>
          <w:szCs w:val="26"/>
        </w:rPr>
        <w:t xml:space="preserve"> large EDCs in the Commonwealth</w:t>
      </w:r>
      <w:r w:rsidR="00E37DAE">
        <w:rPr>
          <w:sz w:val="26"/>
          <w:szCs w:val="26"/>
        </w:rPr>
        <w:t>,</w:t>
      </w:r>
      <w:r>
        <w:rPr>
          <w:sz w:val="26"/>
          <w:szCs w:val="26"/>
        </w:rPr>
        <w:t xml:space="preserve"> as</w:t>
      </w:r>
      <w:r w:rsidRPr="00033FCB">
        <w:rPr>
          <w:sz w:val="26"/>
          <w:szCs w:val="26"/>
        </w:rPr>
        <w:t xml:space="preserve"> </w:t>
      </w:r>
      <w:r>
        <w:rPr>
          <w:sz w:val="26"/>
          <w:szCs w:val="26"/>
        </w:rPr>
        <w:t>t</w:t>
      </w:r>
      <w:r w:rsidRPr="00033FCB">
        <w:rPr>
          <w:sz w:val="26"/>
          <w:szCs w:val="26"/>
        </w:rPr>
        <w:t>he Company’s current PTC has been set for the duration of the</w:t>
      </w:r>
      <w:r>
        <w:rPr>
          <w:sz w:val="26"/>
          <w:szCs w:val="26"/>
        </w:rPr>
        <w:t xml:space="preserve"> existing twenty-nine </w:t>
      </w:r>
      <w:r w:rsidRPr="00033FCB">
        <w:rPr>
          <w:sz w:val="26"/>
          <w:szCs w:val="26"/>
        </w:rPr>
        <w:t>month default service plan.</w:t>
      </w:r>
      <w:r>
        <w:rPr>
          <w:sz w:val="26"/>
          <w:szCs w:val="26"/>
        </w:rPr>
        <w:t xml:space="preserve">  The OCA asserts that </w:t>
      </w:r>
      <w:r w:rsidRPr="00033FCB">
        <w:rPr>
          <w:sz w:val="26"/>
          <w:szCs w:val="26"/>
        </w:rPr>
        <w:t xml:space="preserve">Duquesne’s customers are not accustomed to the quarterly shifts in the PTC that are experienced by the customers of other large EDCs.  </w:t>
      </w:r>
      <w:r>
        <w:rPr>
          <w:sz w:val="26"/>
          <w:szCs w:val="26"/>
        </w:rPr>
        <w:t>According to the OCA</w:t>
      </w:r>
      <w:r w:rsidRPr="00033FCB">
        <w:rPr>
          <w:sz w:val="26"/>
          <w:szCs w:val="26"/>
        </w:rPr>
        <w:t xml:space="preserve">, the relative stability in the PTC has helped customer shopping in Duquesne’s service territory as it has experienced high levels of shopping for many years.  Therefore, </w:t>
      </w:r>
      <w:r>
        <w:rPr>
          <w:sz w:val="26"/>
          <w:szCs w:val="26"/>
        </w:rPr>
        <w:t xml:space="preserve">the OCA asserts that </w:t>
      </w:r>
      <w:r w:rsidRPr="00033FCB">
        <w:rPr>
          <w:sz w:val="26"/>
          <w:szCs w:val="26"/>
        </w:rPr>
        <w:t xml:space="preserve">annual reconciliations and changes in the PTC are appropriate. </w:t>
      </w:r>
      <w:r w:rsidR="00E725D0">
        <w:rPr>
          <w:sz w:val="26"/>
          <w:szCs w:val="26"/>
        </w:rPr>
        <w:t xml:space="preserve"> OCA R.Exc. at 29-30.  </w:t>
      </w:r>
      <w:r w:rsidRPr="00033FCB">
        <w:rPr>
          <w:sz w:val="26"/>
          <w:szCs w:val="26"/>
        </w:rPr>
        <w:t xml:space="preserve"> </w:t>
      </w:r>
    </w:p>
    <w:p w:rsidR="002D3E17" w:rsidRPr="00697BB5" w:rsidRDefault="002D3E17" w:rsidP="002D3E17">
      <w:pPr>
        <w:pStyle w:val="BodyText2"/>
        <w:spacing w:after="0" w:line="360" w:lineRule="auto"/>
        <w:ind w:firstLine="1440"/>
        <w:rPr>
          <w:sz w:val="26"/>
          <w:szCs w:val="26"/>
        </w:rPr>
      </w:pPr>
    </w:p>
    <w:p w:rsidR="002D3E17" w:rsidRDefault="002D3E17" w:rsidP="00E725D0">
      <w:pPr>
        <w:pStyle w:val="BodyText2"/>
        <w:spacing w:after="0" w:line="360" w:lineRule="auto"/>
        <w:ind w:firstLine="1440"/>
        <w:rPr>
          <w:sz w:val="26"/>
          <w:szCs w:val="26"/>
        </w:rPr>
      </w:pPr>
      <w:r w:rsidRPr="005B0E99">
        <w:rPr>
          <w:sz w:val="26"/>
          <w:szCs w:val="26"/>
        </w:rPr>
        <w:lastRenderedPageBreak/>
        <w:t>In its Reply Exceptions, the OSBA argues that the ALJ correctly rejected RESA’s proposed quarterly reconciliation of the over-collections and under-collections associated with the default service rates paid by Small C&amp;I and Medium C&amp;I customers. The OSBA explains that Duquesne propos</w:t>
      </w:r>
      <w:r>
        <w:rPr>
          <w:sz w:val="26"/>
          <w:szCs w:val="26"/>
        </w:rPr>
        <w:t xml:space="preserve">ed, and the OSBA supported, an annual </w:t>
      </w:r>
      <w:r w:rsidRPr="005B0E99">
        <w:rPr>
          <w:sz w:val="26"/>
          <w:szCs w:val="26"/>
        </w:rPr>
        <w:t>reconciliation</w:t>
      </w:r>
      <w:r>
        <w:rPr>
          <w:sz w:val="26"/>
          <w:szCs w:val="26"/>
        </w:rPr>
        <w:t xml:space="preserve">.  According to the OSBA, </w:t>
      </w:r>
      <w:r w:rsidRPr="005B0E99">
        <w:rPr>
          <w:sz w:val="26"/>
          <w:szCs w:val="26"/>
        </w:rPr>
        <w:t xml:space="preserve">RESA’s quarterly reconciliation proposal is premised upon the Commission approving RESA’s </w:t>
      </w:r>
      <w:r>
        <w:rPr>
          <w:sz w:val="26"/>
          <w:szCs w:val="26"/>
        </w:rPr>
        <w:t xml:space="preserve">proposed quarterly </w:t>
      </w:r>
      <w:r w:rsidRPr="005B0E99">
        <w:rPr>
          <w:sz w:val="26"/>
          <w:szCs w:val="26"/>
        </w:rPr>
        <w:t xml:space="preserve">procurement plans.  Absent such approval, </w:t>
      </w:r>
      <w:r>
        <w:rPr>
          <w:sz w:val="26"/>
          <w:szCs w:val="26"/>
        </w:rPr>
        <w:t xml:space="preserve">the OSBA asserts that </w:t>
      </w:r>
      <w:r w:rsidRPr="005B0E99">
        <w:rPr>
          <w:sz w:val="26"/>
          <w:szCs w:val="26"/>
        </w:rPr>
        <w:t>there would be no cause for</w:t>
      </w:r>
      <w:r>
        <w:rPr>
          <w:sz w:val="26"/>
          <w:szCs w:val="26"/>
        </w:rPr>
        <w:t xml:space="preserve"> the</w:t>
      </w:r>
      <w:r w:rsidRPr="005B0E99">
        <w:rPr>
          <w:sz w:val="26"/>
          <w:szCs w:val="26"/>
        </w:rPr>
        <w:t xml:space="preserve"> quarterly reconciliation of rates.  Additionally, </w:t>
      </w:r>
      <w:r>
        <w:rPr>
          <w:sz w:val="26"/>
          <w:szCs w:val="26"/>
        </w:rPr>
        <w:t xml:space="preserve">the OSBA asserts that </w:t>
      </w:r>
      <w:r w:rsidRPr="005B0E99">
        <w:rPr>
          <w:sz w:val="26"/>
          <w:szCs w:val="26"/>
        </w:rPr>
        <w:t xml:space="preserve">RESA has failed to provide any evidence that annual reconciliation would be inappropriate under Duquesne’s Small C&amp;I and Medium C&amp;I procurement plans.  </w:t>
      </w:r>
      <w:r>
        <w:rPr>
          <w:sz w:val="26"/>
          <w:szCs w:val="26"/>
        </w:rPr>
        <w:t>Therefore, t</w:t>
      </w:r>
      <w:r w:rsidRPr="005B0E99">
        <w:rPr>
          <w:sz w:val="26"/>
          <w:szCs w:val="26"/>
        </w:rPr>
        <w:t xml:space="preserve">he OSBA supports the Company’s proposal for the reconciliation of </w:t>
      </w:r>
      <w:r>
        <w:rPr>
          <w:sz w:val="26"/>
          <w:szCs w:val="26"/>
        </w:rPr>
        <w:t xml:space="preserve">the </w:t>
      </w:r>
      <w:r w:rsidRPr="005B0E99">
        <w:rPr>
          <w:sz w:val="26"/>
          <w:szCs w:val="26"/>
        </w:rPr>
        <w:t>respective default service rates paid by Small C&amp;I and Medium C&amp;I customers on an annual basis</w:t>
      </w:r>
      <w:r>
        <w:rPr>
          <w:sz w:val="26"/>
          <w:szCs w:val="26"/>
        </w:rPr>
        <w:t xml:space="preserve">. </w:t>
      </w:r>
      <w:r w:rsidR="00E725D0">
        <w:rPr>
          <w:sz w:val="26"/>
          <w:szCs w:val="26"/>
        </w:rPr>
        <w:t xml:space="preserve"> OSBA R.Exc. at 17-18.</w:t>
      </w:r>
      <w:r w:rsidR="00E725D0" w:rsidRPr="005B0E99">
        <w:rPr>
          <w:sz w:val="26"/>
          <w:szCs w:val="26"/>
        </w:rPr>
        <w:t xml:space="preserve"> </w:t>
      </w:r>
      <w:r w:rsidR="00E725D0">
        <w:rPr>
          <w:sz w:val="26"/>
          <w:szCs w:val="26"/>
        </w:rPr>
        <w:t xml:space="preserve"> </w:t>
      </w:r>
      <w:r>
        <w:rPr>
          <w:sz w:val="26"/>
          <w:szCs w:val="26"/>
        </w:rPr>
        <w:t xml:space="preserve"> </w:t>
      </w:r>
    </w:p>
    <w:p w:rsidR="002D3E17" w:rsidRDefault="002D3E17" w:rsidP="00E725D0">
      <w:pPr>
        <w:spacing w:line="360" w:lineRule="auto"/>
        <w:ind w:firstLine="1440"/>
        <w:rPr>
          <w:sz w:val="26"/>
          <w:szCs w:val="26"/>
        </w:rPr>
      </w:pPr>
    </w:p>
    <w:p w:rsidR="002D3E17" w:rsidRPr="004B7DA3" w:rsidRDefault="002D3E17" w:rsidP="002D3E17">
      <w:pPr>
        <w:spacing w:line="360" w:lineRule="auto"/>
        <w:ind w:firstLine="1440"/>
        <w:rPr>
          <w:sz w:val="26"/>
          <w:szCs w:val="26"/>
        </w:rPr>
      </w:pPr>
      <w:r w:rsidRPr="004B7DA3">
        <w:rPr>
          <w:sz w:val="26"/>
          <w:szCs w:val="26"/>
        </w:rPr>
        <w:t xml:space="preserve">In its Reply Exceptions, </w:t>
      </w:r>
      <w:r>
        <w:rPr>
          <w:sz w:val="26"/>
          <w:szCs w:val="26"/>
        </w:rPr>
        <w:t>Dominion explains that</w:t>
      </w:r>
      <w:r w:rsidR="001F132B">
        <w:rPr>
          <w:sz w:val="26"/>
          <w:szCs w:val="26"/>
        </w:rPr>
        <w:t>,</w:t>
      </w:r>
      <w:r>
        <w:rPr>
          <w:sz w:val="26"/>
          <w:szCs w:val="26"/>
        </w:rPr>
        <w:t xml:space="preserve"> w</w:t>
      </w:r>
      <w:r w:rsidRPr="004B7DA3">
        <w:rPr>
          <w:sz w:val="26"/>
          <w:szCs w:val="26"/>
        </w:rPr>
        <w:t xml:space="preserve">hile it is true that in other default service plans, Dominion has supported quarterly price changes and quarterly reconciliations, none of those price changes included annual procurements in the manner that has been proposed by Duquesne in this case.  </w:t>
      </w:r>
      <w:r>
        <w:rPr>
          <w:sz w:val="26"/>
          <w:szCs w:val="26"/>
        </w:rPr>
        <w:t xml:space="preserve">Dominion states that </w:t>
      </w:r>
      <w:r w:rsidRPr="004B7DA3">
        <w:rPr>
          <w:sz w:val="26"/>
          <w:szCs w:val="26"/>
        </w:rPr>
        <w:t>based solely upon Duqu</w:t>
      </w:r>
      <w:r>
        <w:rPr>
          <w:sz w:val="26"/>
          <w:szCs w:val="26"/>
        </w:rPr>
        <w:t xml:space="preserve">esne’s procurement plan, it can </w:t>
      </w:r>
      <w:r w:rsidRPr="004B7DA3">
        <w:rPr>
          <w:sz w:val="26"/>
          <w:szCs w:val="26"/>
        </w:rPr>
        <w:t>agree with annual price changes and annual rec</w:t>
      </w:r>
      <w:r>
        <w:rPr>
          <w:sz w:val="26"/>
          <w:szCs w:val="26"/>
        </w:rPr>
        <w:t>onciliation.</w:t>
      </w:r>
      <w:r w:rsidRPr="004B7DA3">
        <w:rPr>
          <w:sz w:val="26"/>
          <w:szCs w:val="26"/>
        </w:rPr>
        <w:t xml:space="preserve">  Dominion believes that this is appropriate under Duquesne’s plan.  </w:t>
      </w:r>
      <w:r>
        <w:rPr>
          <w:sz w:val="26"/>
          <w:szCs w:val="26"/>
        </w:rPr>
        <w:t>Dominion opines that s</w:t>
      </w:r>
      <w:r w:rsidRPr="004B7DA3">
        <w:rPr>
          <w:sz w:val="26"/>
          <w:szCs w:val="26"/>
        </w:rPr>
        <w:t xml:space="preserve">witching to a more volatile quarterly </w:t>
      </w:r>
      <w:r>
        <w:rPr>
          <w:sz w:val="26"/>
          <w:szCs w:val="26"/>
        </w:rPr>
        <w:t xml:space="preserve">price change regimen overnight, </w:t>
      </w:r>
      <w:r w:rsidRPr="004B7DA3">
        <w:rPr>
          <w:sz w:val="26"/>
          <w:szCs w:val="26"/>
        </w:rPr>
        <w:t>from Duquesne’s cu</w:t>
      </w:r>
      <w:r>
        <w:rPr>
          <w:sz w:val="26"/>
          <w:szCs w:val="26"/>
        </w:rPr>
        <w:t>rrent two-year plus fixed price,</w:t>
      </w:r>
      <w:r w:rsidR="001F132B">
        <w:rPr>
          <w:sz w:val="26"/>
          <w:szCs w:val="26"/>
        </w:rPr>
        <w:t xml:space="preserve"> </w:t>
      </w:r>
      <w:r w:rsidRPr="004B7DA3">
        <w:rPr>
          <w:sz w:val="26"/>
          <w:szCs w:val="26"/>
        </w:rPr>
        <w:t>would cause large s</w:t>
      </w:r>
      <w:r>
        <w:rPr>
          <w:sz w:val="26"/>
          <w:szCs w:val="26"/>
        </w:rPr>
        <w:t>c</w:t>
      </w:r>
      <w:r w:rsidRPr="004B7DA3">
        <w:rPr>
          <w:sz w:val="26"/>
          <w:szCs w:val="26"/>
        </w:rPr>
        <w:t>ale dissatisfaction among default service customers, and could cause</w:t>
      </w:r>
      <w:r w:rsidR="001F132B">
        <w:rPr>
          <w:sz w:val="26"/>
          <w:szCs w:val="26"/>
        </w:rPr>
        <w:t xml:space="preserve"> them to react negatively to</w:t>
      </w:r>
      <w:r w:rsidRPr="004B7DA3">
        <w:rPr>
          <w:sz w:val="26"/>
          <w:szCs w:val="26"/>
        </w:rPr>
        <w:t xml:space="preserve"> the retail market.  Accordingly, Domi</w:t>
      </w:r>
      <w:r w:rsidR="001F132B">
        <w:rPr>
          <w:sz w:val="26"/>
          <w:szCs w:val="26"/>
        </w:rPr>
        <w:t>nion supports Duquesne’s proposal</w:t>
      </w:r>
      <w:r w:rsidRPr="004B7DA3">
        <w:rPr>
          <w:sz w:val="26"/>
          <w:szCs w:val="26"/>
        </w:rPr>
        <w:t xml:space="preserve"> and suggest</w:t>
      </w:r>
      <w:r w:rsidR="001F132B">
        <w:rPr>
          <w:sz w:val="26"/>
          <w:szCs w:val="26"/>
        </w:rPr>
        <w:t>s</w:t>
      </w:r>
      <w:r w:rsidRPr="004B7DA3">
        <w:rPr>
          <w:sz w:val="26"/>
          <w:szCs w:val="26"/>
        </w:rPr>
        <w:t xml:space="preserve"> that RESA’s quarterly price changes be rejected in this case. </w:t>
      </w:r>
      <w:r>
        <w:rPr>
          <w:sz w:val="26"/>
          <w:szCs w:val="26"/>
        </w:rPr>
        <w:t xml:space="preserve"> </w:t>
      </w:r>
      <w:r w:rsidR="00E725D0">
        <w:rPr>
          <w:sz w:val="26"/>
          <w:szCs w:val="26"/>
        </w:rPr>
        <w:t xml:space="preserve">Dominion R.Exc. at 6.  </w:t>
      </w:r>
    </w:p>
    <w:p w:rsidR="002D3E17" w:rsidRPr="007B6C63" w:rsidRDefault="002D3E17" w:rsidP="002D3E17">
      <w:pPr>
        <w:pStyle w:val="BodyText2"/>
        <w:spacing w:after="0" w:line="360" w:lineRule="auto"/>
        <w:ind w:firstLine="1440"/>
        <w:rPr>
          <w:b/>
          <w:sz w:val="26"/>
          <w:szCs w:val="26"/>
        </w:rPr>
      </w:pPr>
    </w:p>
    <w:p w:rsidR="002D3E17" w:rsidRDefault="002D3E17" w:rsidP="0053114A">
      <w:pPr>
        <w:pStyle w:val="Heading4"/>
        <w:numPr>
          <w:ilvl w:val="0"/>
          <w:numId w:val="0"/>
        </w:numPr>
        <w:ind w:left="2880" w:hanging="720"/>
      </w:pPr>
      <w:bookmarkStart w:id="220" w:name="_Toc346705462"/>
      <w:r>
        <w:t>f.</w:t>
      </w:r>
      <w:r>
        <w:tab/>
        <w:t>Disposition</w:t>
      </w:r>
      <w:bookmarkEnd w:id="220"/>
    </w:p>
    <w:p w:rsidR="002D3E17" w:rsidRDefault="002D3E17" w:rsidP="00E725D0">
      <w:pPr>
        <w:pStyle w:val="BriefL3"/>
        <w:numPr>
          <w:ilvl w:val="0"/>
          <w:numId w:val="0"/>
        </w:numPr>
        <w:spacing w:after="0" w:line="360" w:lineRule="auto"/>
        <w:rPr>
          <w:b/>
          <w:sz w:val="26"/>
          <w:szCs w:val="26"/>
        </w:rPr>
      </w:pPr>
    </w:p>
    <w:p w:rsidR="002D3E17" w:rsidRPr="00732420" w:rsidRDefault="002D3E17" w:rsidP="002D3E17">
      <w:pPr>
        <w:pStyle w:val="BriefL3"/>
        <w:numPr>
          <w:ilvl w:val="0"/>
          <w:numId w:val="0"/>
        </w:numPr>
        <w:spacing w:after="0" w:line="360" w:lineRule="auto"/>
        <w:rPr>
          <w:color w:val="000000" w:themeColor="text1"/>
          <w:sz w:val="26"/>
          <w:szCs w:val="26"/>
        </w:rPr>
      </w:pPr>
      <w:r>
        <w:rPr>
          <w:b/>
          <w:sz w:val="26"/>
          <w:szCs w:val="26"/>
        </w:rPr>
        <w:tab/>
      </w:r>
      <w:r>
        <w:rPr>
          <w:b/>
          <w:sz w:val="26"/>
          <w:szCs w:val="26"/>
        </w:rPr>
        <w:tab/>
      </w:r>
      <w:r w:rsidR="00732420">
        <w:rPr>
          <w:sz w:val="26"/>
          <w:szCs w:val="26"/>
        </w:rPr>
        <w:t xml:space="preserve">Upon review of the evidence of record, we shall revise the ALJ’s recommendations regarding the frequency of reconciliation and PTC changes.  Duquesne </w:t>
      </w:r>
      <w:r w:rsidR="00732420">
        <w:rPr>
          <w:sz w:val="26"/>
          <w:szCs w:val="26"/>
        </w:rPr>
        <w:lastRenderedPageBreak/>
        <w:t xml:space="preserve">proposed annual reconciliation of costs and recoveries for each of the </w:t>
      </w:r>
      <w:r w:rsidR="0021356A">
        <w:rPr>
          <w:sz w:val="26"/>
          <w:szCs w:val="26"/>
        </w:rPr>
        <w:t>r</w:t>
      </w:r>
      <w:r w:rsidR="00732420">
        <w:rPr>
          <w:sz w:val="26"/>
          <w:szCs w:val="26"/>
        </w:rPr>
        <w:t xml:space="preserve">esidential, Small C&amp;I and Medium C&amp;I rate classes.  Duquesne M.B. at 75.  Duquesne also proposed annual changes to the PTC for the </w:t>
      </w:r>
      <w:r w:rsidR="0021356A">
        <w:rPr>
          <w:sz w:val="26"/>
          <w:szCs w:val="26"/>
        </w:rPr>
        <w:t>r</w:t>
      </w:r>
      <w:r w:rsidR="00732420">
        <w:rPr>
          <w:sz w:val="26"/>
          <w:szCs w:val="26"/>
        </w:rPr>
        <w:t xml:space="preserve">esidential rate class, but six-month changes to the PTC for the Small and Medium C&amp;I rate classes.  </w:t>
      </w:r>
      <w:r w:rsidR="00732420">
        <w:rPr>
          <w:i/>
          <w:sz w:val="26"/>
          <w:szCs w:val="26"/>
        </w:rPr>
        <w:t>Id.</w:t>
      </w:r>
      <w:r w:rsidR="00732420">
        <w:rPr>
          <w:sz w:val="26"/>
          <w:szCs w:val="26"/>
        </w:rPr>
        <w:t xml:space="preserve"> </w:t>
      </w:r>
      <w:r w:rsidR="0021356A">
        <w:rPr>
          <w:sz w:val="26"/>
          <w:szCs w:val="26"/>
        </w:rPr>
        <w:t>a</w:t>
      </w:r>
      <w:r w:rsidR="00732420">
        <w:rPr>
          <w:sz w:val="26"/>
          <w:szCs w:val="26"/>
        </w:rPr>
        <w:t xml:space="preserve">t 5.  In our view, it is more appropriate to provide for changes to a PTC for a rate class that coincide with reconciliation of the costs and revenues of providing default service to that rate class.  Therefore, we shall require six-month reconciliation and PTC changes for the Small and Medium C&amp;I rate classes.  </w:t>
      </w:r>
      <w:r w:rsidR="0021356A">
        <w:rPr>
          <w:sz w:val="26"/>
          <w:szCs w:val="26"/>
        </w:rPr>
        <w:t>This in effect rejects the annual reconciliation for these rate classes that Duquesne proposed, and requires semi-annual reconciliation to coincide with the changes to the PTC.  With regard to the residential rate class, we believe that it is appropriate to move to a more market-responsive PTC than the twelve-month PTC Duquesne has proposed.  Although we believe that it would be premature to move the residential rate class from a twenty-nine month PTC to a three</w:t>
      </w:r>
      <w:r w:rsidR="002548AE">
        <w:rPr>
          <w:sz w:val="26"/>
          <w:szCs w:val="26"/>
        </w:rPr>
        <w:t>-</w:t>
      </w:r>
      <w:r w:rsidR="0021356A">
        <w:rPr>
          <w:sz w:val="26"/>
          <w:szCs w:val="26"/>
        </w:rPr>
        <w:t>month PTC at this time, we believe that transitioning residential customers to a six-month PTC is reasonable.  Given our approval of Duquesne’s proposal to acquire default service supply through twelve-month contracts, it is unlikely that the PTC will change dramatically for the residential rate class during the DSP VI period.  Accordingly, similar to the resolution of these issues for the Small and Medium C&amp;I rate classes, we shall modify Duquesne</w:t>
      </w:r>
      <w:r w:rsidR="002548AE">
        <w:rPr>
          <w:sz w:val="26"/>
          <w:szCs w:val="26"/>
        </w:rPr>
        <w:t>’</w:t>
      </w:r>
      <w:r w:rsidR="0021356A">
        <w:rPr>
          <w:sz w:val="26"/>
          <w:szCs w:val="26"/>
        </w:rPr>
        <w:t>s proposed DSP for the residential rate class by adopting six-month reconciliation and changes to the PTC.  Accordingly, we shall modify the recommendation of the ALJ and adopt, in part, the Exceptions of RESA.</w:t>
      </w:r>
    </w:p>
    <w:p w:rsidR="00F226F6" w:rsidRPr="005731E6" w:rsidRDefault="00F226F6" w:rsidP="002D3E17">
      <w:pPr>
        <w:pStyle w:val="BriefL3"/>
        <w:numPr>
          <w:ilvl w:val="0"/>
          <w:numId w:val="0"/>
        </w:numPr>
        <w:spacing w:after="0" w:line="360" w:lineRule="auto"/>
        <w:rPr>
          <w:sz w:val="26"/>
          <w:szCs w:val="26"/>
        </w:rPr>
      </w:pPr>
    </w:p>
    <w:p w:rsidR="002D3E17" w:rsidRPr="00EE5722" w:rsidRDefault="002D3E17" w:rsidP="0053114A">
      <w:pPr>
        <w:pStyle w:val="Heading3"/>
      </w:pPr>
      <w:bookmarkStart w:id="221" w:name="_Toc346705463"/>
      <w:r w:rsidRPr="00EE5722">
        <w:t>2.</w:t>
      </w:r>
      <w:r w:rsidRPr="00EE5722">
        <w:tab/>
        <w:t>Price to Compare Calculation Date</w:t>
      </w:r>
      <w:bookmarkEnd w:id="221"/>
    </w:p>
    <w:p w:rsidR="002D3E17" w:rsidRPr="00EE5722" w:rsidRDefault="002D3E17" w:rsidP="00D7306D">
      <w:pPr>
        <w:pStyle w:val="BriefL3"/>
        <w:numPr>
          <w:ilvl w:val="0"/>
          <w:numId w:val="0"/>
        </w:numPr>
        <w:spacing w:after="0" w:line="360" w:lineRule="auto"/>
        <w:ind w:left="720" w:firstLine="720"/>
        <w:rPr>
          <w:b/>
          <w:sz w:val="26"/>
          <w:szCs w:val="26"/>
        </w:rPr>
      </w:pPr>
    </w:p>
    <w:p w:rsidR="002D3E17" w:rsidRPr="00EE5722" w:rsidRDefault="002D3E17" w:rsidP="0053114A">
      <w:pPr>
        <w:pStyle w:val="Heading4"/>
        <w:numPr>
          <w:ilvl w:val="0"/>
          <w:numId w:val="0"/>
        </w:numPr>
        <w:ind w:left="2880" w:hanging="720"/>
      </w:pPr>
      <w:bookmarkStart w:id="222" w:name="_Toc346705464"/>
      <w:r>
        <w:t>a.</w:t>
      </w:r>
      <w:r>
        <w:tab/>
        <w:t>Duquesne</w:t>
      </w:r>
      <w:r w:rsidRPr="00EE5722">
        <w:t>’s Proposal</w:t>
      </w:r>
      <w:bookmarkEnd w:id="222"/>
    </w:p>
    <w:p w:rsidR="002D3E17" w:rsidRPr="00EE5722" w:rsidRDefault="002D3E17" w:rsidP="002D3E17">
      <w:pPr>
        <w:pStyle w:val="BodyText"/>
        <w:spacing w:after="0" w:line="360" w:lineRule="auto"/>
        <w:ind w:left="0" w:firstLine="0"/>
        <w:rPr>
          <w:sz w:val="26"/>
          <w:szCs w:val="26"/>
        </w:rPr>
      </w:pPr>
    </w:p>
    <w:p w:rsidR="002D3E17" w:rsidRPr="00743646" w:rsidRDefault="002D3E17" w:rsidP="002D3E17">
      <w:pPr>
        <w:pStyle w:val="BodyText2"/>
        <w:spacing w:after="0" w:line="360" w:lineRule="auto"/>
        <w:rPr>
          <w:sz w:val="26"/>
          <w:szCs w:val="26"/>
        </w:rPr>
      </w:pPr>
      <w:r w:rsidRPr="00EE5722">
        <w:rPr>
          <w:sz w:val="26"/>
          <w:szCs w:val="26"/>
        </w:rPr>
        <w:tab/>
      </w:r>
      <w:r w:rsidRPr="00EE5722">
        <w:rPr>
          <w:sz w:val="26"/>
          <w:szCs w:val="26"/>
        </w:rPr>
        <w:tab/>
      </w:r>
      <w:r>
        <w:rPr>
          <w:sz w:val="26"/>
          <w:szCs w:val="26"/>
        </w:rPr>
        <w:t xml:space="preserve">Duquesne stated that it </w:t>
      </w:r>
      <w:r w:rsidRPr="00EE5722">
        <w:rPr>
          <w:sz w:val="26"/>
          <w:szCs w:val="26"/>
        </w:rPr>
        <w:t>need</w:t>
      </w:r>
      <w:r w:rsidR="001F132B">
        <w:rPr>
          <w:sz w:val="26"/>
          <w:szCs w:val="26"/>
        </w:rPr>
        <w:t>s</w:t>
      </w:r>
      <w:r w:rsidRPr="00EE5722">
        <w:rPr>
          <w:sz w:val="26"/>
          <w:szCs w:val="26"/>
        </w:rPr>
        <w:t xml:space="preserve"> to provide customers and EGSs with PTC information as early as possible</w:t>
      </w:r>
      <w:r>
        <w:rPr>
          <w:sz w:val="26"/>
          <w:szCs w:val="26"/>
        </w:rPr>
        <w:t xml:space="preserve"> so that</w:t>
      </w:r>
      <w:r w:rsidRPr="00EE5722">
        <w:rPr>
          <w:sz w:val="26"/>
          <w:szCs w:val="26"/>
        </w:rPr>
        <w:t xml:space="preserve"> EGSs can make offers to customers and customers can have </w:t>
      </w:r>
      <w:r w:rsidR="009F2222">
        <w:rPr>
          <w:sz w:val="26"/>
          <w:szCs w:val="26"/>
        </w:rPr>
        <w:t xml:space="preserve">the </w:t>
      </w:r>
      <w:r w:rsidRPr="00EE5722">
        <w:rPr>
          <w:sz w:val="26"/>
          <w:szCs w:val="26"/>
        </w:rPr>
        <w:t xml:space="preserve">information </w:t>
      </w:r>
      <w:r w:rsidR="009F2222">
        <w:rPr>
          <w:sz w:val="26"/>
          <w:szCs w:val="26"/>
        </w:rPr>
        <w:t xml:space="preserve">necessary </w:t>
      </w:r>
      <w:r w:rsidRPr="00EE5722">
        <w:rPr>
          <w:sz w:val="26"/>
          <w:szCs w:val="26"/>
        </w:rPr>
        <w:t>to make informed sho</w:t>
      </w:r>
      <w:r>
        <w:rPr>
          <w:sz w:val="26"/>
          <w:szCs w:val="26"/>
        </w:rPr>
        <w:t xml:space="preserve">pping decisions.  </w:t>
      </w:r>
      <w:r>
        <w:rPr>
          <w:sz w:val="26"/>
          <w:szCs w:val="26"/>
        </w:rPr>
        <w:lastRenderedPageBreak/>
        <w:t>Duquesne contended</w:t>
      </w:r>
      <w:r w:rsidRPr="00EE5722">
        <w:rPr>
          <w:sz w:val="26"/>
          <w:szCs w:val="26"/>
        </w:rPr>
        <w:t xml:space="preserve"> </w:t>
      </w:r>
      <w:r>
        <w:rPr>
          <w:sz w:val="26"/>
          <w:szCs w:val="26"/>
        </w:rPr>
        <w:t xml:space="preserve">that </w:t>
      </w:r>
      <w:r w:rsidRPr="00EE5722">
        <w:rPr>
          <w:sz w:val="26"/>
          <w:szCs w:val="26"/>
        </w:rPr>
        <w:t>it posts an estimated PTC seven days after determining winning b</w:t>
      </w:r>
      <w:r>
        <w:rPr>
          <w:sz w:val="26"/>
          <w:szCs w:val="26"/>
        </w:rPr>
        <w:t>ids in an RFP.  According to Duquesne, t</w:t>
      </w:r>
      <w:r w:rsidRPr="00EE5722">
        <w:rPr>
          <w:sz w:val="26"/>
          <w:szCs w:val="26"/>
        </w:rPr>
        <w:t xml:space="preserve">he only difference between the estimated </w:t>
      </w:r>
      <w:r>
        <w:rPr>
          <w:sz w:val="26"/>
          <w:szCs w:val="26"/>
        </w:rPr>
        <w:t xml:space="preserve">PTC </w:t>
      </w:r>
      <w:r w:rsidRPr="00EE5722">
        <w:rPr>
          <w:sz w:val="26"/>
          <w:szCs w:val="26"/>
        </w:rPr>
        <w:t xml:space="preserve">and </w:t>
      </w:r>
      <w:r>
        <w:rPr>
          <w:sz w:val="26"/>
          <w:szCs w:val="26"/>
        </w:rPr>
        <w:t xml:space="preserve">the </w:t>
      </w:r>
      <w:r w:rsidRPr="00EE5722">
        <w:rPr>
          <w:sz w:val="26"/>
          <w:szCs w:val="26"/>
        </w:rPr>
        <w:t>final PTC is the final determination of the e-factor component, which is very small.</w:t>
      </w:r>
      <w:r>
        <w:rPr>
          <w:sz w:val="26"/>
          <w:szCs w:val="26"/>
        </w:rPr>
        <w:t xml:space="preserve">  </w:t>
      </w:r>
      <w:r w:rsidRPr="00EE5722">
        <w:rPr>
          <w:sz w:val="26"/>
          <w:szCs w:val="26"/>
        </w:rPr>
        <w:t xml:space="preserve">Therefore, </w:t>
      </w:r>
      <w:r>
        <w:rPr>
          <w:sz w:val="26"/>
          <w:szCs w:val="26"/>
        </w:rPr>
        <w:t xml:space="preserve">Duquesne averred that </w:t>
      </w:r>
      <w:r w:rsidRPr="00EE5722">
        <w:rPr>
          <w:sz w:val="26"/>
          <w:szCs w:val="26"/>
        </w:rPr>
        <w:t xml:space="preserve">EGSs know the estimated PTC well in advance of the date rates go into effect.  </w:t>
      </w:r>
      <w:r>
        <w:rPr>
          <w:sz w:val="26"/>
          <w:szCs w:val="26"/>
        </w:rPr>
        <w:t xml:space="preserve">Duquesne St. 4-RJ at </w:t>
      </w:r>
      <w:r w:rsidRPr="00EE5722">
        <w:rPr>
          <w:sz w:val="26"/>
          <w:szCs w:val="26"/>
        </w:rPr>
        <w:t xml:space="preserve">2.  </w:t>
      </w:r>
    </w:p>
    <w:p w:rsidR="002D3E17" w:rsidRPr="00EE5722" w:rsidRDefault="002D3E17" w:rsidP="002D3E17">
      <w:pPr>
        <w:pStyle w:val="BodyText2"/>
        <w:spacing w:after="0" w:line="360" w:lineRule="auto"/>
        <w:rPr>
          <w:sz w:val="26"/>
          <w:szCs w:val="26"/>
        </w:rPr>
      </w:pPr>
    </w:p>
    <w:p w:rsidR="002D3E17" w:rsidRDefault="002D3E17" w:rsidP="0053114A">
      <w:pPr>
        <w:pStyle w:val="Heading4"/>
        <w:numPr>
          <w:ilvl w:val="0"/>
          <w:numId w:val="0"/>
        </w:numPr>
        <w:ind w:left="2880" w:hanging="720"/>
      </w:pPr>
      <w:bookmarkStart w:id="223" w:name="_Toc346705465"/>
      <w:r>
        <w:t>b.</w:t>
      </w:r>
      <w:r>
        <w:tab/>
      </w:r>
      <w:r w:rsidRPr="00EE5722">
        <w:t>Position</w:t>
      </w:r>
      <w:r>
        <w:t>s of the Parties</w:t>
      </w:r>
      <w:bookmarkEnd w:id="223"/>
    </w:p>
    <w:p w:rsidR="002D3E17" w:rsidRPr="00EE5722" w:rsidRDefault="002D3E17" w:rsidP="002D3E17">
      <w:pPr>
        <w:pStyle w:val="BriefL3"/>
        <w:numPr>
          <w:ilvl w:val="0"/>
          <w:numId w:val="0"/>
        </w:numPr>
        <w:spacing w:after="0" w:line="360" w:lineRule="auto"/>
        <w:ind w:left="1440" w:hanging="720"/>
        <w:rPr>
          <w:b/>
          <w:sz w:val="26"/>
          <w:szCs w:val="26"/>
        </w:rPr>
      </w:pPr>
    </w:p>
    <w:p w:rsidR="002D3E17" w:rsidRPr="005751B0" w:rsidRDefault="002D3E17" w:rsidP="002D3E17">
      <w:pPr>
        <w:pStyle w:val="FootnoteText"/>
        <w:spacing w:line="360" w:lineRule="auto"/>
        <w:ind w:firstLine="1440"/>
        <w:rPr>
          <w:sz w:val="26"/>
          <w:szCs w:val="26"/>
        </w:rPr>
      </w:pPr>
      <w:r w:rsidRPr="004B7DA3">
        <w:rPr>
          <w:sz w:val="26"/>
          <w:szCs w:val="26"/>
        </w:rPr>
        <w:t>RESA recommended that the PTC and its various components be calculated as soon as possible in order to provide customers with accurate information needed to make informed shopping decisions.  Under RESA’s proposed procurement structure, the default service RFPs w</w:t>
      </w:r>
      <w:r>
        <w:rPr>
          <w:sz w:val="26"/>
          <w:szCs w:val="26"/>
        </w:rPr>
        <w:t>ould take place approximately sixty</w:t>
      </w:r>
      <w:r w:rsidRPr="004B7DA3">
        <w:rPr>
          <w:sz w:val="26"/>
          <w:szCs w:val="26"/>
        </w:rPr>
        <w:t xml:space="preserve"> days in advance of the applicable effective periods, which would permit Duquesne to calculate the new PTC and file it </w:t>
      </w:r>
      <w:r>
        <w:rPr>
          <w:sz w:val="26"/>
          <w:szCs w:val="26"/>
        </w:rPr>
        <w:t>with the Commission forty-five</w:t>
      </w:r>
      <w:r w:rsidRPr="004B7DA3">
        <w:rPr>
          <w:sz w:val="26"/>
          <w:szCs w:val="26"/>
        </w:rPr>
        <w:t xml:space="preserve"> days in advance. </w:t>
      </w:r>
      <w:r>
        <w:rPr>
          <w:sz w:val="26"/>
          <w:szCs w:val="26"/>
        </w:rPr>
        <w:t xml:space="preserve"> RESA St. </w:t>
      </w:r>
      <w:r w:rsidRPr="005751B0">
        <w:rPr>
          <w:sz w:val="26"/>
          <w:szCs w:val="26"/>
        </w:rPr>
        <w:t>1 at 17.</w:t>
      </w:r>
    </w:p>
    <w:p w:rsidR="002D3E17" w:rsidRPr="004B7DA3" w:rsidRDefault="002D3E17" w:rsidP="006D07BB">
      <w:pPr>
        <w:pStyle w:val="Normal1"/>
      </w:pPr>
    </w:p>
    <w:p w:rsidR="002D3E17" w:rsidRDefault="002D3E17" w:rsidP="002D3E17">
      <w:pPr>
        <w:pStyle w:val="BodyText2"/>
        <w:spacing w:after="0" w:line="360" w:lineRule="auto"/>
        <w:rPr>
          <w:sz w:val="26"/>
          <w:szCs w:val="26"/>
        </w:rPr>
      </w:pPr>
      <w:r w:rsidRPr="004B7DA3">
        <w:rPr>
          <w:sz w:val="26"/>
          <w:szCs w:val="26"/>
        </w:rPr>
        <w:tab/>
      </w:r>
      <w:r w:rsidRPr="004B7DA3">
        <w:rPr>
          <w:sz w:val="26"/>
          <w:szCs w:val="26"/>
        </w:rPr>
        <w:tab/>
      </w:r>
      <w:r>
        <w:rPr>
          <w:sz w:val="26"/>
          <w:szCs w:val="26"/>
        </w:rPr>
        <w:t>RESA argued that publishing the PTC only fifteen</w:t>
      </w:r>
      <w:r w:rsidRPr="004B7DA3">
        <w:rPr>
          <w:sz w:val="26"/>
          <w:szCs w:val="26"/>
        </w:rPr>
        <w:t xml:space="preserve"> days before the start of the effective period means that both customers and EGSs have very little time to react to the new PTC price signal.  Although RESA would prefer a default service model that placed less emphasis on the EDC’s default service product and its associated price, the fact is that under the current paradigm, the PTC is widely used as a benchmark for price comparisons by customers.  </w:t>
      </w:r>
      <w:r>
        <w:rPr>
          <w:sz w:val="26"/>
          <w:szCs w:val="26"/>
        </w:rPr>
        <w:t>RESA opined that p</w:t>
      </w:r>
      <w:r w:rsidRPr="004B7DA3">
        <w:rPr>
          <w:sz w:val="26"/>
          <w:szCs w:val="26"/>
        </w:rPr>
        <w:t xml:space="preserve">ublishing the PTC with more advance notice would allow EGSs to </w:t>
      </w:r>
      <w:r w:rsidR="009F2222">
        <w:rPr>
          <w:sz w:val="26"/>
          <w:szCs w:val="26"/>
        </w:rPr>
        <w:t xml:space="preserve">better </w:t>
      </w:r>
      <w:r w:rsidRPr="004B7DA3">
        <w:rPr>
          <w:sz w:val="26"/>
          <w:szCs w:val="26"/>
        </w:rPr>
        <w:t xml:space="preserve">educate customers about upcoming changes in the PTC and </w:t>
      </w:r>
      <w:r w:rsidR="009F2222">
        <w:rPr>
          <w:sz w:val="26"/>
          <w:szCs w:val="26"/>
        </w:rPr>
        <w:t>would</w:t>
      </w:r>
      <w:r>
        <w:rPr>
          <w:sz w:val="26"/>
          <w:szCs w:val="26"/>
        </w:rPr>
        <w:t xml:space="preserve"> allow customers to make more </w:t>
      </w:r>
      <w:r w:rsidRPr="004B7DA3">
        <w:rPr>
          <w:sz w:val="26"/>
          <w:szCs w:val="26"/>
        </w:rPr>
        <w:t>informed shopping decisions.</w:t>
      </w:r>
      <w:r w:rsidRPr="002A0CC8">
        <w:rPr>
          <w:sz w:val="26"/>
          <w:szCs w:val="26"/>
        </w:rPr>
        <w:t xml:space="preserve"> </w:t>
      </w:r>
      <w:r>
        <w:rPr>
          <w:sz w:val="26"/>
          <w:szCs w:val="26"/>
        </w:rPr>
        <w:t xml:space="preserve"> RESA St. </w:t>
      </w:r>
      <w:r w:rsidRPr="005751B0">
        <w:rPr>
          <w:sz w:val="26"/>
          <w:szCs w:val="26"/>
        </w:rPr>
        <w:t>1-SR at 17.</w:t>
      </w:r>
    </w:p>
    <w:p w:rsidR="00D16DFB" w:rsidRPr="00D16DFB" w:rsidRDefault="00D16DFB" w:rsidP="002D3E17">
      <w:pPr>
        <w:pStyle w:val="BodyText2"/>
        <w:spacing w:after="0" w:line="360" w:lineRule="auto"/>
        <w:rPr>
          <w:bCs/>
          <w:sz w:val="26"/>
          <w:szCs w:val="26"/>
        </w:rPr>
      </w:pPr>
    </w:p>
    <w:p w:rsidR="00D16DFB" w:rsidRPr="004B7DA3" w:rsidRDefault="00D16DFB" w:rsidP="00D16DFB">
      <w:pPr>
        <w:pStyle w:val="BodyText2"/>
        <w:spacing w:after="0" w:line="360" w:lineRule="auto"/>
        <w:ind w:firstLine="1440"/>
        <w:rPr>
          <w:rFonts w:eastAsia="Calibri"/>
          <w:sz w:val="26"/>
          <w:szCs w:val="26"/>
        </w:rPr>
      </w:pPr>
      <w:r>
        <w:rPr>
          <w:bCs/>
          <w:sz w:val="26"/>
          <w:szCs w:val="26"/>
        </w:rPr>
        <w:t>Duquesne opposed RESA’s recommendation that it file the final PTC forty-five</w:t>
      </w:r>
      <w:r w:rsidRPr="00EE5722">
        <w:rPr>
          <w:bCs/>
          <w:sz w:val="26"/>
          <w:szCs w:val="26"/>
        </w:rPr>
        <w:t xml:space="preserve"> days in advance of the effective date because</w:t>
      </w:r>
      <w:r>
        <w:rPr>
          <w:bCs/>
          <w:sz w:val="26"/>
          <w:szCs w:val="26"/>
        </w:rPr>
        <w:t>:</w:t>
      </w:r>
      <w:r w:rsidRPr="00EE5722">
        <w:rPr>
          <w:bCs/>
          <w:sz w:val="26"/>
          <w:szCs w:val="26"/>
        </w:rPr>
        <w:t xml:space="preserve"> (1) i</w:t>
      </w:r>
      <w:r w:rsidRPr="00EE5722">
        <w:rPr>
          <w:rFonts w:eastAsia="Calibri"/>
          <w:sz w:val="26"/>
          <w:szCs w:val="26"/>
        </w:rPr>
        <w:t xml:space="preserve">t posts an </w:t>
      </w:r>
      <w:r w:rsidRPr="00EE5722">
        <w:rPr>
          <w:rFonts w:eastAsia="Calibri"/>
          <w:i/>
          <w:iCs/>
          <w:sz w:val="26"/>
          <w:szCs w:val="26"/>
        </w:rPr>
        <w:t>estimated</w:t>
      </w:r>
      <w:r w:rsidRPr="00EE5722">
        <w:rPr>
          <w:rFonts w:eastAsia="Calibri"/>
          <w:sz w:val="26"/>
          <w:szCs w:val="26"/>
        </w:rPr>
        <w:t xml:space="preserve"> PTC within seven days of the RFP, and (2) it posts the </w:t>
      </w:r>
      <w:r w:rsidRPr="00EE5722">
        <w:rPr>
          <w:rFonts w:eastAsia="Calibri"/>
          <w:i/>
          <w:iCs/>
          <w:sz w:val="26"/>
          <w:szCs w:val="26"/>
        </w:rPr>
        <w:t>final</w:t>
      </w:r>
      <w:r>
        <w:rPr>
          <w:rFonts w:eastAsia="Calibri"/>
          <w:sz w:val="26"/>
          <w:szCs w:val="26"/>
        </w:rPr>
        <w:t xml:space="preserve"> PTC fifteen</w:t>
      </w:r>
      <w:r w:rsidRPr="00EE5722">
        <w:rPr>
          <w:rFonts w:eastAsia="Calibri"/>
          <w:sz w:val="26"/>
          <w:szCs w:val="26"/>
        </w:rPr>
        <w:t xml:space="preserve"> days before the effective date.</w:t>
      </w:r>
      <w:r>
        <w:rPr>
          <w:rFonts w:eastAsia="Calibri"/>
          <w:sz w:val="26"/>
          <w:szCs w:val="26"/>
        </w:rPr>
        <w:t xml:space="preserve">  Duquesne stated</w:t>
      </w:r>
      <w:r w:rsidRPr="00EE5722">
        <w:rPr>
          <w:rFonts w:eastAsia="Calibri"/>
          <w:sz w:val="26"/>
          <w:szCs w:val="26"/>
        </w:rPr>
        <w:t xml:space="preserve"> </w:t>
      </w:r>
      <w:r>
        <w:rPr>
          <w:rFonts w:eastAsia="Calibri"/>
          <w:sz w:val="26"/>
          <w:szCs w:val="26"/>
        </w:rPr>
        <w:t xml:space="preserve">that </w:t>
      </w:r>
      <w:r w:rsidRPr="00EE5722">
        <w:rPr>
          <w:rFonts w:eastAsia="Calibri"/>
          <w:sz w:val="26"/>
          <w:szCs w:val="26"/>
        </w:rPr>
        <w:t xml:space="preserve">the estimated PTC is within +/- 0.03 cents/kWh of the final </w:t>
      </w:r>
      <w:r w:rsidRPr="00EE5722">
        <w:rPr>
          <w:rFonts w:eastAsia="Calibri"/>
          <w:sz w:val="26"/>
          <w:szCs w:val="26"/>
        </w:rPr>
        <w:lastRenderedPageBreak/>
        <w:t>PTC, which it argues is “very close” to the final PTC.</w:t>
      </w:r>
      <w:r>
        <w:rPr>
          <w:rFonts w:eastAsia="Calibri"/>
          <w:sz w:val="26"/>
          <w:szCs w:val="26"/>
        </w:rPr>
        <w:t xml:space="preserve">  Duquesne contended</w:t>
      </w:r>
      <w:r w:rsidRPr="00EE5722">
        <w:rPr>
          <w:rFonts w:eastAsia="Calibri"/>
          <w:sz w:val="26"/>
          <w:szCs w:val="26"/>
        </w:rPr>
        <w:t xml:space="preserve"> it cannot p</w:t>
      </w:r>
      <w:r>
        <w:rPr>
          <w:rFonts w:eastAsia="Calibri"/>
          <w:sz w:val="26"/>
          <w:szCs w:val="26"/>
        </w:rPr>
        <w:t>ost its final PTC sooner than fifteen</w:t>
      </w:r>
      <w:r w:rsidRPr="00EE5722">
        <w:rPr>
          <w:rFonts w:eastAsia="Calibri"/>
          <w:sz w:val="26"/>
          <w:szCs w:val="26"/>
        </w:rPr>
        <w:t xml:space="preserve"> days </w:t>
      </w:r>
      <w:r>
        <w:rPr>
          <w:rFonts w:eastAsia="Calibri"/>
          <w:sz w:val="26"/>
          <w:szCs w:val="26"/>
        </w:rPr>
        <w:t xml:space="preserve">before the effective date of the final PTC </w:t>
      </w:r>
      <w:r w:rsidRPr="00EE5722">
        <w:rPr>
          <w:rFonts w:eastAsia="Calibri"/>
          <w:sz w:val="26"/>
          <w:szCs w:val="26"/>
        </w:rPr>
        <w:t>because</w:t>
      </w:r>
      <w:r>
        <w:rPr>
          <w:rFonts w:eastAsia="Calibri"/>
          <w:sz w:val="26"/>
          <w:szCs w:val="26"/>
        </w:rPr>
        <w:t>:</w:t>
      </w:r>
      <w:r w:rsidRPr="00EE5722">
        <w:rPr>
          <w:rFonts w:eastAsia="Calibri"/>
          <w:sz w:val="26"/>
          <w:szCs w:val="26"/>
        </w:rPr>
        <w:t xml:space="preserve"> (1) it closes its books on the tenth day of the month, and it needs another five days to finalize and file the final PTC, and (2) Duquesne submits its FERC formula filing on May 15</w:t>
      </w:r>
      <w:r w:rsidRPr="009400F7">
        <w:rPr>
          <w:rFonts w:eastAsia="Calibri"/>
          <w:sz w:val="26"/>
          <w:szCs w:val="26"/>
          <w:vertAlign w:val="superscript"/>
        </w:rPr>
        <w:t>th</w:t>
      </w:r>
      <w:r w:rsidRPr="00EE5722">
        <w:rPr>
          <w:rFonts w:eastAsia="Calibri"/>
          <w:sz w:val="26"/>
          <w:szCs w:val="26"/>
        </w:rPr>
        <w:t xml:space="preserve"> to establish a new formula revenue requirement and</w:t>
      </w:r>
      <w:r w:rsidRPr="002C4CAE">
        <w:rPr>
          <w:sz w:val="26"/>
          <w:szCs w:val="26"/>
        </w:rPr>
        <w:t xml:space="preserve"> </w:t>
      </w:r>
      <w:r w:rsidRPr="00EE5722">
        <w:rPr>
          <w:sz w:val="26"/>
          <w:szCs w:val="26"/>
        </w:rPr>
        <w:t>Network Integration</w:t>
      </w:r>
      <w:r>
        <w:rPr>
          <w:sz w:val="26"/>
          <w:szCs w:val="26"/>
        </w:rPr>
        <w:t xml:space="preserve"> Transmission Service costs</w:t>
      </w:r>
      <w:r w:rsidRPr="00EE5722">
        <w:rPr>
          <w:rFonts w:eastAsia="Calibri"/>
          <w:sz w:val="26"/>
          <w:szCs w:val="26"/>
        </w:rPr>
        <w:t xml:space="preserve"> </w:t>
      </w:r>
      <w:r>
        <w:rPr>
          <w:rFonts w:eastAsia="Calibri"/>
          <w:sz w:val="26"/>
          <w:szCs w:val="26"/>
        </w:rPr>
        <w:t>(</w:t>
      </w:r>
      <w:r w:rsidRPr="002C4CAE">
        <w:rPr>
          <w:rFonts w:eastAsia="Calibri"/>
          <w:sz w:val="26"/>
          <w:szCs w:val="26"/>
        </w:rPr>
        <w:t>NITS</w:t>
      </w:r>
      <w:r>
        <w:rPr>
          <w:rFonts w:eastAsia="Calibri"/>
          <w:sz w:val="26"/>
          <w:szCs w:val="26"/>
        </w:rPr>
        <w:t>)</w:t>
      </w:r>
      <w:r w:rsidRPr="00EE5722">
        <w:rPr>
          <w:rFonts w:eastAsia="Calibri"/>
          <w:sz w:val="26"/>
          <w:szCs w:val="26"/>
        </w:rPr>
        <w:t xml:space="preserve"> effective on June 1</w:t>
      </w:r>
      <w:r w:rsidRPr="00EE5722">
        <w:rPr>
          <w:rFonts w:eastAsia="Calibri"/>
          <w:sz w:val="26"/>
          <w:szCs w:val="26"/>
          <w:vertAlign w:val="superscript"/>
        </w:rPr>
        <w:t>st</w:t>
      </w:r>
      <w:r w:rsidRPr="00EE5722">
        <w:rPr>
          <w:rFonts w:eastAsia="Calibri"/>
          <w:sz w:val="26"/>
          <w:szCs w:val="26"/>
        </w:rPr>
        <w:t xml:space="preserve">. </w:t>
      </w:r>
      <w:r>
        <w:rPr>
          <w:rFonts w:eastAsia="Calibri"/>
          <w:sz w:val="26"/>
          <w:szCs w:val="26"/>
        </w:rPr>
        <w:t xml:space="preserve"> </w:t>
      </w:r>
      <w:r w:rsidRPr="00EE5722">
        <w:rPr>
          <w:rFonts w:eastAsia="Calibri"/>
          <w:sz w:val="26"/>
          <w:szCs w:val="26"/>
        </w:rPr>
        <w:t>In addition, on May 15</w:t>
      </w:r>
      <w:r w:rsidRPr="009400F7">
        <w:rPr>
          <w:rFonts w:eastAsia="Calibri"/>
          <w:sz w:val="26"/>
          <w:szCs w:val="26"/>
          <w:vertAlign w:val="superscript"/>
        </w:rPr>
        <w:t>th</w:t>
      </w:r>
      <w:r w:rsidRPr="00EE5722">
        <w:rPr>
          <w:rFonts w:eastAsia="Calibri"/>
          <w:sz w:val="26"/>
          <w:szCs w:val="26"/>
        </w:rPr>
        <w:t>, Duquesne files new retail transmission rates at the Commission effective June 1</w:t>
      </w:r>
      <w:r w:rsidRPr="00EE5722">
        <w:rPr>
          <w:rFonts w:eastAsia="Calibri"/>
          <w:sz w:val="26"/>
          <w:szCs w:val="26"/>
          <w:vertAlign w:val="superscript"/>
        </w:rPr>
        <w:t>st</w:t>
      </w:r>
      <w:r w:rsidRPr="00EE5722">
        <w:rPr>
          <w:rFonts w:eastAsia="Calibri"/>
          <w:sz w:val="26"/>
          <w:szCs w:val="26"/>
        </w:rPr>
        <w:t>.  Duquesne contends it cannot submit new transmission rates sooner than May 15</w:t>
      </w:r>
      <w:r w:rsidRPr="009400F7">
        <w:rPr>
          <w:rFonts w:eastAsia="Calibri"/>
          <w:sz w:val="26"/>
          <w:szCs w:val="26"/>
          <w:vertAlign w:val="superscript"/>
        </w:rPr>
        <w:t>th</w:t>
      </w:r>
      <w:r w:rsidRPr="00EE5722">
        <w:rPr>
          <w:rFonts w:eastAsia="Calibri"/>
          <w:sz w:val="26"/>
          <w:szCs w:val="26"/>
        </w:rPr>
        <w:t>, and transmission is a componen</w:t>
      </w:r>
      <w:r>
        <w:rPr>
          <w:rFonts w:eastAsia="Calibri"/>
          <w:sz w:val="26"/>
          <w:szCs w:val="26"/>
        </w:rPr>
        <w:t xml:space="preserve">t of the PTC.  Furthermore, </w:t>
      </w:r>
      <w:r>
        <w:rPr>
          <w:sz w:val="26"/>
          <w:szCs w:val="26"/>
        </w:rPr>
        <w:t>Duquesne pointed</w:t>
      </w:r>
      <w:r w:rsidRPr="00EE5722">
        <w:rPr>
          <w:sz w:val="26"/>
          <w:szCs w:val="26"/>
        </w:rPr>
        <w:t xml:space="preserve"> out </w:t>
      </w:r>
      <w:r>
        <w:rPr>
          <w:sz w:val="26"/>
          <w:szCs w:val="26"/>
        </w:rPr>
        <w:t xml:space="preserve">that </w:t>
      </w:r>
      <w:r w:rsidRPr="00EE5722">
        <w:rPr>
          <w:sz w:val="26"/>
          <w:szCs w:val="26"/>
        </w:rPr>
        <w:t>it</w:t>
      </w:r>
      <w:r>
        <w:rPr>
          <w:sz w:val="26"/>
          <w:szCs w:val="26"/>
        </w:rPr>
        <w:t xml:space="preserve"> is following Commission-</w:t>
      </w:r>
      <w:r w:rsidRPr="00EE5722">
        <w:rPr>
          <w:sz w:val="26"/>
          <w:szCs w:val="26"/>
        </w:rPr>
        <w:t>approved practice and procedure when p</w:t>
      </w:r>
      <w:r>
        <w:rPr>
          <w:sz w:val="26"/>
          <w:szCs w:val="26"/>
        </w:rPr>
        <w:t xml:space="preserve">osting its PTC.  Duquesne St. 4-R at </w:t>
      </w:r>
      <w:r w:rsidRPr="00EE5722">
        <w:rPr>
          <w:sz w:val="26"/>
          <w:szCs w:val="26"/>
        </w:rPr>
        <w:t>12-13</w:t>
      </w:r>
      <w:r>
        <w:rPr>
          <w:sz w:val="26"/>
          <w:szCs w:val="26"/>
        </w:rPr>
        <w:t>.</w:t>
      </w:r>
    </w:p>
    <w:p w:rsidR="002D3E17" w:rsidRPr="004B7DA3" w:rsidRDefault="002D3E17" w:rsidP="002D3E17">
      <w:pPr>
        <w:pStyle w:val="BodyText2"/>
        <w:spacing w:after="0" w:line="360" w:lineRule="auto"/>
        <w:rPr>
          <w:bCs/>
          <w:sz w:val="26"/>
          <w:szCs w:val="26"/>
        </w:rPr>
      </w:pPr>
    </w:p>
    <w:p w:rsidR="002D3E17" w:rsidRPr="004B7DA3" w:rsidRDefault="002D3E17" w:rsidP="00D7306D">
      <w:pPr>
        <w:pStyle w:val="BodyText2"/>
        <w:spacing w:after="0" w:line="360" w:lineRule="auto"/>
        <w:rPr>
          <w:sz w:val="26"/>
          <w:szCs w:val="26"/>
        </w:rPr>
      </w:pPr>
      <w:r w:rsidRPr="004B7DA3">
        <w:rPr>
          <w:rFonts w:eastAsia="Calibri"/>
          <w:sz w:val="26"/>
          <w:szCs w:val="26"/>
        </w:rPr>
        <w:tab/>
      </w:r>
      <w:r w:rsidRPr="004B7DA3">
        <w:rPr>
          <w:rFonts w:eastAsia="Calibri"/>
          <w:sz w:val="26"/>
          <w:szCs w:val="26"/>
        </w:rPr>
        <w:tab/>
      </w:r>
      <w:r w:rsidRPr="004B7DA3">
        <w:rPr>
          <w:sz w:val="26"/>
          <w:szCs w:val="26"/>
        </w:rPr>
        <w:t>None of the other Parties took a position on this issue.</w:t>
      </w:r>
    </w:p>
    <w:p w:rsidR="002D3E17" w:rsidRPr="004B7DA3" w:rsidRDefault="002D3E17" w:rsidP="00D7306D">
      <w:pPr>
        <w:pStyle w:val="BriefL3"/>
        <w:numPr>
          <w:ilvl w:val="0"/>
          <w:numId w:val="0"/>
        </w:numPr>
        <w:spacing w:after="0" w:line="360" w:lineRule="auto"/>
        <w:rPr>
          <w:b/>
          <w:sz w:val="26"/>
          <w:szCs w:val="26"/>
        </w:rPr>
      </w:pPr>
    </w:p>
    <w:p w:rsidR="002D3E17" w:rsidRPr="004B7DA3" w:rsidRDefault="002D3E17" w:rsidP="0053114A">
      <w:pPr>
        <w:pStyle w:val="Heading4"/>
        <w:numPr>
          <w:ilvl w:val="0"/>
          <w:numId w:val="0"/>
        </w:numPr>
        <w:ind w:left="2880" w:hanging="720"/>
      </w:pPr>
      <w:bookmarkStart w:id="224" w:name="_Toc346705466"/>
      <w:r w:rsidRPr="004B7DA3">
        <w:t>c.</w:t>
      </w:r>
      <w:r w:rsidRPr="004B7DA3">
        <w:tab/>
        <w:t>ALJ’s Recommendation</w:t>
      </w:r>
      <w:bookmarkEnd w:id="224"/>
      <w:r w:rsidR="0082147D">
        <w:t xml:space="preserve"> </w:t>
      </w:r>
    </w:p>
    <w:p w:rsidR="002D3E17" w:rsidRPr="004B7DA3" w:rsidRDefault="002D3E17" w:rsidP="002D3E17">
      <w:pPr>
        <w:pStyle w:val="BodyText"/>
        <w:spacing w:after="0" w:line="360" w:lineRule="auto"/>
        <w:ind w:left="0" w:firstLine="0"/>
        <w:rPr>
          <w:sz w:val="26"/>
          <w:szCs w:val="26"/>
        </w:rPr>
      </w:pPr>
    </w:p>
    <w:p w:rsidR="002D3E17" w:rsidRPr="005915E1" w:rsidRDefault="002D3E17" w:rsidP="005915E1">
      <w:pPr>
        <w:spacing w:line="360" w:lineRule="auto"/>
        <w:ind w:firstLine="1440"/>
        <w:rPr>
          <w:sz w:val="26"/>
          <w:szCs w:val="26"/>
        </w:rPr>
      </w:pPr>
      <w:r w:rsidRPr="005915E1">
        <w:rPr>
          <w:sz w:val="26"/>
          <w:szCs w:val="26"/>
        </w:rPr>
        <w:t>The ALJ agreed with Duquesne that it timely</w:t>
      </w:r>
      <w:r w:rsidR="009400F7" w:rsidRPr="005915E1">
        <w:rPr>
          <w:sz w:val="26"/>
          <w:szCs w:val="26"/>
        </w:rPr>
        <w:t xml:space="preserve"> informs customers and EGSs of the new PTC </w:t>
      </w:r>
      <w:r w:rsidRPr="005915E1">
        <w:rPr>
          <w:sz w:val="26"/>
          <w:szCs w:val="26"/>
        </w:rPr>
        <w:t xml:space="preserve">when it posts the estimated PTC seven days after it determines the winning bids in the RFP, and then posts the final PTC fifteen days before the rates go into effect.  </w:t>
      </w:r>
      <w:r w:rsidR="00FA3A61" w:rsidRPr="005915E1">
        <w:rPr>
          <w:sz w:val="26"/>
          <w:szCs w:val="26"/>
        </w:rPr>
        <w:t xml:space="preserve">The ALJ </w:t>
      </w:r>
      <w:r w:rsidR="00177FF6" w:rsidRPr="005915E1">
        <w:rPr>
          <w:sz w:val="26"/>
          <w:szCs w:val="26"/>
        </w:rPr>
        <w:t xml:space="preserve">recommended that the Residential PTC should be changed on an annual basis and that the Small C&amp;I PTC should be updated semi-annually to more closely follow the procurement structure.  </w:t>
      </w:r>
      <w:r w:rsidRPr="005915E1">
        <w:rPr>
          <w:sz w:val="26"/>
          <w:szCs w:val="26"/>
        </w:rPr>
        <w:t>The ALJ recommended approval of Duquesne’s proposal as it is consistent with Commission procedure.</w:t>
      </w:r>
      <w:r w:rsidR="00D7306D" w:rsidRPr="005915E1">
        <w:rPr>
          <w:sz w:val="26"/>
          <w:szCs w:val="26"/>
        </w:rPr>
        <w:t xml:space="preserve">  R.D. at 187.</w:t>
      </w:r>
      <w:r w:rsidRPr="005915E1">
        <w:rPr>
          <w:sz w:val="26"/>
          <w:szCs w:val="26"/>
        </w:rPr>
        <w:t xml:space="preserve">  </w:t>
      </w:r>
    </w:p>
    <w:p w:rsidR="002D3E17" w:rsidRPr="004B7DA3" w:rsidRDefault="002D3E17" w:rsidP="00D7306D">
      <w:pPr>
        <w:pStyle w:val="BodyText"/>
        <w:spacing w:after="0" w:line="360" w:lineRule="auto"/>
        <w:ind w:left="0" w:firstLine="0"/>
        <w:rPr>
          <w:sz w:val="26"/>
          <w:szCs w:val="26"/>
        </w:rPr>
      </w:pPr>
    </w:p>
    <w:p w:rsidR="002D3E17" w:rsidRPr="004B7DA3" w:rsidRDefault="002D3E17" w:rsidP="0053114A">
      <w:pPr>
        <w:pStyle w:val="Heading4"/>
        <w:numPr>
          <w:ilvl w:val="0"/>
          <w:numId w:val="0"/>
        </w:numPr>
        <w:ind w:left="2880" w:hanging="720"/>
      </w:pPr>
      <w:bookmarkStart w:id="225" w:name="_Toc346705467"/>
      <w:r w:rsidRPr="004B7DA3">
        <w:t>d.</w:t>
      </w:r>
      <w:r w:rsidRPr="004B7DA3">
        <w:tab/>
        <w:t>Exceptions</w:t>
      </w:r>
      <w:bookmarkEnd w:id="225"/>
    </w:p>
    <w:p w:rsidR="002D3E17" w:rsidRPr="004B7DA3" w:rsidRDefault="002D3E17" w:rsidP="002D3E17">
      <w:pPr>
        <w:pStyle w:val="BodyText2"/>
        <w:spacing w:after="0" w:line="360" w:lineRule="auto"/>
        <w:rPr>
          <w:sz w:val="26"/>
          <w:szCs w:val="26"/>
        </w:rPr>
      </w:pPr>
    </w:p>
    <w:p w:rsidR="002D3E17" w:rsidRPr="005915E1" w:rsidRDefault="002D3E17" w:rsidP="005915E1">
      <w:pPr>
        <w:spacing w:line="360" w:lineRule="auto"/>
        <w:ind w:firstLine="1440"/>
        <w:rPr>
          <w:sz w:val="26"/>
          <w:szCs w:val="26"/>
        </w:rPr>
      </w:pPr>
      <w:r w:rsidRPr="005915E1">
        <w:rPr>
          <w:sz w:val="26"/>
          <w:szCs w:val="26"/>
        </w:rPr>
        <w:t>In its Exceptions, RESA states that the ALJ erred in rejecting its proposal for quarterly changes to the PTC</w:t>
      </w:r>
      <w:r w:rsidR="009400F7" w:rsidRPr="005915E1">
        <w:rPr>
          <w:sz w:val="26"/>
          <w:szCs w:val="26"/>
        </w:rPr>
        <w:t xml:space="preserve"> and a </w:t>
      </w:r>
      <w:r w:rsidRPr="005915E1">
        <w:rPr>
          <w:sz w:val="26"/>
          <w:szCs w:val="26"/>
        </w:rPr>
        <w:t>require</w:t>
      </w:r>
      <w:r w:rsidR="009400F7" w:rsidRPr="005915E1">
        <w:rPr>
          <w:sz w:val="26"/>
          <w:szCs w:val="26"/>
        </w:rPr>
        <w:t>ment that Duquesne provide</w:t>
      </w:r>
      <w:r w:rsidRPr="005915E1">
        <w:rPr>
          <w:sz w:val="26"/>
          <w:szCs w:val="26"/>
        </w:rPr>
        <w:t xml:space="preserve"> earlier notice to EGSs of the upcoming PTC.  RESA explains that</w:t>
      </w:r>
      <w:r w:rsidR="001012B2" w:rsidRPr="005915E1">
        <w:rPr>
          <w:sz w:val="26"/>
          <w:szCs w:val="26"/>
        </w:rPr>
        <w:t>,</w:t>
      </w:r>
      <w:r w:rsidRPr="005915E1">
        <w:rPr>
          <w:sz w:val="26"/>
          <w:szCs w:val="26"/>
        </w:rPr>
        <w:t xml:space="preserve"> under the ALJ’s reasoning, if the </w:t>
      </w:r>
      <w:r w:rsidRPr="005915E1">
        <w:rPr>
          <w:sz w:val="26"/>
          <w:szCs w:val="26"/>
        </w:rPr>
        <w:lastRenderedPageBreak/>
        <w:t>Commission adopts RESA’s procur</w:t>
      </w:r>
      <w:r w:rsidR="001012B2" w:rsidRPr="005915E1">
        <w:rPr>
          <w:sz w:val="26"/>
          <w:szCs w:val="26"/>
        </w:rPr>
        <w:t xml:space="preserve">ement proposal that </w:t>
      </w:r>
      <w:r w:rsidRPr="005915E1">
        <w:rPr>
          <w:sz w:val="26"/>
          <w:szCs w:val="26"/>
        </w:rPr>
        <w:t>includes three-month contracts, then the PTC should change quarterly as well.  RESA argues that publishing the PTC only fifteen days before the start of the effective period means that both customers and EGSs have very little time to react to the new and final PTC price signal because customers rely upon the PTC as a benchmark for price comparisons.  RESA opines that Duquesne has not indicated that any technological or operational barriers exist to modifying the existing PTC filing schedule to allow it to provide a final PTC forty-five days in advance.</w:t>
      </w:r>
      <w:r w:rsidR="00D7306D" w:rsidRPr="005915E1">
        <w:rPr>
          <w:sz w:val="26"/>
          <w:szCs w:val="26"/>
        </w:rPr>
        <w:t xml:space="preserve">  RESA Exc. at 37-38.  </w:t>
      </w:r>
      <w:r w:rsidR="001012B2" w:rsidRPr="005915E1">
        <w:rPr>
          <w:sz w:val="26"/>
          <w:szCs w:val="26"/>
        </w:rPr>
        <w:t xml:space="preserve"> </w:t>
      </w:r>
      <w:r w:rsidRPr="005915E1">
        <w:rPr>
          <w:sz w:val="26"/>
          <w:szCs w:val="26"/>
        </w:rPr>
        <w:t xml:space="preserve"> </w:t>
      </w:r>
    </w:p>
    <w:p w:rsidR="002D3E17" w:rsidRPr="005915E1" w:rsidRDefault="002D3E17" w:rsidP="005915E1">
      <w:pPr>
        <w:spacing w:line="360" w:lineRule="auto"/>
        <w:rPr>
          <w:sz w:val="26"/>
          <w:szCs w:val="26"/>
        </w:rPr>
      </w:pPr>
    </w:p>
    <w:p w:rsidR="002D3E17" w:rsidRPr="00DA7564" w:rsidRDefault="002D3E17" w:rsidP="005915E1">
      <w:pPr>
        <w:spacing w:line="360" w:lineRule="auto"/>
        <w:ind w:firstLine="1440"/>
      </w:pPr>
      <w:r w:rsidRPr="005915E1">
        <w:rPr>
          <w:sz w:val="26"/>
          <w:szCs w:val="26"/>
        </w:rPr>
        <w:t>Additionally, RESA points out that Duquesne’s ability to calculate and publish an updated final PTC will play a role in</w:t>
      </w:r>
      <w:r w:rsidR="001012B2" w:rsidRPr="005915E1">
        <w:rPr>
          <w:sz w:val="26"/>
          <w:szCs w:val="26"/>
        </w:rPr>
        <w:t xml:space="preserve"> the implementation of the Opt-In P</w:t>
      </w:r>
      <w:r w:rsidRPr="005915E1">
        <w:rPr>
          <w:sz w:val="26"/>
          <w:szCs w:val="26"/>
        </w:rPr>
        <w:t>rogram because EGSs need to know the default service rate before committing to this</w:t>
      </w:r>
      <w:r w:rsidR="001012B2" w:rsidRPr="005915E1">
        <w:rPr>
          <w:sz w:val="26"/>
          <w:szCs w:val="26"/>
        </w:rPr>
        <w:t xml:space="preserve"> P</w:t>
      </w:r>
      <w:r w:rsidRPr="005915E1">
        <w:rPr>
          <w:sz w:val="26"/>
          <w:szCs w:val="26"/>
        </w:rPr>
        <w:t xml:space="preserve">rogram, and EGSs generally cannot be expected to commit to provide a discount </w:t>
      </w:r>
      <w:r w:rsidR="0038247E" w:rsidRPr="005915E1">
        <w:rPr>
          <w:sz w:val="26"/>
          <w:szCs w:val="26"/>
        </w:rPr>
        <w:t>from</w:t>
      </w:r>
      <w:r w:rsidRPr="005915E1">
        <w:rPr>
          <w:sz w:val="26"/>
          <w:szCs w:val="26"/>
        </w:rPr>
        <w:t xml:space="preserve"> an unknown price.  RESA avers that this is especially true in Duquesne’s service territory, where the PTC is likely to </w:t>
      </w:r>
      <w:r w:rsidR="0038247E" w:rsidRPr="005915E1">
        <w:rPr>
          <w:sz w:val="26"/>
          <w:szCs w:val="26"/>
        </w:rPr>
        <w:t xml:space="preserve">decrease because </w:t>
      </w:r>
      <w:r w:rsidRPr="005915E1">
        <w:rPr>
          <w:sz w:val="26"/>
          <w:szCs w:val="26"/>
        </w:rPr>
        <w:t xml:space="preserve">Duquesne’s current twenty-nine month fixed </w:t>
      </w:r>
      <w:r w:rsidR="0038247E" w:rsidRPr="005915E1">
        <w:rPr>
          <w:sz w:val="26"/>
          <w:szCs w:val="26"/>
        </w:rPr>
        <w:t>PTC</w:t>
      </w:r>
      <w:r w:rsidR="00C95FA1" w:rsidRPr="005915E1">
        <w:rPr>
          <w:sz w:val="26"/>
          <w:szCs w:val="26"/>
        </w:rPr>
        <w:t xml:space="preserve"> for residential customers</w:t>
      </w:r>
      <w:r w:rsidR="00741B22" w:rsidRPr="005915E1">
        <w:rPr>
          <w:sz w:val="26"/>
          <w:szCs w:val="26"/>
        </w:rPr>
        <w:t xml:space="preserve"> </w:t>
      </w:r>
      <w:r w:rsidR="0038247E" w:rsidRPr="005915E1">
        <w:rPr>
          <w:sz w:val="26"/>
          <w:szCs w:val="26"/>
        </w:rPr>
        <w:t xml:space="preserve">is </w:t>
      </w:r>
      <w:r w:rsidRPr="005915E1">
        <w:rPr>
          <w:sz w:val="26"/>
          <w:szCs w:val="26"/>
        </w:rPr>
        <w:t>above</w:t>
      </w:r>
      <w:r w:rsidR="00741B22" w:rsidRPr="005915E1">
        <w:rPr>
          <w:sz w:val="26"/>
          <w:szCs w:val="26"/>
        </w:rPr>
        <w:t xml:space="preserve"> </w:t>
      </w:r>
      <w:r w:rsidR="0038247E" w:rsidRPr="005915E1">
        <w:rPr>
          <w:sz w:val="26"/>
          <w:szCs w:val="26"/>
        </w:rPr>
        <w:t xml:space="preserve">current </w:t>
      </w:r>
      <w:r w:rsidRPr="005915E1">
        <w:rPr>
          <w:sz w:val="26"/>
          <w:szCs w:val="26"/>
        </w:rPr>
        <w:t>ma</w:t>
      </w:r>
      <w:r w:rsidR="001012B2" w:rsidRPr="005915E1">
        <w:rPr>
          <w:sz w:val="26"/>
          <w:szCs w:val="26"/>
        </w:rPr>
        <w:t xml:space="preserve">rket </w:t>
      </w:r>
      <w:r w:rsidR="0038247E" w:rsidRPr="005915E1">
        <w:rPr>
          <w:sz w:val="26"/>
          <w:szCs w:val="26"/>
        </w:rPr>
        <w:t>prices</w:t>
      </w:r>
      <w:r w:rsidRPr="005915E1">
        <w:rPr>
          <w:sz w:val="26"/>
          <w:szCs w:val="26"/>
        </w:rPr>
        <w:t>.</w:t>
      </w:r>
      <w:r w:rsidR="00DA7564" w:rsidRPr="005915E1">
        <w:rPr>
          <w:sz w:val="26"/>
          <w:szCs w:val="26"/>
        </w:rPr>
        <w:t xml:space="preserve">  Id. at 38.</w:t>
      </w:r>
    </w:p>
    <w:p w:rsidR="002D3E17" w:rsidRPr="004B7DA3" w:rsidRDefault="002D3E17" w:rsidP="002D3E17">
      <w:pPr>
        <w:pStyle w:val="BodyText"/>
        <w:spacing w:after="0" w:line="360" w:lineRule="auto"/>
        <w:ind w:left="0" w:firstLine="0"/>
        <w:rPr>
          <w:sz w:val="26"/>
          <w:szCs w:val="26"/>
        </w:rPr>
      </w:pPr>
    </w:p>
    <w:p w:rsidR="002D3E17" w:rsidRPr="004B7DA3" w:rsidRDefault="002D3E17" w:rsidP="0053114A">
      <w:pPr>
        <w:pStyle w:val="Heading4"/>
        <w:numPr>
          <w:ilvl w:val="0"/>
          <w:numId w:val="0"/>
        </w:numPr>
        <w:ind w:left="2880" w:hanging="720"/>
      </w:pPr>
      <w:bookmarkStart w:id="226" w:name="_Toc346705468"/>
      <w:r w:rsidRPr="004B7DA3">
        <w:t>e.</w:t>
      </w:r>
      <w:r w:rsidRPr="004B7DA3">
        <w:tab/>
        <w:t>Reply Exceptions</w:t>
      </w:r>
      <w:bookmarkEnd w:id="226"/>
    </w:p>
    <w:p w:rsidR="002D3E17" w:rsidRPr="004B7DA3" w:rsidRDefault="002D3E17" w:rsidP="002D3E17">
      <w:pPr>
        <w:pStyle w:val="BodyText"/>
        <w:spacing w:after="0" w:line="360" w:lineRule="auto"/>
        <w:ind w:left="0" w:firstLine="0"/>
        <w:rPr>
          <w:sz w:val="26"/>
          <w:szCs w:val="26"/>
        </w:rPr>
      </w:pPr>
    </w:p>
    <w:p w:rsidR="002D3E17" w:rsidRPr="00655740" w:rsidRDefault="002D3E17" w:rsidP="00DA7564">
      <w:pPr>
        <w:pStyle w:val="BodyText2"/>
        <w:tabs>
          <w:tab w:val="left" w:pos="0"/>
        </w:tabs>
        <w:spacing w:after="0" w:line="360" w:lineRule="auto"/>
        <w:rPr>
          <w:sz w:val="26"/>
          <w:szCs w:val="26"/>
        </w:rPr>
      </w:pPr>
      <w:r>
        <w:rPr>
          <w:sz w:val="26"/>
          <w:szCs w:val="26"/>
        </w:rPr>
        <w:tab/>
      </w:r>
      <w:r>
        <w:rPr>
          <w:sz w:val="26"/>
          <w:szCs w:val="26"/>
        </w:rPr>
        <w:tab/>
      </w:r>
      <w:r w:rsidRPr="004B7DA3">
        <w:rPr>
          <w:sz w:val="26"/>
          <w:szCs w:val="26"/>
        </w:rPr>
        <w:t>In its Reply Exceptions, Duquesne argues that the ALJ properly rejected RESA’s pro</w:t>
      </w:r>
      <w:r>
        <w:rPr>
          <w:sz w:val="26"/>
          <w:szCs w:val="26"/>
        </w:rPr>
        <w:t>po</w:t>
      </w:r>
      <w:r w:rsidRPr="004B7DA3">
        <w:rPr>
          <w:sz w:val="26"/>
          <w:szCs w:val="26"/>
        </w:rPr>
        <w:t>sed requirement that Duquesne</w:t>
      </w:r>
      <w:r>
        <w:rPr>
          <w:sz w:val="26"/>
          <w:szCs w:val="26"/>
        </w:rPr>
        <w:t xml:space="preserve"> provide a final PTC forty-five</w:t>
      </w:r>
      <w:r w:rsidRPr="004B7DA3">
        <w:rPr>
          <w:sz w:val="26"/>
          <w:szCs w:val="26"/>
        </w:rPr>
        <w:t xml:space="preserve"> days in advance of changes to the PTC.  Duquesne submits that RESA</w:t>
      </w:r>
      <w:r>
        <w:rPr>
          <w:sz w:val="26"/>
          <w:szCs w:val="26"/>
        </w:rPr>
        <w:t>’s Exception</w:t>
      </w:r>
      <w:r w:rsidR="001012B2">
        <w:rPr>
          <w:sz w:val="26"/>
          <w:szCs w:val="26"/>
        </w:rPr>
        <w:t xml:space="preserve"> ignores </w:t>
      </w:r>
      <w:r>
        <w:rPr>
          <w:sz w:val="26"/>
          <w:szCs w:val="26"/>
        </w:rPr>
        <w:t>the Company</w:t>
      </w:r>
      <w:r w:rsidR="001012B2">
        <w:rPr>
          <w:sz w:val="26"/>
          <w:szCs w:val="26"/>
        </w:rPr>
        <w:t>’s testimony,</w:t>
      </w:r>
      <w:r>
        <w:rPr>
          <w:sz w:val="26"/>
          <w:szCs w:val="26"/>
        </w:rPr>
        <w:t xml:space="preserve"> which</w:t>
      </w:r>
      <w:r w:rsidRPr="004B7DA3">
        <w:rPr>
          <w:sz w:val="26"/>
          <w:szCs w:val="26"/>
        </w:rPr>
        <w:t xml:space="preserve"> explained that Duquesne cannot p</w:t>
      </w:r>
      <w:r>
        <w:rPr>
          <w:sz w:val="26"/>
          <w:szCs w:val="26"/>
        </w:rPr>
        <w:t>ost the final PTC sooner than fifteen</w:t>
      </w:r>
      <w:r w:rsidRPr="004B7DA3">
        <w:rPr>
          <w:sz w:val="26"/>
          <w:szCs w:val="26"/>
        </w:rPr>
        <w:t xml:space="preserve"> days before the effective date because it needs to close its books </w:t>
      </w:r>
      <w:r>
        <w:rPr>
          <w:sz w:val="26"/>
          <w:szCs w:val="26"/>
        </w:rPr>
        <w:t>for the prior month and needs fifteen</w:t>
      </w:r>
      <w:r w:rsidRPr="004B7DA3">
        <w:rPr>
          <w:sz w:val="26"/>
          <w:szCs w:val="26"/>
        </w:rPr>
        <w:t xml:space="preserve"> days to do this.  In addition, </w:t>
      </w:r>
      <w:r>
        <w:rPr>
          <w:sz w:val="26"/>
          <w:szCs w:val="26"/>
        </w:rPr>
        <w:t>Duquesne notes that its</w:t>
      </w:r>
      <w:r w:rsidR="001012B2">
        <w:rPr>
          <w:sz w:val="26"/>
          <w:szCs w:val="26"/>
        </w:rPr>
        <w:t xml:space="preserve"> FERC</w:t>
      </w:r>
      <w:r w:rsidRPr="004B7DA3">
        <w:rPr>
          <w:sz w:val="26"/>
          <w:szCs w:val="26"/>
        </w:rPr>
        <w:t xml:space="preserve"> formula filing is submitted on May 15</w:t>
      </w:r>
      <w:r w:rsidR="001012B2" w:rsidRPr="001012B2">
        <w:rPr>
          <w:sz w:val="26"/>
          <w:szCs w:val="26"/>
          <w:vertAlign w:val="superscript"/>
        </w:rPr>
        <w:t>th</w:t>
      </w:r>
      <w:r w:rsidRPr="004B7DA3">
        <w:rPr>
          <w:sz w:val="26"/>
          <w:szCs w:val="26"/>
        </w:rPr>
        <w:t xml:space="preserve"> of each year, establishing new transmission rates to become effective on June 1</w:t>
      </w:r>
      <w:r w:rsidR="001012B2" w:rsidRPr="001012B2">
        <w:rPr>
          <w:sz w:val="26"/>
          <w:szCs w:val="26"/>
          <w:vertAlign w:val="superscript"/>
        </w:rPr>
        <w:t>st</w:t>
      </w:r>
      <w:r w:rsidRPr="004B7DA3">
        <w:rPr>
          <w:sz w:val="26"/>
          <w:szCs w:val="26"/>
        </w:rPr>
        <w:t xml:space="preserve">.  Therefore, Duquesne </w:t>
      </w:r>
      <w:r>
        <w:rPr>
          <w:sz w:val="26"/>
          <w:szCs w:val="26"/>
        </w:rPr>
        <w:t xml:space="preserve">avers that it </w:t>
      </w:r>
      <w:r w:rsidRPr="004B7DA3">
        <w:rPr>
          <w:sz w:val="26"/>
          <w:szCs w:val="26"/>
        </w:rPr>
        <w:t>does not know its</w:t>
      </w:r>
      <w:r>
        <w:rPr>
          <w:sz w:val="26"/>
          <w:szCs w:val="26"/>
        </w:rPr>
        <w:t xml:space="preserve"> June 1</w:t>
      </w:r>
      <w:r w:rsidR="001012B2" w:rsidRPr="001012B2">
        <w:rPr>
          <w:sz w:val="26"/>
          <w:szCs w:val="26"/>
          <w:vertAlign w:val="superscript"/>
        </w:rPr>
        <w:t>st</w:t>
      </w:r>
      <w:r>
        <w:rPr>
          <w:sz w:val="26"/>
          <w:szCs w:val="26"/>
        </w:rPr>
        <w:t xml:space="preserve"> transmission rates forty-five</w:t>
      </w:r>
      <w:r w:rsidRPr="004B7DA3">
        <w:rPr>
          <w:sz w:val="26"/>
          <w:szCs w:val="26"/>
        </w:rPr>
        <w:t xml:space="preserve"> days in advance.  </w:t>
      </w:r>
      <w:r>
        <w:rPr>
          <w:sz w:val="26"/>
          <w:szCs w:val="26"/>
        </w:rPr>
        <w:t xml:space="preserve">According to Duquesne, it </w:t>
      </w:r>
      <w:r w:rsidRPr="004B7DA3">
        <w:rPr>
          <w:sz w:val="26"/>
          <w:szCs w:val="26"/>
        </w:rPr>
        <w:t xml:space="preserve">simply does </w:t>
      </w:r>
      <w:r w:rsidRPr="004B7DA3">
        <w:rPr>
          <w:sz w:val="26"/>
          <w:szCs w:val="26"/>
        </w:rPr>
        <w:lastRenderedPageBreak/>
        <w:t>not have final data to post a</w:t>
      </w:r>
      <w:r>
        <w:rPr>
          <w:sz w:val="26"/>
          <w:szCs w:val="26"/>
        </w:rPr>
        <w:t xml:space="preserve"> final PTC forty-five</w:t>
      </w:r>
      <w:r w:rsidRPr="004B7DA3">
        <w:rPr>
          <w:sz w:val="26"/>
          <w:szCs w:val="26"/>
        </w:rPr>
        <w:t xml:space="preserve"> days in ad</w:t>
      </w:r>
      <w:r w:rsidR="001012B2">
        <w:rPr>
          <w:sz w:val="26"/>
          <w:szCs w:val="26"/>
        </w:rPr>
        <w:t>vance</w:t>
      </w:r>
      <w:r w:rsidRPr="004B7DA3">
        <w:rPr>
          <w:sz w:val="26"/>
          <w:szCs w:val="26"/>
        </w:rPr>
        <w:t>.</w:t>
      </w:r>
      <w:r>
        <w:rPr>
          <w:sz w:val="26"/>
          <w:szCs w:val="26"/>
        </w:rPr>
        <w:t xml:space="preserve">  </w:t>
      </w:r>
      <w:r w:rsidR="007B4B36">
        <w:rPr>
          <w:sz w:val="26"/>
          <w:szCs w:val="26"/>
        </w:rPr>
        <w:t>Duquesne R.Exc. at</w:t>
      </w:r>
      <w:r w:rsidR="007B4B36">
        <w:rPr>
          <w:sz w:val="26"/>
          <w:szCs w:val="26"/>
          <w:lang w:val="en-US"/>
        </w:rPr>
        <w:t> </w:t>
      </w:r>
      <w:r w:rsidR="00DA7564">
        <w:rPr>
          <w:sz w:val="26"/>
          <w:szCs w:val="26"/>
        </w:rPr>
        <w:t xml:space="preserve">22.  </w:t>
      </w:r>
    </w:p>
    <w:p w:rsidR="002D3E17" w:rsidRPr="00655740" w:rsidRDefault="002D3E17" w:rsidP="002D3E17">
      <w:pPr>
        <w:pStyle w:val="BodyText2"/>
        <w:tabs>
          <w:tab w:val="left" w:pos="0"/>
        </w:tabs>
        <w:spacing w:after="0" w:line="360" w:lineRule="auto"/>
        <w:rPr>
          <w:sz w:val="26"/>
          <w:szCs w:val="26"/>
        </w:rPr>
      </w:pPr>
    </w:p>
    <w:p w:rsidR="002D3E17" w:rsidRPr="004B7DA3" w:rsidRDefault="002D3E17" w:rsidP="00D96031">
      <w:pPr>
        <w:pStyle w:val="BodyText2"/>
        <w:tabs>
          <w:tab w:val="left" w:pos="0"/>
        </w:tabs>
        <w:spacing w:after="0" w:line="360" w:lineRule="auto"/>
        <w:rPr>
          <w:sz w:val="26"/>
          <w:szCs w:val="26"/>
        </w:rPr>
      </w:pPr>
      <w:r>
        <w:rPr>
          <w:sz w:val="26"/>
          <w:szCs w:val="26"/>
        </w:rPr>
        <w:tab/>
      </w:r>
      <w:r>
        <w:rPr>
          <w:sz w:val="26"/>
          <w:szCs w:val="26"/>
        </w:rPr>
        <w:tab/>
      </w:r>
      <w:r w:rsidRPr="004B7DA3">
        <w:rPr>
          <w:sz w:val="26"/>
          <w:szCs w:val="26"/>
        </w:rPr>
        <w:t xml:space="preserve">  In addition, </w:t>
      </w:r>
      <w:r>
        <w:rPr>
          <w:sz w:val="26"/>
          <w:szCs w:val="26"/>
        </w:rPr>
        <w:t xml:space="preserve">Duquesne states that </w:t>
      </w:r>
      <w:r w:rsidRPr="004B7DA3">
        <w:rPr>
          <w:sz w:val="26"/>
          <w:szCs w:val="26"/>
        </w:rPr>
        <w:t xml:space="preserve">RESA ignores the fact that Duquesne provides an estimated PTC seven days after determining winning bids for each RFP.  Therefore, </w:t>
      </w:r>
      <w:r>
        <w:rPr>
          <w:sz w:val="26"/>
          <w:szCs w:val="26"/>
        </w:rPr>
        <w:t xml:space="preserve">according to Duquesne, </w:t>
      </w:r>
      <w:r w:rsidRPr="004B7DA3">
        <w:rPr>
          <w:sz w:val="26"/>
          <w:szCs w:val="26"/>
        </w:rPr>
        <w:t>EGSs know the estimated PTC well in advance of the date that rates go into effect.</w:t>
      </w:r>
      <w:r w:rsidR="00DA7564">
        <w:rPr>
          <w:sz w:val="26"/>
          <w:szCs w:val="26"/>
        </w:rPr>
        <w:t xml:space="preserve">  </w:t>
      </w:r>
      <w:r w:rsidR="00DA7564">
        <w:rPr>
          <w:i/>
          <w:sz w:val="26"/>
          <w:szCs w:val="26"/>
        </w:rPr>
        <w:t>Id.</w:t>
      </w:r>
      <w:r w:rsidRPr="004B7DA3">
        <w:rPr>
          <w:sz w:val="26"/>
          <w:szCs w:val="26"/>
        </w:rPr>
        <w:t xml:space="preserve">  </w:t>
      </w:r>
    </w:p>
    <w:p w:rsidR="002D3E17" w:rsidRPr="004B7DA3" w:rsidRDefault="002D3E17" w:rsidP="002D3E17">
      <w:pPr>
        <w:pStyle w:val="BriefL3"/>
        <w:numPr>
          <w:ilvl w:val="0"/>
          <w:numId w:val="0"/>
        </w:numPr>
        <w:spacing w:after="0" w:line="360" w:lineRule="auto"/>
        <w:rPr>
          <w:b/>
          <w:sz w:val="26"/>
          <w:szCs w:val="26"/>
        </w:rPr>
      </w:pPr>
    </w:p>
    <w:p w:rsidR="002D3E17" w:rsidRPr="004B7DA3" w:rsidRDefault="002D3E17" w:rsidP="0053114A">
      <w:pPr>
        <w:pStyle w:val="Heading4"/>
        <w:numPr>
          <w:ilvl w:val="0"/>
          <w:numId w:val="0"/>
        </w:numPr>
        <w:ind w:left="2880" w:hanging="720"/>
      </w:pPr>
      <w:bookmarkStart w:id="227" w:name="_Toc346705469"/>
      <w:r w:rsidRPr="004B7DA3">
        <w:t>f.</w:t>
      </w:r>
      <w:r w:rsidRPr="004B7DA3">
        <w:tab/>
        <w:t>Disposition</w:t>
      </w:r>
      <w:bookmarkEnd w:id="227"/>
    </w:p>
    <w:p w:rsidR="002D3E17" w:rsidRDefault="002D3E17" w:rsidP="00DA7564">
      <w:pPr>
        <w:pStyle w:val="BodyText2"/>
        <w:spacing w:after="0" w:line="360" w:lineRule="auto"/>
        <w:rPr>
          <w:sz w:val="26"/>
          <w:szCs w:val="26"/>
        </w:rPr>
      </w:pPr>
    </w:p>
    <w:p w:rsidR="002D3E17" w:rsidRDefault="002D3E17" w:rsidP="00DA7564">
      <w:pPr>
        <w:pStyle w:val="BodyText2"/>
        <w:spacing w:after="0" w:line="360" w:lineRule="auto"/>
        <w:rPr>
          <w:sz w:val="26"/>
          <w:szCs w:val="26"/>
        </w:rPr>
      </w:pPr>
      <w:r>
        <w:rPr>
          <w:sz w:val="26"/>
          <w:szCs w:val="26"/>
        </w:rPr>
        <w:tab/>
      </w:r>
      <w:r>
        <w:rPr>
          <w:sz w:val="26"/>
          <w:szCs w:val="26"/>
        </w:rPr>
        <w:tab/>
        <w:t>Upon our consideration of the record evidence, we are persuaded by the arguments of Duquesne that it cannot l</w:t>
      </w:r>
      <w:r w:rsidR="001012B2">
        <w:rPr>
          <w:sz w:val="26"/>
          <w:szCs w:val="26"/>
        </w:rPr>
        <w:t xml:space="preserve">ogistically provide the final PTC </w:t>
      </w:r>
      <w:r>
        <w:rPr>
          <w:sz w:val="26"/>
          <w:szCs w:val="26"/>
        </w:rPr>
        <w:t>until fifteen days before</w:t>
      </w:r>
      <w:r w:rsidR="001012B2">
        <w:rPr>
          <w:sz w:val="26"/>
          <w:szCs w:val="26"/>
        </w:rPr>
        <w:t xml:space="preserve"> the effective date.  W</w:t>
      </w:r>
      <w:r>
        <w:rPr>
          <w:sz w:val="26"/>
          <w:szCs w:val="26"/>
        </w:rPr>
        <w:t>e note that Duquesne does provide an estimated PTC seven days after determining the winning bids for each RFP</w:t>
      </w:r>
      <w:r w:rsidR="001012B2">
        <w:rPr>
          <w:sz w:val="26"/>
          <w:szCs w:val="26"/>
        </w:rPr>
        <w:t>,</w:t>
      </w:r>
      <w:r>
        <w:rPr>
          <w:sz w:val="26"/>
          <w:szCs w:val="26"/>
        </w:rPr>
        <w:t xml:space="preserve"> so affected EG</w:t>
      </w:r>
      <w:r w:rsidR="001012B2">
        <w:rPr>
          <w:sz w:val="26"/>
          <w:szCs w:val="26"/>
        </w:rPr>
        <w:t xml:space="preserve">Ss </w:t>
      </w:r>
      <w:r>
        <w:rPr>
          <w:sz w:val="26"/>
          <w:szCs w:val="26"/>
        </w:rPr>
        <w:t>know the estimated PTC with sufficient notice in advance of the effective date.  Accordingly, we adopt the recommendation of the ALJ and deny the Exceptions of RESA.</w:t>
      </w:r>
    </w:p>
    <w:p w:rsidR="002D3E17" w:rsidRPr="000D00B9" w:rsidRDefault="002D3E17" w:rsidP="00DA7564">
      <w:pPr>
        <w:pStyle w:val="BodyText2"/>
        <w:spacing w:after="0" w:line="360" w:lineRule="auto"/>
        <w:rPr>
          <w:sz w:val="26"/>
          <w:szCs w:val="26"/>
        </w:rPr>
      </w:pPr>
    </w:p>
    <w:p w:rsidR="002D3E17" w:rsidRPr="00EE5722" w:rsidRDefault="002D3E17" w:rsidP="0053114A">
      <w:pPr>
        <w:pStyle w:val="Heading3"/>
      </w:pPr>
      <w:bookmarkStart w:id="228" w:name="_Toc346705470"/>
      <w:r w:rsidRPr="00EE5722">
        <w:t>3.</w:t>
      </w:r>
      <w:r w:rsidRPr="00EE5722">
        <w:tab/>
        <w:t>Non-Bypassable Charge to Recover PJM Charges</w:t>
      </w:r>
      <w:bookmarkEnd w:id="228"/>
    </w:p>
    <w:p w:rsidR="002D3E17" w:rsidRPr="00EE5722" w:rsidRDefault="002D3E17" w:rsidP="002D3E17">
      <w:pPr>
        <w:pStyle w:val="BriefL3"/>
        <w:numPr>
          <w:ilvl w:val="0"/>
          <w:numId w:val="0"/>
        </w:numPr>
        <w:spacing w:after="0" w:line="360" w:lineRule="auto"/>
        <w:ind w:left="720" w:firstLine="720"/>
        <w:rPr>
          <w:b/>
          <w:sz w:val="26"/>
          <w:szCs w:val="26"/>
        </w:rPr>
      </w:pPr>
    </w:p>
    <w:p w:rsidR="002D3E17" w:rsidRDefault="002D3E17" w:rsidP="0053114A">
      <w:pPr>
        <w:pStyle w:val="Heading4"/>
        <w:numPr>
          <w:ilvl w:val="0"/>
          <w:numId w:val="0"/>
        </w:numPr>
        <w:ind w:left="2880" w:hanging="720"/>
      </w:pPr>
      <w:bookmarkStart w:id="229" w:name="_Toc346705471"/>
      <w:r>
        <w:t>a.</w:t>
      </w:r>
      <w:r>
        <w:tab/>
        <w:t>Duquesne</w:t>
      </w:r>
      <w:r w:rsidRPr="00EE5722">
        <w:t>’s Proposal</w:t>
      </w:r>
      <w:bookmarkEnd w:id="229"/>
    </w:p>
    <w:p w:rsidR="0038247E" w:rsidRPr="00EE5722" w:rsidRDefault="0038247E" w:rsidP="001012B2">
      <w:pPr>
        <w:pStyle w:val="BriefL3"/>
        <w:numPr>
          <w:ilvl w:val="0"/>
          <w:numId w:val="0"/>
        </w:numPr>
        <w:spacing w:after="0" w:line="360" w:lineRule="auto"/>
        <w:ind w:left="2160"/>
        <w:rPr>
          <w:b/>
          <w:sz w:val="26"/>
          <w:szCs w:val="26"/>
        </w:rPr>
      </w:pPr>
    </w:p>
    <w:p w:rsidR="002D3E17" w:rsidRPr="00CD6808" w:rsidRDefault="002D3E17" w:rsidP="00DA7564">
      <w:pPr>
        <w:pStyle w:val="BodyText2"/>
        <w:spacing w:after="0" w:line="360" w:lineRule="auto"/>
        <w:rPr>
          <w:sz w:val="26"/>
          <w:szCs w:val="26"/>
        </w:rPr>
      </w:pPr>
      <w:r w:rsidRPr="00EE5722">
        <w:rPr>
          <w:sz w:val="26"/>
          <w:szCs w:val="26"/>
        </w:rPr>
        <w:tab/>
      </w:r>
      <w:r w:rsidRPr="00EE5722">
        <w:rPr>
          <w:sz w:val="26"/>
          <w:szCs w:val="26"/>
        </w:rPr>
        <w:tab/>
        <w:t>Vario</w:t>
      </w:r>
      <w:r w:rsidR="001012B2">
        <w:rPr>
          <w:sz w:val="26"/>
          <w:szCs w:val="26"/>
        </w:rPr>
        <w:t>us P</w:t>
      </w:r>
      <w:r w:rsidRPr="00EE5722">
        <w:rPr>
          <w:sz w:val="26"/>
          <w:szCs w:val="26"/>
        </w:rPr>
        <w:t>arti</w:t>
      </w:r>
      <w:r>
        <w:rPr>
          <w:sz w:val="26"/>
          <w:szCs w:val="26"/>
        </w:rPr>
        <w:t xml:space="preserve">es proposed that Duquesne </w:t>
      </w:r>
      <w:r w:rsidRPr="00EE5722">
        <w:rPr>
          <w:sz w:val="26"/>
          <w:szCs w:val="26"/>
        </w:rPr>
        <w:t>recover transmission and transmission-related charges for all customers, including shopping customers, th</w:t>
      </w:r>
      <w:r>
        <w:rPr>
          <w:sz w:val="26"/>
          <w:szCs w:val="26"/>
        </w:rPr>
        <w:t>rough a non-bypassable charge.  Duquesne explained that</w:t>
      </w:r>
      <w:r w:rsidR="0038247E">
        <w:rPr>
          <w:sz w:val="26"/>
          <w:szCs w:val="26"/>
        </w:rPr>
        <w:t>,</w:t>
      </w:r>
      <w:r>
        <w:rPr>
          <w:sz w:val="26"/>
          <w:szCs w:val="26"/>
        </w:rPr>
        <w:t xml:space="preserve"> while it </w:t>
      </w:r>
      <w:r w:rsidRPr="00EE5722">
        <w:rPr>
          <w:sz w:val="26"/>
          <w:szCs w:val="26"/>
        </w:rPr>
        <w:t>recovers distribu</w:t>
      </w:r>
      <w:r>
        <w:rPr>
          <w:sz w:val="26"/>
          <w:szCs w:val="26"/>
        </w:rPr>
        <w:t>tion charges from all customers,</w:t>
      </w:r>
      <w:r w:rsidRPr="00EE5722">
        <w:rPr>
          <w:sz w:val="26"/>
          <w:szCs w:val="26"/>
        </w:rPr>
        <w:t xml:space="preserve"> both generation </w:t>
      </w:r>
      <w:r w:rsidRPr="00CD6808">
        <w:rPr>
          <w:sz w:val="26"/>
          <w:szCs w:val="26"/>
        </w:rPr>
        <w:t>and transmission</w:t>
      </w:r>
      <w:r w:rsidRPr="00EE5722">
        <w:rPr>
          <w:sz w:val="26"/>
          <w:szCs w:val="26"/>
        </w:rPr>
        <w:t xml:space="preserve"> charges are recovered by the entity providing the </w:t>
      </w:r>
      <w:r w:rsidRPr="00CD6808">
        <w:rPr>
          <w:sz w:val="26"/>
          <w:szCs w:val="26"/>
        </w:rPr>
        <w:t>generation</w:t>
      </w:r>
      <w:r>
        <w:rPr>
          <w:sz w:val="26"/>
          <w:szCs w:val="26"/>
        </w:rPr>
        <w:t xml:space="preserve"> service.  Duquesne requested that, c</w:t>
      </w:r>
      <w:r w:rsidRPr="00EE5722">
        <w:rPr>
          <w:sz w:val="26"/>
          <w:szCs w:val="26"/>
        </w:rPr>
        <w:t xml:space="preserve">onsistent with the Commission’s recent </w:t>
      </w:r>
      <w:r w:rsidRPr="001A7FE8">
        <w:rPr>
          <w:i/>
          <w:sz w:val="26"/>
          <w:szCs w:val="26"/>
        </w:rPr>
        <w:t>FirstEnergy</w:t>
      </w:r>
      <w:r w:rsidR="001012B2">
        <w:rPr>
          <w:i/>
          <w:sz w:val="26"/>
          <w:szCs w:val="26"/>
        </w:rPr>
        <w:t xml:space="preserve"> DSP Order</w:t>
      </w:r>
      <w:r>
        <w:rPr>
          <w:sz w:val="26"/>
          <w:szCs w:val="26"/>
        </w:rPr>
        <w:t xml:space="preserve"> </w:t>
      </w:r>
      <w:r w:rsidR="001012B2">
        <w:rPr>
          <w:sz w:val="26"/>
          <w:szCs w:val="26"/>
        </w:rPr>
        <w:t xml:space="preserve">and </w:t>
      </w:r>
      <w:r w:rsidRPr="00EE5722">
        <w:rPr>
          <w:sz w:val="26"/>
          <w:szCs w:val="26"/>
        </w:rPr>
        <w:t xml:space="preserve">the </w:t>
      </w:r>
      <w:r w:rsidRPr="00EE5722">
        <w:rPr>
          <w:i/>
          <w:sz w:val="26"/>
          <w:szCs w:val="26"/>
        </w:rPr>
        <w:t>PECO Binding Poll</w:t>
      </w:r>
      <w:r w:rsidRPr="00EE5722">
        <w:rPr>
          <w:sz w:val="26"/>
          <w:szCs w:val="26"/>
        </w:rPr>
        <w:t>, the C</w:t>
      </w:r>
      <w:r>
        <w:rPr>
          <w:sz w:val="26"/>
          <w:szCs w:val="26"/>
        </w:rPr>
        <w:t xml:space="preserve">ommission should deny attempts to have Duquesne </w:t>
      </w:r>
      <w:r w:rsidRPr="00EE5722">
        <w:rPr>
          <w:sz w:val="26"/>
          <w:szCs w:val="26"/>
        </w:rPr>
        <w:t>recover transmission-related</w:t>
      </w:r>
      <w:r w:rsidR="001012B2">
        <w:rPr>
          <w:sz w:val="26"/>
          <w:szCs w:val="26"/>
        </w:rPr>
        <w:t xml:space="preserve"> costs for</w:t>
      </w:r>
      <w:r>
        <w:rPr>
          <w:sz w:val="26"/>
          <w:szCs w:val="26"/>
        </w:rPr>
        <w:t xml:space="preserve"> shopping customers.  Duquesne St. </w:t>
      </w:r>
      <w:r w:rsidRPr="00EE5722">
        <w:rPr>
          <w:sz w:val="26"/>
          <w:szCs w:val="26"/>
        </w:rPr>
        <w:t>4-RJ</w:t>
      </w:r>
      <w:r>
        <w:rPr>
          <w:sz w:val="26"/>
          <w:szCs w:val="26"/>
        </w:rPr>
        <w:t xml:space="preserve"> at</w:t>
      </w:r>
      <w:r w:rsidRPr="00EE5722">
        <w:rPr>
          <w:sz w:val="26"/>
          <w:szCs w:val="26"/>
        </w:rPr>
        <w:t xml:space="preserve"> 4.  </w:t>
      </w:r>
    </w:p>
    <w:p w:rsidR="002D3E17" w:rsidRPr="00EE5722" w:rsidRDefault="002D3E17" w:rsidP="00DA7564">
      <w:pPr>
        <w:pStyle w:val="BodyText2"/>
        <w:spacing w:after="0" w:line="360" w:lineRule="auto"/>
        <w:rPr>
          <w:sz w:val="26"/>
          <w:szCs w:val="26"/>
        </w:rPr>
      </w:pPr>
    </w:p>
    <w:p w:rsidR="002D3E17" w:rsidRPr="00EE5722" w:rsidRDefault="002D3E17" w:rsidP="002D3E17">
      <w:pPr>
        <w:pStyle w:val="BodyText2"/>
        <w:spacing w:after="0" w:line="360" w:lineRule="auto"/>
        <w:rPr>
          <w:sz w:val="26"/>
          <w:szCs w:val="26"/>
        </w:rPr>
      </w:pPr>
      <w:r>
        <w:rPr>
          <w:sz w:val="26"/>
          <w:szCs w:val="26"/>
        </w:rPr>
        <w:tab/>
      </w:r>
      <w:r>
        <w:rPr>
          <w:sz w:val="26"/>
          <w:szCs w:val="26"/>
        </w:rPr>
        <w:tab/>
        <w:t>The Company argued</w:t>
      </w:r>
      <w:r w:rsidRPr="00EE5722">
        <w:rPr>
          <w:sz w:val="26"/>
          <w:szCs w:val="26"/>
        </w:rPr>
        <w:t xml:space="preserve"> </w:t>
      </w:r>
      <w:r>
        <w:rPr>
          <w:sz w:val="26"/>
          <w:szCs w:val="26"/>
        </w:rPr>
        <w:t xml:space="preserve">that </w:t>
      </w:r>
      <w:r w:rsidRPr="00EE5722">
        <w:rPr>
          <w:sz w:val="26"/>
          <w:szCs w:val="26"/>
        </w:rPr>
        <w:t>Constellation’s proposal is contrary to Commission precedent and should be denied because “NITS costs are directly related to the transmission service offered to customers and should continue to be collected by the EGS instead of being collected for all customers through the DSS Rider, as proposed by the Companies.”</w:t>
      </w:r>
      <w:r>
        <w:rPr>
          <w:sz w:val="26"/>
          <w:szCs w:val="26"/>
        </w:rPr>
        <w:t xml:space="preserve">  </w:t>
      </w:r>
      <w:r>
        <w:rPr>
          <w:i/>
          <w:sz w:val="26"/>
          <w:szCs w:val="26"/>
        </w:rPr>
        <w:t>FirstEnergy</w:t>
      </w:r>
      <w:r w:rsidRPr="00EE5722">
        <w:rPr>
          <w:i/>
          <w:sz w:val="26"/>
          <w:szCs w:val="26"/>
        </w:rPr>
        <w:t xml:space="preserve"> </w:t>
      </w:r>
      <w:r w:rsidR="001012B2">
        <w:rPr>
          <w:i/>
          <w:sz w:val="26"/>
          <w:szCs w:val="26"/>
        </w:rPr>
        <w:t xml:space="preserve">DSP </w:t>
      </w:r>
      <w:r w:rsidRPr="00EE5722">
        <w:rPr>
          <w:i/>
          <w:sz w:val="26"/>
          <w:szCs w:val="26"/>
        </w:rPr>
        <w:t>Order</w:t>
      </w:r>
      <w:r w:rsidRPr="00EE5722">
        <w:rPr>
          <w:sz w:val="26"/>
          <w:szCs w:val="26"/>
        </w:rPr>
        <w:t xml:space="preserve"> at 83.</w:t>
      </w:r>
      <w:r>
        <w:rPr>
          <w:sz w:val="26"/>
          <w:szCs w:val="26"/>
        </w:rPr>
        <w:t xml:space="preserve">  Similarly, Duquesne pointed</w:t>
      </w:r>
      <w:r w:rsidRPr="00EE5722">
        <w:rPr>
          <w:sz w:val="26"/>
          <w:szCs w:val="26"/>
        </w:rPr>
        <w:t xml:space="preserve"> out that, in the </w:t>
      </w:r>
      <w:r w:rsidRPr="00EE5722">
        <w:rPr>
          <w:i/>
          <w:sz w:val="26"/>
          <w:szCs w:val="26"/>
        </w:rPr>
        <w:t>PECO Binding Poll</w:t>
      </w:r>
      <w:r w:rsidRPr="00EE5722">
        <w:rPr>
          <w:sz w:val="26"/>
          <w:szCs w:val="26"/>
        </w:rPr>
        <w:t>, t</w:t>
      </w:r>
      <w:r>
        <w:rPr>
          <w:sz w:val="26"/>
          <w:szCs w:val="26"/>
        </w:rPr>
        <w:t xml:space="preserve">he Commission rejected </w:t>
      </w:r>
      <w:r w:rsidRPr="00EE5722">
        <w:rPr>
          <w:sz w:val="26"/>
          <w:szCs w:val="26"/>
        </w:rPr>
        <w:t xml:space="preserve">arguments that PECO should recover NITS charges for shopping customers.  </w:t>
      </w:r>
      <w:r w:rsidRPr="00EE5722">
        <w:rPr>
          <w:i/>
          <w:sz w:val="26"/>
          <w:szCs w:val="26"/>
        </w:rPr>
        <w:t>PECO Binding Poll</w:t>
      </w:r>
      <w:r w:rsidRPr="00EE5722">
        <w:rPr>
          <w:sz w:val="26"/>
          <w:szCs w:val="26"/>
        </w:rPr>
        <w:t>, Issue No. 7.</w:t>
      </w:r>
    </w:p>
    <w:p w:rsidR="002D3E17" w:rsidRPr="00EE5722" w:rsidRDefault="002D3E17" w:rsidP="002D3E17">
      <w:pPr>
        <w:pStyle w:val="BodyText2"/>
        <w:spacing w:after="0" w:line="360" w:lineRule="auto"/>
        <w:rPr>
          <w:sz w:val="26"/>
          <w:szCs w:val="26"/>
        </w:rPr>
      </w:pPr>
    </w:p>
    <w:p w:rsidR="002D3E17" w:rsidRPr="00EE5722" w:rsidRDefault="002D3E17" w:rsidP="002D3E17">
      <w:pPr>
        <w:pStyle w:val="BodyText2"/>
        <w:spacing w:after="0" w:line="360" w:lineRule="auto"/>
        <w:rPr>
          <w:sz w:val="26"/>
          <w:szCs w:val="26"/>
        </w:rPr>
      </w:pPr>
      <w:r>
        <w:rPr>
          <w:sz w:val="26"/>
          <w:szCs w:val="26"/>
        </w:rPr>
        <w:tab/>
      </w:r>
      <w:r>
        <w:rPr>
          <w:sz w:val="26"/>
          <w:szCs w:val="26"/>
        </w:rPr>
        <w:tab/>
        <w:t>Duquesne contended</w:t>
      </w:r>
      <w:r w:rsidRPr="00EE5722">
        <w:rPr>
          <w:sz w:val="26"/>
          <w:szCs w:val="26"/>
        </w:rPr>
        <w:t xml:space="preserve"> </w:t>
      </w:r>
      <w:r w:rsidR="001012B2">
        <w:rPr>
          <w:sz w:val="26"/>
          <w:szCs w:val="26"/>
        </w:rPr>
        <w:t xml:space="preserve">that </w:t>
      </w:r>
      <w:r w:rsidRPr="00EE5722">
        <w:rPr>
          <w:sz w:val="26"/>
          <w:szCs w:val="26"/>
        </w:rPr>
        <w:t xml:space="preserve">whether a charge is regulated or administratively determined or whether the charge is competitively determined is irrelevant.  </w:t>
      </w:r>
      <w:r>
        <w:rPr>
          <w:sz w:val="26"/>
          <w:szCs w:val="26"/>
        </w:rPr>
        <w:t>According to Duquesne, t</w:t>
      </w:r>
      <w:r w:rsidRPr="00EE5722">
        <w:rPr>
          <w:sz w:val="26"/>
          <w:szCs w:val="26"/>
        </w:rPr>
        <w:t xml:space="preserve">he relevant distinction is whether the charge is a distribution charge, a generation charge or a transmission charge.  </w:t>
      </w:r>
      <w:r>
        <w:rPr>
          <w:sz w:val="26"/>
          <w:szCs w:val="26"/>
        </w:rPr>
        <w:t>The Company stated that</w:t>
      </w:r>
      <w:r w:rsidR="001012B2">
        <w:rPr>
          <w:sz w:val="26"/>
          <w:szCs w:val="26"/>
        </w:rPr>
        <w:t>,</w:t>
      </w:r>
      <w:r>
        <w:rPr>
          <w:sz w:val="26"/>
          <w:szCs w:val="26"/>
        </w:rPr>
        <w:t xml:space="preserve"> i</w:t>
      </w:r>
      <w:r w:rsidR="001012B2">
        <w:rPr>
          <w:sz w:val="26"/>
          <w:szCs w:val="26"/>
        </w:rPr>
        <w:t>f a</w:t>
      </w:r>
      <w:r w:rsidRPr="00EE5722">
        <w:rPr>
          <w:sz w:val="26"/>
          <w:szCs w:val="26"/>
        </w:rPr>
        <w:t xml:space="preserve"> charge is a generation or transmission charge, it is recovered by the entity providing the electricity </w:t>
      </w:r>
      <w:r>
        <w:rPr>
          <w:sz w:val="26"/>
          <w:szCs w:val="26"/>
        </w:rPr>
        <w:t xml:space="preserve">supply service.  Duquesne St. 4-RJ at </w:t>
      </w:r>
      <w:r w:rsidRPr="00EE5722">
        <w:rPr>
          <w:sz w:val="26"/>
          <w:szCs w:val="26"/>
        </w:rPr>
        <w:t xml:space="preserve">5.  </w:t>
      </w:r>
      <w:r w:rsidR="001012B2">
        <w:rPr>
          <w:sz w:val="26"/>
          <w:szCs w:val="26"/>
        </w:rPr>
        <w:t>Duquesne opined</w:t>
      </w:r>
      <w:r>
        <w:rPr>
          <w:sz w:val="26"/>
          <w:szCs w:val="26"/>
        </w:rPr>
        <w:t xml:space="preserve"> that a</w:t>
      </w:r>
      <w:r w:rsidRPr="00EE5722">
        <w:rPr>
          <w:sz w:val="26"/>
          <w:szCs w:val="26"/>
        </w:rPr>
        <w:t>ll of the charges in question</w:t>
      </w:r>
      <w:r>
        <w:rPr>
          <w:sz w:val="26"/>
          <w:szCs w:val="26"/>
        </w:rPr>
        <w:t xml:space="preserve">, </w:t>
      </w:r>
      <w:r w:rsidR="0038247E">
        <w:rPr>
          <w:sz w:val="26"/>
          <w:szCs w:val="26"/>
        </w:rPr>
        <w:t xml:space="preserve">including </w:t>
      </w:r>
      <w:r w:rsidRPr="00EE5722">
        <w:rPr>
          <w:sz w:val="26"/>
          <w:szCs w:val="26"/>
        </w:rPr>
        <w:t xml:space="preserve">PJM </w:t>
      </w:r>
      <w:r w:rsidR="0038247E">
        <w:rPr>
          <w:sz w:val="26"/>
          <w:szCs w:val="26"/>
        </w:rPr>
        <w:t xml:space="preserve">charges for </w:t>
      </w:r>
      <w:r w:rsidR="0038247E" w:rsidRPr="00EE5722">
        <w:rPr>
          <w:sz w:val="26"/>
          <w:szCs w:val="26"/>
        </w:rPr>
        <w:t>Network Integration</w:t>
      </w:r>
      <w:r w:rsidR="0038247E">
        <w:rPr>
          <w:sz w:val="26"/>
          <w:szCs w:val="26"/>
        </w:rPr>
        <w:t xml:space="preserve"> Transmission Services (NITS), Regional Transmission Expansion Plan (</w:t>
      </w:r>
      <w:r w:rsidRPr="00EE5722">
        <w:rPr>
          <w:sz w:val="26"/>
          <w:szCs w:val="26"/>
        </w:rPr>
        <w:t>RTEP</w:t>
      </w:r>
      <w:r w:rsidR="0038247E">
        <w:rPr>
          <w:sz w:val="26"/>
          <w:szCs w:val="26"/>
        </w:rPr>
        <w:t>) costs</w:t>
      </w:r>
      <w:r w:rsidRPr="00EE5722">
        <w:rPr>
          <w:sz w:val="26"/>
          <w:szCs w:val="26"/>
        </w:rPr>
        <w:t xml:space="preserve">, </w:t>
      </w:r>
      <w:r w:rsidR="0038247E">
        <w:rPr>
          <w:sz w:val="26"/>
          <w:szCs w:val="26"/>
        </w:rPr>
        <w:t>E</w:t>
      </w:r>
      <w:r w:rsidRPr="00EE5722">
        <w:rPr>
          <w:sz w:val="26"/>
          <w:szCs w:val="26"/>
        </w:rPr>
        <w:t xml:space="preserve">xpansion costs, </w:t>
      </w:r>
      <w:r w:rsidR="0038247E">
        <w:rPr>
          <w:sz w:val="26"/>
          <w:szCs w:val="26"/>
        </w:rPr>
        <w:t>G</w:t>
      </w:r>
      <w:r w:rsidRPr="00EE5722">
        <w:rPr>
          <w:sz w:val="26"/>
          <w:szCs w:val="26"/>
        </w:rPr>
        <w:t xml:space="preserve">eneration </w:t>
      </w:r>
      <w:r w:rsidR="0038247E">
        <w:rPr>
          <w:sz w:val="26"/>
          <w:szCs w:val="26"/>
        </w:rPr>
        <w:t>D</w:t>
      </w:r>
      <w:r w:rsidRPr="00EE5722">
        <w:rPr>
          <w:sz w:val="26"/>
          <w:szCs w:val="26"/>
        </w:rPr>
        <w:t xml:space="preserve">eactivation </w:t>
      </w:r>
      <w:r w:rsidR="0038247E">
        <w:rPr>
          <w:sz w:val="26"/>
          <w:szCs w:val="26"/>
        </w:rPr>
        <w:t xml:space="preserve">charges </w:t>
      </w:r>
      <w:r w:rsidRPr="00EE5722">
        <w:rPr>
          <w:sz w:val="26"/>
          <w:szCs w:val="26"/>
        </w:rPr>
        <w:t xml:space="preserve">and </w:t>
      </w:r>
      <w:r w:rsidR="0038247E">
        <w:rPr>
          <w:sz w:val="26"/>
          <w:szCs w:val="26"/>
        </w:rPr>
        <w:t>Economic Load Response (</w:t>
      </w:r>
      <w:r w:rsidRPr="00EE5722">
        <w:rPr>
          <w:sz w:val="26"/>
          <w:szCs w:val="26"/>
        </w:rPr>
        <w:t>ELR</w:t>
      </w:r>
      <w:r w:rsidR="0038247E">
        <w:rPr>
          <w:sz w:val="26"/>
          <w:szCs w:val="26"/>
        </w:rPr>
        <w:t>)</w:t>
      </w:r>
      <w:r w:rsidRPr="00EE5722">
        <w:rPr>
          <w:sz w:val="26"/>
          <w:szCs w:val="26"/>
        </w:rPr>
        <w:t xml:space="preserve"> costs</w:t>
      </w:r>
      <w:r>
        <w:rPr>
          <w:sz w:val="26"/>
          <w:szCs w:val="26"/>
        </w:rPr>
        <w:t>,</w:t>
      </w:r>
      <w:r w:rsidRPr="00EE5722">
        <w:rPr>
          <w:sz w:val="26"/>
          <w:szCs w:val="26"/>
        </w:rPr>
        <w:t xml:space="preserve"> are generation or transmission char</w:t>
      </w:r>
      <w:r>
        <w:rPr>
          <w:sz w:val="26"/>
          <w:szCs w:val="26"/>
        </w:rPr>
        <w:t xml:space="preserve">ges.  Therefore, Duquesne </w:t>
      </w:r>
      <w:r w:rsidRPr="00EE5722">
        <w:rPr>
          <w:sz w:val="26"/>
          <w:szCs w:val="26"/>
        </w:rPr>
        <w:t>appropriately recovers these costs only from def</w:t>
      </w:r>
      <w:r>
        <w:rPr>
          <w:sz w:val="26"/>
          <w:szCs w:val="26"/>
        </w:rPr>
        <w:t>ault service customers, and EGSs should</w:t>
      </w:r>
      <w:r w:rsidRPr="00EE5722">
        <w:rPr>
          <w:sz w:val="26"/>
          <w:szCs w:val="26"/>
        </w:rPr>
        <w:t xml:space="preserve"> recover these costs from shopping customers.</w:t>
      </w:r>
    </w:p>
    <w:p w:rsidR="002D3E17" w:rsidRPr="00EE5722" w:rsidRDefault="002D3E17" w:rsidP="002D3E17">
      <w:pPr>
        <w:pStyle w:val="BodyText2"/>
        <w:spacing w:after="0" w:line="360" w:lineRule="auto"/>
        <w:rPr>
          <w:sz w:val="26"/>
          <w:szCs w:val="26"/>
        </w:rPr>
      </w:pPr>
    </w:p>
    <w:p w:rsidR="002D3E17" w:rsidRPr="00EE5722" w:rsidRDefault="002D3E17" w:rsidP="002D3E17">
      <w:pPr>
        <w:pStyle w:val="BodyText2"/>
        <w:spacing w:after="0" w:line="360" w:lineRule="auto"/>
        <w:rPr>
          <w:sz w:val="26"/>
          <w:szCs w:val="26"/>
        </w:rPr>
      </w:pPr>
      <w:r w:rsidRPr="00EE5722">
        <w:rPr>
          <w:sz w:val="26"/>
          <w:szCs w:val="26"/>
        </w:rPr>
        <w:tab/>
      </w:r>
      <w:r w:rsidRPr="00EE5722">
        <w:rPr>
          <w:sz w:val="26"/>
          <w:szCs w:val="26"/>
        </w:rPr>
        <w:tab/>
      </w:r>
      <w:r>
        <w:rPr>
          <w:sz w:val="26"/>
          <w:szCs w:val="26"/>
        </w:rPr>
        <w:t>Moreover, Duquesne contended</w:t>
      </w:r>
      <w:r w:rsidRPr="00EE5722">
        <w:rPr>
          <w:sz w:val="26"/>
          <w:szCs w:val="26"/>
        </w:rPr>
        <w:t xml:space="preserve"> </w:t>
      </w:r>
      <w:r>
        <w:rPr>
          <w:sz w:val="26"/>
          <w:szCs w:val="26"/>
        </w:rPr>
        <w:t xml:space="preserve">that </w:t>
      </w:r>
      <w:r w:rsidRPr="00EE5722">
        <w:rPr>
          <w:sz w:val="26"/>
          <w:szCs w:val="26"/>
        </w:rPr>
        <w:t xml:space="preserve">its position is fully consistent with the Commission’s </w:t>
      </w:r>
      <w:r w:rsidR="002C4CAE">
        <w:rPr>
          <w:sz w:val="26"/>
          <w:szCs w:val="26"/>
        </w:rPr>
        <w:t xml:space="preserve">recent decisions on this issue.  </w:t>
      </w:r>
      <w:r>
        <w:rPr>
          <w:i/>
          <w:sz w:val="26"/>
          <w:szCs w:val="26"/>
        </w:rPr>
        <w:t>FirstEnergy</w:t>
      </w:r>
      <w:r w:rsidRPr="00EE5722">
        <w:rPr>
          <w:i/>
          <w:sz w:val="26"/>
          <w:szCs w:val="26"/>
        </w:rPr>
        <w:t xml:space="preserve"> </w:t>
      </w:r>
      <w:r w:rsidR="002C4CAE">
        <w:rPr>
          <w:i/>
          <w:sz w:val="26"/>
          <w:szCs w:val="26"/>
        </w:rPr>
        <w:t xml:space="preserve">DSP </w:t>
      </w:r>
      <w:r w:rsidRPr="00EE5722">
        <w:rPr>
          <w:i/>
          <w:sz w:val="26"/>
          <w:szCs w:val="26"/>
        </w:rPr>
        <w:t>Order</w:t>
      </w:r>
      <w:r w:rsidRPr="00EE5722">
        <w:rPr>
          <w:sz w:val="26"/>
          <w:szCs w:val="26"/>
        </w:rPr>
        <w:t xml:space="preserve"> at 81; </w:t>
      </w:r>
      <w:r w:rsidRPr="00EE5722">
        <w:rPr>
          <w:i/>
          <w:sz w:val="26"/>
          <w:szCs w:val="26"/>
        </w:rPr>
        <w:t>PECO Binding Poll</w:t>
      </w:r>
      <w:r w:rsidRPr="00EE5722">
        <w:rPr>
          <w:sz w:val="26"/>
          <w:szCs w:val="26"/>
        </w:rPr>
        <w:t xml:space="preserve">, Issue No. 7.  </w:t>
      </w:r>
    </w:p>
    <w:p w:rsidR="002D3E17" w:rsidRPr="00EE5722" w:rsidRDefault="002D3E17" w:rsidP="002D3E17">
      <w:pPr>
        <w:pStyle w:val="BodyText"/>
        <w:spacing w:after="0" w:line="360" w:lineRule="auto"/>
        <w:ind w:left="0" w:firstLine="0"/>
        <w:rPr>
          <w:sz w:val="26"/>
          <w:szCs w:val="26"/>
        </w:rPr>
      </w:pPr>
    </w:p>
    <w:p w:rsidR="002D3E17" w:rsidRDefault="002D3E17" w:rsidP="0053114A">
      <w:pPr>
        <w:pStyle w:val="Heading4"/>
        <w:numPr>
          <w:ilvl w:val="0"/>
          <w:numId w:val="0"/>
        </w:numPr>
        <w:ind w:left="2880" w:hanging="720"/>
      </w:pPr>
      <w:bookmarkStart w:id="230" w:name="_Toc346705472"/>
      <w:r>
        <w:t>b.</w:t>
      </w:r>
      <w:r>
        <w:tab/>
        <w:t>Positions of the Parties</w:t>
      </w:r>
      <w:bookmarkEnd w:id="230"/>
    </w:p>
    <w:p w:rsidR="002D3E17" w:rsidRPr="00EE5722" w:rsidRDefault="002D3E17" w:rsidP="002D3E17">
      <w:pPr>
        <w:pStyle w:val="BriefL3"/>
        <w:numPr>
          <w:ilvl w:val="0"/>
          <w:numId w:val="0"/>
        </w:numPr>
        <w:spacing w:after="0" w:line="360" w:lineRule="auto"/>
        <w:ind w:left="1440" w:hanging="1440"/>
        <w:rPr>
          <w:b/>
          <w:sz w:val="26"/>
          <w:szCs w:val="26"/>
        </w:rPr>
      </w:pPr>
    </w:p>
    <w:p w:rsidR="002D3E17" w:rsidRPr="002C4CAE" w:rsidRDefault="002D3E17" w:rsidP="002C4CAE">
      <w:pPr>
        <w:pStyle w:val="BodyText2"/>
        <w:spacing w:after="0" w:line="360" w:lineRule="auto"/>
        <w:ind w:firstLine="1440"/>
        <w:rPr>
          <w:bCs/>
          <w:sz w:val="26"/>
          <w:szCs w:val="26"/>
        </w:rPr>
      </w:pPr>
      <w:r>
        <w:rPr>
          <w:sz w:val="26"/>
          <w:szCs w:val="26"/>
        </w:rPr>
        <w:lastRenderedPageBreak/>
        <w:t>RESA recommended</w:t>
      </w:r>
      <w:r w:rsidRPr="00EE5722">
        <w:rPr>
          <w:sz w:val="26"/>
          <w:szCs w:val="26"/>
        </w:rPr>
        <w:t xml:space="preserve"> that Duquesne recover the following transmission related charges from all customers via a </w:t>
      </w:r>
      <w:r w:rsidRPr="00EE5722">
        <w:rPr>
          <w:bCs/>
          <w:sz w:val="26"/>
          <w:szCs w:val="26"/>
        </w:rPr>
        <w:t>non-bypassable charge:</w:t>
      </w:r>
      <w:r w:rsidR="002C4CAE">
        <w:rPr>
          <w:bCs/>
          <w:sz w:val="26"/>
          <w:szCs w:val="26"/>
        </w:rPr>
        <w:t xml:space="preserve"> </w:t>
      </w:r>
      <w:r w:rsidR="002C4CAE">
        <w:rPr>
          <w:sz w:val="26"/>
          <w:szCs w:val="26"/>
        </w:rPr>
        <w:t>NITS</w:t>
      </w:r>
      <w:r w:rsidR="00B13F12">
        <w:rPr>
          <w:sz w:val="26"/>
          <w:szCs w:val="26"/>
        </w:rPr>
        <w:t xml:space="preserve"> charges</w:t>
      </w:r>
      <w:r w:rsidR="002C4CAE">
        <w:rPr>
          <w:sz w:val="26"/>
          <w:szCs w:val="26"/>
        </w:rPr>
        <w:t xml:space="preserve">; </w:t>
      </w:r>
      <w:r w:rsidR="002C4CAE" w:rsidRPr="00DA7564">
        <w:rPr>
          <w:sz w:val="26"/>
          <w:szCs w:val="26"/>
        </w:rPr>
        <w:t>RTEP</w:t>
      </w:r>
      <w:r w:rsidR="0038247E">
        <w:rPr>
          <w:sz w:val="26"/>
          <w:szCs w:val="26"/>
        </w:rPr>
        <w:t xml:space="preserve"> costs</w:t>
      </w:r>
      <w:r w:rsidR="002C4CAE" w:rsidRPr="00DA7564">
        <w:rPr>
          <w:sz w:val="26"/>
          <w:szCs w:val="26"/>
        </w:rPr>
        <w:t xml:space="preserve">; </w:t>
      </w:r>
      <w:r w:rsidR="00DA7564">
        <w:rPr>
          <w:sz w:val="26"/>
          <w:szCs w:val="26"/>
        </w:rPr>
        <w:t xml:space="preserve">Expansion costs; </w:t>
      </w:r>
      <w:r w:rsidRPr="00EE5722">
        <w:rPr>
          <w:sz w:val="26"/>
          <w:szCs w:val="26"/>
        </w:rPr>
        <w:t>Gene</w:t>
      </w:r>
      <w:r w:rsidR="002C4CAE">
        <w:rPr>
          <w:sz w:val="26"/>
          <w:szCs w:val="26"/>
        </w:rPr>
        <w:t>ration Deactivation charges; and a</w:t>
      </w:r>
      <w:r w:rsidRPr="00EE5722">
        <w:rPr>
          <w:sz w:val="26"/>
          <w:szCs w:val="26"/>
        </w:rPr>
        <w:t>ll cha</w:t>
      </w:r>
      <w:r w:rsidR="002C4CAE">
        <w:rPr>
          <w:sz w:val="26"/>
          <w:szCs w:val="26"/>
        </w:rPr>
        <w:t>rges that result from PJM'</w:t>
      </w:r>
      <w:r w:rsidRPr="00EE5722">
        <w:rPr>
          <w:sz w:val="26"/>
          <w:szCs w:val="26"/>
        </w:rPr>
        <w:t>s implementation of its revised Economic Load Response program in compl</w:t>
      </w:r>
      <w:r w:rsidR="002C4CAE">
        <w:rPr>
          <w:sz w:val="26"/>
          <w:szCs w:val="26"/>
        </w:rPr>
        <w:t>iance with FERC Order No. 745 (New ELR Charges</w:t>
      </w:r>
      <w:r w:rsidRPr="00EE5722">
        <w:rPr>
          <w:sz w:val="26"/>
          <w:szCs w:val="26"/>
        </w:rPr>
        <w:t>).</w:t>
      </w:r>
      <w:r w:rsidRPr="00EE5722">
        <w:rPr>
          <w:rStyle w:val="FootnoteReference"/>
          <w:sz w:val="26"/>
          <w:szCs w:val="26"/>
        </w:rPr>
        <w:footnoteReference w:id="127"/>
      </w:r>
    </w:p>
    <w:p w:rsidR="002D3E17" w:rsidRPr="00EE5722" w:rsidRDefault="002D3E17" w:rsidP="002C4CAE">
      <w:pPr>
        <w:tabs>
          <w:tab w:val="left" w:pos="1620"/>
        </w:tabs>
        <w:adjustRightInd w:val="0"/>
        <w:spacing w:line="360" w:lineRule="auto"/>
        <w:ind w:left="1080"/>
        <w:rPr>
          <w:bCs/>
          <w:sz w:val="26"/>
          <w:szCs w:val="26"/>
        </w:rPr>
      </w:pPr>
      <w:r w:rsidRPr="00EE5722">
        <w:rPr>
          <w:bCs/>
          <w:sz w:val="26"/>
          <w:szCs w:val="26"/>
        </w:rPr>
        <w:tab/>
      </w:r>
    </w:p>
    <w:p w:rsidR="002D3E17" w:rsidRPr="00D21B9F" w:rsidRDefault="002D3E17" w:rsidP="002C4CAE">
      <w:pPr>
        <w:pStyle w:val="BodyText2"/>
        <w:tabs>
          <w:tab w:val="left" w:pos="1440"/>
        </w:tabs>
        <w:spacing w:after="0" w:line="360" w:lineRule="auto"/>
        <w:rPr>
          <w:sz w:val="26"/>
          <w:szCs w:val="26"/>
        </w:rPr>
      </w:pPr>
      <w:r w:rsidRPr="00EE5722">
        <w:rPr>
          <w:bCs/>
          <w:sz w:val="26"/>
          <w:szCs w:val="26"/>
        </w:rPr>
        <w:tab/>
        <w:t>RESA arg</w:t>
      </w:r>
      <w:r>
        <w:rPr>
          <w:bCs/>
          <w:sz w:val="26"/>
          <w:szCs w:val="26"/>
        </w:rPr>
        <w:t>ued</w:t>
      </w:r>
      <w:r w:rsidRPr="00EE5722">
        <w:rPr>
          <w:bCs/>
          <w:sz w:val="26"/>
          <w:szCs w:val="26"/>
        </w:rPr>
        <w:t xml:space="preserve"> that NITS, RTEP, and Expansion costs (collectively, Transmission Service Charges</w:t>
      </w:r>
      <w:r>
        <w:rPr>
          <w:bCs/>
          <w:sz w:val="26"/>
          <w:szCs w:val="26"/>
        </w:rPr>
        <w:t xml:space="preserve"> </w:t>
      </w:r>
      <w:r w:rsidR="00B13F12">
        <w:rPr>
          <w:bCs/>
          <w:sz w:val="26"/>
          <w:szCs w:val="26"/>
        </w:rPr>
        <w:t xml:space="preserve">or </w:t>
      </w:r>
      <w:r>
        <w:rPr>
          <w:bCs/>
          <w:sz w:val="26"/>
          <w:szCs w:val="26"/>
        </w:rPr>
        <w:t>TSC</w:t>
      </w:r>
      <w:r w:rsidRPr="00EE5722">
        <w:rPr>
          <w:bCs/>
          <w:sz w:val="26"/>
          <w:szCs w:val="26"/>
        </w:rPr>
        <w:t>) are essentially embedded, cost-of-service rates that are imposed based on an EDC’s total native load, regardless of the source of the generation used to service that load.</w:t>
      </w:r>
      <w:r w:rsidRPr="00EE5722">
        <w:rPr>
          <w:rStyle w:val="FootnoteReference"/>
          <w:sz w:val="26"/>
          <w:szCs w:val="26"/>
        </w:rPr>
        <w:footnoteReference w:id="128"/>
      </w:r>
      <w:r w:rsidRPr="00EE5722">
        <w:rPr>
          <w:bCs/>
          <w:sz w:val="26"/>
          <w:szCs w:val="26"/>
        </w:rPr>
        <w:t xml:space="preserve">  </w:t>
      </w:r>
      <w:r>
        <w:rPr>
          <w:sz w:val="26"/>
          <w:szCs w:val="26"/>
        </w:rPr>
        <w:t>RESA contended</w:t>
      </w:r>
      <w:r w:rsidRPr="00EE5722">
        <w:rPr>
          <w:sz w:val="26"/>
          <w:szCs w:val="26"/>
        </w:rPr>
        <w:t xml:space="preserve"> that Duquesne’s recovery of these costs exclusively for default service customers creates a competitive advantage for default service over EGS-provided generation service and distorts the ability of consumers to compare the default service rate with prices offered by EGSs.</w:t>
      </w:r>
      <w:r>
        <w:rPr>
          <w:sz w:val="26"/>
          <w:szCs w:val="26"/>
        </w:rPr>
        <w:t xml:space="preserve">  RESA St. </w:t>
      </w:r>
      <w:r w:rsidRPr="005751B0">
        <w:rPr>
          <w:sz w:val="26"/>
          <w:szCs w:val="26"/>
        </w:rPr>
        <w:t>1 at 22.</w:t>
      </w:r>
    </w:p>
    <w:p w:rsidR="002D3E17" w:rsidRPr="00EE5722" w:rsidRDefault="002D3E17" w:rsidP="002D3E17">
      <w:pPr>
        <w:pStyle w:val="BodyText2"/>
        <w:tabs>
          <w:tab w:val="left" w:pos="1440"/>
        </w:tabs>
        <w:spacing w:after="0" w:line="360" w:lineRule="auto"/>
        <w:rPr>
          <w:sz w:val="26"/>
          <w:szCs w:val="26"/>
        </w:rPr>
      </w:pPr>
    </w:p>
    <w:p w:rsidR="002D3E17" w:rsidRPr="00D21B9F" w:rsidRDefault="002D3E17" w:rsidP="00DA7564">
      <w:pPr>
        <w:pStyle w:val="BodyText2"/>
        <w:tabs>
          <w:tab w:val="left" w:pos="1620"/>
        </w:tabs>
        <w:spacing w:after="0" w:line="360" w:lineRule="auto"/>
        <w:rPr>
          <w:bCs/>
          <w:sz w:val="26"/>
          <w:szCs w:val="26"/>
        </w:rPr>
      </w:pPr>
      <w:r w:rsidRPr="00EE5722">
        <w:rPr>
          <w:bCs/>
          <w:sz w:val="26"/>
          <w:szCs w:val="26"/>
        </w:rPr>
        <w:tab/>
      </w:r>
      <w:r>
        <w:rPr>
          <w:bCs/>
          <w:sz w:val="26"/>
          <w:szCs w:val="26"/>
        </w:rPr>
        <w:t>RESA asserted that</w:t>
      </w:r>
      <w:r w:rsidR="002C4CAE">
        <w:rPr>
          <w:bCs/>
          <w:sz w:val="26"/>
          <w:szCs w:val="26"/>
        </w:rPr>
        <w:t>,</w:t>
      </w:r>
      <w:r>
        <w:rPr>
          <w:bCs/>
          <w:sz w:val="26"/>
          <w:szCs w:val="26"/>
        </w:rPr>
        <w:t xml:space="preserve"> w</w:t>
      </w:r>
      <w:r w:rsidRPr="00EE5722">
        <w:rPr>
          <w:bCs/>
          <w:sz w:val="26"/>
          <w:szCs w:val="26"/>
        </w:rPr>
        <w:t xml:space="preserve">hile Duquesne </w:t>
      </w:r>
      <w:r w:rsidR="00B13F12">
        <w:rPr>
          <w:bCs/>
          <w:sz w:val="26"/>
          <w:szCs w:val="26"/>
        </w:rPr>
        <w:t xml:space="preserve">recovers </w:t>
      </w:r>
      <w:r w:rsidRPr="00EE5722">
        <w:rPr>
          <w:bCs/>
          <w:sz w:val="26"/>
          <w:szCs w:val="26"/>
        </w:rPr>
        <w:t xml:space="preserve">these costs </w:t>
      </w:r>
      <w:r w:rsidR="00B13F12">
        <w:rPr>
          <w:bCs/>
          <w:sz w:val="26"/>
          <w:szCs w:val="26"/>
        </w:rPr>
        <w:t>from</w:t>
      </w:r>
      <w:r w:rsidRPr="00EE5722">
        <w:rPr>
          <w:bCs/>
          <w:sz w:val="26"/>
          <w:szCs w:val="26"/>
        </w:rPr>
        <w:t xml:space="preserve"> default service customers, EGSs are left to bear the risks of these unpredictable costs for their customers.</w:t>
      </w:r>
      <w:r>
        <w:rPr>
          <w:rStyle w:val="FootnoteReference"/>
          <w:sz w:val="26"/>
          <w:szCs w:val="26"/>
        </w:rPr>
        <w:t xml:space="preserve">  </w:t>
      </w:r>
      <w:r w:rsidRPr="00EE5722">
        <w:rPr>
          <w:bCs/>
          <w:sz w:val="26"/>
          <w:szCs w:val="26"/>
        </w:rPr>
        <w:t xml:space="preserve">Furthermore, </w:t>
      </w:r>
      <w:r>
        <w:rPr>
          <w:bCs/>
          <w:sz w:val="26"/>
          <w:szCs w:val="26"/>
        </w:rPr>
        <w:t xml:space="preserve">RESA noted that </w:t>
      </w:r>
      <w:r w:rsidRPr="00EE5722">
        <w:rPr>
          <w:bCs/>
          <w:sz w:val="26"/>
          <w:szCs w:val="26"/>
        </w:rPr>
        <w:t xml:space="preserve">these charges are assessed based on </w:t>
      </w:r>
      <w:r w:rsidRPr="001A7FE8">
        <w:rPr>
          <w:bCs/>
          <w:sz w:val="26"/>
          <w:szCs w:val="26"/>
        </w:rPr>
        <w:t>the total</w:t>
      </w:r>
      <w:r w:rsidRPr="00EE5722">
        <w:rPr>
          <w:bCs/>
          <w:sz w:val="26"/>
          <w:szCs w:val="26"/>
        </w:rPr>
        <w:t xml:space="preserve"> EDC load.</w:t>
      </w:r>
      <w:r>
        <w:rPr>
          <w:bCs/>
          <w:sz w:val="26"/>
          <w:szCs w:val="26"/>
        </w:rPr>
        <w:t xml:space="preserve"> </w:t>
      </w:r>
      <w:r w:rsidRPr="00EE5722">
        <w:rPr>
          <w:bCs/>
          <w:sz w:val="26"/>
          <w:szCs w:val="26"/>
        </w:rPr>
        <w:t xml:space="preserve"> </w:t>
      </w:r>
      <w:r>
        <w:rPr>
          <w:bCs/>
          <w:sz w:val="26"/>
          <w:szCs w:val="26"/>
        </w:rPr>
        <w:t>RESA opined that implementing it</w:t>
      </w:r>
      <w:r w:rsidRPr="00EE5722">
        <w:rPr>
          <w:bCs/>
          <w:sz w:val="26"/>
          <w:szCs w:val="26"/>
        </w:rPr>
        <w:t xml:space="preserve">s proposal to require Duquesne to assume these costs </w:t>
      </w:r>
      <w:r w:rsidR="00B13F12">
        <w:rPr>
          <w:bCs/>
          <w:sz w:val="26"/>
          <w:szCs w:val="26"/>
        </w:rPr>
        <w:t xml:space="preserve">for all customers </w:t>
      </w:r>
      <w:r w:rsidRPr="00EE5722">
        <w:rPr>
          <w:bCs/>
          <w:sz w:val="26"/>
          <w:szCs w:val="26"/>
        </w:rPr>
        <w:t xml:space="preserve">and recover them </w:t>
      </w:r>
      <w:r w:rsidR="002C4CAE">
        <w:rPr>
          <w:bCs/>
          <w:sz w:val="26"/>
          <w:szCs w:val="26"/>
        </w:rPr>
        <w:t xml:space="preserve">through a </w:t>
      </w:r>
      <w:r>
        <w:rPr>
          <w:bCs/>
          <w:sz w:val="26"/>
          <w:szCs w:val="26"/>
        </w:rPr>
        <w:t>non-bypassable charge would</w:t>
      </w:r>
      <w:r w:rsidRPr="00EE5722">
        <w:rPr>
          <w:bCs/>
          <w:sz w:val="26"/>
          <w:szCs w:val="26"/>
        </w:rPr>
        <w:t xml:space="preserve"> assure a level playing field for suppliers and provide appropriate price signals for customers.</w:t>
      </w:r>
      <w:r>
        <w:rPr>
          <w:rStyle w:val="FootnoteReference"/>
          <w:sz w:val="26"/>
          <w:szCs w:val="26"/>
        </w:rPr>
        <w:t xml:space="preserve">  </w:t>
      </w:r>
      <w:r>
        <w:rPr>
          <w:sz w:val="26"/>
          <w:szCs w:val="26"/>
        </w:rPr>
        <w:t xml:space="preserve">RESA St. </w:t>
      </w:r>
      <w:r w:rsidRPr="005751B0">
        <w:rPr>
          <w:sz w:val="26"/>
          <w:szCs w:val="26"/>
        </w:rPr>
        <w:t>1 at 22.</w:t>
      </w:r>
    </w:p>
    <w:p w:rsidR="002D3E17" w:rsidRPr="00EE5722" w:rsidRDefault="002D3E17" w:rsidP="00DA7564">
      <w:pPr>
        <w:pStyle w:val="BodyText2"/>
        <w:tabs>
          <w:tab w:val="left" w:pos="1620"/>
        </w:tabs>
        <w:spacing w:after="0" w:line="360" w:lineRule="auto"/>
        <w:rPr>
          <w:sz w:val="26"/>
          <w:szCs w:val="26"/>
        </w:rPr>
      </w:pPr>
    </w:p>
    <w:p w:rsidR="002D3E17" w:rsidRDefault="002D3E17" w:rsidP="002D3E17">
      <w:pPr>
        <w:pStyle w:val="FootnoteText"/>
        <w:spacing w:line="360" w:lineRule="auto"/>
        <w:rPr>
          <w:sz w:val="26"/>
          <w:szCs w:val="26"/>
        </w:rPr>
      </w:pPr>
      <w:r w:rsidRPr="00EE5722">
        <w:rPr>
          <w:sz w:val="26"/>
          <w:szCs w:val="26"/>
        </w:rPr>
        <w:lastRenderedPageBreak/>
        <w:tab/>
      </w:r>
      <w:r w:rsidR="002C4CAE">
        <w:rPr>
          <w:sz w:val="26"/>
          <w:szCs w:val="26"/>
        </w:rPr>
        <w:tab/>
        <w:t>RESA suggested that its proposal</w:t>
      </w:r>
      <w:r w:rsidRPr="00EE5722">
        <w:rPr>
          <w:sz w:val="26"/>
          <w:szCs w:val="26"/>
        </w:rPr>
        <w:t xml:space="preserve"> could be accomplished through the creation of a n</w:t>
      </w:r>
      <w:r>
        <w:rPr>
          <w:sz w:val="26"/>
          <w:szCs w:val="26"/>
        </w:rPr>
        <w:t>on-market based rider (NMB Rider</w:t>
      </w:r>
      <w:r w:rsidRPr="00EE5722">
        <w:rPr>
          <w:sz w:val="26"/>
          <w:szCs w:val="26"/>
        </w:rPr>
        <w:t>).</w:t>
      </w:r>
      <w:r>
        <w:rPr>
          <w:sz w:val="26"/>
          <w:szCs w:val="26"/>
        </w:rPr>
        <w:t xml:space="preserve">  RESA recognized</w:t>
      </w:r>
      <w:r w:rsidRPr="00EE5722">
        <w:rPr>
          <w:sz w:val="26"/>
          <w:szCs w:val="26"/>
        </w:rPr>
        <w:t xml:space="preserve"> that a transitional period may be appropriate to ensure that customers are not subject to a “double payment.”</w:t>
      </w:r>
      <w:r w:rsidRPr="00EE5722">
        <w:rPr>
          <w:rStyle w:val="FootnoteReference"/>
          <w:sz w:val="26"/>
          <w:szCs w:val="26"/>
        </w:rPr>
        <w:footnoteReference w:id="129"/>
      </w:r>
      <w:r w:rsidRPr="00EE5722">
        <w:rPr>
          <w:sz w:val="26"/>
          <w:szCs w:val="26"/>
        </w:rPr>
        <w:t xml:space="preserve">  </w:t>
      </w:r>
      <w:r>
        <w:rPr>
          <w:sz w:val="26"/>
          <w:szCs w:val="26"/>
        </w:rPr>
        <w:t>RESA argued that p</w:t>
      </w:r>
      <w:r w:rsidRPr="00EE5722">
        <w:rPr>
          <w:sz w:val="26"/>
          <w:szCs w:val="26"/>
        </w:rPr>
        <w:t>otential one-time transitional issues that may arise should not be used to reject RESA’s proposal, especially since such situations could be easily addressed on a case-by-case basis.</w:t>
      </w:r>
      <w:r>
        <w:rPr>
          <w:sz w:val="26"/>
          <w:szCs w:val="26"/>
        </w:rPr>
        <w:t xml:space="preserve">  RESA St. </w:t>
      </w:r>
      <w:r w:rsidRPr="005751B0">
        <w:rPr>
          <w:sz w:val="26"/>
          <w:szCs w:val="26"/>
        </w:rPr>
        <w:t>1 at 27.</w:t>
      </w:r>
    </w:p>
    <w:p w:rsidR="002D3E17" w:rsidRPr="00EE5722" w:rsidRDefault="002D3E17" w:rsidP="002D3E17">
      <w:pPr>
        <w:pStyle w:val="BodyText2"/>
        <w:tabs>
          <w:tab w:val="left" w:pos="1620"/>
        </w:tabs>
        <w:spacing w:after="0" w:line="360" w:lineRule="auto"/>
        <w:rPr>
          <w:sz w:val="26"/>
          <w:szCs w:val="26"/>
        </w:rPr>
      </w:pPr>
    </w:p>
    <w:p w:rsidR="002D3E17" w:rsidRDefault="002D3E17" w:rsidP="002D3E17">
      <w:pPr>
        <w:adjustRightInd w:val="0"/>
        <w:spacing w:line="360" w:lineRule="auto"/>
        <w:ind w:firstLine="720"/>
        <w:rPr>
          <w:sz w:val="26"/>
          <w:szCs w:val="26"/>
        </w:rPr>
      </w:pPr>
      <w:r w:rsidRPr="00EE5722">
        <w:rPr>
          <w:sz w:val="26"/>
          <w:szCs w:val="26"/>
        </w:rPr>
        <w:tab/>
      </w:r>
      <w:r>
        <w:rPr>
          <w:sz w:val="26"/>
          <w:szCs w:val="26"/>
        </w:rPr>
        <w:t>RESA claimed that</w:t>
      </w:r>
      <w:r w:rsidR="00905E63">
        <w:rPr>
          <w:sz w:val="26"/>
          <w:szCs w:val="26"/>
        </w:rPr>
        <w:t>,</w:t>
      </w:r>
      <w:r>
        <w:rPr>
          <w:sz w:val="26"/>
          <w:szCs w:val="26"/>
        </w:rPr>
        <w:t xml:space="preserve"> </w:t>
      </w:r>
      <w:r w:rsidRPr="00EE5722">
        <w:rPr>
          <w:sz w:val="26"/>
          <w:szCs w:val="26"/>
        </w:rPr>
        <w:t xml:space="preserve">because the PJM charges specifically related to FERC Order 745 are non-market based, they should be recovered from all load on a competitively neutral basis for the same reason </w:t>
      </w:r>
      <w:r w:rsidR="00905E63">
        <w:rPr>
          <w:sz w:val="26"/>
          <w:szCs w:val="26"/>
        </w:rPr>
        <w:t xml:space="preserve">that </w:t>
      </w:r>
      <w:r w:rsidRPr="00EE5722">
        <w:rPr>
          <w:sz w:val="26"/>
          <w:szCs w:val="26"/>
        </w:rPr>
        <w:t>RTEP, Expansion and Generation Deactivat</w:t>
      </w:r>
      <w:r>
        <w:rPr>
          <w:sz w:val="26"/>
          <w:szCs w:val="26"/>
        </w:rPr>
        <w:t>ion costs should</w:t>
      </w:r>
      <w:r w:rsidR="00905E63">
        <w:rPr>
          <w:sz w:val="26"/>
          <w:szCs w:val="26"/>
        </w:rPr>
        <w:t xml:space="preserve"> be recovered from all load</w:t>
      </w:r>
      <w:r>
        <w:rPr>
          <w:sz w:val="26"/>
          <w:szCs w:val="26"/>
        </w:rPr>
        <w:t>.  RESA requested</w:t>
      </w:r>
      <w:r w:rsidRPr="00EE5722">
        <w:rPr>
          <w:sz w:val="26"/>
          <w:szCs w:val="26"/>
        </w:rPr>
        <w:t xml:space="preserve"> that the Commission adopt its proposal and require Duquesne to implement an NMB Rider as explained above.</w:t>
      </w:r>
    </w:p>
    <w:p w:rsidR="002D3E17" w:rsidRDefault="002D3E17" w:rsidP="002D3E17">
      <w:pPr>
        <w:adjustRightInd w:val="0"/>
        <w:spacing w:line="360" w:lineRule="auto"/>
        <w:ind w:firstLine="720"/>
        <w:rPr>
          <w:sz w:val="26"/>
          <w:szCs w:val="26"/>
        </w:rPr>
      </w:pPr>
    </w:p>
    <w:p w:rsidR="002D3E17" w:rsidRPr="005751B0" w:rsidRDefault="002D3E17" w:rsidP="002D3E17">
      <w:pPr>
        <w:pStyle w:val="FootnoteText"/>
        <w:spacing w:line="360" w:lineRule="auto"/>
        <w:ind w:firstLine="1440"/>
        <w:rPr>
          <w:sz w:val="26"/>
          <w:szCs w:val="26"/>
        </w:rPr>
      </w:pPr>
      <w:r>
        <w:rPr>
          <w:sz w:val="26"/>
          <w:szCs w:val="26"/>
        </w:rPr>
        <w:t>The OSBA did</w:t>
      </w:r>
      <w:r w:rsidRPr="00EE5722">
        <w:rPr>
          <w:sz w:val="26"/>
          <w:szCs w:val="26"/>
        </w:rPr>
        <w:t xml:space="preserve"> not oppose recovering non-market based transmission costs such as Generation Deactivation charges for all cu</w:t>
      </w:r>
      <w:r>
        <w:rPr>
          <w:sz w:val="26"/>
          <w:szCs w:val="26"/>
        </w:rPr>
        <w:t>stomers in an NMB</w:t>
      </w:r>
      <w:r w:rsidRPr="00EE5722">
        <w:rPr>
          <w:sz w:val="26"/>
          <w:szCs w:val="26"/>
        </w:rPr>
        <w:t xml:space="preserve"> </w:t>
      </w:r>
      <w:r w:rsidR="00B13F12">
        <w:rPr>
          <w:sz w:val="26"/>
          <w:szCs w:val="26"/>
        </w:rPr>
        <w:t>R</w:t>
      </w:r>
      <w:r w:rsidRPr="00EE5722">
        <w:rPr>
          <w:sz w:val="26"/>
          <w:szCs w:val="26"/>
        </w:rPr>
        <w:t>ider.  However,</w:t>
      </w:r>
      <w:r>
        <w:rPr>
          <w:sz w:val="26"/>
          <w:szCs w:val="26"/>
        </w:rPr>
        <w:t xml:space="preserve"> the OSBA opined that</w:t>
      </w:r>
      <w:r w:rsidRPr="00EE5722">
        <w:rPr>
          <w:sz w:val="26"/>
          <w:szCs w:val="26"/>
        </w:rPr>
        <w:t xml:space="preserve"> </w:t>
      </w:r>
      <w:r w:rsidR="00905E63">
        <w:rPr>
          <w:sz w:val="26"/>
          <w:szCs w:val="26"/>
        </w:rPr>
        <w:t xml:space="preserve">the NMB Rider could </w:t>
      </w:r>
      <w:r w:rsidRPr="00EE5722">
        <w:rPr>
          <w:sz w:val="26"/>
          <w:szCs w:val="26"/>
        </w:rPr>
        <w:t>end up “double billing” current shopping customers for non-m</w:t>
      </w:r>
      <w:r>
        <w:rPr>
          <w:sz w:val="26"/>
          <w:szCs w:val="26"/>
        </w:rPr>
        <w:t xml:space="preserve">arket based transmission costs </w:t>
      </w:r>
      <w:r w:rsidRPr="00EE5722">
        <w:rPr>
          <w:sz w:val="26"/>
          <w:szCs w:val="26"/>
        </w:rPr>
        <w:t xml:space="preserve">until </w:t>
      </w:r>
      <w:r>
        <w:rPr>
          <w:sz w:val="26"/>
          <w:szCs w:val="26"/>
        </w:rPr>
        <w:t>their existing contracts expire</w:t>
      </w:r>
      <w:r w:rsidRPr="00EE5722">
        <w:rPr>
          <w:sz w:val="26"/>
          <w:szCs w:val="26"/>
        </w:rPr>
        <w:t xml:space="preserve">.  Therefore, </w:t>
      </w:r>
      <w:r>
        <w:rPr>
          <w:sz w:val="26"/>
          <w:szCs w:val="26"/>
        </w:rPr>
        <w:t>the OSBA recommended</w:t>
      </w:r>
      <w:r w:rsidRPr="00EE5722">
        <w:rPr>
          <w:sz w:val="26"/>
          <w:szCs w:val="26"/>
        </w:rPr>
        <w:t xml:space="preserve"> that any implementation of the NMB Rider be delayed for a period of time, perhaps one year, in order to minimize the possibility that current shopping customers are double billed.</w:t>
      </w:r>
      <w:r>
        <w:rPr>
          <w:sz w:val="26"/>
          <w:szCs w:val="26"/>
        </w:rPr>
        <w:t xml:space="preserve">  OSBA St. </w:t>
      </w:r>
      <w:r w:rsidRPr="005751B0">
        <w:rPr>
          <w:sz w:val="26"/>
          <w:szCs w:val="26"/>
        </w:rPr>
        <w:t>2 at 11-12.</w:t>
      </w:r>
    </w:p>
    <w:p w:rsidR="002D3E17" w:rsidRPr="00D5166C" w:rsidRDefault="002D3E17" w:rsidP="002D3E17">
      <w:pPr>
        <w:pStyle w:val="BodyText2"/>
        <w:spacing w:after="0" w:line="360" w:lineRule="auto"/>
        <w:ind w:firstLine="1440"/>
        <w:rPr>
          <w:sz w:val="26"/>
          <w:szCs w:val="26"/>
        </w:rPr>
      </w:pPr>
    </w:p>
    <w:p w:rsidR="002D3E17" w:rsidRPr="007924B1" w:rsidRDefault="002D3E17" w:rsidP="00DE60BA">
      <w:pPr>
        <w:pStyle w:val="FootnoteText"/>
        <w:spacing w:line="360" w:lineRule="auto"/>
        <w:rPr>
          <w:sz w:val="26"/>
          <w:szCs w:val="26"/>
        </w:rPr>
      </w:pPr>
      <w:r w:rsidRPr="00EE5722">
        <w:rPr>
          <w:sz w:val="26"/>
          <w:szCs w:val="26"/>
        </w:rPr>
        <w:tab/>
      </w:r>
      <w:r w:rsidRPr="00EE5722">
        <w:rPr>
          <w:sz w:val="26"/>
          <w:szCs w:val="26"/>
        </w:rPr>
        <w:tab/>
      </w:r>
      <w:r>
        <w:rPr>
          <w:sz w:val="26"/>
          <w:szCs w:val="26"/>
        </w:rPr>
        <w:t>The OSBA opposed</w:t>
      </w:r>
      <w:r w:rsidRPr="00EE5722">
        <w:rPr>
          <w:sz w:val="26"/>
          <w:szCs w:val="26"/>
        </w:rPr>
        <w:t xml:space="preserve"> Constellation’s proposal to remove </w:t>
      </w:r>
      <w:r w:rsidR="00B13F12">
        <w:rPr>
          <w:sz w:val="26"/>
          <w:szCs w:val="26"/>
        </w:rPr>
        <w:t>transmission service charges</w:t>
      </w:r>
      <w:r w:rsidRPr="00EE5722">
        <w:rPr>
          <w:sz w:val="26"/>
          <w:szCs w:val="26"/>
        </w:rPr>
        <w:t xml:space="preserve"> from the PTC.  </w:t>
      </w:r>
      <w:r>
        <w:rPr>
          <w:sz w:val="26"/>
          <w:szCs w:val="26"/>
        </w:rPr>
        <w:t xml:space="preserve">According to the OSBA, </w:t>
      </w:r>
      <w:r w:rsidRPr="00EE5722">
        <w:rPr>
          <w:sz w:val="26"/>
          <w:szCs w:val="26"/>
        </w:rPr>
        <w:t xml:space="preserve">Constellation’s proposal would relieve retail suppliers of responsibility for </w:t>
      </w:r>
      <w:r>
        <w:rPr>
          <w:sz w:val="26"/>
          <w:szCs w:val="26"/>
        </w:rPr>
        <w:t xml:space="preserve">known transmission costs such as </w:t>
      </w:r>
      <w:r w:rsidRPr="00EE5722">
        <w:rPr>
          <w:sz w:val="26"/>
          <w:szCs w:val="26"/>
        </w:rPr>
        <w:t xml:space="preserve">NITS </w:t>
      </w:r>
      <w:r w:rsidRPr="00EE5722">
        <w:rPr>
          <w:sz w:val="26"/>
          <w:szCs w:val="26"/>
        </w:rPr>
        <w:lastRenderedPageBreak/>
        <w:t xml:space="preserve">service.  </w:t>
      </w:r>
      <w:r>
        <w:rPr>
          <w:sz w:val="26"/>
          <w:szCs w:val="26"/>
        </w:rPr>
        <w:t>The OSBA maintained that r</w:t>
      </w:r>
      <w:r w:rsidRPr="00EE5722">
        <w:rPr>
          <w:sz w:val="26"/>
          <w:szCs w:val="26"/>
        </w:rPr>
        <w:t xml:space="preserve">elieving retail suppliers </w:t>
      </w:r>
      <w:r w:rsidR="00905E63">
        <w:rPr>
          <w:sz w:val="26"/>
          <w:szCs w:val="26"/>
        </w:rPr>
        <w:t>of such cost responsibility would</w:t>
      </w:r>
      <w:r w:rsidRPr="00EE5722">
        <w:rPr>
          <w:sz w:val="26"/>
          <w:szCs w:val="26"/>
        </w:rPr>
        <w:t xml:space="preserve"> no</w:t>
      </w:r>
      <w:r w:rsidR="00905E63">
        <w:rPr>
          <w:sz w:val="26"/>
          <w:szCs w:val="26"/>
        </w:rPr>
        <w:t xml:space="preserve">t produce any </w:t>
      </w:r>
      <w:r>
        <w:rPr>
          <w:sz w:val="26"/>
          <w:szCs w:val="26"/>
        </w:rPr>
        <w:t xml:space="preserve">price benefits for consumers </w:t>
      </w:r>
      <w:r w:rsidRPr="00EE5722">
        <w:rPr>
          <w:sz w:val="26"/>
          <w:szCs w:val="26"/>
        </w:rPr>
        <w:t>since no risk premiums s</w:t>
      </w:r>
      <w:r>
        <w:rPr>
          <w:sz w:val="26"/>
          <w:szCs w:val="26"/>
        </w:rPr>
        <w:t>hould be attached to such costs</w:t>
      </w:r>
      <w:r w:rsidRPr="00EE5722">
        <w:rPr>
          <w:sz w:val="26"/>
          <w:szCs w:val="26"/>
        </w:rPr>
        <w:t xml:space="preserve">.  Furthermore, </w:t>
      </w:r>
      <w:r>
        <w:rPr>
          <w:sz w:val="26"/>
          <w:szCs w:val="26"/>
        </w:rPr>
        <w:t xml:space="preserve">the OSBA claimed that </w:t>
      </w:r>
      <w:r w:rsidRPr="00EE5722">
        <w:rPr>
          <w:sz w:val="26"/>
          <w:szCs w:val="26"/>
        </w:rPr>
        <w:t>removing all transmission costs from the PTC would deprive shopping customers of the opportunity to save money on the transmission portion of their bills.</w:t>
      </w:r>
      <w:r>
        <w:rPr>
          <w:sz w:val="26"/>
          <w:szCs w:val="26"/>
        </w:rPr>
        <w:t xml:space="preserve">  OSBA St. </w:t>
      </w:r>
      <w:r w:rsidRPr="005751B0">
        <w:rPr>
          <w:sz w:val="26"/>
          <w:szCs w:val="26"/>
        </w:rPr>
        <w:t>2 at 5.</w:t>
      </w:r>
    </w:p>
    <w:p w:rsidR="002D3E17" w:rsidRPr="00D5166C" w:rsidRDefault="002D3E17" w:rsidP="00DE60BA">
      <w:pPr>
        <w:pStyle w:val="BodyText2"/>
        <w:spacing w:after="0" w:line="360" w:lineRule="auto"/>
        <w:rPr>
          <w:sz w:val="26"/>
          <w:szCs w:val="26"/>
        </w:rPr>
      </w:pPr>
    </w:p>
    <w:p w:rsidR="002D3E17" w:rsidRPr="00EE5722" w:rsidRDefault="002D3E17" w:rsidP="002D3E17">
      <w:pPr>
        <w:spacing w:line="360" w:lineRule="auto"/>
        <w:ind w:firstLine="1440"/>
        <w:rPr>
          <w:sz w:val="26"/>
          <w:szCs w:val="26"/>
        </w:rPr>
      </w:pPr>
      <w:r>
        <w:rPr>
          <w:sz w:val="26"/>
          <w:szCs w:val="26"/>
        </w:rPr>
        <w:t xml:space="preserve">DII stated that </w:t>
      </w:r>
      <w:r w:rsidRPr="00EE5722">
        <w:rPr>
          <w:sz w:val="26"/>
          <w:szCs w:val="26"/>
        </w:rPr>
        <w:t>Duquesne’s Large C&amp;I default service customers pay for generation and transmission-related services through the Day-Ahead Hourly Priced Service an</w:t>
      </w:r>
      <w:r>
        <w:rPr>
          <w:sz w:val="26"/>
          <w:szCs w:val="26"/>
        </w:rPr>
        <w:t>d TSC</w:t>
      </w:r>
      <w:r w:rsidRPr="00EE5722">
        <w:rPr>
          <w:sz w:val="26"/>
          <w:szCs w:val="26"/>
        </w:rPr>
        <w:t xml:space="preserve"> riders, respectively.  Supplement No. 10 to Tariff – </w:t>
      </w:r>
      <w:r>
        <w:rPr>
          <w:sz w:val="26"/>
          <w:szCs w:val="26"/>
        </w:rPr>
        <w:t xml:space="preserve">Electric Pa. P.U.C. No. 24 at </w:t>
      </w:r>
      <w:r w:rsidRPr="00EE5722">
        <w:rPr>
          <w:sz w:val="26"/>
          <w:szCs w:val="26"/>
        </w:rPr>
        <w:t xml:space="preserve">89, 113.  </w:t>
      </w:r>
      <w:r>
        <w:rPr>
          <w:sz w:val="26"/>
          <w:szCs w:val="26"/>
        </w:rPr>
        <w:t xml:space="preserve">DII noted that </w:t>
      </w:r>
      <w:r w:rsidRPr="00EE5722">
        <w:rPr>
          <w:sz w:val="26"/>
          <w:szCs w:val="26"/>
        </w:rPr>
        <w:t xml:space="preserve">Duquesne does not offer a fixed-price rate to Large C&amp;I customers for generation or transmission-related service.  While Duquesne is not proposing any modifications to this current methodology, </w:t>
      </w:r>
      <w:r>
        <w:rPr>
          <w:sz w:val="26"/>
          <w:szCs w:val="26"/>
        </w:rPr>
        <w:t xml:space="preserve">DII averred that Constellation and RESA </w:t>
      </w:r>
      <w:r w:rsidRPr="00EE5722">
        <w:rPr>
          <w:sz w:val="26"/>
          <w:szCs w:val="26"/>
        </w:rPr>
        <w:t>propose</w:t>
      </w:r>
      <w:r>
        <w:rPr>
          <w:sz w:val="26"/>
          <w:szCs w:val="26"/>
        </w:rPr>
        <w:t>d</w:t>
      </w:r>
      <w:r w:rsidRPr="00EE5722">
        <w:rPr>
          <w:sz w:val="26"/>
          <w:szCs w:val="26"/>
        </w:rPr>
        <w:t xml:space="preserve"> to significantly alter the market developments that have occurred since the passage of the Competition Act</w:t>
      </w:r>
      <w:r>
        <w:rPr>
          <w:sz w:val="26"/>
          <w:szCs w:val="26"/>
        </w:rPr>
        <w:t>.</w:t>
      </w:r>
    </w:p>
    <w:p w:rsidR="002D3E17" w:rsidRPr="00EE5722" w:rsidRDefault="002D3E17" w:rsidP="002D3E17">
      <w:pPr>
        <w:spacing w:line="360" w:lineRule="auto"/>
        <w:ind w:firstLine="720"/>
        <w:rPr>
          <w:sz w:val="26"/>
          <w:szCs w:val="26"/>
        </w:rPr>
      </w:pPr>
      <w:bookmarkStart w:id="231" w:name="_Toc327770538"/>
    </w:p>
    <w:p w:rsidR="002D3E17" w:rsidRDefault="002D3E17" w:rsidP="002D3E17">
      <w:pPr>
        <w:spacing w:line="360" w:lineRule="auto"/>
        <w:ind w:firstLine="720"/>
        <w:rPr>
          <w:sz w:val="26"/>
          <w:szCs w:val="26"/>
        </w:rPr>
      </w:pPr>
      <w:r w:rsidRPr="00EE5722">
        <w:rPr>
          <w:sz w:val="26"/>
          <w:szCs w:val="26"/>
        </w:rPr>
        <w:tab/>
      </w:r>
      <w:bookmarkStart w:id="232" w:name="_Toc327770540"/>
      <w:bookmarkEnd w:id="231"/>
      <w:r>
        <w:rPr>
          <w:sz w:val="26"/>
          <w:szCs w:val="26"/>
        </w:rPr>
        <w:t>DII pointed</w:t>
      </w:r>
      <w:r w:rsidRPr="00EE5722">
        <w:rPr>
          <w:sz w:val="26"/>
          <w:szCs w:val="26"/>
        </w:rPr>
        <w:t xml:space="preserve"> out that both the Commission and Duquesne reject</w:t>
      </w:r>
      <w:r w:rsidR="00905E63">
        <w:rPr>
          <w:sz w:val="26"/>
          <w:szCs w:val="26"/>
        </w:rPr>
        <w:t>ed</w:t>
      </w:r>
      <w:r w:rsidRPr="00EE5722">
        <w:rPr>
          <w:sz w:val="26"/>
          <w:szCs w:val="26"/>
        </w:rPr>
        <w:t xml:space="preserve"> the collection of NMB </w:t>
      </w:r>
      <w:r w:rsidR="00B13F12">
        <w:rPr>
          <w:sz w:val="26"/>
          <w:szCs w:val="26"/>
        </w:rPr>
        <w:t>t</w:t>
      </w:r>
      <w:r w:rsidRPr="00EE5722">
        <w:rPr>
          <w:sz w:val="26"/>
          <w:szCs w:val="26"/>
        </w:rPr>
        <w:t>ransmission costs via</w:t>
      </w:r>
      <w:r>
        <w:rPr>
          <w:sz w:val="26"/>
          <w:szCs w:val="26"/>
        </w:rPr>
        <w:t xml:space="preserve"> a non-bypassable rider, and Constellation</w:t>
      </w:r>
      <w:r w:rsidRPr="00EE5722">
        <w:rPr>
          <w:sz w:val="26"/>
          <w:szCs w:val="26"/>
        </w:rPr>
        <w:t xml:space="preserve">/RESA </w:t>
      </w:r>
      <w:r w:rsidR="00905E63">
        <w:rPr>
          <w:sz w:val="26"/>
          <w:szCs w:val="26"/>
        </w:rPr>
        <w:t xml:space="preserve">have </w:t>
      </w:r>
      <w:r w:rsidRPr="00EE5722">
        <w:rPr>
          <w:sz w:val="26"/>
          <w:szCs w:val="26"/>
        </w:rPr>
        <w:t>failed to provide sufficient justifica</w:t>
      </w:r>
      <w:r w:rsidR="00905E63">
        <w:rPr>
          <w:sz w:val="26"/>
          <w:szCs w:val="26"/>
        </w:rPr>
        <w:t>tion for their proposals</w:t>
      </w:r>
      <w:r w:rsidRPr="00EE5722">
        <w:rPr>
          <w:sz w:val="26"/>
          <w:szCs w:val="26"/>
        </w:rPr>
        <w:t xml:space="preserve">.  As a result, </w:t>
      </w:r>
      <w:r>
        <w:rPr>
          <w:sz w:val="26"/>
          <w:szCs w:val="26"/>
        </w:rPr>
        <w:t xml:space="preserve">DII opined that </w:t>
      </w:r>
      <w:r w:rsidRPr="00EE5722">
        <w:rPr>
          <w:sz w:val="26"/>
          <w:szCs w:val="26"/>
        </w:rPr>
        <w:t xml:space="preserve">the NMB </w:t>
      </w:r>
      <w:r w:rsidR="00B13F12">
        <w:rPr>
          <w:sz w:val="26"/>
          <w:szCs w:val="26"/>
        </w:rPr>
        <w:t>t</w:t>
      </w:r>
      <w:r w:rsidRPr="00EE5722">
        <w:rPr>
          <w:sz w:val="26"/>
          <w:szCs w:val="26"/>
        </w:rPr>
        <w:t>ransmissi</w:t>
      </w:r>
      <w:r>
        <w:rPr>
          <w:sz w:val="26"/>
          <w:szCs w:val="26"/>
        </w:rPr>
        <w:t xml:space="preserve">on proposal should be rejected.  DII claimed that </w:t>
      </w:r>
      <w:r w:rsidR="00905E63">
        <w:rPr>
          <w:sz w:val="26"/>
          <w:szCs w:val="26"/>
        </w:rPr>
        <w:t>the recent Commission Order</w:t>
      </w:r>
      <w:r w:rsidRPr="00EE5722">
        <w:rPr>
          <w:sz w:val="26"/>
          <w:szCs w:val="26"/>
        </w:rPr>
        <w:t xml:space="preserve"> in the FirstEnergy </w:t>
      </w:r>
      <w:r w:rsidR="00905E63">
        <w:rPr>
          <w:sz w:val="26"/>
          <w:szCs w:val="26"/>
        </w:rPr>
        <w:t xml:space="preserve">DSP </w:t>
      </w:r>
      <w:r w:rsidRPr="00EE5722">
        <w:rPr>
          <w:sz w:val="26"/>
          <w:szCs w:val="26"/>
        </w:rPr>
        <w:t>proceeding warrant</w:t>
      </w:r>
      <w:r w:rsidR="00905E63">
        <w:rPr>
          <w:sz w:val="26"/>
          <w:szCs w:val="26"/>
        </w:rPr>
        <w:t>s</w:t>
      </w:r>
      <w:r w:rsidRPr="00EE5722">
        <w:rPr>
          <w:sz w:val="26"/>
          <w:szCs w:val="26"/>
        </w:rPr>
        <w:t xml:space="preserve"> the rejection of the NMB </w:t>
      </w:r>
      <w:r w:rsidR="00B13F12">
        <w:rPr>
          <w:sz w:val="26"/>
          <w:szCs w:val="26"/>
        </w:rPr>
        <w:t>t</w:t>
      </w:r>
      <w:r w:rsidRPr="00EE5722">
        <w:rPr>
          <w:sz w:val="26"/>
          <w:szCs w:val="26"/>
        </w:rPr>
        <w:t xml:space="preserve">ransmission proposal.  </w:t>
      </w:r>
      <w:r>
        <w:rPr>
          <w:sz w:val="26"/>
          <w:szCs w:val="26"/>
        </w:rPr>
        <w:t xml:space="preserve">Further, considering </w:t>
      </w:r>
      <w:r w:rsidRPr="00EE5722">
        <w:rPr>
          <w:sz w:val="26"/>
          <w:szCs w:val="26"/>
        </w:rPr>
        <w:t xml:space="preserve">Duquesne’s opposition to the proposal, </w:t>
      </w:r>
      <w:r>
        <w:rPr>
          <w:sz w:val="26"/>
          <w:szCs w:val="26"/>
        </w:rPr>
        <w:t xml:space="preserve">DII asserted that </w:t>
      </w:r>
      <w:r w:rsidRPr="00EE5722">
        <w:rPr>
          <w:sz w:val="26"/>
          <w:szCs w:val="26"/>
        </w:rPr>
        <w:t>there is simply no legal or evidentiary justification for adoption of a non-bypassable rider</w:t>
      </w:r>
      <w:r w:rsidR="00DE60BA">
        <w:rPr>
          <w:sz w:val="26"/>
          <w:szCs w:val="26"/>
        </w:rPr>
        <w:t>.</w:t>
      </w:r>
    </w:p>
    <w:p w:rsidR="00F226F6" w:rsidRPr="00EE5722" w:rsidRDefault="00F226F6" w:rsidP="002D3E17">
      <w:pPr>
        <w:spacing w:line="360" w:lineRule="auto"/>
        <w:ind w:firstLine="720"/>
        <w:rPr>
          <w:sz w:val="26"/>
          <w:szCs w:val="26"/>
        </w:rPr>
      </w:pPr>
    </w:p>
    <w:bookmarkEnd w:id="232"/>
    <w:p w:rsidR="002D3E17" w:rsidRPr="00EE5722" w:rsidRDefault="002D3E17" w:rsidP="002D3E17">
      <w:pPr>
        <w:spacing w:line="360" w:lineRule="auto"/>
        <w:ind w:left="144" w:firstLine="720"/>
        <w:rPr>
          <w:sz w:val="26"/>
          <w:szCs w:val="26"/>
        </w:rPr>
      </w:pPr>
      <w:r>
        <w:rPr>
          <w:sz w:val="26"/>
          <w:szCs w:val="26"/>
        </w:rPr>
        <w:tab/>
        <w:t xml:space="preserve">DII stated that </w:t>
      </w:r>
      <w:r w:rsidRPr="00EE5722">
        <w:rPr>
          <w:sz w:val="26"/>
          <w:szCs w:val="26"/>
        </w:rPr>
        <w:t>C</w:t>
      </w:r>
      <w:r>
        <w:rPr>
          <w:sz w:val="26"/>
          <w:szCs w:val="26"/>
        </w:rPr>
        <w:t>onstellation</w:t>
      </w:r>
      <w:r w:rsidRPr="00EE5722">
        <w:rPr>
          <w:sz w:val="26"/>
          <w:szCs w:val="26"/>
        </w:rPr>
        <w:t xml:space="preserve">/RESA’s proposed NMB </w:t>
      </w:r>
      <w:r w:rsidR="00B13F12">
        <w:rPr>
          <w:sz w:val="26"/>
          <w:szCs w:val="26"/>
        </w:rPr>
        <w:t>t</w:t>
      </w:r>
      <w:r w:rsidRPr="00EE5722">
        <w:rPr>
          <w:sz w:val="26"/>
          <w:szCs w:val="26"/>
        </w:rPr>
        <w:t>ransmission collection would limit the competitive options available to Duquesne’s shopping customers in the currently unbundled</w:t>
      </w:r>
      <w:r>
        <w:rPr>
          <w:sz w:val="26"/>
          <w:szCs w:val="26"/>
        </w:rPr>
        <w:t xml:space="preserve"> retail electricity market.  DII alleged that Constellation</w:t>
      </w:r>
      <w:r w:rsidRPr="00EE5722">
        <w:rPr>
          <w:sz w:val="26"/>
          <w:szCs w:val="26"/>
        </w:rPr>
        <w:t xml:space="preserve">/RESA undertake the remarkable step of proposing to re-bundle transmission and distribution.  </w:t>
      </w:r>
      <w:r>
        <w:rPr>
          <w:sz w:val="26"/>
          <w:szCs w:val="26"/>
        </w:rPr>
        <w:t>According to DII, this</w:t>
      </w:r>
      <w:r w:rsidRPr="00EE5722">
        <w:rPr>
          <w:sz w:val="26"/>
          <w:szCs w:val="26"/>
        </w:rPr>
        <w:t xml:space="preserve"> proposed re-bundling of </w:t>
      </w:r>
      <w:r w:rsidRPr="00EE5722">
        <w:rPr>
          <w:sz w:val="26"/>
          <w:szCs w:val="26"/>
        </w:rPr>
        <w:lastRenderedPageBreak/>
        <w:t>distribution and transmission is contrary to the Competition Act, harmful to Large C&amp;I customers, and must be rejected.</w:t>
      </w:r>
    </w:p>
    <w:p w:rsidR="002D3E17" w:rsidRPr="00EE5722" w:rsidRDefault="002D3E17" w:rsidP="002D3E17">
      <w:pPr>
        <w:spacing w:line="360" w:lineRule="auto"/>
        <w:ind w:left="144" w:firstLine="720"/>
        <w:rPr>
          <w:sz w:val="26"/>
          <w:szCs w:val="26"/>
        </w:rPr>
      </w:pPr>
    </w:p>
    <w:p w:rsidR="002D3E17" w:rsidRPr="00EE5722" w:rsidRDefault="002D3E17" w:rsidP="00E2363B">
      <w:pPr>
        <w:spacing w:line="360" w:lineRule="auto"/>
        <w:ind w:firstLine="864"/>
        <w:rPr>
          <w:sz w:val="26"/>
          <w:szCs w:val="26"/>
        </w:rPr>
      </w:pPr>
      <w:r>
        <w:rPr>
          <w:sz w:val="26"/>
          <w:szCs w:val="26"/>
        </w:rPr>
        <w:tab/>
        <w:t xml:space="preserve">DII maintained that </w:t>
      </w:r>
      <w:r w:rsidRPr="00EE5722">
        <w:rPr>
          <w:sz w:val="26"/>
          <w:szCs w:val="26"/>
        </w:rPr>
        <w:t>C</w:t>
      </w:r>
      <w:r>
        <w:rPr>
          <w:sz w:val="26"/>
          <w:szCs w:val="26"/>
        </w:rPr>
        <w:t>onstellation</w:t>
      </w:r>
      <w:r w:rsidRPr="00EE5722">
        <w:rPr>
          <w:sz w:val="26"/>
          <w:szCs w:val="26"/>
        </w:rPr>
        <w:t xml:space="preserve">/RESA’s NMB </w:t>
      </w:r>
      <w:r w:rsidR="00B13F12">
        <w:rPr>
          <w:sz w:val="26"/>
          <w:szCs w:val="26"/>
        </w:rPr>
        <w:t>t</w:t>
      </w:r>
      <w:r w:rsidRPr="00EE5722">
        <w:rPr>
          <w:sz w:val="26"/>
          <w:szCs w:val="26"/>
        </w:rPr>
        <w:t>ransmission proposal raises fundamental transitional issues for numerous customers that have competitive supply contracts, which include a transmission</w:t>
      </w:r>
      <w:r>
        <w:rPr>
          <w:sz w:val="26"/>
          <w:szCs w:val="26"/>
        </w:rPr>
        <w:t xml:space="preserve"> component, extending beyond</w:t>
      </w:r>
      <w:r w:rsidRPr="00EE5722">
        <w:rPr>
          <w:sz w:val="26"/>
          <w:szCs w:val="26"/>
        </w:rPr>
        <w:t xml:space="preserve"> June 1, 2013, the effective date of </w:t>
      </w:r>
      <w:r>
        <w:rPr>
          <w:sz w:val="26"/>
          <w:szCs w:val="26"/>
        </w:rPr>
        <w:t>Duquesne’s proposed DSP.  DII opined that if Constellation</w:t>
      </w:r>
      <w:r w:rsidRPr="00EE5722">
        <w:rPr>
          <w:sz w:val="26"/>
          <w:szCs w:val="26"/>
        </w:rPr>
        <w:t xml:space="preserve">/RESA’s proposal were adopted, all such customers would be at risk of being overcharged for transmission-related services and </w:t>
      </w:r>
      <w:r w:rsidR="00B13F12">
        <w:rPr>
          <w:sz w:val="26"/>
          <w:szCs w:val="26"/>
        </w:rPr>
        <w:t xml:space="preserve">thus </w:t>
      </w:r>
      <w:r w:rsidRPr="00EE5722">
        <w:rPr>
          <w:sz w:val="26"/>
          <w:szCs w:val="26"/>
        </w:rPr>
        <w:t>would need to negotiate with their EGSs so that they would be charged NMB</w:t>
      </w:r>
      <w:r>
        <w:rPr>
          <w:sz w:val="26"/>
          <w:szCs w:val="26"/>
        </w:rPr>
        <w:t xml:space="preserve"> </w:t>
      </w:r>
      <w:r w:rsidR="00741B22">
        <w:rPr>
          <w:sz w:val="26"/>
          <w:szCs w:val="26"/>
        </w:rPr>
        <w:t>t</w:t>
      </w:r>
      <w:r>
        <w:rPr>
          <w:sz w:val="26"/>
          <w:szCs w:val="26"/>
        </w:rPr>
        <w:t>ransmission costs only once.</w:t>
      </w:r>
    </w:p>
    <w:p w:rsidR="002D3E17" w:rsidRPr="00EE5722" w:rsidRDefault="002D3E17" w:rsidP="00DE60BA">
      <w:pPr>
        <w:spacing w:line="360" w:lineRule="auto"/>
        <w:ind w:firstLine="720"/>
        <w:rPr>
          <w:sz w:val="26"/>
          <w:szCs w:val="26"/>
        </w:rPr>
      </w:pPr>
    </w:p>
    <w:p w:rsidR="002D3E17" w:rsidRPr="00EE5722" w:rsidRDefault="002D3E17" w:rsidP="002D3E17">
      <w:pPr>
        <w:adjustRightInd w:val="0"/>
        <w:spacing w:line="360" w:lineRule="auto"/>
        <w:ind w:firstLine="1440"/>
        <w:rPr>
          <w:sz w:val="26"/>
          <w:szCs w:val="26"/>
        </w:rPr>
      </w:pPr>
      <w:r w:rsidRPr="00B81854">
        <w:rPr>
          <w:sz w:val="26"/>
          <w:szCs w:val="26"/>
        </w:rPr>
        <w:t>Constellation i</w:t>
      </w:r>
      <w:r w:rsidRPr="00EE5722">
        <w:rPr>
          <w:sz w:val="26"/>
          <w:szCs w:val="26"/>
        </w:rPr>
        <w:t xml:space="preserve">nitially proposed </w:t>
      </w:r>
      <w:r>
        <w:rPr>
          <w:sz w:val="26"/>
          <w:szCs w:val="26"/>
        </w:rPr>
        <w:t xml:space="preserve">that Duquesne </w:t>
      </w:r>
      <w:r w:rsidRPr="00EE5722">
        <w:rPr>
          <w:sz w:val="26"/>
          <w:szCs w:val="26"/>
        </w:rPr>
        <w:t>revise it</w:t>
      </w:r>
      <w:r>
        <w:rPr>
          <w:sz w:val="26"/>
          <w:szCs w:val="26"/>
        </w:rPr>
        <w:t xml:space="preserve">s </w:t>
      </w:r>
      <w:r w:rsidRPr="00EE5722">
        <w:rPr>
          <w:sz w:val="26"/>
          <w:szCs w:val="26"/>
        </w:rPr>
        <w:t>TSC Rider to include certain new cha</w:t>
      </w:r>
      <w:r>
        <w:rPr>
          <w:sz w:val="26"/>
          <w:szCs w:val="26"/>
        </w:rPr>
        <w:t xml:space="preserve">rges, and that Duquesne </w:t>
      </w:r>
      <w:r w:rsidRPr="00EE5722">
        <w:rPr>
          <w:sz w:val="26"/>
          <w:szCs w:val="26"/>
        </w:rPr>
        <w:t>assume responsibility for all TSC Rider charges for all distribution customers</w:t>
      </w:r>
      <w:r>
        <w:rPr>
          <w:sz w:val="26"/>
          <w:szCs w:val="26"/>
        </w:rPr>
        <w:t xml:space="preserve"> on a non-bypassable basis</w:t>
      </w:r>
      <w:r w:rsidRPr="00EE5722">
        <w:rPr>
          <w:sz w:val="26"/>
          <w:szCs w:val="26"/>
        </w:rPr>
        <w:t>, from shopping and non-sh</w:t>
      </w:r>
      <w:r>
        <w:rPr>
          <w:sz w:val="26"/>
          <w:szCs w:val="26"/>
        </w:rPr>
        <w:t>opping customers alike</w:t>
      </w:r>
      <w:r w:rsidR="00905E63">
        <w:rPr>
          <w:sz w:val="26"/>
          <w:szCs w:val="26"/>
        </w:rPr>
        <w:t xml:space="preserve">.  While Constellation </w:t>
      </w:r>
      <w:r w:rsidRPr="00EE5722">
        <w:rPr>
          <w:sz w:val="26"/>
          <w:szCs w:val="26"/>
        </w:rPr>
        <w:t>continue</w:t>
      </w:r>
      <w:r w:rsidR="00905E63">
        <w:rPr>
          <w:sz w:val="26"/>
          <w:szCs w:val="26"/>
        </w:rPr>
        <w:t>s</w:t>
      </w:r>
      <w:r w:rsidRPr="00EE5722">
        <w:rPr>
          <w:sz w:val="26"/>
          <w:szCs w:val="26"/>
        </w:rPr>
        <w:t xml:space="preserve"> to support such changes for the reasons presente</w:t>
      </w:r>
      <w:r>
        <w:rPr>
          <w:sz w:val="26"/>
          <w:szCs w:val="26"/>
        </w:rPr>
        <w:t>d through</w:t>
      </w:r>
      <w:r w:rsidR="00905E63">
        <w:rPr>
          <w:sz w:val="26"/>
          <w:szCs w:val="26"/>
        </w:rPr>
        <w:t xml:space="preserve">out its </w:t>
      </w:r>
      <w:r>
        <w:rPr>
          <w:sz w:val="26"/>
          <w:szCs w:val="26"/>
        </w:rPr>
        <w:t>t</w:t>
      </w:r>
      <w:r w:rsidRPr="00EE5722">
        <w:rPr>
          <w:sz w:val="26"/>
          <w:szCs w:val="26"/>
        </w:rPr>
        <w:t>estimony, based on the Com</w:t>
      </w:r>
      <w:r w:rsidR="00905E63">
        <w:rPr>
          <w:sz w:val="26"/>
          <w:szCs w:val="26"/>
        </w:rPr>
        <w:t>mission’s recent</w:t>
      </w:r>
      <w:r w:rsidRPr="00EE5722">
        <w:rPr>
          <w:sz w:val="26"/>
          <w:szCs w:val="26"/>
        </w:rPr>
        <w:t xml:space="preserve"> </w:t>
      </w:r>
      <w:r w:rsidR="00905E63" w:rsidRPr="00905E63">
        <w:rPr>
          <w:i/>
          <w:sz w:val="26"/>
          <w:szCs w:val="26"/>
        </w:rPr>
        <w:t xml:space="preserve">FirstEnergy DSP </w:t>
      </w:r>
      <w:r w:rsidRPr="00905E63">
        <w:rPr>
          <w:i/>
          <w:sz w:val="26"/>
          <w:szCs w:val="26"/>
        </w:rPr>
        <w:t>O</w:t>
      </w:r>
      <w:r w:rsidRPr="00EE5722">
        <w:rPr>
          <w:i/>
          <w:sz w:val="26"/>
          <w:szCs w:val="26"/>
        </w:rPr>
        <w:t>rder</w:t>
      </w:r>
      <w:r w:rsidRPr="00EE5722">
        <w:rPr>
          <w:sz w:val="26"/>
          <w:szCs w:val="26"/>
        </w:rPr>
        <w:t xml:space="preserve"> </w:t>
      </w:r>
      <w:r w:rsidR="00905E63">
        <w:rPr>
          <w:sz w:val="26"/>
          <w:szCs w:val="26"/>
        </w:rPr>
        <w:t xml:space="preserve">of August 16, 2012, </w:t>
      </w:r>
      <w:r w:rsidRPr="00EE5722">
        <w:rPr>
          <w:sz w:val="26"/>
          <w:szCs w:val="26"/>
        </w:rPr>
        <w:t xml:space="preserve">and </w:t>
      </w:r>
      <w:r w:rsidR="00905E63">
        <w:rPr>
          <w:sz w:val="26"/>
          <w:szCs w:val="26"/>
        </w:rPr>
        <w:t xml:space="preserve">the September 27, 2012 </w:t>
      </w:r>
      <w:r w:rsidR="00905E63" w:rsidRPr="00DE60BA">
        <w:rPr>
          <w:sz w:val="26"/>
          <w:szCs w:val="26"/>
        </w:rPr>
        <w:t>Order on Reconsideration</w:t>
      </w:r>
      <w:r w:rsidR="00905E63">
        <w:rPr>
          <w:sz w:val="26"/>
          <w:szCs w:val="26"/>
        </w:rPr>
        <w:t xml:space="preserve"> in that proceeding, Constellation </w:t>
      </w:r>
      <w:r w:rsidRPr="00EE5722">
        <w:rPr>
          <w:sz w:val="26"/>
          <w:szCs w:val="26"/>
        </w:rPr>
        <w:t>will not pursue any such changes to the TSC Rider at this time.</w:t>
      </w:r>
    </w:p>
    <w:p w:rsidR="002D3E17" w:rsidRPr="00EE5722" w:rsidRDefault="002D3E17" w:rsidP="002D3E17">
      <w:pPr>
        <w:pStyle w:val="BodyText"/>
        <w:spacing w:after="0" w:line="360" w:lineRule="auto"/>
        <w:ind w:left="0" w:firstLine="0"/>
        <w:rPr>
          <w:sz w:val="26"/>
          <w:szCs w:val="26"/>
        </w:rPr>
      </w:pPr>
    </w:p>
    <w:p w:rsidR="002D3E17" w:rsidRDefault="002D3E17" w:rsidP="00DE60BA">
      <w:pPr>
        <w:pStyle w:val="BodyText2"/>
        <w:spacing w:after="0" w:line="360" w:lineRule="auto"/>
        <w:ind w:firstLine="1440"/>
        <w:rPr>
          <w:sz w:val="26"/>
          <w:szCs w:val="26"/>
        </w:rPr>
      </w:pPr>
      <w:r>
        <w:rPr>
          <w:sz w:val="26"/>
          <w:szCs w:val="26"/>
        </w:rPr>
        <w:t xml:space="preserve">The </w:t>
      </w:r>
      <w:r w:rsidRPr="00EE5722">
        <w:rPr>
          <w:sz w:val="26"/>
          <w:szCs w:val="26"/>
        </w:rPr>
        <w:t>OCA</w:t>
      </w:r>
      <w:r>
        <w:rPr>
          <w:sz w:val="26"/>
          <w:szCs w:val="26"/>
        </w:rPr>
        <w:t>, CAUSE,</w:t>
      </w:r>
      <w:r w:rsidRPr="00EE5722">
        <w:rPr>
          <w:sz w:val="26"/>
          <w:szCs w:val="26"/>
        </w:rPr>
        <w:t xml:space="preserve"> </w:t>
      </w:r>
      <w:r>
        <w:rPr>
          <w:sz w:val="26"/>
          <w:szCs w:val="26"/>
        </w:rPr>
        <w:t>Citizen Power, Dominion and FES took</w:t>
      </w:r>
      <w:r w:rsidRPr="00EE5722">
        <w:rPr>
          <w:sz w:val="26"/>
          <w:szCs w:val="26"/>
        </w:rPr>
        <w:t xml:space="preserve"> no position on this issue.</w:t>
      </w:r>
    </w:p>
    <w:p w:rsidR="002D3E17" w:rsidRPr="003D7392" w:rsidRDefault="002D3E17" w:rsidP="00DE60BA">
      <w:pPr>
        <w:pStyle w:val="BodyText2"/>
        <w:spacing w:after="0" w:line="360" w:lineRule="auto"/>
        <w:ind w:firstLine="1440"/>
        <w:rPr>
          <w:sz w:val="26"/>
          <w:szCs w:val="26"/>
        </w:rPr>
      </w:pPr>
    </w:p>
    <w:p w:rsidR="002D3E17" w:rsidRPr="00EE5722" w:rsidRDefault="002D3E17" w:rsidP="0053114A">
      <w:pPr>
        <w:pStyle w:val="Heading4"/>
        <w:numPr>
          <w:ilvl w:val="0"/>
          <w:numId w:val="0"/>
        </w:numPr>
        <w:ind w:left="2880" w:hanging="720"/>
      </w:pPr>
      <w:bookmarkStart w:id="233" w:name="_Toc346705473"/>
      <w:r>
        <w:t>c.</w:t>
      </w:r>
      <w:r>
        <w:tab/>
        <w:t>ALJ’s Recommendation</w:t>
      </w:r>
      <w:bookmarkEnd w:id="233"/>
      <w:r w:rsidR="00DE60BA">
        <w:t xml:space="preserve"> </w:t>
      </w:r>
    </w:p>
    <w:p w:rsidR="002D3E17" w:rsidRPr="00EE5722" w:rsidRDefault="002D3E17" w:rsidP="002D3E17">
      <w:pPr>
        <w:pStyle w:val="BodyText"/>
        <w:spacing w:after="0" w:line="360" w:lineRule="auto"/>
        <w:ind w:left="0" w:firstLine="0"/>
        <w:rPr>
          <w:sz w:val="26"/>
          <w:szCs w:val="26"/>
        </w:rPr>
      </w:pPr>
    </w:p>
    <w:p w:rsidR="002D3E17" w:rsidRDefault="002D3E17" w:rsidP="00DE60BA">
      <w:pPr>
        <w:pStyle w:val="ListParagraph"/>
        <w:autoSpaceDE/>
        <w:autoSpaceDN/>
        <w:spacing w:line="360" w:lineRule="auto"/>
        <w:ind w:left="0"/>
        <w:rPr>
          <w:color w:val="000000" w:themeColor="text1"/>
          <w:sz w:val="26"/>
          <w:szCs w:val="26"/>
        </w:rPr>
      </w:pPr>
      <w:r w:rsidRPr="00EE5722">
        <w:rPr>
          <w:sz w:val="26"/>
          <w:szCs w:val="26"/>
        </w:rPr>
        <w:tab/>
      </w:r>
      <w:r>
        <w:rPr>
          <w:color w:val="000000" w:themeColor="text1"/>
          <w:sz w:val="26"/>
          <w:szCs w:val="26"/>
        </w:rPr>
        <w:tab/>
        <w:t>The ALJ</w:t>
      </w:r>
      <w:r w:rsidRPr="00EE5722">
        <w:rPr>
          <w:color w:val="000000" w:themeColor="text1"/>
          <w:sz w:val="26"/>
          <w:szCs w:val="26"/>
        </w:rPr>
        <w:t xml:space="preserve"> recommend</w:t>
      </w:r>
      <w:r w:rsidR="00905E63">
        <w:rPr>
          <w:color w:val="000000" w:themeColor="text1"/>
          <w:sz w:val="26"/>
          <w:szCs w:val="26"/>
        </w:rPr>
        <w:t>ed approval of</w:t>
      </w:r>
      <w:r w:rsidRPr="00EE5722">
        <w:rPr>
          <w:color w:val="000000" w:themeColor="text1"/>
          <w:sz w:val="26"/>
          <w:szCs w:val="26"/>
        </w:rPr>
        <w:t xml:space="preserve"> the Company’s proposal that EGSs should continue to recover transmission and transmission-related costs</w:t>
      </w:r>
      <w:r w:rsidR="009056D4">
        <w:rPr>
          <w:color w:val="000000" w:themeColor="text1"/>
          <w:sz w:val="26"/>
          <w:szCs w:val="26"/>
        </w:rPr>
        <w:t xml:space="preserve"> from their customers</w:t>
      </w:r>
      <w:r w:rsidRPr="00EE5722">
        <w:rPr>
          <w:color w:val="000000" w:themeColor="text1"/>
          <w:sz w:val="26"/>
          <w:szCs w:val="26"/>
        </w:rPr>
        <w:t xml:space="preserve">.  </w:t>
      </w:r>
      <w:r>
        <w:rPr>
          <w:color w:val="000000" w:themeColor="text1"/>
          <w:sz w:val="26"/>
          <w:szCs w:val="26"/>
        </w:rPr>
        <w:t>The ALJ found that t</w:t>
      </w:r>
      <w:r w:rsidRPr="00EE5722">
        <w:rPr>
          <w:color w:val="000000" w:themeColor="text1"/>
          <w:sz w:val="26"/>
          <w:szCs w:val="26"/>
        </w:rPr>
        <w:t xml:space="preserve">he Commission and the Competition Act consistently and clearly intend for generation and transmission charges to be borne by the EGS if the </w:t>
      </w:r>
      <w:r w:rsidRPr="00EE5722">
        <w:rPr>
          <w:color w:val="000000" w:themeColor="text1"/>
          <w:sz w:val="26"/>
          <w:szCs w:val="26"/>
        </w:rPr>
        <w:lastRenderedPageBreak/>
        <w:t xml:space="preserve">EGS supplies that service or product.  </w:t>
      </w:r>
      <w:r>
        <w:rPr>
          <w:color w:val="000000" w:themeColor="text1"/>
          <w:sz w:val="26"/>
          <w:szCs w:val="26"/>
        </w:rPr>
        <w:t xml:space="preserve">The ALJ concluded that </w:t>
      </w:r>
      <w:r w:rsidRPr="00EE5722">
        <w:rPr>
          <w:color w:val="000000" w:themeColor="text1"/>
          <w:sz w:val="26"/>
          <w:szCs w:val="26"/>
        </w:rPr>
        <w:t>RESA’s proposal is contrary to the Competition Act and, as stated by DII, is a step backwards in attaining the goal of improving competition within Pennsylvania.</w:t>
      </w:r>
      <w:r>
        <w:rPr>
          <w:color w:val="000000" w:themeColor="text1"/>
          <w:sz w:val="26"/>
          <w:szCs w:val="26"/>
        </w:rPr>
        <w:t xml:space="preserve"> </w:t>
      </w:r>
      <w:r w:rsidR="00DE60BA">
        <w:rPr>
          <w:color w:val="000000" w:themeColor="text1"/>
          <w:sz w:val="26"/>
          <w:szCs w:val="26"/>
        </w:rPr>
        <w:t xml:space="preserve"> R.D. at 196.</w:t>
      </w:r>
    </w:p>
    <w:p w:rsidR="002D3E17" w:rsidRDefault="002D3E17" w:rsidP="0053114A">
      <w:pPr>
        <w:pStyle w:val="Heading4"/>
        <w:numPr>
          <w:ilvl w:val="0"/>
          <w:numId w:val="0"/>
        </w:numPr>
        <w:ind w:left="2880" w:hanging="720"/>
      </w:pPr>
      <w:bookmarkStart w:id="234" w:name="_Toc346705474"/>
      <w:r>
        <w:t>d.</w:t>
      </w:r>
      <w:r>
        <w:tab/>
        <w:t>Exceptions</w:t>
      </w:r>
      <w:bookmarkEnd w:id="234"/>
    </w:p>
    <w:p w:rsidR="002D3E17" w:rsidRPr="00EE5722" w:rsidRDefault="002D3E17" w:rsidP="00DE60BA">
      <w:pPr>
        <w:pStyle w:val="BriefL3"/>
        <w:numPr>
          <w:ilvl w:val="0"/>
          <w:numId w:val="0"/>
        </w:numPr>
        <w:spacing w:after="0" w:line="360" w:lineRule="auto"/>
        <w:ind w:firstLine="720"/>
        <w:rPr>
          <w:b/>
          <w:sz w:val="26"/>
          <w:szCs w:val="26"/>
        </w:rPr>
      </w:pPr>
    </w:p>
    <w:p w:rsidR="002D3E17" w:rsidRPr="000540CB" w:rsidRDefault="002D3E17" w:rsidP="00DE60BA">
      <w:pPr>
        <w:spacing w:line="360" w:lineRule="auto"/>
        <w:ind w:firstLine="1440"/>
        <w:rPr>
          <w:sz w:val="26"/>
          <w:szCs w:val="26"/>
        </w:rPr>
      </w:pPr>
      <w:r>
        <w:rPr>
          <w:sz w:val="26"/>
          <w:szCs w:val="26"/>
        </w:rPr>
        <w:t xml:space="preserve">In its Exceptions, </w:t>
      </w:r>
      <w:r w:rsidRPr="000540CB">
        <w:rPr>
          <w:sz w:val="26"/>
          <w:szCs w:val="26"/>
        </w:rPr>
        <w:t xml:space="preserve">RESA argues that the ALJ erred in rejecting its proposal related to the recovery of PJM transmission, generation activation and economic load response charges.  RESA acknowledges that the Commission rejected its position in the </w:t>
      </w:r>
      <w:r>
        <w:rPr>
          <w:i/>
          <w:sz w:val="26"/>
          <w:szCs w:val="26"/>
        </w:rPr>
        <w:t>FirstEnergy</w:t>
      </w:r>
      <w:r w:rsidR="00E43685">
        <w:rPr>
          <w:i/>
          <w:sz w:val="26"/>
          <w:szCs w:val="26"/>
        </w:rPr>
        <w:t xml:space="preserve"> DSP Order</w:t>
      </w:r>
      <w:r w:rsidRPr="000540CB">
        <w:rPr>
          <w:sz w:val="26"/>
          <w:szCs w:val="26"/>
        </w:rPr>
        <w:t xml:space="preserve"> and </w:t>
      </w:r>
      <w:r w:rsidRPr="000540CB">
        <w:rPr>
          <w:i/>
          <w:sz w:val="26"/>
          <w:szCs w:val="26"/>
        </w:rPr>
        <w:t>PECO</w:t>
      </w:r>
      <w:r w:rsidR="00E43685">
        <w:rPr>
          <w:i/>
          <w:sz w:val="26"/>
          <w:szCs w:val="26"/>
        </w:rPr>
        <w:t xml:space="preserve"> DSP Order</w:t>
      </w:r>
      <w:r w:rsidRPr="000540CB">
        <w:rPr>
          <w:sz w:val="26"/>
          <w:szCs w:val="26"/>
        </w:rPr>
        <w:t>.</w:t>
      </w:r>
      <w:r>
        <w:rPr>
          <w:sz w:val="26"/>
          <w:szCs w:val="26"/>
        </w:rPr>
        <w:t xml:space="preserve"> </w:t>
      </w:r>
      <w:r w:rsidRPr="000540CB">
        <w:rPr>
          <w:sz w:val="26"/>
          <w:szCs w:val="26"/>
        </w:rPr>
        <w:t xml:space="preserve"> However, RESA continues to believe that its position is correct and asks that the Commission adopt it.</w:t>
      </w:r>
      <w:r>
        <w:rPr>
          <w:sz w:val="26"/>
          <w:szCs w:val="26"/>
        </w:rPr>
        <w:t xml:space="preserve">  </w:t>
      </w:r>
      <w:r>
        <w:rPr>
          <w:bCs/>
          <w:sz w:val="26"/>
          <w:szCs w:val="26"/>
        </w:rPr>
        <w:t>RESA argues that “transmission service charges” such as</w:t>
      </w:r>
      <w:r w:rsidRPr="000540CB">
        <w:rPr>
          <w:bCs/>
          <w:sz w:val="26"/>
          <w:szCs w:val="26"/>
        </w:rPr>
        <w:t xml:space="preserve"> NI</w:t>
      </w:r>
      <w:r>
        <w:rPr>
          <w:bCs/>
          <w:sz w:val="26"/>
          <w:szCs w:val="26"/>
        </w:rPr>
        <w:t xml:space="preserve">TS, RTEP, and Expansion costs </w:t>
      </w:r>
      <w:r w:rsidR="00E43685">
        <w:rPr>
          <w:bCs/>
          <w:sz w:val="26"/>
          <w:szCs w:val="26"/>
        </w:rPr>
        <w:t xml:space="preserve">are </w:t>
      </w:r>
      <w:r w:rsidRPr="000540CB">
        <w:rPr>
          <w:bCs/>
          <w:sz w:val="26"/>
          <w:szCs w:val="26"/>
        </w:rPr>
        <w:t>imposed based on an EDC’s total native load, regardless of the source of the generation used to service that load.  RESA argues that D</w:t>
      </w:r>
      <w:r w:rsidRPr="000540CB">
        <w:rPr>
          <w:sz w:val="26"/>
          <w:szCs w:val="26"/>
        </w:rPr>
        <w:t>uquesne’s reco</w:t>
      </w:r>
      <w:r w:rsidR="00E43685">
        <w:rPr>
          <w:sz w:val="26"/>
          <w:szCs w:val="26"/>
        </w:rPr>
        <w:t xml:space="preserve">very of these costs </w:t>
      </w:r>
      <w:r w:rsidRPr="000540CB">
        <w:rPr>
          <w:sz w:val="26"/>
          <w:szCs w:val="26"/>
        </w:rPr>
        <w:t>for default service customers creates a competitiv</w:t>
      </w:r>
      <w:r w:rsidR="00E43685">
        <w:rPr>
          <w:sz w:val="26"/>
          <w:szCs w:val="26"/>
        </w:rPr>
        <w:t xml:space="preserve">e advantage over EGS-provided service.  </w:t>
      </w:r>
      <w:r>
        <w:rPr>
          <w:sz w:val="26"/>
          <w:szCs w:val="26"/>
        </w:rPr>
        <w:t xml:space="preserve">RESA </w:t>
      </w:r>
      <w:r w:rsidR="00E43685">
        <w:rPr>
          <w:sz w:val="26"/>
          <w:szCs w:val="26"/>
        </w:rPr>
        <w:t>further state</w:t>
      </w:r>
      <w:r>
        <w:rPr>
          <w:sz w:val="26"/>
          <w:szCs w:val="26"/>
        </w:rPr>
        <w:t>s that g</w:t>
      </w:r>
      <w:r w:rsidRPr="000540CB">
        <w:rPr>
          <w:sz w:val="26"/>
          <w:szCs w:val="26"/>
        </w:rPr>
        <w:t xml:space="preserve">eneration deactivation charges are assessed by PJM on certain entities to provide funding to generation owners.  </w:t>
      </w:r>
      <w:r w:rsidR="00E43685">
        <w:rPr>
          <w:sz w:val="26"/>
          <w:szCs w:val="26"/>
        </w:rPr>
        <w:t>RESA state</w:t>
      </w:r>
      <w:r>
        <w:rPr>
          <w:sz w:val="26"/>
          <w:szCs w:val="26"/>
        </w:rPr>
        <w:t>s that N</w:t>
      </w:r>
      <w:r w:rsidR="00E43685">
        <w:rPr>
          <w:sz w:val="26"/>
          <w:szCs w:val="26"/>
        </w:rPr>
        <w:t>ew ELR charges allocate</w:t>
      </w:r>
      <w:r w:rsidRPr="000540CB">
        <w:rPr>
          <w:sz w:val="26"/>
          <w:szCs w:val="26"/>
        </w:rPr>
        <w:t xml:space="preserve"> costs to those that benefit from demand reduction.  </w:t>
      </w:r>
      <w:r>
        <w:rPr>
          <w:sz w:val="26"/>
          <w:szCs w:val="26"/>
        </w:rPr>
        <w:t>RESA explains that</w:t>
      </w:r>
      <w:r w:rsidR="00E43685">
        <w:rPr>
          <w:sz w:val="26"/>
          <w:szCs w:val="26"/>
        </w:rPr>
        <w:t>,</w:t>
      </w:r>
      <w:r>
        <w:rPr>
          <w:sz w:val="26"/>
          <w:szCs w:val="26"/>
        </w:rPr>
        <w:t xml:space="preserve"> b</w:t>
      </w:r>
      <w:r w:rsidRPr="000540CB">
        <w:rPr>
          <w:sz w:val="26"/>
          <w:szCs w:val="26"/>
        </w:rPr>
        <w:t>ecause Duquesne requires wholesale default service suppliers to factor these unpredictable and difficult-to-</w:t>
      </w:r>
      <w:r w:rsidR="00E43685">
        <w:rPr>
          <w:sz w:val="26"/>
          <w:szCs w:val="26"/>
        </w:rPr>
        <w:t>quantify costs into their bids</w:t>
      </w:r>
      <w:r w:rsidRPr="000540CB">
        <w:rPr>
          <w:sz w:val="26"/>
          <w:szCs w:val="26"/>
        </w:rPr>
        <w:t xml:space="preserve">, the </w:t>
      </w:r>
      <w:r w:rsidR="00E43685">
        <w:rPr>
          <w:sz w:val="26"/>
          <w:szCs w:val="26"/>
        </w:rPr>
        <w:t xml:space="preserve">end result is that the </w:t>
      </w:r>
      <w:r w:rsidRPr="000540CB">
        <w:rPr>
          <w:sz w:val="26"/>
          <w:szCs w:val="26"/>
        </w:rPr>
        <w:t xml:space="preserve">default service rate is driven higher to account for this risk. </w:t>
      </w:r>
      <w:r>
        <w:rPr>
          <w:sz w:val="26"/>
          <w:szCs w:val="26"/>
        </w:rPr>
        <w:t xml:space="preserve"> RESA opines that d</w:t>
      </w:r>
      <w:r w:rsidRPr="000540CB">
        <w:rPr>
          <w:sz w:val="26"/>
          <w:szCs w:val="26"/>
        </w:rPr>
        <w:t>irecting Duquesne to take responsibility for Transmission Charges, Generation Deactivation, and New ELRP Charges is consistent with the C</w:t>
      </w:r>
      <w:r>
        <w:rPr>
          <w:sz w:val="26"/>
          <w:szCs w:val="26"/>
        </w:rPr>
        <w:t>ompetition Act</w:t>
      </w:r>
      <w:r w:rsidRPr="000540CB">
        <w:rPr>
          <w:sz w:val="26"/>
          <w:szCs w:val="26"/>
        </w:rPr>
        <w:t>.</w:t>
      </w:r>
      <w:r w:rsidR="00DE60BA">
        <w:rPr>
          <w:sz w:val="26"/>
          <w:szCs w:val="26"/>
        </w:rPr>
        <w:t xml:space="preserve">  RESA Exc. at 39-40.  </w:t>
      </w:r>
      <w:r>
        <w:rPr>
          <w:sz w:val="26"/>
          <w:szCs w:val="26"/>
        </w:rPr>
        <w:t xml:space="preserve">  </w:t>
      </w:r>
      <w:r w:rsidRPr="000540CB">
        <w:rPr>
          <w:sz w:val="26"/>
          <w:szCs w:val="26"/>
        </w:rPr>
        <w:tab/>
      </w:r>
    </w:p>
    <w:p w:rsidR="002D3E17" w:rsidRPr="00EE5722" w:rsidRDefault="002D3E17" w:rsidP="00DE60BA">
      <w:pPr>
        <w:pStyle w:val="BodyText"/>
        <w:spacing w:after="0" w:line="360" w:lineRule="auto"/>
        <w:ind w:left="0" w:firstLine="0"/>
        <w:rPr>
          <w:sz w:val="26"/>
          <w:szCs w:val="26"/>
        </w:rPr>
      </w:pPr>
      <w:r w:rsidRPr="00EE5722">
        <w:rPr>
          <w:sz w:val="26"/>
          <w:szCs w:val="26"/>
        </w:rPr>
        <w:tab/>
      </w:r>
    </w:p>
    <w:p w:rsidR="002D3E17" w:rsidRDefault="002D3E17" w:rsidP="0053114A">
      <w:pPr>
        <w:pStyle w:val="Heading4"/>
        <w:numPr>
          <w:ilvl w:val="0"/>
          <w:numId w:val="0"/>
        </w:numPr>
        <w:ind w:left="2880" w:hanging="720"/>
      </w:pPr>
      <w:bookmarkStart w:id="235" w:name="_Toc346705475"/>
      <w:r>
        <w:t>e.</w:t>
      </w:r>
      <w:r>
        <w:tab/>
        <w:t>Reply Exceptions</w:t>
      </w:r>
      <w:bookmarkEnd w:id="235"/>
    </w:p>
    <w:p w:rsidR="002D3E17" w:rsidRPr="00EE5722" w:rsidRDefault="002D3E17" w:rsidP="00F36667">
      <w:pPr>
        <w:pStyle w:val="BriefL3"/>
        <w:numPr>
          <w:ilvl w:val="0"/>
          <w:numId w:val="0"/>
        </w:numPr>
        <w:spacing w:after="0" w:line="360" w:lineRule="auto"/>
        <w:ind w:firstLine="720"/>
        <w:rPr>
          <w:b/>
          <w:sz w:val="26"/>
          <w:szCs w:val="26"/>
        </w:rPr>
      </w:pPr>
    </w:p>
    <w:p w:rsidR="002D3E17" w:rsidRDefault="002D3E17" w:rsidP="002D3E17">
      <w:pPr>
        <w:spacing w:line="360" w:lineRule="auto"/>
        <w:ind w:firstLine="1440"/>
        <w:rPr>
          <w:sz w:val="26"/>
          <w:szCs w:val="26"/>
        </w:rPr>
      </w:pPr>
      <w:r>
        <w:rPr>
          <w:sz w:val="26"/>
          <w:szCs w:val="26"/>
        </w:rPr>
        <w:t xml:space="preserve">In its Reply Exceptions, Duquesne states that, contrary to RESA’s assertions, the ALJ’s recommendation to deny RESA’s proposal to recover PJM-related charges from all customers, including default service customers, through a non-bypassable charge was not in error.  Duquesne argues that the ALJ’s recommendation is </w:t>
      </w:r>
      <w:r>
        <w:rPr>
          <w:sz w:val="26"/>
          <w:szCs w:val="26"/>
        </w:rPr>
        <w:lastRenderedPageBreak/>
        <w:t xml:space="preserve">consistent with the Commission’s decisions in both the FirstEnergy and PECO DSP proceedings.  </w:t>
      </w:r>
      <w:r w:rsidRPr="00E14091">
        <w:rPr>
          <w:i/>
          <w:sz w:val="26"/>
          <w:szCs w:val="26"/>
        </w:rPr>
        <w:t>F</w:t>
      </w:r>
      <w:r>
        <w:rPr>
          <w:i/>
          <w:sz w:val="26"/>
          <w:szCs w:val="26"/>
        </w:rPr>
        <w:t>irst</w:t>
      </w:r>
      <w:r w:rsidRPr="00E14091">
        <w:rPr>
          <w:i/>
          <w:sz w:val="26"/>
          <w:szCs w:val="26"/>
        </w:rPr>
        <w:t>E</w:t>
      </w:r>
      <w:r>
        <w:rPr>
          <w:i/>
          <w:sz w:val="26"/>
          <w:szCs w:val="26"/>
        </w:rPr>
        <w:t>nergy</w:t>
      </w:r>
      <w:r w:rsidRPr="00E14091">
        <w:rPr>
          <w:i/>
          <w:sz w:val="26"/>
          <w:szCs w:val="26"/>
        </w:rPr>
        <w:t xml:space="preserve"> </w:t>
      </w:r>
      <w:r w:rsidR="00E43685">
        <w:rPr>
          <w:i/>
          <w:sz w:val="26"/>
          <w:szCs w:val="26"/>
        </w:rPr>
        <w:t xml:space="preserve">DSP </w:t>
      </w:r>
      <w:r w:rsidRPr="00E14091">
        <w:rPr>
          <w:i/>
          <w:sz w:val="26"/>
          <w:szCs w:val="26"/>
        </w:rPr>
        <w:t>Order</w:t>
      </w:r>
      <w:r>
        <w:rPr>
          <w:sz w:val="26"/>
          <w:szCs w:val="26"/>
        </w:rPr>
        <w:t xml:space="preserve"> at 62-63, 107; </w:t>
      </w:r>
      <w:r w:rsidRPr="00E14091">
        <w:rPr>
          <w:i/>
          <w:sz w:val="26"/>
          <w:szCs w:val="26"/>
        </w:rPr>
        <w:t xml:space="preserve">PECO </w:t>
      </w:r>
      <w:r w:rsidR="00E43685">
        <w:rPr>
          <w:i/>
          <w:sz w:val="26"/>
          <w:szCs w:val="26"/>
        </w:rPr>
        <w:t xml:space="preserve">DSP </w:t>
      </w:r>
      <w:r w:rsidRPr="00E14091">
        <w:rPr>
          <w:i/>
          <w:sz w:val="26"/>
          <w:szCs w:val="26"/>
        </w:rPr>
        <w:t>Order</w:t>
      </w:r>
      <w:r>
        <w:rPr>
          <w:sz w:val="26"/>
          <w:szCs w:val="26"/>
        </w:rPr>
        <w:t xml:space="preserve"> at 76.  Duquesne states that RESA has offered no basis to distinguish Duquesne from FirstEnergy and PECO on this issue. </w:t>
      </w:r>
      <w:r w:rsidR="00F36667">
        <w:rPr>
          <w:sz w:val="26"/>
          <w:szCs w:val="26"/>
        </w:rPr>
        <w:t xml:space="preserve"> Duquesne R.Exc. at 22-23.  </w:t>
      </w:r>
      <w:r>
        <w:rPr>
          <w:sz w:val="26"/>
          <w:szCs w:val="26"/>
        </w:rPr>
        <w:t xml:space="preserve"> </w:t>
      </w:r>
    </w:p>
    <w:p w:rsidR="002D3E17" w:rsidRDefault="002D3E17" w:rsidP="002D3E17">
      <w:pPr>
        <w:spacing w:line="360" w:lineRule="auto"/>
        <w:ind w:firstLine="1440"/>
        <w:rPr>
          <w:sz w:val="26"/>
          <w:szCs w:val="26"/>
        </w:rPr>
      </w:pPr>
    </w:p>
    <w:p w:rsidR="002D3E17" w:rsidRPr="00E43685" w:rsidRDefault="002D3E17" w:rsidP="00E43685">
      <w:pPr>
        <w:spacing w:line="360" w:lineRule="auto"/>
        <w:ind w:firstLine="1440"/>
        <w:rPr>
          <w:sz w:val="26"/>
          <w:szCs w:val="26"/>
        </w:rPr>
      </w:pPr>
      <w:r>
        <w:rPr>
          <w:sz w:val="26"/>
          <w:szCs w:val="26"/>
        </w:rPr>
        <w:t xml:space="preserve">In </w:t>
      </w:r>
      <w:r w:rsidR="00E43685">
        <w:rPr>
          <w:sz w:val="26"/>
          <w:szCs w:val="26"/>
        </w:rPr>
        <w:t xml:space="preserve">its </w:t>
      </w:r>
      <w:r w:rsidRPr="00BE41AE">
        <w:rPr>
          <w:sz w:val="26"/>
          <w:szCs w:val="26"/>
        </w:rPr>
        <w:t>Reply</w:t>
      </w:r>
      <w:r w:rsidR="00E43685">
        <w:rPr>
          <w:sz w:val="26"/>
          <w:szCs w:val="26"/>
        </w:rPr>
        <w:t xml:space="preserve"> Exceptions</w:t>
      </w:r>
      <w:r w:rsidRPr="00BE41AE">
        <w:rPr>
          <w:sz w:val="26"/>
          <w:szCs w:val="26"/>
        </w:rPr>
        <w:t>, DII argues that the ALJ was correct in rejecting RESA’s proposed non-bypassable surchar</w:t>
      </w:r>
      <w:r w:rsidR="008B176D">
        <w:rPr>
          <w:sz w:val="26"/>
          <w:szCs w:val="26"/>
        </w:rPr>
        <w:t xml:space="preserve">ge to collect </w:t>
      </w:r>
      <w:r w:rsidRPr="00BE41AE">
        <w:rPr>
          <w:sz w:val="26"/>
          <w:szCs w:val="26"/>
        </w:rPr>
        <w:t>NMB transmission costs from all Duques</w:t>
      </w:r>
      <w:r>
        <w:rPr>
          <w:sz w:val="26"/>
          <w:szCs w:val="26"/>
        </w:rPr>
        <w:t>ne customers.  DII submits that</w:t>
      </w:r>
      <w:r w:rsidRPr="00BE41AE">
        <w:rPr>
          <w:sz w:val="26"/>
          <w:szCs w:val="26"/>
        </w:rPr>
        <w:t>, under Duquesne's current DSP, EGSs are responsible for collecting NMB transmission costs</w:t>
      </w:r>
      <w:r w:rsidRPr="00BE41AE">
        <w:rPr>
          <w:rStyle w:val="FootnoteReference"/>
          <w:sz w:val="26"/>
          <w:szCs w:val="26"/>
        </w:rPr>
        <w:footnoteReference w:id="130"/>
      </w:r>
      <w:r w:rsidRPr="00BE41AE">
        <w:rPr>
          <w:sz w:val="26"/>
          <w:szCs w:val="26"/>
        </w:rPr>
        <w:t xml:space="preserve"> from shopping customers, while Duquesne is tasked with collecting NMB transmission costs from default service customers.  DII</w:t>
      </w:r>
      <w:r>
        <w:rPr>
          <w:sz w:val="26"/>
          <w:szCs w:val="26"/>
        </w:rPr>
        <w:t xml:space="preserve"> explains that</w:t>
      </w:r>
      <w:r w:rsidRPr="00BE41AE">
        <w:rPr>
          <w:sz w:val="26"/>
          <w:szCs w:val="26"/>
        </w:rPr>
        <w:t xml:space="preserve"> there is no evidence that transmission costs are increased or distorted as a result of EGSs' collection of NMB transmission costs.  In fact, </w:t>
      </w:r>
      <w:r>
        <w:rPr>
          <w:sz w:val="26"/>
          <w:szCs w:val="26"/>
        </w:rPr>
        <w:t xml:space="preserve">DII asserts that the competitive market </w:t>
      </w:r>
      <w:r w:rsidRPr="00BE41AE">
        <w:rPr>
          <w:sz w:val="26"/>
          <w:szCs w:val="26"/>
        </w:rPr>
        <w:t>already offers pass-through transmission p</w:t>
      </w:r>
      <w:r w:rsidR="00490624">
        <w:rPr>
          <w:sz w:val="26"/>
          <w:szCs w:val="26"/>
        </w:rPr>
        <w:t>roducts</w:t>
      </w:r>
      <w:r w:rsidRPr="00BE41AE">
        <w:rPr>
          <w:sz w:val="26"/>
          <w:szCs w:val="26"/>
        </w:rPr>
        <w:t>, the existence of which refute</w:t>
      </w:r>
      <w:r w:rsidR="00490624">
        <w:rPr>
          <w:sz w:val="26"/>
          <w:szCs w:val="26"/>
        </w:rPr>
        <w:t>s</w:t>
      </w:r>
      <w:r w:rsidRPr="00BE41AE">
        <w:rPr>
          <w:sz w:val="26"/>
          <w:szCs w:val="26"/>
        </w:rPr>
        <w:t xml:space="preserve"> the concerns raised by RESA. </w:t>
      </w:r>
      <w:r w:rsidR="009056D4">
        <w:rPr>
          <w:sz w:val="26"/>
          <w:szCs w:val="26"/>
        </w:rPr>
        <w:t xml:space="preserve"> </w:t>
      </w:r>
      <w:r w:rsidRPr="00BE41AE">
        <w:rPr>
          <w:sz w:val="26"/>
          <w:szCs w:val="26"/>
        </w:rPr>
        <w:t xml:space="preserve">Moreover, </w:t>
      </w:r>
      <w:r>
        <w:rPr>
          <w:sz w:val="26"/>
          <w:szCs w:val="26"/>
        </w:rPr>
        <w:t xml:space="preserve">DII opines that RESA’s </w:t>
      </w:r>
      <w:r w:rsidRPr="00BE41AE">
        <w:rPr>
          <w:sz w:val="26"/>
          <w:szCs w:val="26"/>
        </w:rPr>
        <w:t xml:space="preserve">proposal would have the anti-competitive effect of eliminating customer choice for competitive transmission products.  </w:t>
      </w:r>
      <w:r>
        <w:rPr>
          <w:sz w:val="26"/>
          <w:szCs w:val="26"/>
        </w:rPr>
        <w:t>DII maintains that</w:t>
      </w:r>
      <w:r w:rsidRPr="00BE41AE">
        <w:rPr>
          <w:color w:val="000000" w:themeColor="text1"/>
          <w:sz w:val="26"/>
          <w:szCs w:val="26"/>
        </w:rPr>
        <w:t xml:space="preserve"> RESA's proposal </w:t>
      </w:r>
      <w:r w:rsidR="009056D4">
        <w:rPr>
          <w:color w:val="000000" w:themeColor="text1"/>
          <w:sz w:val="26"/>
          <w:szCs w:val="26"/>
        </w:rPr>
        <w:t xml:space="preserve">effectively </w:t>
      </w:r>
      <w:r w:rsidRPr="00BE41AE">
        <w:rPr>
          <w:color w:val="000000" w:themeColor="text1"/>
          <w:sz w:val="26"/>
          <w:szCs w:val="26"/>
        </w:rPr>
        <w:t>rebundles transmission costs with distribution rates, in violation of Section</w:t>
      </w:r>
      <w:r w:rsidR="00490624">
        <w:rPr>
          <w:color w:val="000000" w:themeColor="text1"/>
          <w:sz w:val="26"/>
          <w:szCs w:val="26"/>
        </w:rPr>
        <w:t> 2804(3) of the Competition Act,</w:t>
      </w:r>
      <w:r w:rsidRPr="00BE41AE">
        <w:rPr>
          <w:color w:val="000000" w:themeColor="text1"/>
          <w:sz w:val="26"/>
          <w:szCs w:val="26"/>
        </w:rPr>
        <w:t xml:space="preserve"> 66 Pa. C.S. § 2804(3).</w:t>
      </w:r>
      <w:r>
        <w:rPr>
          <w:color w:val="000000" w:themeColor="text1"/>
          <w:sz w:val="26"/>
          <w:szCs w:val="26"/>
        </w:rPr>
        <w:t xml:space="preserve"> </w:t>
      </w:r>
      <w:r w:rsidR="008B176D">
        <w:rPr>
          <w:color w:val="000000" w:themeColor="text1"/>
          <w:sz w:val="26"/>
          <w:szCs w:val="26"/>
        </w:rPr>
        <w:t xml:space="preserve"> </w:t>
      </w:r>
      <w:r w:rsidR="008B176D">
        <w:rPr>
          <w:sz w:val="26"/>
          <w:szCs w:val="26"/>
        </w:rPr>
        <w:t xml:space="preserve">DII R.Exc. at 2-3.  </w:t>
      </w:r>
    </w:p>
    <w:p w:rsidR="002D3E17" w:rsidRDefault="002D3E17" w:rsidP="002D3E17">
      <w:pPr>
        <w:spacing w:line="360" w:lineRule="auto"/>
        <w:ind w:firstLine="1440"/>
        <w:rPr>
          <w:color w:val="000000" w:themeColor="text1"/>
          <w:sz w:val="26"/>
          <w:szCs w:val="26"/>
        </w:rPr>
      </w:pPr>
    </w:p>
    <w:p w:rsidR="002D3E17" w:rsidRDefault="002D3E17" w:rsidP="0053114A">
      <w:pPr>
        <w:pStyle w:val="Heading4"/>
        <w:numPr>
          <w:ilvl w:val="0"/>
          <w:numId w:val="0"/>
        </w:numPr>
        <w:ind w:left="2880" w:hanging="720"/>
      </w:pPr>
      <w:bookmarkStart w:id="236" w:name="_Toc346705476"/>
      <w:r>
        <w:t>f.</w:t>
      </w:r>
      <w:r>
        <w:tab/>
        <w:t>Disposition</w:t>
      </w:r>
      <w:bookmarkEnd w:id="236"/>
    </w:p>
    <w:p w:rsidR="002D3E17" w:rsidRDefault="002D3E17" w:rsidP="002D3E17">
      <w:pPr>
        <w:pStyle w:val="BriefL3"/>
        <w:numPr>
          <w:ilvl w:val="0"/>
          <w:numId w:val="0"/>
        </w:numPr>
        <w:spacing w:after="0" w:line="360" w:lineRule="auto"/>
        <w:ind w:firstLine="720"/>
        <w:rPr>
          <w:b/>
          <w:sz w:val="26"/>
          <w:szCs w:val="26"/>
        </w:rPr>
      </w:pPr>
    </w:p>
    <w:p w:rsidR="002D3E17" w:rsidRDefault="002D3E17" w:rsidP="00A46407">
      <w:pPr>
        <w:pStyle w:val="BodyText2"/>
        <w:spacing w:after="0" w:line="360" w:lineRule="auto"/>
        <w:rPr>
          <w:sz w:val="26"/>
          <w:szCs w:val="26"/>
        </w:rPr>
      </w:pPr>
      <w:r>
        <w:rPr>
          <w:b/>
          <w:sz w:val="26"/>
          <w:szCs w:val="26"/>
        </w:rPr>
        <w:tab/>
      </w:r>
      <w:r>
        <w:rPr>
          <w:b/>
          <w:sz w:val="26"/>
          <w:szCs w:val="26"/>
        </w:rPr>
        <w:tab/>
      </w:r>
      <w:r>
        <w:rPr>
          <w:sz w:val="26"/>
          <w:szCs w:val="26"/>
        </w:rPr>
        <w:t>Upon our review and analysis of the evidence of record, and consistent with our prior determinations on this issue in</w:t>
      </w:r>
      <w:r w:rsidR="00490624">
        <w:rPr>
          <w:sz w:val="26"/>
          <w:szCs w:val="26"/>
        </w:rPr>
        <w:t xml:space="preserve"> the</w:t>
      </w:r>
      <w:r>
        <w:rPr>
          <w:sz w:val="26"/>
          <w:szCs w:val="26"/>
        </w:rPr>
        <w:t xml:space="preserve"> </w:t>
      </w:r>
      <w:r>
        <w:rPr>
          <w:i/>
          <w:sz w:val="26"/>
          <w:szCs w:val="26"/>
        </w:rPr>
        <w:t>FirstEnergy</w:t>
      </w:r>
      <w:r w:rsidR="008B176D">
        <w:rPr>
          <w:i/>
          <w:sz w:val="26"/>
          <w:szCs w:val="26"/>
        </w:rPr>
        <w:t xml:space="preserve"> DSP</w:t>
      </w:r>
      <w:r>
        <w:rPr>
          <w:sz w:val="26"/>
          <w:szCs w:val="26"/>
        </w:rPr>
        <w:t xml:space="preserve"> and </w:t>
      </w:r>
      <w:r>
        <w:rPr>
          <w:i/>
          <w:sz w:val="26"/>
          <w:szCs w:val="26"/>
        </w:rPr>
        <w:t>PECO</w:t>
      </w:r>
      <w:r w:rsidR="00490624">
        <w:rPr>
          <w:i/>
          <w:sz w:val="26"/>
          <w:szCs w:val="26"/>
        </w:rPr>
        <w:t xml:space="preserve"> DSP Orders</w:t>
      </w:r>
      <w:r>
        <w:rPr>
          <w:i/>
          <w:sz w:val="26"/>
          <w:szCs w:val="26"/>
        </w:rPr>
        <w:t>,</w:t>
      </w:r>
      <w:r w:rsidR="00490624">
        <w:rPr>
          <w:sz w:val="26"/>
          <w:szCs w:val="26"/>
        </w:rPr>
        <w:t xml:space="preserve"> we agree</w:t>
      </w:r>
      <w:r>
        <w:rPr>
          <w:sz w:val="26"/>
          <w:szCs w:val="26"/>
        </w:rPr>
        <w:t xml:space="preserve"> with the recommendation of the ALJ on this issue.  We believe th</w:t>
      </w:r>
      <w:r w:rsidRPr="00EE5722">
        <w:rPr>
          <w:color w:val="000000" w:themeColor="text1"/>
          <w:sz w:val="26"/>
          <w:szCs w:val="26"/>
        </w:rPr>
        <w:t>a</w:t>
      </w:r>
      <w:r>
        <w:rPr>
          <w:color w:val="000000" w:themeColor="text1"/>
          <w:sz w:val="26"/>
          <w:szCs w:val="26"/>
        </w:rPr>
        <w:t xml:space="preserve">t Duquesne’s </w:t>
      </w:r>
      <w:r w:rsidR="00490624">
        <w:rPr>
          <w:color w:val="000000" w:themeColor="text1"/>
          <w:sz w:val="26"/>
          <w:szCs w:val="26"/>
        </w:rPr>
        <w:lastRenderedPageBreak/>
        <w:t>position</w:t>
      </w:r>
      <w:r w:rsidRPr="00EE5722">
        <w:rPr>
          <w:color w:val="000000" w:themeColor="text1"/>
          <w:sz w:val="26"/>
          <w:szCs w:val="26"/>
        </w:rPr>
        <w:t xml:space="preserve"> that EGSs should c</w:t>
      </w:r>
      <w:r w:rsidR="00490624">
        <w:rPr>
          <w:color w:val="000000" w:themeColor="text1"/>
          <w:sz w:val="26"/>
          <w:szCs w:val="26"/>
        </w:rPr>
        <w:t xml:space="preserve">ontinue to recover </w:t>
      </w:r>
      <w:r w:rsidR="009056D4">
        <w:rPr>
          <w:color w:val="000000" w:themeColor="text1"/>
          <w:sz w:val="26"/>
          <w:szCs w:val="26"/>
        </w:rPr>
        <w:t xml:space="preserve">transmission and transmission-related costs, such as </w:t>
      </w:r>
      <w:r w:rsidR="00490624">
        <w:rPr>
          <w:color w:val="000000" w:themeColor="text1"/>
          <w:sz w:val="26"/>
          <w:szCs w:val="26"/>
        </w:rPr>
        <w:t>PJM’s RTEP costs, NITS costs</w:t>
      </w:r>
      <w:r w:rsidRPr="00EE5722">
        <w:rPr>
          <w:color w:val="000000" w:themeColor="text1"/>
          <w:sz w:val="26"/>
          <w:szCs w:val="26"/>
        </w:rPr>
        <w:t xml:space="preserve">, expansion costs, generation deactivation costs and </w:t>
      </w:r>
      <w:r w:rsidR="00D16DFB">
        <w:rPr>
          <w:color w:val="000000" w:themeColor="text1"/>
          <w:sz w:val="26"/>
          <w:szCs w:val="26"/>
        </w:rPr>
        <w:t>ELR</w:t>
      </w:r>
      <w:r w:rsidRPr="00EE5722">
        <w:rPr>
          <w:color w:val="000000" w:themeColor="text1"/>
          <w:sz w:val="26"/>
          <w:szCs w:val="26"/>
        </w:rPr>
        <w:t xml:space="preserve"> costs</w:t>
      </w:r>
      <w:r w:rsidR="009056D4">
        <w:rPr>
          <w:color w:val="000000" w:themeColor="text1"/>
          <w:sz w:val="26"/>
          <w:szCs w:val="26"/>
        </w:rPr>
        <w:t>,</w:t>
      </w:r>
      <w:r w:rsidRPr="00EE5722">
        <w:rPr>
          <w:color w:val="000000" w:themeColor="text1"/>
          <w:sz w:val="26"/>
          <w:szCs w:val="26"/>
        </w:rPr>
        <w:t xml:space="preserve"> </w:t>
      </w:r>
      <w:r w:rsidR="009056D4">
        <w:rPr>
          <w:color w:val="000000" w:themeColor="text1"/>
          <w:sz w:val="26"/>
          <w:szCs w:val="26"/>
        </w:rPr>
        <w:t>from their own customers</w:t>
      </w:r>
      <w:r>
        <w:rPr>
          <w:color w:val="000000" w:themeColor="text1"/>
          <w:sz w:val="26"/>
          <w:szCs w:val="26"/>
        </w:rPr>
        <w:t xml:space="preserve"> is reasonable and should be approved.  We agree with </w:t>
      </w:r>
      <w:r>
        <w:rPr>
          <w:sz w:val="26"/>
          <w:szCs w:val="26"/>
        </w:rPr>
        <w:t xml:space="preserve">Duquesne that it </w:t>
      </w:r>
      <w:r w:rsidRPr="00EE5722">
        <w:rPr>
          <w:sz w:val="26"/>
          <w:szCs w:val="26"/>
        </w:rPr>
        <w:t>appropriately recovers these costs only from def</w:t>
      </w:r>
      <w:r>
        <w:rPr>
          <w:sz w:val="26"/>
          <w:szCs w:val="26"/>
        </w:rPr>
        <w:t xml:space="preserve">ault service customers, and that EGSs should recover </w:t>
      </w:r>
      <w:r w:rsidR="00490624">
        <w:rPr>
          <w:sz w:val="26"/>
          <w:szCs w:val="26"/>
        </w:rPr>
        <w:t xml:space="preserve">these costs from their </w:t>
      </w:r>
      <w:r w:rsidRPr="00EE5722">
        <w:rPr>
          <w:sz w:val="26"/>
          <w:szCs w:val="26"/>
        </w:rPr>
        <w:t>customers.</w:t>
      </w:r>
      <w:r w:rsidR="00490624">
        <w:rPr>
          <w:sz w:val="26"/>
          <w:szCs w:val="26"/>
        </w:rPr>
        <w:t xml:space="preserve">  We </w:t>
      </w:r>
      <w:r>
        <w:rPr>
          <w:sz w:val="26"/>
          <w:szCs w:val="26"/>
        </w:rPr>
        <w:t xml:space="preserve">believe that this cost recovery process is </w:t>
      </w:r>
      <w:r w:rsidRPr="00EE5722">
        <w:rPr>
          <w:sz w:val="26"/>
          <w:szCs w:val="26"/>
        </w:rPr>
        <w:t>consistent with the Commonwealth’s continued migration to a mor</w:t>
      </w:r>
      <w:r>
        <w:rPr>
          <w:sz w:val="26"/>
          <w:szCs w:val="26"/>
        </w:rPr>
        <w:t>e competitive retail market</w:t>
      </w:r>
      <w:r w:rsidR="00490624">
        <w:rPr>
          <w:sz w:val="26"/>
          <w:szCs w:val="26"/>
        </w:rPr>
        <w:t>,</w:t>
      </w:r>
      <w:r>
        <w:rPr>
          <w:sz w:val="26"/>
          <w:szCs w:val="26"/>
        </w:rPr>
        <w:t xml:space="preserve"> </w:t>
      </w:r>
      <w:r w:rsidR="00490624">
        <w:rPr>
          <w:sz w:val="26"/>
          <w:szCs w:val="26"/>
        </w:rPr>
        <w:t xml:space="preserve">and that RESA’s proposal would be a step backward because it would result in the rebundling of transmission costs with distribution rates.  </w:t>
      </w:r>
      <w:r>
        <w:rPr>
          <w:sz w:val="26"/>
          <w:szCs w:val="26"/>
        </w:rPr>
        <w:t>A</w:t>
      </w:r>
      <w:r w:rsidRPr="00EE5722">
        <w:rPr>
          <w:sz w:val="26"/>
          <w:szCs w:val="26"/>
        </w:rPr>
        <w:t xml:space="preserve">ccordingly, </w:t>
      </w:r>
      <w:r>
        <w:rPr>
          <w:sz w:val="26"/>
          <w:szCs w:val="26"/>
        </w:rPr>
        <w:t xml:space="preserve">we shall adopt the recommendation of the ALJ </w:t>
      </w:r>
      <w:r w:rsidR="008B176D">
        <w:rPr>
          <w:sz w:val="26"/>
          <w:szCs w:val="26"/>
        </w:rPr>
        <w:t>and deny the Exceptions of RESA on this issue.</w:t>
      </w:r>
    </w:p>
    <w:p w:rsidR="002D3E17" w:rsidRPr="00EE5722" w:rsidRDefault="002D3E17" w:rsidP="00A46407">
      <w:pPr>
        <w:pStyle w:val="BodyText2"/>
        <w:spacing w:after="0" w:line="360" w:lineRule="auto"/>
        <w:rPr>
          <w:sz w:val="26"/>
          <w:szCs w:val="26"/>
        </w:rPr>
      </w:pPr>
      <w:r w:rsidRPr="00EE5722">
        <w:rPr>
          <w:sz w:val="26"/>
          <w:szCs w:val="26"/>
        </w:rPr>
        <w:tab/>
      </w:r>
    </w:p>
    <w:p w:rsidR="002D3E17" w:rsidRPr="00EE5722" w:rsidRDefault="00D64891" w:rsidP="0053114A">
      <w:pPr>
        <w:pStyle w:val="Heading2"/>
        <w:numPr>
          <w:ilvl w:val="0"/>
          <w:numId w:val="0"/>
        </w:numPr>
        <w:ind w:left="1440" w:hanging="720"/>
      </w:pPr>
      <w:bookmarkStart w:id="237" w:name="_Toc346705477"/>
      <w:r>
        <w:t>F</w:t>
      </w:r>
      <w:r w:rsidR="002D3E17" w:rsidRPr="00EE5722">
        <w:t>.</w:t>
      </w:r>
      <w:r w:rsidR="002D3E17" w:rsidRPr="00EE5722">
        <w:tab/>
        <w:t>Time-Of-Use Program</w:t>
      </w:r>
      <w:bookmarkEnd w:id="237"/>
    </w:p>
    <w:p w:rsidR="002D3E17" w:rsidRPr="00EE5722" w:rsidRDefault="002D3E17" w:rsidP="002D3E17">
      <w:pPr>
        <w:pStyle w:val="BriefL3"/>
        <w:numPr>
          <w:ilvl w:val="0"/>
          <w:numId w:val="0"/>
        </w:numPr>
        <w:spacing w:after="0" w:line="360" w:lineRule="auto"/>
        <w:ind w:left="720" w:firstLine="720"/>
        <w:rPr>
          <w:b/>
          <w:sz w:val="26"/>
          <w:szCs w:val="26"/>
        </w:rPr>
      </w:pPr>
    </w:p>
    <w:p w:rsidR="002D3E17" w:rsidRPr="00EE5722" w:rsidRDefault="002D3E17" w:rsidP="0053114A">
      <w:pPr>
        <w:pStyle w:val="Heading3"/>
      </w:pPr>
      <w:bookmarkStart w:id="238" w:name="_Toc346705478"/>
      <w:r>
        <w:t>1.</w:t>
      </w:r>
      <w:r>
        <w:tab/>
        <w:t>Duquesne</w:t>
      </w:r>
      <w:r w:rsidRPr="00EE5722">
        <w:t>’s Proposal</w:t>
      </w:r>
      <w:bookmarkEnd w:id="238"/>
    </w:p>
    <w:p w:rsidR="002D3E17" w:rsidRPr="00EE5722" w:rsidRDefault="002D3E17" w:rsidP="002D3E17">
      <w:pPr>
        <w:pStyle w:val="BodyText"/>
        <w:spacing w:after="0" w:line="360" w:lineRule="auto"/>
        <w:ind w:left="0" w:firstLine="0"/>
        <w:rPr>
          <w:sz w:val="26"/>
          <w:szCs w:val="26"/>
        </w:rPr>
      </w:pPr>
    </w:p>
    <w:p w:rsidR="002D3E17" w:rsidRPr="00C83DE5" w:rsidRDefault="002D3E17" w:rsidP="002D3E17">
      <w:pPr>
        <w:pStyle w:val="BodyText2"/>
        <w:spacing w:after="0" w:line="360" w:lineRule="auto"/>
        <w:rPr>
          <w:sz w:val="26"/>
          <w:szCs w:val="26"/>
        </w:rPr>
      </w:pPr>
      <w:r w:rsidRPr="00EE5722">
        <w:rPr>
          <w:sz w:val="26"/>
          <w:szCs w:val="26"/>
        </w:rPr>
        <w:tab/>
      </w:r>
      <w:r w:rsidRPr="00EE5722">
        <w:rPr>
          <w:sz w:val="26"/>
          <w:szCs w:val="26"/>
        </w:rPr>
        <w:tab/>
      </w:r>
      <w:r>
        <w:rPr>
          <w:sz w:val="26"/>
          <w:szCs w:val="26"/>
        </w:rPr>
        <w:t>Under Act 129, Duquesne</w:t>
      </w:r>
      <w:r w:rsidRPr="00EE5722">
        <w:rPr>
          <w:sz w:val="26"/>
          <w:szCs w:val="26"/>
        </w:rPr>
        <w:t>, as the DSP, is obligat</w:t>
      </w:r>
      <w:r>
        <w:rPr>
          <w:sz w:val="26"/>
          <w:szCs w:val="26"/>
        </w:rPr>
        <w:t>ed to provide Time-of-Use (TOU</w:t>
      </w:r>
      <w:r w:rsidRPr="00EE5722">
        <w:rPr>
          <w:sz w:val="26"/>
          <w:szCs w:val="26"/>
        </w:rPr>
        <w:t>) and/or real time rates to customers who have smart meters.  66 Pa. C.S. §</w:t>
      </w:r>
      <w:r>
        <w:rPr>
          <w:sz w:val="26"/>
          <w:szCs w:val="26"/>
        </w:rPr>
        <w:t> </w:t>
      </w:r>
      <w:r w:rsidRPr="00EE5722">
        <w:rPr>
          <w:sz w:val="26"/>
          <w:szCs w:val="26"/>
        </w:rPr>
        <w:t xml:space="preserve">2807(f)(5).  </w:t>
      </w:r>
      <w:r>
        <w:rPr>
          <w:sz w:val="26"/>
          <w:szCs w:val="26"/>
        </w:rPr>
        <w:t xml:space="preserve">Duquesne states that it currently </w:t>
      </w:r>
      <w:r w:rsidRPr="00EE5722">
        <w:rPr>
          <w:sz w:val="26"/>
          <w:szCs w:val="26"/>
        </w:rPr>
        <w:t xml:space="preserve">has very few customers </w:t>
      </w:r>
      <w:r>
        <w:rPr>
          <w:sz w:val="26"/>
          <w:szCs w:val="26"/>
        </w:rPr>
        <w:t>with smart meters</w:t>
      </w:r>
      <w:r w:rsidR="004A6082">
        <w:rPr>
          <w:sz w:val="26"/>
          <w:szCs w:val="26"/>
        </w:rPr>
        <w:t>,</w:t>
      </w:r>
      <w:r>
        <w:rPr>
          <w:sz w:val="26"/>
          <w:szCs w:val="26"/>
        </w:rPr>
        <w:t xml:space="preserve"> and that its proposed f</w:t>
      </w:r>
      <w:r w:rsidRPr="00EE5722">
        <w:rPr>
          <w:sz w:val="26"/>
          <w:szCs w:val="26"/>
        </w:rPr>
        <w:t>inal Smart Mete</w:t>
      </w:r>
      <w:r>
        <w:rPr>
          <w:sz w:val="26"/>
          <w:szCs w:val="26"/>
        </w:rPr>
        <w:t>r Plan</w:t>
      </w:r>
      <w:r w:rsidRPr="00EE5722">
        <w:rPr>
          <w:sz w:val="26"/>
          <w:szCs w:val="26"/>
        </w:rPr>
        <w:t xml:space="preserve"> currently </w:t>
      </w:r>
      <w:r>
        <w:rPr>
          <w:sz w:val="26"/>
          <w:szCs w:val="26"/>
        </w:rPr>
        <w:t xml:space="preserve">is </w:t>
      </w:r>
      <w:r w:rsidRPr="00EE5722">
        <w:rPr>
          <w:sz w:val="26"/>
          <w:szCs w:val="26"/>
        </w:rPr>
        <w:t xml:space="preserve">pending </w:t>
      </w:r>
      <w:r>
        <w:rPr>
          <w:sz w:val="26"/>
          <w:szCs w:val="26"/>
        </w:rPr>
        <w:t xml:space="preserve">before the Commission </w:t>
      </w:r>
      <w:r w:rsidRPr="00EE5722">
        <w:rPr>
          <w:sz w:val="26"/>
          <w:szCs w:val="26"/>
        </w:rPr>
        <w:t>at Docket No. M-2009-2123948</w:t>
      </w:r>
      <w:r>
        <w:rPr>
          <w:sz w:val="26"/>
          <w:szCs w:val="26"/>
        </w:rPr>
        <w:t xml:space="preserve">.  </w:t>
      </w:r>
      <w:r w:rsidRPr="00EE5722">
        <w:rPr>
          <w:sz w:val="26"/>
          <w:szCs w:val="26"/>
        </w:rPr>
        <w:t xml:space="preserve">Under the implementation schedule set forth in the </w:t>
      </w:r>
      <w:r>
        <w:rPr>
          <w:sz w:val="26"/>
          <w:szCs w:val="26"/>
        </w:rPr>
        <w:t xml:space="preserve">proposed Smart Meter Plan, Duquesne </w:t>
      </w:r>
      <w:r w:rsidRPr="00EE5722">
        <w:rPr>
          <w:sz w:val="26"/>
          <w:szCs w:val="26"/>
        </w:rPr>
        <w:t>will have installed approximately 2,000 smart meters by June 2014 and approximately 35,000 smart meters by June 2015.</w:t>
      </w:r>
      <w:r>
        <w:rPr>
          <w:sz w:val="26"/>
          <w:szCs w:val="26"/>
        </w:rPr>
        <w:t xml:space="preserve">  Duquesne </w:t>
      </w:r>
      <w:r w:rsidRPr="00EE5722">
        <w:rPr>
          <w:sz w:val="26"/>
          <w:szCs w:val="26"/>
        </w:rPr>
        <w:t xml:space="preserve">St. </w:t>
      </w:r>
      <w:r>
        <w:rPr>
          <w:sz w:val="26"/>
          <w:szCs w:val="26"/>
        </w:rPr>
        <w:t xml:space="preserve">4-R at </w:t>
      </w:r>
      <w:r w:rsidRPr="00EE5722">
        <w:rPr>
          <w:sz w:val="26"/>
          <w:szCs w:val="26"/>
        </w:rPr>
        <w:t xml:space="preserve">4.  </w:t>
      </w:r>
    </w:p>
    <w:p w:rsidR="002D3E17" w:rsidRPr="00EE5722" w:rsidRDefault="002D3E17" w:rsidP="002D3E17">
      <w:pPr>
        <w:pStyle w:val="BodyText2"/>
        <w:spacing w:after="0" w:line="360" w:lineRule="auto"/>
        <w:rPr>
          <w:sz w:val="26"/>
          <w:szCs w:val="26"/>
        </w:rPr>
      </w:pPr>
    </w:p>
    <w:p w:rsidR="002D3E17" w:rsidRPr="00C83DE5" w:rsidRDefault="002D3E17" w:rsidP="002D3E17">
      <w:pPr>
        <w:pStyle w:val="BodyText2"/>
        <w:spacing w:after="0" w:line="360" w:lineRule="auto"/>
        <w:rPr>
          <w:sz w:val="26"/>
          <w:szCs w:val="26"/>
        </w:rPr>
      </w:pPr>
      <w:r w:rsidRPr="00EE5722">
        <w:rPr>
          <w:sz w:val="26"/>
          <w:szCs w:val="26"/>
        </w:rPr>
        <w:tab/>
      </w:r>
      <w:r w:rsidRPr="00EE5722">
        <w:rPr>
          <w:sz w:val="26"/>
          <w:szCs w:val="26"/>
        </w:rPr>
        <w:tab/>
      </w:r>
      <w:r>
        <w:rPr>
          <w:sz w:val="26"/>
          <w:szCs w:val="26"/>
        </w:rPr>
        <w:t xml:space="preserve">In this proceeding, Duquesne </w:t>
      </w:r>
      <w:r w:rsidRPr="00EE5722">
        <w:rPr>
          <w:sz w:val="26"/>
          <w:szCs w:val="26"/>
        </w:rPr>
        <w:t>propos</w:t>
      </w:r>
      <w:r>
        <w:rPr>
          <w:sz w:val="26"/>
          <w:szCs w:val="26"/>
        </w:rPr>
        <w:t>ed</w:t>
      </w:r>
      <w:r w:rsidRPr="00EE5722">
        <w:rPr>
          <w:sz w:val="26"/>
          <w:szCs w:val="26"/>
        </w:rPr>
        <w:t xml:space="preserve"> to bid out TOU load to EGSs after more of its customers have smart meters, after its current TOU pilot programs are completed,</w:t>
      </w:r>
      <w:r>
        <w:rPr>
          <w:sz w:val="26"/>
          <w:szCs w:val="26"/>
        </w:rPr>
        <w:t xml:space="preserve"> and after Duquesne </w:t>
      </w:r>
      <w:r w:rsidRPr="00EE5722">
        <w:rPr>
          <w:sz w:val="26"/>
          <w:szCs w:val="26"/>
        </w:rPr>
        <w:t>has had time to review the results of those pilot programs and develop a l</w:t>
      </w:r>
      <w:r>
        <w:rPr>
          <w:sz w:val="26"/>
          <w:szCs w:val="26"/>
        </w:rPr>
        <w:t xml:space="preserve">ong-term TOU plan.  Duquesne </w:t>
      </w:r>
      <w:r w:rsidRPr="00EE5722">
        <w:rPr>
          <w:sz w:val="26"/>
          <w:szCs w:val="26"/>
        </w:rPr>
        <w:t xml:space="preserve">anticipates </w:t>
      </w:r>
      <w:r>
        <w:rPr>
          <w:sz w:val="26"/>
          <w:szCs w:val="26"/>
        </w:rPr>
        <w:t xml:space="preserve">that </w:t>
      </w:r>
      <w:r w:rsidRPr="00EE5722">
        <w:rPr>
          <w:sz w:val="26"/>
          <w:szCs w:val="26"/>
        </w:rPr>
        <w:t xml:space="preserve">an EGS will bid to provide TOU supply.  However, if there are no bids or if the bids do not meet </w:t>
      </w:r>
      <w:r w:rsidRPr="00EE5722">
        <w:rPr>
          <w:sz w:val="26"/>
          <w:szCs w:val="26"/>
        </w:rPr>
        <w:lastRenderedPageBreak/>
        <w:t>C</w:t>
      </w:r>
      <w:r>
        <w:rPr>
          <w:sz w:val="26"/>
          <w:szCs w:val="26"/>
        </w:rPr>
        <w:t xml:space="preserve">ommission approval, </w:t>
      </w:r>
      <w:r w:rsidR="009056D4">
        <w:rPr>
          <w:sz w:val="26"/>
          <w:szCs w:val="26"/>
        </w:rPr>
        <w:t>Duquesne</w:t>
      </w:r>
      <w:r>
        <w:rPr>
          <w:sz w:val="26"/>
          <w:szCs w:val="26"/>
        </w:rPr>
        <w:t xml:space="preserve"> proposed</w:t>
      </w:r>
      <w:r w:rsidRPr="00EE5722">
        <w:rPr>
          <w:sz w:val="26"/>
          <w:szCs w:val="26"/>
        </w:rPr>
        <w:t xml:space="preserve"> to require wholesale default service suppliers to provide </w:t>
      </w:r>
      <w:r>
        <w:rPr>
          <w:sz w:val="26"/>
          <w:szCs w:val="26"/>
        </w:rPr>
        <w:t xml:space="preserve">TOU supply.  </w:t>
      </w:r>
      <w:r w:rsidRPr="00EE5722">
        <w:rPr>
          <w:sz w:val="26"/>
          <w:szCs w:val="26"/>
        </w:rPr>
        <w:t>In suc</w:t>
      </w:r>
      <w:r>
        <w:rPr>
          <w:sz w:val="26"/>
          <w:szCs w:val="26"/>
        </w:rPr>
        <w:t xml:space="preserve">h circumstances, Duquesne </w:t>
      </w:r>
      <w:r w:rsidRPr="00EE5722">
        <w:rPr>
          <w:sz w:val="26"/>
          <w:szCs w:val="26"/>
        </w:rPr>
        <w:t>p</w:t>
      </w:r>
      <w:r>
        <w:rPr>
          <w:sz w:val="26"/>
          <w:szCs w:val="26"/>
        </w:rPr>
        <w:t>roposed</w:t>
      </w:r>
      <w:r w:rsidRPr="00EE5722">
        <w:rPr>
          <w:sz w:val="26"/>
          <w:szCs w:val="26"/>
        </w:rPr>
        <w:t xml:space="preserve"> to pay wholesale suppliers the actual TOU revenues received for the TOU portion of the load based on the TOU program on-peak and off-peak rates.</w:t>
      </w:r>
      <w:r>
        <w:rPr>
          <w:sz w:val="26"/>
          <w:szCs w:val="26"/>
        </w:rPr>
        <w:t xml:space="preserve">  Duquesne St. 4-R at </w:t>
      </w:r>
      <w:r w:rsidRPr="00EE5722">
        <w:rPr>
          <w:sz w:val="26"/>
          <w:szCs w:val="26"/>
        </w:rPr>
        <w:t xml:space="preserve">5.  </w:t>
      </w:r>
    </w:p>
    <w:p w:rsidR="002D3E17" w:rsidRPr="00EE5722" w:rsidRDefault="002D3E17" w:rsidP="002D3E17">
      <w:pPr>
        <w:pStyle w:val="BodyText2"/>
        <w:spacing w:after="0" w:line="360" w:lineRule="auto"/>
        <w:rPr>
          <w:sz w:val="26"/>
          <w:szCs w:val="26"/>
        </w:rPr>
      </w:pPr>
    </w:p>
    <w:p w:rsidR="002D3E17" w:rsidRPr="008F2D4F" w:rsidRDefault="002D3E17" w:rsidP="002D3E17">
      <w:pPr>
        <w:pStyle w:val="BodyText2"/>
        <w:spacing w:after="0" w:line="360" w:lineRule="auto"/>
        <w:rPr>
          <w:sz w:val="26"/>
          <w:szCs w:val="26"/>
        </w:rPr>
      </w:pPr>
      <w:r w:rsidRPr="00EE5722">
        <w:rPr>
          <w:sz w:val="26"/>
          <w:szCs w:val="26"/>
        </w:rPr>
        <w:tab/>
      </w:r>
      <w:r w:rsidRPr="00EE5722">
        <w:rPr>
          <w:sz w:val="26"/>
          <w:szCs w:val="26"/>
        </w:rPr>
        <w:tab/>
        <w:t>In the event default service suppliers must supply TOU load, it is important they be paid the act</w:t>
      </w:r>
      <w:r>
        <w:rPr>
          <w:sz w:val="26"/>
          <w:szCs w:val="26"/>
        </w:rPr>
        <w:t xml:space="preserve">ual amounts that Duquesne </w:t>
      </w:r>
      <w:r w:rsidRPr="00EE5722">
        <w:rPr>
          <w:sz w:val="26"/>
          <w:szCs w:val="26"/>
        </w:rPr>
        <w:t>receives for TOU service.  Under the Commission’s interpretation o</w:t>
      </w:r>
      <w:r>
        <w:rPr>
          <w:sz w:val="26"/>
          <w:szCs w:val="26"/>
        </w:rPr>
        <w:t xml:space="preserve">f Section 2807(f)(4) of the Code, Duquesne </w:t>
      </w:r>
      <w:r w:rsidRPr="00EE5722">
        <w:rPr>
          <w:sz w:val="26"/>
          <w:szCs w:val="26"/>
        </w:rPr>
        <w:t>is not permitted to reconcile TOU revenues against fixed supply costs paid to wholesale suppliers under full-requirements contracts.</w:t>
      </w:r>
      <w:r w:rsidRPr="00EE5722">
        <w:rPr>
          <w:rStyle w:val="FootnoteReference"/>
          <w:sz w:val="26"/>
          <w:szCs w:val="26"/>
        </w:rPr>
        <w:footnoteReference w:id="131"/>
      </w:r>
      <w:r w:rsidRPr="00EE5722">
        <w:rPr>
          <w:sz w:val="26"/>
          <w:szCs w:val="26"/>
        </w:rPr>
        <w:t xml:space="preserve">  Without</w:t>
      </w:r>
      <w:r>
        <w:rPr>
          <w:sz w:val="26"/>
          <w:szCs w:val="26"/>
        </w:rPr>
        <w:t xml:space="preserve"> reconciliation, Duquesne </w:t>
      </w:r>
      <w:r w:rsidRPr="00EE5722">
        <w:rPr>
          <w:sz w:val="26"/>
          <w:szCs w:val="26"/>
        </w:rPr>
        <w:t xml:space="preserve">may not be able to fully recover its default service costs in violation of Section 2807(e)(3.9).  Accordingly, </w:t>
      </w:r>
      <w:r>
        <w:rPr>
          <w:sz w:val="26"/>
          <w:szCs w:val="26"/>
        </w:rPr>
        <w:t>Duquesne contended that</w:t>
      </w:r>
      <w:r w:rsidRPr="00EE5722">
        <w:rPr>
          <w:sz w:val="26"/>
          <w:szCs w:val="26"/>
        </w:rPr>
        <w:t xml:space="preserve"> default service su</w:t>
      </w:r>
      <w:r>
        <w:rPr>
          <w:sz w:val="26"/>
          <w:szCs w:val="26"/>
        </w:rPr>
        <w:t>ppliers should bear this risk.</w:t>
      </w:r>
    </w:p>
    <w:p w:rsidR="002D3E17" w:rsidRPr="00EE5722" w:rsidRDefault="002D3E17" w:rsidP="002D3E17">
      <w:pPr>
        <w:pStyle w:val="BodyText2"/>
        <w:spacing w:after="0" w:line="360" w:lineRule="auto"/>
        <w:rPr>
          <w:sz w:val="26"/>
          <w:szCs w:val="26"/>
        </w:rPr>
      </w:pPr>
    </w:p>
    <w:p w:rsidR="002D3E17" w:rsidRPr="00EE5722" w:rsidRDefault="002D3E17" w:rsidP="002D3E17">
      <w:pPr>
        <w:pStyle w:val="BodyText2"/>
        <w:spacing w:after="0" w:line="360" w:lineRule="auto"/>
        <w:rPr>
          <w:sz w:val="26"/>
          <w:szCs w:val="26"/>
        </w:rPr>
      </w:pPr>
      <w:r w:rsidRPr="00EE5722">
        <w:rPr>
          <w:sz w:val="26"/>
          <w:szCs w:val="26"/>
        </w:rPr>
        <w:tab/>
      </w:r>
      <w:r w:rsidRPr="00EE5722">
        <w:rPr>
          <w:sz w:val="26"/>
          <w:szCs w:val="26"/>
        </w:rPr>
        <w:tab/>
      </w:r>
      <w:r>
        <w:rPr>
          <w:sz w:val="26"/>
          <w:szCs w:val="26"/>
        </w:rPr>
        <w:t xml:space="preserve">Duquesne </w:t>
      </w:r>
      <w:r w:rsidRPr="00EE5722">
        <w:rPr>
          <w:sz w:val="26"/>
          <w:szCs w:val="26"/>
        </w:rPr>
        <w:t>note</w:t>
      </w:r>
      <w:r>
        <w:rPr>
          <w:sz w:val="26"/>
          <w:szCs w:val="26"/>
        </w:rPr>
        <w:t>d</w:t>
      </w:r>
      <w:r w:rsidRPr="00EE5722">
        <w:rPr>
          <w:sz w:val="26"/>
          <w:szCs w:val="26"/>
        </w:rPr>
        <w:t xml:space="preserve"> it would agree with Constellation’s approach</w:t>
      </w:r>
      <w:r w:rsidRPr="00EE5722">
        <w:rPr>
          <w:rStyle w:val="FootnoteReference"/>
          <w:sz w:val="26"/>
          <w:szCs w:val="26"/>
        </w:rPr>
        <w:footnoteReference w:id="132"/>
      </w:r>
      <w:r w:rsidRPr="00EE5722">
        <w:rPr>
          <w:sz w:val="26"/>
          <w:szCs w:val="26"/>
        </w:rPr>
        <w:t xml:space="preserve"> if it were allowed to reconcile the difference between the price paid to wholesale suppliers and th</w:t>
      </w:r>
      <w:r>
        <w:rPr>
          <w:sz w:val="26"/>
          <w:szCs w:val="26"/>
        </w:rPr>
        <w:t xml:space="preserve">e TOU rates, but Duquesne </w:t>
      </w:r>
      <w:r w:rsidRPr="00EE5722">
        <w:rPr>
          <w:sz w:val="26"/>
          <w:szCs w:val="26"/>
        </w:rPr>
        <w:t>is not permitted by the Commission’s ruling to reco</w:t>
      </w:r>
      <w:r>
        <w:rPr>
          <w:sz w:val="26"/>
          <w:szCs w:val="26"/>
        </w:rPr>
        <w:t>ncile the TOU costs and revenues</w:t>
      </w:r>
      <w:r w:rsidRPr="00EE5722">
        <w:rPr>
          <w:sz w:val="26"/>
          <w:szCs w:val="26"/>
        </w:rPr>
        <w:t>.  Therefore, payment of the fixed contract prices to wholesale supp</w:t>
      </w:r>
      <w:r>
        <w:rPr>
          <w:sz w:val="26"/>
          <w:szCs w:val="26"/>
        </w:rPr>
        <w:t xml:space="preserve">liers would prevent Duquesne </w:t>
      </w:r>
      <w:r w:rsidRPr="00EE5722">
        <w:rPr>
          <w:sz w:val="26"/>
          <w:szCs w:val="26"/>
        </w:rPr>
        <w:t>from fully recovering its TOU costs</w:t>
      </w:r>
      <w:r>
        <w:rPr>
          <w:sz w:val="26"/>
          <w:szCs w:val="26"/>
        </w:rPr>
        <w:t xml:space="preserve">.  Moreover, Duquesne submitted that its </w:t>
      </w:r>
      <w:r w:rsidRPr="00EE5722">
        <w:rPr>
          <w:sz w:val="26"/>
          <w:szCs w:val="26"/>
        </w:rPr>
        <w:t>approach is reasonable because default service suppliers are bearing all of the other supply risks under the full requirem</w:t>
      </w:r>
      <w:r>
        <w:rPr>
          <w:sz w:val="26"/>
          <w:szCs w:val="26"/>
        </w:rPr>
        <w:t xml:space="preserve">ents contracts.  Duquesne St. 4-R at </w:t>
      </w:r>
      <w:r w:rsidRPr="00EE5722">
        <w:rPr>
          <w:sz w:val="26"/>
          <w:szCs w:val="26"/>
        </w:rPr>
        <w:t>7.</w:t>
      </w:r>
    </w:p>
    <w:p w:rsidR="002D3E17" w:rsidRPr="00EE5722" w:rsidRDefault="002D3E17" w:rsidP="002D3E17">
      <w:pPr>
        <w:pStyle w:val="BodyText2"/>
        <w:spacing w:after="0" w:line="360" w:lineRule="auto"/>
        <w:rPr>
          <w:sz w:val="26"/>
          <w:szCs w:val="26"/>
        </w:rPr>
      </w:pPr>
    </w:p>
    <w:p w:rsidR="002D3E17" w:rsidRDefault="002D3E17" w:rsidP="002D3E17">
      <w:pPr>
        <w:pStyle w:val="BodyText2"/>
        <w:spacing w:after="0" w:line="360" w:lineRule="auto"/>
        <w:rPr>
          <w:sz w:val="26"/>
          <w:szCs w:val="26"/>
        </w:rPr>
      </w:pPr>
      <w:r>
        <w:rPr>
          <w:sz w:val="26"/>
          <w:szCs w:val="26"/>
        </w:rPr>
        <w:tab/>
      </w:r>
      <w:r>
        <w:rPr>
          <w:sz w:val="26"/>
          <w:szCs w:val="26"/>
        </w:rPr>
        <w:tab/>
        <w:t xml:space="preserve">Duquesne argued that </w:t>
      </w:r>
      <w:r w:rsidRPr="00EE5722">
        <w:rPr>
          <w:sz w:val="26"/>
          <w:szCs w:val="26"/>
        </w:rPr>
        <w:t>RESA’s proposal</w:t>
      </w:r>
      <w:r w:rsidRPr="00EE5722">
        <w:rPr>
          <w:rStyle w:val="FootnoteReference"/>
          <w:sz w:val="26"/>
          <w:szCs w:val="26"/>
        </w:rPr>
        <w:footnoteReference w:id="133"/>
      </w:r>
      <w:r w:rsidRPr="00EE5722">
        <w:rPr>
          <w:sz w:val="26"/>
          <w:szCs w:val="26"/>
        </w:rPr>
        <w:t xml:space="preserve"> does not comply with Act 129</w:t>
      </w:r>
      <w:r>
        <w:rPr>
          <w:sz w:val="26"/>
          <w:szCs w:val="26"/>
        </w:rPr>
        <w:t xml:space="preserve">, if RESA intends </w:t>
      </w:r>
      <w:r w:rsidRPr="00EE5722">
        <w:rPr>
          <w:sz w:val="26"/>
          <w:szCs w:val="26"/>
        </w:rPr>
        <w:t>that Du</w:t>
      </w:r>
      <w:r>
        <w:rPr>
          <w:sz w:val="26"/>
          <w:szCs w:val="26"/>
        </w:rPr>
        <w:t>quesne would be</w:t>
      </w:r>
      <w:r w:rsidRPr="00EE5722">
        <w:rPr>
          <w:sz w:val="26"/>
          <w:szCs w:val="26"/>
        </w:rPr>
        <w:t xml:space="preserve"> relieved of TOU responsibility when there is no </w:t>
      </w:r>
      <w:r w:rsidRPr="00EE5722">
        <w:rPr>
          <w:sz w:val="26"/>
          <w:szCs w:val="26"/>
        </w:rPr>
        <w:lastRenderedPageBreak/>
        <w:t>EGS bid</w:t>
      </w:r>
      <w:r>
        <w:rPr>
          <w:sz w:val="26"/>
          <w:szCs w:val="26"/>
        </w:rPr>
        <w:t xml:space="preserve">. </w:t>
      </w:r>
      <w:r w:rsidRPr="00EE5722">
        <w:rPr>
          <w:sz w:val="26"/>
          <w:szCs w:val="26"/>
        </w:rPr>
        <w:t xml:space="preserve"> </w:t>
      </w:r>
      <w:r>
        <w:rPr>
          <w:sz w:val="26"/>
          <w:szCs w:val="26"/>
        </w:rPr>
        <w:t xml:space="preserve">According to Duquesne, </w:t>
      </w:r>
      <w:r w:rsidRPr="00EE5722">
        <w:rPr>
          <w:sz w:val="26"/>
          <w:szCs w:val="26"/>
        </w:rPr>
        <w:t xml:space="preserve">Act 129 specifically requires the </w:t>
      </w:r>
      <w:r w:rsidR="009056D4">
        <w:rPr>
          <w:sz w:val="26"/>
          <w:szCs w:val="26"/>
        </w:rPr>
        <w:t>default service provider</w:t>
      </w:r>
      <w:r w:rsidRPr="00EE5722">
        <w:rPr>
          <w:sz w:val="26"/>
          <w:szCs w:val="26"/>
        </w:rPr>
        <w:t xml:space="preserve"> to offer TOU rates and real-time rate plans to customers.  </w:t>
      </w:r>
    </w:p>
    <w:p w:rsidR="002D3E17" w:rsidRPr="00EE5722" w:rsidRDefault="002D3E17" w:rsidP="002D3E17">
      <w:pPr>
        <w:pStyle w:val="BodyText2"/>
        <w:spacing w:after="0" w:line="360" w:lineRule="auto"/>
        <w:rPr>
          <w:sz w:val="26"/>
          <w:szCs w:val="26"/>
        </w:rPr>
      </w:pPr>
      <w:r>
        <w:rPr>
          <w:sz w:val="26"/>
          <w:szCs w:val="26"/>
        </w:rPr>
        <w:tab/>
      </w:r>
      <w:r>
        <w:rPr>
          <w:sz w:val="26"/>
          <w:szCs w:val="26"/>
        </w:rPr>
        <w:tab/>
        <w:t>Duquesne also argued</w:t>
      </w:r>
      <w:r w:rsidRPr="00EE5722">
        <w:rPr>
          <w:sz w:val="26"/>
          <w:szCs w:val="26"/>
        </w:rPr>
        <w:t xml:space="preserve"> </w:t>
      </w:r>
      <w:r>
        <w:rPr>
          <w:sz w:val="26"/>
          <w:szCs w:val="26"/>
        </w:rPr>
        <w:t xml:space="preserve">that </w:t>
      </w:r>
      <w:r w:rsidRPr="00EE5722">
        <w:rPr>
          <w:sz w:val="26"/>
          <w:szCs w:val="26"/>
        </w:rPr>
        <w:t xml:space="preserve">the TOU provisions of the Supply Master Agreement </w:t>
      </w:r>
      <w:r w:rsidR="00C25B3F">
        <w:rPr>
          <w:sz w:val="26"/>
          <w:szCs w:val="26"/>
        </w:rPr>
        <w:t xml:space="preserve">(SMA) </w:t>
      </w:r>
      <w:r w:rsidRPr="00EE5722">
        <w:rPr>
          <w:sz w:val="26"/>
          <w:szCs w:val="26"/>
        </w:rPr>
        <w:t>should not be deleted</w:t>
      </w:r>
      <w:r>
        <w:rPr>
          <w:sz w:val="26"/>
          <w:szCs w:val="26"/>
        </w:rPr>
        <w:t xml:space="preserve"> as FES proposed</w:t>
      </w:r>
      <w:r w:rsidRPr="00EE5722">
        <w:rPr>
          <w:sz w:val="26"/>
          <w:szCs w:val="26"/>
        </w:rPr>
        <w:t>.</w:t>
      </w:r>
      <w:r w:rsidRPr="00EE5722">
        <w:rPr>
          <w:rStyle w:val="FootnoteReference"/>
          <w:sz w:val="26"/>
          <w:szCs w:val="26"/>
        </w:rPr>
        <w:footnoteReference w:id="134"/>
      </w:r>
      <w:r w:rsidRPr="00EE5722">
        <w:rPr>
          <w:sz w:val="26"/>
          <w:szCs w:val="26"/>
        </w:rPr>
        <w:t xml:space="preserve">  </w:t>
      </w:r>
      <w:r>
        <w:rPr>
          <w:sz w:val="26"/>
          <w:szCs w:val="26"/>
        </w:rPr>
        <w:t>Duquesne stated that t</w:t>
      </w:r>
      <w:r w:rsidRPr="00EE5722">
        <w:rPr>
          <w:sz w:val="26"/>
          <w:szCs w:val="26"/>
        </w:rPr>
        <w:t xml:space="preserve">he TOU </w:t>
      </w:r>
      <w:r>
        <w:rPr>
          <w:sz w:val="26"/>
          <w:szCs w:val="26"/>
        </w:rPr>
        <w:t xml:space="preserve">provisions allow Duquesne </w:t>
      </w:r>
      <w:r w:rsidRPr="00EE5722">
        <w:rPr>
          <w:sz w:val="26"/>
          <w:szCs w:val="26"/>
        </w:rPr>
        <w:t xml:space="preserve">to separately bid out TOU service to an EGS or wholesale supplier.  In addition, </w:t>
      </w:r>
      <w:r>
        <w:rPr>
          <w:sz w:val="26"/>
          <w:szCs w:val="26"/>
        </w:rPr>
        <w:t xml:space="preserve">Duquesne claimed that </w:t>
      </w:r>
      <w:r w:rsidRPr="00EE5722">
        <w:rPr>
          <w:sz w:val="26"/>
          <w:szCs w:val="26"/>
        </w:rPr>
        <w:t xml:space="preserve">the TOU provisions </w:t>
      </w:r>
      <w:r>
        <w:rPr>
          <w:sz w:val="26"/>
          <w:szCs w:val="26"/>
        </w:rPr>
        <w:t xml:space="preserve">of the SMA allow Duquesne </w:t>
      </w:r>
      <w:r w:rsidRPr="00EE5722">
        <w:rPr>
          <w:sz w:val="26"/>
          <w:szCs w:val="26"/>
        </w:rPr>
        <w:t xml:space="preserve">to acquire TOU supplies from the default service suppliers in the event that an EGS does not separately bid to provide TOU service or the Commission rejects the bid.  Therefore, </w:t>
      </w:r>
      <w:r>
        <w:rPr>
          <w:sz w:val="26"/>
          <w:szCs w:val="26"/>
        </w:rPr>
        <w:t xml:space="preserve">according to Duquesne, </w:t>
      </w:r>
      <w:r w:rsidRPr="00EE5722">
        <w:rPr>
          <w:sz w:val="26"/>
          <w:szCs w:val="26"/>
        </w:rPr>
        <w:t>the TOU provisions of the SMA are necessary and reasonable and should not be revised.</w:t>
      </w:r>
    </w:p>
    <w:p w:rsidR="002D3E17" w:rsidRPr="00EE5722" w:rsidRDefault="002D3E17" w:rsidP="002D3E17">
      <w:pPr>
        <w:pStyle w:val="BodyText"/>
        <w:spacing w:after="0" w:line="360" w:lineRule="auto"/>
        <w:ind w:left="0" w:firstLine="0"/>
        <w:rPr>
          <w:sz w:val="26"/>
          <w:szCs w:val="26"/>
        </w:rPr>
      </w:pPr>
    </w:p>
    <w:p w:rsidR="002D3E17" w:rsidRDefault="002D3E17" w:rsidP="0053114A">
      <w:pPr>
        <w:pStyle w:val="Heading3"/>
      </w:pPr>
      <w:bookmarkStart w:id="239" w:name="_Toc346705479"/>
      <w:r>
        <w:t>2.</w:t>
      </w:r>
      <w:r>
        <w:tab/>
        <w:t>Positions of the Parties</w:t>
      </w:r>
      <w:bookmarkEnd w:id="239"/>
    </w:p>
    <w:p w:rsidR="002D3E17" w:rsidRPr="00EE5722" w:rsidRDefault="002D3E17" w:rsidP="002D3E17">
      <w:pPr>
        <w:pStyle w:val="BriefL3"/>
        <w:numPr>
          <w:ilvl w:val="0"/>
          <w:numId w:val="0"/>
        </w:numPr>
        <w:spacing w:after="0" w:line="360" w:lineRule="auto"/>
        <w:ind w:left="1440" w:hanging="720"/>
        <w:rPr>
          <w:b/>
          <w:sz w:val="26"/>
          <w:szCs w:val="26"/>
        </w:rPr>
      </w:pPr>
    </w:p>
    <w:p w:rsidR="002D3E17" w:rsidRPr="00EF7A2A" w:rsidRDefault="00C25B3F" w:rsidP="002D3E17">
      <w:pPr>
        <w:pStyle w:val="WBBodyText1"/>
        <w:spacing w:line="360" w:lineRule="auto"/>
        <w:ind w:firstLine="1440"/>
        <w:rPr>
          <w:bCs/>
          <w:sz w:val="26"/>
          <w:szCs w:val="26"/>
        </w:rPr>
      </w:pPr>
      <w:r>
        <w:rPr>
          <w:sz w:val="26"/>
          <w:szCs w:val="26"/>
        </w:rPr>
        <w:t>RESA argued</w:t>
      </w:r>
      <w:r w:rsidR="002D3E17" w:rsidRPr="00EF7A2A">
        <w:rPr>
          <w:sz w:val="26"/>
          <w:szCs w:val="26"/>
        </w:rPr>
        <w:t xml:space="preserve"> that, </w:t>
      </w:r>
      <w:r w:rsidR="002D3E17" w:rsidRPr="00EF7A2A">
        <w:rPr>
          <w:bCs/>
          <w:sz w:val="26"/>
          <w:szCs w:val="26"/>
        </w:rPr>
        <w:t xml:space="preserve">rather than having an EDC-based TOU program, the EDC should be required to certify that one or more EGSs have agreed to offer a TOU rate to residential customers in its service territory.  RESA contended that this would satisfy the requirements of Act 129 that a TOU product be available to customers in a utility service territory.  </w:t>
      </w:r>
      <w:r w:rsidR="002D3E17">
        <w:rPr>
          <w:bCs/>
          <w:sz w:val="26"/>
          <w:szCs w:val="26"/>
        </w:rPr>
        <w:t>RESA opined that t</w:t>
      </w:r>
      <w:r w:rsidR="002D3E17" w:rsidRPr="00EF7A2A">
        <w:rPr>
          <w:bCs/>
          <w:sz w:val="26"/>
          <w:szCs w:val="26"/>
        </w:rPr>
        <w:t xml:space="preserve">his approach would obviate the need to address TOU load through wholesale default service procurements.  Alternatively, if that proposal is not accepted by the Commission, then RESA supported bidding out the TOU program consistent with the Commission’s </w:t>
      </w:r>
      <w:r w:rsidR="0052518A">
        <w:rPr>
          <w:bCs/>
          <w:sz w:val="26"/>
          <w:szCs w:val="26"/>
        </w:rPr>
        <w:t xml:space="preserve">recommendation </w:t>
      </w:r>
      <w:r w:rsidR="002D3E17" w:rsidRPr="00EF7A2A">
        <w:rPr>
          <w:bCs/>
          <w:sz w:val="26"/>
          <w:szCs w:val="26"/>
        </w:rPr>
        <w:t xml:space="preserve"> in </w:t>
      </w:r>
      <w:r w:rsidR="0052518A">
        <w:rPr>
          <w:bCs/>
          <w:sz w:val="26"/>
          <w:szCs w:val="26"/>
        </w:rPr>
        <w:t xml:space="preserve">the </w:t>
      </w:r>
      <w:r w:rsidR="0052518A" w:rsidRPr="005751B0">
        <w:rPr>
          <w:i/>
          <w:sz w:val="26"/>
          <w:szCs w:val="26"/>
        </w:rPr>
        <w:t>Investigation of Pennsylvania’s Retail Electricity Market</w:t>
      </w:r>
      <w:r w:rsidR="0052518A">
        <w:rPr>
          <w:i/>
          <w:sz w:val="26"/>
          <w:szCs w:val="26"/>
        </w:rPr>
        <w:t>:</w:t>
      </w:r>
      <w:r w:rsidR="0052518A" w:rsidRPr="005751B0">
        <w:rPr>
          <w:i/>
          <w:sz w:val="26"/>
          <w:szCs w:val="26"/>
        </w:rPr>
        <w:t xml:space="preserve"> Recommendations Regarding Upcoming Default Service Plans</w:t>
      </w:r>
      <w:r w:rsidR="0052518A">
        <w:rPr>
          <w:i/>
          <w:sz w:val="26"/>
          <w:szCs w:val="26"/>
        </w:rPr>
        <w:t>,</w:t>
      </w:r>
      <w:r w:rsidR="0052518A" w:rsidRPr="005751B0">
        <w:rPr>
          <w:sz w:val="26"/>
          <w:szCs w:val="26"/>
        </w:rPr>
        <w:t xml:space="preserve"> D</w:t>
      </w:r>
      <w:r w:rsidR="0052518A">
        <w:rPr>
          <w:sz w:val="26"/>
          <w:szCs w:val="26"/>
        </w:rPr>
        <w:t>ocket No. I-2011-2237952 (</w:t>
      </w:r>
      <w:r w:rsidR="00D16DFB">
        <w:rPr>
          <w:sz w:val="26"/>
          <w:szCs w:val="26"/>
        </w:rPr>
        <w:t xml:space="preserve">Final Order entered December </w:t>
      </w:r>
      <w:r w:rsidR="0052518A" w:rsidRPr="005751B0">
        <w:rPr>
          <w:sz w:val="26"/>
          <w:szCs w:val="26"/>
        </w:rPr>
        <w:t>16, 2011</w:t>
      </w:r>
      <w:r w:rsidR="0052518A">
        <w:rPr>
          <w:sz w:val="26"/>
          <w:szCs w:val="26"/>
        </w:rPr>
        <w:t xml:space="preserve">) at 47-48 </w:t>
      </w:r>
      <w:r w:rsidR="0052518A">
        <w:rPr>
          <w:bCs/>
          <w:sz w:val="26"/>
          <w:szCs w:val="26"/>
        </w:rPr>
        <w:t>(</w:t>
      </w:r>
      <w:r w:rsidR="002D3E17" w:rsidRPr="004F6BF2">
        <w:rPr>
          <w:bCs/>
          <w:i/>
          <w:sz w:val="26"/>
          <w:szCs w:val="26"/>
        </w:rPr>
        <w:t>RMI</w:t>
      </w:r>
      <w:r w:rsidR="002D3E17" w:rsidRPr="004F6BF2">
        <w:rPr>
          <w:bCs/>
          <w:sz w:val="26"/>
          <w:szCs w:val="26"/>
        </w:rPr>
        <w:t xml:space="preserve"> </w:t>
      </w:r>
      <w:r w:rsidR="002D3E17" w:rsidRPr="004F6BF2">
        <w:rPr>
          <w:bCs/>
          <w:i/>
          <w:sz w:val="26"/>
          <w:szCs w:val="26"/>
        </w:rPr>
        <w:t>Final Order</w:t>
      </w:r>
      <w:r w:rsidR="0052518A">
        <w:rPr>
          <w:bCs/>
          <w:i/>
          <w:sz w:val="26"/>
          <w:szCs w:val="26"/>
        </w:rPr>
        <w:t>)</w:t>
      </w:r>
      <w:r w:rsidR="002D3E17" w:rsidRPr="00EF7A2A">
        <w:rPr>
          <w:bCs/>
          <w:i/>
          <w:sz w:val="26"/>
          <w:szCs w:val="26"/>
        </w:rPr>
        <w:t xml:space="preserve"> </w:t>
      </w:r>
      <w:r w:rsidR="002D3E17" w:rsidRPr="00EF7A2A">
        <w:rPr>
          <w:bCs/>
          <w:sz w:val="26"/>
          <w:szCs w:val="26"/>
        </w:rPr>
        <w:t>issued in the R</w:t>
      </w:r>
      <w:r w:rsidR="0052518A">
        <w:rPr>
          <w:bCs/>
          <w:sz w:val="26"/>
          <w:szCs w:val="26"/>
        </w:rPr>
        <w:t>etail Market</w:t>
      </w:r>
      <w:r w:rsidR="002D3E17" w:rsidRPr="00EF7A2A">
        <w:rPr>
          <w:bCs/>
          <w:sz w:val="26"/>
          <w:szCs w:val="26"/>
        </w:rPr>
        <w:t xml:space="preserve"> Investigation</w:t>
      </w:r>
      <w:r w:rsidR="00741B22">
        <w:rPr>
          <w:bCs/>
          <w:i/>
          <w:sz w:val="26"/>
          <w:szCs w:val="26"/>
        </w:rPr>
        <w:t>.</w:t>
      </w:r>
    </w:p>
    <w:p w:rsidR="002D3E17" w:rsidRPr="00EE5722" w:rsidRDefault="002D3E17" w:rsidP="002D3E17">
      <w:pPr>
        <w:pStyle w:val="WBBodyText1"/>
        <w:spacing w:line="360" w:lineRule="auto"/>
        <w:rPr>
          <w:sz w:val="26"/>
          <w:szCs w:val="26"/>
        </w:rPr>
      </w:pPr>
    </w:p>
    <w:p w:rsidR="002D3E17" w:rsidRPr="00EF7A2A" w:rsidRDefault="002D3E17" w:rsidP="002D3E17">
      <w:pPr>
        <w:pStyle w:val="WBBodyText1"/>
        <w:spacing w:line="360" w:lineRule="auto"/>
        <w:rPr>
          <w:sz w:val="26"/>
          <w:szCs w:val="26"/>
        </w:rPr>
      </w:pPr>
      <w:r>
        <w:rPr>
          <w:sz w:val="26"/>
          <w:szCs w:val="26"/>
        </w:rPr>
        <w:lastRenderedPageBreak/>
        <w:tab/>
      </w:r>
      <w:r w:rsidRPr="00EF7A2A">
        <w:rPr>
          <w:sz w:val="26"/>
          <w:szCs w:val="26"/>
        </w:rPr>
        <w:t>RESA suggested that</w:t>
      </w:r>
      <w:r w:rsidR="00C25B3F">
        <w:rPr>
          <w:sz w:val="26"/>
          <w:szCs w:val="26"/>
        </w:rPr>
        <w:t>,</w:t>
      </w:r>
      <w:r w:rsidRPr="00EF7A2A">
        <w:rPr>
          <w:sz w:val="26"/>
          <w:szCs w:val="26"/>
        </w:rPr>
        <w:t xml:space="preserve"> to comply with the Act 129 requirement that the “default service provider shall submit to the Commission one or more proposed time-of-use rates and real-time price plans,”</w:t>
      </w:r>
      <w:r w:rsidRPr="00EF7A2A">
        <w:rPr>
          <w:rStyle w:val="FootnoteReference"/>
          <w:sz w:val="26"/>
          <w:szCs w:val="26"/>
        </w:rPr>
        <w:footnoteReference w:id="135"/>
      </w:r>
      <w:r w:rsidRPr="00EF7A2A">
        <w:rPr>
          <w:sz w:val="26"/>
          <w:szCs w:val="26"/>
        </w:rPr>
        <w:t xml:space="preserve"> the Commission could require Duquesne to do the following every year:  (1) survey EGSs and determine whether they are </w:t>
      </w:r>
      <w:r w:rsidR="00C25B3F">
        <w:rPr>
          <w:sz w:val="26"/>
          <w:szCs w:val="26"/>
        </w:rPr>
        <w:t xml:space="preserve">offering </w:t>
      </w:r>
      <w:r w:rsidRPr="00EF7A2A">
        <w:rPr>
          <w:sz w:val="26"/>
          <w:szCs w:val="26"/>
        </w:rPr>
        <w:t>or intend to offer a time-differentiated rate and whether the EGS intends to of</w:t>
      </w:r>
      <w:r w:rsidR="00C25B3F">
        <w:rPr>
          <w:sz w:val="26"/>
          <w:szCs w:val="26"/>
        </w:rPr>
        <w:t xml:space="preserve">fer the product for at least twelve </w:t>
      </w:r>
      <w:r w:rsidRPr="00EF7A2A">
        <w:rPr>
          <w:sz w:val="26"/>
          <w:szCs w:val="26"/>
        </w:rPr>
        <w:t xml:space="preserve">months; and (2) if Duquesne found one or more EGSs offering such rates, it would post that information on a clearinghouse website and refer customers to the information upon inquiry and certify this information to the Commission.  </w:t>
      </w:r>
    </w:p>
    <w:p w:rsidR="002D3E17" w:rsidRPr="00EF7A2A" w:rsidRDefault="002D3E17" w:rsidP="002D3E17">
      <w:pPr>
        <w:pStyle w:val="WBBodyText1"/>
        <w:spacing w:line="360" w:lineRule="auto"/>
        <w:rPr>
          <w:sz w:val="26"/>
          <w:szCs w:val="26"/>
        </w:rPr>
      </w:pPr>
    </w:p>
    <w:p w:rsidR="002D3E17" w:rsidRPr="00EF7A2A" w:rsidRDefault="002D3E17" w:rsidP="002D3E17">
      <w:pPr>
        <w:pStyle w:val="WBBodyText1"/>
        <w:spacing w:line="360" w:lineRule="auto"/>
        <w:rPr>
          <w:sz w:val="26"/>
          <w:szCs w:val="26"/>
        </w:rPr>
      </w:pPr>
      <w:r w:rsidRPr="00EF7A2A">
        <w:rPr>
          <w:sz w:val="26"/>
          <w:szCs w:val="26"/>
        </w:rPr>
        <w:tab/>
        <w:t xml:space="preserve">RESA argued that nothing in Act 129 would prohibit RESA’s recommended approach to TOU service.  As it stands, </w:t>
      </w:r>
      <w:r>
        <w:rPr>
          <w:sz w:val="26"/>
          <w:szCs w:val="26"/>
        </w:rPr>
        <w:t xml:space="preserve">RESA maintained that </w:t>
      </w:r>
      <w:r w:rsidRPr="00EF7A2A">
        <w:rPr>
          <w:sz w:val="26"/>
          <w:szCs w:val="26"/>
        </w:rPr>
        <w:t>Act 129 imposes the obligation to ensure th</w:t>
      </w:r>
      <w:r w:rsidR="00D16DFB">
        <w:rPr>
          <w:sz w:val="26"/>
          <w:szCs w:val="26"/>
        </w:rPr>
        <w:t>at</w:t>
      </w:r>
      <w:r w:rsidRPr="00EF7A2A">
        <w:rPr>
          <w:sz w:val="26"/>
          <w:szCs w:val="26"/>
        </w:rPr>
        <w:t xml:space="preserve"> TOU rates are available.  </w:t>
      </w:r>
      <w:r>
        <w:rPr>
          <w:sz w:val="26"/>
          <w:szCs w:val="26"/>
        </w:rPr>
        <w:t xml:space="preserve">RESA claimed </w:t>
      </w:r>
      <w:r w:rsidR="00C25B3F">
        <w:rPr>
          <w:sz w:val="26"/>
          <w:szCs w:val="26"/>
        </w:rPr>
        <w:t>that this</w:t>
      </w:r>
      <w:r w:rsidRPr="00EF7A2A">
        <w:rPr>
          <w:sz w:val="26"/>
          <w:szCs w:val="26"/>
        </w:rPr>
        <w:t xml:space="preserve"> can be fulfilled by the default service provide</w:t>
      </w:r>
      <w:r>
        <w:rPr>
          <w:sz w:val="26"/>
          <w:szCs w:val="26"/>
        </w:rPr>
        <w:t xml:space="preserve">r bidding out the service, </w:t>
      </w:r>
      <w:r w:rsidRPr="00EF7A2A">
        <w:rPr>
          <w:sz w:val="26"/>
          <w:szCs w:val="26"/>
        </w:rPr>
        <w:t>as was proposed by PECO in</w:t>
      </w:r>
      <w:r>
        <w:rPr>
          <w:sz w:val="26"/>
          <w:szCs w:val="26"/>
        </w:rPr>
        <w:t xml:space="preserve"> its default service proceeding</w:t>
      </w:r>
      <w:r w:rsidR="00343706">
        <w:rPr>
          <w:sz w:val="26"/>
          <w:szCs w:val="26"/>
        </w:rPr>
        <w:t>,</w:t>
      </w:r>
      <w:r w:rsidR="0052518A" w:rsidRPr="00EF7A2A">
        <w:rPr>
          <w:sz w:val="26"/>
          <w:szCs w:val="26"/>
        </w:rPr>
        <w:t xml:space="preserve"> </w:t>
      </w:r>
      <w:r w:rsidRPr="00EF7A2A">
        <w:rPr>
          <w:sz w:val="26"/>
          <w:szCs w:val="26"/>
        </w:rPr>
        <w:t>or by certifying that such servi</w:t>
      </w:r>
      <w:r>
        <w:rPr>
          <w:sz w:val="26"/>
          <w:szCs w:val="26"/>
        </w:rPr>
        <w:t xml:space="preserve">ces are being provided by EGSs, </w:t>
      </w:r>
      <w:r w:rsidRPr="00EF7A2A">
        <w:rPr>
          <w:sz w:val="26"/>
          <w:szCs w:val="26"/>
        </w:rPr>
        <w:t>as is prop</w:t>
      </w:r>
      <w:r>
        <w:rPr>
          <w:sz w:val="26"/>
          <w:szCs w:val="26"/>
        </w:rPr>
        <w:t>osed by RESA in this proceeding</w:t>
      </w:r>
      <w:r w:rsidRPr="00EF7A2A">
        <w:rPr>
          <w:sz w:val="26"/>
          <w:szCs w:val="26"/>
        </w:rPr>
        <w:t xml:space="preserve">.  </w:t>
      </w:r>
      <w:r>
        <w:rPr>
          <w:sz w:val="26"/>
          <w:szCs w:val="26"/>
        </w:rPr>
        <w:t>RESA opined that b</w:t>
      </w:r>
      <w:r w:rsidRPr="00EF7A2A">
        <w:rPr>
          <w:sz w:val="26"/>
          <w:szCs w:val="26"/>
        </w:rPr>
        <w:t xml:space="preserve">oth the spirit and letter of the law </w:t>
      </w:r>
      <w:r w:rsidR="0052518A">
        <w:rPr>
          <w:sz w:val="26"/>
          <w:szCs w:val="26"/>
        </w:rPr>
        <w:t>would be</w:t>
      </w:r>
      <w:r w:rsidRPr="00EF7A2A">
        <w:rPr>
          <w:sz w:val="26"/>
          <w:szCs w:val="26"/>
        </w:rPr>
        <w:t xml:space="preserve"> met where TOU rates are offered by EGSs</w:t>
      </w:r>
      <w:r w:rsidR="00C25B3F">
        <w:rPr>
          <w:sz w:val="26"/>
          <w:szCs w:val="26"/>
        </w:rPr>
        <w:t xml:space="preserve">.  Since these rates would </w:t>
      </w:r>
      <w:r w:rsidRPr="00EF7A2A">
        <w:rPr>
          <w:sz w:val="26"/>
          <w:szCs w:val="26"/>
        </w:rPr>
        <w:t xml:space="preserve">be available </w:t>
      </w:r>
      <w:r w:rsidR="00C25B3F">
        <w:rPr>
          <w:sz w:val="26"/>
          <w:szCs w:val="26"/>
        </w:rPr>
        <w:t xml:space="preserve">only </w:t>
      </w:r>
      <w:r w:rsidRPr="00EF7A2A">
        <w:rPr>
          <w:sz w:val="26"/>
          <w:szCs w:val="26"/>
        </w:rPr>
        <w:t>through the efforts of Duquesne, they would be “provided” by Duquesne, in any reasonab</w:t>
      </w:r>
      <w:r>
        <w:rPr>
          <w:sz w:val="26"/>
          <w:szCs w:val="26"/>
        </w:rPr>
        <w:t>le interpretation of that term, according to RESA.</w:t>
      </w:r>
    </w:p>
    <w:p w:rsidR="002D3E17" w:rsidRPr="00EE5722" w:rsidRDefault="002D3E17" w:rsidP="002D3E17">
      <w:pPr>
        <w:pStyle w:val="WBBodyText1"/>
        <w:spacing w:line="360" w:lineRule="auto"/>
        <w:rPr>
          <w:sz w:val="26"/>
          <w:szCs w:val="26"/>
        </w:rPr>
      </w:pPr>
    </w:p>
    <w:p w:rsidR="002D3E17" w:rsidRPr="00EE5722" w:rsidRDefault="002D3E17" w:rsidP="002D3E17">
      <w:pPr>
        <w:pStyle w:val="BodyTextFirstLine5DS"/>
        <w:spacing w:line="360" w:lineRule="auto"/>
        <w:jc w:val="left"/>
        <w:rPr>
          <w:sz w:val="26"/>
          <w:szCs w:val="26"/>
        </w:rPr>
      </w:pPr>
      <w:r w:rsidRPr="00EE5722">
        <w:rPr>
          <w:sz w:val="26"/>
          <w:szCs w:val="26"/>
        </w:rPr>
        <w:tab/>
      </w:r>
      <w:r>
        <w:rPr>
          <w:sz w:val="26"/>
          <w:szCs w:val="26"/>
        </w:rPr>
        <w:t xml:space="preserve">FES stated that </w:t>
      </w:r>
      <w:r w:rsidR="00EF25B5">
        <w:rPr>
          <w:sz w:val="26"/>
          <w:szCs w:val="26"/>
        </w:rPr>
        <w:t xml:space="preserve">Act 129 </w:t>
      </w:r>
      <w:r w:rsidRPr="00EE5722">
        <w:rPr>
          <w:sz w:val="26"/>
          <w:szCs w:val="26"/>
        </w:rPr>
        <w:t>requires a default service provider to establish and provide TOU rates to customers with smart meters.  66 Pa. C.S.</w:t>
      </w:r>
      <w:r>
        <w:rPr>
          <w:sz w:val="26"/>
          <w:szCs w:val="26"/>
        </w:rPr>
        <w:t xml:space="preserve"> §</w:t>
      </w:r>
      <w:r w:rsidR="00EF25B5">
        <w:rPr>
          <w:sz w:val="26"/>
          <w:szCs w:val="26"/>
        </w:rPr>
        <w:t xml:space="preserve"> </w:t>
      </w:r>
      <w:r>
        <w:rPr>
          <w:sz w:val="26"/>
          <w:szCs w:val="26"/>
        </w:rPr>
        <w:t>2807(f)(5).  FES stated that Duquesne’s</w:t>
      </w:r>
      <w:r w:rsidRPr="00EE5722">
        <w:rPr>
          <w:sz w:val="26"/>
          <w:szCs w:val="26"/>
        </w:rPr>
        <w:t xml:space="preserve"> cl</w:t>
      </w:r>
      <w:r>
        <w:rPr>
          <w:sz w:val="26"/>
          <w:szCs w:val="26"/>
        </w:rPr>
        <w:t xml:space="preserve">arification with regard to TOU service was helpful, but did not fully resolve its concern with Duquesne's proposal.  </w:t>
      </w:r>
      <w:r w:rsidRPr="00EE5722">
        <w:rPr>
          <w:sz w:val="26"/>
          <w:szCs w:val="26"/>
        </w:rPr>
        <w:t xml:space="preserve">FES </w:t>
      </w:r>
      <w:r>
        <w:rPr>
          <w:sz w:val="26"/>
          <w:szCs w:val="26"/>
        </w:rPr>
        <w:t xml:space="preserve">stated that it is </w:t>
      </w:r>
      <w:r w:rsidRPr="00EE5722">
        <w:rPr>
          <w:sz w:val="26"/>
          <w:szCs w:val="26"/>
        </w:rPr>
        <w:t xml:space="preserve">troubled </w:t>
      </w:r>
      <w:r>
        <w:rPr>
          <w:sz w:val="26"/>
          <w:szCs w:val="26"/>
        </w:rPr>
        <w:t>by Section 4.3 of Duques</w:t>
      </w:r>
      <w:r w:rsidR="00EF25B5">
        <w:rPr>
          <w:sz w:val="26"/>
          <w:szCs w:val="26"/>
        </w:rPr>
        <w:t xml:space="preserve">ne's </w:t>
      </w:r>
      <w:r>
        <w:rPr>
          <w:sz w:val="26"/>
          <w:szCs w:val="26"/>
        </w:rPr>
        <w:t>SMA</w:t>
      </w:r>
      <w:r w:rsidRPr="00EE5722">
        <w:rPr>
          <w:sz w:val="26"/>
          <w:szCs w:val="26"/>
        </w:rPr>
        <w:t xml:space="preserve">. </w:t>
      </w:r>
      <w:r>
        <w:rPr>
          <w:sz w:val="26"/>
          <w:szCs w:val="26"/>
        </w:rPr>
        <w:t xml:space="preserve">FES alleged that </w:t>
      </w:r>
      <w:r w:rsidRPr="00EE5722">
        <w:rPr>
          <w:sz w:val="26"/>
          <w:szCs w:val="26"/>
        </w:rPr>
        <w:t>Section 4.3 of the SMA is very</w:t>
      </w:r>
      <w:r>
        <w:rPr>
          <w:sz w:val="26"/>
          <w:szCs w:val="26"/>
        </w:rPr>
        <w:t xml:space="preserve"> vague, stating that “[Duquesne</w:t>
      </w:r>
      <w:r w:rsidRPr="00EE5722">
        <w:rPr>
          <w:sz w:val="26"/>
          <w:szCs w:val="26"/>
        </w:rPr>
        <w:t xml:space="preserve">] </w:t>
      </w:r>
      <w:r w:rsidRPr="00D16DFB">
        <w:rPr>
          <w:i/>
          <w:sz w:val="26"/>
          <w:szCs w:val="26"/>
        </w:rPr>
        <w:t>may</w:t>
      </w:r>
      <w:r w:rsidRPr="00EE5722">
        <w:rPr>
          <w:sz w:val="26"/>
          <w:szCs w:val="26"/>
        </w:rPr>
        <w:t xml:space="preserve"> request TOU supply from Seller”  (</w:t>
      </w:r>
      <w:r w:rsidR="00D16DFB">
        <w:rPr>
          <w:sz w:val="26"/>
          <w:szCs w:val="26"/>
        </w:rPr>
        <w:t>e</w:t>
      </w:r>
      <w:r w:rsidRPr="00EE5722">
        <w:rPr>
          <w:sz w:val="26"/>
          <w:szCs w:val="26"/>
        </w:rPr>
        <w:t xml:space="preserve">mphasis added).  </w:t>
      </w:r>
      <w:r>
        <w:rPr>
          <w:sz w:val="26"/>
          <w:szCs w:val="26"/>
        </w:rPr>
        <w:t xml:space="preserve">According to </w:t>
      </w:r>
      <w:r>
        <w:rPr>
          <w:sz w:val="26"/>
          <w:szCs w:val="26"/>
        </w:rPr>
        <w:lastRenderedPageBreak/>
        <w:t>FES, u</w:t>
      </w:r>
      <w:r w:rsidRPr="00EE5722">
        <w:rPr>
          <w:sz w:val="26"/>
          <w:szCs w:val="26"/>
        </w:rPr>
        <w:t xml:space="preserve">nder this provision </w:t>
      </w:r>
      <w:r w:rsidR="00EF25B5">
        <w:rPr>
          <w:sz w:val="26"/>
          <w:szCs w:val="26"/>
        </w:rPr>
        <w:t xml:space="preserve">wholesale suppliers would </w:t>
      </w:r>
      <w:r w:rsidRPr="00EE5722">
        <w:rPr>
          <w:sz w:val="26"/>
          <w:szCs w:val="26"/>
        </w:rPr>
        <w:t xml:space="preserve">be required to agree to provide TOU load as a portion of full requirements load.  </w:t>
      </w:r>
      <w:r>
        <w:rPr>
          <w:sz w:val="26"/>
          <w:szCs w:val="26"/>
        </w:rPr>
        <w:t xml:space="preserve">FES claimed that as </w:t>
      </w:r>
      <w:r w:rsidRPr="00EE5722">
        <w:rPr>
          <w:sz w:val="26"/>
          <w:szCs w:val="26"/>
        </w:rPr>
        <w:t>TOU load and full requirements load are completely different product</w:t>
      </w:r>
      <w:r>
        <w:rPr>
          <w:sz w:val="26"/>
          <w:szCs w:val="26"/>
        </w:rPr>
        <w:t>s, with different risk profiles,</w:t>
      </w:r>
      <w:r w:rsidRPr="00EE5722">
        <w:rPr>
          <w:sz w:val="26"/>
          <w:szCs w:val="26"/>
        </w:rPr>
        <w:t xml:space="preserve"> including the TOU product with a fixed price default service product could limit supplier participation and/or unnecessarily increase default service prices.  </w:t>
      </w:r>
    </w:p>
    <w:p w:rsidR="002D3E17" w:rsidRPr="00EE5722" w:rsidRDefault="002D3E17" w:rsidP="002D3E17">
      <w:pPr>
        <w:pStyle w:val="BodyTextFirstLine5DS"/>
        <w:spacing w:line="360" w:lineRule="auto"/>
        <w:jc w:val="left"/>
        <w:rPr>
          <w:sz w:val="26"/>
          <w:szCs w:val="26"/>
        </w:rPr>
      </w:pPr>
    </w:p>
    <w:p w:rsidR="002D3E17" w:rsidRPr="00EE5722" w:rsidRDefault="002D3E17" w:rsidP="002D3E17">
      <w:pPr>
        <w:pStyle w:val="BodyTextFirstLine5DS"/>
        <w:spacing w:line="360" w:lineRule="auto"/>
        <w:jc w:val="left"/>
        <w:rPr>
          <w:sz w:val="26"/>
          <w:szCs w:val="26"/>
        </w:rPr>
      </w:pPr>
      <w:r>
        <w:rPr>
          <w:sz w:val="26"/>
          <w:szCs w:val="26"/>
        </w:rPr>
        <w:tab/>
        <w:t>FES proposed</w:t>
      </w:r>
      <w:r w:rsidRPr="00EE5722">
        <w:rPr>
          <w:sz w:val="26"/>
          <w:szCs w:val="26"/>
        </w:rPr>
        <w:t xml:space="preserve"> that SMA Section 4.3 be deleted.  Alternatively, at the very least, </w:t>
      </w:r>
      <w:r>
        <w:rPr>
          <w:sz w:val="26"/>
          <w:szCs w:val="26"/>
        </w:rPr>
        <w:t xml:space="preserve">FES proposed that </w:t>
      </w:r>
      <w:r w:rsidRPr="00EE5722">
        <w:rPr>
          <w:sz w:val="26"/>
          <w:szCs w:val="26"/>
        </w:rPr>
        <w:t>this section should be revised to address the possibility of obtaining TOU from wholesale suppliers through an Addendum to the SMA, rather than combini</w:t>
      </w:r>
      <w:r w:rsidR="00EF25B5">
        <w:rPr>
          <w:sz w:val="26"/>
          <w:szCs w:val="26"/>
        </w:rPr>
        <w:t xml:space="preserve">ng the TOU load with </w:t>
      </w:r>
      <w:r w:rsidRPr="00EE5722">
        <w:rPr>
          <w:sz w:val="26"/>
          <w:szCs w:val="26"/>
        </w:rPr>
        <w:t xml:space="preserve">full requirements load. </w:t>
      </w:r>
      <w:r>
        <w:rPr>
          <w:sz w:val="26"/>
          <w:szCs w:val="26"/>
        </w:rPr>
        <w:t xml:space="preserve"> </w:t>
      </w:r>
      <w:r w:rsidRPr="00EE5722">
        <w:rPr>
          <w:sz w:val="26"/>
          <w:szCs w:val="26"/>
        </w:rPr>
        <w:t>FE</w:t>
      </w:r>
      <w:r>
        <w:rPr>
          <w:sz w:val="26"/>
          <w:szCs w:val="26"/>
        </w:rPr>
        <w:t>S recognized that Duquesne</w:t>
      </w:r>
      <w:r w:rsidRPr="00EE5722">
        <w:rPr>
          <w:sz w:val="26"/>
          <w:szCs w:val="26"/>
        </w:rPr>
        <w:t xml:space="preserve">’s TOU program is still in the early “pilot” stages of development, but while the current usage is small it may become more robust during the </w:t>
      </w:r>
      <w:r w:rsidR="00D16DFB">
        <w:rPr>
          <w:sz w:val="26"/>
          <w:szCs w:val="26"/>
        </w:rPr>
        <w:t>DSP</w:t>
      </w:r>
      <w:r w:rsidRPr="00EE5722">
        <w:rPr>
          <w:sz w:val="26"/>
          <w:szCs w:val="26"/>
        </w:rPr>
        <w:t xml:space="preserve"> VI time period.  FES believes tha</w:t>
      </w:r>
      <w:r>
        <w:rPr>
          <w:sz w:val="26"/>
          <w:szCs w:val="26"/>
        </w:rPr>
        <w:t>t Duquesne</w:t>
      </w:r>
      <w:r w:rsidRPr="00EE5722">
        <w:rPr>
          <w:sz w:val="26"/>
          <w:szCs w:val="26"/>
        </w:rPr>
        <w:t>’s TOU load should be served by an EGS either through a bid separate from its full requirements products, or as RESA suggests</w:t>
      </w:r>
      <w:r>
        <w:rPr>
          <w:sz w:val="26"/>
          <w:szCs w:val="26"/>
        </w:rPr>
        <w:t>,</w:t>
      </w:r>
      <w:r w:rsidRPr="00EE5722">
        <w:rPr>
          <w:sz w:val="26"/>
          <w:szCs w:val="26"/>
        </w:rPr>
        <w:t xml:space="preserve"> through an EGS solicitation on a less formal ba</w:t>
      </w:r>
      <w:r>
        <w:rPr>
          <w:sz w:val="26"/>
          <w:szCs w:val="26"/>
        </w:rPr>
        <w:t xml:space="preserve">sis, after which Duquesne </w:t>
      </w:r>
      <w:r w:rsidRPr="00EE5722">
        <w:rPr>
          <w:sz w:val="26"/>
          <w:szCs w:val="26"/>
        </w:rPr>
        <w:t>would post the information to a clearing house website, and certify the information to the Commis</w:t>
      </w:r>
      <w:r w:rsidR="00EF25B5">
        <w:rPr>
          <w:sz w:val="26"/>
          <w:szCs w:val="26"/>
        </w:rPr>
        <w:t>sion.</w:t>
      </w:r>
    </w:p>
    <w:p w:rsidR="002D3E17" w:rsidRPr="00EE5722" w:rsidRDefault="002D3E17" w:rsidP="002D3E17">
      <w:pPr>
        <w:pStyle w:val="BodyTextFirstLine5DS"/>
        <w:spacing w:line="360" w:lineRule="auto"/>
        <w:jc w:val="left"/>
        <w:rPr>
          <w:sz w:val="26"/>
          <w:szCs w:val="26"/>
        </w:rPr>
      </w:pPr>
    </w:p>
    <w:p w:rsidR="002D3E17" w:rsidRDefault="002D3E17" w:rsidP="002D3E17">
      <w:pPr>
        <w:pStyle w:val="BodyTextFirstLine5DS"/>
        <w:spacing w:line="360" w:lineRule="auto"/>
        <w:jc w:val="left"/>
        <w:rPr>
          <w:sz w:val="26"/>
          <w:szCs w:val="26"/>
        </w:rPr>
      </w:pPr>
      <w:r>
        <w:rPr>
          <w:sz w:val="26"/>
          <w:szCs w:val="26"/>
        </w:rPr>
        <w:tab/>
        <w:t>Constellation suggested</w:t>
      </w:r>
      <w:r w:rsidRPr="00EE5722">
        <w:rPr>
          <w:sz w:val="26"/>
          <w:szCs w:val="26"/>
        </w:rPr>
        <w:t xml:space="preserve"> an alternative meth</w:t>
      </w:r>
      <w:r>
        <w:rPr>
          <w:sz w:val="26"/>
          <w:szCs w:val="26"/>
        </w:rPr>
        <w:t xml:space="preserve">odology by which Duquesne </w:t>
      </w:r>
      <w:r w:rsidRPr="00EE5722">
        <w:rPr>
          <w:sz w:val="26"/>
          <w:szCs w:val="26"/>
        </w:rPr>
        <w:t>could obtain TOU load from its default service suppliers, in order to obviate the risks of both customer shopping for EGS service and customers choos</w:t>
      </w:r>
      <w:r w:rsidR="0052518A">
        <w:rPr>
          <w:sz w:val="26"/>
          <w:szCs w:val="26"/>
        </w:rPr>
        <w:t>ing</w:t>
      </w:r>
      <w:r w:rsidRPr="00EE5722">
        <w:rPr>
          <w:sz w:val="26"/>
          <w:szCs w:val="26"/>
        </w:rPr>
        <w:t xml:space="preserve"> the </w:t>
      </w:r>
      <w:r>
        <w:rPr>
          <w:sz w:val="26"/>
          <w:szCs w:val="26"/>
        </w:rPr>
        <w:t>TOU offering from Duquesne</w:t>
      </w:r>
      <w:r w:rsidRPr="00EE5722">
        <w:rPr>
          <w:sz w:val="26"/>
          <w:szCs w:val="26"/>
        </w:rPr>
        <w:t xml:space="preserve">.  Constellation’s </w:t>
      </w:r>
      <w:r>
        <w:rPr>
          <w:sz w:val="26"/>
          <w:szCs w:val="26"/>
        </w:rPr>
        <w:t xml:space="preserve">proposal was that Duquesne </w:t>
      </w:r>
      <w:r w:rsidRPr="00EE5722">
        <w:rPr>
          <w:sz w:val="26"/>
          <w:szCs w:val="26"/>
        </w:rPr>
        <w:t>allocate a pro-rata percentage sha</w:t>
      </w:r>
      <w:r w:rsidR="004F6BF2">
        <w:rPr>
          <w:sz w:val="26"/>
          <w:szCs w:val="26"/>
        </w:rPr>
        <w:t xml:space="preserve">re of TOU load to each tranche, </w:t>
      </w:r>
      <w:r w:rsidRPr="00EE5722">
        <w:rPr>
          <w:sz w:val="26"/>
          <w:szCs w:val="26"/>
        </w:rPr>
        <w:t>including</w:t>
      </w:r>
      <w:r w:rsidR="004F6BF2">
        <w:rPr>
          <w:sz w:val="26"/>
          <w:szCs w:val="26"/>
        </w:rPr>
        <w:t xml:space="preserve"> those awarded in the DSP RFPs,</w:t>
      </w:r>
      <w:r w:rsidRPr="00EE5722">
        <w:rPr>
          <w:sz w:val="26"/>
          <w:szCs w:val="26"/>
        </w:rPr>
        <w:t xml:space="preserve"> and not revise the price paid to default service suppliers under t</w:t>
      </w:r>
      <w:r>
        <w:rPr>
          <w:sz w:val="26"/>
          <w:szCs w:val="26"/>
        </w:rPr>
        <w:t xml:space="preserve">heir contracts.  According to Constellation, Duquesne </w:t>
      </w:r>
      <w:r w:rsidRPr="00EE5722">
        <w:rPr>
          <w:sz w:val="26"/>
          <w:szCs w:val="26"/>
        </w:rPr>
        <w:t xml:space="preserve">would establish the TOU price through a “retail pricing matrix,” and differences between the payments to wholesale suppliers and amounts paid by TOU customers could be dealt with through the reconciliation </w:t>
      </w:r>
      <w:r>
        <w:rPr>
          <w:sz w:val="26"/>
          <w:szCs w:val="26"/>
        </w:rPr>
        <w:t xml:space="preserve">process.  Constellation St. </w:t>
      </w:r>
      <w:r w:rsidR="007B4B36">
        <w:rPr>
          <w:sz w:val="26"/>
          <w:szCs w:val="26"/>
        </w:rPr>
        <w:t>1 at </w:t>
      </w:r>
      <w:r w:rsidRPr="00EE5722">
        <w:rPr>
          <w:sz w:val="26"/>
          <w:szCs w:val="26"/>
        </w:rPr>
        <w:t xml:space="preserve">41-42.  </w:t>
      </w:r>
    </w:p>
    <w:p w:rsidR="002D3E17" w:rsidRPr="00EE5722" w:rsidRDefault="002D3E17" w:rsidP="002D3E17">
      <w:pPr>
        <w:pStyle w:val="BodyText"/>
        <w:spacing w:after="0" w:line="360" w:lineRule="auto"/>
        <w:ind w:left="0" w:firstLine="0"/>
        <w:rPr>
          <w:sz w:val="26"/>
          <w:szCs w:val="26"/>
        </w:rPr>
      </w:pPr>
    </w:p>
    <w:p w:rsidR="002D3E17" w:rsidRDefault="002D3E17" w:rsidP="002D3E17">
      <w:pPr>
        <w:pStyle w:val="BodyText2"/>
        <w:spacing w:after="0" w:line="360" w:lineRule="auto"/>
        <w:ind w:firstLine="1440"/>
        <w:rPr>
          <w:sz w:val="26"/>
          <w:szCs w:val="26"/>
        </w:rPr>
      </w:pPr>
      <w:r>
        <w:rPr>
          <w:sz w:val="26"/>
          <w:szCs w:val="26"/>
        </w:rPr>
        <w:lastRenderedPageBreak/>
        <w:t xml:space="preserve">The </w:t>
      </w:r>
      <w:r w:rsidRPr="00EE5722">
        <w:rPr>
          <w:sz w:val="26"/>
          <w:szCs w:val="26"/>
        </w:rPr>
        <w:t>OCA</w:t>
      </w:r>
      <w:r>
        <w:rPr>
          <w:sz w:val="26"/>
          <w:szCs w:val="26"/>
        </w:rPr>
        <w:t xml:space="preserve">, the OSBA, CAUSE, Citizen Power, DII, and Dominion took </w:t>
      </w:r>
      <w:r w:rsidRPr="00EE5722">
        <w:rPr>
          <w:sz w:val="26"/>
          <w:szCs w:val="26"/>
        </w:rPr>
        <w:t>no position on this issue.</w:t>
      </w:r>
    </w:p>
    <w:p w:rsidR="00E914A3" w:rsidRDefault="00E914A3" w:rsidP="00E914A3">
      <w:pPr>
        <w:pStyle w:val="BriefL3"/>
        <w:numPr>
          <w:ilvl w:val="0"/>
          <w:numId w:val="0"/>
        </w:numPr>
        <w:spacing w:after="0" w:line="360" w:lineRule="auto"/>
        <w:rPr>
          <w:sz w:val="26"/>
          <w:szCs w:val="26"/>
        </w:rPr>
      </w:pPr>
    </w:p>
    <w:p w:rsidR="002D3E17" w:rsidRPr="00EE5722" w:rsidRDefault="002D3E17" w:rsidP="0053114A">
      <w:pPr>
        <w:pStyle w:val="Heading3"/>
      </w:pPr>
      <w:bookmarkStart w:id="240" w:name="_Toc346705480"/>
      <w:r>
        <w:t>3.</w:t>
      </w:r>
      <w:r>
        <w:tab/>
        <w:t>ALJ’s Recommendation</w:t>
      </w:r>
      <w:bookmarkEnd w:id="240"/>
      <w:r w:rsidR="004F6BF2">
        <w:t xml:space="preserve"> </w:t>
      </w:r>
    </w:p>
    <w:p w:rsidR="002D3E17" w:rsidRPr="00EE5722" w:rsidRDefault="002D3E17" w:rsidP="002D3E17">
      <w:pPr>
        <w:pStyle w:val="BodyText"/>
        <w:spacing w:after="0" w:line="360" w:lineRule="auto"/>
        <w:ind w:left="0" w:firstLine="0"/>
        <w:rPr>
          <w:sz w:val="26"/>
          <w:szCs w:val="26"/>
        </w:rPr>
      </w:pPr>
    </w:p>
    <w:p w:rsidR="002D3E17" w:rsidRDefault="002D3E17" w:rsidP="00935FAE">
      <w:pPr>
        <w:pStyle w:val="BodyText"/>
        <w:spacing w:after="0" w:line="360" w:lineRule="auto"/>
        <w:ind w:left="0" w:firstLine="0"/>
        <w:rPr>
          <w:color w:val="000000" w:themeColor="text1"/>
          <w:sz w:val="26"/>
          <w:szCs w:val="26"/>
        </w:rPr>
      </w:pPr>
      <w:r>
        <w:rPr>
          <w:color w:val="000000" w:themeColor="text1"/>
          <w:sz w:val="26"/>
          <w:szCs w:val="26"/>
        </w:rPr>
        <w:tab/>
      </w:r>
      <w:r>
        <w:rPr>
          <w:color w:val="000000" w:themeColor="text1"/>
          <w:sz w:val="26"/>
          <w:szCs w:val="26"/>
        </w:rPr>
        <w:tab/>
        <w:t>The ALJ</w:t>
      </w:r>
      <w:r w:rsidRPr="00EE5722">
        <w:rPr>
          <w:color w:val="000000" w:themeColor="text1"/>
          <w:sz w:val="26"/>
          <w:szCs w:val="26"/>
        </w:rPr>
        <w:t xml:space="preserve"> recommend</w:t>
      </w:r>
      <w:r>
        <w:rPr>
          <w:color w:val="000000" w:themeColor="text1"/>
          <w:sz w:val="26"/>
          <w:szCs w:val="26"/>
        </w:rPr>
        <w:t>ed</w:t>
      </w:r>
      <w:r w:rsidRPr="00EE5722">
        <w:rPr>
          <w:color w:val="000000" w:themeColor="text1"/>
          <w:sz w:val="26"/>
          <w:szCs w:val="26"/>
        </w:rPr>
        <w:t xml:space="preserve"> approval of Duque</w:t>
      </w:r>
      <w:r>
        <w:rPr>
          <w:color w:val="000000" w:themeColor="text1"/>
          <w:sz w:val="26"/>
          <w:szCs w:val="26"/>
        </w:rPr>
        <w:t>sne</w:t>
      </w:r>
      <w:r w:rsidRPr="00EE5722">
        <w:rPr>
          <w:color w:val="000000" w:themeColor="text1"/>
          <w:sz w:val="26"/>
          <w:szCs w:val="26"/>
        </w:rPr>
        <w:t>’s proposal to bid out TOU load to all EGSs after more customers obtain smart meters</w:t>
      </w:r>
      <w:r>
        <w:rPr>
          <w:color w:val="000000" w:themeColor="text1"/>
          <w:sz w:val="26"/>
          <w:szCs w:val="26"/>
        </w:rPr>
        <w:t>,</w:t>
      </w:r>
      <w:r w:rsidRPr="00EE5722">
        <w:rPr>
          <w:color w:val="000000" w:themeColor="text1"/>
          <w:sz w:val="26"/>
          <w:szCs w:val="26"/>
        </w:rPr>
        <w:t xml:space="preserve"> and to use wholesale default service suppliers </w:t>
      </w:r>
      <w:r w:rsidRPr="003C58FE">
        <w:rPr>
          <w:color w:val="000000" w:themeColor="text1"/>
          <w:sz w:val="26"/>
          <w:szCs w:val="26"/>
        </w:rPr>
        <w:t xml:space="preserve">if </w:t>
      </w:r>
      <w:r w:rsidRPr="00EE5722">
        <w:rPr>
          <w:color w:val="000000" w:themeColor="text1"/>
          <w:sz w:val="26"/>
          <w:szCs w:val="26"/>
        </w:rPr>
        <w:t xml:space="preserve">no Commission-approved bids are received.  </w:t>
      </w:r>
      <w:r>
        <w:rPr>
          <w:color w:val="000000" w:themeColor="text1"/>
          <w:sz w:val="26"/>
          <w:szCs w:val="26"/>
        </w:rPr>
        <w:t>The ALJ stated that</w:t>
      </w:r>
      <w:r w:rsidR="00E914A3">
        <w:rPr>
          <w:color w:val="000000" w:themeColor="text1"/>
          <w:sz w:val="26"/>
          <w:szCs w:val="26"/>
        </w:rPr>
        <w:t>,</w:t>
      </w:r>
      <w:r>
        <w:rPr>
          <w:color w:val="000000" w:themeColor="text1"/>
          <w:sz w:val="26"/>
          <w:szCs w:val="26"/>
        </w:rPr>
        <w:t xml:space="preserve"> although Act 129 requires EDCs </w:t>
      </w:r>
      <w:r w:rsidRPr="00EE5722">
        <w:rPr>
          <w:color w:val="000000" w:themeColor="text1"/>
          <w:sz w:val="26"/>
          <w:szCs w:val="26"/>
        </w:rPr>
        <w:t xml:space="preserve">to provide TOU </w:t>
      </w:r>
      <w:r>
        <w:rPr>
          <w:color w:val="000000" w:themeColor="text1"/>
          <w:sz w:val="26"/>
          <w:szCs w:val="26"/>
        </w:rPr>
        <w:t xml:space="preserve">rates </w:t>
      </w:r>
      <w:r w:rsidRPr="00EE5722">
        <w:rPr>
          <w:color w:val="000000" w:themeColor="text1"/>
          <w:sz w:val="26"/>
          <w:szCs w:val="26"/>
        </w:rPr>
        <w:t>to customers with smart met</w:t>
      </w:r>
      <w:r>
        <w:rPr>
          <w:color w:val="000000" w:themeColor="text1"/>
          <w:sz w:val="26"/>
          <w:szCs w:val="26"/>
        </w:rPr>
        <w:t xml:space="preserve">ers, to date few Duquesne customers have </w:t>
      </w:r>
      <w:r w:rsidRPr="00EE5722">
        <w:rPr>
          <w:color w:val="000000" w:themeColor="text1"/>
          <w:sz w:val="26"/>
          <w:szCs w:val="26"/>
        </w:rPr>
        <w:t xml:space="preserve">smart meters.  </w:t>
      </w:r>
      <w:r>
        <w:rPr>
          <w:color w:val="000000" w:themeColor="text1"/>
          <w:sz w:val="26"/>
          <w:szCs w:val="26"/>
        </w:rPr>
        <w:t>The ALJ noted that Duquesne proposed</w:t>
      </w:r>
      <w:r w:rsidRPr="00EE5722">
        <w:rPr>
          <w:color w:val="000000" w:themeColor="text1"/>
          <w:sz w:val="26"/>
          <w:szCs w:val="26"/>
        </w:rPr>
        <w:t xml:space="preserve"> to pay wholesale suppliers the actual TOU revenues received for the TOU portion of the load based on the TOU progra</w:t>
      </w:r>
      <w:r>
        <w:rPr>
          <w:color w:val="000000" w:themeColor="text1"/>
          <w:sz w:val="26"/>
          <w:szCs w:val="26"/>
        </w:rPr>
        <w:t>m on-peak and off-peak rates.  The ALJ</w:t>
      </w:r>
      <w:r w:rsidRPr="00EE5722">
        <w:rPr>
          <w:color w:val="000000" w:themeColor="text1"/>
          <w:sz w:val="26"/>
          <w:szCs w:val="26"/>
        </w:rPr>
        <w:t xml:space="preserve"> agree</w:t>
      </w:r>
      <w:r>
        <w:rPr>
          <w:color w:val="000000" w:themeColor="text1"/>
          <w:sz w:val="26"/>
          <w:szCs w:val="26"/>
        </w:rPr>
        <w:t>d</w:t>
      </w:r>
      <w:r w:rsidRPr="00EE5722">
        <w:rPr>
          <w:color w:val="000000" w:themeColor="text1"/>
          <w:sz w:val="26"/>
          <w:szCs w:val="26"/>
        </w:rPr>
        <w:t xml:space="preserve"> with this proposal because it is unlikely wholesale suppliers will be called upon to provide the TOU service and only a relatively small number of smart meters will be installed prior to the end of this default service plan.</w:t>
      </w:r>
      <w:r>
        <w:rPr>
          <w:color w:val="000000" w:themeColor="text1"/>
          <w:sz w:val="26"/>
          <w:szCs w:val="26"/>
        </w:rPr>
        <w:t xml:space="preserve">  R.D. at 202.</w:t>
      </w:r>
    </w:p>
    <w:p w:rsidR="002D3E17" w:rsidRPr="00EE5722" w:rsidRDefault="002D3E17" w:rsidP="00935FAE">
      <w:pPr>
        <w:pStyle w:val="WBBodyText1"/>
        <w:spacing w:line="360" w:lineRule="auto"/>
        <w:rPr>
          <w:sz w:val="26"/>
          <w:szCs w:val="26"/>
        </w:rPr>
      </w:pPr>
      <w:r w:rsidRPr="00EE5722">
        <w:rPr>
          <w:sz w:val="26"/>
          <w:szCs w:val="26"/>
        </w:rPr>
        <w:tab/>
      </w:r>
    </w:p>
    <w:p w:rsidR="002D3E17" w:rsidRPr="00EE5722" w:rsidRDefault="002D3E17" w:rsidP="0053114A">
      <w:pPr>
        <w:pStyle w:val="Heading3"/>
      </w:pPr>
      <w:bookmarkStart w:id="241" w:name="_Toc346705481"/>
      <w:r>
        <w:t>4.</w:t>
      </w:r>
      <w:r>
        <w:tab/>
        <w:t>Exceptions</w:t>
      </w:r>
      <w:bookmarkEnd w:id="241"/>
    </w:p>
    <w:p w:rsidR="002D3E17" w:rsidRDefault="002D3E17" w:rsidP="00935FAE">
      <w:pPr>
        <w:spacing w:line="360" w:lineRule="auto"/>
        <w:jc w:val="both"/>
        <w:rPr>
          <w:b/>
        </w:rPr>
      </w:pPr>
    </w:p>
    <w:p w:rsidR="002D3E17" w:rsidRDefault="002D3E17" w:rsidP="00935FAE">
      <w:pPr>
        <w:pStyle w:val="BodyTextFirstLine5DS"/>
        <w:spacing w:line="360" w:lineRule="auto"/>
        <w:ind w:firstLine="1440"/>
        <w:jc w:val="left"/>
        <w:rPr>
          <w:sz w:val="26"/>
          <w:szCs w:val="26"/>
        </w:rPr>
      </w:pPr>
      <w:r>
        <w:rPr>
          <w:sz w:val="26"/>
          <w:szCs w:val="26"/>
        </w:rPr>
        <w:t>In</w:t>
      </w:r>
      <w:r w:rsidR="00E914A3">
        <w:rPr>
          <w:sz w:val="26"/>
          <w:szCs w:val="26"/>
        </w:rPr>
        <w:t xml:space="preserve"> its Exceptions, FES argues that </w:t>
      </w:r>
      <w:r>
        <w:rPr>
          <w:sz w:val="26"/>
          <w:szCs w:val="26"/>
        </w:rPr>
        <w:t>Duquesne</w:t>
      </w:r>
      <w:r w:rsidRPr="00473A03">
        <w:rPr>
          <w:sz w:val="26"/>
          <w:szCs w:val="26"/>
        </w:rPr>
        <w:t>’s TOU</w:t>
      </w:r>
      <w:r>
        <w:rPr>
          <w:sz w:val="26"/>
          <w:szCs w:val="26"/>
        </w:rPr>
        <w:t xml:space="preserve"> proposal </w:t>
      </w:r>
      <w:r w:rsidR="00E914A3">
        <w:rPr>
          <w:sz w:val="26"/>
          <w:szCs w:val="26"/>
        </w:rPr>
        <w:t xml:space="preserve">should not </w:t>
      </w:r>
      <w:r>
        <w:rPr>
          <w:sz w:val="26"/>
          <w:szCs w:val="26"/>
        </w:rPr>
        <w:t>be adopt</w:t>
      </w:r>
      <w:r w:rsidR="00E914A3">
        <w:rPr>
          <w:sz w:val="26"/>
          <w:szCs w:val="26"/>
        </w:rPr>
        <w:t xml:space="preserve">ed.  According to FES, under </w:t>
      </w:r>
      <w:r>
        <w:rPr>
          <w:sz w:val="26"/>
          <w:szCs w:val="26"/>
        </w:rPr>
        <w:t>Du</w:t>
      </w:r>
      <w:r w:rsidR="00E914A3">
        <w:rPr>
          <w:sz w:val="26"/>
          <w:szCs w:val="26"/>
        </w:rPr>
        <w:t xml:space="preserve">quesne’s proposal </w:t>
      </w:r>
      <w:r w:rsidRPr="00473A03">
        <w:rPr>
          <w:sz w:val="26"/>
          <w:szCs w:val="26"/>
        </w:rPr>
        <w:t>it is a real possibility that default service suppliers will be called upon to provid</w:t>
      </w:r>
      <w:r w:rsidR="00E914A3">
        <w:rPr>
          <w:sz w:val="26"/>
          <w:szCs w:val="26"/>
        </w:rPr>
        <w:t>e TOU service</w:t>
      </w:r>
      <w:r>
        <w:rPr>
          <w:sz w:val="26"/>
          <w:szCs w:val="26"/>
        </w:rPr>
        <w:t xml:space="preserve"> during Duquesne</w:t>
      </w:r>
      <w:r w:rsidRPr="00473A03">
        <w:rPr>
          <w:sz w:val="26"/>
          <w:szCs w:val="26"/>
        </w:rPr>
        <w:t xml:space="preserve">’s DSP VI.  </w:t>
      </w:r>
      <w:r>
        <w:rPr>
          <w:sz w:val="26"/>
          <w:szCs w:val="26"/>
        </w:rPr>
        <w:t xml:space="preserve">FES avers that </w:t>
      </w:r>
      <w:r w:rsidR="00E914A3">
        <w:rPr>
          <w:sz w:val="26"/>
          <w:szCs w:val="26"/>
        </w:rPr>
        <w:t xml:space="preserve">the proposal </w:t>
      </w:r>
      <w:r w:rsidRPr="00473A03">
        <w:rPr>
          <w:sz w:val="26"/>
          <w:szCs w:val="26"/>
        </w:rPr>
        <w:t>is inadequate to protect default suppliers’ contractual interests and improperly prices any TOU load those suppliers will provide.</w:t>
      </w:r>
      <w:r w:rsidR="00E914A3">
        <w:rPr>
          <w:sz w:val="26"/>
          <w:szCs w:val="26"/>
        </w:rPr>
        <w:t xml:space="preserve"> </w:t>
      </w:r>
      <w:r w:rsidR="007B4B36">
        <w:rPr>
          <w:sz w:val="26"/>
          <w:szCs w:val="26"/>
        </w:rPr>
        <w:t xml:space="preserve"> FES Exc. at </w:t>
      </w:r>
      <w:r w:rsidR="00935FAE">
        <w:rPr>
          <w:sz w:val="26"/>
          <w:szCs w:val="26"/>
        </w:rPr>
        <w:t xml:space="preserve">13.  </w:t>
      </w:r>
    </w:p>
    <w:p w:rsidR="00935FAE" w:rsidRDefault="00935FAE" w:rsidP="00935FAE">
      <w:pPr>
        <w:pStyle w:val="BodyTextFirstLine5DS"/>
        <w:spacing w:line="360" w:lineRule="auto"/>
        <w:ind w:firstLine="0"/>
        <w:jc w:val="left"/>
        <w:rPr>
          <w:sz w:val="26"/>
          <w:szCs w:val="26"/>
        </w:rPr>
      </w:pPr>
    </w:p>
    <w:p w:rsidR="002D3E17" w:rsidRDefault="002D3E17" w:rsidP="00935FAE">
      <w:pPr>
        <w:pStyle w:val="BodyTextFirstLine5DS"/>
        <w:spacing w:line="360" w:lineRule="auto"/>
        <w:ind w:firstLine="1440"/>
        <w:jc w:val="left"/>
        <w:rPr>
          <w:sz w:val="26"/>
          <w:szCs w:val="26"/>
        </w:rPr>
      </w:pPr>
      <w:r w:rsidRPr="00473A03">
        <w:rPr>
          <w:sz w:val="26"/>
          <w:szCs w:val="26"/>
        </w:rPr>
        <w:t xml:space="preserve">FES </w:t>
      </w:r>
      <w:r w:rsidR="00935FAE">
        <w:rPr>
          <w:sz w:val="26"/>
          <w:szCs w:val="26"/>
        </w:rPr>
        <w:t xml:space="preserve">states that it is </w:t>
      </w:r>
      <w:r w:rsidRPr="00473A03">
        <w:rPr>
          <w:sz w:val="26"/>
          <w:szCs w:val="26"/>
        </w:rPr>
        <w:t xml:space="preserve">troubled </w:t>
      </w:r>
      <w:r>
        <w:rPr>
          <w:sz w:val="26"/>
          <w:szCs w:val="26"/>
        </w:rPr>
        <w:t>by Section 4.3 of Duques</w:t>
      </w:r>
      <w:r w:rsidR="00E914A3">
        <w:rPr>
          <w:sz w:val="26"/>
          <w:szCs w:val="26"/>
        </w:rPr>
        <w:t xml:space="preserve">ne's SMA because it </w:t>
      </w:r>
      <w:r w:rsidRPr="00473A03">
        <w:rPr>
          <w:sz w:val="26"/>
          <w:szCs w:val="26"/>
        </w:rPr>
        <w:t>is very vague, stating that "</w:t>
      </w:r>
      <w:r>
        <w:rPr>
          <w:sz w:val="26"/>
          <w:szCs w:val="26"/>
        </w:rPr>
        <w:t>[Duquesne</w:t>
      </w:r>
      <w:r w:rsidRPr="00473A03">
        <w:rPr>
          <w:sz w:val="26"/>
          <w:szCs w:val="26"/>
        </w:rPr>
        <w:t xml:space="preserve">] </w:t>
      </w:r>
      <w:r w:rsidRPr="00D16DFB">
        <w:rPr>
          <w:i/>
          <w:sz w:val="26"/>
          <w:szCs w:val="26"/>
        </w:rPr>
        <w:t>may</w:t>
      </w:r>
      <w:r w:rsidRPr="00473A03">
        <w:rPr>
          <w:sz w:val="26"/>
          <w:szCs w:val="26"/>
        </w:rPr>
        <w:t xml:space="preserve"> request TOU supply from Seller" (</w:t>
      </w:r>
      <w:r w:rsidR="00D16DFB">
        <w:rPr>
          <w:sz w:val="26"/>
          <w:szCs w:val="26"/>
        </w:rPr>
        <w:t>e</w:t>
      </w:r>
      <w:r w:rsidRPr="00473A03">
        <w:rPr>
          <w:sz w:val="26"/>
          <w:szCs w:val="26"/>
        </w:rPr>
        <w:t xml:space="preserve">mphasis added).  </w:t>
      </w:r>
      <w:r>
        <w:rPr>
          <w:sz w:val="26"/>
          <w:szCs w:val="26"/>
        </w:rPr>
        <w:t>FES opines that</w:t>
      </w:r>
      <w:r w:rsidR="00E914A3">
        <w:rPr>
          <w:sz w:val="26"/>
          <w:szCs w:val="26"/>
        </w:rPr>
        <w:t>,</w:t>
      </w:r>
      <w:r>
        <w:rPr>
          <w:sz w:val="26"/>
          <w:szCs w:val="26"/>
        </w:rPr>
        <w:t xml:space="preserve"> u</w:t>
      </w:r>
      <w:r w:rsidRPr="00473A03">
        <w:rPr>
          <w:sz w:val="26"/>
          <w:szCs w:val="26"/>
        </w:rPr>
        <w:t>nder this provision</w:t>
      </w:r>
      <w:r>
        <w:rPr>
          <w:sz w:val="26"/>
          <w:szCs w:val="26"/>
        </w:rPr>
        <w:t>,</w:t>
      </w:r>
      <w:r w:rsidRPr="00473A03">
        <w:rPr>
          <w:sz w:val="26"/>
          <w:szCs w:val="26"/>
        </w:rPr>
        <w:t xml:space="preserve"> </w:t>
      </w:r>
      <w:r w:rsidR="00E914A3">
        <w:rPr>
          <w:sz w:val="26"/>
          <w:szCs w:val="26"/>
        </w:rPr>
        <w:t xml:space="preserve">wholesale suppliers would </w:t>
      </w:r>
      <w:r w:rsidRPr="00473A03">
        <w:rPr>
          <w:sz w:val="26"/>
          <w:szCs w:val="26"/>
        </w:rPr>
        <w:t xml:space="preserve">be required to agree to provide TOU load as a portion of full requirements load.  </w:t>
      </w:r>
      <w:r>
        <w:rPr>
          <w:sz w:val="26"/>
          <w:szCs w:val="26"/>
        </w:rPr>
        <w:t xml:space="preserve">According to FES, </w:t>
      </w:r>
      <w:r w:rsidRPr="00473A03">
        <w:rPr>
          <w:sz w:val="26"/>
          <w:szCs w:val="26"/>
        </w:rPr>
        <w:lastRenderedPageBreak/>
        <w:t xml:space="preserve">TOU load and full requirements load are completely different products, with different risk profiles.  As a result, </w:t>
      </w:r>
      <w:r>
        <w:rPr>
          <w:sz w:val="26"/>
          <w:szCs w:val="26"/>
        </w:rPr>
        <w:t xml:space="preserve">FES asserts that </w:t>
      </w:r>
      <w:r w:rsidRPr="00473A03">
        <w:rPr>
          <w:sz w:val="26"/>
          <w:szCs w:val="26"/>
        </w:rPr>
        <w:t>including the TOU product with a fixed price default service product could limit supplier participation and/or unnecessarily increase default service prices.  While it is un</w:t>
      </w:r>
      <w:r>
        <w:rPr>
          <w:sz w:val="26"/>
          <w:szCs w:val="26"/>
        </w:rPr>
        <w:t xml:space="preserve">derstandable for Duquesne </w:t>
      </w:r>
      <w:r w:rsidRPr="00473A03">
        <w:rPr>
          <w:sz w:val="26"/>
          <w:szCs w:val="26"/>
        </w:rPr>
        <w:t xml:space="preserve">to try to plan for multiple scenarios and contingencies, </w:t>
      </w:r>
      <w:r>
        <w:rPr>
          <w:sz w:val="26"/>
          <w:szCs w:val="26"/>
        </w:rPr>
        <w:t xml:space="preserve">FES believes that </w:t>
      </w:r>
      <w:r w:rsidRPr="00473A03">
        <w:rPr>
          <w:sz w:val="26"/>
          <w:szCs w:val="26"/>
        </w:rPr>
        <w:t>its contingency plan as currently reflected in the SMA may compromise its procurements for its standard default service.</w:t>
      </w:r>
      <w:r w:rsidR="00E914A3">
        <w:rPr>
          <w:sz w:val="26"/>
          <w:szCs w:val="26"/>
        </w:rPr>
        <w:t xml:space="preserve"> </w:t>
      </w:r>
      <w:r w:rsidR="00935FAE">
        <w:rPr>
          <w:sz w:val="26"/>
          <w:szCs w:val="26"/>
        </w:rPr>
        <w:t xml:space="preserve"> </w:t>
      </w:r>
      <w:r w:rsidR="00935FAE">
        <w:rPr>
          <w:i/>
          <w:sz w:val="26"/>
          <w:szCs w:val="26"/>
        </w:rPr>
        <w:t>Id.</w:t>
      </w:r>
      <w:r w:rsidR="007B4B36">
        <w:rPr>
          <w:sz w:val="26"/>
          <w:szCs w:val="26"/>
        </w:rPr>
        <w:t xml:space="preserve"> at 13</w:t>
      </w:r>
      <w:r w:rsidR="007B4B36">
        <w:rPr>
          <w:sz w:val="26"/>
          <w:szCs w:val="26"/>
        </w:rPr>
        <w:noBreakHyphen/>
      </w:r>
      <w:r w:rsidR="00935FAE">
        <w:rPr>
          <w:sz w:val="26"/>
          <w:szCs w:val="26"/>
        </w:rPr>
        <w:t>14.</w:t>
      </w:r>
    </w:p>
    <w:p w:rsidR="008B4521" w:rsidRPr="00935FAE" w:rsidRDefault="008B4521" w:rsidP="00935FAE">
      <w:pPr>
        <w:pStyle w:val="BodyTextFirstLine5DS"/>
        <w:spacing w:line="360" w:lineRule="auto"/>
        <w:ind w:firstLine="1440"/>
        <w:jc w:val="left"/>
        <w:rPr>
          <w:sz w:val="26"/>
          <w:szCs w:val="26"/>
        </w:rPr>
      </w:pPr>
    </w:p>
    <w:p w:rsidR="002D3E17" w:rsidRPr="00935FAE" w:rsidRDefault="002D3E17" w:rsidP="002D3E17">
      <w:pPr>
        <w:pStyle w:val="BodyTextFirstLine5DS"/>
        <w:spacing w:line="360" w:lineRule="auto"/>
        <w:ind w:firstLine="1440"/>
        <w:jc w:val="left"/>
        <w:rPr>
          <w:sz w:val="26"/>
          <w:szCs w:val="26"/>
        </w:rPr>
      </w:pPr>
      <w:r>
        <w:rPr>
          <w:sz w:val="26"/>
          <w:szCs w:val="26"/>
        </w:rPr>
        <w:t xml:space="preserve">FES argues that </w:t>
      </w:r>
      <w:r w:rsidRPr="00473A03">
        <w:rPr>
          <w:sz w:val="26"/>
          <w:szCs w:val="26"/>
        </w:rPr>
        <w:t xml:space="preserve">SMA Section 4.3 should be deleted.  Alternatively, at the very least, </w:t>
      </w:r>
      <w:r>
        <w:rPr>
          <w:sz w:val="26"/>
          <w:szCs w:val="26"/>
        </w:rPr>
        <w:t xml:space="preserve">FES asserts that </w:t>
      </w:r>
      <w:r w:rsidRPr="00473A03">
        <w:rPr>
          <w:sz w:val="26"/>
          <w:szCs w:val="26"/>
        </w:rPr>
        <w:t xml:space="preserve">this section should be revised to address the possibility of obtaining TOU from wholesale suppliers through an Addendum to the SMA, rather than combining the TOU load </w:t>
      </w:r>
      <w:r w:rsidR="00E914A3">
        <w:rPr>
          <w:sz w:val="26"/>
          <w:szCs w:val="26"/>
        </w:rPr>
        <w:t xml:space="preserve">with </w:t>
      </w:r>
      <w:r>
        <w:rPr>
          <w:sz w:val="26"/>
          <w:szCs w:val="26"/>
        </w:rPr>
        <w:t>full requirements load.</w:t>
      </w:r>
      <w:r w:rsidR="00935FAE">
        <w:rPr>
          <w:sz w:val="26"/>
          <w:szCs w:val="26"/>
        </w:rPr>
        <w:t xml:space="preserve">  </w:t>
      </w:r>
      <w:r w:rsidR="00935FAE">
        <w:rPr>
          <w:i/>
          <w:sz w:val="26"/>
          <w:szCs w:val="26"/>
        </w:rPr>
        <w:t xml:space="preserve">Id. </w:t>
      </w:r>
      <w:r w:rsidR="00935FAE">
        <w:rPr>
          <w:sz w:val="26"/>
          <w:szCs w:val="26"/>
        </w:rPr>
        <w:t>at 14.</w:t>
      </w:r>
    </w:p>
    <w:p w:rsidR="002D3E17" w:rsidRPr="00473A03" w:rsidRDefault="002D3E17" w:rsidP="002D3E17">
      <w:pPr>
        <w:pStyle w:val="BodyTextFirstLine5DS"/>
        <w:spacing w:line="360" w:lineRule="auto"/>
        <w:ind w:firstLine="1440"/>
        <w:jc w:val="left"/>
        <w:rPr>
          <w:sz w:val="26"/>
          <w:szCs w:val="26"/>
        </w:rPr>
      </w:pPr>
    </w:p>
    <w:p w:rsidR="002D3E17" w:rsidRPr="00935FAE" w:rsidRDefault="002D3E17" w:rsidP="002D3E17">
      <w:pPr>
        <w:pStyle w:val="BodyTextFirstLine5DS"/>
        <w:spacing w:line="360" w:lineRule="auto"/>
        <w:ind w:firstLine="1440"/>
        <w:jc w:val="left"/>
        <w:rPr>
          <w:sz w:val="26"/>
          <w:szCs w:val="26"/>
        </w:rPr>
      </w:pPr>
      <w:r w:rsidRPr="00473A03">
        <w:rPr>
          <w:sz w:val="26"/>
          <w:szCs w:val="26"/>
        </w:rPr>
        <w:t xml:space="preserve">FES recognizes that </w:t>
      </w:r>
      <w:r>
        <w:rPr>
          <w:sz w:val="26"/>
          <w:szCs w:val="26"/>
        </w:rPr>
        <w:t>Duquesne</w:t>
      </w:r>
      <w:r w:rsidRPr="00473A03">
        <w:rPr>
          <w:sz w:val="26"/>
          <w:szCs w:val="26"/>
        </w:rPr>
        <w:t>'s TOU program is still in the early "pilot" stages of development, but while the current usage is small it may be</w:t>
      </w:r>
      <w:r w:rsidR="00935FAE">
        <w:rPr>
          <w:sz w:val="26"/>
          <w:szCs w:val="26"/>
        </w:rPr>
        <w:t>come more robust during the DSP</w:t>
      </w:r>
      <w:r w:rsidRPr="00473A03">
        <w:rPr>
          <w:sz w:val="26"/>
          <w:szCs w:val="26"/>
        </w:rPr>
        <w:t xml:space="preserve"> VI time period.  FES believes that </w:t>
      </w:r>
      <w:r>
        <w:rPr>
          <w:sz w:val="26"/>
          <w:szCs w:val="26"/>
        </w:rPr>
        <w:t>Duquesne</w:t>
      </w:r>
      <w:r w:rsidRPr="00473A03">
        <w:rPr>
          <w:sz w:val="26"/>
          <w:szCs w:val="26"/>
        </w:rPr>
        <w:t xml:space="preserve">'s TOU load should be served by an EGS either through a bid separate from </w:t>
      </w:r>
      <w:r w:rsidR="00E914A3">
        <w:rPr>
          <w:sz w:val="26"/>
          <w:szCs w:val="26"/>
        </w:rPr>
        <w:t xml:space="preserve">its full requirements products </w:t>
      </w:r>
      <w:r w:rsidRPr="00473A03">
        <w:rPr>
          <w:sz w:val="26"/>
          <w:szCs w:val="26"/>
        </w:rPr>
        <w:t>or</w:t>
      </w:r>
      <w:r w:rsidR="00E914A3">
        <w:rPr>
          <w:sz w:val="26"/>
          <w:szCs w:val="26"/>
        </w:rPr>
        <w:t>,</w:t>
      </w:r>
      <w:r w:rsidRPr="00473A03">
        <w:rPr>
          <w:sz w:val="26"/>
          <w:szCs w:val="26"/>
        </w:rPr>
        <w:t xml:space="preserve"> as RESA suggests</w:t>
      </w:r>
      <w:r w:rsidR="00E914A3">
        <w:rPr>
          <w:sz w:val="26"/>
          <w:szCs w:val="26"/>
        </w:rPr>
        <w:t>,</w:t>
      </w:r>
      <w:r w:rsidRPr="00473A03">
        <w:rPr>
          <w:sz w:val="26"/>
          <w:szCs w:val="26"/>
        </w:rPr>
        <w:t xml:space="preserve"> through an EGS solicitation on a less formal basis, </w:t>
      </w:r>
      <w:r>
        <w:rPr>
          <w:sz w:val="26"/>
          <w:szCs w:val="26"/>
        </w:rPr>
        <w:t xml:space="preserve">after which Duquesne </w:t>
      </w:r>
      <w:r w:rsidRPr="00473A03">
        <w:rPr>
          <w:sz w:val="26"/>
          <w:szCs w:val="26"/>
        </w:rPr>
        <w:t>would post the information to a clearinghouse website, and certify the information to the Commission.</w:t>
      </w:r>
      <w:r w:rsidR="00E914A3">
        <w:rPr>
          <w:sz w:val="26"/>
          <w:szCs w:val="26"/>
        </w:rPr>
        <w:t xml:space="preserve">  </w:t>
      </w:r>
      <w:r>
        <w:rPr>
          <w:sz w:val="26"/>
          <w:szCs w:val="26"/>
        </w:rPr>
        <w:t>FES points out that t</w:t>
      </w:r>
      <w:r w:rsidRPr="00473A03">
        <w:rPr>
          <w:sz w:val="26"/>
          <w:szCs w:val="26"/>
        </w:rPr>
        <w:t>he Commission recently approved the TOU plan submitted by PECO Energy Co</w:t>
      </w:r>
      <w:r w:rsidR="00E914A3">
        <w:rPr>
          <w:sz w:val="26"/>
          <w:szCs w:val="26"/>
        </w:rPr>
        <w:t xml:space="preserve">mpany, in which TOU service </w:t>
      </w:r>
      <w:r w:rsidRPr="00473A03">
        <w:rPr>
          <w:sz w:val="26"/>
          <w:szCs w:val="26"/>
        </w:rPr>
        <w:t xml:space="preserve">successfully </w:t>
      </w:r>
      <w:r w:rsidR="00E914A3">
        <w:rPr>
          <w:sz w:val="26"/>
          <w:szCs w:val="26"/>
        </w:rPr>
        <w:t xml:space="preserve">was </w:t>
      </w:r>
      <w:r w:rsidRPr="00473A03">
        <w:rPr>
          <w:sz w:val="26"/>
          <w:szCs w:val="26"/>
        </w:rPr>
        <w:t>bid to an EGS.</w:t>
      </w:r>
      <w:r w:rsidR="00D16DFB">
        <w:rPr>
          <w:sz w:val="26"/>
          <w:szCs w:val="26"/>
        </w:rPr>
        <w:t xml:space="preserve">  </w:t>
      </w:r>
      <w:r w:rsidR="00D16DFB" w:rsidRPr="00D16DFB">
        <w:rPr>
          <w:i/>
          <w:sz w:val="26"/>
          <w:szCs w:val="26"/>
        </w:rPr>
        <w:t>Id</w:t>
      </w:r>
      <w:r w:rsidR="00D16DFB">
        <w:rPr>
          <w:sz w:val="26"/>
          <w:szCs w:val="26"/>
        </w:rPr>
        <w:t>. at 14-15 (citing</w:t>
      </w:r>
      <w:r w:rsidRPr="00473A03">
        <w:rPr>
          <w:sz w:val="26"/>
          <w:szCs w:val="26"/>
        </w:rPr>
        <w:t xml:space="preserve"> </w:t>
      </w:r>
      <w:r w:rsidRPr="00473A03">
        <w:rPr>
          <w:i/>
          <w:sz w:val="26"/>
          <w:szCs w:val="26"/>
        </w:rPr>
        <w:t>Petition of PECO Energy Company for Expedited Approval of its Dynamic Pricing Plan Vendor Selection and Dynamic Pricing Plan Supplement</w:t>
      </w:r>
      <w:r w:rsidRPr="00473A03">
        <w:rPr>
          <w:sz w:val="26"/>
          <w:szCs w:val="26"/>
        </w:rPr>
        <w:t xml:space="preserve">, </w:t>
      </w:r>
      <w:r>
        <w:rPr>
          <w:sz w:val="26"/>
          <w:szCs w:val="26"/>
        </w:rPr>
        <w:t>Docket No. P</w:t>
      </w:r>
      <w:r>
        <w:rPr>
          <w:sz w:val="26"/>
          <w:szCs w:val="26"/>
        </w:rPr>
        <w:noBreakHyphen/>
        <w:t>2012</w:t>
      </w:r>
      <w:r>
        <w:rPr>
          <w:sz w:val="26"/>
          <w:szCs w:val="26"/>
        </w:rPr>
        <w:noBreakHyphen/>
      </w:r>
      <w:r w:rsidRPr="00473A03">
        <w:rPr>
          <w:sz w:val="26"/>
          <w:szCs w:val="26"/>
        </w:rPr>
        <w:t>2297304</w:t>
      </w:r>
      <w:r>
        <w:rPr>
          <w:sz w:val="26"/>
          <w:szCs w:val="26"/>
        </w:rPr>
        <w:t xml:space="preserve"> (</w:t>
      </w:r>
      <w:r w:rsidRPr="00473A03">
        <w:rPr>
          <w:sz w:val="26"/>
          <w:szCs w:val="26"/>
        </w:rPr>
        <w:t>Order entered September 26, 2012)</w:t>
      </w:r>
      <w:r w:rsidR="00D16DFB">
        <w:rPr>
          <w:sz w:val="26"/>
          <w:szCs w:val="26"/>
        </w:rPr>
        <w:t>)</w:t>
      </w:r>
      <w:r w:rsidRPr="00473A03">
        <w:rPr>
          <w:sz w:val="26"/>
          <w:szCs w:val="26"/>
        </w:rPr>
        <w:t>.</w:t>
      </w:r>
      <w:r w:rsidR="00935FAE">
        <w:rPr>
          <w:sz w:val="26"/>
          <w:szCs w:val="26"/>
        </w:rPr>
        <w:t xml:space="preserve">  </w:t>
      </w:r>
    </w:p>
    <w:p w:rsidR="002D3E17" w:rsidRPr="00473A03" w:rsidRDefault="002D3E17" w:rsidP="002D3E17">
      <w:pPr>
        <w:pStyle w:val="BodyTextFirstLine5DS"/>
        <w:spacing w:line="360" w:lineRule="auto"/>
        <w:ind w:firstLine="1440"/>
        <w:jc w:val="left"/>
        <w:rPr>
          <w:sz w:val="26"/>
          <w:szCs w:val="26"/>
        </w:rPr>
      </w:pPr>
    </w:p>
    <w:p w:rsidR="002D3E17" w:rsidRDefault="002D3E17" w:rsidP="002D3E17">
      <w:pPr>
        <w:pStyle w:val="BodyTextFirstLine5DS"/>
        <w:spacing w:line="360" w:lineRule="auto"/>
        <w:ind w:firstLine="1440"/>
        <w:jc w:val="left"/>
        <w:rPr>
          <w:sz w:val="26"/>
          <w:szCs w:val="26"/>
        </w:rPr>
      </w:pPr>
      <w:r>
        <w:rPr>
          <w:sz w:val="26"/>
          <w:szCs w:val="26"/>
        </w:rPr>
        <w:t xml:space="preserve">FES refers to </w:t>
      </w:r>
      <w:r w:rsidRPr="00473A03">
        <w:rPr>
          <w:sz w:val="26"/>
          <w:szCs w:val="26"/>
        </w:rPr>
        <w:t>Constellation</w:t>
      </w:r>
      <w:r>
        <w:rPr>
          <w:sz w:val="26"/>
          <w:szCs w:val="26"/>
        </w:rPr>
        <w:t>’s</w:t>
      </w:r>
      <w:r w:rsidRPr="00473A03">
        <w:rPr>
          <w:sz w:val="26"/>
          <w:szCs w:val="26"/>
        </w:rPr>
        <w:t xml:space="preserve"> suggested alternative metho</w:t>
      </w:r>
      <w:r>
        <w:rPr>
          <w:sz w:val="26"/>
          <w:szCs w:val="26"/>
        </w:rPr>
        <w:t xml:space="preserve">dology by which Duquesne </w:t>
      </w:r>
      <w:r w:rsidRPr="00473A03">
        <w:rPr>
          <w:sz w:val="26"/>
          <w:szCs w:val="26"/>
        </w:rPr>
        <w:t>could obtain TOU load from its default service suppliers, in order to obviate the risks of both customers shopping for EGS service and customers choos</w:t>
      </w:r>
      <w:r w:rsidR="0052518A">
        <w:rPr>
          <w:sz w:val="26"/>
          <w:szCs w:val="26"/>
        </w:rPr>
        <w:t>ing</w:t>
      </w:r>
      <w:r w:rsidRPr="00473A03">
        <w:rPr>
          <w:sz w:val="26"/>
          <w:szCs w:val="26"/>
        </w:rPr>
        <w:t xml:space="preserve"> the </w:t>
      </w:r>
      <w:r>
        <w:rPr>
          <w:sz w:val="26"/>
          <w:szCs w:val="26"/>
        </w:rPr>
        <w:t>TOU offering from Duquesne</w:t>
      </w:r>
      <w:r w:rsidRPr="00473A03">
        <w:rPr>
          <w:sz w:val="26"/>
          <w:szCs w:val="26"/>
        </w:rPr>
        <w:t>.</w:t>
      </w:r>
      <w:r>
        <w:rPr>
          <w:sz w:val="26"/>
          <w:szCs w:val="26"/>
        </w:rPr>
        <w:t xml:space="preserve">  </w:t>
      </w:r>
      <w:r w:rsidRPr="00473A03">
        <w:rPr>
          <w:sz w:val="26"/>
          <w:szCs w:val="26"/>
        </w:rPr>
        <w:t xml:space="preserve">While FES's preference is for TOU load to be separately bid to </w:t>
      </w:r>
      <w:r w:rsidRPr="00473A03">
        <w:rPr>
          <w:sz w:val="26"/>
          <w:szCs w:val="26"/>
        </w:rPr>
        <w:lastRenderedPageBreak/>
        <w:t>EGSs, FES believes</w:t>
      </w:r>
      <w:r w:rsidR="00E914A3">
        <w:rPr>
          <w:sz w:val="26"/>
          <w:szCs w:val="26"/>
        </w:rPr>
        <w:t xml:space="preserve"> Constellation's proposal is </w:t>
      </w:r>
      <w:r w:rsidRPr="00473A03">
        <w:rPr>
          <w:sz w:val="26"/>
          <w:szCs w:val="26"/>
        </w:rPr>
        <w:t>a reasonable resolution of the TOU load problem.  If this pro</w:t>
      </w:r>
      <w:r>
        <w:rPr>
          <w:sz w:val="26"/>
          <w:szCs w:val="26"/>
        </w:rPr>
        <w:t>posal is adopted, FES asserts that Duquesne</w:t>
      </w:r>
      <w:r w:rsidRPr="00473A03">
        <w:rPr>
          <w:sz w:val="26"/>
          <w:szCs w:val="26"/>
        </w:rPr>
        <w:t xml:space="preserve">'s proposed SMA should be revised </w:t>
      </w:r>
      <w:r w:rsidR="00E914A3">
        <w:rPr>
          <w:sz w:val="26"/>
          <w:szCs w:val="26"/>
        </w:rPr>
        <w:t>accordingly.</w:t>
      </w:r>
      <w:r w:rsidR="00935FAE">
        <w:rPr>
          <w:sz w:val="26"/>
          <w:szCs w:val="26"/>
        </w:rPr>
        <w:t xml:space="preserve">  </w:t>
      </w:r>
      <w:r w:rsidR="00935FAE">
        <w:rPr>
          <w:i/>
          <w:sz w:val="26"/>
          <w:szCs w:val="26"/>
        </w:rPr>
        <w:t xml:space="preserve">Id. </w:t>
      </w:r>
      <w:r w:rsidR="00935FAE">
        <w:rPr>
          <w:sz w:val="26"/>
          <w:szCs w:val="26"/>
        </w:rPr>
        <w:t>at 15.</w:t>
      </w:r>
      <w:r w:rsidR="00E914A3">
        <w:rPr>
          <w:sz w:val="26"/>
          <w:szCs w:val="26"/>
        </w:rPr>
        <w:t xml:space="preserve"> </w:t>
      </w:r>
    </w:p>
    <w:p w:rsidR="002D3E17" w:rsidRDefault="002D3E17" w:rsidP="00935FAE">
      <w:pPr>
        <w:pStyle w:val="BodyTextFirstLine5DS"/>
        <w:spacing w:line="360" w:lineRule="auto"/>
        <w:ind w:firstLine="1440"/>
        <w:jc w:val="left"/>
        <w:rPr>
          <w:sz w:val="26"/>
          <w:szCs w:val="26"/>
        </w:rPr>
      </w:pPr>
      <w:r>
        <w:rPr>
          <w:sz w:val="26"/>
          <w:szCs w:val="26"/>
        </w:rPr>
        <w:t>FES maintains that Duquesne</w:t>
      </w:r>
      <w:r w:rsidRPr="00473A03">
        <w:rPr>
          <w:sz w:val="26"/>
          <w:szCs w:val="26"/>
        </w:rPr>
        <w:t xml:space="preserve">’s TOU proposal inadequately protects default service suppliers both in terms of contracting </w:t>
      </w:r>
      <w:r>
        <w:rPr>
          <w:sz w:val="26"/>
          <w:szCs w:val="26"/>
        </w:rPr>
        <w:t xml:space="preserve">and pricing.  If Duquesne </w:t>
      </w:r>
      <w:r w:rsidRPr="00473A03">
        <w:rPr>
          <w:sz w:val="26"/>
          <w:szCs w:val="26"/>
        </w:rPr>
        <w:t xml:space="preserve">contemplates that default service suppliers should provide this load in the future, either the SMA should be revised as FES proposes above or Constellation’s pro-rata load allocation and pricing proposals should be adopted.  However, FES’s preference is that </w:t>
      </w:r>
      <w:r>
        <w:rPr>
          <w:sz w:val="26"/>
          <w:szCs w:val="26"/>
        </w:rPr>
        <w:t>Duquesne</w:t>
      </w:r>
      <w:r w:rsidRPr="00473A03">
        <w:rPr>
          <w:sz w:val="26"/>
          <w:szCs w:val="26"/>
        </w:rPr>
        <w:t>'s TOU lo</w:t>
      </w:r>
      <w:r w:rsidR="00E914A3">
        <w:rPr>
          <w:sz w:val="26"/>
          <w:szCs w:val="26"/>
        </w:rPr>
        <w:t>ad should be served by an EGS.</w:t>
      </w:r>
      <w:r w:rsidR="00935FAE">
        <w:rPr>
          <w:sz w:val="26"/>
          <w:szCs w:val="26"/>
        </w:rPr>
        <w:t xml:space="preserve">  </w:t>
      </w:r>
      <w:r w:rsidR="00935FAE">
        <w:rPr>
          <w:i/>
          <w:sz w:val="26"/>
          <w:szCs w:val="26"/>
        </w:rPr>
        <w:t xml:space="preserve">Id. </w:t>
      </w:r>
      <w:r w:rsidR="00935FAE">
        <w:rPr>
          <w:sz w:val="26"/>
          <w:szCs w:val="26"/>
        </w:rPr>
        <w:t>at 15-16.</w:t>
      </w:r>
      <w:r w:rsidR="00E914A3">
        <w:rPr>
          <w:sz w:val="26"/>
          <w:szCs w:val="26"/>
        </w:rPr>
        <w:t xml:space="preserve"> </w:t>
      </w:r>
    </w:p>
    <w:p w:rsidR="00E914A3" w:rsidRDefault="00E914A3" w:rsidP="00935FAE">
      <w:pPr>
        <w:pStyle w:val="BriefL3"/>
        <w:numPr>
          <w:ilvl w:val="0"/>
          <w:numId w:val="0"/>
        </w:numPr>
        <w:spacing w:after="0" w:line="360" w:lineRule="auto"/>
        <w:rPr>
          <w:rFonts w:eastAsia="Calibri"/>
          <w:sz w:val="26"/>
          <w:szCs w:val="26"/>
        </w:rPr>
      </w:pPr>
    </w:p>
    <w:p w:rsidR="002D3E17" w:rsidRPr="00EE5722" w:rsidRDefault="002D3E17" w:rsidP="0053114A">
      <w:pPr>
        <w:pStyle w:val="Heading3"/>
      </w:pPr>
      <w:bookmarkStart w:id="242" w:name="_Toc346705482"/>
      <w:r>
        <w:t>5.</w:t>
      </w:r>
      <w:r>
        <w:tab/>
        <w:t>Reply Exceptions</w:t>
      </w:r>
      <w:bookmarkEnd w:id="242"/>
    </w:p>
    <w:p w:rsidR="002D3E17" w:rsidRPr="00EE5722" w:rsidRDefault="002D3E17" w:rsidP="002D3E17">
      <w:pPr>
        <w:pStyle w:val="BodyText"/>
        <w:spacing w:after="0" w:line="360" w:lineRule="auto"/>
        <w:ind w:left="0" w:firstLine="0"/>
        <w:rPr>
          <w:sz w:val="26"/>
          <w:szCs w:val="26"/>
        </w:rPr>
      </w:pPr>
    </w:p>
    <w:p w:rsidR="002D3E17" w:rsidRPr="00702E4E" w:rsidRDefault="002D3E17" w:rsidP="002D3E17">
      <w:pPr>
        <w:pStyle w:val="BodyText2"/>
        <w:spacing w:after="0" w:line="360" w:lineRule="auto"/>
        <w:ind w:firstLine="1440"/>
        <w:rPr>
          <w:sz w:val="26"/>
          <w:szCs w:val="26"/>
        </w:rPr>
      </w:pPr>
      <w:r w:rsidRPr="00D9374D">
        <w:rPr>
          <w:sz w:val="26"/>
          <w:szCs w:val="26"/>
        </w:rPr>
        <w:t>In its Reply Exceptions, Duquesne argues that FES’s Exception concerning the procurement of TOU supply should be rejected</w:t>
      </w:r>
      <w:r w:rsidR="006D07B3">
        <w:rPr>
          <w:sz w:val="26"/>
          <w:szCs w:val="26"/>
        </w:rPr>
        <w:t xml:space="preserve">.  </w:t>
      </w:r>
      <w:r w:rsidRPr="00D9374D">
        <w:rPr>
          <w:sz w:val="26"/>
          <w:szCs w:val="26"/>
        </w:rPr>
        <w:t>Duquesne explains that, as its first option, Duquesne proposes to bid out TOU supply to an EGS.  In the event that an EGS does not provide a bid acceptable to the Commission to provide TOU service, Duquesne proposes to acquire TOU supply from default service suppliers and pay them the actual revenues received for TOU service from TOU customers.  Duquesne disagrees</w:t>
      </w:r>
      <w:r>
        <w:rPr>
          <w:sz w:val="26"/>
          <w:szCs w:val="26"/>
        </w:rPr>
        <w:t xml:space="preserve"> with the FES </w:t>
      </w:r>
      <w:r w:rsidR="0052518A">
        <w:rPr>
          <w:sz w:val="26"/>
          <w:szCs w:val="26"/>
        </w:rPr>
        <w:t>E</w:t>
      </w:r>
      <w:r>
        <w:rPr>
          <w:sz w:val="26"/>
          <w:szCs w:val="26"/>
        </w:rPr>
        <w:t>xception</w:t>
      </w:r>
      <w:r w:rsidRPr="00D9374D">
        <w:rPr>
          <w:sz w:val="26"/>
          <w:szCs w:val="26"/>
        </w:rPr>
        <w:t xml:space="preserve">, and states that its proposal is clear and straightforward.  Furthermore, </w:t>
      </w:r>
      <w:r>
        <w:rPr>
          <w:sz w:val="26"/>
          <w:szCs w:val="26"/>
        </w:rPr>
        <w:t xml:space="preserve">Duquesne avers that </w:t>
      </w:r>
      <w:r w:rsidRPr="00D9374D">
        <w:rPr>
          <w:sz w:val="26"/>
          <w:szCs w:val="26"/>
        </w:rPr>
        <w:t xml:space="preserve">the effects of the Company’s backup proposal on default service suppliers would be small during DSP VI because very few customers will have smart meters during the plan period. </w:t>
      </w:r>
      <w:r>
        <w:rPr>
          <w:sz w:val="26"/>
          <w:szCs w:val="26"/>
        </w:rPr>
        <w:t xml:space="preserve"> </w:t>
      </w:r>
      <w:r w:rsidR="006D07B3">
        <w:rPr>
          <w:sz w:val="26"/>
          <w:szCs w:val="26"/>
        </w:rPr>
        <w:t xml:space="preserve">Duquesne R.Exc. at 11.  </w:t>
      </w:r>
    </w:p>
    <w:p w:rsidR="002D3E17" w:rsidRDefault="002D3E17" w:rsidP="002D3E17">
      <w:pPr>
        <w:pStyle w:val="BodyText2"/>
        <w:spacing w:after="0" w:line="360" w:lineRule="auto"/>
        <w:ind w:firstLine="1440"/>
        <w:rPr>
          <w:sz w:val="26"/>
          <w:szCs w:val="26"/>
        </w:rPr>
      </w:pPr>
    </w:p>
    <w:p w:rsidR="002D3E17" w:rsidRPr="006D07B3" w:rsidRDefault="002D3E17" w:rsidP="002D3E17">
      <w:pPr>
        <w:pStyle w:val="BodyText2"/>
        <w:spacing w:after="0" w:line="360" w:lineRule="auto"/>
        <w:ind w:firstLine="1440"/>
        <w:rPr>
          <w:sz w:val="26"/>
          <w:szCs w:val="26"/>
        </w:rPr>
      </w:pPr>
      <w:r>
        <w:rPr>
          <w:sz w:val="26"/>
          <w:szCs w:val="26"/>
        </w:rPr>
        <w:t>Duquesne notes that FES proposes that the Company</w:t>
      </w:r>
      <w:r w:rsidRPr="00D9374D">
        <w:rPr>
          <w:sz w:val="26"/>
          <w:szCs w:val="26"/>
        </w:rPr>
        <w:t xml:space="preserve"> pay wholesale suppliers the fixed price under the wholesale default service contract, as opposed to TOU prices billed to customers, and reconcile the difference between revenues and costs through the default service reconciliation process.</w:t>
      </w:r>
      <w:r>
        <w:rPr>
          <w:sz w:val="26"/>
          <w:szCs w:val="26"/>
        </w:rPr>
        <w:t xml:space="preserve"> </w:t>
      </w:r>
      <w:r w:rsidRPr="00D9374D">
        <w:rPr>
          <w:sz w:val="26"/>
          <w:szCs w:val="26"/>
        </w:rPr>
        <w:t xml:space="preserve"> Duquesne explains that it is not opposed to this proposal if, and only if, the Commission specifically authorizes Duquesne to reconcile TOU revenues against its TOU costs under the fixed price full-requirements </w:t>
      </w:r>
      <w:r w:rsidRPr="00D9374D">
        <w:rPr>
          <w:sz w:val="26"/>
          <w:szCs w:val="26"/>
        </w:rPr>
        <w:lastRenderedPageBreak/>
        <w:t xml:space="preserve">contracts.  </w:t>
      </w:r>
      <w:r>
        <w:rPr>
          <w:sz w:val="26"/>
          <w:szCs w:val="26"/>
        </w:rPr>
        <w:t>According to Duquesne, t</w:t>
      </w:r>
      <w:r w:rsidRPr="00D9374D">
        <w:rPr>
          <w:sz w:val="26"/>
          <w:szCs w:val="26"/>
        </w:rPr>
        <w:t xml:space="preserve">his would require a finding by the Commission that this methodology does not violate the Code, including the prohibition against recovering lost or decreased revenues due to reduced electricity consumption or shifting energy demands under 66 Pa. </w:t>
      </w:r>
      <w:r w:rsidR="00882608">
        <w:rPr>
          <w:sz w:val="26"/>
          <w:szCs w:val="26"/>
        </w:rPr>
        <w:t xml:space="preserve">C.S. § 2807(f)(4). </w:t>
      </w:r>
      <w:r w:rsidR="006D07B3">
        <w:rPr>
          <w:sz w:val="26"/>
          <w:szCs w:val="26"/>
        </w:rPr>
        <w:t xml:space="preserve"> </w:t>
      </w:r>
      <w:r w:rsidR="006D07B3">
        <w:rPr>
          <w:i/>
          <w:sz w:val="26"/>
          <w:szCs w:val="26"/>
        </w:rPr>
        <w:t>Id.</w:t>
      </w:r>
      <w:r w:rsidR="006D07B3">
        <w:rPr>
          <w:sz w:val="26"/>
          <w:szCs w:val="26"/>
        </w:rPr>
        <w:t xml:space="preserve"> at</w:t>
      </w:r>
      <w:r w:rsidR="0052518A">
        <w:rPr>
          <w:sz w:val="26"/>
          <w:szCs w:val="26"/>
        </w:rPr>
        <w:t xml:space="preserve"> </w:t>
      </w:r>
      <w:r w:rsidR="006D07B3">
        <w:rPr>
          <w:sz w:val="26"/>
          <w:szCs w:val="26"/>
        </w:rPr>
        <w:t>11-12.</w:t>
      </w:r>
    </w:p>
    <w:p w:rsidR="002D3E17" w:rsidRPr="00EE5722" w:rsidRDefault="002D3E17" w:rsidP="002D3E17">
      <w:pPr>
        <w:pStyle w:val="BriefL3"/>
        <w:numPr>
          <w:ilvl w:val="0"/>
          <w:numId w:val="0"/>
        </w:numPr>
        <w:spacing w:after="0" w:line="360" w:lineRule="auto"/>
        <w:rPr>
          <w:b/>
          <w:sz w:val="26"/>
          <w:szCs w:val="26"/>
        </w:rPr>
      </w:pPr>
    </w:p>
    <w:p w:rsidR="002D3E17" w:rsidRPr="00EE5722" w:rsidRDefault="002D3E17" w:rsidP="0053114A">
      <w:pPr>
        <w:pStyle w:val="Heading3"/>
      </w:pPr>
      <w:bookmarkStart w:id="243" w:name="_Toc346705483"/>
      <w:r>
        <w:t>6.</w:t>
      </w:r>
      <w:r>
        <w:tab/>
        <w:t>Disposition</w:t>
      </w:r>
      <w:bookmarkEnd w:id="243"/>
    </w:p>
    <w:p w:rsidR="002D3E17" w:rsidRPr="0051787F" w:rsidRDefault="002D3E17" w:rsidP="007B4B36">
      <w:pPr>
        <w:pStyle w:val="BodyText2"/>
        <w:keepNext/>
        <w:spacing w:after="0" w:line="360" w:lineRule="auto"/>
        <w:rPr>
          <w:sz w:val="26"/>
          <w:szCs w:val="26"/>
        </w:rPr>
      </w:pPr>
    </w:p>
    <w:p w:rsidR="002D3E17" w:rsidRPr="00EE5722" w:rsidRDefault="002D3E17" w:rsidP="00A526F6">
      <w:pPr>
        <w:pStyle w:val="BodyText"/>
        <w:spacing w:after="0" w:line="360" w:lineRule="auto"/>
        <w:ind w:left="0" w:firstLine="0"/>
        <w:rPr>
          <w:color w:val="000000" w:themeColor="text1"/>
          <w:sz w:val="26"/>
          <w:szCs w:val="26"/>
        </w:rPr>
      </w:pPr>
      <w:r>
        <w:rPr>
          <w:color w:val="000000" w:themeColor="text1"/>
          <w:sz w:val="26"/>
          <w:szCs w:val="26"/>
        </w:rPr>
        <w:tab/>
      </w:r>
      <w:r>
        <w:rPr>
          <w:color w:val="000000" w:themeColor="text1"/>
          <w:sz w:val="26"/>
          <w:szCs w:val="26"/>
        </w:rPr>
        <w:tab/>
        <w:t xml:space="preserve">Upon our review of the record evidence, </w:t>
      </w:r>
      <w:r>
        <w:rPr>
          <w:color w:val="000000" w:themeColor="text1"/>
          <w:sz w:val="26"/>
          <w:szCs w:val="26"/>
        </w:rPr>
        <w:tab/>
        <w:t>we agree with the ALJ that Duquesne’s proposals with regard to TOU rates are reasonable and should be approved.  We note that Duquesne currently has few customers with smart meters and</w:t>
      </w:r>
      <w:r w:rsidRPr="00F55584">
        <w:rPr>
          <w:sz w:val="26"/>
          <w:szCs w:val="26"/>
        </w:rPr>
        <w:t xml:space="preserve"> </w:t>
      </w:r>
      <w:r>
        <w:rPr>
          <w:sz w:val="26"/>
          <w:szCs w:val="26"/>
        </w:rPr>
        <w:t>that</w:t>
      </w:r>
      <w:r w:rsidR="00882608">
        <w:rPr>
          <w:sz w:val="26"/>
          <w:szCs w:val="26"/>
        </w:rPr>
        <w:t xml:space="preserve"> </w:t>
      </w:r>
      <w:r>
        <w:rPr>
          <w:sz w:val="26"/>
          <w:szCs w:val="26"/>
        </w:rPr>
        <w:t>Duquesne projects it will</w:t>
      </w:r>
      <w:r w:rsidRPr="00EE5722">
        <w:rPr>
          <w:sz w:val="26"/>
          <w:szCs w:val="26"/>
        </w:rPr>
        <w:t xml:space="preserve"> have installed approximately 2,000 smart meters by June 2014 and approximately 35,000 smart meters by June 2015.</w:t>
      </w:r>
      <w:r>
        <w:rPr>
          <w:sz w:val="26"/>
          <w:szCs w:val="26"/>
        </w:rPr>
        <w:t xml:space="preserve">  Furthermore, we note that Duquesne has </w:t>
      </w:r>
      <w:r w:rsidRPr="00EE5722">
        <w:rPr>
          <w:sz w:val="26"/>
          <w:szCs w:val="26"/>
        </w:rPr>
        <w:t>propos</w:t>
      </w:r>
      <w:r>
        <w:rPr>
          <w:sz w:val="26"/>
          <w:szCs w:val="26"/>
        </w:rPr>
        <w:t>ed</w:t>
      </w:r>
      <w:r w:rsidRPr="00EE5722">
        <w:rPr>
          <w:sz w:val="26"/>
          <w:szCs w:val="26"/>
        </w:rPr>
        <w:t xml:space="preserve"> to bid out TOU load to EGSs after more of its customers have smart meters, after its current TOU pilot programs are completed,</w:t>
      </w:r>
      <w:r>
        <w:rPr>
          <w:sz w:val="26"/>
          <w:szCs w:val="26"/>
        </w:rPr>
        <w:t xml:space="preserve"> and after Duquesne </w:t>
      </w:r>
      <w:r w:rsidRPr="00EE5722">
        <w:rPr>
          <w:sz w:val="26"/>
          <w:szCs w:val="26"/>
        </w:rPr>
        <w:t>has had time to review the results of those pilot programs and develop a l</w:t>
      </w:r>
      <w:r>
        <w:rPr>
          <w:sz w:val="26"/>
          <w:szCs w:val="26"/>
        </w:rPr>
        <w:t xml:space="preserve">ong-term TOU plan.  As a result, we conclude that it would be premature to adopt the proposals suggested by RESA, FES and Constellation at this point in time.  Accordingly, we shall adopt the recommendation of the ALJ and deny the Exceptions of FES on this issue. </w:t>
      </w:r>
      <w:r>
        <w:rPr>
          <w:color w:val="000000" w:themeColor="text1"/>
          <w:sz w:val="26"/>
          <w:szCs w:val="26"/>
        </w:rPr>
        <w:t xml:space="preserve"> </w:t>
      </w:r>
      <w:r>
        <w:rPr>
          <w:color w:val="000000" w:themeColor="text1"/>
          <w:sz w:val="26"/>
          <w:szCs w:val="26"/>
        </w:rPr>
        <w:tab/>
      </w:r>
    </w:p>
    <w:p w:rsidR="002D3E17" w:rsidRPr="00EE5722" w:rsidRDefault="002D3E17" w:rsidP="002D3E17">
      <w:pPr>
        <w:pStyle w:val="BodyText"/>
        <w:spacing w:after="0" w:line="360" w:lineRule="auto"/>
        <w:ind w:left="0" w:firstLine="0"/>
        <w:rPr>
          <w:color w:val="000000" w:themeColor="text1"/>
          <w:sz w:val="26"/>
          <w:szCs w:val="26"/>
        </w:rPr>
      </w:pPr>
    </w:p>
    <w:p w:rsidR="002D3E17" w:rsidRPr="00EE5722" w:rsidRDefault="00D64891" w:rsidP="0053114A">
      <w:pPr>
        <w:pStyle w:val="Heading2"/>
        <w:numPr>
          <w:ilvl w:val="0"/>
          <w:numId w:val="0"/>
        </w:numPr>
        <w:ind w:left="1440" w:hanging="720"/>
      </w:pPr>
      <w:bookmarkStart w:id="244" w:name="_Toc346705484"/>
      <w:r>
        <w:t>G</w:t>
      </w:r>
      <w:r w:rsidR="002D3E17" w:rsidRPr="00EE5722">
        <w:t>.</w:t>
      </w:r>
      <w:r w:rsidR="002D3E17" w:rsidRPr="00EE5722">
        <w:tab/>
        <w:t xml:space="preserve">Supply Master Agreement </w:t>
      </w:r>
      <w:r w:rsidR="002D3E17">
        <w:t xml:space="preserve">(SMA) </w:t>
      </w:r>
      <w:r w:rsidR="002D3E17" w:rsidRPr="00EE5722">
        <w:t>Issues</w:t>
      </w:r>
      <w:bookmarkEnd w:id="244"/>
    </w:p>
    <w:p w:rsidR="002D3E17" w:rsidRPr="00EE5722" w:rsidRDefault="002D3E17" w:rsidP="002D3E17">
      <w:pPr>
        <w:pStyle w:val="BriefL3"/>
        <w:numPr>
          <w:ilvl w:val="0"/>
          <w:numId w:val="0"/>
        </w:numPr>
        <w:spacing w:after="0" w:line="360" w:lineRule="auto"/>
        <w:ind w:left="720" w:firstLine="720"/>
        <w:rPr>
          <w:b/>
          <w:sz w:val="26"/>
          <w:szCs w:val="26"/>
        </w:rPr>
      </w:pPr>
    </w:p>
    <w:p w:rsidR="002D3E17" w:rsidRPr="00EE5722" w:rsidRDefault="002D3E17" w:rsidP="0053114A">
      <w:pPr>
        <w:pStyle w:val="Heading3"/>
      </w:pPr>
      <w:bookmarkStart w:id="245" w:name="_Toc346705485"/>
      <w:r>
        <w:t>1.</w:t>
      </w:r>
      <w:r>
        <w:tab/>
        <w:t>Positions of the Parties</w:t>
      </w:r>
      <w:bookmarkEnd w:id="245"/>
    </w:p>
    <w:p w:rsidR="002D3E17" w:rsidRPr="00EE5722" w:rsidRDefault="002D3E17" w:rsidP="002D3E17">
      <w:pPr>
        <w:pStyle w:val="BodyText2"/>
        <w:spacing w:after="0" w:line="360" w:lineRule="auto"/>
        <w:rPr>
          <w:sz w:val="26"/>
          <w:szCs w:val="26"/>
        </w:rPr>
      </w:pPr>
    </w:p>
    <w:p w:rsidR="002D3E17" w:rsidRPr="00EE5722" w:rsidRDefault="002D3E17" w:rsidP="002D3E17">
      <w:pPr>
        <w:pStyle w:val="BodyText2"/>
        <w:spacing w:after="0" w:line="360" w:lineRule="auto"/>
        <w:rPr>
          <w:sz w:val="26"/>
          <w:szCs w:val="26"/>
        </w:rPr>
      </w:pPr>
      <w:r>
        <w:rPr>
          <w:sz w:val="26"/>
          <w:szCs w:val="26"/>
        </w:rPr>
        <w:tab/>
      </w:r>
      <w:r>
        <w:rPr>
          <w:sz w:val="26"/>
          <w:szCs w:val="26"/>
        </w:rPr>
        <w:tab/>
        <w:t xml:space="preserve">Several issues were raised by the Parties with regard to Duquesne’s proposed Supply Master Agreement or SMA.  </w:t>
      </w:r>
      <w:r w:rsidRPr="00EE5722">
        <w:rPr>
          <w:sz w:val="26"/>
          <w:szCs w:val="26"/>
        </w:rPr>
        <w:t xml:space="preserve">Constellation argued </w:t>
      </w:r>
      <w:r>
        <w:rPr>
          <w:sz w:val="26"/>
          <w:szCs w:val="26"/>
        </w:rPr>
        <w:t xml:space="preserve">that Duquesne </w:t>
      </w:r>
      <w:r w:rsidRPr="00EE5722">
        <w:rPr>
          <w:sz w:val="26"/>
          <w:szCs w:val="26"/>
        </w:rPr>
        <w:t xml:space="preserve">should revise its unsecured credit thresholds to give unsecured credit to non-investment grade </w:t>
      </w:r>
      <w:r w:rsidRPr="00EE5722">
        <w:rPr>
          <w:sz w:val="26"/>
          <w:szCs w:val="26"/>
        </w:rPr>
        <w:lastRenderedPageBreak/>
        <w:t>entities.  Constellation S</w:t>
      </w:r>
      <w:r>
        <w:rPr>
          <w:sz w:val="26"/>
          <w:szCs w:val="26"/>
        </w:rPr>
        <w:t>t. 1 at 36.</w:t>
      </w:r>
      <w:r>
        <w:rPr>
          <w:rStyle w:val="FootnoteReference"/>
          <w:sz w:val="26"/>
          <w:szCs w:val="26"/>
        </w:rPr>
        <w:footnoteReference w:id="136"/>
      </w:r>
      <w:r>
        <w:rPr>
          <w:sz w:val="26"/>
          <w:szCs w:val="26"/>
        </w:rPr>
        <w:t xml:space="preserve">  Duquesne disagreed</w:t>
      </w:r>
      <w:r w:rsidRPr="00EE5722">
        <w:rPr>
          <w:sz w:val="26"/>
          <w:szCs w:val="26"/>
        </w:rPr>
        <w:t xml:space="preserve"> because it </w:t>
      </w:r>
      <w:r>
        <w:rPr>
          <w:sz w:val="26"/>
          <w:szCs w:val="26"/>
        </w:rPr>
        <w:t xml:space="preserve">would </w:t>
      </w:r>
      <w:r w:rsidRPr="00EE5722">
        <w:rPr>
          <w:sz w:val="26"/>
          <w:szCs w:val="26"/>
        </w:rPr>
        <w:t>require</w:t>
      </w:r>
      <w:r>
        <w:rPr>
          <w:sz w:val="26"/>
          <w:szCs w:val="26"/>
        </w:rPr>
        <w:t xml:space="preserve"> </w:t>
      </w:r>
      <w:r w:rsidR="00614864">
        <w:rPr>
          <w:sz w:val="26"/>
          <w:szCs w:val="26"/>
        </w:rPr>
        <w:t>Duquesne</w:t>
      </w:r>
      <w:r>
        <w:rPr>
          <w:sz w:val="26"/>
          <w:szCs w:val="26"/>
        </w:rPr>
        <w:t xml:space="preserve"> </w:t>
      </w:r>
      <w:r w:rsidRPr="00EE5722">
        <w:rPr>
          <w:sz w:val="26"/>
          <w:szCs w:val="26"/>
        </w:rPr>
        <w:t>to provide unsecured credit to wholesale suppliers that do not have an investment grade credit rating</w:t>
      </w:r>
      <w:r>
        <w:rPr>
          <w:sz w:val="26"/>
          <w:szCs w:val="26"/>
        </w:rPr>
        <w:t xml:space="preserve">.  Duquesne </w:t>
      </w:r>
      <w:r w:rsidRPr="00EE5722">
        <w:rPr>
          <w:sz w:val="26"/>
          <w:szCs w:val="26"/>
        </w:rPr>
        <w:t>c</w:t>
      </w:r>
      <w:r>
        <w:rPr>
          <w:sz w:val="26"/>
          <w:szCs w:val="26"/>
        </w:rPr>
        <w:t>ontended</w:t>
      </w:r>
      <w:r w:rsidRPr="00EE5722">
        <w:rPr>
          <w:sz w:val="26"/>
          <w:szCs w:val="26"/>
        </w:rPr>
        <w:t xml:space="preserve"> it must limit the amount of unsecured credit provided to default service suppliers in order to protect customers in the event of supplier default.  </w:t>
      </w:r>
      <w:r>
        <w:rPr>
          <w:sz w:val="26"/>
          <w:szCs w:val="26"/>
        </w:rPr>
        <w:t>According to Duquesne, h</w:t>
      </w:r>
      <w:r w:rsidRPr="00EE5722">
        <w:rPr>
          <w:sz w:val="26"/>
          <w:szCs w:val="26"/>
        </w:rPr>
        <w:t xml:space="preserve">igher amounts of unsecured credit reduce, or even eliminate, the collateral that suppliers must post.  Therefore, </w:t>
      </w:r>
      <w:r>
        <w:rPr>
          <w:sz w:val="26"/>
          <w:szCs w:val="26"/>
        </w:rPr>
        <w:t xml:space="preserve">Duquesne asserted that </w:t>
      </w:r>
      <w:r w:rsidRPr="00EE5722">
        <w:rPr>
          <w:sz w:val="26"/>
          <w:szCs w:val="26"/>
        </w:rPr>
        <w:t>higher amounts of unsecured credit provide less protection for default service customers against financial damage in the event of su</w:t>
      </w:r>
      <w:r>
        <w:rPr>
          <w:sz w:val="26"/>
          <w:szCs w:val="26"/>
        </w:rPr>
        <w:t>pplier default.  Duquesne St. 9-R at 5-</w:t>
      </w:r>
      <w:r w:rsidRPr="00EE5722">
        <w:rPr>
          <w:sz w:val="26"/>
          <w:szCs w:val="26"/>
        </w:rPr>
        <w:t>6.</w:t>
      </w:r>
    </w:p>
    <w:p w:rsidR="002D3E17" w:rsidRPr="00EE5722" w:rsidRDefault="002D3E17" w:rsidP="002D3E17">
      <w:pPr>
        <w:pStyle w:val="BodyText2"/>
        <w:spacing w:after="0" w:line="360" w:lineRule="auto"/>
        <w:rPr>
          <w:sz w:val="26"/>
          <w:szCs w:val="26"/>
        </w:rPr>
      </w:pPr>
    </w:p>
    <w:p w:rsidR="002D3E17" w:rsidRPr="00EE5722" w:rsidRDefault="002D3E17" w:rsidP="002D3E17">
      <w:pPr>
        <w:pStyle w:val="BodyText2"/>
        <w:spacing w:after="0" w:line="360" w:lineRule="auto"/>
        <w:rPr>
          <w:sz w:val="26"/>
          <w:szCs w:val="26"/>
        </w:rPr>
      </w:pPr>
      <w:r w:rsidRPr="00EE5722">
        <w:rPr>
          <w:sz w:val="26"/>
          <w:szCs w:val="26"/>
        </w:rPr>
        <w:tab/>
      </w:r>
      <w:r w:rsidRPr="00EE5722">
        <w:rPr>
          <w:sz w:val="26"/>
          <w:szCs w:val="26"/>
        </w:rPr>
        <w:tab/>
      </w:r>
      <w:r>
        <w:rPr>
          <w:sz w:val="26"/>
          <w:szCs w:val="26"/>
        </w:rPr>
        <w:t>Duquesne also disagreed</w:t>
      </w:r>
      <w:r w:rsidRPr="00EE5722">
        <w:rPr>
          <w:sz w:val="26"/>
          <w:szCs w:val="26"/>
        </w:rPr>
        <w:t xml:space="preserve"> with Constellation’s argument that the pool of wholesale suppliers available to bid in default service RF</w:t>
      </w:r>
      <w:r>
        <w:rPr>
          <w:sz w:val="26"/>
          <w:szCs w:val="26"/>
        </w:rPr>
        <w:t xml:space="preserve">Ps may shrink if Duquesne </w:t>
      </w:r>
      <w:r w:rsidRPr="00EE5722">
        <w:rPr>
          <w:sz w:val="26"/>
          <w:szCs w:val="26"/>
        </w:rPr>
        <w:t>does not revise its unsecured</w:t>
      </w:r>
      <w:r>
        <w:rPr>
          <w:sz w:val="26"/>
          <w:szCs w:val="26"/>
        </w:rPr>
        <w:t xml:space="preserve"> credit limits.  Duquesne St. 9-R at </w:t>
      </w:r>
      <w:r w:rsidRPr="00EE5722">
        <w:rPr>
          <w:sz w:val="26"/>
          <w:szCs w:val="26"/>
        </w:rPr>
        <w:t xml:space="preserve">7.  The Company explained </w:t>
      </w:r>
      <w:r>
        <w:rPr>
          <w:sz w:val="26"/>
          <w:szCs w:val="26"/>
        </w:rPr>
        <w:t xml:space="preserve">that </w:t>
      </w:r>
      <w:r w:rsidRPr="00EE5722">
        <w:rPr>
          <w:sz w:val="26"/>
          <w:szCs w:val="26"/>
        </w:rPr>
        <w:t>there have been many solicitations for competitive supply in recent years, and it has been repeatedly confirmed that it is not necessary to provide unsecured credit to sub-investment grade entities in order to have robust</w:t>
      </w:r>
      <w:r>
        <w:rPr>
          <w:sz w:val="26"/>
          <w:szCs w:val="26"/>
        </w:rPr>
        <w:t xml:space="preserve"> participation.  Duquesne St. 9-R at </w:t>
      </w:r>
      <w:r w:rsidRPr="00EE5722">
        <w:rPr>
          <w:sz w:val="26"/>
          <w:szCs w:val="26"/>
        </w:rPr>
        <w:t xml:space="preserve">7-8.  </w:t>
      </w:r>
      <w:r>
        <w:rPr>
          <w:sz w:val="26"/>
          <w:szCs w:val="26"/>
        </w:rPr>
        <w:t>Therefore, Duquesne argued that</w:t>
      </w:r>
      <w:r w:rsidRPr="00EE5722">
        <w:rPr>
          <w:sz w:val="26"/>
          <w:szCs w:val="26"/>
        </w:rPr>
        <w:t xml:space="preserve"> Constellation’s proposal should not be adopted.</w:t>
      </w:r>
    </w:p>
    <w:p w:rsidR="002D3E17" w:rsidRPr="00EE5722" w:rsidRDefault="002D3E17" w:rsidP="002D3E17">
      <w:pPr>
        <w:pStyle w:val="BodyText2"/>
        <w:spacing w:after="0" w:line="360" w:lineRule="auto"/>
        <w:rPr>
          <w:sz w:val="26"/>
          <w:szCs w:val="26"/>
        </w:rPr>
      </w:pPr>
    </w:p>
    <w:p w:rsidR="002D3E17" w:rsidRPr="00CA42B9" w:rsidRDefault="002D3E17" w:rsidP="002D3E17">
      <w:pPr>
        <w:pStyle w:val="BodyText2"/>
        <w:spacing w:after="0" w:line="360" w:lineRule="auto"/>
        <w:rPr>
          <w:sz w:val="26"/>
          <w:szCs w:val="26"/>
        </w:rPr>
      </w:pPr>
      <w:r w:rsidRPr="00EE5722">
        <w:rPr>
          <w:sz w:val="26"/>
          <w:szCs w:val="26"/>
        </w:rPr>
        <w:tab/>
      </w:r>
      <w:r w:rsidRPr="00EE5722">
        <w:rPr>
          <w:sz w:val="26"/>
          <w:szCs w:val="26"/>
        </w:rPr>
        <w:tab/>
      </w:r>
      <w:r>
        <w:rPr>
          <w:sz w:val="26"/>
          <w:szCs w:val="26"/>
        </w:rPr>
        <w:t>Constellation also argued</w:t>
      </w:r>
      <w:r w:rsidRPr="00EE5722">
        <w:rPr>
          <w:sz w:val="26"/>
          <w:szCs w:val="26"/>
        </w:rPr>
        <w:t xml:space="preserve"> </w:t>
      </w:r>
      <w:r>
        <w:rPr>
          <w:sz w:val="26"/>
          <w:szCs w:val="26"/>
        </w:rPr>
        <w:t xml:space="preserve">that </w:t>
      </w:r>
      <w:r w:rsidRPr="00EE5722">
        <w:rPr>
          <w:sz w:val="26"/>
          <w:szCs w:val="26"/>
        </w:rPr>
        <w:t>it is not</w:t>
      </w:r>
      <w:r>
        <w:rPr>
          <w:sz w:val="26"/>
          <w:szCs w:val="26"/>
        </w:rPr>
        <w:t xml:space="preserve"> appropriate for Duquesne </w:t>
      </w:r>
      <w:r w:rsidRPr="00EE5722">
        <w:rPr>
          <w:sz w:val="26"/>
          <w:szCs w:val="26"/>
        </w:rPr>
        <w:t>to include an “evergreen” clause in the “Definitions” section of the</w:t>
      </w:r>
      <w:r>
        <w:rPr>
          <w:sz w:val="26"/>
          <w:szCs w:val="26"/>
        </w:rPr>
        <w:t xml:space="preserve"> SMA for its Letter of Credit.  Duquesne contended</w:t>
      </w:r>
      <w:r w:rsidRPr="00EE5722">
        <w:rPr>
          <w:sz w:val="26"/>
          <w:szCs w:val="26"/>
        </w:rPr>
        <w:t xml:space="preserve"> Constellation’s argument may be a distinction without a difference in this proceeding, as explained below:</w:t>
      </w:r>
    </w:p>
    <w:p w:rsidR="002D3E17" w:rsidRPr="00EE5722" w:rsidRDefault="002D3E17" w:rsidP="002D3E17">
      <w:pPr>
        <w:pStyle w:val="BlockText"/>
        <w:spacing w:before="240" w:after="0"/>
        <w:jc w:val="left"/>
        <w:rPr>
          <w:sz w:val="26"/>
          <w:szCs w:val="26"/>
        </w:rPr>
      </w:pPr>
      <w:r w:rsidRPr="00EE5722">
        <w:rPr>
          <w:sz w:val="26"/>
          <w:szCs w:val="26"/>
        </w:rPr>
        <w:t xml:space="preserve">The term “evergreen” means that the Letter of Credit has an expiration date but automatically rolls over for indefinite </w:t>
      </w:r>
      <w:r w:rsidRPr="00EE5722">
        <w:rPr>
          <w:sz w:val="26"/>
          <w:szCs w:val="26"/>
        </w:rPr>
        <w:lastRenderedPageBreak/>
        <w:t xml:space="preserve">periods until the issuing bank notifies the Company as the beneficiary of the Letter of Credit’s final expiration. The use of the term cements the issuing bank's obligation to keep the Letter of Credit in place so long as necessary to secure damages in the event that the EGS defaults at any point during the term of the contract and ensures also that the Letter of Credit cannot be canceled </w:t>
      </w:r>
      <w:r>
        <w:rPr>
          <w:sz w:val="26"/>
          <w:szCs w:val="26"/>
        </w:rPr>
        <w:t>without notice to the Company.</w:t>
      </w:r>
    </w:p>
    <w:p w:rsidR="002D3E17" w:rsidRPr="00EE5722" w:rsidRDefault="002D3E17" w:rsidP="002D3E17">
      <w:pPr>
        <w:pStyle w:val="BlockText"/>
        <w:jc w:val="left"/>
        <w:rPr>
          <w:sz w:val="26"/>
          <w:szCs w:val="26"/>
        </w:rPr>
      </w:pPr>
      <w:r w:rsidRPr="00EE5722">
        <w:rPr>
          <w:sz w:val="26"/>
          <w:szCs w:val="26"/>
        </w:rPr>
        <w:t xml:space="preserve">The characterization “evergreen” in the “Definitions” section of the SMA of the Letter of Credit requires that the amounts authorized under the Letter of Credit remain continuously available up to the Aggregate Amount.  The issuing bank is required to maintain the available funds until notified by Duquesne Light that the Letter of Credit need not be extended even if that date would be 2015 or thereafter.  This also is consistent with the express terms </w:t>
      </w:r>
      <w:r>
        <w:rPr>
          <w:sz w:val="26"/>
          <w:szCs w:val="26"/>
        </w:rPr>
        <w:t>of the Letter of Credit itself.</w:t>
      </w:r>
    </w:p>
    <w:p w:rsidR="007B4B36" w:rsidRDefault="007B4B36" w:rsidP="002D3E17">
      <w:pPr>
        <w:pStyle w:val="BodyText2"/>
        <w:spacing w:after="0" w:line="360" w:lineRule="auto"/>
        <w:rPr>
          <w:sz w:val="26"/>
          <w:szCs w:val="26"/>
          <w:lang w:val="en-US"/>
        </w:rPr>
      </w:pPr>
    </w:p>
    <w:p w:rsidR="002D3E17" w:rsidRPr="00461D9B" w:rsidRDefault="002D3E17" w:rsidP="002D3E17">
      <w:pPr>
        <w:pStyle w:val="BodyText2"/>
        <w:spacing w:after="0" w:line="360" w:lineRule="auto"/>
        <w:rPr>
          <w:sz w:val="26"/>
          <w:szCs w:val="26"/>
        </w:rPr>
      </w:pPr>
      <w:r>
        <w:rPr>
          <w:sz w:val="26"/>
          <w:szCs w:val="26"/>
        </w:rPr>
        <w:t xml:space="preserve">Duquesne St. 9-R at </w:t>
      </w:r>
      <w:r w:rsidRPr="00EE5722">
        <w:rPr>
          <w:sz w:val="26"/>
          <w:szCs w:val="26"/>
        </w:rPr>
        <w:t xml:space="preserve">9-10.  </w:t>
      </w:r>
      <w:r>
        <w:rPr>
          <w:sz w:val="26"/>
          <w:szCs w:val="26"/>
        </w:rPr>
        <w:t>Duquesne stated that t</w:t>
      </w:r>
      <w:r w:rsidRPr="00EE5722">
        <w:rPr>
          <w:sz w:val="26"/>
          <w:szCs w:val="26"/>
        </w:rPr>
        <w:t xml:space="preserve">he term “evergreen” in the definitions section of the SMA is consistent with the Letter of Credit itself.  For these reasons, </w:t>
      </w:r>
      <w:r>
        <w:rPr>
          <w:sz w:val="26"/>
          <w:szCs w:val="26"/>
        </w:rPr>
        <w:t xml:space="preserve">Duquesne requested that </w:t>
      </w:r>
      <w:r w:rsidRPr="00EE5722">
        <w:rPr>
          <w:sz w:val="26"/>
          <w:szCs w:val="26"/>
        </w:rPr>
        <w:t>Constellation’s proposal to remove the term “evergreen” from the SMA should be denied.</w:t>
      </w:r>
      <w:r>
        <w:rPr>
          <w:sz w:val="26"/>
          <w:szCs w:val="26"/>
        </w:rPr>
        <w:t xml:space="preserve"> </w:t>
      </w:r>
    </w:p>
    <w:p w:rsidR="002D3E17" w:rsidRPr="00EE5722" w:rsidRDefault="002D3E17" w:rsidP="002D3E17">
      <w:pPr>
        <w:pStyle w:val="BodyText2"/>
        <w:spacing w:after="0" w:line="360" w:lineRule="auto"/>
        <w:rPr>
          <w:sz w:val="26"/>
          <w:szCs w:val="26"/>
        </w:rPr>
      </w:pPr>
    </w:p>
    <w:p w:rsidR="002D3E17" w:rsidRPr="00461D9B" w:rsidRDefault="002D3E17" w:rsidP="002D3E17">
      <w:pPr>
        <w:pStyle w:val="BodyText2"/>
        <w:spacing w:after="0" w:line="360" w:lineRule="auto"/>
        <w:rPr>
          <w:sz w:val="26"/>
          <w:szCs w:val="26"/>
        </w:rPr>
      </w:pPr>
      <w:r w:rsidRPr="00EE5722">
        <w:rPr>
          <w:sz w:val="26"/>
          <w:szCs w:val="26"/>
        </w:rPr>
        <w:tab/>
      </w:r>
      <w:r w:rsidRPr="00EE5722">
        <w:rPr>
          <w:sz w:val="26"/>
          <w:szCs w:val="26"/>
        </w:rPr>
        <w:tab/>
        <w:t>Conste</w:t>
      </w:r>
      <w:r>
        <w:rPr>
          <w:sz w:val="26"/>
          <w:szCs w:val="26"/>
        </w:rPr>
        <w:t xml:space="preserve">llation proposed that Duquesne </w:t>
      </w:r>
      <w:r w:rsidRPr="00EE5722">
        <w:rPr>
          <w:sz w:val="26"/>
          <w:szCs w:val="26"/>
        </w:rPr>
        <w:t>add language to its SMA addressing new PJM charge</w:t>
      </w:r>
      <w:r>
        <w:rPr>
          <w:sz w:val="26"/>
          <w:szCs w:val="26"/>
        </w:rPr>
        <w:t xml:space="preserve">s.  Constellation St. 1 at </w:t>
      </w:r>
      <w:r w:rsidRPr="00EE5722">
        <w:rPr>
          <w:sz w:val="26"/>
          <w:szCs w:val="26"/>
        </w:rPr>
        <w:t xml:space="preserve">39.  </w:t>
      </w:r>
      <w:r>
        <w:rPr>
          <w:sz w:val="26"/>
          <w:szCs w:val="26"/>
        </w:rPr>
        <w:t xml:space="preserve">Duquesne </w:t>
      </w:r>
      <w:r w:rsidRPr="00EE5722">
        <w:rPr>
          <w:sz w:val="26"/>
          <w:szCs w:val="26"/>
        </w:rPr>
        <w:t xml:space="preserve">explained </w:t>
      </w:r>
      <w:r>
        <w:rPr>
          <w:sz w:val="26"/>
          <w:szCs w:val="26"/>
        </w:rPr>
        <w:t xml:space="preserve">that </w:t>
      </w:r>
      <w:r w:rsidRPr="00EE5722">
        <w:rPr>
          <w:sz w:val="26"/>
          <w:szCs w:val="26"/>
        </w:rPr>
        <w:t>this language is unnecessary because Section 2.3 of the SMA clearly states the Buyer is responsible for future PJM charges assessed to network transmission customers, and Section 2.5 clearly states the Seller is responsible for any other changes in PJM products and pricing during the t</w:t>
      </w:r>
      <w:r>
        <w:rPr>
          <w:sz w:val="26"/>
          <w:szCs w:val="26"/>
        </w:rPr>
        <w:t>erm of the SMA.  Duquesne explained</w:t>
      </w:r>
      <w:r w:rsidRPr="00EE5722">
        <w:rPr>
          <w:sz w:val="26"/>
          <w:szCs w:val="26"/>
        </w:rPr>
        <w:t xml:space="preserve"> </w:t>
      </w:r>
      <w:r>
        <w:rPr>
          <w:sz w:val="26"/>
          <w:szCs w:val="26"/>
        </w:rPr>
        <w:t xml:space="preserve">that </w:t>
      </w:r>
      <w:r w:rsidRPr="00EE5722">
        <w:rPr>
          <w:sz w:val="26"/>
          <w:szCs w:val="26"/>
        </w:rPr>
        <w:t>it would be unwise to adopt this language because “[it] would open the door for protracted litigation any time that PJM established a new charge, or any time that a PJM charge is changed enough to possi</w:t>
      </w:r>
      <w:r>
        <w:rPr>
          <w:sz w:val="26"/>
          <w:szCs w:val="26"/>
        </w:rPr>
        <w:t xml:space="preserve">bly be considered to be </w:t>
      </w:r>
      <w:r w:rsidR="008A2931">
        <w:rPr>
          <w:sz w:val="26"/>
          <w:szCs w:val="26"/>
        </w:rPr>
        <w:t>‘</w:t>
      </w:r>
      <w:r>
        <w:rPr>
          <w:sz w:val="26"/>
          <w:szCs w:val="26"/>
        </w:rPr>
        <w:t>new.</w:t>
      </w:r>
      <w:r w:rsidR="008A2931">
        <w:rPr>
          <w:sz w:val="26"/>
          <w:szCs w:val="26"/>
        </w:rPr>
        <w:t>’</w:t>
      </w:r>
      <w:r>
        <w:rPr>
          <w:sz w:val="26"/>
          <w:szCs w:val="26"/>
        </w:rPr>
        <w:t xml:space="preserve">”  Duquesne St. 4-R at </w:t>
      </w:r>
      <w:r w:rsidRPr="00EE5722">
        <w:rPr>
          <w:sz w:val="26"/>
          <w:szCs w:val="26"/>
        </w:rPr>
        <w:t>32.</w:t>
      </w:r>
      <w:r>
        <w:rPr>
          <w:sz w:val="26"/>
          <w:szCs w:val="26"/>
        </w:rPr>
        <w:t xml:space="preserve">  </w:t>
      </w:r>
    </w:p>
    <w:p w:rsidR="002D3E17" w:rsidRPr="00EE5722" w:rsidRDefault="002D3E17" w:rsidP="002D3E17">
      <w:pPr>
        <w:pStyle w:val="BodyText"/>
        <w:spacing w:after="0" w:line="360" w:lineRule="auto"/>
        <w:ind w:left="0" w:firstLine="0"/>
        <w:rPr>
          <w:sz w:val="26"/>
          <w:szCs w:val="26"/>
        </w:rPr>
      </w:pPr>
    </w:p>
    <w:p w:rsidR="002D3E17" w:rsidRDefault="002D3E17" w:rsidP="002D3E17">
      <w:pPr>
        <w:pStyle w:val="BriefL3"/>
        <w:numPr>
          <w:ilvl w:val="0"/>
          <w:numId w:val="0"/>
        </w:numPr>
        <w:spacing w:after="0" w:line="360" w:lineRule="auto"/>
        <w:ind w:firstLine="1440"/>
        <w:rPr>
          <w:bCs/>
          <w:sz w:val="26"/>
          <w:szCs w:val="26"/>
        </w:rPr>
      </w:pPr>
      <w:r w:rsidRPr="00EE5722">
        <w:rPr>
          <w:sz w:val="26"/>
          <w:szCs w:val="26"/>
        </w:rPr>
        <w:t>FES initially had concerns with S</w:t>
      </w:r>
      <w:r>
        <w:rPr>
          <w:sz w:val="26"/>
          <w:szCs w:val="26"/>
        </w:rPr>
        <w:t>ection 12.1(h) of Duquesne</w:t>
      </w:r>
      <w:r w:rsidRPr="00EE5722">
        <w:rPr>
          <w:sz w:val="26"/>
          <w:szCs w:val="26"/>
        </w:rPr>
        <w:t xml:space="preserve">’s initially proposed SMA, which contained a cross default provision under which an event of </w:t>
      </w:r>
      <w:r w:rsidRPr="00EE5722">
        <w:rPr>
          <w:sz w:val="26"/>
          <w:szCs w:val="26"/>
        </w:rPr>
        <w:lastRenderedPageBreak/>
        <w:t xml:space="preserve">default would occur with a supplier’s default on unrelated debt in the aggregate amount of $50,000,000.  FES strongly urged that the provision be deleted altogether, or at the very least the threshold be revised from $50,000,000 to 5% of </w:t>
      </w:r>
      <w:r w:rsidR="00A526F6" w:rsidRPr="00A526F6">
        <w:rPr>
          <w:sz w:val="26"/>
          <w:szCs w:val="26"/>
        </w:rPr>
        <w:t>total net worth</w:t>
      </w:r>
      <w:r w:rsidR="00882608" w:rsidRPr="00A526F6">
        <w:rPr>
          <w:sz w:val="26"/>
          <w:szCs w:val="26"/>
        </w:rPr>
        <w:t xml:space="preserve"> (</w:t>
      </w:r>
      <w:r w:rsidRPr="00A526F6">
        <w:rPr>
          <w:sz w:val="26"/>
          <w:szCs w:val="26"/>
        </w:rPr>
        <w:t>TNW</w:t>
      </w:r>
      <w:r w:rsidR="00882608" w:rsidRPr="00A526F6">
        <w:rPr>
          <w:sz w:val="26"/>
          <w:szCs w:val="26"/>
        </w:rPr>
        <w:t>)</w:t>
      </w:r>
      <w:r w:rsidRPr="00A526F6">
        <w:rPr>
          <w:sz w:val="26"/>
          <w:szCs w:val="26"/>
        </w:rPr>
        <w:t>,</w:t>
      </w:r>
      <w:r w:rsidRPr="00EE5722">
        <w:rPr>
          <w:sz w:val="26"/>
          <w:szCs w:val="26"/>
        </w:rPr>
        <w:t xml:space="preserve"> which is in line with the industry standard for these provisions an</w:t>
      </w:r>
      <w:r>
        <w:rPr>
          <w:sz w:val="26"/>
          <w:szCs w:val="26"/>
        </w:rPr>
        <w:t xml:space="preserve">d still provides Duquesne </w:t>
      </w:r>
      <w:r w:rsidRPr="00EE5722">
        <w:rPr>
          <w:sz w:val="26"/>
          <w:szCs w:val="26"/>
        </w:rPr>
        <w:t>the ability to measure counterparty creditworthines</w:t>
      </w:r>
      <w:r>
        <w:rPr>
          <w:sz w:val="26"/>
          <w:szCs w:val="26"/>
        </w:rPr>
        <w:t xml:space="preserve">s.  In response, Duquesne </w:t>
      </w:r>
      <w:r w:rsidRPr="00EE5722">
        <w:rPr>
          <w:sz w:val="26"/>
          <w:szCs w:val="26"/>
        </w:rPr>
        <w:t xml:space="preserve">proposed that the Section 12.1(h) cross default threshold be set at the lower of $100,000,000 or 5% TNW.  </w:t>
      </w:r>
      <w:r>
        <w:rPr>
          <w:bCs/>
          <w:sz w:val="26"/>
          <w:szCs w:val="26"/>
        </w:rPr>
        <w:t xml:space="preserve">Duquesne St. 9-R at 2-4.  Although FES submitted </w:t>
      </w:r>
      <w:r w:rsidRPr="00EE5722">
        <w:rPr>
          <w:bCs/>
          <w:sz w:val="26"/>
          <w:szCs w:val="26"/>
        </w:rPr>
        <w:t>that the fixed $100,000,000 threshold is unnecessa</w:t>
      </w:r>
      <w:r>
        <w:rPr>
          <w:bCs/>
          <w:sz w:val="26"/>
          <w:szCs w:val="26"/>
        </w:rPr>
        <w:t>ry, it accepted Duquesne</w:t>
      </w:r>
      <w:r w:rsidRPr="00EE5722">
        <w:rPr>
          <w:bCs/>
          <w:sz w:val="26"/>
          <w:szCs w:val="26"/>
        </w:rPr>
        <w:t>’s proposed revision to Section 12.1(h) of the SMA.</w:t>
      </w:r>
    </w:p>
    <w:p w:rsidR="008B4521" w:rsidRDefault="008B4521" w:rsidP="002D3E17">
      <w:pPr>
        <w:pStyle w:val="BriefL3"/>
        <w:numPr>
          <w:ilvl w:val="0"/>
          <w:numId w:val="0"/>
        </w:numPr>
        <w:spacing w:after="0" w:line="360" w:lineRule="auto"/>
        <w:ind w:firstLine="1440"/>
        <w:rPr>
          <w:bCs/>
          <w:sz w:val="26"/>
          <w:szCs w:val="26"/>
        </w:rPr>
      </w:pPr>
    </w:p>
    <w:p w:rsidR="002D3E17" w:rsidRDefault="00882608" w:rsidP="002D3E17">
      <w:pPr>
        <w:tabs>
          <w:tab w:val="left" w:pos="720"/>
        </w:tabs>
        <w:spacing w:line="360" w:lineRule="auto"/>
        <w:rPr>
          <w:sz w:val="26"/>
          <w:szCs w:val="26"/>
        </w:rPr>
      </w:pPr>
      <w:r>
        <w:rPr>
          <w:sz w:val="26"/>
          <w:szCs w:val="26"/>
        </w:rPr>
        <w:tab/>
      </w:r>
      <w:r>
        <w:rPr>
          <w:sz w:val="26"/>
          <w:szCs w:val="26"/>
        </w:rPr>
        <w:tab/>
        <w:t xml:space="preserve">Constellation </w:t>
      </w:r>
      <w:r w:rsidR="002D3E17" w:rsidRPr="00EE5722">
        <w:rPr>
          <w:sz w:val="26"/>
          <w:szCs w:val="26"/>
        </w:rPr>
        <w:t>argue</w:t>
      </w:r>
      <w:r w:rsidR="002D3E17">
        <w:rPr>
          <w:sz w:val="26"/>
          <w:szCs w:val="26"/>
        </w:rPr>
        <w:t>d</w:t>
      </w:r>
      <w:r w:rsidR="002D3E17" w:rsidRPr="00EE5722">
        <w:rPr>
          <w:sz w:val="26"/>
          <w:szCs w:val="26"/>
        </w:rPr>
        <w:t xml:space="preserve"> for three particular </w:t>
      </w:r>
      <w:r>
        <w:rPr>
          <w:sz w:val="26"/>
          <w:szCs w:val="26"/>
        </w:rPr>
        <w:t xml:space="preserve">items </w:t>
      </w:r>
      <w:r w:rsidR="002D3E17" w:rsidRPr="00EE5722">
        <w:rPr>
          <w:sz w:val="26"/>
          <w:szCs w:val="26"/>
        </w:rPr>
        <w:t>in order to encourage the m</w:t>
      </w:r>
      <w:r>
        <w:rPr>
          <w:sz w:val="26"/>
          <w:szCs w:val="26"/>
        </w:rPr>
        <w:t xml:space="preserve">ost robust participation in Duquesne’s </w:t>
      </w:r>
      <w:r w:rsidR="002D3E17" w:rsidRPr="00EE5722">
        <w:rPr>
          <w:sz w:val="26"/>
          <w:szCs w:val="26"/>
        </w:rPr>
        <w:t>RFPs</w:t>
      </w:r>
      <w:r>
        <w:rPr>
          <w:sz w:val="26"/>
          <w:szCs w:val="26"/>
        </w:rPr>
        <w:t>.</w:t>
      </w:r>
      <w:r w:rsidR="002D3E17" w:rsidRPr="00EE5722">
        <w:rPr>
          <w:rStyle w:val="FootnoteReference"/>
          <w:sz w:val="26"/>
          <w:szCs w:val="26"/>
        </w:rPr>
        <w:footnoteReference w:id="137"/>
      </w:r>
      <w:r w:rsidR="002D3E17" w:rsidRPr="00EE5722">
        <w:rPr>
          <w:sz w:val="26"/>
          <w:szCs w:val="26"/>
        </w:rPr>
        <w:t xml:space="preserve">  Sp</w:t>
      </w:r>
      <w:r>
        <w:rPr>
          <w:sz w:val="26"/>
          <w:szCs w:val="26"/>
        </w:rPr>
        <w:t xml:space="preserve">ecifically, Constellation </w:t>
      </w:r>
      <w:r w:rsidR="002D3E17" w:rsidRPr="00EE5722">
        <w:rPr>
          <w:sz w:val="26"/>
          <w:szCs w:val="26"/>
        </w:rPr>
        <w:t>ask</w:t>
      </w:r>
      <w:r>
        <w:rPr>
          <w:sz w:val="26"/>
          <w:szCs w:val="26"/>
        </w:rPr>
        <w:t>ed</w:t>
      </w:r>
      <w:r w:rsidR="002D3E17" w:rsidRPr="00EE5722">
        <w:rPr>
          <w:sz w:val="26"/>
          <w:szCs w:val="26"/>
        </w:rPr>
        <w:t xml:space="preserve"> that the </w:t>
      </w:r>
      <w:r w:rsidR="002D3E17">
        <w:rPr>
          <w:sz w:val="26"/>
          <w:szCs w:val="26"/>
        </w:rPr>
        <w:t xml:space="preserve">Commission order Duquesne </w:t>
      </w:r>
      <w:r w:rsidR="002D3E17" w:rsidRPr="00EE5722">
        <w:rPr>
          <w:sz w:val="26"/>
          <w:szCs w:val="26"/>
        </w:rPr>
        <w:t>to revise the SMA to:  (1) include other EDCs’ more appropriate unsecured credit thresholds or, at a minimum, the thresholds used in the SMA app</w:t>
      </w:r>
      <w:r w:rsidR="002D3E17">
        <w:rPr>
          <w:sz w:val="26"/>
          <w:szCs w:val="26"/>
        </w:rPr>
        <w:t xml:space="preserve">roved for use by Duquesne </w:t>
      </w:r>
      <w:r w:rsidR="002D3E17" w:rsidRPr="00EE5722">
        <w:rPr>
          <w:sz w:val="26"/>
          <w:szCs w:val="26"/>
        </w:rPr>
        <w:t>in i</w:t>
      </w:r>
      <w:r>
        <w:rPr>
          <w:sz w:val="26"/>
          <w:szCs w:val="26"/>
        </w:rPr>
        <w:t>ts previous DSP</w:t>
      </w:r>
      <w:r w:rsidR="002D3E17" w:rsidRPr="00EE5722">
        <w:rPr>
          <w:sz w:val="26"/>
          <w:szCs w:val="26"/>
        </w:rPr>
        <w:t xml:space="preserve"> (the “Prior SMA”); and (2</w:t>
      </w:r>
      <w:r w:rsidR="002D3E17">
        <w:rPr>
          <w:sz w:val="26"/>
          <w:szCs w:val="26"/>
        </w:rPr>
        <w:t>) as agreed to by Duquesne</w:t>
      </w:r>
      <w:r w:rsidR="002D3E17" w:rsidRPr="00EE5722">
        <w:rPr>
          <w:sz w:val="26"/>
          <w:szCs w:val="26"/>
        </w:rPr>
        <w:t>, and as included in the Prior SMA, reinsert the terms, “, if any” after “with respect to Seller’s Guarantor” in SMA Section 12.1(j).  In addition, the Commission sh</w:t>
      </w:r>
      <w:r w:rsidR="002D3E17">
        <w:rPr>
          <w:sz w:val="26"/>
          <w:szCs w:val="26"/>
        </w:rPr>
        <w:t>ould note Duquesne</w:t>
      </w:r>
      <w:r w:rsidR="002D3E17" w:rsidRPr="00EE5722">
        <w:rPr>
          <w:sz w:val="26"/>
          <w:szCs w:val="26"/>
        </w:rPr>
        <w:t>’s clarification regarding the allocation of “PJM Customer Payment Defaul</w:t>
      </w:r>
      <w:r>
        <w:rPr>
          <w:sz w:val="26"/>
          <w:szCs w:val="26"/>
        </w:rPr>
        <w:t>ts” between the EDC and the default service s</w:t>
      </w:r>
      <w:r w:rsidR="002D3E17" w:rsidRPr="00EE5722">
        <w:rPr>
          <w:sz w:val="26"/>
          <w:szCs w:val="26"/>
        </w:rPr>
        <w:t>upplier, as noted in</w:t>
      </w:r>
      <w:r w:rsidR="002D3E17">
        <w:rPr>
          <w:sz w:val="26"/>
          <w:szCs w:val="26"/>
        </w:rPr>
        <w:t xml:space="preserve"> the SMA’s Sample PJM Invoice.</w:t>
      </w:r>
    </w:p>
    <w:p w:rsidR="002D3E17" w:rsidRPr="00C96135" w:rsidRDefault="002D3E17" w:rsidP="002D3E17">
      <w:pPr>
        <w:tabs>
          <w:tab w:val="left" w:pos="720"/>
        </w:tabs>
        <w:spacing w:line="360" w:lineRule="auto"/>
        <w:rPr>
          <w:sz w:val="26"/>
          <w:szCs w:val="26"/>
        </w:rPr>
      </w:pPr>
    </w:p>
    <w:p w:rsidR="002D3E17" w:rsidRPr="00EE5722" w:rsidRDefault="002D3E17" w:rsidP="002D3E17">
      <w:pPr>
        <w:pStyle w:val="BodyText2"/>
        <w:spacing w:after="0" w:line="360" w:lineRule="auto"/>
        <w:ind w:firstLine="1440"/>
        <w:rPr>
          <w:sz w:val="26"/>
          <w:szCs w:val="26"/>
        </w:rPr>
      </w:pPr>
      <w:r>
        <w:rPr>
          <w:sz w:val="26"/>
          <w:szCs w:val="26"/>
        </w:rPr>
        <w:t xml:space="preserve">The </w:t>
      </w:r>
      <w:r w:rsidRPr="00EE5722">
        <w:rPr>
          <w:sz w:val="26"/>
          <w:szCs w:val="26"/>
        </w:rPr>
        <w:t>OCA</w:t>
      </w:r>
      <w:r>
        <w:rPr>
          <w:sz w:val="26"/>
          <w:szCs w:val="26"/>
        </w:rPr>
        <w:t xml:space="preserve">, RESA, the OSBA, CAUSE, Citizen Power, DII and Dominion took </w:t>
      </w:r>
      <w:r w:rsidRPr="00EE5722">
        <w:rPr>
          <w:sz w:val="26"/>
          <w:szCs w:val="26"/>
        </w:rPr>
        <w:t>no position on this issue.</w:t>
      </w:r>
    </w:p>
    <w:p w:rsidR="002D3E17" w:rsidRPr="00EE5722" w:rsidRDefault="002D3E17" w:rsidP="002D3E17">
      <w:pPr>
        <w:pStyle w:val="BodyText"/>
        <w:spacing w:after="0" w:line="360" w:lineRule="auto"/>
        <w:ind w:left="0" w:firstLine="0"/>
        <w:rPr>
          <w:sz w:val="26"/>
          <w:szCs w:val="26"/>
        </w:rPr>
      </w:pPr>
    </w:p>
    <w:p w:rsidR="002D3E17" w:rsidRPr="00EE5722" w:rsidRDefault="007B4B36" w:rsidP="0053114A">
      <w:pPr>
        <w:pStyle w:val="Heading3"/>
      </w:pPr>
      <w:bookmarkStart w:id="246" w:name="_Toc346705486"/>
      <w:r>
        <w:t>2</w:t>
      </w:r>
      <w:r w:rsidR="002D3E17">
        <w:t>.</w:t>
      </w:r>
      <w:r w:rsidR="002D3E17">
        <w:tab/>
        <w:t>ALJ’s Recommendation</w:t>
      </w:r>
      <w:bookmarkEnd w:id="246"/>
      <w:r w:rsidR="00A526F6">
        <w:t xml:space="preserve"> </w:t>
      </w:r>
    </w:p>
    <w:p w:rsidR="002D3E17" w:rsidRPr="00EE5722" w:rsidRDefault="002D3E17" w:rsidP="002D3E17">
      <w:pPr>
        <w:pStyle w:val="BodyText"/>
        <w:spacing w:after="0" w:line="360" w:lineRule="auto"/>
        <w:ind w:left="0" w:firstLine="0"/>
        <w:rPr>
          <w:sz w:val="26"/>
          <w:szCs w:val="26"/>
        </w:rPr>
      </w:pPr>
    </w:p>
    <w:p w:rsidR="002D3E17" w:rsidRPr="00EE5722" w:rsidRDefault="002D3E17" w:rsidP="002D3E17">
      <w:pPr>
        <w:spacing w:line="360" w:lineRule="auto"/>
        <w:rPr>
          <w:color w:val="000000" w:themeColor="text1"/>
          <w:sz w:val="26"/>
          <w:szCs w:val="26"/>
        </w:rPr>
      </w:pPr>
      <w:r>
        <w:rPr>
          <w:sz w:val="26"/>
          <w:szCs w:val="26"/>
        </w:rPr>
        <w:lastRenderedPageBreak/>
        <w:tab/>
      </w:r>
      <w:r>
        <w:rPr>
          <w:sz w:val="26"/>
          <w:szCs w:val="26"/>
        </w:rPr>
        <w:tab/>
      </w:r>
      <w:r>
        <w:rPr>
          <w:color w:val="000000" w:themeColor="text1"/>
          <w:sz w:val="26"/>
          <w:szCs w:val="26"/>
        </w:rPr>
        <w:t>The ALJ</w:t>
      </w:r>
      <w:r w:rsidRPr="00EE5722">
        <w:rPr>
          <w:color w:val="000000" w:themeColor="text1"/>
          <w:sz w:val="26"/>
          <w:szCs w:val="26"/>
        </w:rPr>
        <w:t xml:space="preserve"> recom</w:t>
      </w:r>
      <w:r>
        <w:rPr>
          <w:color w:val="000000" w:themeColor="text1"/>
          <w:sz w:val="26"/>
          <w:szCs w:val="26"/>
        </w:rPr>
        <w:t>mended approval of Duquesne</w:t>
      </w:r>
      <w:r w:rsidRPr="00EE5722">
        <w:rPr>
          <w:color w:val="000000" w:themeColor="text1"/>
          <w:sz w:val="26"/>
          <w:szCs w:val="26"/>
        </w:rPr>
        <w:t>’s proposal to lea</w:t>
      </w:r>
      <w:r>
        <w:rPr>
          <w:color w:val="000000" w:themeColor="text1"/>
          <w:sz w:val="26"/>
          <w:szCs w:val="26"/>
        </w:rPr>
        <w:t>ve the SMA unchanged; however, the ALJ</w:t>
      </w:r>
      <w:r w:rsidRPr="00EE5722">
        <w:rPr>
          <w:color w:val="000000" w:themeColor="text1"/>
          <w:sz w:val="26"/>
          <w:szCs w:val="26"/>
        </w:rPr>
        <w:t xml:space="preserve"> agree</w:t>
      </w:r>
      <w:r>
        <w:rPr>
          <w:color w:val="000000" w:themeColor="text1"/>
          <w:sz w:val="26"/>
          <w:szCs w:val="26"/>
        </w:rPr>
        <w:t>d</w:t>
      </w:r>
      <w:r w:rsidR="0006023D">
        <w:rPr>
          <w:color w:val="000000" w:themeColor="text1"/>
          <w:sz w:val="26"/>
          <w:szCs w:val="26"/>
        </w:rPr>
        <w:t xml:space="preserve"> with Constellation </w:t>
      </w:r>
      <w:r w:rsidRPr="00EE5722">
        <w:rPr>
          <w:color w:val="000000" w:themeColor="text1"/>
          <w:sz w:val="26"/>
          <w:szCs w:val="26"/>
        </w:rPr>
        <w:t>that the SMA should be modified at Section 1</w:t>
      </w:r>
      <w:r w:rsidR="00A526F6">
        <w:rPr>
          <w:color w:val="000000" w:themeColor="text1"/>
          <w:sz w:val="26"/>
          <w:szCs w:val="26"/>
        </w:rPr>
        <w:t>2.1(j) to reinsert the terms “</w:t>
      </w:r>
      <w:r w:rsidRPr="00EE5722">
        <w:rPr>
          <w:color w:val="000000" w:themeColor="text1"/>
          <w:sz w:val="26"/>
          <w:szCs w:val="26"/>
        </w:rPr>
        <w:t>if any” after “with respect to Sell</w:t>
      </w:r>
      <w:r>
        <w:rPr>
          <w:color w:val="000000" w:themeColor="text1"/>
          <w:sz w:val="26"/>
          <w:szCs w:val="26"/>
        </w:rPr>
        <w:t xml:space="preserve">er’s Guarantor.”  The ALJ noted that Duquesne </w:t>
      </w:r>
      <w:r w:rsidRPr="00EE5722">
        <w:rPr>
          <w:color w:val="000000" w:themeColor="text1"/>
          <w:sz w:val="26"/>
          <w:szCs w:val="26"/>
        </w:rPr>
        <w:t>agreed to reinsert this language in its Rebut</w:t>
      </w:r>
      <w:r w:rsidR="0006023D">
        <w:rPr>
          <w:color w:val="000000" w:themeColor="text1"/>
          <w:sz w:val="26"/>
          <w:szCs w:val="26"/>
        </w:rPr>
        <w:t xml:space="preserve">tal Testimony.  </w:t>
      </w:r>
      <w:r>
        <w:rPr>
          <w:color w:val="000000" w:themeColor="text1"/>
          <w:sz w:val="26"/>
          <w:szCs w:val="26"/>
        </w:rPr>
        <w:t>Duquesne St. 9-R.  The ALJ</w:t>
      </w:r>
      <w:r w:rsidRPr="00EE5722">
        <w:rPr>
          <w:color w:val="000000" w:themeColor="text1"/>
          <w:sz w:val="26"/>
          <w:szCs w:val="26"/>
        </w:rPr>
        <w:t xml:space="preserve"> disagree</w:t>
      </w:r>
      <w:r>
        <w:rPr>
          <w:color w:val="000000" w:themeColor="text1"/>
          <w:sz w:val="26"/>
          <w:szCs w:val="26"/>
        </w:rPr>
        <w:t>d</w:t>
      </w:r>
      <w:r w:rsidR="0006023D">
        <w:rPr>
          <w:color w:val="000000" w:themeColor="text1"/>
          <w:sz w:val="26"/>
          <w:szCs w:val="26"/>
        </w:rPr>
        <w:t xml:space="preserve"> with Constellation’s</w:t>
      </w:r>
      <w:r w:rsidRPr="00EE5722">
        <w:rPr>
          <w:color w:val="000000" w:themeColor="text1"/>
          <w:sz w:val="26"/>
          <w:szCs w:val="26"/>
        </w:rPr>
        <w:t xml:space="preserve"> proposal to include other EDCs’ unsecured credit threshold or to return to the threshold used in the Company’s </w:t>
      </w:r>
      <w:r>
        <w:rPr>
          <w:color w:val="000000" w:themeColor="text1"/>
          <w:sz w:val="26"/>
          <w:szCs w:val="26"/>
        </w:rPr>
        <w:t>previous default</w:t>
      </w:r>
      <w:r w:rsidR="0006023D">
        <w:rPr>
          <w:color w:val="000000" w:themeColor="text1"/>
          <w:sz w:val="26"/>
          <w:szCs w:val="26"/>
        </w:rPr>
        <w:t xml:space="preserve"> service plan. </w:t>
      </w:r>
      <w:r w:rsidR="00A526F6">
        <w:rPr>
          <w:color w:val="000000" w:themeColor="text1"/>
          <w:sz w:val="26"/>
          <w:szCs w:val="26"/>
        </w:rPr>
        <w:t xml:space="preserve"> R.D. at 208-209.</w:t>
      </w:r>
    </w:p>
    <w:p w:rsidR="002D3E17" w:rsidRPr="00EE5722" w:rsidRDefault="002D3E17" w:rsidP="002D3E17">
      <w:pPr>
        <w:pStyle w:val="BodyText"/>
        <w:spacing w:after="0" w:line="360" w:lineRule="auto"/>
        <w:ind w:left="0" w:firstLine="0"/>
        <w:rPr>
          <w:sz w:val="26"/>
          <w:szCs w:val="26"/>
        </w:rPr>
      </w:pPr>
    </w:p>
    <w:p w:rsidR="002D3E17" w:rsidRPr="00BA5190" w:rsidRDefault="007B4B36" w:rsidP="0053114A">
      <w:pPr>
        <w:pStyle w:val="Heading3"/>
      </w:pPr>
      <w:bookmarkStart w:id="247" w:name="_Toc346705487"/>
      <w:r>
        <w:t>3</w:t>
      </w:r>
      <w:r w:rsidR="002D3E17" w:rsidRPr="00BA5190">
        <w:t>.</w:t>
      </w:r>
      <w:r w:rsidR="002D3E17" w:rsidRPr="00BA5190">
        <w:tab/>
        <w:t>Exceptions</w:t>
      </w:r>
      <w:bookmarkEnd w:id="247"/>
    </w:p>
    <w:p w:rsidR="002D3E17" w:rsidRPr="00BA5190" w:rsidRDefault="002D3E17" w:rsidP="007B4B36">
      <w:pPr>
        <w:keepNext/>
        <w:spacing w:line="360" w:lineRule="auto"/>
        <w:jc w:val="both"/>
        <w:rPr>
          <w:b/>
          <w:sz w:val="26"/>
          <w:szCs w:val="26"/>
        </w:rPr>
      </w:pPr>
    </w:p>
    <w:p w:rsidR="002D3E17" w:rsidRDefault="002D3E17" w:rsidP="006F7309">
      <w:pPr>
        <w:spacing w:line="360" w:lineRule="auto"/>
        <w:ind w:firstLine="1440"/>
        <w:rPr>
          <w:sz w:val="26"/>
          <w:szCs w:val="26"/>
        </w:rPr>
      </w:pPr>
      <w:r>
        <w:rPr>
          <w:sz w:val="26"/>
          <w:szCs w:val="26"/>
        </w:rPr>
        <w:t xml:space="preserve">In its Exceptions, </w:t>
      </w:r>
      <w:r w:rsidRPr="00BA5190">
        <w:rPr>
          <w:sz w:val="26"/>
          <w:szCs w:val="26"/>
        </w:rPr>
        <w:t xml:space="preserve">FES </w:t>
      </w:r>
      <w:r w:rsidR="0006023D">
        <w:rPr>
          <w:sz w:val="26"/>
          <w:szCs w:val="26"/>
        </w:rPr>
        <w:t>argues</w:t>
      </w:r>
      <w:r>
        <w:rPr>
          <w:sz w:val="26"/>
          <w:szCs w:val="26"/>
        </w:rPr>
        <w:t xml:space="preserve"> that t</w:t>
      </w:r>
      <w:r w:rsidRPr="00BA5190">
        <w:rPr>
          <w:sz w:val="26"/>
          <w:szCs w:val="26"/>
        </w:rPr>
        <w:t xml:space="preserve">he ALJ’s recommendation </w:t>
      </w:r>
      <w:r>
        <w:rPr>
          <w:sz w:val="26"/>
          <w:szCs w:val="26"/>
        </w:rPr>
        <w:t xml:space="preserve">to leave Duquesne’s proposed SMA unchanged must be modified to reflect Duquesne’s uncontested revision to the SMA’s cross default threshold.  </w:t>
      </w:r>
      <w:r w:rsidRPr="00BA5190">
        <w:rPr>
          <w:sz w:val="26"/>
          <w:szCs w:val="26"/>
        </w:rPr>
        <w:t xml:space="preserve">FES </w:t>
      </w:r>
      <w:r>
        <w:rPr>
          <w:sz w:val="26"/>
          <w:szCs w:val="26"/>
        </w:rPr>
        <w:t xml:space="preserve">states that it </w:t>
      </w:r>
      <w:r w:rsidRPr="00BA5190">
        <w:rPr>
          <w:sz w:val="26"/>
          <w:szCs w:val="26"/>
        </w:rPr>
        <w:t>strongly opposed SMA Section 12.1(h) as init</w:t>
      </w:r>
      <w:r>
        <w:rPr>
          <w:sz w:val="26"/>
          <w:szCs w:val="26"/>
        </w:rPr>
        <w:t>ially proposed by Duquesne</w:t>
      </w:r>
      <w:r w:rsidRPr="00BA5190">
        <w:rPr>
          <w:sz w:val="26"/>
          <w:szCs w:val="26"/>
        </w:rPr>
        <w:t xml:space="preserve">.  </w:t>
      </w:r>
      <w:r>
        <w:rPr>
          <w:sz w:val="26"/>
          <w:szCs w:val="26"/>
        </w:rPr>
        <w:t>According to FES, t</w:t>
      </w:r>
      <w:r w:rsidRPr="00BA5190">
        <w:rPr>
          <w:sz w:val="26"/>
          <w:szCs w:val="26"/>
        </w:rPr>
        <w:t>hat section contained a cross default provision under which an event of default would occur with a supplier’s default on unrelated debt in the aggregate amou</w:t>
      </w:r>
      <w:r>
        <w:rPr>
          <w:sz w:val="26"/>
          <w:szCs w:val="26"/>
        </w:rPr>
        <w:t xml:space="preserve">nt of $50,000,000.  FES avers </w:t>
      </w:r>
      <w:r w:rsidRPr="00BA5190">
        <w:rPr>
          <w:sz w:val="26"/>
          <w:szCs w:val="26"/>
        </w:rPr>
        <w:t>that this threshold is inconsistent with industry standards and could prevent wholesale suppliers from</w:t>
      </w:r>
      <w:r>
        <w:rPr>
          <w:sz w:val="26"/>
          <w:szCs w:val="26"/>
        </w:rPr>
        <w:t xml:space="preserve"> participating in Duquesne</w:t>
      </w:r>
      <w:r w:rsidRPr="00BA5190">
        <w:rPr>
          <w:sz w:val="26"/>
          <w:szCs w:val="26"/>
        </w:rPr>
        <w:t xml:space="preserve">’s default supply procurements.  </w:t>
      </w:r>
      <w:r w:rsidR="006F7309">
        <w:rPr>
          <w:sz w:val="26"/>
          <w:szCs w:val="26"/>
        </w:rPr>
        <w:t xml:space="preserve">FES Exc. at 4.  </w:t>
      </w:r>
    </w:p>
    <w:p w:rsidR="002D3E17" w:rsidRDefault="002D3E17" w:rsidP="006F7309">
      <w:pPr>
        <w:spacing w:line="360" w:lineRule="auto"/>
        <w:ind w:firstLine="1440"/>
        <w:rPr>
          <w:sz w:val="26"/>
          <w:szCs w:val="26"/>
        </w:rPr>
      </w:pPr>
    </w:p>
    <w:p w:rsidR="002D3E17" w:rsidRPr="006F7309" w:rsidRDefault="002D3E17" w:rsidP="002D3E17">
      <w:pPr>
        <w:spacing w:line="360" w:lineRule="auto"/>
        <w:ind w:firstLine="1440"/>
        <w:rPr>
          <w:sz w:val="26"/>
          <w:szCs w:val="26"/>
        </w:rPr>
      </w:pPr>
      <w:r w:rsidRPr="00BA5190">
        <w:rPr>
          <w:sz w:val="26"/>
          <w:szCs w:val="26"/>
        </w:rPr>
        <w:t>In response to</w:t>
      </w:r>
      <w:r w:rsidR="006F7309">
        <w:rPr>
          <w:sz w:val="26"/>
          <w:szCs w:val="26"/>
        </w:rPr>
        <w:t xml:space="preserve"> these </w:t>
      </w:r>
      <w:r>
        <w:rPr>
          <w:sz w:val="26"/>
          <w:szCs w:val="26"/>
        </w:rPr>
        <w:t xml:space="preserve">concerns, FES notes that Duquesne </w:t>
      </w:r>
      <w:r w:rsidRPr="00BA5190">
        <w:rPr>
          <w:sz w:val="26"/>
          <w:szCs w:val="26"/>
        </w:rPr>
        <w:t>revised Section 12.1(</w:t>
      </w:r>
      <w:r>
        <w:rPr>
          <w:sz w:val="26"/>
          <w:szCs w:val="26"/>
        </w:rPr>
        <w:t>h) in its Rebuttal Testimony, and</w:t>
      </w:r>
      <w:r w:rsidRPr="00BA5190">
        <w:rPr>
          <w:sz w:val="26"/>
          <w:szCs w:val="26"/>
        </w:rPr>
        <w:t xml:space="preserve"> set the cross default threshold at the lower of $100,000,000 or five percent (5%) of the supplier’s TNW.  </w:t>
      </w:r>
      <w:r>
        <w:rPr>
          <w:bCs/>
          <w:sz w:val="26"/>
          <w:szCs w:val="26"/>
        </w:rPr>
        <w:t xml:space="preserve">Duquesne St. </w:t>
      </w:r>
      <w:r w:rsidRPr="00BA5190">
        <w:rPr>
          <w:bCs/>
          <w:sz w:val="26"/>
          <w:szCs w:val="26"/>
        </w:rPr>
        <w:t xml:space="preserve">9-R at 2-4.  </w:t>
      </w:r>
      <w:r>
        <w:rPr>
          <w:bCs/>
          <w:sz w:val="26"/>
          <w:szCs w:val="26"/>
        </w:rPr>
        <w:t>FES avers that t</w:t>
      </w:r>
      <w:r>
        <w:rPr>
          <w:sz w:val="26"/>
          <w:szCs w:val="26"/>
        </w:rPr>
        <w:t xml:space="preserve">he ALJ </w:t>
      </w:r>
      <w:r w:rsidRPr="00BA5190">
        <w:rPr>
          <w:sz w:val="26"/>
          <w:szCs w:val="26"/>
        </w:rPr>
        <w:t xml:space="preserve">acknowledges this revision and </w:t>
      </w:r>
      <w:r>
        <w:rPr>
          <w:sz w:val="26"/>
          <w:szCs w:val="26"/>
        </w:rPr>
        <w:t>note</w:t>
      </w:r>
      <w:r w:rsidR="00614864">
        <w:rPr>
          <w:sz w:val="26"/>
          <w:szCs w:val="26"/>
        </w:rPr>
        <w:t>s</w:t>
      </w:r>
      <w:r>
        <w:rPr>
          <w:sz w:val="26"/>
          <w:szCs w:val="26"/>
        </w:rPr>
        <w:t xml:space="preserve"> </w:t>
      </w:r>
      <w:r w:rsidRPr="00BA5190">
        <w:rPr>
          <w:sz w:val="26"/>
          <w:szCs w:val="26"/>
        </w:rPr>
        <w:t xml:space="preserve">that FES deemed it acceptable.  R.D. at 206.  </w:t>
      </w:r>
      <w:r>
        <w:rPr>
          <w:sz w:val="26"/>
          <w:szCs w:val="26"/>
        </w:rPr>
        <w:t>According to FES, no other P</w:t>
      </w:r>
      <w:r w:rsidRPr="00BA5190">
        <w:rPr>
          <w:sz w:val="26"/>
          <w:szCs w:val="26"/>
        </w:rPr>
        <w:t>arty addresse</w:t>
      </w:r>
      <w:r>
        <w:rPr>
          <w:sz w:val="26"/>
          <w:szCs w:val="26"/>
        </w:rPr>
        <w:t>d this issue.  However, FES points out that the ALJ</w:t>
      </w:r>
      <w:r w:rsidRPr="00BA5190">
        <w:rPr>
          <w:sz w:val="26"/>
          <w:szCs w:val="26"/>
        </w:rPr>
        <w:t>’s disposition of SMA issues “recommend[s] approval of Duquesne Light’s proposal to leave the SMA unchanged,” with only one specified minor change to a section unrelated to the important cross defaul</w:t>
      </w:r>
      <w:r>
        <w:rPr>
          <w:sz w:val="26"/>
          <w:szCs w:val="26"/>
        </w:rPr>
        <w:t xml:space="preserve">t issue.  As a result, FES avers that the ALJ clearly </w:t>
      </w:r>
      <w:r w:rsidRPr="00BA5190">
        <w:rPr>
          <w:sz w:val="26"/>
          <w:szCs w:val="26"/>
        </w:rPr>
        <w:t>d</w:t>
      </w:r>
      <w:r>
        <w:rPr>
          <w:sz w:val="26"/>
          <w:szCs w:val="26"/>
        </w:rPr>
        <w:t>id</w:t>
      </w:r>
      <w:r w:rsidRPr="00BA5190">
        <w:rPr>
          <w:sz w:val="26"/>
          <w:szCs w:val="26"/>
        </w:rPr>
        <w:t xml:space="preserve"> not rec</w:t>
      </w:r>
      <w:r>
        <w:rPr>
          <w:sz w:val="26"/>
          <w:szCs w:val="26"/>
        </w:rPr>
        <w:t>ommend approval of Duquesne</w:t>
      </w:r>
      <w:r w:rsidRPr="00BA5190">
        <w:rPr>
          <w:sz w:val="26"/>
          <w:szCs w:val="26"/>
        </w:rPr>
        <w:t xml:space="preserve">’s uncontested revision to </w:t>
      </w:r>
      <w:r w:rsidRPr="00BA5190">
        <w:rPr>
          <w:sz w:val="26"/>
          <w:szCs w:val="26"/>
        </w:rPr>
        <w:lastRenderedPageBreak/>
        <w:t xml:space="preserve">Section 12.1(h).  </w:t>
      </w:r>
      <w:r>
        <w:rPr>
          <w:sz w:val="26"/>
          <w:szCs w:val="26"/>
        </w:rPr>
        <w:t xml:space="preserve">Therefore, </w:t>
      </w:r>
      <w:r w:rsidRPr="00BA5190">
        <w:rPr>
          <w:sz w:val="26"/>
          <w:szCs w:val="26"/>
        </w:rPr>
        <w:t>FES respectfully requests that the C</w:t>
      </w:r>
      <w:r w:rsidR="0006023D">
        <w:rPr>
          <w:sz w:val="26"/>
          <w:szCs w:val="26"/>
        </w:rPr>
        <w:t xml:space="preserve">ommission remedy this </w:t>
      </w:r>
      <w:r w:rsidRPr="00BA5190">
        <w:rPr>
          <w:sz w:val="26"/>
          <w:szCs w:val="26"/>
        </w:rPr>
        <w:t>omi</w:t>
      </w:r>
      <w:r>
        <w:rPr>
          <w:sz w:val="26"/>
          <w:szCs w:val="26"/>
        </w:rPr>
        <w:t>ssion and approve Duquesne</w:t>
      </w:r>
      <w:r w:rsidRPr="00BA5190">
        <w:rPr>
          <w:sz w:val="26"/>
          <w:szCs w:val="26"/>
        </w:rPr>
        <w:t xml:space="preserve">’s SMA with the agreed-upon revised cross default threshold in Section 12.1(h).  </w:t>
      </w:r>
      <w:r>
        <w:rPr>
          <w:sz w:val="26"/>
          <w:szCs w:val="26"/>
        </w:rPr>
        <w:t>According to FES, t</w:t>
      </w:r>
      <w:r w:rsidRPr="00BA5190">
        <w:rPr>
          <w:sz w:val="26"/>
          <w:szCs w:val="26"/>
        </w:rPr>
        <w:t xml:space="preserve">he Commission’s approval of the </w:t>
      </w:r>
      <w:r>
        <w:rPr>
          <w:sz w:val="26"/>
          <w:szCs w:val="26"/>
        </w:rPr>
        <w:t>SMA as revised in Duquesne</w:t>
      </w:r>
      <w:r w:rsidRPr="00BA5190">
        <w:rPr>
          <w:sz w:val="26"/>
          <w:szCs w:val="26"/>
        </w:rPr>
        <w:t xml:space="preserve">’s </w:t>
      </w:r>
      <w:r>
        <w:rPr>
          <w:sz w:val="26"/>
          <w:szCs w:val="26"/>
        </w:rPr>
        <w:t>Rebuttal T</w:t>
      </w:r>
      <w:r w:rsidRPr="00BA5190">
        <w:rPr>
          <w:sz w:val="26"/>
          <w:szCs w:val="26"/>
        </w:rPr>
        <w:t>estimony is necessary to avoid limiting supplier</w:t>
      </w:r>
      <w:r>
        <w:rPr>
          <w:sz w:val="26"/>
          <w:szCs w:val="26"/>
        </w:rPr>
        <w:t xml:space="preserve"> participation in Duquesne</w:t>
      </w:r>
      <w:r w:rsidRPr="00BA5190">
        <w:rPr>
          <w:sz w:val="26"/>
          <w:szCs w:val="26"/>
        </w:rPr>
        <w:t xml:space="preserve">’s wholesale </w:t>
      </w:r>
      <w:r w:rsidR="0006023D">
        <w:rPr>
          <w:sz w:val="26"/>
          <w:szCs w:val="26"/>
        </w:rPr>
        <w:t xml:space="preserve">procurements auctions.  </w:t>
      </w:r>
      <w:r w:rsidRPr="00CC6598">
        <w:rPr>
          <w:sz w:val="26"/>
          <w:szCs w:val="26"/>
        </w:rPr>
        <w:t>FES St. 1 at 6-7; FES St. 1-S at 4-5.</w:t>
      </w:r>
      <w:r w:rsidR="006F7309">
        <w:rPr>
          <w:sz w:val="26"/>
          <w:szCs w:val="26"/>
        </w:rPr>
        <w:t xml:space="preserve">  </w:t>
      </w:r>
      <w:r w:rsidR="006F7309">
        <w:rPr>
          <w:i/>
          <w:sz w:val="26"/>
          <w:szCs w:val="26"/>
        </w:rPr>
        <w:t>Id.</w:t>
      </w:r>
    </w:p>
    <w:p w:rsidR="002D3E17" w:rsidRPr="00CC6598" w:rsidRDefault="002D3E17" w:rsidP="002D3E17">
      <w:pPr>
        <w:pStyle w:val="BodyText2"/>
        <w:spacing w:after="0" w:line="360" w:lineRule="auto"/>
        <w:ind w:firstLine="1440"/>
        <w:rPr>
          <w:sz w:val="26"/>
          <w:szCs w:val="26"/>
        </w:rPr>
      </w:pPr>
      <w:r w:rsidRPr="00CC6598">
        <w:rPr>
          <w:sz w:val="26"/>
          <w:szCs w:val="26"/>
        </w:rPr>
        <w:tab/>
      </w:r>
    </w:p>
    <w:p w:rsidR="002D3E17" w:rsidRPr="00CC6598" w:rsidRDefault="007B4B36" w:rsidP="0053114A">
      <w:pPr>
        <w:pStyle w:val="Heading3"/>
      </w:pPr>
      <w:bookmarkStart w:id="248" w:name="_Toc346705488"/>
      <w:r>
        <w:t>4</w:t>
      </w:r>
      <w:r w:rsidR="002D3E17" w:rsidRPr="00CC6598">
        <w:t>.</w:t>
      </w:r>
      <w:r w:rsidR="002D3E17" w:rsidRPr="00CC6598">
        <w:tab/>
        <w:t>Reply Exceptions</w:t>
      </w:r>
      <w:bookmarkEnd w:id="248"/>
    </w:p>
    <w:p w:rsidR="002D3E17" w:rsidRPr="00CC6598" w:rsidRDefault="002D3E17" w:rsidP="002D3E17">
      <w:pPr>
        <w:pStyle w:val="BodyText"/>
        <w:spacing w:after="0" w:line="360" w:lineRule="auto"/>
        <w:ind w:left="0" w:firstLine="0"/>
        <w:rPr>
          <w:sz w:val="26"/>
          <w:szCs w:val="26"/>
        </w:rPr>
      </w:pPr>
    </w:p>
    <w:p w:rsidR="002D3E17" w:rsidRPr="00216448" w:rsidRDefault="002D3E17" w:rsidP="002D3E17">
      <w:pPr>
        <w:pStyle w:val="BodyText2"/>
        <w:spacing w:after="0" w:line="360" w:lineRule="auto"/>
        <w:ind w:firstLine="1440"/>
        <w:rPr>
          <w:sz w:val="26"/>
          <w:szCs w:val="26"/>
        </w:rPr>
      </w:pPr>
      <w:r>
        <w:rPr>
          <w:sz w:val="26"/>
          <w:szCs w:val="26"/>
        </w:rPr>
        <w:t xml:space="preserve">In its Reply Exceptions, Duquesne states that FES is correct that Duquesne </w:t>
      </w:r>
      <w:r w:rsidRPr="00CC6598">
        <w:rPr>
          <w:sz w:val="26"/>
          <w:szCs w:val="26"/>
        </w:rPr>
        <w:t>and FES worked out a solution to issues associated with the cross-default provisions of the SM</w:t>
      </w:r>
      <w:r>
        <w:rPr>
          <w:sz w:val="26"/>
          <w:szCs w:val="26"/>
        </w:rPr>
        <w:t xml:space="preserve">A.  Duquesne St. 9-R at 3-4; FES St. </w:t>
      </w:r>
      <w:r w:rsidRPr="00CC6598">
        <w:rPr>
          <w:sz w:val="26"/>
          <w:szCs w:val="26"/>
        </w:rPr>
        <w:t>1-S</w:t>
      </w:r>
      <w:r>
        <w:rPr>
          <w:sz w:val="26"/>
          <w:szCs w:val="26"/>
        </w:rPr>
        <w:t xml:space="preserve"> at</w:t>
      </w:r>
      <w:r w:rsidRPr="00CC6598">
        <w:rPr>
          <w:sz w:val="26"/>
          <w:szCs w:val="26"/>
        </w:rPr>
        <w:t xml:space="preserve"> 4-5.  As a result, </w:t>
      </w:r>
      <w:r>
        <w:rPr>
          <w:sz w:val="26"/>
          <w:szCs w:val="26"/>
        </w:rPr>
        <w:t xml:space="preserve">Duquesne explains that </w:t>
      </w:r>
      <w:r w:rsidRPr="00CC6598">
        <w:rPr>
          <w:sz w:val="26"/>
          <w:szCs w:val="26"/>
        </w:rPr>
        <w:t>these issues were n</w:t>
      </w:r>
      <w:r w:rsidR="0006023D">
        <w:rPr>
          <w:sz w:val="26"/>
          <w:szCs w:val="26"/>
        </w:rPr>
        <w:t>ot a matter of major discussion</w:t>
      </w:r>
      <w:r w:rsidRPr="00CC6598">
        <w:rPr>
          <w:sz w:val="26"/>
          <w:szCs w:val="26"/>
        </w:rPr>
        <w:t xml:space="preserve"> in </w:t>
      </w:r>
      <w:r>
        <w:rPr>
          <w:sz w:val="26"/>
          <w:szCs w:val="26"/>
        </w:rPr>
        <w:t xml:space="preserve">the Parties’ </w:t>
      </w:r>
      <w:r w:rsidRPr="00CC6598">
        <w:rPr>
          <w:sz w:val="26"/>
          <w:szCs w:val="26"/>
        </w:rPr>
        <w:t xml:space="preserve">briefs.  </w:t>
      </w:r>
      <w:r>
        <w:rPr>
          <w:sz w:val="26"/>
          <w:szCs w:val="26"/>
        </w:rPr>
        <w:t xml:space="preserve">Duquesne confirms that it </w:t>
      </w:r>
      <w:r w:rsidRPr="00CC6598">
        <w:rPr>
          <w:sz w:val="26"/>
          <w:szCs w:val="26"/>
        </w:rPr>
        <w:t>does not oppose FES’</w:t>
      </w:r>
      <w:r>
        <w:rPr>
          <w:sz w:val="26"/>
          <w:szCs w:val="26"/>
        </w:rPr>
        <w:t>s E</w:t>
      </w:r>
      <w:r w:rsidRPr="00CC6598">
        <w:rPr>
          <w:sz w:val="26"/>
          <w:szCs w:val="26"/>
        </w:rPr>
        <w:t>xcepti</w:t>
      </w:r>
      <w:r>
        <w:rPr>
          <w:sz w:val="26"/>
          <w:szCs w:val="26"/>
        </w:rPr>
        <w:t>on but states that it also believes that the ALJ adopted Duquesne’s and FES</w:t>
      </w:r>
      <w:r w:rsidRPr="00CC6598">
        <w:rPr>
          <w:sz w:val="26"/>
          <w:szCs w:val="26"/>
        </w:rPr>
        <w:t>’</w:t>
      </w:r>
      <w:r>
        <w:rPr>
          <w:sz w:val="26"/>
          <w:szCs w:val="26"/>
        </w:rPr>
        <w:t>s</w:t>
      </w:r>
      <w:r w:rsidRPr="00CC6598">
        <w:rPr>
          <w:sz w:val="26"/>
          <w:szCs w:val="26"/>
        </w:rPr>
        <w:t xml:space="preserve"> solution because it was uncontested.</w:t>
      </w:r>
      <w:r w:rsidR="0006023D">
        <w:rPr>
          <w:sz w:val="26"/>
          <w:szCs w:val="26"/>
        </w:rPr>
        <w:t xml:space="preserve">  Duquesne R.Exc. at 10-11.</w:t>
      </w:r>
    </w:p>
    <w:p w:rsidR="002D3E17" w:rsidRPr="00CC6598" w:rsidRDefault="002D3E17" w:rsidP="002D3E17">
      <w:pPr>
        <w:pStyle w:val="BodyText2"/>
        <w:spacing w:after="0" w:line="360" w:lineRule="auto"/>
        <w:rPr>
          <w:sz w:val="26"/>
          <w:szCs w:val="26"/>
        </w:rPr>
      </w:pPr>
    </w:p>
    <w:p w:rsidR="002D3E17" w:rsidRDefault="007B4B36" w:rsidP="0053114A">
      <w:pPr>
        <w:pStyle w:val="Heading3"/>
      </w:pPr>
      <w:bookmarkStart w:id="249" w:name="_Toc346705489"/>
      <w:r>
        <w:t>5</w:t>
      </w:r>
      <w:r w:rsidR="002D3E17" w:rsidRPr="00CC6598">
        <w:t>.</w:t>
      </w:r>
      <w:r w:rsidR="002D3E17" w:rsidRPr="00CC6598">
        <w:tab/>
        <w:t>Disposition</w:t>
      </w:r>
      <w:bookmarkEnd w:id="249"/>
    </w:p>
    <w:p w:rsidR="002D3E17" w:rsidRDefault="002D3E17" w:rsidP="002D3E17">
      <w:pPr>
        <w:pStyle w:val="BriefL3"/>
        <w:numPr>
          <w:ilvl w:val="0"/>
          <w:numId w:val="0"/>
        </w:numPr>
        <w:spacing w:after="0" w:line="360" w:lineRule="auto"/>
        <w:ind w:firstLine="720"/>
        <w:rPr>
          <w:b/>
          <w:sz w:val="26"/>
          <w:szCs w:val="26"/>
        </w:rPr>
      </w:pPr>
    </w:p>
    <w:p w:rsidR="002D3E17" w:rsidRPr="00EE5722" w:rsidRDefault="002D3E17" w:rsidP="002D3E17">
      <w:pPr>
        <w:pStyle w:val="BriefL3"/>
        <w:numPr>
          <w:ilvl w:val="0"/>
          <w:numId w:val="0"/>
        </w:numPr>
        <w:spacing w:after="0" w:line="360" w:lineRule="auto"/>
        <w:rPr>
          <w:color w:val="000000" w:themeColor="text1"/>
          <w:sz w:val="26"/>
          <w:szCs w:val="26"/>
        </w:rPr>
      </w:pPr>
      <w:r>
        <w:rPr>
          <w:b/>
          <w:sz w:val="26"/>
          <w:szCs w:val="26"/>
        </w:rPr>
        <w:tab/>
      </w:r>
      <w:r>
        <w:rPr>
          <w:b/>
          <w:sz w:val="26"/>
          <w:szCs w:val="26"/>
        </w:rPr>
        <w:tab/>
      </w:r>
      <w:r w:rsidRPr="00216448">
        <w:rPr>
          <w:sz w:val="26"/>
          <w:szCs w:val="26"/>
        </w:rPr>
        <w:t>Based upon the evidence of record</w:t>
      </w:r>
      <w:r w:rsidR="0006023D">
        <w:rPr>
          <w:sz w:val="26"/>
          <w:szCs w:val="26"/>
        </w:rPr>
        <w:t>, we agree</w:t>
      </w:r>
      <w:r>
        <w:rPr>
          <w:sz w:val="26"/>
          <w:szCs w:val="26"/>
        </w:rPr>
        <w:t xml:space="preserve"> with the ALJ’s recommendation with regard to the changes </w:t>
      </w:r>
      <w:r w:rsidR="0006023D">
        <w:rPr>
          <w:sz w:val="26"/>
          <w:szCs w:val="26"/>
        </w:rPr>
        <w:t>proposed to Duquesne’s SMA</w:t>
      </w:r>
      <w:r>
        <w:rPr>
          <w:sz w:val="26"/>
          <w:szCs w:val="26"/>
        </w:rPr>
        <w:t>, with the clarification requested by FES as to the cross default threshold agreement between FES and Duquesne.  We find the proposal of FES, as accepted by Duquesne, is reasonable and we shall approve Duquesne</w:t>
      </w:r>
      <w:r w:rsidRPr="00BA5190">
        <w:rPr>
          <w:sz w:val="26"/>
          <w:szCs w:val="26"/>
        </w:rPr>
        <w:t xml:space="preserve">’s SMA with the agreed-upon revised cross default threshold </w:t>
      </w:r>
      <w:r>
        <w:rPr>
          <w:sz w:val="26"/>
          <w:szCs w:val="26"/>
        </w:rPr>
        <w:t>with</w:t>
      </w:r>
      <w:r w:rsidRPr="00BA5190">
        <w:rPr>
          <w:sz w:val="26"/>
          <w:szCs w:val="26"/>
        </w:rPr>
        <w:t xml:space="preserve">in Section 12.1(h).  </w:t>
      </w:r>
      <w:r>
        <w:rPr>
          <w:sz w:val="26"/>
          <w:szCs w:val="26"/>
        </w:rPr>
        <w:t xml:space="preserve">FES notes that Duquesne </w:t>
      </w:r>
      <w:r w:rsidRPr="00BA5190">
        <w:rPr>
          <w:sz w:val="26"/>
          <w:szCs w:val="26"/>
        </w:rPr>
        <w:t>revised Section 12.1(</w:t>
      </w:r>
      <w:r>
        <w:rPr>
          <w:sz w:val="26"/>
          <w:szCs w:val="26"/>
        </w:rPr>
        <w:t>h) in its Rebuttal Testimony, and</w:t>
      </w:r>
      <w:r w:rsidRPr="00BA5190">
        <w:rPr>
          <w:sz w:val="26"/>
          <w:szCs w:val="26"/>
        </w:rPr>
        <w:t xml:space="preserve"> set the cross default threshold at the lower of $100,000,000 or five perce</w:t>
      </w:r>
      <w:r>
        <w:rPr>
          <w:sz w:val="26"/>
          <w:szCs w:val="26"/>
        </w:rPr>
        <w:t>nt (5%) of the supplier’s TNW, but that this agreement was not referenced by the ALJ in her disposition of these issues.</w:t>
      </w:r>
      <w:r w:rsidRPr="00216448">
        <w:rPr>
          <w:sz w:val="26"/>
          <w:szCs w:val="26"/>
        </w:rPr>
        <w:t xml:space="preserve"> </w:t>
      </w:r>
      <w:r>
        <w:rPr>
          <w:sz w:val="26"/>
          <w:szCs w:val="26"/>
        </w:rPr>
        <w:t xml:space="preserve"> Accordingly, we shall adopt the recommendation of the ALJ, as modified, and adopt the Exception of FES on this issue.</w:t>
      </w:r>
    </w:p>
    <w:p w:rsidR="002D3E17" w:rsidRPr="00EE5722" w:rsidRDefault="002D3E17" w:rsidP="002D3E17">
      <w:pPr>
        <w:pStyle w:val="BodyText"/>
        <w:spacing w:after="0" w:line="360" w:lineRule="auto"/>
        <w:ind w:left="0" w:firstLine="0"/>
        <w:rPr>
          <w:sz w:val="26"/>
          <w:szCs w:val="26"/>
        </w:rPr>
      </w:pPr>
      <w:r w:rsidRPr="00EE5722">
        <w:rPr>
          <w:sz w:val="26"/>
          <w:szCs w:val="26"/>
        </w:rPr>
        <w:lastRenderedPageBreak/>
        <w:tab/>
      </w:r>
      <w:r w:rsidRPr="00EE5722">
        <w:rPr>
          <w:sz w:val="26"/>
          <w:szCs w:val="26"/>
        </w:rPr>
        <w:tab/>
      </w:r>
    </w:p>
    <w:p w:rsidR="002D3E17" w:rsidRPr="00EE5722" w:rsidRDefault="00D64891" w:rsidP="00E2363B">
      <w:pPr>
        <w:pStyle w:val="Heading2"/>
        <w:keepNext/>
        <w:numPr>
          <w:ilvl w:val="0"/>
          <w:numId w:val="0"/>
        </w:numPr>
        <w:ind w:left="1440" w:hanging="720"/>
      </w:pPr>
      <w:bookmarkStart w:id="250" w:name="_Toc346705490"/>
      <w:r>
        <w:t>H</w:t>
      </w:r>
      <w:r w:rsidR="002D3E17" w:rsidRPr="00EE5722">
        <w:t>.</w:t>
      </w:r>
      <w:r w:rsidR="002D3E17" w:rsidRPr="00EE5722">
        <w:tab/>
        <w:t>Data/Electric Generation Supply Coordination Issues</w:t>
      </w:r>
      <w:bookmarkEnd w:id="250"/>
    </w:p>
    <w:p w:rsidR="0006023D" w:rsidRDefault="0006023D" w:rsidP="00E2363B">
      <w:pPr>
        <w:pStyle w:val="BriefL3"/>
        <w:keepNext/>
        <w:numPr>
          <w:ilvl w:val="0"/>
          <w:numId w:val="0"/>
        </w:numPr>
        <w:spacing w:after="0" w:line="360" w:lineRule="auto"/>
        <w:rPr>
          <w:b/>
          <w:sz w:val="26"/>
          <w:szCs w:val="26"/>
        </w:rPr>
      </w:pPr>
    </w:p>
    <w:p w:rsidR="002D3E17" w:rsidRPr="00EE5722" w:rsidRDefault="002D3E17" w:rsidP="0053114A">
      <w:pPr>
        <w:pStyle w:val="Heading3"/>
      </w:pPr>
      <w:bookmarkStart w:id="251" w:name="_Toc346705491"/>
      <w:r>
        <w:t>1.</w:t>
      </w:r>
      <w:r>
        <w:tab/>
        <w:t>Positions of the Parties</w:t>
      </w:r>
      <w:bookmarkEnd w:id="251"/>
    </w:p>
    <w:p w:rsidR="002D3E17" w:rsidRPr="00EE5722" w:rsidRDefault="002D3E17" w:rsidP="002D3E17">
      <w:pPr>
        <w:pStyle w:val="BodyText"/>
        <w:spacing w:after="0" w:line="360" w:lineRule="auto"/>
        <w:ind w:left="0" w:firstLine="0"/>
        <w:rPr>
          <w:sz w:val="26"/>
          <w:szCs w:val="26"/>
        </w:rPr>
      </w:pPr>
    </w:p>
    <w:p w:rsidR="002D3E17" w:rsidRPr="00EE5722" w:rsidRDefault="002D3E17" w:rsidP="002D3E17">
      <w:pPr>
        <w:pStyle w:val="BodyText2"/>
        <w:spacing w:after="0" w:line="360" w:lineRule="auto"/>
        <w:rPr>
          <w:sz w:val="26"/>
          <w:szCs w:val="26"/>
        </w:rPr>
      </w:pPr>
      <w:r w:rsidRPr="00EE5722">
        <w:rPr>
          <w:sz w:val="26"/>
          <w:szCs w:val="26"/>
        </w:rPr>
        <w:tab/>
      </w:r>
      <w:r w:rsidRPr="00EE5722">
        <w:rPr>
          <w:sz w:val="26"/>
          <w:szCs w:val="26"/>
        </w:rPr>
        <w:tab/>
        <w:t>Constella</w:t>
      </w:r>
      <w:r>
        <w:rPr>
          <w:sz w:val="26"/>
          <w:szCs w:val="26"/>
        </w:rPr>
        <w:t xml:space="preserve">tion argued that Duquesne </w:t>
      </w:r>
      <w:r w:rsidRPr="00EE5722">
        <w:rPr>
          <w:sz w:val="26"/>
          <w:szCs w:val="26"/>
        </w:rPr>
        <w:t>should make certain data and EGS coordination changes in this proceeding</w:t>
      </w:r>
      <w:r>
        <w:rPr>
          <w:sz w:val="26"/>
          <w:szCs w:val="26"/>
        </w:rPr>
        <w:t>, including</w:t>
      </w:r>
      <w:r w:rsidRPr="00EE5722">
        <w:rPr>
          <w:sz w:val="26"/>
          <w:szCs w:val="26"/>
        </w:rPr>
        <w:t>:</w:t>
      </w:r>
    </w:p>
    <w:p w:rsidR="002D3E17" w:rsidRPr="0006023D" w:rsidRDefault="002D3E17" w:rsidP="009A739B">
      <w:pPr>
        <w:pStyle w:val="BodyText2"/>
        <w:numPr>
          <w:ilvl w:val="0"/>
          <w:numId w:val="14"/>
        </w:numPr>
        <w:spacing w:after="0" w:line="240" w:lineRule="auto"/>
        <w:ind w:left="2160" w:hanging="720"/>
        <w:rPr>
          <w:sz w:val="26"/>
          <w:szCs w:val="26"/>
        </w:rPr>
      </w:pPr>
      <w:r w:rsidRPr="00EE5722">
        <w:rPr>
          <w:sz w:val="26"/>
          <w:szCs w:val="26"/>
        </w:rPr>
        <w:t>Discontinuing the practice of requiring EGSs to send signed copies of Letters of Authority prior to receiving access to customer data;</w:t>
      </w:r>
    </w:p>
    <w:p w:rsidR="002D3E17" w:rsidRPr="0006023D" w:rsidRDefault="002D3E17" w:rsidP="009A739B">
      <w:pPr>
        <w:pStyle w:val="BodyText2"/>
        <w:numPr>
          <w:ilvl w:val="0"/>
          <w:numId w:val="14"/>
        </w:numPr>
        <w:spacing w:after="0" w:line="240" w:lineRule="auto"/>
        <w:ind w:left="2160" w:hanging="720"/>
        <w:rPr>
          <w:sz w:val="26"/>
          <w:szCs w:val="26"/>
        </w:rPr>
      </w:pPr>
      <w:r w:rsidRPr="00EE5722">
        <w:rPr>
          <w:sz w:val="26"/>
          <w:szCs w:val="26"/>
        </w:rPr>
        <w:t xml:space="preserve">Implementing </w:t>
      </w:r>
      <w:r w:rsidR="00614864">
        <w:rPr>
          <w:sz w:val="26"/>
          <w:szCs w:val="26"/>
        </w:rPr>
        <w:t>Electronic Data Interchange (</w:t>
      </w:r>
      <w:r w:rsidRPr="00EE5722">
        <w:rPr>
          <w:sz w:val="26"/>
          <w:szCs w:val="26"/>
        </w:rPr>
        <w:t>EDI</w:t>
      </w:r>
      <w:r w:rsidR="00614864">
        <w:rPr>
          <w:sz w:val="26"/>
          <w:szCs w:val="26"/>
        </w:rPr>
        <w:t>)</w:t>
      </w:r>
      <w:r w:rsidRPr="00EE5722">
        <w:rPr>
          <w:sz w:val="26"/>
          <w:szCs w:val="26"/>
        </w:rPr>
        <w:t xml:space="preserve"> capabilities for EGS requests for access to customer data;</w:t>
      </w:r>
    </w:p>
    <w:p w:rsidR="002D3E17" w:rsidRPr="0006023D" w:rsidRDefault="002D3E17" w:rsidP="009A739B">
      <w:pPr>
        <w:pStyle w:val="BodyText2"/>
        <w:numPr>
          <w:ilvl w:val="0"/>
          <w:numId w:val="14"/>
        </w:numPr>
        <w:spacing w:after="0" w:line="240" w:lineRule="auto"/>
        <w:ind w:left="2160" w:hanging="720"/>
        <w:rPr>
          <w:sz w:val="26"/>
          <w:szCs w:val="26"/>
        </w:rPr>
      </w:pPr>
      <w:r w:rsidRPr="00EE5722">
        <w:rPr>
          <w:sz w:val="26"/>
          <w:szCs w:val="26"/>
        </w:rPr>
        <w:t>Adopting an EDI process for notifying an EGS that a net meter is present;</w:t>
      </w:r>
    </w:p>
    <w:p w:rsidR="002D3E17" w:rsidRPr="0006023D" w:rsidRDefault="002D3E17" w:rsidP="009A739B">
      <w:pPr>
        <w:pStyle w:val="BodyText2"/>
        <w:numPr>
          <w:ilvl w:val="0"/>
          <w:numId w:val="14"/>
        </w:numPr>
        <w:spacing w:after="0" w:line="240" w:lineRule="auto"/>
        <w:ind w:left="2160" w:hanging="720"/>
        <w:rPr>
          <w:sz w:val="26"/>
          <w:szCs w:val="26"/>
        </w:rPr>
      </w:pPr>
      <w:r w:rsidRPr="00EE5722">
        <w:rPr>
          <w:sz w:val="26"/>
          <w:szCs w:val="26"/>
        </w:rPr>
        <w:t>Refraining from collecting PJM residual charges through EDI transactions;</w:t>
      </w:r>
    </w:p>
    <w:p w:rsidR="002D3E17" w:rsidRPr="0006023D" w:rsidRDefault="002D3E17" w:rsidP="009A739B">
      <w:pPr>
        <w:pStyle w:val="BodyText2"/>
        <w:numPr>
          <w:ilvl w:val="0"/>
          <w:numId w:val="14"/>
        </w:numPr>
        <w:spacing w:after="0" w:line="240" w:lineRule="auto"/>
        <w:ind w:left="2160" w:hanging="720"/>
        <w:rPr>
          <w:sz w:val="26"/>
          <w:szCs w:val="26"/>
        </w:rPr>
      </w:pPr>
      <w:r w:rsidRPr="00EE5722">
        <w:rPr>
          <w:sz w:val="26"/>
          <w:szCs w:val="26"/>
        </w:rPr>
        <w:t>Remitting actual charges to EGSs rather than budget billing charges;</w:t>
      </w:r>
    </w:p>
    <w:p w:rsidR="002D3E17" w:rsidRPr="0006023D" w:rsidRDefault="002D3E17" w:rsidP="009A739B">
      <w:pPr>
        <w:pStyle w:val="BodyText2"/>
        <w:numPr>
          <w:ilvl w:val="0"/>
          <w:numId w:val="14"/>
        </w:numPr>
        <w:spacing w:after="0" w:line="240" w:lineRule="auto"/>
        <w:ind w:left="2160" w:hanging="720"/>
        <w:rPr>
          <w:sz w:val="26"/>
          <w:szCs w:val="26"/>
        </w:rPr>
      </w:pPr>
      <w:r w:rsidRPr="00EE5722">
        <w:rPr>
          <w:sz w:val="26"/>
          <w:szCs w:val="26"/>
        </w:rPr>
        <w:t xml:space="preserve">Offering EGSs the option for bill ready billing; </w:t>
      </w:r>
    </w:p>
    <w:p w:rsidR="002D3E17" w:rsidRPr="0006023D" w:rsidRDefault="002D3E17" w:rsidP="009A739B">
      <w:pPr>
        <w:pStyle w:val="BodyText2"/>
        <w:numPr>
          <w:ilvl w:val="0"/>
          <w:numId w:val="14"/>
        </w:numPr>
        <w:spacing w:after="0" w:line="240" w:lineRule="auto"/>
        <w:ind w:left="2160" w:hanging="720"/>
        <w:rPr>
          <w:sz w:val="26"/>
          <w:szCs w:val="26"/>
        </w:rPr>
      </w:pPr>
      <w:r w:rsidRPr="00EE5722">
        <w:rPr>
          <w:sz w:val="26"/>
          <w:szCs w:val="26"/>
        </w:rPr>
        <w:t>Building into the Company’s system the ability to accept and manage multiple EGS scheduling coordinators and DUNS numbers, without charging EGSs administrative fees; and</w:t>
      </w:r>
    </w:p>
    <w:p w:rsidR="002D3E17" w:rsidRPr="00EE5722" w:rsidRDefault="002D3E17" w:rsidP="009A739B">
      <w:pPr>
        <w:pStyle w:val="BodyText2"/>
        <w:numPr>
          <w:ilvl w:val="0"/>
          <w:numId w:val="14"/>
        </w:numPr>
        <w:spacing w:after="0" w:line="240" w:lineRule="auto"/>
        <w:ind w:left="2160" w:hanging="720"/>
        <w:rPr>
          <w:sz w:val="26"/>
          <w:szCs w:val="26"/>
        </w:rPr>
      </w:pPr>
      <w:r w:rsidRPr="00EE5722">
        <w:rPr>
          <w:sz w:val="26"/>
          <w:szCs w:val="26"/>
        </w:rPr>
        <w:t>Providing customer sync lists to all customers at no charge.</w:t>
      </w:r>
    </w:p>
    <w:p w:rsidR="002D3E17" w:rsidRPr="00EE5722" w:rsidRDefault="002D3E17" w:rsidP="002D3E17">
      <w:pPr>
        <w:pStyle w:val="ListParagraph"/>
        <w:rPr>
          <w:sz w:val="26"/>
          <w:szCs w:val="26"/>
        </w:rPr>
      </w:pPr>
    </w:p>
    <w:p w:rsidR="002D3E17" w:rsidRDefault="002D3E17" w:rsidP="002D3E17">
      <w:pPr>
        <w:pStyle w:val="BodyText2"/>
        <w:spacing w:after="0" w:line="240" w:lineRule="auto"/>
        <w:rPr>
          <w:sz w:val="26"/>
          <w:szCs w:val="26"/>
        </w:rPr>
      </w:pPr>
      <w:r w:rsidRPr="00EE5722">
        <w:rPr>
          <w:sz w:val="26"/>
          <w:szCs w:val="26"/>
        </w:rPr>
        <w:t>Constell</w:t>
      </w:r>
      <w:r w:rsidR="0006023D">
        <w:rPr>
          <w:sz w:val="26"/>
          <w:szCs w:val="26"/>
        </w:rPr>
        <w:t xml:space="preserve">ation St. </w:t>
      </w:r>
      <w:r>
        <w:rPr>
          <w:sz w:val="26"/>
          <w:szCs w:val="26"/>
        </w:rPr>
        <w:t>1, Attachment 1.</w:t>
      </w:r>
    </w:p>
    <w:p w:rsidR="008A2931" w:rsidRPr="008A2931" w:rsidRDefault="008A2931" w:rsidP="002D3E17">
      <w:pPr>
        <w:pStyle w:val="BodyText2"/>
        <w:spacing w:after="0" w:line="240" w:lineRule="auto"/>
        <w:rPr>
          <w:sz w:val="26"/>
          <w:szCs w:val="26"/>
        </w:rPr>
      </w:pPr>
    </w:p>
    <w:p w:rsidR="002D3E17" w:rsidRPr="00EE5722" w:rsidRDefault="002D3E17" w:rsidP="002D3E17">
      <w:pPr>
        <w:pStyle w:val="BodyText2"/>
        <w:spacing w:after="0" w:line="360" w:lineRule="auto"/>
        <w:rPr>
          <w:sz w:val="26"/>
          <w:szCs w:val="26"/>
        </w:rPr>
      </w:pPr>
      <w:r w:rsidRPr="00EE5722">
        <w:rPr>
          <w:sz w:val="26"/>
          <w:szCs w:val="26"/>
        </w:rPr>
        <w:tab/>
      </w:r>
      <w:r w:rsidRPr="00EE5722">
        <w:rPr>
          <w:sz w:val="26"/>
          <w:szCs w:val="26"/>
        </w:rPr>
        <w:tab/>
      </w:r>
      <w:r>
        <w:rPr>
          <w:sz w:val="26"/>
          <w:szCs w:val="26"/>
        </w:rPr>
        <w:t xml:space="preserve">In response, Duquesne </w:t>
      </w:r>
      <w:r w:rsidRPr="00EE5722">
        <w:rPr>
          <w:sz w:val="26"/>
          <w:szCs w:val="26"/>
        </w:rPr>
        <w:t>offered clarification and additional explanation regarding t</w:t>
      </w:r>
      <w:r>
        <w:rPr>
          <w:sz w:val="26"/>
          <w:szCs w:val="26"/>
        </w:rPr>
        <w:t xml:space="preserve">hese issues.  </w:t>
      </w:r>
      <w:r w:rsidRPr="00EE5722">
        <w:rPr>
          <w:sz w:val="26"/>
          <w:szCs w:val="26"/>
        </w:rPr>
        <w:t>Cons</w:t>
      </w:r>
      <w:r>
        <w:rPr>
          <w:sz w:val="26"/>
          <w:szCs w:val="26"/>
        </w:rPr>
        <w:t>tellation accepted Duquesne</w:t>
      </w:r>
      <w:r w:rsidRPr="00EE5722">
        <w:rPr>
          <w:sz w:val="26"/>
          <w:szCs w:val="26"/>
        </w:rPr>
        <w:t>’s clarification or explanation with respect to Issues 1, 7 and 8.  However, Cons</w:t>
      </w:r>
      <w:r>
        <w:rPr>
          <w:sz w:val="26"/>
          <w:szCs w:val="26"/>
        </w:rPr>
        <w:t xml:space="preserve">tellation argued that Duquesne </w:t>
      </w:r>
      <w:r w:rsidRPr="00EE5722">
        <w:rPr>
          <w:sz w:val="26"/>
          <w:szCs w:val="26"/>
        </w:rPr>
        <w:t xml:space="preserve">should commit to adopt Constellation’s other proposals when the Company implements its new billing system. </w:t>
      </w:r>
      <w:r w:rsidR="0006023D">
        <w:rPr>
          <w:sz w:val="26"/>
          <w:szCs w:val="26"/>
        </w:rPr>
        <w:t xml:space="preserve"> Constellation St. </w:t>
      </w:r>
      <w:r>
        <w:rPr>
          <w:sz w:val="26"/>
          <w:szCs w:val="26"/>
        </w:rPr>
        <w:t xml:space="preserve">1-SR at </w:t>
      </w:r>
      <w:r w:rsidRPr="00EE5722">
        <w:rPr>
          <w:sz w:val="26"/>
          <w:szCs w:val="26"/>
        </w:rPr>
        <w:t>15.  The C</w:t>
      </w:r>
      <w:r>
        <w:rPr>
          <w:sz w:val="26"/>
          <w:szCs w:val="26"/>
        </w:rPr>
        <w:t>ompany disagreed</w:t>
      </w:r>
      <w:r w:rsidRPr="00EE5722">
        <w:rPr>
          <w:sz w:val="26"/>
          <w:szCs w:val="26"/>
        </w:rPr>
        <w:t xml:space="preserve"> with Constellation’s argument concerning the outstanding Issues 2-6.</w:t>
      </w:r>
    </w:p>
    <w:p w:rsidR="002D3E17" w:rsidRPr="00EE5722" w:rsidRDefault="002D3E17" w:rsidP="002D3E17">
      <w:pPr>
        <w:pStyle w:val="BodyText2"/>
        <w:spacing w:after="0" w:line="360" w:lineRule="auto"/>
        <w:rPr>
          <w:sz w:val="26"/>
          <w:szCs w:val="26"/>
        </w:rPr>
      </w:pPr>
    </w:p>
    <w:p w:rsidR="00343C2C" w:rsidRDefault="002D3E17" w:rsidP="002D3E17">
      <w:pPr>
        <w:pStyle w:val="BodyText2"/>
        <w:spacing w:after="0" w:line="360" w:lineRule="auto"/>
        <w:rPr>
          <w:sz w:val="26"/>
          <w:szCs w:val="26"/>
        </w:rPr>
      </w:pPr>
      <w:r>
        <w:rPr>
          <w:sz w:val="26"/>
          <w:szCs w:val="26"/>
        </w:rPr>
        <w:tab/>
      </w:r>
      <w:r>
        <w:rPr>
          <w:sz w:val="26"/>
          <w:szCs w:val="26"/>
        </w:rPr>
        <w:tab/>
        <w:t xml:space="preserve">Duquesne </w:t>
      </w:r>
      <w:r w:rsidRPr="00EE5722">
        <w:rPr>
          <w:sz w:val="26"/>
          <w:szCs w:val="26"/>
        </w:rPr>
        <w:t>contend</w:t>
      </w:r>
      <w:r>
        <w:rPr>
          <w:sz w:val="26"/>
          <w:szCs w:val="26"/>
        </w:rPr>
        <w:t>ed</w:t>
      </w:r>
      <w:r w:rsidRPr="00EE5722">
        <w:rPr>
          <w:sz w:val="26"/>
          <w:szCs w:val="26"/>
        </w:rPr>
        <w:t xml:space="preserve"> </w:t>
      </w:r>
      <w:r>
        <w:rPr>
          <w:sz w:val="26"/>
          <w:szCs w:val="26"/>
        </w:rPr>
        <w:t xml:space="preserve">that </w:t>
      </w:r>
      <w:r w:rsidRPr="00EE5722">
        <w:rPr>
          <w:sz w:val="26"/>
          <w:szCs w:val="26"/>
        </w:rPr>
        <w:t>Issue Nos. 2 and 3 involv</w:t>
      </w:r>
      <w:r w:rsidR="0006023D">
        <w:rPr>
          <w:sz w:val="26"/>
          <w:szCs w:val="26"/>
        </w:rPr>
        <w:t>e EDI</w:t>
      </w:r>
      <w:r w:rsidRPr="00EE5722">
        <w:rPr>
          <w:sz w:val="26"/>
          <w:szCs w:val="26"/>
        </w:rPr>
        <w:t xml:space="preserve"> issues.  Duqu</w:t>
      </w:r>
      <w:r>
        <w:rPr>
          <w:sz w:val="26"/>
          <w:szCs w:val="26"/>
        </w:rPr>
        <w:t xml:space="preserve">esne explained that </w:t>
      </w:r>
      <w:r w:rsidRPr="00EE5722">
        <w:rPr>
          <w:sz w:val="26"/>
          <w:szCs w:val="26"/>
        </w:rPr>
        <w:t>the Company works with the Commission</w:t>
      </w:r>
      <w:r>
        <w:rPr>
          <w:sz w:val="26"/>
          <w:szCs w:val="26"/>
        </w:rPr>
        <w:t>’s</w:t>
      </w:r>
      <w:r w:rsidRPr="00EE5722">
        <w:rPr>
          <w:sz w:val="26"/>
          <w:szCs w:val="26"/>
        </w:rPr>
        <w:t xml:space="preserve"> </w:t>
      </w:r>
      <w:r w:rsidR="00614864">
        <w:rPr>
          <w:sz w:val="26"/>
          <w:szCs w:val="26"/>
        </w:rPr>
        <w:t>Electronic Data Exchange Working Group (</w:t>
      </w:r>
      <w:r w:rsidRPr="00EE5722">
        <w:rPr>
          <w:sz w:val="26"/>
          <w:szCs w:val="26"/>
        </w:rPr>
        <w:t>EDEWG</w:t>
      </w:r>
      <w:r w:rsidR="00614864">
        <w:rPr>
          <w:sz w:val="26"/>
          <w:szCs w:val="26"/>
        </w:rPr>
        <w:t>)</w:t>
      </w:r>
      <w:r w:rsidRPr="00EE5722">
        <w:rPr>
          <w:sz w:val="26"/>
          <w:szCs w:val="26"/>
        </w:rPr>
        <w:t xml:space="preserve"> to addr</w:t>
      </w:r>
      <w:r>
        <w:rPr>
          <w:sz w:val="26"/>
          <w:szCs w:val="26"/>
        </w:rPr>
        <w:t xml:space="preserve">ess EDI issues.  Duquesne </w:t>
      </w:r>
      <w:r w:rsidR="0006023D">
        <w:rPr>
          <w:sz w:val="26"/>
          <w:szCs w:val="26"/>
        </w:rPr>
        <w:t xml:space="preserve">St. </w:t>
      </w:r>
      <w:r w:rsidRPr="00EE5722">
        <w:rPr>
          <w:sz w:val="26"/>
          <w:szCs w:val="26"/>
        </w:rPr>
        <w:t>6-R</w:t>
      </w:r>
      <w:r>
        <w:rPr>
          <w:sz w:val="26"/>
          <w:szCs w:val="26"/>
        </w:rPr>
        <w:t xml:space="preserve"> at </w:t>
      </w:r>
      <w:r w:rsidRPr="00EE5722">
        <w:rPr>
          <w:sz w:val="26"/>
          <w:szCs w:val="26"/>
        </w:rPr>
        <w:t xml:space="preserve">8.  </w:t>
      </w:r>
      <w:r>
        <w:rPr>
          <w:sz w:val="26"/>
          <w:szCs w:val="26"/>
        </w:rPr>
        <w:t xml:space="preserve">Duquesne </w:t>
      </w:r>
      <w:r>
        <w:rPr>
          <w:sz w:val="26"/>
          <w:szCs w:val="26"/>
        </w:rPr>
        <w:lastRenderedPageBreak/>
        <w:t xml:space="preserve">averred that </w:t>
      </w:r>
      <w:r w:rsidRPr="00EE5722">
        <w:rPr>
          <w:sz w:val="26"/>
          <w:szCs w:val="26"/>
        </w:rPr>
        <w:t>EDI issues raised by Constellation are better addressed through the specialized EDEWG team than in this proceeding because any related issues or problems can be addressed by a team with specialized knowledge.</w:t>
      </w:r>
      <w:r w:rsidR="0006023D">
        <w:rPr>
          <w:sz w:val="26"/>
          <w:szCs w:val="26"/>
        </w:rPr>
        <w:t xml:space="preserve">  </w:t>
      </w:r>
      <w:r w:rsidRPr="00EE5722">
        <w:rPr>
          <w:sz w:val="26"/>
          <w:szCs w:val="26"/>
        </w:rPr>
        <w:t>With respect to Issue No. 4, the Company explained its new CIS system eliminates the collection of PJM residual amounts through EDI transactions and this system will be implemented prior t</w:t>
      </w:r>
      <w:r>
        <w:rPr>
          <w:sz w:val="26"/>
          <w:szCs w:val="26"/>
        </w:rPr>
        <w:t xml:space="preserve">o </w:t>
      </w:r>
      <w:r w:rsidR="0006023D">
        <w:rPr>
          <w:sz w:val="26"/>
          <w:szCs w:val="26"/>
        </w:rPr>
        <w:t xml:space="preserve">June 1, 2013.  Duquesne St. </w:t>
      </w:r>
      <w:r>
        <w:rPr>
          <w:sz w:val="26"/>
          <w:szCs w:val="26"/>
        </w:rPr>
        <w:t xml:space="preserve">6-R at </w:t>
      </w:r>
      <w:r w:rsidRPr="00EE5722">
        <w:rPr>
          <w:sz w:val="26"/>
          <w:szCs w:val="26"/>
        </w:rPr>
        <w:t>9.</w:t>
      </w:r>
      <w:r w:rsidR="0006023D">
        <w:rPr>
          <w:sz w:val="26"/>
          <w:szCs w:val="26"/>
        </w:rPr>
        <w:t xml:space="preserve">  </w:t>
      </w:r>
    </w:p>
    <w:p w:rsidR="00343C2C" w:rsidRDefault="00343C2C" w:rsidP="002D3E17">
      <w:pPr>
        <w:pStyle w:val="BodyText2"/>
        <w:spacing w:after="0" w:line="360" w:lineRule="auto"/>
        <w:rPr>
          <w:sz w:val="26"/>
          <w:szCs w:val="26"/>
        </w:rPr>
      </w:pPr>
    </w:p>
    <w:p w:rsidR="002D3E17" w:rsidRPr="00EE5722" w:rsidRDefault="002D3E17" w:rsidP="00343C2C">
      <w:pPr>
        <w:pStyle w:val="BodyText2"/>
        <w:spacing w:after="0" w:line="360" w:lineRule="auto"/>
        <w:ind w:firstLine="1440"/>
        <w:rPr>
          <w:sz w:val="26"/>
          <w:szCs w:val="26"/>
        </w:rPr>
      </w:pPr>
      <w:r w:rsidRPr="00EE5722">
        <w:rPr>
          <w:sz w:val="26"/>
          <w:szCs w:val="26"/>
        </w:rPr>
        <w:t xml:space="preserve">With respect to Issue No. 5, </w:t>
      </w:r>
      <w:r>
        <w:rPr>
          <w:sz w:val="26"/>
          <w:szCs w:val="26"/>
        </w:rPr>
        <w:t xml:space="preserve">Duquesne </w:t>
      </w:r>
      <w:r w:rsidRPr="00EE5722">
        <w:rPr>
          <w:sz w:val="26"/>
          <w:szCs w:val="26"/>
        </w:rPr>
        <w:t xml:space="preserve">explained </w:t>
      </w:r>
      <w:r>
        <w:rPr>
          <w:sz w:val="26"/>
          <w:szCs w:val="26"/>
        </w:rPr>
        <w:t xml:space="preserve">that </w:t>
      </w:r>
      <w:r w:rsidRPr="00EE5722">
        <w:rPr>
          <w:sz w:val="26"/>
          <w:szCs w:val="26"/>
        </w:rPr>
        <w:t xml:space="preserve">it plans to replace its existing CIS and </w:t>
      </w:r>
      <w:r w:rsidR="006F7309">
        <w:rPr>
          <w:sz w:val="26"/>
          <w:szCs w:val="26"/>
        </w:rPr>
        <w:t>Customer Care &amp; Billing (</w:t>
      </w:r>
      <w:r w:rsidRPr="006F7309">
        <w:rPr>
          <w:sz w:val="26"/>
          <w:szCs w:val="26"/>
        </w:rPr>
        <w:t>CC&amp;B</w:t>
      </w:r>
      <w:r w:rsidR="006F7309">
        <w:rPr>
          <w:sz w:val="26"/>
          <w:szCs w:val="26"/>
        </w:rPr>
        <w:t>)</w:t>
      </w:r>
      <w:r w:rsidRPr="00EE5722">
        <w:rPr>
          <w:sz w:val="26"/>
          <w:szCs w:val="26"/>
        </w:rPr>
        <w:t xml:space="preserve"> system during the second quarter of 2013.  </w:t>
      </w:r>
      <w:r>
        <w:rPr>
          <w:sz w:val="26"/>
          <w:szCs w:val="26"/>
        </w:rPr>
        <w:t>According to Duquesne, t</w:t>
      </w:r>
      <w:r w:rsidRPr="00EE5722">
        <w:rPr>
          <w:sz w:val="26"/>
          <w:szCs w:val="26"/>
        </w:rPr>
        <w:t>he new CIS system will provide enhanced functionality where customers will affirmatively elect to join the budget billing program, and once they elect, they will only have the option to pay the budget bi</w:t>
      </w:r>
      <w:r>
        <w:rPr>
          <w:sz w:val="26"/>
          <w:szCs w:val="26"/>
        </w:rPr>
        <w:t>ll</w:t>
      </w:r>
      <w:r w:rsidR="0006023D">
        <w:rPr>
          <w:sz w:val="26"/>
          <w:szCs w:val="26"/>
        </w:rPr>
        <w:t xml:space="preserve"> every month.  Duquesne St. </w:t>
      </w:r>
      <w:r>
        <w:rPr>
          <w:sz w:val="26"/>
          <w:szCs w:val="26"/>
        </w:rPr>
        <w:t>6</w:t>
      </w:r>
      <w:r w:rsidR="008A2931">
        <w:rPr>
          <w:sz w:val="26"/>
          <w:szCs w:val="26"/>
        </w:rPr>
        <w:noBreakHyphen/>
      </w:r>
      <w:r>
        <w:rPr>
          <w:sz w:val="26"/>
          <w:szCs w:val="26"/>
        </w:rPr>
        <w:t xml:space="preserve">R at </w:t>
      </w:r>
      <w:r w:rsidRPr="00EE5722">
        <w:rPr>
          <w:sz w:val="26"/>
          <w:szCs w:val="26"/>
        </w:rPr>
        <w:t xml:space="preserve">10.  </w:t>
      </w:r>
      <w:r>
        <w:rPr>
          <w:sz w:val="26"/>
          <w:szCs w:val="26"/>
        </w:rPr>
        <w:t>Duquesne opined that t</w:t>
      </w:r>
      <w:r w:rsidRPr="00EE5722">
        <w:rPr>
          <w:sz w:val="26"/>
          <w:szCs w:val="26"/>
        </w:rPr>
        <w:t>his change in policy should alleviate the problems the suppliers are facing with this issue.</w:t>
      </w:r>
    </w:p>
    <w:p w:rsidR="002D3E17" w:rsidRPr="00EE5722" w:rsidRDefault="002D3E17" w:rsidP="002D3E17">
      <w:pPr>
        <w:pStyle w:val="BodyText2"/>
        <w:spacing w:after="0" w:line="360" w:lineRule="auto"/>
        <w:rPr>
          <w:sz w:val="26"/>
          <w:szCs w:val="26"/>
        </w:rPr>
      </w:pPr>
    </w:p>
    <w:p w:rsidR="002D3E17" w:rsidRPr="00EE5722" w:rsidRDefault="002D3E17" w:rsidP="002D3E17">
      <w:pPr>
        <w:pStyle w:val="BodyText2"/>
        <w:spacing w:after="0" w:line="360" w:lineRule="auto"/>
        <w:rPr>
          <w:sz w:val="26"/>
          <w:szCs w:val="26"/>
        </w:rPr>
      </w:pPr>
      <w:r w:rsidRPr="00EE5722">
        <w:rPr>
          <w:sz w:val="26"/>
          <w:szCs w:val="26"/>
        </w:rPr>
        <w:tab/>
      </w:r>
      <w:r w:rsidRPr="00EE5722">
        <w:rPr>
          <w:sz w:val="26"/>
          <w:szCs w:val="26"/>
        </w:rPr>
        <w:tab/>
        <w:t xml:space="preserve">With respect to Issue No. </w:t>
      </w:r>
      <w:r>
        <w:rPr>
          <w:sz w:val="26"/>
          <w:szCs w:val="26"/>
        </w:rPr>
        <w:t>6, Duquesne</w:t>
      </w:r>
      <w:r w:rsidRPr="00EE5722">
        <w:rPr>
          <w:sz w:val="26"/>
          <w:szCs w:val="26"/>
        </w:rPr>
        <w:t xml:space="preserve"> </w:t>
      </w:r>
      <w:r>
        <w:rPr>
          <w:sz w:val="26"/>
          <w:szCs w:val="26"/>
        </w:rPr>
        <w:t xml:space="preserve">claimed it </w:t>
      </w:r>
      <w:r w:rsidRPr="00EE5722">
        <w:rPr>
          <w:sz w:val="26"/>
          <w:szCs w:val="26"/>
        </w:rPr>
        <w:t xml:space="preserve">would incur substantial costs to implement Bill Ready functionality in its existing CIS.  </w:t>
      </w:r>
      <w:r>
        <w:rPr>
          <w:sz w:val="26"/>
          <w:szCs w:val="26"/>
        </w:rPr>
        <w:t>Duquesne stated that t</w:t>
      </w:r>
      <w:r w:rsidR="00343C2C">
        <w:rPr>
          <w:sz w:val="26"/>
          <w:szCs w:val="26"/>
        </w:rPr>
        <w:t xml:space="preserve">he </w:t>
      </w:r>
      <w:r w:rsidRPr="00EE5722">
        <w:rPr>
          <w:sz w:val="26"/>
          <w:szCs w:val="26"/>
        </w:rPr>
        <w:t xml:space="preserve">new CC&amp;B system will be Bill Ready capable but the functionality will not be available upon implementation because it was not part of the scope of the initial project.  </w:t>
      </w:r>
      <w:r>
        <w:rPr>
          <w:sz w:val="26"/>
          <w:szCs w:val="26"/>
        </w:rPr>
        <w:t>According to Duquesne, a</w:t>
      </w:r>
      <w:r w:rsidRPr="00EE5722">
        <w:rPr>
          <w:sz w:val="26"/>
          <w:szCs w:val="26"/>
        </w:rPr>
        <w:t xml:space="preserve">dditional system development work cannot begin until the new CIS is implemented and operating seamlessly.  Therefore, </w:t>
      </w:r>
      <w:r>
        <w:rPr>
          <w:sz w:val="26"/>
          <w:szCs w:val="26"/>
        </w:rPr>
        <w:t xml:space="preserve">Duquesne explained that </w:t>
      </w:r>
      <w:r w:rsidRPr="00EE5722">
        <w:rPr>
          <w:sz w:val="26"/>
          <w:szCs w:val="26"/>
        </w:rPr>
        <w:t>this functionality</w:t>
      </w:r>
      <w:r>
        <w:rPr>
          <w:sz w:val="26"/>
          <w:szCs w:val="26"/>
        </w:rPr>
        <w:t xml:space="preserve">, </w:t>
      </w:r>
      <w:r w:rsidRPr="00EE5722">
        <w:rPr>
          <w:sz w:val="26"/>
          <w:szCs w:val="26"/>
        </w:rPr>
        <w:t>which requires significant EDI ma</w:t>
      </w:r>
      <w:r>
        <w:rPr>
          <w:sz w:val="26"/>
          <w:szCs w:val="26"/>
        </w:rPr>
        <w:t xml:space="preserve">pping and </w:t>
      </w:r>
      <w:r w:rsidR="006F7309" w:rsidRPr="006F7309">
        <w:rPr>
          <w:sz w:val="26"/>
          <w:szCs w:val="26"/>
        </w:rPr>
        <w:t>CI</w:t>
      </w:r>
      <w:r w:rsidRPr="006F7309">
        <w:rPr>
          <w:sz w:val="26"/>
          <w:szCs w:val="26"/>
        </w:rPr>
        <w:t>S</w:t>
      </w:r>
      <w:r>
        <w:rPr>
          <w:sz w:val="26"/>
          <w:szCs w:val="26"/>
        </w:rPr>
        <w:t xml:space="preserve"> integration work,</w:t>
      </w:r>
      <w:r w:rsidRPr="00EE5722">
        <w:rPr>
          <w:sz w:val="26"/>
          <w:szCs w:val="26"/>
        </w:rPr>
        <w:t xml:space="preserve"> cannot be implemen</w:t>
      </w:r>
      <w:r>
        <w:rPr>
          <w:sz w:val="26"/>
          <w:szCs w:val="26"/>
        </w:rPr>
        <w:t>te</w:t>
      </w:r>
      <w:r w:rsidR="00343C2C">
        <w:rPr>
          <w:sz w:val="26"/>
          <w:szCs w:val="26"/>
        </w:rPr>
        <w:t xml:space="preserve">d until 2014.  Duquesne St. </w:t>
      </w:r>
      <w:r>
        <w:rPr>
          <w:sz w:val="26"/>
          <w:szCs w:val="26"/>
        </w:rPr>
        <w:t xml:space="preserve">6-R at </w:t>
      </w:r>
      <w:r w:rsidRPr="00EE5722">
        <w:rPr>
          <w:sz w:val="26"/>
          <w:szCs w:val="26"/>
        </w:rPr>
        <w:t xml:space="preserve">11.  </w:t>
      </w:r>
    </w:p>
    <w:p w:rsidR="002D3E17" w:rsidRPr="00EE5722" w:rsidRDefault="002D3E17" w:rsidP="002D3E17">
      <w:pPr>
        <w:pStyle w:val="BodyText"/>
        <w:spacing w:after="0" w:line="360" w:lineRule="auto"/>
        <w:ind w:left="0" w:firstLine="0"/>
        <w:rPr>
          <w:sz w:val="26"/>
          <w:szCs w:val="26"/>
        </w:rPr>
      </w:pPr>
    </w:p>
    <w:p w:rsidR="002D3E17" w:rsidRPr="00EE5722" w:rsidRDefault="00343C2C" w:rsidP="002D3E17">
      <w:pPr>
        <w:tabs>
          <w:tab w:val="left" w:pos="720"/>
        </w:tabs>
        <w:spacing w:line="360" w:lineRule="auto"/>
        <w:rPr>
          <w:sz w:val="26"/>
          <w:szCs w:val="26"/>
        </w:rPr>
      </w:pPr>
      <w:r>
        <w:rPr>
          <w:sz w:val="26"/>
          <w:szCs w:val="26"/>
        </w:rPr>
        <w:tab/>
      </w:r>
      <w:r>
        <w:rPr>
          <w:sz w:val="26"/>
          <w:szCs w:val="26"/>
        </w:rPr>
        <w:tab/>
        <w:t xml:space="preserve">Constellation </w:t>
      </w:r>
      <w:r w:rsidR="002D3E17">
        <w:rPr>
          <w:sz w:val="26"/>
          <w:szCs w:val="26"/>
        </w:rPr>
        <w:t>contend</w:t>
      </w:r>
      <w:r>
        <w:rPr>
          <w:sz w:val="26"/>
          <w:szCs w:val="26"/>
        </w:rPr>
        <w:t>ed</w:t>
      </w:r>
      <w:r w:rsidR="002D3E17">
        <w:rPr>
          <w:sz w:val="26"/>
          <w:szCs w:val="26"/>
        </w:rPr>
        <w:t xml:space="preserve"> that Duquesne </w:t>
      </w:r>
      <w:r w:rsidR="002D3E17" w:rsidRPr="00EE5722">
        <w:rPr>
          <w:sz w:val="26"/>
          <w:szCs w:val="26"/>
        </w:rPr>
        <w:t xml:space="preserve">must address questions/concerns regarding EGS coordination, and EGS data and customer access, because “[b]y addressing these types of concerns, customers who wish to shop will have a more seamless and less burdensome </w:t>
      </w:r>
      <w:r w:rsidR="002D3E17">
        <w:rPr>
          <w:sz w:val="26"/>
          <w:szCs w:val="26"/>
        </w:rPr>
        <w:t xml:space="preserve">path to enrolling with an EGS, </w:t>
      </w:r>
      <w:r w:rsidR="002D3E17" w:rsidRPr="00EE5722">
        <w:rPr>
          <w:sz w:val="26"/>
          <w:szCs w:val="26"/>
        </w:rPr>
        <w:t xml:space="preserve">EGSs will have greater certainty regarding the EDC’s processes, as well as the data and information that will be </w:t>
      </w:r>
      <w:r w:rsidR="002D3E17" w:rsidRPr="00EE5722">
        <w:rPr>
          <w:sz w:val="26"/>
          <w:szCs w:val="26"/>
        </w:rPr>
        <w:lastRenderedPageBreak/>
        <w:t>made available,” and “EGSs will be better able to provide services to prospective customers, meet the needs of existing customers, and manage their businesses.”</w:t>
      </w:r>
      <w:r w:rsidR="002D3E17" w:rsidRPr="00901CD0">
        <w:rPr>
          <w:sz w:val="26"/>
          <w:szCs w:val="26"/>
        </w:rPr>
        <w:t xml:space="preserve"> </w:t>
      </w:r>
      <w:r w:rsidR="002D3E17" w:rsidRPr="00F30B79">
        <w:rPr>
          <w:sz w:val="26"/>
          <w:szCs w:val="26"/>
        </w:rPr>
        <w:t>Constellation St</w:t>
      </w:r>
      <w:r w:rsidR="002D3E17">
        <w:rPr>
          <w:sz w:val="26"/>
          <w:szCs w:val="26"/>
        </w:rPr>
        <w:t xml:space="preserve">. </w:t>
      </w:r>
      <w:r w:rsidR="002D3E17" w:rsidRPr="00F30B79">
        <w:rPr>
          <w:sz w:val="26"/>
          <w:szCs w:val="26"/>
        </w:rPr>
        <w:t>1 at 13</w:t>
      </w:r>
      <w:r w:rsidR="002D3E17">
        <w:rPr>
          <w:sz w:val="26"/>
          <w:szCs w:val="26"/>
        </w:rPr>
        <w:t>.</w:t>
      </w:r>
    </w:p>
    <w:p w:rsidR="002D3E17" w:rsidRPr="00EE5722" w:rsidRDefault="002D3E17" w:rsidP="002D3E17">
      <w:pPr>
        <w:tabs>
          <w:tab w:val="left" w:pos="720"/>
        </w:tabs>
        <w:spacing w:line="360" w:lineRule="auto"/>
        <w:rPr>
          <w:sz w:val="26"/>
          <w:szCs w:val="26"/>
        </w:rPr>
      </w:pPr>
      <w:r w:rsidRPr="00EE5722">
        <w:rPr>
          <w:sz w:val="26"/>
          <w:szCs w:val="26"/>
        </w:rPr>
        <w:tab/>
      </w:r>
    </w:p>
    <w:p w:rsidR="002D3E17" w:rsidRPr="00EE5722" w:rsidRDefault="002D3E17" w:rsidP="002D3E17">
      <w:pPr>
        <w:tabs>
          <w:tab w:val="left" w:pos="720"/>
        </w:tabs>
        <w:spacing w:line="360" w:lineRule="auto"/>
        <w:rPr>
          <w:sz w:val="26"/>
          <w:szCs w:val="26"/>
        </w:rPr>
      </w:pPr>
      <w:r w:rsidRPr="00EE5722">
        <w:rPr>
          <w:sz w:val="26"/>
          <w:szCs w:val="26"/>
        </w:rPr>
        <w:tab/>
      </w:r>
      <w:r w:rsidRPr="00EE5722">
        <w:rPr>
          <w:sz w:val="26"/>
          <w:szCs w:val="26"/>
        </w:rPr>
        <w:tab/>
        <w:t>Sp</w:t>
      </w:r>
      <w:r w:rsidR="00343C2C">
        <w:rPr>
          <w:sz w:val="26"/>
          <w:szCs w:val="26"/>
        </w:rPr>
        <w:t xml:space="preserve">ecifically, Constellation </w:t>
      </w:r>
      <w:r w:rsidRPr="00EE5722">
        <w:rPr>
          <w:sz w:val="26"/>
          <w:szCs w:val="26"/>
        </w:rPr>
        <w:t>ask</w:t>
      </w:r>
      <w:r w:rsidR="00343C2C">
        <w:rPr>
          <w:sz w:val="26"/>
          <w:szCs w:val="26"/>
        </w:rPr>
        <w:t>ed</w:t>
      </w:r>
      <w:r w:rsidRPr="00EE5722">
        <w:rPr>
          <w:sz w:val="26"/>
          <w:szCs w:val="26"/>
        </w:rPr>
        <w:t xml:space="preserve"> the Com</w:t>
      </w:r>
      <w:r>
        <w:rPr>
          <w:sz w:val="26"/>
          <w:szCs w:val="26"/>
        </w:rPr>
        <w:t xml:space="preserve">mission to order Duquesne </w:t>
      </w:r>
      <w:r w:rsidRPr="00EE5722">
        <w:rPr>
          <w:sz w:val="26"/>
          <w:szCs w:val="26"/>
        </w:rPr>
        <w:t>to:  (1) as required by the Commission on August 20, 2010, discontinue the practice of requiring EGSs to send to the EDC copies o</w:t>
      </w:r>
      <w:r w:rsidR="00343C2C">
        <w:rPr>
          <w:sz w:val="26"/>
          <w:szCs w:val="26"/>
        </w:rPr>
        <w:t>f signed Letters of Authority (LOAs</w:t>
      </w:r>
      <w:r w:rsidRPr="00EE5722">
        <w:rPr>
          <w:sz w:val="26"/>
          <w:szCs w:val="26"/>
        </w:rPr>
        <w:t xml:space="preserve">) prior to providing access to necessary customer data; (2) remit to EGSs </w:t>
      </w:r>
      <w:r w:rsidRPr="00EE5722">
        <w:rPr>
          <w:i/>
          <w:sz w:val="26"/>
          <w:szCs w:val="26"/>
        </w:rPr>
        <w:t xml:space="preserve">actual </w:t>
      </w:r>
      <w:r w:rsidRPr="00EE5722">
        <w:rPr>
          <w:sz w:val="26"/>
          <w:szCs w:val="26"/>
        </w:rPr>
        <w:t>dollars charged to a customer, rather than only budget billing charges that a customer elects to pay to the EDC; (3</w:t>
      </w:r>
      <w:r>
        <w:rPr>
          <w:sz w:val="26"/>
          <w:szCs w:val="26"/>
        </w:rPr>
        <w:t>) as agreed to by Duquesne</w:t>
      </w:r>
      <w:r w:rsidRPr="00EE5722">
        <w:rPr>
          <w:sz w:val="26"/>
          <w:szCs w:val="26"/>
        </w:rPr>
        <w:t xml:space="preserve">, order the EDC to build into its new system the capability to accept and manage up to five EGS Scheduling Coordinators and </w:t>
      </w:r>
      <w:r w:rsidRPr="006F7309">
        <w:rPr>
          <w:sz w:val="26"/>
          <w:szCs w:val="26"/>
        </w:rPr>
        <w:t>DUNS</w:t>
      </w:r>
      <w:r w:rsidRPr="00EE5722">
        <w:rPr>
          <w:sz w:val="26"/>
          <w:szCs w:val="26"/>
        </w:rPr>
        <w:t xml:space="preserve"> numbers per EGS, without charging the EGS additional administrative fees for such functionality; and (4) given that the DSP being considered in this proceeding has a term that runs thr</w:t>
      </w:r>
      <w:r>
        <w:rPr>
          <w:sz w:val="26"/>
          <w:szCs w:val="26"/>
        </w:rPr>
        <w:t xml:space="preserve">ough 2015, order Duquesne </w:t>
      </w:r>
      <w:r w:rsidRPr="00EE5722">
        <w:rPr>
          <w:sz w:val="26"/>
          <w:szCs w:val="26"/>
        </w:rPr>
        <w:t>to commit to certai</w:t>
      </w:r>
      <w:r>
        <w:rPr>
          <w:sz w:val="26"/>
          <w:szCs w:val="26"/>
        </w:rPr>
        <w:t xml:space="preserve">n proposals that Duquesne </w:t>
      </w:r>
      <w:r w:rsidRPr="00EE5722">
        <w:rPr>
          <w:sz w:val="26"/>
          <w:szCs w:val="26"/>
        </w:rPr>
        <w:t>states cannot</w:t>
      </w:r>
      <w:r>
        <w:rPr>
          <w:sz w:val="26"/>
          <w:szCs w:val="26"/>
        </w:rPr>
        <w:t xml:space="preserve"> be implemented prior to 2014.</w:t>
      </w:r>
    </w:p>
    <w:p w:rsidR="002D3E17" w:rsidRPr="00EE5722" w:rsidRDefault="002D3E17" w:rsidP="002D3E17">
      <w:pPr>
        <w:tabs>
          <w:tab w:val="left" w:pos="720"/>
        </w:tabs>
        <w:spacing w:line="360" w:lineRule="auto"/>
        <w:rPr>
          <w:sz w:val="26"/>
          <w:szCs w:val="26"/>
        </w:rPr>
      </w:pPr>
    </w:p>
    <w:p w:rsidR="002D3E17" w:rsidRDefault="002D3E17" w:rsidP="00343C2C">
      <w:pPr>
        <w:pStyle w:val="FootnoteText"/>
        <w:tabs>
          <w:tab w:val="left" w:pos="0"/>
        </w:tabs>
        <w:spacing w:line="360" w:lineRule="auto"/>
        <w:rPr>
          <w:sz w:val="26"/>
          <w:szCs w:val="26"/>
        </w:rPr>
      </w:pPr>
      <w:r w:rsidRPr="00EE5722">
        <w:rPr>
          <w:sz w:val="26"/>
          <w:szCs w:val="26"/>
        </w:rPr>
        <w:tab/>
      </w:r>
      <w:r w:rsidRPr="00EE5722">
        <w:rPr>
          <w:sz w:val="26"/>
          <w:szCs w:val="26"/>
        </w:rPr>
        <w:tab/>
        <w:t>I</w:t>
      </w:r>
      <w:r w:rsidR="00343C2C">
        <w:rPr>
          <w:sz w:val="26"/>
          <w:szCs w:val="26"/>
        </w:rPr>
        <w:t xml:space="preserve">n addition, Constellation </w:t>
      </w:r>
      <w:r w:rsidRPr="00EE5722">
        <w:rPr>
          <w:sz w:val="26"/>
          <w:szCs w:val="26"/>
        </w:rPr>
        <w:t>ask</w:t>
      </w:r>
      <w:r w:rsidR="00343C2C">
        <w:rPr>
          <w:sz w:val="26"/>
          <w:szCs w:val="26"/>
        </w:rPr>
        <w:t>ed</w:t>
      </w:r>
      <w:r w:rsidRPr="00EE5722">
        <w:rPr>
          <w:sz w:val="26"/>
          <w:szCs w:val="26"/>
        </w:rPr>
        <w:t xml:space="preserve"> that th</w:t>
      </w:r>
      <w:r>
        <w:rPr>
          <w:sz w:val="26"/>
          <w:szCs w:val="26"/>
        </w:rPr>
        <w:t>e Commission note Duquesne</w:t>
      </w:r>
      <w:r w:rsidRPr="00EE5722">
        <w:rPr>
          <w:sz w:val="26"/>
          <w:szCs w:val="26"/>
        </w:rPr>
        <w:t>’s clarifications/explanations regarding several additional EGS coordination and data access issues raised by Constellation in its testimony.  Addressing these concerns will assist in allowing an EGS to provide a prospective customer with a competitive offer for electric service, check the enrollment status of a new customer, and perform other functions designed to better serve potential and existing customers.</w:t>
      </w:r>
      <w:r>
        <w:rPr>
          <w:sz w:val="26"/>
          <w:szCs w:val="26"/>
        </w:rPr>
        <w:t xml:space="preserve">  Constellation St. 1 at 13</w:t>
      </w:r>
      <w:r w:rsidRPr="00F30B79">
        <w:rPr>
          <w:sz w:val="26"/>
          <w:szCs w:val="26"/>
        </w:rPr>
        <w:t>.</w:t>
      </w:r>
    </w:p>
    <w:p w:rsidR="002D3E17" w:rsidRDefault="002D3E17" w:rsidP="00343C2C">
      <w:pPr>
        <w:pStyle w:val="FootnoteText"/>
        <w:tabs>
          <w:tab w:val="left" w:pos="0"/>
        </w:tabs>
        <w:spacing w:line="360" w:lineRule="auto"/>
        <w:rPr>
          <w:sz w:val="26"/>
          <w:szCs w:val="26"/>
        </w:rPr>
      </w:pPr>
    </w:p>
    <w:p w:rsidR="002D3E17" w:rsidRDefault="002D3E17" w:rsidP="00343C2C">
      <w:pPr>
        <w:pStyle w:val="BodyText2"/>
        <w:spacing w:after="0" w:line="360" w:lineRule="auto"/>
        <w:ind w:firstLine="1440"/>
        <w:rPr>
          <w:sz w:val="26"/>
          <w:szCs w:val="26"/>
        </w:rPr>
      </w:pPr>
      <w:r>
        <w:rPr>
          <w:sz w:val="26"/>
          <w:szCs w:val="26"/>
        </w:rPr>
        <w:t xml:space="preserve">The </w:t>
      </w:r>
      <w:r w:rsidRPr="00EE5722">
        <w:rPr>
          <w:sz w:val="26"/>
          <w:szCs w:val="26"/>
        </w:rPr>
        <w:t>OCA</w:t>
      </w:r>
      <w:r>
        <w:rPr>
          <w:sz w:val="26"/>
          <w:szCs w:val="26"/>
        </w:rPr>
        <w:t>, RESA, the OSBA, CAUSE, Citizen Power,</w:t>
      </w:r>
      <w:r w:rsidRPr="00EE5722">
        <w:rPr>
          <w:sz w:val="26"/>
          <w:szCs w:val="26"/>
        </w:rPr>
        <w:t xml:space="preserve"> </w:t>
      </w:r>
      <w:r>
        <w:rPr>
          <w:sz w:val="26"/>
          <w:szCs w:val="26"/>
        </w:rPr>
        <w:t xml:space="preserve">DII, Dominion, </w:t>
      </w:r>
      <w:r w:rsidR="00343C2C">
        <w:rPr>
          <w:sz w:val="26"/>
          <w:szCs w:val="26"/>
        </w:rPr>
        <w:t xml:space="preserve">and </w:t>
      </w:r>
      <w:r>
        <w:rPr>
          <w:sz w:val="26"/>
          <w:szCs w:val="26"/>
        </w:rPr>
        <w:t>FES took</w:t>
      </w:r>
      <w:r w:rsidRPr="00EE5722">
        <w:rPr>
          <w:sz w:val="26"/>
          <w:szCs w:val="26"/>
        </w:rPr>
        <w:t xml:space="preserve"> no position on this issue.</w:t>
      </w:r>
      <w:r>
        <w:rPr>
          <w:sz w:val="26"/>
          <w:szCs w:val="26"/>
        </w:rPr>
        <w:t xml:space="preserve">  </w:t>
      </w:r>
    </w:p>
    <w:p w:rsidR="002D3E17" w:rsidRPr="00EE5722" w:rsidRDefault="002D3E17" w:rsidP="002D3E17">
      <w:pPr>
        <w:pStyle w:val="BodyText2"/>
        <w:spacing w:after="0" w:line="360" w:lineRule="auto"/>
        <w:ind w:firstLine="1440"/>
        <w:rPr>
          <w:sz w:val="26"/>
          <w:szCs w:val="26"/>
        </w:rPr>
      </w:pPr>
    </w:p>
    <w:p w:rsidR="002D3E17" w:rsidRPr="00EE5722" w:rsidRDefault="002D3E17" w:rsidP="0053114A">
      <w:pPr>
        <w:pStyle w:val="Heading3"/>
        <w:rPr>
          <w:color w:val="000000" w:themeColor="text1"/>
        </w:rPr>
      </w:pPr>
      <w:bookmarkStart w:id="252" w:name="_Toc346705492"/>
      <w:r>
        <w:t>2.</w:t>
      </w:r>
      <w:r>
        <w:tab/>
        <w:t>ALJ’s Recommendation</w:t>
      </w:r>
      <w:bookmarkEnd w:id="252"/>
      <w:r w:rsidR="00343C2C">
        <w:t xml:space="preserve"> </w:t>
      </w:r>
    </w:p>
    <w:p w:rsidR="002D3E17" w:rsidRPr="00EE5722" w:rsidRDefault="002D3E17" w:rsidP="002D3E17">
      <w:pPr>
        <w:spacing w:line="360" w:lineRule="auto"/>
        <w:rPr>
          <w:color w:val="000000" w:themeColor="text1"/>
          <w:sz w:val="26"/>
          <w:szCs w:val="26"/>
        </w:rPr>
      </w:pPr>
    </w:p>
    <w:p w:rsidR="00343C2C" w:rsidRDefault="002D3E17" w:rsidP="002D3E17">
      <w:pPr>
        <w:tabs>
          <w:tab w:val="left" w:pos="720"/>
        </w:tabs>
        <w:spacing w:line="360" w:lineRule="auto"/>
        <w:rPr>
          <w:color w:val="000000" w:themeColor="text1"/>
          <w:sz w:val="26"/>
          <w:szCs w:val="26"/>
        </w:rPr>
      </w:pPr>
      <w:r w:rsidRPr="00EE5722">
        <w:rPr>
          <w:color w:val="000000" w:themeColor="text1"/>
          <w:sz w:val="26"/>
          <w:szCs w:val="26"/>
        </w:rPr>
        <w:lastRenderedPageBreak/>
        <w:tab/>
      </w:r>
      <w:r w:rsidRPr="00EE5722">
        <w:rPr>
          <w:color w:val="000000" w:themeColor="text1"/>
          <w:sz w:val="26"/>
          <w:szCs w:val="26"/>
        </w:rPr>
        <w:tab/>
      </w:r>
      <w:r>
        <w:rPr>
          <w:color w:val="000000" w:themeColor="text1"/>
          <w:sz w:val="26"/>
          <w:szCs w:val="26"/>
        </w:rPr>
        <w:t>The ALJ</w:t>
      </w:r>
      <w:r w:rsidRPr="00EE5722">
        <w:rPr>
          <w:color w:val="000000" w:themeColor="text1"/>
          <w:sz w:val="26"/>
          <w:szCs w:val="26"/>
        </w:rPr>
        <w:t xml:space="preserve"> re</w:t>
      </w:r>
      <w:r>
        <w:rPr>
          <w:color w:val="000000" w:themeColor="text1"/>
          <w:sz w:val="26"/>
          <w:szCs w:val="26"/>
        </w:rPr>
        <w:t>commended approving Duquesne</w:t>
      </w:r>
      <w:r w:rsidRPr="00EE5722">
        <w:rPr>
          <w:color w:val="000000" w:themeColor="text1"/>
          <w:sz w:val="26"/>
          <w:szCs w:val="26"/>
        </w:rPr>
        <w:t>’s proposal as altered</w:t>
      </w:r>
      <w:r>
        <w:rPr>
          <w:color w:val="000000" w:themeColor="text1"/>
          <w:sz w:val="26"/>
          <w:szCs w:val="26"/>
        </w:rPr>
        <w:t xml:space="preserve"> and clarified</w:t>
      </w:r>
      <w:r w:rsidR="00343C2C">
        <w:rPr>
          <w:color w:val="000000" w:themeColor="text1"/>
          <w:sz w:val="26"/>
          <w:szCs w:val="26"/>
        </w:rPr>
        <w:t xml:space="preserve"> by the changes that were agreed upon by Duquesne and Constellation</w:t>
      </w:r>
      <w:r>
        <w:rPr>
          <w:color w:val="000000" w:themeColor="text1"/>
          <w:sz w:val="26"/>
          <w:szCs w:val="26"/>
        </w:rPr>
        <w:t xml:space="preserve">.  According to the ALJ, Duquesne </w:t>
      </w:r>
      <w:r w:rsidRPr="00EE5722">
        <w:rPr>
          <w:color w:val="000000" w:themeColor="text1"/>
          <w:sz w:val="26"/>
          <w:szCs w:val="26"/>
        </w:rPr>
        <w:t xml:space="preserve">made a series of changes and/or clarifications concerning proposals from Constellation about data and EGS coordination changes.  </w:t>
      </w:r>
      <w:r>
        <w:rPr>
          <w:color w:val="000000" w:themeColor="text1"/>
          <w:sz w:val="26"/>
          <w:szCs w:val="26"/>
        </w:rPr>
        <w:t>The ALJ found that b</w:t>
      </w:r>
      <w:r w:rsidRPr="00EE5722">
        <w:rPr>
          <w:color w:val="000000" w:themeColor="text1"/>
          <w:sz w:val="26"/>
          <w:szCs w:val="26"/>
        </w:rPr>
        <w:t xml:space="preserve">oth Constellation and the Company agreed on those changes but Constellation continued to argue for the Company to accept </w:t>
      </w:r>
      <w:r w:rsidRPr="008A3B7D">
        <w:rPr>
          <w:color w:val="000000" w:themeColor="text1"/>
          <w:sz w:val="26"/>
          <w:szCs w:val="26"/>
        </w:rPr>
        <w:t xml:space="preserve">all </w:t>
      </w:r>
      <w:r w:rsidRPr="00EE5722">
        <w:rPr>
          <w:color w:val="000000" w:themeColor="text1"/>
          <w:sz w:val="26"/>
          <w:szCs w:val="26"/>
        </w:rPr>
        <w:t xml:space="preserve">of </w:t>
      </w:r>
      <w:r>
        <w:rPr>
          <w:color w:val="000000" w:themeColor="text1"/>
          <w:sz w:val="26"/>
          <w:szCs w:val="26"/>
        </w:rPr>
        <w:t>its</w:t>
      </w:r>
      <w:r w:rsidRPr="00EE5722">
        <w:rPr>
          <w:color w:val="000000" w:themeColor="text1"/>
          <w:sz w:val="26"/>
          <w:szCs w:val="26"/>
        </w:rPr>
        <w:t xml:space="preserve"> proposa</w:t>
      </w:r>
      <w:r>
        <w:rPr>
          <w:color w:val="000000" w:themeColor="text1"/>
          <w:sz w:val="26"/>
          <w:szCs w:val="26"/>
        </w:rPr>
        <w:t>ls.  The ALJ agreed that Duquesne</w:t>
      </w:r>
      <w:r w:rsidRPr="00EE5722">
        <w:rPr>
          <w:color w:val="000000" w:themeColor="text1"/>
          <w:sz w:val="26"/>
          <w:szCs w:val="26"/>
        </w:rPr>
        <w:t>’s proposal is consistent with prior Commission action, especially for those proposals which are connected to the Company’s changing IT environment over the next two year</w:t>
      </w:r>
      <w:r>
        <w:rPr>
          <w:color w:val="000000" w:themeColor="text1"/>
          <w:sz w:val="26"/>
          <w:szCs w:val="26"/>
        </w:rPr>
        <w:t xml:space="preserve">s. </w:t>
      </w:r>
      <w:r w:rsidR="006F7309">
        <w:rPr>
          <w:color w:val="000000" w:themeColor="text1"/>
          <w:sz w:val="26"/>
          <w:szCs w:val="26"/>
        </w:rPr>
        <w:t xml:space="preserve"> R.D. at 213.</w:t>
      </w:r>
      <w:r>
        <w:rPr>
          <w:color w:val="000000" w:themeColor="text1"/>
          <w:sz w:val="26"/>
          <w:szCs w:val="26"/>
        </w:rPr>
        <w:t xml:space="preserve"> </w:t>
      </w:r>
    </w:p>
    <w:p w:rsidR="00343C2C" w:rsidRDefault="00343C2C" w:rsidP="002D3E17">
      <w:pPr>
        <w:tabs>
          <w:tab w:val="left" w:pos="720"/>
        </w:tabs>
        <w:spacing w:line="360" w:lineRule="auto"/>
        <w:rPr>
          <w:color w:val="000000" w:themeColor="text1"/>
          <w:sz w:val="26"/>
          <w:szCs w:val="26"/>
        </w:rPr>
      </w:pPr>
    </w:p>
    <w:p w:rsidR="002D3E17" w:rsidRDefault="002D3E17" w:rsidP="00343C2C">
      <w:pPr>
        <w:tabs>
          <w:tab w:val="left" w:pos="720"/>
        </w:tabs>
        <w:spacing w:line="360" w:lineRule="auto"/>
        <w:ind w:firstLine="1440"/>
        <w:rPr>
          <w:color w:val="000000" w:themeColor="text1"/>
          <w:sz w:val="26"/>
          <w:szCs w:val="26"/>
        </w:rPr>
      </w:pPr>
      <w:r>
        <w:rPr>
          <w:color w:val="000000" w:themeColor="text1"/>
          <w:sz w:val="26"/>
          <w:szCs w:val="26"/>
        </w:rPr>
        <w:t xml:space="preserve">The ALJ agreed that Duquesne </w:t>
      </w:r>
      <w:r w:rsidRPr="00EE5722">
        <w:rPr>
          <w:color w:val="000000" w:themeColor="text1"/>
          <w:sz w:val="26"/>
          <w:szCs w:val="26"/>
        </w:rPr>
        <w:t>should:  (1) refrain from collecting PJM residual charges via EDI 820 transactions and instead send EGSs separate paper bills to recover these amounts starting in June 2013; and (2) provide customer sync lists to all requesting EG</w:t>
      </w:r>
      <w:r>
        <w:rPr>
          <w:color w:val="000000" w:themeColor="text1"/>
          <w:sz w:val="26"/>
          <w:szCs w:val="26"/>
        </w:rPr>
        <w:t>Ss at no charge.  In addition, the ALJ</w:t>
      </w:r>
      <w:r w:rsidRPr="00EE5722">
        <w:rPr>
          <w:color w:val="000000" w:themeColor="text1"/>
          <w:sz w:val="26"/>
          <w:szCs w:val="26"/>
        </w:rPr>
        <w:t xml:space="preserve"> note</w:t>
      </w:r>
      <w:r>
        <w:rPr>
          <w:color w:val="000000" w:themeColor="text1"/>
          <w:sz w:val="26"/>
          <w:szCs w:val="26"/>
        </w:rPr>
        <w:t>d</w:t>
      </w:r>
      <w:r w:rsidRPr="00EE5722">
        <w:rPr>
          <w:color w:val="000000" w:themeColor="text1"/>
          <w:sz w:val="26"/>
          <w:szCs w:val="26"/>
        </w:rPr>
        <w:t xml:space="preserve"> </w:t>
      </w:r>
      <w:r>
        <w:rPr>
          <w:color w:val="000000" w:themeColor="text1"/>
          <w:sz w:val="26"/>
          <w:szCs w:val="26"/>
        </w:rPr>
        <w:t xml:space="preserve">that </w:t>
      </w:r>
      <w:r w:rsidRPr="00EE5722">
        <w:rPr>
          <w:color w:val="000000" w:themeColor="text1"/>
          <w:sz w:val="26"/>
          <w:szCs w:val="26"/>
        </w:rPr>
        <w:t>the Company provided explanations or clarifications addressing th</w:t>
      </w:r>
      <w:r>
        <w:rPr>
          <w:color w:val="000000" w:themeColor="text1"/>
          <w:sz w:val="26"/>
          <w:szCs w:val="26"/>
        </w:rPr>
        <w:t>ese items in that Duquesne</w:t>
      </w:r>
      <w:r w:rsidRPr="00EE5722">
        <w:rPr>
          <w:color w:val="000000" w:themeColor="text1"/>
          <w:sz w:val="26"/>
          <w:szCs w:val="26"/>
        </w:rPr>
        <w:t>’s new CIS will eliminate the collection of PJM residual invoice amounts through EDI 820 transactions, and Duq</w:t>
      </w:r>
      <w:r>
        <w:rPr>
          <w:color w:val="000000" w:themeColor="text1"/>
          <w:sz w:val="26"/>
          <w:szCs w:val="26"/>
        </w:rPr>
        <w:t xml:space="preserve">uesne </w:t>
      </w:r>
      <w:r w:rsidRPr="00EE5722">
        <w:rPr>
          <w:color w:val="000000" w:themeColor="text1"/>
          <w:sz w:val="26"/>
          <w:szCs w:val="26"/>
        </w:rPr>
        <w:t>does not currently charge for customer sync lists.</w:t>
      </w:r>
      <w:r w:rsidR="00343C2C">
        <w:rPr>
          <w:color w:val="000000" w:themeColor="text1"/>
          <w:sz w:val="26"/>
          <w:szCs w:val="26"/>
        </w:rPr>
        <w:t xml:space="preserve">  </w:t>
      </w:r>
      <w:r>
        <w:rPr>
          <w:color w:val="000000" w:themeColor="text1"/>
          <w:sz w:val="26"/>
          <w:szCs w:val="26"/>
        </w:rPr>
        <w:t xml:space="preserve">Further, the ALJ recommended that Duquesne </w:t>
      </w:r>
      <w:r w:rsidRPr="00EE5722">
        <w:rPr>
          <w:color w:val="000000" w:themeColor="text1"/>
          <w:sz w:val="26"/>
          <w:szCs w:val="26"/>
        </w:rPr>
        <w:t>revise its budget billing revenue remittance protoco</w:t>
      </w:r>
      <w:r>
        <w:rPr>
          <w:color w:val="000000" w:themeColor="text1"/>
          <w:sz w:val="26"/>
          <w:szCs w:val="26"/>
        </w:rPr>
        <w:t xml:space="preserve">ls, as proposed by </w:t>
      </w:r>
      <w:r w:rsidR="00343C2C">
        <w:rPr>
          <w:color w:val="000000" w:themeColor="text1"/>
          <w:sz w:val="26"/>
          <w:szCs w:val="26"/>
        </w:rPr>
        <w:t>Constellation</w:t>
      </w:r>
      <w:r w:rsidRPr="00EE5722">
        <w:rPr>
          <w:color w:val="000000" w:themeColor="text1"/>
          <w:sz w:val="26"/>
          <w:szCs w:val="26"/>
        </w:rPr>
        <w:t xml:space="preserve">.  Specifically, </w:t>
      </w:r>
      <w:r>
        <w:rPr>
          <w:color w:val="000000" w:themeColor="text1"/>
          <w:sz w:val="26"/>
          <w:szCs w:val="26"/>
        </w:rPr>
        <w:t xml:space="preserve">the ALJ recommended that Duquesne </w:t>
      </w:r>
      <w:r w:rsidRPr="00EE5722">
        <w:rPr>
          <w:color w:val="000000" w:themeColor="text1"/>
          <w:sz w:val="26"/>
          <w:szCs w:val="26"/>
        </w:rPr>
        <w:t xml:space="preserve">begin to remit actual charges </w:t>
      </w:r>
      <w:r>
        <w:rPr>
          <w:color w:val="000000" w:themeColor="text1"/>
          <w:sz w:val="26"/>
          <w:szCs w:val="26"/>
        </w:rPr>
        <w:t xml:space="preserve">to EGSs whether or not the EGS customer is on a budget bill.  The ALJ recommended that Duquesne </w:t>
      </w:r>
      <w:r w:rsidRPr="00EE5722">
        <w:rPr>
          <w:color w:val="000000" w:themeColor="text1"/>
          <w:sz w:val="26"/>
          <w:szCs w:val="26"/>
        </w:rPr>
        <w:t>roll this revision into the impleme</w:t>
      </w:r>
      <w:r>
        <w:rPr>
          <w:color w:val="000000" w:themeColor="text1"/>
          <w:sz w:val="26"/>
          <w:szCs w:val="26"/>
        </w:rPr>
        <w:t>ntation of its new CIS system.</w:t>
      </w:r>
      <w:r w:rsidR="006F7309">
        <w:rPr>
          <w:color w:val="000000" w:themeColor="text1"/>
          <w:sz w:val="26"/>
          <w:szCs w:val="26"/>
        </w:rPr>
        <w:t xml:space="preserve">  </w:t>
      </w:r>
      <w:r w:rsidR="006F7309">
        <w:rPr>
          <w:i/>
          <w:color w:val="000000" w:themeColor="text1"/>
          <w:sz w:val="26"/>
          <w:szCs w:val="26"/>
        </w:rPr>
        <w:t>Id.</w:t>
      </w:r>
      <w:r w:rsidR="006F7309">
        <w:rPr>
          <w:color w:val="000000" w:themeColor="text1"/>
          <w:sz w:val="26"/>
          <w:szCs w:val="26"/>
        </w:rPr>
        <w:t xml:space="preserve"> at 213-214.</w:t>
      </w:r>
      <w:r w:rsidR="00343C2C">
        <w:rPr>
          <w:color w:val="000000" w:themeColor="text1"/>
          <w:sz w:val="26"/>
          <w:szCs w:val="26"/>
        </w:rPr>
        <w:t xml:space="preserve"> </w:t>
      </w:r>
    </w:p>
    <w:p w:rsidR="002D3E17" w:rsidRDefault="002D3E17" w:rsidP="002D3E17">
      <w:pPr>
        <w:pStyle w:val="PlainText"/>
        <w:spacing w:line="360" w:lineRule="auto"/>
        <w:ind w:firstLine="1440"/>
        <w:rPr>
          <w:rFonts w:ascii="Times New Roman" w:hAnsi="Times New Roman"/>
          <w:color w:val="000000" w:themeColor="text1"/>
          <w:sz w:val="26"/>
          <w:szCs w:val="26"/>
        </w:rPr>
      </w:pPr>
    </w:p>
    <w:p w:rsidR="002D3E17" w:rsidRPr="008A3B7D" w:rsidRDefault="002D3E17" w:rsidP="0053114A">
      <w:pPr>
        <w:pStyle w:val="Heading3"/>
      </w:pPr>
      <w:bookmarkStart w:id="253" w:name="_Toc346705493"/>
      <w:r>
        <w:t>3.</w:t>
      </w:r>
      <w:r>
        <w:tab/>
        <w:t>Exceptions</w:t>
      </w:r>
      <w:bookmarkEnd w:id="253"/>
    </w:p>
    <w:p w:rsidR="002D3E17" w:rsidRDefault="002D3E17" w:rsidP="002D3E17">
      <w:pPr>
        <w:pStyle w:val="BodyText2"/>
        <w:spacing w:after="0" w:line="360" w:lineRule="auto"/>
        <w:rPr>
          <w:sz w:val="26"/>
          <w:szCs w:val="26"/>
        </w:rPr>
      </w:pPr>
    </w:p>
    <w:p w:rsidR="002D3E17" w:rsidRDefault="002D3E17" w:rsidP="002D3E17">
      <w:pPr>
        <w:pStyle w:val="BodyText2"/>
        <w:spacing w:after="0" w:line="360" w:lineRule="auto"/>
        <w:ind w:firstLine="1440"/>
        <w:rPr>
          <w:sz w:val="26"/>
          <w:szCs w:val="26"/>
        </w:rPr>
      </w:pPr>
      <w:r w:rsidRPr="00EC2D25">
        <w:rPr>
          <w:sz w:val="26"/>
          <w:szCs w:val="26"/>
        </w:rPr>
        <w:t>In its Exceptions, Duquesne requests that the Commission clarify and amend the ALJ’s recommendation with regard to payments to EGSs for budget billing customers.</w:t>
      </w:r>
      <w:r>
        <w:rPr>
          <w:sz w:val="26"/>
          <w:szCs w:val="26"/>
        </w:rPr>
        <w:t xml:space="preserve">  Duquesne states that it disagrees</w:t>
      </w:r>
      <w:r w:rsidR="00343C2C">
        <w:rPr>
          <w:sz w:val="26"/>
          <w:szCs w:val="26"/>
        </w:rPr>
        <w:t xml:space="preserve"> with Constellation’s position, </w:t>
      </w:r>
      <w:r w:rsidRPr="00EC2D25">
        <w:rPr>
          <w:sz w:val="26"/>
          <w:szCs w:val="26"/>
        </w:rPr>
        <w:t>and ar</w:t>
      </w:r>
      <w:r>
        <w:rPr>
          <w:sz w:val="26"/>
          <w:szCs w:val="26"/>
        </w:rPr>
        <w:t xml:space="preserve">gues </w:t>
      </w:r>
      <w:r>
        <w:rPr>
          <w:sz w:val="26"/>
          <w:szCs w:val="26"/>
        </w:rPr>
        <w:lastRenderedPageBreak/>
        <w:t xml:space="preserve">that it </w:t>
      </w:r>
      <w:r w:rsidRPr="00EC2D25">
        <w:rPr>
          <w:sz w:val="26"/>
          <w:szCs w:val="26"/>
        </w:rPr>
        <w:t>should only be required to pay EGSs the budget bill amount for EGS customers that are on the budget b</w:t>
      </w:r>
      <w:r>
        <w:rPr>
          <w:sz w:val="26"/>
          <w:szCs w:val="26"/>
        </w:rPr>
        <w:t>illing program.  Duquesne Exc. at 7.</w:t>
      </w:r>
    </w:p>
    <w:p w:rsidR="002D3E17" w:rsidRPr="00EC2D25" w:rsidRDefault="002D3E17" w:rsidP="002D3E17">
      <w:pPr>
        <w:pStyle w:val="BodyText2"/>
        <w:spacing w:after="0" w:line="360" w:lineRule="auto"/>
        <w:ind w:firstLine="1440"/>
        <w:rPr>
          <w:sz w:val="26"/>
          <w:szCs w:val="26"/>
        </w:rPr>
      </w:pPr>
    </w:p>
    <w:p w:rsidR="002D3E17" w:rsidRPr="00FE08AB" w:rsidRDefault="002D3E17" w:rsidP="002D3E17">
      <w:pPr>
        <w:pStyle w:val="BodyText2"/>
        <w:spacing w:after="0" w:line="360" w:lineRule="auto"/>
        <w:ind w:firstLine="1440"/>
        <w:rPr>
          <w:sz w:val="26"/>
          <w:szCs w:val="26"/>
        </w:rPr>
      </w:pPr>
      <w:r w:rsidRPr="00EC2D25">
        <w:rPr>
          <w:sz w:val="26"/>
          <w:szCs w:val="26"/>
        </w:rPr>
        <w:t xml:space="preserve">Duquesne </w:t>
      </w:r>
      <w:r>
        <w:rPr>
          <w:sz w:val="26"/>
          <w:szCs w:val="26"/>
        </w:rPr>
        <w:t xml:space="preserve">explains that it </w:t>
      </w:r>
      <w:r w:rsidRPr="00EC2D25">
        <w:rPr>
          <w:sz w:val="26"/>
          <w:szCs w:val="26"/>
        </w:rPr>
        <w:t xml:space="preserve">is not excepting to the </w:t>
      </w:r>
      <w:r w:rsidR="00343C2C">
        <w:rPr>
          <w:sz w:val="26"/>
          <w:szCs w:val="26"/>
        </w:rPr>
        <w:t>part of the ALJ’s decision that</w:t>
      </w:r>
      <w:r w:rsidRPr="00EC2D25">
        <w:rPr>
          <w:sz w:val="26"/>
          <w:szCs w:val="26"/>
        </w:rPr>
        <w:t xml:space="preserve"> recommends that the Company pay EGSs actual monthly billed kWh am</w:t>
      </w:r>
      <w:r>
        <w:rPr>
          <w:sz w:val="26"/>
          <w:szCs w:val="26"/>
        </w:rPr>
        <w:t>ounts.  Duquesne does request</w:t>
      </w:r>
      <w:r w:rsidRPr="00EC2D25">
        <w:rPr>
          <w:sz w:val="26"/>
          <w:szCs w:val="26"/>
        </w:rPr>
        <w:t xml:space="preserve"> that the Commission clarify and/or modify the ALJ’s recommendation that the Company roll this revision into the implementation of its new</w:t>
      </w:r>
      <w:r>
        <w:rPr>
          <w:sz w:val="26"/>
          <w:szCs w:val="26"/>
        </w:rPr>
        <w:t xml:space="preserve"> CIS system.  According to Duquesne, t</w:t>
      </w:r>
      <w:r w:rsidRPr="00EC2D25">
        <w:rPr>
          <w:sz w:val="26"/>
          <w:szCs w:val="26"/>
        </w:rPr>
        <w:t>he functionalities included in the initial rol</w:t>
      </w:r>
      <w:r>
        <w:rPr>
          <w:sz w:val="26"/>
          <w:szCs w:val="26"/>
        </w:rPr>
        <w:t xml:space="preserve">l-out of the new CIS system </w:t>
      </w:r>
      <w:r w:rsidRPr="00EC2D25">
        <w:rPr>
          <w:sz w:val="26"/>
          <w:szCs w:val="26"/>
        </w:rPr>
        <w:t xml:space="preserve">already </w:t>
      </w:r>
      <w:r>
        <w:rPr>
          <w:sz w:val="26"/>
          <w:szCs w:val="26"/>
        </w:rPr>
        <w:t xml:space="preserve">are </w:t>
      </w:r>
      <w:r w:rsidRPr="00EC2D25">
        <w:rPr>
          <w:sz w:val="26"/>
          <w:szCs w:val="26"/>
        </w:rPr>
        <w:t xml:space="preserve">under design and development and do not include the ability to send EGSs payments for actual monthly billed kWh for customers that receive budget bills.  </w:t>
      </w:r>
      <w:r>
        <w:rPr>
          <w:sz w:val="26"/>
          <w:szCs w:val="26"/>
        </w:rPr>
        <w:t>Duquesne asserts that t</w:t>
      </w:r>
      <w:r w:rsidRPr="00EC2D25">
        <w:rPr>
          <w:sz w:val="26"/>
          <w:szCs w:val="26"/>
        </w:rPr>
        <w:t xml:space="preserve">his functionality cannot be implemented until a new design and development phase is implemented.  </w:t>
      </w:r>
      <w:r>
        <w:rPr>
          <w:sz w:val="26"/>
          <w:szCs w:val="26"/>
        </w:rPr>
        <w:t xml:space="preserve">According to Duquesne, </w:t>
      </w:r>
      <w:r w:rsidRPr="00EC2D25">
        <w:rPr>
          <w:sz w:val="26"/>
          <w:szCs w:val="26"/>
        </w:rPr>
        <w:t>it will take several months after the CIS system is operational to implement this new functiona</w:t>
      </w:r>
      <w:r>
        <w:rPr>
          <w:sz w:val="26"/>
          <w:szCs w:val="26"/>
        </w:rPr>
        <w:t xml:space="preserve">lity.  Duquesne asserts that it </w:t>
      </w:r>
      <w:r w:rsidRPr="00EC2D25">
        <w:rPr>
          <w:sz w:val="26"/>
          <w:szCs w:val="26"/>
        </w:rPr>
        <w:t>cannot reasonably implement this new functionality before January 2</w:t>
      </w:r>
      <w:r>
        <w:rPr>
          <w:sz w:val="26"/>
          <w:szCs w:val="26"/>
        </w:rPr>
        <w:t xml:space="preserve">014.  Therefore, Duquesne </w:t>
      </w:r>
      <w:r w:rsidRPr="00EC2D25">
        <w:rPr>
          <w:sz w:val="26"/>
          <w:szCs w:val="26"/>
        </w:rPr>
        <w:t>requests that the Commiss</w:t>
      </w:r>
      <w:r>
        <w:rPr>
          <w:sz w:val="26"/>
          <w:szCs w:val="26"/>
        </w:rPr>
        <w:t>ion clarify and/or modify the Recommended Decision</w:t>
      </w:r>
      <w:r w:rsidRPr="00EC2D25">
        <w:rPr>
          <w:sz w:val="26"/>
          <w:szCs w:val="26"/>
        </w:rPr>
        <w:t xml:space="preserve"> to allow D</w:t>
      </w:r>
      <w:r>
        <w:rPr>
          <w:sz w:val="26"/>
          <w:szCs w:val="26"/>
        </w:rPr>
        <w:t>uquesne</w:t>
      </w:r>
      <w:r w:rsidRPr="00EC2D25">
        <w:rPr>
          <w:sz w:val="26"/>
          <w:szCs w:val="26"/>
        </w:rPr>
        <w:t xml:space="preserve"> to continue paying EGSs budget bill amounts until January 2014, or as so</w:t>
      </w:r>
      <w:r>
        <w:rPr>
          <w:sz w:val="26"/>
          <w:szCs w:val="26"/>
        </w:rPr>
        <w:t xml:space="preserve">on thereafter as Duquesne </w:t>
      </w:r>
      <w:r w:rsidRPr="00EC2D25">
        <w:rPr>
          <w:sz w:val="26"/>
          <w:szCs w:val="26"/>
        </w:rPr>
        <w:t>is able to implement the necessary IT changes.</w:t>
      </w:r>
      <w:r w:rsidR="00FE08AB">
        <w:rPr>
          <w:sz w:val="26"/>
          <w:szCs w:val="26"/>
        </w:rPr>
        <w:t xml:space="preserve">  </w:t>
      </w:r>
      <w:r w:rsidR="00FE08AB">
        <w:rPr>
          <w:i/>
          <w:sz w:val="26"/>
          <w:szCs w:val="26"/>
        </w:rPr>
        <w:t xml:space="preserve">Id. </w:t>
      </w:r>
      <w:r w:rsidR="00FE08AB" w:rsidRPr="00FE08AB">
        <w:rPr>
          <w:sz w:val="26"/>
          <w:szCs w:val="26"/>
        </w:rPr>
        <w:t>at</w:t>
      </w:r>
      <w:r w:rsidRPr="00FE08AB">
        <w:rPr>
          <w:sz w:val="26"/>
          <w:szCs w:val="26"/>
        </w:rPr>
        <w:t xml:space="preserve"> </w:t>
      </w:r>
      <w:r w:rsidR="00FE08AB">
        <w:rPr>
          <w:sz w:val="26"/>
          <w:szCs w:val="26"/>
        </w:rPr>
        <w:t>7-8.</w:t>
      </w:r>
      <w:r w:rsidR="00674172" w:rsidRPr="00FE08AB">
        <w:rPr>
          <w:sz w:val="26"/>
          <w:szCs w:val="26"/>
        </w:rPr>
        <w:t xml:space="preserve"> </w:t>
      </w:r>
    </w:p>
    <w:p w:rsidR="00674172" w:rsidRDefault="00674172" w:rsidP="002D3E17">
      <w:pPr>
        <w:pStyle w:val="BodyText2"/>
        <w:spacing w:after="0" w:line="360" w:lineRule="auto"/>
        <w:ind w:firstLine="1440"/>
        <w:rPr>
          <w:sz w:val="26"/>
          <w:szCs w:val="26"/>
        </w:rPr>
      </w:pPr>
    </w:p>
    <w:p w:rsidR="00674172" w:rsidRDefault="00674172" w:rsidP="0053114A">
      <w:pPr>
        <w:pStyle w:val="Heading3"/>
      </w:pPr>
      <w:bookmarkStart w:id="254" w:name="_Toc346705494"/>
      <w:r w:rsidRPr="00674172">
        <w:t>4.</w:t>
      </w:r>
      <w:r w:rsidRPr="00674172">
        <w:tab/>
        <w:t>Reply Exceptions</w:t>
      </w:r>
      <w:bookmarkEnd w:id="254"/>
    </w:p>
    <w:p w:rsidR="00674172" w:rsidRDefault="00674172" w:rsidP="00674172">
      <w:pPr>
        <w:pStyle w:val="BodyText2"/>
        <w:spacing w:after="0" w:line="360" w:lineRule="auto"/>
        <w:ind w:firstLine="1440"/>
        <w:rPr>
          <w:sz w:val="26"/>
          <w:szCs w:val="26"/>
        </w:rPr>
      </w:pPr>
    </w:p>
    <w:p w:rsidR="00674172" w:rsidRPr="00674172" w:rsidRDefault="00674172" w:rsidP="00FE08AB">
      <w:pPr>
        <w:pStyle w:val="BodyText2"/>
        <w:spacing w:after="0" w:line="360" w:lineRule="auto"/>
        <w:ind w:firstLine="1440"/>
        <w:rPr>
          <w:sz w:val="26"/>
          <w:szCs w:val="26"/>
        </w:rPr>
      </w:pPr>
      <w:r>
        <w:rPr>
          <w:sz w:val="26"/>
          <w:szCs w:val="26"/>
        </w:rPr>
        <w:t xml:space="preserve">In its Reply Exceptions, Constellation argues that the Commission should require Duquesne to remit the actual dollars that EGSs charge to customers, rather than the budget billing charges that customers pay, and to include this functionality in Duquesne’s new CIS system.  Constellation explains that Duquesne does not take issue with remitting actual charges to EGSs rather than budget bill amounts, but </w:t>
      </w:r>
      <w:r w:rsidR="00452924">
        <w:rPr>
          <w:sz w:val="26"/>
          <w:szCs w:val="26"/>
        </w:rPr>
        <w:t xml:space="preserve">requests that the Commission modify the Recommended Decision to allow Duquesne to continue paying budget bill amounts to EGSs until January </w:t>
      </w:r>
      <w:r w:rsidR="00FE08AB">
        <w:rPr>
          <w:sz w:val="26"/>
          <w:szCs w:val="26"/>
        </w:rPr>
        <w:t>2014, or</w:t>
      </w:r>
      <w:r w:rsidR="00452924">
        <w:rPr>
          <w:sz w:val="26"/>
          <w:szCs w:val="26"/>
        </w:rPr>
        <w:t xml:space="preserve"> as soon thereafter as Duquesne is able to implement the necessary IT changes.  Constellation argues that </w:t>
      </w:r>
      <w:r w:rsidR="00452924">
        <w:rPr>
          <w:sz w:val="26"/>
          <w:szCs w:val="26"/>
        </w:rPr>
        <w:lastRenderedPageBreak/>
        <w:t>Duquesne did not present any evidence why it could not redesign its CIS to include the budget billing change so that it is included when the CIS is rolled out in the second quarter of 2013.  In the alternative, Constellation requests that the Commission direct Duquesne to implement the budget billing change no later than six months after the initial roll out of its new CIS.</w:t>
      </w:r>
      <w:r w:rsidR="00FE08AB">
        <w:rPr>
          <w:sz w:val="26"/>
          <w:szCs w:val="26"/>
        </w:rPr>
        <w:t xml:space="preserve">  Constellation R.Exc. at 2-3.  </w:t>
      </w:r>
    </w:p>
    <w:p w:rsidR="002D3E17" w:rsidRDefault="002D3E17" w:rsidP="00FE08AB">
      <w:pPr>
        <w:pStyle w:val="BodyText2"/>
        <w:spacing w:after="0" w:line="360" w:lineRule="auto"/>
        <w:ind w:firstLine="1440"/>
        <w:rPr>
          <w:sz w:val="26"/>
          <w:szCs w:val="26"/>
        </w:rPr>
      </w:pPr>
    </w:p>
    <w:p w:rsidR="002D3E17" w:rsidRDefault="002D3E17" w:rsidP="0053114A">
      <w:pPr>
        <w:pStyle w:val="Heading3"/>
      </w:pPr>
      <w:bookmarkStart w:id="255" w:name="_Toc346705495"/>
      <w:r>
        <w:t>5.</w:t>
      </w:r>
      <w:r>
        <w:tab/>
        <w:t>Disposition</w:t>
      </w:r>
      <w:bookmarkEnd w:id="255"/>
      <w:r w:rsidRPr="00EC2D25">
        <w:t xml:space="preserve"> </w:t>
      </w:r>
    </w:p>
    <w:p w:rsidR="002D3E17" w:rsidRPr="00060F8E" w:rsidRDefault="002D3E17" w:rsidP="007B4B36">
      <w:pPr>
        <w:pStyle w:val="BodyText2"/>
        <w:keepNext/>
        <w:spacing w:after="0" w:line="360" w:lineRule="auto"/>
        <w:rPr>
          <w:sz w:val="26"/>
          <w:szCs w:val="26"/>
        </w:rPr>
      </w:pPr>
    </w:p>
    <w:p w:rsidR="00926BDC" w:rsidRDefault="002D3E17" w:rsidP="00E2363B">
      <w:pPr>
        <w:spacing w:line="360" w:lineRule="auto"/>
        <w:ind w:firstLine="1440"/>
        <w:rPr>
          <w:sz w:val="26"/>
          <w:szCs w:val="26"/>
        </w:rPr>
      </w:pPr>
      <w:r w:rsidRPr="00E2363B">
        <w:rPr>
          <w:sz w:val="26"/>
          <w:szCs w:val="26"/>
        </w:rPr>
        <w:t>Based upon our review of the evidence of record, we are persuaded by the position of Duquesne that the ALJ’s recommendation</w:t>
      </w:r>
      <w:r w:rsidR="00614864" w:rsidRPr="00E2363B">
        <w:rPr>
          <w:sz w:val="26"/>
          <w:szCs w:val="26"/>
        </w:rPr>
        <w:t>,</w:t>
      </w:r>
      <w:r w:rsidRPr="00E2363B">
        <w:rPr>
          <w:sz w:val="26"/>
          <w:szCs w:val="26"/>
        </w:rPr>
        <w:t xml:space="preserve"> that its revised budget billing revenue remittance protocols be rolled into the implementation of the Company’s new CIS system</w:t>
      </w:r>
      <w:r w:rsidR="002A5D27" w:rsidRPr="00E2363B">
        <w:rPr>
          <w:sz w:val="26"/>
          <w:szCs w:val="26"/>
        </w:rPr>
        <w:t>, should</w:t>
      </w:r>
      <w:r w:rsidRPr="00E2363B">
        <w:rPr>
          <w:sz w:val="26"/>
          <w:szCs w:val="26"/>
        </w:rPr>
        <w:t xml:space="preserve"> be modified.  According to Duquesne, it will take several months after the CIS system is operational to implement the ALJ’s recomm</w:t>
      </w:r>
      <w:r w:rsidR="002A5D27" w:rsidRPr="00E2363B">
        <w:rPr>
          <w:sz w:val="26"/>
          <w:szCs w:val="26"/>
        </w:rPr>
        <w:t>endation.  Therefore, we agree</w:t>
      </w:r>
      <w:r w:rsidRPr="00E2363B">
        <w:rPr>
          <w:sz w:val="26"/>
          <w:szCs w:val="26"/>
        </w:rPr>
        <w:t xml:space="preserve"> with Duquesne that it be permitted to continue paying EGSs the budget bill amounts until January 2014, or as soon thereafter as Duquesne is able to implement the necessary IT changes.  Accordingly, we shall modify the ALJ’s recommendation and grant the Exception of Duquesne on this issue.</w:t>
      </w:r>
      <w:r w:rsidR="00E2363B">
        <w:rPr>
          <w:sz w:val="26"/>
          <w:szCs w:val="26"/>
        </w:rPr>
        <w:t xml:space="preserve">  </w:t>
      </w:r>
    </w:p>
    <w:p w:rsidR="00926BDC" w:rsidRDefault="00926BDC" w:rsidP="00E2363B">
      <w:pPr>
        <w:spacing w:line="360" w:lineRule="auto"/>
        <w:ind w:firstLine="1440"/>
        <w:rPr>
          <w:sz w:val="26"/>
          <w:szCs w:val="26"/>
        </w:rPr>
      </w:pPr>
    </w:p>
    <w:p w:rsidR="006D07BB" w:rsidRPr="00E2363B" w:rsidRDefault="008B4521" w:rsidP="00E2363B">
      <w:pPr>
        <w:spacing w:line="360" w:lineRule="auto"/>
        <w:ind w:firstLine="1440"/>
        <w:rPr>
          <w:sz w:val="26"/>
          <w:szCs w:val="26"/>
        </w:rPr>
      </w:pPr>
      <w:r w:rsidRPr="00E2363B">
        <w:rPr>
          <w:sz w:val="26"/>
          <w:szCs w:val="26"/>
        </w:rPr>
        <w:t xml:space="preserve">In regard to Issue Nos. 2 and 3 within Constellation’s requested revisions related to EGS coordination issues, we believe that some clarifications are required.  We note that Duquesne does not presently offer the sharing of Historical Interval Usage (HIU) data via EDI.  However, in Smart Meter Procurement and Installation, Docket No. M-2009-2092655 (Order entered December 6, 2012), we directed EDCs that do not currently share customer HIU data via EDI to implement such functionality within one year.  Also, we note that Duquesne does not presently indicate if an account is net-metered via EDI.  However, in Standards for Electronic Data Transfer and Exchange Between Electric Distribution Companies And Electric Generation Suppliers, Docket No. M-00960890F0015 (Order entered May 10, 2012), we approved EDI Change Control #085 which was formulated by EDEWG to provide a net-meter indicator via EDI.  In this </w:t>
      </w:r>
      <w:r w:rsidRPr="00E2363B">
        <w:rPr>
          <w:sz w:val="26"/>
          <w:szCs w:val="26"/>
        </w:rPr>
        <w:lastRenderedPageBreak/>
        <w:t>latter Order we stated that EDCs must implement EDI Change Control #085 within one year unless the EDC has existing plans to implement a new billing/customer information system, in which case the EDC may implement EDI Change Control #085 at a later time.  It is important to note that as Duquesne falls into the later time category, it is tentatively planning to implement EDI Change Control #085 in the first quarter of 2014.</w:t>
      </w:r>
      <w:bookmarkStart w:id="256" w:name="_Toc346705496"/>
    </w:p>
    <w:p w:rsidR="006D07BB" w:rsidRPr="006D07BB" w:rsidRDefault="006D07BB" w:rsidP="006D07BB">
      <w:pPr>
        <w:pStyle w:val="BodyText2"/>
        <w:spacing w:after="0"/>
        <w:rPr>
          <w:lang w:val="en-US" w:eastAsia="en-US"/>
        </w:rPr>
      </w:pPr>
    </w:p>
    <w:p w:rsidR="002D3E17" w:rsidRPr="00EE5722" w:rsidRDefault="00F7788E" w:rsidP="006D07BB">
      <w:pPr>
        <w:pStyle w:val="Heading2"/>
        <w:numPr>
          <w:ilvl w:val="0"/>
          <w:numId w:val="0"/>
        </w:numPr>
        <w:spacing w:after="0" w:line="360" w:lineRule="auto"/>
        <w:ind w:firstLine="720"/>
        <w:jc w:val="left"/>
      </w:pPr>
      <w:r>
        <w:t>I</w:t>
      </w:r>
      <w:r w:rsidR="002D3E17" w:rsidRPr="00EE5722">
        <w:t>.</w:t>
      </w:r>
      <w:r w:rsidR="002D3E17" w:rsidRPr="00EE5722">
        <w:tab/>
        <w:t>General Miscellaneous Issues</w:t>
      </w:r>
      <w:bookmarkEnd w:id="256"/>
    </w:p>
    <w:p w:rsidR="002D3E17" w:rsidRPr="00EE5722" w:rsidRDefault="002D3E17" w:rsidP="006D07BB">
      <w:pPr>
        <w:pStyle w:val="BriefL3"/>
        <w:numPr>
          <w:ilvl w:val="0"/>
          <w:numId w:val="0"/>
        </w:numPr>
        <w:spacing w:after="0" w:line="360" w:lineRule="auto"/>
        <w:ind w:left="720" w:firstLine="720"/>
        <w:rPr>
          <w:b/>
          <w:sz w:val="26"/>
          <w:szCs w:val="26"/>
        </w:rPr>
      </w:pPr>
    </w:p>
    <w:p w:rsidR="002D3E17" w:rsidRDefault="002D3E17" w:rsidP="006D07BB">
      <w:pPr>
        <w:pStyle w:val="Heading3"/>
      </w:pPr>
      <w:bookmarkStart w:id="257" w:name="_Toc346705497"/>
      <w:r>
        <w:t>1.</w:t>
      </w:r>
      <w:r>
        <w:tab/>
        <w:t>Duquesne</w:t>
      </w:r>
      <w:r w:rsidRPr="00EE5722">
        <w:t>’s Proposal</w:t>
      </w:r>
      <w:bookmarkEnd w:id="257"/>
    </w:p>
    <w:p w:rsidR="008A2931" w:rsidRPr="00EE5722" w:rsidRDefault="008A2931" w:rsidP="006D07BB">
      <w:pPr>
        <w:pStyle w:val="BriefL3"/>
        <w:numPr>
          <w:ilvl w:val="0"/>
          <w:numId w:val="0"/>
        </w:numPr>
        <w:spacing w:after="0" w:line="360" w:lineRule="auto"/>
        <w:ind w:left="1440"/>
        <w:rPr>
          <w:b/>
          <w:sz w:val="26"/>
          <w:szCs w:val="26"/>
        </w:rPr>
      </w:pPr>
    </w:p>
    <w:p w:rsidR="002D3E17" w:rsidRPr="008F2D4F" w:rsidRDefault="002D3E17" w:rsidP="002D3E17">
      <w:pPr>
        <w:pStyle w:val="BodyText2"/>
        <w:spacing w:after="0" w:line="360" w:lineRule="auto"/>
        <w:rPr>
          <w:sz w:val="26"/>
          <w:szCs w:val="26"/>
        </w:rPr>
      </w:pPr>
      <w:r w:rsidRPr="00EE5722">
        <w:rPr>
          <w:sz w:val="26"/>
          <w:szCs w:val="26"/>
        </w:rPr>
        <w:tab/>
      </w:r>
      <w:r w:rsidRPr="00EE5722">
        <w:rPr>
          <w:sz w:val="26"/>
          <w:szCs w:val="26"/>
        </w:rPr>
        <w:tab/>
      </w:r>
      <w:r>
        <w:rPr>
          <w:sz w:val="26"/>
          <w:szCs w:val="26"/>
        </w:rPr>
        <w:t xml:space="preserve">Duquesne </w:t>
      </w:r>
      <w:r w:rsidRPr="00EE5722">
        <w:rPr>
          <w:sz w:val="26"/>
          <w:szCs w:val="26"/>
        </w:rPr>
        <w:t>propos</w:t>
      </w:r>
      <w:r>
        <w:rPr>
          <w:sz w:val="26"/>
          <w:szCs w:val="26"/>
        </w:rPr>
        <w:t>ed</w:t>
      </w:r>
      <w:r w:rsidRPr="00EE5722">
        <w:rPr>
          <w:sz w:val="26"/>
          <w:szCs w:val="26"/>
        </w:rPr>
        <w:t xml:space="preserve"> to change rates on an annual basis for </w:t>
      </w:r>
      <w:r w:rsidR="008A2931">
        <w:rPr>
          <w:sz w:val="26"/>
          <w:szCs w:val="26"/>
        </w:rPr>
        <w:t>r</w:t>
      </w:r>
      <w:r w:rsidRPr="00EE5722">
        <w:rPr>
          <w:sz w:val="26"/>
          <w:szCs w:val="26"/>
        </w:rPr>
        <w:t>esidential customers and to change rates every six months for Small C&amp;I and Medium C&amp;I customers.  Duquesn</w:t>
      </w:r>
      <w:r>
        <w:rPr>
          <w:sz w:val="26"/>
          <w:szCs w:val="26"/>
        </w:rPr>
        <w:t xml:space="preserve">e </w:t>
      </w:r>
      <w:r w:rsidRPr="00EE5722">
        <w:rPr>
          <w:sz w:val="26"/>
          <w:szCs w:val="26"/>
        </w:rPr>
        <w:t xml:space="preserve">notes </w:t>
      </w:r>
      <w:r>
        <w:rPr>
          <w:sz w:val="26"/>
          <w:szCs w:val="26"/>
        </w:rPr>
        <w:t xml:space="preserve">that </w:t>
      </w:r>
      <w:r w:rsidR="00367476">
        <w:rPr>
          <w:sz w:val="26"/>
          <w:szCs w:val="26"/>
        </w:rPr>
        <w:t>the Commission’s R</w:t>
      </w:r>
      <w:r w:rsidRPr="00EE5722">
        <w:rPr>
          <w:sz w:val="26"/>
          <w:szCs w:val="26"/>
        </w:rPr>
        <w:t>egulation at 52 Pa. Code §</w:t>
      </w:r>
      <w:r w:rsidR="00367476">
        <w:rPr>
          <w:sz w:val="26"/>
          <w:szCs w:val="26"/>
        </w:rPr>
        <w:t xml:space="preserve"> </w:t>
      </w:r>
      <w:r w:rsidRPr="00EE5722">
        <w:rPr>
          <w:sz w:val="26"/>
          <w:szCs w:val="26"/>
        </w:rPr>
        <w:t xml:space="preserve">54.187 requires quarterly or more frequent changes for customers up to 500 kW.  However, </w:t>
      </w:r>
      <w:r>
        <w:rPr>
          <w:sz w:val="26"/>
          <w:szCs w:val="26"/>
        </w:rPr>
        <w:t xml:space="preserve">Duquesne states that </w:t>
      </w:r>
      <w:r w:rsidRPr="00EE5722">
        <w:rPr>
          <w:sz w:val="26"/>
          <w:szCs w:val="26"/>
        </w:rPr>
        <w:t>this regulation was adopted prior to t</w:t>
      </w:r>
      <w:r>
        <w:rPr>
          <w:sz w:val="26"/>
          <w:szCs w:val="26"/>
        </w:rPr>
        <w:t>he passage of Act 129</w:t>
      </w:r>
      <w:r w:rsidR="00367476">
        <w:rPr>
          <w:sz w:val="26"/>
          <w:szCs w:val="26"/>
        </w:rPr>
        <w:t>,</w:t>
      </w:r>
      <w:r>
        <w:rPr>
          <w:sz w:val="26"/>
          <w:szCs w:val="26"/>
        </w:rPr>
        <w:t xml:space="preserve"> which </w:t>
      </w:r>
      <w:r w:rsidRPr="00EE5722">
        <w:rPr>
          <w:sz w:val="26"/>
          <w:szCs w:val="26"/>
        </w:rPr>
        <w:t>requires default service providers to</w:t>
      </w:r>
      <w:r w:rsidR="00367476">
        <w:rPr>
          <w:sz w:val="26"/>
          <w:szCs w:val="26"/>
        </w:rPr>
        <w:t xml:space="preserve"> offer </w:t>
      </w:r>
      <w:r w:rsidR="00FE08AB">
        <w:rPr>
          <w:sz w:val="26"/>
          <w:szCs w:val="26"/>
        </w:rPr>
        <w:t>r</w:t>
      </w:r>
      <w:r w:rsidR="00367476">
        <w:rPr>
          <w:sz w:val="26"/>
          <w:szCs w:val="26"/>
        </w:rPr>
        <w:t xml:space="preserve">esidential and </w:t>
      </w:r>
      <w:r w:rsidR="00FE08AB">
        <w:rPr>
          <w:sz w:val="26"/>
          <w:szCs w:val="26"/>
        </w:rPr>
        <w:t>s</w:t>
      </w:r>
      <w:r w:rsidRPr="00EE5722">
        <w:rPr>
          <w:sz w:val="26"/>
          <w:szCs w:val="26"/>
        </w:rPr>
        <w:t>mall business customers a default service rate that changes no more frequently than quarterly.  66 Pa. C.S. § 2807(e)</w:t>
      </w:r>
      <w:r>
        <w:rPr>
          <w:sz w:val="26"/>
          <w:szCs w:val="26"/>
        </w:rPr>
        <w:t xml:space="preserve">(7).  Therefore, Duquesne </w:t>
      </w:r>
      <w:r w:rsidRPr="00EE5722">
        <w:rPr>
          <w:sz w:val="26"/>
          <w:szCs w:val="26"/>
        </w:rPr>
        <w:t xml:space="preserve">believes that its proposal for changes in rates on an </w:t>
      </w:r>
      <w:r w:rsidR="00FE08AB">
        <w:rPr>
          <w:sz w:val="26"/>
          <w:szCs w:val="26"/>
        </w:rPr>
        <w:t>annual basis for r</w:t>
      </w:r>
      <w:r w:rsidRPr="00EE5722">
        <w:rPr>
          <w:sz w:val="26"/>
          <w:szCs w:val="26"/>
        </w:rPr>
        <w:t>esidential customers and on a semi-annual basis for Small C&amp;I and Medium C&amp;I cu</w:t>
      </w:r>
      <w:r>
        <w:rPr>
          <w:sz w:val="26"/>
          <w:szCs w:val="26"/>
        </w:rPr>
        <w:t>stomers complies with Act 129.</w:t>
      </w:r>
    </w:p>
    <w:p w:rsidR="002D3E17" w:rsidRPr="00EE5722" w:rsidRDefault="002D3E17" w:rsidP="002D3E17">
      <w:pPr>
        <w:pStyle w:val="BodyText2"/>
        <w:spacing w:after="0" w:line="360" w:lineRule="auto"/>
        <w:rPr>
          <w:sz w:val="26"/>
          <w:szCs w:val="26"/>
        </w:rPr>
      </w:pPr>
    </w:p>
    <w:p w:rsidR="002D3E17" w:rsidRPr="00EE5722" w:rsidRDefault="002D3E17" w:rsidP="002D3E17">
      <w:pPr>
        <w:pStyle w:val="BodyText2"/>
        <w:spacing w:after="0" w:line="360" w:lineRule="auto"/>
        <w:rPr>
          <w:sz w:val="26"/>
          <w:szCs w:val="26"/>
        </w:rPr>
      </w:pPr>
      <w:r w:rsidRPr="00EE5722">
        <w:rPr>
          <w:sz w:val="26"/>
          <w:szCs w:val="26"/>
        </w:rPr>
        <w:tab/>
      </w:r>
      <w:r w:rsidRPr="00EE5722">
        <w:rPr>
          <w:sz w:val="26"/>
          <w:szCs w:val="26"/>
        </w:rPr>
        <w:tab/>
      </w:r>
      <w:r>
        <w:rPr>
          <w:sz w:val="26"/>
          <w:szCs w:val="26"/>
        </w:rPr>
        <w:t xml:space="preserve">Duquesne </w:t>
      </w:r>
      <w:r w:rsidRPr="00EE5722">
        <w:rPr>
          <w:sz w:val="26"/>
          <w:szCs w:val="26"/>
        </w:rPr>
        <w:t xml:space="preserve">requests </w:t>
      </w:r>
      <w:r>
        <w:rPr>
          <w:sz w:val="26"/>
          <w:szCs w:val="26"/>
        </w:rPr>
        <w:t xml:space="preserve">that </w:t>
      </w:r>
      <w:r w:rsidRPr="00EE5722">
        <w:rPr>
          <w:sz w:val="26"/>
          <w:szCs w:val="26"/>
        </w:rPr>
        <w:t>the Commission grant a waiver of 52 Pa. Code §</w:t>
      </w:r>
      <w:r w:rsidR="00367476">
        <w:rPr>
          <w:sz w:val="26"/>
          <w:szCs w:val="26"/>
        </w:rPr>
        <w:t> </w:t>
      </w:r>
      <w:r w:rsidRPr="00EE5722">
        <w:rPr>
          <w:sz w:val="26"/>
          <w:szCs w:val="26"/>
        </w:rPr>
        <w:t>54.187 in order to allow annual rate changes</w:t>
      </w:r>
      <w:r w:rsidR="00FE08AB">
        <w:rPr>
          <w:sz w:val="26"/>
          <w:szCs w:val="26"/>
        </w:rPr>
        <w:t xml:space="preserve"> for r</w:t>
      </w:r>
      <w:r>
        <w:rPr>
          <w:sz w:val="26"/>
          <w:szCs w:val="26"/>
        </w:rPr>
        <w:t>esidential customers and six</w:t>
      </w:r>
      <w:r w:rsidRPr="00EE5722">
        <w:rPr>
          <w:sz w:val="26"/>
          <w:szCs w:val="26"/>
        </w:rPr>
        <w:t xml:space="preserve">-month rate changes for Small C&amp;I and Medium C&amp;I customers to the extent deemed necessary by the </w:t>
      </w:r>
      <w:r>
        <w:rPr>
          <w:sz w:val="26"/>
          <w:szCs w:val="26"/>
        </w:rPr>
        <w:t xml:space="preserve">Commission.  Duquesne </w:t>
      </w:r>
      <w:r w:rsidRPr="00EE5722">
        <w:rPr>
          <w:sz w:val="26"/>
          <w:szCs w:val="26"/>
        </w:rPr>
        <w:t>requests additional waivers, if necessary, of the Commission’s Orders or Regulations to allow Duque</w:t>
      </w:r>
      <w:r>
        <w:rPr>
          <w:sz w:val="26"/>
          <w:szCs w:val="26"/>
        </w:rPr>
        <w:t xml:space="preserve">sne </w:t>
      </w:r>
      <w:r w:rsidRPr="00EE5722">
        <w:rPr>
          <w:sz w:val="26"/>
          <w:szCs w:val="26"/>
        </w:rPr>
        <w:t>to implement its Default Service Plan as described in the Petition and in t</w:t>
      </w:r>
      <w:r>
        <w:rPr>
          <w:sz w:val="26"/>
          <w:szCs w:val="26"/>
        </w:rPr>
        <w:t xml:space="preserve">he Testimony and Exhibits.  </w:t>
      </w:r>
    </w:p>
    <w:p w:rsidR="002D3E17" w:rsidRPr="00EE5722" w:rsidRDefault="002D3E17" w:rsidP="002D3E17">
      <w:pPr>
        <w:pStyle w:val="BodyText"/>
        <w:spacing w:after="0" w:line="360" w:lineRule="auto"/>
        <w:ind w:left="0" w:firstLine="0"/>
        <w:rPr>
          <w:sz w:val="26"/>
          <w:szCs w:val="26"/>
        </w:rPr>
      </w:pPr>
    </w:p>
    <w:p w:rsidR="002D3E17" w:rsidRPr="00EE5722" w:rsidRDefault="002D3E17" w:rsidP="00E2363B">
      <w:pPr>
        <w:pStyle w:val="Heading3"/>
      </w:pPr>
      <w:bookmarkStart w:id="258" w:name="_Toc346705498"/>
      <w:r w:rsidRPr="00EE5722">
        <w:lastRenderedPageBreak/>
        <w:t>2.</w:t>
      </w:r>
      <w:r w:rsidRPr="00EE5722">
        <w:tab/>
      </w:r>
      <w:r>
        <w:t>Positions of the Parties</w:t>
      </w:r>
      <w:bookmarkEnd w:id="258"/>
    </w:p>
    <w:p w:rsidR="002D3E17" w:rsidRPr="00EE5722" w:rsidRDefault="002D3E17" w:rsidP="00E2363B">
      <w:pPr>
        <w:pStyle w:val="BodyText"/>
        <w:keepNext/>
        <w:spacing w:after="0" w:line="360" w:lineRule="auto"/>
        <w:ind w:left="0" w:firstLine="0"/>
        <w:rPr>
          <w:sz w:val="26"/>
          <w:szCs w:val="26"/>
        </w:rPr>
      </w:pPr>
    </w:p>
    <w:p w:rsidR="002D3E17" w:rsidRPr="00B50EDB" w:rsidRDefault="00367476" w:rsidP="002D3E17">
      <w:pPr>
        <w:pStyle w:val="BodyText2"/>
        <w:spacing w:after="0" w:line="360" w:lineRule="auto"/>
        <w:ind w:firstLine="1440"/>
        <w:rPr>
          <w:sz w:val="26"/>
          <w:szCs w:val="26"/>
        </w:rPr>
      </w:pPr>
      <w:r>
        <w:rPr>
          <w:sz w:val="26"/>
          <w:szCs w:val="26"/>
        </w:rPr>
        <w:t>No Party commented on Duquesne</w:t>
      </w:r>
      <w:r w:rsidRPr="00EE5722">
        <w:rPr>
          <w:sz w:val="26"/>
          <w:szCs w:val="26"/>
        </w:rPr>
        <w:t>’s request for waivers in t</w:t>
      </w:r>
      <w:r>
        <w:rPr>
          <w:sz w:val="26"/>
          <w:szCs w:val="26"/>
        </w:rPr>
        <w:t xml:space="preserve">his proceeding.  Duquesne </w:t>
      </w:r>
      <w:r w:rsidRPr="00EE5722">
        <w:rPr>
          <w:sz w:val="26"/>
          <w:szCs w:val="26"/>
        </w:rPr>
        <w:t>requests that the Commission grant the Company’s requested waivers to the extent necessary.</w:t>
      </w:r>
    </w:p>
    <w:p w:rsidR="002D3E17" w:rsidRPr="00EE5722" w:rsidRDefault="002D3E17" w:rsidP="002D3E17">
      <w:pPr>
        <w:pStyle w:val="BodyText"/>
        <w:spacing w:after="0" w:line="360" w:lineRule="auto"/>
        <w:ind w:left="0" w:firstLine="0"/>
        <w:rPr>
          <w:sz w:val="26"/>
          <w:szCs w:val="26"/>
        </w:rPr>
      </w:pPr>
    </w:p>
    <w:p w:rsidR="002D3E17" w:rsidRPr="00EE5722" w:rsidRDefault="002D3E17" w:rsidP="0053114A">
      <w:pPr>
        <w:pStyle w:val="Heading3"/>
        <w:rPr>
          <w:color w:val="000000" w:themeColor="text1"/>
        </w:rPr>
      </w:pPr>
      <w:bookmarkStart w:id="259" w:name="_Toc346705499"/>
      <w:r>
        <w:t>3.</w:t>
      </w:r>
      <w:r>
        <w:tab/>
        <w:t>ALJ’s Recommendation</w:t>
      </w:r>
      <w:bookmarkEnd w:id="259"/>
    </w:p>
    <w:p w:rsidR="002D3E17" w:rsidRPr="00EE5722" w:rsidRDefault="002D3E17" w:rsidP="002D3E17">
      <w:pPr>
        <w:spacing w:line="360" w:lineRule="auto"/>
        <w:rPr>
          <w:color w:val="000000" w:themeColor="text1"/>
          <w:sz w:val="26"/>
          <w:szCs w:val="26"/>
        </w:rPr>
      </w:pPr>
    </w:p>
    <w:p w:rsidR="002D3E17" w:rsidRDefault="002D3E17" w:rsidP="002D3E17">
      <w:pPr>
        <w:pStyle w:val="BodyText2"/>
        <w:spacing w:after="0" w:line="360" w:lineRule="auto"/>
        <w:rPr>
          <w:color w:val="000000" w:themeColor="text1"/>
          <w:sz w:val="26"/>
          <w:szCs w:val="26"/>
        </w:rPr>
      </w:pPr>
      <w:r w:rsidRPr="00EE5722">
        <w:rPr>
          <w:color w:val="000000" w:themeColor="text1"/>
          <w:sz w:val="26"/>
          <w:szCs w:val="26"/>
        </w:rPr>
        <w:tab/>
      </w:r>
      <w:r w:rsidRPr="00EE5722">
        <w:rPr>
          <w:color w:val="000000" w:themeColor="text1"/>
          <w:sz w:val="26"/>
          <w:szCs w:val="26"/>
        </w:rPr>
        <w:tab/>
      </w:r>
      <w:r>
        <w:rPr>
          <w:color w:val="000000" w:themeColor="text1"/>
          <w:sz w:val="26"/>
          <w:szCs w:val="26"/>
        </w:rPr>
        <w:t>The ALJ</w:t>
      </w:r>
      <w:r w:rsidRPr="00EE5722">
        <w:rPr>
          <w:color w:val="000000" w:themeColor="text1"/>
          <w:sz w:val="26"/>
          <w:szCs w:val="26"/>
        </w:rPr>
        <w:t xml:space="preserve"> recommend</w:t>
      </w:r>
      <w:r>
        <w:rPr>
          <w:color w:val="000000" w:themeColor="text1"/>
          <w:sz w:val="26"/>
          <w:szCs w:val="26"/>
        </w:rPr>
        <w:t>ed</w:t>
      </w:r>
      <w:r w:rsidRPr="00EE5722">
        <w:rPr>
          <w:color w:val="000000" w:themeColor="text1"/>
          <w:sz w:val="26"/>
          <w:szCs w:val="26"/>
        </w:rPr>
        <w:t xml:space="preserve"> approving D</w:t>
      </w:r>
      <w:r>
        <w:rPr>
          <w:color w:val="000000" w:themeColor="text1"/>
          <w:sz w:val="26"/>
          <w:szCs w:val="26"/>
        </w:rPr>
        <w:t>uquesne</w:t>
      </w:r>
      <w:r w:rsidRPr="00EE5722">
        <w:rPr>
          <w:color w:val="000000" w:themeColor="text1"/>
          <w:sz w:val="26"/>
          <w:szCs w:val="26"/>
        </w:rPr>
        <w:t>’s request for a waiver from the requirements of 52 Pa. Code §</w:t>
      </w:r>
      <w:r w:rsidR="00367476">
        <w:rPr>
          <w:color w:val="000000" w:themeColor="text1"/>
          <w:sz w:val="26"/>
          <w:szCs w:val="26"/>
        </w:rPr>
        <w:t xml:space="preserve"> </w:t>
      </w:r>
      <w:r w:rsidRPr="00EE5722">
        <w:rPr>
          <w:color w:val="000000" w:themeColor="text1"/>
          <w:sz w:val="26"/>
          <w:szCs w:val="26"/>
        </w:rPr>
        <w:t xml:space="preserve">54.187 in order to allow annual rate changes for </w:t>
      </w:r>
      <w:r w:rsidR="00FE08AB">
        <w:rPr>
          <w:color w:val="000000" w:themeColor="text1"/>
          <w:sz w:val="26"/>
          <w:szCs w:val="26"/>
        </w:rPr>
        <w:t>r</w:t>
      </w:r>
      <w:r>
        <w:rPr>
          <w:color w:val="000000" w:themeColor="text1"/>
          <w:sz w:val="26"/>
          <w:szCs w:val="26"/>
        </w:rPr>
        <w:t>esidential customers and six</w:t>
      </w:r>
      <w:r w:rsidRPr="00EE5722">
        <w:rPr>
          <w:color w:val="000000" w:themeColor="text1"/>
          <w:sz w:val="26"/>
          <w:szCs w:val="26"/>
        </w:rPr>
        <w:t xml:space="preserve">-month rate changes for Small C&amp;I and Medium C&amp;I customers to the extent deemed necessary by the Commission.  </w:t>
      </w:r>
      <w:r>
        <w:rPr>
          <w:color w:val="000000" w:themeColor="text1"/>
          <w:sz w:val="26"/>
          <w:szCs w:val="26"/>
        </w:rPr>
        <w:t>The ALJ</w:t>
      </w:r>
      <w:r w:rsidRPr="00EE5722">
        <w:rPr>
          <w:color w:val="000000" w:themeColor="text1"/>
          <w:sz w:val="26"/>
          <w:szCs w:val="26"/>
        </w:rPr>
        <w:t xml:space="preserve"> agree</w:t>
      </w:r>
      <w:r>
        <w:rPr>
          <w:color w:val="000000" w:themeColor="text1"/>
          <w:sz w:val="26"/>
          <w:szCs w:val="26"/>
        </w:rPr>
        <w:t>d</w:t>
      </w:r>
      <w:r w:rsidRPr="00EE5722">
        <w:rPr>
          <w:color w:val="000000" w:themeColor="text1"/>
          <w:sz w:val="26"/>
          <w:szCs w:val="26"/>
        </w:rPr>
        <w:t xml:space="preserve"> that this request for a waiver is consistent with prior Commission action and complies with Act 129.  </w:t>
      </w:r>
      <w:r>
        <w:rPr>
          <w:color w:val="000000" w:themeColor="text1"/>
          <w:sz w:val="26"/>
          <w:szCs w:val="26"/>
        </w:rPr>
        <w:t>The ALJ noted that no P</w:t>
      </w:r>
      <w:r w:rsidRPr="00EE5722">
        <w:rPr>
          <w:color w:val="000000" w:themeColor="text1"/>
          <w:sz w:val="26"/>
          <w:szCs w:val="26"/>
        </w:rPr>
        <w:t>arty objected to this request</w:t>
      </w:r>
      <w:r w:rsidR="00367476">
        <w:rPr>
          <w:color w:val="000000" w:themeColor="text1"/>
          <w:sz w:val="26"/>
          <w:szCs w:val="26"/>
        </w:rPr>
        <w:t xml:space="preserve"> and </w:t>
      </w:r>
      <w:r w:rsidRPr="00EE5722">
        <w:rPr>
          <w:color w:val="000000" w:themeColor="text1"/>
          <w:sz w:val="26"/>
          <w:szCs w:val="26"/>
        </w:rPr>
        <w:t>agree</w:t>
      </w:r>
      <w:r>
        <w:rPr>
          <w:color w:val="000000" w:themeColor="text1"/>
          <w:sz w:val="26"/>
          <w:szCs w:val="26"/>
        </w:rPr>
        <w:t>d</w:t>
      </w:r>
      <w:r w:rsidRPr="00EE5722">
        <w:rPr>
          <w:color w:val="000000" w:themeColor="text1"/>
          <w:sz w:val="26"/>
          <w:szCs w:val="26"/>
        </w:rPr>
        <w:t xml:space="preserve"> with the Company that granting the waiver</w:t>
      </w:r>
      <w:r w:rsidR="00367476">
        <w:rPr>
          <w:color w:val="000000" w:themeColor="text1"/>
          <w:sz w:val="26"/>
          <w:szCs w:val="26"/>
        </w:rPr>
        <w:t xml:space="preserve"> is appropriate.</w:t>
      </w:r>
      <w:r w:rsidR="00FE08AB">
        <w:rPr>
          <w:color w:val="000000" w:themeColor="text1"/>
          <w:sz w:val="26"/>
          <w:szCs w:val="26"/>
        </w:rPr>
        <w:t xml:space="preserve">  R.D. at 216.</w:t>
      </w:r>
    </w:p>
    <w:p w:rsidR="002D3E17" w:rsidRDefault="002D3E17" w:rsidP="002D3E17">
      <w:pPr>
        <w:pStyle w:val="BodyText2"/>
        <w:spacing w:after="0" w:line="360" w:lineRule="auto"/>
        <w:rPr>
          <w:color w:val="000000" w:themeColor="text1"/>
          <w:sz w:val="26"/>
          <w:szCs w:val="26"/>
        </w:rPr>
      </w:pPr>
    </w:p>
    <w:p w:rsidR="002D3E17" w:rsidRDefault="002D3E17" w:rsidP="0053114A">
      <w:pPr>
        <w:pStyle w:val="Heading3"/>
      </w:pPr>
      <w:bookmarkStart w:id="260" w:name="_Toc346705500"/>
      <w:r>
        <w:t>4.</w:t>
      </w:r>
      <w:r>
        <w:tab/>
      </w:r>
      <w:r w:rsidR="008A2931">
        <w:t>Exceptions and Reply Exceptions</w:t>
      </w:r>
      <w:bookmarkEnd w:id="260"/>
    </w:p>
    <w:p w:rsidR="002D3E17" w:rsidRDefault="002D3E17" w:rsidP="002D3E17">
      <w:pPr>
        <w:pStyle w:val="BodyText2"/>
        <w:spacing w:after="0" w:line="360" w:lineRule="auto"/>
        <w:rPr>
          <w:b/>
          <w:color w:val="000000" w:themeColor="text1"/>
          <w:sz w:val="26"/>
          <w:szCs w:val="26"/>
        </w:rPr>
      </w:pPr>
    </w:p>
    <w:p w:rsidR="008A2931" w:rsidRDefault="002D3E17" w:rsidP="001D1210">
      <w:pPr>
        <w:pStyle w:val="BodyText2"/>
        <w:spacing w:after="0" w:line="360" w:lineRule="auto"/>
        <w:rPr>
          <w:color w:val="000000" w:themeColor="text1"/>
          <w:sz w:val="26"/>
          <w:szCs w:val="26"/>
        </w:rPr>
      </w:pPr>
      <w:r>
        <w:rPr>
          <w:b/>
          <w:color w:val="000000" w:themeColor="text1"/>
          <w:sz w:val="26"/>
          <w:szCs w:val="26"/>
        </w:rPr>
        <w:tab/>
      </w:r>
      <w:r>
        <w:rPr>
          <w:b/>
          <w:color w:val="000000" w:themeColor="text1"/>
          <w:sz w:val="26"/>
          <w:szCs w:val="26"/>
        </w:rPr>
        <w:tab/>
      </w:r>
      <w:r w:rsidR="00367476">
        <w:rPr>
          <w:color w:val="000000" w:themeColor="text1"/>
          <w:sz w:val="26"/>
          <w:szCs w:val="26"/>
        </w:rPr>
        <w:t>No P</w:t>
      </w:r>
      <w:r>
        <w:rPr>
          <w:color w:val="000000" w:themeColor="text1"/>
          <w:sz w:val="26"/>
          <w:szCs w:val="26"/>
        </w:rPr>
        <w:t>arty filed Exception</w:t>
      </w:r>
      <w:r w:rsidR="00367476">
        <w:rPr>
          <w:color w:val="000000" w:themeColor="text1"/>
          <w:sz w:val="26"/>
          <w:szCs w:val="26"/>
        </w:rPr>
        <w:t>s to the ALJ’s recommendation with</w:t>
      </w:r>
      <w:r>
        <w:rPr>
          <w:color w:val="000000" w:themeColor="text1"/>
          <w:sz w:val="26"/>
          <w:szCs w:val="26"/>
        </w:rPr>
        <w:t xml:space="preserve"> regard to Duquesne’s request for </w:t>
      </w:r>
      <w:r w:rsidR="00367476">
        <w:rPr>
          <w:color w:val="000000" w:themeColor="text1"/>
          <w:sz w:val="26"/>
          <w:szCs w:val="26"/>
        </w:rPr>
        <w:t xml:space="preserve">a waiver of 52 Pa. Code § 54.187.  </w:t>
      </w:r>
    </w:p>
    <w:p w:rsidR="008A2931" w:rsidRDefault="008A2931" w:rsidP="001D1210">
      <w:pPr>
        <w:pStyle w:val="BodyText2"/>
        <w:spacing w:after="0" w:line="360" w:lineRule="auto"/>
        <w:rPr>
          <w:color w:val="000000" w:themeColor="text1"/>
          <w:sz w:val="26"/>
          <w:szCs w:val="26"/>
        </w:rPr>
      </w:pPr>
    </w:p>
    <w:p w:rsidR="008A2931" w:rsidRPr="008A2931" w:rsidRDefault="008A2931" w:rsidP="0053114A">
      <w:pPr>
        <w:pStyle w:val="Heading3"/>
      </w:pPr>
      <w:bookmarkStart w:id="261" w:name="_Toc346705501"/>
      <w:r w:rsidRPr="008A2931">
        <w:t>5.</w:t>
      </w:r>
      <w:r w:rsidRPr="008A2931">
        <w:tab/>
        <w:t>Disposition</w:t>
      </w:r>
      <w:bookmarkEnd w:id="261"/>
    </w:p>
    <w:p w:rsidR="008A2931" w:rsidRDefault="008A2931" w:rsidP="007B4B36">
      <w:pPr>
        <w:pStyle w:val="BodyText2"/>
        <w:keepNext/>
        <w:spacing w:after="0" w:line="360" w:lineRule="auto"/>
        <w:ind w:left="1440"/>
        <w:rPr>
          <w:color w:val="000000" w:themeColor="text1"/>
          <w:sz w:val="26"/>
          <w:szCs w:val="26"/>
        </w:rPr>
      </w:pPr>
    </w:p>
    <w:p w:rsidR="002D3E17" w:rsidRPr="00FE08AB" w:rsidRDefault="00367476" w:rsidP="008A2931">
      <w:pPr>
        <w:pStyle w:val="BodyText2"/>
        <w:spacing w:after="0" w:line="360" w:lineRule="auto"/>
        <w:ind w:firstLine="1440"/>
        <w:rPr>
          <w:color w:val="000000" w:themeColor="text1"/>
          <w:sz w:val="26"/>
          <w:szCs w:val="26"/>
        </w:rPr>
      </w:pPr>
      <w:r>
        <w:rPr>
          <w:color w:val="000000" w:themeColor="text1"/>
          <w:sz w:val="26"/>
          <w:szCs w:val="26"/>
        </w:rPr>
        <w:t>Finding Duquesne’s request</w:t>
      </w:r>
      <w:r w:rsidR="002D3E17">
        <w:rPr>
          <w:color w:val="000000" w:themeColor="text1"/>
          <w:sz w:val="26"/>
          <w:szCs w:val="26"/>
        </w:rPr>
        <w:t xml:space="preserve"> reasonable and appropriate, we shall adopt the recommendation of the ALJ without further comment.</w:t>
      </w:r>
      <w:r w:rsidR="00FE08AB">
        <w:rPr>
          <w:color w:val="000000" w:themeColor="text1"/>
          <w:sz w:val="26"/>
          <w:szCs w:val="26"/>
        </w:rPr>
        <w:t xml:space="preserve">  However, it is important to note that we have directed Duquesne, </w:t>
      </w:r>
      <w:r w:rsidR="00FE08AB">
        <w:rPr>
          <w:i/>
          <w:color w:val="000000" w:themeColor="text1"/>
          <w:sz w:val="26"/>
          <w:szCs w:val="26"/>
        </w:rPr>
        <w:t xml:space="preserve">supra, </w:t>
      </w:r>
      <w:r w:rsidR="00FE08AB">
        <w:rPr>
          <w:color w:val="000000" w:themeColor="text1"/>
          <w:sz w:val="26"/>
          <w:szCs w:val="26"/>
        </w:rPr>
        <w:t>to implement six-month rate changes for each affected customer class, including residentials.</w:t>
      </w:r>
    </w:p>
    <w:p w:rsidR="001D1210" w:rsidRDefault="001D1210" w:rsidP="001D1210">
      <w:pPr>
        <w:pStyle w:val="BodyText2"/>
        <w:spacing w:after="0" w:line="360" w:lineRule="auto"/>
        <w:rPr>
          <w:color w:val="000000" w:themeColor="text1"/>
          <w:sz w:val="26"/>
          <w:szCs w:val="26"/>
        </w:rPr>
      </w:pPr>
    </w:p>
    <w:p w:rsidR="001D1210" w:rsidRPr="00C67A1D" w:rsidRDefault="00F7788E" w:rsidP="00E2363B">
      <w:pPr>
        <w:pStyle w:val="Heading1"/>
        <w:keepNext/>
      </w:pPr>
      <w:bookmarkStart w:id="262" w:name="_Toc346705502"/>
      <w:r>
        <w:lastRenderedPageBreak/>
        <w:t>I</w:t>
      </w:r>
      <w:r w:rsidR="001D1210" w:rsidRPr="00EE5722">
        <w:t>V.</w:t>
      </w:r>
      <w:r w:rsidR="001D1210" w:rsidRPr="00EE5722">
        <w:tab/>
      </w:r>
      <w:r w:rsidR="001D1210" w:rsidRPr="00C67A1D">
        <w:t>CONCLUSION</w:t>
      </w:r>
      <w:bookmarkEnd w:id="262"/>
    </w:p>
    <w:p w:rsidR="001D1210" w:rsidRDefault="001D1210" w:rsidP="001D1210">
      <w:pPr>
        <w:spacing w:line="360" w:lineRule="auto"/>
        <w:rPr>
          <w:b/>
          <w:color w:val="000000" w:themeColor="text1"/>
          <w:sz w:val="26"/>
          <w:szCs w:val="26"/>
        </w:rPr>
      </w:pPr>
    </w:p>
    <w:p w:rsidR="001D1210" w:rsidRDefault="001D1210" w:rsidP="001D1210">
      <w:pPr>
        <w:spacing w:line="360" w:lineRule="auto"/>
        <w:rPr>
          <w:color w:val="000000" w:themeColor="text1"/>
          <w:sz w:val="26"/>
          <w:szCs w:val="26"/>
        </w:rPr>
      </w:pPr>
      <w:r>
        <w:rPr>
          <w:b/>
          <w:color w:val="000000" w:themeColor="text1"/>
          <w:sz w:val="26"/>
          <w:szCs w:val="26"/>
        </w:rPr>
        <w:tab/>
      </w:r>
      <w:r>
        <w:rPr>
          <w:b/>
          <w:color w:val="000000" w:themeColor="text1"/>
          <w:sz w:val="26"/>
          <w:szCs w:val="26"/>
        </w:rPr>
        <w:tab/>
      </w:r>
      <w:r w:rsidRPr="00C67A1D">
        <w:rPr>
          <w:color w:val="000000" w:themeColor="text1"/>
          <w:sz w:val="26"/>
          <w:szCs w:val="26"/>
        </w:rPr>
        <w:t>Duquesne’s DSP</w:t>
      </w:r>
      <w:r>
        <w:rPr>
          <w:color w:val="000000" w:themeColor="text1"/>
          <w:sz w:val="26"/>
          <w:szCs w:val="26"/>
        </w:rPr>
        <w:t xml:space="preserve"> VI contains all of the elements of a default service plan required by the Code, the Commission’s default service regulations (52 Pa. Code §§</w:t>
      </w:r>
      <w:r w:rsidR="00B10964">
        <w:rPr>
          <w:color w:val="000000" w:themeColor="text1"/>
          <w:sz w:val="26"/>
          <w:szCs w:val="26"/>
        </w:rPr>
        <w:t> </w:t>
      </w:r>
      <w:r>
        <w:rPr>
          <w:color w:val="000000" w:themeColor="text1"/>
          <w:sz w:val="26"/>
          <w:szCs w:val="26"/>
        </w:rPr>
        <w:t>54.181 – 54.189), and the Commission’s Policy Statement on Default Service (52 Pa.</w:t>
      </w:r>
      <w:r w:rsidR="00614864">
        <w:rPr>
          <w:color w:val="000000" w:themeColor="text1"/>
          <w:sz w:val="26"/>
          <w:szCs w:val="26"/>
        </w:rPr>
        <w:t xml:space="preserve"> </w:t>
      </w:r>
      <w:r>
        <w:rPr>
          <w:color w:val="000000" w:themeColor="text1"/>
          <w:sz w:val="26"/>
          <w:szCs w:val="26"/>
        </w:rPr>
        <w:t xml:space="preserve">Code §§ 69.1801-69.1817), including procurement, implementation, </w:t>
      </w:r>
      <w:r w:rsidR="00B67A24">
        <w:rPr>
          <w:color w:val="000000" w:themeColor="text1"/>
          <w:sz w:val="26"/>
          <w:szCs w:val="26"/>
        </w:rPr>
        <w:t xml:space="preserve">and </w:t>
      </w:r>
      <w:r>
        <w:rPr>
          <w:color w:val="000000" w:themeColor="text1"/>
          <w:sz w:val="26"/>
          <w:szCs w:val="26"/>
        </w:rPr>
        <w:t>contingency plans</w:t>
      </w:r>
      <w:r w:rsidR="00B67A24">
        <w:rPr>
          <w:color w:val="000000" w:themeColor="text1"/>
          <w:sz w:val="26"/>
          <w:szCs w:val="26"/>
        </w:rPr>
        <w:t>;</w:t>
      </w:r>
      <w:r>
        <w:rPr>
          <w:color w:val="000000" w:themeColor="text1"/>
          <w:sz w:val="26"/>
          <w:szCs w:val="26"/>
        </w:rPr>
        <w:t xml:space="preserve"> a rate design plan</w:t>
      </w:r>
      <w:r w:rsidR="00B67A24">
        <w:rPr>
          <w:color w:val="000000" w:themeColor="text1"/>
          <w:sz w:val="26"/>
          <w:szCs w:val="26"/>
        </w:rPr>
        <w:t>;</w:t>
      </w:r>
      <w:r>
        <w:rPr>
          <w:color w:val="000000" w:themeColor="text1"/>
          <w:sz w:val="26"/>
          <w:szCs w:val="26"/>
        </w:rPr>
        <w:t xml:space="preserve"> and copies of the agreements and forms to be used in procurement of default service supply.</w:t>
      </w:r>
    </w:p>
    <w:p w:rsidR="003F72EA" w:rsidRDefault="003F72EA" w:rsidP="001D1210">
      <w:pPr>
        <w:spacing w:line="360" w:lineRule="auto"/>
        <w:rPr>
          <w:color w:val="000000" w:themeColor="text1"/>
          <w:sz w:val="26"/>
          <w:szCs w:val="26"/>
        </w:rPr>
      </w:pPr>
    </w:p>
    <w:p w:rsidR="001D1210" w:rsidRDefault="001D1210" w:rsidP="001D1210">
      <w:pPr>
        <w:spacing w:line="360" w:lineRule="auto"/>
        <w:rPr>
          <w:color w:val="000000" w:themeColor="text1"/>
          <w:sz w:val="26"/>
          <w:szCs w:val="26"/>
        </w:rPr>
      </w:pPr>
      <w:r>
        <w:rPr>
          <w:color w:val="000000" w:themeColor="text1"/>
          <w:sz w:val="26"/>
          <w:szCs w:val="26"/>
        </w:rPr>
        <w:tab/>
      </w:r>
      <w:r>
        <w:rPr>
          <w:color w:val="000000" w:themeColor="text1"/>
          <w:sz w:val="26"/>
          <w:szCs w:val="26"/>
        </w:rPr>
        <w:tab/>
        <w:t xml:space="preserve">Duquesne’s Petition for Approval of its Default Service Program is in compliance with 66 Pa. C.S. § 2807(e)(3.7) </w:t>
      </w:r>
      <w:r w:rsidR="00B67A24">
        <w:rPr>
          <w:color w:val="000000" w:themeColor="text1"/>
          <w:sz w:val="26"/>
          <w:szCs w:val="26"/>
        </w:rPr>
        <w:t>in that</w:t>
      </w:r>
      <w:r w:rsidR="00614864">
        <w:rPr>
          <w:color w:val="000000" w:themeColor="text1"/>
          <w:sz w:val="26"/>
          <w:szCs w:val="26"/>
        </w:rPr>
        <w:t>:</w:t>
      </w:r>
      <w:r>
        <w:rPr>
          <w:color w:val="000000" w:themeColor="text1"/>
          <w:sz w:val="26"/>
          <w:szCs w:val="26"/>
        </w:rPr>
        <w:t xml:space="preserve"> </w:t>
      </w:r>
      <w:r w:rsidR="00614864">
        <w:rPr>
          <w:color w:val="000000" w:themeColor="text1"/>
          <w:sz w:val="26"/>
          <w:szCs w:val="26"/>
        </w:rPr>
        <w:t xml:space="preserve">(1) </w:t>
      </w:r>
      <w:r>
        <w:rPr>
          <w:color w:val="000000" w:themeColor="text1"/>
          <w:sz w:val="26"/>
          <w:szCs w:val="26"/>
        </w:rPr>
        <w:t xml:space="preserve">it includes prudent steps necessary to negotiate favorable generation supply contracts; (2) </w:t>
      </w:r>
      <w:r w:rsidR="00614864">
        <w:rPr>
          <w:color w:val="000000" w:themeColor="text1"/>
          <w:sz w:val="26"/>
          <w:szCs w:val="26"/>
        </w:rPr>
        <w:t xml:space="preserve">it includes prudent steps necessary </w:t>
      </w:r>
      <w:r>
        <w:rPr>
          <w:color w:val="000000" w:themeColor="text1"/>
          <w:sz w:val="26"/>
          <w:szCs w:val="26"/>
        </w:rPr>
        <w:t xml:space="preserve">to obtain least cost generation supply contracts; and (3) neither the </w:t>
      </w:r>
      <w:r w:rsidR="00B10964">
        <w:rPr>
          <w:color w:val="000000" w:themeColor="text1"/>
          <w:sz w:val="26"/>
          <w:szCs w:val="26"/>
        </w:rPr>
        <w:t>d</w:t>
      </w:r>
      <w:r>
        <w:rPr>
          <w:color w:val="000000" w:themeColor="text1"/>
          <w:sz w:val="26"/>
          <w:szCs w:val="26"/>
        </w:rPr>
        <w:t xml:space="preserve">efault </w:t>
      </w:r>
      <w:r w:rsidR="00B10964">
        <w:rPr>
          <w:color w:val="000000" w:themeColor="text1"/>
          <w:sz w:val="26"/>
          <w:szCs w:val="26"/>
        </w:rPr>
        <w:t>s</w:t>
      </w:r>
      <w:r>
        <w:rPr>
          <w:color w:val="000000" w:themeColor="text1"/>
          <w:sz w:val="26"/>
          <w:szCs w:val="26"/>
        </w:rPr>
        <w:t xml:space="preserve">ervice </w:t>
      </w:r>
      <w:r w:rsidR="00B10964">
        <w:rPr>
          <w:color w:val="000000" w:themeColor="text1"/>
          <w:sz w:val="26"/>
          <w:szCs w:val="26"/>
        </w:rPr>
        <w:t>p</w:t>
      </w:r>
      <w:r>
        <w:rPr>
          <w:color w:val="000000" w:themeColor="text1"/>
          <w:sz w:val="26"/>
          <w:szCs w:val="26"/>
        </w:rPr>
        <w:t xml:space="preserve">rovider nor </w:t>
      </w:r>
      <w:r w:rsidR="00B10964">
        <w:rPr>
          <w:color w:val="000000" w:themeColor="text1"/>
          <w:sz w:val="26"/>
          <w:szCs w:val="26"/>
        </w:rPr>
        <w:t>its</w:t>
      </w:r>
      <w:r>
        <w:rPr>
          <w:color w:val="000000" w:themeColor="text1"/>
          <w:sz w:val="26"/>
          <w:szCs w:val="26"/>
        </w:rPr>
        <w:t xml:space="preserve"> affiliated interests have withheld from the market any generation supply in a manner that violates federal law.</w:t>
      </w:r>
    </w:p>
    <w:p w:rsidR="00B10964" w:rsidRDefault="00B10964" w:rsidP="001D1210">
      <w:pPr>
        <w:spacing w:line="360" w:lineRule="auto"/>
        <w:rPr>
          <w:color w:val="000000" w:themeColor="text1"/>
          <w:sz w:val="26"/>
          <w:szCs w:val="26"/>
        </w:rPr>
      </w:pPr>
    </w:p>
    <w:p w:rsidR="001D1210" w:rsidRPr="00AE69C5" w:rsidRDefault="001D1210" w:rsidP="001D1210">
      <w:pPr>
        <w:spacing w:line="360" w:lineRule="auto"/>
        <w:rPr>
          <w:b/>
          <w:sz w:val="26"/>
          <w:szCs w:val="26"/>
        </w:rPr>
      </w:pPr>
      <w:r>
        <w:rPr>
          <w:color w:val="000000" w:themeColor="text1"/>
          <w:sz w:val="26"/>
          <w:szCs w:val="26"/>
        </w:rPr>
        <w:tab/>
      </w:r>
      <w:r>
        <w:rPr>
          <w:color w:val="000000" w:themeColor="text1"/>
          <w:sz w:val="26"/>
          <w:szCs w:val="26"/>
        </w:rPr>
        <w:tab/>
        <w:t xml:space="preserve">Based on the foregoing discussion, we shall: (1) grant, in part, and deny, in part, the Exceptions to the Recommended Decision, consistent with this Opinion and Order; (2) adopt the Recommended Decision, as modified by this Opinion and Order; (3) approve, in part, and deny, in part, the Petition, as set forth in this Opinion and Order; (4) direct Duquesne to file a revised DSP, as set forth in this Opinion and Order; (5) direct Duquesne, in collaboration with interested </w:t>
      </w:r>
      <w:r w:rsidR="004D6C1C">
        <w:rPr>
          <w:color w:val="000000" w:themeColor="text1"/>
          <w:sz w:val="26"/>
          <w:szCs w:val="26"/>
        </w:rPr>
        <w:t>Parties</w:t>
      </w:r>
      <w:r>
        <w:rPr>
          <w:color w:val="000000" w:themeColor="text1"/>
          <w:sz w:val="26"/>
          <w:szCs w:val="26"/>
        </w:rPr>
        <w:t xml:space="preserve">, to submit a proposal to the Commission on how EGSs </w:t>
      </w:r>
      <w:r w:rsidR="008F4B58">
        <w:rPr>
          <w:color w:val="000000" w:themeColor="text1"/>
          <w:sz w:val="26"/>
          <w:szCs w:val="26"/>
        </w:rPr>
        <w:t xml:space="preserve">and/or customers </w:t>
      </w:r>
      <w:r w:rsidR="004D6C1C">
        <w:rPr>
          <w:color w:val="000000" w:themeColor="text1"/>
          <w:sz w:val="26"/>
          <w:szCs w:val="26"/>
        </w:rPr>
        <w:t xml:space="preserve">will </w:t>
      </w:r>
      <w:r>
        <w:rPr>
          <w:color w:val="000000" w:themeColor="text1"/>
          <w:sz w:val="26"/>
          <w:szCs w:val="26"/>
        </w:rPr>
        <w:t>pay for the costs of the Opt-In Program and the Standard Offer Program; (6) direct the EGSs that elect to participate in the Opt-In Program to submit for Commission review the terms</w:t>
      </w:r>
      <w:r w:rsidR="004D6C1C">
        <w:rPr>
          <w:color w:val="000000" w:themeColor="text1"/>
          <w:sz w:val="26"/>
          <w:szCs w:val="26"/>
        </w:rPr>
        <w:t xml:space="preserve"> (including price)</w:t>
      </w:r>
      <w:r>
        <w:rPr>
          <w:color w:val="000000" w:themeColor="text1"/>
          <w:sz w:val="26"/>
          <w:szCs w:val="26"/>
        </w:rPr>
        <w:t xml:space="preserve"> and conditions of their eight-month Opt-In Program offering; (7) </w:t>
      </w:r>
      <w:r w:rsidR="00E03874">
        <w:rPr>
          <w:color w:val="000000" w:themeColor="text1"/>
          <w:sz w:val="26"/>
          <w:szCs w:val="26"/>
        </w:rPr>
        <w:t xml:space="preserve">direct Duquesne, in collaboration with interested </w:t>
      </w:r>
      <w:r w:rsidR="004D6C1C">
        <w:rPr>
          <w:color w:val="000000" w:themeColor="text1"/>
          <w:sz w:val="26"/>
          <w:szCs w:val="26"/>
        </w:rPr>
        <w:t>Parties</w:t>
      </w:r>
      <w:r w:rsidR="001C2568">
        <w:rPr>
          <w:color w:val="000000" w:themeColor="text1"/>
          <w:sz w:val="26"/>
          <w:szCs w:val="26"/>
        </w:rPr>
        <w:t>,</w:t>
      </w:r>
      <w:r w:rsidR="00E03874">
        <w:rPr>
          <w:color w:val="000000" w:themeColor="text1"/>
          <w:sz w:val="26"/>
          <w:szCs w:val="26"/>
        </w:rPr>
        <w:t xml:space="preserve"> to submit a proposal for customer notification, opt-in </w:t>
      </w:r>
      <w:r w:rsidRPr="00E03874">
        <w:rPr>
          <w:color w:val="000000" w:themeColor="text1"/>
          <w:sz w:val="26"/>
          <w:szCs w:val="26"/>
        </w:rPr>
        <w:t xml:space="preserve">enrollment </w:t>
      </w:r>
      <w:r w:rsidR="00E03874">
        <w:rPr>
          <w:color w:val="000000" w:themeColor="text1"/>
          <w:sz w:val="26"/>
          <w:szCs w:val="26"/>
        </w:rPr>
        <w:t>and customer assignment that facilit</w:t>
      </w:r>
      <w:r w:rsidR="001C2568">
        <w:rPr>
          <w:color w:val="000000" w:themeColor="text1"/>
          <w:sz w:val="26"/>
          <w:szCs w:val="26"/>
        </w:rPr>
        <w:t>ates the implementation of the O</w:t>
      </w:r>
      <w:r w:rsidR="00E03874">
        <w:rPr>
          <w:color w:val="000000" w:themeColor="text1"/>
          <w:sz w:val="26"/>
          <w:szCs w:val="26"/>
        </w:rPr>
        <w:t xml:space="preserve">pt-In </w:t>
      </w:r>
      <w:r w:rsidR="004D6C1C">
        <w:rPr>
          <w:color w:val="000000" w:themeColor="text1"/>
          <w:sz w:val="26"/>
          <w:szCs w:val="26"/>
        </w:rPr>
        <w:t>P</w:t>
      </w:r>
      <w:r w:rsidR="00E03874">
        <w:rPr>
          <w:color w:val="000000" w:themeColor="text1"/>
          <w:sz w:val="26"/>
          <w:szCs w:val="26"/>
        </w:rPr>
        <w:t>rogram</w:t>
      </w:r>
      <w:r w:rsidR="000317C3">
        <w:rPr>
          <w:color w:val="000000" w:themeColor="text1"/>
          <w:sz w:val="26"/>
          <w:szCs w:val="26"/>
        </w:rPr>
        <w:t xml:space="preserve">; </w:t>
      </w:r>
      <w:r w:rsidR="004D6C1C">
        <w:rPr>
          <w:color w:val="000000" w:themeColor="text1"/>
          <w:sz w:val="26"/>
          <w:szCs w:val="26"/>
        </w:rPr>
        <w:t xml:space="preserve">and </w:t>
      </w:r>
      <w:r w:rsidR="000317C3">
        <w:rPr>
          <w:color w:val="000000" w:themeColor="text1"/>
          <w:sz w:val="26"/>
          <w:szCs w:val="26"/>
        </w:rPr>
        <w:t xml:space="preserve">(8) direct Duquesne, in </w:t>
      </w:r>
      <w:r w:rsidR="000317C3">
        <w:rPr>
          <w:sz w:val="26"/>
          <w:szCs w:val="26"/>
        </w:rPr>
        <w:t xml:space="preserve">collaboration </w:t>
      </w:r>
      <w:r w:rsidR="004D6C1C">
        <w:rPr>
          <w:sz w:val="26"/>
          <w:szCs w:val="26"/>
        </w:rPr>
        <w:t xml:space="preserve">with interested </w:t>
      </w:r>
      <w:r w:rsidR="000317C3">
        <w:rPr>
          <w:sz w:val="26"/>
          <w:szCs w:val="26"/>
        </w:rPr>
        <w:t>Parties</w:t>
      </w:r>
      <w:r w:rsidR="004D6C1C">
        <w:rPr>
          <w:sz w:val="26"/>
          <w:szCs w:val="26"/>
        </w:rPr>
        <w:t>,</w:t>
      </w:r>
      <w:r w:rsidR="000317C3">
        <w:rPr>
          <w:sz w:val="26"/>
          <w:szCs w:val="26"/>
        </w:rPr>
        <w:t xml:space="preserve"> to review the terms and </w:t>
      </w:r>
      <w:r w:rsidR="000317C3">
        <w:rPr>
          <w:sz w:val="26"/>
          <w:szCs w:val="26"/>
        </w:rPr>
        <w:lastRenderedPageBreak/>
        <w:t>conditions of Duquesne’s proposed Opt-in Program Agreement</w:t>
      </w:r>
      <w:r w:rsidR="00C55A4C">
        <w:rPr>
          <w:sz w:val="26"/>
          <w:szCs w:val="26"/>
        </w:rPr>
        <w:t xml:space="preserve"> and Duquesne’s proposed Standard Of</w:t>
      </w:r>
      <w:r w:rsidR="00736C76">
        <w:rPr>
          <w:sz w:val="26"/>
          <w:szCs w:val="26"/>
        </w:rPr>
        <w:t>fer Program Rules and Supplier A</w:t>
      </w:r>
      <w:r w:rsidR="00C55A4C">
        <w:rPr>
          <w:sz w:val="26"/>
          <w:szCs w:val="26"/>
        </w:rPr>
        <w:t>greement</w:t>
      </w:r>
      <w:r w:rsidR="000317C3">
        <w:rPr>
          <w:sz w:val="26"/>
          <w:szCs w:val="26"/>
        </w:rPr>
        <w:t xml:space="preserve"> and submit a proposal to the Commission</w:t>
      </w:r>
      <w:r w:rsidR="00C55A4C">
        <w:rPr>
          <w:sz w:val="26"/>
          <w:szCs w:val="26"/>
        </w:rPr>
        <w:t xml:space="preserve">; </w:t>
      </w:r>
      <w:bookmarkStart w:id="263" w:name="_Toc323736774"/>
      <w:r>
        <w:rPr>
          <w:color w:val="000000" w:themeColor="text1"/>
          <w:sz w:val="26"/>
          <w:szCs w:val="26"/>
        </w:rPr>
        <w:t xml:space="preserve"> </w:t>
      </w:r>
      <w:r w:rsidRPr="00AE69C5">
        <w:rPr>
          <w:b/>
          <w:sz w:val="26"/>
          <w:szCs w:val="26"/>
        </w:rPr>
        <w:t>THEREFORE,</w:t>
      </w:r>
    </w:p>
    <w:p w:rsidR="001D1210" w:rsidRPr="00AE69C5" w:rsidRDefault="001D1210" w:rsidP="001D1210">
      <w:pPr>
        <w:pStyle w:val="BodyText2"/>
        <w:spacing w:after="0" w:line="360" w:lineRule="auto"/>
        <w:rPr>
          <w:b/>
          <w:sz w:val="26"/>
          <w:szCs w:val="26"/>
        </w:rPr>
      </w:pPr>
    </w:p>
    <w:p w:rsidR="001D1210" w:rsidRDefault="001D1210" w:rsidP="001D1210">
      <w:pPr>
        <w:pStyle w:val="BodyText2"/>
        <w:spacing w:after="0" w:line="360" w:lineRule="auto"/>
        <w:rPr>
          <w:b/>
          <w:sz w:val="26"/>
          <w:szCs w:val="26"/>
        </w:rPr>
      </w:pPr>
      <w:r w:rsidRPr="00AE69C5">
        <w:rPr>
          <w:b/>
          <w:sz w:val="26"/>
          <w:szCs w:val="26"/>
        </w:rPr>
        <w:t>IT IS ORDERED:</w:t>
      </w:r>
    </w:p>
    <w:p w:rsidR="001D1210" w:rsidRPr="001D1210" w:rsidRDefault="001D1210" w:rsidP="001D1210">
      <w:pPr>
        <w:pStyle w:val="BodyText2"/>
        <w:spacing w:after="0" w:line="360" w:lineRule="auto"/>
        <w:rPr>
          <w:b/>
          <w:sz w:val="26"/>
          <w:szCs w:val="26"/>
        </w:rPr>
      </w:pPr>
    </w:p>
    <w:p w:rsidR="001D1210" w:rsidRDefault="001D1210" w:rsidP="001D1210">
      <w:pPr>
        <w:pStyle w:val="BodyText2"/>
        <w:spacing w:after="0" w:line="360" w:lineRule="auto"/>
        <w:rPr>
          <w:sz w:val="26"/>
          <w:szCs w:val="26"/>
        </w:rPr>
      </w:pPr>
      <w:r>
        <w:rPr>
          <w:sz w:val="26"/>
          <w:szCs w:val="26"/>
        </w:rPr>
        <w:tab/>
      </w:r>
      <w:r>
        <w:rPr>
          <w:sz w:val="26"/>
          <w:szCs w:val="26"/>
        </w:rPr>
        <w:tab/>
        <w:t>1.</w:t>
      </w:r>
      <w:r>
        <w:rPr>
          <w:sz w:val="26"/>
          <w:szCs w:val="26"/>
        </w:rPr>
        <w:tab/>
        <w:t>That the Exceptions filed by Duquesne Light Company to the Recommended Decision of Administrative Law Judge Katrina L. Dunderdale are granted, in part, consistent with this Opinion and Order.</w:t>
      </w:r>
    </w:p>
    <w:p w:rsidR="001D1210" w:rsidRDefault="001D1210" w:rsidP="001D1210">
      <w:pPr>
        <w:pStyle w:val="BodyText2"/>
        <w:spacing w:after="0" w:line="360" w:lineRule="auto"/>
        <w:rPr>
          <w:sz w:val="26"/>
          <w:szCs w:val="26"/>
        </w:rPr>
      </w:pPr>
    </w:p>
    <w:p w:rsidR="001D1210" w:rsidRDefault="001D1210" w:rsidP="001D1210">
      <w:pPr>
        <w:pStyle w:val="BodyText2"/>
        <w:spacing w:after="0" w:line="360" w:lineRule="auto"/>
        <w:rPr>
          <w:sz w:val="26"/>
          <w:szCs w:val="26"/>
        </w:rPr>
      </w:pPr>
      <w:r>
        <w:rPr>
          <w:sz w:val="26"/>
          <w:szCs w:val="26"/>
        </w:rPr>
        <w:tab/>
      </w:r>
      <w:r>
        <w:rPr>
          <w:sz w:val="26"/>
          <w:szCs w:val="26"/>
        </w:rPr>
        <w:tab/>
        <w:t>2.</w:t>
      </w:r>
      <w:r>
        <w:rPr>
          <w:sz w:val="26"/>
          <w:szCs w:val="26"/>
        </w:rPr>
        <w:tab/>
        <w:t>That the Exceptions filed by the Office of Consumer Advocate to the Recommended Decision of Administrative Law Judge Katrina L. Dunderdale are denied consistent with this Opinion and Order.</w:t>
      </w:r>
    </w:p>
    <w:p w:rsidR="001D1210" w:rsidRDefault="001D1210" w:rsidP="001D1210">
      <w:pPr>
        <w:pStyle w:val="BodyText2"/>
        <w:spacing w:after="0" w:line="360" w:lineRule="auto"/>
        <w:rPr>
          <w:sz w:val="26"/>
          <w:szCs w:val="26"/>
        </w:rPr>
      </w:pPr>
    </w:p>
    <w:p w:rsidR="001D1210" w:rsidRDefault="008D12E1" w:rsidP="001D1210">
      <w:pPr>
        <w:pStyle w:val="BodyText2"/>
        <w:spacing w:after="0" w:line="360" w:lineRule="auto"/>
        <w:rPr>
          <w:sz w:val="26"/>
          <w:szCs w:val="26"/>
        </w:rPr>
      </w:pPr>
      <w:r>
        <w:rPr>
          <w:sz w:val="26"/>
          <w:szCs w:val="26"/>
        </w:rPr>
        <w:tab/>
      </w:r>
      <w:r>
        <w:rPr>
          <w:sz w:val="26"/>
          <w:szCs w:val="26"/>
        </w:rPr>
        <w:tab/>
        <w:t>3.</w:t>
      </w:r>
      <w:r>
        <w:rPr>
          <w:sz w:val="26"/>
          <w:szCs w:val="26"/>
        </w:rPr>
        <w:tab/>
        <w:t xml:space="preserve"> That the Exception</w:t>
      </w:r>
      <w:r w:rsidR="001D1210">
        <w:rPr>
          <w:sz w:val="26"/>
          <w:szCs w:val="26"/>
        </w:rPr>
        <w:t xml:space="preserve"> filed by the Office of Small Business Advocate to the Recommended Decision of Administrative Law</w:t>
      </w:r>
      <w:r>
        <w:rPr>
          <w:sz w:val="26"/>
          <w:szCs w:val="26"/>
        </w:rPr>
        <w:t xml:space="preserve"> Judge Katrina L. Dunderdale is denied</w:t>
      </w:r>
      <w:r w:rsidR="001D1210">
        <w:rPr>
          <w:sz w:val="26"/>
          <w:szCs w:val="26"/>
        </w:rPr>
        <w:t xml:space="preserve"> consistent with this Opinion and Order.</w:t>
      </w:r>
    </w:p>
    <w:p w:rsidR="001D1210" w:rsidRDefault="001D1210" w:rsidP="001D1210">
      <w:pPr>
        <w:pStyle w:val="BodyText2"/>
        <w:spacing w:after="0" w:line="360" w:lineRule="auto"/>
        <w:rPr>
          <w:sz w:val="26"/>
          <w:szCs w:val="26"/>
        </w:rPr>
      </w:pPr>
    </w:p>
    <w:p w:rsidR="001D1210" w:rsidRDefault="001D1210" w:rsidP="001D1210">
      <w:pPr>
        <w:pStyle w:val="BodyText2"/>
        <w:spacing w:after="0" w:line="360" w:lineRule="auto"/>
        <w:rPr>
          <w:sz w:val="26"/>
          <w:szCs w:val="26"/>
        </w:rPr>
      </w:pPr>
      <w:r>
        <w:rPr>
          <w:sz w:val="26"/>
          <w:szCs w:val="26"/>
        </w:rPr>
        <w:tab/>
      </w:r>
      <w:r>
        <w:rPr>
          <w:sz w:val="26"/>
          <w:szCs w:val="26"/>
        </w:rPr>
        <w:tab/>
        <w:t>4.</w:t>
      </w:r>
      <w:r>
        <w:rPr>
          <w:sz w:val="26"/>
          <w:szCs w:val="26"/>
        </w:rPr>
        <w:tab/>
        <w:t>That the Exceptions filed by the Retail Energy Supply Association  to the Recommended Decision of Administrative Law Jud</w:t>
      </w:r>
      <w:r w:rsidR="0090370C">
        <w:rPr>
          <w:sz w:val="26"/>
          <w:szCs w:val="26"/>
        </w:rPr>
        <w:t>ge Katrina L. Dunderdale are granted, in part,</w:t>
      </w:r>
      <w:r>
        <w:rPr>
          <w:sz w:val="26"/>
          <w:szCs w:val="26"/>
        </w:rPr>
        <w:t xml:space="preserve"> consistent with this Opinion and Order.</w:t>
      </w:r>
    </w:p>
    <w:p w:rsidR="001D1210" w:rsidRDefault="001D1210" w:rsidP="001D1210">
      <w:pPr>
        <w:pStyle w:val="BodyText2"/>
        <w:spacing w:after="0" w:line="360" w:lineRule="auto"/>
        <w:rPr>
          <w:sz w:val="26"/>
          <w:szCs w:val="26"/>
        </w:rPr>
      </w:pPr>
    </w:p>
    <w:p w:rsidR="001D1210" w:rsidRDefault="001D1210" w:rsidP="001D1210">
      <w:pPr>
        <w:pStyle w:val="BodyText2"/>
        <w:spacing w:after="0" w:line="360" w:lineRule="auto"/>
        <w:rPr>
          <w:sz w:val="26"/>
          <w:szCs w:val="26"/>
        </w:rPr>
      </w:pPr>
      <w:r>
        <w:rPr>
          <w:sz w:val="26"/>
          <w:szCs w:val="26"/>
        </w:rPr>
        <w:tab/>
      </w:r>
      <w:r>
        <w:rPr>
          <w:sz w:val="26"/>
          <w:szCs w:val="26"/>
        </w:rPr>
        <w:tab/>
        <w:t>5.</w:t>
      </w:r>
      <w:r>
        <w:rPr>
          <w:sz w:val="26"/>
          <w:szCs w:val="26"/>
        </w:rPr>
        <w:tab/>
        <w:t>That the Exceptions filed by Dominion Retail, Inc. and Interstate Gas Supply, Inc. to the Recommended Decision of Administrative Law Judge Katrina L</w:t>
      </w:r>
      <w:r w:rsidR="00317768">
        <w:rPr>
          <w:sz w:val="26"/>
          <w:szCs w:val="26"/>
        </w:rPr>
        <w:t>. Dunderdale are granted, in part,</w:t>
      </w:r>
      <w:r>
        <w:rPr>
          <w:sz w:val="26"/>
          <w:szCs w:val="26"/>
        </w:rPr>
        <w:t xml:space="preserve"> consistent with this Opinion and Order.</w:t>
      </w:r>
    </w:p>
    <w:p w:rsidR="001D1210" w:rsidRDefault="001D1210" w:rsidP="001D1210">
      <w:pPr>
        <w:pStyle w:val="BodyText2"/>
        <w:spacing w:after="0" w:line="360" w:lineRule="auto"/>
        <w:rPr>
          <w:sz w:val="26"/>
          <w:szCs w:val="26"/>
        </w:rPr>
      </w:pPr>
    </w:p>
    <w:p w:rsidR="001D1210" w:rsidRDefault="001D1210" w:rsidP="001D1210">
      <w:pPr>
        <w:pStyle w:val="BodyText2"/>
        <w:spacing w:after="0" w:line="360" w:lineRule="auto"/>
        <w:rPr>
          <w:sz w:val="26"/>
          <w:szCs w:val="26"/>
        </w:rPr>
      </w:pPr>
      <w:r>
        <w:rPr>
          <w:sz w:val="26"/>
          <w:szCs w:val="26"/>
        </w:rPr>
        <w:tab/>
      </w:r>
      <w:r>
        <w:rPr>
          <w:sz w:val="26"/>
          <w:szCs w:val="26"/>
        </w:rPr>
        <w:tab/>
        <w:t>6.</w:t>
      </w:r>
      <w:r>
        <w:rPr>
          <w:sz w:val="26"/>
          <w:szCs w:val="26"/>
        </w:rPr>
        <w:tab/>
        <w:t>That the Exceptions filed by FirstEnergy Solutions Corporation to the Recommended Decision of Administrative Law Jud</w:t>
      </w:r>
      <w:r w:rsidR="00317768">
        <w:rPr>
          <w:sz w:val="26"/>
          <w:szCs w:val="26"/>
        </w:rPr>
        <w:t>ge Katrina L. Dunderdale are granted, in part,</w:t>
      </w:r>
      <w:r>
        <w:rPr>
          <w:sz w:val="26"/>
          <w:szCs w:val="26"/>
        </w:rPr>
        <w:t xml:space="preserve"> consistent with this Opinion and Order.</w:t>
      </w:r>
    </w:p>
    <w:p w:rsidR="001D1210" w:rsidRDefault="001D1210" w:rsidP="001D1210">
      <w:pPr>
        <w:pStyle w:val="BodyText2"/>
        <w:spacing w:after="0" w:line="360" w:lineRule="auto"/>
        <w:rPr>
          <w:sz w:val="26"/>
          <w:szCs w:val="26"/>
        </w:rPr>
      </w:pPr>
      <w:r>
        <w:rPr>
          <w:sz w:val="26"/>
          <w:szCs w:val="26"/>
        </w:rPr>
        <w:lastRenderedPageBreak/>
        <w:tab/>
      </w:r>
      <w:r>
        <w:rPr>
          <w:sz w:val="26"/>
          <w:szCs w:val="26"/>
        </w:rPr>
        <w:tab/>
        <w:t>7.</w:t>
      </w:r>
      <w:r>
        <w:rPr>
          <w:sz w:val="26"/>
          <w:szCs w:val="26"/>
        </w:rPr>
        <w:tab/>
        <w:t>That the Recommended Decision of Administrative Law Judge Katrina L. Dunderdale, issued on November 15, 2012, is adopted, as modified by this Opinion and Order.</w:t>
      </w:r>
    </w:p>
    <w:p w:rsidR="001D1210" w:rsidRDefault="001D1210" w:rsidP="001D1210">
      <w:pPr>
        <w:pStyle w:val="BodyText2"/>
        <w:spacing w:after="0" w:line="360" w:lineRule="auto"/>
        <w:rPr>
          <w:sz w:val="26"/>
          <w:szCs w:val="26"/>
        </w:rPr>
      </w:pPr>
    </w:p>
    <w:p w:rsidR="001D1210" w:rsidRDefault="001D1210" w:rsidP="001D1210">
      <w:pPr>
        <w:spacing w:line="360" w:lineRule="auto"/>
        <w:rPr>
          <w:color w:val="000000" w:themeColor="text1"/>
          <w:sz w:val="26"/>
          <w:szCs w:val="26"/>
        </w:rPr>
      </w:pPr>
      <w:r>
        <w:rPr>
          <w:sz w:val="26"/>
          <w:szCs w:val="26"/>
        </w:rPr>
        <w:tab/>
      </w:r>
      <w:r>
        <w:rPr>
          <w:sz w:val="26"/>
          <w:szCs w:val="26"/>
        </w:rPr>
        <w:tab/>
        <w:t>8.</w:t>
      </w:r>
      <w:r>
        <w:rPr>
          <w:sz w:val="26"/>
          <w:szCs w:val="26"/>
        </w:rPr>
        <w:tab/>
        <w:t xml:space="preserve">That </w:t>
      </w:r>
      <w:r w:rsidRPr="00C67A1D">
        <w:rPr>
          <w:color w:val="000000" w:themeColor="text1"/>
          <w:sz w:val="26"/>
          <w:szCs w:val="26"/>
        </w:rPr>
        <w:t>Duquesne</w:t>
      </w:r>
      <w:r w:rsidR="00905351">
        <w:rPr>
          <w:color w:val="000000" w:themeColor="text1"/>
          <w:sz w:val="26"/>
          <w:szCs w:val="26"/>
        </w:rPr>
        <w:t xml:space="preserve"> Light Company</w:t>
      </w:r>
      <w:r w:rsidRPr="00C67A1D">
        <w:rPr>
          <w:color w:val="000000" w:themeColor="text1"/>
          <w:sz w:val="26"/>
          <w:szCs w:val="26"/>
        </w:rPr>
        <w:t xml:space="preserve">’s </w:t>
      </w:r>
      <w:r w:rsidR="00905351">
        <w:rPr>
          <w:color w:val="000000" w:themeColor="text1"/>
          <w:sz w:val="26"/>
          <w:szCs w:val="26"/>
        </w:rPr>
        <w:t>Default Service Plan filed on April 27, 2012</w:t>
      </w:r>
      <w:r w:rsidR="002548AE">
        <w:rPr>
          <w:color w:val="000000" w:themeColor="text1"/>
          <w:sz w:val="26"/>
          <w:szCs w:val="26"/>
        </w:rPr>
        <w:t>,</w:t>
      </w:r>
      <w:r w:rsidR="00905351">
        <w:rPr>
          <w:color w:val="000000" w:themeColor="text1"/>
          <w:sz w:val="26"/>
          <w:szCs w:val="26"/>
        </w:rPr>
        <w:t xml:space="preserve"> </w:t>
      </w:r>
      <w:r>
        <w:rPr>
          <w:color w:val="000000" w:themeColor="text1"/>
          <w:sz w:val="26"/>
          <w:szCs w:val="26"/>
        </w:rPr>
        <w:t>contains all of the elements of a default service plan required by the Code, the Commission’s default service regulations (52 Pa. Code §§ 54.181 – 54.189), and the Commission’s Policy Statement on Default Service (52 Pa. Code §§ 69.1801-69.1817), including procurement, implementation, and contingency plans, a rate design plan, and copies of the agreements and forms to be used in procurement of default service supply.</w:t>
      </w:r>
    </w:p>
    <w:p w:rsidR="001D1210" w:rsidRDefault="001D1210" w:rsidP="001D1210">
      <w:pPr>
        <w:spacing w:line="360" w:lineRule="auto"/>
        <w:rPr>
          <w:color w:val="000000" w:themeColor="text1"/>
          <w:sz w:val="26"/>
          <w:szCs w:val="26"/>
        </w:rPr>
      </w:pPr>
    </w:p>
    <w:p w:rsidR="001D1210" w:rsidRDefault="001D1210" w:rsidP="001D1210">
      <w:pPr>
        <w:spacing w:line="360" w:lineRule="auto"/>
        <w:rPr>
          <w:color w:val="000000" w:themeColor="text1"/>
          <w:sz w:val="26"/>
          <w:szCs w:val="26"/>
        </w:rPr>
      </w:pPr>
      <w:r>
        <w:rPr>
          <w:color w:val="000000" w:themeColor="text1"/>
          <w:sz w:val="26"/>
          <w:szCs w:val="26"/>
        </w:rPr>
        <w:tab/>
      </w:r>
      <w:r>
        <w:rPr>
          <w:color w:val="000000" w:themeColor="text1"/>
          <w:sz w:val="26"/>
          <w:szCs w:val="26"/>
        </w:rPr>
        <w:tab/>
        <w:t>9.</w:t>
      </w:r>
      <w:r>
        <w:rPr>
          <w:color w:val="000000" w:themeColor="text1"/>
          <w:sz w:val="26"/>
          <w:szCs w:val="26"/>
        </w:rPr>
        <w:tab/>
        <w:t>That Duquesne</w:t>
      </w:r>
      <w:r w:rsidR="00905351">
        <w:rPr>
          <w:color w:val="000000" w:themeColor="text1"/>
          <w:sz w:val="26"/>
          <w:szCs w:val="26"/>
        </w:rPr>
        <w:t xml:space="preserve"> Light Company</w:t>
      </w:r>
      <w:r>
        <w:rPr>
          <w:color w:val="000000" w:themeColor="text1"/>
          <w:sz w:val="26"/>
          <w:szCs w:val="26"/>
        </w:rPr>
        <w:t xml:space="preserve">’s </w:t>
      </w:r>
      <w:r w:rsidR="00423B60">
        <w:rPr>
          <w:color w:val="000000" w:themeColor="text1"/>
          <w:sz w:val="26"/>
          <w:szCs w:val="26"/>
        </w:rPr>
        <w:t>Default Service Plan filed on April 27, 2012,</w:t>
      </w:r>
      <w:r>
        <w:rPr>
          <w:color w:val="000000" w:themeColor="text1"/>
          <w:sz w:val="26"/>
          <w:szCs w:val="26"/>
        </w:rPr>
        <w:t xml:space="preserve"> is in compliance with 66 Pa. C.S. § 2807(e)(3.7) in that it</w:t>
      </w:r>
      <w:r w:rsidR="00905351">
        <w:rPr>
          <w:color w:val="000000" w:themeColor="text1"/>
          <w:sz w:val="26"/>
          <w:szCs w:val="26"/>
        </w:rPr>
        <w:t>:</w:t>
      </w:r>
      <w:r>
        <w:rPr>
          <w:color w:val="000000" w:themeColor="text1"/>
          <w:sz w:val="26"/>
          <w:szCs w:val="26"/>
        </w:rPr>
        <w:t xml:space="preserve"> </w:t>
      </w:r>
      <w:r w:rsidR="00905351">
        <w:rPr>
          <w:color w:val="000000" w:themeColor="text1"/>
          <w:sz w:val="26"/>
          <w:szCs w:val="26"/>
        </w:rPr>
        <w:t xml:space="preserve">(1) </w:t>
      </w:r>
      <w:r>
        <w:rPr>
          <w:color w:val="000000" w:themeColor="text1"/>
          <w:sz w:val="26"/>
          <w:szCs w:val="26"/>
        </w:rPr>
        <w:t xml:space="preserve">includes prudent steps necessary to negotiate favorable generation supply contracts; (2) </w:t>
      </w:r>
      <w:r w:rsidR="00905351">
        <w:rPr>
          <w:color w:val="000000" w:themeColor="text1"/>
          <w:sz w:val="26"/>
          <w:szCs w:val="26"/>
        </w:rPr>
        <w:t xml:space="preserve">includes prudent steps necessary </w:t>
      </w:r>
      <w:r>
        <w:rPr>
          <w:color w:val="000000" w:themeColor="text1"/>
          <w:sz w:val="26"/>
          <w:szCs w:val="26"/>
        </w:rPr>
        <w:t>to obtain least cost generation supply contracts; and (3) neither the D</w:t>
      </w:r>
      <w:r w:rsidR="00905351">
        <w:rPr>
          <w:color w:val="000000" w:themeColor="text1"/>
          <w:sz w:val="26"/>
          <w:szCs w:val="26"/>
        </w:rPr>
        <w:t>uquesne Light Company</w:t>
      </w:r>
      <w:r>
        <w:rPr>
          <w:color w:val="000000" w:themeColor="text1"/>
          <w:sz w:val="26"/>
          <w:szCs w:val="26"/>
        </w:rPr>
        <w:t xml:space="preserve"> nor </w:t>
      </w:r>
      <w:r w:rsidR="00905351">
        <w:rPr>
          <w:color w:val="000000" w:themeColor="text1"/>
          <w:sz w:val="26"/>
          <w:szCs w:val="26"/>
        </w:rPr>
        <w:t>its</w:t>
      </w:r>
      <w:r>
        <w:rPr>
          <w:color w:val="000000" w:themeColor="text1"/>
          <w:sz w:val="26"/>
          <w:szCs w:val="26"/>
        </w:rPr>
        <w:t xml:space="preserve"> affiliated interests have withheld from the market any generation supply in a manner that violates federal law.</w:t>
      </w:r>
    </w:p>
    <w:p w:rsidR="001D1210" w:rsidRDefault="001D1210" w:rsidP="001D1210">
      <w:pPr>
        <w:spacing w:line="360" w:lineRule="auto"/>
        <w:rPr>
          <w:color w:val="000000" w:themeColor="text1"/>
          <w:sz w:val="26"/>
          <w:szCs w:val="26"/>
        </w:rPr>
      </w:pPr>
    </w:p>
    <w:p w:rsidR="001D1210" w:rsidRDefault="001D1210" w:rsidP="001D1210">
      <w:pPr>
        <w:pStyle w:val="BodyText2"/>
        <w:spacing w:after="0" w:line="360" w:lineRule="auto"/>
        <w:ind w:firstLine="1440"/>
        <w:rPr>
          <w:sz w:val="26"/>
          <w:szCs w:val="26"/>
          <w:lang w:val="en-US"/>
        </w:rPr>
      </w:pPr>
      <w:r w:rsidRPr="00EE5722">
        <w:rPr>
          <w:sz w:val="26"/>
          <w:szCs w:val="26"/>
        </w:rPr>
        <w:t>1</w:t>
      </w:r>
      <w:r>
        <w:rPr>
          <w:sz w:val="26"/>
          <w:szCs w:val="26"/>
        </w:rPr>
        <w:t>0</w:t>
      </w:r>
      <w:r w:rsidRPr="00EE5722">
        <w:rPr>
          <w:sz w:val="26"/>
          <w:szCs w:val="26"/>
        </w:rPr>
        <w:t>.</w:t>
      </w:r>
      <w:r w:rsidRPr="00EE5722">
        <w:rPr>
          <w:sz w:val="26"/>
          <w:szCs w:val="26"/>
        </w:rPr>
        <w:tab/>
        <w:t>That the Petition of Duquesne Light Company for approval of its</w:t>
      </w:r>
      <w:r>
        <w:rPr>
          <w:sz w:val="26"/>
          <w:szCs w:val="26"/>
        </w:rPr>
        <w:t xml:space="preserve"> Default Service </w:t>
      </w:r>
      <w:r w:rsidR="005A3954">
        <w:rPr>
          <w:sz w:val="26"/>
          <w:szCs w:val="26"/>
          <w:lang w:val="en-US"/>
        </w:rPr>
        <w:t xml:space="preserve">Program and Procurement </w:t>
      </w:r>
      <w:r w:rsidR="00905351">
        <w:rPr>
          <w:sz w:val="26"/>
          <w:szCs w:val="26"/>
        </w:rPr>
        <w:t>Plan</w:t>
      </w:r>
      <w:r>
        <w:rPr>
          <w:sz w:val="26"/>
          <w:szCs w:val="26"/>
        </w:rPr>
        <w:t xml:space="preserve">, filed on April 27, 2012, </w:t>
      </w:r>
      <w:r w:rsidRPr="00EE5722">
        <w:rPr>
          <w:sz w:val="26"/>
          <w:szCs w:val="26"/>
        </w:rPr>
        <w:t xml:space="preserve">is </w:t>
      </w:r>
      <w:r>
        <w:rPr>
          <w:sz w:val="26"/>
          <w:szCs w:val="26"/>
        </w:rPr>
        <w:t>granted, in part, and denied, in part consistent with this Opinion and Order.</w:t>
      </w:r>
    </w:p>
    <w:p w:rsidR="008F4B58" w:rsidRPr="008F4B58" w:rsidRDefault="008F4B58" w:rsidP="001D1210">
      <w:pPr>
        <w:pStyle w:val="BodyText2"/>
        <w:spacing w:after="0" w:line="360" w:lineRule="auto"/>
        <w:ind w:firstLine="1440"/>
        <w:rPr>
          <w:sz w:val="26"/>
          <w:szCs w:val="26"/>
          <w:lang w:val="en-US"/>
        </w:rPr>
      </w:pPr>
    </w:p>
    <w:p w:rsidR="001D1210" w:rsidRPr="00686DA3" w:rsidRDefault="001D1210" w:rsidP="001D1210">
      <w:pPr>
        <w:pStyle w:val="BodyText2"/>
        <w:spacing w:after="0" w:line="360" w:lineRule="auto"/>
        <w:ind w:firstLine="1440"/>
        <w:rPr>
          <w:sz w:val="26"/>
          <w:szCs w:val="26"/>
        </w:rPr>
      </w:pPr>
      <w:r>
        <w:rPr>
          <w:sz w:val="26"/>
          <w:szCs w:val="26"/>
        </w:rPr>
        <w:t>11</w:t>
      </w:r>
      <w:r w:rsidRPr="00EE5722">
        <w:rPr>
          <w:sz w:val="26"/>
          <w:szCs w:val="26"/>
        </w:rPr>
        <w:t>.</w:t>
      </w:r>
      <w:r w:rsidRPr="00EE5722">
        <w:rPr>
          <w:sz w:val="26"/>
          <w:szCs w:val="26"/>
        </w:rPr>
        <w:tab/>
        <w:t>That Duquesne Light Company</w:t>
      </w:r>
      <w:r>
        <w:rPr>
          <w:sz w:val="26"/>
          <w:szCs w:val="26"/>
        </w:rPr>
        <w:t xml:space="preserve">, in collaboration with interested </w:t>
      </w:r>
      <w:r w:rsidR="00905351">
        <w:rPr>
          <w:sz w:val="26"/>
          <w:szCs w:val="26"/>
        </w:rPr>
        <w:t>Parties</w:t>
      </w:r>
      <w:r>
        <w:rPr>
          <w:sz w:val="26"/>
          <w:szCs w:val="26"/>
        </w:rPr>
        <w:t xml:space="preserve">, </w:t>
      </w:r>
      <w:r w:rsidR="00905351">
        <w:rPr>
          <w:sz w:val="26"/>
          <w:szCs w:val="26"/>
        </w:rPr>
        <w:t>is</w:t>
      </w:r>
      <w:r>
        <w:rPr>
          <w:sz w:val="26"/>
          <w:szCs w:val="26"/>
        </w:rPr>
        <w:t xml:space="preserve"> directed to submit a </w:t>
      </w:r>
      <w:r w:rsidR="004B6B6E">
        <w:rPr>
          <w:sz w:val="26"/>
          <w:szCs w:val="26"/>
          <w:lang w:val="en-US"/>
        </w:rPr>
        <w:t xml:space="preserve">revised plan or </w:t>
      </w:r>
      <w:r>
        <w:rPr>
          <w:sz w:val="26"/>
          <w:szCs w:val="26"/>
        </w:rPr>
        <w:t xml:space="preserve">proposal </w:t>
      </w:r>
      <w:r w:rsidR="004B6B6E">
        <w:rPr>
          <w:sz w:val="26"/>
          <w:szCs w:val="26"/>
          <w:lang w:val="en-US"/>
        </w:rPr>
        <w:t xml:space="preserve">within forty-five (45) days of the entry date of this Opinion and Order </w:t>
      </w:r>
      <w:r>
        <w:rPr>
          <w:sz w:val="26"/>
          <w:szCs w:val="26"/>
        </w:rPr>
        <w:t xml:space="preserve">to the Commission on how electric generation suppliers </w:t>
      </w:r>
      <w:r w:rsidR="008F4B58">
        <w:rPr>
          <w:sz w:val="26"/>
          <w:szCs w:val="26"/>
          <w:lang w:val="en-US"/>
        </w:rPr>
        <w:t xml:space="preserve">and/or customers </w:t>
      </w:r>
      <w:r>
        <w:rPr>
          <w:sz w:val="26"/>
          <w:szCs w:val="26"/>
        </w:rPr>
        <w:t xml:space="preserve">will pay for the costs of the Retail Market Enhancement </w:t>
      </w:r>
      <w:r w:rsidR="00905351">
        <w:rPr>
          <w:sz w:val="26"/>
          <w:szCs w:val="26"/>
        </w:rPr>
        <w:t>P</w:t>
      </w:r>
      <w:r>
        <w:rPr>
          <w:sz w:val="26"/>
          <w:szCs w:val="26"/>
        </w:rPr>
        <w:t xml:space="preserve">rograms as modified by this Opinion and Order.  </w:t>
      </w:r>
    </w:p>
    <w:p w:rsidR="001D1210" w:rsidRPr="00EE5722" w:rsidRDefault="001D1210" w:rsidP="001D1210">
      <w:pPr>
        <w:pStyle w:val="BodyText2"/>
        <w:spacing w:after="0" w:line="360" w:lineRule="auto"/>
        <w:ind w:firstLine="1440"/>
        <w:rPr>
          <w:sz w:val="26"/>
          <w:szCs w:val="26"/>
        </w:rPr>
      </w:pPr>
    </w:p>
    <w:p w:rsidR="001D1210" w:rsidRDefault="001D1210" w:rsidP="001D1210">
      <w:pPr>
        <w:pStyle w:val="BodyText2"/>
        <w:spacing w:after="0" w:line="360" w:lineRule="auto"/>
        <w:ind w:firstLine="1440"/>
        <w:rPr>
          <w:sz w:val="26"/>
          <w:szCs w:val="26"/>
        </w:rPr>
      </w:pPr>
      <w:r>
        <w:rPr>
          <w:sz w:val="26"/>
          <w:szCs w:val="26"/>
        </w:rPr>
        <w:lastRenderedPageBreak/>
        <w:t>12</w:t>
      </w:r>
      <w:r w:rsidRPr="00EE5722">
        <w:rPr>
          <w:sz w:val="26"/>
          <w:szCs w:val="26"/>
        </w:rPr>
        <w:t>.</w:t>
      </w:r>
      <w:r w:rsidRPr="00EE5722">
        <w:rPr>
          <w:sz w:val="26"/>
          <w:szCs w:val="26"/>
        </w:rPr>
        <w:tab/>
        <w:t xml:space="preserve">That </w:t>
      </w:r>
      <w:r>
        <w:rPr>
          <w:sz w:val="26"/>
          <w:szCs w:val="26"/>
        </w:rPr>
        <w:t xml:space="preserve">licensed electric generation suppliers that elect to participate in the Opt-In Program shall </w:t>
      </w:r>
      <w:r w:rsidR="00EE232C">
        <w:rPr>
          <w:sz w:val="26"/>
          <w:szCs w:val="26"/>
        </w:rPr>
        <w:t>file</w:t>
      </w:r>
      <w:r w:rsidR="00482876">
        <w:rPr>
          <w:sz w:val="26"/>
          <w:szCs w:val="26"/>
          <w:lang w:val="en-US"/>
        </w:rPr>
        <w:t xml:space="preserve">, for Commission </w:t>
      </w:r>
      <w:r w:rsidR="006D07BB">
        <w:rPr>
          <w:sz w:val="26"/>
          <w:szCs w:val="26"/>
          <w:lang w:val="en-US"/>
        </w:rPr>
        <w:t>monitoring</w:t>
      </w:r>
      <w:r w:rsidR="004B6B6E">
        <w:rPr>
          <w:sz w:val="26"/>
          <w:szCs w:val="26"/>
          <w:lang w:val="en-US"/>
        </w:rPr>
        <w:t>,</w:t>
      </w:r>
      <w:r w:rsidR="00EE232C">
        <w:rPr>
          <w:sz w:val="26"/>
          <w:szCs w:val="26"/>
        </w:rPr>
        <w:t xml:space="preserve"> </w:t>
      </w:r>
      <w:r>
        <w:rPr>
          <w:sz w:val="26"/>
          <w:szCs w:val="26"/>
        </w:rPr>
        <w:t>the terms and conditions of their eight-month Opt-In Program offering</w:t>
      </w:r>
      <w:r w:rsidR="00EE232C">
        <w:rPr>
          <w:sz w:val="26"/>
          <w:szCs w:val="26"/>
        </w:rPr>
        <w:t>s with</w:t>
      </w:r>
      <w:r>
        <w:rPr>
          <w:sz w:val="26"/>
          <w:szCs w:val="26"/>
        </w:rPr>
        <w:t xml:space="preserve"> the Commission no later than forty-five days </w:t>
      </w:r>
      <w:r w:rsidR="004B6B6E">
        <w:rPr>
          <w:sz w:val="26"/>
          <w:szCs w:val="26"/>
          <w:lang w:val="en-US"/>
        </w:rPr>
        <w:t xml:space="preserve">(45) </w:t>
      </w:r>
      <w:r>
        <w:rPr>
          <w:sz w:val="26"/>
          <w:szCs w:val="26"/>
        </w:rPr>
        <w:t>before offers are extended to potential customers.</w:t>
      </w:r>
    </w:p>
    <w:p w:rsidR="001D1210" w:rsidRPr="00EE5722" w:rsidRDefault="001D1210" w:rsidP="001D1210">
      <w:pPr>
        <w:pStyle w:val="BodyText2"/>
        <w:spacing w:after="0" w:line="360" w:lineRule="auto"/>
        <w:ind w:firstLine="1440"/>
        <w:rPr>
          <w:sz w:val="26"/>
          <w:szCs w:val="26"/>
        </w:rPr>
      </w:pPr>
      <w:r w:rsidRPr="00EE5722">
        <w:rPr>
          <w:sz w:val="26"/>
          <w:szCs w:val="26"/>
        </w:rPr>
        <w:t xml:space="preserve"> </w:t>
      </w:r>
    </w:p>
    <w:p w:rsidR="001D1210" w:rsidRDefault="001D1210" w:rsidP="001D1210">
      <w:pPr>
        <w:pStyle w:val="BodyText2"/>
        <w:spacing w:after="0" w:line="360" w:lineRule="auto"/>
        <w:ind w:firstLine="1440"/>
        <w:rPr>
          <w:sz w:val="26"/>
          <w:szCs w:val="26"/>
        </w:rPr>
      </w:pPr>
      <w:r>
        <w:rPr>
          <w:sz w:val="26"/>
          <w:szCs w:val="26"/>
        </w:rPr>
        <w:t>13</w:t>
      </w:r>
      <w:r w:rsidRPr="00EE5722">
        <w:rPr>
          <w:sz w:val="26"/>
          <w:szCs w:val="26"/>
        </w:rPr>
        <w:t>.</w:t>
      </w:r>
      <w:r w:rsidRPr="00EE5722">
        <w:rPr>
          <w:sz w:val="26"/>
          <w:szCs w:val="26"/>
        </w:rPr>
        <w:tab/>
        <w:t>That Duquesne Light</w:t>
      </w:r>
      <w:r w:rsidR="001C2568">
        <w:rPr>
          <w:sz w:val="26"/>
          <w:szCs w:val="26"/>
        </w:rPr>
        <w:t xml:space="preserve"> Company, in collaboration with interested </w:t>
      </w:r>
      <w:r w:rsidR="00B534D7">
        <w:rPr>
          <w:sz w:val="26"/>
          <w:szCs w:val="26"/>
        </w:rPr>
        <w:t>Parties</w:t>
      </w:r>
      <w:r w:rsidR="001C2568">
        <w:rPr>
          <w:sz w:val="26"/>
          <w:szCs w:val="26"/>
        </w:rPr>
        <w:t xml:space="preserve">, </w:t>
      </w:r>
      <w:r w:rsidR="00905351">
        <w:rPr>
          <w:sz w:val="26"/>
          <w:szCs w:val="26"/>
        </w:rPr>
        <w:t>is</w:t>
      </w:r>
      <w:r w:rsidR="001C2568">
        <w:rPr>
          <w:sz w:val="26"/>
          <w:szCs w:val="26"/>
        </w:rPr>
        <w:t xml:space="preserve"> directed to submit a proposal to the Commission for customer notification, opt-in enrollment and customer assignment that facilitates</w:t>
      </w:r>
      <w:r w:rsidR="00905351">
        <w:rPr>
          <w:sz w:val="26"/>
          <w:szCs w:val="26"/>
        </w:rPr>
        <w:t xml:space="preserve"> </w:t>
      </w:r>
      <w:r w:rsidR="001C2568">
        <w:rPr>
          <w:sz w:val="26"/>
          <w:szCs w:val="26"/>
        </w:rPr>
        <w:t xml:space="preserve">the implementation of the Opt-In </w:t>
      </w:r>
      <w:r w:rsidR="00B534D7">
        <w:rPr>
          <w:sz w:val="26"/>
          <w:szCs w:val="26"/>
        </w:rPr>
        <w:t>P</w:t>
      </w:r>
      <w:r w:rsidR="001C2568">
        <w:rPr>
          <w:sz w:val="26"/>
          <w:szCs w:val="26"/>
        </w:rPr>
        <w:t xml:space="preserve">rogram, as modified by this Opinion and Order.  </w:t>
      </w:r>
      <w:r w:rsidR="004B6B6E">
        <w:rPr>
          <w:sz w:val="26"/>
          <w:szCs w:val="26"/>
          <w:lang w:val="en-US"/>
        </w:rPr>
        <w:t>Duquesne Light Company shall submit</w:t>
      </w:r>
      <w:r w:rsidR="00731CB9">
        <w:rPr>
          <w:sz w:val="26"/>
          <w:szCs w:val="26"/>
          <w:lang w:val="en-US"/>
        </w:rPr>
        <w:t xml:space="preserve"> </w:t>
      </w:r>
      <w:r w:rsidR="00482876">
        <w:rPr>
          <w:sz w:val="26"/>
          <w:szCs w:val="26"/>
          <w:lang w:val="en-US"/>
        </w:rPr>
        <w:t>its proposal that</w:t>
      </w:r>
      <w:r w:rsidR="00731CB9">
        <w:rPr>
          <w:sz w:val="26"/>
          <w:szCs w:val="26"/>
          <w:lang w:val="en-US"/>
        </w:rPr>
        <w:t xml:space="preserve"> resol</w:t>
      </w:r>
      <w:r w:rsidR="00482876">
        <w:rPr>
          <w:sz w:val="26"/>
          <w:szCs w:val="26"/>
          <w:lang w:val="en-US"/>
        </w:rPr>
        <w:t>ves</w:t>
      </w:r>
      <w:r w:rsidR="00731CB9">
        <w:rPr>
          <w:sz w:val="26"/>
          <w:szCs w:val="26"/>
          <w:lang w:val="en-US"/>
        </w:rPr>
        <w:t xml:space="preserve"> these issues to the Commission within forty-five (45) days of the entry of this Opinion and Order.  </w:t>
      </w:r>
      <w:r w:rsidR="001C2568">
        <w:rPr>
          <w:sz w:val="26"/>
          <w:szCs w:val="26"/>
        </w:rPr>
        <w:t xml:space="preserve"> </w:t>
      </w:r>
      <w:r w:rsidRPr="00EE5722">
        <w:rPr>
          <w:sz w:val="26"/>
          <w:szCs w:val="26"/>
        </w:rPr>
        <w:t xml:space="preserve"> </w:t>
      </w:r>
    </w:p>
    <w:p w:rsidR="001D1210" w:rsidRPr="00EE5722" w:rsidRDefault="001D1210" w:rsidP="001D1210">
      <w:pPr>
        <w:pStyle w:val="BodyText2"/>
        <w:spacing w:after="0" w:line="360" w:lineRule="auto"/>
        <w:ind w:firstLine="1440"/>
        <w:rPr>
          <w:sz w:val="26"/>
          <w:szCs w:val="26"/>
        </w:rPr>
      </w:pPr>
    </w:p>
    <w:p w:rsidR="001D1210" w:rsidRDefault="001D1210" w:rsidP="001D1210">
      <w:pPr>
        <w:spacing w:line="360" w:lineRule="auto"/>
        <w:ind w:firstLine="1440"/>
        <w:rPr>
          <w:sz w:val="26"/>
          <w:szCs w:val="26"/>
        </w:rPr>
      </w:pPr>
      <w:r>
        <w:rPr>
          <w:sz w:val="26"/>
          <w:szCs w:val="26"/>
        </w:rPr>
        <w:t>14</w:t>
      </w:r>
      <w:r w:rsidRPr="00EE5722">
        <w:rPr>
          <w:sz w:val="26"/>
          <w:szCs w:val="26"/>
        </w:rPr>
        <w:t>.</w:t>
      </w:r>
      <w:r w:rsidRPr="00EE5722">
        <w:rPr>
          <w:sz w:val="26"/>
          <w:szCs w:val="26"/>
        </w:rPr>
        <w:tab/>
        <w:t>That Duquesne Light</w:t>
      </w:r>
      <w:r w:rsidR="00905351">
        <w:rPr>
          <w:sz w:val="26"/>
          <w:szCs w:val="26"/>
        </w:rPr>
        <w:t xml:space="preserve"> Company</w:t>
      </w:r>
      <w:r w:rsidR="00686512">
        <w:rPr>
          <w:sz w:val="26"/>
          <w:szCs w:val="26"/>
        </w:rPr>
        <w:t>, in collaboration with other interested Parties</w:t>
      </w:r>
      <w:r w:rsidR="00905351">
        <w:rPr>
          <w:sz w:val="26"/>
          <w:szCs w:val="26"/>
        </w:rPr>
        <w:t>,</w:t>
      </w:r>
      <w:r w:rsidR="00686512">
        <w:rPr>
          <w:sz w:val="26"/>
          <w:szCs w:val="26"/>
        </w:rPr>
        <w:t xml:space="preserve"> shall submit a joint proposal for Commission consideration regarding the resolution of </w:t>
      </w:r>
      <w:r w:rsidR="00905351">
        <w:rPr>
          <w:sz w:val="26"/>
          <w:szCs w:val="26"/>
        </w:rPr>
        <w:t xml:space="preserve">the </w:t>
      </w:r>
      <w:r w:rsidR="00686512">
        <w:rPr>
          <w:sz w:val="26"/>
          <w:szCs w:val="26"/>
        </w:rPr>
        <w:t xml:space="preserve">proposed Opt-In Agreement for electric generation suppliers who participate in </w:t>
      </w:r>
      <w:r w:rsidR="00905351">
        <w:rPr>
          <w:sz w:val="26"/>
          <w:szCs w:val="26"/>
        </w:rPr>
        <w:t>the</w:t>
      </w:r>
      <w:r w:rsidR="00686512">
        <w:rPr>
          <w:sz w:val="26"/>
          <w:szCs w:val="26"/>
        </w:rPr>
        <w:t xml:space="preserve"> Opt-In Program and </w:t>
      </w:r>
      <w:r w:rsidR="00C55A4C">
        <w:rPr>
          <w:sz w:val="26"/>
          <w:szCs w:val="26"/>
        </w:rPr>
        <w:t xml:space="preserve">of </w:t>
      </w:r>
      <w:r w:rsidR="00905351">
        <w:rPr>
          <w:sz w:val="26"/>
          <w:szCs w:val="26"/>
        </w:rPr>
        <w:t>the</w:t>
      </w:r>
      <w:r w:rsidR="00C55A4C">
        <w:rPr>
          <w:sz w:val="26"/>
          <w:szCs w:val="26"/>
        </w:rPr>
        <w:t xml:space="preserve"> proposed Rules and Supplier Agreement for electric generation suppliers who participate in </w:t>
      </w:r>
      <w:r w:rsidR="00905351">
        <w:rPr>
          <w:sz w:val="26"/>
          <w:szCs w:val="26"/>
        </w:rPr>
        <w:t>the</w:t>
      </w:r>
      <w:r w:rsidR="00C55A4C">
        <w:rPr>
          <w:sz w:val="26"/>
          <w:szCs w:val="26"/>
        </w:rPr>
        <w:t xml:space="preserve"> </w:t>
      </w:r>
      <w:r w:rsidR="00686512">
        <w:rPr>
          <w:sz w:val="26"/>
          <w:szCs w:val="26"/>
        </w:rPr>
        <w:t>Standard Offer Program.</w:t>
      </w:r>
      <w:r w:rsidRPr="00EE5722">
        <w:rPr>
          <w:sz w:val="26"/>
          <w:szCs w:val="26"/>
        </w:rPr>
        <w:t xml:space="preserve"> </w:t>
      </w:r>
      <w:r w:rsidR="00482876">
        <w:rPr>
          <w:sz w:val="26"/>
          <w:szCs w:val="26"/>
        </w:rPr>
        <w:t xml:space="preserve"> </w:t>
      </w:r>
      <w:r w:rsidR="004B6B6E">
        <w:rPr>
          <w:sz w:val="26"/>
          <w:szCs w:val="26"/>
        </w:rPr>
        <w:t xml:space="preserve">Duquesne Light Company shall submit </w:t>
      </w:r>
      <w:r w:rsidR="00482876">
        <w:rPr>
          <w:sz w:val="26"/>
          <w:szCs w:val="26"/>
        </w:rPr>
        <w:t xml:space="preserve">revised </w:t>
      </w:r>
      <w:r w:rsidR="004B6B6E">
        <w:rPr>
          <w:sz w:val="26"/>
          <w:szCs w:val="26"/>
        </w:rPr>
        <w:t>documents to the Commission within forty-five (45) days of the entry date of this Opinion and Order.</w:t>
      </w:r>
      <w:r w:rsidR="00686512" w:rsidRPr="00EE5722">
        <w:rPr>
          <w:sz w:val="26"/>
          <w:szCs w:val="26"/>
        </w:rPr>
        <w:t xml:space="preserve"> </w:t>
      </w:r>
    </w:p>
    <w:p w:rsidR="001D1210" w:rsidRPr="00EE5722" w:rsidRDefault="001D1210" w:rsidP="001D1210">
      <w:pPr>
        <w:spacing w:line="360" w:lineRule="auto"/>
        <w:ind w:firstLine="1440"/>
        <w:rPr>
          <w:sz w:val="26"/>
          <w:szCs w:val="26"/>
        </w:rPr>
      </w:pPr>
      <w:bookmarkStart w:id="264" w:name="_GoBack"/>
      <w:bookmarkEnd w:id="264"/>
    </w:p>
    <w:p w:rsidR="001D1210" w:rsidRPr="00EE5722" w:rsidRDefault="001D1210" w:rsidP="001D1210">
      <w:pPr>
        <w:spacing w:line="360" w:lineRule="auto"/>
        <w:ind w:firstLine="1440"/>
        <w:rPr>
          <w:sz w:val="26"/>
          <w:szCs w:val="26"/>
        </w:rPr>
      </w:pPr>
      <w:r>
        <w:rPr>
          <w:sz w:val="26"/>
          <w:szCs w:val="26"/>
        </w:rPr>
        <w:t>15</w:t>
      </w:r>
      <w:r w:rsidRPr="00EE5722">
        <w:rPr>
          <w:sz w:val="26"/>
          <w:szCs w:val="26"/>
        </w:rPr>
        <w:t>.</w:t>
      </w:r>
      <w:r w:rsidRPr="00EE5722">
        <w:rPr>
          <w:sz w:val="26"/>
          <w:szCs w:val="26"/>
        </w:rPr>
        <w:tab/>
        <w:t xml:space="preserve">That Duquesne Light </w:t>
      </w:r>
      <w:r w:rsidR="00905351">
        <w:rPr>
          <w:sz w:val="26"/>
          <w:szCs w:val="26"/>
        </w:rPr>
        <w:t xml:space="preserve">Company </w:t>
      </w:r>
      <w:r w:rsidR="001E4EDF">
        <w:rPr>
          <w:sz w:val="26"/>
          <w:szCs w:val="26"/>
        </w:rPr>
        <w:t xml:space="preserve">is directed to develop a plan that will allow its CAP customers to purchase their generation supply from EGSs by January 1, 2014.  Toward this end, we direct </w:t>
      </w:r>
      <w:r w:rsidR="002D12E1">
        <w:rPr>
          <w:sz w:val="26"/>
          <w:szCs w:val="26"/>
        </w:rPr>
        <w:t xml:space="preserve">the </w:t>
      </w:r>
      <w:r w:rsidR="001E4EDF">
        <w:rPr>
          <w:sz w:val="26"/>
          <w:szCs w:val="26"/>
        </w:rPr>
        <w:t>O</w:t>
      </w:r>
      <w:r w:rsidR="002D12E1">
        <w:rPr>
          <w:sz w:val="26"/>
          <w:szCs w:val="26"/>
        </w:rPr>
        <w:t xml:space="preserve">ffice of </w:t>
      </w:r>
      <w:r w:rsidR="001E4EDF">
        <w:rPr>
          <w:sz w:val="26"/>
          <w:szCs w:val="26"/>
        </w:rPr>
        <w:t>C</w:t>
      </w:r>
      <w:r w:rsidR="002D12E1">
        <w:rPr>
          <w:sz w:val="26"/>
          <w:szCs w:val="26"/>
        </w:rPr>
        <w:t xml:space="preserve">ompetitive </w:t>
      </w:r>
      <w:r w:rsidR="001E4EDF">
        <w:rPr>
          <w:sz w:val="26"/>
          <w:szCs w:val="26"/>
        </w:rPr>
        <w:t>M</w:t>
      </w:r>
      <w:r w:rsidR="002D12E1">
        <w:rPr>
          <w:sz w:val="26"/>
          <w:szCs w:val="26"/>
        </w:rPr>
        <w:t xml:space="preserve">arket </w:t>
      </w:r>
      <w:r w:rsidR="001E4EDF">
        <w:rPr>
          <w:sz w:val="26"/>
          <w:szCs w:val="26"/>
        </w:rPr>
        <w:t>O</w:t>
      </w:r>
      <w:r w:rsidR="002D12E1">
        <w:rPr>
          <w:sz w:val="26"/>
          <w:szCs w:val="26"/>
        </w:rPr>
        <w:t>versight</w:t>
      </w:r>
      <w:r w:rsidR="001E4EDF">
        <w:rPr>
          <w:sz w:val="26"/>
          <w:szCs w:val="26"/>
        </w:rPr>
        <w:t xml:space="preserve"> to work with Duquesne </w:t>
      </w:r>
      <w:r w:rsidR="00905351">
        <w:rPr>
          <w:sz w:val="26"/>
          <w:szCs w:val="26"/>
        </w:rPr>
        <w:t xml:space="preserve">Light Company </w:t>
      </w:r>
      <w:r w:rsidR="001E4EDF">
        <w:rPr>
          <w:sz w:val="26"/>
          <w:szCs w:val="26"/>
        </w:rPr>
        <w:t xml:space="preserve">to: (1) ensure that, to the extent possible, the Opt-In and Standard Offer Programs are available to CAP customers; and (2) provide a path that allows both CAP credits and LIHEAP funds to be used by customers </w:t>
      </w:r>
      <w:r w:rsidR="00B534D7">
        <w:rPr>
          <w:sz w:val="26"/>
          <w:szCs w:val="26"/>
        </w:rPr>
        <w:t>who</w:t>
      </w:r>
      <w:r w:rsidR="001E4EDF">
        <w:rPr>
          <w:sz w:val="26"/>
          <w:szCs w:val="26"/>
        </w:rPr>
        <w:t xml:space="preserve"> choose an EGS to supply their generation service.</w:t>
      </w:r>
    </w:p>
    <w:p w:rsidR="001D1210" w:rsidRPr="00EE5722" w:rsidRDefault="001D1210" w:rsidP="001D1210">
      <w:pPr>
        <w:pStyle w:val="BodyText2"/>
        <w:spacing w:after="0" w:line="360" w:lineRule="auto"/>
        <w:ind w:firstLine="1440"/>
        <w:rPr>
          <w:sz w:val="26"/>
          <w:szCs w:val="26"/>
        </w:rPr>
      </w:pPr>
    </w:p>
    <w:p w:rsidR="001D1210" w:rsidRPr="00EE5722" w:rsidRDefault="003A6DC5" w:rsidP="001D1210">
      <w:pPr>
        <w:pStyle w:val="BodyText2"/>
        <w:spacing w:after="0" w:line="360" w:lineRule="auto"/>
        <w:ind w:firstLine="1440"/>
        <w:rPr>
          <w:sz w:val="26"/>
          <w:szCs w:val="26"/>
        </w:rPr>
      </w:pPr>
      <w:r>
        <w:rPr>
          <w:sz w:val="26"/>
          <w:szCs w:val="26"/>
        </w:rPr>
        <w:lastRenderedPageBreak/>
        <w:t>1</w:t>
      </w:r>
      <w:r w:rsidR="00905351">
        <w:rPr>
          <w:sz w:val="26"/>
          <w:szCs w:val="26"/>
        </w:rPr>
        <w:t>6</w:t>
      </w:r>
      <w:r w:rsidR="001D1210" w:rsidRPr="00EE5722">
        <w:rPr>
          <w:sz w:val="26"/>
          <w:szCs w:val="26"/>
        </w:rPr>
        <w:t>.</w:t>
      </w:r>
      <w:r w:rsidR="001D1210" w:rsidRPr="00EE5722">
        <w:rPr>
          <w:sz w:val="26"/>
          <w:szCs w:val="26"/>
        </w:rPr>
        <w:tab/>
        <w:t xml:space="preserve">That </w:t>
      </w:r>
      <w:r w:rsidR="00D13322" w:rsidRPr="00EE5722">
        <w:rPr>
          <w:sz w:val="26"/>
          <w:szCs w:val="26"/>
        </w:rPr>
        <w:t>52 Pa. Code § 54.187</w:t>
      </w:r>
      <w:r w:rsidR="00D13322">
        <w:rPr>
          <w:sz w:val="26"/>
          <w:szCs w:val="26"/>
        </w:rPr>
        <w:t xml:space="preserve"> is hereby waived in order to allow six month rate changes for residential, Small Commercial and Industrial and Medium Commercial and Industrial customers, consistent with this Opinion and Order</w:t>
      </w:r>
      <w:r w:rsidR="001D1210" w:rsidRPr="00EE5722">
        <w:rPr>
          <w:sz w:val="26"/>
          <w:szCs w:val="26"/>
        </w:rPr>
        <w:t>.</w:t>
      </w:r>
      <w:r>
        <w:rPr>
          <w:sz w:val="26"/>
          <w:szCs w:val="26"/>
        </w:rPr>
        <w:t xml:space="preserve"> </w:t>
      </w:r>
    </w:p>
    <w:p w:rsidR="001D1210" w:rsidRPr="00EE5722" w:rsidRDefault="001D1210" w:rsidP="001D1210">
      <w:pPr>
        <w:pStyle w:val="BodyText2"/>
        <w:spacing w:after="0" w:line="360" w:lineRule="auto"/>
        <w:ind w:firstLine="1440"/>
        <w:rPr>
          <w:sz w:val="26"/>
          <w:szCs w:val="26"/>
        </w:rPr>
      </w:pPr>
    </w:p>
    <w:p w:rsidR="001D1210" w:rsidRDefault="003A6DC5" w:rsidP="001D1210">
      <w:pPr>
        <w:pStyle w:val="BodyText2"/>
        <w:spacing w:after="0" w:line="360" w:lineRule="auto"/>
        <w:ind w:firstLine="1440"/>
        <w:rPr>
          <w:sz w:val="26"/>
          <w:szCs w:val="26"/>
        </w:rPr>
      </w:pPr>
      <w:r>
        <w:rPr>
          <w:sz w:val="26"/>
          <w:szCs w:val="26"/>
        </w:rPr>
        <w:t>1</w:t>
      </w:r>
      <w:r w:rsidR="00905351">
        <w:rPr>
          <w:sz w:val="26"/>
          <w:szCs w:val="26"/>
        </w:rPr>
        <w:t>7</w:t>
      </w:r>
      <w:r w:rsidR="001D1210" w:rsidRPr="00EE5722">
        <w:rPr>
          <w:sz w:val="26"/>
          <w:szCs w:val="26"/>
        </w:rPr>
        <w:t>.</w:t>
      </w:r>
      <w:r w:rsidR="001D1210" w:rsidRPr="00EE5722">
        <w:rPr>
          <w:sz w:val="26"/>
          <w:szCs w:val="26"/>
        </w:rPr>
        <w:tab/>
        <w:t>That Duquesne Light Company shall file</w:t>
      </w:r>
      <w:r w:rsidR="001D1210">
        <w:rPr>
          <w:sz w:val="26"/>
          <w:szCs w:val="26"/>
        </w:rPr>
        <w:t xml:space="preserve"> a revised Default Service Plan, including associated tariff supplements, which reflects all of the revisions set forth in this Opinion and Order.  This revised Default Service Plan shall be filed within </w:t>
      </w:r>
      <w:r w:rsidR="00641231">
        <w:rPr>
          <w:sz w:val="26"/>
          <w:szCs w:val="26"/>
        </w:rPr>
        <w:t>sixty</w:t>
      </w:r>
      <w:r w:rsidR="00731CB9">
        <w:rPr>
          <w:sz w:val="26"/>
          <w:szCs w:val="26"/>
          <w:lang w:val="en-US"/>
        </w:rPr>
        <w:t xml:space="preserve"> (60)</w:t>
      </w:r>
      <w:r w:rsidR="001D1210">
        <w:rPr>
          <w:sz w:val="26"/>
          <w:szCs w:val="26"/>
        </w:rPr>
        <w:t xml:space="preserve"> days of the entry </w:t>
      </w:r>
      <w:r w:rsidR="00731CB9">
        <w:rPr>
          <w:sz w:val="26"/>
          <w:szCs w:val="26"/>
          <w:lang w:val="en-US"/>
        </w:rPr>
        <w:t xml:space="preserve">date </w:t>
      </w:r>
      <w:r w:rsidR="001D1210">
        <w:rPr>
          <w:sz w:val="26"/>
          <w:szCs w:val="26"/>
        </w:rPr>
        <w:t xml:space="preserve">of this Opinion and Order and shall be served on the active Parties to this proceeding. </w:t>
      </w:r>
    </w:p>
    <w:p w:rsidR="001D1210" w:rsidRDefault="001D1210" w:rsidP="001D1210">
      <w:pPr>
        <w:pStyle w:val="BodyText2"/>
        <w:spacing w:after="0" w:line="360" w:lineRule="auto"/>
        <w:ind w:firstLine="1440"/>
        <w:rPr>
          <w:sz w:val="26"/>
          <w:szCs w:val="26"/>
        </w:rPr>
      </w:pPr>
    </w:p>
    <w:p w:rsidR="001D1210" w:rsidRPr="00EE5722" w:rsidRDefault="003A6DC5" w:rsidP="001D1210">
      <w:pPr>
        <w:pStyle w:val="BodyText2"/>
        <w:spacing w:after="0" w:line="360" w:lineRule="auto"/>
        <w:ind w:firstLine="1440"/>
        <w:rPr>
          <w:sz w:val="26"/>
          <w:szCs w:val="26"/>
        </w:rPr>
      </w:pPr>
      <w:r>
        <w:rPr>
          <w:sz w:val="26"/>
          <w:szCs w:val="26"/>
        </w:rPr>
        <w:t>1</w:t>
      </w:r>
      <w:r w:rsidR="00905351">
        <w:rPr>
          <w:sz w:val="26"/>
          <w:szCs w:val="26"/>
        </w:rPr>
        <w:t>8</w:t>
      </w:r>
      <w:r w:rsidR="001D1210">
        <w:rPr>
          <w:sz w:val="26"/>
          <w:szCs w:val="26"/>
        </w:rPr>
        <w:t>.</w:t>
      </w:r>
      <w:r w:rsidR="001D1210">
        <w:rPr>
          <w:sz w:val="26"/>
          <w:szCs w:val="26"/>
        </w:rPr>
        <w:tab/>
        <w:t>That any directive, requirement, disposition, or the like contained in the body of this Opinion and Order, which is not the subject of an individual Ordering Paragraph, shall have the full force and effect as if fully contained in this part.</w:t>
      </w:r>
    </w:p>
    <w:p w:rsidR="001D1210" w:rsidRPr="00EE5722" w:rsidRDefault="001D1210" w:rsidP="001D1210">
      <w:pPr>
        <w:pStyle w:val="BodyText2"/>
        <w:spacing w:after="0" w:line="360" w:lineRule="auto"/>
        <w:ind w:firstLine="1440"/>
        <w:rPr>
          <w:sz w:val="26"/>
          <w:szCs w:val="26"/>
        </w:rPr>
      </w:pPr>
    </w:p>
    <w:bookmarkEnd w:id="263"/>
    <w:p w:rsidR="001D1210" w:rsidRPr="00EE5722" w:rsidRDefault="002A1B8B" w:rsidP="001D1210">
      <w:pPr>
        <w:rPr>
          <w:sz w:val="26"/>
          <w:szCs w:val="26"/>
        </w:rPr>
      </w:pPr>
      <w:r>
        <w:rPr>
          <w:noProof/>
        </w:rPr>
        <w:drawing>
          <wp:anchor distT="0" distB="0" distL="114300" distR="114300" simplePos="0" relativeHeight="251659264" behindDoc="1" locked="0" layoutInCell="1" allowOverlap="1" wp14:anchorId="561989A1" wp14:editId="2CC1C6AC">
            <wp:simplePos x="0" y="0"/>
            <wp:positionH relativeFrom="column">
              <wp:posOffset>3390900</wp:posOffset>
            </wp:positionH>
            <wp:positionV relativeFrom="paragraph">
              <wp:posOffset>4445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1D1210" w:rsidRDefault="001D1210" w:rsidP="001D1210">
      <w:pPr>
        <w:pStyle w:val="BodyText2"/>
        <w:spacing w:after="0" w:line="360" w:lineRule="auto"/>
        <w:ind w:left="4320" w:firstLine="1440"/>
        <w:rPr>
          <w:b/>
          <w:sz w:val="26"/>
          <w:szCs w:val="26"/>
        </w:rPr>
      </w:pPr>
      <w:r>
        <w:rPr>
          <w:b/>
          <w:sz w:val="26"/>
          <w:szCs w:val="26"/>
        </w:rPr>
        <w:t>BY THE COMMISSION,</w:t>
      </w:r>
    </w:p>
    <w:p w:rsidR="001D1210" w:rsidRDefault="001D1210" w:rsidP="001D1210">
      <w:pPr>
        <w:pStyle w:val="BodyText2"/>
        <w:spacing w:after="0" w:line="360" w:lineRule="auto"/>
        <w:ind w:left="4320" w:firstLine="1440"/>
        <w:rPr>
          <w:b/>
          <w:sz w:val="26"/>
          <w:szCs w:val="26"/>
        </w:rPr>
      </w:pPr>
    </w:p>
    <w:p w:rsidR="001D1210" w:rsidRDefault="001D1210" w:rsidP="001D1210">
      <w:pPr>
        <w:pStyle w:val="BodyText2"/>
        <w:spacing w:after="0" w:line="360" w:lineRule="auto"/>
        <w:ind w:left="4320" w:firstLine="1440"/>
        <w:rPr>
          <w:sz w:val="26"/>
          <w:szCs w:val="26"/>
        </w:rPr>
      </w:pPr>
      <w:r>
        <w:rPr>
          <w:sz w:val="26"/>
          <w:szCs w:val="26"/>
        </w:rPr>
        <w:t>Rosemary Chiavetta</w:t>
      </w:r>
    </w:p>
    <w:p w:rsidR="001D1210" w:rsidRDefault="001D1210" w:rsidP="001D1210">
      <w:pPr>
        <w:pStyle w:val="BodyText2"/>
        <w:spacing w:after="0" w:line="360" w:lineRule="auto"/>
        <w:ind w:left="4320" w:firstLine="1440"/>
        <w:rPr>
          <w:sz w:val="26"/>
          <w:szCs w:val="26"/>
        </w:rPr>
      </w:pPr>
      <w:r>
        <w:rPr>
          <w:sz w:val="26"/>
          <w:szCs w:val="26"/>
        </w:rPr>
        <w:t>Secretary</w:t>
      </w:r>
    </w:p>
    <w:p w:rsidR="001D1210" w:rsidRDefault="001D1210" w:rsidP="001D1210">
      <w:pPr>
        <w:pStyle w:val="BodyText2"/>
        <w:spacing w:after="0" w:line="360" w:lineRule="auto"/>
        <w:rPr>
          <w:sz w:val="26"/>
          <w:szCs w:val="26"/>
        </w:rPr>
      </w:pPr>
      <w:r>
        <w:rPr>
          <w:sz w:val="26"/>
          <w:szCs w:val="26"/>
        </w:rPr>
        <w:t>(SEAL)</w:t>
      </w:r>
    </w:p>
    <w:p w:rsidR="001D1210" w:rsidRPr="007933D5" w:rsidRDefault="001D1210" w:rsidP="001D1210">
      <w:pPr>
        <w:pStyle w:val="BodyText2"/>
        <w:spacing w:after="0" w:line="360" w:lineRule="auto"/>
        <w:rPr>
          <w:sz w:val="26"/>
          <w:szCs w:val="26"/>
        </w:rPr>
      </w:pPr>
      <w:r>
        <w:rPr>
          <w:sz w:val="26"/>
          <w:szCs w:val="26"/>
        </w:rPr>
        <w:t>ORDER ADOPTED: January 24, 2013</w:t>
      </w:r>
    </w:p>
    <w:p w:rsidR="001D1210" w:rsidRPr="002A1B8B" w:rsidRDefault="001D1210" w:rsidP="001D1210">
      <w:pPr>
        <w:pStyle w:val="BodyText2"/>
        <w:spacing w:after="0" w:line="360" w:lineRule="auto"/>
        <w:rPr>
          <w:sz w:val="26"/>
          <w:szCs w:val="26"/>
          <w:lang w:val="en-US"/>
        </w:rPr>
      </w:pPr>
      <w:r>
        <w:rPr>
          <w:sz w:val="26"/>
          <w:szCs w:val="26"/>
        </w:rPr>
        <w:t xml:space="preserve">ORDER ENTERED:  </w:t>
      </w:r>
      <w:r w:rsidR="002A1B8B">
        <w:rPr>
          <w:sz w:val="26"/>
          <w:szCs w:val="26"/>
          <w:lang w:val="en-US"/>
        </w:rPr>
        <w:t>January 25, 2013</w:t>
      </w:r>
    </w:p>
    <w:p w:rsidR="001D1210" w:rsidRPr="00AE69C5" w:rsidRDefault="001D1210" w:rsidP="002D3E17">
      <w:pPr>
        <w:pStyle w:val="BodyText2"/>
        <w:spacing w:after="0" w:line="360" w:lineRule="auto"/>
        <w:rPr>
          <w:color w:val="000000" w:themeColor="text1"/>
          <w:sz w:val="26"/>
          <w:szCs w:val="26"/>
        </w:rPr>
      </w:pPr>
    </w:p>
    <w:p w:rsidR="002D3E17" w:rsidRPr="00EE5722" w:rsidRDefault="002D3E17" w:rsidP="002D3E17">
      <w:pPr>
        <w:spacing w:line="360" w:lineRule="auto"/>
        <w:rPr>
          <w:color w:val="000000" w:themeColor="text1"/>
          <w:sz w:val="26"/>
          <w:szCs w:val="26"/>
        </w:rPr>
      </w:pPr>
    </w:p>
    <w:sectPr w:rsidR="002D3E17" w:rsidRPr="00EE5722" w:rsidSect="006C6975">
      <w:footerReference w:type="first" r:id="rId11"/>
      <w:pgSz w:w="12240" w:h="15840" w:code="1"/>
      <w:pgMar w:top="1440" w:right="1440" w:bottom="1440" w:left="1440" w:header="720" w:footer="72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42D" w:rsidRDefault="0016142D">
      <w:r>
        <w:separator/>
      </w:r>
    </w:p>
    <w:p w:rsidR="0016142D" w:rsidRDefault="0016142D"/>
    <w:p w:rsidR="0016142D" w:rsidRDefault="0016142D"/>
  </w:endnote>
  <w:endnote w:type="continuationSeparator" w:id="0">
    <w:p w:rsidR="0016142D" w:rsidRDefault="0016142D">
      <w:r>
        <w:continuationSeparator/>
      </w:r>
    </w:p>
    <w:p w:rsidR="0016142D" w:rsidRDefault="0016142D"/>
    <w:p w:rsidR="0016142D" w:rsidRDefault="001614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603009"/>
      <w:docPartObj>
        <w:docPartGallery w:val="Page Numbers (Bottom of Page)"/>
        <w:docPartUnique/>
      </w:docPartObj>
    </w:sdtPr>
    <w:sdtEndPr>
      <w:rPr>
        <w:noProof/>
        <w:sz w:val="26"/>
        <w:szCs w:val="26"/>
      </w:rPr>
    </w:sdtEndPr>
    <w:sdtContent>
      <w:p w:rsidR="005915E1" w:rsidRPr="00B67E4B" w:rsidRDefault="005915E1">
        <w:pPr>
          <w:pStyle w:val="Footer"/>
          <w:jc w:val="center"/>
          <w:rPr>
            <w:sz w:val="26"/>
            <w:szCs w:val="26"/>
          </w:rPr>
        </w:pPr>
        <w:r w:rsidRPr="00B67E4B">
          <w:rPr>
            <w:sz w:val="26"/>
            <w:szCs w:val="26"/>
          </w:rPr>
          <w:fldChar w:fldCharType="begin"/>
        </w:r>
        <w:r w:rsidRPr="00B67E4B">
          <w:rPr>
            <w:sz w:val="26"/>
            <w:szCs w:val="26"/>
          </w:rPr>
          <w:instrText xml:space="preserve"> PAGE   \* MERGEFORMAT </w:instrText>
        </w:r>
        <w:r w:rsidRPr="00B67E4B">
          <w:rPr>
            <w:sz w:val="26"/>
            <w:szCs w:val="26"/>
          </w:rPr>
          <w:fldChar w:fldCharType="separate"/>
        </w:r>
        <w:r w:rsidR="002A1B8B">
          <w:rPr>
            <w:noProof/>
            <w:sz w:val="26"/>
            <w:szCs w:val="26"/>
          </w:rPr>
          <w:t>247</w:t>
        </w:r>
        <w:r w:rsidRPr="00B67E4B">
          <w:rPr>
            <w:noProof/>
            <w:sz w:val="26"/>
            <w:szCs w:val="2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E1" w:rsidRPr="00392F4E" w:rsidRDefault="005915E1" w:rsidP="00392F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42D" w:rsidRDefault="0016142D">
      <w:r>
        <w:separator/>
      </w:r>
    </w:p>
    <w:p w:rsidR="0016142D" w:rsidRDefault="0016142D"/>
    <w:p w:rsidR="0016142D" w:rsidRDefault="0016142D"/>
  </w:footnote>
  <w:footnote w:type="continuationSeparator" w:id="0">
    <w:p w:rsidR="0016142D" w:rsidRDefault="0016142D">
      <w:r>
        <w:continuationSeparator/>
      </w:r>
    </w:p>
    <w:p w:rsidR="0016142D" w:rsidRDefault="0016142D"/>
    <w:p w:rsidR="0016142D" w:rsidRDefault="0016142D"/>
  </w:footnote>
  <w:footnote w:id="1">
    <w:p w:rsidR="005915E1" w:rsidRPr="00B201CF" w:rsidRDefault="005915E1" w:rsidP="00E3377E">
      <w:pPr>
        <w:pStyle w:val="FootnoteText"/>
        <w:ind w:firstLine="1440"/>
        <w:rPr>
          <w:sz w:val="26"/>
          <w:szCs w:val="26"/>
        </w:rPr>
      </w:pPr>
      <w:r w:rsidRPr="00B201CF">
        <w:rPr>
          <w:rStyle w:val="FootnoteReference"/>
          <w:sz w:val="26"/>
          <w:szCs w:val="26"/>
        </w:rPr>
        <w:footnoteRef/>
      </w:r>
      <w:r w:rsidRPr="00B201CF">
        <w:rPr>
          <w:sz w:val="26"/>
          <w:szCs w:val="26"/>
        </w:rPr>
        <w:t xml:space="preserve"> </w:t>
      </w:r>
      <w:r w:rsidRPr="00B201CF">
        <w:rPr>
          <w:sz w:val="26"/>
          <w:szCs w:val="26"/>
        </w:rPr>
        <w:tab/>
        <w:t>Briefs were not filed by BIE, NextEra, or Noble Americas.</w:t>
      </w:r>
    </w:p>
  </w:footnote>
  <w:footnote w:id="2">
    <w:p w:rsidR="005915E1" w:rsidRPr="009E25A3" w:rsidRDefault="005915E1" w:rsidP="00E3377E">
      <w:pPr>
        <w:pStyle w:val="FootnoteText"/>
        <w:ind w:firstLine="1440"/>
        <w:rPr>
          <w:sz w:val="26"/>
          <w:szCs w:val="26"/>
        </w:rPr>
      </w:pPr>
      <w:r w:rsidRPr="009E25A3">
        <w:rPr>
          <w:rStyle w:val="FootnoteReference"/>
          <w:sz w:val="26"/>
          <w:szCs w:val="26"/>
        </w:rPr>
        <w:footnoteRef/>
      </w:r>
      <w:r w:rsidRPr="009E25A3">
        <w:rPr>
          <w:sz w:val="26"/>
          <w:szCs w:val="26"/>
        </w:rPr>
        <w:t xml:space="preserve"> </w:t>
      </w:r>
      <w:r w:rsidRPr="009E25A3">
        <w:rPr>
          <w:sz w:val="26"/>
          <w:szCs w:val="26"/>
        </w:rPr>
        <w:tab/>
        <w:t xml:space="preserve">The Commission issued an Opinion and Order in this proceeding </w:t>
      </w:r>
      <w:r>
        <w:rPr>
          <w:sz w:val="26"/>
          <w:szCs w:val="26"/>
        </w:rPr>
        <w:t xml:space="preserve">on September 27, 2012, </w:t>
      </w:r>
      <w:r w:rsidRPr="009E25A3">
        <w:rPr>
          <w:sz w:val="26"/>
          <w:szCs w:val="26"/>
        </w:rPr>
        <w:t>that addressed various petitions for reconsideration and requests for cla</w:t>
      </w:r>
      <w:r>
        <w:rPr>
          <w:sz w:val="26"/>
          <w:szCs w:val="26"/>
        </w:rPr>
        <w:t>rification</w:t>
      </w:r>
      <w:r w:rsidRPr="009E25A3">
        <w:rPr>
          <w:sz w:val="26"/>
          <w:szCs w:val="26"/>
        </w:rPr>
        <w:t>, followed by an Amended Opinion and Order issued on October 11, 2012.  The issues addressed on reconsideration did not include the utilization of block procurement for default service.</w:t>
      </w:r>
    </w:p>
  </w:footnote>
  <w:footnote w:id="3">
    <w:p w:rsidR="005915E1" w:rsidRPr="006628E8" w:rsidRDefault="005915E1" w:rsidP="00187D6E">
      <w:pPr>
        <w:pStyle w:val="FootnoteText"/>
        <w:ind w:left="1440"/>
        <w:jc w:val="both"/>
        <w:rPr>
          <w:sz w:val="26"/>
          <w:szCs w:val="26"/>
        </w:rPr>
      </w:pPr>
      <w:r w:rsidRPr="006628E8">
        <w:rPr>
          <w:rStyle w:val="FootnoteReference"/>
          <w:sz w:val="26"/>
          <w:szCs w:val="26"/>
        </w:rPr>
        <w:footnoteRef/>
      </w:r>
      <w:r w:rsidRPr="006628E8">
        <w:rPr>
          <w:sz w:val="26"/>
          <w:szCs w:val="26"/>
        </w:rPr>
        <w:t xml:space="preserve">   </w:t>
      </w:r>
      <w:r w:rsidRPr="006628E8">
        <w:rPr>
          <w:sz w:val="26"/>
          <w:szCs w:val="26"/>
        </w:rPr>
        <w:tab/>
      </w:r>
      <w:r w:rsidRPr="006628E8">
        <w:rPr>
          <w:i/>
          <w:sz w:val="26"/>
          <w:szCs w:val="26"/>
        </w:rPr>
        <w:t>FirstEnergy DSP Order</w:t>
      </w:r>
      <w:r>
        <w:rPr>
          <w:sz w:val="26"/>
          <w:szCs w:val="26"/>
        </w:rPr>
        <w:t xml:space="preserve"> at 26.</w:t>
      </w:r>
    </w:p>
  </w:footnote>
  <w:footnote w:id="4">
    <w:p w:rsidR="005915E1" w:rsidRPr="005B4963" w:rsidRDefault="005915E1" w:rsidP="00E3377E">
      <w:pPr>
        <w:pStyle w:val="FootnoteText"/>
        <w:ind w:firstLine="1440"/>
        <w:rPr>
          <w:sz w:val="26"/>
          <w:szCs w:val="26"/>
        </w:rPr>
      </w:pPr>
      <w:r w:rsidRPr="005B4963">
        <w:rPr>
          <w:rStyle w:val="FootnoteReference"/>
          <w:sz w:val="26"/>
          <w:szCs w:val="26"/>
        </w:rPr>
        <w:footnoteRef/>
      </w:r>
      <w:r w:rsidRPr="005B4963">
        <w:rPr>
          <w:sz w:val="26"/>
          <w:szCs w:val="26"/>
        </w:rPr>
        <w:t xml:space="preserve"> </w:t>
      </w:r>
      <w:r w:rsidRPr="005B4963">
        <w:rPr>
          <w:sz w:val="26"/>
          <w:szCs w:val="26"/>
        </w:rPr>
        <w:tab/>
      </w:r>
      <w:r w:rsidRPr="00270A3D">
        <w:rPr>
          <w:i/>
          <w:sz w:val="26"/>
          <w:szCs w:val="26"/>
        </w:rPr>
        <w:t>Investigation of Pennsylvania’s Retail Electricity Market</w:t>
      </w:r>
      <w:r>
        <w:rPr>
          <w:sz w:val="26"/>
          <w:szCs w:val="26"/>
        </w:rPr>
        <w:t>, Docket No. I</w:t>
      </w:r>
      <w:r>
        <w:rPr>
          <w:sz w:val="26"/>
          <w:szCs w:val="26"/>
        </w:rPr>
        <w:noBreakHyphen/>
      </w:r>
      <w:r w:rsidRPr="005B4963">
        <w:rPr>
          <w:sz w:val="26"/>
          <w:szCs w:val="26"/>
        </w:rPr>
        <w:t>2011-2237952.</w:t>
      </w:r>
    </w:p>
  </w:footnote>
  <w:footnote w:id="5">
    <w:p w:rsidR="005915E1" w:rsidRPr="00854C15" w:rsidRDefault="005915E1" w:rsidP="009B27E8">
      <w:pPr>
        <w:pStyle w:val="FootnoteText"/>
        <w:tabs>
          <w:tab w:val="left" w:pos="900"/>
        </w:tabs>
        <w:ind w:firstLine="1440"/>
        <w:rPr>
          <w:sz w:val="26"/>
          <w:szCs w:val="26"/>
        </w:rPr>
      </w:pPr>
      <w:r w:rsidRPr="00854C15">
        <w:rPr>
          <w:rStyle w:val="FootnoteReference"/>
          <w:sz w:val="26"/>
          <w:szCs w:val="26"/>
        </w:rPr>
        <w:footnoteRef/>
      </w:r>
      <w:r w:rsidRPr="00854C15">
        <w:rPr>
          <w:sz w:val="26"/>
          <w:szCs w:val="26"/>
        </w:rPr>
        <w:t xml:space="preserve"> </w:t>
      </w:r>
      <w:r>
        <w:rPr>
          <w:sz w:val="26"/>
          <w:szCs w:val="26"/>
        </w:rPr>
        <w:tab/>
      </w:r>
      <w:r>
        <w:rPr>
          <w:i/>
          <w:sz w:val="26"/>
          <w:szCs w:val="26"/>
        </w:rPr>
        <w:t>Pike County DSP Order</w:t>
      </w:r>
      <w:r w:rsidRPr="00854C15">
        <w:rPr>
          <w:sz w:val="26"/>
          <w:szCs w:val="26"/>
        </w:rPr>
        <w:t xml:space="preserve"> at 29 (emphasis added).</w:t>
      </w:r>
    </w:p>
  </w:footnote>
  <w:footnote w:id="6">
    <w:p w:rsidR="005915E1" w:rsidRDefault="005915E1" w:rsidP="00187D6E">
      <w:pPr>
        <w:pStyle w:val="FootnoteText"/>
        <w:tabs>
          <w:tab w:val="left" w:pos="900"/>
        </w:tabs>
        <w:ind w:firstLine="1440"/>
      </w:pPr>
      <w:r w:rsidRPr="00854C15">
        <w:rPr>
          <w:rStyle w:val="FootnoteReference"/>
          <w:sz w:val="26"/>
          <w:szCs w:val="26"/>
        </w:rPr>
        <w:footnoteRef/>
      </w:r>
      <w:r w:rsidRPr="00854C15">
        <w:rPr>
          <w:sz w:val="26"/>
          <w:szCs w:val="26"/>
        </w:rPr>
        <w:t xml:space="preserve"> </w:t>
      </w:r>
      <w:r>
        <w:rPr>
          <w:sz w:val="26"/>
          <w:szCs w:val="26"/>
        </w:rPr>
        <w:tab/>
      </w:r>
      <w:r w:rsidRPr="00854C15">
        <w:rPr>
          <w:i/>
          <w:sz w:val="26"/>
          <w:szCs w:val="26"/>
        </w:rPr>
        <w:t>Id</w:t>
      </w:r>
      <w:r w:rsidRPr="00854C15">
        <w:rPr>
          <w:sz w:val="26"/>
          <w:szCs w:val="26"/>
        </w:rPr>
        <w:t>.</w:t>
      </w:r>
    </w:p>
  </w:footnote>
  <w:footnote w:id="7">
    <w:p w:rsidR="005915E1" w:rsidRPr="004C2F4B" w:rsidRDefault="005915E1" w:rsidP="00187D6E">
      <w:pPr>
        <w:pStyle w:val="FootnoteText"/>
        <w:ind w:firstLine="1440"/>
        <w:rPr>
          <w:sz w:val="26"/>
          <w:szCs w:val="26"/>
        </w:rPr>
      </w:pPr>
      <w:r w:rsidRPr="004C2F4B">
        <w:rPr>
          <w:rStyle w:val="FootnoteReference"/>
          <w:sz w:val="26"/>
          <w:szCs w:val="26"/>
        </w:rPr>
        <w:footnoteRef/>
      </w:r>
      <w:r w:rsidRPr="004C2F4B">
        <w:rPr>
          <w:sz w:val="26"/>
          <w:szCs w:val="26"/>
        </w:rPr>
        <w:t xml:space="preserve"> </w:t>
      </w:r>
      <w:r w:rsidRPr="004C2F4B">
        <w:rPr>
          <w:sz w:val="26"/>
          <w:szCs w:val="26"/>
        </w:rPr>
        <w:tab/>
        <w:t>RESA St. 1-SR at 6.</w:t>
      </w:r>
    </w:p>
  </w:footnote>
  <w:footnote w:id="8">
    <w:p w:rsidR="005915E1" w:rsidRPr="004C2F4B" w:rsidRDefault="005915E1" w:rsidP="00187D6E">
      <w:pPr>
        <w:pStyle w:val="FootnoteText"/>
        <w:ind w:firstLine="1440"/>
        <w:rPr>
          <w:sz w:val="26"/>
          <w:szCs w:val="26"/>
        </w:rPr>
      </w:pPr>
      <w:r w:rsidRPr="004C2F4B">
        <w:rPr>
          <w:rStyle w:val="FootnoteReference"/>
          <w:sz w:val="26"/>
          <w:szCs w:val="26"/>
        </w:rPr>
        <w:footnoteRef/>
      </w:r>
      <w:r w:rsidRPr="004C2F4B">
        <w:rPr>
          <w:sz w:val="26"/>
          <w:szCs w:val="26"/>
        </w:rPr>
        <w:t xml:space="preserve"> </w:t>
      </w:r>
      <w:r w:rsidRPr="004C2F4B">
        <w:rPr>
          <w:sz w:val="26"/>
          <w:szCs w:val="26"/>
        </w:rPr>
        <w:tab/>
        <w:t>R.D. at 28-29.</w:t>
      </w:r>
    </w:p>
  </w:footnote>
  <w:footnote w:id="9">
    <w:p w:rsidR="005915E1" w:rsidRPr="00346FF1" w:rsidRDefault="005915E1" w:rsidP="00187D6E">
      <w:pPr>
        <w:pStyle w:val="FootnoteText"/>
        <w:ind w:firstLine="1440"/>
        <w:rPr>
          <w:sz w:val="26"/>
          <w:szCs w:val="26"/>
        </w:rPr>
      </w:pPr>
      <w:r w:rsidRPr="004C2F4B">
        <w:rPr>
          <w:rStyle w:val="FootnoteReference"/>
          <w:sz w:val="26"/>
          <w:szCs w:val="26"/>
        </w:rPr>
        <w:footnoteRef/>
      </w:r>
      <w:r w:rsidRPr="004C2F4B">
        <w:rPr>
          <w:sz w:val="26"/>
          <w:szCs w:val="26"/>
        </w:rPr>
        <w:t xml:space="preserve"> </w:t>
      </w:r>
      <w:r w:rsidRPr="004C2F4B">
        <w:rPr>
          <w:sz w:val="26"/>
          <w:szCs w:val="26"/>
        </w:rPr>
        <w:tab/>
      </w:r>
      <w:r w:rsidRPr="004C2F4B">
        <w:rPr>
          <w:i/>
          <w:sz w:val="26"/>
          <w:szCs w:val="26"/>
        </w:rPr>
        <w:t>See, e.g.,</w:t>
      </w:r>
      <w:r w:rsidRPr="004C2F4B">
        <w:rPr>
          <w:sz w:val="26"/>
          <w:szCs w:val="26"/>
        </w:rPr>
        <w:t xml:space="preserve"> RESA St. 1 at 9; RESA St. 1-SR at 6.</w:t>
      </w:r>
    </w:p>
  </w:footnote>
  <w:footnote w:id="10">
    <w:p w:rsidR="005915E1" w:rsidRPr="00740CF5" w:rsidRDefault="005915E1" w:rsidP="00187D6E">
      <w:pPr>
        <w:pStyle w:val="FootnoteText"/>
        <w:ind w:firstLine="1440"/>
        <w:rPr>
          <w:sz w:val="26"/>
          <w:szCs w:val="26"/>
        </w:rPr>
      </w:pPr>
      <w:r w:rsidRPr="00740CF5">
        <w:rPr>
          <w:rStyle w:val="FootnoteReference"/>
          <w:sz w:val="26"/>
          <w:szCs w:val="26"/>
        </w:rPr>
        <w:footnoteRef/>
      </w:r>
      <w:r w:rsidRPr="00740CF5">
        <w:rPr>
          <w:sz w:val="26"/>
          <w:szCs w:val="26"/>
        </w:rPr>
        <w:t xml:space="preserve"> </w:t>
      </w:r>
      <w:r w:rsidRPr="00740CF5">
        <w:rPr>
          <w:sz w:val="26"/>
          <w:szCs w:val="26"/>
        </w:rPr>
        <w:tab/>
        <w:t>R.D. at 28.</w:t>
      </w:r>
    </w:p>
  </w:footnote>
  <w:footnote w:id="11">
    <w:p w:rsidR="005915E1" w:rsidRPr="00601E7E" w:rsidRDefault="005915E1" w:rsidP="00583866">
      <w:pPr>
        <w:pStyle w:val="FootnoteText"/>
        <w:ind w:firstLine="1440"/>
        <w:rPr>
          <w:sz w:val="26"/>
          <w:szCs w:val="26"/>
        </w:rPr>
      </w:pPr>
      <w:r w:rsidRPr="00601E7E">
        <w:rPr>
          <w:rStyle w:val="FootnoteReference"/>
          <w:sz w:val="26"/>
          <w:szCs w:val="26"/>
        </w:rPr>
        <w:footnoteRef/>
      </w:r>
      <w:r w:rsidRPr="00601E7E">
        <w:rPr>
          <w:sz w:val="26"/>
          <w:szCs w:val="26"/>
        </w:rPr>
        <w:t xml:space="preserve"> </w:t>
      </w:r>
      <w:r>
        <w:rPr>
          <w:sz w:val="26"/>
          <w:szCs w:val="26"/>
        </w:rPr>
        <w:t xml:space="preserve"> </w:t>
      </w:r>
      <w:r>
        <w:rPr>
          <w:sz w:val="26"/>
          <w:szCs w:val="26"/>
        </w:rPr>
        <w:tab/>
      </w:r>
      <w:r w:rsidRPr="00601E7E">
        <w:rPr>
          <w:sz w:val="26"/>
          <w:szCs w:val="26"/>
        </w:rPr>
        <w:t xml:space="preserve">As explained subsequently, </w:t>
      </w:r>
      <w:r>
        <w:rPr>
          <w:sz w:val="26"/>
          <w:szCs w:val="26"/>
        </w:rPr>
        <w:t xml:space="preserve">the </w:t>
      </w:r>
      <w:r w:rsidRPr="00601E7E">
        <w:rPr>
          <w:sz w:val="26"/>
          <w:szCs w:val="26"/>
        </w:rPr>
        <w:t xml:space="preserve">OCA requests that two-year procurements be included in the </w:t>
      </w:r>
      <w:r>
        <w:rPr>
          <w:sz w:val="26"/>
          <w:szCs w:val="26"/>
        </w:rPr>
        <w:t>r</w:t>
      </w:r>
      <w:r w:rsidRPr="00601E7E">
        <w:rPr>
          <w:sz w:val="26"/>
          <w:szCs w:val="26"/>
        </w:rPr>
        <w:t>esidential supply mix.  However, doing so would not require changes in the PTC more frequently than annually.</w:t>
      </w:r>
    </w:p>
  </w:footnote>
  <w:footnote w:id="12">
    <w:p w:rsidR="005915E1" w:rsidRPr="004B7FD0" w:rsidRDefault="005915E1" w:rsidP="00583866">
      <w:pPr>
        <w:pStyle w:val="FootnoteText"/>
        <w:ind w:firstLine="1440"/>
        <w:rPr>
          <w:sz w:val="26"/>
          <w:szCs w:val="26"/>
        </w:rPr>
      </w:pPr>
      <w:r w:rsidRPr="004B7FD0">
        <w:rPr>
          <w:rStyle w:val="FootnoteReference"/>
          <w:sz w:val="26"/>
          <w:szCs w:val="26"/>
        </w:rPr>
        <w:footnoteRef/>
      </w:r>
      <w:r w:rsidRPr="004B7FD0">
        <w:rPr>
          <w:sz w:val="26"/>
          <w:szCs w:val="26"/>
        </w:rPr>
        <w:t xml:space="preserve"> </w:t>
      </w:r>
      <w:r>
        <w:rPr>
          <w:sz w:val="26"/>
          <w:szCs w:val="26"/>
        </w:rPr>
        <w:tab/>
        <w:t>Duquesne argues that, c</w:t>
      </w:r>
      <w:r w:rsidRPr="004B7FD0">
        <w:rPr>
          <w:sz w:val="26"/>
          <w:szCs w:val="26"/>
        </w:rPr>
        <w:t>ontrary to the assertions in RESA’s Exceptions, the ALJ acted appropriately in giving consideration to the Preamble to Act 129</w:t>
      </w:r>
      <w:r>
        <w:rPr>
          <w:sz w:val="26"/>
          <w:szCs w:val="26"/>
        </w:rPr>
        <w:t>,</w:t>
      </w:r>
      <w:r w:rsidRPr="004B7FD0">
        <w:rPr>
          <w:sz w:val="26"/>
          <w:szCs w:val="26"/>
        </w:rPr>
        <w:t xml:space="preserve"> which indicates that the Act was designed to permit consideration of the “benefits of price stability over time.”  </w:t>
      </w:r>
      <w:r>
        <w:rPr>
          <w:sz w:val="26"/>
          <w:szCs w:val="26"/>
        </w:rPr>
        <w:t xml:space="preserve">Preamble to </w:t>
      </w:r>
      <w:r w:rsidRPr="004B7FD0">
        <w:rPr>
          <w:sz w:val="26"/>
          <w:szCs w:val="26"/>
        </w:rPr>
        <w:t>Act 129.</w:t>
      </w:r>
    </w:p>
  </w:footnote>
  <w:footnote w:id="13">
    <w:p w:rsidR="005915E1" w:rsidRPr="004B7FD0" w:rsidRDefault="005915E1" w:rsidP="004B7FD0">
      <w:pPr>
        <w:pStyle w:val="FootnoteText"/>
        <w:ind w:firstLine="1440"/>
        <w:rPr>
          <w:sz w:val="26"/>
          <w:szCs w:val="26"/>
        </w:rPr>
      </w:pPr>
      <w:r w:rsidRPr="004B7FD0">
        <w:rPr>
          <w:rStyle w:val="FootnoteReference"/>
          <w:sz w:val="26"/>
          <w:szCs w:val="26"/>
        </w:rPr>
        <w:footnoteRef/>
      </w:r>
      <w:r w:rsidRPr="004B7FD0">
        <w:rPr>
          <w:sz w:val="26"/>
          <w:szCs w:val="26"/>
        </w:rPr>
        <w:t xml:space="preserve"> </w:t>
      </w:r>
      <w:r>
        <w:rPr>
          <w:sz w:val="26"/>
          <w:szCs w:val="26"/>
        </w:rPr>
        <w:tab/>
        <w:t>OCA Exc.</w:t>
      </w:r>
      <w:r w:rsidRPr="004B7FD0">
        <w:rPr>
          <w:sz w:val="26"/>
          <w:szCs w:val="26"/>
        </w:rPr>
        <w:t xml:space="preserve"> at 5.</w:t>
      </w:r>
    </w:p>
  </w:footnote>
  <w:footnote w:id="14">
    <w:p w:rsidR="005915E1" w:rsidRPr="004B7FD0" w:rsidRDefault="005915E1" w:rsidP="004B7FD0">
      <w:pPr>
        <w:pStyle w:val="FootnoteText"/>
        <w:ind w:firstLine="1440"/>
        <w:jc w:val="both"/>
        <w:rPr>
          <w:sz w:val="26"/>
          <w:szCs w:val="26"/>
        </w:rPr>
      </w:pPr>
      <w:r w:rsidRPr="004B7FD0">
        <w:rPr>
          <w:rStyle w:val="FootnoteReference"/>
          <w:sz w:val="26"/>
          <w:szCs w:val="26"/>
        </w:rPr>
        <w:footnoteRef/>
      </w:r>
      <w:r w:rsidRPr="004B7FD0">
        <w:rPr>
          <w:sz w:val="26"/>
          <w:szCs w:val="26"/>
        </w:rPr>
        <w:t xml:space="preserve"> </w:t>
      </w:r>
      <w:r>
        <w:rPr>
          <w:sz w:val="26"/>
          <w:szCs w:val="26"/>
        </w:rPr>
        <w:tab/>
        <w:t>Under Duquesne's DSP V</w:t>
      </w:r>
      <w:r w:rsidRPr="004B7FD0">
        <w:rPr>
          <w:sz w:val="26"/>
          <w:szCs w:val="26"/>
        </w:rPr>
        <w:t xml:space="preserve">, </w:t>
      </w:r>
      <w:r>
        <w:rPr>
          <w:sz w:val="26"/>
          <w:szCs w:val="26"/>
        </w:rPr>
        <w:t>r</w:t>
      </w:r>
      <w:r w:rsidRPr="004B7FD0">
        <w:rPr>
          <w:sz w:val="26"/>
          <w:szCs w:val="26"/>
        </w:rPr>
        <w:t>e</w:t>
      </w:r>
      <w:r>
        <w:rPr>
          <w:sz w:val="26"/>
          <w:szCs w:val="26"/>
        </w:rPr>
        <w:t>sidential rates were set at a twenty-nine</w:t>
      </w:r>
      <w:r w:rsidRPr="004B7FD0">
        <w:rPr>
          <w:sz w:val="26"/>
          <w:szCs w:val="26"/>
        </w:rPr>
        <w:t>-month fixed rate, and Small and Medium C&amp;I rates were set annually.</w:t>
      </w:r>
    </w:p>
  </w:footnote>
  <w:footnote w:id="15">
    <w:p w:rsidR="005915E1" w:rsidRPr="004B7FD0" w:rsidRDefault="005915E1" w:rsidP="009B27E8">
      <w:pPr>
        <w:pStyle w:val="FootnoteText"/>
        <w:ind w:firstLine="1440"/>
        <w:jc w:val="both"/>
        <w:rPr>
          <w:sz w:val="26"/>
          <w:szCs w:val="26"/>
        </w:rPr>
      </w:pPr>
      <w:r w:rsidRPr="004B7FD0">
        <w:rPr>
          <w:rStyle w:val="FootnoteReference"/>
          <w:sz w:val="26"/>
          <w:szCs w:val="26"/>
        </w:rPr>
        <w:footnoteRef/>
      </w:r>
      <w:r w:rsidRPr="004B7FD0">
        <w:rPr>
          <w:sz w:val="26"/>
          <w:szCs w:val="26"/>
        </w:rPr>
        <w:t xml:space="preserve"> </w:t>
      </w:r>
      <w:r>
        <w:rPr>
          <w:sz w:val="26"/>
          <w:szCs w:val="26"/>
        </w:rPr>
        <w:tab/>
      </w:r>
      <w:r w:rsidRPr="003C36EB">
        <w:rPr>
          <w:i/>
          <w:sz w:val="26"/>
          <w:szCs w:val="26"/>
        </w:rPr>
        <w:t>End-State Tentative Order</w:t>
      </w:r>
      <w:r w:rsidRPr="004B7FD0">
        <w:rPr>
          <w:sz w:val="26"/>
          <w:szCs w:val="26"/>
        </w:rPr>
        <w:t xml:space="preserve"> at 38.</w:t>
      </w:r>
    </w:p>
  </w:footnote>
  <w:footnote w:id="16">
    <w:p w:rsidR="005915E1" w:rsidRPr="00686F16" w:rsidRDefault="005915E1" w:rsidP="004B7FD0">
      <w:pPr>
        <w:pStyle w:val="FootnoteText"/>
        <w:ind w:firstLine="1440"/>
        <w:rPr>
          <w:sz w:val="26"/>
          <w:szCs w:val="26"/>
        </w:rPr>
      </w:pPr>
      <w:r w:rsidRPr="00686F16">
        <w:rPr>
          <w:rStyle w:val="FootnoteReference"/>
          <w:sz w:val="26"/>
          <w:szCs w:val="26"/>
        </w:rPr>
        <w:footnoteRef/>
      </w:r>
      <w:r w:rsidRPr="00686F16">
        <w:rPr>
          <w:sz w:val="26"/>
          <w:szCs w:val="26"/>
        </w:rPr>
        <w:t xml:space="preserve"> </w:t>
      </w:r>
      <w:r w:rsidRPr="00686F16">
        <w:rPr>
          <w:sz w:val="26"/>
          <w:szCs w:val="26"/>
        </w:rPr>
        <w:tab/>
        <w:t>RESA St. 1 at 16; RESA Exh. AW-1.</w:t>
      </w:r>
    </w:p>
  </w:footnote>
  <w:footnote w:id="17">
    <w:p w:rsidR="005915E1" w:rsidRPr="00686F16" w:rsidRDefault="005915E1" w:rsidP="004B7FD0">
      <w:pPr>
        <w:pStyle w:val="FootnoteText"/>
        <w:ind w:firstLine="1440"/>
        <w:rPr>
          <w:sz w:val="26"/>
          <w:szCs w:val="26"/>
        </w:rPr>
      </w:pPr>
      <w:r w:rsidRPr="00686F16">
        <w:rPr>
          <w:rStyle w:val="FootnoteReference"/>
          <w:sz w:val="26"/>
          <w:szCs w:val="26"/>
        </w:rPr>
        <w:footnoteRef/>
      </w:r>
      <w:r>
        <w:rPr>
          <w:sz w:val="26"/>
          <w:szCs w:val="26"/>
        </w:rPr>
        <w:t xml:space="preserve"> </w:t>
      </w:r>
      <w:r>
        <w:rPr>
          <w:sz w:val="26"/>
          <w:szCs w:val="26"/>
        </w:rPr>
        <w:tab/>
        <w:t>Duquesne St. 8-R at 47-48.</w:t>
      </w:r>
    </w:p>
  </w:footnote>
  <w:footnote w:id="18">
    <w:p w:rsidR="005915E1" w:rsidRPr="00686F16" w:rsidRDefault="005915E1" w:rsidP="004B7FD0">
      <w:pPr>
        <w:pStyle w:val="FootnoteText"/>
        <w:ind w:firstLine="1440"/>
        <w:rPr>
          <w:sz w:val="26"/>
          <w:szCs w:val="26"/>
        </w:rPr>
      </w:pPr>
      <w:r w:rsidRPr="00686F16">
        <w:rPr>
          <w:rStyle w:val="FootnoteReference"/>
          <w:sz w:val="26"/>
          <w:szCs w:val="26"/>
        </w:rPr>
        <w:footnoteRef/>
      </w:r>
      <w:r w:rsidRPr="00686F16">
        <w:rPr>
          <w:sz w:val="26"/>
          <w:szCs w:val="26"/>
        </w:rPr>
        <w:t xml:space="preserve"> </w:t>
      </w:r>
      <w:r w:rsidRPr="00686F16">
        <w:rPr>
          <w:sz w:val="26"/>
          <w:szCs w:val="26"/>
        </w:rPr>
        <w:tab/>
        <w:t>RESA St. 1 at 16.</w:t>
      </w:r>
    </w:p>
  </w:footnote>
  <w:footnote w:id="19">
    <w:p w:rsidR="005915E1" w:rsidRPr="0073745A" w:rsidRDefault="005915E1" w:rsidP="004B7FD0">
      <w:pPr>
        <w:pStyle w:val="FootnoteText"/>
        <w:ind w:firstLine="1440"/>
      </w:pPr>
      <w:r w:rsidRPr="00686F16">
        <w:rPr>
          <w:rStyle w:val="FootnoteReference"/>
          <w:sz w:val="26"/>
          <w:szCs w:val="26"/>
        </w:rPr>
        <w:footnoteRef/>
      </w:r>
      <w:r w:rsidRPr="00686F16">
        <w:rPr>
          <w:sz w:val="26"/>
          <w:szCs w:val="26"/>
        </w:rPr>
        <w:t xml:space="preserve"> </w:t>
      </w:r>
      <w:r w:rsidRPr="00686F16">
        <w:rPr>
          <w:sz w:val="26"/>
          <w:szCs w:val="26"/>
        </w:rPr>
        <w:tab/>
        <w:t>RESA St. 1-SR at 13.</w:t>
      </w:r>
    </w:p>
  </w:footnote>
  <w:footnote w:id="20">
    <w:p w:rsidR="005915E1" w:rsidRPr="00E97355" w:rsidRDefault="005915E1" w:rsidP="004B7FD0">
      <w:pPr>
        <w:pStyle w:val="FootnoteText"/>
        <w:tabs>
          <w:tab w:val="left" w:pos="900"/>
        </w:tabs>
        <w:ind w:firstLine="1440"/>
        <w:rPr>
          <w:sz w:val="26"/>
          <w:szCs w:val="26"/>
        </w:rPr>
      </w:pPr>
      <w:r w:rsidRPr="00E97355">
        <w:rPr>
          <w:rStyle w:val="FootnoteReference"/>
          <w:sz w:val="26"/>
          <w:szCs w:val="26"/>
        </w:rPr>
        <w:footnoteRef/>
      </w:r>
      <w:r w:rsidRPr="00E97355">
        <w:rPr>
          <w:sz w:val="26"/>
          <w:szCs w:val="26"/>
        </w:rPr>
        <w:t xml:space="preserve"> </w:t>
      </w:r>
      <w:r>
        <w:rPr>
          <w:sz w:val="26"/>
          <w:szCs w:val="26"/>
        </w:rPr>
        <w:tab/>
      </w:r>
      <w:r w:rsidRPr="00E97355">
        <w:rPr>
          <w:sz w:val="26"/>
          <w:szCs w:val="26"/>
        </w:rPr>
        <w:t>R</w:t>
      </w:r>
      <w:r>
        <w:rPr>
          <w:sz w:val="26"/>
          <w:szCs w:val="26"/>
        </w:rPr>
        <w:t>.</w:t>
      </w:r>
      <w:r w:rsidRPr="00E97355">
        <w:rPr>
          <w:sz w:val="26"/>
          <w:szCs w:val="26"/>
        </w:rPr>
        <w:t>D</w:t>
      </w:r>
      <w:r>
        <w:rPr>
          <w:sz w:val="26"/>
          <w:szCs w:val="26"/>
        </w:rPr>
        <w:t>.</w:t>
      </w:r>
      <w:r w:rsidRPr="00E97355">
        <w:rPr>
          <w:sz w:val="26"/>
          <w:szCs w:val="26"/>
        </w:rPr>
        <w:t xml:space="preserve"> </w:t>
      </w:r>
      <w:r>
        <w:rPr>
          <w:sz w:val="26"/>
          <w:szCs w:val="26"/>
        </w:rPr>
        <w:t>at 29-30; Duquesne St. 8-R at 47-48.</w:t>
      </w:r>
    </w:p>
  </w:footnote>
  <w:footnote w:id="21">
    <w:p w:rsidR="005915E1" w:rsidRPr="00E97355" w:rsidRDefault="005915E1" w:rsidP="004B7FD0">
      <w:pPr>
        <w:pStyle w:val="FootnoteText"/>
        <w:tabs>
          <w:tab w:val="left" w:pos="900"/>
        </w:tabs>
        <w:ind w:firstLine="1440"/>
        <w:rPr>
          <w:sz w:val="26"/>
          <w:szCs w:val="26"/>
        </w:rPr>
      </w:pPr>
      <w:r w:rsidRPr="00E97355">
        <w:rPr>
          <w:rStyle w:val="FootnoteReference"/>
          <w:sz w:val="26"/>
          <w:szCs w:val="26"/>
        </w:rPr>
        <w:footnoteRef/>
      </w:r>
      <w:r w:rsidRPr="00E97355">
        <w:rPr>
          <w:sz w:val="26"/>
          <w:szCs w:val="26"/>
        </w:rPr>
        <w:t xml:space="preserve"> </w:t>
      </w:r>
      <w:r>
        <w:rPr>
          <w:sz w:val="26"/>
          <w:szCs w:val="26"/>
        </w:rPr>
        <w:tab/>
        <w:t>RESA St. 1 at 16, RESA Exh.</w:t>
      </w:r>
      <w:r w:rsidRPr="00E97355">
        <w:rPr>
          <w:sz w:val="26"/>
          <w:szCs w:val="26"/>
        </w:rPr>
        <w:t xml:space="preserve"> AW-1.</w:t>
      </w:r>
    </w:p>
  </w:footnote>
  <w:footnote w:id="22">
    <w:p w:rsidR="005915E1" w:rsidRPr="00E97355" w:rsidRDefault="005915E1" w:rsidP="004B7FD0">
      <w:pPr>
        <w:pStyle w:val="FootnoteText"/>
        <w:tabs>
          <w:tab w:val="left" w:pos="900"/>
        </w:tabs>
        <w:ind w:firstLine="1440"/>
        <w:rPr>
          <w:sz w:val="26"/>
          <w:szCs w:val="26"/>
        </w:rPr>
      </w:pPr>
      <w:r w:rsidRPr="00E97355">
        <w:rPr>
          <w:rStyle w:val="FootnoteReference"/>
          <w:sz w:val="26"/>
          <w:szCs w:val="26"/>
        </w:rPr>
        <w:footnoteRef/>
      </w:r>
      <w:r w:rsidRPr="00E97355">
        <w:rPr>
          <w:sz w:val="26"/>
          <w:szCs w:val="26"/>
        </w:rPr>
        <w:t xml:space="preserve"> </w:t>
      </w:r>
      <w:r>
        <w:rPr>
          <w:sz w:val="26"/>
          <w:szCs w:val="26"/>
        </w:rPr>
        <w:tab/>
      </w:r>
      <w:r w:rsidRPr="00E97355">
        <w:rPr>
          <w:sz w:val="26"/>
          <w:szCs w:val="26"/>
        </w:rPr>
        <w:t>R</w:t>
      </w:r>
      <w:r>
        <w:rPr>
          <w:sz w:val="26"/>
          <w:szCs w:val="26"/>
        </w:rPr>
        <w:t>.</w:t>
      </w:r>
      <w:r w:rsidRPr="00E97355">
        <w:rPr>
          <w:sz w:val="26"/>
          <w:szCs w:val="26"/>
        </w:rPr>
        <w:t>D</w:t>
      </w:r>
      <w:r>
        <w:rPr>
          <w:sz w:val="26"/>
          <w:szCs w:val="26"/>
        </w:rPr>
        <w:t>.</w:t>
      </w:r>
      <w:r w:rsidRPr="00E97355">
        <w:rPr>
          <w:sz w:val="26"/>
          <w:szCs w:val="26"/>
        </w:rPr>
        <w:t xml:space="preserve"> </w:t>
      </w:r>
      <w:r>
        <w:rPr>
          <w:sz w:val="26"/>
          <w:szCs w:val="26"/>
        </w:rPr>
        <w:t xml:space="preserve">at </w:t>
      </w:r>
      <w:r w:rsidRPr="00E97355">
        <w:rPr>
          <w:sz w:val="26"/>
          <w:szCs w:val="26"/>
        </w:rPr>
        <w:t>33.</w:t>
      </w:r>
    </w:p>
  </w:footnote>
  <w:footnote w:id="23">
    <w:p w:rsidR="005915E1" w:rsidRPr="00E97355" w:rsidRDefault="005915E1" w:rsidP="004B7FD0">
      <w:pPr>
        <w:pStyle w:val="FootnoteText"/>
        <w:tabs>
          <w:tab w:val="left" w:pos="900"/>
        </w:tabs>
        <w:ind w:firstLine="1440"/>
        <w:rPr>
          <w:sz w:val="26"/>
          <w:szCs w:val="26"/>
        </w:rPr>
      </w:pPr>
      <w:r w:rsidRPr="00E97355">
        <w:rPr>
          <w:rStyle w:val="FootnoteReference"/>
          <w:sz w:val="26"/>
          <w:szCs w:val="26"/>
        </w:rPr>
        <w:footnoteRef/>
      </w:r>
      <w:r w:rsidRPr="00E97355">
        <w:rPr>
          <w:sz w:val="26"/>
          <w:szCs w:val="26"/>
        </w:rPr>
        <w:t xml:space="preserve"> </w:t>
      </w:r>
      <w:r>
        <w:rPr>
          <w:sz w:val="26"/>
          <w:szCs w:val="26"/>
        </w:rPr>
        <w:tab/>
      </w:r>
      <w:r w:rsidRPr="00E97355">
        <w:rPr>
          <w:i/>
          <w:sz w:val="26"/>
          <w:szCs w:val="26"/>
        </w:rPr>
        <w:t>FirstEnergy D</w:t>
      </w:r>
      <w:r>
        <w:rPr>
          <w:i/>
          <w:sz w:val="26"/>
          <w:szCs w:val="26"/>
        </w:rPr>
        <w:t>SP</w:t>
      </w:r>
      <w:r w:rsidRPr="00E97355">
        <w:rPr>
          <w:i/>
          <w:sz w:val="26"/>
          <w:szCs w:val="26"/>
        </w:rPr>
        <w:t xml:space="preserve"> Order</w:t>
      </w:r>
      <w:r>
        <w:rPr>
          <w:sz w:val="26"/>
          <w:szCs w:val="26"/>
        </w:rPr>
        <w:t xml:space="preserve"> at 26.</w:t>
      </w:r>
    </w:p>
  </w:footnote>
  <w:footnote w:id="24">
    <w:p w:rsidR="005915E1" w:rsidRPr="00E97355" w:rsidRDefault="005915E1" w:rsidP="004B7FD0">
      <w:pPr>
        <w:pStyle w:val="FootnoteText"/>
        <w:tabs>
          <w:tab w:val="left" w:pos="900"/>
        </w:tabs>
        <w:ind w:firstLine="1440"/>
        <w:rPr>
          <w:sz w:val="26"/>
          <w:szCs w:val="26"/>
        </w:rPr>
      </w:pPr>
      <w:r w:rsidRPr="00E97355">
        <w:rPr>
          <w:rStyle w:val="FootnoteReference"/>
          <w:sz w:val="26"/>
          <w:szCs w:val="26"/>
        </w:rPr>
        <w:footnoteRef/>
      </w:r>
      <w:r w:rsidRPr="00E97355">
        <w:rPr>
          <w:sz w:val="26"/>
          <w:szCs w:val="26"/>
        </w:rPr>
        <w:t xml:space="preserve"> </w:t>
      </w:r>
      <w:r>
        <w:rPr>
          <w:sz w:val="26"/>
          <w:szCs w:val="26"/>
        </w:rPr>
        <w:tab/>
        <w:t xml:space="preserve">RESA St. 1 at 9-10; RESA St. </w:t>
      </w:r>
      <w:r w:rsidRPr="00E97355">
        <w:rPr>
          <w:sz w:val="26"/>
          <w:szCs w:val="26"/>
        </w:rPr>
        <w:t>1-SR at 13.</w:t>
      </w:r>
    </w:p>
  </w:footnote>
  <w:footnote w:id="25">
    <w:p w:rsidR="005915E1" w:rsidRDefault="005915E1" w:rsidP="004B7FD0">
      <w:pPr>
        <w:pStyle w:val="FootnoteText"/>
        <w:tabs>
          <w:tab w:val="left" w:pos="900"/>
        </w:tabs>
        <w:ind w:firstLine="1440"/>
      </w:pPr>
      <w:r w:rsidRPr="00E97355">
        <w:rPr>
          <w:rStyle w:val="FootnoteReference"/>
          <w:sz w:val="26"/>
          <w:szCs w:val="26"/>
        </w:rPr>
        <w:footnoteRef/>
      </w:r>
      <w:r w:rsidRPr="00E97355">
        <w:rPr>
          <w:sz w:val="26"/>
          <w:szCs w:val="26"/>
        </w:rPr>
        <w:t xml:space="preserve"> </w:t>
      </w:r>
      <w:r>
        <w:rPr>
          <w:sz w:val="26"/>
          <w:szCs w:val="26"/>
        </w:rPr>
        <w:tab/>
      </w:r>
      <w:r>
        <w:rPr>
          <w:bCs/>
          <w:sz w:val="26"/>
          <w:szCs w:val="26"/>
        </w:rPr>
        <w:t xml:space="preserve">Duquesne St. </w:t>
      </w:r>
      <w:r w:rsidRPr="00E97355">
        <w:rPr>
          <w:bCs/>
          <w:sz w:val="26"/>
          <w:szCs w:val="26"/>
        </w:rPr>
        <w:t>8-R at 48, 49.</w:t>
      </w:r>
    </w:p>
  </w:footnote>
  <w:footnote w:id="26">
    <w:p w:rsidR="005915E1" w:rsidRPr="00E97355" w:rsidRDefault="005915E1" w:rsidP="004B7FD0">
      <w:pPr>
        <w:pStyle w:val="FootnoteText"/>
        <w:tabs>
          <w:tab w:val="left" w:pos="900"/>
        </w:tabs>
        <w:ind w:firstLine="1440"/>
        <w:rPr>
          <w:sz w:val="26"/>
          <w:szCs w:val="26"/>
        </w:rPr>
      </w:pPr>
      <w:r w:rsidRPr="00E97355">
        <w:rPr>
          <w:rStyle w:val="FootnoteReference"/>
          <w:sz w:val="26"/>
          <w:szCs w:val="26"/>
        </w:rPr>
        <w:footnoteRef/>
      </w:r>
      <w:r w:rsidRPr="00E97355">
        <w:rPr>
          <w:sz w:val="26"/>
          <w:szCs w:val="26"/>
        </w:rPr>
        <w:t xml:space="preserve"> </w:t>
      </w:r>
      <w:r>
        <w:rPr>
          <w:sz w:val="26"/>
          <w:szCs w:val="26"/>
        </w:rPr>
        <w:tab/>
      </w:r>
      <w:r>
        <w:rPr>
          <w:bCs/>
          <w:sz w:val="26"/>
          <w:szCs w:val="26"/>
        </w:rPr>
        <w:t xml:space="preserve">Duquesne St. </w:t>
      </w:r>
      <w:r w:rsidRPr="00E97355">
        <w:rPr>
          <w:bCs/>
          <w:sz w:val="26"/>
          <w:szCs w:val="26"/>
        </w:rPr>
        <w:t>8-R at 30</w:t>
      </w:r>
      <w:r>
        <w:rPr>
          <w:bCs/>
          <w:sz w:val="26"/>
          <w:szCs w:val="26"/>
        </w:rPr>
        <w:t>, 48-49</w:t>
      </w:r>
      <w:r w:rsidRPr="00E97355">
        <w:rPr>
          <w:bCs/>
          <w:sz w:val="26"/>
          <w:szCs w:val="26"/>
        </w:rPr>
        <w:t>.</w:t>
      </w:r>
    </w:p>
  </w:footnote>
  <w:footnote w:id="27">
    <w:p w:rsidR="005915E1" w:rsidRPr="004B7FD0" w:rsidRDefault="005915E1" w:rsidP="00B67E4B">
      <w:pPr>
        <w:pStyle w:val="FootnoteText"/>
        <w:ind w:firstLine="1440"/>
        <w:rPr>
          <w:sz w:val="26"/>
          <w:szCs w:val="26"/>
        </w:rPr>
      </w:pPr>
      <w:r w:rsidRPr="004B7FD0">
        <w:rPr>
          <w:rStyle w:val="FootnoteReference"/>
          <w:sz w:val="26"/>
          <w:szCs w:val="26"/>
        </w:rPr>
        <w:footnoteRef/>
      </w:r>
      <w:r w:rsidRPr="004B7FD0">
        <w:rPr>
          <w:sz w:val="26"/>
          <w:szCs w:val="26"/>
        </w:rPr>
        <w:t xml:space="preserve"> </w:t>
      </w:r>
      <w:r>
        <w:rPr>
          <w:sz w:val="26"/>
          <w:szCs w:val="26"/>
        </w:rPr>
        <w:tab/>
        <w:t xml:space="preserve">Duquesne states that </w:t>
      </w:r>
      <w:r w:rsidRPr="004B7FD0">
        <w:rPr>
          <w:sz w:val="26"/>
          <w:szCs w:val="26"/>
        </w:rPr>
        <w:t xml:space="preserve">RESA also incorrectly asserts, as it has done </w:t>
      </w:r>
      <w:r>
        <w:rPr>
          <w:sz w:val="26"/>
          <w:szCs w:val="26"/>
        </w:rPr>
        <w:t>in the past, that Duquesne</w:t>
      </w:r>
      <w:r w:rsidRPr="004B7FD0">
        <w:rPr>
          <w:sz w:val="26"/>
          <w:szCs w:val="26"/>
        </w:rPr>
        <w:t xml:space="preserve">’s criticism of </w:t>
      </w:r>
      <w:r>
        <w:rPr>
          <w:sz w:val="26"/>
          <w:szCs w:val="26"/>
        </w:rPr>
        <w:t xml:space="preserve">the </w:t>
      </w:r>
      <w:r w:rsidRPr="004B7FD0">
        <w:rPr>
          <w:sz w:val="26"/>
          <w:szCs w:val="26"/>
        </w:rPr>
        <w:t>OCA’s proposal for two-year contracts contradicts the Company’s proposal for back-to-back one-year contracts.  RESA M</w:t>
      </w:r>
      <w:r>
        <w:rPr>
          <w:sz w:val="26"/>
          <w:szCs w:val="26"/>
        </w:rPr>
        <w:t>.</w:t>
      </w:r>
      <w:r w:rsidRPr="004B7FD0">
        <w:rPr>
          <w:sz w:val="26"/>
          <w:szCs w:val="26"/>
        </w:rPr>
        <w:t>B</w:t>
      </w:r>
      <w:r>
        <w:rPr>
          <w:sz w:val="26"/>
          <w:szCs w:val="26"/>
        </w:rPr>
        <w:t xml:space="preserve">. at 27.  The Company has </w:t>
      </w:r>
      <w:r w:rsidRPr="004B7FD0">
        <w:rPr>
          <w:sz w:val="26"/>
          <w:szCs w:val="26"/>
        </w:rPr>
        <w:t>explained on numerous occasions that RESA has incorrec</w:t>
      </w:r>
      <w:r>
        <w:rPr>
          <w:sz w:val="26"/>
          <w:szCs w:val="26"/>
        </w:rPr>
        <w:t xml:space="preserve">tly characterized Duquesne’s argument.  Duquesne St. 8-RJ at 21-24; Duquesne R.B. at </w:t>
      </w:r>
      <w:r w:rsidRPr="004B7FD0">
        <w:rPr>
          <w:sz w:val="26"/>
          <w:szCs w:val="26"/>
        </w:rPr>
        <w:t>14.</w:t>
      </w:r>
    </w:p>
  </w:footnote>
  <w:footnote w:id="28">
    <w:p w:rsidR="005915E1" w:rsidRPr="00346FF1" w:rsidRDefault="005915E1" w:rsidP="004B7FD0">
      <w:pPr>
        <w:pStyle w:val="FootnoteText"/>
        <w:ind w:firstLine="1440"/>
        <w:rPr>
          <w:sz w:val="26"/>
          <w:szCs w:val="26"/>
        </w:rPr>
      </w:pPr>
      <w:r w:rsidRPr="00346FF1">
        <w:rPr>
          <w:rStyle w:val="FootnoteReference"/>
          <w:sz w:val="26"/>
          <w:szCs w:val="26"/>
        </w:rPr>
        <w:footnoteRef/>
      </w:r>
      <w:r>
        <w:rPr>
          <w:sz w:val="26"/>
          <w:szCs w:val="26"/>
        </w:rPr>
        <w:t xml:space="preserve"> </w:t>
      </w:r>
      <w:r>
        <w:rPr>
          <w:sz w:val="26"/>
          <w:szCs w:val="26"/>
        </w:rPr>
        <w:tab/>
        <w:t xml:space="preserve">Duquesne St. </w:t>
      </w:r>
      <w:r w:rsidRPr="00346FF1">
        <w:rPr>
          <w:sz w:val="26"/>
          <w:szCs w:val="26"/>
        </w:rPr>
        <w:t xml:space="preserve">8-R at </w:t>
      </w:r>
      <w:r>
        <w:rPr>
          <w:sz w:val="26"/>
          <w:szCs w:val="26"/>
        </w:rPr>
        <w:t xml:space="preserve">23-24, </w:t>
      </w:r>
      <w:r w:rsidRPr="00346FF1">
        <w:rPr>
          <w:sz w:val="26"/>
          <w:szCs w:val="26"/>
        </w:rPr>
        <w:t>27.</w:t>
      </w:r>
    </w:p>
  </w:footnote>
  <w:footnote w:id="29">
    <w:p w:rsidR="005915E1" w:rsidRPr="00346FF1" w:rsidRDefault="005915E1" w:rsidP="00DE646A">
      <w:pPr>
        <w:pStyle w:val="FootnoteText"/>
        <w:ind w:firstLine="1440"/>
        <w:rPr>
          <w:sz w:val="26"/>
          <w:szCs w:val="26"/>
        </w:rPr>
      </w:pPr>
      <w:r w:rsidRPr="00346FF1">
        <w:rPr>
          <w:rStyle w:val="FootnoteReference"/>
          <w:sz w:val="26"/>
          <w:szCs w:val="26"/>
        </w:rPr>
        <w:footnoteRef/>
      </w:r>
      <w:r>
        <w:rPr>
          <w:sz w:val="26"/>
          <w:szCs w:val="26"/>
        </w:rPr>
        <w:t xml:space="preserve"> </w:t>
      </w:r>
      <w:r>
        <w:rPr>
          <w:sz w:val="26"/>
          <w:szCs w:val="26"/>
        </w:rPr>
        <w:tab/>
        <w:t xml:space="preserve">RESA St. </w:t>
      </w:r>
      <w:r w:rsidRPr="00346FF1">
        <w:rPr>
          <w:sz w:val="26"/>
          <w:szCs w:val="26"/>
        </w:rPr>
        <w:t>1 at 14, 22; Exh. AW-1</w:t>
      </w:r>
    </w:p>
  </w:footnote>
  <w:footnote w:id="30">
    <w:p w:rsidR="005915E1" w:rsidRPr="00346FF1" w:rsidRDefault="005915E1" w:rsidP="00DE646A">
      <w:pPr>
        <w:pStyle w:val="FootnoteText"/>
        <w:ind w:firstLine="1440"/>
        <w:rPr>
          <w:sz w:val="26"/>
          <w:szCs w:val="26"/>
        </w:rPr>
      </w:pPr>
      <w:r w:rsidRPr="00346FF1">
        <w:rPr>
          <w:rStyle w:val="FootnoteReference"/>
          <w:sz w:val="26"/>
          <w:szCs w:val="26"/>
        </w:rPr>
        <w:footnoteRef/>
      </w:r>
      <w:r>
        <w:rPr>
          <w:sz w:val="26"/>
          <w:szCs w:val="26"/>
        </w:rPr>
        <w:t xml:space="preserve"> </w:t>
      </w:r>
      <w:r>
        <w:rPr>
          <w:sz w:val="26"/>
          <w:szCs w:val="26"/>
        </w:rPr>
        <w:tab/>
        <w:t xml:space="preserve">RESA St. </w:t>
      </w:r>
      <w:r w:rsidRPr="00346FF1">
        <w:rPr>
          <w:sz w:val="26"/>
          <w:szCs w:val="26"/>
        </w:rPr>
        <w:t>1 at 13.</w:t>
      </w:r>
    </w:p>
  </w:footnote>
  <w:footnote w:id="31">
    <w:p w:rsidR="005915E1" w:rsidRPr="00A102E6" w:rsidRDefault="005915E1" w:rsidP="00DE646A">
      <w:pPr>
        <w:pStyle w:val="FootnoteText"/>
        <w:ind w:firstLine="1440"/>
      </w:pPr>
      <w:r w:rsidRPr="00346FF1">
        <w:rPr>
          <w:rStyle w:val="FootnoteReference"/>
          <w:sz w:val="26"/>
          <w:szCs w:val="26"/>
        </w:rPr>
        <w:footnoteRef/>
      </w:r>
      <w:r>
        <w:rPr>
          <w:sz w:val="26"/>
          <w:szCs w:val="26"/>
        </w:rPr>
        <w:t xml:space="preserve"> </w:t>
      </w:r>
      <w:r>
        <w:rPr>
          <w:sz w:val="26"/>
          <w:szCs w:val="26"/>
        </w:rPr>
        <w:tab/>
        <w:t xml:space="preserve">RESA St. </w:t>
      </w:r>
      <w:r w:rsidRPr="00346FF1">
        <w:rPr>
          <w:sz w:val="26"/>
          <w:szCs w:val="26"/>
        </w:rPr>
        <w:t>1 at 18; RESA</w:t>
      </w:r>
      <w:r>
        <w:rPr>
          <w:sz w:val="26"/>
          <w:szCs w:val="26"/>
        </w:rPr>
        <w:t xml:space="preserve"> St. </w:t>
      </w:r>
      <w:r w:rsidRPr="00346FF1">
        <w:rPr>
          <w:sz w:val="26"/>
          <w:szCs w:val="26"/>
        </w:rPr>
        <w:t>1-R at 6.</w:t>
      </w:r>
    </w:p>
  </w:footnote>
  <w:footnote w:id="32">
    <w:p w:rsidR="005915E1" w:rsidRPr="00346FF1" w:rsidRDefault="005915E1" w:rsidP="00DE646A">
      <w:pPr>
        <w:pStyle w:val="FootnoteText"/>
        <w:ind w:firstLine="1440"/>
        <w:rPr>
          <w:sz w:val="26"/>
          <w:szCs w:val="26"/>
        </w:rPr>
      </w:pPr>
      <w:r w:rsidRPr="00346FF1">
        <w:rPr>
          <w:rStyle w:val="FootnoteReference"/>
          <w:sz w:val="26"/>
          <w:szCs w:val="26"/>
        </w:rPr>
        <w:footnoteRef/>
      </w:r>
      <w:r>
        <w:rPr>
          <w:sz w:val="26"/>
          <w:szCs w:val="26"/>
        </w:rPr>
        <w:tab/>
        <w:t xml:space="preserve">OSBA St. </w:t>
      </w:r>
      <w:r w:rsidRPr="00346FF1">
        <w:rPr>
          <w:sz w:val="26"/>
          <w:szCs w:val="26"/>
        </w:rPr>
        <w:t xml:space="preserve">1 at 4, </w:t>
      </w:r>
      <w:r w:rsidRPr="00346FF1">
        <w:rPr>
          <w:i/>
          <w:sz w:val="26"/>
          <w:szCs w:val="26"/>
        </w:rPr>
        <w:t>citing</w:t>
      </w:r>
      <w:r>
        <w:rPr>
          <w:sz w:val="26"/>
          <w:szCs w:val="26"/>
        </w:rPr>
        <w:t xml:space="preserve"> Duquesne St. </w:t>
      </w:r>
      <w:r w:rsidRPr="00346FF1">
        <w:rPr>
          <w:sz w:val="26"/>
          <w:szCs w:val="26"/>
        </w:rPr>
        <w:t>2 at 13.</w:t>
      </w:r>
    </w:p>
    <w:p w:rsidR="005915E1" w:rsidRPr="009A36EA" w:rsidRDefault="005915E1" w:rsidP="00EA3978">
      <w:pPr>
        <w:pStyle w:val="FootnoteText"/>
      </w:pPr>
    </w:p>
  </w:footnote>
  <w:footnote w:id="33">
    <w:p w:rsidR="005915E1" w:rsidRPr="00C84D5B" w:rsidRDefault="005915E1" w:rsidP="00DE646A">
      <w:pPr>
        <w:pStyle w:val="FootnoteText"/>
        <w:tabs>
          <w:tab w:val="left" w:pos="900"/>
          <w:tab w:val="left" w:pos="990"/>
        </w:tabs>
        <w:ind w:firstLine="1440"/>
        <w:rPr>
          <w:sz w:val="26"/>
          <w:szCs w:val="26"/>
        </w:rPr>
      </w:pPr>
      <w:r w:rsidRPr="00C84D5B">
        <w:rPr>
          <w:rStyle w:val="FootnoteReference"/>
          <w:sz w:val="26"/>
          <w:szCs w:val="26"/>
        </w:rPr>
        <w:footnoteRef/>
      </w:r>
      <w:r w:rsidRPr="00C84D5B">
        <w:rPr>
          <w:sz w:val="26"/>
          <w:szCs w:val="26"/>
        </w:rPr>
        <w:t xml:space="preserve"> </w:t>
      </w:r>
      <w:r>
        <w:rPr>
          <w:sz w:val="26"/>
          <w:szCs w:val="26"/>
        </w:rPr>
        <w:tab/>
      </w:r>
      <w:r w:rsidRPr="00C84D5B">
        <w:rPr>
          <w:sz w:val="26"/>
          <w:szCs w:val="26"/>
        </w:rPr>
        <w:t xml:space="preserve">Duquesne </w:t>
      </w:r>
      <w:r w:rsidRPr="00C84D5B">
        <w:rPr>
          <w:bCs/>
          <w:sz w:val="26"/>
          <w:szCs w:val="26"/>
        </w:rPr>
        <w:t xml:space="preserve">St. </w:t>
      </w:r>
      <w:r>
        <w:rPr>
          <w:bCs/>
          <w:sz w:val="26"/>
          <w:szCs w:val="26"/>
        </w:rPr>
        <w:t xml:space="preserve">2 at 11; </w:t>
      </w:r>
      <w:r w:rsidRPr="00C84D5B">
        <w:rPr>
          <w:bCs/>
          <w:sz w:val="26"/>
          <w:szCs w:val="26"/>
        </w:rPr>
        <w:t>Exh. J</w:t>
      </w:r>
      <w:r>
        <w:rPr>
          <w:bCs/>
          <w:sz w:val="26"/>
          <w:szCs w:val="26"/>
        </w:rPr>
        <w:t>EW-5.</w:t>
      </w:r>
    </w:p>
  </w:footnote>
  <w:footnote w:id="34">
    <w:p w:rsidR="005915E1" w:rsidRPr="00C84D5B" w:rsidRDefault="005915E1" w:rsidP="00DE646A">
      <w:pPr>
        <w:pStyle w:val="FootnoteText"/>
        <w:tabs>
          <w:tab w:val="left" w:pos="900"/>
          <w:tab w:val="left" w:pos="990"/>
        </w:tabs>
        <w:ind w:firstLine="1440"/>
        <w:rPr>
          <w:sz w:val="26"/>
          <w:szCs w:val="26"/>
        </w:rPr>
      </w:pPr>
      <w:r w:rsidRPr="00C84D5B">
        <w:rPr>
          <w:rStyle w:val="FootnoteReference"/>
          <w:sz w:val="26"/>
          <w:szCs w:val="26"/>
        </w:rPr>
        <w:footnoteRef/>
      </w:r>
      <w:r>
        <w:rPr>
          <w:sz w:val="26"/>
          <w:szCs w:val="26"/>
        </w:rPr>
        <w:t xml:space="preserve"> </w:t>
      </w:r>
      <w:r>
        <w:rPr>
          <w:sz w:val="26"/>
          <w:szCs w:val="26"/>
        </w:rPr>
        <w:tab/>
        <w:t xml:space="preserve">RESA St. </w:t>
      </w:r>
      <w:r w:rsidRPr="00C84D5B">
        <w:rPr>
          <w:sz w:val="26"/>
          <w:szCs w:val="26"/>
        </w:rPr>
        <w:t>1 at 14, 22; Exh. AW-1.</w:t>
      </w:r>
    </w:p>
  </w:footnote>
  <w:footnote w:id="35">
    <w:p w:rsidR="005915E1" w:rsidRPr="00C84D5B" w:rsidRDefault="005915E1" w:rsidP="00DE646A">
      <w:pPr>
        <w:pStyle w:val="FootnoteText"/>
        <w:tabs>
          <w:tab w:val="left" w:pos="900"/>
          <w:tab w:val="left" w:pos="990"/>
        </w:tabs>
        <w:ind w:firstLine="1440"/>
        <w:rPr>
          <w:sz w:val="26"/>
          <w:szCs w:val="26"/>
        </w:rPr>
      </w:pPr>
      <w:r w:rsidRPr="00C84D5B">
        <w:rPr>
          <w:rStyle w:val="FootnoteReference"/>
          <w:sz w:val="26"/>
          <w:szCs w:val="26"/>
        </w:rPr>
        <w:footnoteRef/>
      </w:r>
      <w:r>
        <w:rPr>
          <w:sz w:val="26"/>
          <w:szCs w:val="26"/>
        </w:rPr>
        <w:t xml:space="preserve"> </w:t>
      </w:r>
      <w:r>
        <w:rPr>
          <w:sz w:val="26"/>
          <w:szCs w:val="26"/>
        </w:rPr>
        <w:tab/>
        <w:t xml:space="preserve">RESA St. </w:t>
      </w:r>
      <w:r w:rsidRPr="00C84D5B">
        <w:rPr>
          <w:sz w:val="26"/>
          <w:szCs w:val="26"/>
        </w:rPr>
        <w:t>1 at 13.</w:t>
      </w:r>
    </w:p>
  </w:footnote>
  <w:footnote w:id="36">
    <w:p w:rsidR="005915E1" w:rsidRPr="00C84D5B" w:rsidRDefault="005915E1" w:rsidP="00DE646A">
      <w:pPr>
        <w:pStyle w:val="FootnoteText"/>
        <w:tabs>
          <w:tab w:val="left" w:pos="900"/>
        </w:tabs>
        <w:ind w:firstLine="1440"/>
        <w:rPr>
          <w:sz w:val="26"/>
          <w:szCs w:val="26"/>
        </w:rPr>
      </w:pPr>
      <w:r w:rsidRPr="00C84D5B">
        <w:rPr>
          <w:rStyle w:val="FootnoteReference"/>
          <w:sz w:val="26"/>
          <w:szCs w:val="26"/>
        </w:rPr>
        <w:footnoteRef/>
      </w:r>
      <w:r w:rsidRPr="00C84D5B">
        <w:rPr>
          <w:sz w:val="26"/>
          <w:szCs w:val="26"/>
        </w:rPr>
        <w:t xml:space="preserve"> </w:t>
      </w:r>
      <w:r>
        <w:rPr>
          <w:sz w:val="26"/>
          <w:szCs w:val="26"/>
        </w:rPr>
        <w:tab/>
        <w:t xml:space="preserve">RESA St. </w:t>
      </w:r>
      <w:r w:rsidRPr="00C84D5B">
        <w:rPr>
          <w:sz w:val="26"/>
          <w:szCs w:val="26"/>
        </w:rPr>
        <w:t>1 at 12.</w:t>
      </w:r>
    </w:p>
  </w:footnote>
  <w:footnote w:id="37">
    <w:p w:rsidR="005915E1" w:rsidRDefault="005915E1" w:rsidP="00DE646A">
      <w:pPr>
        <w:pStyle w:val="FootnoteText"/>
        <w:tabs>
          <w:tab w:val="left" w:pos="900"/>
        </w:tabs>
        <w:ind w:firstLine="1440"/>
      </w:pPr>
      <w:r w:rsidRPr="00C84D5B">
        <w:rPr>
          <w:rStyle w:val="FootnoteReference"/>
          <w:sz w:val="26"/>
          <w:szCs w:val="26"/>
        </w:rPr>
        <w:footnoteRef/>
      </w:r>
      <w:r w:rsidRPr="00C84D5B">
        <w:rPr>
          <w:sz w:val="26"/>
          <w:szCs w:val="26"/>
        </w:rPr>
        <w:t xml:space="preserve"> </w:t>
      </w:r>
      <w:r>
        <w:rPr>
          <w:sz w:val="26"/>
          <w:szCs w:val="26"/>
        </w:rPr>
        <w:tab/>
        <w:t xml:space="preserve">RESA St. </w:t>
      </w:r>
      <w:r w:rsidRPr="00C84D5B">
        <w:rPr>
          <w:sz w:val="26"/>
          <w:szCs w:val="26"/>
        </w:rPr>
        <w:t xml:space="preserve">1 at 18; RESA </w:t>
      </w:r>
      <w:r>
        <w:rPr>
          <w:sz w:val="26"/>
          <w:szCs w:val="26"/>
        </w:rPr>
        <w:t xml:space="preserve">St. </w:t>
      </w:r>
      <w:r w:rsidRPr="00C84D5B">
        <w:rPr>
          <w:sz w:val="26"/>
          <w:szCs w:val="26"/>
        </w:rPr>
        <w:t>1-R at 6.</w:t>
      </w:r>
    </w:p>
  </w:footnote>
  <w:footnote w:id="38">
    <w:p w:rsidR="005915E1" w:rsidRPr="00DE646A" w:rsidRDefault="005915E1" w:rsidP="00DE646A">
      <w:pPr>
        <w:pStyle w:val="FootnoteText"/>
        <w:ind w:firstLine="1440"/>
        <w:rPr>
          <w:sz w:val="26"/>
          <w:szCs w:val="26"/>
        </w:rPr>
      </w:pPr>
      <w:r w:rsidRPr="00DE646A">
        <w:rPr>
          <w:rStyle w:val="FootnoteReference"/>
          <w:sz w:val="26"/>
          <w:szCs w:val="26"/>
        </w:rPr>
        <w:footnoteRef/>
      </w:r>
      <w:r w:rsidRPr="00DE646A">
        <w:rPr>
          <w:sz w:val="26"/>
          <w:szCs w:val="26"/>
        </w:rPr>
        <w:t xml:space="preserve"> </w:t>
      </w:r>
      <w:r>
        <w:rPr>
          <w:sz w:val="26"/>
          <w:szCs w:val="26"/>
        </w:rPr>
        <w:tab/>
        <w:t>OSBA M.B.</w:t>
      </w:r>
      <w:r w:rsidRPr="00DE646A">
        <w:rPr>
          <w:sz w:val="26"/>
          <w:szCs w:val="26"/>
        </w:rPr>
        <w:t xml:space="preserve"> at 7, </w:t>
      </w:r>
      <w:r w:rsidRPr="00DE646A">
        <w:rPr>
          <w:i/>
          <w:sz w:val="26"/>
          <w:szCs w:val="26"/>
        </w:rPr>
        <w:t>citing</w:t>
      </w:r>
      <w:r>
        <w:rPr>
          <w:sz w:val="26"/>
          <w:szCs w:val="26"/>
        </w:rPr>
        <w:t xml:space="preserve"> OSBA St</w:t>
      </w:r>
      <w:r w:rsidRPr="00DE646A">
        <w:rPr>
          <w:sz w:val="26"/>
          <w:szCs w:val="26"/>
        </w:rPr>
        <w:t>. 1 at 2.</w:t>
      </w:r>
    </w:p>
  </w:footnote>
  <w:footnote w:id="39">
    <w:p w:rsidR="005915E1" w:rsidRPr="00C17BFB" w:rsidRDefault="005915E1" w:rsidP="00475D38">
      <w:pPr>
        <w:pStyle w:val="FootnoteText"/>
        <w:ind w:firstLine="1440"/>
        <w:rPr>
          <w:sz w:val="26"/>
          <w:szCs w:val="26"/>
        </w:rPr>
      </w:pPr>
      <w:r w:rsidRPr="00C17BFB">
        <w:rPr>
          <w:rStyle w:val="FootnoteReference"/>
          <w:sz w:val="26"/>
          <w:szCs w:val="26"/>
        </w:rPr>
        <w:footnoteRef/>
      </w:r>
      <w:r>
        <w:rPr>
          <w:sz w:val="26"/>
          <w:szCs w:val="26"/>
        </w:rPr>
        <w:t xml:space="preserve">  </w:t>
      </w:r>
      <w:r>
        <w:rPr>
          <w:sz w:val="26"/>
          <w:szCs w:val="26"/>
        </w:rPr>
        <w:tab/>
        <w:t>OSBA M.B.</w:t>
      </w:r>
      <w:r w:rsidRPr="00C17BFB">
        <w:rPr>
          <w:sz w:val="26"/>
          <w:szCs w:val="26"/>
        </w:rPr>
        <w:t xml:space="preserve"> at 8, </w:t>
      </w:r>
      <w:r w:rsidRPr="00C17BFB">
        <w:rPr>
          <w:i/>
          <w:sz w:val="26"/>
          <w:szCs w:val="26"/>
        </w:rPr>
        <w:t>citing</w:t>
      </w:r>
      <w:r>
        <w:rPr>
          <w:sz w:val="26"/>
          <w:szCs w:val="26"/>
        </w:rPr>
        <w:t xml:space="preserve"> OSBA St</w:t>
      </w:r>
      <w:r w:rsidRPr="00C17BFB">
        <w:rPr>
          <w:sz w:val="26"/>
          <w:szCs w:val="26"/>
        </w:rPr>
        <w:t>. 1 at 4.</w:t>
      </w:r>
    </w:p>
  </w:footnote>
  <w:footnote w:id="40">
    <w:p w:rsidR="005915E1" w:rsidRPr="00475D38" w:rsidRDefault="005915E1" w:rsidP="00475D38">
      <w:pPr>
        <w:pStyle w:val="FootnoteText"/>
        <w:ind w:firstLine="1440"/>
        <w:rPr>
          <w:sz w:val="26"/>
          <w:szCs w:val="26"/>
        </w:rPr>
      </w:pPr>
      <w:r w:rsidRPr="00475D38">
        <w:rPr>
          <w:rStyle w:val="FootnoteReference"/>
          <w:sz w:val="26"/>
          <w:szCs w:val="26"/>
        </w:rPr>
        <w:footnoteRef/>
      </w:r>
      <w:r w:rsidRPr="00475D38">
        <w:rPr>
          <w:sz w:val="26"/>
          <w:szCs w:val="26"/>
        </w:rPr>
        <w:t xml:space="preserve"> </w:t>
      </w:r>
      <w:r>
        <w:rPr>
          <w:sz w:val="26"/>
          <w:szCs w:val="26"/>
        </w:rPr>
        <w:tab/>
      </w:r>
      <w:r w:rsidRPr="00475D38">
        <w:rPr>
          <w:sz w:val="26"/>
          <w:szCs w:val="26"/>
        </w:rPr>
        <w:t>O</w:t>
      </w:r>
      <w:r>
        <w:rPr>
          <w:sz w:val="26"/>
          <w:szCs w:val="26"/>
        </w:rPr>
        <w:t>SBA St</w:t>
      </w:r>
      <w:r w:rsidRPr="00475D38">
        <w:rPr>
          <w:sz w:val="26"/>
          <w:szCs w:val="26"/>
        </w:rPr>
        <w:t>. 2 at 10.</w:t>
      </w:r>
    </w:p>
  </w:footnote>
  <w:footnote w:id="41">
    <w:p w:rsidR="005915E1" w:rsidRPr="00DE646A" w:rsidRDefault="005915E1" w:rsidP="00DE646A">
      <w:pPr>
        <w:pStyle w:val="FootnoteText"/>
        <w:ind w:firstLine="1440"/>
        <w:rPr>
          <w:sz w:val="26"/>
          <w:szCs w:val="26"/>
        </w:rPr>
      </w:pPr>
      <w:r w:rsidRPr="00475D38">
        <w:rPr>
          <w:rStyle w:val="FootnoteReference"/>
          <w:sz w:val="26"/>
          <w:szCs w:val="26"/>
        </w:rPr>
        <w:footnoteRef/>
      </w:r>
      <w:r w:rsidRPr="00475D38">
        <w:rPr>
          <w:sz w:val="26"/>
          <w:szCs w:val="26"/>
        </w:rPr>
        <w:t xml:space="preserve"> </w:t>
      </w:r>
      <w:r>
        <w:rPr>
          <w:sz w:val="26"/>
          <w:szCs w:val="26"/>
        </w:rPr>
        <w:tab/>
      </w:r>
      <w:r w:rsidRPr="00475D38">
        <w:rPr>
          <w:sz w:val="26"/>
          <w:szCs w:val="26"/>
        </w:rPr>
        <w:t>66 Pa. C.S.</w:t>
      </w:r>
      <w:r>
        <w:rPr>
          <w:sz w:val="26"/>
          <w:szCs w:val="26"/>
        </w:rPr>
        <w:t xml:space="preserve"> </w:t>
      </w:r>
      <w:r w:rsidRPr="00475D38">
        <w:rPr>
          <w:sz w:val="26"/>
          <w:szCs w:val="26"/>
        </w:rPr>
        <w:t>§</w:t>
      </w:r>
      <w:r>
        <w:rPr>
          <w:sz w:val="26"/>
          <w:szCs w:val="26"/>
        </w:rPr>
        <w:t xml:space="preserve"> </w:t>
      </w:r>
      <w:r w:rsidRPr="00475D38">
        <w:rPr>
          <w:sz w:val="26"/>
          <w:szCs w:val="26"/>
        </w:rPr>
        <w:t xml:space="preserve">2807(e)(3.4).  </w:t>
      </w:r>
      <w:r w:rsidRPr="00475D38">
        <w:rPr>
          <w:i/>
          <w:sz w:val="26"/>
          <w:szCs w:val="26"/>
        </w:rPr>
        <w:t xml:space="preserve">See </w:t>
      </w:r>
      <w:r>
        <w:rPr>
          <w:sz w:val="26"/>
          <w:szCs w:val="26"/>
        </w:rPr>
        <w:t>OSBA M.B.</w:t>
      </w:r>
      <w:r w:rsidRPr="00475D38">
        <w:rPr>
          <w:sz w:val="26"/>
          <w:szCs w:val="26"/>
        </w:rPr>
        <w:t xml:space="preserve"> at 4 for a general discussion of the change in legal standards applicable to default service.  </w:t>
      </w:r>
      <w:r w:rsidRPr="00475D38">
        <w:rPr>
          <w:i/>
          <w:sz w:val="26"/>
          <w:szCs w:val="26"/>
        </w:rPr>
        <w:t>See also</w:t>
      </w:r>
      <w:r>
        <w:rPr>
          <w:sz w:val="26"/>
          <w:szCs w:val="26"/>
        </w:rPr>
        <w:t xml:space="preserve"> OSBA St</w:t>
      </w:r>
      <w:r w:rsidRPr="00475D38">
        <w:rPr>
          <w:sz w:val="26"/>
          <w:szCs w:val="26"/>
        </w:rPr>
        <w:t>. 2 at 10.</w:t>
      </w:r>
    </w:p>
  </w:footnote>
  <w:footnote w:id="42">
    <w:p w:rsidR="005915E1" w:rsidRDefault="005915E1" w:rsidP="00911D84">
      <w:pPr>
        <w:pStyle w:val="FootnoteText"/>
        <w:ind w:firstLine="1440"/>
      </w:pPr>
      <w:r w:rsidRPr="00475D38">
        <w:rPr>
          <w:rStyle w:val="FootnoteReference"/>
          <w:sz w:val="26"/>
          <w:szCs w:val="26"/>
        </w:rPr>
        <w:footnoteRef/>
      </w:r>
      <w:r w:rsidRPr="00475D38">
        <w:rPr>
          <w:sz w:val="26"/>
          <w:szCs w:val="26"/>
        </w:rPr>
        <w:t xml:space="preserve"> </w:t>
      </w:r>
      <w:r>
        <w:rPr>
          <w:sz w:val="26"/>
          <w:szCs w:val="26"/>
        </w:rPr>
        <w:tab/>
        <w:t>OSBA M.B.</w:t>
      </w:r>
      <w:r w:rsidRPr="00475D38">
        <w:rPr>
          <w:sz w:val="26"/>
          <w:szCs w:val="26"/>
        </w:rPr>
        <w:t xml:space="preserve"> at 7.</w:t>
      </w:r>
    </w:p>
  </w:footnote>
  <w:footnote w:id="43">
    <w:p w:rsidR="005915E1" w:rsidRPr="00894AD3" w:rsidRDefault="005915E1" w:rsidP="00894AD3">
      <w:pPr>
        <w:pStyle w:val="FootnoteText"/>
        <w:ind w:firstLine="1440"/>
        <w:rPr>
          <w:sz w:val="26"/>
          <w:szCs w:val="26"/>
        </w:rPr>
      </w:pPr>
      <w:r w:rsidRPr="00B96841">
        <w:rPr>
          <w:rStyle w:val="FootnoteReference"/>
          <w:sz w:val="26"/>
          <w:szCs w:val="26"/>
        </w:rPr>
        <w:footnoteRef/>
      </w:r>
      <w:r>
        <w:rPr>
          <w:sz w:val="26"/>
          <w:szCs w:val="26"/>
        </w:rPr>
        <w:t xml:space="preserve"> </w:t>
      </w:r>
      <w:r>
        <w:rPr>
          <w:sz w:val="26"/>
          <w:szCs w:val="26"/>
        </w:rPr>
        <w:tab/>
        <w:t xml:space="preserve">RESA St. </w:t>
      </w:r>
      <w:r w:rsidRPr="00B96841">
        <w:rPr>
          <w:sz w:val="26"/>
          <w:szCs w:val="26"/>
        </w:rPr>
        <w:t>1-R at 6-7.</w:t>
      </w:r>
    </w:p>
  </w:footnote>
  <w:footnote w:id="44">
    <w:p w:rsidR="005915E1" w:rsidRPr="00B96841" w:rsidRDefault="005915E1" w:rsidP="007E778A">
      <w:pPr>
        <w:pStyle w:val="FootnoteText"/>
        <w:ind w:firstLine="1440"/>
        <w:rPr>
          <w:sz w:val="26"/>
          <w:szCs w:val="26"/>
        </w:rPr>
      </w:pPr>
      <w:r w:rsidRPr="00B96841">
        <w:rPr>
          <w:rStyle w:val="FootnoteReference"/>
          <w:sz w:val="26"/>
          <w:szCs w:val="26"/>
        </w:rPr>
        <w:footnoteRef/>
      </w:r>
      <w:r>
        <w:rPr>
          <w:sz w:val="26"/>
          <w:szCs w:val="26"/>
        </w:rPr>
        <w:t xml:space="preserve"> </w:t>
      </w:r>
      <w:r>
        <w:rPr>
          <w:sz w:val="26"/>
          <w:szCs w:val="26"/>
        </w:rPr>
        <w:tab/>
        <w:t xml:space="preserve">OSBA St. </w:t>
      </w:r>
      <w:r w:rsidRPr="00B96841">
        <w:rPr>
          <w:sz w:val="26"/>
          <w:szCs w:val="26"/>
        </w:rPr>
        <w:t>1 at 6</w:t>
      </w:r>
      <w:r>
        <w:rPr>
          <w:sz w:val="26"/>
          <w:szCs w:val="26"/>
        </w:rPr>
        <w:t>.</w:t>
      </w:r>
    </w:p>
  </w:footnote>
  <w:footnote w:id="45">
    <w:p w:rsidR="005915E1" w:rsidRPr="00793E14" w:rsidRDefault="005915E1" w:rsidP="007E778A">
      <w:pPr>
        <w:pStyle w:val="FootnoteText"/>
        <w:tabs>
          <w:tab w:val="left" w:pos="900"/>
        </w:tabs>
        <w:ind w:firstLine="1440"/>
        <w:rPr>
          <w:sz w:val="26"/>
          <w:szCs w:val="26"/>
        </w:rPr>
      </w:pPr>
      <w:r w:rsidRPr="00793E14">
        <w:rPr>
          <w:rStyle w:val="FootnoteReference"/>
          <w:sz w:val="26"/>
          <w:szCs w:val="26"/>
        </w:rPr>
        <w:footnoteRef/>
      </w:r>
      <w:r w:rsidRPr="00793E14">
        <w:rPr>
          <w:sz w:val="26"/>
          <w:szCs w:val="26"/>
        </w:rPr>
        <w:t xml:space="preserve"> </w:t>
      </w:r>
      <w:r>
        <w:rPr>
          <w:sz w:val="26"/>
          <w:szCs w:val="26"/>
        </w:rPr>
        <w:tab/>
        <w:t>Duquesne St. 2 at 14.  The exception to the proposed six-month procurements is a twelve</w:t>
      </w:r>
      <w:r w:rsidRPr="00793E14">
        <w:rPr>
          <w:sz w:val="26"/>
          <w:szCs w:val="26"/>
        </w:rPr>
        <w:t xml:space="preserve">-month contract that Duquesne procured in November 2012 that will extend six months into the upcoming DSP period.  </w:t>
      </w:r>
      <w:r w:rsidRPr="00793E14">
        <w:rPr>
          <w:i/>
          <w:sz w:val="26"/>
          <w:szCs w:val="26"/>
        </w:rPr>
        <w:t>Id</w:t>
      </w:r>
      <w:r w:rsidRPr="00793E14">
        <w:rPr>
          <w:sz w:val="26"/>
          <w:szCs w:val="26"/>
        </w:rPr>
        <w:t>.</w:t>
      </w:r>
    </w:p>
  </w:footnote>
  <w:footnote w:id="46">
    <w:p w:rsidR="005915E1" w:rsidRPr="00793E14" w:rsidRDefault="005915E1" w:rsidP="007E778A">
      <w:pPr>
        <w:pStyle w:val="FootnoteText"/>
        <w:tabs>
          <w:tab w:val="left" w:pos="900"/>
        </w:tabs>
        <w:ind w:firstLine="1440"/>
        <w:rPr>
          <w:sz w:val="26"/>
          <w:szCs w:val="26"/>
        </w:rPr>
      </w:pPr>
      <w:r w:rsidRPr="00793E14">
        <w:rPr>
          <w:rStyle w:val="FootnoteReference"/>
          <w:sz w:val="26"/>
          <w:szCs w:val="26"/>
        </w:rPr>
        <w:footnoteRef/>
      </w:r>
      <w:r w:rsidRPr="00793E14">
        <w:rPr>
          <w:sz w:val="26"/>
          <w:szCs w:val="26"/>
        </w:rPr>
        <w:t xml:space="preserve"> </w:t>
      </w:r>
      <w:r>
        <w:rPr>
          <w:sz w:val="26"/>
          <w:szCs w:val="26"/>
        </w:rPr>
        <w:tab/>
      </w:r>
      <w:r w:rsidRPr="00793E14">
        <w:rPr>
          <w:sz w:val="26"/>
          <w:szCs w:val="26"/>
        </w:rPr>
        <w:t>R</w:t>
      </w:r>
      <w:r>
        <w:rPr>
          <w:sz w:val="26"/>
          <w:szCs w:val="26"/>
        </w:rPr>
        <w:t>.</w:t>
      </w:r>
      <w:r w:rsidRPr="00793E14">
        <w:rPr>
          <w:sz w:val="26"/>
          <w:szCs w:val="26"/>
        </w:rPr>
        <w:t>D</w:t>
      </w:r>
      <w:r>
        <w:rPr>
          <w:sz w:val="26"/>
          <w:szCs w:val="26"/>
        </w:rPr>
        <w:t>.</w:t>
      </w:r>
      <w:r w:rsidRPr="00793E14">
        <w:rPr>
          <w:sz w:val="26"/>
          <w:szCs w:val="26"/>
        </w:rPr>
        <w:t xml:space="preserve"> </w:t>
      </w:r>
      <w:r>
        <w:rPr>
          <w:sz w:val="26"/>
          <w:szCs w:val="26"/>
        </w:rPr>
        <w:t xml:space="preserve">at </w:t>
      </w:r>
      <w:r w:rsidRPr="00793E14">
        <w:rPr>
          <w:sz w:val="26"/>
          <w:szCs w:val="26"/>
        </w:rPr>
        <w:t>48.</w:t>
      </w:r>
    </w:p>
  </w:footnote>
  <w:footnote w:id="47">
    <w:p w:rsidR="005915E1" w:rsidRPr="00793E14" w:rsidRDefault="005915E1" w:rsidP="007E778A">
      <w:pPr>
        <w:pStyle w:val="FootnoteText"/>
        <w:tabs>
          <w:tab w:val="left" w:pos="900"/>
        </w:tabs>
        <w:ind w:firstLine="1440"/>
        <w:rPr>
          <w:sz w:val="26"/>
          <w:szCs w:val="26"/>
        </w:rPr>
      </w:pPr>
      <w:r w:rsidRPr="00793E14">
        <w:rPr>
          <w:rStyle w:val="FootnoteReference"/>
          <w:sz w:val="26"/>
          <w:szCs w:val="26"/>
        </w:rPr>
        <w:footnoteRef/>
      </w:r>
      <w:r w:rsidRPr="00793E14">
        <w:rPr>
          <w:sz w:val="26"/>
          <w:szCs w:val="26"/>
        </w:rPr>
        <w:t xml:space="preserve"> </w:t>
      </w:r>
      <w:r>
        <w:rPr>
          <w:sz w:val="26"/>
          <w:szCs w:val="26"/>
        </w:rPr>
        <w:tab/>
      </w:r>
      <w:r w:rsidRPr="00793E14">
        <w:rPr>
          <w:sz w:val="26"/>
          <w:szCs w:val="26"/>
        </w:rPr>
        <w:t>R</w:t>
      </w:r>
      <w:r>
        <w:rPr>
          <w:sz w:val="26"/>
          <w:szCs w:val="26"/>
        </w:rPr>
        <w:t>.</w:t>
      </w:r>
      <w:r w:rsidRPr="00793E14">
        <w:rPr>
          <w:sz w:val="26"/>
          <w:szCs w:val="26"/>
        </w:rPr>
        <w:t>D</w:t>
      </w:r>
      <w:r>
        <w:rPr>
          <w:sz w:val="26"/>
          <w:szCs w:val="26"/>
        </w:rPr>
        <w:t>.</w:t>
      </w:r>
      <w:r w:rsidRPr="00793E14">
        <w:rPr>
          <w:sz w:val="26"/>
          <w:szCs w:val="26"/>
        </w:rPr>
        <w:t xml:space="preserve"> </w:t>
      </w:r>
      <w:r>
        <w:rPr>
          <w:sz w:val="26"/>
          <w:szCs w:val="26"/>
        </w:rPr>
        <w:t xml:space="preserve">at </w:t>
      </w:r>
      <w:r w:rsidRPr="00793E14">
        <w:rPr>
          <w:sz w:val="26"/>
          <w:szCs w:val="26"/>
        </w:rPr>
        <w:t>48.</w:t>
      </w:r>
    </w:p>
  </w:footnote>
  <w:footnote w:id="48">
    <w:p w:rsidR="005915E1" w:rsidRPr="00793E14" w:rsidRDefault="005915E1" w:rsidP="007E778A">
      <w:pPr>
        <w:pStyle w:val="FootnoteText"/>
        <w:tabs>
          <w:tab w:val="left" w:pos="900"/>
        </w:tabs>
        <w:ind w:firstLine="1440"/>
        <w:rPr>
          <w:sz w:val="26"/>
          <w:szCs w:val="26"/>
        </w:rPr>
      </w:pPr>
      <w:r w:rsidRPr="00793E14">
        <w:rPr>
          <w:rStyle w:val="FootnoteReference"/>
          <w:sz w:val="26"/>
          <w:szCs w:val="26"/>
        </w:rPr>
        <w:footnoteRef/>
      </w:r>
      <w:r w:rsidRPr="00793E14">
        <w:rPr>
          <w:sz w:val="26"/>
          <w:szCs w:val="26"/>
        </w:rPr>
        <w:t xml:space="preserve"> </w:t>
      </w:r>
      <w:r>
        <w:rPr>
          <w:sz w:val="26"/>
          <w:szCs w:val="26"/>
        </w:rPr>
        <w:tab/>
      </w:r>
      <w:r w:rsidRPr="00793E14">
        <w:rPr>
          <w:sz w:val="26"/>
          <w:szCs w:val="26"/>
        </w:rPr>
        <w:t>R</w:t>
      </w:r>
      <w:r>
        <w:rPr>
          <w:sz w:val="26"/>
          <w:szCs w:val="26"/>
        </w:rPr>
        <w:t>.</w:t>
      </w:r>
      <w:r w:rsidRPr="00793E14">
        <w:rPr>
          <w:sz w:val="26"/>
          <w:szCs w:val="26"/>
        </w:rPr>
        <w:t>D</w:t>
      </w:r>
      <w:r>
        <w:rPr>
          <w:sz w:val="26"/>
          <w:szCs w:val="26"/>
        </w:rPr>
        <w:t>.</w:t>
      </w:r>
      <w:r w:rsidRPr="00793E14">
        <w:rPr>
          <w:sz w:val="26"/>
          <w:szCs w:val="26"/>
        </w:rPr>
        <w:t xml:space="preserve"> </w:t>
      </w:r>
      <w:r>
        <w:rPr>
          <w:sz w:val="26"/>
          <w:szCs w:val="26"/>
        </w:rPr>
        <w:t xml:space="preserve">at </w:t>
      </w:r>
      <w:r w:rsidRPr="00793E14">
        <w:rPr>
          <w:sz w:val="26"/>
          <w:szCs w:val="26"/>
        </w:rPr>
        <w:t>4, ¶ 11.</w:t>
      </w:r>
    </w:p>
  </w:footnote>
  <w:footnote w:id="49">
    <w:p w:rsidR="005915E1" w:rsidRPr="00793E14" w:rsidRDefault="005915E1" w:rsidP="007E778A">
      <w:pPr>
        <w:pStyle w:val="FootnoteText"/>
        <w:tabs>
          <w:tab w:val="left" w:pos="900"/>
        </w:tabs>
        <w:ind w:firstLine="1440"/>
        <w:rPr>
          <w:sz w:val="26"/>
          <w:szCs w:val="26"/>
        </w:rPr>
      </w:pPr>
      <w:r w:rsidRPr="00793E14">
        <w:rPr>
          <w:rStyle w:val="FootnoteReference"/>
          <w:sz w:val="26"/>
          <w:szCs w:val="26"/>
        </w:rPr>
        <w:footnoteRef/>
      </w:r>
      <w:r w:rsidRPr="00793E14">
        <w:rPr>
          <w:sz w:val="26"/>
          <w:szCs w:val="26"/>
        </w:rPr>
        <w:t xml:space="preserve"> </w:t>
      </w:r>
      <w:r>
        <w:rPr>
          <w:sz w:val="26"/>
          <w:szCs w:val="26"/>
        </w:rPr>
        <w:tab/>
      </w:r>
      <w:r w:rsidRPr="00793E14">
        <w:rPr>
          <w:i/>
          <w:sz w:val="26"/>
          <w:szCs w:val="26"/>
        </w:rPr>
        <w:t>Id</w:t>
      </w:r>
      <w:r w:rsidRPr="00793E14">
        <w:rPr>
          <w:sz w:val="26"/>
          <w:szCs w:val="26"/>
        </w:rPr>
        <w:t>.</w:t>
      </w:r>
    </w:p>
  </w:footnote>
  <w:footnote w:id="50">
    <w:p w:rsidR="005915E1" w:rsidRPr="00793E14" w:rsidRDefault="005915E1" w:rsidP="007E778A">
      <w:pPr>
        <w:pStyle w:val="FootnoteText"/>
        <w:tabs>
          <w:tab w:val="left" w:pos="900"/>
        </w:tabs>
        <w:ind w:firstLine="1440"/>
        <w:rPr>
          <w:sz w:val="26"/>
          <w:szCs w:val="26"/>
        </w:rPr>
      </w:pPr>
      <w:r w:rsidRPr="00793E14">
        <w:rPr>
          <w:rStyle w:val="FootnoteReference"/>
          <w:sz w:val="26"/>
          <w:szCs w:val="26"/>
        </w:rPr>
        <w:footnoteRef/>
      </w:r>
      <w:r w:rsidRPr="00793E14">
        <w:rPr>
          <w:sz w:val="26"/>
          <w:szCs w:val="26"/>
        </w:rPr>
        <w:t xml:space="preserve"> </w:t>
      </w:r>
      <w:r>
        <w:rPr>
          <w:sz w:val="26"/>
          <w:szCs w:val="26"/>
        </w:rPr>
        <w:tab/>
      </w:r>
      <w:r w:rsidRPr="00793E14">
        <w:rPr>
          <w:sz w:val="26"/>
          <w:szCs w:val="26"/>
        </w:rPr>
        <w:t>R</w:t>
      </w:r>
      <w:r>
        <w:rPr>
          <w:sz w:val="26"/>
          <w:szCs w:val="26"/>
        </w:rPr>
        <w:t>.</w:t>
      </w:r>
      <w:r w:rsidRPr="00793E14">
        <w:rPr>
          <w:sz w:val="26"/>
          <w:szCs w:val="26"/>
        </w:rPr>
        <w:t>D</w:t>
      </w:r>
      <w:r>
        <w:rPr>
          <w:sz w:val="26"/>
          <w:szCs w:val="26"/>
        </w:rPr>
        <w:t>. at</w:t>
      </w:r>
      <w:r w:rsidRPr="00793E14">
        <w:rPr>
          <w:sz w:val="26"/>
          <w:szCs w:val="26"/>
        </w:rPr>
        <w:t xml:space="preserve"> 48.</w:t>
      </w:r>
    </w:p>
  </w:footnote>
  <w:footnote w:id="51">
    <w:p w:rsidR="005915E1" w:rsidRPr="00793E14" w:rsidRDefault="005915E1" w:rsidP="007E778A">
      <w:pPr>
        <w:pStyle w:val="FootnoteText"/>
        <w:tabs>
          <w:tab w:val="left" w:pos="900"/>
        </w:tabs>
        <w:ind w:firstLine="1440"/>
        <w:rPr>
          <w:sz w:val="26"/>
          <w:szCs w:val="26"/>
        </w:rPr>
      </w:pPr>
      <w:r w:rsidRPr="00793E14">
        <w:rPr>
          <w:rStyle w:val="FootnoteReference"/>
          <w:sz w:val="26"/>
          <w:szCs w:val="26"/>
        </w:rPr>
        <w:footnoteRef/>
      </w:r>
      <w:r w:rsidRPr="00793E14">
        <w:rPr>
          <w:sz w:val="26"/>
          <w:szCs w:val="26"/>
        </w:rPr>
        <w:t xml:space="preserve"> </w:t>
      </w:r>
      <w:r>
        <w:rPr>
          <w:sz w:val="26"/>
          <w:szCs w:val="26"/>
        </w:rPr>
        <w:tab/>
        <w:t>RESA St. 1 at 19.</w:t>
      </w:r>
    </w:p>
  </w:footnote>
  <w:footnote w:id="52">
    <w:p w:rsidR="005915E1" w:rsidRDefault="005915E1" w:rsidP="007E778A">
      <w:pPr>
        <w:pStyle w:val="FootnoteText"/>
        <w:tabs>
          <w:tab w:val="left" w:pos="900"/>
        </w:tabs>
        <w:ind w:firstLine="1440"/>
      </w:pPr>
      <w:r w:rsidRPr="00793E14">
        <w:rPr>
          <w:rStyle w:val="FootnoteReference"/>
          <w:sz w:val="26"/>
          <w:szCs w:val="26"/>
        </w:rPr>
        <w:footnoteRef/>
      </w:r>
      <w:r w:rsidRPr="00793E14">
        <w:rPr>
          <w:sz w:val="26"/>
          <w:szCs w:val="26"/>
        </w:rPr>
        <w:t xml:space="preserve"> </w:t>
      </w:r>
      <w:r>
        <w:rPr>
          <w:sz w:val="26"/>
          <w:szCs w:val="26"/>
        </w:rPr>
        <w:tab/>
      </w:r>
      <w:r>
        <w:rPr>
          <w:i/>
          <w:sz w:val="26"/>
          <w:szCs w:val="26"/>
        </w:rPr>
        <w:t xml:space="preserve">End-State </w:t>
      </w:r>
      <w:r w:rsidRPr="00793E14">
        <w:rPr>
          <w:i/>
          <w:sz w:val="26"/>
          <w:szCs w:val="26"/>
        </w:rPr>
        <w:t xml:space="preserve">Tentative Order </w:t>
      </w:r>
      <w:r w:rsidRPr="00793E14">
        <w:rPr>
          <w:sz w:val="26"/>
          <w:szCs w:val="26"/>
        </w:rPr>
        <w:t>at 16.</w:t>
      </w:r>
    </w:p>
  </w:footnote>
  <w:footnote w:id="53">
    <w:p w:rsidR="005915E1" w:rsidRPr="00C027A8" w:rsidRDefault="005915E1" w:rsidP="007E778A">
      <w:pPr>
        <w:pStyle w:val="FootnoteText"/>
        <w:tabs>
          <w:tab w:val="left" w:pos="900"/>
        </w:tabs>
        <w:ind w:firstLine="1440"/>
        <w:rPr>
          <w:sz w:val="26"/>
          <w:szCs w:val="26"/>
        </w:rPr>
      </w:pPr>
      <w:r w:rsidRPr="00C027A8">
        <w:rPr>
          <w:rStyle w:val="FootnoteReference"/>
          <w:sz w:val="26"/>
          <w:szCs w:val="26"/>
        </w:rPr>
        <w:footnoteRef/>
      </w:r>
      <w:r w:rsidRPr="00C027A8">
        <w:rPr>
          <w:sz w:val="26"/>
          <w:szCs w:val="26"/>
        </w:rPr>
        <w:tab/>
      </w:r>
      <w:r>
        <w:rPr>
          <w:sz w:val="26"/>
          <w:szCs w:val="26"/>
        </w:rPr>
        <w:t xml:space="preserve">RESA St. 2, </w:t>
      </w:r>
      <w:r w:rsidRPr="00C027A8">
        <w:rPr>
          <w:sz w:val="26"/>
          <w:szCs w:val="26"/>
        </w:rPr>
        <w:t>Exh. CK-1 (Duquesne Response to OSBA Set 1, No. 3).</w:t>
      </w:r>
    </w:p>
  </w:footnote>
  <w:footnote w:id="54">
    <w:p w:rsidR="005915E1" w:rsidRPr="00C44B39" w:rsidRDefault="005915E1" w:rsidP="00C44B39">
      <w:pPr>
        <w:pStyle w:val="FootnoteText"/>
        <w:ind w:firstLine="1440"/>
        <w:rPr>
          <w:sz w:val="26"/>
          <w:szCs w:val="26"/>
        </w:rPr>
      </w:pPr>
      <w:r w:rsidRPr="00C44B39">
        <w:rPr>
          <w:rStyle w:val="FootnoteReference"/>
          <w:sz w:val="26"/>
          <w:szCs w:val="26"/>
        </w:rPr>
        <w:footnoteRef/>
      </w:r>
      <w:r w:rsidRPr="00C44B39">
        <w:rPr>
          <w:sz w:val="26"/>
          <w:szCs w:val="26"/>
        </w:rPr>
        <w:t xml:space="preserve">  </w:t>
      </w:r>
      <w:r>
        <w:rPr>
          <w:sz w:val="26"/>
          <w:szCs w:val="26"/>
        </w:rPr>
        <w:tab/>
        <w:t>OSBA M.B. at 10; OSBA St</w:t>
      </w:r>
      <w:r w:rsidRPr="00C44B39">
        <w:rPr>
          <w:sz w:val="26"/>
          <w:szCs w:val="26"/>
        </w:rPr>
        <w:t xml:space="preserve">. 1 at 3. </w:t>
      </w:r>
    </w:p>
  </w:footnote>
  <w:footnote w:id="55">
    <w:p w:rsidR="005915E1" w:rsidRPr="006B151B" w:rsidRDefault="005915E1" w:rsidP="006B151B">
      <w:pPr>
        <w:pStyle w:val="FootnoteText"/>
        <w:ind w:firstLine="1440"/>
        <w:rPr>
          <w:sz w:val="26"/>
          <w:szCs w:val="26"/>
        </w:rPr>
      </w:pPr>
      <w:r w:rsidRPr="00C44B39">
        <w:rPr>
          <w:rStyle w:val="FootnoteReference"/>
          <w:sz w:val="26"/>
          <w:szCs w:val="26"/>
        </w:rPr>
        <w:footnoteRef/>
      </w:r>
      <w:r w:rsidRPr="00C44B39">
        <w:rPr>
          <w:sz w:val="26"/>
          <w:szCs w:val="26"/>
        </w:rPr>
        <w:t xml:space="preserve">  </w:t>
      </w:r>
      <w:r>
        <w:rPr>
          <w:sz w:val="26"/>
          <w:szCs w:val="26"/>
        </w:rPr>
        <w:tab/>
        <w:t>OSBA M.B. at 10, and OSBA St</w:t>
      </w:r>
      <w:r w:rsidRPr="00C44B39">
        <w:rPr>
          <w:sz w:val="26"/>
          <w:szCs w:val="26"/>
        </w:rPr>
        <w:t>. 1 at 5.</w:t>
      </w:r>
    </w:p>
  </w:footnote>
  <w:footnote w:id="56">
    <w:p w:rsidR="005915E1" w:rsidRPr="00C44B39" w:rsidRDefault="005915E1" w:rsidP="00C44B39">
      <w:pPr>
        <w:pStyle w:val="FootnoteText"/>
        <w:ind w:firstLine="1440"/>
        <w:rPr>
          <w:sz w:val="26"/>
          <w:szCs w:val="26"/>
        </w:rPr>
      </w:pPr>
      <w:r w:rsidRPr="00C44B39">
        <w:rPr>
          <w:rStyle w:val="FootnoteReference"/>
          <w:sz w:val="26"/>
          <w:szCs w:val="26"/>
        </w:rPr>
        <w:footnoteRef/>
      </w:r>
      <w:r>
        <w:rPr>
          <w:sz w:val="26"/>
          <w:szCs w:val="26"/>
        </w:rPr>
        <w:t xml:space="preserve"> </w:t>
      </w:r>
      <w:r>
        <w:rPr>
          <w:sz w:val="26"/>
          <w:szCs w:val="26"/>
        </w:rPr>
        <w:tab/>
        <w:t>OSBA M.B. at 10, and OSBA St</w:t>
      </w:r>
      <w:r w:rsidRPr="00C44B39">
        <w:rPr>
          <w:sz w:val="26"/>
          <w:szCs w:val="26"/>
        </w:rPr>
        <w:t>. 1 at 6</w:t>
      </w:r>
      <w:r>
        <w:rPr>
          <w:sz w:val="26"/>
          <w:szCs w:val="26"/>
        </w:rPr>
        <w:t>.</w:t>
      </w:r>
    </w:p>
  </w:footnote>
  <w:footnote w:id="57">
    <w:p w:rsidR="005915E1" w:rsidRPr="007E778A" w:rsidRDefault="005915E1" w:rsidP="006D1808">
      <w:pPr>
        <w:pStyle w:val="FootnoteText"/>
        <w:ind w:firstLine="1440"/>
        <w:rPr>
          <w:sz w:val="26"/>
          <w:szCs w:val="26"/>
        </w:rPr>
      </w:pPr>
      <w:r w:rsidRPr="007E778A">
        <w:rPr>
          <w:rStyle w:val="FootnoteReference"/>
          <w:sz w:val="26"/>
          <w:szCs w:val="26"/>
        </w:rPr>
        <w:footnoteRef/>
      </w:r>
      <w:r w:rsidRPr="007E778A">
        <w:rPr>
          <w:sz w:val="26"/>
          <w:szCs w:val="26"/>
        </w:rPr>
        <w:t xml:space="preserve"> </w:t>
      </w:r>
      <w:r w:rsidRPr="007E778A">
        <w:rPr>
          <w:sz w:val="26"/>
          <w:szCs w:val="26"/>
        </w:rPr>
        <w:tab/>
      </w:r>
      <w:r>
        <w:rPr>
          <w:sz w:val="26"/>
          <w:szCs w:val="26"/>
        </w:rPr>
        <w:t xml:space="preserve">RESA St. </w:t>
      </w:r>
      <w:r w:rsidRPr="007E778A">
        <w:rPr>
          <w:sz w:val="26"/>
          <w:szCs w:val="26"/>
        </w:rPr>
        <w:t>1-R at 6-7.</w:t>
      </w:r>
    </w:p>
  </w:footnote>
  <w:footnote w:id="58">
    <w:p w:rsidR="005915E1" w:rsidRPr="007E778A" w:rsidRDefault="005915E1" w:rsidP="006D1808">
      <w:pPr>
        <w:pStyle w:val="FootnoteText"/>
        <w:ind w:firstLine="1440"/>
        <w:rPr>
          <w:sz w:val="26"/>
          <w:szCs w:val="26"/>
        </w:rPr>
      </w:pPr>
      <w:r w:rsidRPr="007E778A">
        <w:rPr>
          <w:rStyle w:val="FootnoteReference"/>
          <w:sz w:val="26"/>
          <w:szCs w:val="26"/>
        </w:rPr>
        <w:footnoteRef/>
      </w:r>
      <w:r w:rsidRPr="007E778A">
        <w:rPr>
          <w:sz w:val="26"/>
          <w:szCs w:val="26"/>
        </w:rPr>
        <w:t xml:space="preserve"> </w:t>
      </w:r>
      <w:r w:rsidRPr="007E778A">
        <w:rPr>
          <w:sz w:val="26"/>
          <w:szCs w:val="26"/>
        </w:rPr>
        <w:tab/>
      </w:r>
      <w:r>
        <w:rPr>
          <w:sz w:val="26"/>
          <w:szCs w:val="26"/>
        </w:rPr>
        <w:t xml:space="preserve">OSBA St. </w:t>
      </w:r>
      <w:r w:rsidRPr="007E778A">
        <w:rPr>
          <w:sz w:val="26"/>
          <w:szCs w:val="26"/>
        </w:rPr>
        <w:t xml:space="preserve">1 at 6. </w:t>
      </w:r>
    </w:p>
  </w:footnote>
  <w:footnote w:id="59">
    <w:p w:rsidR="005915E1" w:rsidRPr="007E778A" w:rsidRDefault="005915E1" w:rsidP="006D1808">
      <w:pPr>
        <w:pStyle w:val="FootnoteText"/>
        <w:ind w:firstLine="1440"/>
        <w:rPr>
          <w:sz w:val="26"/>
          <w:szCs w:val="26"/>
        </w:rPr>
      </w:pPr>
      <w:r w:rsidRPr="007E778A">
        <w:rPr>
          <w:rStyle w:val="FootnoteReference"/>
          <w:sz w:val="26"/>
          <w:szCs w:val="26"/>
        </w:rPr>
        <w:footnoteRef/>
      </w:r>
      <w:r w:rsidRPr="007E778A">
        <w:rPr>
          <w:sz w:val="26"/>
          <w:szCs w:val="26"/>
        </w:rPr>
        <w:t xml:space="preserve"> </w:t>
      </w:r>
      <w:r w:rsidRPr="007E778A">
        <w:rPr>
          <w:sz w:val="26"/>
          <w:szCs w:val="26"/>
        </w:rPr>
        <w:tab/>
        <w:t>RESA St. 1-SR at 11-12.</w:t>
      </w:r>
    </w:p>
    <w:p w:rsidR="005915E1" w:rsidRPr="008A7B70" w:rsidRDefault="005915E1" w:rsidP="00256D10">
      <w:pPr>
        <w:pStyle w:val="FootnoteText"/>
        <w:ind w:firstLine="180"/>
        <w:rPr>
          <w:sz w:val="22"/>
          <w:szCs w:val="22"/>
        </w:rPr>
      </w:pPr>
    </w:p>
  </w:footnote>
  <w:footnote w:id="60">
    <w:p w:rsidR="005915E1" w:rsidRPr="00B40BC3" w:rsidRDefault="005915E1" w:rsidP="007E778A">
      <w:pPr>
        <w:pStyle w:val="FootnoteText"/>
        <w:ind w:firstLine="1440"/>
      </w:pPr>
      <w:r w:rsidRPr="00B96841">
        <w:rPr>
          <w:rStyle w:val="FootnoteReference"/>
          <w:sz w:val="26"/>
          <w:szCs w:val="26"/>
        </w:rPr>
        <w:footnoteRef/>
      </w:r>
      <w:r>
        <w:rPr>
          <w:sz w:val="26"/>
          <w:szCs w:val="26"/>
        </w:rPr>
        <w:t xml:space="preserve"> </w:t>
      </w:r>
      <w:r>
        <w:rPr>
          <w:sz w:val="26"/>
          <w:szCs w:val="26"/>
        </w:rPr>
        <w:tab/>
        <w:t xml:space="preserve">RESA St. </w:t>
      </w:r>
      <w:r w:rsidRPr="00B96841">
        <w:rPr>
          <w:sz w:val="26"/>
          <w:szCs w:val="26"/>
        </w:rPr>
        <w:t>1-R at 8.</w:t>
      </w:r>
    </w:p>
  </w:footnote>
  <w:footnote w:id="61">
    <w:p w:rsidR="005915E1" w:rsidRPr="008628D9" w:rsidRDefault="005915E1" w:rsidP="008628D9">
      <w:pPr>
        <w:pStyle w:val="FootnoteText"/>
        <w:tabs>
          <w:tab w:val="left" w:pos="900"/>
        </w:tabs>
        <w:ind w:firstLine="1440"/>
        <w:rPr>
          <w:sz w:val="26"/>
          <w:szCs w:val="26"/>
        </w:rPr>
      </w:pPr>
      <w:r w:rsidRPr="008628D9">
        <w:rPr>
          <w:rStyle w:val="FootnoteReference"/>
          <w:sz w:val="26"/>
          <w:szCs w:val="26"/>
        </w:rPr>
        <w:footnoteRef/>
      </w:r>
      <w:r w:rsidRPr="008628D9">
        <w:rPr>
          <w:sz w:val="26"/>
          <w:szCs w:val="26"/>
        </w:rPr>
        <w:t xml:space="preserve"> </w:t>
      </w:r>
      <w:r w:rsidRPr="008628D9">
        <w:rPr>
          <w:sz w:val="26"/>
          <w:szCs w:val="26"/>
        </w:rPr>
        <w:tab/>
      </w:r>
      <w:r>
        <w:rPr>
          <w:i/>
          <w:sz w:val="26"/>
          <w:szCs w:val="26"/>
        </w:rPr>
        <w:t>FirstEnergy DSP</w:t>
      </w:r>
      <w:r w:rsidRPr="008628D9">
        <w:rPr>
          <w:i/>
          <w:sz w:val="26"/>
          <w:szCs w:val="26"/>
        </w:rPr>
        <w:t xml:space="preserve"> Order</w:t>
      </w:r>
      <w:r w:rsidRPr="008628D9">
        <w:rPr>
          <w:sz w:val="26"/>
          <w:szCs w:val="26"/>
        </w:rPr>
        <w:t xml:space="preserve"> at 26-27.  </w:t>
      </w:r>
      <w:r>
        <w:rPr>
          <w:sz w:val="26"/>
          <w:szCs w:val="26"/>
        </w:rPr>
        <w:t>RESA notes that t</w:t>
      </w:r>
      <w:r w:rsidRPr="008628D9">
        <w:rPr>
          <w:sz w:val="26"/>
          <w:szCs w:val="26"/>
        </w:rPr>
        <w:t xml:space="preserve">he Commission accepted the use of “overhang” contracts in the </w:t>
      </w:r>
      <w:r>
        <w:rPr>
          <w:i/>
          <w:sz w:val="26"/>
          <w:szCs w:val="26"/>
        </w:rPr>
        <w:t>PECO DSP</w:t>
      </w:r>
      <w:r w:rsidRPr="008628D9">
        <w:rPr>
          <w:i/>
          <w:sz w:val="26"/>
          <w:szCs w:val="26"/>
        </w:rPr>
        <w:t xml:space="preserve"> Order</w:t>
      </w:r>
      <w:r w:rsidRPr="008628D9">
        <w:rPr>
          <w:sz w:val="26"/>
          <w:szCs w:val="26"/>
        </w:rPr>
        <w:t xml:space="preserve"> at 31.  In the </w:t>
      </w:r>
      <w:r w:rsidRPr="008628D9">
        <w:rPr>
          <w:i/>
          <w:sz w:val="26"/>
          <w:szCs w:val="26"/>
        </w:rPr>
        <w:t>PECO</w:t>
      </w:r>
      <w:r w:rsidRPr="008628D9">
        <w:rPr>
          <w:sz w:val="26"/>
          <w:szCs w:val="26"/>
        </w:rPr>
        <w:t xml:space="preserve"> case, however, PECO had proposed laddered contracts of various durations, which the Commission held it could redesign if necessary.  </w:t>
      </w:r>
      <w:r w:rsidRPr="008628D9">
        <w:rPr>
          <w:i/>
          <w:sz w:val="26"/>
          <w:szCs w:val="26"/>
        </w:rPr>
        <w:t>Id</w:t>
      </w:r>
      <w:r w:rsidRPr="008628D9">
        <w:rPr>
          <w:sz w:val="26"/>
          <w:szCs w:val="26"/>
        </w:rPr>
        <w:t xml:space="preserve">.  Duquesne’s residential proposal does not include laddered contracts.  Moreover, </w:t>
      </w:r>
      <w:r>
        <w:rPr>
          <w:sz w:val="26"/>
          <w:szCs w:val="26"/>
        </w:rPr>
        <w:t xml:space="preserve">RESA argues that </w:t>
      </w:r>
      <w:r w:rsidRPr="008628D9">
        <w:rPr>
          <w:sz w:val="26"/>
          <w:szCs w:val="26"/>
        </w:rPr>
        <w:t xml:space="preserve">Duquesne’s argument to distance itself from the </w:t>
      </w:r>
      <w:r w:rsidRPr="008628D9">
        <w:rPr>
          <w:i/>
          <w:sz w:val="26"/>
          <w:szCs w:val="26"/>
        </w:rPr>
        <w:t>F</w:t>
      </w:r>
      <w:r>
        <w:rPr>
          <w:i/>
          <w:sz w:val="26"/>
          <w:szCs w:val="26"/>
        </w:rPr>
        <w:t>irstEnergy DSP Order</w:t>
      </w:r>
      <w:r w:rsidRPr="008628D9">
        <w:rPr>
          <w:sz w:val="26"/>
          <w:szCs w:val="26"/>
        </w:rPr>
        <w:t xml:space="preserve"> lacks merit.  Duquesne testified that PECO had proposed </w:t>
      </w:r>
      <w:r>
        <w:rPr>
          <w:sz w:val="26"/>
          <w:szCs w:val="26"/>
        </w:rPr>
        <w:t>overhang contracts, while the FirstEnergy</w:t>
      </w:r>
      <w:r w:rsidRPr="008628D9">
        <w:rPr>
          <w:sz w:val="26"/>
          <w:szCs w:val="26"/>
        </w:rPr>
        <w:t xml:space="preserve"> Companies did not, and therefore it was appropriate to approve Duquesne’s model.  Overhang contracts should be rejected regardless of who proposes them. </w:t>
      </w:r>
    </w:p>
  </w:footnote>
  <w:footnote w:id="62">
    <w:p w:rsidR="005915E1" w:rsidRPr="008628D9" w:rsidRDefault="005915E1" w:rsidP="008628D9">
      <w:pPr>
        <w:pStyle w:val="FootnoteText"/>
        <w:ind w:firstLine="1440"/>
        <w:rPr>
          <w:sz w:val="26"/>
          <w:szCs w:val="26"/>
        </w:rPr>
      </w:pPr>
      <w:r w:rsidRPr="008628D9">
        <w:rPr>
          <w:rStyle w:val="FootnoteReference"/>
          <w:sz w:val="26"/>
          <w:szCs w:val="26"/>
        </w:rPr>
        <w:footnoteRef/>
      </w:r>
      <w:r>
        <w:rPr>
          <w:sz w:val="26"/>
          <w:szCs w:val="26"/>
        </w:rPr>
        <w:t xml:space="preserve"> </w:t>
      </w:r>
      <w:r>
        <w:rPr>
          <w:sz w:val="26"/>
          <w:szCs w:val="26"/>
        </w:rPr>
        <w:tab/>
      </w:r>
      <w:r w:rsidRPr="008628D9">
        <w:rPr>
          <w:sz w:val="26"/>
          <w:szCs w:val="26"/>
        </w:rPr>
        <w:t>Duquesne notes that it proposed one-year contracts laddered every six months, with six-month rate cha</w:t>
      </w:r>
      <w:r>
        <w:rPr>
          <w:sz w:val="26"/>
          <w:szCs w:val="26"/>
        </w:rPr>
        <w:t>n</w:t>
      </w:r>
      <w:r w:rsidRPr="008628D9">
        <w:rPr>
          <w:sz w:val="26"/>
          <w:szCs w:val="26"/>
        </w:rPr>
        <w:t>ges, for Small C&amp;I customers.  Under Duquesne’s proposal, one contract wou</w:t>
      </w:r>
      <w:r>
        <w:rPr>
          <w:sz w:val="26"/>
          <w:szCs w:val="26"/>
        </w:rPr>
        <w:t xml:space="preserve">ld extend beyond May 31, 2015, </w:t>
      </w:r>
      <w:r w:rsidRPr="008628D9">
        <w:rPr>
          <w:sz w:val="26"/>
          <w:szCs w:val="26"/>
        </w:rPr>
        <w:t>into DSP VII.  Duquesne Exc. at 9.</w:t>
      </w:r>
    </w:p>
  </w:footnote>
  <w:footnote w:id="63">
    <w:p w:rsidR="005915E1" w:rsidRPr="00257550" w:rsidRDefault="005915E1" w:rsidP="008628D9">
      <w:pPr>
        <w:pStyle w:val="FootnoteText"/>
        <w:ind w:firstLine="1440"/>
      </w:pPr>
      <w:r w:rsidRPr="00B96841">
        <w:rPr>
          <w:rStyle w:val="FootnoteReference"/>
          <w:sz w:val="26"/>
          <w:szCs w:val="26"/>
        </w:rPr>
        <w:footnoteRef/>
      </w:r>
      <w:r>
        <w:rPr>
          <w:sz w:val="26"/>
          <w:szCs w:val="26"/>
        </w:rPr>
        <w:t xml:space="preserve"> </w:t>
      </w:r>
      <w:r>
        <w:rPr>
          <w:sz w:val="26"/>
          <w:szCs w:val="26"/>
        </w:rPr>
        <w:tab/>
        <w:t xml:space="preserve">RESA St. </w:t>
      </w:r>
      <w:r w:rsidRPr="00B96841">
        <w:rPr>
          <w:sz w:val="26"/>
          <w:szCs w:val="26"/>
        </w:rPr>
        <w:t xml:space="preserve">2-SR at </w:t>
      </w:r>
      <w:r>
        <w:rPr>
          <w:sz w:val="26"/>
          <w:szCs w:val="26"/>
        </w:rPr>
        <w:t>19</w:t>
      </w:r>
      <w:r w:rsidRPr="00B96841">
        <w:rPr>
          <w:sz w:val="26"/>
          <w:szCs w:val="26"/>
        </w:rPr>
        <w:t>-22.</w:t>
      </w:r>
    </w:p>
  </w:footnote>
  <w:footnote w:id="64">
    <w:p w:rsidR="005915E1" w:rsidRPr="00623A3B" w:rsidRDefault="005915E1" w:rsidP="008628D9">
      <w:pPr>
        <w:pStyle w:val="FootnoteText"/>
        <w:ind w:firstLine="1440"/>
        <w:rPr>
          <w:sz w:val="26"/>
          <w:szCs w:val="26"/>
        </w:rPr>
      </w:pPr>
      <w:r w:rsidRPr="00623A3B">
        <w:rPr>
          <w:rStyle w:val="FootnoteReference"/>
          <w:sz w:val="26"/>
          <w:szCs w:val="26"/>
        </w:rPr>
        <w:footnoteRef/>
      </w:r>
      <w:r w:rsidRPr="00623A3B">
        <w:rPr>
          <w:sz w:val="26"/>
          <w:szCs w:val="26"/>
        </w:rPr>
        <w:t xml:space="preserve"> </w:t>
      </w:r>
      <w:r>
        <w:rPr>
          <w:sz w:val="26"/>
          <w:szCs w:val="26"/>
        </w:rPr>
        <w:tab/>
      </w:r>
      <w:r>
        <w:rPr>
          <w:i/>
          <w:sz w:val="26"/>
          <w:szCs w:val="26"/>
        </w:rPr>
        <w:t xml:space="preserve">FirstEnergy DSP </w:t>
      </w:r>
      <w:r w:rsidRPr="00623A3B">
        <w:rPr>
          <w:i/>
          <w:sz w:val="26"/>
          <w:szCs w:val="26"/>
        </w:rPr>
        <w:t>Order</w:t>
      </w:r>
      <w:r w:rsidRPr="00623A3B">
        <w:rPr>
          <w:sz w:val="26"/>
          <w:szCs w:val="26"/>
        </w:rPr>
        <w:t xml:space="preserve"> at 131.</w:t>
      </w:r>
    </w:p>
  </w:footnote>
  <w:footnote w:id="65">
    <w:p w:rsidR="005915E1" w:rsidRPr="00623A3B" w:rsidRDefault="005915E1" w:rsidP="008628D9">
      <w:pPr>
        <w:pStyle w:val="FootnoteText"/>
        <w:ind w:firstLine="1440"/>
        <w:rPr>
          <w:sz w:val="26"/>
          <w:szCs w:val="26"/>
        </w:rPr>
      </w:pPr>
      <w:r w:rsidRPr="00623A3B">
        <w:rPr>
          <w:rStyle w:val="FootnoteReference"/>
          <w:sz w:val="26"/>
          <w:szCs w:val="26"/>
        </w:rPr>
        <w:footnoteRef/>
      </w:r>
      <w:r w:rsidRPr="00623A3B">
        <w:rPr>
          <w:sz w:val="26"/>
          <w:szCs w:val="26"/>
        </w:rPr>
        <w:t xml:space="preserve"> </w:t>
      </w:r>
      <w:r>
        <w:rPr>
          <w:sz w:val="26"/>
          <w:szCs w:val="26"/>
        </w:rPr>
        <w:tab/>
        <w:t xml:space="preserve">RESA St. </w:t>
      </w:r>
      <w:r w:rsidRPr="00623A3B">
        <w:rPr>
          <w:sz w:val="26"/>
          <w:szCs w:val="26"/>
        </w:rPr>
        <w:t xml:space="preserve">2-SR at 19.  </w:t>
      </w:r>
    </w:p>
  </w:footnote>
  <w:footnote w:id="66">
    <w:p w:rsidR="005915E1" w:rsidRDefault="005915E1" w:rsidP="008628D9">
      <w:pPr>
        <w:pStyle w:val="FootnoteText"/>
        <w:ind w:firstLine="1440"/>
      </w:pPr>
      <w:r w:rsidRPr="000C5F19">
        <w:rPr>
          <w:rStyle w:val="FootnoteReference"/>
          <w:sz w:val="26"/>
          <w:szCs w:val="26"/>
        </w:rPr>
        <w:footnoteRef/>
      </w:r>
      <w:r>
        <w:rPr>
          <w:sz w:val="26"/>
          <w:szCs w:val="26"/>
        </w:rPr>
        <w:t xml:space="preserve"> </w:t>
      </w:r>
      <w:r>
        <w:rPr>
          <w:sz w:val="26"/>
          <w:szCs w:val="26"/>
        </w:rPr>
        <w:tab/>
        <w:t>RESA St. 2 at Exh. CK-1</w:t>
      </w:r>
      <w:r w:rsidRPr="000C5F19">
        <w:rPr>
          <w:sz w:val="26"/>
          <w:szCs w:val="26"/>
        </w:rPr>
        <w:t>.</w:t>
      </w:r>
    </w:p>
  </w:footnote>
  <w:footnote w:id="67">
    <w:p w:rsidR="005915E1" w:rsidRPr="00B96841" w:rsidRDefault="005915E1" w:rsidP="008628D9">
      <w:pPr>
        <w:pStyle w:val="FootnoteText"/>
        <w:ind w:firstLine="1440"/>
        <w:rPr>
          <w:sz w:val="26"/>
          <w:szCs w:val="26"/>
        </w:rPr>
      </w:pPr>
      <w:r w:rsidRPr="00B96841">
        <w:rPr>
          <w:rStyle w:val="FootnoteReference"/>
          <w:sz w:val="26"/>
          <w:szCs w:val="26"/>
        </w:rPr>
        <w:footnoteRef/>
      </w:r>
      <w:r w:rsidRPr="00B96841">
        <w:rPr>
          <w:sz w:val="26"/>
          <w:szCs w:val="26"/>
        </w:rPr>
        <w:t xml:space="preserve"> </w:t>
      </w:r>
      <w:r w:rsidRPr="00B96841">
        <w:rPr>
          <w:sz w:val="26"/>
          <w:szCs w:val="26"/>
        </w:rPr>
        <w:tab/>
      </w:r>
      <w:r>
        <w:rPr>
          <w:sz w:val="26"/>
          <w:szCs w:val="26"/>
        </w:rPr>
        <w:t>Duquesne stated that c</w:t>
      </w:r>
      <w:r w:rsidRPr="00B96841">
        <w:rPr>
          <w:sz w:val="26"/>
          <w:szCs w:val="26"/>
        </w:rPr>
        <w:t>u</w:t>
      </w:r>
      <w:r>
        <w:rPr>
          <w:sz w:val="26"/>
          <w:szCs w:val="26"/>
        </w:rPr>
        <w:t>stomers that sign up for the Opt-In</w:t>
      </w:r>
      <w:r w:rsidRPr="00B96841">
        <w:rPr>
          <w:sz w:val="26"/>
          <w:szCs w:val="26"/>
        </w:rPr>
        <w:t xml:space="preserve"> Program in June 2013</w:t>
      </w:r>
      <w:r>
        <w:rPr>
          <w:sz w:val="26"/>
          <w:szCs w:val="26"/>
        </w:rPr>
        <w:t xml:space="preserve"> would</w:t>
      </w:r>
      <w:r w:rsidRPr="00B96841">
        <w:rPr>
          <w:sz w:val="26"/>
          <w:szCs w:val="26"/>
        </w:rPr>
        <w:t xml:space="preserve"> commence opt-in service at their next meter reading, which may be in June or July 2013 and </w:t>
      </w:r>
      <w:r>
        <w:rPr>
          <w:sz w:val="26"/>
          <w:szCs w:val="26"/>
        </w:rPr>
        <w:t>run for twelve months.  According to Duquesne, there are</w:t>
      </w:r>
      <w:r w:rsidRPr="00B96841">
        <w:rPr>
          <w:sz w:val="26"/>
          <w:szCs w:val="26"/>
        </w:rPr>
        <w:t xml:space="preserve"> no guaranteed savings after </w:t>
      </w:r>
      <w:r>
        <w:rPr>
          <w:sz w:val="26"/>
          <w:szCs w:val="26"/>
        </w:rPr>
        <w:t>June 1, 2014, when the PTC would</w:t>
      </w:r>
      <w:r w:rsidRPr="00B96841">
        <w:rPr>
          <w:sz w:val="26"/>
          <w:szCs w:val="26"/>
        </w:rPr>
        <w:t xml:space="preserve"> change to reflect the annual procurements for default service commencing June 1, 2014.</w:t>
      </w:r>
    </w:p>
  </w:footnote>
  <w:footnote w:id="68">
    <w:p w:rsidR="005915E1" w:rsidRPr="001C0E37" w:rsidRDefault="005915E1" w:rsidP="008628D9">
      <w:pPr>
        <w:pStyle w:val="FootnoteText"/>
        <w:ind w:firstLine="1440"/>
        <w:rPr>
          <w:sz w:val="26"/>
          <w:szCs w:val="26"/>
        </w:rPr>
      </w:pPr>
      <w:r w:rsidRPr="00B96841">
        <w:rPr>
          <w:rStyle w:val="FootnoteReference"/>
          <w:sz w:val="26"/>
          <w:szCs w:val="26"/>
        </w:rPr>
        <w:footnoteRef/>
      </w:r>
      <w:r>
        <w:rPr>
          <w:sz w:val="26"/>
          <w:szCs w:val="26"/>
        </w:rPr>
        <w:t xml:space="preserve"> </w:t>
      </w:r>
      <w:r>
        <w:rPr>
          <w:sz w:val="26"/>
          <w:szCs w:val="26"/>
        </w:rPr>
        <w:tab/>
        <w:t xml:space="preserve">RESA St. </w:t>
      </w:r>
      <w:r w:rsidRPr="00B96841">
        <w:rPr>
          <w:sz w:val="26"/>
          <w:szCs w:val="26"/>
        </w:rPr>
        <w:t>2-R at 8-9.</w:t>
      </w:r>
    </w:p>
  </w:footnote>
  <w:footnote w:id="69">
    <w:p w:rsidR="005915E1" w:rsidRPr="00B96841" w:rsidRDefault="005915E1" w:rsidP="008628D9">
      <w:pPr>
        <w:pStyle w:val="FootnoteText"/>
        <w:ind w:firstLine="1440"/>
        <w:rPr>
          <w:sz w:val="26"/>
          <w:szCs w:val="26"/>
        </w:rPr>
      </w:pPr>
      <w:r w:rsidRPr="00B96841">
        <w:rPr>
          <w:rStyle w:val="FootnoteReference"/>
          <w:sz w:val="26"/>
          <w:szCs w:val="26"/>
        </w:rPr>
        <w:footnoteRef/>
      </w:r>
      <w:r>
        <w:rPr>
          <w:sz w:val="26"/>
          <w:szCs w:val="26"/>
        </w:rPr>
        <w:t xml:space="preserve"> </w:t>
      </w:r>
      <w:r>
        <w:rPr>
          <w:sz w:val="26"/>
          <w:szCs w:val="26"/>
        </w:rPr>
        <w:tab/>
        <w:t xml:space="preserve">RESA St. </w:t>
      </w:r>
      <w:r w:rsidRPr="00B96841">
        <w:rPr>
          <w:sz w:val="26"/>
          <w:szCs w:val="26"/>
        </w:rPr>
        <w:t xml:space="preserve">2-SR at 19.  RESA does not support </w:t>
      </w:r>
      <w:r>
        <w:rPr>
          <w:sz w:val="26"/>
          <w:szCs w:val="26"/>
        </w:rPr>
        <w:t xml:space="preserve">the OCA’s proposal that savings from the PTC </w:t>
      </w:r>
      <w:r w:rsidRPr="00B96841">
        <w:rPr>
          <w:sz w:val="26"/>
          <w:szCs w:val="26"/>
        </w:rPr>
        <w:t xml:space="preserve">should be guaranteed throughout a 12-month term regardless of the pricing regime that is adopted for default service.  </w:t>
      </w:r>
      <w:r>
        <w:rPr>
          <w:sz w:val="26"/>
          <w:szCs w:val="26"/>
        </w:rPr>
        <w:t xml:space="preserve">The </w:t>
      </w:r>
      <w:r w:rsidRPr="00B96841">
        <w:rPr>
          <w:sz w:val="26"/>
          <w:szCs w:val="26"/>
        </w:rPr>
        <w:t>OCA’s proposal places undue</w:t>
      </w:r>
      <w:r>
        <w:rPr>
          <w:sz w:val="26"/>
          <w:szCs w:val="26"/>
        </w:rPr>
        <w:t xml:space="preserve"> risk on the EGS.  RESA St. </w:t>
      </w:r>
      <w:r w:rsidRPr="00B96841">
        <w:rPr>
          <w:sz w:val="26"/>
          <w:szCs w:val="26"/>
        </w:rPr>
        <w:t xml:space="preserve">2-R at 2-3. </w:t>
      </w:r>
    </w:p>
  </w:footnote>
  <w:footnote w:id="70">
    <w:p w:rsidR="005915E1" w:rsidRPr="001C0E37" w:rsidRDefault="005915E1" w:rsidP="008628D9">
      <w:pPr>
        <w:pStyle w:val="FootnoteText"/>
        <w:ind w:firstLine="1440"/>
        <w:rPr>
          <w:sz w:val="26"/>
          <w:szCs w:val="26"/>
        </w:rPr>
      </w:pPr>
      <w:r w:rsidRPr="00B96841">
        <w:rPr>
          <w:rStyle w:val="FootnoteReference"/>
          <w:sz w:val="26"/>
          <w:szCs w:val="26"/>
        </w:rPr>
        <w:footnoteRef/>
      </w:r>
      <w:r>
        <w:rPr>
          <w:sz w:val="26"/>
          <w:szCs w:val="26"/>
        </w:rPr>
        <w:t xml:space="preserve"> </w:t>
      </w:r>
      <w:r>
        <w:rPr>
          <w:sz w:val="26"/>
          <w:szCs w:val="26"/>
        </w:rPr>
        <w:tab/>
        <w:t xml:space="preserve">Duquesne St. </w:t>
      </w:r>
      <w:r w:rsidRPr="00B96841">
        <w:rPr>
          <w:sz w:val="26"/>
          <w:szCs w:val="26"/>
        </w:rPr>
        <w:t>3-RJ at 3.</w:t>
      </w:r>
    </w:p>
  </w:footnote>
  <w:footnote w:id="71">
    <w:p w:rsidR="005915E1" w:rsidRPr="00B96841" w:rsidRDefault="005915E1" w:rsidP="008628D9">
      <w:pPr>
        <w:pStyle w:val="FootnoteText"/>
        <w:ind w:firstLine="1440"/>
        <w:rPr>
          <w:sz w:val="26"/>
          <w:szCs w:val="26"/>
        </w:rPr>
      </w:pPr>
      <w:r w:rsidRPr="00B96841">
        <w:rPr>
          <w:rStyle w:val="FootnoteReference"/>
          <w:sz w:val="26"/>
          <w:szCs w:val="26"/>
        </w:rPr>
        <w:footnoteRef/>
      </w:r>
      <w:r>
        <w:rPr>
          <w:sz w:val="26"/>
          <w:szCs w:val="26"/>
        </w:rPr>
        <w:t xml:space="preserve"> </w:t>
      </w:r>
      <w:r>
        <w:rPr>
          <w:sz w:val="26"/>
          <w:szCs w:val="26"/>
        </w:rPr>
        <w:tab/>
        <w:t>CAUSE states that i</w:t>
      </w:r>
      <w:r w:rsidRPr="00B96841">
        <w:rPr>
          <w:sz w:val="26"/>
          <w:szCs w:val="26"/>
        </w:rPr>
        <w:t>t likely does not ma</w:t>
      </w:r>
      <w:r>
        <w:rPr>
          <w:sz w:val="26"/>
          <w:szCs w:val="26"/>
        </w:rPr>
        <w:t xml:space="preserve">tter whether the Opt-In Program is an </w:t>
      </w:r>
      <w:r w:rsidRPr="00B96841">
        <w:rPr>
          <w:sz w:val="26"/>
          <w:szCs w:val="26"/>
        </w:rPr>
        <w:t>“aucti</w:t>
      </w:r>
      <w:r>
        <w:rPr>
          <w:sz w:val="26"/>
          <w:szCs w:val="26"/>
        </w:rPr>
        <w:t>on” or “aggregation” program, as</w:t>
      </w:r>
      <w:r w:rsidRPr="00B96841">
        <w:rPr>
          <w:sz w:val="26"/>
          <w:szCs w:val="26"/>
        </w:rPr>
        <w:t xml:space="preserve"> long as the product is opt-in, </w:t>
      </w:r>
      <w:r>
        <w:rPr>
          <w:sz w:val="26"/>
          <w:szCs w:val="26"/>
        </w:rPr>
        <w:t>guarantees 5% off the PTC for twelve</w:t>
      </w:r>
      <w:r w:rsidRPr="00B96841">
        <w:rPr>
          <w:sz w:val="26"/>
          <w:szCs w:val="26"/>
        </w:rPr>
        <w:t>-months, pays participating customers $50 after thr</w:t>
      </w:r>
      <w:r>
        <w:rPr>
          <w:sz w:val="26"/>
          <w:szCs w:val="26"/>
        </w:rPr>
        <w:t>ee months participation, and has</w:t>
      </w:r>
      <w:r w:rsidRPr="00B96841">
        <w:rPr>
          <w:sz w:val="26"/>
          <w:szCs w:val="26"/>
        </w:rPr>
        <w:t xml:space="preserve"> no cancellation fees </w:t>
      </w:r>
      <w:r>
        <w:rPr>
          <w:sz w:val="26"/>
          <w:szCs w:val="26"/>
        </w:rPr>
        <w:t>during the term of the program.</w:t>
      </w:r>
    </w:p>
  </w:footnote>
  <w:footnote w:id="72">
    <w:p w:rsidR="005915E1" w:rsidRPr="000C5F19" w:rsidRDefault="005915E1" w:rsidP="004159B6">
      <w:pPr>
        <w:pStyle w:val="FootnoteText"/>
        <w:ind w:firstLine="1440"/>
        <w:rPr>
          <w:sz w:val="26"/>
          <w:szCs w:val="26"/>
        </w:rPr>
      </w:pPr>
      <w:r w:rsidRPr="000C5F19">
        <w:rPr>
          <w:rStyle w:val="FootnoteReference"/>
          <w:sz w:val="26"/>
          <w:szCs w:val="26"/>
        </w:rPr>
        <w:footnoteRef/>
      </w:r>
      <w:r w:rsidRPr="000C5F19">
        <w:rPr>
          <w:sz w:val="26"/>
          <w:szCs w:val="26"/>
        </w:rPr>
        <w:t xml:space="preserve"> </w:t>
      </w:r>
      <w:r>
        <w:rPr>
          <w:sz w:val="26"/>
          <w:szCs w:val="26"/>
        </w:rPr>
        <w:tab/>
        <w:t xml:space="preserve">RESA St. </w:t>
      </w:r>
      <w:r w:rsidRPr="000C5F19">
        <w:rPr>
          <w:sz w:val="26"/>
          <w:szCs w:val="26"/>
        </w:rPr>
        <w:t xml:space="preserve">2-SR at 22.  RESA recommended that the discount and term for both programs be 5% for four months, followed by the eight-month period.  </w:t>
      </w:r>
      <w:r w:rsidRPr="000C5F19">
        <w:rPr>
          <w:i/>
          <w:sz w:val="26"/>
          <w:szCs w:val="26"/>
        </w:rPr>
        <w:t>Id</w:t>
      </w:r>
      <w:r w:rsidRPr="000C5F19">
        <w:rPr>
          <w:sz w:val="26"/>
          <w:szCs w:val="26"/>
        </w:rPr>
        <w:t xml:space="preserve">. </w:t>
      </w:r>
    </w:p>
  </w:footnote>
  <w:footnote w:id="73">
    <w:p w:rsidR="005915E1" w:rsidRPr="000C5F19" w:rsidRDefault="005915E1" w:rsidP="004159B6">
      <w:pPr>
        <w:pStyle w:val="FootnoteText"/>
        <w:ind w:firstLine="1440"/>
        <w:rPr>
          <w:sz w:val="26"/>
          <w:szCs w:val="26"/>
        </w:rPr>
      </w:pPr>
      <w:r w:rsidRPr="000C5F19">
        <w:rPr>
          <w:rStyle w:val="FootnoteReference"/>
          <w:sz w:val="26"/>
          <w:szCs w:val="26"/>
        </w:rPr>
        <w:footnoteRef/>
      </w:r>
      <w:r w:rsidRPr="000C5F19">
        <w:rPr>
          <w:sz w:val="26"/>
          <w:szCs w:val="26"/>
        </w:rPr>
        <w:t xml:space="preserve"> </w:t>
      </w:r>
      <w:r>
        <w:rPr>
          <w:sz w:val="26"/>
          <w:szCs w:val="26"/>
        </w:rPr>
        <w:tab/>
        <w:t xml:space="preserve">RESA St. </w:t>
      </w:r>
      <w:r w:rsidRPr="000C5F19">
        <w:rPr>
          <w:sz w:val="26"/>
          <w:szCs w:val="26"/>
        </w:rPr>
        <w:t>2-R at 8-9.</w:t>
      </w:r>
    </w:p>
  </w:footnote>
  <w:footnote w:id="74">
    <w:p w:rsidR="005915E1" w:rsidRPr="004159B6" w:rsidRDefault="005915E1" w:rsidP="004159B6">
      <w:pPr>
        <w:pStyle w:val="FootnoteText"/>
        <w:spacing w:after="120"/>
        <w:ind w:firstLine="1440"/>
        <w:jc w:val="both"/>
        <w:rPr>
          <w:sz w:val="26"/>
          <w:szCs w:val="26"/>
        </w:rPr>
      </w:pPr>
      <w:r w:rsidRPr="004159B6">
        <w:rPr>
          <w:rStyle w:val="FootnoteReference"/>
          <w:sz w:val="26"/>
          <w:szCs w:val="26"/>
        </w:rPr>
        <w:footnoteRef/>
      </w:r>
      <w:r w:rsidRPr="004159B6">
        <w:rPr>
          <w:sz w:val="26"/>
          <w:szCs w:val="26"/>
        </w:rPr>
        <w:t xml:space="preserve"> </w:t>
      </w:r>
      <w:r>
        <w:rPr>
          <w:sz w:val="26"/>
          <w:szCs w:val="26"/>
        </w:rPr>
        <w:tab/>
        <w:t>Duquesne states that i</w:t>
      </w:r>
      <w:r w:rsidRPr="004159B6">
        <w:rPr>
          <w:sz w:val="26"/>
          <w:szCs w:val="26"/>
        </w:rPr>
        <w:t xml:space="preserve">f the Commission </w:t>
      </w:r>
      <w:r>
        <w:rPr>
          <w:sz w:val="26"/>
          <w:szCs w:val="26"/>
        </w:rPr>
        <w:t>is concerned that a twelve-month Opt-In</w:t>
      </w:r>
      <w:r w:rsidRPr="004159B6">
        <w:rPr>
          <w:sz w:val="26"/>
          <w:szCs w:val="26"/>
        </w:rPr>
        <w:t xml:space="preserve"> term presents too much risk for EGSs, the Commission could eliminate the $50.00 bonus payment, which would reduce EGS</w:t>
      </w:r>
      <w:r>
        <w:rPr>
          <w:sz w:val="26"/>
          <w:szCs w:val="26"/>
        </w:rPr>
        <w:t>s</w:t>
      </w:r>
      <w:r w:rsidRPr="004159B6">
        <w:rPr>
          <w:sz w:val="26"/>
          <w:szCs w:val="26"/>
        </w:rPr>
        <w:t>’ risk.  The Company would prefer this app</w:t>
      </w:r>
      <w:r>
        <w:rPr>
          <w:sz w:val="26"/>
          <w:szCs w:val="26"/>
        </w:rPr>
        <w:t>roach over a four-month/eight-month Opt-In</w:t>
      </w:r>
      <w:r w:rsidRPr="004159B6">
        <w:rPr>
          <w:sz w:val="26"/>
          <w:szCs w:val="26"/>
        </w:rPr>
        <w:t xml:space="preserve"> program structure.</w:t>
      </w:r>
    </w:p>
  </w:footnote>
  <w:footnote w:id="75">
    <w:p w:rsidR="005915E1" w:rsidRPr="00B96841" w:rsidRDefault="005915E1" w:rsidP="004159B6">
      <w:pPr>
        <w:pStyle w:val="FootnoteText"/>
        <w:ind w:firstLine="1440"/>
        <w:rPr>
          <w:sz w:val="26"/>
          <w:szCs w:val="26"/>
        </w:rPr>
      </w:pPr>
      <w:r w:rsidRPr="00B96841">
        <w:rPr>
          <w:rStyle w:val="FootnoteReference"/>
          <w:sz w:val="26"/>
          <w:szCs w:val="26"/>
        </w:rPr>
        <w:footnoteRef/>
      </w:r>
      <w:r>
        <w:rPr>
          <w:sz w:val="26"/>
          <w:szCs w:val="26"/>
        </w:rPr>
        <w:t xml:space="preserve"> </w:t>
      </w:r>
      <w:r>
        <w:rPr>
          <w:sz w:val="26"/>
          <w:szCs w:val="26"/>
        </w:rPr>
        <w:tab/>
        <w:t xml:space="preserve">RESA St. </w:t>
      </w:r>
      <w:r w:rsidRPr="00B96841">
        <w:rPr>
          <w:sz w:val="26"/>
          <w:szCs w:val="26"/>
        </w:rPr>
        <w:t xml:space="preserve">2-SR at </w:t>
      </w:r>
      <w:r>
        <w:rPr>
          <w:sz w:val="26"/>
          <w:szCs w:val="26"/>
        </w:rPr>
        <w:t>21-</w:t>
      </w:r>
      <w:r w:rsidRPr="00B96841">
        <w:rPr>
          <w:sz w:val="26"/>
          <w:szCs w:val="26"/>
        </w:rPr>
        <w:t>22.</w:t>
      </w:r>
    </w:p>
  </w:footnote>
  <w:footnote w:id="76">
    <w:p w:rsidR="005915E1" w:rsidRPr="00B96841" w:rsidRDefault="005915E1" w:rsidP="007D6B57">
      <w:pPr>
        <w:pStyle w:val="FootnoteText"/>
        <w:ind w:firstLine="1440"/>
        <w:rPr>
          <w:sz w:val="26"/>
          <w:szCs w:val="26"/>
        </w:rPr>
      </w:pPr>
      <w:r w:rsidRPr="00B96841">
        <w:rPr>
          <w:rStyle w:val="FootnoteReference"/>
          <w:sz w:val="26"/>
          <w:szCs w:val="26"/>
        </w:rPr>
        <w:footnoteRef/>
      </w:r>
      <w:r>
        <w:rPr>
          <w:sz w:val="26"/>
          <w:szCs w:val="26"/>
        </w:rPr>
        <w:t xml:space="preserve"> </w:t>
      </w:r>
      <w:r>
        <w:rPr>
          <w:sz w:val="26"/>
          <w:szCs w:val="26"/>
        </w:rPr>
        <w:tab/>
        <w:t xml:space="preserve">Duquesne St. </w:t>
      </w:r>
      <w:r w:rsidRPr="00B96841">
        <w:rPr>
          <w:sz w:val="26"/>
          <w:szCs w:val="26"/>
        </w:rPr>
        <w:t>3-RJ at 4.</w:t>
      </w:r>
    </w:p>
  </w:footnote>
  <w:footnote w:id="77">
    <w:p w:rsidR="005915E1" w:rsidRPr="00546CC6" w:rsidRDefault="005915E1" w:rsidP="005A6535">
      <w:pPr>
        <w:pStyle w:val="FootnoteText"/>
        <w:ind w:firstLine="1440"/>
        <w:rPr>
          <w:sz w:val="26"/>
          <w:szCs w:val="26"/>
        </w:rPr>
      </w:pPr>
      <w:r w:rsidRPr="00546CC6">
        <w:rPr>
          <w:rStyle w:val="FootnoteReference"/>
          <w:sz w:val="26"/>
          <w:szCs w:val="26"/>
        </w:rPr>
        <w:footnoteRef/>
      </w:r>
      <w:r w:rsidRPr="00546CC6">
        <w:rPr>
          <w:sz w:val="26"/>
          <w:szCs w:val="26"/>
        </w:rPr>
        <w:t xml:space="preserve"> </w:t>
      </w:r>
      <w:r w:rsidRPr="00546CC6">
        <w:rPr>
          <w:sz w:val="26"/>
          <w:szCs w:val="26"/>
        </w:rPr>
        <w:tab/>
        <w:t xml:space="preserve">FES </w:t>
      </w:r>
      <w:r>
        <w:rPr>
          <w:sz w:val="26"/>
          <w:szCs w:val="26"/>
        </w:rPr>
        <w:t>filed an exception</w:t>
      </w:r>
      <w:r w:rsidRPr="00546CC6">
        <w:rPr>
          <w:sz w:val="26"/>
          <w:szCs w:val="26"/>
        </w:rPr>
        <w:t xml:space="preserve"> to the ALJ’s recommendation regarding </w:t>
      </w:r>
      <w:r w:rsidRPr="007D1761">
        <w:rPr>
          <w:sz w:val="26"/>
          <w:szCs w:val="26"/>
        </w:rPr>
        <w:t>wholesale s</w:t>
      </w:r>
      <w:r w:rsidRPr="00546CC6">
        <w:rPr>
          <w:sz w:val="26"/>
          <w:szCs w:val="26"/>
        </w:rPr>
        <w:t>upplier load caps applicable to Duquesne’s RFPs for default service supply.  FES Exc. at 5-9.  FES did not except to the ALJ’s recommendation regarding a supplier load cap for the provision of retail service under the Opt-In Program.</w:t>
      </w:r>
    </w:p>
  </w:footnote>
  <w:footnote w:id="78">
    <w:p w:rsidR="005915E1" w:rsidRPr="007920EC" w:rsidRDefault="005915E1" w:rsidP="00394FDC">
      <w:pPr>
        <w:pStyle w:val="FootnoteText"/>
        <w:ind w:firstLine="1440"/>
        <w:rPr>
          <w:sz w:val="26"/>
          <w:szCs w:val="26"/>
        </w:rPr>
      </w:pPr>
      <w:r w:rsidRPr="007920EC">
        <w:rPr>
          <w:rStyle w:val="FootnoteReference"/>
          <w:sz w:val="26"/>
          <w:szCs w:val="26"/>
        </w:rPr>
        <w:footnoteRef/>
      </w:r>
      <w:r>
        <w:rPr>
          <w:sz w:val="26"/>
          <w:szCs w:val="26"/>
        </w:rPr>
        <w:t xml:space="preserve"> </w:t>
      </w:r>
      <w:r>
        <w:rPr>
          <w:sz w:val="26"/>
          <w:szCs w:val="26"/>
        </w:rPr>
        <w:tab/>
        <w:t xml:space="preserve">RESA St. </w:t>
      </w:r>
      <w:r w:rsidRPr="007920EC">
        <w:rPr>
          <w:sz w:val="26"/>
          <w:szCs w:val="26"/>
        </w:rPr>
        <w:t>2 at 8.</w:t>
      </w:r>
    </w:p>
  </w:footnote>
  <w:footnote w:id="79">
    <w:p w:rsidR="005915E1" w:rsidRPr="007920EC" w:rsidRDefault="005915E1" w:rsidP="000E0745">
      <w:pPr>
        <w:pStyle w:val="FootnoteText"/>
        <w:ind w:firstLine="1440"/>
        <w:rPr>
          <w:sz w:val="26"/>
          <w:szCs w:val="26"/>
        </w:rPr>
      </w:pPr>
      <w:r w:rsidRPr="007920EC">
        <w:rPr>
          <w:rStyle w:val="FootnoteReference"/>
          <w:sz w:val="26"/>
          <w:szCs w:val="26"/>
        </w:rPr>
        <w:footnoteRef/>
      </w:r>
      <w:r>
        <w:rPr>
          <w:sz w:val="26"/>
          <w:szCs w:val="26"/>
        </w:rPr>
        <w:t xml:space="preserve"> </w:t>
      </w:r>
      <w:r>
        <w:rPr>
          <w:sz w:val="26"/>
          <w:szCs w:val="26"/>
        </w:rPr>
        <w:tab/>
        <w:t>RESA’s witness wa</w:t>
      </w:r>
      <w:r w:rsidRPr="007920EC">
        <w:rPr>
          <w:sz w:val="26"/>
          <w:szCs w:val="26"/>
        </w:rPr>
        <w:t>s not aware of whether any RESA members support its recommendation.  FES Ex</w:t>
      </w:r>
      <w:r>
        <w:rPr>
          <w:sz w:val="26"/>
          <w:szCs w:val="26"/>
        </w:rPr>
        <w:t>h</w:t>
      </w:r>
      <w:r w:rsidRPr="007920EC">
        <w:rPr>
          <w:sz w:val="26"/>
          <w:szCs w:val="26"/>
        </w:rPr>
        <w:t>. TCB-8 (RESA Response to FES I-8(c)).</w:t>
      </w:r>
    </w:p>
  </w:footnote>
  <w:footnote w:id="80">
    <w:p w:rsidR="005915E1" w:rsidRDefault="005915E1" w:rsidP="00394FDC">
      <w:pPr>
        <w:pStyle w:val="FootnoteText"/>
        <w:ind w:firstLine="1440"/>
      </w:pPr>
      <w:r w:rsidRPr="0098056E">
        <w:rPr>
          <w:rStyle w:val="FootnoteReference"/>
          <w:sz w:val="26"/>
          <w:szCs w:val="26"/>
        </w:rPr>
        <w:footnoteRef/>
      </w:r>
      <w:r w:rsidRPr="0098056E">
        <w:rPr>
          <w:sz w:val="26"/>
          <w:szCs w:val="26"/>
        </w:rPr>
        <w:t xml:space="preserve"> </w:t>
      </w:r>
      <w:r>
        <w:rPr>
          <w:sz w:val="26"/>
          <w:szCs w:val="26"/>
        </w:rPr>
        <w:tab/>
        <w:t xml:space="preserve">RESA St. </w:t>
      </w:r>
      <w:r w:rsidRPr="0098056E">
        <w:rPr>
          <w:sz w:val="26"/>
          <w:szCs w:val="26"/>
        </w:rPr>
        <w:t>2 at 7</w:t>
      </w:r>
      <w:r>
        <w:rPr>
          <w:sz w:val="26"/>
          <w:szCs w:val="26"/>
        </w:rPr>
        <w:t>-8</w:t>
      </w:r>
      <w:r w:rsidRPr="0098056E">
        <w:rPr>
          <w:sz w:val="26"/>
          <w:szCs w:val="26"/>
        </w:rPr>
        <w:t>.</w:t>
      </w:r>
    </w:p>
  </w:footnote>
  <w:footnote w:id="81">
    <w:p w:rsidR="005915E1" w:rsidRPr="0098056E" w:rsidRDefault="005915E1" w:rsidP="00394FDC">
      <w:pPr>
        <w:pStyle w:val="FootnoteText"/>
        <w:ind w:firstLine="1440"/>
        <w:rPr>
          <w:sz w:val="26"/>
          <w:szCs w:val="26"/>
        </w:rPr>
      </w:pPr>
      <w:r w:rsidRPr="0098056E">
        <w:rPr>
          <w:rStyle w:val="FootnoteReference"/>
          <w:sz w:val="26"/>
          <w:szCs w:val="26"/>
        </w:rPr>
        <w:footnoteRef/>
      </w:r>
      <w:r w:rsidRPr="0098056E">
        <w:rPr>
          <w:sz w:val="26"/>
          <w:szCs w:val="26"/>
        </w:rPr>
        <w:t xml:space="preserve"> </w:t>
      </w:r>
      <w:r>
        <w:rPr>
          <w:sz w:val="26"/>
          <w:szCs w:val="26"/>
        </w:rPr>
        <w:tab/>
      </w:r>
      <w:r w:rsidRPr="0098056E">
        <w:rPr>
          <w:sz w:val="26"/>
          <w:szCs w:val="26"/>
        </w:rPr>
        <w:t xml:space="preserve">RESA acknowledges that its recommendation on this issue deviates from the Commission’s </w:t>
      </w:r>
      <w:r>
        <w:rPr>
          <w:i/>
          <w:sz w:val="26"/>
          <w:szCs w:val="26"/>
        </w:rPr>
        <w:t>IWP</w:t>
      </w:r>
      <w:r w:rsidRPr="0098056E">
        <w:rPr>
          <w:i/>
          <w:sz w:val="26"/>
          <w:szCs w:val="26"/>
        </w:rPr>
        <w:t xml:space="preserve"> Final Order. </w:t>
      </w:r>
      <w:r>
        <w:rPr>
          <w:sz w:val="26"/>
          <w:szCs w:val="26"/>
        </w:rPr>
        <w:t xml:space="preserve">That said, RESA </w:t>
      </w:r>
      <w:r w:rsidRPr="0098056E">
        <w:rPr>
          <w:sz w:val="26"/>
          <w:szCs w:val="26"/>
        </w:rPr>
        <w:t>believe</w:t>
      </w:r>
      <w:r>
        <w:rPr>
          <w:sz w:val="26"/>
          <w:szCs w:val="26"/>
        </w:rPr>
        <w:t>s that its proposal</w:t>
      </w:r>
      <w:r w:rsidRPr="0098056E">
        <w:rPr>
          <w:sz w:val="26"/>
          <w:szCs w:val="26"/>
        </w:rPr>
        <w:t xml:space="preserve"> is re</w:t>
      </w:r>
      <w:r>
        <w:rPr>
          <w:sz w:val="26"/>
          <w:szCs w:val="26"/>
        </w:rPr>
        <w:t>asonable and appropriate</w:t>
      </w:r>
      <w:r w:rsidRPr="0098056E">
        <w:rPr>
          <w:sz w:val="26"/>
          <w:szCs w:val="26"/>
        </w:rPr>
        <w:t>.</w:t>
      </w:r>
    </w:p>
  </w:footnote>
  <w:footnote w:id="82">
    <w:p w:rsidR="005915E1" w:rsidRPr="00473A03" w:rsidRDefault="005915E1" w:rsidP="00394FDC">
      <w:pPr>
        <w:pStyle w:val="FootnoteText"/>
        <w:ind w:firstLine="1440"/>
        <w:rPr>
          <w:sz w:val="26"/>
          <w:szCs w:val="26"/>
        </w:rPr>
      </w:pPr>
      <w:r w:rsidRPr="007920EC">
        <w:rPr>
          <w:rStyle w:val="FootnoteReference"/>
          <w:sz w:val="26"/>
          <w:szCs w:val="26"/>
        </w:rPr>
        <w:footnoteRef/>
      </w:r>
      <w:r w:rsidRPr="007920EC">
        <w:rPr>
          <w:sz w:val="26"/>
          <w:szCs w:val="26"/>
        </w:rPr>
        <w:t xml:space="preserve"> </w:t>
      </w:r>
      <w:r w:rsidRPr="007920EC">
        <w:rPr>
          <w:sz w:val="26"/>
          <w:szCs w:val="26"/>
        </w:rPr>
        <w:tab/>
      </w:r>
      <w:r>
        <w:rPr>
          <w:i/>
          <w:sz w:val="26"/>
          <w:szCs w:val="26"/>
        </w:rPr>
        <w:t>FirstEnergy DSP</w:t>
      </w:r>
      <w:r w:rsidRPr="007920EC">
        <w:rPr>
          <w:i/>
          <w:sz w:val="26"/>
          <w:szCs w:val="26"/>
        </w:rPr>
        <w:t xml:space="preserve"> Order</w:t>
      </w:r>
      <w:r w:rsidRPr="007920EC">
        <w:rPr>
          <w:sz w:val="26"/>
          <w:szCs w:val="26"/>
        </w:rPr>
        <w:t xml:space="preserve"> at 109.</w:t>
      </w:r>
    </w:p>
  </w:footnote>
  <w:footnote w:id="83">
    <w:p w:rsidR="005915E1" w:rsidRPr="007920EC" w:rsidRDefault="005915E1" w:rsidP="00394FDC">
      <w:pPr>
        <w:pStyle w:val="FootnoteText"/>
        <w:ind w:firstLine="1440"/>
        <w:rPr>
          <w:sz w:val="26"/>
          <w:szCs w:val="26"/>
        </w:rPr>
      </w:pPr>
      <w:r w:rsidRPr="007920EC">
        <w:rPr>
          <w:rStyle w:val="FootnoteReference"/>
          <w:sz w:val="26"/>
          <w:szCs w:val="26"/>
        </w:rPr>
        <w:footnoteRef/>
      </w:r>
      <w:r>
        <w:rPr>
          <w:sz w:val="26"/>
          <w:szCs w:val="26"/>
        </w:rPr>
        <w:t xml:space="preserve"> </w:t>
      </w:r>
      <w:r>
        <w:rPr>
          <w:sz w:val="26"/>
          <w:szCs w:val="26"/>
        </w:rPr>
        <w:tab/>
        <w:t xml:space="preserve">RESA St. </w:t>
      </w:r>
      <w:r w:rsidRPr="007920EC">
        <w:rPr>
          <w:sz w:val="26"/>
          <w:szCs w:val="26"/>
        </w:rPr>
        <w:t>1 at 4, 9.</w:t>
      </w:r>
    </w:p>
  </w:footnote>
  <w:footnote w:id="84">
    <w:p w:rsidR="005915E1" w:rsidRPr="007920EC" w:rsidRDefault="005915E1" w:rsidP="00394FDC">
      <w:pPr>
        <w:pStyle w:val="FootnoteText"/>
        <w:ind w:firstLine="1440"/>
        <w:rPr>
          <w:sz w:val="26"/>
          <w:szCs w:val="26"/>
        </w:rPr>
      </w:pPr>
      <w:r w:rsidRPr="007920EC">
        <w:rPr>
          <w:rStyle w:val="FootnoteReference"/>
          <w:sz w:val="26"/>
          <w:szCs w:val="26"/>
        </w:rPr>
        <w:footnoteRef/>
      </w:r>
      <w:r>
        <w:rPr>
          <w:sz w:val="26"/>
          <w:szCs w:val="26"/>
        </w:rPr>
        <w:t xml:space="preserve"> </w:t>
      </w:r>
      <w:r>
        <w:rPr>
          <w:sz w:val="26"/>
          <w:szCs w:val="26"/>
        </w:rPr>
        <w:tab/>
        <w:t xml:space="preserve">OCA St. </w:t>
      </w:r>
      <w:r w:rsidRPr="007920EC">
        <w:rPr>
          <w:sz w:val="26"/>
          <w:szCs w:val="26"/>
        </w:rPr>
        <w:t>2 at 12-13.</w:t>
      </w:r>
    </w:p>
  </w:footnote>
  <w:footnote w:id="85">
    <w:p w:rsidR="005915E1" w:rsidRPr="00853F49" w:rsidRDefault="005915E1" w:rsidP="000302FC">
      <w:pPr>
        <w:pStyle w:val="FootnoteText"/>
        <w:ind w:left="720" w:firstLine="720"/>
        <w:rPr>
          <w:sz w:val="26"/>
          <w:szCs w:val="26"/>
        </w:rPr>
      </w:pPr>
      <w:r w:rsidRPr="00853F49">
        <w:rPr>
          <w:rStyle w:val="FootnoteReference"/>
          <w:sz w:val="26"/>
          <w:szCs w:val="26"/>
        </w:rPr>
        <w:footnoteRef/>
      </w:r>
      <w:r w:rsidRPr="00853F49">
        <w:rPr>
          <w:sz w:val="26"/>
          <w:szCs w:val="26"/>
        </w:rPr>
        <w:t xml:space="preserve"> </w:t>
      </w:r>
      <w:r>
        <w:rPr>
          <w:sz w:val="26"/>
          <w:szCs w:val="26"/>
        </w:rPr>
        <w:tab/>
        <w:t xml:space="preserve">RESA St. </w:t>
      </w:r>
      <w:r w:rsidRPr="00853F49">
        <w:rPr>
          <w:sz w:val="26"/>
          <w:szCs w:val="26"/>
        </w:rPr>
        <w:t>2-R at 10.</w:t>
      </w:r>
    </w:p>
  </w:footnote>
  <w:footnote w:id="86">
    <w:p w:rsidR="005915E1" w:rsidRPr="00A12F8D" w:rsidRDefault="005915E1" w:rsidP="00D0194A">
      <w:pPr>
        <w:pStyle w:val="FootnoteText"/>
        <w:ind w:left="720" w:firstLine="720"/>
      </w:pPr>
      <w:r w:rsidRPr="00853F49">
        <w:rPr>
          <w:rStyle w:val="FootnoteReference"/>
          <w:sz w:val="26"/>
          <w:szCs w:val="26"/>
        </w:rPr>
        <w:footnoteRef/>
      </w:r>
      <w:r w:rsidRPr="00853F49">
        <w:rPr>
          <w:sz w:val="26"/>
          <w:szCs w:val="26"/>
        </w:rPr>
        <w:t xml:space="preserve"> </w:t>
      </w:r>
      <w:r>
        <w:rPr>
          <w:sz w:val="26"/>
          <w:szCs w:val="26"/>
        </w:rPr>
        <w:tab/>
      </w:r>
      <w:r w:rsidRPr="00853F49">
        <w:rPr>
          <w:i/>
          <w:iCs/>
          <w:sz w:val="26"/>
          <w:szCs w:val="26"/>
        </w:rPr>
        <w:t xml:space="preserve">FirstEnergy </w:t>
      </w:r>
      <w:r>
        <w:rPr>
          <w:i/>
          <w:iCs/>
          <w:sz w:val="26"/>
          <w:szCs w:val="26"/>
        </w:rPr>
        <w:t xml:space="preserve">DSP Order </w:t>
      </w:r>
      <w:r w:rsidRPr="00853F49">
        <w:rPr>
          <w:sz w:val="26"/>
          <w:szCs w:val="26"/>
        </w:rPr>
        <w:t xml:space="preserve">at 129; </w:t>
      </w:r>
      <w:r>
        <w:rPr>
          <w:i/>
          <w:iCs/>
          <w:sz w:val="26"/>
          <w:szCs w:val="26"/>
        </w:rPr>
        <w:t>PECO DSP</w:t>
      </w:r>
      <w:r w:rsidRPr="00853F49">
        <w:rPr>
          <w:i/>
          <w:iCs/>
          <w:sz w:val="26"/>
          <w:szCs w:val="26"/>
        </w:rPr>
        <w:t xml:space="preserve"> Order </w:t>
      </w:r>
      <w:r w:rsidRPr="00853F49">
        <w:rPr>
          <w:sz w:val="26"/>
          <w:szCs w:val="26"/>
        </w:rPr>
        <w:t>at 100.</w:t>
      </w:r>
      <w:r w:rsidRPr="00A12F8D">
        <w:t xml:space="preserve">  </w:t>
      </w:r>
    </w:p>
  </w:footnote>
  <w:footnote w:id="87">
    <w:p w:rsidR="005915E1" w:rsidRPr="00394FDC" w:rsidRDefault="005915E1" w:rsidP="00394FDC">
      <w:pPr>
        <w:pStyle w:val="FootnoteText"/>
        <w:ind w:firstLine="1440"/>
        <w:rPr>
          <w:sz w:val="26"/>
          <w:szCs w:val="26"/>
        </w:rPr>
      </w:pPr>
      <w:r w:rsidRPr="00394FDC">
        <w:rPr>
          <w:rStyle w:val="FootnoteReference"/>
          <w:sz w:val="26"/>
          <w:szCs w:val="26"/>
        </w:rPr>
        <w:footnoteRef/>
      </w:r>
      <w:r w:rsidRPr="00394FDC">
        <w:rPr>
          <w:sz w:val="26"/>
          <w:szCs w:val="26"/>
        </w:rPr>
        <w:t xml:space="preserve"> </w:t>
      </w:r>
      <w:r w:rsidRPr="00394FDC">
        <w:rPr>
          <w:sz w:val="26"/>
          <w:szCs w:val="26"/>
        </w:rPr>
        <w:tab/>
        <w:t xml:space="preserve">Because we have rejected the proposed RFP for the Opt-In Program, </w:t>
      </w:r>
      <w:r w:rsidRPr="00394FDC">
        <w:rPr>
          <w:i/>
          <w:sz w:val="26"/>
          <w:szCs w:val="26"/>
        </w:rPr>
        <w:t>supra</w:t>
      </w:r>
      <w:r w:rsidRPr="00394FDC">
        <w:rPr>
          <w:sz w:val="26"/>
          <w:szCs w:val="26"/>
        </w:rPr>
        <w:t>, we shall not address the Parties’ arguments regarding RFP rules and procedures.</w:t>
      </w:r>
    </w:p>
  </w:footnote>
  <w:footnote w:id="88">
    <w:p w:rsidR="005915E1" w:rsidRPr="007920EC" w:rsidRDefault="005915E1" w:rsidP="00394FDC">
      <w:pPr>
        <w:pStyle w:val="FootnoteText"/>
        <w:ind w:firstLine="1440"/>
        <w:rPr>
          <w:sz w:val="26"/>
          <w:szCs w:val="26"/>
        </w:rPr>
      </w:pPr>
      <w:r w:rsidRPr="007920EC">
        <w:rPr>
          <w:rStyle w:val="FootnoteReference"/>
          <w:sz w:val="26"/>
          <w:szCs w:val="26"/>
        </w:rPr>
        <w:footnoteRef/>
      </w:r>
      <w:r>
        <w:rPr>
          <w:sz w:val="26"/>
          <w:szCs w:val="26"/>
        </w:rPr>
        <w:t xml:space="preserve"> </w:t>
      </w:r>
      <w:r>
        <w:rPr>
          <w:sz w:val="26"/>
          <w:szCs w:val="26"/>
        </w:rPr>
        <w:tab/>
        <w:t>Duquesne stated that, i</w:t>
      </w:r>
      <w:r w:rsidRPr="007920EC">
        <w:rPr>
          <w:sz w:val="26"/>
          <w:szCs w:val="26"/>
        </w:rPr>
        <w:t>n many respects, th</w:t>
      </w:r>
      <w:r>
        <w:rPr>
          <w:sz w:val="26"/>
          <w:szCs w:val="26"/>
        </w:rPr>
        <w:t xml:space="preserve">e Opt-In Program </w:t>
      </w:r>
      <w:r w:rsidRPr="007920EC">
        <w:rPr>
          <w:sz w:val="26"/>
          <w:szCs w:val="26"/>
        </w:rPr>
        <w:t xml:space="preserve">Agreement is much simpler (and shorter) than the Supply Master Agreement for wholesale </w:t>
      </w:r>
      <w:r>
        <w:rPr>
          <w:sz w:val="26"/>
          <w:szCs w:val="26"/>
        </w:rPr>
        <w:t xml:space="preserve">default service, which was </w:t>
      </w:r>
      <w:r w:rsidRPr="007920EC">
        <w:rPr>
          <w:sz w:val="26"/>
          <w:szCs w:val="26"/>
        </w:rPr>
        <w:t>developed without the need for a collaborative.</w:t>
      </w:r>
    </w:p>
  </w:footnote>
  <w:footnote w:id="89">
    <w:p w:rsidR="005915E1" w:rsidRPr="00413CB0" w:rsidRDefault="005915E1" w:rsidP="00394FDC">
      <w:pPr>
        <w:pStyle w:val="FootnoteText"/>
        <w:ind w:firstLine="1440"/>
        <w:rPr>
          <w:sz w:val="26"/>
          <w:szCs w:val="26"/>
        </w:rPr>
      </w:pPr>
      <w:r w:rsidRPr="00413CB0">
        <w:rPr>
          <w:rStyle w:val="FootnoteReference"/>
          <w:sz w:val="26"/>
          <w:szCs w:val="26"/>
        </w:rPr>
        <w:footnoteRef/>
      </w:r>
      <w:r w:rsidRPr="00413CB0">
        <w:rPr>
          <w:sz w:val="26"/>
          <w:szCs w:val="26"/>
        </w:rPr>
        <w:t xml:space="preserve"> </w:t>
      </w:r>
      <w:r>
        <w:rPr>
          <w:sz w:val="26"/>
          <w:szCs w:val="26"/>
        </w:rPr>
        <w:tab/>
      </w:r>
      <w:r>
        <w:rPr>
          <w:i/>
          <w:sz w:val="26"/>
          <w:szCs w:val="26"/>
        </w:rPr>
        <w:t>FirstEnergy DSP</w:t>
      </w:r>
      <w:r w:rsidRPr="00413CB0">
        <w:rPr>
          <w:i/>
          <w:sz w:val="26"/>
          <w:szCs w:val="26"/>
        </w:rPr>
        <w:t xml:space="preserve"> Order</w:t>
      </w:r>
      <w:r w:rsidRPr="00413CB0">
        <w:rPr>
          <w:sz w:val="26"/>
          <w:szCs w:val="26"/>
        </w:rPr>
        <w:t xml:space="preserve"> at 124.</w:t>
      </w:r>
    </w:p>
  </w:footnote>
  <w:footnote w:id="90">
    <w:p w:rsidR="005915E1" w:rsidRPr="00413CB0" w:rsidRDefault="005915E1" w:rsidP="00394FDC">
      <w:pPr>
        <w:pStyle w:val="FootnoteText"/>
        <w:ind w:firstLine="1440"/>
        <w:rPr>
          <w:sz w:val="26"/>
          <w:szCs w:val="26"/>
        </w:rPr>
      </w:pPr>
      <w:r w:rsidRPr="00413CB0">
        <w:rPr>
          <w:rStyle w:val="FootnoteReference"/>
          <w:sz w:val="26"/>
          <w:szCs w:val="26"/>
        </w:rPr>
        <w:footnoteRef/>
      </w:r>
      <w:r w:rsidRPr="00413CB0">
        <w:rPr>
          <w:sz w:val="26"/>
          <w:szCs w:val="26"/>
        </w:rPr>
        <w:t xml:space="preserve"> </w:t>
      </w:r>
      <w:r>
        <w:rPr>
          <w:sz w:val="26"/>
          <w:szCs w:val="26"/>
        </w:rPr>
        <w:tab/>
      </w:r>
      <w:r w:rsidRPr="00413CB0">
        <w:rPr>
          <w:i/>
          <w:sz w:val="26"/>
          <w:szCs w:val="26"/>
        </w:rPr>
        <w:t>Petition of PECO Energy Company for Approval of its Default Service Program</w:t>
      </w:r>
      <w:r>
        <w:rPr>
          <w:sz w:val="26"/>
          <w:szCs w:val="26"/>
        </w:rPr>
        <w:t xml:space="preserve">, Docket No. P-2012-2283641 (Order </w:t>
      </w:r>
      <w:r w:rsidRPr="00413CB0">
        <w:rPr>
          <w:sz w:val="26"/>
          <w:szCs w:val="26"/>
        </w:rPr>
        <w:t>entered Nov. 21, 2012)</w:t>
      </w:r>
      <w:r>
        <w:rPr>
          <w:sz w:val="26"/>
          <w:szCs w:val="26"/>
        </w:rPr>
        <w:t xml:space="preserve"> at 28</w:t>
      </w:r>
      <w:r w:rsidRPr="00413CB0">
        <w:rPr>
          <w:sz w:val="26"/>
          <w:szCs w:val="26"/>
        </w:rPr>
        <w:t>.</w:t>
      </w:r>
    </w:p>
  </w:footnote>
  <w:footnote w:id="91">
    <w:p w:rsidR="005915E1" w:rsidRPr="007F5C3C" w:rsidRDefault="005915E1" w:rsidP="00E95194">
      <w:pPr>
        <w:pStyle w:val="FootnoteText"/>
        <w:ind w:firstLine="1440"/>
        <w:rPr>
          <w:sz w:val="26"/>
          <w:szCs w:val="26"/>
        </w:rPr>
      </w:pPr>
      <w:r w:rsidRPr="007F5C3C">
        <w:rPr>
          <w:rStyle w:val="FootnoteReference"/>
          <w:sz w:val="26"/>
          <w:szCs w:val="26"/>
        </w:rPr>
        <w:footnoteRef/>
      </w:r>
      <w:r w:rsidRPr="007F5C3C">
        <w:rPr>
          <w:sz w:val="26"/>
          <w:szCs w:val="26"/>
        </w:rPr>
        <w:t xml:space="preserve"> </w:t>
      </w:r>
      <w:r>
        <w:rPr>
          <w:sz w:val="26"/>
          <w:szCs w:val="26"/>
        </w:rPr>
        <w:tab/>
      </w:r>
      <w:r>
        <w:rPr>
          <w:i/>
          <w:sz w:val="26"/>
          <w:szCs w:val="26"/>
        </w:rPr>
        <w:t>FirstEnergy DSP</w:t>
      </w:r>
      <w:r w:rsidRPr="007F5C3C">
        <w:rPr>
          <w:i/>
          <w:sz w:val="26"/>
          <w:szCs w:val="26"/>
        </w:rPr>
        <w:t xml:space="preserve"> Order</w:t>
      </w:r>
      <w:r w:rsidRPr="007F5C3C">
        <w:rPr>
          <w:sz w:val="26"/>
          <w:szCs w:val="26"/>
        </w:rPr>
        <w:t xml:space="preserve"> at 150; </w:t>
      </w:r>
      <w:r>
        <w:rPr>
          <w:i/>
          <w:sz w:val="26"/>
          <w:szCs w:val="26"/>
        </w:rPr>
        <w:t>PECO DSP</w:t>
      </w:r>
      <w:r w:rsidRPr="007F5C3C">
        <w:rPr>
          <w:i/>
          <w:sz w:val="26"/>
          <w:szCs w:val="26"/>
        </w:rPr>
        <w:t xml:space="preserve"> Order</w:t>
      </w:r>
      <w:r w:rsidRPr="007F5C3C">
        <w:rPr>
          <w:sz w:val="26"/>
          <w:szCs w:val="26"/>
        </w:rPr>
        <w:t xml:space="preserve"> at 121.</w:t>
      </w:r>
    </w:p>
  </w:footnote>
  <w:footnote w:id="92">
    <w:p w:rsidR="005915E1" w:rsidRPr="007F5C3C" w:rsidRDefault="005915E1" w:rsidP="00E95194">
      <w:pPr>
        <w:pStyle w:val="FootnoteText"/>
        <w:ind w:firstLine="1440"/>
        <w:rPr>
          <w:sz w:val="26"/>
          <w:szCs w:val="26"/>
        </w:rPr>
      </w:pPr>
      <w:r w:rsidRPr="007F5C3C">
        <w:rPr>
          <w:rStyle w:val="FootnoteReference"/>
          <w:sz w:val="26"/>
          <w:szCs w:val="26"/>
        </w:rPr>
        <w:footnoteRef/>
      </w:r>
      <w:r w:rsidRPr="007F5C3C">
        <w:rPr>
          <w:sz w:val="26"/>
          <w:szCs w:val="26"/>
        </w:rPr>
        <w:t xml:space="preserve"> </w:t>
      </w:r>
      <w:r>
        <w:rPr>
          <w:sz w:val="26"/>
          <w:szCs w:val="26"/>
        </w:rPr>
        <w:tab/>
        <w:t>RESA M.B.</w:t>
      </w:r>
      <w:r w:rsidRPr="007F5C3C">
        <w:rPr>
          <w:sz w:val="26"/>
          <w:szCs w:val="26"/>
        </w:rPr>
        <w:t xml:space="preserve"> at 52-56; </w:t>
      </w:r>
      <w:r>
        <w:rPr>
          <w:sz w:val="26"/>
          <w:szCs w:val="26"/>
        </w:rPr>
        <w:t>FES M.B.</w:t>
      </w:r>
      <w:r w:rsidRPr="007F5C3C">
        <w:rPr>
          <w:sz w:val="26"/>
          <w:szCs w:val="26"/>
        </w:rPr>
        <w:t xml:space="preserve"> at 36. </w:t>
      </w:r>
    </w:p>
  </w:footnote>
  <w:footnote w:id="93">
    <w:p w:rsidR="005915E1" w:rsidRPr="00337AAF" w:rsidRDefault="005915E1" w:rsidP="00337AAF">
      <w:pPr>
        <w:pStyle w:val="FootnoteText"/>
        <w:ind w:firstLine="1440"/>
        <w:rPr>
          <w:sz w:val="26"/>
          <w:szCs w:val="26"/>
        </w:rPr>
      </w:pPr>
      <w:r w:rsidRPr="00337AAF">
        <w:rPr>
          <w:rStyle w:val="FootnoteReference"/>
          <w:sz w:val="26"/>
          <w:szCs w:val="26"/>
        </w:rPr>
        <w:footnoteRef/>
      </w:r>
      <w:r w:rsidRPr="00337AAF">
        <w:rPr>
          <w:sz w:val="26"/>
          <w:szCs w:val="26"/>
        </w:rPr>
        <w:t xml:space="preserve"> </w:t>
      </w:r>
      <w:r w:rsidRPr="00337AAF">
        <w:rPr>
          <w:sz w:val="26"/>
          <w:szCs w:val="26"/>
        </w:rPr>
        <w:tab/>
        <w:t>Duquesne’s Customer Assistance Program (CAP).</w:t>
      </w:r>
    </w:p>
  </w:footnote>
  <w:footnote w:id="94">
    <w:p w:rsidR="005915E1" w:rsidRPr="00337AAF" w:rsidRDefault="005915E1" w:rsidP="00337AAF">
      <w:pPr>
        <w:pStyle w:val="FootnoteText"/>
        <w:ind w:firstLine="1440"/>
        <w:rPr>
          <w:sz w:val="26"/>
          <w:szCs w:val="26"/>
        </w:rPr>
      </w:pPr>
      <w:r w:rsidRPr="00337AAF">
        <w:rPr>
          <w:rStyle w:val="FootnoteReference"/>
          <w:sz w:val="26"/>
          <w:szCs w:val="26"/>
        </w:rPr>
        <w:footnoteRef/>
      </w:r>
      <w:r w:rsidRPr="00337AAF">
        <w:rPr>
          <w:sz w:val="26"/>
          <w:szCs w:val="26"/>
        </w:rPr>
        <w:t xml:space="preserve"> </w:t>
      </w:r>
      <w:r w:rsidRPr="00337AAF">
        <w:rPr>
          <w:sz w:val="26"/>
          <w:szCs w:val="26"/>
        </w:rPr>
        <w:tab/>
        <w:t>Low-Income Home Energy Assistance Program.</w:t>
      </w:r>
    </w:p>
  </w:footnote>
  <w:footnote w:id="95">
    <w:p w:rsidR="005915E1" w:rsidRPr="00337AAF" w:rsidRDefault="005915E1" w:rsidP="00337AAF">
      <w:pPr>
        <w:pStyle w:val="FootnoteText"/>
        <w:ind w:firstLine="1440"/>
        <w:rPr>
          <w:sz w:val="26"/>
          <w:szCs w:val="26"/>
        </w:rPr>
      </w:pPr>
      <w:r w:rsidRPr="00337AAF">
        <w:rPr>
          <w:rStyle w:val="FootnoteReference"/>
          <w:sz w:val="26"/>
          <w:szCs w:val="26"/>
        </w:rPr>
        <w:footnoteRef/>
      </w:r>
      <w:r w:rsidRPr="00337AAF">
        <w:rPr>
          <w:sz w:val="26"/>
          <w:szCs w:val="26"/>
        </w:rPr>
        <w:t xml:space="preserve"> </w:t>
      </w:r>
      <w:r w:rsidRPr="00337AAF">
        <w:rPr>
          <w:sz w:val="26"/>
          <w:szCs w:val="26"/>
        </w:rPr>
        <w:tab/>
        <w:t>Low-Income Usage Reduction Program.</w:t>
      </w:r>
    </w:p>
  </w:footnote>
  <w:footnote w:id="96">
    <w:p w:rsidR="005915E1" w:rsidRPr="007920EC" w:rsidRDefault="005915E1" w:rsidP="00337AAF">
      <w:pPr>
        <w:pStyle w:val="FootnoteText"/>
        <w:ind w:firstLine="1440"/>
        <w:rPr>
          <w:sz w:val="26"/>
          <w:szCs w:val="26"/>
        </w:rPr>
      </w:pPr>
      <w:r w:rsidRPr="007920EC">
        <w:rPr>
          <w:rStyle w:val="FootnoteReference"/>
          <w:sz w:val="26"/>
          <w:szCs w:val="26"/>
        </w:rPr>
        <w:footnoteRef/>
      </w:r>
      <w:r w:rsidRPr="007920EC">
        <w:rPr>
          <w:sz w:val="26"/>
          <w:szCs w:val="26"/>
        </w:rPr>
        <w:t xml:space="preserve"> </w:t>
      </w:r>
      <w:r w:rsidRPr="007920EC">
        <w:rPr>
          <w:sz w:val="26"/>
          <w:szCs w:val="26"/>
        </w:rPr>
        <w:tab/>
      </w:r>
      <w:r>
        <w:rPr>
          <w:i/>
          <w:sz w:val="26"/>
          <w:szCs w:val="26"/>
        </w:rPr>
        <w:t>IWP</w:t>
      </w:r>
      <w:r w:rsidRPr="007920EC">
        <w:rPr>
          <w:i/>
          <w:sz w:val="26"/>
          <w:szCs w:val="26"/>
        </w:rPr>
        <w:t xml:space="preserve"> Final Order</w:t>
      </w:r>
      <w:r w:rsidRPr="007920EC">
        <w:rPr>
          <w:sz w:val="26"/>
          <w:szCs w:val="26"/>
        </w:rPr>
        <w:t xml:space="preserve"> at 32.</w:t>
      </w:r>
    </w:p>
  </w:footnote>
  <w:footnote w:id="97">
    <w:p w:rsidR="005915E1" w:rsidRPr="00833501" w:rsidRDefault="005915E1" w:rsidP="00141175">
      <w:pPr>
        <w:pStyle w:val="FootnoteText"/>
        <w:ind w:firstLine="1440"/>
      </w:pPr>
      <w:r w:rsidRPr="007920EC">
        <w:rPr>
          <w:rStyle w:val="FootnoteReference"/>
          <w:sz w:val="26"/>
          <w:szCs w:val="26"/>
        </w:rPr>
        <w:footnoteRef/>
      </w:r>
      <w:r w:rsidRPr="007920EC">
        <w:rPr>
          <w:sz w:val="26"/>
          <w:szCs w:val="26"/>
        </w:rPr>
        <w:t xml:space="preserve"> </w:t>
      </w:r>
      <w:r w:rsidRPr="007920EC">
        <w:rPr>
          <w:sz w:val="26"/>
          <w:szCs w:val="26"/>
        </w:rPr>
        <w:tab/>
        <w:t xml:space="preserve">While </w:t>
      </w:r>
      <w:r>
        <w:rPr>
          <w:sz w:val="26"/>
          <w:szCs w:val="26"/>
        </w:rPr>
        <w:t xml:space="preserve">the </w:t>
      </w:r>
      <w:r w:rsidRPr="007920EC">
        <w:rPr>
          <w:sz w:val="26"/>
          <w:szCs w:val="26"/>
        </w:rPr>
        <w:t xml:space="preserve">Company stated that </w:t>
      </w:r>
      <w:r>
        <w:rPr>
          <w:sz w:val="26"/>
          <w:szCs w:val="26"/>
        </w:rPr>
        <w:t>it did not anticipate that the Choice Referral Team would enroll customers, it admitted</w:t>
      </w:r>
      <w:r w:rsidRPr="007920EC">
        <w:rPr>
          <w:sz w:val="26"/>
          <w:szCs w:val="26"/>
        </w:rPr>
        <w:t xml:space="preserve"> that the exact roles and functions of the team have not been defined.  Duquesne St. 5-R at 8.</w:t>
      </w:r>
    </w:p>
  </w:footnote>
  <w:footnote w:id="98">
    <w:p w:rsidR="005915E1" w:rsidRPr="007920EC" w:rsidRDefault="005915E1" w:rsidP="00141175">
      <w:pPr>
        <w:pStyle w:val="FootnoteText"/>
        <w:ind w:firstLine="1440"/>
        <w:rPr>
          <w:sz w:val="26"/>
          <w:szCs w:val="26"/>
        </w:rPr>
      </w:pPr>
      <w:r w:rsidRPr="007920EC">
        <w:rPr>
          <w:rStyle w:val="FootnoteReference"/>
          <w:sz w:val="26"/>
          <w:szCs w:val="26"/>
        </w:rPr>
        <w:footnoteRef/>
      </w:r>
      <w:r w:rsidRPr="007920EC">
        <w:rPr>
          <w:sz w:val="26"/>
          <w:szCs w:val="26"/>
        </w:rPr>
        <w:t xml:space="preserve"> </w:t>
      </w:r>
      <w:r w:rsidRPr="007920EC">
        <w:rPr>
          <w:sz w:val="26"/>
          <w:szCs w:val="26"/>
        </w:rPr>
        <w:tab/>
      </w:r>
      <w:r w:rsidRPr="007920EC">
        <w:rPr>
          <w:i/>
          <w:sz w:val="26"/>
          <w:szCs w:val="26"/>
        </w:rPr>
        <w:t>PECO Binding Poll</w:t>
      </w:r>
      <w:r w:rsidRPr="007920EC">
        <w:rPr>
          <w:sz w:val="26"/>
          <w:szCs w:val="26"/>
        </w:rPr>
        <w:t xml:space="preserve"> at 26.</w:t>
      </w:r>
    </w:p>
  </w:footnote>
  <w:footnote w:id="99">
    <w:p w:rsidR="005915E1" w:rsidRPr="00396423" w:rsidRDefault="005915E1" w:rsidP="00CF21FC">
      <w:pPr>
        <w:jc w:val="both"/>
        <w:rPr>
          <w:color w:val="000000"/>
          <w:sz w:val="26"/>
          <w:szCs w:val="26"/>
        </w:rPr>
      </w:pPr>
    </w:p>
  </w:footnote>
  <w:footnote w:id="100">
    <w:p w:rsidR="005915E1" w:rsidRPr="00326326" w:rsidRDefault="005915E1" w:rsidP="0038269A">
      <w:pPr>
        <w:pStyle w:val="FootnoteText"/>
        <w:ind w:firstLine="1440"/>
        <w:rPr>
          <w:sz w:val="26"/>
          <w:szCs w:val="26"/>
          <w:u w:val="single"/>
        </w:rPr>
      </w:pPr>
      <w:r w:rsidRPr="00326326">
        <w:rPr>
          <w:rStyle w:val="FootnoteReference"/>
          <w:sz w:val="26"/>
          <w:szCs w:val="26"/>
        </w:rPr>
        <w:footnoteRef/>
      </w:r>
      <w:r w:rsidRPr="00326326">
        <w:rPr>
          <w:sz w:val="26"/>
          <w:szCs w:val="26"/>
        </w:rPr>
        <w:t xml:space="preserve"> </w:t>
      </w:r>
      <w:r>
        <w:rPr>
          <w:sz w:val="26"/>
          <w:szCs w:val="26"/>
        </w:rPr>
        <w:tab/>
        <w:t>CAUSE St. 1 at 5-9</w:t>
      </w:r>
      <w:r w:rsidRPr="00326326">
        <w:rPr>
          <w:sz w:val="26"/>
          <w:szCs w:val="26"/>
        </w:rPr>
        <w:t>.</w:t>
      </w:r>
      <w:r w:rsidRPr="00326326">
        <w:rPr>
          <w:sz w:val="26"/>
          <w:szCs w:val="26"/>
        </w:rPr>
        <w:tab/>
      </w:r>
    </w:p>
  </w:footnote>
  <w:footnote w:id="101">
    <w:p w:rsidR="005915E1" w:rsidRPr="00326326" w:rsidRDefault="005915E1" w:rsidP="0038269A">
      <w:pPr>
        <w:pStyle w:val="FootnoteText"/>
        <w:ind w:firstLine="1440"/>
        <w:rPr>
          <w:rFonts w:cs="CG Times"/>
          <w:sz w:val="26"/>
          <w:szCs w:val="26"/>
          <w:u w:val="single"/>
        </w:rPr>
      </w:pPr>
      <w:r w:rsidRPr="00326326">
        <w:rPr>
          <w:rStyle w:val="FootnoteReference"/>
          <w:rFonts w:eastAsiaTheme="majorEastAsia"/>
          <w:sz w:val="26"/>
          <w:szCs w:val="26"/>
        </w:rPr>
        <w:footnoteRef/>
      </w:r>
      <w:r w:rsidRPr="00326326">
        <w:rPr>
          <w:sz w:val="26"/>
          <w:szCs w:val="26"/>
        </w:rPr>
        <w:t xml:space="preserve"> </w:t>
      </w:r>
      <w:r w:rsidRPr="00326326">
        <w:rPr>
          <w:sz w:val="26"/>
          <w:szCs w:val="26"/>
        </w:rPr>
        <w:tab/>
        <w:t>Source:  2010 Universal Service Programs and Collection Performance at 9.</w:t>
      </w:r>
    </w:p>
  </w:footnote>
  <w:footnote w:id="102">
    <w:p w:rsidR="005915E1" w:rsidRDefault="005915E1" w:rsidP="00777BA2">
      <w:pPr>
        <w:pStyle w:val="FootnoteText"/>
        <w:ind w:firstLine="1440"/>
      </w:pPr>
      <w:r w:rsidRPr="00326326">
        <w:rPr>
          <w:rStyle w:val="FootnoteReference"/>
          <w:sz w:val="26"/>
          <w:szCs w:val="26"/>
        </w:rPr>
        <w:footnoteRef/>
      </w:r>
      <w:r w:rsidRPr="00326326">
        <w:rPr>
          <w:sz w:val="26"/>
          <w:szCs w:val="26"/>
        </w:rPr>
        <w:t xml:space="preserve"> </w:t>
      </w:r>
      <w:r w:rsidRPr="00326326">
        <w:rPr>
          <w:sz w:val="26"/>
          <w:szCs w:val="26"/>
        </w:rPr>
        <w:tab/>
      </w:r>
      <w:r w:rsidRPr="00533A86">
        <w:rPr>
          <w:i/>
          <w:sz w:val="26"/>
          <w:szCs w:val="26"/>
        </w:rPr>
        <w:t>IWP Final Order</w:t>
      </w:r>
      <w:r w:rsidRPr="00326326">
        <w:rPr>
          <w:sz w:val="26"/>
          <w:szCs w:val="26"/>
        </w:rPr>
        <w:t xml:space="preserve"> at 31-32; 43.</w:t>
      </w:r>
    </w:p>
  </w:footnote>
  <w:footnote w:id="103">
    <w:p w:rsidR="005915E1" w:rsidRDefault="005915E1" w:rsidP="00393B24">
      <w:pPr>
        <w:pStyle w:val="FootnoteText"/>
        <w:ind w:firstLine="1440"/>
      </w:pPr>
      <w:r w:rsidRPr="00326326">
        <w:rPr>
          <w:rStyle w:val="FootnoteReference"/>
          <w:sz w:val="26"/>
          <w:szCs w:val="26"/>
        </w:rPr>
        <w:footnoteRef/>
      </w:r>
      <w:r w:rsidRPr="00326326">
        <w:rPr>
          <w:sz w:val="26"/>
          <w:szCs w:val="26"/>
        </w:rPr>
        <w:t xml:space="preserve"> </w:t>
      </w:r>
      <w:r w:rsidRPr="00326326">
        <w:rPr>
          <w:sz w:val="26"/>
          <w:szCs w:val="26"/>
        </w:rPr>
        <w:tab/>
      </w:r>
      <w:r>
        <w:rPr>
          <w:sz w:val="26"/>
          <w:szCs w:val="26"/>
        </w:rPr>
        <w:t>CAUSE St. 1, Appendix B (</w:t>
      </w:r>
      <w:r w:rsidRPr="00326326">
        <w:rPr>
          <w:sz w:val="26"/>
          <w:szCs w:val="26"/>
        </w:rPr>
        <w:t>Duquesne Response to CAUSE Interrogatories Set I, No. 3</w:t>
      </w:r>
      <w:r>
        <w:rPr>
          <w:sz w:val="26"/>
          <w:szCs w:val="26"/>
        </w:rPr>
        <w:t>).</w:t>
      </w:r>
    </w:p>
  </w:footnote>
  <w:footnote w:id="104">
    <w:p w:rsidR="005915E1" w:rsidRPr="005751B0" w:rsidRDefault="005915E1" w:rsidP="003C2E7A">
      <w:pPr>
        <w:pStyle w:val="FootnoteText"/>
        <w:ind w:firstLine="1440"/>
        <w:rPr>
          <w:sz w:val="26"/>
          <w:szCs w:val="26"/>
        </w:rPr>
      </w:pPr>
      <w:r w:rsidRPr="005751B0">
        <w:rPr>
          <w:rStyle w:val="FootnoteReference"/>
          <w:rFonts w:eastAsiaTheme="majorEastAsia"/>
          <w:sz w:val="26"/>
          <w:szCs w:val="26"/>
        </w:rPr>
        <w:footnoteRef/>
      </w:r>
      <w:r>
        <w:rPr>
          <w:sz w:val="26"/>
          <w:szCs w:val="26"/>
        </w:rPr>
        <w:t xml:space="preserve"> </w:t>
      </w:r>
      <w:r>
        <w:rPr>
          <w:sz w:val="26"/>
          <w:szCs w:val="26"/>
        </w:rPr>
        <w:tab/>
        <w:t xml:space="preserve">CAUSE St. </w:t>
      </w:r>
      <w:r w:rsidRPr="005751B0">
        <w:rPr>
          <w:sz w:val="26"/>
          <w:szCs w:val="26"/>
        </w:rPr>
        <w:t>1 at 17-18.</w:t>
      </w:r>
    </w:p>
  </w:footnote>
  <w:footnote w:id="105">
    <w:p w:rsidR="005915E1" w:rsidRDefault="005915E1" w:rsidP="002471C2">
      <w:pPr>
        <w:pStyle w:val="FootnoteText"/>
        <w:ind w:firstLine="1440"/>
      </w:pPr>
      <w:r w:rsidRPr="002471C2">
        <w:rPr>
          <w:rStyle w:val="FootnoteReference"/>
          <w:sz w:val="26"/>
          <w:szCs w:val="26"/>
        </w:rPr>
        <w:footnoteRef/>
      </w:r>
      <w:r w:rsidRPr="002471C2">
        <w:rPr>
          <w:sz w:val="26"/>
          <w:szCs w:val="26"/>
        </w:rPr>
        <w:t xml:space="preserve"> </w:t>
      </w:r>
      <w:r>
        <w:rPr>
          <w:sz w:val="26"/>
          <w:szCs w:val="26"/>
        </w:rPr>
        <w:tab/>
      </w:r>
      <w:r w:rsidRPr="002471C2">
        <w:rPr>
          <w:sz w:val="26"/>
          <w:szCs w:val="26"/>
        </w:rPr>
        <w:t>D</w:t>
      </w:r>
      <w:r>
        <w:rPr>
          <w:sz w:val="26"/>
          <w:szCs w:val="26"/>
        </w:rPr>
        <w:t xml:space="preserve">uquesne M.B. </w:t>
      </w:r>
      <w:r w:rsidRPr="00144DF4">
        <w:rPr>
          <w:sz w:val="26"/>
          <w:szCs w:val="26"/>
        </w:rPr>
        <w:t>at 72</w:t>
      </w:r>
      <w:r>
        <w:rPr>
          <w:sz w:val="26"/>
          <w:szCs w:val="26"/>
        </w:rPr>
        <w:t>.</w:t>
      </w:r>
    </w:p>
  </w:footnote>
  <w:footnote w:id="106">
    <w:p w:rsidR="005915E1" w:rsidRPr="00144DF4" w:rsidRDefault="005915E1" w:rsidP="002471C2">
      <w:pPr>
        <w:pStyle w:val="FootnoteText"/>
        <w:ind w:firstLine="1440"/>
        <w:rPr>
          <w:sz w:val="26"/>
          <w:szCs w:val="26"/>
        </w:rPr>
      </w:pPr>
      <w:r w:rsidRPr="00144DF4">
        <w:rPr>
          <w:rStyle w:val="FootnoteReference"/>
          <w:sz w:val="26"/>
          <w:szCs w:val="26"/>
        </w:rPr>
        <w:footnoteRef/>
      </w:r>
      <w:r w:rsidRPr="00144DF4">
        <w:rPr>
          <w:sz w:val="26"/>
          <w:szCs w:val="26"/>
        </w:rPr>
        <w:t xml:space="preserve"> </w:t>
      </w:r>
      <w:r>
        <w:rPr>
          <w:sz w:val="26"/>
          <w:szCs w:val="26"/>
        </w:rPr>
        <w:tab/>
      </w:r>
      <w:r>
        <w:rPr>
          <w:i/>
          <w:iCs/>
          <w:sz w:val="26"/>
          <w:szCs w:val="26"/>
        </w:rPr>
        <w:t>PECO DSP</w:t>
      </w:r>
      <w:r w:rsidRPr="00144DF4">
        <w:rPr>
          <w:i/>
          <w:iCs/>
          <w:sz w:val="26"/>
          <w:szCs w:val="26"/>
        </w:rPr>
        <w:t xml:space="preserve"> Order </w:t>
      </w:r>
      <w:r w:rsidRPr="00144DF4">
        <w:rPr>
          <w:sz w:val="26"/>
          <w:szCs w:val="26"/>
        </w:rPr>
        <w:t xml:space="preserve">at 131-132.  </w:t>
      </w:r>
    </w:p>
  </w:footnote>
  <w:footnote w:id="107">
    <w:p w:rsidR="005915E1" w:rsidRPr="00144DF4" w:rsidRDefault="005915E1" w:rsidP="002471C2">
      <w:pPr>
        <w:pStyle w:val="FootnoteText"/>
        <w:ind w:firstLine="1440"/>
        <w:rPr>
          <w:sz w:val="26"/>
          <w:szCs w:val="26"/>
        </w:rPr>
      </w:pPr>
      <w:r w:rsidRPr="00144DF4">
        <w:rPr>
          <w:rStyle w:val="FootnoteReference"/>
          <w:sz w:val="26"/>
          <w:szCs w:val="26"/>
        </w:rPr>
        <w:footnoteRef/>
      </w:r>
      <w:r w:rsidRPr="00144DF4">
        <w:rPr>
          <w:sz w:val="26"/>
          <w:szCs w:val="26"/>
        </w:rPr>
        <w:t xml:space="preserve"> </w:t>
      </w:r>
      <w:r>
        <w:rPr>
          <w:sz w:val="26"/>
          <w:szCs w:val="26"/>
        </w:rPr>
        <w:tab/>
      </w:r>
      <w:r w:rsidRPr="00144DF4">
        <w:rPr>
          <w:sz w:val="26"/>
          <w:szCs w:val="26"/>
        </w:rPr>
        <w:t>R</w:t>
      </w:r>
      <w:r>
        <w:rPr>
          <w:sz w:val="26"/>
          <w:szCs w:val="26"/>
        </w:rPr>
        <w:t>.</w:t>
      </w:r>
      <w:r w:rsidRPr="00144DF4">
        <w:rPr>
          <w:sz w:val="26"/>
          <w:szCs w:val="26"/>
        </w:rPr>
        <w:t>D</w:t>
      </w:r>
      <w:r>
        <w:rPr>
          <w:sz w:val="26"/>
          <w:szCs w:val="26"/>
        </w:rPr>
        <w:t>.</w:t>
      </w:r>
      <w:r w:rsidRPr="00144DF4">
        <w:rPr>
          <w:sz w:val="26"/>
          <w:szCs w:val="26"/>
        </w:rPr>
        <w:t xml:space="preserve"> </w:t>
      </w:r>
      <w:r>
        <w:rPr>
          <w:sz w:val="26"/>
          <w:szCs w:val="26"/>
        </w:rPr>
        <w:t xml:space="preserve">at </w:t>
      </w:r>
      <w:r w:rsidRPr="00144DF4">
        <w:rPr>
          <w:sz w:val="26"/>
          <w:szCs w:val="26"/>
        </w:rPr>
        <w:t>159.</w:t>
      </w:r>
    </w:p>
  </w:footnote>
  <w:footnote w:id="108">
    <w:p w:rsidR="005915E1" w:rsidRPr="00810DB0" w:rsidRDefault="005915E1" w:rsidP="00C97E4B">
      <w:pPr>
        <w:pStyle w:val="FootnoteText"/>
        <w:ind w:firstLine="1440"/>
      </w:pPr>
      <w:r w:rsidRPr="004F5D91">
        <w:rPr>
          <w:rStyle w:val="FootnoteReference"/>
          <w:sz w:val="26"/>
          <w:szCs w:val="26"/>
        </w:rPr>
        <w:footnoteRef/>
      </w:r>
      <w:r>
        <w:rPr>
          <w:sz w:val="26"/>
          <w:szCs w:val="26"/>
        </w:rPr>
        <w:t xml:space="preserve">  </w:t>
      </w:r>
      <w:r>
        <w:rPr>
          <w:sz w:val="26"/>
          <w:szCs w:val="26"/>
        </w:rPr>
        <w:tab/>
        <w:t xml:space="preserve">CAUSE St. </w:t>
      </w:r>
      <w:r w:rsidRPr="004F5D91">
        <w:rPr>
          <w:sz w:val="26"/>
          <w:szCs w:val="26"/>
        </w:rPr>
        <w:t xml:space="preserve">1, </w:t>
      </w:r>
      <w:r>
        <w:rPr>
          <w:sz w:val="26"/>
          <w:szCs w:val="26"/>
        </w:rPr>
        <w:t>Appendix B (</w:t>
      </w:r>
      <w:r w:rsidRPr="004F5D91">
        <w:rPr>
          <w:sz w:val="26"/>
          <w:szCs w:val="26"/>
        </w:rPr>
        <w:t>Duquesn</w:t>
      </w:r>
      <w:r>
        <w:rPr>
          <w:sz w:val="26"/>
          <w:szCs w:val="26"/>
        </w:rPr>
        <w:t>e Response to CAUSE</w:t>
      </w:r>
      <w:r w:rsidRPr="004F5D91">
        <w:rPr>
          <w:sz w:val="26"/>
          <w:szCs w:val="26"/>
        </w:rPr>
        <w:t xml:space="preserve"> Interrogatories Set I, No. 3</w:t>
      </w:r>
      <w:r>
        <w:rPr>
          <w:sz w:val="26"/>
          <w:szCs w:val="26"/>
        </w:rPr>
        <w:t>)</w:t>
      </w:r>
      <w:r w:rsidRPr="004F5D91">
        <w:rPr>
          <w:sz w:val="26"/>
          <w:szCs w:val="26"/>
        </w:rPr>
        <w:t>.</w:t>
      </w:r>
    </w:p>
  </w:footnote>
  <w:footnote w:id="109">
    <w:p w:rsidR="005915E1" w:rsidRPr="00B94107" w:rsidRDefault="005915E1" w:rsidP="00B94107">
      <w:pPr>
        <w:pStyle w:val="FootnoteText"/>
        <w:ind w:firstLine="1440"/>
        <w:rPr>
          <w:sz w:val="26"/>
          <w:szCs w:val="26"/>
        </w:rPr>
      </w:pPr>
      <w:r w:rsidRPr="00B94107">
        <w:rPr>
          <w:rStyle w:val="FootnoteReference"/>
          <w:sz w:val="26"/>
          <w:szCs w:val="26"/>
        </w:rPr>
        <w:footnoteRef/>
      </w:r>
      <w:r w:rsidRPr="00B94107">
        <w:rPr>
          <w:sz w:val="26"/>
          <w:szCs w:val="26"/>
        </w:rPr>
        <w:t xml:space="preserve"> </w:t>
      </w:r>
      <w:r>
        <w:rPr>
          <w:sz w:val="26"/>
          <w:szCs w:val="26"/>
        </w:rPr>
        <w:tab/>
      </w:r>
      <w:r w:rsidRPr="00B94107">
        <w:rPr>
          <w:i/>
          <w:sz w:val="26"/>
          <w:szCs w:val="26"/>
        </w:rPr>
        <w:t>See</w:t>
      </w:r>
      <w:r w:rsidRPr="00B94107">
        <w:rPr>
          <w:sz w:val="26"/>
          <w:szCs w:val="26"/>
        </w:rPr>
        <w:t xml:space="preserve"> Co</w:t>
      </w:r>
      <w:r>
        <w:rPr>
          <w:sz w:val="26"/>
          <w:szCs w:val="26"/>
        </w:rPr>
        <w:t>mments of Duquesne</w:t>
      </w:r>
      <w:r w:rsidRPr="00B94107">
        <w:rPr>
          <w:sz w:val="26"/>
          <w:szCs w:val="26"/>
        </w:rPr>
        <w:t xml:space="preserve"> on Universal Services</w:t>
      </w:r>
      <w:r>
        <w:rPr>
          <w:sz w:val="26"/>
          <w:szCs w:val="26"/>
        </w:rPr>
        <w:t>,</w:t>
      </w:r>
      <w:r w:rsidRPr="00B94107">
        <w:rPr>
          <w:sz w:val="26"/>
          <w:szCs w:val="26"/>
        </w:rPr>
        <w:t xml:space="preserve"> filed March 7, 2012</w:t>
      </w:r>
      <w:r>
        <w:rPr>
          <w:sz w:val="26"/>
          <w:szCs w:val="26"/>
        </w:rPr>
        <w:t>,</w:t>
      </w:r>
      <w:r w:rsidRPr="00B94107">
        <w:rPr>
          <w:sz w:val="26"/>
          <w:szCs w:val="26"/>
        </w:rPr>
        <w:t xml:space="preserve"> at Docket No. I-2011-2237952; Appendix B, </w:t>
      </w:r>
      <w:r>
        <w:rPr>
          <w:sz w:val="26"/>
          <w:szCs w:val="26"/>
        </w:rPr>
        <w:t>Duquesne Response to CAUSE</w:t>
      </w:r>
      <w:r w:rsidRPr="00B94107">
        <w:rPr>
          <w:sz w:val="26"/>
          <w:szCs w:val="26"/>
        </w:rPr>
        <w:t xml:space="preserve"> Interrogatories Set I, No. 16.</w:t>
      </w:r>
    </w:p>
  </w:footnote>
  <w:footnote w:id="110">
    <w:p w:rsidR="005915E1" w:rsidRPr="00326326" w:rsidRDefault="005915E1" w:rsidP="005E39D2">
      <w:pPr>
        <w:pStyle w:val="FootnoteText"/>
        <w:ind w:firstLine="1440"/>
        <w:rPr>
          <w:sz w:val="26"/>
          <w:szCs w:val="26"/>
        </w:rPr>
      </w:pPr>
      <w:r w:rsidRPr="00326326">
        <w:rPr>
          <w:rStyle w:val="FootnoteReference"/>
          <w:sz w:val="26"/>
          <w:szCs w:val="26"/>
        </w:rPr>
        <w:footnoteRef/>
      </w:r>
      <w:r>
        <w:rPr>
          <w:sz w:val="26"/>
          <w:szCs w:val="26"/>
        </w:rPr>
        <w:t xml:space="preserve"> </w:t>
      </w:r>
      <w:r>
        <w:rPr>
          <w:sz w:val="26"/>
          <w:szCs w:val="26"/>
        </w:rPr>
        <w:tab/>
        <w:t xml:space="preserve">RESA St. </w:t>
      </w:r>
      <w:r w:rsidRPr="00326326">
        <w:rPr>
          <w:sz w:val="26"/>
          <w:szCs w:val="26"/>
        </w:rPr>
        <w:t>2 at 12.</w:t>
      </w:r>
    </w:p>
  </w:footnote>
  <w:footnote w:id="111">
    <w:p w:rsidR="005915E1" w:rsidRPr="00326326" w:rsidRDefault="005915E1" w:rsidP="001856BA">
      <w:pPr>
        <w:pStyle w:val="FootnoteText"/>
        <w:ind w:firstLine="1440"/>
        <w:rPr>
          <w:sz w:val="26"/>
          <w:szCs w:val="26"/>
        </w:rPr>
      </w:pPr>
      <w:r w:rsidRPr="00326326">
        <w:rPr>
          <w:rStyle w:val="FootnoteReference"/>
          <w:sz w:val="26"/>
          <w:szCs w:val="26"/>
        </w:rPr>
        <w:footnoteRef/>
      </w:r>
      <w:r w:rsidRPr="00326326">
        <w:rPr>
          <w:sz w:val="26"/>
          <w:szCs w:val="26"/>
        </w:rPr>
        <w:t xml:space="preserve"> </w:t>
      </w:r>
      <w:r w:rsidRPr="00326326">
        <w:rPr>
          <w:sz w:val="26"/>
          <w:szCs w:val="26"/>
        </w:rPr>
        <w:tab/>
      </w:r>
      <w:r>
        <w:rPr>
          <w:i/>
          <w:sz w:val="26"/>
          <w:szCs w:val="26"/>
        </w:rPr>
        <w:t>FirstEnergy DSP</w:t>
      </w:r>
      <w:r w:rsidRPr="00326326">
        <w:rPr>
          <w:i/>
          <w:sz w:val="26"/>
          <w:szCs w:val="26"/>
        </w:rPr>
        <w:t xml:space="preserve"> Order</w:t>
      </w:r>
      <w:r w:rsidRPr="00326326">
        <w:rPr>
          <w:sz w:val="26"/>
          <w:szCs w:val="26"/>
        </w:rPr>
        <w:t xml:space="preserve"> at 103-104; </w:t>
      </w:r>
      <w:r w:rsidRPr="00326326">
        <w:rPr>
          <w:i/>
          <w:sz w:val="26"/>
          <w:szCs w:val="26"/>
        </w:rPr>
        <w:t>PECO Binding Poll</w:t>
      </w:r>
      <w:r w:rsidRPr="00326326">
        <w:rPr>
          <w:sz w:val="26"/>
          <w:szCs w:val="26"/>
        </w:rPr>
        <w:t xml:space="preserve"> at 17.</w:t>
      </w:r>
    </w:p>
  </w:footnote>
  <w:footnote w:id="112">
    <w:p w:rsidR="005915E1" w:rsidRPr="00F61F4B" w:rsidRDefault="005915E1" w:rsidP="001856BA">
      <w:pPr>
        <w:pStyle w:val="FootnoteText"/>
        <w:ind w:firstLine="1440"/>
      </w:pPr>
      <w:r w:rsidRPr="00326326">
        <w:rPr>
          <w:rStyle w:val="FootnoteReference"/>
          <w:sz w:val="26"/>
          <w:szCs w:val="26"/>
        </w:rPr>
        <w:footnoteRef/>
      </w:r>
      <w:r>
        <w:rPr>
          <w:sz w:val="26"/>
          <w:szCs w:val="26"/>
        </w:rPr>
        <w:t xml:space="preserve"> </w:t>
      </w:r>
      <w:r>
        <w:rPr>
          <w:sz w:val="26"/>
          <w:szCs w:val="26"/>
        </w:rPr>
        <w:tab/>
        <w:t xml:space="preserve">RESA St. 2 at 13-14 and Exh. CK-1; RESA St. </w:t>
      </w:r>
      <w:r w:rsidRPr="00326326">
        <w:rPr>
          <w:sz w:val="26"/>
          <w:szCs w:val="26"/>
        </w:rPr>
        <w:t>2-SR at 3.</w:t>
      </w:r>
    </w:p>
  </w:footnote>
  <w:footnote w:id="113">
    <w:p w:rsidR="005915E1" w:rsidRPr="00326326" w:rsidRDefault="005915E1" w:rsidP="001856BA">
      <w:pPr>
        <w:pStyle w:val="FootnoteText"/>
        <w:ind w:firstLine="1440"/>
        <w:rPr>
          <w:sz w:val="26"/>
          <w:szCs w:val="26"/>
        </w:rPr>
      </w:pPr>
      <w:r w:rsidRPr="00326326">
        <w:rPr>
          <w:rStyle w:val="FootnoteReference"/>
          <w:sz w:val="26"/>
          <w:szCs w:val="26"/>
        </w:rPr>
        <w:footnoteRef/>
      </w:r>
      <w:r>
        <w:rPr>
          <w:sz w:val="26"/>
          <w:szCs w:val="26"/>
        </w:rPr>
        <w:t xml:space="preserve"> </w:t>
      </w:r>
      <w:r>
        <w:rPr>
          <w:sz w:val="26"/>
          <w:szCs w:val="26"/>
        </w:rPr>
        <w:tab/>
        <w:t>FES states that i</w:t>
      </w:r>
      <w:r w:rsidRPr="00326326">
        <w:rPr>
          <w:sz w:val="26"/>
          <w:szCs w:val="26"/>
        </w:rPr>
        <w:t xml:space="preserve">t appears the Commission intends to include Small C&amp;I customers in PECO’s market enhancement programs as well.  The </w:t>
      </w:r>
      <w:r w:rsidRPr="00326326">
        <w:rPr>
          <w:i/>
          <w:sz w:val="26"/>
          <w:szCs w:val="26"/>
        </w:rPr>
        <w:t>PECO Binding Poll</w:t>
      </w:r>
      <w:r w:rsidRPr="00326326">
        <w:rPr>
          <w:sz w:val="26"/>
          <w:szCs w:val="26"/>
        </w:rPr>
        <w:t xml:space="preserve"> included only the issue of Small C&amp;I customer participation in PECO's Opt-In Program and there was no separate polling issue concerning their participation in PECO’s Referral Program.  </w:t>
      </w:r>
      <w:r w:rsidRPr="00326326">
        <w:rPr>
          <w:i/>
          <w:sz w:val="26"/>
          <w:szCs w:val="26"/>
        </w:rPr>
        <w:t>PECO Binding Poll</w:t>
      </w:r>
      <w:r w:rsidRPr="00326326">
        <w:rPr>
          <w:sz w:val="26"/>
          <w:szCs w:val="26"/>
        </w:rPr>
        <w:t>, Issue #12.</w:t>
      </w:r>
    </w:p>
  </w:footnote>
  <w:footnote w:id="114">
    <w:p w:rsidR="005915E1" w:rsidRPr="00FD7779" w:rsidRDefault="005915E1" w:rsidP="00FD7779">
      <w:pPr>
        <w:pStyle w:val="FootnoteText"/>
        <w:ind w:firstLine="1440"/>
        <w:rPr>
          <w:sz w:val="26"/>
          <w:szCs w:val="26"/>
        </w:rPr>
      </w:pPr>
      <w:r w:rsidRPr="00FD7779">
        <w:rPr>
          <w:rStyle w:val="FootnoteReference"/>
          <w:sz w:val="26"/>
          <w:szCs w:val="26"/>
        </w:rPr>
        <w:footnoteRef/>
      </w:r>
      <w:r w:rsidRPr="00FD7779">
        <w:rPr>
          <w:sz w:val="26"/>
          <w:szCs w:val="26"/>
        </w:rPr>
        <w:t xml:space="preserve"> </w:t>
      </w:r>
      <w:r w:rsidRPr="00FD7779">
        <w:rPr>
          <w:sz w:val="26"/>
          <w:szCs w:val="26"/>
        </w:rPr>
        <w:tab/>
        <w:t>Although the ALJ referred only to the Standard Offer Referral Program</w:t>
      </w:r>
      <w:r>
        <w:rPr>
          <w:sz w:val="26"/>
          <w:szCs w:val="26"/>
        </w:rPr>
        <w:t xml:space="preserve"> in her Dispositi</w:t>
      </w:r>
      <w:r w:rsidRPr="00FD7779">
        <w:rPr>
          <w:sz w:val="26"/>
          <w:szCs w:val="26"/>
        </w:rPr>
        <w:t>on, it appears that she intended to address both of Duquesne’s RME Programs.  This section of the Recommended Decision addresses Small C&amp;I customer participation in RME Programs ge</w:t>
      </w:r>
      <w:r>
        <w:rPr>
          <w:sz w:val="26"/>
          <w:szCs w:val="26"/>
        </w:rPr>
        <w:t xml:space="preserve">nerally.  Accordingly, we clarify that we are </w:t>
      </w:r>
      <w:r w:rsidRPr="00FD7779">
        <w:rPr>
          <w:sz w:val="26"/>
          <w:szCs w:val="26"/>
        </w:rPr>
        <w:t>address</w:t>
      </w:r>
      <w:r>
        <w:rPr>
          <w:sz w:val="26"/>
          <w:szCs w:val="26"/>
        </w:rPr>
        <w:t>ing</w:t>
      </w:r>
      <w:r w:rsidRPr="00FD7779">
        <w:rPr>
          <w:sz w:val="26"/>
          <w:szCs w:val="26"/>
        </w:rPr>
        <w:t xml:space="preserve"> the participation of Small C&amp;I customers in both RME Programs in this section of our Opinion and Order.</w:t>
      </w:r>
    </w:p>
  </w:footnote>
  <w:footnote w:id="115">
    <w:p w:rsidR="005915E1" w:rsidRPr="00BC74A3" w:rsidRDefault="005915E1" w:rsidP="00C97E4B">
      <w:pPr>
        <w:pStyle w:val="FootnoteText"/>
        <w:ind w:firstLine="1440"/>
      </w:pPr>
      <w:r w:rsidRPr="00F31169">
        <w:rPr>
          <w:rStyle w:val="FootnoteReference"/>
          <w:sz w:val="26"/>
          <w:szCs w:val="26"/>
        </w:rPr>
        <w:footnoteRef/>
      </w:r>
      <w:r>
        <w:rPr>
          <w:sz w:val="26"/>
          <w:szCs w:val="26"/>
        </w:rPr>
        <w:t xml:space="preserve"> </w:t>
      </w:r>
      <w:r>
        <w:rPr>
          <w:sz w:val="26"/>
          <w:szCs w:val="26"/>
        </w:rPr>
        <w:tab/>
      </w:r>
      <w:r w:rsidRPr="00F31169">
        <w:rPr>
          <w:sz w:val="26"/>
          <w:szCs w:val="26"/>
        </w:rPr>
        <w:t>RESA St. 2 at 7.</w:t>
      </w:r>
    </w:p>
  </w:footnote>
  <w:footnote w:id="116">
    <w:p w:rsidR="005915E1" w:rsidRPr="00AF4873" w:rsidRDefault="005915E1" w:rsidP="00AF4873">
      <w:pPr>
        <w:pStyle w:val="FootnoteText"/>
        <w:ind w:firstLine="1440"/>
        <w:rPr>
          <w:sz w:val="26"/>
          <w:szCs w:val="26"/>
        </w:rPr>
      </w:pPr>
      <w:r w:rsidRPr="00AF4873">
        <w:rPr>
          <w:rStyle w:val="FootnoteReference"/>
          <w:sz w:val="26"/>
          <w:szCs w:val="26"/>
        </w:rPr>
        <w:footnoteRef/>
      </w:r>
      <w:r w:rsidRPr="00AF4873">
        <w:rPr>
          <w:sz w:val="26"/>
          <w:szCs w:val="26"/>
        </w:rPr>
        <w:t xml:space="preserve"> </w:t>
      </w:r>
      <w:r>
        <w:rPr>
          <w:sz w:val="26"/>
          <w:szCs w:val="26"/>
        </w:rPr>
        <w:tab/>
      </w:r>
      <w:r w:rsidRPr="00AF4873">
        <w:rPr>
          <w:sz w:val="26"/>
          <w:szCs w:val="26"/>
        </w:rPr>
        <w:t>Duquesne St. 3-RJ at 21-23.</w:t>
      </w:r>
    </w:p>
  </w:footnote>
  <w:footnote w:id="117">
    <w:p w:rsidR="005915E1" w:rsidRPr="00AF4873" w:rsidRDefault="005915E1" w:rsidP="00C97E4B">
      <w:pPr>
        <w:pStyle w:val="FootnoteText"/>
        <w:ind w:firstLine="1440"/>
        <w:rPr>
          <w:sz w:val="26"/>
          <w:szCs w:val="26"/>
        </w:rPr>
      </w:pPr>
      <w:r w:rsidRPr="00AF4873">
        <w:rPr>
          <w:rStyle w:val="FootnoteReference"/>
          <w:sz w:val="26"/>
          <w:szCs w:val="26"/>
        </w:rPr>
        <w:footnoteRef/>
      </w:r>
      <w:r w:rsidRPr="00AF4873">
        <w:rPr>
          <w:sz w:val="26"/>
          <w:szCs w:val="26"/>
        </w:rPr>
        <w:t xml:space="preserve"> </w:t>
      </w:r>
      <w:r>
        <w:rPr>
          <w:sz w:val="26"/>
          <w:szCs w:val="26"/>
        </w:rPr>
        <w:tab/>
      </w:r>
      <w:r w:rsidRPr="00AF4873">
        <w:rPr>
          <w:sz w:val="26"/>
          <w:szCs w:val="26"/>
        </w:rPr>
        <w:t>RESA St. 2 at 13-14.</w:t>
      </w:r>
    </w:p>
  </w:footnote>
  <w:footnote w:id="118">
    <w:p w:rsidR="005915E1" w:rsidRPr="00AF4873" w:rsidRDefault="005915E1" w:rsidP="00AF4873">
      <w:pPr>
        <w:pStyle w:val="FootnoteText"/>
        <w:ind w:firstLine="1440"/>
        <w:rPr>
          <w:sz w:val="26"/>
          <w:szCs w:val="26"/>
        </w:rPr>
      </w:pPr>
      <w:r w:rsidRPr="00AF4873">
        <w:rPr>
          <w:rStyle w:val="FootnoteReference"/>
          <w:sz w:val="26"/>
          <w:szCs w:val="26"/>
        </w:rPr>
        <w:footnoteRef/>
      </w:r>
      <w:r w:rsidRPr="00AF4873">
        <w:rPr>
          <w:sz w:val="26"/>
          <w:szCs w:val="26"/>
        </w:rPr>
        <w:t xml:space="preserve"> </w:t>
      </w:r>
      <w:r>
        <w:rPr>
          <w:sz w:val="26"/>
          <w:szCs w:val="26"/>
        </w:rPr>
        <w:tab/>
      </w:r>
      <w:r w:rsidRPr="00AF4873">
        <w:rPr>
          <w:sz w:val="26"/>
          <w:szCs w:val="26"/>
        </w:rPr>
        <w:t>OSBA St. 2 at 7.</w:t>
      </w:r>
    </w:p>
  </w:footnote>
  <w:footnote w:id="119">
    <w:p w:rsidR="005915E1" w:rsidRPr="00EE2E00" w:rsidRDefault="005915E1" w:rsidP="00EE2E00">
      <w:pPr>
        <w:pStyle w:val="FootnoteText"/>
        <w:ind w:firstLine="1440"/>
        <w:rPr>
          <w:sz w:val="26"/>
          <w:szCs w:val="26"/>
        </w:rPr>
      </w:pPr>
      <w:r w:rsidRPr="00EE2E00">
        <w:rPr>
          <w:rStyle w:val="FootnoteReference"/>
          <w:sz w:val="26"/>
          <w:szCs w:val="26"/>
        </w:rPr>
        <w:footnoteRef/>
      </w:r>
      <w:r w:rsidRPr="00EE2E00">
        <w:rPr>
          <w:sz w:val="26"/>
          <w:szCs w:val="26"/>
        </w:rPr>
        <w:t xml:space="preserve"> </w:t>
      </w:r>
      <w:r>
        <w:rPr>
          <w:sz w:val="26"/>
          <w:szCs w:val="26"/>
        </w:rPr>
        <w:tab/>
      </w:r>
      <w:r w:rsidRPr="00EE2E00">
        <w:rPr>
          <w:sz w:val="26"/>
          <w:szCs w:val="26"/>
        </w:rPr>
        <w:t>OSBA Exc. at 3-4.</w:t>
      </w:r>
    </w:p>
  </w:footnote>
  <w:footnote w:id="120">
    <w:p w:rsidR="005915E1" w:rsidRPr="00FE7195" w:rsidRDefault="005915E1" w:rsidP="00FE7195">
      <w:pPr>
        <w:pStyle w:val="FootnoteText"/>
        <w:ind w:firstLine="1440"/>
        <w:rPr>
          <w:sz w:val="26"/>
          <w:szCs w:val="26"/>
        </w:rPr>
      </w:pPr>
      <w:r w:rsidRPr="00FE7195">
        <w:rPr>
          <w:rStyle w:val="FootnoteReference"/>
          <w:sz w:val="26"/>
          <w:szCs w:val="26"/>
        </w:rPr>
        <w:footnoteRef/>
      </w:r>
      <w:r w:rsidRPr="00FE7195">
        <w:rPr>
          <w:sz w:val="26"/>
          <w:szCs w:val="26"/>
        </w:rPr>
        <w:t xml:space="preserve"> </w:t>
      </w:r>
      <w:r>
        <w:rPr>
          <w:sz w:val="26"/>
          <w:szCs w:val="26"/>
        </w:rPr>
        <w:tab/>
        <w:t>OSBA Exc.</w:t>
      </w:r>
      <w:r w:rsidRPr="00FE7195">
        <w:rPr>
          <w:sz w:val="26"/>
          <w:szCs w:val="26"/>
        </w:rPr>
        <w:t xml:space="preserve"> at 4-5.</w:t>
      </w:r>
    </w:p>
  </w:footnote>
  <w:footnote w:id="121">
    <w:p w:rsidR="005915E1" w:rsidRPr="00FE7195" w:rsidRDefault="005915E1" w:rsidP="00FE7195">
      <w:pPr>
        <w:pStyle w:val="FootnoteText"/>
        <w:ind w:firstLine="1440"/>
        <w:rPr>
          <w:sz w:val="26"/>
          <w:szCs w:val="26"/>
        </w:rPr>
      </w:pPr>
      <w:r w:rsidRPr="00FE7195">
        <w:rPr>
          <w:rStyle w:val="FootnoteReference"/>
          <w:sz w:val="26"/>
          <w:szCs w:val="26"/>
        </w:rPr>
        <w:footnoteRef/>
      </w:r>
      <w:r w:rsidRPr="00FE7195">
        <w:rPr>
          <w:sz w:val="26"/>
          <w:szCs w:val="26"/>
        </w:rPr>
        <w:t xml:space="preserve"> </w:t>
      </w:r>
      <w:r>
        <w:rPr>
          <w:sz w:val="26"/>
          <w:szCs w:val="26"/>
        </w:rPr>
        <w:tab/>
        <w:t xml:space="preserve">RESA St. </w:t>
      </w:r>
      <w:r w:rsidRPr="00FE7195">
        <w:rPr>
          <w:sz w:val="26"/>
          <w:szCs w:val="26"/>
        </w:rPr>
        <w:t>2-SR at 4.</w:t>
      </w:r>
    </w:p>
  </w:footnote>
  <w:footnote w:id="122">
    <w:p w:rsidR="005915E1" w:rsidRPr="00326326" w:rsidRDefault="005915E1" w:rsidP="00F22E66">
      <w:pPr>
        <w:pStyle w:val="FootnoteText"/>
        <w:ind w:firstLine="1440"/>
        <w:rPr>
          <w:sz w:val="26"/>
          <w:szCs w:val="26"/>
        </w:rPr>
      </w:pPr>
      <w:r w:rsidRPr="00326326">
        <w:rPr>
          <w:rStyle w:val="FootnoteReference"/>
          <w:sz w:val="26"/>
          <w:szCs w:val="26"/>
        </w:rPr>
        <w:footnoteRef/>
      </w:r>
      <w:r>
        <w:rPr>
          <w:sz w:val="26"/>
          <w:szCs w:val="26"/>
        </w:rPr>
        <w:t xml:space="preserve"> </w:t>
      </w:r>
      <w:r>
        <w:rPr>
          <w:sz w:val="26"/>
          <w:szCs w:val="26"/>
        </w:rPr>
        <w:tab/>
        <w:t xml:space="preserve">OSBA St. </w:t>
      </w:r>
      <w:r w:rsidRPr="00326326">
        <w:rPr>
          <w:sz w:val="26"/>
          <w:szCs w:val="26"/>
        </w:rPr>
        <w:t>2 at 8.</w:t>
      </w:r>
    </w:p>
  </w:footnote>
  <w:footnote w:id="123">
    <w:p w:rsidR="005915E1" w:rsidRPr="00326326" w:rsidRDefault="005915E1" w:rsidP="00F22E66">
      <w:pPr>
        <w:pStyle w:val="FootnoteText"/>
        <w:ind w:firstLine="1440"/>
        <w:rPr>
          <w:sz w:val="26"/>
          <w:szCs w:val="26"/>
        </w:rPr>
      </w:pPr>
      <w:r w:rsidRPr="00326326">
        <w:rPr>
          <w:rStyle w:val="FootnoteReference"/>
          <w:sz w:val="26"/>
          <w:szCs w:val="26"/>
        </w:rPr>
        <w:footnoteRef/>
      </w:r>
      <w:r w:rsidRPr="00326326">
        <w:rPr>
          <w:sz w:val="26"/>
          <w:szCs w:val="26"/>
        </w:rPr>
        <w:t xml:space="preserve"> </w:t>
      </w:r>
      <w:r w:rsidRPr="00326326">
        <w:rPr>
          <w:sz w:val="26"/>
          <w:szCs w:val="26"/>
        </w:rPr>
        <w:tab/>
        <w:t xml:space="preserve">OCA St. 1-R at </w:t>
      </w:r>
      <w:r>
        <w:rPr>
          <w:sz w:val="26"/>
          <w:szCs w:val="26"/>
        </w:rPr>
        <w:t>12-</w:t>
      </w:r>
      <w:r w:rsidRPr="00326326">
        <w:rPr>
          <w:sz w:val="26"/>
          <w:szCs w:val="26"/>
        </w:rPr>
        <w:t>13.</w:t>
      </w:r>
    </w:p>
  </w:footnote>
  <w:footnote w:id="124">
    <w:p w:rsidR="005915E1" w:rsidRPr="00326326" w:rsidRDefault="005915E1" w:rsidP="00F22E66">
      <w:pPr>
        <w:pStyle w:val="FootnoteText"/>
        <w:ind w:firstLine="1440"/>
        <w:rPr>
          <w:sz w:val="26"/>
          <w:szCs w:val="26"/>
        </w:rPr>
      </w:pPr>
      <w:r w:rsidRPr="00326326">
        <w:rPr>
          <w:rStyle w:val="FootnoteReference"/>
          <w:sz w:val="26"/>
          <w:szCs w:val="26"/>
        </w:rPr>
        <w:footnoteRef/>
      </w:r>
      <w:r>
        <w:rPr>
          <w:sz w:val="26"/>
          <w:szCs w:val="26"/>
        </w:rPr>
        <w:t xml:space="preserve"> </w:t>
      </w:r>
      <w:r>
        <w:rPr>
          <w:sz w:val="26"/>
          <w:szCs w:val="26"/>
        </w:rPr>
        <w:tab/>
        <w:t xml:space="preserve">OCA St. </w:t>
      </w:r>
      <w:r w:rsidRPr="00326326">
        <w:rPr>
          <w:sz w:val="26"/>
          <w:szCs w:val="26"/>
        </w:rPr>
        <w:t>1-R at 12.</w:t>
      </w:r>
    </w:p>
  </w:footnote>
  <w:footnote w:id="125">
    <w:p w:rsidR="005915E1" w:rsidRPr="006764A8" w:rsidRDefault="005915E1" w:rsidP="00CB3DC7">
      <w:pPr>
        <w:ind w:firstLine="1440"/>
        <w:rPr>
          <w:sz w:val="26"/>
          <w:szCs w:val="26"/>
        </w:rPr>
      </w:pPr>
      <w:r w:rsidRPr="006764A8">
        <w:rPr>
          <w:rStyle w:val="FootnoteReference"/>
          <w:sz w:val="26"/>
          <w:szCs w:val="26"/>
        </w:rPr>
        <w:footnoteRef/>
      </w:r>
      <w:r w:rsidRPr="006764A8">
        <w:rPr>
          <w:sz w:val="26"/>
          <w:szCs w:val="26"/>
        </w:rPr>
        <w:t xml:space="preserve"> </w:t>
      </w:r>
      <w:r>
        <w:rPr>
          <w:sz w:val="26"/>
          <w:szCs w:val="26"/>
        </w:rPr>
        <w:tab/>
        <w:t>RESA M.B.</w:t>
      </w:r>
      <w:r w:rsidRPr="006764A8">
        <w:rPr>
          <w:sz w:val="26"/>
          <w:szCs w:val="26"/>
        </w:rPr>
        <w:t xml:space="preserve"> at 87.  The OSBA disagrees with this after-the-fact justification for the adder and notes that</w:t>
      </w:r>
      <w:r>
        <w:rPr>
          <w:sz w:val="26"/>
          <w:szCs w:val="26"/>
        </w:rPr>
        <w:t>,</w:t>
      </w:r>
      <w:r w:rsidRPr="006764A8">
        <w:rPr>
          <w:sz w:val="26"/>
          <w:szCs w:val="26"/>
        </w:rPr>
        <w:t xml:space="preserve"> if RESA had a genuine concern about default service costs being recovered in distribution rates, it should have raised the issue in Duquesne’s most recent base rates case.</w:t>
      </w:r>
    </w:p>
  </w:footnote>
  <w:footnote w:id="126">
    <w:p w:rsidR="005915E1" w:rsidRPr="006764A8" w:rsidRDefault="005915E1" w:rsidP="006764A8">
      <w:pPr>
        <w:pStyle w:val="FootnoteText"/>
        <w:ind w:firstLine="1440"/>
        <w:rPr>
          <w:sz w:val="26"/>
          <w:szCs w:val="26"/>
        </w:rPr>
      </w:pPr>
      <w:r w:rsidRPr="006764A8">
        <w:rPr>
          <w:rStyle w:val="FootnoteReference"/>
          <w:sz w:val="26"/>
          <w:szCs w:val="26"/>
        </w:rPr>
        <w:footnoteRef/>
      </w:r>
      <w:r>
        <w:rPr>
          <w:sz w:val="26"/>
          <w:szCs w:val="26"/>
        </w:rPr>
        <w:t xml:space="preserve"> </w:t>
      </w:r>
      <w:r>
        <w:rPr>
          <w:sz w:val="26"/>
          <w:szCs w:val="26"/>
        </w:rPr>
        <w:tab/>
        <w:t>RESA M.B.</w:t>
      </w:r>
      <w:r w:rsidRPr="006764A8">
        <w:rPr>
          <w:sz w:val="26"/>
          <w:szCs w:val="26"/>
        </w:rPr>
        <w:t xml:space="preserve"> at 72.</w:t>
      </w:r>
    </w:p>
  </w:footnote>
  <w:footnote w:id="127">
    <w:p w:rsidR="005915E1" w:rsidRPr="005751B0" w:rsidRDefault="005915E1" w:rsidP="00B13F12">
      <w:pPr>
        <w:adjustRightInd w:val="0"/>
        <w:ind w:firstLine="1440"/>
        <w:rPr>
          <w:sz w:val="26"/>
          <w:szCs w:val="26"/>
        </w:rPr>
      </w:pPr>
      <w:r w:rsidRPr="005751B0">
        <w:rPr>
          <w:rStyle w:val="FootnoteReference"/>
          <w:sz w:val="26"/>
          <w:szCs w:val="26"/>
        </w:rPr>
        <w:footnoteRef/>
      </w:r>
      <w:r>
        <w:rPr>
          <w:sz w:val="26"/>
          <w:szCs w:val="26"/>
        </w:rPr>
        <w:t xml:space="preserve"> </w:t>
      </w:r>
      <w:r>
        <w:rPr>
          <w:sz w:val="26"/>
          <w:szCs w:val="26"/>
        </w:rPr>
        <w:tab/>
        <w:t xml:space="preserve">RESA St. 1 at 21-27; RESA St. </w:t>
      </w:r>
      <w:r w:rsidRPr="005751B0">
        <w:rPr>
          <w:sz w:val="26"/>
          <w:szCs w:val="26"/>
        </w:rPr>
        <w:t>1-SR at 17-21.  PJM only recently finalized for billing purposes the names assigned to these New ELR Charges:  ID# 1242 – Day – Ahead Load Response Charge Allocation; and ID# 1243 – Real-Time Load Response C</w:t>
      </w:r>
      <w:r>
        <w:rPr>
          <w:sz w:val="26"/>
          <w:szCs w:val="26"/>
        </w:rPr>
        <w:t xml:space="preserve">harge Allocation.  RESA St. </w:t>
      </w:r>
      <w:r w:rsidRPr="005751B0">
        <w:rPr>
          <w:sz w:val="26"/>
          <w:szCs w:val="26"/>
        </w:rPr>
        <w:t>1 at 26.</w:t>
      </w:r>
    </w:p>
  </w:footnote>
  <w:footnote w:id="128">
    <w:p w:rsidR="005915E1" w:rsidRPr="005751B0" w:rsidRDefault="005915E1" w:rsidP="00B13F12">
      <w:pPr>
        <w:pStyle w:val="FootnoteText"/>
        <w:ind w:firstLine="1440"/>
        <w:rPr>
          <w:sz w:val="26"/>
          <w:szCs w:val="26"/>
        </w:rPr>
      </w:pPr>
      <w:r w:rsidRPr="005751B0">
        <w:rPr>
          <w:rStyle w:val="FootnoteReference"/>
          <w:sz w:val="26"/>
          <w:szCs w:val="26"/>
        </w:rPr>
        <w:footnoteRef/>
      </w:r>
      <w:r>
        <w:rPr>
          <w:sz w:val="26"/>
          <w:szCs w:val="26"/>
        </w:rPr>
        <w:t xml:space="preserve"> </w:t>
      </w:r>
      <w:r>
        <w:rPr>
          <w:sz w:val="26"/>
          <w:szCs w:val="26"/>
        </w:rPr>
        <w:tab/>
        <w:t xml:space="preserve">RESA St. </w:t>
      </w:r>
      <w:r w:rsidRPr="005751B0">
        <w:rPr>
          <w:sz w:val="26"/>
          <w:szCs w:val="26"/>
        </w:rPr>
        <w:t xml:space="preserve">1 at 22. </w:t>
      </w:r>
      <w:r w:rsidRPr="005751B0">
        <w:rPr>
          <w:bCs/>
          <w:sz w:val="26"/>
          <w:szCs w:val="26"/>
        </w:rPr>
        <w:t xml:space="preserve">These transmission costs currently </w:t>
      </w:r>
      <w:r>
        <w:rPr>
          <w:bCs/>
          <w:sz w:val="26"/>
          <w:szCs w:val="26"/>
        </w:rPr>
        <w:t xml:space="preserve">are </w:t>
      </w:r>
      <w:r w:rsidRPr="005751B0">
        <w:rPr>
          <w:bCs/>
          <w:sz w:val="26"/>
          <w:szCs w:val="26"/>
        </w:rPr>
        <w:t>not paid by wholesale default ser</w:t>
      </w:r>
      <w:r>
        <w:rPr>
          <w:bCs/>
          <w:sz w:val="26"/>
          <w:szCs w:val="26"/>
        </w:rPr>
        <w:t xml:space="preserve">vice suppliers </w:t>
      </w:r>
      <w:r w:rsidRPr="005751B0">
        <w:rPr>
          <w:bCs/>
          <w:sz w:val="26"/>
          <w:szCs w:val="26"/>
        </w:rPr>
        <w:t xml:space="preserve">in Duquesne’s service territory.  </w:t>
      </w:r>
      <w:r w:rsidRPr="005751B0">
        <w:rPr>
          <w:bCs/>
          <w:i/>
          <w:sz w:val="26"/>
          <w:szCs w:val="26"/>
        </w:rPr>
        <w:t>Id</w:t>
      </w:r>
      <w:r w:rsidRPr="005751B0">
        <w:rPr>
          <w:bCs/>
          <w:sz w:val="26"/>
          <w:szCs w:val="26"/>
        </w:rPr>
        <w:t>.</w:t>
      </w:r>
    </w:p>
  </w:footnote>
  <w:footnote w:id="129">
    <w:p w:rsidR="005915E1" w:rsidRPr="004A64C3" w:rsidRDefault="005915E1" w:rsidP="00C97E4B">
      <w:pPr>
        <w:pStyle w:val="FootnoteText"/>
        <w:ind w:firstLine="1440"/>
      </w:pPr>
      <w:r w:rsidRPr="005751B0">
        <w:rPr>
          <w:rStyle w:val="FootnoteReference"/>
          <w:sz w:val="26"/>
          <w:szCs w:val="26"/>
        </w:rPr>
        <w:footnoteRef/>
      </w:r>
      <w:r>
        <w:rPr>
          <w:sz w:val="26"/>
          <w:szCs w:val="26"/>
        </w:rPr>
        <w:t xml:space="preserve"> </w:t>
      </w:r>
      <w:r>
        <w:rPr>
          <w:sz w:val="26"/>
          <w:szCs w:val="26"/>
        </w:rPr>
        <w:tab/>
        <w:t xml:space="preserve">Duquesne alleged that </w:t>
      </w:r>
      <w:r w:rsidRPr="005751B0">
        <w:rPr>
          <w:sz w:val="26"/>
          <w:szCs w:val="26"/>
        </w:rPr>
        <w:t>RESA’s non-bypassable charge could cause shopping customers to pay twice for transmis</w:t>
      </w:r>
      <w:r>
        <w:rPr>
          <w:sz w:val="26"/>
          <w:szCs w:val="26"/>
        </w:rPr>
        <w:t>sion service.  Duquesne St. 4-R at 23.  RESA asserts that a</w:t>
      </w:r>
      <w:r w:rsidRPr="005751B0">
        <w:rPr>
          <w:sz w:val="26"/>
          <w:szCs w:val="26"/>
        </w:rPr>
        <w:t xml:space="preserve"> transitional period would address this concern.</w:t>
      </w:r>
    </w:p>
  </w:footnote>
  <w:footnote w:id="130">
    <w:p w:rsidR="005915E1" w:rsidRPr="00F913E4" w:rsidRDefault="005915E1" w:rsidP="009056D4">
      <w:pPr>
        <w:pStyle w:val="FootnoteText"/>
        <w:keepLines/>
        <w:ind w:firstLine="1440"/>
        <w:rPr>
          <w:sz w:val="26"/>
          <w:szCs w:val="26"/>
        </w:rPr>
      </w:pPr>
      <w:r w:rsidRPr="00F913E4">
        <w:rPr>
          <w:rStyle w:val="FootnoteReference"/>
          <w:sz w:val="26"/>
          <w:szCs w:val="26"/>
        </w:rPr>
        <w:footnoteRef/>
      </w:r>
      <w:r>
        <w:rPr>
          <w:sz w:val="26"/>
          <w:szCs w:val="26"/>
        </w:rPr>
        <w:t xml:space="preserve"> </w:t>
      </w:r>
      <w:r>
        <w:rPr>
          <w:sz w:val="26"/>
          <w:szCs w:val="26"/>
        </w:rPr>
        <w:tab/>
        <w:t xml:space="preserve"> For purposes of its Reply </w:t>
      </w:r>
      <w:r w:rsidRPr="00F913E4">
        <w:rPr>
          <w:sz w:val="26"/>
          <w:szCs w:val="26"/>
        </w:rPr>
        <w:t xml:space="preserve">Exceptions, </w:t>
      </w:r>
      <w:r>
        <w:rPr>
          <w:sz w:val="26"/>
          <w:szCs w:val="26"/>
        </w:rPr>
        <w:t xml:space="preserve">DII states that NMB Transmission costs </w:t>
      </w:r>
      <w:r w:rsidRPr="00F913E4">
        <w:rPr>
          <w:sz w:val="26"/>
          <w:szCs w:val="26"/>
        </w:rPr>
        <w:t>include Network Int</w:t>
      </w:r>
      <w:r>
        <w:rPr>
          <w:sz w:val="26"/>
          <w:szCs w:val="26"/>
        </w:rPr>
        <w:t>egration Transmission Service (NITS</w:t>
      </w:r>
      <w:r w:rsidRPr="00F913E4">
        <w:rPr>
          <w:sz w:val="26"/>
          <w:szCs w:val="26"/>
        </w:rPr>
        <w:t>), Regiona</w:t>
      </w:r>
      <w:r>
        <w:rPr>
          <w:sz w:val="26"/>
          <w:szCs w:val="26"/>
        </w:rPr>
        <w:t>l Transmission Expansion Plan (RTEP</w:t>
      </w:r>
      <w:r w:rsidRPr="00F913E4">
        <w:rPr>
          <w:sz w:val="26"/>
          <w:szCs w:val="26"/>
        </w:rPr>
        <w:t>), Transmission Expansion, Generation Deactiv</w:t>
      </w:r>
      <w:r>
        <w:rPr>
          <w:sz w:val="26"/>
          <w:szCs w:val="26"/>
        </w:rPr>
        <w:t>ation, Economic Load Response (ELR</w:t>
      </w:r>
      <w:r w:rsidRPr="00F913E4">
        <w:rPr>
          <w:sz w:val="26"/>
          <w:szCs w:val="26"/>
        </w:rPr>
        <w:t>), or any other costs included in RESA's NMB Trans</w:t>
      </w:r>
      <w:r>
        <w:rPr>
          <w:sz w:val="26"/>
          <w:szCs w:val="26"/>
        </w:rPr>
        <w:t xml:space="preserve">mission proposal.  DII M.B. at </w:t>
      </w:r>
      <w:r w:rsidRPr="00F913E4">
        <w:rPr>
          <w:sz w:val="26"/>
          <w:szCs w:val="26"/>
        </w:rPr>
        <w:t>14.</w:t>
      </w:r>
    </w:p>
  </w:footnote>
  <w:footnote w:id="131">
    <w:p w:rsidR="005915E1" w:rsidRPr="005751B0" w:rsidRDefault="005915E1" w:rsidP="00C25B3F">
      <w:pPr>
        <w:pStyle w:val="FootnoteText"/>
        <w:ind w:firstLine="1440"/>
        <w:rPr>
          <w:sz w:val="26"/>
          <w:szCs w:val="26"/>
        </w:rPr>
      </w:pPr>
      <w:r w:rsidRPr="005751B0">
        <w:rPr>
          <w:rStyle w:val="FootnoteReference"/>
          <w:sz w:val="26"/>
          <w:szCs w:val="26"/>
        </w:rPr>
        <w:footnoteRef/>
      </w:r>
      <w:r w:rsidRPr="005751B0">
        <w:rPr>
          <w:sz w:val="26"/>
          <w:szCs w:val="26"/>
        </w:rPr>
        <w:t xml:space="preserve"> </w:t>
      </w:r>
      <w:r w:rsidRPr="005751B0">
        <w:rPr>
          <w:sz w:val="26"/>
          <w:szCs w:val="26"/>
        </w:rPr>
        <w:tab/>
      </w:r>
      <w:r w:rsidRPr="005751B0">
        <w:rPr>
          <w:i/>
          <w:sz w:val="26"/>
          <w:szCs w:val="26"/>
        </w:rPr>
        <w:t>Pa. PUC v. PPL Electric Utilities Corporation</w:t>
      </w:r>
      <w:r>
        <w:rPr>
          <w:sz w:val="26"/>
          <w:szCs w:val="26"/>
        </w:rPr>
        <w:t>, Docket No. R</w:t>
      </w:r>
      <w:r>
        <w:rPr>
          <w:sz w:val="26"/>
          <w:szCs w:val="26"/>
        </w:rPr>
        <w:noBreakHyphen/>
        <w:t>2009</w:t>
      </w:r>
      <w:r>
        <w:rPr>
          <w:sz w:val="26"/>
          <w:szCs w:val="26"/>
        </w:rPr>
        <w:noBreakHyphen/>
        <w:t>2122718 (</w:t>
      </w:r>
      <w:r w:rsidRPr="005751B0">
        <w:rPr>
          <w:sz w:val="26"/>
          <w:szCs w:val="26"/>
        </w:rPr>
        <w:t>Order entered March 9, 2010</w:t>
      </w:r>
      <w:r>
        <w:rPr>
          <w:sz w:val="26"/>
          <w:szCs w:val="26"/>
        </w:rPr>
        <w:t>).</w:t>
      </w:r>
    </w:p>
  </w:footnote>
  <w:footnote w:id="132">
    <w:p w:rsidR="005915E1" w:rsidRPr="00C25B3F" w:rsidRDefault="005915E1" w:rsidP="00C25B3F">
      <w:pPr>
        <w:pStyle w:val="FootnoteText"/>
        <w:ind w:firstLine="1440"/>
        <w:rPr>
          <w:sz w:val="26"/>
          <w:szCs w:val="26"/>
        </w:rPr>
      </w:pPr>
      <w:r w:rsidRPr="005751B0">
        <w:rPr>
          <w:rStyle w:val="FootnoteReference"/>
          <w:sz w:val="26"/>
          <w:szCs w:val="26"/>
        </w:rPr>
        <w:footnoteRef/>
      </w:r>
      <w:r>
        <w:rPr>
          <w:sz w:val="26"/>
          <w:szCs w:val="26"/>
        </w:rPr>
        <w:t xml:space="preserve"> </w:t>
      </w:r>
      <w:r>
        <w:rPr>
          <w:sz w:val="26"/>
          <w:szCs w:val="26"/>
        </w:rPr>
        <w:tab/>
        <w:t xml:space="preserve">Constellation St. 1 at </w:t>
      </w:r>
      <w:r w:rsidRPr="005751B0">
        <w:rPr>
          <w:sz w:val="26"/>
          <w:szCs w:val="26"/>
        </w:rPr>
        <w:t>42.</w:t>
      </w:r>
    </w:p>
  </w:footnote>
  <w:footnote w:id="133">
    <w:p w:rsidR="005915E1" w:rsidRPr="005751B0" w:rsidRDefault="005915E1" w:rsidP="00C25B3F">
      <w:pPr>
        <w:pStyle w:val="FootnoteText"/>
        <w:ind w:firstLine="1440"/>
        <w:rPr>
          <w:sz w:val="26"/>
          <w:szCs w:val="26"/>
        </w:rPr>
      </w:pPr>
      <w:r w:rsidRPr="005751B0">
        <w:rPr>
          <w:rStyle w:val="FootnoteReference"/>
          <w:sz w:val="26"/>
          <w:szCs w:val="26"/>
        </w:rPr>
        <w:footnoteRef/>
      </w:r>
      <w:r>
        <w:rPr>
          <w:sz w:val="26"/>
          <w:szCs w:val="26"/>
        </w:rPr>
        <w:t xml:space="preserve"> </w:t>
      </w:r>
      <w:r>
        <w:rPr>
          <w:sz w:val="26"/>
          <w:szCs w:val="26"/>
        </w:rPr>
        <w:tab/>
        <w:t xml:space="preserve">RESA St. 2-R at </w:t>
      </w:r>
      <w:r w:rsidRPr="005751B0">
        <w:rPr>
          <w:sz w:val="26"/>
          <w:szCs w:val="26"/>
        </w:rPr>
        <w:t>21.</w:t>
      </w:r>
    </w:p>
  </w:footnote>
  <w:footnote w:id="134">
    <w:p w:rsidR="005915E1" w:rsidRDefault="005915E1" w:rsidP="002548AE">
      <w:pPr>
        <w:pStyle w:val="FootnoteText"/>
        <w:ind w:firstLine="1440"/>
      </w:pPr>
      <w:r w:rsidRPr="005751B0">
        <w:rPr>
          <w:rStyle w:val="FootnoteReference"/>
          <w:sz w:val="26"/>
          <w:szCs w:val="26"/>
        </w:rPr>
        <w:footnoteRef/>
      </w:r>
      <w:r>
        <w:rPr>
          <w:sz w:val="26"/>
          <w:szCs w:val="26"/>
        </w:rPr>
        <w:t xml:space="preserve"> </w:t>
      </w:r>
      <w:r>
        <w:rPr>
          <w:sz w:val="26"/>
          <w:szCs w:val="26"/>
        </w:rPr>
        <w:tab/>
        <w:t xml:space="preserve">FES St. 1 at </w:t>
      </w:r>
      <w:r w:rsidRPr="005751B0">
        <w:rPr>
          <w:sz w:val="26"/>
          <w:szCs w:val="26"/>
        </w:rPr>
        <w:t>12.</w:t>
      </w:r>
    </w:p>
  </w:footnote>
  <w:footnote w:id="135">
    <w:p w:rsidR="005915E1" w:rsidRPr="005751B0" w:rsidRDefault="005915E1" w:rsidP="00C25B3F">
      <w:pPr>
        <w:pStyle w:val="FootnoteText"/>
        <w:ind w:firstLine="1440"/>
        <w:rPr>
          <w:sz w:val="26"/>
          <w:szCs w:val="26"/>
        </w:rPr>
      </w:pPr>
      <w:r w:rsidRPr="005751B0">
        <w:rPr>
          <w:rStyle w:val="FootnoteReference"/>
          <w:sz w:val="26"/>
          <w:szCs w:val="26"/>
        </w:rPr>
        <w:footnoteRef/>
      </w:r>
      <w:r w:rsidRPr="005751B0">
        <w:rPr>
          <w:sz w:val="26"/>
          <w:szCs w:val="26"/>
        </w:rPr>
        <w:t xml:space="preserve"> </w:t>
      </w:r>
      <w:r w:rsidRPr="005751B0">
        <w:rPr>
          <w:sz w:val="26"/>
          <w:szCs w:val="26"/>
        </w:rPr>
        <w:tab/>
        <w:t>66 Pa. C.S. §</w:t>
      </w:r>
      <w:r>
        <w:rPr>
          <w:sz w:val="26"/>
          <w:szCs w:val="26"/>
        </w:rPr>
        <w:t xml:space="preserve"> 2807(f)(5).</w:t>
      </w:r>
    </w:p>
  </w:footnote>
  <w:footnote w:id="136">
    <w:p w:rsidR="005915E1" w:rsidRDefault="005915E1" w:rsidP="008A2931">
      <w:pPr>
        <w:pStyle w:val="FootnoteText"/>
        <w:ind w:firstLine="1440"/>
      </w:pPr>
      <w:r>
        <w:rPr>
          <w:rStyle w:val="FootnoteReference"/>
        </w:rPr>
        <w:footnoteRef/>
      </w:r>
      <w:r>
        <w:t xml:space="preserve"> </w:t>
      </w:r>
      <w:r>
        <w:tab/>
      </w:r>
      <w:r w:rsidRPr="00EE5722">
        <w:rPr>
          <w:sz w:val="26"/>
          <w:szCs w:val="26"/>
        </w:rPr>
        <w:t xml:space="preserve">In its testimony, Constellation provided a list of </w:t>
      </w:r>
      <w:r>
        <w:rPr>
          <w:sz w:val="26"/>
          <w:szCs w:val="26"/>
        </w:rPr>
        <w:t xml:space="preserve">its proposed revisions to Duquesne’s </w:t>
      </w:r>
      <w:r w:rsidRPr="00EE5722">
        <w:rPr>
          <w:sz w:val="26"/>
          <w:szCs w:val="26"/>
        </w:rPr>
        <w:t>default servi</w:t>
      </w:r>
      <w:r>
        <w:rPr>
          <w:sz w:val="26"/>
          <w:szCs w:val="26"/>
        </w:rPr>
        <w:t xml:space="preserve">ce plan.  Constellation St. </w:t>
      </w:r>
      <w:r w:rsidRPr="00EE5722">
        <w:rPr>
          <w:sz w:val="26"/>
          <w:szCs w:val="26"/>
        </w:rPr>
        <w:t xml:space="preserve">1, Attachment 1.  </w:t>
      </w:r>
      <w:r>
        <w:rPr>
          <w:sz w:val="26"/>
          <w:szCs w:val="26"/>
        </w:rPr>
        <w:t>Many of these proposals included revisions to Duquesne</w:t>
      </w:r>
      <w:r w:rsidRPr="00EE5722">
        <w:rPr>
          <w:sz w:val="26"/>
          <w:szCs w:val="26"/>
        </w:rPr>
        <w:t>’s proposed SMA</w:t>
      </w:r>
      <w:r>
        <w:rPr>
          <w:sz w:val="26"/>
          <w:szCs w:val="26"/>
        </w:rPr>
        <w:t xml:space="preserve">, which are </w:t>
      </w:r>
      <w:r w:rsidRPr="00EE5722">
        <w:rPr>
          <w:sz w:val="26"/>
          <w:szCs w:val="26"/>
        </w:rPr>
        <w:t>addressed elsewhere</w:t>
      </w:r>
      <w:r>
        <w:rPr>
          <w:sz w:val="26"/>
          <w:szCs w:val="26"/>
        </w:rPr>
        <w:t xml:space="preserve"> in this Opinion and Order</w:t>
      </w:r>
      <w:r w:rsidRPr="00EE5722">
        <w:rPr>
          <w:sz w:val="26"/>
          <w:szCs w:val="26"/>
        </w:rPr>
        <w:t>.</w:t>
      </w:r>
    </w:p>
  </w:footnote>
  <w:footnote w:id="137">
    <w:p w:rsidR="005915E1" w:rsidRPr="00F30B79" w:rsidRDefault="005915E1" w:rsidP="00882608">
      <w:pPr>
        <w:pStyle w:val="FootnoteText"/>
        <w:spacing w:after="120"/>
        <w:ind w:firstLine="1440"/>
        <w:jc w:val="both"/>
        <w:rPr>
          <w:sz w:val="26"/>
          <w:szCs w:val="26"/>
        </w:rPr>
      </w:pPr>
      <w:r w:rsidRPr="00F30B79">
        <w:rPr>
          <w:rStyle w:val="FootnoteReference"/>
          <w:sz w:val="26"/>
          <w:szCs w:val="26"/>
        </w:rPr>
        <w:footnoteRef/>
      </w:r>
      <w:r>
        <w:rPr>
          <w:sz w:val="26"/>
          <w:szCs w:val="26"/>
        </w:rPr>
        <w:t xml:space="preserve"> </w:t>
      </w:r>
      <w:r>
        <w:rPr>
          <w:sz w:val="26"/>
          <w:szCs w:val="26"/>
        </w:rPr>
        <w:tab/>
        <w:t>Constellation St. 1 at 33</w:t>
      </w:r>
      <w:r w:rsidRPr="00F30B79">
        <w:rPr>
          <w:sz w:val="26"/>
          <w:szCs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52C5FD0"/>
    <w:lvl w:ilvl="0">
      <w:start w:val="1"/>
      <w:numFmt w:val="decimal"/>
      <w:pStyle w:val="ListNumber"/>
      <w:lvlText w:val="%1."/>
      <w:lvlJc w:val="left"/>
      <w:pPr>
        <w:tabs>
          <w:tab w:val="num" w:pos="504"/>
        </w:tabs>
        <w:ind w:left="504" w:hanging="504"/>
      </w:pPr>
      <w:rPr>
        <w:rFonts w:hint="default"/>
      </w:rPr>
    </w:lvl>
  </w:abstractNum>
  <w:abstractNum w:abstractNumId="1">
    <w:nsid w:val="FFFFFF89"/>
    <w:multiLevelType w:val="singleLevel"/>
    <w:tmpl w:val="01768896"/>
    <w:lvl w:ilvl="0">
      <w:start w:val="1"/>
      <w:numFmt w:val="bullet"/>
      <w:lvlText w:val=""/>
      <w:lvlJc w:val="left"/>
      <w:pPr>
        <w:tabs>
          <w:tab w:val="num" w:pos="360"/>
        </w:tabs>
        <w:ind w:left="360" w:hanging="360"/>
      </w:pPr>
      <w:rPr>
        <w:rFonts w:ascii="Symbol" w:hAnsi="Symbol" w:hint="default"/>
        <w:sz w:val="20"/>
      </w:rPr>
    </w:lvl>
  </w:abstractNum>
  <w:abstractNum w:abstractNumId="2">
    <w:nsid w:val="0A645D41"/>
    <w:multiLevelType w:val="hybridMultilevel"/>
    <w:tmpl w:val="C29C6CC4"/>
    <w:lvl w:ilvl="0" w:tplc="1B26F00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0CD0458B"/>
    <w:multiLevelType w:val="multilevel"/>
    <w:tmpl w:val="BC828214"/>
    <w:lvl w:ilvl="0">
      <w:start w:val="1"/>
      <w:numFmt w:val="none"/>
      <w:lvlText w:val="Q."/>
      <w:lvlJc w:val="left"/>
      <w:pPr>
        <w:tabs>
          <w:tab w:val="num" w:pos="1440"/>
        </w:tabs>
        <w:ind w:left="1440" w:hanging="1440"/>
      </w:pPr>
      <w:rPr>
        <w:rFonts w:ascii="Times New Roman" w:hAnsi="Times New Roman" w:cs="Times New Roman" w:hint="default"/>
        <w:caps/>
        <w:strike w:val="0"/>
        <w:dstrike w:val="0"/>
        <w:vanish w:val="0"/>
        <w:webHidden w:val="0"/>
        <w:color w:val="000000"/>
        <w:sz w:val="24"/>
        <w:u w:val="none"/>
        <w:effect w:val="none"/>
        <w:vertAlign w:val="baseline"/>
        <w:specVanish w:val="0"/>
      </w:rPr>
    </w:lvl>
    <w:lvl w:ilvl="1">
      <w:start w:val="1"/>
      <w:numFmt w:val="none"/>
      <w:lvlRestart w:val="0"/>
      <w:pStyle w:val="DirectNext"/>
      <w:lvlText w:val="%2A."/>
      <w:lvlJc w:val="left"/>
      <w:pPr>
        <w:tabs>
          <w:tab w:val="num" w:pos="720"/>
        </w:tabs>
        <w:ind w:left="720" w:hanging="720"/>
      </w:pPr>
    </w:lvl>
    <w:lvl w:ilvl="2">
      <w:start w:val="1"/>
      <w:numFmt w:val="bullet"/>
      <w:lvlText w:val=""/>
      <w:lvlJc w:val="left"/>
      <w:pPr>
        <w:tabs>
          <w:tab w:val="num" w:pos="3528"/>
        </w:tabs>
        <w:ind w:left="3528" w:hanging="576"/>
      </w:pPr>
      <w:rPr>
        <w:rFonts w:ascii="Symbol" w:hAnsi="Symbol" w:hint="default"/>
      </w:rPr>
    </w:lvl>
    <w:lvl w:ilvl="3">
      <w:start w:val="1"/>
      <w:numFmt w:val="none"/>
      <w:lvlText w:val="(%4)"/>
      <w:lvlJc w:val="left"/>
      <w:pPr>
        <w:tabs>
          <w:tab w:val="num" w:pos="1800"/>
        </w:tabs>
        <w:ind w:left="1440" w:firstLine="0"/>
      </w:pPr>
    </w:lvl>
    <w:lvl w:ilvl="4">
      <w:start w:val="1"/>
      <w:numFmt w:val="none"/>
      <w:lvlText w:val="(%5)"/>
      <w:lvlJc w:val="left"/>
      <w:pPr>
        <w:tabs>
          <w:tab w:val="num" w:pos="2880"/>
        </w:tabs>
        <w:ind w:left="2880" w:hanging="936"/>
      </w:pPr>
    </w:lvl>
    <w:lvl w:ilvl="5">
      <w:start w:val="1"/>
      <w:numFmt w:val="none"/>
      <w:lvlText w:val="%1.%2.%3.%4.%5.%6."/>
      <w:lvlJc w:val="left"/>
      <w:pPr>
        <w:tabs>
          <w:tab w:val="num" w:pos="2880"/>
        </w:tabs>
        <w:ind w:left="2736" w:hanging="936"/>
      </w:pPr>
    </w:lvl>
    <w:lvl w:ilvl="6">
      <w:start w:val="1"/>
      <w:numFmt w:val="none"/>
      <w:lvlText w:val="%1.%2.%3.%4.%5.%6.%7."/>
      <w:lvlJc w:val="left"/>
      <w:pPr>
        <w:tabs>
          <w:tab w:val="num" w:pos="3600"/>
        </w:tabs>
        <w:ind w:left="3240" w:hanging="1080"/>
      </w:pPr>
    </w:lvl>
    <w:lvl w:ilvl="7">
      <w:start w:val="1"/>
      <w:numFmt w:val="none"/>
      <w:lvlText w:val="%1.%2.%3.%4.%5.%6.%7.%8."/>
      <w:lvlJc w:val="left"/>
      <w:pPr>
        <w:tabs>
          <w:tab w:val="num" w:pos="3960"/>
        </w:tabs>
        <w:ind w:left="3744" w:hanging="1224"/>
      </w:pPr>
    </w:lvl>
    <w:lvl w:ilvl="8">
      <w:numFmt w:val="none"/>
      <w:lvlRestart w:val="2"/>
      <w:lvlText w:val="%1.%2.%3.%4.%5.%6.%7.%8.%9."/>
      <w:lvlJc w:val="left"/>
      <w:pPr>
        <w:tabs>
          <w:tab w:val="num" w:pos="4680"/>
        </w:tabs>
        <w:ind w:left="4320" w:hanging="1440"/>
      </w:pPr>
    </w:lvl>
  </w:abstractNum>
  <w:abstractNum w:abstractNumId="4">
    <w:nsid w:val="157F51D7"/>
    <w:multiLevelType w:val="hybridMultilevel"/>
    <w:tmpl w:val="06D68E74"/>
    <w:lvl w:ilvl="0" w:tplc="050AAA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8B261AF"/>
    <w:multiLevelType w:val="hybridMultilevel"/>
    <w:tmpl w:val="7504B402"/>
    <w:lvl w:ilvl="0" w:tplc="673A95AC">
      <w:start w:val="4"/>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nsid w:val="2E536341"/>
    <w:multiLevelType w:val="multilevel"/>
    <w:tmpl w:val="3BE8B4DC"/>
    <w:name w:val="zzmpBrief||Brief|3|1|1|1|2|41||1|0|33||1|0|32||1|0|33||1|0|32||1|0|32||1|0|32||1|0|32||1|0|32||"/>
    <w:lvl w:ilvl="0">
      <w:start w:val="1"/>
      <w:numFmt w:val="upperRoman"/>
      <w:pStyle w:val="BriefL1"/>
      <w:lvlText w:val="%1."/>
      <w:lvlJc w:val="left"/>
      <w:pPr>
        <w:tabs>
          <w:tab w:val="num" w:pos="720"/>
        </w:tabs>
        <w:ind w:left="0" w:firstLine="0"/>
      </w:pPr>
      <w:rPr>
        <w:b/>
        <w:i w:val="0"/>
        <w:caps/>
        <w:smallCaps w:val="0"/>
        <w:u w:val="none"/>
      </w:rPr>
    </w:lvl>
    <w:lvl w:ilvl="1">
      <w:start w:val="1"/>
      <w:numFmt w:val="upperLetter"/>
      <w:pStyle w:val="BriefL2"/>
      <w:lvlText w:val="%2."/>
      <w:lvlJc w:val="left"/>
      <w:pPr>
        <w:tabs>
          <w:tab w:val="num" w:pos="1530"/>
        </w:tabs>
        <w:ind w:left="1530" w:hanging="720"/>
      </w:pPr>
      <w:rPr>
        <w:b/>
        <w:i w:val="0"/>
        <w:caps w:val="0"/>
        <w:u w:val="none"/>
      </w:rPr>
    </w:lvl>
    <w:lvl w:ilvl="2">
      <w:start w:val="1"/>
      <w:numFmt w:val="decimal"/>
      <w:pStyle w:val="BriefL3"/>
      <w:lvlText w:val="%3."/>
      <w:lvlJc w:val="left"/>
      <w:pPr>
        <w:tabs>
          <w:tab w:val="num" w:pos="2160"/>
        </w:tabs>
        <w:ind w:left="2160" w:hanging="720"/>
      </w:pPr>
      <w:rPr>
        <w:b/>
        <w:i w:val="0"/>
        <w:caps w:val="0"/>
        <w:u w:val="none"/>
      </w:rPr>
    </w:lvl>
    <w:lvl w:ilvl="3">
      <w:start w:val="1"/>
      <w:numFmt w:val="lowerLetter"/>
      <w:pStyle w:val="BriefL4"/>
      <w:lvlText w:val="%4."/>
      <w:lvlJc w:val="left"/>
      <w:pPr>
        <w:tabs>
          <w:tab w:val="num" w:pos="2880"/>
        </w:tabs>
        <w:ind w:left="2880" w:hanging="720"/>
      </w:pPr>
      <w:rPr>
        <w:b/>
        <w:i w:val="0"/>
        <w:caps w:val="0"/>
        <w:u w:val="none"/>
      </w:rPr>
    </w:lvl>
    <w:lvl w:ilvl="4">
      <w:start w:val="1"/>
      <w:numFmt w:val="decimal"/>
      <w:pStyle w:val="BriefL5"/>
      <w:lvlText w:val="(%5)"/>
      <w:lvlJc w:val="left"/>
      <w:pPr>
        <w:tabs>
          <w:tab w:val="num" w:pos="3600"/>
        </w:tabs>
        <w:ind w:left="3600" w:hanging="720"/>
      </w:pPr>
      <w:rPr>
        <w:b w:val="0"/>
        <w:i w:val="0"/>
        <w:caps w:val="0"/>
        <w:u w:val="none"/>
      </w:rPr>
    </w:lvl>
    <w:lvl w:ilvl="5">
      <w:start w:val="1"/>
      <w:numFmt w:val="lowerLetter"/>
      <w:pStyle w:val="BriefL6"/>
      <w:lvlText w:val="(%6)"/>
      <w:lvlJc w:val="left"/>
      <w:pPr>
        <w:tabs>
          <w:tab w:val="num" w:pos="4320"/>
        </w:tabs>
        <w:ind w:left="4320" w:hanging="720"/>
      </w:pPr>
      <w:rPr>
        <w:b w:val="0"/>
        <w:i w:val="0"/>
        <w:caps w:val="0"/>
        <w:u w:val="none"/>
      </w:rPr>
    </w:lvl>
    <w:lvl w:ilvl="6">
      <w:start w:val="1"/>
      <w:numFmt w:val="lowerRoman"/>
      <w:pStyle w:val="BriefL7"/>
      <w:lvlText w:val="(%7)"/>
      <w:lvlJc w:val="left"/>
      <w:pPr>
        <w:tabs>
          <w:tab w:val="num" w:pos="5040"/>
        </w:tabs>
        <w:ind w:left="5040" w:hanging="720"/>
      </w:pPr>
      <w:rPr>
        <w:b w:val="0"/>
        <w:i w:val="0"/>
        <w:caps w:val="0"/>
        <w:u w:val="none"/>
      </w:rPr>
    </w:lvl>
    <w:lvl w:ilvl="7">
      <w:start w:val="1"/>
      <w:numFmt w:val="lowerLetter"/>
      <w:pStyle w:val="BriefL8"/>
      <w:lvlText w:val="%8)"/>
      <w:lvlJc w:val="left"/>
      <w:pPr>
        <w:tabs>
          <w:tab w:val="num" w:pos="5760"/>
        </w:tabs>
        <w:ind w:left="5760" w:hanging="720"/>
      </w:pPr>
      <w:rPr>
        <w:b w:val="0"/>
        <w:i w:val="0"/>
        <w:caps w:val="0"/>
        <w:u w:val="none"/>
      </w:rPr>
    </w:lvl>
    <w:lvl w:ilvl="8">
      <w:start w:val="1"/>
      <w:numFmt w:val="lowerRoman"/>
      <w:pStyle w:val="BriefL9"/>
      <w:lvlText w:val="%9)"/>
      <w:lvlJc w:val="left"/>
      <w:pPr>
        <w:tabs>
          <w:tab w:val="num" w:pos="6480"/>
        </w:tabs>
        <w:ind w:left="6480" w:hanging="720"/>
      </w:pPr>
      <w:rPr>
        <w:b w:val="0"/>
        <w:i w:val="0"/>
        <w:caps w:val="0"/>
        <w:u w:val="none"/>
      </w:rPr>
    </w:lvl>
  </w:abstractNum>
  <w:abstractNum w:abstractNumId="7">
    <w:nsid w:val="36853E77"/>
    <w:multiLevelType w:val="hybridMultilevel"/>
    <w:tmpl w:val="0D908D16"/>
    <w:lvl w:ilvl="0" w:tplc="F6608696">
      <w:start w:val="1"/>
      <w:numFmt w:val="lowerRoman"/>
      <w:pStyle w:val="Heading5"/>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39AF2BB6"/>
    <w:multiLevelType w:val="hybridMultilevel"/>
    <w:tmpl w:val="26226034"/>
    <w:lvl w:ilvl="0" w:tplc="0630B7A6">
      <w:start w:val="1"/>
      <w:numFmt w:val="lowerLetter"/>
      <w:pStyle w:val="Heading4"/>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3ECE2FFF"/>
    <w:multiLevelType w:val="hybridMultilevel"/>
    <w:tmpl w:val="103889F6"/>
    <w:lvl w:ilvl="0" w:tplc="04090001">
      <w:start w:val="1"/>
      <w:numFmt w:val="bullet"/>
      <w:lvlText w:val=""/>
      <w:lvlJc w:val="left"/>
      <w:pPr>
        <w:ind w:left="1440" w:hanging="360"/>
      </w:pPr>
      <w:rPr>
        <w:rFonts w:ascii="Symbol" w:hAnsi="Symbol" w:hint="default"/>
      </w:rPr>
    </w:lvl>
    <w:lvl w:ilvl="1" w:tplc="C1380474">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434B591C"/>
    <w:multiLevelType w:val="hybridMultilevel"/>
    <w:tmpl w:val="F86E3866"/>
    <w:lvl w:ilvl="0" w:tplc="39107B2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E46086B"/>
    <w:multiLevelType w:val="hybridMultilevel"/>
    <w:tmpl w:val="90381E98"/>
    <w:lvl w:ilvl="0" w:tplc="1B7CB6D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00102DA"/>
    <w:multiLevelType w:val="hybridMultilevel"/>
    <w:tmpl w:val="A96649FA"/>
    <w:lvl w:ilvl="0" w:tplc="7DB28C60">
      <w:start w:val="12"/>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nsid w:val="5165684A"/>
    <w:multiLevelType w:val="hybridMultilevel"/>
    <w:tmpl w:val="2082721A"/>
    <w:lvl w:ilvl="0" w:tplc="A53200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2FA0B54"/>
    <w:multiLevelType w:val="multilevel"/>
    <w:tmpl w:val="E5F48172"/>
    <w:lvl w:ilvl="0">
      <w:start w:val="1"/>
      <w:numFmt w:val="upperRoman"/>
      <w:lvlText w:val="%1."/>
      <w:lvlJc w:val="left"/>
      <w:pPr>
        <w:tabs>
          <w:tab w:val="num" w:pos="720"/>
        </w:tabs>
        <w:ind w:left="720" w:hanging="720"/>
      </w:pPr>
      <w:rPr>
        <w:rFonts w:cs="Times New Roman"/>
        <w:caps w:val="0"/>
        <w:strike w:val="0"/>
        <w:dstrike w:val="0"/>
        <w:vanish w:val="0"/>
        <w:webHidden w:val="0"/>
        <w:color w:val="010000"/>
        <w:u w:val="none"/>
        <w:effect w:val="none"/>
        <w:specVanish w:val="0"/>
      </w:rPr>
    </w:lvl>
    <w:lvl w:ilvl="1">
      <w:start w:val="1"/>
      <w:numFmt w:val="upperLetter"/>
      <w:pStyle w:val="Heading2"/>
      <w:lvlText w:val="%2."/>
      <w:lvlJc w:val="left"/>
      <w:pPr>
        <w:tabs>
          <w:tab w:val="num" w:pos="1440"/>
        </w:tabs>
        <w:ind w:left="1440" w:hanging="720"/>
      </w:pPr>
      <w:rPr>
        <w:rFonts w:cs="Times New Roman"/>
        <w:caps w:val="0"/>
        <w:strike w:val="0"/>
        <w:dstrike w:val="0"/>
        <w:vanish w:val="0"/>
        <w:webHidden w:val="0"/>
        <w:color w:val="010000"/>
        <w:u w:val="none"/>
        <w:effect w:val="none"/>
        <w:specVanish w:val="0"/>
      </w:rPr>
    </w:lvl>
    <w:lvl w:ilvl="2">
      <w:start w:val="1"/>
      <w:numFmt w:val="decimal"/>
      <w:lvlText w:val="%3."/>
      <w:lvlJc w:val="left"/>
      <w:pPr>
        <w:tabs>
          <w:tab w:val="num" w:pos="2160"/>
        </w:tabs>
        <w:ind w:left="2160" w:hanging="720"/>
      </w:pPr>
      <w:rPr>
        <w:rFonts w:cs="Times New Roman"/>
        <w:caps w:val="0"/>
        <w:strike w:val="0"/>
        <w:dstrike w:val="0"/>
        <w:vanish w:val="0"/>
        <w:webHidden w:val="0"/>
        <w:color w:val="010000"/>
        <w:u w:val="none"/>
        <w:effect w:val="none"/>
        <w:specVanish w:val="0"/>
      </w:rPr>
    </w:lvl>
    <w:lvl w:ilvl="3">
      <w:start w:val="1"/>
      <w:numFmt w:val="lowerLetter"/>
      <w:lvlText w:val="%4."/>
      <w:lvlJc w:val="left"/>
      <w:pPr>
        <w:tabs>
          <w:tab w:val="num" w:pos="2880"/>
        </w:tabs>
        <w:ind w:left="2880" w:hanging="720"/>
      </w:pPr>
      <w:rPr>
        <w:rFonts w:cs="Times New Roman"/>
        <w:caps w:val="0"/>
        <w:strike w:val="0"/>
        <w:dstrike w:val="0"/>
        <w:vanish w:val="0"/>
        <w:webHidden w:val="0"/>
        <w:color w:val="010000"/>
        <w:u w:val="none"/>
        <w:effect w:val="none"/>
        <w:specVanish w:val="0"/>
      </w:rPr>
    </w:lvl>
    <w:lvl w:ilvl="4">
      <w:start w:val="1"/>
      <w:numFmt w:val="lowerRoman"/>
      <w:lvlText w:val="%5."/>
      <w:lvlJc w:val="left"/>
      <w:pPr>
        <w:tabs>
          <w:tab w:val="num" w:pos="3600"/>
        </w:tabs>
        <w:ind w:left="3600" w:hanging="720"/>
      </w:pPr>
      <w:rPr>
        <w:rFonts w:cs="Times New Roman"/>
        <w:caps w:val="0"/>
        <w:strike w:val="0"/>
        <w:dstrike w:val="0"/>
        <w:vanish w:val="0"/>
        <w:webHidden w:val="0"/>
        <w:color w:val="010000"/>
        <w:u w:val="none"/>
        <w:effect w:val="none"/>
        <w:specVanish w:val="0"/>
      </w:rPr>
    </w:lvl>
    <w:lvl w:ilvl="5">
      <w:start w:val="1"/>
      <w:numFmt w:val="upperLetter"/>
      <w:pStyle w:val="Heading6"/>
      <w:lvlText w:val="(%6)"/>
      <w:lvlJc w:val="left"/>
      <w:pPr>
        <w:tabs>
          <w:tab w:val="num" w:pos="4320"/>
        </w:tabs>
        <w:ind w:left="4320" w:hanging="720"/>
      </w:pPr>
      <w:rPr>
        <w:rFonts w:cs="Times New Roman"/>
        <w:caps w:val="0"/>
        <w:strike w:val="0"/>
        <w:dstrike w:val="0"/>
        <w:vanish w:val="0"/>
        <w:webHidden w:val="0"/>
        <w:color w:val="010000"/>
        <w:u w:val="none"/>
        <w:effect w:val="none"/>
        <w:specVanish w:val="0"/>
      </w:rPr>
    </w:lvl>
    <w:lvl w:ilvl="6">
      <w:start w:val="1"/>
      <w:numFmt w:val="decimal"/>
      <w:pStyle w:val="Heading7"/>
      <w:lvlText w:val="(%7)"/>
      <w:lvlJc w:val="left"/>
      <w:pPr>
        <w:tabs>
          <w:tab w:val="num" w:pos="5040"/>
        </w:tabs>
        <w:ind w:left="5040" w:hanging="720"/>
      </w:pPr>
      <w:rPr>
        <w:rFonts w:cs="Times New Roman"/>
        <w:caps w:val="0"/>
        <w:strike w:val="0"/>
        <w:dstrike w:val="0"/>
        <w:vanish w:val="0"/>
        <w:webHidden w:val="0"/>
        <w:color w:val="010000"/>
        <w:u w:val="none"/>
        <w:effect w:val="none"/>
        <w:specVanish w:val="0"/>
      </w:rPr>
    </w:lvl>
    <w:lvl w:ilvl="7">
      <w:start w:val="1"/>
      <w:numFmt w:val="lowerLetter"/>
      <w:pStyle w:val="Heading8"/>
      <w:lvlText w:val="(%8)"/>
      <w:lvlJc w:val="left"/>
      <w:pPr>
        <w:tabs>
          <w:tab w:val="num" w:pos="5760"/>
        </w:tabs>
        <w:ind w:left="5760" w:hanging="720"/>
      </w:pPr>
      <w:rPr>
        <w:rFonts w:cs="Times New Roman"/>
        <w:caps w:val="0"/>
        <w:strike w:val="0"/>
        <w:dstrike w:val="0"/>
        <w:vanish w:val="0"/>
        <w:webHidden w:val="0"/>
        <w:color w:val="010000"/>
        <w:u w:val="none"/>
        <w:effect w:val="none"/>
        <w:specVanish w:val="0"/>
      </w:rPr>
    </w:lvl>
    <w:lvl w:ilvl="8">
      <w:start w:val="1"/>
      <w:numFmt w:val="lowerRoman"/>
      <w:pStyle w:val="Heading9"/>
      <w:lvlText w:val="(%9)"/>
      <w:lvlJc w:val="left"/>
      <w:pPr>
        <w:tabs>
          <w:tab w:val="num" w:pos="6480"/>
        </w:tabs>
        <w:ind w:left="6480" w:hanging="720"/>
      </w:pPr>
      <w:rPr>
        <w:rFonts w:cs="Times New Roman"/>
        <w:caps w:val="0"/>
        <w:strike w:val="0"/>
        <w:dstrike w:val="0"/>
        <w:vanish w:val="0"/>
        <w:webHidden w:val="0"/>
        <w:color w:val="010000"/>
        <w:u w:val="none"/>
        <w:effect w:val="none"/>
        <w:specVanish w:val="0"/>
      </w:rPr>
    </w:lvl>
  </w:abstractNum>
  <w:abstractNum w:abstractNumId="15">
    <w:nsid w:val="54404FD7"/>
    <w:multiLevelType w:val="hybridMultilevel"/>
    <w:tmpl w:val="697E8678"/>
    <w:lvl w:ilvl="0" w:tplc="01046E34">
      <w:start w:val="1"/>
      <w:numFmt w:val="bullet"/>
      <w:lvlText w:val=""/>
      <w:lvlJc w:val="left"/>
      <w:pPr>
        <w:ind w:left="1440" w:hanging="360"/>
      </w:pPr>
      <w:rPr>
        <w:rFonts w:ascii="Symbol" w:hAnsi="Symbol" w:hint="default"/>
      </w:rPr>
    </w:lvl>
    <w:lvl w:ilvl="1" w:tplc="28E8C8AA">
      <w:start w:val="1"/>
      <w:numFmt w:val="bullet"/>
      <w:lvlText w:val="o"/>
      <w:lvlJc w:val="left"/>
      <w:pPr>
        <w:ind w:left="2160" w:hanging="360"/>
      </w:pPr>
      <w:rPr>
        <w:rFonts w:ascii="Courier New" w:hAnsi="Courier New" w:cs="Courier New" w:hint="default"/>
      </w:rPr>
    </w:lvl>
    <w:lvl w:ilvl="2" w:tplc="A844D84C">
      <w:start w:val="1"/>
      <w:numFmt w:val="bullet"/>
      <w:lvlText w:val=""/>
      <w:lvlJc w:val="left"/>
      <w:pPr>
        <w:ind w:left="2880" w:hanging="360"/>
      </w:pPr>
      <w:rPr>
        <w:rFonts w:ascii="Wingdings" w:hAnsi="Wingdings" w:hint="default"/>
      </w:rPr>
    </w:lvl>
    <w:lvl w:ilvl="3" w:tplc="61F208F6">
      <w:start w:val="1"/>
      <w:numFmt w:val="bullet"/>
      <w:lvlText w:val=""/>
      <w:lvlJc w:val="left"/>
      <w:pPr>
        <w:ind w:left="3600" w:hanging="360"/>
      </w:pPr>
      <w:rPr>
        <w:rFonts w:ascii="Symbol" w:hAnsi="Symbol" w:hint="default"/>
      </w:rPr>
    </w:lvl>
    <w:lvl w:ilvl="4" w:tplc="1252142A">
      <w:start w:val="1"/>
      <w:numFmt w:val="bullet"/>
      <w:lvlText w:val="o"/>
      <w:lvlJc w:val="left"/>
      <w:pPr>
        <w:ind w:left="4320" w:hanging="360"/>
      </w:pPr>
      <w:rPr>
        <w:rFonts w:ascii="Courier New" w:hAnsi="Courier New" w:cs="Courier New" w:hint="default"/>
      </w:rPr>
    </w:lvl>
    <w:lvl w:ilvl="5" w:tplc="E970330A">
      <w:start w:val="1"/>
      <w:numFmt w:val="bullet"/>
      <w:lvlText w:val=""/>
      <w:lvlJc w:val="left"/>
      <w:pPr>
        <w:ind w:left="5040" w:hanging="360"/>
      </w:pPr>
      <w:rPr>
        <w:rFonts w:ascii="Wingdings" w:hAnsi="Wingdings" w:hint="default"/>
      </w:rPr>
    </w:lvl>
    <w:lvl w:ilvl="6" w:tplc="92928754">
      <w:start w:val="1"/>
      <w:numFmt w:val="bullet"/>
      <w:lvlText w:val=""/>
      <w:lvlJc w:val="left"/>
      <w:pPr>
        <w:ind w:left="5760" w:hanging="360"/>
      </w:pPr>
      <w:rPr>
        <w:rFonts w:ascii="Symbol" w:hAnsi="Symbol" w:hint="default"/>
      </w:rPr>
    </w:lvl>
    <w:lvl w:ilvl="7" w:tplc="1542FAEE">
      <w:start w:val="1"/>
      <w:numFmt w:val="bullet"/>
      <w:lvlText w:val="o"/>
      <w:lvlJc w:val="left"/>
      <w:pPr>
        <w:ind w:left="6480" w:hanging="360"/>
      </w:pPr>
      <w:rPr>
        <w:rFonts w:ascii="Courier New" w:hAnsi="Courier New" w:cs="Courier New" w:hint="default"/>
      </w:rPr>
    </w:lvl>
    <w:lvl w:ilvl="8" w:tplc="3E72E718">
      <w:start w:val="1"/>
      <w:numFmt w:val="bullet"/>
      <w:lvlText w:val=""/>
      <w:lvlJc w:val="left"/>
      <w:pPr>
        <w:ind w:left="7200" w:hanging="360"/>
      </w:pPr>
      <w:rPr>
        <w:rFonts w:ascii="Wingdings" w:hAnsi="Wingdings" w:hint="default"/>
      </w:rPr>
    </w:lvl>
  </w:abstractNum>
  <w:abstractNum w:abstractNumId="16">
    <w:nsid w:val="59252735"/>
    <w:multiLevelType w:val="hybridMultilevel"/>
    <w:tmpl w:val="ACFE1204"/>
    <w:lvl w:ilvl="0" w:tplc="D9C626B8">
      <w:start w:val="1"/>
      <w:numFmt w:val="low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nsid w:val="5D63738F"/>
    <w:multiLevelType w:val="hybridMultilevel"/>
    <w:tmpl w:val="9A6210AC"/>
    <w:lvl w:ilvl="0" w:tplc="6CAEAC6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14021B3"/>
    <w:multiLevelType w:val="hybridMultilevel"/>
    <w:tmpl w:val="0916E73A"/>
    <w:lvl w:ilvl="0" w:tplc="2D5EC158">
      <w:start w:val="4"/>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9">
    <w:nsid w:val="67754FCF"/>
    <w:multiLevelType w:val="hybridMultilevel"/>
    <w:tmpl w:val="0D4CA326"/>
    <w:lvl w:ilvl="0" w:tplc="A94A24B6">
      <w:start w:val="1"/>
      <w:numFmt w:val="bullet"/>
      <w:pStyle w:val="NBBullet1"/>
      <w:lvlText w:val=""/>
      <w:lvlJc w:val="left"/>
      <w:pPr>
        <w:tabs>
          <w:tab w:val="num" w:pos="378"/>
        </w:tabs>
        <w:ind w:left="378" w:hanging="378"/>
      </w:pPr>
      <w:rPr>
        <w:rFonts w:ascii="Symbol" w:hAnsi="Symbol" w:hint="default"/>
        <w:sz w:val="24"/>
      </w:rPr>
    </w:lvl>
    <w:lvl w:ilvl="1" w:tplc="DCCC32B4">
      <w:start w:val="1"/>
      <w:numFmt w:val="bullet"/>
      <w:lvlText w:val="o"/>
      <w:lvlJc w:val="left"/>
      <w:pPr>
        <w:tabs>
          <w:tab w:val="num" w:pos="-792"/>
        </w:tabs>
        <w:ind w:left="-792" w:hanging="360"/>
      </w:pPr>
      <w:rPr>
        <w:rFonts w:ascii="Courier New" w:hAnsi="Courier New" w:cs="Times New Roman" w:hint="default"/>
      </w:rPr>
    </w:lvl>
    <w:lvl w:ilvl="2" w:tplc="B47EB38E">
      <w:start w:val="1"/>
      <w:numFmt w:val="bullet"/>
      <w:lvlText w:val=""/>
      <w:lvlJc w:val="left"/>
      <w:pPr>
        <w:tabs>
          <w:tab w:val="num" w:pos="-72"/>
        </w:tabs>
        <w:ind w:left="-72" w:hanging="360"/>
      </w:pPr>
      <w:rPr>
        <w:rFonts w:ascii="Wingdings" w:hAnsi="Wingdings" w:hint="default"/>
      </w:rPr>
    </w:lvl>
    <w:lvl w:ilvl="3" w:tplc="E208E08C">
      <w:start w:val="1"/>
      <w:numFmt w:val="bullet"/>
      <w:lvlText w:val=""/>
      <w:lvlJc w:val="left"/>
      <w:pPr>
        <w:tabs>
          <w:tab w:val="num" w:pos="648"/>
        </w:tabs>
        <w:ind w:left="648" w:hanging="360"/>
      </w:pPr>
      <w:rPr>
        <w:rFonts w:ascii="Symbol" w:hAnsi="Symbol" w:hint="default"/>
      </w:rPr>
    </w:lvl>
    <w:lvl w:ilvl="4" w:tplc="F5F44454">
      <w:start w:val="1"/>
      <w:numFmt w:val="bullet"/>
      <w:lvlText w:val="o"/>
      <w:lvlJc w:val="left"/>
      <w:pPr>
        <w:tabs>
          <w:tab w:val="num" w:pos="1368"/>
        </w:tabs>
        <w:ind w:left="1368" w:hanging="360"/>
      </w:pPr>
      <w:rPr>
        <w:rFonts w:ascii="Courier New" w:hAnsi="Courier New" w:cs="Times New Roman" w:hint="default"/>
      </w:rPr>
    </w:lvl>
    <w:lvl w:ilvl="5" w:tplc="B01A72EC">
      <w:start w:val="1"/>
      <w:numFmt w:val="bullet"/>
      <w:lvlText w:val=""/>
      <w:lvlJc w:val="left"/>
      <w:pPr>
        <w:tabs>
          <w:tab w:val="num" w:pos="2088"/>
        </w:tabs>
        <w:ind w:left="2088" w:hanging="360"/>
      </w:pPr>
      <w:rPr>
        <w:rFonts w:ascii="Wingdings" w:hAnsi="Wingdings" w:hint="default"/>
      </w:rPr>
    </w:lvl>
    <w:lvl w:ilvl="6" w:tplc="6C22E1A4">
      <w:start w:val="1"/>
      <w:numFmt w:val="bullet"/>
      <w:lvlText w:val=""/>
      <w:lvlJc w:val="left"/>
      <w:pPr>
        <w:tabs>
          <w:tab w:val="num" w:pos="2808"/>
        </w:tabs>
        <w:ind w:left="2808" w:hanging="360"/>
      </w:pPr>
      <w:rPr>
        <w:rFonts w:ascii="Symbol" w:hAnsi="Symbol" w:hint="default"/>
      </w:rPr>
    </w:lvl>
    <w:lvl w:ilvl="7" w:tplc="FD8CB004">
      <w:start w:val="1"/>
      <w:numFmt w:val="bullet"/>
      <w:lvlText w:val="o"/>
      <w:lvlJc w:val="left"/>
      <w:pPr>
        <w:tabs>
          <w:tab w:val="num" w:pos="3528"/>
        </w:tabs>
        <w:ind w:left="3528" w:hanging="360"/>
      </w:pPr>
      <w:rPr>
        <w:rFonts w:ascii="Courier New" w:hAnsi="Courier New" w:cs="Times New Roman" w:hint="default"/>
      </w:rPr>
    </w:lvl>
    <w:lvl w:ilvl="8" w:tplc="303CD4B4">
      <w:start w:val="1"/>
      <w:numFmt w:val="bullet"/>
      <w:lvlText w:val=""/>
      <w:lvlJc w:val="left"/>
      <w:pPr>
        <w:tabs>
          <w:tab w:val="num" w:pos="4248"/>
        </w:tabs>
        <w:ind w:left="4248" w:hanging="360"/>
      </w:pPr>
      <w:rPr>
        <w:rFonts w:ascii="Wingdings" w:hAnsi="Wingdings" w:hint="default"/>
      </w:rPr>
    </w:lvl>
  </w:abstractNum>
  <w:num w:numId="1">
    <w:abstractNumId w:val="6"/>
  </w:num>
  <w:num w:numId="2">
    <w:abstractNumId w:val="0"/>
  </w:num>
  <w:num w:numId="3">
    <w:abstractNumId w:val="0"/>
    <w:lvlOverride w:ilvl="0">
      <w:startOverride w:val="1"/>
    </w:lvlOverride>
  </w:num>
  <w:num w:numId="4">
    <w:abstractNumId w:val="12"/>
  </w:num>
  <w:num w:numId="5">
    <w:abstractNumId w:val="19"/>
  </w:num>
  <w:num w:numId="6">
    <w:abstractNumId w:val="1"/>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
    <w:abstractNumId w:val="8"/>
  </w:num>
  <w:num w:numId="10">
    <w:abstractNumId w:val="9"/>
  </w:num>
  <w:num w:numId="11">
    <w:abstractNumId w:val="15"/>
  </w:num>
  <w:num w:numId="12">
    <w:abstractNumId w:val="11"/>
  </w:num>
  <w:num w:numId="13">
    <w:abstractNumId w:val="4"/>
  </w:num>
  <w:num w:numId="14">
    <w:abstractNumId w:val="13"/>
  </w:num>
  <w:num w:numId="15">
    <w:abstractNumId w:val="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5"/>
  </w:num>
  <w:num w:numId="21">
    <w:abstractNumId w:val="18"/>
  </w:num>
  <w:num w:numId="22">
    <w:abstractNumId w:val="8"/>
    <w:lvlOverride w:ilvl="0">
      <w:startOverride w:val="3"/>
    </w:lvlOverride>
  </w:num>
  <w:num w:numId="23">
    <w:abstractNumId w:val="7"/>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082F"/>
    <w:rsid w:val="00000FA2"/>
    <w:rsid w:val="00001ABA"/>
    <w:rsid w:val="00002AC3"/>
    <w:rsid w:val="00002E79"/>
    <w:rsid w:val="00002E99"/>
    <w:rsid w:val="00002FE1"/>
    <w:rsid w:val="00003119"/>
    <w:rsid w:val="00003135"/>
    <w:rsid w:val="00005247"/>
    <w:rsid w:val="000065C6"/>
    <w:rsid w:val="00007CEC"/>
    <w:rsid w:val="0001101D"/>
    <w:rsid w:val="00011478"/>
    <w:rsid w:val="00014A18"/>
    <w:rsid w:val="0001515F"/>
    <w:rsid w:val="00015290"/>
    <w:rsid w:val="0001542F"/>
    <w:rsid w:val="00015A3B"/>
    <w:rsid w:val="00016224"/>
    <w:rsid w:val="00016C19"/>
    <w:rsid w:val="000203D5"/>
    <w:rsid w:val="00020CEA"/>
    <w:rsid w:val="000211EE"/>
    <w:rsid w:val="000216F4"/>
    <w:rsid w:val="00021754"/>
    <w:rsid w:val="0002197A"/>
    <w:rsid w:val="00022A46"/>
    <w:rsid w:val="00022DE4"/>
    <w:rsid w:val="00025282"/>
    <w:rsid w:val="000253F8"/>
    <w:rsid w:val="00025DAC"/>
    <w:rsid w:val="0002674C"/>
    <w:rsid w:val="00026DA4"/>
    <w:rsid w:val="00027B7B"/>
    <w:rsid w:val="000302FC"/>
    <w:rsid w:val="000317C3"/>
    <w:rsid w:val="00031878"/>
    <w:rsid w:val="00031CED"/>
    <w:rsid w:val="0003286C"/>
    <w:rsid w:val="00033FCB"/>
    <w:rsid w:val="00035173"/>
    <w:rsid w:val="00035E80"/>
    <w:rsid w:val="0003622E"/>
    <w:rsid w:val="000368AB"/>
    <w:rsid w:val="00036BAE"/>
    <w:rsid w:val="00037327"/>
    <w:rsid w:val="0003743C"/>
    <w:rsid w:val="00037E8B"/>
    <w:rsid w:val="00037FA0"/>
    <w:rsid w:val="00040542"/>
    <w:rsid w:val="0004078E"/>
    <w:rsid w:val="00041250"/>
    <w:rsid w:val="00041A55"/>
    <w:rsid w:val="00042772"/>
    <w:rsid w:val="000427EF"/>
    <w:rsid w:val="00042863"/>
    <w:rsid w:val="00043936"/>
    <w:rsid w:val="000447F9"/>
    <w:rsid w:val="00044A87"/>
    <w:rsid w:val="00045AFB"/>
    <w:rsid w:val="00046207"/>
    <w:rsid w:val="0004623F"/>
    <w:rsid w:val="0004692F"/>
    <w:rsid w:val="000474D9"/>
    <w:rsid w:val="00047686"/>
    <w:rsid w:val="000479F3"/>
    <w:rsid w:val="00047E3D"/>
    <w:rsid w:val="00050489"/>
    <w:rsid w:val="00050903"/>
    <w:rsid w:val="00050AF1"/>
    <w:rsid w:val="00050B04"/>
    <w:rsid w:val="00051A53"/>
    <w:rsid w:val="0005258F"/>
    <w:rsid w:val="000528C8"/>
    <w:rsid w:val="00052930"/>
    <w:rsid w:val="000540CB"/>
    <w:rsid w:val="000541B1"/>
    <w:rsid w:val="00054540"/>
    <w:rsid w:val="00054A10"/>
    <w:rsid w:val="00055FCB"/>
    <w:rsid w:val="00056DCD"/>
    <w:rsid w:val="000571E4"/>
    <w:rsid w:val="00057272"/>
    <w:rsid w:val="0005737B"/>
    <w:rsid w:val="00057409"/>
    <w:rsid w:val="00057C65"/>
    <w:rsid w:val="0006023D"/>
    <w:rsid w:val="00060268"/>
    <w:rsid w:val="000603EA"/>
    <w:rsid w:val="00060BB1"/>
    <w:rsid w:val="00060FEE"/>
    <w:rsid w:val="00061FC2"/>
    <w:rsid w:val="00062755"/>
    <w:rsid w:val="00062E2C"/>
    <w:rsid w:val="00063E24"/>
    <w:rsid w:val="00063F87"/>
    <w:rsid w:val="00064462"/>
    <w:rsid w:val="00064634"/>
    <w:rsid w:val="000653E3"/>
    <w:rsid w:val="00067108"/>
    <w:rsid w:val="00067609"/>
    <w:rsid w:val="0007005B"/>
    <w:rsid w:val="0007064D"/>
    <w:rsid w:val="00070A25"/>
    <w:rsid w:val="0007178A"/>
    <w:rsid w:val="00073240"/>
    <w:rsid w:val="0007372A"/>
    <w:rsid w:val="00073D8E"/>
    <w:rsid w:val="00074074"/>
    <w:rsid w:val="00074FE1"/>
    <w:rsid w:val="000754CF"/>
    <w:rsid w:val="00076407"/>
    <w:rsid w:val="00077EC5"/>
    <w:rsid w:val="000801FC"/>
    <w:rsid w:val="00080D01"/>
    <w:rsid w:val="00080E54"/>
    <w:rsid w:val="00080ED0"/>
    <w:rsid w:val="00081A6A"/>
    <w:rsid w:val="0008208D"/>
    <w:rsid w:val="00082308"/>
    <w:rsid w:val="00082AF7"/>
    <w:rsid w:val="00082B14"/>
    <w:rsid w:val="00084929"/>
    <w:rsid w:val="000850D6"/>
    <w:rsid w:val="000851FC"/>
    <w:rsid w:val="00085C3A"/>
    <w:rsid w:val="00085ECA"/>
    <w:rsid w:val="000866D3"/>
    <w:rsid w:val="00086BC4"/>
    <w:rsid w:val="00087E56"/>
    <w:rsid w:val="00090232"/>
    <w:rsid w:val="000904AA"/>
    <w:rsid w:val="00091CB3"/>
    <w:rsid w:val="00091F5A"/>
    <w:rsid w:val="0009208B"/>
    <w:rsid w:val="0009238E"/>
    <w:rsid w:val="00093BF9"/>
    <w:rsid w:val="00094A3F"/>
    <w:rsid w:val="00095295"/>
    <w:rsid w:val="00095A28"/>
    <w:rsid w:val="00095FC9"/>
    <w:rsid w:val="00096FF3"/>
    <w:rsid w:val="000A1906"/>
    <w:rsid w:val="000A26C1"/>
    <w:rsid w:val="000A3014"/>
    <w:rsid w:val="000A34C7"/>
    <w:rsid w:val="000A4D82"/>
    <w:rsid w:val="000A6062"/>
    <w:rsid w:val="000A6755"/>
    <w:rsid w:val="000A67BB"/>
    <w:rsid w:val="000A72C3"/>
    <w:rsid w:val="000A7D7E"/>
    <w:rsid w:val="000B0074"/>
    <w:rsid w:val="000B0447"/>
    <w:rsid w:val="000B0DA3"/>
    <w:rsid w:val="000B200B"/>
    <w:rsid w:val="000B25EB"/>
    <w:rsid w:val="000B25FF"/>
    <w:rsid w:val="000B284A"/>
    <w:rsid w:val="000B30A3"/>
    <w:rsid w:val="000B3A2F"/>
    <w:rsid w:val="000B3E55"/>
    <w:rsid w:val="000B41C6"/>
    <w:rsid w:val="000B49C4"/>
    <w:rsid w:val="000B55DC"/>
    <w:rsid w:val="000B5F82"/>
    <w:rsid w:val="000B6AD0"/>
    <w:rsid w:val="000B6B6C"/>
    <w:rsid w:val="000B6D6C"/>
    <w:rsid w:val="000B709F"/>
    <w:rsid w:val="000B7D0F"/>
    <w:rsid w:val="000C04C2"/>
    <w:rsid w:val="000C198B"/>
    <w:rsid w:val="000C1BA2"/>
    <w:rsid w:val="000C1E5F"/>
    <w:rsid w:val="000C2464"/>
    <w:rsid w:val="000C3A73"/>
    <w:rsid w:val="000C4932"/>
    <w:rsid w:val="000C5271"/>
    <w:rsid w:val="000C5888"/>
    <w:rsid w:val="000C5F19"/>
    <w:rsid w:val="000C63B7"/>
    <w:rsid w:val="000C6B6B"/>
    <w:rsid w:val="000C6C05"/>
    <w:rsid w:val="000C6C19"/>
    <w:rsid w:val="000D00B9"/>
    <w:rsid w:val="000D016C"/>
    <w:rsid w:val="000D179A"/>
    <w:rsid w:val="000D1C11"/>
    <w:rsid w:val="000D2741"/>
    <w:rsid w:val="000D2CCA"/>
    <w:rsid w:val="000D2DB1"/>
    <w:rsid w:val="000D388D"/>
    <w:rsid w:val="000D4032"/>
    <w:rsid w:val="000D4054"/>
    <w:rsid w:val="000D4140"/>
    <w:rsid w:val="000D474D"/>
    <w:rsid w:val="000D5615"/>
    <w:rsid w:val="000D57F0"/>
    <w:rsid w:val="000D5D13"/>
    <w:rsid w:val="000D5EF0"/>
    <w:rsid w:val="000D67B4"/>
    <w:rsid w:val="000D6E97"/>
    <w:rsid w:val="000D7033"/>
    <w:rsid w:val="000D7483"/>
    <w:rsid w:val="000E0446"/>
    <w:rsid w:val="000E069B"/>
    <w:rsid w:val="000E0745"/>
    <w:rsid w:val="000E0DD1"/>
    <w:rsid w:val="000E12AB"/>
    <w:rsid w:val="000E20D9"/>
    <w:rsid w:val="000E30B9"/>
    <w:rsid w:val="000E339F"/>
    <w:rsid w:val="000E5A85"/>
    <w:rsid w:val="000E5AC4"/>
    <w:rsid w:val="000E7406"/>
    <w:rsid w:val="000F0A49"/>
    <w:rsid w:val="000F0B3E"/>
    <w:rsid w:val="000F1AF0"/>
    <w:rsid w:val="000F28B7"/>
    <w:rsid w:val="000F30E9"/>
    <w:rsid w:val="000F3E4A"/>
    <w:rsid w:val="000F4091"/>
    <w:rsid w:val="000F4767"/>
    <w:rsid w:val="000F48CB"/>
    <w:rsid w:val="000F53E2"/>
    <w:rsid w:val="000F5D44"/>
    <w:rsid w:val="000F61A3"/>
    <w:rsid w:val="000F62BF"/>
    <w:rsid w:val="000F7691"/>
    <w:rsid w:val="00100249"/>
    <w:rsid w:val="001011A4"/>
    <w:rsid w:val="001012B2"/>
    <w:rsid w:val="001018E8"/>
    <w:rsid w:val="00101B9A"/>
    <w:rsid w:val="00101BB0"/>
    <w:rsid w:val="00102809"/>
    <w:rsid w:val="00102C05"/>
    <w:rsid w:val="00102E24"/>
    <w:rsid w:val="001031A6"/>
    <w:rsid w:val="0010340C"/>
    <w:rsid w:val="0010391C"/>
    <w:rsid w:val="00103AD3"/>
    <w:rsid w:val="00104073"/>
    <w:rsid w:val="0010439A"/>
    <w:rsid w:val="0010494B"/>
    <w:rsid w:val="00104D08"/>
    <w:rsid w:val="00104D86"/>
    <w:rsid w:val="00105981"/>
    <w:rsid w:val="00105D65"/>
    <w:rsid w:val="001060B3"/>
    <w:rsid w:val="001065FF"/>
    <w:rsid w:val="001066C1"/>
    <w:rsid w:val="00107561"/>
    <w:rsid w:val="00107B80"/>
    <w:rsid w:val="00107F72"/>
    <w:rsid w:val="00112C1A"/>
    <w:rsid w:val="00113C98"/>
    <w:rsid w:val="0011411D"/>
    <w:rsid w:val="001143EE"/>
    <w:rsid w:val="00114807"/>
    <w:rsid w:val="0011485C"/>
    <w:rsid w:val="001153F4"/>
    <w:rsid w:val="00115AB3"/>
    <w:rsid w:val="0011642C"/>
    <w:rsid w:val="00116479"/>
    <w:rsid w:val="00116C62"/>
    <w:rsid w:val="00116E62"/>
    <w:rsid w:val="001201DB"/>
    <w:rsid w:val="00120267"/>
    <w:rsid w:val="001203D5"/>
    <w:rsid w:val="001206B8"/>
    <w:rsid w:val="00120886"/>
    <w:rsid w:val="00121116"/>
    <w:rsid w:val="00121353"/>
    <w:rsid w:val="001219D3"/>
    <w:rsid w:val="00122432"/>
    <w:rsid w:val="00122A9C"/>
    <w:rsid w:val="001236C2"/>
    <w:rsid w:val="001240AD"/>
    <w:rsid w:val="00124745"/>
    <w:rsid w:val="00124850"/>
    <w:rsid w:val="00124D32"/>
    <w:rsid w:val="00124F5A"/>
    <w:rsid w:val="001252C6"/>
    <w:rsid w:val="001259E3"/>
    <w:rsid w:val="001260D5"/>
    <w:rsid w:val="001270B6"/>
    <w:rsid w:val="00127185"/>
    <w:rsid w:val="001273FD"/>
    <w:rsid w:val="00130350"/>
    <w:rsid w:val="00130D33"/>
    <w:rsid w:val="0013119B"/>
    <w:rsid w:val="001313D5"/>
    <w:rsid w:val="00132557"/>
    <w:rsid w:val="0013278A"/>
    <w:rsid w:val="00132928"/>
    <w:rsid w:val="001331AB"/>
    <w:rsid w:val="001341C6"/>
    <w:rsid w:val="00134D42"/>
    <w:rsid w:val="00135677"/>
    <w:rsid w:val="00135904"/>
    <w:rsid w:val="001359DE"/>
    <w:rsid w:val="0013770C"/>
    <w:rsid w:val="00137716"/>
    <w:rsid w:val="001402C2"/>
    <w:rsid w:val="00140883"/>
    <w:rsid w:val="001409BD"/>
    <w:rsid w:val="00141175"/>
    <w:rsid w:val="0014181A"/>
    <w:rsid w:val="001419C6"/>
    <w:rsid w:val="00141E6B"/>
    <w:rsid w:val="0014297C"/>
    <w:rsid w:val="00142EE0"/>
    <w:rsid w:val="001430F5"/>
    <w:rsid w:val="001441F9"/>
    <w:rsid w:val="001446D8"/>
    <w:rsid w:val="00144DF4"/>
    <w:rsid w:val="00146789"/>
    <w:rsid w:val="00146A10"/>
    <w:rsid w:val="00146E05"/>
    <w:rsid w:val="0014702E"/>
    <w:rsid w:val="00147369"/>
    <w:rsid w:val="00147BD8"/>
    <w:rsid w:val="00151654"/>
    <w:rsid w:val="00151AB7"/>
    <w:rsid w:val="00152C73"/>
    <w:rsid w:val="00153529"/>
    <w:rsid w:val="00153CB6"/>
    <w:rsid w:val="001543F6"/>
    <w:rsid w:val="00154532"/>
    <w:rsid w:val="001547B2"/>
    <w:rsid w:val="00155068"/>
    <w:rsid w:val="00155B2A"/>
    <w:rsid w:val="001565F8"/>
    <w:rsid w:val="0015685D"/>
    <w:rsid w:val="00156AD5"/>
    <w:rsid w:val="00160A23"/>
    <w:rsid w:val="0016142D"/>
    <w:rsid w:val="001623CC"/>
    <w:rsid w:val="001624A5"/>
    <w:rsid w:val="00162C37"/>
    <w:rsid w:val="001634FE"/>
    <w:rsid w:val="00164F73"/>
    <w:rsid w:val="0016514F"/>
    <w:rsid w:val="00165F80"/>
    <w:rsid w:val="001662CA"/>
    <w:rsid w:val="001664C3"/>
    <w:rsid w:val="001714A2"/>
    <w:rsid w:val="00171BA5"/>
    <w:rsid w:val="00171DAF"/>
    <w:rsid w:val="00172143"/>
    <w:rsid w:val="0017234C"/>
    <w:rsid w:val="001726D3"/>
    <w:rsid w:val="00172900"/>
    <w:rsid w:val="00173E92"/>
    <w:rsid w:val="00175A01"/>
    <w:rsid w:val="00175AC8"/>
    <w:rsid w:val="0017606D"/>
    <w:rsid w:val="00176246"/>
    <w:rsid w:val="00176536"/>
    <w:rsid w:val="001767DF"/>
    <w:rsid w:val="00176CF6"/>
    <w:rsid w:val="00176EB7"/>
    <w:rsid w:val="00177FF6"/>
    <w:rsid w:val="00180239"/>
    <w:rsid w:val="00180F7A"/>
    <w:rsid w:val="00181BAB"/>
    <w:rsid w:val="001820C1"/>
    <w:rsid w:val="0018226F"/>
    <w:rsid w:val="0018281E"/>
    <w:rsid w:val="00182ECA"/>
    <w:rsid w:val="00182F9D"/>
    <w:rsid w:val="00183199"/>
    <w:rsid w:val="001833D5"/>
    <w:rsid w:val="00184D52"/>
    <w:rsid w:val="001856BA"/>
    <w:rsid w:val="001856D9"/>
    <w:rsid w:val="00185BBD"/>
    <w:rsid w:val="00185C5C"/>
    <w:rsid w:val="00187495"/>
    <w:rsid w:val="00187BD6"/>
    <w:rsid w:val="00187D6E"/>
    <w:rsid w:val="00190014"/>
    <w:rsid w:val="001900E6"/>
    <w:rsid w:val="0019021E"/>
    <w:rsid w:val="001903D7"/>
    <w:rsid w:val="00190843"/>
    <w:rsid w:val="00190B00"/>
    <w:rsid w:val="00190C50"/>
    <w:rsid w:val="001916A1"/>
    <w:rsid w:val="00191CF7"/>
    <w:rsid w:val="001921B0"/>
    <w:rsid w:val="001939FA"/>
    <w:rsid w:val="00194079"/>
    <w:rsid w:val="001944C6"/>
    <w:rsid w:val="001946B4"/>
    <w:rsid w:val="00194759"/>
    <w:rsid w:val="001947F4"/>
    <w:rsid w:val="00194D63"/>
    <w:rsid w:val="0019509B"/>
    <w:rsid w:val="0019536D"/>
    <w:rsid w:val="001957B2"/>
    <w:rsid w:val="0019719E"/>
    <w:rsid w:val="001977CE"/>
    <w:rsid w:val="001A0238"/>
    <w:rsid w:val="001A1495"/>
    <w:rsid w:val="001A1506"/>
    <w:rsid w:val="001A1CAF"/>
    <w:rsid w:val="001A2F72"/>
    <w:rsid w:val="001A3096"/>
    <w:rsid w:val="001A3CD4"/>
    <w:rsid w:val="001A3E92"/>
    <w:rsid w:val="001A4001"/>
    <w:rsid w:val="001A4EFB"/>
    <w:rsid w:val="001A6172"/>
    <w:rsid w:val="001A66FD"/>
    <w:rsid w:val="001B3233"/>
    <w:rsid w:val="001B34D0"/>
    <w:rsid w:val="001B35B4"/>
    <w:rsid w:val="001B3E4E"/>
    <w:rsid w:val="001B3EC2"/>
    <w:rsid w:val="001B4058"/>
    <w:rsid w:val="001B46BB"/>
    <w:rsid w:val="001B5C54"/>
    <w:rsid w:val="001B6114"/>
    <w:rsid w:val="001B784A"/>
    <w:rsid w:val="001B7978"/>
    <w:rsid w:val="001C015C"/>
    <w:rsid w:val="001C0E37"/>
    <w:rsid w:val="001C1E51"/>
    <w:rsid w:val="001C23B6"/>
    <w:rsid w:val="001C2568"/>
    <w:rsid w:val="001C3148"/>
    <w:rsid w:val="001C36F2"/>
    <w:rsid w:val="001C38EE"/>
    <w:rsid w:val="001C41FF"/>
    <w:rsid w:val="001C6238"/>
    <w:rsid w:val="001C6692"/>
    <w:rsid w:val="001C6FC2"/>
    <w:rsid w:val="001C7043"/>
    <w:rsid w:val="001C7376"/>
    <w:rsid w:val="001C7DC7"/>
    <w:rsid w:val="001D0068"/>
    <w:rsid w:val="001D0247"/>
    <w:rsid w:val="001D0606"/>
    <w:rsid w:val="001D0829"/>
    <w:rsid w:val="001D0AC7"/>
    <w:rsid w:val="001D1116"/>
    <w:rsid w:val="001D113B"/>
    <w:rsid w:val="001D1210"/>
    <w:rsid w:val="001D14ED"/>
    <w:rsid w:val="001D1890"/>
    <w:rsid w:val="001D2ED3"/>
    <w:rsid w:val="001D33DD"/>
    <w:rsid w:val="001D36BC"/>
    <w:rsid w:val="001D3F3F"/>
    <w:rsid w:val="001D4288"/>
    <w:rsid w:val="001D47AE"/>
    <w:rsid w:val="001D48D9"/>
    <w:rsid w:val="001D497A"/>
    <w:rsid w:val="001D4E53"/>
    <w:rsid w:val="001D5698"/>
    <w:rsid w:val="001D5CAE"/>
    <w:rsid w:val="001D5F5F"/>
    <w:rsid w:val="001E0583"/>
    <w:rsid w:val="001E069C"/>
    <w:rsid w:val="001E0954"/>
    <w:rsid w:val="001E10E9"/>
    <w:rsid w:val="001E1661"/>
    <w:rsid w:val="001E19B7"/>
    <w:rsid w:val="001E1EE6"/>
    <w:rsid w:val="001E3B79"/>
    <w:rsid w:val="001E41F1"/>
    <w:rsid w:val="001E4EDF"/>
    <w:rsid w:val="001E5609"/>
    <w:rsid w:val="001E571F"/>
    <w:rsid w:val="001E5890"/>
    <w:rsid w:val="001E5B0C"/>
    <w:rsid w:val="001E6482"/>
    <w:rsid w:val="001E755C"/>
    <w:rsid w:val="001E768B"/>
    <w:rsid w:val="001E7B23"/>
    <w:rsid w:val="001E7F26"/>
    <w:rsid w:val="001F0BD8"/>
    <w:rsid w:val="001F132B"/>
    <w:rsid w:val="001F1EAA"/>
    <w:rsid w:val="001F3D60"/>
    <w:rsid w:val="001F4497"/>
    <w:rsid w:val="001F49F6"/>
    <w:rsid w:val="001F4EA1"/>
    <w:rsid w:val="001F505D"/>
    <w:rsid w:val="001F5445"/>
    <w:rsid w:val="001F59C0"/>
    <w:rsid w:val="001F5BCF"/>
    <w:rsid w:val="001F6127"/>
    <w:rsid w:val="001F6751"/>
    <w:rsid w:val="0020000E"/>
    <w:rsid w:val="002013E6"/>
    <w:rsid w:val="002026C5"/>
    <w:rsid w:val="002028E6"/>
    <w:rsid w:val="00202D14"/>
    <w:rsid w:val="002036D5"/>
    <w:rsid w:val="00203A9C"/>
    <w:rsid w:val="00204963"/>
    <w:rsid w:val="00204BA2"/>
    <w:rsid w:val="002069A1"/>
    <w:rsid w:val="00207439"/>
    <w:rsid w:val="002078C8"/>
    <w:rsid w:val="00207B5A"/>
    <w:rsid w:val="00210131"/>
    <w:rsid w:val="00210873"/>
    <w:rsid w:val="00210F1C"/>
    <w:rsid w:val="00211975"/>
    <w:rsid w:val="00211CF2"/>
    <w:rsid w:val="00212459"/>
    <w:rsid w:val="002125BC"/>
    <w:rsid w:val="0021356A"/>
    <w:rsid w:val="00213B1C"/>
    <w:rsid w:val="002144C0"/>
    <w:rsid w:val="00215BC9"/>
    <w:rsid w:val="00215ED3"/>
    <w:rsid w:val="0021604E"/>
    <w:rsid w:val="00217199"/>
    <w:rsid w:val="002200EB"/>
    <w:rsid w:val="00220680"/>
    <w:rsid w:val="00220DDE"/>
    <w:rsid w:val="0022121D"/>
    <w:rsid w:val="00221FE9"/>
    <w:rsid w:val="00222C02"/>
    <w:rsid w:val="002235AE"/>
    <w:rsid w:val="002237FA"/>
    <w:rsid w:val="00223870"/>
    <w:rsid w:val="00223A59"/>
    <w:rsid w:val="002240AA"/>
    <w:rsid w:val="002240DA"/>
    <w:rsid w:val="0022422F"/>
    <w:rsid w:val="00224561"/>
    <w:rsid w:val="00224765"/>
    <w:rsid w:val="00225F1A"/>
    <w:rsid w:val="00226DE9"/>
    <w:rsid w:val="00227083"/>
    <w:rsid w:val="00230023"/>
    <w:rsid w:val="00230187"/>
    <w:rsid w:val="00230315"/>
    <w:rsid w:val="002303BF"/>
    <w:rsid w:val="00230835"/>
    <w:rsid w:val="00230AEA"/>
    <w:rsid w:val="00230E7D"/>
    <w:rsid w:val="00231940"/>
    <w:rsid w:val="00231E50"/>
    <w:rsid w:val="002321BF"/>
    <w:rsid w:val="00232514"/>
    <w:rsid w:val="00232753"/>
    <w:rsid w:val="00233436"/>
    <w:rsid w:val="00233675"/>
    <w:rsid w:val="002342FF"/>
    <w:rsid w:val="00235F16"/>
    <w:rsid w:val="002363EF"/>
    <w:rsid w:val="002364A5"/>
    <w:rsid w:val="0023749B"/>
    <w:rsid w:val="002375E8"/>
    <w:rsid w:val="002400C7"/>
    <w:rsid w:val="0024032D"/>
    <w:rsid w:val="002408C2"/>
    <w:rsid w:val="002415BA"/>
    <w:rsid w:val="00242186"/>
    <w:rsid w:val="002421C8"/>
    <w:rsid w:val="00242884"/>
    <w:rsid w:val="002429BF"/>
    <w:rsid w:val="00244823"/>
    <w:rsid w:val="00244A2E"/>
    <w:rsid w:val="00245029"/>
    <w:rsid w:val="002450E9"/>
    <w:rsid w:val="002454D3"/>
    <w:rsid w:val="00245586"/>
    <w:rsid w:val="002471C2"/>
    <w:rsid w:val="0024764B"/>
    <w:rsid w:val="00247CA3"/>
    <w:rsid w:val="00250814"/>
    <w:rsid w:val="0025090D"/>
    <w:rsid w:val="00250E24"/>
    <w:rsid w:val="002513C3"/>
    <w:rsid w:val="0025187E"/>
    <w:rsid w:val="0025289E"/>
    <w:rsid w:val="00252F51"/>
    <w:rsid w:val="002532B0"/>
    <w:rsid w:val="0025436A"/>
    <w:rsid w:val="00254570"/>
    <w:rsid w:val="002548AE"/>
    <w:rsid w:val="00254F34"/>
    <w:rsid w:val="0025632E"/>
    <w:rsid w:val="00256930"/>
    <w:rsid w:val="00256D10"/>
    <w:rsid w:val="0025745B"/>
    <w:rsid w:val="00257550"/>
    <w:rsid w:val="00257DB1"/>
    <w:rsid w:val="002604DD"/>
    <w:rsid w:val="002606B6"/>
    <w:rsid w:val="00260CAB"/>
    <w:rsid w:val="00260D99"/>
    <w:rsid w:val="00261BFA"/>
    <w:rsid w:val="00261C22"/>
    <w:rsid w:val="0026205E"/>
    <w:rsid w:val="0026242D"/>
    <w:rsid w:val="00262489"/>
    <w:rsid w:val="00263219"/>
    <w:rsid w:val="0026329B"/>
    <w:rsid w:val="00263652"/>
    <w:rsid w:val="0026368A"/>
    <w:rsid w:val="0026383B"/>
    <w:rsid w:val="002642AE"/>
    <w:rsid w:val="002656AD"/>
    <w:rsid w:val="00265AAB"/>
    <w:rsid w:val="00265E29"/>
    <w:rsid w:val="00266291"/>
    <w:rsid w:val="00266542"/>
    <w:rsid w:val="00266583"/>
    <w:rsid w:val="00267AB8"/>
    <w:rsid w:val="0027020D"/>
    <w:rsid w:val="00270A3D"/>
    <w:rsid w:val="00271E91"/>
    <w:rsid w:val="00271F56"/>
    <w:rsid w:val="0027269F"/>
    <w:rsid w:val="0027280D"/>
    <w:rsid w:val="00272B34"/>
    <w:rsid w:val="00272BA0"/>
    <w:rsid w:val="00273026"/>
    <w:rsid w:val="002734D3"/>
    <w:rsid w:val="00273561"/>
    <w:rsid w:val="00274102"/>
    <w:rsid w:val="0027442E"/>
    <w:rsid w:val="00274793"/>
    <w:rsid w:val="0027494C"/>
    <w:rsid w:val="00275A12"/>
    <w:rsid w:val="00276158"/>
    <w:rsid w:val="0027705C"/>
    <w:rsid w:val="0027716B"/>
    <w:rsid w:val="00280A32"/>
    <w:rsid w:val="002812C6"/>
    <w:rsid w:val="00281806"/>
    <w:rsid w:val="0028224F"/>
    <w:rsid w:val="0028239A"/>
    <w:rsid w:val="00282414"/>
    <w:rsid w:val="002825EF"/>
    <w:rsid w:val="00282AF1"/>
    <w:rsid w:val="00282EAB"/>
    <w:rsid w:val="00283369"/>
    <w:rsid w:val="00283A52"/>
    <w:rsid w:val="00284737"/>
    <w:rsid w:val="00284935"/>
    <w:rsid w:val="002854BA"/>
    <w:rsid w:val="002860B7"/>
    <w:rsid w:val="00287174"/>
    <w:rsid w:val="0029138B"/>
    <w:rsid w:val="0029147F"/>
    <w:rsid w:val="002917C7"/>
    <w:rsid w:val="00293139"/>
    <w:rsid w:val="0029366E"/>
    <w:rsid w:val="00293919"/>
    <w:rsid w:val="00293AC6"/>
    <w:rsid w:val="00293BBE"/>
    <w:rsid w:val="00293D3A"/>
    <w:rsid w:val="00294AD7"/>
    <w:rsid w:val="0029563E"/>
    <w:rsid w:val="002959B7"/>
    <w:rsid w:val="00295E5A"/>
    <w:rsid w:val="002960E1"/>
    <w:rsid w:val="002967E5"/>
    <w:rsid w:val="002969BF"/>
    <w:rsid w:val="00297030"/>
    <w:rsid w:val="00297686"/>
    <w:rsid w:val="00297C57"/>
    <w:rsid w:val="00297D35"/>
    <w:rsid w:val="00297D50"/>
    <w:rsid w:val="00297E8C"/>
    <w:rsid w:val="002A0546"/>
    <w:rsid w:val="002A06B3"/>
    <w:rsid w:val="002A06F1"/>
    <w:rsid w:val="002A0F3D"/>
    <w:rsid w:val="002A11F4"/>
    <w:rsid w:val="002A1B8B"/>
    <w:rsid w:val="002A1DD5"/>
    <w:rsid w:val="002A28F7"/>
    <w:rsid w:val="002A41AC"/>
    <w:rsid w:val="002A4CA7"/>
    <w:rsid w:val="002A54D9"/>
    <w:rsid w:val="002A5809"/>
    <w:rsid w:val="002A5D27"/>
    <w:rsid w:val="002A5F90"/>
    <w:rsid w:val="002A604D"/>
    <w:rsid w:val="002A6146"/>
    <w:rsid w:val="002A65D3"/>
    <w:rsid w:val="002A6E22"/>
    <w:rsid w:val="002A7660"/>
    <w:rsid w:val="002A79EB"/>
    <w:rsid w:val="002B04F4"/>
    <w:rsid w:val="002B0C47"/>
    <w:rsid w:val="002B0E31"/>
    <w:rsid w:val="002B1859"/>
    <w:rsid w:val="002B1DB7"/>
    <w:rsid w:val="002B1F63"/>
    <w:rsid w:val="002B3192"/>
    <w:rsid w:val="002B391D"/>
    <w:rsid w:val="002B445B"/>
    <w:rsid w:val="002B4A56"/>
    <w:rsid w:val="002B4E9F"/>
    <w:rsid w:val="002B52D9"/>
    <w:rsid w:val="002B5A65"/>
    <w:rsid w:val="002B72F8"/>
    <w:rsid w:val="002B7BA9"/>
    <w:rsid w:val="002C0414"/>
    <w:rsid w:val="002C06C1"/>
    <w:rsid w:val="002C13F5"/>
    <w:rsid w:val="002C14B3"/>
    <w:rsid w:val="002C1656"/>
    <w:rsid w:val="002C18E2"/>
    <w:rsid w:val="002C2C4E"/>
    <w:rsid w:val="002C32C8"/>
    <w:rsid w:val="002C3CFF"/>
    <w:rsid w:val="002C40FB"/>
    <w:rsid w:val="002C447F"/>
    <w:rsid w:val="002C4CAE"/>
    <w:rsid w:val="002C4D4D"/>
    <w:rsid w:val="002C53B8"/>
    <w:rsid w:val="002C568F"/>
    <w:rsid w:val="002C5D50"/>
    <w:rsid w:val="002C66E9"/>
    <w:rsid w:val="002C7097"/>
    <w:rsid w:val="002C7160"/>
    <w:rsid w:val="002C747D"/>
    <w:rsid w:val="002C777C"/>
    <w:rsid w:val="002C7890"/>
    <w:rsid w:val="002D12E1"/>
    <w:rsid w:val="002D2250"/>
    <w:rsid w:val="002D2FA7"/>
    <w:rsid w:val="002D2FE8"/>
    <w:rsid w:val="002D309E"/>
    <w:rsid w:val="002D340E"/>
    <w:rsid w:val="002D3710"/>
    <w:rsid w:val="002D38D3"/>
    <w:rsid w:val="002D3E17"/>
    <w:rsid w:val="002D45D9"/>
    <w:rsid w:val="002D4D92"/>
    <w:rsid w:val="002D5338"/>
    <w:rsid w:val="002D5C00"/>
    <w:rsid w:val="002D5C15"/>
    <w:rsid w:val="002D728F"/>
    <w:rsid w:val="002D7857"/>
    <w:rsid w:val="002E05D8"/>
    <w:rsid w:val="002E1B83"/>
    <w:rsid w:val="002E22DB"/>
    <w:rsid w:val="002E25B4"/>
    <w:rsid w:val="002E2B8A"/>
    <w:rsid w:val="002E2EEA"/>
    <w:rsid w:val="002E3143"/>
    <w:rsid w:val="002E474F"/>
    <w:rsid w:val="002E4F5F"/>
    <w:rsid w:val="002E5363"/>
    <w:rsid w:val="002E5E5C"/>
    <w:rsid w:val="002E602F"/>
    <w:rsid w:val="002E72E7"/>
    <w:rsid w:val="002E7503"/>
    <w:rsid w:val="002E76DB"/>
    <w:rsid w:val="002F0F5A"/>
    <w:rsid w:val="002F0FFA"/>
    <w:rsid w:val="002F1808"/>
    <w:rsid w:val="002F1896"/>
    <w:rsid w:val="002F1B3F"/>
    <w:rsid w:val="002F1F9B"/>
    <w:rsid w:val="002F2FF2"/>
    <w:rsid w:val="002F3368"/>
    <w:rsid w:val="002F3CE7"/>
    <w:rsid w:val="002F3EBE"/>
    <w:rsid w:val="002F44BA"/>
    <w:rsid w:val="002F4996"/>
    <w:rsid w:val="002F4ED2"/>
    <w:rsid w:val="002F5E28"/>
    <w:rsid w:val="002F61D3"/>
    <w:rsid w:val="002F633D"/>
    <w:rsid w:val="002F6C53"/>
    <w:rsid w:val="002F6E18"/>
    <w:rsid w:val="002F7564"/>
    <w:rsid w:val="00300357"/>
    <w:rsid w:val="003004CB"/>
    <w:rsid w:val="00302EFD"/>
    <w:rsid w:val="003034E2"/>
    <w:rsid w:val="003038D5"/>
    <w:rsid w:val="00303B0E"/>
    <w:rsid w:val="00303DA5"/>
    <w:rsid w:val="00303DB0"/>
    <w:rsid w:val="00304A18"/>
    <w:rsid w:val="00304A66"/>
    <w:rsid w:val="00305848"/>
    <w:rsid w:val="00306D07"/>
    <w:rsid w:val="00306F27"/>
    <w:rsid w:val="00307B57"/>
    <w:rsid w:val="0031198B"/>
    <w:rsid w:val="00311A81"/>
    <w:rsid w:val="00312843"/>
    <w:rsid w:val="00312F22"/>
    <w:rsid w:val="00313850"/>
    <w:rsid w:val="00314721"/>
    <w:rsid w:val="00315FF6"/>
    <w:rsid w:val="00316851"/>
    <w:rsid w:val="003174E7"/>
    <w:rsid w:val="003176A0"/>
    <w:rsid w:val="00317768"/>
    <w:rsid w:val="00317D0D"/>
    <w:rsid w:val="00317F2D"/>
    <w:rsid w:val="003200A3"/>
    <w:rsid w:val="00320759"/>
    <w:rsid w:val="003207EB"/>
    <w:rsid w:val="003210CA"/>
    <w:rsid w:val="0032139E"/>
    <w:rsid w:val="0032144C"/>
    <w:rsid w:val="0032169C"/>
    <w:rsid w:val="00322A2A"/>
    <w:rsid w:val="00322F2D"/>
    <w:rsid w:val="003234C9"/>
    <w:rsid w:val="00323521"/>
    <w:rsid w:val="00323934"/>
    <w:rsid w:val="00324710"/>
    <w:rsid w:val="00325C09"/>
    <w:rsid w:val="00325F05"/>
    <w:rsid w:val="00326326"/>
    <w:rsid w:val="00326C6F"/>
    <w:rsid w:val="00326C84"/>
    <w:rsid w:val="003274DE"/>
    <w:rsid w:val="0033060E"/>
    <w:rsid w:val="00331A6A"/>
    <w:rsid w:val="00331AAA"/>
    <w:rsid w:val="00331AF4"/>
    <w:rsid w:val="00332002"/>
    <w:rsid w:val="003320F2"/>
    <w:rsid w:val="00332287"/>
    <w:rsid w:val="00332AC7"/>
    <w:rsid w:val="00332B66"/>
    <w:rsid w:val="00332E9E"/>
    <w:rsid w:val="0033380D"/>
    <w:rsid w:val="00333A41"/>
    <w:rsid w:val="00333E26"/>
    <w:rsid w:val="003345C8"/>
    <w:rsid w:val="003349B3"/>
    <w:rsid w:val="00335D62"/>
    <w:rsid w:val="003373C2"/>
    <w:rsid w:val="00337800"/>
    <w:rsid w:val="0033787C"/>
    <w:rsid w:val="00337A30"/>
    <w:rsid w:val="00337AAF"/>
    <w:rsid w:val="00337DC7"/>
    <w:rsid w:val="0034029E"/>
    <w:rsid w:val="003402EE"/>
    <w:rsid w:val="003403AB"/>
    <w:rsid w:val="00340EE5"/>
    <w:rsid w:val="00341C98"/>
    <w:rsid w:val="0034230F"/>
    <w:rsid w:val="00342A79"/>
    <w:rsid w:val="00342BE2"/>
    <w:rsid w:val="00343041"/>
    <w:rsid w:val="00343706"/>
    <w:rsid w:val="00343C2C"/>
    <w:rsid w:val="003442B7"/>
    <w:rsid w:val="0034442E"/>
    <w:rsid w:val="00344A99"/>
    <w:rsid w:val="003450DD"/>
    <w:rsid w:val="00345B47"/>
    <w:rsid w:val="0034638F"/>
    <w:rsid w:val="003465E7"/>
    <w:rsid w:val="00346FF1"/>
    <w:rsid w:val="00347C26"/>
    <w:rsid w:val="00347E61"/>
    <w:rsid w:val="003500EE"/>
    <w:rsid w:val="003505BB"/>
    <w:rsid w:val="00350ED7"/>
    <w:rsid w:val="003516FD"/>
    <w:rsid w:val="0035263D"/>
    <w:rsid w:val="00353BD0"/>
    <w:rsid w:val="00354518"/>
    <w:rsid w:val="00355A71"/>
    <w:rsid w:val="003560DF"/>
    <w:rsid w:val="00356359"/>
    <w:rsid w:val="00356365"/>
    <w:rsid w:val="003603FA"/>
    <w:rsid w:val="003606CC"/>
    <w:rsid w:val="00360B73"/>
    <w:rsid w:val="00360C06"/>
    <w:rsid w:val="00362815"/>
    <w:rsid w:val="0036322E"/>
    <w:rsid w:val="003636BD"/>
    <w:rsid w:val="00363760"/>
    <w:rsid w:val="00364A6D"/>
    <w:rsid w:val="00364FCD"/>
    <w:rsid w:val="003654EE"/>
    <w:rsid w:val="003660B6"/>
    <w:rsid w:val="00366708"/>
    <w:rsid w:val="00366E53"/>
    <w:rsid w:val="00366FF5"/>
    <w:rsid w:val="00367234"/>
    <w:rsid w:val="00367476"/>
    <w:rsid w:val="00367E2E"/>
    <w:rsid w:val="00367FC0"/>
    <w:rsid w:val="00370017"/>
    <w:rsid w:val="00370C6B"/>
    <w:rsid w:val="003719BD"/>
    <w:rsid w:val="00371B8B"/>
    <w:rsid w:val="0037227A"/>
    <w:rsid w:val="003722F9"/>
    <w:rsid w:val="00372449"/>
    <w:rsid w:val="0037301E"/>
    <w:rsid w:val="00373E1F"/>
    <w:rsid w:val="003743AB"/>
    <w:rsid w:val="00374ADA"/>
    <w:rsid w:val="00374FE0"/>
    <w:rsid w:val="00375698"/>
    <w:rsid w:val="003756DC"/>
    <w:rsid w:val="00375B4B"/>
    <w:rsid w:val="00376162"/>
    <w:rsid w:val="0037679C"/>
    <w:rsid w:val="003774CE"/>
    <w:rsid w:val="00377B19"/>
    <w:rsid w:val="00380135"/>
    <w:rsid w:val="00380709"/>
    <w:rsid w:val="00381AD6"/>
    <w:rsid w:val="00382303"/>
    <w:rsid w:val="0038247E"/>
    <w:rsid w:val="0038269A"/>
    <w:rsid w:val="003828F7"/>
    <w:rsid w:val="00382B3D"/>
    <w:rsid w:val="00383014"/>
    <w:rsid w:val="00383E42"/>
    <w:rsid w:val="003843A6"/>
    <w:rsid w:val="0038441D"/>
    <w:rsid w:val="00384A08"/>
    <w:rsid w:val="00384CDF"/>
    <w:rsid w:val="00385439"/>
    <w:rsid w:val="00385A32"/>
    <w:rsid w:val="003879DC"/>
    <w:rsid w:val="00387F47"/>
    <w:rsid w:val="003905FB"/>
    <w:rsid w:val="0039072F"/>
    <w:rsid w:val="003909BA"/>
    <w:rsid w:val="00391B13"/>
    <w:rsid w:val="00392F4E"/>
    <w:rsid w:val="00393B24"/>
    <w:rsid w:val="00393B93"/>
    <w:rsid w:val="00393DE8"/>
    <w:rsid w:val="00394DDF"/>
    <w:rsid w:val="00394FDC"/>
    <w:rsid w:val="00395596"/>
    <w:rsid w:val="0039566B"/>
    <w:rsid w:val="0039607F"/>
    <w:rsid w:val="00396423"/>
    <w:rsid w:val="003969BE"/>
    <w:rsid w:val="00396BA6"/>
    <w:rsid w:val="00397A99"/>
    <w:rsid w:val="003A07A1"/>
    <w:rsid w:val="003A0D3D"/>
    <w:rsid w:val="003A2400"/>
    <w:rsid w:val="003A2569"/>
    <w:rsid w:val="003A294D"/>
    <w:rsid w:val="003A3AC0"/>
    <w:rsid w:val="003A3C2C"/>
    <w:rsid w:val="003A41A8"/>
    <w:rsid w:val="003A4A2C"/>
    <w:rsid w:val="003A5266"/>
    <w:rsid w:val="003A5389"/>
    <w:rsid w:val="003A540E"/>
    <w:rsid w:val="003A5D44"/>
    <w:rsid w:val="003A60D4"/>
    <w:rsid w:val="003A6DC5"/>
    <w:rsid w:val="003A7199"/>
    <w:rsid w:val="003A7AF3"/>
    <w:rsid w:val="003A7CAD"/>
    <w:rsid w:val="003B144A"/>
    <w:rsid w:val="003B16AE"/>
    <w:rsid w:val="003B1C93"/>
    <w:rsid w:val="003B259B"/>
    <w:rsid w:val="003B2B0E"/>
    <w:rsid w:val="003B2D25"/>
    <w:rsid w:val="003B4C83"/>
    <w:rsid w:val="003B4C91"/>
    <w:rsid w:val="003B4D8F"/>
    <w:rsid w:val="003B57AE"/>
    <w:rsid w:val="003B6ACD"/>
    <w:rsid w:val="003B791E"/>
    <w:rsid w:val="003C02CC"/>
    <w:rsid w:val="003C04D8"/>
    <w:rsid w:val="003C05AE"/>
    <w:rsid w:val="003C07A7"/>
    <w:rsid w:val="003C07BF"/>
    <w:rsid w:val="003C0B56"/>
    <w:rsid w:val="003C10F9"/>
    <w:rsid w:val="003C240C"/>
    <w:rsid w:val="003C2E7A"/>
    <w:rsid w:val="003C3462"/>
    <w:rsid w:val="003C3576"/>
    <w:rsid w:val="003C36EB"/>
    <w:rsid w:val="003C38EE"/>
    <w:rsid w:val="003C3BE0"/>
    <w:rsid w:val="003C424C"/>
    <w:rsid w:val="003C4D7A"/>
    <w:rsid w:val="003C5728"/>
    <w:rsid w:val="003C591F"/>
    <w:rsid w:val="003C6C56"/>
    <w:rsid w:val="003C6DD9"/>
    <w:rsid w:val="003C7FAA"/>
    <w:rsid w:val="003D00B6"/>
    <w:rsid w:val="003D01EF"/>
    <w:rsid w:val="003D08C4"/>
    <w:rsid w:val="003D1265"/>
    <w:rsid w:val="003D1573"/>
    <w:rsid w:val="003D1D61"/>
    <w:rsid w:val="003D2574"/>
    <w:rsid w:val="003D2C41"/>
    <w:rsid w:val="003D3062"/>
    <w:rsid w:val="003D32FF"/>
    <w:rsid w:val="003D4045"/>
    <w:rsid w:val="003D419D"/>
    <w:rsid w:val="003D5350"/>
    <w:rsid w:val="003D684F"/>
    <w:rsid w:val="003D695A"/>
    <w:rsid w:val="003D72EF"/>
    <w:rsid w:val="003D7313"/>
    <w:rsid w:val="003E04E8"/>
    <w:rsid w:val="003E09D7"/>
    <w:rsid w:val="003E0DC4"/>
    <w:rsid w:val="003E0EAE"/>
    <w:rsid w:val="003E1842"/>
    <w:rsid w:val="003E2F24"/>
    <w:rsid w:val="003E31EC"/>
    <w:rsid w:val="003E33F8"/>
    <w:rsid w:val="003E3484"/>
    <w:rsid w:val="003E3839"/>
    <w:rsid w:val="003E44F8"/>
    <w:rsid w:val="003E47AA"/>
    <w:rsid w:val="003E5B4B"/>
    <w:rsid w:val="003E6B6F"/>
    <w:rsid w:val="003E6F0C"/>
    <w:rsid w:val="003F0149"/>
    <w:rsid w:val="003F1539"/>
    <w:rsid w:val="003F1843"/>
    <w:rsid w:val="003F204A"/>
    <w:rsid w:val="003F20CD"/>
    <w:rsid w:val="003F2AE6"/>
    <w:rsid w:val="003F2CBF"/>
    <w:rsid w:val="003F3DE1"/>
    <w:rsid w:val="003F455F"/>
    <w:rsid w:val="003F49DD"/>
    <w:rsid w:val="003F4A80"/>
    <w:rsid w:val="003F68D9"/>
    <w:rsid w:val="003F6D2E"/>
    <w:rsid w:val="003F6E69"/>
    <w:rsid w:val="003F70C4"/>
    <w:rsid w:val="003F72EA"/>
    <w:rsid w:val="003F7718"/>
    <w:rsid w:val="0040044D"/>
    <w:rsid w:val="00400A08"/>
    <w:rsid w:val="00401219"/>
    <w:rsid w:val="00401B20"/>
    <w:rsid w:val="0040254A"/>
    <w:rsid w:val="00403BF2"/>
    <w:rsid w:val="00403F75"/>
    <w:rsid w:val="0040451B"/>
    <w:rsid w:val="00404BA0"/>
    <w:rsid w:val="00404BEA"/>
    <w:rsid w:val="00405651"/>
    <w:rsid w:val="00406150"/>
    <w:rsid w:val="0040724A"/>
    <w:rsid w:val="00407622"/>
    <w:rsid w:val="00410375"/>
    <w:rsid w:val="00410A01"/>
    <w:rsid w:val="0041141D"/>
    <w:rsid w:val="00412C76"/>
    <w:rsid w:val="00413065"/>
    <w:rsid w:val="00413254"/>
    <w:rsid w:val="0041330A"/>
    <w:rsid w:val="00413BF1"/>
    <w:rsid w:val="00413CB0"/>
    <w:rsid w:val="00415028"/>
    <w:rsid w:val="004159B6"/>
    <w:rsid w:val="00415E90"/>
    <w:rsid w:val="00415EAE"/>
    <w:rsid w:val="00416457"/>
    <w:rsid w:val="004168FA"/>
    <w:rsid w:val="00416CB1"/>
    <w:rsid w:val="00417D96"/>
    <w:rsid w:val="00417F51"/>
    <w:rsid w:val="00421C2E"/>
    <w:rsid w:val="004222CB"/>
    <w:rsid w:val="00422CC9"/>
    <w:rsid w:val="00422F6D"/>
    <w:rsid w:val="00423466"/>
    <w:rsid w:val="00423761"/>
    <w:rsid w:val="00423B60"/>
    <w:rsid w:val="00424C47"/>
    <w:rsid w:val="00425AC9"/>
    <w:rsid w:val="004265B1"/>
    <w:rsid w:val="00427858"/>
    <w:rsid w:val="00431547"/>
    <w:rsid w:val="0043268B"/>
    <w:rsid w:val="004327EC"/>
    <w:rsid w:val="0043332D"/>
    <w:rsid w:val="00433E69"/>
    <w:rsid w:val="004346CD"/>
    <w:rsid w:val="004356C5"/>
    <w:rsid w:val="00435F47"/>
    <w:rsid w:val="00436809"/>
    <w:rsid w:val="00436BCE"/>
    <w:rsid w:val="004404D0"/>
    <w:rsid w:val="0044078D"/>
    <w:rsid w:val="004407F6"/>
    <w:rsid w:val="004416DA"/>
    <w:rsid w:val="00441E17"/>
    <w:rsid w:val="0044209D"/>
    <w:rsid w:val="00442D5D"/>
    <w:rsid w:val="00442DAC"/>
    <w:rsid w:val="00442F0C"/>
    <w:rsid w:val="004432FB"/>
    <w:rsid w:val="004433E8"/>
    <w:rsid w:val="00443839"/>
    <w:rsid w:val="004439BD"/>
    <w:rsid w:val="00443A14"/>
    <w:rsid w:val="00443A7F"/>
    <w:rsid w:val="00443A96"/>
    <w:rsid w:val="00443BFF"/>
    <w:rsid w:val="00444026"/>
    <w:rsid w:val="00444AB8"/>
    <w:rsid w:val="004457E2"/>
    <w:rsid w:val="0044643C"/>
    <w:rsid w:val="004469D5"/>
    <w:rsid w:val="00446AEA"/>
    <w:rsid w:val="0044749C"/>
    <w:rsid w:val="00450770"/>
    <w:rsid w:val="004509B5"/>
    <w:rsid w:val="0045167E"/>
    <w:rsid w:val="00451775"/>
    <w:rsid w:val="00451823"/>
    <w:rsid w:val="00451B01"/>
    <w:rsid w:val="004520A8"/>
    <w:rsid w:val="004520EB"/>
    <w:rsid w:val="0045285C"/>
    <w:rsid w:val="00452924"/>
    <w:rsid w:val="00452A57"/>
    <w:rsid w:val="0045399F"/>
    <w:rsid w:val="00453D77"/>
    <w:rsid w:val="0045453E"/>
    <w:rsid w:val="004549DF"/>
    <w:rsid w:val="00454F36"/>
    <w:rsid w:val="0045595D"/>
    <w:rsid w:val="00455FAA"/>
    <w:rsid w:val="00456D0F"/>
    <w:rsid w:val="004579CD"/>
    <w:rsid w:val="00457F90"/>
    <w:rsid w:val="0046057D"/>
    <w:rsid w:val="00460BAD"/>
    <w:rsid w:val="0046171F"/>
    <w:rsid w:val="004621A9"/>
    <w:rsid w:val="004621C9"/>
    <w:rsid w:val="00462C56"/>
    <w:rsid w:val="00462F07"/>
    <w:rsid w:val="00463681"/>
    <w:rsid w:val="0046369E"/>
    <w:rsid w:val="00464395"/>
    <w:rsid w:val="00464493"/>
    <w:rsid w:val="004653CE"/>
    <w:rsid w:val="00465660"/>
    <w:rsid w:val="004656EE"/>
    <w:rsid w:val="00466286"/>
    <w:rsid w:val="0046675E"/>
    <w:rsid w:val="0046678A"/>
    <w:rsid w:val="004677A9"/>
    <w:rsid w:val="0046782D"/>
    <w:rsid w:val="00467F9F"/>
    <w:rsid w:val="00470191"/>
    <w:rsid w:val="0047054E"/>
    <w:rsid w:val="004706DF"/>
    <w:rsid w:val="00471F17"/>
    <w:rsid w:val="00473A03"/>
    <w:rsid w:val="00473B99"/>
    <w:rsid w:val="00474652"/>
    <w:rsid w:val="004747D9"/>
    <w:rsid w:val="00474CBE"/>
    <w:rsid w:val="004757CD"/>
    <w:rsid w:val="00475D38"/>
    <w:rsid w:val="00475D6F"/>
    <w:rsid w:val="004760BE"/>
    <w:rsid w:val="00476647"/>
    <w:rsid w:val="00476814"/>
    <w:rsid w:val="00476B24"/>
    <w:rsid w:val="00480084"/>
    <w:rsid w:val="0048022D"/>
    <w:rsid w:val="004814A9"/>
    <w:rsid w:val="00481779"/>
    <w:rsid w:val="00481787"/>
    <w:rsid w:val="00482876"/>
    <w:rsid w:val="00483846"/>
    <w:rsid w:val="00483B4E"/>
    <w:rsid w:val="00483E5B"/>
    <w:rsid w:val="00483F23"/>
    <w:rsid w:val="0048466B"/>
    <w:rsid w:val="0048474E"/>
    <w:rsid w:val="00484CA9"/>
    <w:rsid w:val="004855ED"/>
    <w:rsid w:val="004861E7"/>
    <w:rsid w:val="00487798"/>
    <w:rsid w:val="004879DD"/>
    <w:rsid w:val="00487C67"/>
    <w:rsid w:val="00490624"/>
    <w:rsid w:val="00491200"/>
    <w:rsid w:val="00491896"/>
    <w:rsid w:val="00491B75"/>
    <w:rsid w:val="00491C5C"/>
    <w:rsid w:val="0049236F"/>
    <w:rsid w:val="00492758"/>
    <w:rsid w:val="00492FD1"/>
    <w:rsid w:val="00493B9D"/>
    <w:rsid w:val="00493BC3"/>
    <w:rsid w:val="004956BA"/>
    <w:rsid w:val="004972F0"/>
    <w:rsid w:val="00497AF5"/>
    <w:rsid w:val="00497E0D"/>
    <w:rsid w:val="004A0106"/>
    <w:rsid w:val="004A0350"/>
    <w:rsid w:val="004A07DC"/>
    <w:rsid w:val="004A0AF0"/>
    <w:rsid w:val="004A0EF1"/>
    <w:rsid w:val="004A2FAC"/>
    <w:rsid w:val="004A3206"/>
    <w:rsid w:val="004A44C7"/>
    <w:rsid w:val="004A4575"/>
    <w:rsid w:val="004A4727"/>
    <w:rsid w:val="004A4A9D"/>
    <w:rsid w:val="004A5FC7"/>
    <w:rsid w:val="004A6054"/>
    <w:rsid w:val="004A6082"/>
    <w:rsid w:val="004A6092"/>
    <w:rsid w:val="004A6217"/>
    <w:rsid w:val="004A64C3"/>
    <w:rsid w:val="004A69C3"/>
    <w:rsid w:val="004A6EF1"/>
    <w:rsid w:val="004A77C4"/>
    <w:rsid w:val="004A7866"/>
    <w:rsid w:val="004B12AD"/>
    <w:rsid w:val="004B226B"/>
    <w:rsid w:val="004B3128"/>
    <w:rsid w:val="004B356A"/>
    <w:rsid w:val="004B4F40"/>
    <w:rsid w:val="004B5935"/>
    <w:rsid w:val="004B5B8D"/>
    <w:rsid w:val="004B6173"/>
    <w:rsid w:val="004B6B02"/>
    <w:rsid w:val="004B6B6E"/>
    <w:rsid w:val="004B73DA"/>
    <w:rsid w:val="004B74BB"/>
    <w:rsid w:val="004B7FAC"/>
    <w:rsid w:val="004B7FD0"/>
    <w:rsid w:val="004C0C8D"/>
    <w:rsid w:val="004C12EA"/>
    <w:rsid w:val="004C177B"/>
    <w:rsid w:val="004C17D5"/>
    <w:rsid w:val="004C19EA"/>
    <w:rsid w:val="004C1EBE"/>
    <w:rsid w:val="004C1FDD"/>
    <w:rsid w:val="004C2207"/>
    <w:rsid w:val="004C2285"/>
    <w:rsid w:val="004C2538"/>
    <w:rsid w:val="004C2836"/>
    <w:rsid w:val="004C2A0D"/>
    <w:rsid w:val="004C2B27"/>
    <w:rsid w:val="004C2D94"/>
    <w:rsid w:val="004C2F4B"/>
    <w:rsid w:val="004C39C7"/>
    <w:rsid w:val="004C4634"/>
    <w:rsid w:val="004C48EC"/>
    <w:rsid w:val="004C54A1"/>
    <w:rsid w:val="004C5959"/>
    <w:rsid w:val="004C5B7E"/>
    <w:rsid w:val="004C63E6"/>
    <w:rsid w:val="004C6A25"/>
    <w:rsid w:val="004C726D"/>
    <w:rsid w:val="004C72B2"/>
    <w:rsid w:val="004D03C6"/>
    <w:rsid w:val="004D1909"/>
    <w:rsid w:val="004D2729"/>
    <w:rsid w:val="004D3EE1"/>
    <w:rsid w:val="004D4065"/>
    <w:rsid w:val="004D5A20"/>
    <w:rsid w:val="004D5EDA"/>
    <w:rsid w:val="004D6C1C"/>
    <w:rsid w:val="004D722D"/>
    <w:rsid w:val="004D732D"/>
    <w:rsid w:val="004D7F7C"/>
    <w:rsid w:val="004E1CCA"/>
    <w:rsid w:val="004E2F83"/>
    <w:rsid w:val="004E3AE5"/>
    <w:rsid w:val="004E5493"/>
    <w:rsid w:val="004E695B"/>
    <w:rsid w:val="004E729D"/>
    <w:rsid w:val="004E7BB3"/>
    <w:rsid w:val="004F0761"/>
    <w:rsid w:val="004F0C89"/>
    <w:rsid w:val="004F0FF9"/>
    <w:rsid w:val="004F1055"/>
    <w:rsid w:val="004F137F"/>
    <w:rsid w:val="004F208C"/>
    <w:rsid w:val="004F2098"/>
    <w:rsid w:val="004F2221"/>
    <w:rsid w:val="004F2EFD"/>
    <w:rsid w:val="004F3E69"/>
    <w:rsid w:val="004F41EE"/>
    <w:rsid w:val="004F49E5"/>
    <w:rsid w:val="004F5009"/>
    <w:rsid w:val="004F5D91"/>
    <w:rsid w:val="004F6326"/>
    <w:rsid w:val="004F65FA"/>
    <w:rsid w:val="004F6BF2"/>
    <w:rsid w:val="004F6E4D"/>
    <w:rsid w:val="004F7785"/>
    <w:rsid w:val="005003FD"/>
    <w:rsid w:val="00501337"/>
    <w:rsid w:val="00501A81"/>
    <w:rsid w:val="00502135"/>
    <w:rsid w:val="00504B9D"/>
    <w:rsid w:val="00504D11"/>
    <w:rsid w:val="00504DB7"/>
    <w:rsid w:val="00504F83"/>
    <w:rsid w:val="0050525A"/>
    <w:rsid w:val="00505609"/>
    <w:rsid w:val="0050612C"/>
    <w:rsid w:val="00506407"/>
    <w:rsid w:val="00506ED2"/>
    <w:rsid w:val="00506F36"/>
    <w:rsid w:val="00507C85"/>
    <w:rsid w:val="00510F61"/>
    <w:rsid w:val="0051160B"/>
    <w:rsid w:val="0051332A"/>
    <w:rsid w:val="00513B5B"/>
    <w:rsid w:val="005173E3"/>
    <w:rsid w:val="0051787F"/>
    <w:rsid w:val="00517AFB"/>
    <w:rsid w:val="005201C1"/>
    <w:rsid w:val="0052063B"/>
    <w:rsid w:val="00520643"/>
    <w:rsid w:val="0052099A"/>
    <w:rsid w:val="0052141E"/>
    <w:rsid w:val="00522754"/>
    <w:rsid w:val="0052367C"/>
    <w:rsid w:val="00523D61"/>
    <w:rsid w:val="005243A1"/>
    <w:rsid w:val="00524D3C"/>
    <w:rsid w:val="005250FA"/>
    <w:rsid w:val="0052518A"/>
    <w:rsid w:val="00525E13"/>
    <w:rsid w:val="00526A4B"/>
    <w:rsid w:val="00526B2C"/>
    <w:rsid w:val="00526B7E"/>
    <w:rsid w:val="005275CB"/>
    <w:rsid w:val="0052786B"/>
    <w:rsid w:val="00527CD9"/>
    <w:rsid w:val="00530DF3"/>
    <w:rsid w:val="005310C0"/>
    <w:rsid w:val="0053114A"/>
    <w:rsid w:val="00531337"/>
    <w:rsid w:val="0053179F"/>
    <w:rsid w:val="00531C6A"/>
    <w:rsid w:val="005321D0"/>
    <w:rsid w:val="0053233F"/>
    <w:rsid w:val="00532F9F"/>
    <w:rsid w:val="00533922"/>
    <w:rsid w:val="00533A86"/>
    <w:rsid w:val="0053542E"/>
    <w:rsid w:val="00535728"/>
    <w:rsid w:val="00535B47"/>
    <w:rsid w:val="00536B0D"/>
    <w:rsid w:val="00536F41"/>
    <w:rsid w:val="005379A2"/>
    <w:rsid w:val="005400E9"/>
    <w:rsid w:val="005402E2"/>
    <w:rsid w:val="00540B9C"/>
    <w:rsid w:val="00541FA5"/>
    <w:rsid w:val="00542010"/>
    <w:rsid w:val="0054294E"/>
    <w:rsid w:val="0054418A"/>
    <w:rsid w:val="00545105"/>
    <w:rsid w:val="00545F7A"/>
    <w:rsid w:val="0054609D"/>
    <w:rsid w:val="00546A81"/>
    <w:rsid w:val="00546CC6"/>
    <w:rsid w:val="005475EB"/>
    <w:rsid w:val="0054774A"/>
    <w:rsid w:val="005479F7"/>
    <w:rsid w:val="00547A14"/>
    <w:rsid w:val="00550761"/>
    <w:rsid w:val="005508BD"/>
    <w:rsid w:val="0055096F"/>
    <w:rsid w:val="00550D82"/>
    <w:rsid w:val="0055145B"/>
    <w:rsid w:val="00552868"/>
    <w:rsid w:val="00552F98"/>
    <w:rsid w:val="005534AB"/>
    <w:rsid w:val="0055352D"/>
    <w:rsid w:val="005538CD"/>
    <w:rsid w:val="00553EBF"/>
    <w:rsid w:val="00554331"/>
    <w:rsid w:val="0055455B"/>
    <w:rsid w:val="00554B00"/>
    <w:rsid w:val="005556F4"/>
    <w:rsid w:val="00555AB2"/>
    <w:rsid w:val="00555B24"/>
    <w:rsid w:val="00555B7A"/>
    <w:rsid w:val="0055616E"/>
    <w:rsid w:val="0055694C"/>
    <w:rsid w:val="0055694D"/>
    <w:rsid w:val="0055741C"/>
    <w:rsid w:val="005574DE"/>
    <w:rsid w:val="00557573"/>
    <w:rsid w:val="005575D1"/>
    <w:rsid w:val="005577ED"/>
    <w:rsid w:val="005578E0"/>
    <w:rsid w:val="005603E7"/>
    <w:rsid w:val="0056090B"/>
    <w:rsid w:val="005612C7"/>
    <w:rsid w:val="005619A9"/>
    <w:rsid w:val="00561A9A"/>
    <w:rsid w:val="005626D0"/>
    <w:rsid w:val="00562740"/>
    <w:rsid w:val="00562E88"/>
    <w:rsid w:val="0056328E"/>
    <w:rsid w:val="0056379F"/>
    <w:rsid w:val="00563841"/>
    <w:rsid w:val="00563989"/>
    <w:rsid w:val="00564484"/>
    <w:rsid w:val="005644B8"/>
    <w:rsid w:val="00564A1C"/>
    <w:rsid w:val="00564ADF"/>
    <w:rsid w:val="00565D07"/>
    <w:rsid w:val="005663DB"/>
    <w:rsid w:val="005668AC"/>
    <w:rsid w:val="005676FE"/>
    <w:rsid w:val="005677D7"/>
    <w:rsid w:val="00567999"/>
    <w:rsid w:val="00567BF2"/>
    <w:rsid w:val="005736E5"/>
    <w:rsid w:val="00573B53"/>
    <w:rsid w:val="00573DEE"/>
    <w:rsid w:val="005747B9"/>
    <w:rsid w:val="005751B0"/>
    <w:rsid w:val="005754B4"/>
    <w:rsid w:val="0057641F"/>
    <w:rsid w:val="0057687A"/>
    <w:rsid w:val="00577041"/>
    <w:rsid w:val="00577099"/>
    <w:rsid w:val="0057742F"/>
    <w:rsid w:val="005774A2"/>
    <w:rsid w:val="0057761C"/>
    <w:rsid w:val="0058038C"/>
    <w:rsid w:val="00580B05"/>
    <w:rsid w:val="00581507"/>
    <w:rsid w:val="00581B40"/>
    <w:rsid w:val="00582C34"/>
    <w:rsid w:val="00582CDA"/>
    <w:rsid w:val="0058313B"/>
    <w:rsid w:val="0058333F"/>
    <w:rsid w:val="00583866"/>
    <w:rsid w:val="00583BA3"/>
    <w:rsid w:val="00584C88"/>
    <w:rsid w:val="00585EA4"/>
    <w:rsid w:val="00586253"/>
    <w:rsid w:val="00586343"/>
    <w:rsid w:val="00586404"/>
    <w:rsid w:val="00586AF6"/>
    <w:rsid w:val="005877DE"/>
    <w:rsid w:val="00587965"/>
    <w:rsid w:val="0059070F"/>
    <w:rsid w:val="00590920"/>
    <w:rsid w:val="00590C78"/>
    <w:rsid w:val="0059119F"/>
    <w:rsid w:val="005915E1"/>
    <w:rsid w:val="005917DA"/>
    <w:rsid w:val="00592916"/>
    <w:rsid w:val="00593CE6"/>
    <w:rsid w:val="00593F0C"/>
    <w:rsid w:val="00593F69"/>
    <w:rsid w:val="00594E69"/>
    <w:rsid w:val="00595AB6"/>
    <w:rsid w:val="00595AE0"/>
    <w:rsid w:val="00595DD7"/>
    <w:rsid w:val="0059627C"/>
    <w:rsid w:val="0059662F"/>
    <w:rsid w:val="0059680A"/>
    <w:rsid w:val="005969AB"/>
    <w:rsid w:val="005977E8"/>
    <w:rsid w:val="0059795E"/>
    <w:rsid w:val="005A01EB"/>
    <w:rsid w:val="005A0C2C"/>
    <w:rsid w:val="005A14FF"/>
    <w:rsid w:val="005A1B71"/>
    <w:rsid w:val="005A1D44"/>
    <w:rsid w:val="005A1E9F"/>
    <w:rsid w:val="005A23D6"/>
    <w:rsid w:val="005A2764"/>
    <w:rsid w:val="005A310C"/>
    <w:rsid w:val="005A36C7"/>
    <w:rsid w:val="005A3954"/>
    <w:rsid w:val="005A3B57"/>
    <w:rsid w:val="005A3C0A"/>
    <w:rsid w:val="005A3CD5"/>
    <w:rsid w:val="005A436C"/>
    <w:rsid w:val="005A5B03"/>
    <w:rsid w:val="005A6535"/>
    <w:rsid w:val="005A7A92"/>
    <w:rsid w:val="005A7E9F"/>
    <w:rsid w:val="005B0E99"/>
    <w:rsid w:val="005B10F0"/>
    <w:rsid w:val="005B178E"/>
    <w:rsid w:val="005B242B"/>
    <w:rsid w:val="005B32AD"/>
    <w:rsid w:val="005B3E21"/>
    <w:rsid w:val="005B4963"/>
    <w:rsid w:val="005B49D8"/>
    <w:rsid w:val="005B4C34"/>
    <w:rsid w:val="005B51A3"/>
    <w:rsid w:val="005B5909"/>
    <w:rsid w:val="005B5FC9"/>
    <w:rsid w:val="005B62CE"/>
    <w:rsid w:val="005B680E"/>
    <w:rsid w:val="005B6C33"/>
    <w:rsid w:val="005B7AB7"/>
    <w:rsid w:val="005B7FE5"/>
    <w:rsid w:val="005C0318"/>
    <w:rsid w:val="005C08ED"/>
    <w:rsid w:val="005C09AD"/>
    <w:rsid w:val="005C0CE2"/>
    <w:rsid w:val="005C27EC"/>
    <w:rsid w:val="005C3872"/>
    <w:rsid w:val="005C4358"/>
    <w:rsid w:val="005C4DE7"/>
    <w:rsid w:val="005C57F9"/>
    <w:rsid w:val="005C6C61"/>
    <w:rsid w:val="005C7120"/>
    <w:rsid w:val="005C715E"/>
    <w:rsid w:val="005C7749"/>
    <w:rsid w:val="005C77AA"/>
    <w:rsid w:val="005D0602"/>
    <w:rsid w:val="005D087B"/>
    <w:rsid w:val="005D092D"/>
    <w:rsid w:val="005D0A97"/>
    <w:rsid w:val="005D0C67"/>
    <w:rsid w:val="005D0E9C"/>
    <w:rsid w:val="005D0F60"/>
    <w:rsid w:val="005D0FD9"/>
    <w:rsid w:val="005D2A31"/>
    <w:rsid w:val="005D2C34"/>
    <w:rsid w:val="005D2E99"/>
    <w:rsid w:val="005D3226"/>
    <w:rsid w:val="005D3B49"/>
    <w:rsid w:val="005D4D9B"/>
    <w:rsid w:val="005D4DC6"/>
    <w:rsid w:val="005D5EE9"/>
    <w:rsid w:val="005D66D8"/>
    <w:rsid w:val="005D687B"/>
    <w:rsid w:val="005D73AA"/>
    <w:rsid w:val="005D7767"/>
    <w:rsid w:val="005E0114"/>
    <w:rsid w:val="005E053D"/>
    <w:rsid w:val="005E0618"/>
    <w:rsid w:val="005E07E6"/>
    <w:rsid w:val="005E13BE"/>
    <w:rsid w:val="005E2C46"/>
    <w:rsid w:val="005E2D5F"/>
    <w:rsid w:val="005E39D2"/>
    <w:rsid w:val="005E3B28"/>
    <w:rsid w:val="005E3F58"/>
    <w:rsid w:val="005E4199"/>
    <w:rsid w:val="005E4691"/>
    <w:rsid w:val="005E4C81"/>
    <w:rsid w:val="005E54C3"/>
    <w:rsid w:val="005E55DA"/>
    <w:rsid w:val="005E5B28"/>
    <w:rsid w:val="005E6D13"/>
    <w:rsid w:val="005F02FC"/>
    <w:rsid w:val="005F0BA9"/>
    <w:rsid w:val="005F0EEA"/>
    <w:rsid w:val="005F1676"/>
    <w:rsid w:val="005F179B"/>
    <w:rsid w:val="005F1E12"/>
    <w:rsid w:val="005F1FD3"/>
    <w:rsid w:val="005F2817"/>
    <w:rsid w:val="005F38D9"/>
    <w:rsid w:val="005F3D91"/>
    <w:rsid w:val="005F3E44"/>
    <w:rsid w:val="005F4CA1"/>
    <w:rsid w:val="005F5242"/>
    <w:rsid w:val="005F56AB"/>
    <w:rsid w:val="005F5D43"/>
    <w:rsid w:val="005F5E27"/>
    <w:rsid w:val="005F62F4"/>
    <w:rsid w:val="005F67A4"/>
    <w:rsid w:val="005F6FC5"/>
    <w:rsid w:val="006003AA"/>
    <w:rsid w:val="00600BFD"/>
    <w:rsid w:val="00600E67"/>
    <w:rsid w:val="00601944"/>
    <w:rsid w:val="00601E7E"/>
    <w:rsid w:val="00601ECB"/>
    <w:rsid w:val="006031D8"/>
    <w:rsid w:val="00603978"/>
    <w:rsid w:val="006044E1"/>
    <w:rsid w:val="006048F7"/>
    <w:rsid w:val="00604DA9"/>
    <w:rsid w:val="00606BAC"/>
    <w:rsid w:val="00607219"/>
    <w:rsid w:val="0060777D"/>
    <w:rsid w:val="0060787A"/>
    <w:rsid w:val="00607C07"/>
    <w:rsid w:val="00611436"/>
    <w:rsid w:val="0061189A"/>
    <w:rsid w:val="00611ED6"/>
    <w:rsid w:val="006121C3"/>
    <w:rsid w:val="006121F2"/>
    <w:rsid w:val="00612404"/>
    <w:rsid w:val="006126B8"/>
    <w:rsid w:val="00613A5B"/>
    <w:rsid w:val="00613E70"/>
    <w:rsid w:val="006146CB"/>
    <w:rsid w:val="00614864"/>
    <w:rsid w:val="006151E8"/>
    <w:rsid w:val="0061546E"/>
    <w:rsid w:val="00615534"/>
    <w:rsid w:val="0061574D"/>
    <w:rsid w:val="00615FFB"/>
    <w:rsid w:val="00616719"/>
    <w:rsid w:val="00616B3F"/>
    <w:rsid w:val="00616F0A"/>
    <w:rsid w:val="00617453"/>
    <w:rsid w:val="00617F66"/>
    <w:rsid w:val="00617FF6"/>
    <w:rsid w:val="00620100"/>
    <w:rsid w:val="00620597"/>
    <w:rsid w:val="00621057"/>
    <w:rsid w:val="0062158F"/>
    <w:rsid w:val="00621F6A"/>
    <w:rsid w:val="0062234D"/>
    <w:rsid w:val="00622D1F"/>
    <w:rsid w:val="00623A3B"/>
    <w:rsid w:val="006243F1"/>
    <w:rsid w:val="006254FF"/>
    <w:rsid w:val="00626332"/>
    <w:rsid w:val="0062677B"/>
    <w:rsid w:val="00626ADE"/>
    <w:rsid w:val="006271B6"/>
    <w:rsid w:val="00627782"/>
    <w:rsid w:val="0062789A"/>
    <w:rsid w:val="006279F4"/>
    <w:rsid w:val="00627BA0"/>
    <w:rsid w:val="006318A4"/>
    <w:rsid w:val="00631B1C"/>
    <w:rsid w:val="006326F3"/>
    <w:rsid w:val="00632DB1"/>
    <w:rsid w:val="00632DC8"/>
    <w:rsid w:val="00632E52"/>
    <w:rsid w:val="0063311D"/>
    <w:rsid w:val="00633321"/>
    <w:rsid w:val="00633F3C"/>
    <w:rsid w:val="0063417A"/>
    <w:rsid w:val="00634542"/>
    <w:rsid w:val="00634AA2"/>
    <w:rsid w:val="00634D85"/>
    <w:rsid w:val="006354A9"/>
    <w:rsid w:val="00636397"/>
    <w:rsid w:val="00636450"/>
    <w:rsid w:val="00636993"/>
    <w:rsid w:val="006369FC"/>
    <w:rsid w:val="00636B2F"/>
    <w:rsid w:val="00637371"/>
    <w:rsid w:val="00640FF9"/>
    <w:rsid w:val="00641231"/>
    <w:rsid w:val="006419C6"/>
    <w:rsid w:val="00641C2C"/>
    <w:rsid w:val="00642E81"/>
    <w:rsid w:val="00643063"/>
    <w:rsid w:val="006433A4"/>
    <w:rsid w:val="00643872"/>
    <w:rsid w:val="00644B4A"/>
    <w:rsid w:val="00644CFC"/>
    <w:rsid w:val="00644DFF"/>
    <w:rsid w:val="00645312"/>
    <w:rsid w:val="00645392"/>
    <w:rsid w:val="0064550C"/>
    <w:rsid w:val="00645854"/>
    <w:rsid w:val="00645DBB"/>
    <w:rsid w:val="006461FB"/>
    <w:rsid w:val="00646C9D"/>
    <w:rsid w:val="00646F9B"/>
    <w:rsid w:val="0064719F"/>
    <w:rsid w:val="00647248"/>
    <w:rsid w:val="0065070B"/>
    <w:rsid w:val="00650A88"/>
    <w:rsid w:val="00650C38"/>
    <w:rsid w:val="006519B8"/>
    <w:rsid w:val="00652AF4"/>
    <w:rsid w:val="00654D6E"/>
    <w:rsid w:val="0065677C"/>
    <w:rsid w:val="0065685A"/>
    <w:rsid w:val="00657239"/>
    <w:rsid w:val="006602B8"/>
    <w:rsid w:val="00660CA6"/>
    <w:rsid w:val="00661F7B"/>
    <w:rsid w:val="006628E8"/>
    <w:rsid w:val="0066314A"/>
    <w:rsid w:val="006634B0"/>
    <w:rsid w:val="006639B6"/>
    <w:rsid w:val="00663DB2"/>
    <w:rsid w:val="0066407A"/>
    <w:rsid w:val="006645DF"/>
    <w:rsid w:val="00664776"/>
    <w:rsid w:val="0066482B"/>
    <w:rsid w:val="00664E0C"/>
    <w:rsid w:val="00664E72"/>
    <w:rsid w:val="0066539C"/>
    <w:rsid w:val="006655B4"/>
    <w:rsid w:val="00666103"/>
    <w:rsid w:val="00666CE7"/>
    <w:rsid w:val="00667EEC"/>
    <w:rsid w:val="0067051F"/>
    <w:rsid w:val="0067096A"/>
    <w:rsid w:val="00670EBA"/>
    <w:rsid w:val="00672665"/>
    <w:rsid w:val="0067312C"/>
    <w:rsid w:val="006738F4"/>
    <w:rsid w:val="00674172"/>
    <w:rsid w:val="0067419C"/>
    <w:rsid w:val="0067449C"/>
    <w:rsid w:val="006757D0"/>
    <w:rsid w:val="006763F3"/>
    <w:rsid w:val="006764A8"/>
    <w:rsid w:val="006769A8"/>
    <w:rsid w:val="00676A9E"/>
    <w:rsid w:val="00676E9A"/>
    <w:rsid w:val="00677354"/>
    <w:rsid w:val="00677789"/>
    <w:rsid w:val="00677A94"/>
    <w:rsid w:val="00677AF3"/>
    <w:rsid w:val="00677FA1"/>
    <w:rsid w:val="006803CC"/>
    <w:rsid w:val="006804DD"/>
    <w:rsid w:val="00680AA2"/>
    <w:rsid w:val="00680FFD"/>
    <w:rsid w:val="00681537"/>
    <w:rsid w:val="006816B8"/>
    <w:rsid w:val="00681D9C"/>
    <w:rsid w:val="00684075"/>
    <w:rsid w:val="006843B8"/>
    <w:rsid w:val="00684DAB"/>
    <w:rsid w:val="00684EEC"/>
    <w:rsid w:val="00684F6C"/>
    <w:rsid w:val="00685864"/>
    <w:rsid w:val="00685B3E"/>
    <w:rsid w:val="00685F1D"/>
    <w:rsid w:val="00686512"/>
    <w:rsid w:val="00686F16"/>
    <w:rsid w:val="00687057"/>
    <w:rsid w:val="00690129"/>
    <w:rsid w:val="006917B7"/>
    <w:rsid w:val="006919E1"/>
    <w:rsid w:val="00691C8E"/>
    <w:rsid w:val="00692C19"/>
    <w:rsid w:val="0069359D"/>
    <w:rsid w:val="00693BEC"/>
    <w:rsid w:val="00694014"/>
    <w:rsid w:val="00694651"/>
    <w:rsid w:val="00694BE9"/>
    <w:rsid w:val="00695B76"/>
    <w:rsid w:val="00695BB8"/>
    <w:rsid w:val="0069608E"/>
    <w:rsid w:val="00696438"/>
    <w:rsid w:val="00696483"/>
    <w:rsid w:val="00696B71"/>
    <w:rsid w:val="0069731A"/>
    <w:rsid w:val="006975BF"/>
    <w:rsid w:val="00697BB5"/>
    <w:rsid w:val="00697F9F"/>
    <w:rsid w:val="006A0982"/>
    <w:rsid w:val="006A2304"/>
    <w:rsid w:val="006A2351"/>
    <w:rsid w:val="006A2CDA"/>
    <w:rsid w:val="006A2D3B"/>
    <w:rsid w:val="006A3A99"/>
    <w:rsid w:val="006A46F6"/>
    <w:rsid w:val="006A48E9"/>
    <w:rsid w:val="006A6093"/>
    <w:rsid w:val="006A6C3E"/>
    <w:rsid w:val="006A777A"/>
    <w:rsid w:val="006A794F"/>
    <w:rsid w:val="006A7A0E"/>
    <w:rsid w:val="006A7D2A"/>
    <w:rsid w:val="006A7D53"/>
    <w:rsid w:val="006B00B7"/>
    <w:rsid w:val="006B03C6"/>
    <w:rsid w:val="006B08DA"/>
    <w:rsid w:val="006B0C3F"/>
    <w:rsid w:val="006B151B"/>
    <w:rsid w:val="006B20F3"/>
    <w:rsid w:val="006B2979"/>
    <w:rsid w:val="006B2B91"/>
    <w:rsid w:val="006B31B8"/>
    <w:rsid w:val="006B3F5A"/>
    <w:rsid w:val="006B415B"/>
    <w:rsid w:val="006B54FC"/>
    <w:rsid w:val="006B5A8D"/>
    <w:rsid w:val="006B5B45"/>
    <w:rsid w:val="006B5B6C"/>
    <w:rsid w:val="006B68EB"/>
    <w:rsid w:val="006B6973"/>
    <w:rsid w:val="006B6D99"/>
    <w:rsid w:val="006B7583"/>
    <w:rsid w:val="006C089B"/>
    <w:rsid w:val="006C1B39"/>
    <w:rsid w:val="006C1C84"/>
    <w:rsid w:val="006C24A1"/>
    <w:rsid w:val="006C24F2"/>
    <w:rsid w:val="006C2992"/>
    <w:rsid w:val="006C2C4C"/>
    <w:rsid w:val="006C3450"/>
    <w:rsid w:val="006C393A"/>
    <w:rsid w:val="006C4024"/>
    <w:rsid w:val="006C41F8"/>
    <w:rsid w:val="006C43E6"/>
    <w:rsid w:val="006C4988"/>
    <w:rsid w:val="006C54B8"/>
    <w:rsid w:val="006C5A4D"/>
    <w:rsid w:val="006C65FA"/>
    <w:rsid w:val="006C6975"/>
    <w:rsid w:val="006D0480"/>
    <w:rsid w:val="006D07B3"/>
    <w:rsid w:val="006D07BB"/>
    <w:rsid w:val="006D0AA2"/>
    <w:rsid w:val="006D1808"/>
    <w:rsid w:val="006D1D92"/>
    <w:rsid w:val="006D239D"/>
    <w:rsid w:val="006D2408"/>
    <w:rsid w:val="006D25F9"/>
    <w:rsid w:val="006D2651"/>
    <w:rsid w:val="006D2B4B"/>
    <w:rsid w:val="006D2C44"/>
    <w:rsid w:val="006D33B5"/>
    <w:rsid w:val="006D3830"/>
    <w:rsid w:val="006D3BB7"/>
    <w:rsid w:val="006D47C0"/>
    <w:rsid w:val="006D48B8"/>
    <w:rsid w:val="006D4CBC"/>
    <w:rsid w:val="006D4D99"/>
    <w:rsid w:val="006D5523"/>
    <w:rsid w:val="006D5797"/>
    <w:rsid w:val="006D74BC"/>
    <w:rsid w:val="006D750C"/>
    <w:rsid w:val="006D770D"/>
    <w:rsid w:val="006D7841"/>
    <w:rsid w:val="006D7E60"/>
    <w:rsid w:val="006E035E"/>
    <w:rsid w:val="006E150D"/>
    <w:rsid w:val="006E230A"/>
    <w:rsid w:val="006E24FB"/>
    <w:rsid w:val="006E2DDD"/>
    <w:rsid w:val="006E3B8A"/>
    <w:rsid w:val="006E5599"/>
    <w:rsid w:val="006E6FAE"/>
    <w:rsid w:val="006E7416"/>
    <w:rsid w:val="006F011C"/>
    <w:rsid w:val="006F01A1"/>
    <w:rsid w:val="006F0272"/>
    <w:rsid w:val="006F0D86"/>
    <w:rsid w:val="006F0FF6"/>
    <w:rsid w:val="006F1075"/>
    <w:rsid w:val="006F1637"/>
    <w:rsid w:val="006F1BFA"/>
    <w:rsid w:val="006F1EE6"/>
    <w:rsid w:val="006F220B"/>
    <w:rsid w:val="006F254D"/>
    <w:rsid w:val="006F318B"/>
    <w:rsid w:val="006F356E"/>
    <w:rsid w:val="006F3A0C"/>
    <w:rsid w:val="006F4917"/>
    <w:rsid w:val="006F5C21"/>
    <w:rsid w:val="006F62A7"/>
    <w:rsid w:val="006F6638"/>
    <w:rsid w:val="006F6B3B"/>
    <w:rsid w:val="006F70A0"/>
    <w:rsid w:val="006F7309"/>
    <w:rsid w:val="006F73AF"/>
    <w:rsid w:val="006F74A6"/>
    <w:rsid w:val="006F77FC"/>
    <w:rsid w:val="006F7984"/>
    <w:rsid w:val="006F7FCB"/>
    <w:rsid w:val="00701488"/>
    <w:rsid w:val="00701615"/>
    <w:rsid w:val="00701CCF"/>
    <w:rsid w:val="0070201B"/>
    <w:rsid w:val="007026C5"/>
    <w:rsid w:val="00702A13"/>
    <w:rsid w:val="007030D8"/>
    <w:rsid w:val="0070367F"/>
    <w:rsid w:val="00703C22"/>
    <w:rsid w:val="00703FA8"/>
    <w:rsid w:val="007041DB"/>
    <w:rsid w:val="00705080"/>
    <w:rsid w:val="0070581D"/>
    <w:rsid w:val="00706690"/>
    <w:rsid w:val="007067EB"/>
    <w:rsid w:val="007073DE"/>
    <w:rsid w:val="0070780A"/>
    <w:rsid w:val="0071078E"/>
    <w:rsid w:val="00710875"/>
    <w:rsid w:val="00710A23"/>
    <w:rsid w:val="0071139D"/>
    <w:rsid w:val="00711E2C"/>
    <w:rsid w:val="00712C85"/>
    <w:rsid w:val="0071324C"/>
    <w:rsid w:val="0071331C"/>
    <w:rsid w:val="00713833"/>
    <w:rsid w:val="007138CC"/>
    <w:rsid w:val="00713D64"/>
    <w:rsid w:val="00713EDF"/>
    <w:rsid w:val="00714476"/>
    <w:rsid w:val="00715106"/>
    <w:rsid w:val="007156E3"/>
    <w:rsid w:val="00715FCE"/>
    <w:rsid w:val="007160D0"/>
    <w:rsid w:val="0071633D"/>
    <w:rsid w:val="00716D94"/>
    <w:rsid w:val="007200FA"/>
    <w:rsid w:val="00720128"/>
    <w:rsid w:val="007203E5"/>
    <w:rsid w:val="00720545"/>
    <w:rsid w:val="007205BD"/>
    <w:rsid w:val="00720F7D"/>
    <w:rsid w:val="00721865"/>
    <w:rsid w:val="00721C2D"/>
    <w:rsid w:val="007224A3"/>
    <w:rsid w:val="007231C5"/>
    <w:rsid w:val="00723BD6"/>
    <w:rsid w:val="00724191"/>
    <w:rsid w:val="00724533"/>
    <w:rsid w:val="00724ABE"/>
    <w:rsid w:val="00725B28"/>
    <w:rsid w:val="00727642"/>
    <w:rsid w:val="00727AD9"/>
    <w:rsid w:val="00730738"/>
    <w:rsid w:val="0073107C"/>
    <w:rsid w:val="00731CB9"/>
    <w:rsid w:val="00732420"/>
    <w:rsid w:val="00732C09"/>
    <w:rsid w:val="00734A54"/>
    <w:rsid w:val="00735291"/>
    <w:rsid w:val="0073666E"/>
    <w:rsid w:val="00736887"/>
    <w:rsid w:val="007369CC"/>
    <w:rsid w:val="00736C76"/>
    <w:rsid w:val="0073730F"/>
    <w:rsid w:val="007374CB"/>
    <w:rsid w:val="00737617"/>
    <w:rsid w:val="0073786A"/>
    <w:rsid w:val="00740026"/>
    <w:rsid w:val="00740CF5"/>
    <w:rsid w:val="00740EC2"/>
    <w:rsid w:val="0074152E"/>
    <w:rsid w:val="00741B22"/>
    <w:rsid w:val="00741D60"/>
    <w:rsid w:val="0074212A"/>
    <w:rsid w:val="00743646"/>
    <w:rsid w:val="0074428A"/>
    <w:rsid w:val="007449E6"/>
    <w:rsid w:val="00744BE6"/>
    <w:rsid w:val="0074549A"/>
    <w:rsid w:val="00745676"/>
    <w:rsid w:val="00746BEF"/>
    <w:rsid w:val="00746EC7"/>
    <w:rsid w:val="007470B2"/>
    <w:rsid w:val="00747893"/>
    <w:rsid w:val="00747A9A"/>
    <w:rsid w:val="00747C07"/>
    <w:rsid w:val="00747E27"/>
    <w:rsid w:val="0075046D"/>
    <w:rsid w:val="007509A5"/>
    <w:rsid w:val="007513EE"/>
    <w:rsid w:val="00751647"/>
    <w:rsid w:val="00751C00"/>
    <w:rsid w:val="00751EE9"/>
    <w:rsid w:val="00752614"/>
    <w:rsid w:val="007534DE"/>
    <w:rsid w:val="00753852"/>
    <w:rsid w:val="00753A19"/>
    <w:rsid w:val="007547DD"/>
    <w:rsid w:val="00755337"/>
    <w:rsid w:val="00755FF1"/>
    <w:rsid w:val="007560DB"/>
    <w:rsid w:val="00757939"/>
    <w:rsid w:val="00760195"/>
    <w:rsid w:val="0076043A"/>
    <w:rsid w:val="007613CF"/>
    <w:rsid w:val="00761AAA"/>
    <w:rsid w:val="00762087"/>
    <w:rsid w:val="007629EF"/>
    <w:rsid w:val="00763BC5"/>
    <w:rsid w:val="00763CBC"/>
    <w:rsid w:val="00763DA0"/>
    <w:rsid w:val="00763E0D"/>
    <w:rsid w:val="00764553"/>
    <w:rsid w:val="00764649"/>
    <w:rsid w:val="007650CD"/>
    <w:rsid w:val="00765153"/>
    <w:rsid w:val="007651AE"/>
    <w:rsid w:val="00765481"/>
    <w:rsid w:val="00765B07"/>
    <w:rsid w:val="00765C4C"/>
    <w:rsid w:val="00765F34"/>
    <w:rsid w:val="00770881"/>
    <w:rsid w:val="00771201"/>
    <w:rsid w:val="00771822"/>
    <w:rsid w:val="00771A65"/>
    <w:rsid w:val="00771A7C"/>
    <w:rsid w:val="00771D54"/>
    <w:rsid w:val="00772A63"/>
    <w:rsid w:val="00772B8D"/>
    <w:rsid w:val="00772FD2"/>
    <w:rsid w:val="0077423B"/>
    <w:rsid w:val="007742F9"/>
    <w:rsid w:val="00774975"/>
    <w:rsid w:val="00774983"/>
    <w:rsid w:val="00774E8E"/>
    <w:rsid w:val="00774E95"/>
    <w:rsid w:val="007755BC"/>
    <w:rsid w:val="00776862"/>
    <w:rsid w:val="00776BA4"/>
    <w:rsid w:val="00777BA2"/>
    <w:rsid w:val="00777FA9"/>
    <w:rsid w:val="007803E8"/>
    <w:rsid w:val="00780F6F"/>
    <w:rsid w:val="00782F07"/>
    <w:rsid w:val="0078321D"/>
    <w:rsid w:val="00783F05"/>
    <w:rsid w:val="00784AE9"/>
    <w:rsid w:val="00784DE1"/>
    <w:rsid w:val="0078506C"/>
    <w:rsid w:val="00785657"/>
    <w:rsid w:val="007871FE"/>
    <w:rsid w:val="007876C7"/>
    <w:rsid w:val="0079050C"/>
    <w:rsid w:val="00791EE7"/>
    <w:rsid w:val="007920EC"/>
    <w:rsid w:val="0079240F"/>
    <w:rsid w:val="007924B1"/>
    <w:rsid w:val="0079308B"/>
    <w:rsid w:val="00793E14"/>
    <w:rsid w:val="007945B3"/>
    <w:rsid w:val="00794B70"/>
    <w:rsid w:val="00794F5D"/>
    <w:rsid w:val="00796076"/>
    <w:rsid w:val="007970D3"/>
    <w:rsid w:val="007A0296"/>
    <w:rsid w:val="007A11B4"/>
    <w:rsid w:val="007A18C9"/>
    <w:rsid w:val="007A1A33"/>
    <w:rsid w:val="007A1AA3"/>
    <w:rsid w:val="007A3A65"/>
    <w:rsid w:val="007A3CC5"/>
    <w:rsid w:val="007A3EC6"/>
    <w:rsid w:val="007A4DC4"/>
    <w:rsid w:val="007A4FD3"/>
    <w:rsid w:val="007A5290"/>
    <w:rsid w:val="007A67B2"/>
    <w:rsid w:val="007A68E5"/>
    <w:rsid w:val="007A68F1"/>
    <w:rsid w:val="007A77A3"/>
    <w:rsid w:val="007B0B02"/>
    <w:rsid w:val="007B135C"/>
    <w:rsid w:val="007B1380"/>
    <w:rsid w:val="007B1766"/>
    <w:rsid w:val="007B19DA"/>
    <w:rsid w:val="007B2D17"/>
    <w:rsid w:val="007B35A5"/>
    <w:rsid w:val="007B4B36"/>
    <w:rsid w:val="007B5209"/>
    <w:rsid w:val="007B5502"/>
    <w:rsid w:val="007B55F6"/>
    <w:rsid w:val="007B5F09"/>
    <w:rsid w:val="007B61CB"/>
    <w:rsid w:val="007B76C4"/>
    <w:rsid w:val="007C0713"/>
    <w:rsid w:val="007C076F"/>
    <w:rsid w:val="007C1820"/>
    <w:rsid w:val="007C25B6"/>
    <w:rsid w:val="007C325F"/>
    <w:rsid w:val="007C3448"/>
    <w:rsid w:val="007C3678"/>
    <w:rsid w:val="007C4259"/>
    <w:rsid w:val="007C5582"/>
    <w:rsid w:val="007C60EF"/>
    <w:rsid w:val="007C6559"/>
    <w:rsid w:val="007C6954"/>
    <w:rsid w:val="007C717D"/>
    <w:rsid w:val="007C77D0"/>
    <w:rsid w:val="007D012E"/>
    <w:rsid w:val="007D0506"/>
    <w:rsid w:val="007D10F8"/>
    <w:rsid w:val="007D1761"/>
    <w:rsid w:val="007D17E2"/>
    <w:rsid w:val="007D1D20"/>
    <w:rsid w:val="007D315C"/>
    <w:rsid w:val="007D3C0C"/>
    <w:rsid w:val="007D46E9"/>
    <w:rsid w:val="007D5471"/>
    <w:rsid w:val="007D6B57"/>
    <w:rsid w:val="007D731A"/>
    <w:rsid w:val="007D73C0"/>
    <w:rsid w:val="007D78D2"/>
    <w:rsid w:val="007E1507"/>
    <w:rsid w:val="007E190E"/>
    <w:rsid w:val="007E1A70"/>
    <w:rsid w:val="007E2BC5"/>
    <w:rsid w:val="007E2D78"/>
    <w:rsid w:val="007E311B"/>
    <w:rsid w:val="007E3F9C"/>
    <w:rsid w:val="007E41E2"/>
    <w:rsid w:val="007E4E77"/>
    <w:rsid w:val="007E5B4B"/>
    <w:rsid w:val="007E5FB1"/>
    <w:rsid w:val="007E665B"/>
    <w:rsid w:val="007E6AF7"/>
    <w:rsid w:val="007E774C"/>
    <w:rsid w:val="007E778A"/>
    <w:rsid w:val="007E786D"/>
    <w:rsid w:val="007E7A74"/>
    <w:rsid w:val="007F0DFF"/>
    <w:rsid w:val="007F10B2"/>
    <w:rsid w:val="007F1F05"/>
    <w:rsid w:val="007F24B0"/>
    <w:rsid w:val="007F29F7"/>
    <w:rsid w:val="007F380E"/>
    <w:rsid w:val="007F3909"/>
    <w:rsid w:val="007F3A65"/>
    <w:rsid w:val="007F42CA"/>
    <w:rsid w:val="007F4F65"/>
    <w:rsid w:val="007F5C3C"/>
    <w:rsid w:val="007F5F58"/>
    <w:rsid w:val="007F6679"/>
    <w:rsid w:val="007F6F2B"/>
    <w:rsid w:val="007F6FD9"/>
    <w:rsid w:val="007F7675"/>
    <w:rsid w:val="007F7E37"/>
    <w:rsid w:val="007F7EA4"/>
    <w:rsid w:val="008007A7"/>
    <w:rsid w:val="00801014"/>
    <w:rsid w:val="008027C4"/>
    <w:rsid w:val="00802923"/>
    <w:rsid w:val="00802FED"/>
    <w:rsid w:val="00803DAC"/>
    <w:rsid w:val="00804477"/>
    <w:rsid w:val="00804C86"/>
    <w:rsid w:val="00805356"/>
    <w:rsid w:val="008057A3"/>
    <w:rsid w:val="00805A28"/>
    <w:rsid w:val="00805FBB"/>
    <w:rsid w:val="008061D5"/>
    <w:rsid w:val="0080625F"/>
    <w:rsid w:val="00806327"/>
    <w:rsid w:val="0080678A"/>
    <w:rsid w:val="00807062"/>
    <w:rsid w:val="008073DF"/>
    <w:rsid w:val="00807FE6"/>
    <w:rsid w:val="00810626"/>
    <w:rsid w:val="0081077F"/>
    <w:rsid w:val="00810A05"/>
    <w:rsid w:val="00810DD6"/>
    <w:rsid w:val="00810FAD"/>
    <w:rsid w:val="00811AAF"/>
    <w:rsid w:val="00812347"/>
    <w:rsid w:val="00813D97"/>
    <w:rsid w:val="00813F46"/>
    <w:rsid w:val="00814C77"/>
    <w:rsid w:val="00816263"/>
    <w:rsid w:val="00816631"/>
    <w:rsid w:val="00817C41"/>
    <w:rsid w:val="00817D6D"/>
    <w:rsid w:val="008209CB"/>
    <w:rsid w:val="00820EA8"/>
    <w:rsid w:val="00820F98"/>
    <w:rsid w:val="0082147D"/>
    <w:rsid w:val="0082170D"/>
    <w:rsid w:val="008229A6"/>
    <w:rsid w:val="00822FEF"/>
    <w:rsid w:val="00823059"/>
    <w:rsid w:val="00823762"/>
    <w:rsid w:val="00824AC3"/>
    <w:rsid w:val="008253A9"/>
    <w:rsid w:val="008256B0"/>
    <w:rsid w:val="00830480"/>
    <w:rsid w:val="00830B79"/>
    <w:rsid w:val="00830CF6"/>
    <w:rsid w:val="0083115C"/>
    <w:rsid w:val="00831883"/>
    <w:rsid w:val="00831C7D"/>
    <w:rsid w:val="00831C9D"/>
    <w:rsid w:val="00832033"/>
    <w:rsid w:val="00832E50"/>
    <w:rsid w:val="00832F2F"/>
    <w:rsid w:val="00832FDA"/>
    <w:rsid w:val="00833101"/>
    <w:rsid w:val="00833501"/>
    <w:rsid w:val="00833A00"/>
    <w:rsid w:val="00834D50"/>
    <w:rsid w:val="00835992"/>
    <w:rsid w:val="00835CFA"/>
    <w:rsid w:val="00836054"/>
    <w:rsid w:val="0083693B"/>
    <w:rsid w:val="00836BDF"/>
    <w:rsid w:val="00836D01"/>
    <w:rsid w:val="008374AC"/>
    <w:rsid w:val="00837F3D"/>
    <w:rsid w:val="008413F8"/>
    <w:rsid w:val="00841788"/>
    <w:rsid w:val="00843727"/>
    <w:rsid w:val="008438CF"/>
    <w:rsid w:val="008443C9"/>
    <w:rsid w:val="00844FBA"/>
    <w:rsid w:val="0084515A"/>
    <w:rsid w:val="0084530C"/>
    <w:rsid w:val="00845A5B"/>
    <w:rsid w:val="00846382"/>
    <w:rsid w:val="0084672B"/>
    <w:rsid w:val="00847888"/>
    <w:rsid w:val="00847A57"/>
    <w:rsid w:val="00847D8F"/>
    <w:rsid w:val="00847E37"/>
    <w:rsid w:val="00851C4D"/>
    <w:rsid w:val="008531CD"/>
    <w:rsid w:val="00853662"/>
    <w:rsid w:val="00853D7E"/>
    <w:rsid w:val="00853F49"/>
    <w:rsid w:val="00854C15"/>
    <w:rsid w:val="00854EC8"/>
    <w:rsid w:val="008550CC"/>
    <w:rsid w:val="0085530A"/>
    <w:rsid w:val="008560F4"/>
    <w:rsid w:val="00856B92"/>
    <w:rsid w:val="0085773A"/>
    <w:rsid w:val="00857B94"/>
    <w:rsid w:val="0086098D"/>
    <w:rsid w:val="0086205F"/>
    <w:rsid w:val="00862130"/>
    <w:rsid w:val="008621CB"/>
    <w:rsid w:val="008628D9"/>
    <w:rsid w:val="0086394E"/>
    <w:rsid w:val="00863E11"/>
    <w:rsid w:val="0086435D"/>
    <w:rsid w:val="00865F5D"/>
    <w:rsid w:val="00866021"/>
    <w:rsid w:val="0086604C"/>
    <w:rsid w:val="00866359"/>
    <w:rsid w:val="00866F65"/>
    <w:rsid w:val="008701EC"/>
    <w:rsid w:val="008707B5"/>
    <w:rsid w:val="00870CDB"/>
    <w:rsid w:val="00870DBC"/>
    <w:rsid w:val="0087102A"/>
    <w:rsid w:val="008711F9"/>
    <w:rsid w:val="00871EBD"/>
    <w:rsid w:val="00872335"/>
    <w:rsid w:val="008733C7"/>
    <w:rsid w:val="00873790"/>
    <w:rsid w:val="008737CF"/>
    <w:rsid w:val="00873B16"/>
    <w:rsid w:val="00874240"/>
    <w:rsid w:val="00874CB6"/>
    <w:rsid w:val="00874F41"/>
    <w:rsid w:val="0087566E"/>
    <w:rsid w:val="00876F3F"/>
    <w:rsid w:val="00876F9B"/>
    <w:rsid w:val="0087715A"/>
    <w:rsid w:val="008771BB"/>
    <w:rsid w:val="008812D1"/>
    <w:rsid w:val="00882608"/>
    <w:rsid w:val="0088262B"/>
    <w:rsid w:val="008827D2"/>
    <w:rsid w:val="00882EDB"/>
    <w:rsid w:val="008831D1"/>
    <w:rsid w:val="00883E39"/>
    <w:rsid w:val="00883E83"/>
    <w:rsid w:val="008841A9"/>
    <w:rsid w:val="00884433"/>
    <w:rsid w:val="00884662"/>
    <w:rsid w:val="00884AFB"/>
    <w:rsid w:val="008857F5"/>
    <w:rsid w:val="00886427"/>
    <w:rsid w:val="008867E1"/>
    <w:rsid w:val="008871D7"/>
    <w:rsid w:val="00887D36"/>
    <w:rsid w:val="00890304"/>
    <w:rsid w:val="0089075B"/>
    <w:rsid w:val="00891111"/>
    <w:rsid w:val="00891200"/>
    <w:rsid w:val="008914FE"/>
    <w:rsid w:val="008921ED"/>
    <w:rsid w:val="00892BC6"/>
    <w:rsid w:val="00892C1D"/>
    <w:rsid w:val="00894A7C"/>
    <w:rsid w:val="00894AD3"/>
    <w:rsid w:val="00894CA8"/>
    <w:rsid w:val="00895706"/>
    <w:rsid w:val="00895C57"/>
    <w:rsid w:val="00895D6E"/>
    <w:rsid w:val="00895FD3"/>
    <w:rsid w:val="008967EB"/>
    <w:rsid w:val="00897260"/>
    <w:rsid w:val="00897626"/>
    <w:rsid w:val="00897759"/>
    <w:rsid w:val="0089776A"/>
    <w:rsid w:val="00897E4E"/>
    <w:rsid w:val="008A048B"/>
    <w:rsid w:val="008A1C3D"/>
    <w:rsid w:val="008A26EC"/>
    <w:rsid w:val="008A28B8"/>
    <w:rsid w:val="008A2931"/>
    <w:rsid w:val="008A2995"/>
    <w:rsid w:val="008A5162"/>
    <w:rsid w:val="008A56BF"/>
    <w:rsid w:val="008A5E19"/>
    <w:rsid w:val="008A6B3F"/>
    <w:rsid w:val="008A6D50"/>
    <w:rsid w:val="008A7776"/>
    <w:rsid w:val="008A7D66"/>
    <w:rsid w:val="008B038C"/>
    <w:rsid w:val="008B0F23"/>
    <w:rsid w:val="008B176D"/>
    <w:rsid w:val="008B26F0"/>
    <w:rsid w:val="008B3085"/>
    <w:rsid w:val="008B36FD"/>
    <w:rsid w:val="008B3B09"/>
    <w:rsid w:val="008B430E"/>
    <w:rsid w:val="008B4521"/>
    <w:rsid w:val="008B457C"/>
    <w:rsid w:val="008B4BD5"/>
    <w:rsid w:val="008B513A"/>
    <w:rsid w:val="008B5F1D"/>
    <w:rsid w:val="008B5FFE"/>
    <w:rsid w:val="008B6730"/>
    <w:rsid w:val="008B6A92"/>
    <w:rsid w:val="008B766A"/>
    <w:rsid w:val="008B787D"/>
    <w:rsid w:val="008C0504"/>
    <w:rsid w:val="008C0598"/>
    <w:rsid w:val="008C0799"/>
    <w:rsid w:val="008C1585"/>
    <w:rsid w:val="008C162C"/>
    <w:rsid w:val="008C1D9A"/>
    <w:rsid w:val="008C2266"/>
    <w:rsid w:val="008C2293"/>
    <w:rsid w:val="008C25BB"/>
    <w:rsid w:val="008C26B6"/>
    <w:rsid w:val="008C428C"/>
    <w:rsid w:val="008C513E"/>
    <w:rsid w:val="008C53F0"/>
    <w:rsid w:val="008C590A"/>
    <w:rsid w:val="008C59DB"/>
    <w:rsid w:val="008C6629"/>
    <w:rsid w:val="008C6835"/>
    <w:rsid w:val="008C6C08"/>
    <w:rsid w:val="008C6CB0"/>
    <w:rsid w:val="008C74B5"/>
    <w:rsid w:val="008C7929"/>
    <w:rsid w:val="008D0273"/>
    <w:rsid w:val="008D12E1"/>
    <w:rsid w:val="008D188C"/>
    <w:rsid w:val="008D2E0A"/>
    <w:rsid w:val="008D2FBF"/>
    <w:rsid w:val="008D3128"/>
    <w:rsid w:val="008D34B8"/>
    <w:rsid w:val="008D445F"/>
    <w:rsid w:val="008D579E"/>
    <w:rsid w:val="008D5DDF"/>
    <w:rsid w:val="008D603A"/>
    <w:rsid w:val="008D629A"/>
    <w:rsid w:val="008D6590"/>
    <w:rsid w:val="008E02F4"/>
    <w:rsid w:val="008E0B96"/>
    <w:rsid w:val="008E1921"/>
    <w:rsid w:val="008E242A"/>
    <w:rsid w:val="008E30C6"/>
    <w:rsid w:val="008E3323"/>
    <w:rsid w:val="008E3699"/>
    <w:rsid w:val="008E4BDD"/>
    <w:rsid w:val="008E5567"/>
    <w:rsid w:val="008E5E7B"/>
    <w:rsid w:val="008E6311"/>
    <w:rsid w:val="008E654D"/>
    <w:rsid w:val="008E6D84"/>
    <w:rsid w:val="008E74B6"/>
    <w:rsid w:val="008E77D6"/>
    <w:rsid w:val="008F197D"/>
    <w:rsid w:val="008F2670"/>
    <w:rsid w:val="008F2A6C"/>
    <w:rsid w:val="008F2D4F"/>
    <w:rsid w:val="008F2DA8"/>
    <w:rsid w:val="008F317D"/>
    <w:rsid w:val="008F3443"/>
    <w:rsid w:val="008F3E45"/>
    <w:rsid w:val="008F44EC"/>
    <w:rsid w:val="008F4B58"/>
    <w:rsid w:val="008F53E0"/>
    <w:rsid w:val="008F5583"/>
    <w:rsid w:val="008F57ED"/>
    <w:rsid w:val="008F5C7A"/>
    <w:rsid w:val="008F6263"/>
    <w:rsid w:val="008F6D51"/>
    <w:rsid w:val="008F755E"/>
    <w:rsid w:val="008F7577"/>
    <w:rsid w:val="009008BD"/>
    <w:rsid w:val="0090113D"/>
    <w:rsid w:val="00901AF9"/>
    <w:rsid w:val="00902611"/>
    <w:rsid w:val="00902695"/>
    <w:rsid w:val="00902DE7"/>
    <w:rsid w:val="0090370C"/>
    <w:rsid w:val="00903A21"/>
    <w:rsid w:val="0090418C"/>
    <w:rsid w:val="0090451E"/>
    <w:rsid w:val="00904D88"/>
    <w:rsid w:val="00905351"/>
    <w:rsid w:val="009056D4"/>
    <w:rsid w:val="00905E63"/>
    <w:rsid w:val="00906067"/>
    <w:rsid w:val="00906449"/>
    <w:rsid w:val="009065C8"/>
    <w:rsid w:val="009065DB"/>
    <w:rsid w:val="00907551"/>
    <w:rsid w:val="0090775A"/>
    <w:rsid w:val="00907E93"/>
    <w:rsid w:val="00910042"/>
    <w:rsid w:val="00910CEA"/>
    <w:rsid w:val="0091132B"/>
    <w:rsid w:val="0091132C"/>
    <w:rsid w:val="009113CF"/>
    <w:rsid w:val="00911506"/>
    <w:rsid w:val="009115A9"/>
    <w:rsid w:val="00911D44"/>
    <w:rsid w:val="00911D84"/>
    <w:rsid w:val="00914E76"/>
    <w:rsid w:val="009156EE"/>
    <w:rsid w:val="009172A6"/>
    <w:rsid w:val="00917822"/>
    <w:rsid w:val="00917C4B"/>
    <w:rsid w:val="009200C6"/>
    <w:rsid w:val="0092013C"/>
    <w:rsid w:val="00921AE7"/>
    <w:rsid w:val="00921B57"/>
    <w:rsid w:val="0092221D"/>
    <w:rsid w:val="00922226"/>
    <w:rsid w:val="0092230D"/>
    <w:rsid w:val="00922597"/>
    <w:rsid w:val="00922A6F"/>
    <w:rsid w:val="00922F48"/>
    <w:rsid w:val="0092374A"/>
    <w:rsid w:val="00923EC2"/>
    <w:rsid w:val="009242C7"/>
    <w:rsid w:val="009250CD"/>
    <w:rsid w:val="00925667"/>
    <w:rsid w:val="009262F1"/>
    <w:rsid w:val="0092653C"/>
    <w:rsid w:val="00926832"/>
    <w:rsid w:val="009269AC"/>
    <w:rsid w:val="00926BDC"/>
    <w:rsid w:val="00927004"/>
    <w:rsid w:val="009273D2"/>
    <w:rsid w:val="00927833"/>
    <w:rsid w:val="00927925"/>
    <w:rsid w:val="009300C2"/>
    <w:rsid w:val="009305A1"/>
    <w:rsid w:val="00930DF5"/>
    <w:rsid w:val="00931037"/>
    <w:rsid w:val="009314F5"/>
    <w:rsid w:val="00932AF9"/>
    <w:rsid w:val="00933A0A"/>
    <w:rsid w:val="00933A72"/>
    <w:rsid w:val="00933D72"/>
    <w:rsid w:val="009347A5"/>
    <w:rsid w:val="009347D3"/>
    <w:rsid w:val="00934A25"/>
    <w:rsid w:val="00934AB3"/>
    <w:rsid w:val="00935A17"/>
    <w:rsid w:val="00935FAE"/>
    <w:rsid w:val="0093674E"/>
    <w:rsid w:val="00937022"/>
    <w:rsid w:val="00937180"/>
    <w:rsid w:val="0093754B"/>
    <w:rsid w:val="009376ED"/>
    <w:rsid w:val="009400F7"/>
    <w:rsid w:val="00940229"/>
    <w:rsid w:val="00940CE1"/>
    <w:rsid w:val="0094124C"/>
    <w:rsid w:val="00941F87"/>
    <w:rsid w:val="00942CCF"/>
    <w:rsid w:val="00942D62"/>
    <w:rsid w:val="00943089"/>
    <w:rsid w:val="009432C6"/>
    <w:rsid w:val="009435E2"/>
    <w:rsid w:val="00943A83"/>
    <w:rsid w:val="00943CB7"/>
    <w:rsid w:val="00944247"/>
    <w:rsid w:val="009446C7"/>
    <w:rsid w:val="0094607A"/>
    <w:rsid w:val="009464F4"/>
    <w:rsid w:val="0094676D"/>
    <w:rsid w:val="00946799"/>
    <w:rsid w:val="009469A0"/>
    <w:rsid w:val="00946AAD"/>
    <w:rsid w:val="00947667"/>
    <w:rsid w:val="009479D5"/>
    <w:rsid w:val="00951A8E"/>
    <w:rsid w:val="00951B5E"/>
    <w:rsid w:val="00951BBB"/>
    <w:rsid w:val="00952807"/>
    <w:rsid w:val="009529D3"/>
    <w:rsid w:val="0095343C"/>
    <w:rsid w:val="00954275"/>
    <w:rsid w:val="0095435F"/>
    <w:rsid w:val="00955364"/>
    <w:rsid w:val="009554A0"/>
    <w:rsid w:val="009557FB"/>
    <w:rsid w:val="00955942"/>
    <w:rsid w:val="009570DC"/>
    <w:rsid w:val="00957662"/>
    <w:rsid w:val="00960BD1"/>
    <w:rsid w:val="009625AA"/>
    <w:rsid w:val="009640F6"/>
    <w:rsid w:val="009651D5"/>
    <w:rsid w:val="0096618B"/>
    <w:rsid w:val="0096643A"/>
    <w:rsid w:val="009666DA"/>
    <w:rsid w:val="0096680A"/>
    <w:rsid w:val="009701FB"/>
    <w:rsid w:val="0097051A"/>
    <w:rsid w:val="009705FA"/>
    <w:rsid w:val="00970AF3"/>
    <w:rsid w:val="00970C9D"/>
    <w:rsid w:val="009712E6"/>
    <w:rsid w:val="009715D8"/>
    <w:rsid w:val="00972029"/>
    <w:rsid w:val="00973347"/>
    <w:rsid w:val="00973918"/>
    <w:rsid w:val="00973E46"/>
    <w:rsid w:val="00973F09"/>
    <w:rsid w:val="0097582B"/>
    <w:rsid w:val="00975943"/>
    <w:rsid w:val="009763DA"/>
    <w:rsid w:val="0097721D"/>
    <w:rsid w:val="009803F3"/>
    <w:rsid w:val="0098056E"/>
    <w:rsid w:val="009814C2"/>
    <w:rsid w:val="0098199E"/>
    <w:rsid w:val="009821E0"/>
    <w:rsid w:val="00982465"/>
    <w:rsid w:val="0098258E"/>
    <w:rsid w:val="00982A23"/>
    <w:rsid w:val="00982B86"/>
    <w:rsid w:val="00983D1D"/>
    <w:rsid w:val="00984416"/>
    <w:rsid w:val="009845CC"/>
    <w:rsid w:val="00985126"/>
    <w:rsid w:val="0098519E"/>
    <w:rsid w:val="0098535A"/>
    <w:rsid w:val="00985B9C"/>
    <w:rsid w:val="00985C6A"/>
    <w:rsid w:val="00986CBC"/>
    <w:rsid w:val="00986FC2"/>
    <w:rsid w:val="00987437"/>
    <w:rsid w:val="00987467"/>
    <w:rsid w:val="0098786F"/>
    <w:rsid w:val="00987E15"/>
    <w:rsid w:val="00990058"/>
    <w:rsid w:val="0099006D"/>
    <w:rsid w:val="0099020F"/>
    <w:rsid w:val="0099061E"/>
    <w:rsid w:val="00991D78"/>
    <w:rsid w:val="009921FF"/>
    <w:rsid w:val="0099233E"/>
    <w:rsid w:val="009925BD"/>
    <w:rsid w:val="009925EF"/>
    <w:rsid w:val="00992E4D"/>
    <w:rsid w:val="00993E51"/>
    <w:rsid w:val="00993FC1"/>
    <w:rsid w:val="00994060"/>
    <w:rsid w:val="00996448"/>
    <w:rsid w:val="009964B4"/>
    <w:rsid w:val="0099674A"/>
    <w:rsid w:val="009971D9"/>
    <w:rsid w:val="009973C5"/>
    <w:rsid w:val="009A0061"/>
    <w:rsid w:val="009A037F"/>
    <w:rsid w:val="009A0F04"/>
    <w:rsid w:val="009A1641"/>
    <w:rsid w:val="009A178A"/>
    <w:rsid w:val="009A2067"/>
    <w:rsid w:val="009A21FD"/>
    <w:rsid w:val="009A241C"/>
    <w:rsid w:val="009A3008"/>
    <w:rsid w:val="009A30DB"/>
    <w:rsid w:val="009A34BD"/>
    <w:rsid w:val="009A5335"/>
    <w:rsid w:val="009A564A"/>
    <w:rsid w:val="009A5D90"/>
    <w:rsid w:val="009A5DB4"/>
    <w:rsid w:val="009A607B"/>
    <w:rsid w:val="009A6FA6"/>
    <w:rsid w:val="009A723C"/>
    <w:rsid w:val="009A739B"/>
    <w:rsid w:val="009A7410"/>
    <w:rsid w:val="009A779B"/>
    <w:rsid w:val="009A7E3C"/>
    <w:rsid w:val="009B0651"/>
    <w:rsid w:val="009B0992"/>
    <w:rsid w:val="009B0C85"/>
    <w:rsid w:val="009B2349"/>
    <w:rsid w:val="009B27E8"/>
    <w:rsid w:val="009B2F9D"/>
    <w:rsid w:val="009B4283"/>
    <w:rsid w:val="009B4365"/>
    <w:rsid w:val="009B4C2E"/>
    <w:rsid w:val="009B4D6E"/>
    <w:rsid w:val="009B5849"/>
    <w:rsid w:val="009B590E"/>
    <w:rsid w:val="009B5D6B"/>
    <w:rsid w:val="009B69A0"/>
    <w:rsid w:val="009B726A"/>
    <w:rsid w:val="009B74B3"/>
    <w:rsid w:val="009C029B"/>
    <w:rsid w:val="009C04BD"/>
    <w:rsid w:val="009C10CA"/>
    <w:rsid w:val="009C111E"/>
    <w:rsid w:val="009C13B1"/>
    <w:rsid w:val="009C17A3"/>
    <w:rsid w:val="009C228F"/>
    <w:rsid w:val="009C2978"/>
    <w:rsid w:val="009C330F"/>
    <w:rsid w:val="009C3713"/>
    <w:rsid w:val="009C416F"/>
    <w:rsid w:val="009C44F8"/>
    <w:rsid w:val="009C4B13"/>
    <w:rsid w:val="009C5580"/>
    <w:rsid w:val="009C5FC9"/>
    <w:rsid w:val="009C6721"/>
    <w:rsid w:val="009C6BDB"/>
    <w:rsid w:val="009D01A7"/>
    <w:rsid w:val="009D0C0E"/>
    <w:rsid w:val="009D2069"/>
    <w:rsid w:val="009D2AF0"/>
    <w:rsid w:val="009D2B0A"/>
    <w:rsid w:val="009D2B15"/>
    <w:rsid w:val="009D35E9"/>
    <w:rsid w:val="009D37EA"/>
    <w:rsid w:val="009D3969"/>
    <w:rsid w:val="009D667A"/>
    <w:rsid w:val="009D6B27"/>
    <w:rsid w:val="009D734E"/>
    <w:rsid w:val="009D7BB0"/>
    <w:rsid w:val="009D7DAC"/>
    <w:rsid w:val="009D7F3A"/>
    <w:rsid w:val="009E1824"/>
    <w:rsid w:val="009E2517"/>
    <w:rsid w:val="009E25A3"/>
    <w:rsid w:val="009E3632"/>
    <w:rsid w:val="009E54CB"/>
    <w:rsid w:val="009E5BF0"/>
    <w:rsid w:val="009E63E3"/>
    <w:rsid w:val="009E69D3"/>
    <w:rsid w:val="009E77EF"/>
    <w:rsid w:val="009E7E0B"/>
    <w:rsid w:val="009F0121"/>
    <w:rsid w:val="009F01F6"/>
    <w:rsid w:val="009F05D0"/>
    <w:rsid w:val="009F09FD"/>
    <w:rsid w:val="009F1362"/>
    <w:rsid w:val="009F1510"/>
    <w:rsid w:val="009F2222"/>
    <w:rsid w:val="009F365D"/>
    <w:rsid w:val="009F39C3"/>
    <w:rsid w:val="009F3B69"/>
    <w:rsid w:val="009F3EC4"/>
    <w:rsid w:val="009F413B"/>
    <w:rsid w:val="009F421F"/>
    <w:rsid w:val="009F444C"/>
    <w:rsid w:val="009F57DD"/>
    <w:rsid w:val="009F6240"/>
    <w:rsid w:val="009F63AF"/>
    <w:rsid w:val="009F66B4"/>
    <w:rsid w:val="009F6BF1"/>
    <w:rsid w:val="009F6E21"/>
    <w:rsid w:val="009F7FB6"/>
    <w:rsid w:val="00A00354"/>
    <w:rsid w:val="00A02AD2"/>
    <w:rsid w:val="00A02AE3"/>
    <w:rsid w:val="00A03223"/>
    <w:rsid w:val="00A03B90"/>
    <w:rsid w:val="00A050EC"/>
    <w:rsid w:val="00A05E73"/>
    <w:rsid w:val="00A06375"/>
    <w:rsid w:val="00A06389"/>
    <w:rsid w:val="00A06973"/>
    <w:rsid w:val="00A07267"/>
    <w:rsid w:val="00A07A16"/>
    <w:rsid w:val="00A07B91"/>
    <w:rsid w:val="00A102E6"/>
    <w:rsid w:val="00A10874"/>
    <w:rsid w:val="00A10F71"/>
    <w:rsid w:val="00A122D7"/>
    <w:rsid w:val="00A12A9A"/>
    <w:rsid w:val="00A12F2C"/>
    <w:rsid w:val="00A13FE5"/>
    <w:rsid w:val="00A1403A"/>
    <w:rsid w:val="00A14673"/>
    <w:rsid w:val="00A14704"/>
    <w:rsid w:val="00A14A1A"/>
    <w:rsid w:val="00A14D64"/>
    <w:rsid w:val="00A14E5A"/>
    <w:rsid w:val="00A15057"/>
    <w:rsid w:val="00A16044"/>
    <w:rsid w:val="00A16AEF"/>
    <w:rsid w:val="00A2010E"/>
    <w:rsid w:val="00A20C4A"/>
    <w:rsid w:val="00A21C65"/>
    <w:rsid w:val="00A22496"/>
    <w:rsid w:val="00A224AF"/>
    <w:rsid w:val="00A22558"/>
    <w:rsid w:val="00A23D0F"/>
    <w:rsid w:val="00A23E0B"/>
    <w:rsid w:val="00A24209"/>
    <w:rsid w:val="00A243BB"/>
    <w:rsid w:val="00A24FC1"/>
    <w:rsid w:val="00A2541C"/>
    <w:rsid w:val="00A25AA8"/>
    <w:rsid w:val="00A25C02"/>
    <w:rsid w:val="00A27082"/>
    <w:rsid w:val="00A2780D"/>
    <w:rsid w:val="00A30723"/>
    <w:rsid w:val="00A31002"/>
    <w:rsid w:val="00A31287"/>
    <w:rsid w:val="00A319FB"/>
    <w:rsid w:val="00A31E89"/>
    <w:rsid w:val="00A32235"/>
    <w:rsid w:val="00A328AB"/>
    <w:rsid w:val="00A32D64"/>
    <w:rsid w:val="00A32F6C"/>
    <w:rsid w:val="00A33A2A"/>
    <w:rsid w:val="00A33DC1"/>
    <w:rsid w:val="00A34505"/>
    <w:rsid w:val="00A34BA4"/>
    <w:rsid w:val="00A35470"/>
    <w:rsid w:val="00A35959"/>
    <w:rsid w:val="00A36646"/>
    <w:rsid w:val="00A36735"/>
    <w:rsid w:val="00A3692A"/>
    <w:rsid w:val="00A370B8"/>
    <w:rsid w:val="00A3767B"/>
    <w:rsid w:val="00A4123B"/>
    <w:rsid w:val="00A41958"/>
    <w:rsid w:val="00A41F65"/>
    <w:rsid w:val="00A422C7"/>
    <w:rsid w:val="00A426D5"/>
    <w:rsid w:val="00A43247"/>
    <w:rsid w:val="00A434B4"/>
    <w:rsid w:val="00A442D1"/>
    <w:rsid w:val="00A452AA"/>
    <w:rsid w:val="00A458E6"/>
    <w:rsid w:val="00A46407"/>
    <w:rsid w:val="00A47559"/>
    <w:rsid w:val="00A476AA"/>
    <w:rsid w:val="00A4795A"/>
    <w:rsid w:val="00A47EE2"/>
    <w:rsid w:val="00A501FC"/>
    <w:rsid w:val="00A5068A"/>
    <w:rsid w:val="00A5078F"/>
    <w:rsid w:val="00A50ED5"/>
    <w:rsid w:val="00A526F6"/>
    <w:rsid w:val="00A52940"/>
    <w:rsid w:val="00A540C0"/>
    <w:rsid w:val="00A543D6"/>
    <w:rsid w:val="00A54595"/>
    <w:rsid w:val="00A54B57"/>
    <w:rsid w:val="00A55495"/>
    <w:rsid w:val="00A5567B"/>
    <w:rsid w:val="00A558C6"/>
    <w:rsid w:val="00A55A51"/>
    <w:rsid w:val="00A56214"/>
    <w:rsid w:val="00A562A9"/>
    <w:rsid w:val="00A5676D"/>
    <w:rsid w:val="00A56AF2"/>
    <w:rsid w:val="00A56F24"/>
    <w:rsid w:val="00A5747B"/>
    <w:rsid w:val="00A57532"/>
    <w:rsid w:val="00A57882"/>
    <w:rsid w:val="00A60542"/>
    <w:rsid w:val="00A60D16"/>
    <w:rsid w:val="00A60F4C"/>
    <w:rsid w:val="00A622B9"/>
    <w:rsid w:val="00A62791"/>
    <w:rsid w:val="00A6292E"/>
    <w:rsid w:val="00A62BBE"/>
    <w:rsid w:val="00A62EFC"/>
    <w:rsid w:val="00A64E82"/>
    <w:rsid w:val="00A659A3"/>
    <w:rsid w:val="00A6658E"/>
    <w:rsid w:val="00A66791"/>
    <w:rsid w:val="00A67A04"/>
    <w:rsid w:val="00A67E7B"/>
    <w:rsid w:val="00A705A2"/>
    <w:rsid w:val="00A70651"/>
    <w:rsid w:val="00A70CA0"/>
    <w:rsid w:val="00A71147"/>
    <w:rsid w:val="00A71486"/>
    <w:rsid w:val="00A71F37"/>
    <w:rsid w:val="00A721D3"/>
    <w:rsid w:val="00A72BA4"/>
    <w:rsid w:val="00A730A1"/>
    <w:rsid w:val="00A74AF3"/>
    <w:rsid w:val="00A74CA9"/>
    <w:rsid w:val="00A74DF0"/>
    <w:rsid w:val="00A76336"/>
    <w:rsid w:val="00A76480"/>
    <w:rsid w:val="00A76F82"/>
    <w:rsid w:val="00A77895"/>
    <w:rsid w:val="00A80158"/>
    <w:rsid w:val="00A8030C"/>
    <w:rsid w:val="00A80704"/>
    <w:rsid w:val="00A80862"/>
    <w:rsid w:val="00A80B7B"/>
    <w:rsid w:val="00A846D1"/>
    <w:rsid w:val="00A85AA0"/>
    <w:rsid w:val="00A866F8"/>
    <w:rsid w:val="00A868EC"/>
    <w:rsid w:val="00A86EDF"/>
    <w:rsid w:val="00A86FBB"/>
    <w:rsid w:val="00A87018"/>
    <w:rsid w:val="00A870CA"/>
    <w:rsid w:val="00A8749E"/>
    <w:rsid w:val="00A9103C"/>
    <w:rsid w:val="00A9105D"/>
    <w:rsid w:val="00A9110B"/>
    <w:rsid w:val="00A91123"/>
    <w:rsid w:val="00A92373"/>
    <w:rsid w:val="00A92BA8"/>
    <w:rsid w:val="00A93350"/>
    <w:rsid w:val="00A93FB7"/>
    <w:rsid w:val="00A94147"/>
    <w:rsid w:val="00A9568C"/>
    <w:rsid w:val="00A962D7"/>
    <w:rsid w:val="00A965C4"/>
    <w:rsid w:val="00A97622"/>
    <w:rsid w:val="00A97A39"/>
    <w:rsid w:val="00AA078C"/>
    <w:rsid w:val="00AA0A87"/>
    <w:rsid w:val="00AA159D"/>
    <w:rsid w:val="00AA23BA"/>
    <w:rsid w:val="00AA2EC9"/>
    <w:rsid w:val="00AA36C7"/>
    <w:rsid w:val="00AA38BB"/>
    <w:rsid w:val="00AA3B44"/>
    <w:rsid w:val="00AA406D"/>
    <w:rsid w:val="00AA42CD"/>
    <w:rsid w:val="00AA4AF1"/>
    <w:rsid w:val="00AA592A"/>
    <w:rsid w:val="00AA5BB9"/>
    <w:rsid w:val="00AB2347"/>
    <w:rsid w:val="00AB2464"/>
    <w:rsid w:val="00AB294C"/>
    <w:rsid w:val="00AB3790"/>
    <w:rsid w:val="00AB3DBD"/>
    <w:rsid w:val="00AB4B32"/>
    <w:rsid w:val="00AB5EEE"/>
    <w:rsid w:val="00AB603A"/>
    <w:rsid w:val="00AB7377"/>
    <w:rsid w:val="00AB757B"/>
    <w:rsid w:val="00AB7905"/>
    <w:rsid w:val="00AC03CC"/>
    <w:rsid w:val="00AC04B8"/>
    <w:rsid w:val="00AC08D6"/>
    <w:rsid w:val="00AC0E08"/>
    <w:rsid w:val="00AC28D0"/>
    <w:rsid w:val="00AC3E6D"/>
    <w:rsid w:val="00AC3FC5"/>
    <w:rsid w:val="00AC425C"/>
    <w:rsid w:val="00AC5464"/>
    <w:rsid w:val="00AC54A8"/>
    <w:rsid w:val="00AC56B3"/>
    <w:rsid w:val="00AC591D"/>
    <w:rsid w:val="00AC6D5D"/>
    <w:rsid w:val="00AC739B"/>
    <w:rsid w:val="00AC7D2E"/>
    <w:rsid w:val="00AC7F31"/>
    <w:rsid w:val="00AD08A9"/>
    <w:rsid w:val="00AD0AFA"/>
    <w:rsid w:val="00AD0B8D"/>
    <w:rsid w:val="00AD2E4C"/>
    <w:rsid w:val="00AD2F57"/>
    <w:rsid w:val="00AD3299"/>
    <w:rsid w:val="00AD6AC6"/>
    <w:rsid w:val="00AD6DF1"/>
    <w:rsid w:val="00AD731C"/>
    <w:rsid w:val="00AE0C16"/>
    <w:rsid w:val="00AE0EA4"/>
    <w:rsid w:val="00AE166A"/>
    <w:rsid w:val="00AE2A0F"/>
    <w:rsid w:val="00AE39FF"/>
    <w:rsid w:val="00AE3AB6"/>
    <w:rsid w:val="00AE43EA"/>
    <w:rsid w:val="00AE49CD"/>
    <w:rsid w:val="00AE4CC5"/>
    <w:rsid w:val="00AE5B46"/>
    <w:rsid w:val="00AE64E4"/>
    <w:rsid w:val="00AE64EF"/>
    <w:rsid w:val="00AE6816"/>
    <w:rsid w:val="00AE6DC5"/>
    <w:rsid w:val="00AE6DD8"/>
    <w:rsid w:val="00AE6FA6"/>
    <w:rsid w:val="00AE76FC"/>
    <w:rsid w:val="00AE7B9E"/>
    <w:rsid w:val="00AE7C1B"/>
    <w:rsid w:val="00AE7DC3"/>
    <w:rsid w:val="00AF0C92"/>
    <w:rsid w:val="00AF13C8"/>
    <w:rsid w:val="00AF1A68"/>
    <w:rsid w:val="00AF2AE9"/>
    <w:rsid w:val="00AF2FA9"/>
    <w:rsid w:val="00AF30FB"/>
    <w:rsid w:val="00AF3174"/>
    <w:rsid w:val="00AF333F"/>
    <w:rsid w:val="00AF3CA5"/>
    <w:rsid w:val="00AF43A3"/>
    <w:rsid w:val="00AF4873"/>
    <w:rsid w:val="00AF4DD8"/>
    <w:rsid w:val="00AF544A"/>
    <w:rsid w:val="00AF5EBD"/>
    <w:rsid w:val="00AF6655"/>
    <w:rsid w:val="00AF69F3"/>
    <w:rsid w:val="00AF7074"/>
    <w:rsid w:val="00AF725A"/>
    <w:rsid w:val="00AF754F"/>
    <w:rsid w:val="00AF7AAD"/>
    <w:rsid w:val="00AF7B6E"/>
    <w:rsid w:val="00B0003C"/>
    <w:rsid w:val="00B000E6"/>
    <w:rsid w:val="00B00857"/>
    <w:rsid w:val="00B01091"/>
    <w:rsid w:val="00B01228"/>
    <w:rsid w:val="00B01460"/>
    <w:rsid w:val="00B01A4E"/>
    <w:rsid w:val="00B02024"/>
    <w:rsid w:val="00B02549"/>
    <w:rsid w:val="00B02D45"/>
    <w:rsid w:val="00B04A1E"/>
    <w:rsid w:val="00B04A94"/>
    <w:rsid w:val="00B05375"/>
    <w:rsid w:val="00B05591"/>
    <w:rsid w:val="00B0560B"/>
    <w:rsid w:val="00B05623"/>
    <w:rsid w:val="00B06F3A"/>
    <w:rsid w:val="00B07BE4"/>
    <w:rsid w:val="00B07DB0"/>
    <w:rsid w:val="00B10408"/>
    <w:rsid w:val="00B105BD"/>
    <w:rsid w:val="00B106FD"/>
    <w:rsid w:val="00B10964"/>
    <w:rsid w:val="00B10BE1"/>
    <w:rsid w:val="00B10D9D"/>
    <w:rsid w:val="00B116CD"/>
    <w:rsid w:val="00B11B0F"/>
    <w:rsid w:val="00B1213A"/>
    <w:rsid w:val="00B12160"/>
    <w:rsid w:val="00B12632"/>
    <w:rsid w:val="00B12A5A"/>
    <w:rsid w:val="00B12DE0"/>
    <w:rsid w:val="00B1327D"/>
    <w:rsid w:val="00B13484"/>
    <w:rsid w:val="00B139F0"/>
    <w:rsid w:val="00B13E2F"/>
    <w:rsid w:val="00B13F12"/>
    <w:rsid w:val="00B1463C"/>
    <w:rsid w:val="00B15071"/>
    <w:rsid w:val="00B153A3"/>
    <w:rsid w:val="00B160FF"/>
    <w:rsid w:val="00B16969"/>
    <w:rsid w:val="00B16B10"/>
    <w:rsid w:val="00B1789B"/>
    <w:rsid w:val="00B179DA"/>
    <w:rsid w:val="00B17E29"/>
    <w:rsid w:val="00B201CF"/>
    <w:rsid w:val="00B204EA"/>
    <w:rsid w:val="00B205A2"/>
    <w:rsid w:val="00B20BB5"/>
    <w:rsid w:val="00B21357"/>
    <w:rsid w:val="00B21740"/>
    <w:rsid w:val="00B22385"/>
    <w:rsid w:val="00B236E0"/>
    <w:rsid w:val="00B24F51"/>
    <w:rsid w:val="00B2607D"/>
    <w:rsid w:val="00B26AD9"/>
    <w:rsid w:val="00B26BE7"/>
    <w:rsid w:val="00B26C0E"/>
    <w:rsid w:val="00B27202"/>
    <w:rsid w:val="00B273FA"/>
    <w:rsid w:val="00B27713"/>
    <w:rsid w:val="00B27770"/>
    <w:rsid w:val="00B30747"/>
    <w:rsid w:val="00B3082C"/>
    <w:rsid w:val="00B30BFA"/>
    <w:rsid w:val="00B31949"/>
    <w:rsid w:val="00B3206C"/>
    <w:rsid w:val="00B337B1"/>
    <w:rsid w:val="00B343A7"/>
    <w:rsid w:val="00B34D51"/>
    <w:rsid w:val="00B353C4"/>
    <w:rsid w:val="00B3654B"/>
    <w:rsid w:val="00B36A52"/>
    <w:rsid w:val="00B36A8B"/>
    <w:rsid w:val="00B3736B"/>
    <w:rsid w:val="00B373B1"/>
    <w:rsid w:val="00B400A2"/>
    <w:rsid w:val="00B40BC3"/>
    <w:rsid w:val="00B41AA9"/>
    <w:rsid w:val="00B42052"/>
    <w:rsid w:val="00B42143"/>
    <w:rsid w:val="00B4231E"/>
    <w:rsid w:val="00B428B5"/>
    <w:rsid w:val="00B42B82"/>
    <w:rsid w:val="00B42D4F"/>
    <w:rsid w:val="00B42E95"/>
    <w:rsid w:val="00B43798"/>
    <w:rsid w:val="00B43C28"/>
    <w:rsid w:val="00B43DE2"/>
    <w:rsid w:val="00B442FF"/>
    <w:rsid w:val="00B44864"/>
    <w:rsid w:val="00B44A3E"/>
    <w:rsid w:val="00B44B93"/>
    <w:rsid w:val="00B45A10"/>
    <w:rsid w:val="00B466BF"/>
    <w:rsid w:val="00B47C45"/>
    <w:rsid w:val="00B47CE2"/>
    <w:rsid w:val="00B47DFC"/>
    <w:rsid w:val="00B47E80"/>
    <w:rsid w:val="00B504A7"/>
    <w:rsid w:val="00B50692"/>
    <w:rsid w:val="00B50733"/>
    <w:rsid w:val="00B50EDB"/>
    <w:rsid w:val="00B519CC"/>
    <w:rsid w:val="00B525A4"/>
    <w:rsid w:val="00B534D7"/>
    <w:rsid w:val="00B53EEB"/>
    <w:rsid w:val="00B55EAA"/>
    <w:rsid w:val="00B5630B"/>
    <w:rsid w:val="00B563E8"/>
    <w:rsid w:val="00B571DC"/>
    <w:rsid w:val="00B572DF"/>
    <w:rsid w:val="00B606E5"/>
    <w:rsid w:val="00B609EC"/>
    <w:rsid w:val="00B61390"/>
    <w:rsid w:val="00B615AE"/>
    <w:rsid w:val="00B6201A"/>
    <w:rsid w:val="00B6233D"/>
    <w:rsid w:val="00B625E0"/>
    <w:rsid w:val="00B628C9"/>
    <w:rsid w:val="00B642F1"/>
    <w:rsid w:val="00B6442F"/>
    <w:rsid w:val="00B64F3F"/>
    <w:rsid w:val="00B64FDB"/>
    <w:rsid w:val="00B662CD"/>
    <w:rsid w:val="00B66BCA"/>
    <w:rsid w:val="00B67A24"/>
    <w:rsid w:val="00B67AC7"/>
    <w:rsid w:val="00B67E4B"/>
    <w:rsid w:val="00B70220"/>
    <w:rsid w:val="00B70538"/>
    <w:rsid w:val="00B705E8"/>
    <w:rsid w:val="00B706C6"/>
    <w:rsid w:val="00B708DB"/>
    <w:rsid w:val="00B70A7F"/>
    <w:rsid w:val="00B70E1E"/>
    <w:rsid w:val="00B715DC"/>
    <w:rsid w:val="00B71E4F"/>
    <w:rsid w:val="00B7459D"/>
    <w:rsid w:val="00B74F61"/>
    <w:rsid w:val="00B75C5D"/>
    <w:rsid w:val="00B75DE4"/>
    <w:rsid w:val="00B806F4"/>
    <w:rsid w:val="00B825D5"/>
    <w:rsid w:val="00B82F5F"/>
    <w:rsid w:val="00B83324"/>
    <w:rsid w:val="00B83758"/>
    <w:rsid w:val="00B83F0D"/>
    <w:rsid w:val="00B85920"/>
    <w:rsid w:val="00B85A59"/>
    <w:rsid w:val="00B85C46"/>
    <w:rsid w:val="00B85E24"/>
    <w:rsid w:val="00B867B1"/>
    <w:rsid w:val="00B86BC2"/>
    <w:rsid w:val="00B86DA2"/>
    <w:rsid w:val="00B87678"/>
    <w:rsid w:val="00B876F6"/>
    <w:rsid w:val="00B87D27"/>
    <w:rsid w:val="00B87F4C"/>
    <w:rsid w:val="00B905A3"/>
    <w:rsid w:val="00B90BFE"/>
    <w:rsid w:val="00B90CFB"/>
    <w:rsid w:val="00B918E3"/>
    <w:rsid w:val="00B91938"/>
    <w:rsid w:val="00B92419"/>
    <w:rsid w:val="00B92533"/>
    <w:rsid w:val="00B92B02"/>
    <w:rsid w:val="00B931E3"/>
    <w:rsid w:val="00B94107"/>
    <w:rsid w:val="00B9412F"/>
    <w:rsid w:val="00B9484E"/>
    <w:rsid w:val="00B950D3"/>
    <w:rsid w:val="00B9530C"/>
    <w:rsid w:val="00B96162"/>
    <w:rsid w:val="00B964CD"/>
    <w:rsid w:val="00B96841"/>
    <w:rsid w:val="00B97143"/>
    <w:rsid w:val="00B97350"/>
    <w:rsid w:val="00B97581"/>
    <w:rsid w:val="00B97AB5"/>
    <w:rsid w:val="00B97B03"/>
    <w:rsid w:val="00BA05E9"/>
    <w:rsid w:val="00BA0600"/>
    <w:rsid w:val="00BA0935"/>
    <w:rsid w:val="00BA0F1B"/>
    <w:rsid w:val="00BA19C5"/>
    <w:rsid w:val="00BA1D83"/>
    <w:rsid w:val="00BA2331"/>
    <w:rsid w:val="00BA26A2"/>
    <w:rsid w:val="00BA2BE0"/>
    <w:rsid w:val="00BA2C40"/>
    <w:rsid w:val="00BA2F8F"/>
    <w:rsid w:val="00BA32AC"/>
    <w:rsid w:val="00BA3528"/>
    <w:rsid w:val="00BA3DD7"/>
    <w:rsid w:val="00BA4097"/>
    <w:rsid w:val="00BA5156"/>
    <w:rsid w:val="00BA5190"/>
    <w:rsid w:val="00BA6222"/>
    <w:rsid w:val="00BA7211"/>
    <w:rsid w:val="00BA7587"/>
    <w:rsid w:val="00BA7A7F"/>
    <w:rsid w:val="00BA7F7C"/>
    <w:rsid w:val="00BB0A31"/>
    <w:rsid w:val="00BB0DB6"/>
    <w:rsid w:val="00BB16B1"/>
    <w:rsid w:val="00BB1C6D"/>
    <w:rsid w:val="00BB229F"/>
    <w:rsid w:val="00BB23C8"/>
    <w:rsid w:val="00BB2A34"/>
    <w:rsid w:val="00BB3226"/>
    <w:rsid w:val="00BB3636"/>
    <w:rsid w:val="00BB3976"/>
    <w:rsid w:val="00BB3B01"/>
    <w:rsid w:val="00BB3E39"/>
    <w:rsid w:val="00BB4B56"/>
    <w:rsid w:val="00BB54F4"/>
    <w:rsid w:val="00BB5ADF"/>
    <w:rsid w:val="00BB5DF1"/>
    <w:rsid w:val="00BB5F49"/>
    <w:rsid w:val="00BB6494"/>
    <w:rsid w:val="00BB6999"/>
    <w:rsid w:val="00BB6FCA"/>
    <w:rsid w:val="00BB7B99"/>
    <w:rsid w:val="00BB7DC4"/>
    <w:rsid w:val="00BC035A"/>
    <w:rsid w:val="00BC0BCE"/>
    <w:rsid w:val="00BC12E9"/>
    <w:rsid w:val="00BC233D"/>
    <w:rsid w:val="00BC3AA4"/>
    <w:rsid w:val="00BC3CC6"/>
    <w:rsid w:val="00BC4E90"/>
    <w:rsid w:val="00BC5684"/>
    <w:rsid w:val="00BC5838"/>
    <w:rsid w:val="00BC5C96"/>
    <w:rsid w:val="00BC5CA3"/>
    <w:rsid w:val="00BC681E"/>
    <w:rsid w:val="00BC689D"/>
    <w:rsid w:val="00BC6E32"/>
    <w:rsid w:val="00BC762E"/>
    <w:rsid w:val="00BC77A3"/>
    <w:rsid w:val="00BC7E4E"/>
    <w:rsid w:val="00BD2783"/>
    <w:rsid w:val="00BD2B26"/>
    <w:rsid w:val="00BD2F26"/>
    <w:rsid w:val="00BD4C08"/>
    <w:rsid w:val="00BD536D"/>
    <w:rsid w:val="00BD61F5"/>
    <w:rsid w:val="00BD6DC5"/>
    <w:rsid w:val="00BD727C"/>
    <w:rsid w:val="00BD775B"/>
    <w:rsid w:val="00BE04E3"/>
    <w:rsid w:val="00BE0724"/>
    <w:rsid w:val="00BE0854"/>
    <w:rsid w:val="00BE15C8"/>
    <w:rsid w:val="00BE1713"/>
    <w:rsid w:val="00BE1B48"/>
    <w:rsid w:val="00BE1ED2"/>
    <w:rsid w:val="00BE21C8"/>
    <w:rsid w:val="00BE22C1"/>
    <w:rsid w:val="00BE2E41"/>
    <w:rsid w:val="00BE2EA5"/>
    <w:rsid w:val="00BE41AE"/>
    <w:rsid w:val="00BE48CB"/>
    <w:rsid w:val="00BE6730"/>
    <w:rsid w:val="00BE67D6"/>
    <w:rsid w:val="00BE75A5"/>
    <w:rsid w:val="00BE77E4"/>
    <w:rsid w:val="00BF0292"/>
    <w:rsid w:val="00BF1061"/>
    <w:rsid w:val="00BF21F5"/>
    <w:rsid w:val="00BF3350"/>
    <w:rsid w:val="00BF341D"/>
    <w:rsid w:val="00BF3473"/>
    <w:rsid w:val="00BF3514"/>
    <w:rsid w:val="00BF3CE9"/>
    <w:rsid w:val="00BF42D6"/>
    <w:rsid w:val="00BF4478"/>
    <w:rsid w:val="00BF686B"/>
    <w:rsid w:val="00BF718F"/>
    <w:rsid w:val="00BF767C"/>
    <w:rsid w:val="00BF7CAB"/>
    <w:rsid w:val="00C0065E"/>
    <w:rsid w:val="00C00CA6"/>
    <w:rsid w:val="00C027A8"/>
    <w:rsid w:val="00C02D0B"/>
    <w:rsid w:val="00C0347F"/>
    <w:rsid w:val="00C036BC"/>
    <w:rsid w:val="00C0476A"/>
    <w:rsid w:val="00C04834"/>
    <w:rsid w:val="00C05166"/>
    <w:rsid w:val="00C06FB1"/>
    <w:rsid w:val="00C077F8"/>
    <w:rsid w:val="00C10B97"/>
    <w:rsid w:val="00C10EBC"/>
    <w:rsid w:val="00C11773"/>
    <w:rsid w:val="00C119B3"/>
    <w:rsid w:val="00C11F0B"/>
    <w:rsid w:val="00C12473"/>
    <w:rsid w:val="00C12C37"/>
    <w:rsid w:val="00C12E8F"/>
    <w:rsid w:val="00C1315E"/>
    <w:rsid w:val="00C13877"/>
    <w:rsid w:val="00C13DEC"/>
    <w:rsid w:val="00C16397"/>
    <w:rsid w:val="00C16803"/>
    <w:rsid w:val="00C17274"/>
    <w:rsid w:val="00C1793B"/>
    <w:rsid w:val="00C17AD6"/>
    <w:rsid w:val="00C17BFB"/>
    <w:rsid w:val="00C201CA"/>
    <w:rsid w:val="00C20313"/>
    <w:rsid w:val="00C21F8D"/>
    <w:rsid w:val="00C2206F"/>
    <w:rsid w:val="00C22893"/>
    <w:rsid w:val="00C22A2C"/>
    <w:rsid w:val="00C23AB8"/>
    <w:rsid w:val="00C23D73"/>
    <w:rsid w:val="00C23FF1"/>
    <w:rsid w:val="00C240CC"/>
    <w:rsid w:val="00C241A1"/>
    <w:rsid w:val="00C24CAE"/>
    <w:rsid w:val="00C25B3F"/>
    <w:rsid w:val="00C26679"/>
    <w:rsid w:val="00C26807"/>
    <w:rsid w:val="00C26F3D"/>
    <w:rsid w:val="00C27500"/>
    <w:rsid w:val="00C27ADF"/>
    <w:rsid w:val="00C27E6D"/>
    <w:rsid w:val="00C306E8"/>
    <w:rsid w:val="00C30901"/>
    <w:rsid w:val="00C310B6"/>
    <w:rsid w:val="00C3137A"/>
    <w:rsid w:val="00C31641"/>
    <w:rsid w:val="00C33B4E"/>
    <w:rsid w:val="00C34769"/>
    <w:rsid w:val="00C34F0D"/>
    <w:rsid w:val="00C34F46"/>
    <w:rsid w:val="00C35247"/>
    <w:rsid w:val="00C353A1"/>
    <w:rsid w:val="00C356AB"/>
    <w:rsid w:val="00C35956"/>
    <w:rsid w:val="00C35961"/>
    <w:rsid w:val="00C359E9"/>
    <w:rsid w:val="00C36025"/>
    <w:rsid w:val="00C36241"/>
    <w:rsid w:val="00C379D7"/>
    <w:rsid w:val="00C37B7F"/>
    <w:rsid w:val="00C400CC"/>
    <w:rsid w:val="00C4033D"/>
    <w:rsid w:val="00C40586"/>
    <w:rsid w:val="00C407D6"/>
    <w:rsid w:val="00C40B2C"/>
    <w:rsid w:val="00C40D4D"/>
    <w:rsid w:val="00C41A33"/>
    <w:rsid w:val="00C4208F"/>
    <w:rsid w:val="00C42691"/>
    <w:rsid w:val="00C44378"/>
    <w:rsid w:val="00C44B39"/>
    <w:rsid w:val="00C4517C"/>
    <w:rsid w:val="00C454E7"/>
    <w:rsid w:val="00C45AF3"/>
    <w:rsid w:val="00C45B0D"/>
    <w:rsid w:val="00C460C1"/>
    <w:rsid w:val="00C4647E"/>
    <w:rsid w:val="00C46751"/>
    <w:rsid w:val="00C47475"/>
    <w:rsid w:val="00C4768E"/>
    <w:rsid w:val="00C47FCE"/>
    <w:rsid w:val="00C50C6B"/>
    <w:rsid w:val="00C51E53"/>
    <w:rsid w:val="00C5449C"/>
    <w:rsid w:val="00C55987"/>
    <w:rsid w:val="00C55A06"/>
    <w:rsid w:val="00C55A4C"/>
    <w:rsid w:val="00C55CD3"/>
    <w:rsid w:val="00C5657B"/>
    <w:rsid w:val="00C5701A"/>
    <w:rsid w:val="00C570B6"/>
    <w:rsid w:val="00C57D29"/>
    <w:rsid w:val="00C60703"/>
    <w:rsid w:val="00C60A73"/>
    <w:rsid w:val="00C60BF3"/>
    <w:rsid w:val="00C6203D"/>
    <w:rsid w:val="00C62638"/>
    <w:rsid w:val="00C62750"/>
    <w:rsid w:val="00C62EB7"/>
    <w:rsid w:val="00C630D0"/>
    <w:rsid w:val="00C640B5"/>
    <w:rsid w:val="00C64773"/>
    <w:rsid w:val="00C64CF0"/>
    <w:rsid w:val="00C654F1"/>
    <w:rsid w:val="00C67551"/>
    <w:rsid w:val="00C70020"/>
    <w:rsid w:val="00C7042D"/>
    <w:rsid w:val="00C71622"/>
    <w:rsid w:val="00C72120"/>
    <w:rsid w:val="00C7266D"/>
    <w:rsid w:val="00C73A02"/>
    <w:rsid w:val="00C761F9"/>
    <w:rsid w:val="00C77255"/>
    <w:rsid w:val="00C77DA0"/>
    <w:rsid w:val="00C816A0"/>
    <w:rsid w:val="00C821EE"/>
    <w:rsid w:val="00C826BE"/>
    <w:rsid w:val="00C82E29"/>
    <w:rsid w:val="00C83691"/>
    <w:rsid w:val="00C84234"/>
    <w:rsid w:val="00C843D7"/>
    <w:rsid w:val="00C845C0"/>
    <w:rsid w:val="00C84A0A"/>
    <w:rsid w:val="00C84D5B"/>
    <w:rsid w:val="00C84F4B"/>
    <w:rsid w:val="00C8515D"/>
    <w:rsid w:val="00C851A6"/>
    <w:rsid w:val="00C8592B"/>
    <w:rsid w:val="00C86C9D"/>
    <w:rsid w:val="00C86E2D"/>
    <w:rsid w:val="00C8778F"/>
    <w:rsid w:val="00C87A65"/>
    <w:rsid w:val="00C90325"/>
    <w:rsid w:val="00C90A15"/>
    <w:rsid w:val="00C920F8"/>
    <w:rsid w:val="00C925B5"/>
    <w:rsid w:val="00C92879"/>
    <w:rsid w:val="00C95999"/>
    <w:rsid w:val="00C95DD1"/>
    <w:rsid w:val="00C95FA1"/>
    <w:rsid w:val="00C961C9"/>
    <w:rsid w:val="00C9641F"/>
    <w:rsid w:val="00C968A8"/>
    <w:rsid w:val="00C97750"/>
    <w:rsid w:val="00C97E4B"/>
    <w:rsid w:val="00CA04C1"/>
    <w:rsid w:val="00CA11D6"/>
    <w:rsid w:val="00CA14AF"/>
    <w:rsid w:val="00CA1EE0"/>
    <w:rsid w:val="00CA224A"/>
    <w:rsid w:val="00CA3396"/>
    <w:rsid w:val="00CA3537"/>
    <w:rsid w:val="00CA35CD"/>
    <w:rsid w:val="00CA39C6"/>
    <w:rsid w:val="00CA39D8"/>
    <w:rsid w:val="00CA3E77"/>
    <w:rsid w:val="00CA42B9"/>
    <w:rsid w:val="00CA4CCE"/>
    <w:rsid w:val="00CA51CB"/>
    <w:rsid w:val="00CA5338"/>
    <w:rsid w:val="00CA5D12"/>
    <w:rsid w:val="00CA641E"/>
    <w:rsid w:val="00CA67E4"/>
    <w:rsid w:val="00CA73E2"/>
    <w:rsid w:val="00CA7963"/>
    <w:rsid w:val="00CA7FA0"/>
    <w:rsid w:val="00CB04A0"/>
    <w:rsid w:val="00CB0EAF"/>
    <w:rsid w:val="00CB1084"/>
    <w:rsid w:val="00CB18E0"/>
    <w:rsid w:val="00CB1F17"/>
    <w:rsid w:val="00CB2246"/>
    <w:rsid w:val="00CB37DE"/>
    <w:rsid w:val="00CB3A42"/>
    <w:rsid w:val="00CB3DC7"/>
    <w:rsid w:val="00CB4D2A"/>
    <w:rsid w:val="00CB4DB1"/>
    <w:rsid w:val="00CB5709"/>
    <w:rsid w:val="00CC1092"/>
    <w:rsid w:val="00CC1434"/>
    <w:rsid w:val="00CC1B40"/>
    <w:rsid w:val="00CC2F44"/>
    <w:rsid w:val="00CC3542"/>
    <w:rsid w:val="00CC36C0"/>
    <w:rsid w:val="00CC3A56"/>
    <w:rsid w:val="00CC411F"/>
    <w:rsid w:val="00CC4185"/>
    <w:rsid w:val="00CC43BA"/>
    <w:rsid w:val="00CC5C68"/>
    <w:rsid w:val="00CC60E7"/>
    <w:rsid w:val="00CC6598"/>
    <w:rsid w:val="00CC6938"/>
    <w:rsid w:val="00CC6C40"/>
    <w:rsid w:val="00CC7A93"/>
    <w:rsid w:val="00CD05F6"/>
    <w:rsid w:val="00CD1593"/>
    <w:rsid w:val="00CD2D55"/>
    <w:rsid w:val="00CD3437"/>
    <w:rsid w:val="00CD34D3"/>
    <w:rsid w:val="00CD3B94"/>
    <w:rsid w:val="00CD4067"/>
    <w:rsid w:val="00CD47B2"/>
    <w:rsid w:val="00CD4B1C"/>
    <w:rsid w:val="00CD5489"/>
    <w:rsid w:val="00CD55B6"/>
    <w:rsid w:val="00CD665A"/>
    <w:rsid w:val="00CD68CE"/>
    <w:rsid w:val="00CD6F52"/>
    <w:rsid w:val="00CD71CF"/>
    <w:rsid w:val="00CD7428"/>
    <w:rsid w:val="00CE08CE"/>
    <w:rsid w:val="00CE08DC"/>
    <w:rsid w:val="00CE0BAD"/>
    <w:rsid w:val="00CE1B0A"/>
    <w:rsid w:val="00CE1CE0"/>
    <w:rsid w:val="00CE20E9"/>
    <w:rsid w:val="00CE2744"/>
    <w:rsid w:val="00CE2910"/>
    <w:rsid w:val="00CE3773"/>
    <w:rsid w:val="00CE41D5"/>
    <w:rsid w:val="00CE43AF"/>
    <w:rsid w:val="00CE46A7"/>
    <w:rsid w:val="00CE5678"/>
    <w:rsid w:val="00CE5C18"/>
    <w:rsid w:val="00CE675E"/>
    <w:rsid w:val="00CE6BDA"/>
    <w:rsid w:val="00CE6EB0"/>
    <w:rsid w:val="00CE6FC5"/>
    <w:rsid w:val="00CE701C"/>
    <w:rsid w:val="00CE7F13"/>
    <w:rsid w:val="00CF005C"/>
    <w:rsid w:val="00CF0E33"/>
    <w:rsid w:val="00CF21FC"/>
    <w:rsid w:val="00CF2366"/>
    <w:rsid w:val="00CF2C3F"/>
    <w:rsid w:val="00CF4490"/>
    <w:rsid w:val="00CF59B6"/>
    <w:rsid w:val="00CF5A8F"/>
    <w:rsid w:val="00CF6610"/>
    <w:rsid w:val="00CF714C"/>
    <w:rsid w:val="00CF74E6"/>
    <w:rsid w:val="00CF778F"/>
    <w:rsid w:val="00CF77B7"/>
    <w:rsid w:val="00CF781D"/>
    <w:rsid w:val="00CF7CDA"/>
    <w:rsid w:val="00D001D6"/>
    <w:rsid w:val="00D00379"/>
    <w:rsid w:val="00D00FB3"/>
    <w:rsid w:val="00D0133C"/>
    <w:rsid w:val="00D01850"/>
    <w:rsid w:val="00D0194A"/>
    <w:rsid w:val="00D01C21"/>
    <w:rsid w:val="00D028CD"/>
    <w:rsid w:val="00D02EDF"/>
    <w:rsid w:val="00D0334F"/>
    <w:rsid w:val="00D03ADB"/>
    <w:rsid w:val="00D046A4"/>
    <w:rsid w:val="00D05487"/>
    <w:rsid w:val="00D057EE"/>
    <w:rsid w:val="00D05982"/>
    <w:rsid w:val="00D061A2"/>
    <w:rsid w:val="00D06571"/>
    <w:rsid w:val="00D066A2"/>
    <w:rsid w:val="00D06766"/>
    <w:rsid w:val="00D10467"/>
    <w:rsid w:val="00D10652"/>
    <w:rsid w:val="00D108FD"/>
    <w:rsid w:val="00D11859"/>
    <w:rsid w:val="00D121CD"/>
    <w:rsid w:val="00D12A5B"/>
    <w:rsid w:val="00D12B62"/>
    <w:rsid w:val="00D12D14"/>
    <w:rsid w:val="00D13322"/>
    <w:rsid w:val="00D13DB2"/>
    <w:rsid w:val="00D15082"/>
    <w:rsid w:val="00D159C2"/>
    <w:rsid w:val="00D160F3"/>
    <w:rsid w:val="00D16A26"/>
    <w:rsid w:val="00D16DFB"/>
    <w:rsid w:val="00D1766A"/>
    <w:rsid w:val="00D176DE"/>
    <w:rsid w:val="00D20917"/>
    <w:rsid w:val="00D209B6"/>
    <w:rsid w:val="00D21820"/>
    <w:rsid w:val="00D2255F"/>
    <w:rsid w:val="00D22A84"/>
    <w:rsid w:val="00D2354C"/>
    <w:rsid w:val="00D24620"/>
    <w:rsid w:val="00D246E1"/>
    <w:rsid w:val="00D247C6"/>
    <w:rsid w:val="00D24A77"/>
    <w:rsid w:val="00D25854"/>
    <w:rsid w:val="00D25903"/>
    <w:rsid w:val="00D25DE5"/>
    <w:rsid w:val="00D27075"/>
    <w:rsid w:val="00D30214"/>
    <w:rsid w:val="00D30480"/>
    <w:rsid w:val="00D304C9"/>
    <w:rsid w:val="00D3123C"/>
    <w:rsid w:val="00D32A49"/>
    <w:rsid w:val="00D332EC"/>
    <w:rsid w:val="00D33979"/>
    <w:rsid w:val="00D33C32"/>
    <w:rsid w:val="00D33E15"/>
    <w:rsid w:val="00D33EC4"/>
    <w:rsid w:val="00D34BF9"/>
    <w:rsid w:val="00D36362"/>
    <w:rsid w:val="00D36952"/>
    <w:rsid w:val="00D37787"/>
    <w:rsid w:val="00D37DF7"/>
    <w:rsid w:val="00D40650"/>
    <w:rsid w:val="00D406F9"/>
    <w:rsid w:val="00D40A9A"/>
    <w:rsid w:val="00D42950"/>
    <w:rsid w:val="00D42E5E"/>
    <w:rsid w:val="00D4308A"/>
    <w:rsid w:val="00D445D0"/>
    <w:rsid w:val="00D44B05"/>
    <w:rsid w:val="00D44DDC"/>
    <w:rsid w:val="00D44E71"/>
    <w:rsid w:val="00D46121"/>
    <w:rsid w:val="00D4648B"/>
    <w:rsid w:val="00D46A9C"/>
    <w:rsid w:val="00D4707D"/>
    <w:rsid w:val="00D4770E"/>
    <w:rsid w:val="00D51B5E"/>
    <w:rsid w:val="00D52543"/>
    <w:rsid w:val="00D52C15"/>
    <w:rsid w:val="00D53417"/>
    <w:rsid w:val="00D5376A"/>
    <w:rsid w:val="00D5423B"/>
    <w:rsid w:val="00D54545"/>
    <w:rsid w:val="00D55377"/>
    <w:rsid w:val="00D557D5"/>
    <w:rsid w:val="00D5711E"/>
    <w:rsid w:val="00D57E05"/>
    <w:rsid w:val="00D57E4B"/>
    <w:rsid w:val="00D57F52"/>
    <w:rsid w:val="00D60265"/>
    <w:rsid w:val="00D614AE"/>
    <w:rsid w:val="00D62265"/>
    <w:rsid w:val="00D62A64"/>
    <w:rsid w:val="00D62F8D"/>
    <w:rsid w:val="00D63401"/>
    <w:rsid w:val="00D6356F"/>
    <w:rsid w:val="00D63573"/>
    <w:rsid w:val="00D635C3"/>
    <w:rsid w:val="00D64769"/>
    <w:rsid w:val="00D64891"/>
    <w:rsid w:val="00D64E89"/>
    <w:rsid w:val="00D64F50"/>
    <w:rsid w:val="00D65F9C"/>
    <w:rsid w:val="00D66CDD"/>
    <w:rsid w:val="00D6715B"/>
    <w:rsid w:val="00D6717D"/>
    <w:rsid w:val="00D671A1"/>
    <w:rsid w:val="00D6747E"/>
    <w:rsid w:val="00D675A0"/>
    <w:rsid w:val="00D67D2E"/>
    <w:rsid w:val="00D70B18"/>
    <w:rsid w:val="00D7167B"/>
    <w:rsid w:val="00D71F74"/>
    <w:rsid w:val="00D72A23"/>
    <w:rsid w:val="00D7306D"/>
    <w:rsid w:val="00D73519"/>
    <w:rsid w:val="00D7359A"/>
    <w:rsid w:val="00D7362A"/>
    <w:rsid w:val="00D73E83"/>
    <w:rsid w:val="00D74CC6"/>
    <w:rsid w:val="00D751DE"/>
    <w:rsid w:val="00D75549"/>
    <w:rsid w:val="00D77010"/>
    <w:rsid w:val="00D80398"/>
    <w:rsid w:val="00D80A3E"/>
    <w:rsid w:val="00D81440"/>
    <w:rsid w:val="00D81A26"/>
    <w:rsid w:val="00D81E0A"/>
    <w:rsid w:val="00D82146"/>
    <w:rsid w:val="00D825BC"/>
    <w:rsid w:val="00D8291D"/>
    <w:rsid w:val="00D82BC4"/>
    <w:rsid w:val="00D8383A"/>
    <w:rsid w:val="00D83F24"/>
    <w:rsid w:val="00D84061"/>
    <w:rsid w:val="00D84B3D"/>
    <w:rsid w:val="00D8591B"/>
    <w:rsid w:val="00D85C83"/>
    <w:rsid w:val="00D86143"/>
    <w:rsid w:val="00D862E7"/>
    <w:rsid w:val="00D872C4"/>
    <w:rsid w:val="00D907A0"/>
    <w:rsid w:val="00D914E6"/>
    <w:rsid w:val="00D91550"/>
    <w:rsid w:val="00D9181D"/>
    <w:rsid w:val="00D92151"/>
    <w:rsid w:val="00D92315"/>
    <w:rsid w:val="00D92EF0"/>
    <w:rsid w:val="00D9374D"/>
    <w:rsid w:val="00D93DFD"/>
    <w:rsid w:val="00D93F22"/>
    <w:rsid w:val="00D95A4C"/>
    <w:rsid w:val="00D95D18"/>
    <w:rsid w:val="00D96031"/>
    <w:rsid w:val="00D96DBA"/>
    <w:rsid w:val="00D96EB9"/>
    <w:rsid w:val="00D971D2"/>
    <w:rsid w:val="00D97EA8"/>
    <w:rsid w:val="00DA0131"/>
    <w:rsid w:val="00DA0323"/>
    <w:rsid w:val="00DA0F0D"/>
    <w:rsid w:val="00DA1E16"/>
    <w:rsid w:val="00DA2084"/>
    <w:rsid w:val="00DA233D"/>
    <w:rsid w:val="00DA304D"/>
    <w:rsid w:val="00DA32CC"/>
    <w:rsid w:val="00DA3FF9"/>
    <w:rsid w:val="00DA479D"/>
    <w:rsid w:val="00DA4E06"/>
    <w:rsid w:val="00DA7038"/>
    <w:rsid w:val="00DA7564"/>
    <w:rsid w:val="00DA7FB5"/>
    <w:rsid w:val="00DB0120"/>
    <w:rsid w:val="00DB1300"/>
    <w:rsid w:val="00DB13BD"/>
    <w:rsid w:val="00DB1971"/>
    <w:rsid w:val="00DB2FE3"/>
    <w:rsid w:val="00DB33E3"/>
    <w:rsid w:val="00DB35EA"/>
    <w:rsid w:val="00DB386D"/>
    <w:rsid w:val="00DB485C"/>
    <w:rsid w:val="00DB49BC"/>
    <w:rsid w:val="00DB5081"/>
    <w:rsid w:val="00DB6E6C"/>
    <w:rsid w:val="00DC27EF"/>
    <w:rsid w:val="00DC2A1B"/>
    <w:rsid w:val="00DC2C2E"/>
    <w:rsid w:val="00DC2DF7"/>
    <w:rsid w:val="00DC36CB"/>
    <w:rsid w:val="00DC451E"/>
    <w:rsid w:val="00DC513B"/>
    <w:rsid w:val="00DC5499"/>
    <w:rsid w:val="00DC5FA1"/>
    <w:rsid w:val="00DC6726"/>
    <w:rsid w:val="00DC6BE6"/>
    <w:rsid w:val="00DC7C98"/>
    <w:rsid w:val="00DD0BF8"/>
    <w:rsid w:val="00DD0CE4"/>
    <w:rsid w:val="00DD10FC"/>
    <w:rsid w:val="00DD17C3"/>
    <w:rsid w:val="00DD1924"/>
    <w:rsid w:val="00DD1FA5"/>
    <w:rsid w:val="00DD2003"/>
    <w:rsid w:val="00DD2299"/>
    <w:rsid w:val="00DD28E6"/>
    <w:rsid w:val="00DD3EF4"/>
    <w:rsid w:val="00DD476D"/>
    <w:rsid w:val="00DD4892"/>
    <w:rsid w:val="00DD4EB6"/>
    <w:rsid w:val="00DD5AC2"/>
    <w:rsid w:val="00DD5B4E"/>
    <w:rsid w:val="00DD6125"/>
    <w:rsid w:val="00DD6EB6"/>
    <w:rsid w:val="00DE014E"/>
    <w:rsid w:val="00DE0E17"/>
    <w:rsid w:val="00DE1BF7"/>
    <w:rsid w:val="00DE2540"/>
    <w:rsid w:val="00DE352D"/>
    <w:rsid w:val="00DE3721"/>
    <w:rsid w:val="00DE4045"/>
    <w:rsid w:val="00DE46BF"/>
    <w:rsid w:val="00DE4D9E"/>
    <w:rsid w:val="00DE4E9F"/>
    <w:rsid w:val="00DE56B4"/>
    <w:rsid w:val="00DE5741"/>
    <w:rsid w:val="00DE5B02"/>
    <w:rsid w:val="00DE5D87"/>
    <w:rsid w:val="00DE60BA"/>
    <w:rsid w:val="00DE6381"/>
    <w:rsid w:val="00DE646A"/>
    <w:rsid w:val="00DE6675"/>
    <w:rsid w:val="00DE6725"/>
    <w:rsid w:val="00DE6CD2"/>
    <w:rsid w:val="00DE762E"/>
    <w:rsid w:val="00DE7786"/>
    <w:rsid w:val="00DE7C27"/>
    <w:rsid w:val="00DF039A"/>
    <w:rsid w:val="00DF0583"/>
    <w:rsid w:val="00DF0A85"/>
    <w:rsid w:val="00DF0C27"/>
    <w:rsid w:val="00DF0FEF"/>
    <w:rsid w:val="00DF1182"/>
    <w:rsid w:val="00DF23B4"/>
    <w:rsid w:val="00DF2742"/>
    <w:rsid w:val="00DF3A33"/>
    <w:rsid w:val="00DF40E7"/>
    <w:rsid w:val="00DF448C"/>
    <w:rsid w:val="00DF45BC"/>
    <w:rsid w:val="00DF4A8E"/>
    <w:rsid w:val="00DF4F11"/>
    <w:rsid w:val="00DF4F57"/>
    <w:rsid w:val="00DF55F8"/>
    <w:rsid w:val="00DF6C9E"/>
    <w:rsid w:val="00DF734F"/>
    <w:rsid w:val="00DF7450"/>
    <w:rsid w:val="00DF79C6"/>
    <w:rsid w:val="00DF7EE1"/>
    <w:rsid w:val="00E00915"/>
    <w:rsid w:val="00E00AB0"/>
    <w:rsid w:val="00E023FA"/>
    <w:rsid w:val="00E03874"/>
    <w:rsid w:val="00E050A9"/>
    <w:rsid w:val="00E05795"/>
    <w:rsid w:val="00E061D8"/>
    <w:rsid w:val="00E06A60"/>
    <w:rsid w:val="00E06B8C"/>
    <w:rsid w:val="00E06CEE"/>
    <w:rsid w:val="00E06F3D"/>
    <w:rsid w:val="00E07EE4"/>
    <w:rsid w:val="00E1169D"/>
    <w:rsid w:val="00E11B76"/>
    <w:rsid w:val="00E11E96"/>
    <w:rsid w:val="00E124B1"/>
    <w:rsid w:val="00E12FD5"/>
    <w:rsid w:val="00E14091"/>
    <w:rsid w:val="00E14245"/>
    <w:rsid w:val="00E14297"/>
    <w:rsid w:val="00E16847"/>
    <w:rsid w:val="00E16BBB"/>
    <w:rsid w:val="00E20B16"/>
    <w:rsid w:val="00E21DCF"/>
    <w:rsid w:val="00E21F02"/>
    <w:rsid w:val="00E22204"/>
    <w:rsid w:val="00E222FE"/>
    <w:rsid w:val="00E2267F"/>
    <w:rsid w:val="00E22703"/>
    <w:rsid w:val="00E22756"/>
    <w:rsid w:val="00E22964"/>
    <w:rsid w:val="00E22F49"/>
    <w:rsid w:val="00E2363B"/>
    <w:rsid w:val="00E23CEC"/>
    <w:rsid w:val="00E23CFB"/>
    <w:rsid w:val="00E23FC2"/>
    <w:rsid w:val="00E24228"/>
    <w:rsid w:val="00E24DCC"/>
    <w:rsid w:val="00E25CCC"/>
    <w:rsid w:val="00E268E2"/>
    <w:rsid w:val="00E27B5F"/>
    <w:rsid w:val="00E3244A"/>
    <w:rsid w:val="00E32988"/>
    <w:rsid w:val="00E33211"/>
    <w:rsid w:val="00E3377E"/>
    <w:rsid w:val="00E33911"/>
    <w:rsid w:val="00E341FA"/>
    <w:rsid w:val="00E3444E"/>
    <w:rsid w:val="00E3532A"/>
    <w:rsid w:val="00E36A29"/>
    <w:rsid w:val="00E36F30"/>
    <w:rsid w:val="00E3786D"/>
    <w:rsid w:val="00E37DAE"/>
    <w:rsid w:val="00E40016"/>
    <w:rsid w:val="00E402CE"/>
    <w:rsid w:val="00E406CD"/>
    <w:rsid w:val="00E40B19"/>
    <w:rsid w:val="00E41152"/>
    <w:rsid w:val="00E4146C"/>
    <w:rsid w:val="00E41611"/>
    <w:rsid w:val="00E41E98"/>
    <w:rsid w:val="00E426E9"/>
    <w:rsid w:val="00E42A63"/>
    <w:rsid w:val="00E4365B"/>
    <w:rsid w:val="00E43685"/>
    <w:rsid w:val="00E441FF"/>
    <w:rsid w:val="00E445D8"/>
    <w:rsid w:val="00E45557"/>
    <w:rsid w:val="00E45B42"/>
    <w:rsid w:val="00E45E7B"/>
    <w:rsid w:val="00E46343"/>
    <w:rsid w:val="00E463AA"/>
    <w:rsid w:val="00E46427"/>
    <w:rsid w:val="00E467E5"/>
    <w:rsid w:val="00E46826"/>
    <w:rsid w:val="00E468B8"/>
    <w:rsid w:val="00E46ACA"/>
    <w:rsid w:val="00E46F58"/>
    <w:rsid w:val="00E501D0"/>
    <w:rsid w:val="00E5063C"/>
    <w:rsid w:val="00E5192D"/>
    <w:rsid w:val="00E526F5"/>
    <w:rsid w:val="00E52A0C"/>
    <w:rsid w:val="00E52FD1"/>
    <w:rsid w:val="00E53515"/>
    <w:rsid w:val="00E53CED"/>
    <w:rsid w:val="00E544F2"/>
    <w:rsid w:val="00E5471C"/>
    <w:rsid w:val="00E5528B"/>
    <w:rsid w:val="00E5593B"/>
    <w:rsid w:val="00E60A6F"/>
    <w:rsid w:val="00E619F4"/>
    <w:rsid w:val="00E619F6"/>
    <w:rsid w:val="00E61CBD"/>
    <w:rsid w:val="00E61DB4"/>
    <w:rsid w:val="00E61F8B"/>
    <w:rsid w:val="00E629EC"/>
    <w:rsid w:val="00E63429"/>
    <w:rsid w:val="00E63802"/>
    <w:rsid w:val="00E63F24"/>
    <w:rsid w:val="00E64104"/>
    <w:rsid w:val="00E6531B"/>
    <w:rsid w:val="00E65DC0"/>
    <w:rsid w:val="00E6655C"/>
    <w:rsid w:val="00E66804"/>
    <w:rsid w:val="00E66B84"/>
    <w:rsid w:val="00E66D18"/>
    <w:rsid w:val="00E67B53"/>
    <w:rsid w:val="00E67C5F"/>
    <w:rsid w:val="00E700F8"/>
    <w:rsid w:val="00E70A61"/>
    <w:rsid w:val="00E70C56"/>
    <w:rsid w:val="00E71C1C"/>
    <w:rsid w:val="00E72399"/>
    <w:rsid w:val="00E725D0"/>
    <w:rsid w:val="00E72F49"/>
    <w:rsid w:val="00E72FA3"/>
    <w:rsid w:val="00E73094"/>
    <w:rsid w:val="00E7590B"/>
    <w:rsid w:val="00E77251"/>
    <w:rsid w:val="00E773C3"/>
    <w:rsid w:val="00E776F0"/>
    <w:rsid w:val="00E77867"/>
    <w:rsid w:val="00E77A84"/>
    <w:rsid w:val="00E77B8C"/>
    <w:rsid w:val="00E8102A"/>
    <w:rsid w:val="00E817EE"/>
    <w:rsid w:val="00E818A4"/>
    <w:rsid w:val="00E818B6"/>
    <w:rsid w:val="00E82247"/>
    <w:rsid w:val="00E82490"/>
    <w:rsid w:val="00E826EE"/>
    <w:rsid w:val="00E829B3"/>
    <w:rsid w:val="00E82D83"/>
    <w:rsid w:val="00E83487"/>
    <w:rsid w:val="00E84FB5"/>
    <w:rsid w:val="00E8537E"/>
    <w:rsid w:val="00E85A10"/>
    <w:rsid w:val="00E8705B"/>
    <w:rsid w:val="00E87FD5"/>
    <w:rsid w:val="00E90A8E"/>
    <w:rsid w:val="00E90B9C"/>
    <w:rsid w:val="00E90FC9"/>
    <w:rsid w:val="00E914A3"/>
    <w:rsid w:val="00E9187B"/>
    <w:rsid w:val="00E91B86"/>
    <w:rsid w:val="00E91EAA"/>
    <w:rsid w:val="00E92ABD"/>
    <w:rsid w:val="00E92C8E"/>
    <w:rsid w:val="00E92DE9"/>
    <w:rsid w:val="00E92FD0"/>
    <w:rsid w:val="00E94124"/>
    <w:rsid w:val="00E94338"/>
    <w:rsid w:val="00E947AB"/>
    <w:rsid w:val="00E94BA8"/>
    <w:rsid w:val="00E94CA2"/>
    <w:rsid w:val="00E95194"/>
    <w:rsid w:val="00E968BA"/>
    <w:rsid w:val="00E97355"/>
    <w:rsid w:val="00E97438"/>
    <w:rsid w:val="00EA070C"/>
    <w:rsid w:val="00EA07C2"/>
    <w:rsid w:val="00EA0C7D"/>
    <w:rsid w:val="00EA20DF"/>
    <w:rsid w:val="00EA2357"/>
    <w:rsid w:val="00EA2976"/>
    <w:rsid w:val="00EA2E1D"/>
    <w:rsid w:val="00EA2E2C"/>
    <w:rsid w:val="00EA2E9E"/>
    <w:rsid w:val="00EA3978"/>
    <w:rsid w:val="00EA4A25"/>
    <w:rsid w:val="00EA5474"/>
    <w:rsid w:val="00EA57DC"/>
    <w:rsid w:val="00EA5939"/>
    <w:rsid w:val="00EA6920"/>
    <w:rsid w:val="00EA6938"/>
    <w:rsid w:val="00EA6C76"/>
    <w:rsid w:val="00EA76B3"/>
    <w:rsid w:val="00EA78CD"/>
    <w:rsid w:val="00EA78E3"/>
    <w:rsid w:val="00EA7CFC"/>
    <w:rsid w:val="00EB045D"/>
    <w:rsid w:val="00EB1489"/>
    <w:rsid w:val="00EB1C43"/>
    <w:rsid w:val="00EB24C1"/>
    <w:rsid w:val="00EB29A6"/>
    <w:rsid w:val="00EB2B69"/>
    <w:rsid w:val="00EB403F"/>
    <w:rsid w:val="00EB41C4"/>
    <w:rsid w:val="00EB4721"/>
    <w:rsid w:val="00EB4AE5"/>
    <w:rsid w:val="00EB4C47"/>
    <w:rsid w:val="00EB55C1"/>
    <w:rsid w:val="00EB55EF"/>
    <w:rsid w:val="00EB6590"/>
    <w:rsid w:val="00EB6988"/>
    <w:rsid w:val="00EB6E0B"/>
    <w:rsid w:val="00EB7202"/>
    <w:rsid w:val="00EB7B72"/>
    <w:rsid w:val="00EB7BA1"/>
    <w:rsid w:val="00EB7E30"/>
    <w:rsid w:val="00EB7EE9"/>
    <w:rsid w:val="00EC0648"/>
    <w:rsid w:val="00EC06BA"/>
    <w:rsid w:val="00EC1909"/>
    <w:rsid w:val="00EC19C3"/>
    <w:rsid w:val="00EC2835"/>
    <w:rsid w:val="00EC2B29"/>
    <w:rsid w:val="00EC2D25"/>
    <w:rsid w:val="00EC2DE6"/>
    <w:rsid w:val="00EC2DFF"/>
    <w:rsid w:val="00EC4455"/>
    <w:rsid w:val="00EC4A06"/>
    <w:rsid w:val="00EC4C63"/>
    <w:rsid w:val="00EC531E"/>
    <w:rsid w:val="00EC569C"/>
    <w:rsid w:val="00EC5C94"/>
    <w:rsid w:val="00EC7119"/>
    <w:rsid w:val="00EC7477"/>
    <w:rsid w:val="00EC7BE1"/>
    <w:rsid w:val="00EC7C22"/>
    <w:rsid w:val="00ED1828"/>
    <w:rsid w:val="00ED2119"/>
    <w:rsid w:val="00ED23F0"/>
    <w:rsid w:val="00ED2444"/>
    <w:rsid w:val="00ED27A2"/>
    <w:rsid w:val="00ED32F1"/>
    <w:rsid w:val="00ED3885"/>
    <w:rsid w:val="00ED4EEA"/>
    <w:rsid w:val="00ED5D2F"/>
    <w:rsid w:val="00ED6403"/>
    <w:rsid w:val="00ED7049"/>
    <w:rsid w:val="00ED78FF"/>
    <w:rsid w:val="00EE0866"/>
    <w:rsid w:val="00EE0F49"/>
    <w:rsid w:val="00EE1367"/>
    <w:rsid w:val="00EE1729"/>
    <w:rsid w:val="00EE1CA9"/>
    <w:rsid w:val="00EE232C"/>
    <w:rsid w:val="00EE2E00"/>
    <w:rsid w:val="00EE2FDE"/>
    <w:rsid w:val="00EE5722"/>
    <w:rsid w:val="00EE5FB7"/>
    <w:rsid w:val="00EE5FFA"/>
    <w:rsid w:val="00EE639F"/>
    <w:rsid w:val="00EE752C"/>
    <w:rsid w:val="00EE75E0"/>
    <w:rsid w:val="00EE7F03"/>
    <w:rsid w:val="00EF0865"/>
    <w:rsid w:val="00EF0C56"/>
    <w:rsid w:val="00EF0DEE"/>
    <w:rsid w:val="00EF0E10"/>
    <w:rsid w:val="00EF13C0"/>
    <w:rsid w:val="00EF166C"/>
    <w:rsid w:val="00EF25B5"/>
    <w:rsid w:val="00EF2A10"/>
    <w:rsid w:val="00EF4008"/>
    <w:rsid w:val="00EF4E76"/>
    <w:rsid w:val="00EF5F9A"/>
    <w:rsid w:val="00EF601D"/>
    <w:rsid w:val="00F0007F"/>
    <w:rsid w:val="00F00D62"/>
    <w:rsid w:val="00F011F9"/>
    <w:rsid w:val="00F01D30"/>
    <w:rsid w:val="00F01FB0"/>
    <w:rsid w:val="00F02144"/>
    <w:rsid w:val="00F027AB"/>
    <w:rsid w:val="00F0305C"/>
    <w:rsid w:val="00F04388"/>
    <w:rsid w:val="00F04B32"/>
    <w:rsid w:val="00F04E3D"/>
    <w:rsid w:val="00F05A33"/>
    <w:rsid w:val="00F07323"/>
    <w:rsid w:val="00F07988"/>
    <w:rsid w:val="00F10621"/>
    <w:rsid w:val="00F10CD3"/>
    <w:rsid w:val="00F10D93"/>
    <w:rsid w:val="00F119EC"/>
    <w:rsid w:val="00F11A5B"/>
    <w:rsid w:val="00F11FF2"/>
    <w:rsid w:val="00F12747"/>
    <w:rsid w:val="00F12A25"/>
    <w:rsid w:val="00F12E23"/>
    <w:rsid w:val="00F12E7D"/>
    <w:rsid w:val="00F133A7"/>
    <w:rsid w:val="00F133E6"/>
    <w:rsid w:val="00F1378B"/>
    <w:rsid w:val="00F13E82"/>
    <w:rsid w:val="00F142D9"/>
    <w:rsid w:val="00F14ECA"/>
    <w:rsid w:val="00F150B2"/>
    <w:rsid w:val="00F152ED"/>
    <w:rsid w:val="00F162BC"/>
    <w:rsid w:val="00F16722"/>
    <w:rsid w:val="00F1692D"/>
    <w:rsid w:val="00F16B2C"/>
    <w:rsid w:val="00F16BD3"/>
    <w:rsid w:val="00F1708E"/>
    <w:rsid w:val="00F17831"/>
    <w:rsid w:val="00F20325"/>
    <w:rsid w:val="00F20435"/>
    <w:rsid w:val="00F2053D"/>
    <w:rsid w:val="00F220BD"/>
    <w:rsid w:val="00F2262D"/>
    <w:rsid w:val="00F226F6"/>
    <w:rsid w:val="00F22E66"/>
    <w:rsid w:val="00F23018"/>
    <w:rsid w:val="00F23229"/>
    <w:rsid w:val="00F23B5F"/>
    <w:rsid w:val="00F23C18"/>
    <w:rsid w:val="00F23FEF"/>
    <w:rsid w:val="00F24E01"/>
    <w:rsid w:val="00F25084"/>
    <w:rsid w:val="00F25874"/>
    <w:rsid w:val="00F275F1"/>
    <w:rsid w:val="00F277FF"/>
    <w:rsid w:val="00F30A69"/>
    <w:rsid w:val="00F30A75"/>
    <w:rsid w:val="00F30B79"/>
    <w:rsid w:val="00F31169"/>
    <w:rsid w:val="00F313EB"/>
    <w:rsid w:val="00F31E7D"/>
    <w:rsid w:val="00F33096"/>
    <w:rsid w:val="00F3347A"/>
    <w:rsid w:val="00F33548"/>
    <w:rsid w:val="00F3514C"/>
    <w:rsid w:val="00F353CA"/>
    <w:rsid w:val="00F359D3"/>
    <w:rsid w:val="00F35EA1"/>
    <w:rsid w:val="00F36183"/>
    <w:rsid w:val="00F36667"/>
    <w:rsid w:val="00F36BBD"/>
    <w:rsid w:val="00F37452"/>
    <w:rsid w:val="00F375E3"/>
    <w:rsid w:val="00F37A2D"/>
    <w:rsid w:val="00F40D25"/>
    <w:rsid w:val="00F4181D"/>
    <w:rsid w:val="00F41D79"/>
    <w:rsid w:val="00F42338"/>
    <w:rsid w:val="00F42876"/>
    <w:rsid w:val="00F44689"/>
    <w:rsid w:val="00F459AF"/>
    <w:rsid w:val="00F45F28"/>
    <w:rsid w:val="00F47475"/>
    <w:rsid w:val="00F4780A"/>
    <w:rsid w:val="00F47991"/>
    <w:rsid w:val="00F50C78"/>
    <w:rsid w:val="00F516E9"/>
    <w:rsid w:val="00F52763"/>
    <w:rsid w:val="00F52C48"/>
    <w:rsid w:val="00F52F52"/>
    <w:rsid w:val="00F53785"/>
    <w:rsid w:val="00F538CB"/>
    <w:rsid w:val="00F5394E"/>
    <w:rsid w:val="00F557E3"/>
    <w:rsid w:val="00F5660C"/>
    <w:rsid w:val="00F56E70"/>
    <w:rsid w:val="00F57EE7"/>
    <w:rsid w:val="00F605EE"/>
    <w:rsid w:val="00F61F4B"/>
    <w:rsid w:val="00F63836"/>
    <w:rsid w:val="00F64399"/>
    <w:rsid w:val="00F64FAD"/>
    <w:rsid w:val="00F65346"/>
    <w:rsid w:val="00F66894"/>
    <w:rsid w:val="00F66B57"/>
    <w:rsid w:val="00F66C93"/>
    <w:rsid w:val="00F67AB9"/>
    <w:rsid w:val="00F710BC"/>
    <w:rsid w:val="00F712EC"/>
    <w:rsid w:val="00F7182C"/>
    <w:rsid w:val="00F72218"/>
    <w:rsid w:val="00F729D0"/>
    <w:rsid w:val="00F72B43"/>
    <w:rsid w:val="00F750DC"/>
    <w:rsid w:val="00F75303"/>
    <w:rsid w:val="00F763DE"/>
    <w:rsid w:val="00F76819"/>
    <w:rsid w:val="00F768E9"/>
    <w:rsid w:val="00F7788E"/>
    <w:rsid w:val="00F77F53"/>
    <w:rsid w:val="00F80759"/>
    <w:rsid w:val="00F80D57"/>
    <w:rsid w:val="00F81312"/>
    <w:rsid w:val="00F814F0"/>
    <w:rsid w:val="00F815E5"/>
    <w:rsid w:val="00F8195D"/>
    <w:rsid w:val="00F81C84"/>
    <w:rsid w:val="00F82083"/>
    <w:rsid w:val="00F8248B"/>
    <w:rsid w:val="00F82DAB"/>
    <w:rsid w:val="00F830D4"/>
    <w:rsid w:val="00F83979"/>
    <w:rsid w:val="00F83E05"/>
    <w:rsid w:val="00F84685"/>
    <w:rsid w:val="00F85F91"/>
    <w:rsid w:val="00F86092"/>
    <w:rsid w:val="00F8669D"/>
    <w:rsid w:val="00F8686D"/>
    <w:rsid w:val="00F86945"/>
    <w:rsid w:val="00F86BF3"/>
    <w:rsid w:val="00F86C48"/>
    <w:rsid w:val="00F90059"/>
    <w:rsid w:val="00F900CD"/>
    <w:rsid w:val="00F9081A"/>
    <w:rsid w:val="00F90A94"/>
    <w:rsid w:val="00F90A9D"/>
    <w:rsid w:val="00F90C06"/>
    <w:rsid w:val="00F914A7"/>
    <w:rsid w:val="00F916A9"/>
    <w:rsid w:val="00F9199F"/>
    <w:rsid w:val="00F92776"/>
    <w:rsid w:val="00F92CBB"/>
    <w:rsid w:val="00F942EB"/>
    <w:rsid w:val="00F9451F"/>
    <w:rsid w:val="00F947FE"/>
    <w:rsid w:val="00F949CF"/>
    <w:rsid w:val="00F94AAA"/>
    <w:rsid w:val="00F94DF1"/>
    <w:rsid w:val="00F95827"/>
    <w:rsid w:val="00F96005"/>
    <w:rsid w:val="00F96A8A"/>
    <w:rsid w:val="00FA0660"/>
    <w:rsid w:val="00FA0E84"/>
    <w:rsid w:val="00FA16D0"/>
    <w:rsid w:val="00FA1864"/>
    <w:rsid w:val="00FA26E9"/>
    <w:rsid w:val="00FA2A77"/>
    <w:rsid w:val="00FA2DE0"/>
    <w:rsid w:val="00FA3A61"/>
    <w:rsid w:val="00FA474F"/>
    <w:rsid w:val="00FA494D"/>
    <w:rsid w:val="00FA4ED1"/>
    <w:rsid w:val="00FA5A47"/>
    <w:rsid w:val="00FA5B52"/>
    <w:rsid w:val="00FA6CFF"/>
    <w:rsid w:val="00FA73C3"/>
    <w:rsid w:val="00FA7A69"/>
    <w:rsid w:val="00FA7F97"/>
    <w:rsid w:val="00FB2A39"/>
    <w:rsid w:val="00FB2B16"/>
    <w:rsid w:val="00FB7417"/>
    <w:rsid w:val="00FB7861"/>
    <w:rsid w:val="00FB7BB4"/>
    <w:rsid w:val="00FB7FCA"/>
    <w:rsid w:val="00FC01F0"/>
    <w:rsid w:val="00FC04E4"/>
    <w:rsid w:val="00FC05D5"/>
    <w:rsid w:val="00FC0E49"/>
    <w:rsid w:val="00FC2405"/>
    <w:rsid w:val="00FC240D"/>
    <w:rsid w:val="00FC2A29"/>
    <w:rsid w:val="00FC2FBF"/>
    <w:rsid w:val="00FC3482"/>
    <w:rsid w:val="00FC3D60"/>
    <w:rsid w:val="00FC4BB8"/>
    <w:rsid w:val="00FC53BD"/>
    <w:rsid w:val="00FC5898"/>
    <w:rsid w:val="00FC6300"/>
    <w:rsid w:val="00FC65F4"/>
    <w:rsid w:val="00FC6BB9"/>
    <w:rsid w:val="00FC6DB7"/>
    <w:rsid w:val="00FC7DF8"/>
    <w:rsid w:val="00FD02F5"/>
    <w:rsid w:val="00FD1CC7"/>
    <w:rsid w:val="00FD21F4"/>
    <w:rsid w:val="00FD25D2"/>
    <w:rsid w:val="00FD342D"/>
    <w:rsid w:val="00FD4C02"/>
    <w:rsid w:val="00FD6492"/>
    <w:rsid w:val="00FD6573"/>
    <w:rsid w:val="00FD66A0"/>
    <w:rsid w:val="00FD6EF7"/>
    <w:rsid w:val="00FD73DD"/>
    <w:rsid w:val="00FD746E"/>
    <w:rsid w:val="00FD7779"/>
    <w:rsid w:val="00FD795C"/>
    <w:rsid w:val="00FD7AA6"/>
    <w:rsid w:val="00FD7F9E"/>
    <w:rsid w:val="00FE0579"/>
    <w:rsid w:val="00FE07DE"/>
    <w:rsid w:val="00FE08AB"/>
    <w:rsid w:val="00FE1916"/>
    <w:rsid w:val="00FE1C67"/>
    <w:rsid w:val="00FE1CDD"/>
    <w:rsid w:val="00FE21C0"/>
    <w:rsid w:val="00FE2447"/>
    <w:rsid w:val="00FE287F"/>
    <w:rsid w:val="00FE35A0"/>
    <w:rsid w:val="00FE475F"/>
    <w:rsid w:val="00FE48EC"/>
    <w:rsid w:val="00FE4B25"/>
    <w:rsid w:val="00FE6504"/>
    <w:rsid w:val="00FE6E90"/>
    <w:rsid w:val="00FE6EFF"/>
    <w:rsid w:val="00FE7195"/>
    <w:rsid w:val="00FE7348"/>
    <w:rsid w:val="00FF00C2"/>
    <w:rsid w:val="00FF16F0"/>
    <w:rsid w:val="00FF2625"/>
    <w:rsid w:val="00FF2C8D"/>
    <w:rsid w:val="00FF319C"/>
    <w:rsid w:val="00FF390A"/>
    <w:rsid w:val="00FF3F60"/>
    <w:rsid w:val="00FF4D92"/>
    <w:rsid w:val="00FF4F5F"/>
    <w:rsid w:val="00FF54EC"/>
    <w:rsid w:val="00FF580D"/>
    <w:rsid w:val="00FF5D7F"/>
    <w:rsid w:val="00FF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paragraph" w:styleId="Heading1">
    <w:name w:val="heading 1"/>
    <w:basedOn w:val="Normal"/>
    <w:next w:val="BodyText2"/>
    <w:link w:val="Heading1Char"/>
    <w:qFormat/>
    <w:rsid w:val="000B0447"/>
    <w:pPr>
      <w:autoSpaceDE/>
      <w:autoSpaceDN/>
      <w:outlineLvl w:val="0"/>
    </w:pPr>
    <w:rPr>
      <w:b/>
      <w:spacing w:val="-3"/>
      <w:sz w:val="26"/>
      <w:szCs w:val="26"/>
    </w:rPr>
  </w:style>
  <w:style w:type="paragraph" w:styleId="Heading2">
    <w:name w:val="heading 2"/>
    <w:basedOn w:val="Normal"/>
    <w:next w:val="BodyText2"/>
    <w:link w:val="Heading2Char"/>
    <w:unhideWhenUsed/>
    <w:qFormat/>
    <w:rsid w:val="00442F0C"/>
    <w:pPr>
      <w:keepLines/>
      <w:numPr>
        <w:ilvl w:val="1"/>
        <w:numId w:val="7"/>
      </w:numPr>
      <w:autoSpaceDE/>
      <w:autoSpaceDN/>
      <w:spacing w:after="240"/>
      <w:jc w:val="both"/>
      <w:outlineLvl w:val="1"/>
    </w:pPr>
    <w:rPr>
      <w:b/>
      <w:bCs/>
      <w:iCs/>
      <w:caps/>
      <w:szCs w:val="28"/>
    </w:rPr>
  </w:style>
  <w:style w:type="paragraph" w:styleId="Heading3">
    <w:name w:val="heading 3"/>
    <w:basedOn w:val="BriefL3"/>
    <w:next w:val="BodyText2"/>
    <w:link w:val="Heading3Char"/>
    <w:uiPriority w:val="9"/>
    <w:unhideWhenUsed/>
    <w:qFormat/>
    <w:rsid w:val="000B0447"/>
    <w:pPr>
      <w:keepNext/>
      <w:numPr>
        <w:ilvl w:val="0"/>
        <w:numId w:val="0"/>
      </w:numPr>
      <w:spacing w:after="0" w:line="360" w:lineRule="auto"/>
      <w:ind w:left="720" w:firstLine="720"/>
    </w:pPr>
    <w:rPr>
      <w:b/>
      <w:sz w:val="26"/>
      <w:szCs w:val="26"/>
    </w:rPr>
  </w:style>
  <w:style w:type="paragraph" w:styleId="Heading4">
    <w:name w:val="heading 4"/>
    <w:basedOn w:val="BriefL3"/>
    <w:next w:val="BodyText2"/>
    <w:link w:val="Heading4Char"/>
    <w:unhideWhenUsed/>
    <w:qFormat/>
    <w:rsid w:val="000B0447"/>
    <w:pPr>
      <w:keepNext/>
      <w:numPr>
        <w:ilvl w:val="0"/>
        <w:numId w:val="9"/>
      </w:numPr>
      <w:spacing w:after="0" w:line="360" w:lineRule="auto"/>
      <w:outlineLvl w:val="3"/>
    </w:pPr>
    <w:rPr>
      <w:b/>
      <w:sz w:val="26"/>
      <w:szCs w:val="26"/>
    </w:rPr>
  </w:style>
  <w:style w:type="paragraph" w:styleId="Heading5">
    <w:name w:val="heading 5"/>
    <w:basedOn w:val="BriefL3"/>
    <w:next w:val="BodyText2"/>
    <w:link w:val="Heading5Char"/>
    <w:uiPriority w:val="9"/>
    <w:unhideWhenUsed/>
    <w:qFormat/>
    <w:rsid w:val="000B0447"/>
    <w:pPr>
      <w:keepNext/>
      <w:numPr>
        <w:ilvl w:val="0"/>
        <w:numId w:val="19"/>
      </w:numPr>
      <w:spacing w:after="0" w:line="360" w:lineRule="auto"/>
      <w:outlineLvl w:val="4"/>
    </w:pPr>
    <w:rPr>
      <w:b/>
      <w:sz w:val="26"/>
      <w:szCs w:val="26"/>
    </w:rPr>
  </w:style>
  <w:style w:type="paragraph" w:styleId="Heading6">
    <w:name w:val="heading 6"/>
    <w:basedOn w:val="Normal"/>
    <w:next w:val="BodyText2"/>
    <w:link w:val="Heading6Char"/>
    <w:uiPriority w:val="9"/>
    <w:unhideWhenUsed/>
    <w:qFormat/>
    <w:rsid w:val="00442F0C"/>
    <w:pPr>
      <w:numPr>
        <w:ilvl w:val="5"/>
        <w:numId w:val="7"/>
      </w:numPr>
      <w:autoSpaceDE/>
      <w:autoSpaceDN/>
      <w:spacing w:after="240"/>
      <w:outlineLvl w:val="5"/>
    </w:pPr>
    <w:rPr>
      <w:b/>
      <w:bCs/>
      <w:szCs w:val="22"/>
    </w:rPr>
  </w:style>
  <w:style w:type="paragraph" w:styleId="Heading7">
    <w:name w:val="heading 7"/>
    <w:basedOn w:val="Normal"/>
    <w:next w:val="BodyText2"/>
    <w:link w:val="Heading7Char"/>
    <w:uiPriority w:val="9"/>
    <w:unhideWhenUsed/>
    <w:qFormat/>
    <w:rsid w:val="00442F0C"/>
    <w:pPr>
      <w:numPr>
        <w:ilvl w:val="6"/>
        <w:numId w:val="7"/>
      </w:numPr>
      <w:autoSpaceDE/>
      <w:autoSpaceDN/>
      <w:spacing w:after="240"/>
      <w:outlineLvl w:val="6"/>
    </w:pPr>
    <w:rPr>
      <w:b/>
    </w:rPr>
  </w:style>
  <w:style w:type="paragraph" w:styleId="Heading8">
    <w:name w:val="heading 8"/>
    <w:basedOn w:val="Normal"/>
    <w:next w:val="BodyText2"/>
    <w:link w:val="Heading8Char"/>
    <w:uiPriority w:val="9"/>
    <w:unhideWhenUsed/>
    <w:qFormat/>
    <w:rsid w:val="00442F0C"/>
    <w:pPr>
      <w:numPr>
        <w:ilvl w:val="7"/>
        <w:numId w:val="7"/>
      </w:numPr>
      <w:autoSpaceDE/>
      <w:autoSpaceDN/>
      <w:spacing w:after="240"/>
      <w:jc w:val="both"/>
      <w:outlineLvl w:val="7"/>
    </w:pPr>
    <w:rPr>
      <w:b/>
      <w:iCs/>
    </w:rPr>
  </w:style>
  <w:style w:type="paragraph" w:styleId="Heading9">
    <w:name w:val="heading 9"/>
    <w:basedOn w:val="Normal"/>
    <w:next w:val="BodyText2"/>
    <w:link w:val="Heading9Char"/>
    <w:uiPriority w:val="9"/>
    <w:unhideWhenUsed/>
    <w:qFormat/>
    <w:rsid w:val="00442F0C"/>
    <w:pPr>
      <w:numPr>
        <w:ilvl w:val="8"/>
        <w:numId w:val="7"/>
      </w:numPr>
      <w:autoSpaceDE/>
      <w:autoSpaceDN/>
      <w:spacing w:after="2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rPr>
      <w:lang w:val="x-none" w:eastAsia="x-none"/>
    </w:rPr>
  </w:style>
  <w:style w:type="character" w:styleId="PageNumber">
    <w:name w:val="page number"/>
    <w:basedOn w:val="DefaultParagraphFont"/>
    <w:rsid w:val="00713D64"/>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1"/>
    <w:basedOn w:val="Normal"/>
    <w:link w:val="FootnoteTextChar"/>
    <w:uiPriority w:val="99"/>
    <w:qFormat/>
    <w:rsid w:val="00713D64"/>
    <w:rPr>
      <w:sz w:val="20"/>
      <w:szCs w:val="20"/>
    </w:rPr>
  </w:style>
  <w:style w:type="character" w:styleId="FootnoteReference">
    <w:name w:val="footnote reference"/>
    <w:aliases w:val="o,fr,Style 13,Style 12,Style 28,(NECG) Footnote Reference,Style 11,Style 9,Style 16,Style 15,Style 17,Style 20,o1,fr1,o2,fr2,o3,fr3,Style 8,Style 7,Style 19,Style 42,Style 2"/>
    <w:uiPriority w:val="99"/>
    <w:rsid w:val="00713D64"/>
    <w:rPr>
      <w:vertAlign w:val="superscript"/>
    </w:rPr>
  </w:style>
  <w:style w:type="paragraph" w:styleId="BodyTextIndent">
    <w:name w:val="Body Text Indent"/>
    <w:basedOn w:val="Normal"/>
    <w:link w:val="BodyTextIndentChar"/>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rPr>
      <w:lang w:val="x-none" w:eastAsia="x-none"/>
    </w:rPr>
  </w:style>
  <w:style w:type="character" w:customStyle="1" w:styleId="HeaderChar">
    <w:name w:val="Header Char"/>
    <w:link w:val="Header"/>
    <w:rsid w:val="00BE0854"/>
    <w:rPr>
      <w:sz w:val="24"/>
      <w:szCs w:val="24"/>
    </w:rPr>
  </w:style>
  <w:style w:type="table" w:styleId="TableGrid">
    <w:name w:val="Table Grid"/>
    <w:basedOn w:val="TableNormal"/>
    <w:rsid w:val="005E3B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7C60EF"/>
    <w:pPr>
      <w:spacing w:after="120" w:line="480" w:lineRule="auto"/>
    </w:pPr>
    <w:rPr>
      <w:lang w:val="x-none" w:eastAsia="x-none"/>
    </w:rPr>
  </w:style>
  <w:style w:type="character" w:customStyle="1" w:styleId="BodyText2Char">
    <w:name w:val="Body Text 2 Char"/>
    <w:link w:val="BodyText2"/>
    <w:rsid w:val="007C60EF"/>
    <w:rPr>
      <w:sz w:val="24"/>
      <w:szCs w:val="24"/>
    </w:rPr>
  </w:style>
  <w:style w:type="paragraph" w:styleId="BodyText">
    <w:name w:val="Body Text"/>
    <w:basedOn w:val="Normal"/>
    <w:link w:val="BodyTextChar"/>
    <w:rsid w:val="006C6975"/>
    <w:pPr>
      <w:widowControl w:val="0"/>
      <w:autoSpaceDE/>
      <w:autoSpaceDN/>
      <w:spacing w:after="240"/>
      <w:ind w:left="1440" w:firstLine="1440"/>
    </w:pPr>
    <w:rPr>
      <w:szCs w:val="20"/>
      <w:lang w:val="x-none" w:eastAsia="x-none"/>
    </w:rPr>
  </w:style>
  <w:style w:type="character" w:customStyle="1" w:styleId="BodyTextChar">
    <w:name w:val="Body Text Char"/>
    <w:link w:val="BodyText"/>
    <w:rsid w:val="006C6975"/>
    <w:rPr>
      <w:sz w:val="24"/>
    </w:rPr>
  </w:style>
  <w:style w:type="paragraph" w:customStyle="1" w:styleId="BusinessSignature">
    <w:name w:val="Business Signature"/>
    <w:basedOn w:val="Normal"/>
    <w:rsid w:val="006C6975"/>
    <w:pPr>
      <w:tabs>
        <w:tab w:val="left" w:pos="403"/>
        <w:tab w:val="right" w:pos="4320"/>
      </w:tabs>
      <w:autoSpaceDE/>
      <w:autoSpaceDN/>
      <w:ind w:left="1440"/>
    </w:pPr>
    <w:rPr>
      <w:szCs w:val="20"/>
    </w:rPr>
  </w:style>
  <w:style w:type="paragraph" w:customStyle="1" w:styleId="TitlePageDate">
    <w:name w:val="Title Page Date"/>
    <w:basedOn w:val="Normal"/>
    <w:rsid w:val="006C6975"/>
    <w:pPr>
      <w:autoSpaceDE/>
      <w:autoSpaceDN/>
      <w:spacing w:before="720"/>
      <w:ind w:left="1440"/>
      <w:jc w:val="center"/>
    </w:pPr>
    <w:rPr>
      <w:b/>
      <w:caps/>
      <w:szCs w:val="20"/>
    </w:rPr>
  </w:style>
  <w:style w:type="paragraph" w:customStyle="1" w:styleId="TitlePageDocument">
    <w:name w:val="Title Page Document"/>
    <w:basedOn w:val="Normal"/>
    <w:rsid w:val="006C6975"/>
    <w:pPr>
      <w:autoSpaceDE/>
      <w:autoSpaceDN/>
      <w:ind w:left="1440"/>
      <w:jc w:val="center"/>
    </w:pPr>
    <w:rPr>
      <w:b/>
      <w:bCs/>
      <w:caps/>
      <w:szCs w:val="20"/>
    </w:rPr>
  </w:style>
  <w:style w:type="paragraph" w:customStyle="1" w:styleId="TitlePageParty">
    <w:name w:val="Title Page Party"/>
    <w:basedOn w:val="Normal"/>
    <w:rsid w:val="006C6975"/>
    <w:pPr>
      <w:autoSpaceDE/>
      <w:autoSpaceDN/>
      <w:spacing w:before="720"/>
      <w:ind w:left="1440"/>
      <w:jc w:val="center"/>
    </w:pPr>
    <w:rPr>
      <w:b/>
      <w:caps/>
      <w:szCs w:val="20"/>
    </w:rPr>
  </w:style>
  <w:style w:type="paragraph" w:customStyle="1" w:styleId="FirmDouble">
    <w:name w:val="Firm Double"/>
    <w:basedOn w:val="Normal"/>
    <w:rsid w:val="006C6975"/>
    <w:pPr>
      <w:autoSpaceDE/>
      <w:autoSpaceDN/>
      <w:spacing w:line="480" w:lineRule="auto"/>
    </w:pPr>
  </w:style>
  <w:style w:type="paragraph" w:customStyle="1" w:styleId="FirmDouble05">
    <w:name w:val="Firm Double 05"/>
    <w:basedOn w:val="Normal"/>
    <w:rsid w:val="006C6975"/>
    <w:pPr>
      <w:autoSpaceDE/>
      <w:autoSpaceDN/>
      <w:spacing w:line="480" w:lineRule="auto"/>
      <w:ind w:left="1440" w:firstLine="720"/>
    </w:pPr>
  </w:style>
  <w:style w:type="paragraph" w:customStyle="1" w:styleId="FirmDouble1">
    <w:name w:val="Firm Double 1"/>
    <w:basedOn w:val="Normal"/>
    <w:rsid w:val="006C6975"/>
    <w:pPr>
      <w:autoSpaceDE/>
      <w:autoSpaceDN/>
      <w:spacing w:line="480" w:lineRule="auto"/>
      <w:ind w:left="1440" w:firstLine="1440"/>
    </w:pPr>
  </w:style>
  <w:style w:type="paragraph" w:customStyle="1" w:styleId="FirmDoubleFullJustify">
    <w:name w:val="Firm Double Full Justify"/>
    <w:basedOn w:val="Normal"/>
    <w:rsid w:val="006C6975"/>
    <w:pPr>
      <w:autoSpaceDE/>
      <w:autoSpaceDN/>
      <w:spacing w:line="480" w:lineRule="auto"/>
      <w:ind w:left="1440"/>
      <w:jc w:val="both"/>
    </w:pPr>
  </w:style>
  <w:style w:type="paragraph" w:customStyle="1" w:styleId="FirmPlain">
    <w:name w:val="Firm Plain"/>
    <w:basedOn w:val="Normal"/>
    <w:rsid w:val="006C6975"/>
    <w:pPr>
      <w:autoSpaceDE/>
      <w:autoSpaceDN/>
    </w:pPr>
  </w:style>
  <w:style w:type="paragraph" w:customStyle="1" w:styleId="FirmQuote">
    <w:name w:val="Firm Quote"/>
    <w:basedOn w:val="Normal"/>
    <w:rsid w:val="006C6975"/>
    <w:pPr>
      <w:autoSpaceDE/>
      <w:autoSpaceDN/>
      <w:spacing w:before="240" w:after="240"/>
      <w:ind w:left="1440" w:right="1440"/>
    </w:pPr>
  </w:style>
  <w:style w:type="paragraph" w:customStyle="1" w:styleId="FirmSingle">
    <w:name w:val="Firm Single"/>
    <w:basedOn w:val="Normal"/>
    <w:rsid w:val="006C6975"/>
    <w:pPr>
      <w:autoSpaceDE/>
      <w:autoSpaceDN/>
      <w:spacing w:after="240"/>
      <w:ind w:left="1440"/>
    </w:pPr>
  </w:style>
  <w:style w:type="paragraph" w:customStyle="1" w:styleId="FirmSingle05">
    <w:name w:val="Firm Single 05"/>
    <w:basedOn w:val="Normal"/>
    <w:rsid w:val="006C6975"/>
    <w:pPr>
      <w:autoSpaceDE/>
      <w:autoSpaceDN/>
      <w:spacing w:after="240"/>
      <w:ind w:left="1440" w:firstLine="720"/>
    </w:pPr>
  </w:style>
  <w:style w:type="paragraph" w:customStyle="1" w:styleId="FirmSingle1">
    <w:name w:val="Firm Single 1"/>
    <w:basedOn w:val="Normal"/>
    <w:rsid w:val="006C6975"/>
    <w:pPr>
      <w:autoSpaceDE/>
      <w:autoSpaceDN/>
      <w:spacing w:after="240"/>
      <w:ind w:left="1440" w:firstLine="1440"/>
    </w:pPr>
  </w:style>
  <w:style w:type="paragraph" w:customStyle="1" w:styleId="FirmSingleFullJustify">
    <w:name w:val="Firm Single Full Justify"/>
    <w:basedOn w:val="Normal"/>
    <w:rsid w:val="006C6975"/>
    <w:pPr>
      <w:autoSpaceDE/>
      <w:autoSpaceDN/>
      <w:spacing w:after="240"/>
      <w:ind w:left="1440"/>
      <w:jc w:val="both"/>
    </w:pPr>
  </w:style>
  <w:style w:type="paragraph" w:customStyle="1" w:styleId="FirmTable">
    <w:name w:val="Firm Table"/>
    <w:basedOn w:val="Normal"/>
    <w:rsid w:val="006C6975"/>
    <w:pPr>
      <w:autoSpaceDE/>
      <w:autoSpaceDN/>
      <w:ind w:left="1440"/>
    </w:pPr>
  </w:style>
  <w:style w:type="paragraph" w:customStyle="1" w:styleId="FirmTitleCB">
    <w:name w:val="Firm Title CB"/>
    <w:basedOn w:val="Normal"/>
    <w:rsid w:val="006C6975"/>
    <w:pPr>
      <w:keepNext/>
      <w:keepLines/>
      <w:autoSpaceDE/>
      <w:autoSpaceDN/>
      <w:spacing w:after="240"/>
      <w:ind w:left="1440"/>
      <w:jc w:val="center"/>
      <w:outlineLvl w:val="0"/>
    </w:pPr>
    <w:rPr>
      <w:b/>
    </w:rPr>
  </w:style>
  <w:style w:type="paragraph" w:customStyle="1" w:styleId="FirmTitleCBU">
    <w:name w:val="Firm Title CBU"/>
    <w:basedOn w:val="Normal"/>
    <w:rsid w:val="006C6975"/>
    <w:pPr>
      <w:keepNext/>
      <w:keepLines/>
      <w:autoSpaceDE/>
      <w:autoSpaceDN/>
      <w:spacing w:after="240"/>
      <w:ind w:left="1440"/>
      <w:jc w:val="center"/>
      <w:outlineLvl w:val="0"/>
    </w:pPr>
    <w:rPr>
      <w:b/>
      <w:u w:val="single"/>
    </w:rPr>
  </w:style>
  <w:style w:type="paragraph" w:customStyle="1" w:styleId="FirmTitleCU">
    <w:name w:val="Firm Title CU"/>
    <w:basedOn w:val="Normal"/>
    <w:rsid w:val="006C6975"/>
    <w:pPr>
      <w:keepNext/>
      <w:keepLines/>
      <w:autoSpaceDE/>
      <w:autoSpaceDN/>
      <w:spacing w:after="240"/>
      <w:ind w:left="1440"/>
      <w:jc w:val="center"/>
      <w:outlineLvl w:val="0"/>
    </w:pPr>
    <w:rPr>
      <w:u w:val="single"/>
    </w:rPr>
  </w:style>
  <w:style w:type="paragraph" w:customStyle="1" w:styleId="FirmTitleLB">
    <w:name w:val="Firm Title LB"/>
    <w:basedOn w:val="Normal"/>
    <w:rsid w:val="006C6975"/>
    <w:pPr>
      <w:keepNext/>
      <w:keepLines/>
      <w:autoSpaceDE/>
      <w:autoSpaceDN/>
      <w:spacing w:after="240"/>
      <w:ind w:left="1440"/>
      <w:outlineLvl w:val="0"/>
    </w:pPr>
    <w:rPr>
      <w:b/>
    </w:rPr>
  </w:style>
  <w:style w:type="paragraph" w:customStyle="1" w:styleId="FirmTitleLBU">
    <w:name w:val="Firm Title LBU"/>
    <w:basedOn w:val="Normal"/>
    <w:rsid w:val="006C6975"/>
    <w:pPr>
      <w:keepNext/>
      <w:keepLines/>
      <w:autoSpaceDE/>
      <w:autoSpaceDN/>
      <w:spacing w:after="240"/>
      <w:ind w:left="1440"/>
      <w:outlineLvl w:val="0"/>
    </w:pPr>
    <w:rPr>
      <w:b/>
      <w:u w:val="single"/>
    </w:rPr>
  </w:style>
  <w:style w:type="paragraph" w:customStyle="1" w:styleId="FirmTitleLU">
    <w:name w:val="Firm Title LU"/>
    <w:basedOn w:val="Normal"/>
    <w:rsid w:val="006C6975"/>
    <w:pPr>
      <w:keepNext/>
      <w:keepLines/>
      <w:autoSpaceDE/>
      <w:autoSpaceDN/>
      <w:spacing w:after="240"/>
      <w:ind w:left="1440"/>
      <w:outlineLvl w:val="0"/>
    </w:pPr>
    <w:rPr>
      <w:u w:val="single"/>
    </w:rPr>
  </w:style>
  <w:style w:type="paragraph" w:customStyle="1" w:styleId="FirmSingle05E">
    <w:name w:val="Firm Single 05 (E)"/>
    <w:basedOn w:val="Normal"/>
    <w:rsid w:val="006C6975"/>
    <w:pPr>
      <w:autoSpaceDE/>
      <w:autoSpaceDN/>
      <w:spacing w:after="240"/>
      <w:ind w:left="720"/>
      <w:jc w:val="both"/>
    </w:pPr>
  </w:style>
  <w:style w:type="paragraph" w:customStyle="1" w:styleId="FirmSingle1E">
    <w:name w:val="Firm Single 1 (E)"/>
    <w:basedOn w:val="Normal"/>
    <w:rsid w:val="006C6975"/>
    <w:pPr>
      <w:autoSpaceDE/>
      <w:autoSpaceDN/>
      <w:spacing w:after="240"/>
      <w:ind w:left="1440"/>
      <w:jc w:val="both"/>
    </w:pPr>
  </w:style>
  <w:style w:type="paragraph" w:customStyle="1" w:styleId="FirmSingle15E">
    <w:name w:val="Firm Single 1.5 (E)"/>
    <w:basedOn w:val="Normal"/>
    <w:rsid w:val="006C6975"/>
    <w:pPr>
      <w:autoSpaceDE/>
      <w:autoSpaceDN/>
      <w:spacing w:after="240"/>
      <w:ind w:left="2160"/>
      <w:jc w:val="both"/>
    </w:pPr>
  </w:style>
  <w:style w:type="paragraph" w:customStyle="1" w:styleId="FirmTitleLB05E">
    <w:name w:val="Firm Title LB 05 (E)"/>
    <w:basedOn w:val="Normal"/>
    <w:rsid w:val="006C6975"/>
    <w:pPr>
      <w:keepNext/>
      <w:keepLines/>
      <w:autoSpaceDE/>
      <w:autoSpaceDN/>
      <w:spacing w:after="240"/>
      <w:ind w:left="720"/>
      <w:outlineLvl w:val="0"/>
    </w:pPr>
    <w:rPr>
      <w:b/>
    </w:rPr>
  </w:style>
  <w:style w:type="paragraph" w:customStyle="1" w:styleId="FirmTitleLBU05E">
    <w:name w:val="Firm Title LBU 05 (E)"/>
    <w:basedOn w:val="Normal"/>
    <w:rsid w:val="006C6975"/>
    <w:pPr>
      <w:keepNext/>
      <w:keepLines/>
      <w:autoSpaceDE/>
      <w:autoSpaceDN/>
      <w:spacing w:after="240"/>
      <w:ind w:left="720"/>
      <w:outlineLvl w:val="0"/>
    </w:pPr>
    <w:rPr>
      <w:b/>
      <w:u w:val="single"/>
    </w:rPr>
  </w:style>
  <w:style w:type="paragraph" w:customStyle="1" w:styleId="FirmTitleLU05E">
    <w:name w:val="Firm Title LU 05 (E)"/>
    <w:basedOn w:val="Normal"/>
    <w:rsid w:val="006C6975"/>
    <w:pPr>
      <w:keepNext/>
      <w:keepLines/>
      <w:autoSpaceDE/>
      <w:autoSpaceDN/>
      <w:spacing w:after="240"/>
      <w:ind w:left="720"/>
      <w:outlineLvl w:val="0"/>
    </w:pPr>
    <w:rPr>
      <w:u w:val="single"/>
    </w:rPr>
  </w:style>
  <w:style w:type="paragraph" w:customStyle="1" w:styleId="FirmTitleLB1E">
    <w:name w:val="Firm Title LB 1 (E)"/>
    <w:basedOn w:val="Normal"/>
    <w:rsid w:val="006C6975"/>
    <w:pPr>
      <w:keepNext/>
      <w:keepLines/>
      <w:autoSpaceDE/>
      <w:autoSpaceDN/>
      <w:spacing w:after="240"/>
      <w:ind w:left="1440"/>
      <w:outlineLvl w:val="0"/>
    </w:pPr>
    <w:rPr>
      <w:b/>
    </w:rPr>
  </w:style>
  <w:style w:type="paragraph" w:customStyle="1" w:styleId="FirmTitleLBU1E">
    <w:name w:val="Firm Title LBU 1 (E)"/>
    <w:basedOn w:val="Normal"/>
    <w:rsid w:val="006C6975"/>
    <w:pPr>
      <w:keepNext/>
      <w:keepLines/>
      <w:autoSpaceDE/>
      <w:autoSpaceDN/>
      <w:spacing w:after="240"/>
      <w:ind w:left="1440"/>
      <w:outlineLvl w:val="0"/>
    </w:pPr>
    <w:rPr>
      <w:b/>
      <w:u w:val="single"/>
    </w:rPr>
  </w:style>
  <w:style w:type="paragraph" w:customStyle="1" w:styleId="FirmTitleLU1E">
    <w:name w:val="Firm Title LU 1 (E)"/>
    <w:basedOn w:val="Normal"/>
    <w:rsid w:val="006C6975"/>
    <w:pPr>
      <w:keepNext/>
      <w:keepLines/>
      <w:autoSpaceDE/>
      <w:autoSpaceDN/>
      <w:spacing w:after="240"/>
      <w:ind w:left="1440"/>
      <w:outlineLvl w:val="0"/>
    </w:pPr>
    <w:rPr>
      <w:u w:val="single"/>
    </w:rPr>
  </w:style>
  <w:style w:type="paragraph" w:customStyle="1" w:styleId="FirmTitleLB15E">
    <w:name w:val="Firm Title LB 1.5 (E)"/>
    <w:basedOn w:val="Normal"/>
    <w:rsid w:val="006C6975"/>
    <w:pPr>
      <w:keepNext/>
      <w:keepLines/>
      <w:autoSpaceDE/>
      <w:autoSpaceDN/>
      <w:spacing w:after="240"/>
      <w:ind w:left="2160"/>
      <w:outlineLvl w:val="0"/>
    </w:pPr>
    <w:rPr>
      <w:b/>
    </w:rPr>
  </w:style>
  <w:style w:type="paragraph" w:customStyle="1" w:styleId="FirmTitleLBU15E">
    <w:name w:val="Firm Title LBU 1.5 (E)"/>
    <w:basedOn w:val="Normal"/>
    <w:rsid w:val="006C6975"/>
    <w:pPr>
      <w:keepNext/>
      <w:keepLines/>
      <w:autoSpaceDE/>
      <w:autoSpaceDN/>
      <w:spacing w:after="240"/>
      <w:ind w:left="2160"/>
      <w:outlineLvl w:val="0"/>
    </w:pPr>
    <w:rPr>
      <w:b/>
      <w:u w:val="single"/>
    </w:rPr>
  </w:style>
  <w:style w:type="paragraph" w:customStyle="1" w:styleId="FirmTitleLU15E">
    <w:name w:val="Firm Title LU 1.5 (E)"/>
    <w:basedOn w:val="Normal"/>
    <w:rsid w:val="006C6975"/>
    <w:pPr>
      <w:keepNext/>
      <w:keepLines/>
      <w:autoSpaceDE/>
      <w:autoSpaceDN/>
      <w:spacing w:after="240"/>
      <w:ind w:left="2160"/>
      <w:outlineLvl w:val="0"/>
    </w:pPr>
    <w:rPr>
      <w:u w:val="single"/>
    </w:rPr>
  </w:style>
  <w:style w:type="paragraph" w:styleId="Quote">
    <w:name w:val="Quote"/>
    <w:basedOn w:val="Normal"/>
    <w:next w:val="BodyTextContinued"/>
    <w:link w:val="QuoteChar"/>
    <w:uiPriority w:val="29"/>
    <w:qFormat/>
    <w:rsid w:val="006C6975"/>
    <w:pPr>
      <w:autoSpaceDE/>
      <w:autoSpaceDN/>
      <w:spacing w:after="240"/>
      <w:ind w:left="1440" w:right="1440"/>
    </w:pPr>
    <w:rPr>
      <w:szCs w:val="20"/>
      <w:lang w:val="x-none" w:eastAsia="x-none"/>
    </w:rPr>
  </w:style>
  <w:style w:type="character" w:customStyle="1" w:styleId="QuoteChar">
    <w:name w:val="Quote Char"/>
    <w:link w:val="Quote"/>
    <w:uiPriority w:val="29"/>
    <w:rsid w:val="006C6975"/>
    <w:rPr>
      <w:sz w:val="24"/>
    </w:rPr>
  </w:style>
  <w:style w:type="paragraph" w:customStyle="1" w:styleId="DeliveryPhrase">
    <w:name w:val="Delivery Phrase"/>
    <w:basedOn w:val="Normal"/>
    <w:next w:val="Normal"/>
    <w:rsid w:val="006C6975"/>
    <w:pPr>
      <w:autoSpaceDE/>
      <w:autoSpaceDN/>
      <w:spacing w:after="240"/>
      <w:ind w:left="1440"/>
    </w:pPr>
    <w:rPr>
      <w:b/>
      <w:caps/>
      <w:szCs w:val="20"/>
    </w:rPr>
  </w:style>
  <w:style w:type="paragraph" w:customStyle="1" w:styleId="DocumentTitle">
    <w:name w:val="Document Title"/>
    <w:basedOn w:val="Normal"/>
    <w:next w:val="BodyText"/>
    <w:rsid w:val="006C6975"/>
    <w:pPr>
      <w:autoSpaceDE/>
      <w:autoSpaceDN/>
      <w:spacing w:after="480"/>
      <w:ind w:left="1440"/>
      <w:jc w:val="center"/>
    </w:pPr>
    <w:rPr>
      <w:b/>
      <w:caps/>
    </w:rPr>
  </w:style>
  <w:style w:type="paragraph" w:customStyle="1" w:styleId="BodyTextContinued">
    <w:name w:val="Body Text Continued"/>
    <w:basedOn w:val="BodyText"/>
    <w:next w:val="BodyText"/>
    <w:rsid w:val="006C6975"/>
    <w:pPr>
      <w:ind w:firstLine="0"/>
    </w:pPr>
  </w:style>
  <w:style w:type="character" w:styleId="Hyperlink">
    <w:name w:val="Hyperlink"/>
    <w:uiPriority w:val="99"/>
    <w:rsid w:val="006C6975"/>
    <w:rPr>
      <w:color w:val="0000FF"/>
      <w:u w:val="single"/>
    </w:rPr>
  </w:style>
  <w:style w:type="paragraph" w:customStyle="1" w:styleId="NumContinue">
    <w:name w:val="Num Continue"/>
    <w:basedOn w:val="BodyText"/>
    <w:rsid w:val="006C6975"/>
    <w:rPr>
      <w:szCs w:val="24"/>
    </w:rPr>
  </w:style>
  <w:style w:type="paragraph" w:customStyle="1" w:styleId="BriefCont1">
    <w:name w:val="Brief Cont 1"/>
    <w:basedOn w:val="Normal"/>
    <w:rsid w:val="006C6975"/>
    <w:pPr>
      <w:autoSpaceDE/>
      <w:autoSpaceDN/>
      <w:spacing w:after="240"/>
      <w:ind w:left="1440"/>
    </w:pPr>
  </w:style>
  <w:style w:type="paragraph" w:customStyle="1" w:styleId="BriefCont2">
    <w:name w:val="Brief Cont 2"/>
    <w:basedOn w:val="BriefCont1"/>
    <w:rsid w:val="006C6975"/>
    <w:pPr>
      <w:ind w:left="2160"/>
    </w:pPr>
  </w:style>
  <w:style w:type="paragraph" w:customStyle="1" w:styleId="BriefCont3">
    <w:name w:val="Brief Cont 3"/>
    <w:basedOn w:val="BriefCont2"/>
    <w:rsid w:val="006C6975"/>
    <w:pPr>
      <w:ind w:left="2880"/>
    </w:pPr>
  </w:style>
  <w:style w:type="paragraph" w:customStyle="1" w:styleId="BriefCont4">
    <w:name w:val="Brief Cont 4"/>
    <w:basedOn w:val="BriefCont3"/>
    <w:rsid w:val="006C6975"/>
  </w:style>
  <w:style w:type="paragraph" w:customStyle="1" w:styleId="BriefCont5">
    <w:name w:val="Brief Cont 5"/>
    <w:basedOn w:val="BriefCont4"/>
    <w:rsid w:val="006C6975"/>
    <w:pPr>
      <w:ind w:left="3600"/>
    </w:pPr>
  </w:style>
  <w:style w:type="paragraph" w:customStyle="1" w:styleId="BriefCont6">
    <w:name w:val="Brief Cont 6"/>
    <w:basedOn w:val="BriefCont5"/>
    <w:rsid w:val="006C6975"/>
    <w:pPr>
      <w:ind w:left="4320"/>
    </w:pPr>
  </w:style>
  <w:style w:type="paragraph" w:customStyle="1" w:styleId="BriefCont7">
    <w:name w:val="Brief Cont 7"/>
    <w:basedOn w:val="BriefCont6"/>
    <w:rsid w:val="006C6975"/>
    <w:pPr>
      <w:ind w:left="5040"/>
    </w:pPr>
  </w:style>
  <w:style w:type="paragraph" w:customStyle="1" w:styleId="BriefCont8">
    <w:name w:val="Brief Cont 8"/>
    <w:basedOn w:val="BriefCont7"/>
    <w:rsid w:val="006C6975"/>
    <w:pPr>
      <w:ind w:left="5760"/>
    </w:pPr>
  </w:style>
  <w:style w:type="paragraph" w:customStyle="1" w:styleId="BriefCont9">
    <w:name w:val="Brief Cont 9"/>
    <w:basedOn w:val="BriefCont8"/>
    <w:rsid w:val="006C6975"/>
    <w:pPr>
      <w:ind w:left="6480"/>
    </w:pPr>
  </w:style>
  <w:style w:type="paragraph" w:customStyle="1" w:styleId="BriefL1">
    <w:name w:val="Brief_L1"/>
    <w:basedOn w:val="Normal"/>
    <w:next w:val="BodyText"/>
    <w:rsid w:val="006C6975"/>
    <w:pPr>
      <w:numPr>
        <w:numId w:val="1"/>
      </w:numPr>
      <w:autoSpaceDE/>
      <w:autoSpaceDN/>
      <w:spacing w:after="360"/>
      <w:jc w:val="center"/>
      <w:outlineLvl w:val="0"/>
    </w:pPr>
    <w:rPr>
      <w:b/>
      <w:caps/>
      <w:szCs w:val="20"/>
    </w:rPr>
  </w:style>
  <w:style w:type="paragraph" w:customStyle="1" w:styleId="BriefL2">
    <w:name w:val="Brief_L2"/>
    <w:basedOn w:val="BriefL1"/>
    <w:next w:val="BodyText"/>
    <w:rsid w:val="006C6975"/>
    <w:pPr>
      <w:keepNext/>
      <w:keepLines/>
      <w:numPr>
        <w:ilvl w:val="1"/>
      </w:numPr>
      <w:jc w:val="left"/>
      <w:outlineLvl w:val="1"/>
    </w:pPr>
    <w:rPr>
      <w:caps w:val="0"/>
    </w:rPr>
  </w:style>
  <w:style w:type="paragraph" w:customStyle="1" w:styleId="BriefL3">
    <w:name w:val="Brief_L3"/>
    <w:basedOn w:val="BriefL2"/>
    <w:rsid w:val="006C6975"/>
    <w:pPr>
      <w:keepNext w:val="0"/>
      <w:keepLines w:val="0"/>
      <w:numPr>
        <w:ilvl w:val="2"/>
      </w:numPr>
      <w:spacing w:after="240"/>
      <w:outlineLvl w:val="2"/>
    </w:pPr>
    <w:rPr>
      <w:b w:val="0"/>
    </w:rPr>
  </w:style>
  <w:style w:type="paragraph" w:customStyle="1" w:styleId="BriefL4">
    <w:name w:val="Brief_L4"/>
    <w:basedOn w:val="BriefL3"/>
    <w:next w:val="BodyText"/>
    <w:rsid w:val="006C6975"/>
    <w:pPr>
      <w:numPr>
        <w:ilvl w:val="3"/>
      </w:numPr>
      <w:outlineLvl w:val="3"/>
    </w:pPr>
    <w:rPr>
      <w:b/>
    </w:rPr>
  </w:style>
  <w:style w:type="paragraph" w:customStyle="1" w:styleId="BriefL5">
    <w:name w:val="Brief_L5"/>
    <w:basedOn w:val="BriefL4"/>
    <w:next w:val="BodyText"/>
    <w:rsid w:val="006C6975"/>
    <w:pPr>
      <w:numPr>
        <w:ilvl w:val="4"/>
      </w:numPr>
      <w:outlineLvl w:val="4"/>
    </w:pPr>
    <w:rPr>
      <w:b w:val="0"/>
    </w:rPr>
  </w:style>
  <w:style w:type="paragraph" w:customStyle="1" w:styleId="BriefL6">
    <w:name w:val="Brief_L6"/>
    <w:basedOn w:val="BriefL5"/>
    <w:next w:val="BodyText"/>
    <w:rsid w:val="006C6975"/>
    <w:pPr>
      <w:numPr>
        <w:ilvl w:val="5"/>
      </w:numPr>
      <w:outlineLvl w:val="5"/>
    </w:pPr>
  </w:style>
  <w:style w:type="paragraph" w:customStyle="1" w:styleId="BriefL7">
    <w:name w:val="Brief_L7"/>
    <w:basedOn w:val="BriefL6"/>
    <w:next w:val="BodyText"/>
    <w:rsid w:val="006C6975"/>
    <w:pPr>
      <w:numPr>
        <w:ilvl w:val="6"/>
      </w:numPr>
      <w:outlineLvl w:val="6"/>
    </w:pPr>
  </w:style>
  <w:style w:type="paragraph" w:customStyle="1" w:styleId="BriefL8">
    <w:name w:val="Brief_L8"/>
    <w:basedOn w:val="BriefL7"/>
    <w:next w:val="BodyText"/>
    <w:rsid w:val="006C6975"/>
    <w:pPr>
      <w:numPr>
        <w:ilvl w:val="7"/>
      </w:numPr>
      <w:outlineLvl w:val="7"/>
    </w:pPr>
  </w:style>
  <w:style w:type="paragraph" w:customStyle="1" w:styleId="BriefL9">
    <w:name w:val="Brief_L9"/>
    <w:basedOn w:val="BriefL8"/>
    <w:next w:val="BodyText"/>
    <w:rsid w:val="006C6975"/>
    <w:pPr>
      <w:numPr>
        <w:ilvl w:val="8"/>
      </w:numPr>
      <w:outlineLvl w:val="8"/>
    </w:pPr>
  </w:style>
  <w:style w:type="character" w:customStyle="1" w:styleId="FooterChar">
    <w:name w:val="Footer Char"/>
    <w:link w:val="Footer"/>
    <w:uiPriority w:val="99"/>
    <w:rsid w:val="006C6975"/>
    <w:rPr>
      <w:sz w:val="24"/>
      <w:szCs w:val="24"/>
    </w:rPr>
  </w:style>
  <w:style w:type="paragraph" w:customStyle="1" w:styleId="BriefL3Continued">
    <w:name w:val="Brief L3 Continued"/>
    <w:basedOn w:val="Normal"/>
    <w:rsid w:val="006C6975"/>
    <w:pPr>
      <w:autoSpaceDE/>
      <w:autoSpaceDN/>
      <w:spacing w:after="360"/>
      <w:ind w:left="2880"/>
    </w:pPr>
  </w:style>
  <w:style w:type="paragraph" w:customStyle="1" w:styleId="briefCont20">
    <w:name w:val="brief Cont 2"/>
    <w:basedOn w:val="BriefCont1"/>
    <w:rsid w:val="006C6975"/>
    <w:pPr>
      <w:widowControl w:val="0"/>
      <w:spacing w:after="0" w:line="480" w:lineRule="auto"/>
      <w:ind w:left="0"/>
    </w:pPr>
    <w:rPr>
      <w:szCs w:val="20"/>
    </w:rPr>
  </w:style>
  <w:style w:type="paragraph" w:styleId="DocumentMap">
    <w:name w:val="Document Map"/>
    <w:basedOn w:val="Normal"/>
    <w:link w:val="DocumentMapChar"/>
    <w:rsid w:val="006C6975"/>
    <w:pPr>
      <w:shd w:val="clear" w:color="auto" w:fill="000080"/>
      <w:autoSpaceDE/>
      <w:autoSpaceDN/>
      <w:ind w:left="1440"/>
    </w:pPr>
    <w:rPr>
      <w:rFonts w:ascii="Tahoma" w:hAnsi="Tahoma"/>
      <w:sz w:val="20"/>
      <w:szCs w:val="20"/>
      <w:lang w:val="x-none" w:eastAsia="x-none"/>
    </w:rPr>
  </w:style>
  <w:style w:type="character" w:customStyle="1" w:styleId="DocumentMapChar">
    <w:name w:val="Document Map Char"/>
    <w:link w:val="DocumentMap"/>
    <w:rsid w:val="006C6975"/>
    <w:rPr>
      <w:rFonts w:ascii="Tahoma" w:hAnsi="Tahoma" w:cs="Tahoma"/>
      <w:shd w:val="clear" w:color="auto" w:fill="000080"/>
    </w:rPr>
  </w:style>
  <w:style w:type="paragraph" w:customStyle="1" w:styleId="FootnoteBody">
    <w:name w:val="Footnote Body"/>
    <w:basedOn w:val="FirmPlain"/>
    <w:rsid w:val="006C6975"/>
    <w:pPr>
      <w:spacing w:after="120"/>
      <w:ind w:left="720" w:hanging="720"/>
    </w:pPr>
  </w:style>
  <w:style w:type="paragraph" w:styleId="Title">
    <w:name w:val="Title"/>
    <w:basedOn w:val="Normal"/>
    <w:link w:val="TitleChar"/>
    <w:qFormat/>
    <w:rsid w:val="006C6975"/>
    <w:pPr>
      <w:autoSpaceDE/>
      <w:autoSpaceDN/>
      <w:spacing w:before="240" w:after="60"/>
      <w:ind w:left="1440"/>
      <w:jc w:val="center"/>
      <w:outlineLvl w:val="0"/>
    </w:pPr>
    <w:rPr>
      <w:rFonts w:ascii="Arial" w:hAnsi="Arial"/>
      <w:b/>
      <w:bCs/>
      <w:kern w:val="28"/>
      <w:sz w:val="32"/>
      <w:szCs w:val="32"/>
      <w:lang w:val="x-none" w:eastAsia="x-none"/>
    </w:rPr>
  </w:style>
  <w:style w:type="character" w:customStyle="1" w:styleId="TitleChar">
    <w:name w:val="Title Char"/>
    <w:link w:val="Title"/>
    <w:rsid w:val="006C6975"/>
    <w:rPr>
      <w:rFonts w:ascii="Arial" w:hAnsi="Arial" w:cs="Arial"/>
      <w:b/>
      <w:bCs/>
      <w:kern w:val="28"/>
      <w:sz w:val="32"/>
      <w:szCs w:val="32"/>
    </w:rPr>
  </w:style>
  <w:style w:type="paragraph" w:customStyle="1" w:styleId="TOCHeader">
    <w:name w:val="TOC Header"/>
    <w:basedOn w:val="Normal"/>
    <w:rsid w:val="006C6975"/>
    <w:pPr>
      <w:autoSpaceDE/>
      <w:autoSpaceDN/>
      <w:ind w:left="115" w:right="115"/>
      <w:jc w:val="center"/>
    </w:pPr>
    <w:rPr>
      <w:szCs w:val="20"/>
    </w:rPr>
  </w:style>
  <w:style w:type="paragraph" w:styleId="TableofAuthorities">
    <w:name w:val="table of authorities"/>
    <w:basedOn w:val="Normal"/>
    <w:next w:val="Normal"/>
    <w:rsid w:val="006C6975"/>
    <w:pPr>
      <w:autoSpaceDE/>
      <w:autoSpaceDN/>
      <w:ind w:left="240" w:hanging="240"/>
    </w:pPr>
  </w:style>
  <w:style w:type="paragraph" w:styleId="TOC1">
    <w:name w:val="toc 1"/>
    <w:basedOn w:val="Normal"/>
    <w:next w:val="Normal"/>
    <w:autoRedefine/>
    <w:uiPriority w:val="39"/>
    <w:rsid w:val="0053114A"/>
    <w:pPr>
      <w:keepLines/>
      <w:autoSpaceDE/>
      <w:autoSpaceDN/>
      <w:ind w:left="720" w:hanging="720"/>
    </w:pPr>
    <w:rPr>
      <w:b/>
      <w:caps/>
      <w:noProof/>
      <w:sz w:val="26"/>
      <w:szCs w:val="20"/>
    </w:rPr>
  </w:style>
  <w:style w:type="paragraph" w:styleId="TOC2">
    <w:name w:val="toc 2"/>
    <w:basedOn w:val="Normal"/>
    <w:next w:val="Normal"/>
    <w:autoRedefine/>
    <w:uiPriority w:val="39"/>
    <w:rsid w:val="0053114A"/>
    <w:pPr>
      <w:keepLines/>
      <w:autoSpaceDE/>
      <w:autoSpaceDN/>
      <w:ind w:left="1440" w:right="720" w:hanging="720"/>
    </w:pPr>
    <w:rPr>
      <w:sz w:val="26"/>
      <w:szCs w:val="20"/>
    </w:rPr>
  </w:style>
  <w:style w:type="paragraph" w:styleId="TOC3">
    <w:name w:val="toc 3"/>
    <w:basedOn w:val="Normal"/>
    <w:next w:val="Normal"/>
    <w:autoRedefine/>
    <w:uiPriority w:val="39"/>
    <w:rsid w:val="0053114A"/>
    <w:pPr>
      <w:keepLines/>
      <w:autoSpaceDE/>
      <w:autoSpaceDN/>
      <w:ind w:left="2160" w:right="720" w:hanging="720"/>
    </w:pPr>
    <w:rPr>
      <w:sz w:val="26"/>
      <w:szCs w:val="20"/>
    </w:rPr>
  </w:style>
  <w:style w:type="paragraph" w:styleId="TOC4">
    <w:name w:val="toc 4"/>
    <w:basedOn w:val="Normal"/>
    <w:next w:val="Normal"/>
    <w:autoRedefine/>
    <w:uiPriority w:val="39"/>
    <w:rsid w:val="0053114A"/>
    <w:pPr>
      <w:keepLines/>
      <w:autoSpaceDE/>
      <w:autoSpaceDN/>
      <w:spacing w:after="120"/>
      <w:ind w:left="2880" w:right="720" w:hanging="720"/>
    </w:pPr>
    <w:rPr>
      <w:sz w:val="26"/>
      <w:szCs w:val="20"/>
    </w:rPr>
  </w:style>
  <w:style w:type="paragraph" w:styleId="TOC5">
    <w:name w:val="toc 5"/>
    <w:basedOn w:val="Normal"/>
    <w:next w:val="Normal"/>
    <w:autoRedefine/>
    <w:uiPriority w:val="39"/>
    <w:rsid w:val="0053114A"/>
    <w:pPr>
      <w:keepLines/>
      <w:autoSpaceDE/>
      <w:autoSpaceDN/>
      <w:spacing w:after="120"/>
      <w:ind w:left="3600" w:right="720" w:hanging="720"/>
    </w:pPr>
    <w:rPr>
      <w:sz w:val="26"/>
      <w:szCs w:val="20"/>
    </w:rPr>
  </w:style>
  <w:style w:type="paragraph" w:styleId="TOC6">
    <w:name w:val="toc 6"/>
    <w:basedOn w:val="Normal"/>
    <w:next w:val="Normal"/>
    <w:autoRedefine/>
    <w:uiPriority w:val="39"/>
    <w:rsid w:val="006C6975"/>
    <w:pPr>
      <w:keepLines/>
      <w:tabs>
        <w:tab w:val="right" w:leader="dot" w:pos="9288"/>
      </w:tabs>
      <w:autoSpaceDE/>
      <w:autoSpaceDN/>
      <w:spacing w:after="120"/>
      <w:ind w:left="4320" w:right="720" w:hanging="720"/>
    </w:pPr>
    <w:rPr>
      <w:szCs w:val="20"/>
    </w:rPr>
  </w:style>
  <w:style w:type="paragraph" w:styleId="TOC7">
    <w:name w:val="toc 7"/>
    <w:basedOn w:val="Normal"/>
    <w:next w:val="Normal"/>
    <w:autoRedefine/>
    <w:uiPriority w:val="39"/>
    <w:rsid w:val="006C6975"/>
    <w:pPr>
      <w:keepLines/>
      <w:tabs>
        <w:tab w:val="right" w:leader="dot" w:pos="9288"/>
      </w:tabs>
      <w:autoSpaceDE/>
      <w:autoSpaceDN/>
      <w:spacing w:after="120"/>
      <w:ind w:left="5040" w:right="720" w:hanging="720"/>
    </w:pPr>
    <w:rPr>
      <w:szCs w:val="20"/>
    </w:rPr>
  </w:style>
  <w:style w:type="paragraph" w:styleId="TOC8">
    <w:name w:val="toc 8"/>
    <w:basedOn w:val="Normal"/>
    <w:next w:val="Normal"/>
    <w:autoRedefine/>
    <w:uiPriority w:val="39"/>
    <w:rsid w:val="006C6975"/>
    <w:pPr>
      <w:keepLines/>
      <w:tabs>
        <w:tab w:val="right" w:leader="dot" w:pos="9288"/>
      </w:tabs>
      <w:autoSpaceDE/>
      <w:autoSpaceDN/>
      <w:spacing w:after="120"/>
      <w:ind w:left="5760" w:right="720" w:hanging="720"/>
    </w:pPr>
    <w:rPr>
      <w:szCs w:val="20"/>
    </w:rPr>
  </w:style>
  <w:style w:type="paragraph" w:styleId="TOC9">
    <w:name w:val="toc 9"/>
    <w:basedOn w:val="Normal"/>
    <w:next w:val="Normal"/>
    <w:autoRedefine/>
    <w:uiPriority w:val="39"/>
    <w:rsid w:val="006C6975"/>
    <w:pPr>
      <w:keepLines/>
      <w:tabs>
        <w:tab w:val="right" w:leader="dot" w:pos="9288"/>
      </w:tabs>
      <w:autoSpaceDE/>
      <w:autoSpaceDN/>
      <w:spacing w:after="120"/>
      <w:ind w:left="6480" w:right="720" w:hanging="720"/>
    </w:pPr>
    <w:rPr>
      <w:szCs w:val="20"/>
    </w:rPr>
  </w:style>
  <w:style w:type="paragraph" w:customStyle="1" w:styleId="MacPacTrailer">
    <w:name w:val="MacPac Trailer"/>
    <w:rsid w:val="006C6975"/>
    <w:pPr>
      <w:widowControl w:val="0"/>
      <w:spacing w:line="200" w:lineRule="exact"/>
    </w:pPr>
    <w:rPr>
      <w:sz w:val="16"/>
      <w:szCs w:val="22"/>
    </w:rPr>
  </w:style>
  <w:style w:type="paragraph" w:styleId="ListNumber">
    <w:name w:val="List Number"/>
    <w:basedOn w:val="Normal"/>
    <w:link w:val="ListNumberChar"/>
    <w:rsid w:val="006C6975"/>
    <w:pPr>
      <w:numPr>
        <w:numId w:val="2"/>
      </w:numPr>
      <w:autoSpaceDE/>
      <w:autoSpaceDN/>
      <w:spacing w:after="120" w:line="480" w:lineRule="auto"/>
    </w:pPr>
    <w:rPr>
      <w:lang w:val="x-none" w:eastAsia="x-none"/>
    </w:rPr>
  </w:style>
  <w:style w:type="paragraph" w:styleId="BalloonText">
    <w:name w:val="Balloon Text"/>
    <w:basedOn w:val="Normal"/>
    <w:link w:val="BalloonTextChar"/>
    <w:rsid w:val="006C6975"/>
    <w:pPr>
      <w:autoSpaceDE/>
      <w:autoSpaceDN/>
      <w:ind w:left="1440"/>
    </w:pPr>
    <w:rPr>
      <w:rFonts w:ascii="Tahoma" w:hAnsi="Tahoma"/>
      <w:sz w:val="16"/>
      <w:szCs w:val="16"/>
      <w:lang w:val="x-none" w:eastAsia="x-none"/>
    </w:rPr>
  </w:style>
  <w:style w:type="character" w:customStyle="1" w:styleId="BalloonTextChar">
    <w:name w:val="Balloon Text Char"/>
    <w:link w:val="BalloonText"/>
    <w:rsid w:val="006C6975"/>
    <w:rPr>
      <w:rFonts w:ascii="Tahoma" w:hAnsi="Tahoma" w:cs="Tahoma"/>
      <w:sz w:val="16"/>
      <w:szCs w:val="16"/>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6C6975"/>
  </w:style>
  <w:style w:type="paragraph" w:customStyle="1" w:styleId="BATOAPageHeading">
    <w:name w:val="BA TOA Page Heading"/>
    <w:basedOn w:val="Normal"/>
    <w:rsid w:val="006C6975"/>
    <w:pPr>
      <w:keepNext/>
      <w:keepLines/>
      <w:tabs>
        <w:tab w:val="right" w:pos="9360"/>
      </w:tabs>
      <w:autoSpaceDE/>
      <w:autoSpaceDN/>
      <w:jc w:val="right"/>
    </w:pPr>
    <w:rPr>
      <w:b/>
    </w:rPr>
  </w:style>
  <w:style w:type="paragraph" w:customStyle="1" w:styleId="BATOAHeading">
    <w:name w:val="BA TOA Heading"/>
    <w:basedOn w:val="Normal"/>
    <w:rsid w:val="006C6975"/>
    <w:pPr>
      <w:keepNext/>
      <w:keepLines/>
      <w:autoSpaceDE/>
      <w:autoSpaceDN/>
      <w:spacing w:before="480" w:after="240"/>
    </w:pPr>
    <w:rPr>
      <w:b/>
      <w:smallCaps/>
      <w:noProof/>
    </w:rPr>
  </w:style>
  <w:style w:type="paragraph" w:customStyle="1" w:styleId="BATOAEntry">
    <w:name w:val="BA TOA Entry"/>
    <w:basedOn w:val="Normal"/>
    <w:rsid w:val="006C6975"/>
    <w:pPr>
      <w:keepLines/>
      <w:tabs>
        <w:tab w:val="right" w:leader="dot" w:pos="9360"/>
      </w:tabs>
      <w:autoSpaceDE/>
      <w:autoSpaceDN/>
      <w:spacing w:after="240"/>
      <w:ind w:left="360" w:right="720" w:hanging="360"/>
    </w:pPr>
  </w:style>
  <w:style w:type="paragraph" w:customStyle="1" w:styleId="BADraft">
    <w:name w:val="BA Draft"/>
    <w:basedOn w:val="BodyText"/>
    <w:rsid w:val="006C6975"/>
    <w:pPr>
      <w:keepLines/>
      <w:spacing w:after="0"/>
      <w:ind w:left="0" w:firstLine="0"/>
    </w:pPr>
    <w:rPr>
      <w:szCs w:val="24"/>
    </w:rPr>
  </w:style>
  <w:style w:type="paragraph" w:customStyle="1" w:styleId="BATOATitle">
    <w:name w:val="BA TOA Title"/>
    <w:basedOn w:val="Normal"/>
    <w:rsid w:val="006C6975"/>
    <w:pPr>
      <w:keepNext/>
      <w:autoSpaceDE/>
      <w:autoSpaceDN/>
      <w:spacing w:before="120" w:after="240"/>
      <w:jc w:val="center"/>
    </w:pPr>
    <w:rPr>
      <w:b/>
      <w:caps/>
      <w:u w:val="single"/>
    </w:rPr>
  </w:style>
  <w:style w:type="character" w:styleId="Emphasis">
    <w:name w:val="Emphasis"/>
    <w:qFormat/>
    <w:rsid w:val="006C6975"/>
    <w:rPr>
      <w:i/>
      <w:iCs/>
    </w:rPr>
  </w:style>
  <w:style w:type="character" w:styleId="Strong">
    <w:name w:val="Strong"/>
    <w:qFormat/>
    <w:rsid w:val="006C6975"/>
    <w:rPr>
      <w:b/>
      <w:bCs/>
    </w:rPr>
  </w:style>
  <w:style w:type="paragraph" w:customStyle="1" w:styleId="indent">
    <w:name w:val="indent"/>
    <w:basedOn w:val="Normal"/>
    <w:link w:val="indentChar"/>
    <w:qFormat/>
    <w:rsid w:val="006C6975"/>
    <w:pPr>
      <w:autoSpaceDE/>
      <w:autoSpaceDN/>
      <w:spacing w:after="240"/>
      <w:ind w:left="1440"/>
    </w:pPr>
    <w:rPr>
      <w:lang w:val="x-none" w:eastAsia="x-none"/>
    </w:rPr>
  </w:style>
  <w:style w:type="paragraph" w:customStyle="1" w:styleId="numindent">
    <w:name w:val="num indent"/>
    <w:basedOn w:val="ListNumber"/>
    <w:link w:val="numindentChar"/>
    <w:qFormat/>
    <w:rsid w:val="006C6975"/>
    <w:pPr>
      <w:tabs>
        <w:tab w:val="clear" w:pos="504"/>
        <w:tab w:val="num" w:pos="1980"/>
      </w:tabs>
      <w:spacing w:after="240" w:line="240" w:lineRule="auto"/>
      <w:ind w:left="1440" w:firstLine="0"/>
    </w:pPr>
    <w:rPr>
      <w:b/>
    </w:rPr>
  </w:style>
  <w:style w:type="character" w:customStyle="1" w:styleId="indentChar">
    <w:name w:val="indent Char"/>
    <w:link w:val="indent"/>
    <w:rsid w:val="006C6975"/>
    <w:rPr>
      <w:sz w:val="24"/>
      <w:szCs w:val="24"/>
    </w:rPr>
  </w:style>
  <w:style w:type="character" w:customStyle="1" w:styleId="ListNumberChar">
    <w:name w:val="List Number Char"/>
    <w:link w:val="ListNumber"/>
    <w:rsid w:val="006C6975"/>
    <w:rPr>
      <w:sz w:val="24"/>
      <w:szCs w:val="24"/>
      <w:lang w:val="x-none" w:eastAsia="x-none"/>
    </w:rPr>
  </w:style>
  <w:style w:type="character" w:customStyle="1" w:styleId="numindentChar">
    <w:name w:val="num indent Char"/>
    <w:link w:val="numindent"/>
    <w:rsid w:val="006C6975"/>
    <w:rPr>
      <w:b/>
      <w:sz w:val="24"/>
      <w:szCs w:val="24"/>
      <w:lang w:val="x-none" w:eastAsia="x-none"/>
    </w:rPr>
  </w:style>
  <w:style w:type="paragraph" w:styleId="PlainText">
    <w:name w:val="Plain Text"/>
    <w:basedOn w:val="Normal"/>
    <w:link w:val="PlainTextChar"/>
    <w:uiPriority w:val="99"/>
    <w:unhideWhenUsed/>
    <w:rsid w:val="006C6975"/>
    <w:pPr>
      <w:autoSpaceDE/>
      <w:autoSpaceDN/>
    </w:pPr>
    <w:rPr>
      <w:rFonts w:ascii="Consolas" w:eastAsia="Calibri" w:hAnsi="Consolas"/>
      <w:sz w:val="21"/>
      <w:szCs w:val="21"/>
      <w:lang w:val="x-none" w:eastAsia="x-none"/>
    </w:rPr>
  </w:style>
  <w:style w:type="character" w:customStyle="1" w:styleId="PlainTextChar">
    <w:name w:val="Plain Text Char"/>
    <w:link w:val="PlainText"/>
    <w:uiPriority w:val="99"/>
    <w:rsid w:val="006C6975"/>
    <w:rPr>
      <w:rFonts w:ascii="Consolas" w:eastAsia="Calibri" w:hAnsi="Consolas"/>
      <w:sz w:val="21"/>
      <w:szCs w:val="21"/>
    </w:rPr>
  </w:style>
  <w:style w:type="paragraph" w:customStyle="1" w:styleId="BodyTex3">
    <w:name w:val="Body Tex 3"/>
    <w:basedOn w:val="Normal"/>
    <w:link w:val="BodyTex3Char"/>
    <w:qFormat/>
    <w:rsid w:val="006C6975"/>
    <w:pPr>
      <w:autoSpaceDE/>
      <w:autoSpaceDN/>
      <w:spacing w:line="480" w:lineRule="auto"/>
    </w:pPr>
    <w:rPr>
      <w:lang w:val="x-none" w:eastAsia="x-none"/>
    </w:rPr>
  </w:style>
  <w:style w:type="character" w:customStyle="1" w:styleId="BodyTex3Char">
    <w:name w:val="Body Tex 3 Char"/>
    <w:link w:val="BodyTex3"/>
    <w:rsid w:val="006C6975"/>
    <w:rPr>
      <w:sz w:val="24"/>
      <w:szCs w:val="24"/>
    </w:rPr>
  </w:style>
  <w:style w:type="paragraph" w:customStyle="1" w:styleId="answ">
    <w:name w:val="answ"/>
    <w:basedOn w:val="Normal"/>
    <w:next w:val="Normal"/>
    <w:rsid w:val="00F37A2D"/>
    <w:pPr>
      <w:suppressAutoHyphens/>
      <w:autoSpaceDE/>
      <w:autoSpaceDN/>
      <w:spacing w:after="240" w:line="360" w:lineRule="auto"/>
      <w:ind w:left="720" w:hanging="720"/>
      <w:jc w:val="both"/>
    </w:pPr>
    <w:rPr>
      <w:szCs w:val="20"/>
    </w:rPr>
  </w:style>
  <w:style w:type="paragraph" w:styleId="NoSpacing">
    <w:name w:val="No Spacing"/>
    <w:uiPriority w:val="1"/>
    <w:qFormat/>
    <w:rsid w:val="00703C22"/>
    <w:rPr>
      <w:rFonts w:ascii="Calibri" w:eastAsia="Calibri" w:hAnsi="Calibri"/>
      <w:sz w:val="22"/>
      <w:szCs w:val="22"/>
    </w:rPr>
  </w:style>
  <w:style w:type="paragraph" w:styleId="Revision">
    <w:name w:val="Revision"/>
    <w:hidden/>
    <w:uiPriority w:val="99"/>
    <w:semiHidden/>
    <w:rsid w:val="000C1BA2"/>
    <w:rPr>
      <w:sz w:val="24"/>
      <w:szCs w:val="24"/>
    </w:rPr>
  </w:style>
  <w:style w:type="paragraph" w:styleId="BlockText">
    <w:name w:val="Block Text"/>
    <w:basedOn w:val="Normal"/>
    <w:unhideWhenUsed/>
    <w:rsid w:val="0055352D"/>
    <w:pPr>
      <w:autoSpaceDE/>
      <w:autoSpaceDN/>
      <w:spacing w:after="240"/>
      <w:ind w:left="1440" w:right="1440"/>
      <w:jc w:val="both"/>
    </w:pPr>
  </w:style>
  <w:style w:type="paragraph" w:styleId="ListBullet">
    <w:name w:val="List Bullet"/>
    <w:aliases w:val="b1"/>
    <w:basedOn w:val="Normal"/>
    <w:unhideWhenUsed/>
    <w:rsid w:val="001543F6"/>
    <w:pPr>
      <w:tabs>
        <w:tab w:val="num" w:pos="360"/>
      </w:tabs>
      <w:autoSpaceDE/>
      <w:autoSpaceDN/>
      <w:spacing w:after="240"/>
      <w:ind w:left="360"/>
      <w:jc w:val="both"/>
    </w:pPr>
    <w:rPr>
      <w:szCs w:val="20"/>
    </w:rPr>
  </w:style>
  <w:style w:type="character" w:customStyle="1" w:styleId="FootnoteText2Char">
    <w:name w:val="Footnote Text2 Char"/>
    <w:link w:val="FootnoteText2"/>
    <w:locked/>
    <w:rsid w:val="001543F6"/>
  </w:style>
  <w:style w:type="paragraph" w:customStyle="1" w:styleId="FootnoteText2">
    <w:name w:val="Footnote Text2"/>
    <w:basedOn w:val="Normal"/>
    <w:link w:val="FootnoteText2Char"/>
    <w:rsid w:val="001543F6"/>
    <w:pPr>
      <w:autoSpaceDE/>
      <w:autoSpaceDN/>
      <w:spacing w:after="120"/>
      <w:jc w:val="both"/>
    </w:pPr>
    <w:rPr>
      <w:sz w:val="20"/>
      <w:szCs w:val="20"/>
    </w:rPr>
  </w:style>
  <w:style w:type="paragraph" w:customStyle="1" w:styleId="NBBullet1">
    <w:name w:val="NB Bullet 1"/>
    <w:basedOn w:val="Normal"/>
    <w:rsid w:val="001543F6"/>
    <w:pPr>
      <w:numPr>
        <w:numId w:val="5"/>
      </w:numPr>
      <w:autoSpaceDE/>
      <w:autoSpaceDN/>
      <w:spacing w:after="60"/>
      <w:ind w:left="374" w:hanging="374"/>
    </w:pPr>
    <w:rPr>
      <w:sz w:val="20"/>
      <w:szCs w:val="22"/>
    </w:rPr>
  </w:style>
  <w:style w:type="character" w:customStyle="1" w:styleId="Heading1Char">
    <w:name w:val="Heading 1 Char"/>
    <w:basedOn w:val="DefaultParagraphFont"/>
    <w:link w:val="Heading1"/>
    <w:rsid w:val="000B0447"/>
    <w:rPr>
      <w:b/>
      <w:spacing w:val="-3"/>
      <w:sz w:val="26"/>
      <w:szCs w:val="26"/>
    </w:rPr>
  </w:style>
  <w:style w:type="character" w:customStyle="1" w:styleId="Heading2Char">
    <w:name w:val="Heading 2 Char"/>
    <w:basedOn w:val="DefaultParagraphFont"/>
    <w:link w:val="Heading2"/>
    <w:rsid w:val="00442F0C"/>
    <w:rPr>
      <w:b/>
      <w:bCs/>
      <w:iCs/>
      <w:caps/>
      <w:sz w:val="24"/>
      <w:szCs w:val="28"/>
    </w:rPr>
  </w:style>
  <w:style w:type="character" w:customStyle="1" w:styleId="Heading3Char">
    <w:name w:val="Heading 3 Char"/>
    <w:basedOn w:val="DefaultParagraphFont"/>
    <w:link w:val="Heading3"/>
    <w:uiPriority w:val="9"/>
    <w:rsid w:val="000B0447"/>
    <w:rPr>
      <w:b/>
      <w:sz w:val="26"/>
      <w:szCs w:val="26"/>
    </w:rPr>
  </w:style>
  <w:style w:type="character" w:customStyle="1" w:styleId="Heading4Char">
    <w:name w:val="Heading 4 Char"/>
    <w:basedOn w:val="DefaultParagraphFont"/>
    <w:link w:val="Heading4"/>
    <w:rsid w:val="000B0447"/>
    <w:rPr>
      <w:b/>
      <w:sz w:val="26"/>
      <w:szCs w:val="26"/>
    </w:rPr>
  </w:style>
  <w:style w:type="character" w:customStyle="1" w:styleId="Heading5Char">
    <w:name w:val="Heading 5 Char"/>
    <w:basedOn w:val="DefaultParagraphFont"/>
    <w:link w:val="Heading5"/>
    <w:uiPriority w:val="9"/>
    <w:rsid w:val="000B0447"/>
    <w:rPr>
      <w:b/>
      <w:sz w:val="26"/>
      <w:szCs w:val="26"/>
    </w:rPr>
  </w:style>
  <w:style w:type="character" w:customStyle="1" w:styleId="Heading6Char">
    <w:name w:val="Heading 6 Char"/>
    <w:basedOn w:val="DefaultParagraphFont"/>
    <w:link w:val="Heading6"/>
    <w:uiPriority w:val="9"/>
    <w:rsid w:val="00442F0C"/>
    <w:rPr>
      <w:b/>
      <w:bCs/>
      <w:sz w:val="24"/>
      <w:szCs w:val="22"/>
    </w:rPr>
  </w:style>
  <w:style w:type="character" w:customStyle="1" w:styleId="Heading7Char">
    <w:name w:val="Heading 7 Char"/>
    <w:basedOn w:val="DefaultParagraphFont"/>
    <w:link w:val="Heading7"/>
    <w:uiPriority w:val="9"/>
    <w:rsid w:val="00442F0C"/>
    <w:rPr>
      <w:b/>
      <w:sz w:val="24"/>
      <w:szCs w:val="24"/>
    </w:rPr>
  </w:style>
  <w:style w:type="character" w:customStyle="1" w:styleId="Heading8Char">
    <w:name w:val="Heading 8 Char"/>
    <w:basedOn w:val="DefaultParagraphFont"/>
    <w:link w:val="Heading8"/>
    <w:uiPriority w:val="9"/>
    <w:rsid w:val="00442F0C"/>
    <w:rPr>
      <w:b/>
      <w:iCs/>
      <w:sz w:val="24"/>
      <w:szCs w:val="24"/>
    </w:rPr>
  </w:style>
  <w:style w:type="character" w:customStyle="1" w:styleId="Heading9Char">
    <w:name w:val="Heading 9 Char"/>
    <w:basedOn w:val="DefaultParagraphFont"/>
    <w:link w:val="Heading9"/>
    <w:uiPriority w:val="9"/>
    <w:rsid w:val="00442F0C"/>
    <w:rPr>
      <w:b/>
      <w:sz w:val="24"/>
      <w:szCs w:val="22"/>
    </w:rPr>
  </w:style>
  <w:style w:type="table" w:styleId="TableGrid5">
    <w:name w:val="Table Grid 5"/>
    <w:basedOn w:val="TableNormal"/>
    <w:rsid w:val="003F1539"/>
    <w:pPr>
      <w:autoSpaceDE w:val="0"/>
      <w:autoSpaceDN w:val="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F1539"/>
    <w:pPr>
      <w:autoSpaceDE w:val="0"/>
      <w:autoSpaceDN w:val="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3F1539"/>
    <w:pPr>
      <w:autoSpaceDE w:val="0"/>
      <w:autoSpaceDN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ightList">
    <w:name w:val="Light List"/>
    <w:basedOn w:val="TableNormal"/>
    <w:uiPriority w:val="61"/>
    <w:rsid w:val="003F153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List4">
    <w:name w:val="Table List 4"/>
    <w:basedOn w:val="TableNormal"/>
    <w:rsid w:val="003F1539"/>
    <w:pPr>
      <w:autoSpaceDE w:val="0"/>
      <w:autoSpaceDN w:val="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Grid7">
    <w:name w:val="Table Grid 7"/>
    <w:basedOn w:val="TableNormal"/>
    <w:rsid w:val="003F1539"/>
    <w:pPr>
      <w:autoSpaceDE w:val="0"/>
      <w:autoSpaceDN w:val="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F1539"/>
    <w:pPr>
      <w:autoSpaceDE w:val="0"/>
      <w:autoSpaceDN w:val="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F1539"/>
    <w:pPr>
      <w:autoSpaceDE w:val="0"/>
      <w:autoSpaceDN w:val="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F1539"/>
    <w:pPr>
      <w:autoSpaceDE w:val="0"/>
      <w:autoSpaceDN w:val="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F1539"/>
    <w:pPr>
      <w:autoSpaceDE w:val="0"/>
      <w:autoSpaceDN w:val="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DirectNext">
    <w:name w:val="Direct Next"/>
    <w:basedOn w:val="Normal"/>
    <w:rsid w:val="00297E8C"/>
    <w:pPr>
      <w:numPr>
        <w:ilvl w:val="1"/>
        <w:numId w:val="8"/>
      </w:numPr>
      <w:autoSpaceDE/>
      <w:autoSpaceDN/>
      <w:spacing w:line="504" w:lineRule="exact"/>
      <w:ind w:firstLine="720"/>
    </w:pPr>
  </w:style>
  <w:style w:type="paragraph" w:customStyle="1" w:styleId="DirectAnswer">
    <w:name w:val="Direct Answer"/>
    <w:basedOn w:val="Normal"/>
    <w:next w:val="Normal"/>
    <w:rsid w:val="00297E8C"/>
    <w:pPr>
      <w:tabs>
        <w:tab w:val="num" w:pos="360"/>
      </w:tabs>
      <w:autoSpaceDE/>
      <w:autoSpaceDN/>
      <w:spacing w:line="504" w:lineRule="exact"/>
    </w:pPr>
    <w:rPr>
      <w:rFonts w:eastAsia="Calibri"/>
      <w:szCs w:val="20"/>
    </w:rPr>
  </w:style>
  <w:style w:type="paragraph" w:customStyle="1" w:styleId="Level2">
    <w:name w:val="Level 2"/>
    <w:rsid w:val="00415028"/>
    <w:pPr>
      <w:widowControl w:val="0"/>
      <w:tabs>
        <w:tab w:val="num" w:pos="720"/>
      </w:tabs>
      <w:autoSpaceDE w:val="0"/>
      <w:autoSpaceDN w:val="0"/>
      <w:adjustRightInd w:val="0"/>
      <w:spacing w:line="480" w:lineRule="auto"/>
      <w:ind w:left="720" w:hanging="720"/>
      <w:jc w:val="both"/>
    </w:pPr>
    <w:rPr>
      <w:sz w:val="24"/>
      <w:szCs w:val="24"/>
    </w:rPr>
  </w:style>
  <w:style w:type="character" w:customStyle="1" w:styleId="NormalChar">
    <w:name w:val="Normal Char"/>
    <w:link w:val="Normal1"/>
    <w:locked/>
    <w:rsid w:val="006D07BB"/>
    <w:rPr>
      <w:b/>
      <w:bCs/>
      <w:iCs/>
      <w:caps/>
      <w:sz w:val="26"/>
      <w:szCs w:val="26"/>
    </w:rPr>
  </w:style>
  <w:style w:type="paragraph" w:customStyle="1" w:styleId="Normal1">
    <w:name w:val="Normal1"/>
    <w:basedOn w:val="Heading2"/>
    <w:link w:val="NormalChar"/>
    <w:qFormat/>
    <w:rsid w:val="006D07BB"/>
    <w:pPr>
      <w:numPr>
        <w:ilvl w:val="0"/>
        <w:numId w:val="0"/>
      </w:numPr>
      <w:ind w:left="1440" w:hanging="720"/>
    </w:pPr>
    <w:rPr>
      <w:sz w:val="26"/>
      <w:szCs w:val="26"/>
    </w:rPr>
  </w:style>
  <w:style w:type="character" w:customStyle="1" w:styleId="normal-c6">
    <w:name w:val="normal-c6"/>
    <w:rsid w:val="00E90FC9"/>
  </w:style>
  <w:style w:type="character" w:customStyle="1" w:styleId="WBBodyText1Char">
    <w:name w:val="WB Body Text 1 Char"/>
    <w:aliases w:val="B1 Char"/>
    <w:link w:val="WBBodyText1"/>
    <w:locked/>
    <w:rsid w:val="00164F73"/>
    <w:rPr>
      <w:sz w:val="24"/>
      <w:szCs w:val="24"/>
    </w:rPr>
  </w:style>
  <w:style w:type="paragraph" w:customStyle="1" w:styleId="WBBodyText1">
    <w:name w:val="WB Body Text 1"/>
    <w:aliases w:val="B1,Body Text 1"/>
    <w:basedOn w:val="Normal"/>
    <w:link w:val="WBBodyText1Char"/>
    <w:rsid w:val="00164F73"/>
    <w:pPr>
      <w:autoSpaceDE/>
      <w:autoSpaceDN/>
      <w:spacing w:line="480" w:lineRule="auto"/>
      <w:ind w:firstLine="720"/>
    </w:pPr>
  </w:style>
  <w:style w:type="paragraph" w:styleId="CommentText">
    <w:name w:val="annotation text"/>
    <w:basedOn w:val="Normal"/>
    <w:link w:val="CommentTextChar"/>
    <w:unhideWhenUsed/>
    <w:rsid w:val="007A67B2"/>
    <w:pPr>
      <w:autoSpaceDE/>
      <w:autoSpaceDN/>
    </w:pPr>
    <w:rPr>
      <w:rFonts w:eastAsiaTheme="minorHAnsi" w:cstheme="minorBidi"/>
      <w:sz w:val="20"/>
      <w:szCs w:val="20"/>
    </w:rPr>
  </w:style>
  <w:style w:type="character" w:customStyle="1" w:styleId="CommentTextChar">
    <w:name w:val="Comment Text Char"/>
    <w:basedOn w:val="DefaultParagraphFont"/>
    <w:link w:val="CommentText"/>
    <w:rsid w:val="007A67B2"/>
    <w:rPr>
      <w:rFonts w:eastAsiaTheme="minorHAnsi" w:cstheme="minorBidi"/>
    </w:rPr>
  </w:style>
  <w:style w:type="paragraph" w:customStyle="1" w:styleId="BodyTextFirstLine5DS">
    <w:name w:val="Body Text First Line .5 DS"/>
    <w:aliases w:val="5/0d"/>
    <w:basedOn w:val="Normal"/>
    <w:qFormat/>
    <w:rsid w:val="001E1661"/>
    <w:pPr>
      <w:autoSpaceDE/>
      <w:autoSpaceDN/>
      <w:spacing w:line="480" w:lineRule="auto"/>
      <w:ind w:firstLine="720"/>
      <w:jc w:val="both"/>
    </w:pPr>
    <w:rPr>
      <w:rFonts w:eastAsia="Calibri"/>
    </w:rPr>
  </w:style>
  <w:style w:type="paragraph" w:customStyle="1" w:styleId="BodyTextSS">
    <w:name w:val="Body Text SS"/>
    <w:aliases w:val="0/0s"/>
    <w:basedOn w:val="Normal"/>
    <w:qFormat/>
    <w:rsid w:val="001E1661"/>
    <w:pPr>
      <w:autoSpaceDE/>
      <w:autoSpaceDN/>
      <w:spacing w:after="240"/>
      <w:jc w:val="both"/>
    </w:pPr>
  </w:style>
  <w:style w:type="paragraph" w:customStyle="1" w:styleId="ColorfulList-Accent11">
    <w:name w:val="Colorful List - Accent 11"/>
    <w:basedOn w:val="Normal"/>
    <w:uiPriority w:val="34"/>
    <w:qFormat/>
    <w:rsid w:val="005A436C"/>
    <w:pPr>
      <w:autoSpaceDE/>
      <w:autoSpaceDN/>
      <w:ind w:left="720"/>
      <w:contextualSpacing/>
    </w:pPr>
  </w:style>
  <w:style w:type="paragraph" w:customStyle="1" w:styleId="BodyTextDS">
    <w:name w:val="Body Text DS"/>
    <w:aliases w:val="0/0d"/>
    <w:basedOn w:val="Normal"/>
    <w:rsid w:val="00250E24"/>
    <w:pPr>
      <w:autoSpaceDE/>
      <w:autoSpaceDN/>
      <w:spacing w:line="480" w:lineRule="auto"/>
      <w:jc w:val="both"/>
    </w:pPr>
    <w:rPr>
      <w:rFonts w:eastAsia="Calibri"/>
    </w:rPr>
  </w:style>
  <w:style w:type="paragraph" w:customStyle="1" w:styleId="BodyTextFirstLine5SS">
    <w:name w:val="Body Text First Line .5 SS"/>
    <w:aliases w:val="5/0s"/>
    <w:basedOn w:val="Normal"/>
    <w:rsid w:val="00250E24"/>
    <w:pPr>
      <w:autoSpaceDE/>
      <w:autoSpaceDN/>
      <w:spacing w:after="240"/>
      <w:ind w:firstLine="720"/>
      <w:jc w:val="both"/>
    </w:pPr>
  </w:style>
  <w:style w:type="character" w:customStyle="1" w:styleId="BodyTextIndentChar">
    <w:name w:val="Body Text Indent Char"/>
    <w:basedOn w:val="DefaultParagraphFont"/>
    <w:link w:val="BodyTextIndent"/>
    <w:rsid w:val="00E95194"/>
    <w:rPr>
      <w:sz w:val="26"/>
      <w:szCs w:val="26"/>
    </w:rPr>
  </w:style>
  <w:style w:type="character" w:styleId="CommentReference">
    <w:name w:val="annotation reference"/>
    <w:basedOn w:val="DefaultParagraphFont"/>
    <w:rsid w:val="001944C6"/>
    <w:rPr>
      <w:sz w:val="16"/>
      <w:szCs w:val="16"/>
    </w:rPr>
  </w:style>
  <w:style w:type="paragraph" w:styleId="CommentSubject">
    <w:name w:val="annotation subject"/>
    <w:basedOn w:val="CommentText"/>
    <w:next w:val="CommentText"/>
    <w:link w:val="CommentSubjectChar"/>
    <w:rsid w:val="001944C6"/>
    <w:pPr>
      <w:autoSpaceDE w:val="0"/>
      <w:autoSpaceDN w:val="0"/>
    </w:pPr>
    <w:rPr>
      <w:rFonts w:eastAsia="Times New Roman" w:cs="Times New Roman"/>
      <w:b/>
      <w:bCs/>
    </w:rPr>
  </w:style>
  <w:style w:type="character" w:customStyle="1" w:styleId="CommentSubjectChar">
    <w:name w:val="Comment Subject Char"/>
    <w:basedOn w:val="CommentTextChar"/>
    <w:link w:val="CommentSubject"/>
    <w:rsid w:val="001944C6"/>
    <w:rPr>
      <w:rFonts w:eastAsia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paragraph" w:styleId="Heading1">
    <w:name w:val="heading 1"/>
    <w:basedOn w:val="Normal"/>
    <w:next w:val="BodyText2"/>
    <w:link w:val="Heading1Char"/>
    <w:qFormat/>
    <w:rsid w:val="000B0447"/>
    <w:pPr>
      <w:autoSpaceDE/>
      <w:autoSpaceDN/>
      <w:outlineLvl w:val="0"/>
    </w:pPr>
    <w:rPr>
      <w:b/>
      <w:spacing w:val="-3"/>
      <w:sz w:val="26"/>
      <w:szCs w:val="26"/>
    </w:rPr>
  </w:style>
  <w:style w:type="paragraph" w:styleId="Heading2">
    <w:name w:val="heading 2"/>
    <w:basedOn w:val="Normal"/>
    <w:next w:val="BodyText2"/>
    <w:link w:val="Heading2Char"/>
    <w:unhideWhenUsed/>
    <w:qFormat/>
    <w:rsid w:val="00442F0C"/>
    <w:pPr>
      <w:keepLines/>
      <w:numPr>
        <w:ilvl w:val="1"/>
        <w:numId w:val="7"/>
      </w:numPr>
      <w:autoSpaceDE/>
      <w:autoSpaceDN/>
      <w:spacing w:after="240"/>
      <w:jc w:val="both"/>
      <w:outlineLvl w:val="1"/>
    </w:pPr>
    <w:rPr>
      <w:b/>
      <w:bCs/>
      <w:iCs/>
      <w:caps/>
      <w:szCs w:val="28"/>
    </w:rPr>
  </w:style>
  <w:style w:type="paragraph" w:styleId="Heading3">
    <w:name w:val="heading 3"/>
    <w:basedOn w:val="BriefL3"/>
    <w:next w:val="BodyText2"/>
    <w:link w:val="Heading3Char"/>
    <w:uiPriority w:val="9"/>
    <w:unhideWhenUsed/>
    <w:qFormat/>
    <w:rsid w:val="000B0447"/>
    <w:pPr>
      <w:keepNext/>
      <w:numPr>
        <w:ilvl w:val="0"/>
        <w:numId w:val="0"/>
      </w:numPr>
      <w:spacing w:after="0" w:line="360" w:lineRule="auto"/>
      <w:ind w:left="720" w:firstLine="720"/>
    </w:pPr>
    <w:rPr>
      <w:b/>
      <w:sz w:val="26"/>
      <w:szCs w:val="26"/>
    </w:rPr>
  </w:style>
  <w:style w:type="paragraph" w:styleId="Heading4">
    <w:name w:val="heading 4"/>
    <w:basedOn w:val="BriefL3"/>
    <w:next w:val="BodyText2"/>
    <w:link w:val="Heading4Char"/>
    <w:unhideWhenUsed/>
    <w:qFormat/>
    <w:rsid w:val="000B0447"/>
    <w:pPr>
      <w:keepNext/>
      <w:numPr>
        <w:ilvl w:val="0"/>
        <w:numId w:val="9"/>
      </w:numPr>
      <w:spacing w:after="0" w:line="360" w:lineRule="auto"/>
      <w:outlineLvl w:val="3"/>
    </w:pPr>
    <w:rPr>
      <w:b/>
      <w:sz w:val="26"/>
      <w:szCs w:val="26"/>
    </w:rPr>
  </w:style>
  <w:style w:type="paragraph" w:styleId="Heading5">
    <w:name w:val="heading 5"/>
    <w:basedOn w:val="BriefL3"/>
    <w:next w:val="BodyText2"/>
    <w:link w:val="Heading5Char"/>
    <w:uiPriority w:val="9"/>
    <w:unhideWhenUsed/>
    <w:qFormat/>
    <w:rsid w:val="000B0447"/>
    <w:pPr>
      <w:keepNext/>
      <w:numPr>
        <w:ilvl w:val="0"/>
        <w:numId w:val="19"/>
      </w:numPr>
      <w:spacing w:after="0" w:line="360" w:lineRule="auto"/>
      <w:outlineLvl w:val="4"/>
    </w:pPr>
    <w:rPr>
      <w:b/>
      <w:sz w:val="26"/>
      <w:szCs w:val="26"/>
    </w:rPr>
  </w:style>
  <w:style w:type="paragraph" w:styleId="Heading6">
    <w:name w:val="heading 6"/>
    <w:basedOn w:val="Normal"/>
    <w:next w:val="BodyText2"/>
    <w:link w:val="Heading6Char"/>
    <w:uiPriority w:val="9"/>
    <w:unhideWhenUsed/>
    <w:qFormat/>
    <w:rsid w:val="00442F0C"/>
    <w:pPr>
      <w:numPr>
        <w:ilvl w:val="5"/>
        <w:numId w:val="7"/>
      </w:numPr>
      <w:autoSpaceDE/>
      <w:autoSpaceDN/>
      <w:spacing w:after="240"/>
      <w:outlineLvl w:val="5"/>
    </w:pPr>
    <w:rPr>
      <w:b/>
      <w:bCs/>
      <w:szCs w:val="22"/>
    </w:rPr>
  </w:style>
  <w:style w:type="paragraph" w:styleId="Heading7">
    <w:name w:val="heading 7"/>
    <w:basedOn w:val="Normal"/>
    <w:next w:val="BodyText2"/>
    <w:link w:val="Heading7Char"/>
    <w:uiPriority w:val="9"/>
    <w:unhideWhenUsed/>
    <w:qFormat/>
    <w:rsid w:val="00442F0C"/>
    <w:pPr>
      <w:numPr>
        <w:ilvl w:val="6"/>
        <w:numId w:val="7"/>
      </w:numPr>
      <w:autoSpaceDE/>
      <w:autoSpaceDN/>
      <w:spacing w:after="240"/>
      <w:outlineLvl w:val="6"/>
    </w:pPr>
    <w:rPr>
      <w:b/>
    </w:rPr>
  </w:style>
  <w:style w:type="paragraph" w:styleId="Heading8">
    <w:name w:val="heading 8"/>
    <w:basedOn w:val="Normal"/>
    <w:next w:val="BodyText2"/>
    <w:link w:val="Heading8Char"/>
    <w:uiPriority w:val="9"/>
    <w:unhideWhenUsed/>
    <w:qFormat/>
    <w:rsid w:val="00442F0C"/>
    <w:pPr>
      <w:numPr>
        <w:ilvl w:val="7"/>
        <w:numId w:val="7"/>
      </w:numPr>
      <w:autoSpaceDE/>
      <w:autoSpaceDN/>
      <w:spacing w:after="240"/>
      <w:jc w:val="both"/>
      <w:outlineLvl w:val="7"/>
    </w:pPr>
    <w:rPr>
      <w:b/>
      <w:iCs/>
    </w:rPr>
  </w:style>
  <w:style w:type="paragraph" w:styleId="Heading9">
    <w:name w:val="heading 9"/>
    <w:basedOn w:val="Normal"/>
    <w:next w:val="BodyText2"/>
    <w:link w:val="Heading9Char"/>
    <w:uiPriority w:val="9"/>
    <w:unhideWhenUsed/>
    <w:qFormat/>
    <w:rsid w:val="00442F0C"/>
    <w:pPr>
      <w:numPr>
        <w:ilvl w:val="8"/>
        <w:numId w:val="7"/>
      </w:numPr>
      <w:autoSpaceDE/>
      <w:autoSpaceDN/>
      <w:spacing w:after="2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rPr>
      <w:lang w:val="x-none" w:eastAsia="x-none"/>
    </w:rPr>
  </w:style>
  <w:style w:type="character" w:styleId="PageNumber">
    <w:name w:val="page number"/>
    <w:basedOn w:val="DefaultParagraphFont"/>
    <w:rsid w:val="00713D64"/>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1"/>
    <w:basedOn w:val="Normal"/>
    <w:link w:val="FootnoteTextChar"/>
    <w:uiPriority w:val="99"/>
    <w:qFormat/>
    <w:rsid w:val="00713D64"/>
    <w:rPr>
      <w:sz w:val="20"/>
      <w:szCs w:val="20"/>
    </w:rPr>
  </w:style>
  <w:style w:type="character" w:styleId="FootnoteReference">
    <w:name w:val="footnote reference"/>
    <w:aliases w:val="o,fr,Style 13,Style 12,Style 28,(NECG) Footnote Reference,Style 11,Style 9,Style 16,Style 15,Style 17,Style 20,o1,fr1,o2,fr2,o3,fr3,Style 8,Style 7,Style 19,Style 42,Style 2"/>
    <w:uiPriority w:val="99"/>
    <w:rsid w:val="00713D64"/>
    <w:rPr>
      <w:vertAlign w:val="superscript"/>
    </w:rPr>
  </w:style>
  <w:style w:type="paragraph" w:styleId="BodyTextIndent">
    <w:name w:val="Body Text Indent"/>
    <w:basedOn w:val="Normal"/>
    <w:link w:val="BodyTextIndentChar"/>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rPr>
      <w:lang w:val="x-none" w:eastAsia="x-none"/>
    </w:rPr>
  </w:style>
  <w:style w:type="character" w:customStyle="1" w:styleId="HeaderChar">
    <w:name w:val="Header Char"/>
    <w:link w:val="Header"/>
    <w:rsid w:val="00BE0854"/>
    <w:rPr>
      <w:sz w:val="24"/>
      <w:szCs w:val="24"/>
    </w:rPr>
  </w:style>
  <w:style w:type="table" w:styleId="TableGrid">
    <w:name w:val="Table Grid"/>
    <w:basedOn w:val="TableNormal"/>
    <w:rsid w:val="005E3B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7C60EF"/>
    <w:pPr>
      <w:spacing w:after="120" w:line="480" w:lineRule="auto"/>
    </w:pPr>
    <w:rPr>
      <w:lang w:val="x-none" w:eastAsia="x-none"/>
    </w:rPr>
  </w:style>
  <w:style w:type="character" w:customStyle="1" w:styleId="BodyText2Char">
    <w:name w:val="Body Text 2 Char"/>
    <w:link w:val="BodyText2"/>
    <w:rsid w:val="007C60EF"/>
    <w:rPr>
      <w:sz w:val="24"/>
      <w:szCs w:val="24"/>
    </w:rPr>
  </w:style>
  <w:style w:type="paragraph" w:styleId="BodyText">
    <w:name w:val="Body Text"/>
    <w:basedOn w:val="Normal"/>
    <w:link w:val="BodyTextChar"/>
    <w:rsid w:val="006C6975"/>
    <w:pPr>
      <w:widowControl w:val="0"/>
      <w:autoSpaceDE/>
      <w:autoSpaceDN/>
      <w:spacing w:after="240"/>
      <w:ind w:left="1440" w:firstLine="1440"/>
    </w:pPr>
    <w:rPr>
      <w:szCs w:val="20"/>
      <w:lang w:val="x-none" w:eastAsia="x-none"/>
    </w:rPr>
  </w:style>
  <w:style w:type="character" w:customStyle="1" w:styleId="BodyTextChar">
    <w:name w:val="Body Text Char"/>
    <w:link w:val="BodyText"/>
    <w:rsid w:val="006C6975"/>
    <w:rPr>
      <w:sz w:val="24"/>
    </w:rPr>
  </w:style>
  <w:style w:type="paragraph" w:customStyle="1" w:styleId="BusinessSignature">
    <w:name w:val="Business Signature"/>
    <w:basedOn w:val="Normal"/>
    <w:rsid w:val="006C6975"/>
    <w:pPr>
      <w:tabs>
        <w:tab w:val="left" w:pos="403"/>
        <w:tab w:val="right" w:pos="4320"/>
      </w:tabs>
      <w:autoSpaceDE/>
      <w:autoSpaceDN/>
      <w:ind w:left="1440"/>
    </w:pPr>
    <w:rPr>
      <w:szCs w:val="20"/>
    </w:rPr>
  </w:style>
  <w:style w:type="paragraph" w:customStyle="1" w:styleId="TitlePageDate">
    <w:name w:val="Title Page Date"/>
    <w:basedOn w:val="Normal"/>
    <w:rsid w:val="006C6975"/>
    <w:pPr>
      <w:autoSpaceDE/>
      <w:autoSpaceDN/>
      <w:spacing w:before="720"/>
      <w:ind w:left="1440"/>
      <w:jc w:val="center"/>
    </w:pPr>
    <w:rPr>
      <w:b/>
      <w:caps/>
      <w:szCs w:val="20"/>
    </w:rPr>
  </w:style>
  <w:style w:type="paragraph" w:customStyle="1" w:styleId="TitlePageDocument">
    <w:name w:val="Title Page Document"/>
    <w:basedOn w:val="Normal"/>
    <w:rsid w:val="006C6975"/>
    <w:pPr>
      <w:autoSpaceDE/>
      <w:autoSpaceDN/>
      <w:ind w:left="1440"/>
      <w:jc w:val="center"/>
    </w:pPr>
    <w:rPr>
      <w:b/>
      <w:bCs/>
      <w:caps/>
      <w:szCs w:val="20"/>
    </w:rPr>
  </w:style>
  <w:style w:type="paragraph" w:customStyle="1" w:styleId="TitlePageParty">
    <w:name w:val="Title Page Party"/>
    <w:basedOn w:val="Normal"/>
    <w:rsid w:val="006C6975"/>
    <w:pPr>
      <w:autoSpaceDE/>
      <w:autoSpaceDN/>
      <w:spacing w:before="720"/>
      <w:ind w:left="1440"/>
      <w:jc w:val="center"/>
    </w:pPr>
    <w:rPr>
      <w:b/>
      <w:caps/>
      <w:szCs w:val="20"/>
    </w:rPr>
  </w:style>
  <w:style w:type="paragraph" w:customStyle="1" w:styleId="FirmDouble">
    <w:name w:val="Firm Double"/>
    <w:basedOn w:val="Normal"/>
    <w:rsid w:val="006C6975"/>
    <w:pPr>
      <w:autoSpaceDE/>
      <w:autoSpaceDN/>
      <w:spacing w:line="480" w:lineRule="auto"/>
    </w:pPr>
  </w:style>
  <w:style w:type="paragraph" w:customStyle="1" w:styleId="FirmDouble05">
    <w:name w:val="Firm Double 05"/>
    <w:basedOn w:val="Normal"/>
    <w:rsid w:val="006C6975"/>
    <w:pPr>
      <w:autoSpaceDE/>
      <w:autoSpaceDN/>
      <w:spacing w:line="480" w:lineRule="auto"/>
      <w:ind w:left="1440" w:firstLine="720"/>
    </w:pPr>
  </w:style>
  <w:style w:type="paragraph" w:customStyle="1" w:styleId="FirmDouble1">
    <w:name w:val="Firm Double 1"/>
    <w:basedOn w:val="Normal"/>
    <w:rsid w:val="006C6975"/>
    <w:pPr>
      <w:autoSpaceDE/>
      <w:autoSpaceDN/>
      <w:spacing w:line="480" w:lineRule="auto"/>
      <w:ind w:left="1440" w:firstLine="1440"/>
    </w:pPr>
  </w:style>
  <w:style w:type="paragraph" w:customStyle="1" w:styleId="FirmDoubleFullJustify">
    <w:name w:val="Firm Double Full Justify"/>
    <w:basedOn w:val="Normal"/>
    <w:rsid w:val="006C6975"/>
    <w:pPr>
      <w:autoSpaceDE/>
      <w:autoSpaceDN/>
      <w:spacing w:line="480" w:lineRule="auto"/>
      <w:ind w:left="1440"/>
      <w:jc w:val="both"/>
    </w:pPr>
  </w:style>
  <w:style w:type="paragraph" w:customStyle="1" w:styleId="FirmPlain">
    <w:name w:val="Firm Plain"/>
    <w:basedOn w:val="Normal"/>
    <w:rsid w:val="006C6975"/>
    <w:pPr>
      <w:autoSpaceDE/>
      <w:autoSpaceDN/>
    </w:pPr>
  </w:style>
  <w:style w:type="paragraph" w:customStyle="1" w:styleId="FirmQuote">
    <w:name w:val="Firm Quote"/>
    <w:basedOn w:val="Normal"/>
    <w:rsid w:val="006C6975"/>
    <w:pPr>
      <w:autoSpaceDE/>
      <w:autoSpaceDN/>
      <w:spacing w:before="240" w:after="240"/>
      <w:ind w:left="1440" w:right="1440"/>
    </w:pPr>
  </w:style>
  <w:style w:type="paragraph" w:customStyle="1" w:styleId="FirmSingle">
    <w:name w:val="Firm Single"/>
    <w:basedOn w:val="Normal"/>
    <w:rsid w:val="006C6975"/>
    <w:pPr>
      <w:autoSpaceDE/>
      <w:autoSpaceDN/>
      <w:spacing w:after="240"/>
      <w:ind w:left="1440"/>
    </w:pPr>
  </w:style>
  <w:style w:type="paragraph" w:customStyle="1" w:styleId="FirmSingle05">
    <w:name w:val="Firm Single 05"/>
    <w:basedOn w:val="Normal"/>
    <w:rsid w:val="006C6975"/>
    <w:pPr>
      <w:autoSpaceDE/>
      <w:autoSpaceDN/>
      <w:spacing w:after="240"/>
      <w:ind w:left="1440" w:firstLine="720"/>
    </w:pPr>
  </w:style>
  <w:style w:type="paragraph" w:customStyle="1" w:styleId="FirmSingle1">
    <w:name w:val="Firm Single 1"/>
    <w:basedOn w:val="Normal"/>
    <w:rsid w:val="006C6975"/>
    <w:pPr>
      <w:autoSpaceDE/>
      <w:autoSpaceDN/>
      <w:spacing w:after="240"/>
      <w:ind w:left="1440" w:firstLine="1440"/>
    </w:pPr>
  </w:style>
  <w:style w:type="paragraph" w:customStyle="1" w:styleId="FirmSingleFullJustify">
    <w:name w:val="Firm Single Full Justify"/>
    <w:basedOn w:val="Normal"/>
    <w:rsid w:val="006C6975"/>
    <w:pPr>
      <w:autoSpaceDE/>
      <w:autoSpaceDN/>
      <w:spacing w:after="240"/>
      <w:ind w:left="1440"/>
      <w:jc w:val="both"/>
    </w:pPr>
  </w:style>
  <w:style w:type="paragraph" w:customStyle="1" w:styleId="FirmTable">
    <w:name w:val="Firm Table"/>
    <w:basedOn w:val="Normal"/>
    <w:rsid w:val="006C6975"/>
    <w:pPr>
      <w:autoSpaceDE/>
      <w:autoSpaceDN/>
      <w:ind w:left="1440"/>
    </w:pPr>
  </w:style>
  <w:style w:type="paragraph" w:customStyle="1" w:styleId="FirmTitleCB">
    <w:name w:val="Firm Title CB"/>
    <w:basedOn w:val="Normal"/>
    <w:rsid w:val="006C6975"/>
    <w:pPr>
      <w:keepNext/>
      <w:keepLines/>
      <w:autoSpaceDE/>
      <w:autoSpaceDN/>
      <w:spacing w:after="240"/>
      <w:ind w:left="1440"/>
      <w:jc w:val="center"/>
      <w:outlineLvl w:val="0"/>
    </w:pPr>
    <w:rPr>
      <w:b/>
    </w:rPr>
  </w:style>
  <w:style w:type="paragraph" w:customStyle="1" w:styleId="FirmTitleCBU">
    <w:name w:val="Firm Title CBU"/>
    <w:basedOn w:val="Normal"/>
    <w:rsid w:val="006C6975"/>
    <w:pPr>
      <w:keepNext/>
      <w:keepLines/>
      <w:autoSpaceDE/>
      <w:autoSpaceDN/>
      <w:spacing w:after="240"/>
      <w:ind w:left="1440"/>
      <w:jc w:val="center"/>
      <w:outlineLvl w:val="0"/>
    </w:pPr>
    <w:rPr>
      <w:b/>
      <w:u w:val="single"/>
    </w:rPr>
  </w:style>
  <w:style w:type="paragraph" w:customStyle="1" w:styleId="FirmTitleCU">
    <w:name w:val="Firm Title CU"/>
    <w:basedOn w:val="Normal"/>
    <w:rsid w:val="006C6975"/>
    <w:pPr>
      <w:keepNext/>
      <w:keepLines/>
      <w:autoSpaceDE/>
      <w:autoSpaceDN/>
      <w:spacing w:after="240"/>
      <w:ind w:left="1440"/>
      <w:jc w:val="center"/>
      <w:outlineLvl w:val="0"/>
    </w:pPr>
    <w:rPr>
      <w:u w:val="single"/>
    </w:rPr>
  </w:style>
  <w:style w:type="paragraph" w:customStyle="1" w:styleId="FirmTitleLB">
    <w:name w:val="Firm Title LB"/>
    <w:basedOn w:val="Normal"/>
    <w:rsid w:val="006C6975"/>
    <w:pPr>
      <w:keepNext/>
      <w:keepLines/>
      <w:autoSpaceDE/>
      <w:autoSpaceDN/>
      <w:spacing w:after="240"/>
      <w:ind w:left="1440"/>
      <w:outlineLvl w:val="0"/>
    </w:pPr>
    <w:rPr>
      <w:b/>
    </w:rPr>
  </w:style>
  <w:style w:type="paragraph" w:customStyle="1" w:styleId="FirmTitleLBU">
    <w:name w:val="Firm Title LBU"/>
    <w:basedOn w:val="Normal"/>
    <w:rsid w:val="006C6975"/>
    <w:pPr>
      <w:keepNext/>
      <w:keepLines/>
      <w:autoSpaceDE/>
      <w:autoSpaceDN/>
      <w:spacing w:after="240"/>
      <w:ind w:left="1440"/>
      <w:outlineLvl w:val="0"/>
    </w:pPr>
    <w:rPr>
      <w:b/>
      <w:u w:val="single"/>
    </w:rPr>
  </w:style>
  <w:style w:type="paragraph" w:customStyle="1" w:styleId="FirmTitleLU">
    <w:name w:val="Firm Title LU"/>
    <w:basedOn w:val="Normal"/>
    <w:rsid w:val="006C6975"/>
    <w:pPr>
      <w:keepNext/>
      <w:keepLines/>
      <w:autoSpaceDE/>
      <w:autoSpaceDN/>
      <w:spacing w:after="240"/>
      <w:ind w:left="1440"/>
      <w:outlineLvl w:val="0"/>
    </w:pPr>
    <w:rPr>
      <w:u w:val="single"/>
    </w:rPr>
  </w:style>
  <w:style w:type="paragraph" w:customStyle="1" w:styleId="FirmSingle05E">
    <w:name w:val="Firm Single 05 (E)"/>
    <w:basedOn w:val="Normal"/>
    <w:rsid w:val="006C6975"/>
    <w:pPr>
      <w:autoSpaceDE/>
      <w:autoSpaceDN/>
      <w:spacing w:after="240"/>
      <w:ind w:left="720"/>
      <w:jc w:val="both"/>
    </w:pPr>
  </w:style>
  <w:style w:type="paragraph" w:customStyle="1" w:styleId="FirmSingle1E">
    <w:name w:val="Firm Single 1 (E)"/>
    <w:basedOn w:val="Normal"/>
    <w:rsid w:val="006C6975"/>
    <w:pPr>
      <w:autoSpaceDE/>
      <w:autoSpaceDN/>
      <w:spacing w:after="240"/>
      <w:ind w:left="1440"/>
      <w:jc w:val="both"/>
    </w:pPr>
  </w:style>
  <w:style w:type="paragraph" w:customStyle="1" w:styleId="FirmSingle15E">
    <w:name w:val="Firm Single 1.5 (E)"/>
    <w:basedOn w:val="Normal"/>
    <w:rsid w:val="006C6975"/>
    <w:pPr>
      <w:autoSpaceDE/>
      <w:autoSpaceDN/>
      <w:spacing w:after="240"/>
      <w:ind w:left="2160"/>
      <w:jc w:val="both"/>
    </w:pPr>
  </w:style>
  <w:style w:type="paragraph" w:customStyle="1" w:styleId="FirmTitleLB05E">
    <w:name w:val="Firm Title LB 05 (E)"/>
    <w:basedOn w:val="Normal"/>
    <w:rsid w:val="006C6975"/>
    <w:pPr>
      <w:keepNext/>
      <w:keepLines/>
      <w:autoSpaceDE/>
      <w:autoSpaceDN/>
      <w:spacing w:after="240"/>
      <w:ind w:left="720"/>
      <w:outlineLvl w:val="0"/>
    </w:pPr>
    <w:rPr>
      <w:b/>
    </w:rPr>
  </w:style>
  <w:style w:type="paragraph" w:customStyle="1" w:styleId="FirmTitleLBU05E">
    <w:name w:val="Firm Title LBU 05 (E)"/>
    <w:basedOn w:val="Normal"/>
    <w:rsid w:val="006C6975"/>
    <w:pPr>
      <w:keepNext/>
      <w:keepLines/>
      <w:autoSpaceDE/>
      <w:autoSpaceDN/>
      <w:spacing w:after="240"/>
      <w:ind w:left="720"/>
      <w:outlineLvl w:val="0"/>
    </w:pPr>
    <w:rPr>
      <w:b/>
      <w:u w:val="single"/>
    </w:rPr>
  </w:style>
  <w:style w:type="paragraph" w:customStyle="1" w:styleId="FirmTitleLU05E">
    <w:name w:val="Firm Title LU 05 (E)"/>
    <w:basedOn w:val="Normal"/>
    <w:rsid w:val="006C6975"/>
    <w:pPr>
      <w:keepNext/>
      <w:keepLines/>
      <w:autoSpaceDE/>
      <w:autoSpaceDN/>
      <w:spacing w:after="240"/>
      <w:ind w:left="720"/>
      <w:outlineLvl w:val="0"/>
    </w:pPr>
    <w:rPr>
      <w:u w:val="single"/>
    </w:rPr>
  </w:style>
  <w:style w:type="paragraph" w:customStyle="1" w:styleId="FirmTitleLB1E">
    <w:name w:val="Firm Title LB 1 (E)"/>
    <w:basedOn w:val="Normal"/>
    <w:rsid w:val="006C6975"/>
    <w:pPr>
      <w:keepNext/>
      <w:keepLines/>
      <w:autoSpaceDE/>
      <w:autoSpaceDN/>
      <w:spacing w:after="240"/>
      <w:ind w:left="1440"/>
      <w:outlineLvl w:val="0"/>
    </w:pPr>
    <w:rPr>
      <w:b/>
    </w:rPr>
  </w:style>
  <w:style w:type="paragraph" w:customStyle="1" w:styleId="FirmTitleLBU1E">
    <w:name w:val="Firm Title LBU 1 (E)"/>
    <w:basedOn w:val="Normal"/>
    <w:rsid w:val="006C6975"/>
    <w:pPr>
      <w:keepNext/>
      <w:keepLines/>
      <w:autoSpaceDE/>
      <w:autoSpaceDN/>
      <w:spacing w:after="240"/>
      <w:ind w:left="1440"/>
      <w:outlineLvl w:val="0"/>
    </w:pPr>
    <w:rPr>
      <w:b/>
      <w:u w:val="single"/>
    </w:rPr>
  </w:style>
  <w:style w:type="paragraph" w:customStyle="1" w:styleId="FirmTitleLU1E">
    <w:name w:val="Firm Title LU 1 (E)"/>
    <w:basedOn w:val="Normal"/>
    <w:rsid w:val="006C6975"/>
    <w:pPr>
      <w:keepNext/>
      <w:keepLines/>
      <w:autoSpaceDE/>
      <w:autoSpaceDN/>
      <w:spacing w:after="240"/>
      <w:ind w:left="1440"/>
      <w:outlineLvl w:val="0"/>
    </w:pPr>
    <w:rPr>
      <w:u w:val="single"/>
    </w:rPr>
  </w:style>
  <w:style w:type="paragraph" w:customStyle="1" w:styleId="FirmTitleLB15E">
    <w:name w:val="Firm Title LB 1.5 (E)"/>
    <w:basedOn w:val="Normal"/>
    <w:rsid w:val="006C6975"/>
    <w:pPr>
      <w:keepNext/>
      <w:keepLines/>
      <w:autoSpaceDE/>
      <w:autoSpaceDN/>
      <w:spacing w:after="240"/>
      <w:ind w:left="2160"/>
      <w:outlineLvl w:val="0"/>
    </w:pPr>
    <w:rPr>
      <w:b/>
    </w:rPr>
  </w:style>
  <w:style w:type="paragraph" w:customStyle="1" w:styleId="FirmTitleLBU15E">
    <w:name w:val="Firm Title LBU 1.5 (E)"/>
    <w:basedOn w:val="Normal"/>
    <w:rsid w:val="006C6975"/>
    <w:pPr>
      <w:keepNext/>
      <w:keepLines/>
      <w:autoSpaceDE/>
      <w:autoSpaceDN/>
      <w:spacing w:after="240"/>
      <w:ind w:left="2160"/>
      <w:outlineLvl w:val="0"/>
    </w:pPr>
    <w:rPr>
      <w:b/>
      <w:u w:val="single"/>
    </w:rPr>
  </w:style>
  <w:style w:type="paragraph" w:customStyle="1" w:styleId="FirmTitleLU15E">
    <w:name w:val="Firm Title LU 1.5 (E)"/>
    <w:basedOn w:val="Normal"/>
    <w:rsid w:val="006C6975"/>
    <w:pPr>
      <w:keepNext/>
      <w:keepLines/>
      <w:autoSpaceDE/>
      <w:autoSpaceDN/>
      <w:spacing w:after="240"/>
      <w:ind w:left="2160"/>
      <w:outlineLvl w:val="0"/>
    </w:pPr>
    <w:rPr>
      <w:u w:val="single"/>
    </w:rPr>
  </w:style>
  <w:style w:type="paragraph" w:styleId="Quote">
    <w:name w:val="Quote"/>
    <w:basedOn w:val="Normal"/>
    <w:next w:val="BodyTextContinued"/>
    <w:link w:val="QuoteChar"/>
    <w:uiPriority w:val="29"/>
    <w:qFormat/>
    <w:rsid w:val="006C6975"/>
    <w:pPr>
      <w:autoSpaceDE/>
      <w:autoSpaceDN/>
      <w:spacing w:after="240"/>
      <w:ind w:left="1440" w:right="1440"/>
    </w:pPr>
    <w:rPr>
      <w:szCs w:val="20"/>
      <w:lang w:val="x-none" w:eastAsia="x-none"/>
    </w:rPr>
  </w:style>
  <w:style w:type="character" w:customStyle="1" w:styleId="QuoteChar">
    <w:name w:val="Quote Char"/>
    <w:link w:val="Quote"/>
    <w:uiPriority w:val="29"/>
    <w:rsid w:val="006C6975"/>
    <w:rPr>
      <w:sz w:val="24"/>
    </w:rPr>
  </w:style>
  <w:style w:type="paragraph" w:customStyle="1" w:styleId="DeliveryPhrase">
    <w:name w:val="Delivery Phrase"/>
    <w:basedOn w:val="Normal"/>
    <w:next w:val="Normal"/>
    <w:rsid w:val="006C6975"/>
    <w:pPr>
      <w:autoSpaceDE/>
      <w:autoSpaceDN/>
      <w:spacing w:after="240"/>
      <w:ind w:left="1440"/>
    </w:pPr>
    <w:rPr>
      <w:b/>
      <w:caps/>
      <w:szCs w:val="20"/>
    </w:rPr>
  </w:style>
  <w:style w:type="paragraph" w:customStyle="1" w:styleId="DocumentTitle">
    <w:name w:val="Document Title"/>
    <w:basedOn w:val="Normal"/>
    <w:next w:val="BodyText"/>
    <w:rsid w:val="006C6975"/>
    <w:pPr>
      <w:autoSpaceDE/>
      <w:autoSpaceDN/>
      <w:spacing w:after="480"/>
      <w:ind w:left="1440"/>
      <w:jc w:val="center"/>
    </w:pPr>
    <w:rPr>
      <w:b/>
      <w:caps/>
    </w:rPr>
  </w:style>
  <w:style w:type="paragraph" w:customStyle="1" w:styleId="BodyTextContinued">
    <w:name w:val="Body Text Continued"/>
    <w:basedOn w:val="BodyText"/>
    <w:next w:val="BodyText"/>
    <w:rsid w:val="006C6975"/>
    <w:pPr>
      <w:ind w:firstLine="0"/>
    </w:pPr>
  </w:style>
  <w:style w:type="character" w:styleId="Hyperlink">
    <w:name w:val="Hyperlink"/>
    <w:uiPriority w:val="99"/>
    <w:rsid w:val="006C6975"/>
    <w:rPr>
      <w:color w:val="0000FF"/>
      <w:u w:val="single"/>
    </w:rPr>
  </w:style>
  <w:style w:type="paragraph" w:customStyle="1" w:styleId="NumContinue">
    <w:name w:val="Num Continue"/>
    <w:basedOn w:val="BodyText"/>
    <w:rsid w:val="006C6975"/>
    <w:rPr>
      <w:szCs w:val="24"/>
    </w:rPr>
  </w:style>
  <w:style w:type="paragraph" w:customStyle="1" w:styleId="BriefCont1">
    <w:name w:val="Brief Cont 1"/>
    <w:basedOn w:val="Normal"/>
    <w:rsid w:val="006C6975"/>
    <w:pPr>
      <w:autoSpaceDE/>
      <w:autoSpaceDN/>
      <w:spacing w:after="240"/>
      <w:ind w:left="1440"/>
    </w:pPr>
  </w:style>
  <w:style w:type="paragraph" w:customStyle="1" w:styleId="BriefCont2">
    <w:name w:val="Brief Cont 2"/>
    <w:basedOn w:val="BriefCont1"/>
    <w:rsid w:val="006C6975"/>
    <w:pPr>
      <w:ind w:left="2160"/>
    </w:pPr>
  </w:style>
  <w:style w:type="paragraph" w:customStyle="1" w:styleId="BriefCont3">
    <w:name w:val="Brief Cont 3"/>
    <w:basedOn w:val="BriefCont2"/>
    <w:rsid w:val="006C6975"/>
    <w:pPr>
      <w:ind w:left="2880"/>
    </w:pPr>
  </w:style>
  <w:style w:type="paragraph" w:customStyle="1" w:styleId="BriefCont4">
    <w:name w:val="Brief Cont 4"/>
    <w:basedOn w:val="BriefCont3"/>
    <w:rsid w:val="006C6975"/>
  </w:style>
  <w:style w:type="paragraph" w:customStyle="1" w:styleId="BriefCont5">
    <w:name w:val="Brief Cont 5"/>
    <w:basedOn w:val="BriefCont4"/>
    <w:rsid w:val="006C6975"/>
    <w:pPr>
      <w:ind w:left="3600"/>
    </w:pPr>
  </w:style>
  <w:style w:type="paragraph" w:customStyle="1" w:styleId="BriefCont6">
    <w:name w:val="Brief Cont 6"/>
    <w:basedOn w:val="BriefCont5"/>
    <w:rsid w:val="006C6975"/>
    <w:pPr>
      <w:ind w:left="4320"/>
    </w:pPr>
  </w:style>
  <w:style w:type="paragraph" w:customStyle="1" w:styleId="BriefCont7">
    <w:name w:val="Brief Cont 7"/>
    <w:basedOn w:val="BriefCont6"/>
    <w:rsid w:val="006C6975"/>
    <w:pPr>
      <w:ind w:left="5040"/>
    </w:pPr>
  </w:style>
  <w:style w:type="paragraph" w:customStyle="1" w:styleId="BriefCont8">
    <w:name w:val="Brief Cont 8"/>
    <w:basedOn w:val="BriefCont7"/>
    <w:rsid w:val="006C6975"/>
    <w:pPr>
      <w:ind w:left="5760"/>
    </w:pPr>
  </w:style>
  <w:style w:type="paragraph" w:customStyle="1" w:styleId="BriefCont9">
    <w:name w:val="Brief Cont 9"/>
    <w:basedOn w:val="BriefCont8"/>
    <w:rsid w:val="006C6975"/>
    <w:pPr>
      <w:ind w:left="6480"/>
    </w:pPr>
  </w:style>
  <w:style w:type="paragraph" w:customStyle="1" w:styleId="BriefL1">
    <w:name w:val="Brief_L1"/>
    <w:basedOn w:val="Normal"/>
    <w:next w:val="BodyText"/>
    <w:rsid w:val="006C6975"/>
    <w:pPr>
      <w:numPr>
        <w:numId w:val="1"/>
      </w:numPr>
      <w:autoSpaceDE/>
      <w:autoSpaceDN/>
      <w:spacing w:after="360"/>
      <w:jc w:val="center"/>
      <w:outlineLvl w:val="0"/>
    </w:pPr>
    <w:rPr>
      <w:b/>
      <w:caps/>
      <w:szCs w:val="20"/>
    </w:rPr>
  </w:style>
  <w:style w:type="paragraph" w:customStyle="1" w:styleId="BriefL2">
    <w:name w:val="Brief_L2"/>
    <w:basedOn w:val="BriefL1"/>
    <w:next w:val="BodyText"/>
    <w:rsid w:val="006C6975"/>
    <w:pPr>
      <w:keepNext/>
      <w:keepLines/>
      <w:numPr>
        <w:ilvl w:val="1"/>
      </w:numPr>
      <w:jc w:val="left"/>
      <w:outlineLvl w:val="1"/>
    </w:pPr>
    <w:rPr>
      <w:caps w:val="0"/>
    </w:rPr>
  </w:style>
  <w:style w:type="paragraph" w:customStyle="1" w:styleId="BriefL3">
    <w:name w:val="Brief_L3"/>
    <w:basedOn w:val="BriefL2"/>
    <w:rsid w:val="006C6975"/>
    <w:pPr>
      <w:keepNext w:val="0"/>
      <w:keepLines w:val="0"/>
      <w:numPr>
        <w:ilvl w:val="2"/>
      </w:numPr>
      <w:spacing w:after="240"/>
      <w:outlineLvl w:val="2"/>
    </w:pPr>
    <w:rPr>
      <w:b w:val="0"/>
    </w:rPr>
  </w:style>
  <w:style w:type="paragraph" w:customStyle="1" w:styleId="BriefL4">
    <w:name w:val="Brief_L4"/>
    <w:basedOn w:val="BriefL3"/>
    <w:next w:val="BodyText"/>
    <w:rsid w:val="006C6975"/>
    <w:pPr>
      <w:numPr>
        <w:ilvl w:val="3"/>
      </w:numPr>
      <w:outlineLvl w:val="3"/>
    </w:pPr>
    <w:rPr>
      <w:b/>
    </w:rPr>
  </w:style>
  <w:style w:type="paragraph" w:customStyle="1" w:styleId="BriefL5">
    <w:name w:val="Brief_L5"/>
    <w:basedOn w:val="BriefL4"/>
    <w:next w:val="BodyText"/>
    <w:rsid w:val="006C6975"/>
    <w:pPr>
      <w:numPr>
        <w:ilvl w:val="4"/>
      </w:numPr>
      <w:outlineLvl w:val="4"/>
    </w:pPr>
    <w:rPr>
      <w:b w:val="0"/>
    </w:rPr>
  </w:style>
  <w:style w:type="paragraph" w:customStyle="1" w:styleId="BriefL6">
    <w:name w:val="Brief_L6"/>
    <w:basedOn w:val="BriefL5"/>
    <w:next w:val="BodyText"/>
    <w:rsid w:val="006C6975"/>
    <w:pPr>
      <w:numPr>
        <w:ilvl w:val="5"/>
      </w:numPr>
      <w:outlineLvl w:val="5"/>
    </w:pPr>
  </w:style>
  <w:style w:type="paragraph" w:customStyle="1" w:styleId="BriefL7">
    <w:name w:val="Brief_L7"/>
    <w:basedOn w:val="BriefL6"/>
    <w:next w:val="BodyText"/>
    <w:rsid w:val="006C6975"/>
    <w:pPr>
      <w:numPr>
        <w:ilvl w:val="6"/>
      </w:numPr>
      <w:outlineLvl w:val="6"/>
    </w:pPr>
  </w:style>
  <w:style w:type="paragraph" w:customStyle="1" w:styleId="BriefL8">
    <w:name w:val="Brief_L8"/>
    <w:basedOn w:val="BriefL7"/>
    <w:next w:val="BodyText"/>
    <w:rsid w:val="006C6975"/>
    <w:pPr>
      <w:numPr>
        <w:ilvl w:val="7"/>
      </w:numPr>
      <w:outlineLvl w:val="7"/>
    </w:pPr>
  </w:style>
  <w:style w:type="paragraph" w:customStyle="1" w:styleId="BriefL9">
    <w:name w:val="Brief_L9"/>
    <w:basedOn w:val="BriefL8"/>
    <w:next w:val="BodyText"/>
    <w:rsid w:val="006C6975"/>
    <w:pPr>
      <w:numPr>
        <w:ilvl w:val="8"/>
      </w:numPr>
      <w:outlineLvl w:val="8"/>
    </w:pPr>
  </w:style>
  <w:style w:type="character" w:customStyle="1" w:styleId="FooterChar">
    <w:name w:val="Footer Char"/>
    <w:link w:val="Footer"/>
    <w:uiPriority w:val="99"/>
    <w:rsid w:val="006C6975"/>
    <w:rPr>
      <w:sz w:val="24"/>
      <w:szCs w:val="24"/>
    </w:rPr>
  </w:style>
  <w:style w:type="paragraph" w:customStyle="1" w:styleId="BriefL3Continued">
    <w:name w:val="Brief L3 Continued"/>
    <w:basedOn w:val="Normal"/>
    <w:rsid w:val="006C6975"/>
    <w:pPr>
      <w:autoSpaceDE/>
      <w:autoSpaceDN/>
      <w:spacing w:after="360"/>
      <w:ind w:left="2880"/>
    </w:pPr>
  </w:style>
  <w:style w:type="paragraph" w:customStyle="1" w:styleId="briefCont20">
    <w:name w:val="brief Cont 2"/>
    <w:basedOn w:val="BriefCont1"/>
    <w:rsid w:val="006C6975"/>
    <w:pPr>
      <w:widowControl w:val="0"/>
      <w:spacing w:after="0" w:line="480" w:lineRule="auto"/>
      <w:ind w:left="0"/>
    </w:pPr>
    <w:rPr>
      <w:szCs w:val="20"/>
    </w:rPr>
  </w:style>
  <w:style w:type="paragraph" w:styleId="DocumentMap">
    <w:name w:val="Document Map"/>
    <w:basedOn w:val="Normal"/>
    <w:link w:val="DocumentMapChar"/>
    <w:rsid w:val="006C6975"/>
    <w:pPr>
      <w:shd w:val="clear" w:color="auto" w:fill="000080"/>
      <w:autoSpaceDE/>
      <w:autoSpaceDN/>
      <w:ind w:left="1440"/>
    </w:pPr>
    <w:rPr>
      <w:rFonts w:ascii="Tahoma" w:hAnsi="Tahoma"/>
      <w:sz w:val="20"/>
      <w:szCs w:val="20"/>
      <w:lang w:val="x-none" w:eastAsia="x-none"/>
    </w:rPr>
  </w:style>
  <w:style w:type="character" w:customStyle="1" w:styleId="DocumentMapChar">
    <w:name w:val="Document Map Char"/>
    <w:link w:val="DocumentMap"/>
    <w:rsid w:val="006C6975"/>
    <w:rPr>
      <w:rFonts w:ascii="Tahoma" w:hAnsi="Tahoma" w:cs="Tahoma"/>
      <w:shd w:val="clear" w:color="auto" w:fill="000080"/>
    </w:rPr>
  </w:style>
  <w:style w:type="paragraph" w:customStyle="1" w:styleId="FootnoteBody">
    <w:name w:val="Footnote Body"/>
    <w:basedOn w:val="FirmPlain"/>
    <w:rsid w:val="006C6975"/>
    <w:pPr>
      <w:spacing w:after="120"/>
      <w:ind w:left="720" w:hanging="720"/>
    </w:pPr>
  </w:style>
  <w:style w:type="paragraph" w:styleId="Title">
    <w:name w:val="Title"/>
    <w:basedOn w:val="Normal"/>
    <w:link w:val="TitleChar"/>
    <w:qFormat/>
    <w:rsid w:val="006C6975"/>
    <w:pPr>
      <w:autoSpaceDE/>
      <w:autoSpaceDN/>
      <w:spacing w:before="240" w:after="60"/>
      <w:ind w:left="1440"/>
      <w:jc w:val="center"/>
      <w:outlineLvl w:val="0"/>
    </w:pPr>
    <w:rPr>
      <w:rFonts w:ascii="Arial" w:hAnsi="Arial"/>
      <w:b/>
      <w:bCs/>
      <w:kern w:val="28"/>
      <w:sz w:val="32"/>
      <w:szCs w:val="32"/>
      <w:lang w:val="x-none" w:eastAsia="x-none"/>
    </w:rPr>
  </w:style>
  <w:style w:type="character" w:customStyle="1" w:styleId="TitleChar">
    <w:name w:val="Title Char"/>
    <w:link w:val="Title"/>
    <w:rsid w:val="006C6975"/>
    <w:rPr>
      <w:rFonts w:ascii="Arial" w:hAnsi="Arial" w:cs="Arial"/>
      <w:b/>
      <w:bCs/>
      <w:kern w:val="28"/>
      <w:sz w:val="32"/>
      <w:szCs w:val="32"/>
    </w:rPr>
  </w:style>
  <w:style w:type="paragraph" w:customStyle="1" w:styleId="TOCHeader">
    <w:name w:val="TOC Header"/>
    <w:basedOn w:val="Normal"/>
    <w:rsid w:val="006C6975"/>
    <w:pPr>
      <w:autoSpaceDE/>
      <w:autoSpaceDN/>
      <w:ind w:left="115" w:right="115"/>
      <w:jc w:val="center"/>
    </w:pPr>
    <w:rPr>
      <w:szCs w:val="20"/>
    </w:rPr>
  </w:style>
  <w:style w:type="paragraph" w:styleId="TableofAuthorities">
    <w:name w:val="table of authorities"/>
    <w:basedOn w:val="Normal"/>
    <w:next w:val="Normal"/>
    <w:rsid w:val="006C6975"/>
    <w:pPr>
      <w:autoSpaceDE/>
      <w:autoSpaceDN/>
      <w:ind w:left="240" w:hanging="240"/>
    </w:pPr>
  </w:style>
  <w:style w:type="paragraph" w:styleId="TOC1">
    <w:name w:val="toc 1"/>
    <w:basedOn w:val="Normal"/>
    <w:next w:val="Normal"/>
    <w:autoRedefine/>
    <w:uiPriority w:val="39"/>
    <w:rsid w:val="0053114A"/>
    <w:pPr>
      <w:keepLines/>
      <w:autoSpaceDE/>
      <w:autoSpaceDN/>
      <w:ind w:left="720" w:hanging="720"/>
    </w:pPr>
    <w:rPr>
      <w:b/>
      <w:caps/>
      <w:noProof/>
      <w:sz w:val="26"/>
      <w:szCs w:val="20"/>
    </w:rPr>
  </w:style>
  <w:style w:type="paragraph" w:styleId="TOC2">
    <w:name w:val="toc 2"/>
    <w:basedOn w:val="Normal"/>
    <w:next w:val="Normal"/>
    <w:autoRedefine/>
    <w:uiPriority w:val="39"/>
    <w:rsid w:val="0053114A"/>
    <w:pPr>
      <w:keepLines/>
      <w:autoSpaceDE/>
      <w:autoSpaceDN/>
      <w:ind w:left="1440" w:right="720" w:hanging="720"/>
    </w:pPr>
    <w:rPr>
      <w:sz w:val="26"/>
      <w:szCs w:val="20"/>
    </w:rPr>
  </w:style>
  <w:style w:type="paragraph" w:styleId="TOC3">
    <w:name w:val="toc 3"/>
    <w:basedOn w:val="Normal"/>
    <w:next w:val="Normal"/>
    <w:autoRedefine/>
    <w:uiPriority w:val="39"/>
    <w:rsid w:val="0053114A"/>
    <w:pPr>
      <w:keepLines/>
      <w:autoSpaceDE/>
      <w:autoSpaceDN/>
      <w:ind w:left="2160" w:right="720" w:hanging="720"/>
    </w:pPr>
    <w:rPr>
      <w:sz w:val="26"/>
      <w:szCs w:val="20"/>
    </w:rPr>
  </w:style>
  <w:style w:type="paragraph" w:styleId="TOC4">
    <w:name w:val="toc 4"/>
    <w:basedOn w:val="Normal"/>
    <w:next w:val="Normal"/>
    <w:autoRedefine/>
    <w:uiPriority w:val="39"/>
    <w:rsid w:val="0053114A"/>
    <w:pPr>
      <w:keepLines/>
      <w:autoSpaceDE/>
      <w:autoSpaceDN/>
      <w:spacing w:after="120"/>
      <w:ind w:left="2880" w:right="720" w:hanging="720"/>
    </w:pPr>
    <w:rPr>
      <w:sz w:val="26"/>
      <w:szCs w:val="20"/>
    </w:rPr>
  </w:style>
  <w:style w:type="paragraph" w:styleId="TOC5">
    <w:name w:val="toc 5"/>
    <w:basedOn w:val="Normal"/>
    <w:next w:val="Normal"/>
    <w:autoRedefine/>
    <w:uiPriority w:val="39"/>
    <w:rsid w:val="0053114A"/>
    <w:pPr>
      <w:keepLines/>
      <w:autoSpaceDE/>
      <w:autoSpaceDN/>
      <w:spacing w:after="120"/>
      <w:ind w:left="3600" w:right="720" w:hanging="720"/>
    </w:pPr>
    <w:rPr>
      <w:sz w:val="26"/>
      <w:szCs w:val="20"/>
    </w:rPr>
  </w:style>
  <w:style w:type="paragraph" w:styleId="TOC6">
    <w:name w:val="toc 6"/>
    <w:basedOn w:val="Normal"/>
    <w:next w:val="Normal"/>
    <w:autoRedefine/>
    <w:uiPriority w:val="39"/>
    <w:rsid w:val="006C6975"/>
    <w:pPr>
      <w:keepLines/>
      <w:tabs>
        <w:tab w:val="right" w:leader="dot" w:pos="9288"/>
      </w:tabs>
      <w:autoSpaceDE/>
      <w:autoSpaceDN/>
      <w:spacing w:after="120"/>
      <w:ind w:left="4320" w:right="720" w:hanging="720"/>
    </w:pPr>
    <w:rPr>
      <w:szCs w:val="20"/>
    </w:rPr>
  </w:style>
  <w:style w:type="paragraph" w:styleId="TOC7">
    <w:name w:val="toc 7"/>
    <w:basedOn w:val="Normal"/>
    <w:next w:val="Normal"/>
    <w:autoRedefine/>
    <w:uiPriority w:val="39"/>
    <w:rsid w:val="006C6975"/>
    <w:pPr>
      <w:keepLines/>
      <w:tabs>
        <w:tab w:val="right" w:leader="dot" w:pos="9288"/>
      </w:tabs>
      <w:autoSpaceDE/>
      <w:autoSpaceDN/>
      <w:spacing w:after="120"/>
      <w:ind w:left="5040" w:right="720" w:hanging="720"/>
    </w:pPr>
    <w:rPr>
      <w:szCs w:val="20"/>
    </w:rPr>
  </w:style>
  <w:style w:type="paragraph" w:styleId="TOC8">
    <w:name w:val="toc 8"/>
    <w:basedOn w:val="Normal"/>
    <w:next w:val="Normal"/>
    <w:autoRedefine/>
    <w:uiPriority w:val="39"/>
    <w:rsid w:val="006C6975"/>
    <w:pPr>
      <w:keepLines/>
      <w:tabs>
        <w:tab w:val="right" w:leader="dot" w:pos="9288"/>
      </w:tabs>
      <w:autoSpaceDE/>
      <w:autoSpaceDN/>
      <w:spacing w:after="120"/>
      <w:ind w:left="5760" w:right="720" w:hanging="720"/>
    </w:pPr>
    <w:rPr>
      <w:szCs w:val="20"/>
    </w:rPr>
  </w:style>
  <w:style w:type="paragraph" w:styleId="TOC9">
    <w:name w:val="toc 9"/>
    <w:basedOn w:val="Normal"/>
    <w:next w:val="Normal"/>
    <w:autoRedefine/>
    <w:uiPriority w:val="39"/>
    <w:rsid w:val="006C6975"/>
    <w:pPr>
      <w:keepLines/>
      <w:tabs>
        <w:tab w:val="right" w:leader="dot" w:pos="9288"/>
      </w:tabs>
      <w:autoSpaceDE/>
      <w:autoSpaceDN/>
      <w:spacing w:after="120"/>
      <w:ind w:left="6480" w:right="720" w:hanging="720"/>
    </w:pPr>
    <w:rPr>
      <w:szCs w:val="20"/>
    </w:rPr>
  </w:style>
  <w:style w:type="paragraph" w:customStyle="1" w:styleId="MacPacTrailer">
    <w:name w:val="MacPac Trailer"/>
    <w:rsid w:val="006C6975"/>
    <w:pPr>
      <w:widowControl w:val="0"/>
      <w:spacing w:line="200" w:lineRule="exact"/>
    </w:pPr>
    <w:rPr>
      <w:sz w:val="16"/>
      <w:szCs w:val="22"/>
    </w:rPr>
  </w:style>
  <w:style w:type="paragraph" w:styleId="ListNumber">
    <w:name w:val="List Number"/>
    <w:basedOn w:val="Normal"/>
    <w:link w:val="ListNumberChar"/>
    <w:rsid w:val="006C6975"/>
    <w:pPr>
      <w:numPr>
        <w:numId w:val="2"/>
      </w:numPr>
      <w:autoSpaceDE/>
      <w:autoSpaceDN/>
      <w:spacing w:after="120" w:line="480" w:lineRule="auto"/>
    </w:pPr>
    <w:rPr>
      <w:lang w:val="x-none" w:eastAsia="x-none"/>
    </w:rPr>
  </w:style>
  <w:style w:type="paragraph" w:styleId="BalloonText">
    <w:name w:val="Balloon Text"/>
    <w:basedOn w:val="Normal"/>
    <w:link w:val="BalloonTextChar"/>
    <w:rsid w:val="006C6975"/>
    <w:pPr>
      <w:autoSpaceDE/>
      <w:autoSpaceDN/>
      <w:ind w:left="1440"/>
    </w:pPr>
    <w:rPr>
      <w:rFonts w:ascii="Tahoma" w:hAnsi="Tahoma"/>
      <w:sz w:val="16"/>
      <w:szCs w:val="16"/>
      <w:lang w:val="x-none" w:eastAsia="x-none"/>
    </w:rPr>
  </w:style>
  <w:style w:type="character" w:customStyle="1" w:styleId="BalloonTextChar">
    <w:name w:val="Balloon Text Char"/>
    <w:link w:val="BalloonText"/>
    <w:rsid w:val="006C6975"/>
    <w:rPr>
      <w:rFonts w:ascii="Tahoma" w:hAnsi="Tahoma" w:cs="Tahoma"/>
      <w:sz w:val="16"/>
      <w:szCs w:val="16"/>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6C6975"/>
  </w:style>
  <w:style w:type="paragraph" w:customStyle="1" w:styleId="BATOAPageHeading">
    <w:name w:val="BA TOA Page Heading"/>
    <w:basedOn w:val="Normal"/>
    <w:rsid w:val="006C6975"/>
    <w:pPr>
      <w:keepNext/>
      <w:keepLines/>
      <w:tabs>
        <w:tab w:val="right" w:pos="9360"/>
      </w:tabs>
      <w:autoSpaceDE/>
      <w:autoSpaceDN/>
      <w:jc w:val="right"/>
    </w:pPr>
    <w:rPr>
      <w:b/>
    </w:rPr>
  </w:style>
  <w:style w:type="paragraph" w:customStyle="1" w:styleId="BATOAHeading">
    <w:name w:val="BA TOA Heading"/>
    <w:basedOn w:val="Normal"/>
    <w:rsid w:val="006C6975"/>
    <w:pPr>
      <w:keepNext/>
      <w:keepLines/>
      <w:autoSpaceDE/>
      <w:autoSpaceDN/>
      <w:spacing w:before="480" w:after="240"/>
    </w:pPr>
    <w:rPr>
      <w:b/>
      <w:smallCaps/>
      <w:noProof/>
    </w:rPr>
  </w:style>
  <w:style w:type="paragraph" w:customStyle="1" w:styleId="BATOAEntry">
    <w:name w:val="BA TOA Entry"/>
    <w:basedOn w:val="Normal"/>
    <w:rsid w:val="006C6975"/>
    <w:pPr>
      <w:keepLines/>
      <w:tabs>
        <w:tab w:val="right" w:leader="dot" w:pos="9360"/>
      </w:tabs>
      <w:autoSpaceDE/>
      <w:autoSpaceDN/>
      <w:spacing w:after="240"/>
      <w:ind w:left="360" w:right="720" w:hanging="360"/>
    </w:pPr>
  </w:style>
  <w:style w:type="paragraph" w:customStyle="1" w:styleId="BADraft">
    <w:name w:val="BA Draft"/>
    <w:basedOn w:val="BodyText"/>
    <w:rsid w:val="006C6975"/>
    <w:pPr>
      <w:keepLines/>
      <w:spacing w:after="0"/>
      <w:ind w:left="0" w:firstLine="0"/>
    </w:pPr>
    <w:rPr>
      <w:szCs w:val="24"/>
    </w:rPr>
  </w:style>
  <w:style w:type="paragraph" w:customStyle="1" w:styleId="BATOATitle">
    <w:name w:val="BA TOA Title"/>
    <w:basedOn w:val="Normal"/>
    <w:rsid w:val="006C6975"/>
    <w:pPr>
      <w:keepNext/>
      <w:autoSpaceDE/>
      <w:autoSpaceDN/>
      <w:spacing w:before="120" w:after="240"/>
      <w:jc w:val="center"/>
    </w:pPr>
    <w:rPr>
      <w:b/>
      <w:caps/>
      <w:u w:val="single"/>
    </w:rPr>
  </w:style>
  <w:style w:type="character" w:styleId="Emphasis">
    <w:name w:val="Emphasis"/>
    <w:qFormat/>
    <w:rsid w:val="006C6975"/>
    <w:rPr>
      <w:i/>
      <w:iCs/>
    </w:rPr>
  </w:style>
  <w:style w:type="character" w:styleId="Strong">
    <w:name w:val="Strong"/>
    <w:qFormat/>
    <w:rsid w:val="006C6975"/>
    <w:rPr>
      <w:b/>
      <w:bCs/>
    </w:rPr>
  </w:style>
  <w:style w:type="paragraph" w:customStyle="1" w:styleId="indent">
    <w:name w:val="indent"/>
    <w:basedOn w:val="Normal"/>
    <w:link w:val="indentChar"/>
    <w:qFormat/>
    <w:rsid w:val="006C6975"/>
    <w:pPr>
      <w:autoSpaceDE/>
      <w:autoSpaceDN/>
      <w:spacing w:after="240"/>
      <w:ind w:left="1440"/>
    </w:pPr>
    <w:rPr>
      <w:lang w:val="x-none" w:eastAsia="x-none"/>
    </w:rPr>
  </w:style>
  <w:style w:type="paragraph" w:customStyle="1" w:styleId="numindent">
    <w:name w:val="num indent"/>
    <w:basedOn w:val="ListNumber"/>
    <w:link w:val="numindentChar"/>
    <w:qFormat/>
    <w:rsid w:val="006C6975"/>
    <w:pPr>
      <w:tabs>
        <w:tab w:val="clear" w:pos="504"/>
        <w:tab w:val="num" w:pos="1980"/>
      </w:tabs>
      <w:spacing w:after="240" w:line="240" w:lineRule="auto"/>
      <w:ind w:left="1440" w:firstLine="0"/>
    </w:pPr>
    <w:rPr>
      <w:b/>
    </w:rPr>
  </w:style>
  <w:style w:type="character" w:customStyle="1" w:styleId="indentChar">
    <w:name w:val="indent Char"/>
    <w:link w:val="indent"/>
    <w:rsid w:val="006C6975"/>
    <w:rPr>
      <w:sz w:val="24"/>
      <w:szCs w:val="24"/>
    </w:rPr>
  </w:style>
  <w:style w:type="character" w:customStyle="1" w:styleId="ListNumberChar">
    <w:name w:val="List Number Char"/>
    <w:link w:val="ListNumber"/>
    <w:rsid w:val="006C6975"/>
    <w:rPr>
      <w:sz w:val="24"/>
      <w:szCs w:val="24"/>
      <w:lang w:val="x-none" w:eastAsia="x-none"/>
    </w:rPr>
  </w:style>
  <w:style w:type="character" w:customStyle="1" w:styleId="numindentChar">
    <w:name w:val="num indent Char"/>
    <w:link w:val="numindent"/>
    <w:rsid w:val="006C6975"/>
    <w:rPr>
      <w:b/>
      <w:sz w:val="24"/>
      <w:szCs w:val="24"/>
      <w:lang w:val="x-none" w:eastAsia="x-none"/>
    </w:rPr>
  </w:style>
  <w:style w:type="paragraph" w:styleId="PlainText">
    <w:name w:val="Plain Text"/>
    <w:basedOn w:val="Normal"/>
    <w:link w:val="PlainTextChar"/>
    <w:uiPriority w:val="99"/>
    <w:unhideWhenUsed/>
    <w:rsid w:val="006C6975"/>
    <w:pPr>
      <w:autoSpaceDE/>
      <w:autoSpaceDN/>
    </w:pPr>
    <w:rPr>
      <w:rFonts w:ascii="Consolas" w:eastAsia="Calibri" w:hAnsi="Consolas"/>
      <w:sz w:val="21"/>
      <w:szCs w:val="21"/>
      <w:lang w:val="x-none" w:eastAsia="x-none"/>
    </w:rPr>
  </w:style>
  <w:style w:type="character" w:customStyle="1" w:styleId="PlainTextChar">
    <w:name w:val="Plain Text Char"/>
    <w:link w:val="PlainText"/>
    <w:uiPriority w:val="99"/>
    <w:rsid w:val="006C6975"/>
    <w:rPr>
      <w:rFonts w:ascii="Consolas" w:eastAsia="Calibri" w:hAnsi="Consolas"/>
      <w:sz w:val="21"/>
      <w:szCs w:val="21"/>
    </w:rPr>
  </w:style>
  <w:style w:type="paragraph" w:customStyle="1" w:styleId="BodyTex3">
    <w:name w:val="Body Tex 3"/>
    <w:basedOn w:val="Normal"/>
    <w:link w:val="BodyTex3Char"/>
    <w:qFormat/>
    <w:rsid w:val="006C6975"/>
    <w:pPr>
      <w:autoSpaceDE/>
      <w:autoSpaceDN/>
      <w:spacing w:line="480" w:lineRule="auto"/>
    </w:pPr>
    <w:rPr>
      <w:lang w:val="x-none" w:eastAsia="x-none"/>
    </w:rPr>
  </w:style>
  <w:style w:type="character" w:customStyle="1" w:styleId="BodyTex3Char">
    <w:name w:val="Body Tex 3 Char"/>
    <w:link w:val="BodyTex3"/>
    <w:rsid w:val="006C6975"/>
    <w:rPr>
      <w:sz w:val="24"/>
      <w:szCs w:val="24"/>
    </w:rPr>
  </w:style>
  <w:style w:type="paragraph" w:customStyle="1" w:styleId="answ">
    <w:name w:val="answ"/>
    <w:basedOn w:val="Normal"/>
    <w:next w:val="Normal"/>
    <w:rsid w:val="00F37A2D"/>
    <w:pPr>
      <w:suppressAutoHyphens/>
      <w:autoSpaceDE/>
      <w:autoSpaceDN/>
      <w:spacing w:after="240" w:line="360" w:lineRule="auto"/>
      <w:ind w:left="720" w:hanging="720"/>
      <w:jc w:val="both"/>
    </w:pPr>
    <w:rPr>
      <w:szCs w:val="20"/>
    </w:rPr>
  </w:style>
  <w:style w:type="paragraph" w:styleId="NoSpacing">
    <w:name w:val="No Spacing"/>
    <w:uiPriority w:val="1"/>
    <w:qFormat/>
    <w:rsid w:val="00703C22"/>
    <w:rPr>
      <w:rFonts w:ascii="Calibri" w:eastAsia="Calibri" w:hAnsi="Calibri"/>
      <w:sz w:val="22"/>
      <w:szCs w:val="22"/>
    </w:rPr>
  </w:style>
  <w:style w:type="paragraph" w:styleId="Revision">
    <w:name w:val="Revision"/>
    <w:hidden/>
    <w:uiPriority w:val="99"/>
    <w:semiHidden/>
    <w:rsid w:val="000C1BA2"/>
    <w:rPr>
      <w:sz w:val="24"/>
      <w:szCs w:val="24"/>
    </w:rPr>
  </w:style>
  <w:style w:type="paragraph" w:styleId="BlockText">
    <w:name w:val="Block Text"/>
    <w:basedOn w:val="Normal"/>
    <w:unhideWhenUsed/>
    <w:rsid w:val="0055352D"/>
    <w:pPr>
      <w:autoSpaceDE/>
      <w:autoSpaceDN/>
      <w:spacing w:after="240"/>
      <w:ind w:left="1440" w:right="1440"/>
      <w:jc w:val="both"/>
    </w:pPr>
  </w:style>
  <w:style w:type="paragraph" w:styleId="ListBullet">
    <w:name w:val="List Bullet"/>
    <w:aliases w:val="b1"/>
    <w:basedOn w:val="Normal"/>
    <w:unhideWhenUsed/>
    <w:rsid w:val="001543F6"/>
    <w:pPr>
      <w:tabs>
        <w:tab w:val="num" w:pos="360"/>
      </w:tabs>
      <w:autoSpaceDE/>
      <w:autoSpaceDN/>
      <w:spacing w:after="240"/>
      <w:ind w:left="360"/>
      <w:jc w:val="both"/>
    </w:pPr>
    <w:rPr>
      <w:szCs w:val="20"/>
    </w:rPr>
  </w:style>
  <w:style w:type="character" w:customStyle="1" w:styleId="FootnoteText2Char">
    <w:name w:val="Footnote Text2 Char"/>
    <w:link w:val="FootnoteText2"/>
    <w:locked/>
    <w:rsid w:val="001543F6"/>
  </w:style>
  <w:style w:type="paragraph" w:customStyle="1" w:styleId="FootnoteText2">
    <w:name w:val="Footnote Text2"/>
    <w:basedOn w:val="Normal"/>
    <w:link w:val="FootnoteText2Char"/>
    <w:rsid w:val="001543F6"/>
    <w:pPr>
      <w:autoSpaceDE/>
      <w:autoSpaceDN/>
      <w:spacing w:after="120"/>
      <w:jc w:val="both"/>
    </w:pPr>
    <w:rPr>
      <w:sz w:val="20"/>
      <w:szCs w:val="20"/>
    </w:rPr>
  </w:style>
  <w:style w:type="paragraph" w:customStyle="1" w:styleId="NBBullet1">
    <w:name w:val="NB Bullet 1"/>
    <w:basedOn w:val="Normal"/>
    <w:rsid w:val="001543F6"/>
    <w:pPr>
      <w:numPr>
        <w:numId w:val="5"/>
      </w:numPr>
      <w:autoSpaceDE/>
      <w:autoSpaceDN/>
      <w:spacing w:after="60"/>
      <w:ind w:left="374" w:hanging="374"/>
    </w:pPr>
    <w:rPr>
      <w:sz w:val="20"/>
      <w:szCs w:val="22"/>
    </w:rPr>
  </w:style>
  <w:style w:type="character" w:customStyle="1" w:styleId="Heading1Char">
    <w:name w:val="Heading 1 Char"/>
    <w:basedOn w:val="DefaultParagraphFont"/>
    <w:link w:val="Heading1"/>
    <w:rsid w:val="000B0447"/>
    <w:rPr>
      <w:b/>
      <w:spacing w:val="-3"/>
      <w:sz w:val="26"/>
      <w:szCs w:val="26"/>
    </w:rPr>
  </w:style>
  <w:style w:type="character" w:customStyle="1" w:styleId="Heading2Char">
    <w:name w:val="Heading 2 Char"/>
    <w:basedOn w:val="DefaultParagraphFont"/>
    <w:link w:val="Heading2"/>
    <w:rsid w:val="00442F0C"/>
    <w:rPr>
      <w:b/>
      <w:bCs/>
      <w:iCs/>
      <w:caps/>
      <w:sz w:val="24"/>
      <w:szCs w:val="28"/>
    </w:rPr>
  </w:style>
  <w:style w:type="character" w:customStyle="1" w:styleId="Heading3Char">
    <w:name w:val="Heading 3 Char"/>
    <w:basedOn w:val="DefaultParagraphFont"/>
    <w:link w:val="Heading3"/>
    <w:uiPriority w:val="9"/>
    <w:rsid w:val="000B0447"/>
    <w:rPr>
      <w:b/>
      <w:sz w:val="26"/>
      <w:szCs w:val="26"/>
    </w:rPr>
  </w:style>
  <w:style w:type="character" w:customStyle="1" w:styleId="Heading4Char">
    <w:name w:val="Heading 4 Char"/>
    <w:basedOn w:val="DefaultParagraphFont"/>
    <w:link w:val="Heading4"/>
    <w:rsid w:val="000B0447"/>
    <w:rPr>
      <w:b/>
      <w:sz w:val="26"/>
      <w:szCs w:val="26"/>
    </w:rPr>
  </w:style>
  <w:style w:type="character" w:customStyle="1" w:styleId="Heading5Char">
    <w:name w:val="Heading 5 Char"/>
    <w:basedOn w:val="DefaultParagraphFont"/>
    <w:link w:val="Heading5"/>
    <w:uiPriority w:val="9"/>
    <w:rsid w:val="000B0447"/>
    <w:rPr>
      <w:b/>
      <w:sz w:val="26"/>
      <w:szCs w:val="26"/>
    </w:rPr>
  </w:style>
  <w:style w:type="character" w:customStyle="1" w:styleId="Heading6Char">
    <w:name w:val="Heading 6 Char"/>
    <w:basedOn w:val="DefaultParagraphFont"/>
    <w:link w:val="Heading6"/>
    <w:uiPriority w:val="9"/>
    <w:rsid w:val="00442F0C"/>
    <w:rPr>
      <w:b/>
      <w:bCs/>
      <w:sz w:val="24"/>
      <w:szCs w:val="22"/>
    </w:rPr>
  </w:style>
  <w:style w:type="character" w:customStyle="1" w:styleId="Heading7Char">
    <w:name w:val="Heading 7 Char"/>
    <w:basedOn w:val="DefaultParagraphFont"/>
    <w:link w:val="Heading7"/>
    <w:uiPriority w:val="9"/>
    <w:rsid w:val="00442F0C"/>
    <w:rPr>
      <w:b/>
      <w:sz w:val="24"/>
      <w:szCs w:val="24"/>
    </w:rPr>
  </w:style>
  <w:style w:type="character" w:customStyle="1" w:styleId="Heading8Char">
    <w:name w:val="Heading 8 Char"/>
    <w:basedOn w:val="DefaultParagraphFont"/>
    <w:link w:val="Heading8"/>
    <w:uiPriority w:val="9"/>
    <w:rsid w:val="00442F0C"/>
    <w:rPr>
      <w:b/>
      <w:iCs/>
      <w:sz w:val="24"/>
      <w:szCs w:val="24"/>
    </w:rPr>
  </w:style>
  <w:style w:type="character" w:customStyle="1" w:styleId="Heading9Char">
    <w:name w:val="Heading 9 Char"/>
    <w:basedOn w:val="DefaultParagraphFont"/>
    <w:link w:val="Heading9"/>
    <w:uiPriority w:val="9"/>
    <w:rsid w:val="00442F0C"/>
    <w:rPr>
      <w:b/>
      <w:sz w:val="24"/>
      <w:szCs w:val="22"/>
    </w:rPr>
  </w:style>
  <w:style w:type="table" w:styleId="TableGrid5">
    <w:name w:val="Table Grid 5"/>
    <w:basedOn w:val="TableNormal"/>
    <w:rsid w:val="003F1539"/>
    <w:pPr>
      <w:autoSpaceDE w:val="0"/>
      <w:autoSpaceDN w:val="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F1539"/>
    <w:pPr>
      <w:autoSpaceDE w:val="0"/>
      <w:autoSpaceDN w:val="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3F1539"/>
    <w:pPr>
      <w:autoSpaceDE w:val="0"/>
      <w:autoSpaceDN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ightList">
    <w:name w:val="Light List"/>
    <w:basedOn w:val="TableNormal"/>
    <w:uiPriority w:val="61"/>
    <w:rsid w:val="003F153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List4">
    <w:name w:val="Table List 4"/>
    <w:basedOn w:val="TableNormal"/>
    <w:rsid w:val="003F1539"/>
    <w:pPr>
      <w:autoSpaceDE w:val="0"/>
      <w:autoSpaceDN w:val="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Grid7">
    <w:name w:val="Table Grid 7"/>
    <w:basedOn w:val="TableNormal"/>
    <w:rsid w:val="003F1539"/>
    <w:pPr>
      <w:autoSpaceDE w:val="0"/>
      <w:autoSpaceDN w:val="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F1539"/>
    <w:pPr>
      <w:autoSpaceDE w:val="0"/>
      <w:autoSpaceDN w:val="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F1539"/>
    <w:pPr>
      <w:autoSpaceDE w:val="0"/>
      <w:autoSpaceDN w:val="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F1539"/>
    <w:pPr>
      <w:autoSpaceDE w:val="0"/>
      <w:autoSpaceDN w:val="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F1539"/>
    <w:pPr>
      <w:autoSpaceDE w:val="0"/>
      <w:autoSpaceDN w:val="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DirectNext">
    <w:name w:val="Direct Next"/>
    <w:basedOn w:val="Normal"/>
    <w:rsid w:val="00297E8C"/>
    <w:pPr>
      <w:numPr>
        <w:ilvl w:val="1"/>
        <w:numId w:val="8"/>
      </w:numPr>
      <w:autoSpaceDE/>
      <w:autoSpaceDN/>
      <w:spacing w:line="504" w:lineRule="exact"/>
      <w:ind w:firstLine="720"/>
    </w:pPr>
  </w:style>
  <w:style w:type="paragraph" w:customStyle="1" w:styleId="DirectAnswer">
    <w:name w:val="Direct Answer"/>
    <w:basedOn w:val="Normal"/>
    <w:next w:val="Normal"/>
    <w:rsid w:val="00297E8C"/>
    <w:pPr>
      <w:tabs>
        <w:tab w:val="num" w:pos="360"/>
      </w:tabs>
      <w:autoSpaceDE/>
      <w:autoSpaceDN/>
      <w:spacing w:line="504" w:lineRule="exact"/>
    </w:pPr>
    <w:rPr>
      <w:rFonts w:eastAsia="Calibri"/>
      <w:szCs w:val="20"/>
    </w:rPr>
  </w:style>
  <w:style w:type="paragraph" w:customStyle="1" w:styleId="Level2">
    <w:name w:val="Level 2"/>
    <w:rsid w:val="00415028"/>
    <w:pPr>
      <w:widowControl w:val="0"/>
      <w:tabs>
        <w:tab w:val="num" w:pos="720"/>
      </w:tabs>
      <w:autoSpaceDE w:val="0"/>
      <w:autoSpaceDN w:val="0"/>
      <w:adjustRightInd w:val="0"/>
      <w:spacing w:line="480" w:lineRule="auto"/>
      <w:ind w:left="720" w:hanging="720"/>
      <w:jc w:val="both"/>
    </w:pPr>
    <w:rPr>
      <w:sz w:val="24"/>
      <w:szCs w:val="24"/>
    </w:rPr>
  </w:style>
  <w:style w:type="character" w:customStyle="1" w:styleId="NormalChar">
    <w:name w:val="Normal Char"/>
    <w:link w:val="Normal1"/>
    <w:locked/>
    <w:rsid w:val="006D07BB"/>
    <w:rPr>
      <w:b/>
      <w:bCs/>
      <w:iCs/>
      <w:caps/>
      <w:sz w:val="26"/>
      <w:szCs w:val="26"/>
    </w:rPr>
  </w:style>
  <w:style w:type="paragraph" w:customStyle="1" w:styleId="Normal1">
    <w:name w:val="Normal1"/>
    <w:basedOn w:val="Heading2"/>
    <w:link w:val="NormalChar"/>
    <w:qFormat/>
    <w:rsid w:val="006D07BB"/>
    <w:pPr>
      <w:numPr>
        <w:ilvl w:val="0"/>
        <w:numId w:val="0"/>
      </w:numPr>
      <w:ind w:left="1440" w:hanging="720"/>
    </w:pPr>
    <w:rPr>
      <w:sz w:val="26"/>
      <w:szCs w:val="26"/>
    </w:rPr>
  </w:style>
  <w:style w:type="character" w:customStyle="1" w:styleId="normal-c6">
    <w:name w:val="normal-c6"/>
    <w:rsid w:val="00E90FC9"/>
  </w:style>
  <w:style w:type="character" w:customStyle="1" w:styleId="WBBodyText1Char">
    <w:name w:val="WB Body Text 1 Char"/>
    <w:aliases w:val="B1 Char"/>
    <w:link w:val="WBBodyText1"/>
    <w:locked/>
    <w:rsid w:val="00164F73"/>
    <w:rPr>
      <w:sz w:val="24"/>
      <w:szCs w:val="24"/>
    </w:rPr>
  </w:style>
  <w:style w:type="paragraph" w:customStyle="1" w:styleId="WBBodyText1">
    <w:name w:val="WB Body Text 1"/>
    <w:aliases w:val="B1,Body Text 1"/>
    <w:basedOn w:val="Normal"/>
    <w:link w:val="WBBodyText1Char"/>
    <w:rsid w:val="00164F73"/>
    <w:pPr>
      <w:autoSpaceDE/>
      <w:autoSpaceDN/>
      <w:spacing w:line="480" w:lineRule="auto"/>
      <w:ind w:firstLine="720"/>
    </w:pPr>
  </w:style>
  <w:style w:type="paragraph" w:styleId="CommentText">
    <w:name w:val="annotation text"/>
    <w:basedOn w:val="Normal"/>
    <w:link w:val="CommentTextChar"/>
    <w:unhideWhenUsed/>
    <w:rsid w:val="007A67B2"/>
    <w:pPr>
      <w:autoSpaceDE/>
      <w:autoSpaceDN/>
    </w:pPr>
    <w:rPr>
      <w:rFonts w:eastAsiaTheme="minorHAnsi" w:cstheme="minorBidi"/>
      <w:sz w:val="20"/>
      <w:szCs w:val="20"/>
    </w:rPr>
  </w:style>
  <w:style w:type="character" w:customStyle="1" w:styleId="CommentTextChar">
    <w:name w:val="Comment Text Char"/>
    <w:basedOn w:val="DefaultParagraphFont"/>
    <w:link w:val="CommentText"/>
    <w:rsid w:val="007A67B2"/>
    <w:rPr>
      <w:rFonts w:eastAsiaTheme="minorHAnsi" w:cstheme="minorBidi"/>
    </w:rPr>
  </w:style>
  <w:style w:type="paragraph" w:customStyle="1" w:styleId="BodyTextFirstLine5DS">
    <w:name w:val="Body Text First Line .5 DS"/>
    <w:aliases w:val="5/0d"/>
    <w:basedOn w:val="Normal"/>
    <w:qFormat/>
    <w:rsid w:val="001E1661"/>
    <w:pPr>
      <w:autoSpaceDE/>
      <w:autoSpaceDN/>
      <w:spacing w:line="480" w:lineRule="auto"/>
      <w:ind w:firstLine="720"/>
      <w:jc w:val="both"/>
    </w:pPr>
    <w:rPr>
      <w:rFonts w:eastAsia="Calibri"/>
    </w:rPr>
  </w:style>
  <w:style w:type="paragraph" w:customStyle="1" w:styleId="BodyTextSS">
    <w:name w:val="Body Text SS"/>
    <w:aliases w:val="0/0s"/>
    <w:basedOn w:val="Normal"/>
    <w:qFormat/>
    <w:rsid w:val="001E1661"/>
    <w:pPr>
      <w:autoSpaceDE/>
      <w:autoSpaceDN/>
      <w:spacing w:after="240"/>
      <w:jc w:val="both"/>
    </w:pPr>
  </w:style>
  <w:style w:type="paragraph" w:customStyle="1" w:styleId="ColorfulList-Accent11">
    <w:name w:val="Colorful List - Accent 11"/>
    <w:basedOn w:val="Normal"/>
    <w:uiPriority w:val="34"/>
    <w:qFormat/>
    <w:rsid w:val="005A436C"/>
    <w:pPr>
      <w:autoSpaceDE/>
      <w:autoSpaceDN/>
      <w:ind w:left="720"/>
      <w:contextualSpacing/>
    </w:pPr>
  </w:style>
  <w:style w:type="paragraph" w:customStyle="1" w:styleId="BodyTextDS">
    <w:name w:val="Body Text DS"/>
    <w:aliases w:val="0/0d"/>
    <w:basedOn w:val="Normal"/>
    <w:rsid w:val="00250E24"/>
    <w:pPr>
      <w:autoSpaceDE/>
      <w:autoSpaceDN/>
      <w:spacing w:line="480" w:lineRule="auto"/>
      <w:jc w:val="both"/>
    </w:pPr>
    <w:rPr>
      <w:rFonts w:eastAsia="Calibri"/>
    </w:rPr>
  </w:style>
  <w:style w:type="paragraph" w:customStyle="1" w:styleId="BodyTextFirstLine5SS">
    <w:name w:val="Body Text First Line .5 SS"/>
    <w:aliases w:val="5/0s"/>
    <w:basedOn w:val="Normal"/>
    <w:rsid w:val="00250E24"/>
    <w:pPr>
      <w:autoSpaceDE/>
      <w:autoSpaceDN/>
      <w:spacing w:after="240"/>
      <w:ind w:firstLine="720"/>
      <w:jc w:val="both"/>
    </w:pPr>
  </w:style>
  <w:style w:type="character" w:customStyle="1" w:styleId="BodyTextIndentChar">
    <w:name w:val="Body Text Indent Char"/>
    <w:basedOn w:val="DefaultParagraphFont"/>
    <w:link w:val="BodyTextIndent"/>
    <w:rsid w:val="00E95194"/>
    <w:rPr>
      <w:sz w:val="26"/>
      <w:szCs w:val="26"/>
    </w:rPr>
  </w:style>
  <w:style w:type="character" w:styleId="CommentReference">
    <w:name w:val="annotation reference"/>
    <w:basedOn w:val="DefaultParagraphFont"/>
    <w:rsid w:val="001944C6"/>
    <w:rPr>
      <w:sz w:val="16"/>
      <w:szCs w:val="16"/>
    </w:rPr>
  </w:style>
  <w:style w:type="paragraph" w:styleId="CommentSubject">
    <w:name w:val="annotation subject"/>
    <w:basedOn w:val="CommentText"/>
    <w:next w:val="CommentText"/>
    <w:link w:val="CommentSubjectChar"/>
    <w:rsid w:val="001944C6"/>
    <w:pPr>
      <w:autoSpaceDE w:val="0"/>
      <w:autoSpaceDN w:val="0"/>
    </w:pPr>
    <w:rPr>
      <w:rFonts w:eastAsia="Times New Roman" w:cs="Times New Roman"/>
      <w:b/>
      <w:bCs/>
    </w:rPr>
  </w:style>
  <w:style w:type="character" w:customStyle="1" w:styleId="CommentSubjectChar">
    <w:name w:val="Comment Subject Char"/>
    <w:basedOn w:val="CommentTextChar"/>
    <w:link w:val="CommentSubject"/>
    <w:rsid w:val="001944C6"/>
    <w:rPr>
      <w:rFonts w:eastAsia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114">
      <w:bodyDiv w:val="1"/>
      <w:marLeft w:val="0"/>
      <w:marRight w:val="0"/>
      <w:marTop w:val="0"/>
      <w:marBottom w:val="0"/>
      <w:divBdr>
        <w:top w:val="none" w:sz="0" w:space="0" w:color="auto"/>
        <w:left w:val="none" w:sz="0" w:space="0" w:color="auto"/>
        <w:bottom w:val="none" w:sz="0" w:space="0" w:color="auto"/>
        <w:right w:val="none" w:sz="0" w:space="0" w:color="auto"/>
      </w:divBdr>
    </w:div>
    <w:div w:id="4019432">
      <w:bodyDiv w:val="1"/>
      <w:marLeft w:val="0"/>
      <w:marRight w:val="0"/>
      <w:marTop w:val="0"/>
      <w:marBottom w:val="0"/>
      <w:divBdr>
        <w:top w:val="none" w:sz="0" w:space="0" w:color="auto"/>
        <w:left w:val="none" w:sz="0" w:space="0" w:color="auto"/>
        <w:bottom w:val="none" w:sz="0" w:space="0" w:color="auto"/>
        <w:right w:val="none" w:sz="0" w:space="0" w:color="auto"/>
      </w:divBdr>
    </w:div>
    <w:div w:id="18941223">
      <w:bodyDiv w:val="1"/>
      <w:marLeft w:val="0"/>
      <w:marRight w:val="0"/>
      <w:marTop w:val="0"/>
      <w:marBottom w:val="0"/>
      <w:divBdr>
        <w:top w:val="none" w:sz="0" w:space="0" w:color="auto"/>
        <w:left w:val="none" w:sz="0" w:space="0" w:color="auto"/>
        <w:bottom w:val="none" w:sz="0" w:space="0" w:color="auto"/>
        <w:right w:val="none" w:sz="0" w:space="0" w:color="auto"/>
      </w:divBdr>
    </w:div>
    <w:div w:id="32462679">
      <w:bodyDiv w:val="1"/>
      <w:marLeft w:val="0"/>
      <w:marRight w:val="0"/>
      <w:marTop w:val="0"/>
      <w:marBottom w:val="0"/>
      <w:divBdr>
        <w:top w:val="none" w:sz="0" w:space="0" w:color="auto"/>
        <w:left w:val="none" w:sz="0" w:space="0" w:color="auto"/>
        <w:bottom w:val="none" w:sz="0" w:space="0" w:color="auto"/>
        <w:right w:val="none" w:sz="0" w:space="0" w:color="auto"/>
      </w:divBdr>
    </w:div>
    <w:div w:id="36274082">
      <w:bodyDiv w:val="1"/>
      <w:marLeft w:val="0"/>
      <w:marRight w:val="0"/>
      <w:marTop w:val="0"/>
      <w:marBottom w:val="0"/>
      <w:divBdr>
        <w:top w:val="none" w:sz="0" w:space="0" w:color="auto"/>
        <w:left w:val="none" w:sz="0" w:space="0" w:color="auto"/>
        <w:bottom w:val="none" w:sz="0" w:space="0" w:color="auto"/>
        <w:right w:val="none" w:sz="0" w:space="0" w:color="auto"/>
      </w:divBdr>
    </w:div>
    <w:div w:id="38553348">
      <w:bodyDiv w:val="1"/>
      <w:marLeft w:val="0"/>
      <w:marRight w:val="0"/>
      <w:marTop w:val="0"/>
      <w:marBottom w:val="0"/>
      <w:divBdr>
        <w:top w:val="none" w:sz="0" w:space="0" w:color="auto"/>
        <w:left w:val="none" w:sz="0" w:space="0" w:color="auto"/>
        <w:bottom w:val="none" w:sz="0" w:space="0" w:color="auto"/>
        <w:right w:val="none" w:sz="0" w:space="0" w:color="auto"/>
      </w:divBdr>
    </w:div>
    <w:div w:id="53551236">
      <w:bodyDiv w:val="1"/>
      <w:marLeft w:val="0"/>
      <w:marRight w:val="0"/>
      <w:marTop w:val="0"/>
      <w:marBottom w:val="0"/>
      <w:divBdr>
        <w:top w:val="none" w:sz="0" w:space="0" w:color="auto"/>
        <w:left w:val="none" w:sz="0" w:space="0" w:color="auto"/>
        <w:bottom w:val="none" w:sz="0" w:space="0" w:color="auto"/>
        <w:right w:val="none" w:sz="0" w:space="0" w:color="auto"/>
      </w:divBdr>
    </w:div>
    <w:div w:id="101844638">
      <w:bodyDiv w:val="1"/>
      <w:marLeft w:val="0"/>
      <w:marRight w:val="0"/>
      <w:marTop w:val="0"/>
      <w:marBottom w:val="0"/>
      <w:divBdr>
        <w:top w:val="none" w:sz="0" w:space="0" w:color="auto"/>
        <w:left w:val="none" w:sz="0" w:space="0" w:color="auto"/>
        <w:bottom w:val="none" w:sz="0" w:space="0" w:color="auto"/>
        <w:right w:val="none" w:sz="0" w:space="0" w:color="auto"/>
      </w:divBdr>
    </w:div>
    <w:div w:id="104154846">
      <w:bodyDiv w:val="1"/>
      <w:marLeft w:val="0"/>
      <w:marRight w:val="0"/>
      <w:marTop w:val="0"/>
      <w:marBottom w:val="0"/>
      <w:divBdr>
        <w:top w:val="none" w:sz="0" w:space="0" w:color="auto"/>
        <w:left w:val="none" w:sz="0" w:space="0" w:color="auto"/>
        <w:bottom w:val="none" w:sz="0" w:space="0" w:color="auto"/>
        <w:right w:val="none" w:sz="0" w:space="0" w:color="auto"/>
      </w:divBdr>
    </w:div>
    <w:div w:id="107312951">
      <w:bodyDiv w:val="1"/>
      <w:marLeft w:val="0"/>
      <w:marRight w:val="0"/>
      <w:marTop w:val="0"/>
      <w:marBottom w:val="0"/>
      <w:divBdr>
        <w:top w:val="none" w:sz="0" w:space="0" w:color="auto"/>
        <w:left w:val="none" w:sz="0" w:space="0" w:color="auto"/>
        <w:bottom w:val="none" w:sz="0" w:space="0" w:color="auto"/>
        <w:right w:val="none" w:sz="0" w:space="0" w:color="auto"/>
      </w:divBdr>
    </w:div>
    <w:div w:id="127363914">
      <w:bodyDiv w:val="1"/>
      <w:marLeft w:val="0"/>
      <w:marRight w:val="0"/>
      <w:marTop w:val="0"/>
      <w:marBottom w:val="0"/>
      <w:divBdr>
        <w:top w:val="none" w:sz="0" w:space="0" w:color="auto"/>
        <w:left w:val="none" w:sz="0" w:space="0" w:color="auto"/>
        <w:bottom w:val="none" w:sz="0" w:space="0" w:color="auto"/>
        <w:right w:val="none" w:sz="0" w:space="0" w:color="auto"/>
      </w:divBdr>
    </w:div>
    <w:div w:id="127745273">
      <w:bodyDiv w:val="1"/>
      <w:marLeft w:val="0"/>
      <w:marRight w:val="0"/>
      <w:marTop w:val="0"/>
      <w:marBottom w:val="0"/>
      <w:divBdr>
        <w:top w:val="none" w:sz="0" w:space="0" w:color="auto"/>
        <w:left w:val="none" w:sz="0" w:space="0" w:color="auto"/>
        <w:bottom w:val="none" w:sz="0" w:space="0" w:color="auto"/>
        <w:right w:val="none" w:sz="0" w:space="0" w:color="auto"/>
      </w:divBdr>
    </w:div>
    <w:div w:id="131992659">
      <w:bodyDiv w:val="1"/>
      <w:marLeft w:val="0"/>
      <w:marRight w:val="0"/>
      <w:marTop w:val="0"/>
      <w:marBottom w:val="0"/>
      <w:divBdr>
        <w:top w:val="none" w:sz="0" w:space="0" w:color="auto"/>
        <w:left w:val="none" w:sz="0" w:space="0" w:color="auto"/>
        <w:bottom w:val="none" w:sz="0" w:space="0" w:color="auto"/>
        <w:right w:val="none" w:sz="0" w:space="0" w:color="auto"/>
      </w:divBdr>
    </w:div>
    <w:div w:id="146751668">
      <w:bodyDiv w:val="1"/>
      <w:marLeft w:val="0"/>
      <w:marRight w:val="0"/>
      <w:marTop w:val="0"/>
      <w:marBottom w:val="0"/>
      <w:divBdr>
        <w:top w:val="none" w:sz="0" w:space="0" w:color="auto"/>
        <w:left w:val="none" w:sz="0" w:space="0" w:color="auto"/>
        <w:bottom w:val="none" w:sz="0" w:space="0" w:color="auto"/>
        <w:right w:val="none" w:sz="0" w:space="0" w:color="auto"/>
      </w:divBdr>
    </w:div>
    <w:div w:id="148056221">
      <w:bodyDiv w:val="1"/>
      <w:marLeft w:val="0"/>
      <w:marRight w:val="0"/>
      <w:marTop w:val="0"/>
      <w:marBottom w:val="0"/>
      <w:divBdr>
        <w:top w:val="none" w:sz="0" w:space="0" w:color="auto"/>
        <w:left w:val="none" w:sz="0" w:space="0" w:color="auto"/>
        <w:bottom w:val="none" w:sz="0" w:space="0" w:color="auto"/>
        <w:right w:val="none" w:sz="0" w:space="0" w:color="auto"/>
      </w:divBdr>
    </w:div>
    <w:div w:id="166142805">
      <w:bodyDiv w:val="1"/>
      <w:marLeft w:val="0"/>
      <w:marRight w:val="0"/>
      <w:marTop w:val="0"/>
      <w:marBottom w:val="0"/>
      <w:divBdr>
        <w:top w:val="none" w:sz="0" w:space="0" w:color="auto"/>
        <w:left w:val="none" w:sz="0" w:space="0" w:color="auto"/>
        <w:bottom w:val="none" w:sz="0" w:space="0" w:color="auto"/>
        <w:right w:val="none" w:sz="0" w:space="0" w:color="auto"/>
      </w:divBdr>
    </w:div>
    <w:div w:id="170603178">
      <w:bodyDiv w:val="1"/>
      <w:marLeft w:val="0"/>
      <w:marRight w:val="0"/>
      <w:marTop w:val="0"/>
      <w:marBottom w:val="0"/>
      <w:divBdr>
        <w:top w:val="none" w:sz="0" w:space="0" w:color="auto"/>
        <w:left w:val="none" w:sz="0" w:space="0" w:color="auto"/>
        <w:bottom w:val="none" w:sz="0" w:space="0" w:color="auto"/>
        <w:right w:val="none" w:sz="0" w:space="0" w:color="auto"/>
      </w:divBdr>
    </w:div>
    <w:div w:id="191577284">
      <w:bodyDiv w:val="1"/>
      <w:marLeft w:val="0"/>
      <w:marRight w:val="0"/>
      <w:marTop w:val="0"/>
      <w:marBottom w:val="0"/>
      <w:divBdr>
        <w:top w:val="none" w:sz="0" w:space="0" w:color="auto"/>
        <w:left w:val="none" w:sz="0" w:space="0" w:color="auto"/>
        <w:bottom w:val="none" w:sz="0" w:space="0" w:color="auto"/>
        <w:right w:val="none" w:sz="0" w:space="0" w:color="auto"/>
      </w:divBdr>
    </w:div>
    <w:div w:id="201095880">
      <w:bodyDiv w:val="1"/>
      <w:marLeft w:val="0"/>
      <w:marRight w:val="0"/>
      <w:marTop w:val="0"/>
      <w:marBottom w:val="0"/>
      <w:divBdr>
        <w:top w:val="none" w:sz="0" w:space="0" w:color="auto"/>
        <w:left w:val="none" w:sz="0" w:space="0" w:color="auto"/>
        <w:bottom w:val="none" w:sz="0" w:space="0" w:color="auto"/>
        <w:right w:val="none" w:sz="0" w:space="0" w:color="auto"/>
      </w:divBdr>
    </w:div>
    <w:div w:id="208228695">
      <w:bodyDiv w:val="1"/>
      <w:marLeft w:val="0"/>
      <w:marRight w:val="0"/>
      <w:marTop w:val="0"/>
      <w:marBottom w:val="0"/>
      <w:divBdr>
        <w:top w:val="none" w:sz="0" w:space="0" w:color="auto"/>
        <w:left w:val="none" w:sz="0" w:space="0" w:color="auto"/>
        <w:bottom w:val="none" w:sz="0" w:space="0" w:color="auto"/>
        <w:right w:val="none" w:sz="0" w:space="0" w:color="auto"/>
      </w:divBdr>
    </w:div>
    <w:div w:id="214588241">
      <w:bodyDiv w:val="1"/>
      <w:marLeft w:val="0"/>
      <w:marRight w:val="0"/>
      <w:marTop w:val="0"/>
      <w:marBottom w:val="0"/>
      <w:divBdr>
        <w:top w:val="none" w:sz="0" w:space="0" w:color="auto"/>
        <w:left w:val="none" w:sz="0" w:space="0" w:color="auto"/>
        <w:bottom w:val="none" w:sz="0" w:space="0" w:color="auto"/>
        <w:right w:val="none" w:sz="0" w:space="0" w:color="auto"/>
      </w:divBdr>
    </w:div>
    <w:div w:id="223102034">
      <w:bodyDiv w:val="1"/>
      <w:marLeft w:val="0"/>
      <w:marRight w:val="0"/>
      <w:marTop w:val="0"/>
      <w:marBottom w:val="0"/>
      <w:divBdr>
        <w:top w:val="none" w:sz="0" w:space="0" w:color="auto"/>
        <w:left w:val="none" w:sz="0" w:space="0" w:color="auto"/>
        <w:bottom w:val="none" w:sz="0" w:space="0" w:color="auto"/>
        <w:right w:val="none" w:sz="0" w:space="0" w:color="auto"/>
      </w:divBdr>
    </w:div>
    <w:div w:id="231736797">
      <w:bodyDiv w:val="1"/>
      <w:marLeft w:val="0"/>
      <w:marRight w:val="0"/>
      <w:marTop w:val="0"/>
      <w:marBottom w:val="0"/>
      <w:divBdr>
        <w:top w:val="none" w:sz="0" w:space="0" w:color="auto"/>
        <w:left w:val="none" w:sz="0" w:space="0" w:color="auto"/>
        <w:bottom w:val="none" w:sz="0" w:space="0" w:color="auto"/>
        <w:right w:val="none" w:sz="0" w:space="0" w:color="auto"/>
      </w:divBdr>
    </w:div>
    <w:div w:id="246038415">
      <w:bodyDiv w:val="1"/>
      <w:marLeft w:val="0"/>
      <w:marRight w:val="0"/>
      <w:marTop w:val="0"/>
      <w:marBottom w:val="0"/>
      <w:divBdr>
        <w:top w:val="none" w:sz="0" w:space="0" w:color="auto"/>
        <w:left w:val="none" w:sz="0" w:space="0" w:color="auto"/>
        <w:bottom w:val="none" w:sz="0" w:space="0" w:color="auto"/>
        <w:right w:val="none" w:sz="0" w:space="0" w:color="auto"/>
      </w:divBdr>
    </w:div>
    <w:div w:id="257760639">
      <w:bodyDiv w:val="1"/>
      <w:marLeft w:val="0"/>
      <w:marRight w:val="0"/>
      <w:marTop w:val="0"/>
      <w:marBottom w:val="0"/>
      <w:divBdr>
        <w:top w:val="none" w:sz="0" w:space="0" w:color="auto"/>
        <w:left w:val="none" w:sz="0" w:space="0" w:color="auto"/>
        <w:bottom w:val="none" w:sz="0" w:space="0" w:color="auto"/>
        <w:right w:val="none" w:sz="0" w:space="0" w:color="auto"/>
      </w:divBdr>
    </w:div>
    <w:div w:id="284045204">
      <w:bodyDiv w:val="1"/>
      <w:marLeft w:val="0"/>
      <w:marRight w:val="0"/>
      <w:marTop w:val="0"/>
      <w:marBottom w:val="0"/>
      <w:divBdr>
        <w:top w:val="none" w:sz="0" w:space="0" w:color="auto"/>
        <w:left w:val="none" w:sz="0" w:space="0" w:color="auto"/>
        <w:bottom w:val="none" w:sz="0" w:space="0" w:color="auto"/>
        <w:right w:val="none" w:sz="0" w:space="0" w:color="auto"/>
      </w:divBdr>
    </w:div>
    <w:div w:id="292055899">
      <w:bodyDiv w:val="1"/>
      <w:marLeft w:val="0"/>
      <w:marRight w:val="0"/>
      <w:marTop w:val="0"/>
      <w:marBottom w:val="0"/>
      <w:divBdr>
        <w:top w:val="none" w:sz="0" w:space="0" w:color="auto"/>
        <w:left w:val="none" w:sz="0" w:space="0" w:color="auto"/>
        <w:bottom w:val="none" w:sz="0" w:space="0" w:color="auto"/>
        <w:right w:val="none" w:sz="0" w:space="0" w:color="auto"/>
      </w:divBdr>
    </w:div>
    <w:div w:id="301037476">
      <w:bodyDiv w:val="1"/>
      <w:marLeft w:val="0"/>
      <w:marRight w:val="0"/>
      <w:marTop w:val="0"/>
      <w:marBottom w:val="0"/>
      <w:divBdr>
        <w:top w:val="none" w:sz="0" w:space="0" w:color="auto"/>
        <w:left w:val="none" w:sz="0" w:space="0" w:color="auto"/>
        <w:bottom w:val="none" w:sz="0" w:space="0" w:color="auto"/>
        <w:right w:val="none" w:sz="0" w:space="0" w:color="auto"/>
      </w:divBdr>
    </w:div>
    <w:div w:id="343362218">
      <w:bodyDiv w:val="1"/>
      <w:marLeft w:val="0"/>
      <w:marRight w:val="0"/>
      <w:marTop w:val="0"/>
      <w:marBottom w:val="0"/>
      <w:divBdr>
        <w:top w:val="none" w:sz="0" w:space="0" w:color="auto"/>
        <w:left w:val="none" w:sz="0" w:space="0" w:color="auto"/>
        <w:bottom w:val="none" w:sz="0" w:space="0" w:color="auto"/>
        <w:right w:val="none" w:sz="0" w:space="0" w:color="auto"/>
      </w:divBdr>
    </w:div>
    <w:div w:id="350953938">
      <w:bodyDiv w:val="1"/>
      <w:marLeft w:val="0"/>
      <w:marRight w:val="0"/>
      <w:marTop w:val="0"/>
      <w:marBottom w:val="0"/>
      <w:divBdr>
        <w:top w:val="none" w:sz="0" w:space="0" w:color="auto"/>
        <w:left w:val="none" w:sz="0" w:space="0" w:color="auto"/>
        <w:bottom w:val="none" w:sz="0" w:space="0" w:color="auto"/>
        <w:right w:val="none" w:sz="0" w:space="0" w:color="auto"/>
      </w:divBdr>
    </w:div>
    <w:div w:id="370228246">
      <w:bodyDiv w:val="1"/>
      <w:marLeft w:val="0"/>
      <w:marRight w:val="0"/>
      <w:marTop w:val="0"/>
      <w:marBottom w:val="0"/>
      <w:divBdr>
        <w:top w:val="none" w:sz="0" w:space="0" w:color="auto"/>
        <w:left w:val="none" w:sz="0" w:space="0" w:color="auto"/>
        <w:bottom w:val="none" w:sz="0" w:space="0" w:color="auto"/>
        <w:right w:val="none" w:sz="0" w:space="0" w:color="auto"/>
      </w:divBdr>
    </w:div>
    <w:div w:id="372508477">
      <w:bodyDiv w:val="1"/>
      <w:marLeft w:val="0"/>
      <w:marRight w:val="0"/>
      <w:marTop w:val="0"/>
      <w:marBottom w:val="0"/>
      <w:divBdr>
        <w:top w:val="none" w:sz="0" w:space="0" w:color="auto"/>
        <w:left w:val="none" w:sz="0" w:space="0" w:color="auto"/>
        <w:bottom w:val="none" w:sz="0" w:space="0" w:color="auto"/>
        <w:right w:val="none" w:sz="0" w:space="0" w:color="auto"/>
      </w:divBdr>
    </w:div>
    <w:div w:id="392579528">
      <w:bodyDiv w:val="1"/>
      <w:marLeft w:val="0"/>
      <w:marRight w:val="0"/>
      <w:marTop w:val="0"/>
      <w:marBottom w:val="0"/>
      <w:divBdr>
        <w:top w:val="none" w:sz="0" w:space="0" w:color="auto"/>
        <w:left w:val="none" w:sz="0" w:space="0" w:color="auto"/>
        <w:bottom w:val="none" w:sz="0" w:space="0" w:color="auto"/>
        <w:right w:val="none" w:sz="0" w:space="0" w:color="auto"/>
      </w:divBdr>
    </w:div>
    <w:div w:id="405882162">
      <w:bodyDiv w:val="1"/>
      <w:marLeft w:val="0"/>
      <w:marRight w:val="0"/>
      <w:marTop w:val="0"/>
      <w:marBottom w:val="0"/>
      <w:divBdr>
        <w:top w:val="none" w:sz="0" w:space="0" w:color="auto"/>
        <w:left w:val="none" w:sz="0" w:space="0" w:color="auto"/>
        <w:bottom w:val="none" w:sz="0" w:space="0" w:color="auto"/>
        <w:right w:val="none" w:sz="0" w:space="0" w:color="auto"/>
      </w:divBdr>
    </w:div>
    <w:div w:id="418261233">
      <w:bodyDiv w:val="1"/>
      <w:marLeft w:val="0"/>
      <w:marRight w:val="0"/>
      <w:marTop w:val="0"/>
      <w:marBottom w:val="0"/>
      <w:divBdr>
        <w:top w:val="none" w:sz="0" w:space="0" w:color="auto"/>
        <w:left w:val="none" w:sz="0" w:space="0" w:color="auto"/>
        <w:bottom w:val="none" w:sz="0" w:space="0" w:color="auto"/>
        <w:right w:val="none" w:sz="0" w:space="0" w:color="auto"/>
      </w:divBdr>
    </w:div>
    <w:div w:id="440420351">
      <w:bodyDiv w:val="1"/>
      <w:marLeft w:val="0"/>
      <w:marRight w:val="0"/>
      <w:marTop w:val="0"/>
      <w:marBottom w:val="0"/>
      <w:divBdr>
        <w:top w:val="none" w:sz="0" w:space="0" w:color="auto"/>
        <w:left w:val="none" w:sz="0" w:space="0" w:color="auto"/>
        <w:bottom w:val="none" w:sz="0" w:space="0" w:color="auto"/>
        <w:right w:val="none" w:sz="0" w:space="0" w:color="auto"/>
      </w:divBdr>
    </w:div>
    <w:div w:id="453407323">
      <w:bodyDiv w:val="1"/>
      <w:marLeft w:val="0"/>
      <w:marRight w:val="0"/>
      <w:marTop w:val="0"/>
      <w:marBottom w:val="0"/>
      <w:divBdr>
        <w:top w:val="none" w:sz="0" w:space="0" w:color="auto"/>
        <w:left w:val="none" w:sz="0" w:space="0" w:color="auto"/>
        <w:bottom w:val="none" w:sz="0" w:space="0" w:color="auto"/>
        <w:right w:val="none" w:sz="0" w:space="0" w:color="auto"/>
      </w:divBdr>
    </w:div>
    <w:div w:id="461504519">
      <w:bodyDiv w:val="1"/>
      <w:marLeft w:val="0"/>
      <w:marRight w:val="0"/>
      <w:marTop w:val="0"/>
      <w:marBottom w:val="0"/>
      <w:divBdr>
        <w:top w:val="none" w:sz="0" w:space="0" w:color="auto"/>
        <w:left w:val="none" w:sz="0" w:space="0" w:color="auto"/>
        <w:bottom w:val="none" w:sz="0" w:space="0" w:color="auto"/>
        <w:right w:val="none" w:sz="0" w:space="0" w:color="auto"/>
      </w:divBdr>
    </w:div>
    <w:div w:id="470287999">
      <w:bodyDiv w:val="1"/>
      <w:marLeft w:val="0"/>
      <w:marRight w:val="0"/>
      <w:marTop w:val="0"/>
      <w:marBottom w:val="0"/>
      <w:divBdr>
        <w:top w:val="none" w:sz="0" w:space="0" w:color="auto"/>
        <w:left w:val="none" w:sz="0" w:space="0" w:color="auto"/>
        <w:bottom w:val="none" w:sz="0" w:space="0" w:color="auto"/>
        <w:right w:val="none" w:sz="0" w:space="0" w:color="auto"/>
      </w:divBdr>
    </w:div>
    <w:div w:id="485779359">
      <w:bodyDiv w:val="1"/>
      <w:marLeft w:val="0"/>
      <w:marRight w:val="0"/>
      <w:marTop w:val="0"/>
      <w:marBottom w:val="0"/>
      <w:divBdr>
        <w:top w:val="none" w:sz="0" w:space="0" w:color="auto"/>
        <w:left w:val="none" w:sz="0" w:space="0" w:color="auto"/>
        <w:bottom w:val="none" w:sz="0" w:space="0" w:color="auto"/>
        <w:right w:val="none" w:sz="0" w:space="0" w:color="auto"/>
      </w:divBdr>
    </w:div>
    <w:div w:id="494226154">
      <w:bodyDiv w:val="1"/>
      <w:marLeft w:val="0"/>
      <w:marRight w:val="0"/>
      <w:marTop w:val="0"/>
      <w:marBottom w:val="0"/>
      <w:divBdr>
        <w:top w:val="none" w:sz="0" w:space="0" w:color="auto"/>
        <w:left w:val="none" w:sz="0" w:space="0" w:color="auto"/>
        <w:bottom w:val="none" w:sz="0" w:space="0" w:color="auto"/>
        <w:right w:val="none" w:sz="0" w:space="0" w:color="auto"/>
      </w:divBdr>
    </w:div>
    <w:div w:id="530993807">
      <w:bodyDiv w:val="1"/>
      <w:marLeft w:val="0"/>
      <w:marRight w:val="0"/>
      <w:marTop w:val="0"/>
      <w:marBottom w:val="0"/>
      <w:divBdr>
        <w:top w:val="none" w:sz="0" w:space="0" w:color="auto"/>
        <w:left w:val="none" w:sz="0" w:space="0" w:color="auto"/>
        <w:bottom w:val="none" w:sz="0" w:space="0" w:color="auto"/>
        <w:right w:val="none" w:sz="0" w:space="0" w:color="auto"/>
      </w:divBdr>
    </w:div>
    <w:div w:id="537594424">
      <w:bodyDiv w:val="1"/>
      <w:marLeft w:val="0"/>
      <w:marRight w:val="0"/>
      <w:marTop w:val="0"/>
      <w:marBottom w:val="0"/>
      <w:divBdr>
        <w:top w:val="none" w:sz="0" w:space="0" w:color="auto"/>
        <w:left w:val="none" w:sz="0" w:space="0" w:color="auto"/>
        <w:bottom w:val="none" w:sz="0" w:space="0" w:color="auto"/>
        <w:right w:val="none" w:sz="0" w:space="0" w:color="auto"/>
      </w:divBdr>
    </w:div>
    <w:div w:id="540898778">
      <w:bodyDiv w:val="1"/>
      <w:marLeft w:val="0"/>
      <w:marRight w:val="0"/>
      <w:marTop w:val="0"/>
      <w:marBottom w:val="0"/>
      <w:divBdr>
        <w:top w:val="none" w:sz="0" w:space="0" w:color="auto"/>
        <w:left w:val="none" w:sz="0" w:space="0" w:color="auto"/>
        <w:bottom w:val="none" w:sz="0" w:space="0" w:color="auto"/>
        <w:right w:val="none" w:sz="0" w:space="0" w:color="auto"/>
      </w:divBdr>
    </w:div>
    <w:div w:id="543837281">
      <w:bodyDiv w:val="1"/>
      <w:marLeft w:val="0"/>
      <w:marRight w:val="0"/>
      <w:marTop w:val="0"/>
      <w:marBottom w:val="0"/>
      <w:divBdr>
        <w:top w:val="none" w:sz="0" w:space="0" w:color="auto"/>
        <w:left w:val="none" w:sz="0" w:space="0" w:color="auto"/>
        <w:bottom w:val="none" w:sz="0" w:space="0" w:color="auto"/>
        <w:right w:val="none" w:sz="0" w:space="0" w:color="auto"/>
      </w:divBdr>
    </w:div>
    <w:div w:id="571544474">
      <w:bodyDiv w:val="1"/>
      <w:marLeft w:val="0"/>
      <w:marRight w:val="0"/>
      <w:marTop w:val="0"/>
      <w:marBottom w:val="0"/>
      <w:divBdr>
        <w:top w:val="none" w:sz="0" w:space="0" w:color="auto"/>
        <w:left w:val="none" w:sz="0" w:space="0" w:color="auto"/>
        <w:bottom w:val="none" w:sz="0" w:space="0" w:color="auto"/>
        <w:right w:val="none" w:sz="0" w:space="0" w:color="auto"/>
      </w:divBdr>
    </w:div>
    <w:div w:id="577253110">
      <w:bodyDiv w:val="1"/>
      <w:marLeft w:val="0"/>
      <w:marRight w:val="0"/>
      <w:marTop w:val="0"/>
      <w:marBottom w:val="0"/>
      <w:divBdr>
        <w:top w:val="none" w:sz="0" w:space="0" w:color="auto"/>
        <w:left w:val="none" w:sz="0" w:space="0" w:color="auto"/>
        <w:bottom w:val="none" w:sz="0" w:space="0" w:color="auto"/>
        <w:right w:val="none" w:sz="0" w:space="0" w:color="auto"/>
      </w:divBdr>
    </w:div>
    <w:div w:id="590891503">
      <w:bodyDiv w:val="1"/>
      <w:marLeft w:val="0"/>
      <w:marRight w:val="0"/>
      <w:marTop w:val="0"/>
      <w:marBottom w:val="0"/>
      <w:divBdr>
        <w:top w:val="none" w:sz="0" w:space="0" w:color="auto"/>
        <w:left w:val="none" w:sz="0" w:space="0" w:color="auto"/>
        <w:bottom w:val="none" w:sz="0" w:space="0" w:color="auto"/>
        <w:right w:val="none" w:sz="0" w:space="0" w:color="auto"/>
      </w:divBdr>
    </w:div>
    <w:div w:id="605505235">
      <w:bodyDiv w:val="1"/>
      <w:marLeft w:val="0"/>
      <w:marRight w:val="0"/>
      <w:marTop w:val="0"/>
      <w:marBottom w:val="0"/>
      <w:divBdr>
        <w:top w:val="none" w:sz="0" w:space="0" w:color="auto"/>
        <w:left w:val="none" w:sz="0" w:space="0" w:color="auto"/>
        <w:bottom w:val="none" w:sz="0" w:space="0" w:color="auto"/>
        <w:right w:val="none" w:sz="0" w:space="0" w:color="auto"/>
      </w:divBdr>
    </w:div>
    <w:div w:id="616176042">
      <w:bodyDiv w:val="1"/>
      <w:marLeft w:val="0"/>
      <w:marRight w:val="0"/>
      <w:marTop w:val="0"/>
      <w:marBottom w:val="0"/>
      <w:divBdr>
        <w:top w:val="none" w:sz="0" w:space="0" w:color="auto"/>
        <w:left w:val="none" w:sz="0" w:space="0" w:color="auto"/>
        <w:bottom w:val="none" w:sz="0" w:space="0" w:color="auto"/>
        <w:right w:val="none" w:sz="0" w:space="0" w:color="auto"/>
      </w:divBdr>
    </w:div>
    <w:div w:id="633029415">
      <w:bodyDiv w:val="1"/>
      <w:marLeft w:val="0"/>
      <w:marRight w:val="0"/>
      <w:marTop w:val="0"/>
      <w:marBottom w:val="0"/>
      <w:divBdr>
        <w:top w:val="none" w:sz="0" w:space="0" w:color="auto"/>
        <w:left w:val="none" w:sz="0" w:space="0" w:color="auto"/>
        <w:bottom w:val="none" w:sz="0" w:space="0" w:color="auto"/>
        <w:right w:val="none" w:sz="0" w:space="0" w:color="auto"/>
      </w:divBdr>
    </w:div>
    <w:div w:id="660546420">
      <w:bodyDiv w:val="1"/>
      <w:marLeft w:val="0"/>
      <w:marRight w:val="0"/>
      <w:marTop w:val="0"/>
      <w:marBottom w:val="0"/>
      <w:divBdr>
        <w:top w:val="none" w:sz="0" w:space="0" w:color="auto"/>
        <w:left w:val="none" w:sz="0" w:space="0" w:color="auto"/>
        <w:bottom w:val="none" w:sz="0" w:space="0" w:color="auto"/>
        <w:right w:val="none" w:sz="0" w:space="0" w:color="auto"/>
      </w:divBdr>
    </w:div>
    <w:div w:id="663512217">
      <w:bodyDiv w:val="1"/>
      <w:marLeft w:val="0"/>
      <w:marRight w:val="0"/>
      <w:marTop w:val="0"/>
      <w:marBottom w:val="0"/>
      <w:divBdr>
        <w:top w:val="none" w:sz="0" w:space="0" w:color="auto"/>
        <w:left w:val="none" w:sz="0" w:space="0" w:color="auto"/>
        <w:bottom w:val="none" w:sz="0" w:space="0" w:color="auto"/>
        <w:right w:val="none" w:sz="0" w:space="0" w:color="auto"/>
      </w:divBdr>
    </w:div>
    <w:div w:id="673386770">
      <w:bodyDiv w:val="1"/>
      <w:marLeft w:val="0"/>
      <w:marRight w:val="0"/>
      <w:marTop w:val="0"/>
      <w:marBottom w:val="0"/>
      <w:divBdr>
        <w:top w:val="none" w:sz="0" w:space="0" w:color="auto"/>
        <w:left w:val="none" w:sz="0" w:space="0" w:color="auto"/>
        <w:bottom w:val="none" w:sz="0" w:space="0" w:color="auto"/>
        <w:right w:val="none" w:sz="0" w:space="0" w:color="auto"/>
      </w:divBdr>
    </w:div>
    <w:div w:id="675690209">
      <w:bodyDiv w:val="1"/>
      <w:marLeft w:val="0"/>
      <w:marRight w:val="0"/>
      <w:marTop w:val="0"/>
      <w:marBottom w:val="0"/>
      <w:divBdr>
        <w:top w:val="none" w:sz="0" w:space="0" w:color="auto"/>
        <w:left w:val="none" w:sz="0" w:space="0" w:color="auto"/>
        <w:bottom w:val="none" w:sz="0" w:space="0" w:color="auto"/>
        <w:right w:val="none" w:sz="0" w:space="0" w:color="auto"/>
      </w:divBdr>
    </w:div>
    <w:div w:id="682900246">
      <w:bodyDiv w:val="1"/>
      <w:marLeft w:val="0"/>
      <w:marRight w:val="0"/>
      <w:marTop w:val="0"/>
      <w:marBottom w:val="0"/>
      <w:divBdr>
        <w:top w:val="none" w:sz="0" w:space="0" w:color="auto"/>
        <w:left w:val="none" w:sz="0" w:space="0" w:color="auto"/>
        <w:bottom w:val="none" w:sz="0" w:space="0" w:color="auto"/>
        <w:right w:val="none" w:sz="0" w:space="0" w:color="auto"/>
      </w:divBdr>
    </w:div>
    <w:div w:id="710958873">
      <w:bodyDiv w:val="1"/>
      <w:marLeft w:val="0"/>
      <w:marRight w:val="0"/>
      <w:marTop w:val="0"/>
      <w:marBottom w:val="0"/>
      <w:divBdr>
        <w:top w:val="none" w:sz="0" w:space="0" w:color="auto"/>
        <w:left w:val="none" w:sz="0" w:space="0" w:color="auto"/>
        <w:bottom w:val="none" w:sz="0" w:space="0" w:color="auto"/>
        <w:right w:val="none" w:sz="0" w:space="0" w:color="auto"/>
      </w:divBdr>
    </w:div>
    <w:div w:id="711922302">
      <w:bodyDiv w:val="1"/>
      <w:marLeft w:val="0"/>
      <w:marRight w:val="0"/>
      <w:marTop w:val="0"/>
      <w:marBottom w:val="0"/>
      <w:divBdr>
        <w:top w:val="none" w:sz="0" w:space="0" w:color="auto"/>
        <w:left w:val="none" w:sz="0" w:space="0" w:color="auto"/>
        <w:bottom w:val="none" w:sz="0" w:space="0" w:color="auto"/>
        <w:right w:val="none" w:sz="0" w:space="0" w:color="auto"/>
      </w:divBdr>
    </w:div>
    <w:div w:id="721098609">
      <w:bodyDiv w:val="1"/>
      <w:marLeft w:val="0"/>
      <w:marRight w:val="0"/>
      <w:marTop w:val="0"/>
      <w:marBottom w:val="0"/>
      <w:divBdr>
        <w:top w:val="none" w:sz="0" w:space="0" w:color="auto"/>
        <w:left w:val="none" w:sz="0" w:space="0" w:color="auto"/>
        <w:bottom w:val="none" w:sz="0" w:space="0" w:color="auto"/>
        <w:right w:val="none" w:sz="0" w:space="0" w:color="auto"/>
      </w:divBdr>
    </w:div>
    <w:div w:id="735855094">
      <w:bodyDiv w:val="1"/>
      <w:marLeft w:val="0"/>
      <w:marRight w:val="0"/>
      <w:marTop w:val="0"/>
      <w:marBottom w:val="0"/>
      <w:divBdr>
        <w:top w:val="none" w:sz="0" w:space="0" w:color="auto"/>
        <w:left w:val="none" w:sz="0" w:space="0" w:color="auto"/>
        <w:bottom w:val="none" w:sz="0" w:space="0" w:color="auto"/>
        <w:right w:val="none" w:sz="0" w:space="0" w:color="auto"/>
      </w:divBdr>
    </w:div>
    <w:div w:id="736899687">
      <w:bodyDiv w:val="1"/>
      <w:marLeft w:val="0"/>
      <w:marRight w:val="0"/>
      <w:marTop w:val="0"/>
      <w:marBottom w:val="0"/>
      <w:divBdr>
        <w:top w:val="none" w:sz="0" w:space="0" w:color="auto"/>
        <w:left w:val="none" w:sz="0" w:space="0" w:color="auto"/>
        <w:bottom w:val="none" w:sz="0" w:space="0" w:color="auto"/>
        <w:right w:val="none" w:sz="0" w:space="0" w:color="auto"/>
      </w:divBdr>
    </w:div>
    <w:div w:id="747963198">
      <w:bodyDiv w:val="1"/>
      <w:marLeft w:val="0"/>
      <w:marRight w:val="0"/>
      <w:marTop w:val="0"/>
      <w:marBottom w:val="0"/>
      <w:divBdr>
        <w:top w:val="none" w:sz="0" w:space="0" w:color="auto"/>
        <w:left w:val="none" w:sz="0" w:space="0" w:color="auto"/>
        <w:bottom w:val="none" w:sz="0" w:space="0" w:color="auto"/>
        <w:right w:val="none" w:sz="0" w:space="0" w:color="auto"/>
      </w:divBdr>
    </w:div>
    <w:div w:id="767774006">
      <w:bodyDiv w:val="1"/>
      <w:marLeft w:val="0"/>
      <w:marRight w:val="0"/>
      <w:marTop w:val="0"/>
      <w:marBottom w:val="0"/>
      <w:divBdr>
        <w:top w:val="none" w:sz="0" w:space="0" w:color="auto"/>
        <w:left w:val="none" w:sz="0" w:space="0" w:color="auto"/>
        <w:bottom w:val="none" w:sz="0" w:space="0" w:color="auto"/>
        <w:right w:val="none" w:sz="0" w:space="0" w:color="auto"/>
      </w:divBdr>
    </w:div>
    <w:div w:id="768427838">
      <w:bodyDiv w:val="1"/>
      <w:marLeft w:val="0"/>
      <w:marRight w:val="0"/>
      <w:marTop w:val="0"/>
      <w:marBottom w:val="0"/>
      <w:divBdr>
        <w:top w:val="none" w:sz="0" w:space="0" w:color="auto"/>
        <w:left w:val="none" w:sz="0" w:space="0" w:color="auto"/>
        <w:bottom w:val="none" w:sz="0" w:space="0" w:color="auto"/>
        <w:right w:val="none" w:sz="0" w:space="0" w:color="auto"/>
      </w:divBdr>
    </w:div>
    <w:div w:id="768505036">
      <w:bodyDiv w:val="1"/>
      <w:marLeft w:val="0"/>
      <w:marRight w:val="0"/>
      <w:marTop w:val="0"/>
      <w:marBottom w:val="0"/>
      <w:divBdr>
        <w:top w:val="none" w:sz="0" w:space="0" w:color="auto"/>
        <w:left w:val="none" w:sz="0" w:space="0" w:color="auto"/>
        <w:bottom w:val="none" w:sz="0" w:space="0" w:color="auto"/>
        <w:right w:val="none" w:sz="0" w:space="0" w:color="auto"/>
      </w:divBdr>
    </w:div>
    <w:div w:id="792284015">
      <w:bodyDiv w:val="1"/>
      <w:marLeft w:val="0"/>
      <w:marRight w:val="0"/>
      <w:marTop w:val="0"/>
      <w:marBottom w:val="0"/>
      <w:divBdr>
        <w:top w:val="none" w:sz="0" w:space="0" w:color="auto"/>
        <w:left w:val="none" w:sz="0" w:space="0" w:color="auto"/>
        <w:bottom w:val="none" w:sz="0" w:space="0" w:color="auto"/>
        <w:right w:val="none" w:sz="0" w:space="0" w:color="auto"/>
      </w:divBdr>
    </w:div>
    <w:div w:id="792333127">
      <w:bodyDiv w:val="1"/>
      <w:marLeft w:val="0"/>
      <w:marRight w:val="0"/>
      <w:marTop w:val="0"/>
      <w:marBottom w:val="0"/>
      <w:divBdr>
        <w:top w:val="none" w:sz="0" w:space="0" w:color="auto"/>
        <w:left w:val="none" w:sz="0" w:space="0" w:color="auto"/>
        <w:bottom w:val="none" w:sz="0" w:space="0" w:color="auto"/>
        <w:right w:val="none" w:sz="0" w:space="0" w:color="auto"/>
      </w:divBdr>
    </w:div>
    <w:div w:id="798570649">
      <w:bodyDiv w:val="1"/>
      <w:marLeft w:val="0"/>
      <w:marRight w:val="0"/>
      <w:marTop w:val="0"/>
      <w:marBottom w:val="0"/>
      <w:divBdr>
        <w:top w:val="none" w:sz="0" w:space="0" w:color="auto"/>
        <w:left w:val="none" w:sz="0" w:space="0" w:color="auto"/>
        <w:bottom w:val="none" w:sz="0" w:space="0" w:color="auto"/>
        <w:right w:val="none" w:sz="0" w:space="0" w:color="auto"/>
      </w:divBdr>
    </w:div>
    <w:div w:id="804658367">
      <w:bodyDiv w:val="1"/>
      <w:marLeft w:val="0"/>
      <w:marRight w:val="0"/>
      <w:marTop w:val="0"/>
      <w:marBottom w:val="0"/>
      <w:divBdr>
        <w:top w:val="none" w:sz="0" w:space="0" w:color="auto"/>
        <w:left w:val="none" w:sz="0" w:space="0" w:color="auto"/>
        <w:bottom w:val="none" w:sz="0" w:space="0" w:color="auto"/>
        <w:right w:val="none" w:sz="0" w:space="0" w:color="auto"/>
      </w:divBdr>
    </w:div>
    <w:div w:id="806359949">
      <w:bodyDiv w:val="1"/>
      <w:marLeft w:val="0"/>
      <w:marRight w:val="0"/>
      <w:marTop w:val="0"/>
      <w:marBottom w:val="0"/>
      <w:divBdr>
        <w:top w:val="none" w:sz="0" w:space="0" w:color="auto"/>
        <w:left w:val="none" w:sz="0" w:space="0" w:color="auto"/>
        <w:bottom w:val="none" w:sz="0" w:space="0" w:color="auto"/>
        <w:right w:val="none" w:sz="0" w:space="0" w:color="auto"/>
      </w:divBdr>
    </w:div>
    <w:div w:id="812140589">
      <w:bodyDiv w:val="1"/>
      <w:marLeft w:val="0"/>
      <w:marRight w:val="0"/>
      <w:marTop w:val="0"/>
      <w:marBottom w:val="0"/>
      <w:divBdr>
        <w:top w:val="none" w:sz="0" w:space="0" w:color="auto"/>
        <w:left w:val="none" w:sz="0" w:space="0" w:color="auto"/>
        <w:bottom w:val="none" w:sz="0" w:space="0" w:color="auto"/>
        <w:right w:val="none" w:sz="0" w:space="0" w:color="auto"/>
      </w:divBdr>
    </w:div>
    <w:div w:id="812911288">
      <w:bodyDiv w:val="1"/>
      <w:marLeft w:val="0"/>
      <w:marRight w:val="0"/>
      <w:marTop w:val="0"/>
      <w:marBottom w:val="0"/>
      <w:divBdr>
        <w:top w:val="none" w:sz="0" w:space="0" w:color="auto"/>
        <w:left w:val="none" w:sz="0" w:space="0" w:color="auto"/>
        <w:bottom w:val="none" w:sz="0" w:space="0" w:color="auto"/>
        <w:right w:val="none" w:sz="0" w:space="0" w:color="auto"/>
      </w:divBdr>
    </w:div>
    <w:div w:id="827750147">
      <w:bodyDiv w:val="1"/>
      <w:marLeft w:val="0"/>
      <w:marRight w:val="0"/>
      <w:marTop w:val="0"/>
      <w:marBottom w:val="0"/>
      <w:divBdr>
        <w:top w:val="none" w:sz="0" w:space="0" w:color="auto"/>
        <w:left w:val="none" w:sz="0" w:space="0" w:color="auto"/>
        <w:bottom w:val="none" w:sz="0" w:space="0" w:color="auto"/>
        <w:right w:val="none" w:sz="0" w:space="0" w:color="auto"/>
      </w:divBdr>
    </w:div>
    <w:div w:id="830147368">
      <w:bodyDiv w:val="1"/>
      <w:marLeft w:val="0"/>
      <w:marRight w:val="0"/>
      <w:marTop w:val="0"/>
      <w:marBottom w:val="0"/>
      <w:divBdr>
        <w:top w:val="none" w:sz="0" w:space="0" w:color="auto"/>
        <w:left w:val="none" w:sz="0" w:space="0" w:color="auto"/>
        <w:bottom w:val="none" w:sz="0" w:space="0" w:color="auto"/>
        <w:right w:val="none" w:sz="0" w:space="0" w:color="auto"/>
      </w:divBdr>
    </w:div>
    <w:div w:id="839470693">
      <w:bodyDiv w:val="1"/>
      <w:marLeft w:val="0"/>
      <w:marRight w:val="0"/>
      <w:marTop w:val="0"/>
      <w:marBottom w:val="0"/>
      <w:divBdr>
        <w:top w:val="none" w:sz="0" w:space="0" w:color="auto"/>
        <w:left w:val="none" w:sz="0" w:space="0" w:color="auto"/>
        <w:bottom w:val="none" w:sz="0" w:space="0" w:color="auto"/>
        <w:right w:val="none" w:sz="0" w:space="0" w:color="auto"/>
      </w:divBdr>
    </w:div>
    <w:div w:id="870264735">
      <w:bodyDiv w:val="1"/>
      <w:marLeft w:val="0"/>
      <w:marRight w:val="0"/>
      <w:marTop w:val="0"/>
      <w:marBottom w:val="0"/>
      <w:divBdr>
        <w:top w:val="none" w:sz="0" w:space="0" w:color="auto"/>
        <w:left w:val="none" w:sz="0" w:space="0" w:color="auto"/>
        <w:bottom w:val="none" w:sz="0" w:space="0" w:color="auto"/>
        <w:right w:val="none" w:sz="0" w:space="0" w:color="auto"/>
      </w:divBdr>
    </w:div>
    <w:div w:id="876701219">
      <w:bodyDiv w:val="1"/>
      <w:marLeft w:val="0"/>
      <w:marRight w:val="0"/>
      <w:marTop w:val="0"/>
      <w:marBottom w:val="0"/>
      <w:divBdr>
        <w:top w:val="none" w:sz="0" w:space="0" w:color="auto"/>
        <w:left w:val="none" w:sz="0" w:space="0" w:color="auto"/>
        <w:bottom w:val="none" w:sz="0" w:space="0" w:color="auto"/>
        <w:right w:val="none" w:sz="0" w:space="0" w:color="auto"/>
      </w:divBdr>
    </w:div>
    <w:div w:id="878592365">
      <w:bodyDiv w:val="1"/>
      <w:marLeft w:val="0"/>
      <w:marRight w:val="0"/>
      <w:marTop w:val="0"/>
      <w:marBottom w:val="0"/>
      <w:divBdr>
        <w:top w:val="none" w:sz="0" w:space="0" w:color="auto"/>
        <w:left w:val="none" w:sz="0" w:space="0" w:color="auto"/>
        <w:bottom w:val="none" w:sz="0" w:space="0" w:color="auto"/>
        <w:right w:val="none" w:sz="0" w:space="0" w:color="auto"/>
      </w:divBdr>
    </w:div>
    <w:div w:id="917176858">
      <w:bodyDiv w:val="1"/>
      <w:marLeft w:val="0"/>
      <w:marRight w:val="0"/>
      <w:marTop w:val="0"/>
      <w:marBottom w:val="0"/>
      <w:divBdr>
        <w:top w:val="none" w:sz="0" w:space="0" w:color="auto"/>
        <w:left w:val="none" w:sz="0" w:space="0" w:color="auto"/>
        <w:bottom w:val="none" w:sz="0" w:space="0" w:color="auto"/>
        <w:right w:val="none" w:sz="0" w:space="0" w:color="auto"/>
      </w:divBdr>
    </w:div>
    <w:div w:id="925919996">
      <w:bodyDiv w:val="1"/>
      <w:marLeft w:val="0"/>
      <w:marRight w:val="0"/>
      <w:marTop w:val="0"/>
      <w:marBottom w:val="0"/>
      <w:divBdr>
        <w:top w:val="none" w:sz="0" w:space="0" w:color="auto"/>
        <w:left w:val="none" w:sz="0" w:space="0" w:color="auto"/>
        <w:bottom w:val="none" w:sz="0" w:space="0" w:color="auto"/>
        <w:right w:val="none" w:sz="0" w:space="0" w:color="auto"/>
      </w:divBdr>
    </w:div>
    <w:div w:id="928151330">
      <w:bodyDiv w:val="1"/>
      <w:marLeft w:val="0"/>
      <w:marRight w:val="0"/>
      <w:marTop w:val="0"/>
      <w:marBottom w:val="0"/>
      <w:divBdr>
        <w:top w:val="none" w:sz="0" w:space="0" w:color="auto"/>
        <w:left w:val="none" w:sz="0" w:space="0" w:color="auto"/>
        <w:bottom w:val="none" w:sz="0" w:space="0" w:color="auto"/>
        <w:right w:val="none" w:sz="0" w:space="0" w:color="auto"/>
      </w:divBdr>
    </w:div>
    <w:div w:id="934627962">
      <w:bodyDiv w:val="1"/>
      <w:marLeft w:val="0"/>
      <w:marRight w:val="0"/>
      <w:marTop w:val="0"/>
      <w:marBottom w:val="0"/>
      <w:divBdr>
        <w:top w:val="none" w:sz="0" w:space="0" w:color="auto"/>
        <w:left w:val="none" w:sz="0" w:space="0" w:color="auto"/>
        <w:bottom w:val="none" w:sz="0" w:space="0" w:color="auto"/>
        <w:right w:val="none" w:sz="0" w:space="0" w:color="auto"/>
      </w:divBdr>
    </w:div>
    <w:div w:id="938754096">
      <w:bodyDiv w:val="1"/>
      <w:marLeft w:val="0"/>
      <w:marRight w:val="0"/>
      <w:marTop w:val="0"/>
      <w:marBottom w:val="0"/>
      <w:divBdr>
        <w:top w:val="none" w:sz="0" w:space="0" w:color="auto"/>
        <w:left w:val="none" w:sz="0" w:space="0" w:color="auto"/>
        <w:bottom w:val="none" w:sz="0" w:space="0" w:color="auto"/>
        <w:right w:val="none" w:sz="0" w:space="0" w:color="auto"/>
      </w:divBdr>
    </w:div>
    <w:div w:id="942809522">
      <w:bodyDiv w:val="1"/>
      <w:marLeft w:val="0"/>
      <w:marRight w:val="0"/>
      <w:marTop w:val="0"/>
      <w:marBottom w:val="0"/>
      <w:divBdr>
        <w:top w:val="none" w:sz="0" w:space="0" w:color="auto"/>
        <w:left w:val="none" w:sz="0" w:space="0" w:color="auto"/>
        <w:bottom w:val="none" w:sz="0" w:space="0" w:color="auto"/>
        <w:right w:val="none" w:sz="0" w:space="0" w:color="auto"/>
      </w:divBdr>
    </w:div>
    <w:div w:id="945816235">
      <w:bodyDiv w:val="1"/>
      <w:marLeft w:val="0"/>
      <w:marRight w:val="0"/>
      <w:marTop w:val="0"/>
      <w:marBottom w:val="0"/>
      <w:divBdr>
        <w:top w:val="none" w:sz="0" w:space="0" w:color="auto"/>
        <w:left w:val="none" w:sz="0" w:space="0" w:color="auto"/>
        <w:bottom w:val="none" w:sz="0" w:space="0" w:color="auto"/>
        <w:right w:val="none" w:sz="0" w:space="0" w:color="auto"/>
      </w:divBdr>
    </w:div>
    <w:div w:id="954140678">
      <w:bodyDiv w:val="1"/>
      <w:marLeft w:val="0"/>
      <w:marRight w:val="0"/>
      <w:marTop w:val="0"/>
      <w:marBottom w:val="0"/>
      <w:divBdr>
        <w:top w:val="none" w:sz="0" w:space="0" w:color="auto"/>
        <w:left w:val="none" w:sz="0" w:space="0" w:color="auto"/>
        <w:bottom w:val="none" w:sz="0" w:space="0" w:color="auto"/>
        <w:right w:val="none" w:sz="0" w:space="0" w:color="auto"/>
      </w:divBdr>
    </w:div>
    <w:div w:id="977370947">
      <w:bodyDiv w:val="1"/>
      <w:marLeft w:val="0"/>
      <w:marRight w:val="0"/>
      <w:marTop w:val="0"/>
      <w:marBottom w:val="0"/>
      <w:divBdr>
        <w:top w:val="none" w:sz="0" w:space="0" w:color="auto"/>
        <w:left w:val="none" w:sz="0" w:space="0" w:color="auto"/>
        <w:bottom w:val="none" w:sz="0" w:space="0" w:color="auto"/>
        <w:right w:val="none" w:sz="0" w:space="0" w:color="auto"/>
      </w:divBdr>
    </w:div>
    <w:div w:id="1003699199">
      <w:bodyDiv w:val="1"/>
      <w:marLeft w:val="0"/>
      <w:marRight w:val="0"/>
      <w:marTop w:val="0"/>
      <w:marBottom w:val="0"/>
      <w:divBdr>
        <w:top w:val="none" w:sz="0" w:space="0" w:color="auto"/>
        <w:left w:val="none" w:sz="0" w:space="0" w:color="auto"/>
        <w:bottom w:val="none" w:sz="0" w:space="0" w:color="auto"/>
        <w:right w:val="none" w:sz="0" w:space="0" w:color="auto"/>
      </w:divBdr>
    </w:div>
    <w:div w:id="1005549698">
      <w:bodyDiv w:val="1"/>
      <w:marLeft w:val="0"/>
      <w:marRight w:val="0"/>
      <w:marTop w:val="0"/>
      <w:marBottom w:val="0"/>
      <w:divBdr>
        <w:top w:val="none" w:sz="0" w:space="0" w:color="auto"/>
        <w:left w:val="none" w:sz="0" w:space="0" w:color="auto"/>
        <w:bottom w:val="none" w:sz="0" w:space="0" w:color="auto"/>
        <w:right w:val="none" w:sz="0" w:space="0" w:color="auto"/>
      </w:divBdr>
    </w:div>
    <w:div w:id="1013652801">
      <w:bodyDiv w:val="1"/>
      <w:marLeft w:val="0"/>
      <w:marRight w:val="0"/>
      <w:marTop w:val="0"/>
      <w:marBottom w:val="0"/>
      <w:divBdr>
        <w:top w:val="none" w:sz="0" w:space="0" w:color="auto"/>
        <w:left w:val="none" w:sz="0" w:space="0" w:color="auto"/>
        <w:bottom w:val="none" w:sz="0" w:space="0" w:color="auto"/>
        <w:right w:val="none" w:sz="0" w:space="0" w:color="auto"/>
      </w:divBdr>
    </w:div>
    <w:div w:id="1019814724">
      <w:bodyDiv w:val="1"/>
      <w:marLeft w:val="0"/>
      <w:marRight w:val="0"/>
      <w:marTop w:val="0"/>
      <w:marBottom w:val="0"/>
      <w:divBdr>
        <w:top w:val="none" w:sz="0" w:space="0" w:color="auto"/>
        <w:left w:val="none" w:sz="0" w:space="0" w:color="auto"/>
        <w:bottom w:val="none" w:sz="0" w:space="0" w:color="auto"/>
        <w:right w:val="none" w:sz="0" w:space="0" w:color="auto"/>
      </w:divBdr>
    </w:div>
    <w:div w:id="1036806801">
      <w:bodyDiv w:val="1"/>
      <w:marLeft w:val="0"/>
      <w:marRight w:val="0"/>
      <w:marTop w:val="0"/>
      <w:marBottom w:val="0"/>
      <w:divBdr>
        <w:top w:val="none" w:sz="0" w:space="0" w:color="auto"/>
        <w:left w:val="none" w:sz="0" w:space="0" w:color="auto"/>
        <w:bottom w:val="none" w:sz="0" w:space="0" w:color="auto"/>
        <w:right w:val="none" w:sz="0" w:space="0" w:color="auto"/>
      </w:divBdr>
    </w:div>
    <w:div w:id="1060985263">
      <w:bodyDiv w:val="1"/>
      <w:marLeft w:val="0"/>
      <w:marRight w:val="0"/>
      <w:marTop w:val="0"/>
      <w:marBottom w:val="0"/>
      <w:divBdr>
        <w:top w:val="none" w:sz="0" w:space="0" w:color="auto"/>
        <w:left w:val="none" w:sz="0" w:space="0" w:color="auto"/>
        <w:bottom w:val="none" w:sz="0" w:space="0" w:color="auto"/>
        <w:right w:val="none" w:sz="0" w:space="0" w:color="auto"/>
      </w:divBdr>
    </w:div>
    <w:div w:id="1069573090">
      <w:bodyDiv w:val="1"/>
      <w:marLeft w:val="0"/>
      <w:marRight w:val="0"/>
      <w:marTop w:val="0"/>
      <w:marBottom w:val="0"/>
      <w:divBdr>
        <w:top w:val="none" w:sz="0" w:space="0" w:color="auto"/>
        <w:left w:val="none" w:sz="0" w:space="0" w:color="auto"/>
        <w:bottom w:val="none" w:sz="0" w:space="0" w:color="auto"/>
        <w:right w:val="none" w:sz="0" w:space="0" w:color="auto"/>
      </w:divBdr>
    </w:div>
    <w:div w:id="1077433998">
      <w:bodyDiv w:val="1"/>
      <w:marLeft w:val="0"/>
      <w:marRight w:val="0"/>
      <w:marTop w:val="0"/>
      <w:marBottom w:val="0"/>
      <w:divBdr>
        <w:top w:val="none" w:sz="0" w:space="0" w:color="auto"/>
        <w:left w:val="none" w:sz="0" w:space="0" w:color="auto"/>
        <w:bottom w:val="none" w:sz="0" w:space="0" w:color="auto"/>
        <w:right w:val="none" w:sz="0" w:space="0" w:color="auto"/>
      </w:divBdr>
    </w:div>
    <w:div w:id="1078944718">
      <w:bodyDiv w:val="1"/>
      <w:marLeft w:val="0"/>
      <w:marRight w:val="0"/>
      <w:marTop w:val="0"/>
      <w:marBottom w:val="0"/>
      <w:divBdr>
        <w:top w:val="none" w:sz="0" w:space="0" w:color="auto"/>
        <w:left w:val="none" w:sz="0" w:space="0" w:color="auto"/>
        <w:bottom w:val="none" w:sz="0" w:space="0" w:color="auto"/>
        <w:right w:val="none" w:sz="0" w:space="0" w:color="auto"/>
      </w:divBdr>
    </w:div>
    <w:div w:id="1079408108">
      <w:bodyDiv w:val="1"/>
      <w:marLeft w:val="0"/>
      <w:marRight w:val="0"/>
      <w:marTop w:val="0"/>
      <w:marBottom w:val="0"/>
      <w:divBdr>
        <w:top w:val="none" w:sz="0" w:space="0" w:color="auto"/>
        <w:left w:val="none" w:sz="0" w:space="0" w:color="auto"/>
        <w:bottom w:val="none" w:sz="0" w:space="0" w:color="auto"/>
        <w:right w:val="none" w:sz="0" w:space="0" w:color="auto"/>
      </w:divBdr>
    </w:div>
    <w:div w:id="1079525729">
      <w:bodyDiv w:val="1"/>
      <w:marLeft w:val="0"/>
      <w:marRight w:val="0"/>
      <w:marTop w:val="0"/>
      <w:marBottom w:val="0"/>
      <w:divBdr>
        <w:top w:val="none" w:sz="0" w:space="0" w:color="auto"/>
        <w:left w:val="none" w:sz="0" w:space="0" w:color="auto"/>
        <w:bottom w:val="none" w:sz="0" w:space="0" w:color="auto"/>
        <w:right w:val="none" w:sz="0" w:space="0" w:color="auto"/>
      </w:divBdr>
    </w:div>
    <w:div w:id="1108935581">
      <w:bodyDiv w:val="1"/>
      <w:marLeft w:val="0"/>
      <w:marRight w:val="0"/>
      <w:marTop w:val="0"/>
      <w:marBottom w:val="0"/>
      <w:divBdr>
        <w:top w:val="none" w:sz="0" w:space="0" w:color="auto"/>
        <w:left w:val="none" w:sz="0" w:space="0" w:color="auto"/>
        <w:bottom w:val="none" w:sz="0" w:space="0" w:color="auto"/>
        <w:right w:val="none" w:sz="0" w:space="0" w:color="auto"/>
      </w:divBdr>
    </w:div>
    <w:div w:id="1121261359">
      <w:bodyDiv w:val="1"/>
      <w:marLeft w:val="0"/>
      <w:marRight w:val="0"/>
      <w:marTop w:val="0"/>
      <w:marBottom w:val="0"/>
      <w:divBdr>
        <w:top w:val="none" w:sz="0" w:space="0" w:color="auto"/>
        <w:left w:val="none" w:sz="0" w:space="0" w:color="auto"/>
        <w:bottom w:val="none" w:sz="0" w:space="0" w:color="auto"/>
        <w:right w:val="none" w:sz="0" w:space="0" w:color="auto"/>
      </w:divBdr>
    </w:div>
    <w:div w:id="1138451813">
      <w:bodyDiv w:val="1"/>
      <w:marLeft w:val="0"/>
      <w:marRight w:val="0"/>
      <w:marTop w:val="0"/>
      <w:marBottom w:val="0"/>
      <w:divBdr>
        <w:top w:val="none" w:sz="0" w:space="0" w:color="auto"/>
        <w:left w:val="none" w:sz="0" w:space="0" w:color="auto"/>
        <w:bottom w:val="none" w:sz="0" w:space="0" w:color="auto"/>
        <w:right w:val="none" w:sz="0" w:space="0" w:color="auto"/>
      </w:divBdr>
    </w:div>
    <w:div w:id="1158107820">
      <w:bodyDiv w:val="1"/>
      <w:marLeft w:val="0"/>
      <w:marRight w:val="0"/>
      <w:marTop w:val="0"/>
      <w:marBottom w:val="0"/>
      <w:divBdr>
        <w:top w:val="none" w:sz="0" w:space="0" w:color="auto"/>
        <w:left w:val="none" w:sz="0" w:space="0" w:color="auto"/>
        <w:bottom w:val="none" w:sz="0" w:space="0" w:color="auto"/>
        <w:right w:val="none" w:sz="0" w:space="0" w:color="auto"/>
      </w:divBdr>
    </w:div>
    <w:div w:id="1160535913">
      <w:bodyDiv w:val="1"/>
      <w:marLeft w:val="0"/>
      <w:marRight w:val="0"/>
      <w:marTop w:val="0"/>
      <w:marBottom w:val="0"/>
      <w:divBdr>
        <w:top w:val="none" w:sz="0" w:space="0" w:color="auto"/>
        <w:left w:val="none" w:sz="0" w:space="0" w:color="auto"/>
        <w:bottom w:val="none" w:sz="0" w:space="0" w:color="auto"/>
        <w:right w:val="none" w:sz="0" w:space="0" w:color="auto"/>
      </w:divBdr>
    </w:div>
    <w:div w:id="1190946609">
      <w:bodyDiv w:val="1"/>
      <w:marLeft w:val="0"/>
      <w:marRight w:val="0"/>
      <w:marTop w:val="0"/>
      <w:marBottom w:val="0"/>
      <w:divBdr>
        <w:top w:val="none" w:sz="0" w:space="0" w:color="auto"/>
        <w:left w:val="none" w:sz="0" w:space="0" w:color="auto"/>
        <w:bottom w:val="none" w:sz="0" w:space="0" w:color="auto"/>
        <w:right w:val="none" w:sz="0" w:space="0" w:color="auto"/>
      </w:divBdr>
    </w:div>
    <w:div w:id="1192035477">
      <w:bodyDiv w:val="1"/>
      <w:marLeft w:val="0"/>
      <w:marRight w:val="0"/>
      <w:marTop w:val="0"/>
      <w:marBottom w:val="0"/>
      <w:divBdr>
        <w:top w:val="none" w:sz="0" w:space="0" w:color="auto"/>
        <w:left w:val="none" w:sz="0" w:space="0" w:color="auto"/>
        <w:bottom w:val="none" w:sz="0" w:space="0" w:color="auto"/>
        <w:right w:val="none" w:sz="0" w:space="0" w:color="auto"/>
      </w:divBdr>
    </w:div>
    <w:div w:id="1196431530">
      <w:bodyDiv w:val="1"/>
      <w:marLeft w:val="0"/>
      <w:marRight w:val="0"/>
      <w:marTop w:val="0"/>
      <w:marBottom w:val="0"/>
      <w:divBdr>
        <w:top w:val="none" w:sz="0" w:space="0" w:color="auto"/>
        <w:left w:val="none" w:sz="0" w:space="0" w:color="auto"/>
        <w:bottom w:val="none" w:sz="0" w:space="0" w:color="auto"/>
        <w:right w:val="none" w:sz="0" w:space="0" w:color="auto"/>
      </w:divBdr>
    </w:div>
    <w:div w:id="1200044196">
      <w:bodyDiv w:val="1"/>
      <w:marLeft w:val="0"/>
      <w:marRight w:val="0"/>
      <w:marTop w:val="0"/>
      <w:marBottom w:val="0"/>
      <w:divBdr>
        <w:top w:val="none" w:sz="0" w:space="0" w:color="auto"/>
        <w:left w:val="none" w:sz="0" w:space="0" w:color="auto"/>
        <w:bottom w:val="none" w:sz="0" w:space="0" w:color="auto"/>
        <w:right w:val="none" w:sz="0" w:space="0" w:color="auto"/>
      </w:divBdr>
    </w:div>
    <w:div w:id="1221483874">
      <w:bodyDiv w:val="1"/>
      <w:marLeft w:val="0"/>
      <w:marRight w:val="0"/>
      <w:marTop w:val="0"/>
      <w:marBottom w:val="0"/>
      <w:divBdr>
        <w:top w:val="none" w:sz="0" w:space="0" w:color="auto"/>
        <w:left w:val="none" w:sz="0" w:space="0" w:color="auto"/>
        <w:bottom w:val="none" w:sz="0" w:space="0" w:color="auto"/>
        <w:right w:val="none" w:sz="0" w:space="0" w:color="auto"/>
      </w:divBdr>
    </w:div>
    <w:div w:id="1221744748">
      <w:bodyDiv w:val="1"/>
      <w:marLeft w:val="0"/>
      <w:marRight w:val="0"/>
      <w:marTop w:val="0"/>
      <w:marBottom w:val="0"/>
      <w:divBdr>
        <w:top w:val="none" w:sz="0" w:space="0" w:color="auto"/>
        <w:left w:val="none" w:sz="0" w:space="0" w:color="auto"/>
        <w:bottom w:val="none" w:sz="0" w:space="0" w:color="auto"/>
        <w:right w:val="none" w:sz="0" w:space="0" w:color="auto"/>
      </w:divBdr>
    </w:div>
    <w:div w:id="1240945124">
      <w:bodyDiv w:val="1"/>
      <w:marLeft w:val="0"/>
      <w:marRight w:val="0"/>
      <w:marTop w:val="0"/>
      <w:marBottom w:val="0"/>
      <w:divBdr>
        <w:top w:val="none" w:sz="0" w:space="0" w:color="auto"/>
        <w:left w:val="none" w:sz="0" w:space="0" w:color="auto"/>
        <w:bottom w:val="none" w:sz="0" w:space="0" w:color="auto"/>
        <w:right w:val="none" w:sz="0" w:space="0" w:color="auto"/>
      </w:divBdr>
    </w:div>
    <w:div w:id="1241716231">
      <w:bodyDiv w:val="1"/>
      <w:marLeft w:val="0"/>
      <w:marRight w:val="0"/>
      <w:marTop w:val="0"/>
      <w:marBottom w:val="0"/>
      <w:divBdr>
        <w:top w:val="none" w:sz="0" w:space="0" w:color="auto"/>
        <w:left w:val="none" w:sz="0" w:space="0" w:color="auto"/>
        <w:bottom w:val="none" w:sz="0" w:space="0" w:color="auto"/>
        <w:right w:val="none" w:sz="0" w:space="0" w:color="auto"/>
      </w:divBdr>
    </w:div>
    <w:div w:id="1248230347">
      <w:bodyDiv w:val="1"/>
      <w:marLeft w:val="0"/>
      <w:marRight w:val="0"/>
      <w:marTop w:val="0"/>
      <w:marBottom w:val="0"/>
      <w:divBdr>
        <w:top w:val="none" w:sz="0" w:space="0" w:color="auto"/>
        <w:left w:val="none" w:sz="0" w:space="0" w:color="auto"/>
        <w:bottom w:val="none" w:sz="0" w:space="0" w:color="auto"/>
        <w:right w:val="none" w:sz="0" w:space="0" w:color="auto"/>
      </w:divBdr>
    </w:div>
    <w:div w:id="1267617821">
      <w:bodyDiv w:val="1"/>
      <w:marLeft w:val="0"/>
      <w:marRight w:val="0"/>
      <w:marTop w:val="0"/>
      <w:marBottom w:val="0"/>
      <w:divBdr>
        <w:top w:val="none" w:sz="0" w:space="0" w:color="auto"/>
        <w:left w:val="none" w:sz="0" w:space="0" w:color="auto"/>
        <w:bottom w:val="none" w:sz="0" w:space="0" w:color="auto"/>
        <w:right w:val="none" w:sz="0" w:space="0" w:color="auto"/>
      </w:divBdr>
    </w:div>
    <w:div w:id="1291546758">
      <w:bodyDiv w:val="1"/>
      <w:marLeft w:val="0"/>
      <w:marRight w:val="0"/>
      <w:marTop w:val="0"/>
      <w:marBottom w:val="0"/>
      <w:divBdr>
        <w:top w:val="none" w:sz="0" w:space="0" w:color="auto"/>
        <w:left w:val="none" w:sz="0" w:space="0" w:color="auto"/>
        <w:bottom w:val="none" w:sz="0" w:space="0" w:color="auto"/>
        <w:right w:val="none" w:sz="0" w:space="0" w:color="auto"/>
      </w:divBdr>
    </w:div>
    <w:div w:id="1300768729">
      <w:bodyDiv w:val="1"/>
      <w:marLeft w:val="0"/>
      <w:marRight w:val="0"/>
      <w:marTop w:val="0"/>
      <w:marBottom w:val="0"/>
      <w:divBdr>
        <w:top w:val="none" w:sz="0" w:space="0" w:color="auto"/>
        <w:left w:val="none" w:sz="0" w:space="0" w:color="auto"/>
        <w:bottom w:val="none" w:sz="0" w:space="0" w:color="auto"/>
        <w:right w:val="none" w:sz="0" w:space="0" w:color="auto"/>
      </w:divBdr>
    </w:div>
    <w:div w:id="1319069668">
      <w:bodyDiv w:val="1"/>
      <w:marLeft w:val="0"/>
      <w:marRight w:val="0"/>
      <w:marTop w:val="0"/>
      <w:marBottom w:val="0"/>
      <w:divBdr>
        <w:top w:val="none" w:sz="0" w:space="0" w:color="auto"/>
        <w:left w:val="none" w:sz="0" w:space="0" w:color="auto"/>
        <w:bottom w:val="none" w:sz="0" w:space="0" w:color="auto"/>
        <w:right w:val="none" w:sz="0" w:space="0" w:color="auto"/>
      </w:divBdr>
    </w:div>
    <w:div w:id="1324897233">
      <w:bodyDiv w:val="1"/>
      <w:marLeft w:val="0"/>
      <w:marRight w:val="0"/>
      <w:marTop w:val="0"/>
      <w:marBottom w:val="0"/>
      <w:divBdr>
        <w:top w:val="none" w:sz="0" w:space="0" w:color="auto"/>
        <w:left w:val="none" w:sz="0" w:space="0" w:color="auto"/>
        <w:bottom w:val="none" w:sz="0" w:space="0" w:color="auto"/>
        <w:right w:val="none" w:sz="0" w:space="0" w:color="auto"/>
      </w:divBdr>
    </w:div>
    <w:div w:id="1327367963">
      <w:bodyDiv w:val="1"/>
      <w:marLeft w:val="0"/>
      <w:marRight w:val="0"/>
      <w:marTop w:val="0"/>
      <w:marBottom w:val="0"/>
      <w:divBdr>
        <w:top w:val="none" w:sz="0" w:space="0" w:color="auto"/>
        <w:left w:val="none" w:sz="0" w:space="0" w:color="auto"/>
        <w:bottom w:val="none" w:sz="0" w:space="0" w:color="auto"/>
        <w:right w:val="none" w:sz="0" w:space="0" w:color="auto"/>
      </w:divBdr>
    </w:div>
    <w:div w:id="1351953167">
      <w:bodyDiv w:val="1"/>
      <w:marLeft w:val="0"/>
      <w:marRight w:val="0"/>
      <w:marTop w:val="0"/>
      <w:marBottom w:val="0"/>
      <w:divBdr>
        <w:top w:val="none" w:sz="0" w:space="0" w:color="auto"/>
        <w:left w:val="none" w:sz="0" w:space="0" w:color="auto"/>
        <w:bottom w:val="none" w:sz="0" w:space="0" w:color="auto"/>
        <w:right w:val="none" w:sz="0" w:space="0" w:color="auto"/>
      </w:divBdr>
    </w:div>
    <w:div w:id="1355886858">
      <w:bodyDiv w:val="1"/>
      <w:marLeft w:val="0"/>
      <w:marRight w:val="0"/>
      <w:marTop w:val="0"/>
      <w:marBottom w:val="0"/>
      <w:divBdr>
        <w:top w:val="none" w:sz="0" w:space="0" w:color="auto"/>
        <w:left w:val="none" w:sz="0" w:space="0" w:color="auto"/>
        <w:bottom w:val="none" w:sz="0" w:space="0" w:color="auto"/>
        <w:right w:val="none" w:sz="0" w:space="0" w:color="auto"/>
      </w:divBdr>
    </w:div>
    <w:div w:id="1360083560">
      <w:bodyDiv w:val="1"/>
      <w:marLeft w:val="0"/>
      <w:marRight w:val="0"/>
      <w:marTop w:val="0"/>
      <w:marBottom w:val="0"/>
      <w:divBdr>
        <w:top w:val="none" w:sz="0" w:space="0" w:color="auto"/>
        <w:left w:val="none" w:sz="0" w:space="0" w:color="auto"/>
        <w:bottom w:val="none" w:sz="0" w:space="0" w:color="auto"/>
        <w:right w:val="none" w:sz="0" w:space="0" w:color="auto"/>
      </w:divBdr>
    </w:div>
    <w:div w:id="1369181338">
      <w:bodyDiv w:val="1"/>
      <w:marLeft w:val="0"/>
      <w:marRight w:val="0"/>
      <w:marTop w:val="0"/>
      <w:marBottom w:val="0"/>
      <w:divBdr>
        <w:top w:val="none" w:sz="0" w:space="0" w:color="auto"/>
        <w:left w:val="none" w:sz="0" w:space="0" w:color="auto"/>
        <w:bottom w:val="none" w:sz="0" w:space="0" w:color="auto"/>
        <w:right w:val="none" w:sz="0" w:space="0" w:color="auto"/>
      </w:divBdr>
    </w:div>
    <w:div w:id="1386104613">
      <w:bodyDiv w:val="1"/>
      <w:marLeft w:val="0"/>
      <w:marRight w:val="0"/>
      <w:marTop w:val="0"/>
      <w:marBottom w:val="0"/>
      <w:divBdr>
        <w:top w:val="none" w:sz="0" w:space="0" w:color="auto"/>
        <w:left w:val="none" w:sz="0" w:space="0" w:color="auto"/>
        <w:bottom w:val="none" w:sz="0" w:space="0" w:color="auto"/>
        <w:right w:val="none" w:sz="0" w:space="0" w:color="auto"/>
      </w:divBdr>
    </w:div>
    <w:div w:id="1393458220">
      <w:bodyDiv w:val="1"/>
      <w:marLeft w:val="0"/>
      <w:marRight w:val="0"/>
      <w:marTop w:val="0"/>
      <w:marBottom w:val="0"/>
      <w:divBdr>
        <w:top w:val="none" w:sz="0" w:space="0" w:color="auto"/>
        <w:left w:val="none" w:sz="0" w:space="0" w:color="auto"/>
        <w:bottom w:val="none" w:sz="0" w:space="0" w:color="auto"/>
        <w:right w:val="none" w:sz="0" w:space="0" w:color="auto"/>
      </w:divBdr>
    </w:div>
    <w:div w:id="1398170256">
      <w:bodyDiv w:val="1"/>
      <w:marLeft w:val="0"/>
      <w:marRight w:val="0"/>
      <w:marTop w:val="0"/>
      <w:marBottom w:val="0"/>
      <w:divBdr>
        <w:top w:val="none" w:sz="0" w:space="0" w:color="auto"/>
        <w:left w:val="none" w:sz="0" w:space="0" w:color="auto"/>
        <w:bottom w:val="none" w:sz="0" w:space="0" w:color="auto"/>
        <w:right w:val="none" w:sz="0" w:space="0" w:color="auto"/>
      </w:divBdr>
    </w:div>
    <w:div w:id="1401369939">
      <w:bodyDiv w:val="1"/>
      <w:marLeft w:val="0"/>
      <w:marRight w:val="0"/>
      <w:marTop w:val="0"/>
      <w:marBottom w:val="0"/>
      <w:divBdr>
        <w:top w:val="none" w:sz="0" w:space="0" w:color="auto"/>
        <w:left w:val="none" w:sz="0" w:space="0" w:color="auto"/>
        <w:bottom w:val="none" w:sz="0" w:space="0" w:color="auto"/>
        <w:right w:val="none" w:sz="0" w:space="0" w:color="auto"/>
      </w:divBdr>
    </w:div>
    <w:div w:id="1401901688">
      <w:bodyDiv w:val="1"/>
      <w:marLeft w:val="0"/>
      <w:marRight w:val="0"/>
      <w:marTop w:val="0"/>
      <w:marBottom w:val="0"/>
      <w:divBdr>
        <w:top w:val="none" w:sz="0" w:space="0" w:color="auto"/>
        <w:left w:val="none" w:sz="0" w:space="0" w:color="auto"/>
        <w:bottom w:val="none" w:sz="0" w:space="0" w:color="auto"/>
        <w:right w:val="none" w:sz="0" w:space="0" w:color="auto"/>
      </w:divBdr>
    </w:div>
    <w:div w:id="1404257434">
      <w:bodyDiv w:val="1"/>
      <w:marLeft w:val="0"/>
      <w:marRight w:val="0"/>
      <w:marTop w:val="0"/>
      <w:marBottom w:val="0"/>
      <w:divBdr>
        <w:top w:val="none" w:sz="0" w:space="0" w:color="auto"/>
        <w:left w:val="none" w:sz="0" w:space="0" w:color="auto"/>
        <w:bottom w:val="none" w:sz="0" w:space="0" w:color="auto"/>
        <w:right w:val="none" w:sz="0" w:space="0" w:color="auto"/>
      </w:divBdr>
    </w:div>
    <w:div w:id="1406340114">
      <w:bodyDiv w:val="1"/>
      <w:marLeft w:val="0"/>
      <w:marRight w:val="0"/>
      <w:marTop w:val="0"/>
      <w:marBottom w:val="0"/>
      <w:divBdr>
        <w:top w:val="none" w:sz="0" w:space="0" w:color="auto"/>
        <w:left w:val="none" w:sz="0" w:space="0" w:color="auto"/>
        <w:bottom w:val="none" w:sz="0" w:space="0" w:color="auto"/>
        <w:right w:val="none" w:sz="0" w:space="0" w:color="auto"/>
      </w:divBdr>
    </w:div>
    <w:div w:id="1418942166">
      <w:bodyDiv w:val="1"/>
      <w:marLeft w:val="0"/>
      <w:marRight w:val="0"/>
      <w:marTop w:val="0"/>
      <w:marBottom w:val="0"/>
      <w:divBdr>
        <w:top w:val="none" w:sz="0" w:space="0" w:color="auto"/>
        <w:left w:val="none" w:sz="0" w:space="0" w:color="auto"/>
        <w:bottom w:val="none" w:sz="0" w:space="0" w:color="auto"/>
        <w:right w:val="none" w:sz="0" w:space="0" w:color="auto"/>
      </w:divBdr>
    </w:div>
    <w:div w:id="1437023644">
      <w:bodyDiv w:val="1"/>
      <w:marLeft w:val="0"/>
      <w:marRight w:val="0"/>
      <w:marTop w:val="0"/>
      <w:marBottom w:val="0"/>
      <w:divBdr>
        <w:top w:val="none" w:sz="0" w:space="0" w:color="auto"/>
        <w:left w:val="none" w:sz="0" w:space="0" w:color="auto"/>
        <w:bottom w:val="none" w:sz="0" w:space="0" w:color="auto"/>
        <w:right w:val="none" w:sz="0" w:space="0" w:color="auto"/>
      </w:divBdr>
    </w:div>
    <w:div w:id="1438911774">
      <w:bodyDiv w:val="1"/>
      <w:marLeft w:val="0"/>
      <w:marRight w:val="0"/>
      <w:marTop w:val="0"/>
      <w:marBottom w:val="0"/>
      <w:divBdr>
        <w:top w:val="none" w:sz="0" w:space="0" w:color="auto"/>
        <w:left w:val="none" w:sz="0" w:space="0" w:color="auto"/>
        <w:bottom w:val="none" w:sz="0" w:space="0" w:color="auto"/>
        <w:right w:val="none" w:sz="0" w:space="0" w:color="auto"/>
      </w:divBdr>
    </w:div>
    <w:div w:id="1457989844">
      <w:bodyDiv w:val="1"/>
      <w:marLeft w:val="0"/>
      <w:marRight w:val="0"/>
      <w:marTop w:val="0"/>
      <w:marBottom w:val="0"/>
      <w:divBdr>
        <w:top w:val="none" w:sz="0" w:space="0" w:color="auto"/>
        <w:left w:val="none" w:sz="0" w:space="0" w:color="auto"/>
        <w:bottom w:val="none" w:sz="0" w:space="0" w:color="auto"/>
        <w:right w:val="none" w:sz="0" w:space="0" w:color="auto"/>
      </w:divBdr>
    </w:div>
    <w:div w:id="1467049082">
      <w:bodyDiv w:val="1"/>
      <w:marLeft w:val="0"/>
      <w:marRight w:val="0"/>
      <w:marTop w:val="0"/>
      <w:marBottom w:val="0"/>
      <w:divBdr>
        <w:top w:val="none" w:sz="0" w:space="0" w:color="auto"/>
        <w:left w:val="none" w:sz="0" w:space="0" w:color="auto"/>
        <w:bottom w:val="none" w:sz="0" w:space="0" w:color="auto"/>
        <w:right w:val="none" w:sz="0" w:space="0" w:color="auto"/>
      </w:divBdr>
    </w:div>
    <w:div w:id="1473674392">
      <w:bodyDiv w:val="1"/>
      <w:marLeft w:val="0"/>
      <w:marRight w:val="0"/>
      <w:marTop w:val="0"/>
      <w:marBottom w:val="0"/>
      <w:divBdr>
        <w:top w:val="none" w:sz="0" w:space="0" w:color="auto"/>
        <w:left w:val="none" w:sz="0" w:space="0" w:color="auto"/>
        <w:bottom w:val="none" w:sz="0" w:space="0" w:color="auto"/>
        <w:right w:val="none" w:sz="0" w:space="0" w:color="auto"/>
      </w:divBdr>
    </w:div>
    <w:div w:id="1482771648">
      <w:bodyDiv w:val="1"/>
      <w:marLeft w:val="0"/>
      <w:marRight w:val="0"/>
      <w:marTop w:val="0"/>
      <w:marBottom w:val="0"/>
      <w:divBdr>
        <w:top w:val="none" w:sz="0" w:space="0" w:color="auto"/>
        <w:left w:val="none" w:sz="0" w:space="0" w:color="auto"/>
        <w:bottom w:val="none" w:sz="0" w:space="0" w:color="auto"/>
        <w:right w:val="none" w:sz="0" w:space="0" w:color="auto"/>
      </w:divBdr>
    </w:div>
    <w:div w:id="1493986106">
      <w:bodyDiv w:val="1"/>
      <w:marLeft w:val="0"/>
      <w:marRight w:val="0"/>
      <w:marTop w:val="0"/>
      <w:marBottom w:val="0"/>
      <w:divBdr>
        <w:top w:val="none" w:sz="0" w:space="0" w:color="auto"/>
        <w:left w:val="none" w:sz="0" w:space="0" w:color="auto"/>
        <w:bottom w:val="none" w:sz="0" w:space="0" w:color="auto"/>
        <w:right w:val="none" w:sz="0" w:space="0" w:color="auto"/>
      </w:divBdr>
    </w:div>
    <w:div w:id="1502357461">
      <w:bodyDiv w:val="1"/>
      <w:marLeft w:val="0"/>
      <w:marRight w:val="0"/>
      <w:marTop w:val="0"/>
      <w:marBottom w:val="0"/>
      <w:divBdr>
        <w:top w:val="none" w:sz="0" w:space="0" w:color="auto"/>
        <w:left w:val="none" w:sz="0" w:space="0" w:color="auto"/>
        <w:bottom w:val="none" w:sz="0" w:space="0" w:color="auto"/>
        <w:right w:val="none" w:sz="0" w:space="0" w:color="auto"/>
      </w:divBdr>
    </w:div>
    <w:div w:id="1509518698">
      <w:bodyDiv w:val="1"/>
      <w:marLeft w:val="0"/>
      <w:marRight w:val="0"/>
      <w:marTop w:val="0"/>
      <w:marBottom w:val="0"/>
      <w:divBdr>
        <w:top w:val="none" w:sz="0" w:space="0" w:color="auto"/>
        <w:left w:val="none" w:sz="0" w:space="0" w:color="auto"/>
        <w:bottom w:val="none" w:sz="0" w:space="0" w:color="auto"/>
        <w:right w:val="none" w:sz="0" w:space="0" w:color="auto"/>
      </w:divBdr>
    </w:div>
    <w:div w:id="1509711186">
      <w:bodyDiv w:val="1"/>
      <w:marLeft w:val="0"/>
      <w:marRight w:val="0"/>
      <w:marTop w:val="0"/>
      <w:marBottom w:val="0"/>
      <w:divBdr>
        <w:top w:val="none" w:sz="0" w:space="0" w:color="auto"/>
        <w:left w:val="none" w:sz="0" w:space="0" w:color="auto"/>
        <w:bottom w:val="none" w:sz="0" w:space="0" w:color="auto"/>
        <w:right w:val="none" w:sz="0" w:space="0" w:color="auto"/>
      </w:divBdr>
    </w:div>
    <w:div w:id="1514151298">
      <w:bodyDiv w:val="1"/>
      <w:marLeft w:val="0"/>
      <w:marRight w:val="0"/>
      <w:marTop w:val="0"/>
      <w:marBottom w:val="0"/>
      <w:divBdr>
        <w:top w:val="none" w:sz="0" w:space="0" w:color="auto"/>
        <w:left w:val="none" w:sz="0" w:space="0" w:color="auto"/>
        <w:bottom w:val="none" w:sz="0" w:space="0" w:color="auto"/>
        <w:right w:val="none" w:sz="0" w:space="0" w:color="auto"/>
      </w:divBdr>
    </w:div>
    <w:div w:id="1536890611">
      <w:bodyDiv w:val="1"/>
      <w:marLeft w:val="0"/>
      <w:marRight w:val="0"/>
      <w:marTop w:val="0"/>
      <w:marBottom w:val="0"/>
      <w:divBdr>
        <w:top w:val="none" w:sz="0" w:space="0" w:color="auto"/>
        <w:left w:val="none" w:sz="0" w:space="0" w:color="auto"/>
        <w:bottom w:val="none" w:sz="0" w:space="0" w:color="auto"/>
        <w:right w:val="none" w:sz="0" w:space="0" w:color="auto"/>
      </w:divBdr>
    </w:div>
    <w:div w:id="1539657095">
      <w:bodyDiv w:val="1"/>
      <w:marLeft w:val="0"/>
      <w:marRight w:val="0"/>
      <w:marTop w:val="0"/>
      <w:marBottom w:val="0"/>
      <w:divBdr>
        <w:top w:val="none" w:sz="0" w:space="0" w:color="auto"/>
        <w:left w:val="none" w:sz="0" w:space="0" w:color="auto"/>
        <w:bottom w:val="none" w:sz="0" w:space="0" w:color="auto"/>
        <w:right w:val="none" w:sz="0" w:space="0" w:color="auto"/>
      </w:divBdr>
    </w:div>
    <w:div w:id="1544369435">
      <w:bodyDiv w:val="1"/>
      <w:marLeft w:val="0"/>
      <w:marRight w:val="0"/>
      <w:marTop w:val="0"/>
      <w:marBottom w:val="0"/>
      <w:divBdr>
        <w:top w:val="none" w:sz="0" w:space="0" w:color="auto"/>
        <w:left w:val="none" w:sz="0" w:space="0" w:color="auto"/>
        <w:bottom w:val="none" w:sz="0" w:space="0" w:color="auto"/>
        <w:right w:val="none" w:sz="0" w:space="0" w:color="auto"/>
      </w:divBdr>
    </w:div>
    <w:div w:id="1548907216">
      <w:bodyDiv w:val="1"/>
      <w:marLeft w:val="0"/>
      <w:marRight w:val="0"/>
      <w:marTop w:val="0"/>
      <w:marBottom w:val="0"/>
      <w:divBdr>
        <w:top w:val="none" w:sz="0" w:space="0" w:color="auto"/>
        <w:left w:val="none" w:sz="0" w:space="0" w:color="auto"/>
        <w:bottom w:val="none" w:sz="0" w:space="0" w:color="auto"/>
        <w:right w:val="none" w:sz="0" w:space="0" w:color="auto"/>
      </w:divBdr>
    </w:div>
    <w:div w:id="1557618781">
      <w:bodyDiv w:val="1"/>
      <w:marLeft w:val="0"/>
      <w:marRight w:val="0"/>
      <w:marTop w:val="0"/>
      <w:marBottom w:val="0"/>
      <w:divBdr>
        <w:top w:val="none" w:sz="0" w:space="0" w:color="auto"/>
        <w:left w:val="none" w:sz="0" w:space="0" w:color="auto"/>
        <w:bottom w:val="none" w:sz="0" w:space="0" w:color="auto"/>
        <w:right w:val="none" w:sz="0" w:space="0" w:color="auto"/>
      </w:divBdr>
    </w:div>
    <w:div w:id="1564637555">
      <w:bodyDiv w:val="1"/>
      <w:marLeft w:val="0"/>
      <w:marRight w:val="0"/>
      <w:marTop w:val="0"/>
      <w:marBottom w:val="0"/>
      <w:divBdr>
        <w:top w:val="none" w:sz="0" w:space="0" w:color="auto"/>
        <w:left w:val="none" w:sz="0" w:space="0" w:color="auto"/>
        <w:bottom w:val="none" w:sz="0" w:space="0" w:color="auto"/>
        <w:right w:val="none" w:sz="0" w:space="0" w:color="auto"/>
      </w:divBdr>
    </w:div>
    <w:div w:id="1567569714">
      <w:bodyDiv w:val="1"/>
      <w:marLeft w:val="0"/>
      <w:marRight w:val="0"/>
      <w:marTop w:val="0"/>
      <w:marBottom w:val="0"/>
      <w:divBdr>
        <w:top w:val="none" w:sz="0" w:space="0" w:color="auto"/>
        <w:left w:val="none" w:sz="0" w:space="0" w:color="auto"/>
        <w:bottom w:val="none" w:sz="0" w:space="0" w:color="auto"/>
        <w:right w:val="none" w:sz="0" w:space="0" w:color="auto"/>
      </w:divBdr>
    </w:div>
    <w:div w:id="1568033334">
      <w:bodyDiv w:val="1"/>
      <w:marLeft w:val="0"/>
      <w:marRight w:val="0"/>
      <w:marTop w:val="0"/>
      <w:marBottom w:val="0"/>
      <w:divBdr>
        <w:top w:val="none" w:sz="0" w:space="0" w:color="auto"/>
        <w:left w:val="none" w:sz="0" w:space="0" w:color="auto"/>
        <w:bottom w:val="none" w:sz="0" w:space="0" w:color="auto"/>
        <w:right w:val="none" w:sz="0" w:space="0" w:color="auto"/>
      </w:divBdr>
    </w:div>
    <w:div w:id="1578250663">
      <w:bodyDiv w:val="1"/>
      <w:marLeft w:val="0"/>
      <w:marRight w:val="0"/>
      <w:marTop w:val="0"/>
      <w:marBottom w:val="0"/>
      <w:divBdr>
        <w:top w:val="none" w:sz="0" w:space="0" w:color="auto"/>
        <w:left w:val="none" w:sz="0" w:space="0" w:color="auto"/>
        <w:bottom w:val="none" w:sz="0" w:space="0" w:color="auto"/>
        <w:right w:val="none" w:sz="0" w:space="0" w:color="auto"/>
      </w:divBdr>
    </w:div>
    <w:div w:id="1579442908">
      <w:bodyDiv w:val="1"/>
      <w:marLeft w:val="0"/>
      <w:marRight w:val="0"/>
      <w:marTop w:val="0"/>
      <w:marBottom w:val="0"/>
      <w:divBdr>
        <w:top w:val="none" w:sz="0" w:space="0" w:color="auto"/>
        <w:left w:val="none" w:sz="0" w:space="0" w:color="auto"/>
        <w:bottom w:val="none" w:sz="0" w:space="0" w:color="auto"/>
        <w:right w:val="none" w:sz="0" w:space="0" w:color="auto"/>
      </w:divBdr>
    </w:div>
    <w:div w:id="1600605899">
      <w:bodyDiv w:val="1"/>
      <w:marLeft w:val="0"/>
      <w:marRight w:val="0"/>
      <w:marTop w:val="0"/>
      <w:marBottom w:val="0"/>
      <w:divBdr>
        <w:top w:val="none" w:sz="0" w:space="0" w:color="auto"/>
        <w:left w:val="none" w:sz="0" w:space="0" w:color="auto"/>
        <w:bottom w:val="none" w:sz="0" w:space="0" w:color="auto"/>
        <w:right w:val="none" w:sz="0" w:space="0" w:color="auto"/>
      </w:divBdr>
    </w:div>
    <w:div w:id="1606965037">
      <w:bodyDiv w:val="1"/>
      <w:marLeft w:val="0"/>
      <w:marRight w:val="0"/>
      <w:marTop w:val="0"/>
      <w:marBottom w:val="0"/>
      <w:divBdr>
        <w:top w:val="none" w:sz="0" w:space="0" w:color="auto"/>
        <w:left w:val="none" w:sz="0" w:space="0" w:color="auto"/>
        <w:bottom w:val="none" w:sz="0" w:space="0" w:color="auto"/>
        <w:right w:val="none" w:sz="0" w:space="0" w:color="auto"/>
      </w:divBdr>
    </w:div>
    <w:div w:id="1624731896">
      <w:bodyDiv w:val="1"/>
      <w:marLeft w:val="0"/>
      <w:marRight w:val="0"/>
      <w:marTop w:val="0"/>
      <w:marBottom w:val="0"/>
      <w:divBdr>
        <w:top w:val="none" w:sz="0" w:space="0" w:color="auto"/>
        <w:left w:val="none" w:sz="0" w:space="0" w:color="auto"/>
        <w:bottom w:val="none" w:sz="0" w:space="0" w:color="auto"/>
        <w:right w:val="none" w:sz="0" w:space="0" w:color="auto"/>
      </w:divBdr>
    </w:div>
    <w:div w:id="1666350574">
      <w:bodyDiv w:val="1"/>
      <w:marLeft w:val="0"/>
      <w:marRight w:val="0"/>
      <w:marTop w:val="0"/>
      <w:marBottom w:val="0"/>
      <w:divBdr>
        <w:top w:val="none" w:sz="0" w:space="0" w:color="auto"/>
        <w:left w:val="none" w:sz="0" w:space="0" w:color="auto"/>
        <w:bottom w:val="none" w:sz="0" w:space="0" w:color="auto"/>
        <w:right w:val="none" w:sz="0" w:space="0" w:color="auto"/>
      </w:divBdr>
    </w:div>
    <w:div w:id="1671055893">
      <w:bodyDiv w:val="1"/>
      <w:marLeft w:val="0"/>
      <w:marRight w:val="0"/>
      <w:marTop w:val="0"/>
      <w:marBottom w:val="0"/>
      <w:divBdr>
        <w:top w:val="none" w:sz="0" w:space="0" w:color="auto"/>
        <w:left w:val="none" w:sz="0" w:space="0" w:color="auto"/>
        <w:bottom w:val="none" w:sz="0" w:space="0" w:color="auto"/>
        <w:right w:val="none" w:sz="0" w:space="0" w:color="auto"/>
      </w:divBdr>
    </w:div>
    <w:div w:id="1689603338">
      <w:bodyDiv w:val="1"/>
      <w:marLeft w:val="0"/>
      <w:marRight w:val="0"/>
      <w:marTop w:val="0"/>
      <w:marBottom w:val="0"/>
      <w:divBdr>
        <w:top w:val="none" w:sz="0" w:space="0" w:color="auto"/>
        <w:left w:val="none" w:sz="0" w:space="0" w:color="auto"/>
        <w:bottom w:val="none" w:sz="0" w:space="0" w:color="auto"/>
        <w:right w:val="none" w:sz="0" w:space="0" w:color="auto"/>
      </w:divBdr>
    </w:div>
    <w:div w:id="1700473654">
      <w:bodyDiv w:val="1"/>
      <w:marLeft w:val="0"/>
      <w:marRight w:val="0"/>
      <w:marTop w:val="0"/>
      <w:marBottom w:val="0"/>
      <w:divBdr>
        <w:top w:val="none" w:sz="0" w:space="0" w:color="auto"/>
        <w:left w:val="none" w:sz="0" w:space="0" w:color="auto"/>
        <w:bottom w:val="none" w:sz="0" w:space="0" w:color="auto"/>
        <w:right w:val="none" w:sz="0" w:space="0" w:color="auto"/>
      </w:divBdr>
    </w:div>
    <w:div w:id="1705903561">
      <w:bodyDiv w:val="1"/>
      <w:marLeft w:val="0"/>
      <w:marRight w:val="0"/>
      <w:marTop w:val="0"/>
      <w:marBottom w:val="0"/>
      <w:divBdr>
        <w:top w:val="none" w:sz="0" w:space="0" w:color="auto"/>
        <w:left w:val="none" w:sz="0" w:space="0" w:color="auto"/>
        <w:bottom w:val="none" w:sz="0" w:space="0" w:color="auto"/>
        <w:right w:val="none" w:sz="0" w:space="0" w:color="auto"/>
      </w:divBdr>
    </w:div>
    <w:div w:id="1707484116">
      <w:bodyDiv w:val="1"/>
      <w:marLeft w:val="0"/>
      <w:marRight w:val="0"/>
      <w:marTop w:val="0"/>
      <w:marBottom w:val="0"/>
      <w:divBdr>
        <w:top w:val="none" w:sz="0" w:space="0" w:color="auto"/>
        <w:left w:val="none" w:sz="0" w:space="0" w:color="auto"/>
        <w:bottom w:val="none" w:sz="0" w:space="0" w:color="auto"/>
        <w:right w:val="none" w:sz="0" w:space="0" w:color="auto"/>
      </w:divBdr>
    </w:div>
    <w:div w:id="1729307507">
      <w:bodyDiv w:val="1"/>
      <w:marLeft w:val="0"/>
      <w:marRight w:val="0"/>
      <w:marTop w:val="0"/>
      <w:marBottom w:val="0"/>
      <w:divBdr>
        <w:top w:val="none" w:sz="0" w:space="0" w:color="auto"/>
        <w:left w:val="none" w:sz="0" w:space="0" w:color="auto"/>
        <w:bottom w:val="none" w:sz="0" w:space="0" w:color="auto"/>
        <w:right w:val="none" w:sz="0" w:space="0" w:color="auto"/>
      </w:divBdr>
    </w:div>
    <w:div w:id="1731416290">
      <w:bodyDiv w:val="1"/>
      <w:marLeft w:val="0"/>
      <w:marRight w:val="0"/>
      <w:marTop w:val="0"/>
      <w:marBottom w:val="0"/>
      <w:divBdr>
        <w:top w:val="none" w:sz="0" w:space="0" w:color="auto"/>
        <w:left w:val="none" w:sz="0" w:space="0" w:color="auto"/>
        <w:bottom w:val="none" w:sz="0" w:space="0" w:color="auto"/>
        <w:right w:val="none" w:sz="0" w:space="0" w:color="auto"/>
      </w:divBdr>
    </w:div>
    <w:div w:id="1740900255">
      <w:bodyDiv w:val="1"/>
      <w:marLeft w:val="0"/>
      <w:marRight w:val="0"/>
      <w:marTop w:val="0"/>
      <w:marBottom w:val="0"/>
      <w:divBdr>
        <w:top w:val="none" w:sz="0" w:space="0" w:color="auto"/>
        <w:left w:val="none" w:sz="0" w:space="0" w:color="auto"/>
        <w:bottom w:val="none" w:sz="0" w:space="0" w:color="auto"/>
        <w:right w:val="none" w:sz="0" w:space="0" w:color="auto"/>
      </w:divBdr>
    </w:div>
    <w:div w:id="1759279783">
      <w:bodyDiv w:val="1"/>
      <w:marLeft w:val="0"/>
      <w:marRight w:val="0"/>
      <w:marTop w:val="0"/>
      <w:marBottom w:val="0"/>
      <w:divBdr>
        <w:top w:val="none" w:sz="0" w:space="0" w:color="auto"/>
        <w:left w:val="none" w:sz="0" w:space="0" w:color="auto"/>
        <w:bottom w:val="none" w:sz="0" w:space="0" w:color="auto"/>
        <w:right w:val="none" w:sz="0" w:space="0" w:color="auto"/>
      </w:divBdr>
    </w:div>
    <w:div w:id="1760829954">
      <w:bodyDiv w:val="1"/>
      <w:marLeft w:val="0"/>
      <w:marRight w:val="0"/>
      <w:marTop w:val="0"/>
      <w:marBottom w:val="0"/>
      <w:divBdr>
        <w:top w:val="none" w:sz="0" w:space="0" w:color="auto"/>
        <w:left w:val="none" w:sz="0" w:space="0" w:color="auto"/>
        <w:bottom w:val="none" w:sz="0" w:space="0" w:color="auto"/>
        <w:right w:val="none" w:sz="0" w:space="0" w:color="auto"/>
      </w:divBdr>
    </w:div>
    <w:div w:id="1772624987">
      <w:bodyDiv w:val="1"/>
      <w:marLeft w:val="0"/>
      <w:marRight w:val="0"/>
      <w:marTop w:val="0"/>
      <w:marBottom w:val="0"/>
      <w:divBdr>
        <w:top w:val="none" w:sz="0" w:space="0" w:color="auto"/>
        <w:left w:val="none" w:sz="0" w:space="0" w:color="auto"/>
        <w:bottom w:val="none" w:sz="0" w:space="0" w:color="auto"/>
        <w:right w:val="none" w:sz="0" w:space="0" w:color="auto"/>
      </w:divBdr>
    </w:div>
    <w:div w:id="1792436386">
      <w:bodyDiv w:val="1"/>
      <w:marLeft w:val="0"/>
      <w:marRight w:val="0"/>
      <w:marTop w:val="0"/>
      <w:marBottom w:val="0"/>
      <w:divBdr>
        <w:top w:val="none" w:sz="0" w:space="0" w:color="auto"/>
        <w:left w:val="none" w:sz="0" w:space="0" w:color="auto"/>
        <w:bottom w:val="none" w:sz="0" w:space="0" w:color="auto"/>
        <w:right w:val="none" w:sz="0" w:space="0" w:color="auto"/>
      </w:divBdr>
    </w:div>
    <w:div w:id="1826509242">
      <w:bodyDiv w:val="1"/>
      <w:marLeft w:val="0"/>
      <w:marRight w:val="0"/>
      <w:marTop w:val="0"/>
      <w:marBottom w:val="0"/>
      <w:divBdr>
        <w:top w:val="none" w:sz="0" w:space="0" w:color="auto"/>
        <w:left w:val="none" w:sz="0" w:space="0" w:color="auto"/>
        <w:bottom w:val="none" w:sz="0" w:space="0" w:color="auto"/>
        <w:right w:val="none" w:sz="0" w:space="0" w:color="auto"/>
      </w:divBdr>
    </w:div>
    <w:div w:id="1866871144">
      <w:bodyDiv w:val="1"/>
      <w:marLeft w:val="0"/>
      <w:marRight w:val="0"/>
      <w:marTop w:val="0"/>
      <w:marBottom w:val="0"/>
      <w:divBdr>
        <w:top w:val="none" w:sz="0" w:space="0" w:color="auto"/>
        <w:left w:val="none" w:sz="0" w:space="0" w:color="auto"/>
        <w:bottom w:val="none" w:sz="0" w:space="0" w:color="auto"/>
        <w:right w:val="none" w:sz="0" w:space="0" w:color="auto"/>
      </w:divBdr>
    </w:div>
    <w:div w:id="1875582224">
      <w:bodyDiv w:val="1"/>
      <w:marLeft w:val="0"/>
      <w:marRight w:val="0"/>
      <w:marTop w:val="0"/>
      <w:marBottom w:val="0"/>
      <w:divBdr>
        <w:top w:val="none" w:sz="0" w:space="0" w:color="auto"/>
        <w:left w:val="none" w:sz="0" w:space="0" w:color="auto"/>
        <w:bottom w:val="none" w:sz="0" w:space="0" w:color="auto"/>
        <w:right w:val="none" w:sz="0" w:space="0" w:color="auto"/>
      </w:divBdr>
    </w:div>
    <w:div w:id="1887831866">
      <w:bodyDiv w:val="1"/>
      <w:marLeft w:val="0"/>
      <w:marRight w:val="0"/>
      <w:marTop w:val="0"/>
      <w:marBottom w:val="0"/>
      <w:divBdr>
        <w:top w:val="none" w:sz="0" w:space="0" w:color="auto"/>
        <w:left w:val="none" w:sz="0" w:space="0" w:color="auto"/>
        <w:bottom w:val="none" w:sz="0" w:space="0" w:color="auto"/>
        <w:right w:val="none" w:sz="0" w:space="0" w:color="auto"/>
      </w:divBdr>
    </w:div>
    <w:div w:id="1915702635">
      <w:bodyDiv w:val="1"/>
      <w:marLeft w:val="0"/>
      <w:marRight w:val="0"/>
      <w:marTop w:val="0"/>
      <w:marBottom w:val="0"/>
      <w:divBdr>
        <w:top w:val="none" w:sz="0" w:space="0" w:color="auto"/>
        <w:left w:val="none" w:sz="0" w:space="0" w:color="auto"/>
        <w:bottom w:val="none" w:sz="0" w:space="0" w:color="auto"/>
        <w:right w:val="none" w:sz="0" w:space="0" w:color="auto"/>
      </w:divBdr>
    </w:div>
    <w:div w:id="1921401122">
      <w:bodyDiv w:val="1"/>
      <w:marLeft w:val="0"/>
      <w:marRight w:val="0"/>
      <w:marTop w:val="0"/>
      <w:marBottom w:val="0"/>
      <w:divBdr>
        <w:top w:val="none" w:sz="0" w:space="0" w:color="auto"/>
        <w:left w:val="none" w:sz="0" w:space="0" w:color="auto"/>
        <w:bottom w:val="none" w:sz="0" w:space="0" w:color="auto"/>
        <w:right w:val="none" w:sz="0" w:space="0" w:color="auto"/>
      </w:divBdr>
    </w:div>
    <w:div w:id="1922596111">
      <w:bodyDiv w:val="1"/>
      <w:marLeft w:val="0"/>
      <w:marRight w:val="0"/>
      <w:marTop w:val="0"/>
      <w:marBottom w:val="0"/>
      <w:divBdr>
        <w:top w:val="none" w:sz="0" w:space="0" w:color="auto"/>
        <w:left w:val="none" w:sz="0" w:space="0" w:color="auto"/>
        <w:bottom w:val="none" w:sz="0" w:space="0" w:color="auto"/>
        <w:right w:val="none" w:sz="0" w:space="0" w:color="auto"/>
      </w:divBdr>
    </w:div>
    <w:div w:id="1939871121">
      <w:bodyDiv w:val="1"/>
      <w:marLeft w:val="0"/>
      <w:marRight w:val="0"/>
      <w:marTop w:val="0"/>
      <w:marBottom w:val="0"/>
      <w:divBdr>
        <w:top w:val="none" w:sz="0" w:space="0" w:color="auto"/>
        <w:left w:val="none" w:sz="0" w:space="0" w:color="auto"/>
        <w:bottom w:val="none" w:sz="0" w:space="0" w:color="auto"/>
        <w:right w:val="none" w:sz="0" w:space="0" w:color="auto"/>
      </w:divBdr>
    </w:div>
    <w:div w:id="1947151820">
      <w:bodyDiv w:val="1"/>
      <w:marLeft w:val="0"/>
      <w:marRight w:val="0"/>
      <w:marTop w:val="0"/>
      <w:marBottom w:val="0"/>
      <w:divBdr>
        <w:top w:val="none" w:sz="0" w:space="0" w:color="auto"/>
        <w:left w:val="none" w:sz="0" w:space="0" w:color="auto"/>
        <w:bottom w:val="none" w:sz="0" w:space="0" w:color="auto"/>
        <w:right w:val="none" w:sz="0" w:space="0" w:color="auto"/>
      </w:divBdr>
    </w:div>
    <w:div w:id="1953705675">
      <w:bodyDiv w:val="1"/>
      <w:marLeft w:val="0"/>
      <w:marRight w:val="0"/>
      <w:marTop w:val="0"/>
      <w:marBottom w:val="0"/>
      <w:divBdr>
        <w:top w:val="none" w:sz="0" w:space="0" w:color="auto"/>
        <w:left w:val="none" w:sz="0" w:space="0" w:color="auto"/>
        <w:bottom w:val="none" w:sz="0" w:space="0" w:color="auto"/>
        <w:right w:val="none" w:sz="0" w:space="0" w:color="auto"/>
      </w:divBdr>
    </w:div>
    <w:div w:id="1955094642">
      <w:bodyDiv w:val="1"/>
      <w:marLeft w:val="0"/>
      <w:marRight w:val="0"/>
      <w:marTop w:val="0"/>
      <w:marBottom w:val="0"/>
      <w:divBdr>
        <w:top w:val="none" w:sz="0" w:space="0" w:color="auto"/>
        <w:left w:val="none" w:sz="0" w:space="0" w:color="auto"/>
        <w:bottom w:val="none" w:sz="0" w:space="0" w:color="auto"/>
        <w:right w:val="none" w:sz="0" w:space="0" w:color="auto"/>
      </w:divBdr>
    </w:div>
    <w:div w:id="1957516013">
      <w:bodyDiv w:val="1"/>
      <w:marLeft w:val="0"/>
      <w:marRight w:val="0"/>
      <w:marTop w:val="0"/>
      <w:marBottom w:val="0"/>
      <w:divBdr>
        <w:top w:val="none" w:sz="0" w:space="0" w:color="auto"/>
        <w:left w:val="none" w:sz="0" w:space="0" w:color="auto"/>
        <w:bottom w:val="none" w:sz="0" w:space="0" w:color="auto"/>
        <w:right w:val="none" w:sz="0" w:space="0" w:color="auto"/>
      </w:divBdr>
    </w:div>
    <w:div w:id="1958290099">
      <w:bodyDiv w:val="1"/>
      <w:marLeft w:val="0"/>
      <w:marRight w:val="0"/>
      <w:marTop w:val="0"/>
      <w:marBottom w:val="0"/>
      <w:divBdr>
        <w:top w:val="none" w:sz="0" w:space="0" w:color="auto"/>
        <w:left w:val="none" w:sz="0" w:space="0" w:color="auto"/>
        <w:bottom w:val="none" w:sz="0" w:space="0" w:color="auto"/>
        <w:right w:val="none" w:sz="0" w:space="0" w:color="auto"/>
      </w:divBdr>
    </w:div>
    <w:div w:id="1969507857">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6521854">
      <w:bodyDiv w:val="1"/>
      <w:marLeft w:val="0"/>
      <w:marRight w:val="0"/>
      <w:marTop w:val="0"/>
      <w:marBottom w:val="0"/>
      <w:divBdr>
        <w:top w:val="none" w:sz="0" w:space="0" w:color="auto"/>
        <w:left w:val="none" w:sz="0" w:space="0" w:color="auto"/>
        <w:bottom w:val="none" w:sz="0" w:space="0" w:color="auto"/>
        <w:right w:val="none" w:sz="0" w:space="0" w:color="auto"/>
      </w:divBdr>
    </w:div>
    <w:div w:id="1976830790">
      <w:bodyDiv w:val="1"/>
      <w:marLeft w:val="0"/>
      <w:marRight w:val="0"/>
      <w:marTop w:val="0"/>
      <w:marBottom w:val="0"/>
      <w:divBdr>
        <w:top w:val="none" w:sz="0" w:space="0" w:color="auto"/>
        <w:left w:val="none" w:sz="0" w:space="0" w:color="auto"/>
        <w:bottom w:val="none" w:sz="0" w:space="0" w:color="auto"/>
        <w:right w:val="none" w:sz="0" w:space="0" w:color="auto"/>
      </w:divBdr>
    </w:div>
    <w:div w:id="1979070749">
      <w:bodyDiv w:val="1"/>
      <w:marLeft w:val="0"/>
      <w:marRight w:val="0"/>
      <w:marTop w:val="0"/>
      <w:marBottom w:val="0"/>
      <w:divBdr>
        <w:top w:val="none" w:sz="0" w:space="0" w:color="auto"/>
        <w:left w:val="none" w:sz="0" w:space="0" w:color="auto"/>
        <w:bottom w:val="none" w:sz="0" w:space="0" w:color="auto"/>
        <w:right w:val="none" w:sz="0" w:space="0" w:color="auto"/>
      </w:divBdr>
    </w:div>
    <w:div w:id="1987780915">
      <w:bodyDiv w:val="1"/>
      <w:marLeft w:val="0"/>
      <w:marRight w:val="0"/>
      <w:marTop w:val="0"/>
      <w:marBottom w:val="0"/>
      <w:divBdr>
        <w:top w:val="none" w:sz="0" w:space="0" w:color="auto"/>
        <w:left w:val="none" w:sz="0" w:space="0" w:color="auto"/>
        <w:bottom w:val="none" w:sz="0" w:space="0" w:color="auto"/>
        <w:right w:val="none" w:sz="0" w:space="0" w:color="auto"/>
      </w:divBdr>
    </w:div>
    <w:div w:id="1991014569">
      <w:bodyDiv w:val="1"/>
      <w:marLeft w:val="0"/>
      <w:marRight w:val="0"/>
      <w:marTop w:val="0"/>
      <w:marBottom w:val="0"/>
      <w:divBdr>
        <w:top w:val="none" w:sz="0" w:space="0" w:color="auto"/>
        <w:left w:val="none" w:sz="0" w:space="0" w:color="auto"/>
        <w:bottom w:val="none" w:sz="0" w:space="0" w:color="auto"/>
        <w:right w:val="none" w:sz="0" w:space="0" w:color="auto"/>
      </w:divBdr>
    </w:div>
    <w:div w:id="1992368234">
      <w:bodyDiv w:val="1"/>
      <w:marLeft w:val="0"/>
      <w:marRight w:val="0"/>
      <w:marTop w:val="0"/>
      <w:marBottom w:val="0"/>
      <w:divBdr>
        <w:top w:val="none" w:sz="0" w:space="0" w:color="auto"/>
        <w:left w:val="none" w:sz="0" w:space="0" w:color="auto"/>
        <w:bottom w:val="none" w:sz="0" w:space="0" w:color="auto"/>
        <w:right w:val="none" w:sz="0" w:space="0" w:color="auto"/>
      </w:divBdr>
    </w:div>
    <w:div w:id="2044792240">
      <w:bodyDiv w:val="1"/>
      <w:marLeft w:val="0"/>
      <w:marRight w:val="0"/>
      <w:marTop w:val="0"/>
      <w:marBottom w:val="0"/>
      <w:divBdr>
        <w:top w:val="none" w:sz="0" w:space="0" w:color="auto"/>
        <w:left w:val="none" w:sz="0" w:space="0" w:color="auto"/>
        <w:bottom w:val="none" w:sz="0" w:space="0" w:color="auto"/>
        <w:right w:val="none" w:sz="0" w:space="0" w:color="auto"/>
      </w:divBdr>
    </w:div>
    <w:div w:id="2044938909">
      <w:bodyDiv w:val="1"/>
      <w:marLeft w:val="0"/>
      <w:marRight w:val="0"/>
      <w:marTop w:val="0"/>
      <w:marBottom w:val="0"/>
      <w:divBdr>
        <w:top w:val="none" w:sz="0" w:space="0" w:color="auto"/>
        <w:left w:val="none" w:sz="0" w:space="0" w:color="auto"/>
        <w:bottom w:val="none" w:sz="0" w:space="0" w:color="auto"/>
        <w:right w:val="none" w:sz="0" w:space="0" w:color="auto"/>
      </w:divBdr>
    </w:div>
    <w:div w:id="2057658632">
      <w:bodyDiv w:val="1"/>
      <w:marLeft w:val="0"/>
      <w:marRight w:val="0"/>
      <w:marTop w:val="0"/>
      <w:marBottom w:val="0"/>
      <w:divBdr>
        <w:top w:val="none" w:sz="0" w:space="0" w:color="auto"/>
        <w:left w:val="none" w:sz="0" w:space="0" w:color="auto"/>
        <w:bottom w:val="none" w:sz="0" w:space="0" w:color="auto"/>
        <w:right w:val="none" w:sz="0" w:space="0" w:color="auto"/>
      </w:divBdr>
    </w:div>
    <w:div w:id="2057772749">
      <w:bodyDiv w:val="1"/>
      <w:marLeft w:val="0"/>
      <w:marRight w:val="0"/>
      <w:marTop w:val="0"/>
      <w:marBottom w:val="0"/>
      <w:divBdr>
        <w:top w:val="none" w:sz="0" w:space="0" w:color="auto"/>
        <w:left w:val="none" w:sz="0" w:space="0" w:color="auto"/>
        <w:bottom w:val="none" w:sz="0" w:space="0" w:color="auto"/>
        <w:right w:val="none" w:sz="0" w:space="0" w:color="auto"/>
      </w:divBdr>
    </w:div>
    <w:div w:id="2060321062">
      <w:bodyDiv w:val="1"/>
      <w:marLeft w:val="0"/>
      <w:marRight w:val="0"/>
      <w:marTop w:val="0"/>
      <w:marBottom w:val="0"/>
      <w:divBdr>
        <w:top w:val="none" w:sz="0" w:space="0" w:color="auto"/>
        <w:left w:val="none" w:sz="0" w:space="0" w:color="auto"/>
        <w:bottom w:val="none" w:sz="0" w:space="0" w:color="auto"/>
        <w:right w:val="none" w:sz="0" w:space="0" w:color="auto"/>
      </w:divBdr>
    </w:div>
    <w:div w:id="2068336823">
      <w:bodyDiv w:val="1"/>
      <w:marLeft w:val="0"/>
      <w:marRight w:val="0"/>
      <w:marTop w:val="0"/>
      <w:marBottom w:val="0"/>
      <w:divBdr>
        <w:top w:val="none" w:sz="0" w:space="0" w:color="auto"/>
        <w:left w:val="none" w:sz="0" w:space="0" w:color="auto"/>
        <w:bottom w:val="none" w:sz="0" w:space="0" w:color="auto"/>
        <w:right w:val="none" w:sz="0" w:space="0" w:color="auto"/>
      </w:divBdr>
    </w:div>
    <w:div w:id="2078891969">
      <w:bodyDiv w:val="1"/>
      <w:marLeft w:val="0"/>
      <w:marRight w:val="0"/>
      <w:marTop w:val="0"/>
      <w:marBottom w:val="0"/>
      <w:divBdr>
        <w:top w:val="none" w:sz="0" w:space="0" w:color="auto"/>
        <w:left w:val="none" w:sz="0" w:space="0" w:color="auto"/>
        <w:bottom w:val="none" w:sz="0" w:space="0" w:color="auto"/>
        <w:right w:val="none" w:sz="0" w:space="0" w:color="auto"/>
      </w:divBdr>
    </w:div>
    <w:div w:id="2080977125">
      <w:bodyDiv w:val="1"/>
      <w:marLeft w:val="0"/>
      <w:marRight w:val="0"/>
      <w:marTop w:val="0"/>
      <w:marBottom w:val="0"/>
      <w:divBdr>
        <w:top w:val="none" w:sz="0" w:space="0" w:color="auto"/>
        <w:left w:val="none" w:sz="0" w:space="0" w:color="auto"/>
        <w:bottom w:val="none" w:sz="0" w:space="0" w:color="auto"/>
        <w:right w:val="none" w:sz="0" w:space="0" w:color="auto"/>
      </w:divBdr>
    </w:div>
    <w:div w:id="2093506099">
      <w:bodyDiv w:val="1"/>
      <w:marLeft w:val="0"/>
      <w:marRight w:val="0"/>
      <w:marTop w:val="0"/>
      <w:marBottom w:val="0"/>
      <w:divBdr>
        <w:top w:val="none" w:sz="0" w:space="0" w:color="auto"/>
        <w:left w:val="none" w:sz="0" w:space="0" w:color="auto"/>
        <w:bottom w:val="none" w:sz="0" w:space="0" w:color="auto"/>
        <w:right w:val="none" w:sz="0" w:space="0" w:color="auto"/>
      </w:divBdr>
    </w:div>
    <w:div w:id="2100060089">
      <w:bodyDiv w:val="1"/>
      <w:marLeft w:val="0"/>
      <w:marRight w:val="0"/>
      <w:marTop w:val="0"/>
      <w:marBottom w:val="0"/>
      <w:divBdr>
        <w:top w:val="none" w:sz="0" w:space="0" w:color="auto"/>
        <w:left w:val="none" w:sz="0" w:space="0" w:color="auto"/>
        <w:bottom w:val="none" w:sz="0" w:space="0" w:color="auto"/>
        <w:right w:val="none" w:sz="0" w:space="0" w:color="auto"/>
      </w:divBdr>
    </w:div>
    <w:div w:id="2104063480">
      <w:bodyDiv w:val="1"/>
      <w:marLeft w:val="0"/>
      <w:marRight w:val="0"/>
      <w:marTop w:val="0"/>
      <w:marBottom w:val="0"/>
      <w:divBdr>
        <w:top w:val="none" w:sz="0" w:space="0" w:color="auto"/>
        <w:left w:val="none" w:sz="0" w:space="0" w:color="auto"/>
        <w:bottom w:val="none" w:sz="0" w:space="0" w:color="auto"/>
        <w:right w:val="none" w:sz="0" w:space="0" w:color="auto"/>
      </w:divBdr>
    </w:div>
    <w:div w:id="2105764571">
      <w:bodyDiv w:val="1"/>
      <w:marLeft w:val="0"/>
      <w:marRight w:val="0"/>
      <w:marTop w:val="0"/>
      <w:marBottom w:val="0"/>
      <w:divBdr>
        <w:top w:val="none" w:sz="0" w:space="0" w:color="auto"/>
        <w:left w:val="none" w:sz="0" w:space="0" w:color="auto"/>
        <w:bottom w:val="none" w:sz="0" w:space="0" w:color="auto"/>
        <w:right w:val="none" w:sz="0" w:space="0" w:color="auto"/>
      </w:divBdr>
    </w:div>
    <w:div w:id="212153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F16E2-AEB1-4713-8375-4C727C30F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260</Pages>
  <Words>69485</Words>
  <Characters>396071</Characters>
  <Application>Microsoft Office Word</Application>
  <DocSecurity>0</DocSecurity>
  <Lines>3300</Lines>
  <Paragraphs>929</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464627</CharactersWithSpaces>
  <SharedDoc>false</SharedDoc>
  <HLinks>
    <vt:vector size="192" baseType="variant">
      <vt:variant>
        <vt:i4>1114166</vt:i4>
      </vt:variant>
      <vt:variant>
        <vt:i4>191</vt:i4>
      </vt:variant>
      <vt:variant>
        <vt:i4>0</vt:i4>
      </vt:variant>
      <vt:variant>
        <vt:i4>5</vt:i4>
      </vt:variant>
      <vt:variant>
        <vt:lpwstr/>
      </vt:variant>
      <vt:variant>
        <vt:lpwstr>_Toc327439190</vt:lpwstr>
      </vt:variant>
      <vt:variant>
        <vt:i4>1048630</vt:i4>
      </vt:variant>
      <vt:variant>
        <vt:i4>185</vt:i4>
      </vt:variant>
      <vt:variant>
        <vt:i4>0</vt:i4>
      </vt:variant>
      <vt:variant>
        <vt:i4>5</vt:i4>
      </vt:variant>
      <vt:variant>
        <vt:lpwstr/>
      </vt:variant>
      <vt:variant>
        <vt:lpwstr>_Toc327439189</vt:lpwstr>
      </vt:variant>
      <vt:variant>
        <vt:i4>1048630</vt:i4>
      </vt:variant>
      <vt:variant>
        <vt:i4>179</vt:i4>
      </vt:variant>
      <vt:variant>
        <vt:i4>0</vt:i4>
      </vt:variant>
      <vt:variant>
        <vt:i4>5</vt:i4>
      </vt:variant>
      <vt:variant>
        <vt:lpwstr/>
      </vt:variant>
      <vt:variant>
        <vt:lpwstr>_Toc327439188</vt:lpwstr>
      </vt:variant>
      <vt:variant>
        <vt:i4>1048630</vt:i4>
      </vt:variant>
      <vt:variant>
        <vt:i4>173</vt:i4>
      </vt:variant>
      <vt:variant>
        <vt:i4>0</vt:i4>
      </vt:variant>
      <vt:variant>
        <vt:i4>5</vt:i4>
      </vt:variant>
      <vt:variant>
        <vt:lpwstr/>
      </vt:variant>
      <vt:variant>
        <vt:lpwstr>_Toc327439187</vt:lpwstr>
      </vt:variant>
      <vt:variant>
        <vt:i4>1048630</vt:i4>
      </vt:variant>
      <vt:variant>
        <vt:i4>167</vt:i4>
      </vt:variant>
      <vt:variant>
        <vt:i4>0</vt:i4>
      </vt:variant>
      <vt:variant>
        <vt:i4>5</vt:i4>
      </vt:variant>
      <vt:variant>
        <vt:lpwstr/>
      </vt:variant>
      <vt:variant>
        <vt:lpwstr>_Toc327439186</vt:lpwstr>
      </vt:variant>
      <vt:variant>
        <vt:i4>1048630</vt:i4>
      </vt:variant>
      <vt:variant>
        <vt:i4>161</vt:i4>
      </vt:variant>
      <vt:variant>
        <vt:i4>0</vt:i4>
      </vt:variant>
      <vt:variant>
        <vt:i4>5</vt:i4>
      </vt:variant>
      <vt:variant>
        <vt:lpwstr/>
      </vt:variant>
      <vt:variant>
        <vt:lpwstr>_Toc327439185</vt:lpwstr>
      </vt:variant>
      <vt:variant>
        <vt:i4>1048630</vt:i4>
      </vt:variant>
      <vt:variant>
        <vt:i4>155</vt:i4>
      </vt:variant>
      <vt:variant>
        <vt:i4>0</vt:i4>
      </vt:variant>
      <vt:variant>
        <vt:i4>5</vt:i4>
      </vt:variant>
      <vt:variant>
        <vt:lpwstr/>
      </vt:variant>
      <vt:variant>
        <vt:lpwstr>_Toc327439184</vt:lpwstr>
      </vt:variant>
      <vt:variant>
        <vt:i4>1048630</vt:i4>
      </vt:variant>
      <vt:variant>
        <vt:i4>149</vt:i4>
      </vt:variant>
      <vt:variant>
        <vt:i4>0</vt:i4>
      </vt:variant>
      <vt:variant>
        <vt:i4>5</vt:i4>
      </vt:variant>
      <vt:variant>
        <vt:lpwstr/>
      </vt:variant>
      <vt:variant>
        <vt:lpwstr>_Toc327439183</vt:lpwstr>
      </vt:variant>
      <vt:variant>
        <vt:i4>1048630</vt:i4>
      </vt:variant>
      <vt:variant>
        <vt:i4>143</vt:i4>
      </vt:variant>
      <vt:variant>
        <vt:i4>0</vt:i4>
      </vt:variant>
      <vt:variant>
        <vt:i4>5</vt:i4>
      </vt:variant>
      <vt:variant>
        <vt:lpwstr/>
      </vt:variant>
      <vt:variant>
        <vt:lpwstr>_Toc327439182</vt:lpwstr>
      </vt:variant>
      <vt:variant>
        <vt:i4>1048630</vt:i4>
      </vt:variant>
      <vt:variant>
        <vt:i4>137</vt:i4>
      </vt:variant>
      <vt:variant>
        <vt:i4>0</vt:i4>
      </vt:variant>
      <vt:variant>
        <vt:i4>5</vt:i4>
      </vt:variant>
      <vt:variant>
        <vt:lpwstr/>
      </vt:variant>
      <vt:variant>
        <vt:lpwstr>_Toc327439181</vt:lpwstr>
      </vt:variant>
      <vt:variant>
        <vt:i4>1048630</vt:i4>
      </vt:variant>
      <vt:variant>
        <vt:i4>131</vt:i4>
      </vt:variant>
      <vt:variant>
        <vt:i4>0</vt:i4>
      </vt:variant>
      <vt:variant>
        <vt:i4>5</vt:i4>
      </vt:variant>
      <vt:variant>
        <vt:lpwstr/>
      </vt:variant>
      <vt:variant>
        <vt:lpwstr>_Toc327439180</vt:lpwstr>
      </vt:variant>
      <vt:variant>
        <vt:i4>2031670</vt:i4>
      </vt:variant>
      <vt:variant>
        <vt:i4>125</vt:i4>
      </vt:variant>
      <vt:variant>
        <vt:i4>0</vt:i4>
      </vt:variant>
      <vt:variant>
        <vt:i4>5</vt:i4>
      </vt:variant>
      <vt:variant>
        <vt:lpwstr/>
      </vt:variant>
      <vt:variant>
        <vt:lpwstr>_Toc327439179</vt:lpwstr>
      </vt:variant>
      <vt:variant>
        <vt:i4>2031670</vt:i4>
      </vt:variant>
      <vt:variant>
        <vt:i4>119</vt:i4>
      </vt:variant>
      <vt:variant>
        <vt:i4>0</vt:i4>
      </vt:variant>
      <vt:variant>
        <vt:i4>5</vt:i4>
      </vt:variant>
      <vt:variant>
        <vt:lpwstr/>
      </vt:variant>
      <vt:variant>
        <vt:lpwstr>_Toc327439178</vt:lpwstr>
      </vt:variant>
      <vt:variant>
        <vt:i4>2031670</vt:i4>
      </vt:variant>
      <vt:variant>
        <vt:i4>113</vt:i4>
      </vt:variant>
      <vt:variant>
        <vt:i4>0</vt:i4>
      </vt:variant>
      <vt:variant>
        <vt:i4>5</vt:i4>
      </vt:variant>
      <vt:variant>
        <vt:lpwstr/>
      </vt:variant>
      <vt:variant>
        <vt:lpwstr>_Toc327439177</vt:lpwstr>
      </vt:variant>
      <vt:variant>
        <vt:i4>2031670</vt:i4>
      </vt:variant>
      <vt:variant>
        <vt:i4>107</vt:i4>
      </vt:variant>
      <vt:variant>
        <vt:i4>0</vt:i4>
      </vt:variant>
      <vt:variant>
        <vt:i4>5</vt:i4>
      </vt:variant>
      <vt:variant>
        <vt:lpwstr/>
      </vt:variant>
      <vt:variant>
        <vt:lpwstr>_Toc327439176</vt:lpwstr>
      </vt:variant>
      <vt:variant>
        <vt:i4>2031670</vt:i4>
      </vt:variant>
      <vt:variant>
        <vt:i4>101</vt:i4>
      </vt:variant>
      <vt:variant>
        <vt:i4>0</vt:i4>
      </vt:variant>
      <vt:variant>
        <vt:i4>5</vt:i4>
      </vt:variant>
      <vt:variant>
        <vt:lpwstr/>
      </vt:variant>
      <vt:variant>
        <vt:lpwstr>_Toc327439175</vt:lpwstr>
      </vt:variant>
      <vt:variant>
        <vt:i4>2031670</vt:i4>
      </vt:variant>
      <vt:variant>
        <vt:i4>95</vt:i4>
      </vt:variant>
      <vt:variant>
        <vt:i4>0</vt:i4>
      </vt:variant>
      <vt:variant>
        <vt:i4>5</vt:i4>
      </vt:variant>
      <vt:variant>
        <vt:lpwstr/>
      </vt:variant>
      <vt:variant>
        <vt:lpwstr>_Toc327439174</vt:lpwstr>
      </vt:variant>
      <vt:variant>
        <vt:i4>2031670</vt:i4>
      </vt:variant>
      <vt:variant>
        <vt:i4>89</vt:i4>
      </vt:variant>
      <vt:variant>
        <vt:i4>0</vt:i4>
      </vt:variant>
      <vt:variant>
        <vt:i4>5</vt:i4>
      </vt:variant>
      <vt:variant>
        <vt:lpwstr/>
      </vt:variant>
      <vt:variant>
        <vt:lpwstr>_Toc327439173</vt:lpwstr>
      </vt:variant>
      <vt:variant>
        <vt:i4>2031670</vt:i4>
      </vt:variant>
      <vt:variant>
        <vt:i4>83</vt:i4>
      </vt:variant>
      <vt:variant>
        <vt:i4>0</vt:i4>
      </vt:variant>
      <vt:variant>
        <vt:i4>5</vt:i4>
      </vt:variant>
      <vt:variant>
        <vt:lpwstr/>
      </vt:variant>
      <vt:variant>
        <vt:lpwstr>_Toc327439172</vt:lpwstr>
      </vt:variant>
      <vt:variant>
        <vt:i4>2031670</vt:i4>
      </vt:variant>
      <vt:variant>
        <vt:i4>77</vt:i4>
      </vt:variant>
      <vt:variant>
        <vt:i4>0</vt:i4>
      </vt:variant>
      <vt:variant>
        <vt:i4>5</vt:i4>
      </vt:variant>
      <vt:variant>
        <vt:lpwstr/>
      </vt:variant>
      <vt:variant>
        <vt:lpwstr>_Toc327439171</vt:lpwstr>
      </vt:variant>
      <vt:variant>
        <vt:i4>2031670</vt:i4>
      </vt:variant>
      <vt:variant>
        <vt:i4>71</vt:i4>
      </vt:variant>
      <vt:variant>
        <vt:i4>0</vt:i4>
      </vt:variant>
      <vt:variant>
        <vt:i4>5</vt:i4>
      </vt:variant>
      <vt:variant>
        <vt:lpwstr/>
      </vt:variant>
      <vt:variant>
        <vt:lpwstr>_Toc327439170</vt:lpwstr>
      </vt:variant>
      <vt:variant>
        <vt:i4>1966134</vt:i4>
      </vt:variant>
      <vt:variant>
        <vt:i4>65</vt:i4>
      </vt:variant>
      <vt:variant>
        <vt:i4>0</vt:i4>
      </vt:variant>
      <vt:variant>
        <vt:i4>5</vt:i4>
      </vt:variant>
      <vt:variant>
        <vt:lpwstr/>
      </vt:variant>
      <vt:variant>
        <vt:lpwstr>_Toc327439169</vt:lpwstr>
      </vt:variant>
      <vt:variant>
        <vt:i4>1966134</vt:i4>
      </vt:variant>
      <vt:variant>
        <vt:i4>59</vt:i4>
      </vt:variant>
      <vt:variant>
        <vt:i4>0</vt:i4>
      </vt:variant>
      <vt:variant>
        <vt:i4>5</vt:i4>
      </vt:variant>
      <vt:variant>
        <vt:lpwstr/>
      </vt:variant>
      <vt:variant>
        <vt:lpwstr>_Toc327439168</vt:lpwstr>
      </vt:variant>
      <vt:variant>
        <vt:i4>1966134</vt:i4>
      </vt:variant>
      <vt:variant>
        <vt:i4>53</vt:i4>
      </vt:variant>
      <vt:variant>
        <vt:i4>0</vt:i4>
      </vt:variant>
      <vt:variant>
        <vt:i4>5</vt:i4>
      </vt:variant>
      <vt:variant>
        <vt:lpwstr/>
      </vt:variant>
      <vt:variant>
        <vt:lpwstr>_Toc327439167</vt:lpwstr>
      </vt:variant>
      <vt:variant>
        <vt:i4>1966134</vt:i4>
      </vt:variant>
      <vt:variant>
        <vt:i4>47</vt:i4>
      </vt:variant>
      <vt:variant>
        <vt:i4>0</vt:i4>
      </vt:variant>
      <vt:variant>
        <vt:i4>5</vt:i4>
      </vt:variant>
      <vt:variant>
        <vt:lpwstr/>
      </vt:variant>
      <vt:variant>
        <vt:lpwstr>_Toc327439166</vt:lpwstr>
      </vt:variant>
      <vt:variant>
        <vt:i4>1966134</vt:i4>
      </vt:variant>
      <vt:variant>
        <vt:i4>41</vt:i4>
      </vt:variant>
      <vt:variant>
        <vt:i4>0</vt:i4>
      </vt:variant>
      <vt:variant>
        <vt:i4>5</vt:i4>
      </vt:variant>
      <vt:variant>
        <vt:lpwstr/>
      </vt:variant>
      <vt:variant>
        <vt:lpwstr>_Toc327439165</vt:lpwstr>
      </vt:variant>
      <vt:variant>
        <vt:i4>1966134</vt:i4>
      </vt:variant>
      <vt:variant>
        <vt:i4>35</vt:i4>
      </vt:variant>
      <vt:variant>
        <vt:i4>0</vt:i4>
      </vt:variant>
      <vt:variant>
        <vt:i4>5</vt:i4>
      </vt:variant>
      <vt:variant>
        <vt:lpwstr/>
      </vt:variant>
      <vt:variant>
        <vt:lpwstr>_Toc327439164</vt:lpwstr>
      </vt:variant>
      <vt:variant>
        <vt:i4>1966134</vt:i4>
      </vt:variant>
      <vt:variant>
        <vt:i4>29</vt:i4>
      </vt:variant>
      <vt:variant>
        <vt:i4>0</vt:i4>
      </vt:variant>
      <vt:variant>
        <vt:i4>5</vt:i4>
      </vt:variant>
      <vt:variant>
        <vt:lpwstr/>
      </vt:variant>
      <vt:variant>
        <vt:lpwstr>_Toc327439163</vt:lpwstr>
      </vt:variant>
      <vt:variant>
        <vt:i4>1966134</vt:i4>
      </vt:variant>
      <vt:variant>
        <vt:i4>23</vt:i4>
      </vt:variant>
      <vt:variant>
        <vt:i4>0</vt:i4>
      </vt:variant>
      <vt:variant>
        <vt:i4>5</vt:i4>
      </vt:variant>
      <vt:variant>
        <vt:lpwstr/>
      </vt:variant>
      <vt:variant>
        <vt:lpwstr>_Toc327439162</vt:lpwstr>
      </vt:variant>
      <vt:variant>
        <vt:i4>1966134</vt:i4>
      </vt:variant>
      <vt:variant>
        <vt:i4>17</vt:i4>
      </vt:variant>
      <vt:variant>
        <vt:i4>0</vt:i4>
      </vt:variant>
      <vt:variant>
        <vt:i4>5</vt:i4>
      </vt:variant>
      <vt:variant>
        <vt:lpwstr/>
      </vt:variant>
      <vt:variant>
        <vt:lpwstr>_Toc327439161</vt:lpwstr>
      </vt:variant>
      <vt:variant>
        <vt:i4>1966134</vt:i4>
      </vt:variant>
      <vt:variant>
        <vt:i4>11</vt:i4>
      </vt:variant>
      <vt:variant>
        <vt:i4>0</vt:i4>
      </vt:variant>
      <vt:variant>
        <vt:i4>5</vt:i4>
      </vt:variant>
      <vt:variant>
        <vt:lpwstr/>
      </vt:variant>
      <vt:variant>
        <vt:lpwstr>_Toc327439160</vt:lpwstr>
      </vt:variant>
      <vt:variant>
        <vt:i4>1900598</vt:i4>
      </vt:variant>
      <vt:variant>
        <vt:i4>5</vt:i4>
      </vt:variant>
      <vt:variant>
        <vt:i4>0</vt:i4>
      </vt:variant>
      <vt:variant>
        <vt:i4>5</vt:i4>
      </vt:variant>
      <vt:variant>
        <vt:lpwstr/>
      </vt:variant>
      <vt:variant>
        <vt:lpwstr>_Toc327439159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Miller, Sara</cp:lastModifiedBy>
  <cp:revision>3</cp:revision>
  <cp:lastPrinted>2013-01-25T16:15:00Z</cp:lastPrinted>
  <dcterms:created xsi:type="dcterms:W3CDTF">2013-01-25T16:04:00Z</dcterms:created>
  <dcterms:modified xsi:type="dcterms:W3CDTF">2013-01-25T16:15:00Z</dcterms:modified>
</cp:coreProperties>
</file>