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Pr="004D6DF8" w:rsidRDefault="00332CA0" w:rsidP="00560DC5">
      <w:pPr>
        <w:pStyle w:val="Title"/>
        <w:tabs>
          <w:tab w:val="clear" w:pos="360"/>
          <w:tab w:val="left" w:pos="0"/>
        </w:tabs>
      </w:pPr>
      <w:r w:rsidRPr="004D6DF8">
        <w:t>BEFORE THE</w:t>
      </w:r>
    </w:p>
    <w:p w:rsidR="00332CA0" w:rsidRPr="004D6DF8"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sidRPr="004D6DF8">
            <w:rPr>
              <w:b/>
              <w:sz w:val="24"/>
            </w:rPr>
            <w:t>PENNSYLVANIA</w:t>
          </w:r>
        </w:smartTag>
      </w:smartTag>
      <w:r w:rsidRPr="004D6DF8">
        <w:rPr>
          <w:b/>
          <w:sz w:val="24"/>
        </w:rPr>
        <w:t xml:space="preserve"> PUBLIC UTILITY COMMISSION</w:t>
      </w:r>
    </w:p>
    <w:p w:rsidR="00332CA0" w:rsidRPr="004D6DF8" w:rsidRDefault="00332CA0" w:rsidP="00560DC5">
      <w:pPr>
        <w:tabs>
          <w:tab w:val="left" w:pos="0"/>
        </w:tabs>
        <w:spacing w:line="233" w:lineRule="auto"/>
        <w:jc w:val="both"/>
        <w:rPr>
          <w:b/>
          <w:sz w:val="24"/>
        </w:rPr>
      </w:pPr>
    </w:p>
    <w:p w:rsidR="00332CA0" w:rsidRPr="004D6DF8" w:rsidRDefault="00332CA0" w:rsidP="00560DC5">
      <w:pPr>
        <w:tabs>
          <w:tab w:val="left" w:pos="0"/>
        </w:tabs>
        <w:spacing w:line="233" w:lineRule="auto"/>
        <w:jc w:val="both"/>
        <w:rPr>
          <w:b/>
          <w:sz w:val="24"/>
        </w:rPr>
      </w:pPr>
    </w:p>
    <w:p w:rsidR="00332CA0" w:rsidRPr="004D6DF8" w:rsidRDefault="00332CA0" w:rsidP="00560DC5">
      <w:pPr>
        <w:tabs>
          <w:tab w:val="left" w:pos="0"/>
        </w:tabs>
        <w:spacing w:line="233" w:lineRule="auto"/>
        <w:jc w:val="both"/>
        <w:rPr>
          <w:b/>
          <w:sz w:val="24"/>
        </w:rPr>
      </w:pPr>
    </w:p>
    <w:p w:rsidR="004D6DF8" w:rsidRPr="004D6DF8" w:rsidRDefault="004D6DF8" w:rsidP="004D6DF8">
      <w:pPr>
        <w:rPr>
          <w:b/>
          <w:sz w:val="24"/>
          <w:szCs w:val="24"/>
        </w:rPr>
      </w:pPr>
      <w:r w:rsidRPr="004D6DF8">
        <w:rPr>
          <w:sz w:val="24"/>
          <w:szCs w:val="24"/>
        </w:rPr>
        <w:t xml:space="preserve">Pennsylvania Public Utility Commission, </w:t>
      </w:r>
      <w:r w:rsidRPr="004D6DF8">
        <w:rPr>
          <w:i/>
          <w:sz w:val="24"/>
          <w:szCs w:val="24"/>
        </w:rPr>
        <w:t>et al</w:t>
      </w:r>
      <w:r w:rsidRPr="004D6DF8">
        <w:rPr>
          <w:sz w:val="24"/>
          <w:szCs w:val="24"/>
        </w:rPr>
        <w:t>.</w:t>
      </w:r>
      <w:r w:rsidRPr="004D6DF8">
        <w:rPr>
          <w:sz w:val="24"/>
          <w:szCs w:val="24"/>
        </w:rPr>
        <w:tab/>
      </w:r>
      <w:r w:rsidRPr="004D6DF8">
        <w:rPr>
          <w:b/>
          <w:sz w:val="24"/>
          <w:szCs w:val="24"/>
        </w:rPr>
        <w:t>:</w:t>
      </w:r>
    </w:p>
    <w:p w:rsidR="004D6DF8" w:rsidRPr="004D6DF8" w:rsidRDefault="004D6DF8" w:rsidP="004D6DF8">
      <w:pPr>
        <w:ind w:firstLine="4320"/>
        <w:jc w:val="both"/>
        <w:rPr>
          <w:sz w:val="24"/>
          <w:szCs w:val="24"/>
        </w:rPr>
      </w:pPr>
      <w:r w:rsidRPr="004D6DF8">
        <w:rPr>
          <w:b/>
          <w:sz w:val="24"/>
          <w:szCs w:val="24"/>
        </w:rPr>
        <w:tab/>
        <w:t>:</w:t>
      </w:r>
      <w:r w:rsidR="00143126">
        <w:rPr>
          <w:b/>
          <w:sz w:val="24"/>
          <w:szCs w:val="24"/>
        </w:rPr>
        <w:tab/>
      </w:r>
      <w:r w:rsidR="00143126">
        <w:rPr>
          <w:b/>
          <w:sz w:val="24"/>
          <w:szCs w:val="24"/>
        </w:rPr>
        <w:tab/>
      </w:r>
      <w:r w:rsidR="00143126" w:rsidRPr="00143126">
        <w:rPr>
          <w:sz w:val="24"/>
          <w:szCs w:val="24"/>
        </w:rPr>
        <w:t>R-2012-2312577</w:t>
      </w:r>
    </w:p>
    <w:p w:rsidR="004D6DF8" w:rsidRPr="004D6DF8" w:rsidRDefault="004D6DF8" w:rsidP="004D6DF8">
      <w:pPr>
        <w:ind w:firstLine="720"/>
        <w:jc w:val="both"/>
        <w:rPr>
          <w:sz w:val="24"/>
          <w:szCs w:val="24"/>
        </w:rPr>
      </w:pPr>
      <w:r w:rsidRPr="004D6DF8">
        <w:rPr>
          <w:sz w:val="24"/>
          <w:szCs w:val="24"/>
        </w:rPr>
        <w:t>v.</w:t>
      </w:r>
      <w:r w:rsidRPr="004D6DF8">
        <w:rPr>
          <w:sz w:val="24"/>
          <w:szCs w:val="24"/>
        </w:rPr>
        <w:tab/>
      </w:r>
      <w:r w:rsidRPr="004D6DF8">
        <w:rPr>
          <w:sz w:val="24"/>
          <w:szCs w:val="24"/>
        </w:rPr>
        <w:tab/>
      </w:r>
      <w:r w:rsidRPr="004D6DF8">
        <w:rPr>
          <w:sz w:val="24"/>
          <w:szCs w:val="24"/>
        </w:rPr>
        <w:tab/>
      </w:r>
      <w:r w:rsidRPr="004D6DF8">
        <w:rPr>
          <w:sz w:val="24"/>
          <w:szCs w:val="24"/>
        </w:rPr>
        <w:tab/>
      </w:r>
      <w:r w:rsidRPr="004D6DF8">
        <w:rPr>
          <w:sz w:val="24"/>
          <w:szCs w:val="24"/>
        </w:rPr>
        <w:tab/>
      </w:r>
      <w:r w:rsidRPr="004D6DF8">
        <w:rPr>
          <w:sz w:val="24"/>
          <w:szCs w:val="24"/>
        </w:rPr>
        <w:tab/>
      </w:r>
      <w:r w:rsidRPr="004D6DF8">
        <w:rPr>
          <w:b/>
          <w:sz w:val="24"/>
          <w:szCs w:val="24"/>
        </w:rPr>
        <w:t>:</w:t>
      </w:r>
      <w:r w:rsidRPr="004D6DF8">
        <w:rPr>
          <w:sz w:val="24"/>
          <w:szCs w:val="24"/>
        </w:rPr>
        <w:tab/>
      </w:r>
      <w:r w:rsidRPr="004D6DF8">
        <w:rPr>
          <w:sz w:val="24"/>
          <w:szCs w:val="24"/>
        </w:rPr>
        <w:tab/>
      </w:r>
      <w:r w:rsidR="00143126">
        <w:rPr>
          <w:sz w:val="24"/>
          <w:szCs w:val="24"/>
        </w:rPr>
        <w:t>G-2012-2312597</w:t>
      </w:r>
    </w:p>
    <w:p w:rsidR="004D6DF8" w:rsidRPr="004D6DF8" w:rsidRDefault="004D6DF8" w:rsidP="004D6DF8">
      <w:pPr>
        <w:ind w:left="4320" w:firstLine="720"/>
        <w:jc w:val="both"/>
        <w:rPr>
          <w:sz w:val="24"/>
          <w:szCs w:val="24"/>
        </w:rPr>
      </w:pPr>
      <w:r w:rsidRPr="004D6DF8">
        <w:rPr>
          <w:b/>
          <w:sz w:val="24"/>
          <w:szCs w:val="24"/>
        </w:rPr>
        <w:t>:</w:t>
      </w:r>
      <w:r w:rsidRPr="004D6DF8">
        <w:rPr>
          <w:sz w:val="24"/>
          <w:szCs w:val="24"/>
        </w:rPr>
        <w:tab/>
      </w:r>
      <w:r w:rsidRPr="004D6DF8">
        <w:rPr>
          <w:sz w:val="24"/>
          <w:szCs w:val="24"/>
        </w:rPr>
        <w:tab/>
      </w:r>
      <w:r w:rsidR="00143126">
        <w:rPr>
          <w:sz w:val="24"/>
          <w:szCs w:val="24"/>
        </w:rPr>
        <w:t>C-2012-2315323</w:t>
      </w:r>
    </w:p>
    <w:p w:rsidR="004D6DF8" w:rsidRPr="004D6DF8" w:rsidRDefault="004D6DF8" w:rsidP="004D6DF8">
      <w:pPr>
        <w:jc w:val="both"/>
        <w:rPr>
          <w:b/>
          <w:sz w:val="24"/>
          <w:szCs w:val="24"/>
        </w:rPr>
      </w:pPr>
      <w:r w:rsidRPr="004D6DF8">
        <w:rPr>
          <w:sz w:val="24"/>
          <w:szCs w:val="24"/>
        </w:rPr>
        <w:t>Equitable Gas Company, LLC</w:t>
      </w:r>
      <w:r w:rsidRPr="004D6DF8">
        <w:rPr>
          <w:sz w:val="24"/>
          <w:szCs w:val="24"/>
        </w:rPr>
        <w:tab/>
      </w:r>
      <w:r w:rsidRPr="004D6DF8">
        <w:rPr>
          <w:sz w:val="24"/>
          <w:szCs w:val="24"/>
        </w:rPr>
        <w:tab/>
      </w:r>
      <w:r w:rsidRPr="004D6DF8">
        <w:rPr>
          <w:sz w:val="24"/>
          <w:szCs w:val="24"/>
        </w:rPr>
        <w:tab/>
      </w:r>
      <w:r w:rsidRPr="004D6DF8">
        <w:rPr>
          <w:b/>
          <w:sz w:val="24"/>
          <w:szCs w:val="24"/>
        </w:rPr>
        <w:t>:</w:t>
      </w:r>
    </w:p>
    <w:p w:rsidR="004D6DF8" w:rsidRPr="004D6DF8" w:rsidRDefault="004D6DF8" w:rsidP="004D6DF8">
      <w:pPr>
        <w:jc w:val="both"/>
        <w:rPr>
          <w:sz w:val="24"/>
          <w:szCs w:val="24"/>
        </w:rPr>
      </w:pPr>
    </w:p>
    <w:p w:rsidR="004D6DF8" w:rsidRPr="004D6DF8" w:rsidRDefault="004D6DF8" w:rsidP="004D6DF8">
      <w:pPr>
        <w:jc w:val="both"/>
        <w:rPr>
          <w:sz w:val="24"/>
          <w:szCs w:val="24"/>
        </w:rPr>
      </w:pPr>
    </w:p>
    <w:p w:rsidR="004D6DF8" w:rsidRPr="004D6DF8" w:rsidRDefault="004D6DF8" w:rsidP="004D6DF8">
      <w:pPr>
        <w:jc w:val="center"/>
        <w:rPr>
          <w:b/>
          <w:sz w:val="24"/>
          <w:szCs w:val="24"/>
          <w:u w:val="single"/>
        </w:rPr>
      </w:pPr>
    </w:p>
    <w:p w:rsidR="004D6DF8" w:rsidRPr="004D6DF8" w:rsidRDefault="004D6DF8" w:rsidP="004D6DF8">
      <w:pPr>
        <w:jc w:val="center"/>
        <w:rPr>
          <w:sz w:val="24"/>
          <w:szCs w:val="24"/>
        </w:rPr>
      </w:pPr>
      <w:r w:rsidRPr="004D6DF8">
        <w:rPr>
          <w:b/>
          <w:sz w:val="24"/>
          <w:szCs w:val="24"/>
          <w:u w:val="single"/>
        </w:rPr>
        <w:t>RECOMMENDED DECISION</w:t>
      </w:r>
    </w:p>
    <w:p w:rsidR="004D6DF8" w:rsidRPr="004D6DF8" w:rsidRDefault="004D6DF8" w:rsidP="004D6DF8">
      <w:pPr>
        <w:jc w:val="center"/>
        <w:rPr>
          <w:sz w:val="24"/>
          <w:szCs w:val="24"/>
        </w:rPr>
      </w:pPr>
    </w:p>
    <w:p w:rsidR="004D6DF8" w:rsidRPr="004D6DF8" w:rsidRDefault="004D6DF8" w:rsidP="004D6DF8">
      <w:pPr>
        <w:jc w:val="center"/>
        <w:rPr>
          <w:sz w:val="24"/>
          <w:szCs w:val="24"/>
        </w:rPr>
      </w:pPr>
    </w:p>
    <w:p w:rsidR="004D6DF8" w:rsidRPr="004D6DF8" w:rsidRDefault="004D6DF8" w:rsidP="004D6DF8">
      <w:pPr>
        <w:jc w:val="center"/>
        <w:rPr>
          <w:sz w:val="24"/>
          <w:szCs w:val="24"/>
        </w:rPr>
      </w:pPr>
      <w:r w:rsidRPr="004D6DF8">
        <w:rPr>
          <w:sz w:val="24"/>
          <w:szCs w:val="24"/>
        </w:rPr>
        <w:t>Before</w:t>
      </w:r>
    </w:p>
    <w:p w:rsidR="004D6DF8" w:rsidRPr="004D6DF8" w:rsidRDefault="004D6DF8" w:rsidP="004D6DF8">
      <w:pPr>
        <w:jc w:val="center"/>
        <w:rPr>
          <w:sz w:val="24"/>
          <w:szCs w:val="24"/>
        </w:rPr>
      </w:pPr>
      <w:r w:rsidRPr="004D6DF8">
        <w:rPr>
          <w:sz w:val="24"/>
          <w:szCs w:val="24"/>
        </w:rPr>
        <w:t>Mary D. Long</w:t>
      </w:r>
    </w:p>
    <w:p w:rsidR="004D6DF8" w:rsidRPr="004D6DF8" w:rsidRDefault="004D6DF8" w:rsidP="004D6DF8">
      <w:pPr>
        <w:jc w:val="center"/>
        <w:rPr>
          <w:sz w:val="24"/>
          <w:szCs w:val="24"/>
        </w:rPr>
      </w:pPr>
      <w:r w:rsidRPr="004D6DF8">
        <w:rPr>
          <w:sz w:val="24"/>
          <w:szCs w:val="24"/>
        </w:rPr>
        <w:t>Administrative Law Judge</w:t>
      </w:r>
    </w:p>
    <w:p w:rsidR="004D6DF8" w:rsidRPr="004D6DF8" w:rsidRDefault="004D6DF8" w:rsidP="004D6DF8">
      <w:pPr>
        <w:jc w:val="center"/>
        <w:rPr>
          <w:sz w:val="24"/>
          <w:szCs w:val="24"/>
          <w:u w:val="single"/>
        </w:rPr>
      </w:pPr>
    </w:p>
    <w:p w:rsidR="004D6DF8" w:rsidRPr="004D6DF8" w:rsidRDefault="004D6DF8" w:rsidP="004D6DF8">
      <w:pPr>
        <w:jc w:val="center"/>
        <w:rPr>
          <w:sz w:val="24"/>
          <w:szCs w:val="24"/>
          <w:u w:val="single"/>
        </w:rPr>
      </w:pPr>
    </w:p>
    <w:p w:rsidR="004D6DF8" w:rsidRPr="004D6DF8" w:rsidRDefault="004D6DF8" w:rsidP="004D6DF8">
      <w:pPr>
        <w:pStyle w:val="ListParagraph"/>
        <w:numPr>
          <w:ilvl w:val="0"/>
          <w:numId w:val="9"/>
        </w:numPr>
        <w:ind w:left="0" w:firstLine="0"/>
        <w:jc w:val="center"/>
        <w:rPr>
          <w:sz w:val="24"/>
          <w:szCs w:val="24"/>
          <w:u w:val="single"/>
        </w:rPr>
      </w:pPr>
      <w:r w:rsidRPr="004D6DF8">
        <w:rPr>
          <w:sz w:val="24"/>
          <w:szCs w:val="24"/>
          <w:u w:val="single"/>
        </w:rPr>
        <w:t>SYNOPSIS</w:t>
      </w:r>
    </w:p>
    <w:p w:rsidR="004D6DF8" w:rsidRPr="004D6DF8" w:rsidRDefault="004D6DF8" w:rsidP="00143126">
      <w:pPr>
        <w:spacing w:line="360" w:lineRule="auto"/>
        <w:rPr>
          <w:sz w:val="24"/>
          <w:szCs w:val="24"/>
        </w:rPr>
      </w:pPr>
      <w:r w:rsidRPr="004D6DF8">
        <w:rPr>
          <w:sz w:val="24"/>
          <w:szCs w:val="24"/>
        </w:rPr>
        <w:tab/>
      </w:r>
    </w:p>
    <w:p w:rsidR="004D6DF8" w:rsidRPr="004D6DF8" w:rsidRDefault="004D6DF8" w:rsidP="00143126">
      <w:pPr>
        <w:spacing w:line="360" w:lineRule="auto"/>
        <w:ind w:firstLine="1440"/>
        <w:rPr>
          <w:sz w:val="24"/>
          <w:szCs w:val="24"/>
        </w:rPr>
      </w:pPr>
      <w:r w:rsidRPr="004D6DF8">
        <w:rPr>
          <w:sz w:val="24"/>
          <w:szCs w:val="24"/>
        </w:rPr>
        <w:t>This decision recommends that the Commission reject the request of Equitable Gas Company to acquire the Goodwin and Tombaugh Gathering Systems from its affiliates EQT Gathering and Equitrans and reject a non-unanimous settlement reached concerning the rate treatment of the transaction.  The risks of the proposal are substantial and any possible benefits to ratepayers which may derive from the transaction are not well-defined and are not long</w:t>
      </w:r>
      <w:r w:rsidR="00D55887">
        <w:rPr>
          <w:sz w:val="24"/>
          <w:szCs w:val="24"/>
        </w:rPr>
        <w:t>-</w:t>
      </w:r>
      <w:r w:rsidRPr="004D6DF8">
        <w:rPr>
          <w:sz w:val="24"/>
          <w:szCs w:val="24"/>
        </w:rPr>
        <w:t>term benefits.  The evidence demonstrates that both pipeline systems have significant lost and unaccounted for gas (LUFG) levels.  Neither Equitable nor its affiliates have reasonably evaluated the cause of these LUFG levels and therefore the proposed project will require substantial investment to investigate and remediate.</w:t>
      </w:r>
    </w:p>
    <w:p w:rsidR="004D6DF8" w:rsidRPr="004D6DF8" w:rsidRDefault="004D6DF8" w:rsidP="00143126">
      <w:pPr>
        <w:spacing w:line="360" w:lineRule="auto"/>
        <w:ind w:firstLine="1440"/>
        <w:rPr>
          <w:sz w:val="24"/>
          <w:szCs w:val="24"/>
        </w:rPr>
      </w:pPr>
      <w:r w:rsidRPr="004D6DF8">
        <w:rPr>
          <w:sz w:val="24"/>
          <w:szCs w:val="24"/>
        </w:rPr>
        <w:t xml:space="preserve">  </w:t>
      </w:r>
    </w:p>
    <w:p w:rsidR="004D6DF8" w:rsidRPr="004D6DF8" w:rsidRDefault="004D6DF8" w:rsidP="00143126">
      <w:pPr>
        <w:spacing w:line="360" w:lineRule="auto"/>
        <w:ind w:firstLine="1440"/>
        <w:rPr>
          <w:sz w:val="24"/>
          <w:szCs w:val="24"/>
        </w:rPr>
      </w:pPr>
      <w:r w:rsidRPr="004D6DF8">
        <w:rPr>
          <w:sz w:val="24"/>
          <w:szCs w:val="24"/>
        </w:rPr>
        <w:t>Further, Equitable offers no guarantees to continue service to its 1,602 field line customers which it currently serves on the gathering systems and did not offer sufficient evidence that these customers are currently receiving gas service that is safe and reliable.  Also, any benefits related to the potential availability of “local gas” at some point in the future are speculative.</w:t>
      </w:r>
    </w:p>
    <w:p w:rsidR="004D6DF8" w:rsidRPr="004D6DF8" w:rsidRDefault="004D6DF8" w:rsidP="00143126">
      <w:pPr>
        <w:spacing w:line="360" w:lineRule="auto"/>
        <w:ind w:firstLine="1440"/>
        <w:rPr>
          <w:sz w:val="24"/>
          <w:szCs w:val="24"/>
        </w:rPr>
      </w:pPr>
    </w:p>
    <w:p w:rsidR="004D6DF8" w:rsidRPr="004D6DF8" w:rsidRDefault="004D6DF8" w:rsidP="00143126">
      <w:pPr>
        <w:spacing w:line="360" w:lineRule="auto"/>
        <w:ind w:firstLine="1440"/>
        <w:rPr>
          <w:sz w:val="24"/>
          <w:szCs w:val="24"/>
        </w:rPr>
      </w:pPr>
      <w:r w:rsidRPr="004D6DF8">
        <w:rPr>
          <w:sz w:val="24"/>
          <w:szCs w:val="24"/>
        </w:rPr>
        <w:lastRenderedPageBreak/>
        <w:t xml:space="preserve">Although Equitable, the Office of Consumer Advocate and </w:t>
      </w:r>
      <w:r w:rsidR="00F712F2">
        <w:rPr>
          <w:sz w:val="24"/>
          <w:szCs w:val="24"/>
        </w:rPr>
        <w:t xml:space="preserve">the </w:t>
      </w:r>
      <w:r w:rsidRPr="004D6DF8">
        <w:rPr>
          <w:sz w:val="24"/>
          <w:szCs w:val="24"/>
        </w:rPr>
        <w:t>Office of Small Business Advocate have entered into a settlement agreement (opposed by the Bureau of Investigation and Enforcement) in which Equitable has agreed to not include the acquisition costs in tariff rates, the settlement permits Equitable to invest $2 million in potential ratepayer funds to investigate the cause and scope of LUFG on these pipelines with little analysis of the potential remediation costs or whether that remediation will be cost</w:t>
      </w:r>
      <w:r w:rsidR="00E323AE">
        <w:rPr>
          <w:sz w:val="24"/>
          <w:szCs w:val="24"/>
        </w:rPr>
        <w:t xml:space="preserve"> </w:t>
      </w:r>
      <w:r w:rsidRPr="004D6DF8">
        <w:rPr>
          <w:sz w:val="24"/>
          <w:szCs w:val="24"/>
        </w:rPr>
        <w:t>effective for ratepayers.    Therefore, the proposed acquisition and settlement agreement are not in the public interest and should be rejected.</w:t>
      </w:r>
    </w:p>
    <w:p w:rsidR="004D6DF8" w:rsidRPr="004D6DF8" w:rsidRDefault="004D6DF8" w:rsidP="00143126">
      <w:pPr>
        <w:spacing w:line="360" w:lineRule="auto"/>
        <w:jc w:val="center"/>
        <w:rPr>
          <w:sz w:val="24"/>
          <w:szCs w:val="24"/>
        </w:rPr>
      </w:pPr>
    </w:p>
    <w:p w:rsidR="004D6DF8" w:rsidRPr="004D6DF8" w:rsidRDefault="004D6DF8" w:rsidP="00143126">
      <w:pPr>
        <w:spacing w:line="360" w:lineRule="auto"/>
        <w:jc w:val="center"/>
        <w:rPr>
          <w:sz w:val="24"/>
          <w:szCs w:val="24"/>
          <w:u w:val="single"/>
        </w:rPr>
      </w:pPr>
      <w:r w:rsidRPr="004D6DF8">
        <w:rPr>
          <w:sz w:val="24"/>
          <w:szCs w:val="24"/>
        </w:rPr>
        <w:t xml:space="preserve">II. </w:t>
      </w:r>
      <w:r w:rsidRPr="004D6DF8">
        <w:rPr>
          <w:sz w:val="24"/>
          <w:szCs w:val="24"/>
        </w:rPr>
        <w:tab/>
      </w:r>
      <w:r w:rsidRPr="004D6DF8">
        <w:rPr>
          <w:sz w:val="24"/>
          <w:szCs w:val="24"/>
          <w:u w:val="single"/>
        </w:rPr>
        <w:t>HISTORY OF THE PROCEEDINGS</w:t>
      </w:r>
    </w:p>
    <w:p w:rsidR="004D6DF8" w:rsidRPr="004D6DF8" w:rsidRDefault="004D6DF8" w:rsidP="00143126">
      <w:pPr>
        <w:spacing w:line="360" w:lineRule="auto"/>
        <w:rPr>
          <w:sz w:val="24"/>
          <w:szCs w:val="24"/>
        </w:rPr>
      </w:pPr>
    </w:p>
    <w:p w:rsidR="004D6DF8" w:rsidRPr="004D6DF8" w:rsidRDefault="004D6DF8" w:rsidP="00143126">
      <w:pPr>
        <w:spacing w:line="360" w:lineRule="auto"/>
        <w:ind w:firstLine="1440"/>
        <w:rPr>
          <w:sz w:val="24"/>
          <w:szCs w:val="24"/>
        </w:rPr>
      </w:pPr>
      <w:r w:rsidRPr="004D6DF8">
        <w:rPr>
          <w:sz w:val="24"/>
          <w:szCs w:val="24"/>
        </w:rPr>
        <w:t xml:space="preserve">On June 29, 2012, Equitable Gas Company, LLC (Equitable or Company) filed an Application for Affiliated Interest Approval and Such Other Approvals, </w:t>
      </w:r>
      <w:r w:rsidR="00B35C94">
        <w:rPr>
          <w:sz w:val="24"/>
          <w:szCs w:val="24"/>
        </w:rPr>
        <w:t>I</w:t>
      </w:r>
      <w:r w:rsidRPr="004D6DF8">
        <w:rPr>
          <w:sz w:val="24"/>
          <w:szCs w:val="24"/>
        </w:rPr>
        <w:t xml:space="preserve">f Any, As May </w:t>
      </w:r>
      <w:r w:rsidR="005D30E8">
        <w:rPr>
          <w:sz w:val="24"/>
          <w:szCs w:val="24"/>
        </w:rPr>
        <w:t>B</w:t>
      </w:r>
      <w:r w:rsidRPr="004D6DF8">
        <w:rPr>
          <w:sz w:val="24"/>
          <w:szCs w:val="24"/>
        </w:rPr>
        <w:t xml:space="preserve">e Necessary (Application) </w:t>
      </w:r>
      <w:r w:rsidR="005D30E8">
        <w:rPr>
          <w:sz w:val="24"/>
          <w:szCs w:val="24"/>
        </w:rPr>
        <w:t>In Regard to</w:t>
      </w:r>
      <w:r w:rsidRPr="004D6DF8">
        <w:rPr>
          <w:sz w:val="24"/>
          <w:szCs w:val="24"/>
        </w:rPr>
        <w:t xml:space="preserve"> the </w:t>
      </w:r>
      <w:r w:rsidR="005D30E8">
        <w:rPr>
          <w:sz w:val="24"/>
          <w:szCs w:val="24"/>
        </w:rPr>
        <w:t>A</w:t>
      </w:r>
      <w:r w:rsidRPr="004D6DF8">
        <w:rPr>
          <w:sz w:val="24"/>
          <w:szCs w:val="24"/>
        </w:rPr>
        <w:t xml:space="preserve">cquisition of the Goodwin Gathering System from EQT Gathering, LLC (EQT) and </w:t>
      </w:r>
      <w:r w:rsidR="00B35C94">
        <w:rPr>
          <w:sz w:val="24"/>
          <w:szCs w:val="24"/>
        </w:rPr>
        <w:t xml:space="preserve">of </w:t>
      </w:r>
      <w:r w:rsidRPr="004D6DF8">
        <w:rPr>
          <w:sz w:val="24"/>
          <w:szCs w:val="24"/>
        </w:rPr>
        <w:t xml:space="preserve">the Tombaugh Gathering System from </w:t>
      </w:r>
      <w:proofErr w:type="spellStart"/>
      <w:r w:rsidRPr="004D6DF8">
        <w:rPr>
          <w:sz w:val="24"/>
          <w:szCs w:val="24"/>
        </w:rPr>
        <w:t>Equitrans</w:t>
      </w:r>
      <w:proofErr w:type="spellEnd"/>
      <w:r w:rsidRPr="004D6DF8">
        <w:rPr>
          <w:sz w:val="24"/>
          <w:szCs w:val="24"/>
        </w:rPr>
        <w:t>, L</w:t>
      </w:r>
      <w:r w:rsidR="00B35C94">
        <w:rPr>
          <w:sz w:val="24"/>
          <w:szCs w:val="24"/>
        </w:rPr>
        <w:t>.</w:t>
      </w:r>
      <w:r w:rsidRPr="004D6DF8">
        <w:rPr>
          <w:sz w:val="24"/>
          <w:szCs w:val="24"/>
        </w:rPr>
        <w:t>P</w:t>
      </w:r>
      <w:r w:rsidR="00B35C94">
        <w:rPr>
          <w:sz w:val="24"/>
          <w:szCs w:val="24"/>
        </w:rPr>
        <w:t>.</w:t>
      </w:r>
      <w:r w:rsidRPr="004D6DF8">
        <w:rPr>
          <w:sz w:val="24"/>
          <w:szCs w:val="24"/>
        </w:rPr>
        <w:t xml:space="preserve"> (</w:t>
      </w:r>
      <w:proofErr w:type="spellStart"/>
      <w:r w:rsidRPr="004D6DF8">
        <w:rPr>
          <w:sz w:val="24"/>
          <w:szCs w:val="24"/>
        </w:rPr>
        <w:t>Equitrans</w:t>
      </w:r>
      <w:proofErr w:type="spellEnd"/>
      <w:r w:rsidRPr="004D6DF8">
        <w:rPr>
          <w:sz w:val="24"/>
          <w:szCs w:val="24"/>
        </w:rPr>
        <w:t>).  Equitable also filed Supplement No. 86 to Tariff Gas – Pa. P.U.C. No. 22 (Tariff or Rider E), to become effective August 28, 2012, voluntarily postponed until August 31, 2012.  By order dated August 30, 2012, the Commission suspended Supplement No. 86 to Tariff Gas – Pa. P.U.C. No. 22 until February 28, 2013.  Equitable has filed an additional supplement which voluntarily extends the suspension of the tariff to April 4, 2013.</w:t>
      </w:r>
    </w:p>
    <w:p w:rsidR="004D6DF8" w:rsidRPr="004D6DF8" w:rsidRDefault="004D6DF8" w:rsidP="00143126">
      <w:pPr>
        <w:spacing w:line="360" w:lineRule="auto"/>
        <w:ind w:firstLine="1440"/>
        <w:rPr>
          <w:sz w:val="24"/>
          <w:szCs w:val="24"/>
        </w:rPr>
      </w:pPr>
    </w:p>
    <w:p w:rsidR="004D6DF8" w:rsidRPr="004D6DF8" w:rsidRDefault="004D6DF8" w:rsidP="00143126">
      <w:pPr>
        <w:spacing w:line="360" w:lineRule="auto"/>
        <w:ind w:firstLine="1440"/>
        <w:rPr>
          <w:sz w:val="24"/>
          <w:szCs w:val="24"/>
        </w:rPr>
      </w:pPr>
      <w:r w:rsidRPr="004D6DF8">
        <w:rPr>
          <w:sz w:val="24"/>
          <w:szCs w:val="24"/>
        </w:rPr>
        <w:t xml:space="preserve">A prehearing conference was held on September 12, 2012.  The </w:t>
      </w:r>
      <w:r w:rsidR="0026373C">
        <w:rPr>
          <w:sz w:val="24"/>
          <w:szCs w:val="24"/>
        </w:rPr>
        <w:t>A</w:t>
      </w:r>
      <w:r w:rsidRPr="004D6DF8">
        <w:rPr>
          <w:sz w:val="24"/>
          <w:szCs w:val="24"/>
        </w:rPr>
        <w:t xml:space="preserve">pplication and rate filing along with a complaint filed by the Office of Consumer Advocate (OCA) were consolidated.  OCA, </w:t>
      </w:r>
      <w:r w:rsidR="00F712F2">
        <w:rPr>
          <w:sz w:val="24"/>
          <w:szCs w:val="24"/>
        </w:rPr>
        <w:t xml:space="preserve">the </w:t>
      </w:r>
      <w:r w:rsidRPr="004D6DF8">
        <w:rPr>
          <w:sz w:val="24"/>
          <w:szCs w:val="24"/>
        </w:rPr>
        <w:t>Office of Small Business Advocate (OSBA) and the Commission’s Bureau of Investigation and Enforcement (BIE) also appeared.  The Pennsylvania Independent Oil and Gas Association (PIOGA) filed a petition to intervene which was granted.  No individual complaints were filed and no public input hearings were scheduled or held.</w:t>
      </w:r>
    </w:p>
    <w:p w:rsidR="004D6DF8" w:rsidRPr="004D6DF8" w:rsidRDefault="004D6DF8" w:rsidP="00143126">
      <w:pPr>
        <w:spacing w:line="360" w:lineRule="auto"/>
        <w:ind w:firstLine="1440"/>
        <w:rPr>
          <w:sz w:val="24"/>
          <w:szCs w:val="24"/>
        </w:rPr>
      </w:pPr>
    </w:p>
    <w:p w:rsidR="004D6DF8" w:rsidRPr="004D6DF8" w:rsidRDefault="004D6DF8" w:rsidP="00143126">
      <w:pPr>
        <w:spacing w:line="360" w:lineRule="auto"/>
        <w:ind w:firstLine="1440"/>
        <w:rPr>
          <w:sz w:val="24"/>
          <w:szCs w:val="24"/>
        </w:rPr>
      </w:pPr>
      <w:r w:rsidRPr="004D6DF8">
        <w:rPr>
          <w:sz w:val="24"/>
          <w:szCs w:val="24"/>
        </w:rPr>
        <w:t xml:space="preserve">The parties participated in discovery and filed written testimony in support of their positions.  Evidentiary hearings were held in Harrisburg on November 15, 2012.  Equitable was represented by Charles Thomas, Esquire, Thomas Niesen, Esquire and David Gray, Esquire.  </w:t>
      </w:r>
      <w:r w:rsidRPr="004D6DF8">
        <w:rPr>
          <w:sz w:val="24"/>
          <w:szCs w:val="24"/>
        </w:rPr>
        <w:lastRenderedPageBreak/>
        <w:t xml:space="preserve">PIOGA, through counsel, Kevin Moody, Esquire, reported that they had reached an accord with Equitable and petitioned to withdraw their intervention.  The request was granted.  OCA, represented by Darryl Lawrence, Esquire, and OSBA, represented by Sharon Webb, Esquire, also reported that they had reached an accord with Equitable on the rate issues raised by the Rider E.  </w:t>
      </w:r>
    </w:p>
    <w:p w:rsidR="004D6DF8" w:rsidRPr="004D6DF8" w:rsidRDefault="004D6DF8" w:rsidP="00143126">
      <w:pPr>
        <w:spacing w:line="360" w:lineRule="auto"/>
        <w:ind w:firstLine="1440"/>
        <w:rPr>
          <w:sz w:val="24"/>
          <w:szCs w:val="24"/>
        </w:rPr>
      </w:pPr>
    </w:p>
    <w:p w:rsidR="004D6DF8" w:rsidRPr="004D6DF8" w:rsidRDefault="004D6DF8" w:rsidP="00143126">
      <w:pPr>
        <w:spacing w:line="360" w:lineRule="auto"/>
        <w:ind w:firstLine="1440"/>
        <w:rPr>
          <w:sz w:val="24"/>
          <w:szCs w:val="24"/>
        </w:rPr>
      </w:pPr>
      <w:r w:rsidRPr="004D6DF8">
        <w:rPr>
          <w:sz w:val="24"/>
          <w:szCs w:val="24"/>
        </w:rPr>
        <w:t xml:space="preserve">BIE, represented by Carrie Wright, Esquire and Johnnie Simms, Esquire, opposed the acquisition of the Goodwin and Tombaugh lines.  BIE did not join the settlement reached with </w:t>
      </w:r>
      <w:r w:rsidR="003A7883">
        <w:rPr>
          <w:sz w:val="24"/>
          <w:szCs w:val="24"/>
        </w:rPr>
        <w:t xml:space="preserve">OCA and </w:t>
      </w:r>
      <w:r w:rsidRPr="004D6DF8">
        <w:rPr>
          <w:sz w:val="24"/>
          <w:szCs w:val="24"/>
        </w:rPr>
        <w:t xml:space="preserve">OSBA. </w:t>
      </w:r>
    </w:p>
    <w:p w:rsidR="004D6DF8" w:rsidRPr="004D6DF8" w:rsidRDefault="004D6DF8" w:rsidP="00143126">
      <w:pPr>
        <w:spacing w:line="360" w:lineRule="auto"/>
        <w:ind w:firstLine="1440"/>
        <w:rPr>
          <w:sz w:val="24"/>
          <w:szCs w:val="24"/>
        </w:rPr>
      </w:pPr>
      <w:r w:rsidRPr="004D6DF8">
        <w:rPr>
          <w:sz w:val="24"/>
          <w:szCs w:val="24"/>
        </w:rPr>
        <w:t xml:space="preserve"> </w:t>
      </w:r>
    </w:p>
    <w:p w:rsidR="004D6DF8" w:rsidRPr="004D6DF8" w:rsidRDefault="004D6DF8" w:rsidP="00143126">
      <w:pPr>
        <w:spacing w:line="360" w:lineRule="auto"/>
        <w:ind w:firstLine="1440"/>
        <w:rPr>
          <w:sz w:val="24"/>
          <w:szCs w:val="24"/>
        </w:rPr>
      </w:pPr>
      <w:r w:rsidRPr="004D6DF8">
        <w:rPr>
          <w:sz w:val="24"/>
          <w:szCs w:val="24"/>
        </w:rPr>
        <w:t>In addition to their written statements, which were admitted into the record, Equitable witnesses Thomas P. Wiggers, John M. Quinn, Robert J. Cooper and Bruce Grabiec testified.  The written statements of the respective witnesses of OCA and OSBA, Thomas S. Catlin and Brian Kalcic, were admitted into evidence without cross-examination or objection.  BIE witnesses Ethan Cline and Ralph Graeser also testified.  Their written testimony, along with two cross-examination exhibits,</w:t>
      </w:r>
      <w:r w:rsidRPr="004D6DF8">
        <w:rPr>
          <w:rStyle w:val="FootnoteReference"/>
          <w:sz w:val="24"/>
          <w:szCs w:val="24"/>
        </w:rPr>
        <w:footnoteReference w:id="1"/>
      </w:r>
      <w:r w:rsidRPr="004D6DF8">
        <w:rPr>
          <w:sz w:val="24"/>
          <w:szCs w:val="24"/>
        </w:rPr>
        <w:t xml:space="preserve"> were also admitted into the record.  A stipulation of BIE, OCA and OSBA was admitted as ALJ Ex. 1.  </w:t>
      </w:r>
    </w:p>
    <w:p w:rsidR="004D6DF8" w:rsidRPr="004D6DF8" w:rsidRDefault="004D6DF8" w:rsidP="00143126">
      <w:pPr>
        <w:spacing w:line="360" w:lineRule="auto"/>
        <w:ind w:firstLine="1440"/>
        <w:rPr>
          <w:sz w:val="24"/>
          <w:szCs w:val="24"/>
        </w:rPr>
      </w:pPr>
    </w:p>
    <w:p w:rsidR="004D6DF8" w:rsidRPr="004D6DF8" w:rsidRDefault="004D6DF8" w:rsidP="00143126">
      <w:pPr>
        <w:spacing w:line="360" w:lineRule="auto"/>
        <w:ind w:firstLine="1440"/>
        <w:rPr>
          <w:sz w:val="24"/>
          <w:szCs w:val="24"/>
        </w:rPr>
      </w:pPr>
      <w:r w:rsidRPr="004D6DF8">
        <w:rPr>
          <w:sz w:val="24"/>
          <w:szCs w:val="24"/>
        </w:rPr>
        <w:t>The Settling Parties</w:t>
      </w:r>
      <w:r w:rsidRPr="004D6DF8">
        <w:rPr>
          <w:rStyle w:val="FootnoteReference"/>
          <w:sz w:val="24"/>
          <w:szCs w:val="24"/>
        </w:rPr>
        <w:footnoteReference w:id="2"/>
      </w:r>
      <w:r w:rsidRPr="004D6DF8">
        <w:rPr>
          <w:sz w:val="24"/>
          <w:szCs w:val="24"/>
        </w:rPr>
        <w:t xml:space="preserve"> filed a proposed settlement of the Rider E and statements in support.  Equitable and BIE filed main briefs and reply briefs</w:t>
      </w:r>
      <w:r w:rsidRPr="004D6DF8">
        <w:rPr>
          <w:rStyle w:val="FootnoteReference"/>
          <w:sz w:val="24"/>
          <w:szCs w:val="24"/>
        </w:rPr>
        <w:footnoteReference w:id="3"/>
      </w:r>
      <w:r w:rsidRPr="004D6DF8">
        <w:rPr>
          <w:sz w:val="24"/>
          <w:szCs w:val="24"/>
        </w:rPr>
        <w:t xml:space="preserve"> on the acquisition of the Goodwin and Tombaugh lines.  The last briefs were filed on January 7, 2013 and by order dated January 8, 2013, the record was closed.  After full consideration of these materials, I make the following:</w:t>
      </w:r>
    </w:p>
    <w:p w:rsidR="004D6DF8" w:rsidRPr="004D6DF8" w:rsidRDefault="004D6DF8" w:rsidP="004D6DF8">
      <w:pPr>
        <w:rPr>
          <w:sz w:val="24"/>
          <w:szCs w:val="24"/>
        </w:rPr>
      </w:pPr>
    </w:p>
    <w:p w:rsidR="004D6DF8" w:rsidRPr="004D6DF8" w:rsidRDefault="004D6DF8" w:rsidP="004D6DF8">
      <w:pPr>
        <w:rPr>
          <w:sz w:val="24"/>
          <w:szCs w:val="24"/>
          <w:u w:val="single"/>
        </w:rPr>
      </w:pPr>
      <w:r w:rsidRPr="004D6DF8">
        <w:rPr>
          <w:sz w:val="24"/>
          <w:szCs w:val="24"/>
          <w:u w:val="single"/>
        </w:rPr>
        <w:br w:type="page"/>
      </w:r>
    </w:p>
    <w:p w:rsidR="004D6DF8" w:rsidRPr="004D6DF8" w:rsidRDefault="004D6DF8" w:rsidP="00143126">
      <w:pPr>
        <w:spacing w:line="360" w:lineRule="auto"/>
        <w:jc w:val="center"/>
        <w:rPr>
          <w:sz w:val="24"/>
          <w:szCs w:val="24"/>
        </w:rPr>
      </w:pPr>
      <w:r w:rsidRPr="004D6DF8">
        <w:rPr>
          <w:sz w:val="24"/>
          <w:szCs w:val="24"/>
        </w:rPr>
        <w:lastRenderedPageBreak/>
        <w:t xml:space="preserve">III. </w:t>
      </w:r>
      <w:r w:rsidRPr="004D6DF8">
        <w:rPr>
          <w:sz w:val="24"/>
          <w:szCs w:val="24"/>
        </w:rPr>
        <w:tab/>
      </w:r>
      <w:r w:rsidRPr="004D6DF8">
        <w:rPr>
          <w:sz w:val="24"/>
          <w:szCs w:val="24"/>
          <w:u w:val="single"/>
        </w:rPr>
        <w:t>FINDINGS OF FACT</w:t>
      </w:r>
    </w:p>
    <w:p w:rsidR="004D6DF8" w:rsidRPr="004D6DF8" w:rsidRDefault="004D6DF8" w:rsidP="00143126">
      <w:pPr>
        <w:spacing w:line="360" w:lineRule="auto"/>
        <w:jc w:val="center"/>
        <w:rPr>
          <w:sz w:val="24"/>
          <w:szCs w:val="24"/>
          <w:u w:val="single"/>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Equitable is a regulated local distribution company with its principal offices at 225 North Shore Drive, Pittsburgh, PA 15212.  (Equitable St. No. 2 at 4)</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As of March 31, 2012, Equitable served approximately 260,600 residential, commercial and industrial customers in southwestern Pennsylvania, including Greene and Washington Counties.  (Equitable St. No. 2 at 5)</w:t>
      </w:r>
    </w:p>
    <w:p w:rsidR="004D6DF8" w:rsidRPr="004D6DF8" w:rsidRDefault="004D6DF8" w:rsidP="00143126">
      <w:pPr>
        <w:pStyle w:val="ListParagraph"/>
        <w:spacing w:line="360" w:lineRule="auto"/>
        <w:rPr>
          <w:sz w:val="24"/>
          <w:szCs w:val="24"/>
        </w:rPr>
      </w:pPr>
    </w:p>
    <w:p w:rsidR="004D6DF8" w:rsidRPr="004D6DF8" w:rsidRDefault="004D6DF8" w:rsidP="00143126">
      <w:pPr>
        <w:spacing w:line="360" w:lineRule="auto"/>
        <w:ind w:firstLine="1440"/>
        <w:rPr>
          <w:b/>
          <w:sz w:val="24"/>
          <w:szCs w:val="24"/>
          <w:u w:val="single"/>
        </w:rPr>
      </w:pPr>
      <w:r w:rsidRPr="004D6DF8">
        <w:rPr>
          <w:b/>
          <w:sz w:val="24"/>
          <w:szCs w:val="24"/>
          <w:u w:val="single"/>
        </w:rPr>
        <w:t>The Affiliated Interest Agreement</w:t>
      </w:r>
    </w:p>
    <w:p w:rsidR="004D6DF8" w:rsidRPr="004D6DF8" w:rsidRDefault="004D6DF8" w:rsidP="00143126">
      <w:pPr>
        <w:spacing w:line="360" w:lineRule="auto"/>
        <w:ind w:firstLine="1440"/>
        <w:rPr>
          <w:b/>
          <w:sz w:val="24"/>
          <w:szCs w:val="24"/>
          <w:u w:val="single"/>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Equitable wishes to acquire the Goodwin Gathering System and the Tombaugh Gathering System (collectively, Gathering Systems) which are owned by Equitable’s affiliates, EQT Gathering (EQT) and Equitrans, respectively. </w:t>
      </w:r>
      <w:r w:rsidR="007F7078">
        <w:rPr>
          <w:sz w:val="24"/>
          <w:szCs w:val="24"/>
        </w:rPr>
        <w:t xml:space="preserve"> </w:t>
      </w:r>
      <w:r w:rsidRPr="004D6DF8">
        <w:rPr>
          <w:sz w:val="24"/>
          <w:szCs w:val="24"/>
        </w:rPr>
        <w:t>They are the former gathering systems of Carnegie Natural Gas Company.  (Equitable St. No. 1 at 3; N.T. 139)</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 w:val="left" w:pos="2160"/>
        </w:tabs>
        <w:spacing w:line="360" w:lineRule="auto"/>
        <w:ind w:left="0" w:firstLine="1440"/>
        <w:rPr>
          <w:sz w:val="24"/>
          <w:szCs w:val="24"/>
        </w:rPr>
      </w:pPr>
      <w:r w:rsidRPr="004D6DF8">
        <w:rPr>
          <w:sz w:val="24"/>
          <w:szCs w:val="24"/>
        </w:rPr>
        <w:t xml:space="preserve"> Equitable provides distribution service to 1,602 customers (Field Line Customers) who are served off of field lines from the Goodwin Gathering System and the Tombaugh Gathering System.</w:t>
      </w:r>
      <w:r w:rsidR="007F7078">
        <w:rPr>
          <w:sz w:val="24"/>
          <w:szCs w:val="24"/>
        </w:rPr>
        <w:t xml:space="preserve"> </w:t>
      </w:r>
      <w:r w:rsidRPr="004D6DF8">
        <w:rPr>
          <w:sz w:val="24"/>
          <w:szCs w:val="24"/>
        </w:rPr>
        <w:t xml:space="preserve"> (Equitable St. No. 1 at 4)</w:t>
      </w:r>
    </w:p>
    <w:p w:rsidR="004D6DF8" w:rsidRPr="004D6DF8" w:rsidRDefault="004D6DF8" w:rsidP="00143126">
      <w:pPr>
        <w:tabs>
          <w:tab w:val="left" w:pos="2160"/>
        </w:tabs>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The Goodwin system, located in Green</w:t>
      </w:r>
      <w:r w:rsidR="007F7078">
        <w:rPr>
          <w:sz w:val="24"/>
          <w:szCs w:val="24"/>
        </w:rPr>
        <w:t>e</w:t>
      </w:r>
      <w:r w:rsidRPr="004D6DF8">
        <w:rPr>
          <w:sz w:val="24"/>
          <w:szCs w:val="24"/>
        </w:rPr>
        <w:t xml:space="preserve"> and Washington Counties,  consists of approximately 263 miles of pipeline varying in size from two inches to 20 inches in diameter and delivers gas to approximately 746 current Equitable field line customers. </w:t>
      </w:r>
      <w:r w:rsidR="007F7078">
        <w:rPr>
          <w:sz w:val="24"/>
          <w:szCs w:val="24"/>
        </w:rPr>
        <w:t xml:space="preserve"> </w:t>
      </w:r>
      <w:r w:rsidRPr="004D6DF8">
        <w:rPr>
          <w:sz w:val="24"/>
          <w:szCs w:val="24"/>
        </w:rPr>
        <w:t>The proposed contract of sale also includes 89 production interconnect receipt meters, all other attendant meters and all pressure control devices and other appurtenant equipment, as well as associated easements, and rights-of-way which EQT Gathering possesses.  (Equitable St. No. 1 at 4; Equitable Ex. I)</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spacing w:line="360" w:lineRule="auto"/>
        <w:ind w:left="0" w:firstLine="1440"/>
        <w:rPr>
          <w:sz w:val="24"/>
          <w:szCs w:val="24"/>
        </w:rPr>
      </w:pPr>
      <w:r w:rsidRPr="004D6DF8">
        <w:rPr>
          <w:sz w:val="24"/>
          <w:szCs w:val="24"/>
        </w:rPr>
        <w:t xml:space="preserve"> The Tombaugh system facilities include approximately 116 miles of natural gas pipeline ranging in size from two inches to 16 inches and</w:t>
      </w:r>
      <w:r w:rsidR="0026373C">
        <w:rPr>
          <w:sz w:val="24"/>
          <w:szCs w:val="24"/>
        </w:rPr>
        <w:t xml:space="preserve"> are</w:t>
      </w:r>
      <w:r w:rsidRPr="004D6DF8">
        <w:rPr>
          <w:sz w:val="24"/>
          <w:szCs w:val="24"/>
        </w:rPr>
        <w:t xml:space="preserve"> located in Greene and Washington Counties.  The Tombaugh system currently serves 856 field line customers of </w:t>
      </w:r>
      <w:r w:rsidRPr="004D6DF8">
        <w:rPr>
          <w:sz w:val="24"/>
          <w:szCs w:val="24"/>
        </w:rPr>
        <w:lastRenderedPageBreak/>
        <w:t>Equitable.  The proposed contract of sale includes 95 production interconnect receipt meters, all other attendant meters and all pressure control devices and other appurtenant equipment, as well as associated easements, and rights-of-way which Equitrans possesses.  (Equitable St. No. 1 at 4; Equitable Ex. I)</w:t>
      </w:r>
    </w:p>
    <w:p w:rsidR="004D6DF8" w:rsidRPr="004D6DF8" w:rsidRDefault="004D6DF8" w:rsidP="00143126">
      <w:pPr>
        <w:pStyle w:val="ListParagraph"/>
        <w:spacing w:line="360" w:lineRule="auto"/>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Both Gathering Systems are located in primarily rural areas.  (Equitable St. 4-R at 2)</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The original and primary function of the Gathering Systems is to aggregate and transport natural gas to other markets.  (Equitable St. No. 1 at 4)</w:t>
      </w:r>
    </w:p>
    <w:p w:rsidR="004D6DF8" w:rsidRPr="004D6DF8" w:rsidRDefault="004D6DF8" w:rsidP="00143126">
      <w:pPr>
        <w:pStyle w:val="ListParagraph"/>
        <w:spacing w:line="360" w:lineRule="auto"/>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However, at this time, neither Equitrans nor EQT are interested in continuing to make investment in the Gathering Systems.  The pipeline used in the Systems is not capable of handling the pressure or volume of Marcellus gas that Equitrans and EQT wish to develop.  Although there are many wells</w:t>
      </w:r>
      <w:r w:rsidRPr="004D6DF8">
        <w:rPr>
          <w:rStyle w:val="FootnoteReference"/>
          <w:sz w:val="24"/>
          <w:szCs w:val="24"/>
        </w:rPr>
        <w:footnoteReference w:id="4"/>
      </w:r>
      <w:r w:rsidRPr="004D6DF8">
        <w:rPr>
          <w:sz w:val="24"/>
          <w:szCs w:val="24"/>
        </w:rPr>
        <w:t xml:space="preserve"> operating on the Gathering Systems, they are mature, meaning they are well out in their life cycle and on a declining curve of gas production.  (Cooper</w:t>
      </w:r>
      <w:r w:rsidR="007F7078">
        <w:rPr>
          <w:sz w:val="24"/>
          <w:szCs w:val="24"/>
        </w:rPr>
        <w:t>,</w:t>
      </w:r>
      <w:r w:rsidRPr="004D6DF8">
        <w:rPr>
          <w:rStyle w:val="FootnoteReference"/>
          <w:sz w:val="24"/>
          <w:szCs w:val="24"/>
        </w:rPr>
        <w:footnoteReference w:id="5"/>
      </w:r>
      <w:r w:rsidRPr="004D6DF8">
        <w:rPr>
          <w:sz w:val="24"/>
          <w:szCs w:val="24"/>
        </w:rPr>
        <w:t xml:space="preserve"> N.T. 75-76; Catlin, OCA St. 1 at 6)</w:t>
      </w:r>
    </w:p>
    <w:p w:rsidR="004D6DF8" w:rsidRPr="004D6DF8" w:rsidRDefault="004D6DF8" w:rsidP="00143126">
      <w:pPr>
        <w:pStyle w:val="ListParagraph"/>
        <w:spacing w:line="360" w:lineRule="auto"/>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Therefore Equitrans and EQT wish to abandon the Gathering Systems.  (Equitable St. 1 at 4)</w:t>
      </w:r>
    </w:p>
    <w:p w:rsidR="004D6DF8" w:rsidRPr="004D6DF8" w:rsidRDefault="004D6DF8" w:rsidP="00143126">
      <w:pPr>
        <w:spacing w:line="360" w:lineRule="auto"/>
        <w:ind w:left="1440"/>
        <w:rPr>
          <w:sz w:val="24"/>
          <w:szCs w:val="24"/>
        </w:rPr>
      </w:pPr>
      <w:r w:rsidRPr="004D6DF8">
        <w:rPr>
          <w:sz w:val="24"/>
          <w:szCs w:val="24"/>
        </w:rPr>
        <w:t xml:space="preserve"> </w:t>
      </w:r>
    </w:p>
    <w:p w:rsid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Equitable maintains that the proposed acquisition is being pursued primarily for the purpose of maintaining safe and reliable natural gas service to the Field Line Customers that Equitable currently serves from the Gathering Systems.  (Equitable Exhibit I, Attachment A; Equitable St. 1 at 4)</w:t>
      </w:r>
    </w:p>
    <w:p w:rsidR="00143126" w:rsidRDefault="00143126" w:rsidP="00143126">
      <w:pPr>
        <w:pStyle w:val="ListParagraph"/>
        <w:rPr>
          <w:sz w:val="24"/>
          <w:szCs w:val="24"/>
        </w:rPr>
      </w:pPr>
    </w:p>
    <w:p w:rsidR="00143126" w:rsidRPr="004D6DF8" w:rsidRDefault="00951D28" w:rsidP="00143126">
      <w:pPr>
        <w:tabs>
          <w:tab w:val="left" w:pos="1440"/>
        </w:tabs>
        <w:spacing w:line="360" w:lineRule="auto"/>
        <w:ind w:left="1440"/>
        <w:rPr>
          <w:sz w:val="24"/>
          <w:szCs w:val="24"/>
        </w:rPr>
      </w:pPr>
      <w:r>
        <w:rPr>
          <w:sz w:val="24"/>
          <w:szCs w:val="24"/>
        </w:rPr>
        <w:tab/>
      </w:r>
    </w:p>
    <w:p w:rsidR="004D6DF8" w:rsidRPr="004D6DF8" w:rsidRDefault="004D6DF8" w:rsidP="007F7078">
      <w:pPr>
        <w:numPr>
          <w:ilvl w:val="0"/>
          <w:numId w:val="4"/>
        </w:numPr>
        <w:tabs>
          <w:tab w:val="left" w:pos="1440"/>
        </w:tabs>
        <w:spacing w:line="360" w:lineRule="auto"/>
        <w:ind w:left="0" w:firstLine="1440"/>
        <w:rPr>
          <w:sz w:val="24"/>
          <w:szCs w:val="24"/>
          <w:u w:val="single"/>
        </w:rPr>
      </w:pPr>
      <w:r w:rsidRPr="004D6DF8">
        <w:rPr>
          <w:sz w:val="24"/>
          <w:szCs w:val="24"/>
        </w:rPr>
        <w:lastRenderedPageBreak/>
        <w:t xml:space="preserve"> In addition to preserving service to the 1,602 field line customers, Equitable’s expectation is that the acquisition, ultimately, will enhance access to additional sources of Pennsylvania-produced gas for markets on and off the Gathering Systems, thereby, potentially lowering gas costs for all customers on the Equitable system.  (Equitable St. No. 1 at 5)</w:t>
      </w:r>
    </w:p>
    <w:p w:rsidR="004D6DF8" w:rsidRPr="004D6DF8" w:rsidRDefault="004D6DF8" w:rsidP="007F7078">
      <w:pPr>
        <w:spacing w:line="360" w:lineRule="auto"/>
        <w:ind w:left="1440"/>
        <w:rPr>
          <w:sz w:val="24"/>
          <w:szCs w:val="24"/>
          <w:u w:val="single"/>
        </w:rPr>
      </w:pPr>
    </w:p>
    <w:p w:rsidR="004D6DF8" w:rsidRPr="004D6DF8" w:rsidRDefault="004D6DF8" w:rsidP="007F7078">
      <w:pPr>
        <w:spacing w:line="360" w:lineRule="auto"/>
        <w:ind w:firstLine="1440"/>
        <w:rPr>
          <w:b/>
          <w:sz w:val="24"/>
          <w:szCs w:val="24"/>
          <w:u w:val="single"/>
        </w:rPr>
      </w:pPr>
      <w:r w:rsidRPr="004D6DF8">
        <w:rPr>
          <w:b/>
          <w:sz w:val="24"/>
          <w:szCs w:val="24"/>
          <w:u w:val="single"/>
        </w:rPr>
        <w:t>Rider E</w:t>
      </w:r>
    </w:p>
    <w:p w:rsidR="004D6DF8" w:rsidRPr="004D6DF8" w:rsidRDefault="004D6DF8" w:rsidP="00143126">
      <w:pPr>
        <w:spacing w:line="360" w:lineRule="auto"/>
        <w:ind w:firstLine="1440"/>
        <w:rPr>
          <w:b/>
          <w:sz w:val="24"/>
          <w:szCs w:val="24"/>
          <w:u w:val="single"/>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Equitable presented its tariff Rider E in conjunction with its proposed acquisition of the Gathering Systems.  (Equitable St. No. 2 at 5)  </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Equitable designed Rider E to provide an alternative regulatory solution to projects that would provide, or continue to provide customer savings through increased reliance on Pennsylvania-produced Appalachian gas.</w:t>
      </w:r>
      <w:r w:rsidRPr="004D6DF8">
        <w:rPr>
          <w:sz w:val="24"/>
          <w:szCs w:val="24"/>
          <w:vertAlign w:val="superscript"/>
        </w:rPr>
        <w:t xml:space="preserve"> </w:t>
      </w:r>
      <w:r w:rsidRPr="004D6DF8">
        <w:rPr>
          <w:sz w:val="24"/>
          <w:szCs w:val="24"/>
        </w:rPr>
        <w:t xml:space="preserve"> (Equitable St. No. 2 at 5)</w:t>
      </w:r>
      <w:r w:rsidRPr="004D6DF8">
        <w:rPr>
          <w:sz w:val="24"/>
          <w:szCs w:val="24"/>
          <w:vertAlign w:val="superscript"/>
        </w:rPr>
        <w:footnoteReference w:id="6"/>
      </w:r>
      <w:r w:rsidRPr="004D6DF8">
        <w:rPr>
          <w:sz w:val="24"/>
          <w:szCs w:val="24"/>
        </w:rPr>
        <w:t xml:space="preserve">  </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Equitable has agreed, in settlement, to withdraw Rider E, subject to Commission approval of the Joint Settlement Agreement.  (See Section IV below.)</w:t>
      </w:r>
      <w:r w:rsidR="007F7078">
        <w:rPr>
          <w:sz w:val="24"/>
          <w:szCs w:val="24"/>
        </w:rPr>
        <w:t xml:space="preserve"> </w:t>
      </w:r>
      <w:r w:rsidRPr="004D6DF8">
        <w:rPr>
          <w:sz w:val="24"/>
          <w:szCs w:val="24"/>
        </w:rPr>
        <w:t xml:space="preserve"> Instead, Equitable and the Settling Parties have agreed that Equitable will spend up to $2 million to investigate the causes of the high lost and unaccounted for gas (LUFG) levels on the Gathering Systems.  Equitable will seek recovery of “reasonable and prudent” investigation expenses in future base rate proceedings.  (Joint Settlement Agreement Paragraph 3)</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Equitable did not have any appraisal prepared to establish the value of either gathering system, taking into account the need for repairs or replacement of the facilities that comprise the two systems.  (Catlin</w:t>
      </w:r>
      <w:r w:rsidR="00A166A1">
        <w:rPr>
          <w:sz w:val="24"/>
          <w:szCs w:val="24"/>
        </w:rPr>
        <w:t>,</w:t>
      </w:r>
      <w:r w:rsidRPr="004D6DF8">
        <w:rPr>
          <w:rStyle w:val="FootnoteReference"/>
          <w:sz w:val="24"/>
          <w:szCs w:val="24"/>
        </w:rPr>
        <w:footnoteReference w:id="7"/>
      </w:r>
      <w:r w:rsidRPr="004D6DF8">
        <w:rPr>
          <w:sz w:val="24"/>
          <w:szCs w:val="24"/>
        </w:rPr>
        <w:t xml:space="preserve"> OCA St. 1 at 6)</w:t>
      </w:r>
    </w:p>
    <w:p w:rsidR="004D6DF8" w:rsidRPr="004D6DF8" w:rsidRDefault="004D6DF8" w:rsidP="00143126">
      <w:pPr>
        <w:pStyle w:val="ListParagraph"/>
        <w:spacing w:line="360" w:lineRule="auto"/>
        <w:rPr>
          <w:sz w:val="24"/>
          <w:szCs w:val="24"/>
        </w:rPr>
      </w:pPr>
    </w:p>
    <w:p w:rsidR="004D6DF8" w:rsidRPr="004D6DF8" w:rsidRDefault="004D6DF8" w:rsidP="00143126">
      <w:pPr>
        <w:spacing w:line="360" w:lineRule="auto"/>
        <w:ind w:left="1440"/>
        <w:rPr>
          <w:sz w:val="24"/>
          <w:szCs w:val="24"/>
        </w:rPr>
      </w:pPr>
    </w:p>
    <w:p w:rsidR="004D6DF8" w:rsidRPr="004D6DF8" w:rsidRDefault="004D6DF8" w:rsidP="00143126">
      <w:pPr>
        <w:spacing w:line="360" w:lineRule="auto"/>
        <w:ind w:firstLine="1440"/>
        <w:rPr>
          <w:b/>
          <w:sz w:val="24"/>
          <w:szCs w:val="24"/>
          <w:u w:val="single"/>
        </w:rPr>
      </w:pPr>
      <w:r w:rsidRPr="004D6DF8">
        <w:rPr>
          <w:b/>
          <w:sz w:val="24"/>
          <w:szCs w:val="24"/>
          <w:u w:val="single"/>
        </w:rPr>
        <w:lastRenderedPageBreak/>
        <w:t xml:space="preserve">Lost and Unaccounted for Gas on the Gathering Systems </w:t>
      </w:r>
    </w:p>
    <w:p w:rsidR="004D6DF8" w:rsidRPr="004D6DF8" w:rsidRDefault="004D6DF8" w:rsidP="00143126">
      <w:pPr>
        <w:spacing w:line="360" w:lineRule="auto"/>
        <w:ind w:firstLine="1440"/>
        <w:rPr>
          <w:b/>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The rates of LUFG have been rising on both the Tombaugh and the Goodwin systems.  In 2009, the Tombaugh system had a LUFG rate of 46%.  The Goodwin system had a LUFG rate of 70%. </w:t>
      </w:r>
      <w:r w:rsidR="00A166A1">
        <w:rPr>
          <w:sz w:val="24"/>
          <w:szCs w:val="24"/>
        </w:rPr>
        <w:t xml:space="preserve"> </w:t>
      </w:r>
      <w:r w:rsidRPr="004D6DF8">
        <w:rPr>
          <w:sz w:val="24"/>
          <w:szCs w:val="24"/>
        </w:rPr>
        <w:t>In 2011, the Tombaugh system had a LUFG of 53%.  The Goodwin system had a LUFG rate of 78%.  These rates mean that the systems are losing more gas then they are transporting.  (BIE Ex. 1, Schedule 4; Graeser</w:t>
      </w:r>
      <w:r w:rsidR="00A166A1">
        <w:rPr>
          <w:sz w:val="24"/>
          <w:szCs w:val="24"/>
        </w:rPr>
        <w:t>,</w:t>
      </w:r>
      <w:r w:rsidRPr="004D6DF8">
        <w:rPr>
          <w:rStyle w:val="FootnoteReference"/>
          <w:sz w:val="24"/>
          <w:szCs w:val="24"/>
        </w:rPr>
        <w:footnoteReference w:id="8"/>
      </w:r>
      <w:r w:rsidRPr="004D6DF8">
        <w:rPr>
          <w:sz w:val="24"/>
          <w:szCs w:val="24"/>
        </w:rPr>
        <w:t xml:space="preserve"> BIE St. 1 at 4-5)</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LUFG can be caused by leaks, theft or incorrect measuring and accounting.  (Grabiec</w:t>
      </w:r>
      <w:r w:rsidR="00A166A1">
        <w:rPr>
          <w:sz w:val="24"/>
          <w:szCs w:val="24"/>
        </w:rPr>
        <w:t>,</w:t>
      </w:r>
      <w:r w:rsidRPr="004D6DF8">
        <w:rPr>
          <w:rStyle w:val="FootnoteReference"/>
          <w:sz w:val="24"/>
          <w:szCs w:val="24"/>
        </w:rPr>
        <w:footnoteReference w:id="9"/>
      </w:r>
      <w:r w:rsidRPr="004D6DF8">
        <w:rPr>
          <w:sz w:val="24"/>
          <w:szCs w:val="24"/>
        </w:rPr>
        <w:t xml:space="preserve"> Equitable St. 3-R at 5; N.T. 142)</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Typical LUFG levels reported by Equitable to U</w:t>
      </w:r>
      <w:r w:rsidR="0026373C">
        <w:rPr>
          <w:sz w:val="24"/>
          <w:szCs w:val="24"/>
        </w:rPr>
        <w:t>.</w:t>
      </w:r>
      <w:r w:rsidRPr="004D6DF8">
        <w:rPr>
          <w:sz w:val="24"/>
          <w:szCs w:val="24"/>
        </w:rPr>
        <w:t>S</w:t>
      </w:r>
      <w:r w:rsidR="0026373C">
        <w:rPr>
          <w:sz w:val="24"/>
          <w:szCs w:val="24"/>
        </w:rPr>
        <w:t>. Department of Transportation</w:t>
      </w:r>
      <w:r w:rsidRPr="004D6DF8">
        <w:rPr>
          <w:sz w:val="24"/>
          <w:szCs w:val="24"/>
        </w:rPr>
        <w:t xml:space="preserve"> for over 3,000 miles of pipeline range from 5.4% to 5.8%.  (Graeser, BIE St. 1 at 5)</w:t>
      </w:r>
    </w:p>
    <w:p w:rsidR="004D6DF8" w:rsidRPr="004D6DF8" w:rsidRDefault="004D6DF8" w:rsidP="00143126">
      <w:pPr>
        <w:spacing w:line="360" w:lineRule="auto"/>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A LUFG level of over 9% merits close scrutiny by the Commission. LUFG over 5% raises a safety concern.  (Graeser, BIE St. 1 at 3-4; BIE St. 1-SR at 3)</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Mr. Cooper, who is responsible for EQT Midstream’s design engineering and pipeline safety compliance, does not know how much of the LUFG is related to measurement, how much is related to leaks or how much is related to theft on either the Goodwin or the Tombaugh systems.  (N.T. 93-94)</w:t>
      </w:r>
    </w:p>
    <w:p w:rsidR="004D6DF8" w:rsidRPr="004D6DF8" w:rsidRDefault="004D6DF8" w:rsidP="00143126">
      <w:pPr>
        <w:pStyle w:val="ListParagraph"/>
        <w:spacing w:line="360" w:lineRule="auto"/>
        <w:rPr>
          <w:sz w:val="24"/>
          <w:szCs w:val="24"/>
        </w:rPr>
      </w:pPr>
    </w:p>
    <w:p w:rsid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There are approximately 90 known active leaks on the Gathering Systems.  (Cooper, N.T. 95)</w:t>
      </w:r>
    </w:p>
    <w:p w:rsidR="00143126" w:rsidRDefault="00143126" w:rsidP="00143126">
      <w:pPr>
        <w:pStyle w:val="ListParagraph"/>
        <w:rPr>
          <w:sz w:val="24"/>
          <w:szCs w:val="24"/>
        </w:rPr>
      </w:pPr>
    </w:p>
    <w:p w:rsidR="00143126" w:rsidRPr="004D6DF8" w:rsidRDefault="00143126" w:rsidP="00143126">
      <w:pPr>
        <w:tabs>
          <w:tab w:val="left" w:pos="1440"/>
        </w:tabs>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lastRenderedPageBreak/>
        <w:t xml:space="preserve">  EQT and Equitrans primarily rely on leak calls to discover active leaks on the Gathering Systems.  (</w:t>
      </w:r>
      <w:r w:rsidRPr="004D6DF8">
        <w:rPr>
          <w:i/>
          <w:sz w:val="24"/>
          <w:szCs w:val="24"/>
        </w:rPr>
        <w:t>E.g</w:t>
      </w:r>
      <w:r w:rsidRPr="004D6DF8">
        <w:rPr>
          <w:sz w:val="24"/>
          <w:szCs w:val="24"/>
        </w:rPr>
        <w:t>., Cooper, Equitable St. 4-R at 5-6; N.T. 77-81)</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No one from Equitable has physically inspected either the Goodwin or the Tombaugh systems.  (Grabiec, N.T. 110)</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Equitable’s estimates of the scope of investigation and remediation necessary to </w:t>
      </w:r>
      <w:r w:rsidR="0026373C">
        <w:rPr>
          <w:sz w:val="24"/>
          <w:szCs w:val="24"/>
        </w:rPr>
        <w:t>reduce</w:t>
      </w:r>
      <w:r w:rsidRPr="004D6DF8">
        <w:rPr>
          <w:sz w:val="24"/>
          <w:szCs w:val="24"/>
        </w:rPr>
        <w:t xml:space="preserve"> the LUFG levels on the Gathering Systems </w:t>
      </w:r>
      <w:r w:rsidR="0026373C">
        <w:rPr>
          <w:sz w:val="24"/>
          <w:szCs w:val="24"/>
        </w:rPr>
        <w:t xml:space="preserve">are </w:t>
      </w:r>
      <w:r w:rsidRPr="004D6DF8">
        <w:rPr>
          <w:sz w:val="24"/>
          <w:szCs w:val="24"/>
        </w:rPr>
        <w:t>largely based upon its experience investigating and remediating LUFG on the Crooked Creek system.</w:t>
      </w:r>
      <w:r w:rsidR="004123EF">
        <w:rPr>
          <w:sz w:val="24"/>
          <w:szCs w:val="24"/>
        </w:rPr>
        <w:t xml:space="preserve"> </w:t>
      </w:r>
      <w:r w:rsidRPr="004D6DF8">
        <w:rPr>
          <w:sz w:val="24"/>
          <w:szCs w:val="24"/>
        </w:rPr>
        <w:t xml:space="preserve"> (</w:t>
      </w:r>
      <w:r w:rsidR="004D4991">
        <w:rPr>
          <w:sz w:val="24"/>
          <w:szCs w:val="24"/>
        </w:rPr>
        <w:t xml:space="preserve">See </w:t>
      </w:r>
      <w:r w:rsidRPr="004D6DF8">
        <w:rPr>
          <w:sz w:val="24"/>
          <w:szCs w:val="24"/>
        </w:rPr>
        <w:t xml:space="preserve">Generally </w:t>
      </w:r>
      <w:proofErr w:type="spellStart"/>
      <w:r w:rsidRPr="004D6DF8">
        <w:rPr>
          <w:sz w:val="24"/>
          <w:szCs w:val="24"/>
        </w:rPr>
        <w:t>Grabiec</w:t>
      </w:r>
      <w:proofErr w:type="spellEnd"/>
      <w:r w:rsidR="004D4991">
        <w:rPr>
          <w:sz w:val="24"/>
          <w:szCs w:val="24"/>
        </w:rPr>
        <w:t>, Equitable St. 3-R</w:t>
      </w:r>
      <w:r w:rsidRPr="004D6DF8">
        <w:rPr>
          <w:sz w:val="24"/>
          <w:szCs w:val="24"/>
        </w:rPr>
        <w:t>)</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The Crooked Creek system was acquired by Equitable in 1999.</w:t>
      </w:r>
      <w:r w:rsidRPr="004D6DF8">
        <w:rPr>
          <w:rStyle w:val="FootnoteReference"/>
          <w:sz w:val="24"/>
          <w:szCs w:val="24"/>
        </w:rPr>
        <w:footnoteReference w:id="10"/>
      </w:r>
      <w:r w:rsidRPr="004D6DF8">
        <w:rPr>
          <w:sz w:val="24"/>
          <w:szCs w:val="24"/>
        </w:rPr>
        <w:t xml:space="preserve">  The Crooked Creek system is 814 miles long.  In 2008, the system had LUFG levels of 30%, which is much lower than the LUFG levels on the Goodwin and Tombaugh systems.  (Grabiec, Equitable St. 3-R at 3)</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In 2008 Equitable employed a multi-step process to remediate the Crooked Creek System.  Equitable intends to employ the same process to remediate the Goodwin and Tombaugh systems.  That process includes:</w:t>
      </w:r>
    </w:p>
    <w:p w:rsidR="004D6DF8" w:rsidRPr="004D6DF8" w:rsidRDefault="004D6DF8" w:rsidP="00143126">
      <w:pPr>
        <w:pStyle w:val="ListParagraph"/>
        <w:rPr>
          <w:sz w:val="24"/>
          <w:szCs w:val="24"/>
        </w:rPr>
      </w:pPr>
    </w:p>
    <w:p w:rsidR="004D6DF8" w:rsidRDefault="004D6DF8" w:rsidP="00143126">
      <w:pPr>
        <w:numPr>
          <w:ilvl w:val="1"/>
          <w:numId w:val="4"/>
        </w:numPr>
        <w:tabs>
          <w:tab w:val="left" w:pos="1440"/>
        </w:tabs>
        <w:ind w:right="1440" w:firstLine="720"/>
        <w:rPr>
          <w:sz w:val="24"/>
          <w:szCs w:val="24"/>
        </w:rPr>
      </w:pPr>
      <w:r w:rsidRPr="004D6DF8">
        <w:rPr>
          <w:sz w:val="24"/>
          <w:szCs w:val="24"/>
        </w:rPr>
        <w:t>Location of gathering system pipeline will be confirmed;</w:t>
      </w:r>
    </w:p>
    <w:p w:rsidR="00143126" w:rsidRPr="004D6DF8" w:rsidRDefault="00143126" w:rsidP="00143126">
      <w:pPr>
        <w:tabs>
          <w:tab w:val="left" w:pos="1440"/>
        </w:tabs>
        <w:ind w:left="1440" w:right="1440" w:firstLine="720"/>
        <w:rPr>
          <w:sz w:val="24"/>
          <w:szCs w:val="24"/>
        </w:rPr>
      </w:pPr>
    </w:p>
    <w:p w:rsidR="004D6DF8" w:rsidRDefault="004D6DF8" w:rsidP="00143126">
      <w:pPr>
        <w:numPr>
          <w:ilvl w:val="1"/>
          <w:numId w:val="4"/>
        </w:numPr>
        <w:tabs>
          <w:tab w:val="left" w:pos="1440"/>
        </w:tabs>
        <w:ind w:right="1440" w:firstLine="720"/>
        <w:rPr>
          <w:sz w:val="24"/>
          <w:szCs w:val="24"/>
        </w:rPr>
      </w:pPr>
      <w:r w:rsidRPr="004D6DF8">
        <w:rPr>
          <w:sz w:val="24"/>
          <w:szCs w:val="24"/>
        </w:rPr>
        <w:t xml:space="preserve">Pipeline rights of way will be mowed; </w:t>
      </w:r>
    </w:p>
    <w:p w:rsidR="00143126" w:rsidRDefault="00143126" w:rsidP="00143126">
      <w:pPr>
        <w:pStyle w:val="ListParagraph"/>
        <w:ind w:left="1440" w:right="1440" w:firstLine="720"/>
        <w:rPr>
          <w:sz w:val="24"/>
          <w:szCs w:val="24"/>
        </w:rPr>
      </w:pPr>
    </w:p>
    <w:p w:rsidR="004D6DF8" w:rsidRDefault="004D6DF8" w:rsidP="00143126">
      <w:pPr>
        <w:numPr>
          <w:ilvl w:val="1"/>
          <w:numId w:val="4"/>
        </w:numPr>
        <w:tabs>
          <w:tab w:val="left" w:pos="1440"/>
        </w:tabs>
        <w:ind w:right="1440" w:firstLine="720"/>
        <w:rPr>
          <w:sz w:val="24"/>
          <w:szCs w:val="24"/>
        </w:rPr>
      </w:pPr>
      <w:r w:rsidRPr="004D6DF8">
        <w:rPr>
          <w:sz w:val="24"/>
          <w:szCs w:val="24"/>
        </w:rPr>
        <w:t>The entire 379 miles of the two Systems will be physically walked and leak surveyed;</w:t>
      </w:r>
    </w:p>
    <w:p w:rsidR="00143126" w:rsidRPr="004D6DF8" w:rsidRDefault="00143126" w:rsidP="00143126">
      <w:pPr>
        <w:tabs>
          <w:tab w:val="left" w:pos="1440"/>
        </w:tabs>
        <w:ind w:left="1440" w:right="1440" w:firstLine="720"/>
        <w:rPr>
          <w:sz w:val="24"/>
          <w:szCs w:val="24"/>
        </w:rPr>
      </w:pPr>
    </w:p>
    <w:p w:rsidR="004D6DF8" w:rsidRDefault="004D6DF8" w:rsidP="00143126">
      <w:pPr>
        <w:numPr>
          <w:ilvl w:val="1"/>
          <w:numId w:val="4"/>
        </w:numPr>
        <w:tabs>
          <w:tab w:val="left" w:pos="1440"/>
        </w:tabs>
        <w:ind w:right="1440" w:firstLine="720"/>
        <w:rPr>
          <w:sz w:val="24"/>
          <w:szCs w:val="24"/>
        </w:rPr>
      </w:pPr>
      <w:r w:rsidRPr="004D6DF8">
        <w:rPr>
          <w:sz w:val="24"/>
          <w:szCs w:val="24"/>
        </w:rPr>
        <w:t>The  Gathering Systems will be separated into manageable segments with meters placed to enable identification of LUFG by pipe segment;</w:t>
      </w:r>
    </w:p>
    <w:p w:rsidR="00143126" w:rsidRDefault="00143126" w:rsidP="00143126">
      <w:pPr>
        <w:pStyle w:val="ListParagraph"/>
        <w:ind w:left="1440" w:right="1440" w:firstLine="720"/>
        <w:rPr>
          <w:sz w:val="24"/>
          <w:szCs w:val="24"/>
        </w:rPr>
      </w:pPr>
    </w:p>
    <w:p w:rsidR="004D6DF8" w:rsidRDefault="004D6DF8" w:rsidP="00143126">
      <w:pPr>
        <w:numPr>
          <w:ilvl w:val="1"/>
          <w:numId w:val="4"/>
        </w:numPr>
        <w:tabs>
          <w:tab w:val="left" w:pos="1440"/>
        </w:tabs>
        <w:ind w:right="1440" w:firstLine="720"/>
        <w:rPr>
          <w:sz w:val="24"/>
          <w:szCs w:val="24"/>
        </w:rPr>
      </w:pPr>
      <w:r w:rsidRPr="004D6DF8">
        <w:rPr>
          <w:sz w:val="24"/>
          <w:szCs w:val="24"/>
        </w:rPr>
        <w:t xml:space="preserve">Chronically deficient pipeline segments identified as a result of the foregoing will be evaluated for their overall value </w:t>
      </w:r>
      <w:r w:rsidRPr="004D6DF8">
        <w:rPr>
          <w:sz w:val="24"/>
          <w:szCs w:val="24"/>
        </w:rPr>
        <w:lastRenderedPageBreak/>
        <w:t>to the Gathering Systems and either renewed (remediated or replaced) or abandoned; and</w:t>
      </w:r>
    </w:p>
    <w:p w:rsidR="00143126" w:rsidRDefault="00143126" w:rsidP="00143126">
      <w:pPr>
        <w:pStyle w:val="ListParagraph"/>
        <w:rPr>
          <w:sz w:val="24"/>
          <w:szCs w:val="24"/>
        </w:rPr>
      </w:pPr>
    </w:p>
    <w:p w:rsidR="004D6DF8" w:rsidRPr="004D6DF8" w:rsidRDefault="004D6DF8" w:rsidP="00143126">
      <w:pPr>
        <w:numPr>
          <w:ilvl w:val="1"/>
          <w:numId w:val="4"/>
        </w:numPr>
        <w:tabs>
          <w:tab w:val="left" w:pos="1440"/>
        </w:tabs>
        <w:ind w:right="1440" w:firstLine="720"/>
        <w:rPr>
          <w:sz w:val="24"/>
          <w:szCs w:val="24"/>
        </w:rPr>
      </w:pPr>
      <w:r w:rsidRPr="004D6DF8">
        <w:rPr>
          <w:sz w:val="24"/>
          <w:szCs w:val="24"/>
        </w:rPr>
        <w:t>Remaining pipeline segments throughout the 379 miles of the two systems will be evaluated for renewal (remediation or replacement) or abandonment.</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The only thing the Gathering Systems have in common with Crooked Creek is the age of the pipeline.  Crooked Creek is a much larger pipeline and had much lower LUFG levels when Equitable began to remediate the system.  Equitable does not know what portion of the LUFG on the systems is due to leaking or theft and what portion is only metering or measurement.  Therefore, there is no basis for the conclusion that the remediation of the Crooked Creek system is a good measure of comparison.  (</w:t>
      </w:r>
      <w:r w:rsidRPr="004D6DF8">
        <w:rPr>
          <w:i/>
          <w:sz w:val="24"/>
          <w:szCs w:val="24"/>
        </w:rPr>
        <w:t>See</w:t>
      </w:r>
      <w:r w:rsidRPr="004D6DF8">
        <w:rPr>
          <w:sz w:val="24"/>
          <w:szCs w:val="24"/>
        </w:rPr>
        <w:t xml:space="preserve"> Graeser, BIE St. 1-SR at 4-5) </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Neither Mr. Cooper nor Mr. Grabiec believe that the LUFG levels are caused significantly by leaks or raise a safety concern.  Mr. Grabiec does not believe that leakage is a significant contributor to LUFG on the Gathering Systems based on the number of leak calls and based on his experience remediating the Crooked Creek line. </w:t>
      </w:r>
      <w:r w:rsidR="00A166A1">
        <w:rPr>
          <w:sz w:val="24"/>
          <w:szCs w:val="24"/>
        </w:rPr>
        <w:t xml:space="preserve"> </w:t>
      </w:r>
      <w:r w:rsidRPr="004D6DF8">
        <w:rPr>
          <w:sz w:val="24"/>
          <w:szCs w:val="24"/>
        </w:rPr>
        <w:t>Mr. Cooper’s opinion is based in part on his general experience and in part on an investigation he did on a small section of pipe where he discovered that there are meters that were not accounted for when LUFG was calculated.  (N.T. 85; 120-121)</w:t>
      </w:r>
    </w:p>
    <w:p w:rsidR="004D6DF8" w:rsidRPr="004D6DF8" w:rsidRDefault="004D6DF8" w:rsidP="00143126">
      <w:pPr>
        <w:pStyle w:val="ListParagraph"/>
        <w:spacing w:line="360" w:lineRule="auto"/>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Although Mr. Cooper testified that LUFG typically goes down in the winter and rises in the summer, LUFG rose from 78% to 80% in the Goodwin system during the first six months of 2012.  During the same period, LUFG rose on the Tombaugh system from 53% to 58%.  (Cooper, N.T. 93; Graeser, BIE St. 1-SR at 4)</w:t>
      </w:r>
    </w:p>
    <w:p w:rsidR="004D6DF8" w:rsidRPr="004D6DF8" w:rsidRDefault="004D6DF8" w:rsidP="00143126">
      <w:pPr>
        <w:pStyle w:val="ListParagraph"/>
        <w:spacing w:line="360" w:lineRule="auto"/>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In Mr. Grabiec’s opinion, even if LUFG was 90% or 100%, he would not conclude that there was a safety concern.  (N.T. 115)</w:t>
      </w:r>
    </w:p>
    <w:p w:rsidR="004D6DF8" w:rsidRPr="004D6DF8" w:rsidRDefault="004D6DF8" w:rsidP="00143126">
      <w:pPr>
        <w:pStyle w:val="ListParagraph"/>
        <w:spacing w:line="360" w:lineRule="auto"/>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Neither Mr. Cooper’s opinion nor Mr. Grabiec’s opinions that leakage on the Gathering Systems is not a safety concern are credible or convincing.</w:t>
      </w:r>
    </w:p>
    <w:p w:rsidR="004D6DF8" w:rsidRPr="004D6DF8" w:rsidRDefault="004D6DF8" w:rsidP="00143126">
      <w:pPr>
        <w:pStyle w:val="ListParagraph"/>
        <w:spacing w:line="360" w:lineRule="auto"/>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lastRenderedPageBreak/>
        <w:t xml:space="preserve"> In Mr. Graeser’s opinion, based upon his 28 years of experience in gas pipeline safety, the age of the pipeline and the excessive levels of LUFG on the Tombaugh and Goodwin systems, leakage on these systems is a safety concern.  (BIE St. 1) </w:t>
      </w:r>
    </w:p>
    <w:p w:rsidR="004D6DF8" w:rsidRPr="004D6DF8" w:rsidRDefault="004D6DF8" w:rsidP="00143126">
      <w:pPr>
        <w:pStyle w:val="ListParagraph"/>
        <w:spacing w:line="360" w:lineRule="auto"/>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Mr. Graeser’s opinion is credible and convincing.</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Equitable will not know how long it will take to remediate LUFG on the Gathering Systems until it does a comprehensive review of the systems.  (Grabiec, N.T. 120) </w:t>
      </w:r>
    </w:p>
    <w:p w:rsidR="004D6DF8" w:rsidRPr="004D6DF8" w:rsidRDefault="004D6DF8" w:rsidP="00143126">
      <w:pPr>
        <w:pStyle w:val="ListParagraph"/>
        <w:spacing w:line="360" w:lineRule="auto"/>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Equitable has not provided any estimate of the reduction in LUFG levels it expects to achieve on either system.  (Catlin, OCA St. 1 at 12-13)</w:t>
      </w:r>
    </w:p>
    <w:p w:rsidR="004D6DF8" w:rsidRPr="004D6DF8" w:rsidRDefault="004D6DF8" w:rsidP="00143126">
      <w:pPr>
        <w:pStyle w:val="ListParagraph"/>
        <w:spacing w:line="360" w:lineRule="auto"/>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Although Equitable will have to make a substantial investment to remediate LUFG on the Gathering Systems, it does not know how substantial that investment will be.  (Grabiec, N.T. 118)</w:t>
      </w:r>
    </w:p>
    <w:p w:rsidR="004D6DF8" w:rsidRPr="004D6DF8" w:rsidRDefault="004D6DF8" w:rsidP="00143126">
      <w:pPr>
        <w:spacing w:line="360" w:lineRule="auto"/>
        <w:ind w:left="1440"/>
        <w:rPr>
          <w:sz w:val="24"/>
          <w:szCs w:val="24"/>
        </w:rPr>
      </w:pPr>
    </w:p>
    <w:p w:rsidR="004D6DF8" w:rsidRPr="004D6DF8" w:rsidRDefault="004D6DF8" w:rsidP="00143126">
      <w:pPr>
        <w:spacing w:line="360" w:lineRule="auto"/>
        <w:ind w:firstLine="1440"/>
        <w:rPr>
          <w:b/>
          <w:sz w:val="24"/>
          <w:szCs w:val="24"/>
          <w:u w:val="single"/>
        </w:rPr>
      </w:pPr>
      <w:r w:rsidRPr="004D6DF8">
        <w:rPr>
          <w:b/>
          <w:sz w:val="24"/>
          <w:szCs w:val="24"/>
          <w:u w:val="single"/>
        </w:rPr>
        <w:t>Increased Availability of Local Gas</w:t>
      </w:r>
    </w:p>
    <w:p w:rsidR="004D6DF8" w:rsidRPr="004D6DF8" w:rsidRDefault="004D6DF8" w:rsidP="00143126">
      <w:pPr>
        <w:spacing w:line="360" w:lineRule="auto"/>
        <w:ind w:firstLine="1440"/>
        <w:rPr>
          <w:b/>
          <w:sz w:val="24"/>
          <w:szCs w:val="24"/>
          <w:u w:val="single"/>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The pipeline used in the Gathering Systems is not currently capable of transporting Marcellus gas.  In order to use the pipeline to transport Marcellus gas, you would either have to reduce the pressure of a Marcellus well substantially to meet the transportation requirements in the pipeline or replace the pipeline.  (Cooper, N.T. 76-77)</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It is not currently part of the plan to upgrade the Gathering Systems to accommodate the higher pressures of Marcellus gas.  (Grabiec, N.T. 119)</w:t>
      </w:r>
    </w:p>
    <w:p w:rsidR="004D6DF8" w:rsidRPr="004D6DF8" w:rsidRDefault="004D6DF8" w:rsidP="00143126">
      <w:pPr>
        <w:pStyle w:val="ListParagraph"/>
        <w:spacing w:line="360" w:lineRule="auto"/>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The wells located on the Gathering Systems are not part of the proposed transfer.  (Cooper, N.T. 103)</w:t>
      </w: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lastRenderedPageBreak/>
        <w:t xml:space="preserve"> Equitable has no time</w:t>
      </w:r>
      <w:r w:rsidR="00D55887">
        <w:rPr>
          <w:sz w:val="24"/>
          <w:szCs w:val="24"/>
        </w:rPr>
        <w:t xml:space="preserve"> </w:t>
      </w:r>
      <w:r w:rsidRPr="004D6DF8">
        <w:rPr>
          <w:sz w:val="24"/>
          <w:szCs w:val="24"/>
        </w:rPr>
        <w:t>frame for when increased access to local gas might occur, nor has Equitable quantified these potential savings.  (Grabiec, N.T. 119-20; Kalcic,</w:t>
      </w:r>
      <w:r w:rsidRPr="004D6DF8">
        <w:rPr>
          <w:rStyle w:val="FootnoteReference"/>
          <w:sz w:val="24"/>
          <w:szCs w:val="24"/>
        </w:rPr>
        <w:footnoteReference w:id="11"/>
      </w:r>
      <w:r w:rsidRPr="004D6DF8">
        <w:rPr>
          <w:sz w:val="24"/>
          <w:szCs w:val="24"/>
        </w:rPr>
        <w:t xml:space="preserve"> OSBA St. 1 at 3)</w:t>
      </w:r>
    </w:p>
    <w:p w:rsidR="004D6DF8" w:rsidRPr="004D6DF8" w:rsidRDefault="004D6DF8" w:rsidP="00143126">
      <w:pPr>
        <w:spacing w:line="360" w:lineRule="auto"/>
        <w:ind w:left="1440"/>
        <w:rPr>
          <w:sz w:val="24"/>
          <w:szCs w:val="24"/>
        </w:rPr>
      </w:pPr>
    </w:p>
    <w:p w:rsidR="004D6DF8" w:rsidRPr="004D6DF8" w:rsidRDefault="004D6DF8" w:rsidP="00143126">
      <w:pPr>
        <w:tabs>
          <w:tab w:val="left" w:pos="4680"/>
        </w:tabs>
        <w:spacing w:line="360" w:lineRule="auto"/>
        <w:ind w:firstLine="1440"/>
        <w:rPr>
          <w:b/>
          <w:sz w:val="24"/>
          <w:szCs w:val="24"/>
          <w:u w:val="single"/>
        </w:rPr>
      </w:pPr>
      <w:r w:rsidRPr="004D6DF8">
        <w:rPr>
          <w:b/>
          <w:sz w:val="24"/>
          <w:szCs w:val="24"/>
          <w:u w:val="single"/>
        </w:rPr>
        <w:t>Costs</w:t>
      </w:r>
    </w:p>
    <w:p w:rsidR="004D6DF8" w:rsidRPr="004D6DF8" w:rsidRDefault="004D6DF8" w:rsidP="00143126">
      <w:pPr>
        <w:tabs>
          <w:tab w:val="left" w:pos="4680"/>
        </w:tabs>
        <w:spacing w:line="360" w:lineRule="auto"/>
        <w:ind w:firstLine="1440"/>
        <w:rPr>
          <w:b/>
          <w:sz w:val="24"/>
          <w:szCs w:val="24"/>
          <w:u w:val="single"/>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It costs between $500,000 to $1,000,000 per mile to replace natural gas pipeline.  Therefore, if Equitable has to replace all the pipeline in the Gathering Systems, it could cost between $189,500,000 and $379,000,000.  (Graeser, BIE St. 1 at 5; Cline, BIE St. 2 at 10)</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Equitable expects to have to spend more than $12 million over the first three years of ownership of the Gathering Systems in order to address LUFG.  (Catlin, OCA St. 1 at 5)</w:t>
      </w:r>
    </w:p>
    <w:p w:rsidR="004D6DF8" w:rsidRPr="004D6DF8" w:rsidRDefault="004D6DF8" w:rsidP="00143126">
      <w:pPr>
        <w:spacing w:line="360" w:lineRule="auto"/>
        <w:ind w:left="1440"/>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 xml:space="preserve"> It could cost between $5,000 and $7,000 per customer to convert the Field Line Customers to another form of fuel.  Total cost could be between $8,010,000 and $11,214,000.  (Cline, BIE St. 2 at 9-10; BIE Ex. 2, Schedule 3)</w:t>
      </w:r>
    </w:p>
    <w:p w:rsidR="004D6DF8" w:rsidRPr="004D6DF8" w:rsidRDefault="004D6DF8" w:rsidP="00143126">
      <w:pPr>
        <w:pStyle w:val="ListParagraph"/>
        <w:spacing w:line="360" w:lineRule="auto"/>
        <w:rPr>
          <w:sz w:val="24"/>
          <w:szCs w:val="24"/>
        </w:rPr>
      </w:pPr>
    </w:p>
    <w:p w:rsidR="004D6DF8" w:rsidRPr="004D6DF8" w:rsidRDefault="004D6DF8" w:rsidP="00143126">
      <w:pPr>
        <w:numPr>
          <w:ilvl w:val="0"/>
          <w:numId w:val="4"/>
        </w:numPr>
        <w:tabs>
          <w:tab w:val="left" w:pos="1440"/>
        </w:tabs>
        <w:spacing w:line="360" w:lineRule="auto"/>
        <w:ind w:left="0" w:firstLine="1440"/>
        <w:rPr>
          <w:sz w:val="24"/>
          <w:szCs w:val="24"/>
        </w:rPr>
      </w:pPr>
      <w:r w:rsidRPr="004D6DF8">
        <w:rPr>
          <w:sz w:val="24"/>
          <w:szCs w:val="24"/>
        </w:rPr>
        <w:t>Equitable did not do a cost-benefit analysis which demonstrates that continued service to the Field Line Customers is cost</w:t>
      </w:r>
      <w:r w:rsidR="00E323AE">
        <w:rPr>
          <w:sz w:val="24"/>
          <w:szCs w:val="24"/>
        </w:rPr>
        <w:t xml:space="preserve"> </w:t>
      </w:r>
      <w:r w:rsidRPr="004D6DF8">
        <w:rPr>
          <w:sz w:val="24"/>
          <w:szCs w:val="24"/>
        </w:rPr>
        <w:t>effective.  (Kalcic, OSBA St. 1 at 3)</w:t>
      </w:r>
    </w:p>
    <w:p w:rsidR="004D6DF8" w:rsidRPr="004D6DF8" w:rsidRDefault="004D6DF8" w:rsidP="00143126">
      <w:pPr>
        <w:spacing w:line="360" w:lineRule="auto"/>
        <w:jc w:val="center"/>
        <w:rPr>
          <w:sz w:val="24"/>
          <w:szCs w:val="24"/>
          <w:u w:val="single"/>
        </w:rPr>
      </w:pPr>
    </w:p>
    <w:p w:rsidR="004D6DF8" w:rsidRPr="004D6DF8" w:rsidRDefault="004D6DF8" w:rsidP="00143126">
      <w:pPr>
        <w:spacing w:line="360" w:lineRule="auto"/>
        <w:jc w:val="center"/>
        <w:rPr>
          <w:sz w:val="24"/>
          <w:szCs w:val="24"/>
        </w:rPr>
      </w:pPr>
      <w:r w:rsidRPr="004D6DF8">
        <w:rPr>
          <w:sz w:val="24"/>
          <w:szCs w:val="24"/>
        </w:rPr>
        <w:t xml:space="preserve">IV. </w:t>
      </w:r>
      <w:r w:rsidRPr="004D6DF8">
        <w:rPr>
          <w:sz w:val="24"/>
          <w:szCs w:val="24"/>
        </w:rPr>
        <w:tab/>
      </w:r>
      <w:r w:rsidRPr="004D6DF8">
        <w:rPr>
          <w:sz w:val="24"/>
          <w:szCs w:val="24"/>
          <w:u w:val="single"/>
        </w:rPr>
        <w:t>SETTLEMENT</w:t>
      </w:r>
    </w:p>
    <w:p w:rsidR="004D6DF8" w:rsidRPr="004D6DF8" w:rsidRDefault="004D6DF8" w:rsidP="00143126">
      <w:pPr>
        <w:spacing w:line="360" w:lineRule="auto"/>
        <w:jc w:val="center"/>
        <w:rPr>
          <w:sz w:val="24"/>
          <w:szCs w:val="24"/>
          <w:u w:val="single"/>
        </w:rPr>
      </w:pPr>
    </w:p>
    <w:p w:rsidR="004D6DF8" w:rsidRPr="004D6DF8" w:rsidRDefault="004D6DF8" w:rsidP="00143126">
      <w:pPr>
        <w:spacing w:line="360" w:lineRule="auto"/>
        <w:ind w:firstLine="1440"/>
        <w:rPr>
          <w:sz w:val="24"/>
          <w:szCs w:val="24"/>
        </w:rPr>
      </w:pPr>
      <w:r w:rsidRPr="004D6DF8">
        <w:rPr>
          <w:sz w:val="24"/>
          <w:szCs w:val="24"/>
        </w:rPr>
        <w:t xml:space="preserve">OCA, OSBA and Equitable (Settling Parties) engaged in extensive discussions and were able to resolve their issues.  The terms and conditions set forth in the Joint Settlement Agreement present a comprehensive resolution of all issues raised by </w:t>
      </w:r>
      <w:r w:rsidR="003A7883">
        <w:rPr>
          <w:sz w:val="24"/>
          <w:szCs w:val="24"/>
        </w:rPr>
        <w:t>O</w:t>
      </w:r>
      <w:r w:rsidRPr="004D6DF8">
        <w:rPr>
          <w:sz w:val="24"/>
          <w:szCs w:val="24"/>
        </w:rPr>
        <w:t>SBA and OCA in this matter.</w:t>
      </w:r>
    </w:p>
    <w:p w:rsidR="004D6DF8" w:rsidRPr="004D6DF8" w:rsidRDefault="004D6DF8" w:rsidP="00143126">
      <w:pPr>
        <w:spacing w:line="360" w:lineRule="auto"/>
        <w:rPr>
          <w:sz w:val="24"/>
          <w:szCs w:val="24"/>
        </w:rPr>
      </w:pPr>
    </w:p>
    <w:p w:rsidR="004D6DF8" w:rsidRPr="004D6DF8" w:rsidRDefault="004D6DF8" w:rsidP="00143126">
      <w:pPr>
        <w:spacing w:line="360" w:lineRule="auto"/>
        <w:ind w:firstLine="1440"/>
        <w:rPr>
          <w:sz w:val="24"/>
          <w:szCs w:val="24"/>
        </w:rPr>
      </w:pPr>
      <w:r w:rsidRPr="004D6DF8">
        <w:rPr>
          <w:sz w:val="24"/>
          <w:szCs w:val="24"/>
        </w:rPr>
        <w:lastRenderedPageBreak/>
        <w:t xml:space="preserve">The Settling Parties agreed to the following conditions concerning the rate treatment of the proposed acquisition of the Goodwin and Tombaugh systems: </w:t>
      </w:r>
    </w:p>
    <w:p w:rsidR="004D6DF8" w:rsidRPr="004D6DF8" w:rsidRDefault="004D6DF8" w:rsidP="004D6DF8">
      <w:pPr>
        <w:rPr>
          <w:sz w:val="24"/>
          <w:szCs w:val="24"/>
        </w:rPr>
      </w:pPr>
    </w:p>
    <w:p w:rsidR="004D6DF8" w:rsidRPr="004D6DF8" w:rsidRDefault="004D6DF8" w:rsidP="00DF5427">
      <w:pPr>
        <w:ind w:left="1350" w:right="1440"/>
        <w:rPr>
          <w:sz w:val="24"/>
          <w:szCs w:val="24"/>
        </w:rPr>
      </w:pPr>
      <w:r w:rsidRPr="004D6DF8">
        <w:rPr>
          <w:sz w:val="24"/>
          <w:szCs w:val="24"/>
        </w:rPr>
        <w:tab/>
      </w:r>
      <w:r w:rsidRPr="004D6DF8">
        <w:rPr>
          <w:sz w:val="24"/>
          <w:szCs w:val="24"/>
        </w:rPr>
        <w:tab/>
      </w:r>
      <w:r w:rsidRPr="004D6DF8">
        <w:rPr>
          <w:b/>
          <w:i/>
          <w:sz w:val="24"/>
          <w:szCs w:val="24"/>
        </w:rPr>
        <w:t>Transfer of Goodwin/Tombaugh Gathering Systems to Equitable Gas Company</w:t>
      </w:r>
      <w:r w:rsidRPr="004D6DF8">
        <w:rPr>
          <w:sz w:val="24"/>
          <w:szCs w:val="24"/>
        </w:rPr>
        <w:t>.  The Settling Parties agree that the Goodwin Gathering System and Tombaugh Gathering System will be transferred from EQT Gathering, LLC and Equitrans, LP, respectively, to Equitable.  The Settling Parties agree that the dollar value paid by Equitable, if any, for the transfers will not be recoverable through future rates.  The OCA and OSBA withdraw their opposition to the transfer.</w:t>
      </w:r>
    </w:p>
    <w:p w:rsidR="004D6DF8" w:rsidRPr="004D6DF8" w:rsidRDefault="004D6DF8" w:rsidP="00DF5427">
      <w:pPr>
        <w:ind w:left="1350" w:right="1440"/>
        <w:rPr>
          <w:sz w:val="24"/>
          <w:szCs w:val="24"/>
        </w:rPr>
      </w:pPr>
    </w:p>
    <w:p w:rsidR="004D6DF8" w:rsidRPr="004D6DF8" w:rsidRDefault="004D6DF8" w:rsidP="00DF5427">
      <w:pPr>
        <w:ind w:left="1350" w:right="1440"/>
        <w:rPr>
          <w:sz w:val="24"/>
          <w:szCs w:val="24"/>
        </w:rPr>
      </w:pPr>
      <w:r w:rsidRPr="004D6DF8">
        <w:rPr>
          <w:sz w:val="24"/>
          <w:szCs w:val="24"/>
        </w:rPr>
        <w:tab/>
      </w:r>
      <w:r w:rsidRPr="004D6DF8">
        <w:rPr>
          <w:sz w:val="24"/>
          <w:szCs w:val="24"/>
        </w:rPr>
        <w:tab/>
      </w:r>
      <w:r w:rsidRPr="004D6DF8">
        <w:rPr>
          <w:b/>
          <w:i/>
          <w:sz w:val="24"/>
          <w:szCs w:val="24"/>
        </w:rPr>
        <w:t>Rider E.</w:t>
      </w:r>
      <w:r w:rsidRPr="004D6DF8">
        <w:rPr>
          <w:sz w:val="24"/>
          <w:szCs w:val="24"/>
        </w:rPr>
        <w:t xml:space="preserve">  The Settling Parties agree that Equitable will withdraw its proposed Rider E and that Equitable may seek rate recovery of any reasonably-incurred capital expenditures and expenses associated with its investigation and rehabilitation of the Goodwin and Tombaugh Gathering Systems in future base rate or other Commission proceedings.  With the exception of the prudently incurred capital expenditures and expenses incurred during the 12 month initial assessment period set forth in the “Investigation and Reporting” section below, the Settling Parties’ agreement hereto is without prejudice to any position they may take in future proceedings in which Equitable seeks rate recovery of these capital expenditures and expenses.  </w:t>
      </w:r>
    </w:p>
    <w:p w:rsidR="004D6DF8" w:rsidRPr="004D6DF8" w:rsidRDefault="004D6DF8" w:rsidP="00DF5427">
      <w:pPr>
        <w:ind w:left="1350" w:right="1440"/>
        <w:rPr>
          <w:sz w:val="24"/>
          <w:szCs w:val="24"/>
        </w:rPr>
      </w:pPr>
    </w:p>
    <w:p w:rsidR="004D6DF8" w:rsidRPr="004D6DF8" w:rsidRDefault="004D6DF8" w:rsidP="00DF5427">
      <w:pPr>
        <w:ind w:left="1350" w:right="1440"/>
        <w:rPr>
          <w:sz w:val="24"/>
          <w:szCs w:val="24"/>
        </w:rPr>
      </w:pPr>
      <w:r w:rsidRPr="004D6DF8">
        <w:rPr>
          <w:sz w:val="24"/>
          <w:szCs w:val="24"/>
        </w:rPr>
        <w:tab/>
      </w:r>
      <w:r w:rsidRPr="004D6DF8">
        <w:rPr>
          <w:sz w:val="24"/>
          <w:szCs w:val="24"/>
        </w:rPr>
        <w:tab/>
      </w:r>
      <w:r w:rsidRPr="004D6DF8">
        <w:rPr>
          <w:b/>
          <w:i/>
          <w:sz w:val="24"/>
          <w:szCs w:val="24"/>
        </w:rPr>
        <w:t>Investigation and Reporting.</w:t>
      </w:r>
      <w:r w:rsidRPr="004D6DF8">
        <w:rPr>
          <w:sz w:val="24"/>
          <w:szCs w:val="24"/>
        </w:rPr>
        <w:t xml:space="preserve">  The Settling Parties agree that Equitable will initiate an investigation to understand and address the Gathering Systems’ Lost and Unaccounted-for-Gas and any potential safety concerns and initiate rehabilitation of the Goodwin and Tombaugh Gathering Systems consistent with the results of its investigation, if cost effective.  The Settling Parties agree and understand that Equitable’s investigation and Gathering Systems rehabilitation is a long term effort.  Until such time as Equitable completes its initial assessments of the Goodwin and Tombaugh Gathering Systems, Equitable will report on a quarterly basis to the Settling Parties regarding its findings.  Upon completion of those initial assessments, which the Settling Parties agree will take up to 12 months, Equitable will provide the Settling Parties with an initial assessment report, identifying the improvements found to be potentially necessary and an estimate of the capital expenditures and expenses that may be incurred over the next 3 years.  The Settling Parties agree that Equitable will be able to recover capital expenditures and expenses (as a regulatory asset for deferred recovery) prudently incurred during this initial assessment, </w:t>
      </w:r>
      <w:r w:rsidRPr="004D6DF8">
        <w:rPr>
          <w:sz w:val="24"/>
          <w:szCs w:val="24"/>
        </w:rPr>
        <w:lastRenderedPageBreak/>
        <w:t xml:space="preserve">up to $2 million, in a future base rate or other Commission proceedings.  </w:t>
      </w:r>
    </w:p>
    <w:p w:rsidR="004D6DF8" w:rsidRPr="004D6DF8" w:rsidRDefault="004D6DF8" w:rsidP="00DF5427">
      <w:pPr>
        <w:ind w:left="1350" w:right="1440"/>
        <w:rPr>
          <w:sz w:val="24"/>
          <w:szCs w:val="24"/>
        </w:rPr>
      </w:pPr>
    </w:p>
    <w:p w:rsidR="004D6DF8" w:rsidRPr="004D6DF8" w:rsidRDefault="004D6DF8" w:rsidP="00DF5427">
      <w:pPr>
        <w:ind w:left="1350" w:right="1440"/>
        <w:rPr>
          <w:sz w:val="24"/>
          <w:szCs w:val="24"/>
        </w:rPr>
      </w:pPr>
      <w:r w:rsidRPr="004D6DF8">
        <w:rPr>
          <w:sz w:val="24"/>
          <w:szCs w:val="24"/>
        </w:rPr>
        <w:tab/>
      </w:r>
      <w:r w:rsidRPr="004D6DF8">
        <w:rPr>
          <w:sz w:val="24"/>
          <w:szCs w:val="24"/>
        </w:rPr>
        <w:tab/>
      </w:r>
      <w:r w:rsidRPr="004D6DF8">
        <w:rPr>
          <w:b/>
          <w:i/>
          <w:sz w:val="24"/>
          <w:szCs w:val="24"/>
        </w:rPr>
        <w:t>Express Reservation.</w:t>
      </w:r>
      <w:r w:rsidRPr="004D6DF8">
        <w:rPr>
          <w:sz w:val="24"/>
          <w:szCs w:val="24"/>
        </w:rPr>
        <w:t xml:space="preserve">  Upon receipt of the initial assessment report and revised cost estimates after the first 12 months, all Settling Parties expressly reserve their right to withdraw any further support for rehabilitation efforts and to avail themselves of all remedies under the Public Utility Code that may be necessary at such time. </w:t>
      </w:r>
    </w:p>
    <w:p w:rsidR="004D6DF8" w:rsidRPr="004D6DF8" w:rsidRDefault="004D6DF8" w:rsidP="00DF5427">
      <w:pPr>
        <w:ind w:left="1350" w:right="1440"/>
        <w:rPr>
          <w:sz w:val="24"/>
          <w:szCs w:val="24"/>
        </w:rPr>
      </w:pPr>
    </w:p>
    <w:p w:rsidR="004D6DF8" w:rsidRPr="004D6DF8" w:rsidRDefault="004D6DF8" w:rsidP="00DF5427">
      <w:pPr>
        <w:ind w:left="1350" w:right="1440"/>
        <w:rPr>
          <w:sz w:val="24"/>
          <w:szCs w:val="24"/>
        </w:rPr>
      </w:pPr>
      <w:r w:rsidRPr="004D6DF8">
        <w:rPr>
          <w:sz w:val="24"/>
          <w:szCs w:val="24"/>
        </w:rPr>
        <w:tab/>
      </w:r>
      <w:r w:rsidRPr="004D6DF8">
        <w:rPr>
          <w:sz w:val="24"/>
          <w:szCs w:val="24"/>
        </w:rPr>
        <w:tab/>
      </w:r>
      <w:r w:rsidRPr="004D6DF8">
        <w:rPr>
          <w:b/>
          <w:i/>
          <w:sz w:val="24"/>
          <w:szCs w:val="24"/>
        </w:rPr>
        <w:t>Abandonment Reservation.</w:t>
      </w:r>
      <w:r w:rsidRPr="004D6DF8">
        <w:rPr>
          <w:sz w:val="24"/>
          <w:szCs w:val="24"/>
        </w:rPr>
        <w:t xml:space="preserve">  Equitable reserves the right to abandon service to any or all of its customers served from the Goodwin and/or Tombaugh Gathering Systems.  Equitable agrees to have discussions with the Settling Parties before proceeding with abandonment (absent emergency circumstances) of any customers, but such discussions shall in no way alter any of Equitable’s rights or discretion to proceed with abandonment.</w:t>
      </w:r>
    </w:p>
    <w:p w:rsidR="004D6DF8" w:rsidRPr="004D6DF8" w:rsidRDefault="004D6DF8" w:rsidP="004D6DF8">
      <w:pPr>
        <w:rPr>
          <w:sz w:val="24"/>
          <w:szCs w:val="24"/>
        </w:rPr>
      </w:pPr>
    </w:p>
    <w:p w:rsidR="004D6DF8" w:rsidRPr="004D6DF8" w:rsidRDefault="004D6DF8" w:rsidP="00DF5427">
      <w:pPr>
        <w:spacing w:line="360" w:lineRule="auto"/>
        <w:ind w:firstLine="1440"/>
        <w:rPr>
          <w:sz w:val="24"/>
          <w:szCs w:val="24"/>
        </w:rPr>
      </w:pPr>
      <w:r w:rsidRPr="004D6DF8">
        <w:rPr>
          <w:sz w:val="24"/>
          <w:szCs w:val="24"/>
        </w:rPr>
        <w:t xml:space="preserve">The Settling Parties also agree that the resolution of the issues herein proposed is in the public interest and consistent with the requirements of the Public Utility Code.  They believe that the Joint Settlement Agreement preserves natural gas service to more than 1600 Equitable customers, while Equitable is provided the necessary time to complete an evaluation of the Gathering Systems and further assesses the need for future capital improvements and expenses.  The Joint Settlement Agreement makes no change to any existing rate.  With the exception of the cost of the evaluation (which the Settling Parties agree will be capped at $2 million and recoverable in a future proceeding provided that the cost is “prudently incurred”), the Settling Parties have agreed to table rate and financial issues while Equitable performs the necessary evaluation and provides the relevant information discovered during that process. </w:t>
      </w:r>
    </w:p>
    <w:p w:rsidR="004D6DF8" w:rsidRPr="004D6DF8" w:rsidRDefault="004D6DF8" w:rsidP="00DF5427">
      <w:pPr>
        <w:spacing w:line="360" w:lineRule="auto"/>
        <w:rPr>
          <w:sz w:val="24"/>
          <w:szCs w:val="24"/>
        </w:rPr>
      </w:pPr>
      <w:r w:rsidRPr="004D6DF8">
        <w:rPr>
          <w:sz w:val="24"/>
          <w:szCs w:val="24"/>
        </w:rPr>
        <w:t xml:space="preserve"> </w:t>
      </w:r>
    </w:p>
    <w:p w:rsidR="004D6DF8" w:rsidRPr="004D6DF8" w:rsidRDefault="004D6DF8" w:rsidP="00DF5427">
      <w:pPr>
        <w:spacing w:line="360" w:lineRule="auto"/>
        <w:ind w:firstLine="1440"/>
        <w:rPr>
          <w:sz w:val="24"/>
          <w:szCs w:val="24"/>
        </w:rPr>
      </w:pPr>
      <w:r w:rsidRPr="004D6DF8">
        <w:rPr>
          <w:sz w:val="24"/>
          <w:szCs w:val="24"/>
        </w:rPr>
        <w:t xml:space="preserve">In the view of the Settling Parties, the Joint Settlement Agreement reflects compromises on all sides and is presented without prejudice to any position any of the Settling Parties may have advanced or may advance in the future, and without prejudice to the positions, if any, initially advanced by the Settling Parties on the merits of the issues.  Those positions are preserved should the Commission modify or reject this settlement in whole or in part.  In such event, each of the Settling Parties retains the right to litigate its respective issues (including the right to request a further hearing and to cross examine witnesses) and to withdraw from the </w:t>
      </w:r>
      <w:r w:rsidRPr="004D6DF8">
        <w:rPr>
          <w:sz w:val="24"/>
          <w:szCs w:val="24"/>
        </w:rPr>
        <w:lastRenderedPageBreak/>
        <w:t xml:space="preserve">settlement, or a portion of the settlement, within five days of actual notice or receipt of a Commission order modifying or rejecting the settlement in whole or in part. </w:t>
      </w:r>
    </w:p>
    <w:p w:rsidR="004D6DF8" w:rsidRPr="004D6DF8" w:rsidRDefault="004D6DF8" w:rsidP="00DF5427">
      <w:pPr>
        <w:spacing w:line="360" w:lineRule="auto"/>
        <w:rPr>
          <w:sz w:val="24"/>
          <w:szCs w:val="24"/>
        </w:rPr>
      </w:pPr>
      <w:r w:rsidRPr="004D6DF8">
        <w:rPr>
          <w:sz w:val="24"/>
          <w:szCs w:val="24"/>
        </w:rPr>
        <w:t xml:space="preserve"> </w:t>
      </w:r>
    </w:p>
    <w:p w:rsidR="004D6DF8" w:rsidRPr="004D6DF8" w:rsidRDefault="004D6DF8" w:rsidP="00DF5427">
      <w:pPr>
        <w:spacing w:line="360" w:lineRule="auto"/>
        <w:jc w:val="center"/>
        <w:rPr>
          <w:sz w:val="24"/>
          <w:szCs w:val="24"/>
        </w:rPr>
      </w:pPr>
      <w:r w:rsidRPr="004D6DF8">
        <w:rPr>
          <w:sz w:val="24"/>
          <w:szCs w:val="24"/>
        </w:rPr>
        <w:t>V.</w:t>
      </w:r>
      <w:r w:rsidRPr="004D6DF8">
        <w:rPr>
          <w:sz w:val="24"/>
          <w:szCs w:val="24"/>
        </w:rPr>
        <w:tab/>
      </w:r>
      <w:r w:rsidRPr="004D6DF8">
        <w:rPr>
          <w:sz w:val="24"/>
          <w:szCs w:val="24"/>
          <w:u w:val="single"/>
        </w:rPr>
        <w:t>DISCUSSION</w:t>
      </w:r>
    </w:p>
    <w:p w:rsidR="004D6DF8" w:rsidRPr="004D6DF8" w:rsidRDefault="004D6DF8" w:rsidP="00DF5427">
      <w:pPr>
        <w:spacing w:line="360" w:lineRule="auto"/>
        <w:jc w:val="center"/>
        <w:rPr>
          <w:sz w:val="24"/>
          <w:szCs w:val="24"/>
          <w:u w:val="single"/>
        </w:rPr>
      </w:pPr>
    </w:p>
    <w:p w:rsidR="004D6DF8" w:rsidRPr="004D6DF8" w:rsidRDefault="004D6DF8" w:rsidP="00DF5427">
      <w:pPr>
        <w:pStyle w:val="ListParagraph"/>
        <w:numPr>
          <w:ilvl w:val="0"/>
          <w:numId w:val="5"/>
        </w:numPr>
        <w:spacing w:line="360" w:lineRule="auto"/>
        <w:ind w:left="0" w:firstLine="0"/>
        <w:rPr>
          <w:sz w:val="24"/>
          <w:szCs w:val="24"/>
          <w:u w:val="single"/>
        </w:rPr>
      </w:pPr>
      <w:r w:rsidRPr="004D6DF8">
        <w:rPr>
          <w:sz w:val="24"/>
          <w:szCs w:val="24"/>
          <w:u w:val="single"/>
        </w:rPr>
        <w:t>Legal Standards</w:t>
      </w:r>
    </w:p>
    <w:p w:rsidR="004D6DF8" w:rsidRPr="004D6DF8" w:rsidRDefault="004D6DF8" w:rsidP="00DF5427">
      <w:pPr>
        <w:pStyle w:val="ListParagraph"/>
        <w:spacing w:line="360" w:lineRule="auto"/>
        <w:ind w:left="2160"/>
        <w:rPr>
          <w:sz w:val="24"/>
          <w:szCs w:val="24"/>
        </w:rPr>
      </w:pPr>
    </w:p>
    <w:p w:rsidR="004D6DF8" w:rsidRPr="004D6DF8" w:rsidRDefault="004D6DF8" w:rsidP="00DF5427">
      <w:pPr>
        <w:spacing w:line="360" w:lineRule="auto"/>
        <w:ind w:firstLine="1440"/>
        <w:rPr>
          <w:sz w:val="24"/>
          <w:szCs w:val="24"/>
        </w:rPr>
      </w:pPr>
      <w:r w:rsidRPr="004D6DF8">
        <w:rPr>
          <w:sz w:val="24"/>
          <w:szCs w:val="24"/>
        </w:rPr>
        <w:t>In Commission proceedings, the proponent of a rule or order bears the burden of proof.</w:t>
      </w:r>
      <w:r w:rsidRPr="004D6DF8">
        <w:rPr>
          <w:rStyle w:val="FootnoteReference"/>
          <w:sz w:val="24"/>
          <w:szCs w:val="24"/>
        </w:rPr>
        <w:footnoteReference w:id="12"/>
      </w:r>
      <w:r w:rsidRPr="004D6DF8">
        <w:rPr>
          <w:sz w:val="24"/>
          <w:szCs w:val="24"/>
        </w:rPr>
        <w:t xml:space="preserve">  To satisfy that burden, the proponent of a rule or order must prove each element of its case by a preponderance of the evidence.</w:t>
      </w:r>
      <w:r w:rsidRPr="004D6DF8">
        <w:rPr>
          <w:rStyle w:val="FootnoteReference"/>
          <w:sz w:val="24"/>
          <w:szCs w:val="24"/>
        </w:rPr>
        <w:footnoteReference w:id="13"/>
      </w:r>
      <w:r w:rsidRPr="004D6DF8">
        <w:rPr>
          <w:sz w:val="24"/>
          <w:szCs w:val="24"/>
        </w:rPr>
        <w:t xml:space="preserve">  A preponderance of the evidence is established by presenting evidence that is more convincing, by even the smallest amount, than that presented by the other parties in the case.</w:t>
      </w:r>
      <w:r w:rsidRPr="004D6DF8">
        <w:rPr>
          <w:rStyle w:val="FootnoteReference"/>
          <w:sz w:val="24"/>
          <w:szCs w:val="24"/>
        </w:rPr>
        <w:footnoteReference w:id="14"/>
      </w:r>
      <w:r w:rsidRPr="004D6DF8">
        <w:rPr>
          <w:sz w:val="24"/>
          <w:szCs w:val="24"/>
        </w:rPr>
        <w:t xml:space="preserve">  Additionally, this Commission’s decision must be supported by substantial evidence in the record.  More is required than a mere trace of evidence or a suspicion of the existence of a fact sought to be established.</w:t>
      </w:r>
      <w:r w:rsidRPr="004D6DF8">
        <w:rPr>
          <w:rStyle w:val="FootnoteReference"/>
          <w:sz w:val="24"/>
          <w:szCs w:val="24"/>
        </w:rPr>
        <w:footnoteReference w:id="15"/>
      </w:r>
      <w:r w:rsidRPr="004D6DF8">
        <w:rPr>
          <w:sz w:val="24"/>
          <w:szCs w:val="24"/>
        </w:rPr>
        <w:t xml:space="preserve">  </w:t>
      </w:r>
    </w:p>
    <w:p w:rsidR="004D6DF8" w:rsidRPr="004D6DF8" w:rsidRDefault="004D6DF8" w:rsidP="00DF5427">
      <w:pPr>
        <w:spacing w:line="360" w:lineRule="auto"/>
        <w:rPr>
          <w:sz w:val="24"/>
          <w:szCs w:val="24"/>
        </w:rPr>
      </w:pPr>
    </w:p>
    <w:p w:rsidR="004D6DF8" w:rsidRPr="004D6DF8" w:rsidRDefault="004D6DF8" w:rsidP="00DF5427">
      <w:pPr>
        <w:spacing w:line="360" w:lineRule="auto"/>
        <w:ind w:firstLine="1440"/>
        <w:rPr>
          <w:sz w:val="24"/>
          <w:szCs w:val="24"/>
        </w:rPr>
      </w:pPr>
      <w:r w:rsidRPr="004D6DF8">
        <w:rPr>
          <w:sz w:val="24"/>
          <w:szCs w:val="24"/>
        </w:rPr>
        <w:t>Equitable seeks approval of the affiliated interest agreement pursuant to Section 2102 of the Public Utility Code</w:t>
      </w:r>
      <w:r w:rsidR="00A166A1">
        <w:rPr>
          <w:sz w:val="24"/>
          <w:szCs w:val="24"/>
        </w:rPr>
        <w:t>,</w:t>
      </w:r>
      <w:r w:rsidRPr="004D6DF8">
        <w:rPr>
          <w:rStyle w:val="FootnoteReference"/>
          <w:sz w:val="24"/>
          <w:szCs w:val="24"/>
        </w:rPr>
        <w:footnoteReference w:id="16"/>
      </w:r>
      <w:r w:rsidRPr="004D6DF8">
        <w:rPr>
          <w:sz w:val="24"/>
          <w:szCs w:val="24"/>
        </w:rPr>
        <w:t xml:space="preserve"> as well as approval of the rate treatment of the transaction pursuant to Section 1308(a),</w:t>
      </w:r>
      <w:r w:rsidRPr="004D6DF8">
        <w:rPr>
          <w:rStyle w:val="FootnoteReference"/>
          <w:sz w:val="24"/>
          <w:szCs w:val="24"/>
        </w:rPr>
        <w:footnoteReference w:id="17"/>
      </w:r>
      <w:r w:rsidRPr="004D6DF8">
        <w:rPr>
          <w:sz w:val="24"/>
          <w:szCs w:val="24"/>
        </w:rPr>
        <w:t xml:space="preserve"> and therefore bears the burden of proof in this matter.  Although Equitable has settled with some of the parties, the proposed settlement is not unanimous. Therefore, the Commission’s standards for reviewing a non-unanimous settlement, as proposed </w:t>
      </w:r>
      <w:r w:rsidRPr="004D6DF8">
        <w:rPr>
          <w:sz w:val="24"/>
          <w:szCs w:val="24"/>
        </w:rPr>
        <w:lastRenderedPageBreak/>
        <w:t>here, are the same as those for deciding a fully</w:t>
      </w:r>
      <w:r w:rsidR="00E323AE">
        <w:rPr>
          <w:sz w:val="24"/>
          <w:szCs w:val="24"/>
        </w:rPr>
        <w:t>-</w:t>
      </w:r>
      <w:r w:rsidRPr="004D6DF8">
        <w:rPr>
          <w:sz w:val="24"/>
          <w:szCs w:val="24"/>
        </w:rPr>
        <w:t>contested case.</w:t>
      </w:r>
      <w:r w:rsidRPr="004D6DF8">
        <w:rPr>
          <w:rStyle w:val="FootnoteReference"/>
          <w:sz w:val="24"/>
          <w:szCs w:val="24"/>
        </w:rPr>
        <w:footnoteReference w:id="18"/>
      </w:r>
      <w:r w:rsidRPr="004D6DF8">
        <w:rPr>
          <w:sz w:val="24"/>
          <w:szCs w:val="24"/>
        </w:rPr>
        <w:t xml:space="preserve">  Accordingly, substantial evidence consistent with statutory requirements must support the proposed settlement.</w:t>
      </w:r>
      <w:r w:rsidRPr="004D6DF8">
        <w:rPr>
          <w:rStyle w:val="FootnoteReference"/>
          <w:sz w:val="24"/>
          <w:szCs w:val="24"/>
        </w:rPr>
        <w:footnoteReference w:id="19"/>
      </w:r>
      <w:r w:rsidRPr="004D6DF8">
        <w:rPr>
          <w:sz w:val="24"/>
          <w:szCs w:val="24"/>
        </w:rPr>
        <w:t xml:space="preserve"> </w:t>
      </w:r>
    </w:p>
    <w:p w:rsidR="004D6DF8" w:rsidRPr="004D6DF8" w:rsidRDefault="004D6DF8" w:rsidP="00DF5427">
      <w:pPr>
        <w:spacing w:line="360" w:lineRule="auto"/>
        <w:rPr>
          <w:sz w:val="24"/>
          <w:szCs w:val="24"/>
        </w:rPr>
      </w:pPr>
      <w:r w:rsidRPr="004D6DF8">
        <w:rPr>
          <w:sz w:val="24"/>
          <w:szCs w:val="24"/>
        </w:rPr>
        <w:t xml:space="preserve"> </w:t>
      </w:r>
    </w:p>
    <w:p w:rsidR="004D6DF8" w:rsidRPr="004D6DF8" w:rsidRDefault="004D6DF8" w:rsidP="00DF5427">
      <w:pPr>
        <w:spacing w:line="360" w:lineRule="auto"/>
        <w:ind w:firstLine="1440"/>
        <w:rPr>
          <w:sz w:val="24"/>
          <w:szCs w:val="24"/>
        </w:rPr>
      </w:pPr>
      <w:r w:rsidRPr="004D6DF8">
        <w:rPr>
          <w:sz w:val="24"/>
          <w:szCs w:val="24"/>
        </w:rPr>
        <w:t>Section 2102 of the Code requires Commission approval of contracts between a public utility and any affiliated interest.  The Commission will approve such affiliated interest agreements “only if it shall clearly appear and be established upon investigation that it is reasonable and consistent with the public interest.”</w:t>
      </w:r>
      <w:r w:rsidRPr="004D6DF8">
        <w:rPr>
          <w:rStyle w:val="FootnoteReference"/>
          <w:sz w:val="24"/>
          <w:szCs w:val="24"/>
        </w:rPr>
        <w:footnoteReference w:id="20"/>
      </w:r>
      <w:r w:rsidRPr="004D6DF8">
        <w:rPr>
          <w:sz w:val="24"/>
          <w:szCs w:val="24"/>
        </w:rPr>
        <w:t xml:space="preserve">  The Commission also has continuing supervision and jurisdiction over the terms and conditions of affiliated interest agreements “so far as necessary to protect and promote the public interest.”</w:t>
      </w:r>
      <w:r w:rsidRPr="004D6DF8">
        <w:rPr>
          <w:rStyle w:val="FootnoteReference"/>
          <w:sz w:val="24"/>
          <w:szCs w:val="24"/>
        </w:rPr>
        <w:footnoteReference w:id="21"/>
      </w:r>
    </w:p>
    <w:p w:rsidR="004D6DF8" w:rsidRPr="004D6DF8" w:rsidRDefault="004D6DF8" w:rsidP="00DF5427">
      <w:pPr>
        <w:spacing w:line="360" w:lineRule="auto"/>
        <w:rPr>
          <w:sz w:val="24"/>
          <w:szCs w:val="24"/>
        </w:rPr>
      </w:pPr>
      <w:r w:rsidRPr="004D6DF8">
        <w:rPr>
          <w:sz w:val="24"/>
          <w:szCs w:val="24"/>
        </w:rPr>
        <w:t xml:space="preserve">   </w:t>
      </w:r>
      <w:r w:rsidRPr="004D6DF8">
        <w:rPr>
          <w:sz w:val="24"/>
          <w:szCs w:val="24"/>
        </w:rPr>
        <w:tab/>
        <w:t xml:space="preserve"> </w:t>
      </w:r>
    </w:p>
    <w:p w:rsidR="004D6DF8" w:rsidRPr="004D6DF8" w:rsidRDefault="004D6DF8" w:rsidP="00DF5427">
      <w:pPr>
        <w:pStyle w:val="ListParagraph"/>
        <w:numPr>
          <w:ilvl w:val="0"/>
          <w:numId w:val="5"/>
        </w:numPr>
        <w:spacing w:line="360" w:lineRule="auto"/>
        <w:ind w:left="720"/>
        <w:rPr>
          <w:sz w:val="24"/>
          <w:szCs w:val="24"/>
          <w:u w:val="single"/>
        </w:rPr>
      </w:pPr>
      <w:r w:rsidRPr="004D6DF8">
        <w:rPr>
          <w:sz w:val="24"/>
          <w:szCs w:val="24"/>
          <w:u w:val="single"/>
        </w:rPr>
        <w:t>The Parties’ Positions</w:t>
      </w:r>
    </w:p>
    <w:p w:rsidR="004D6DF8" w:rsidRPr="004D6DF8" w:rsidRDefault="004D6DF8" w:rsidP="00DF5427">
      <w:pPr>
        <w:pStyle w:val="ListParagraph"/>
        <w:spacing w:line="360" w:lineRule="auto"/>
        <w:ind w:left="2160"/>
        <w:rPr>
          <w:sz w:val="24"/>
          <w:szCs w:val="24"/>
        </w:rPr>
      </w:pPr>
    </w:p>
    <w:p w:rsidR="004D6DF8" w:rsidRPr="004D6DF8" w:rsidRDefault="004D6DF8" w:rsidP="00DF5427">
      <w:pPr>
        <w:spacing w:line="360" w:lineRule="auto"/>
        <w:ind w:firstLine="1440"/>
        <w:rPr>
          <w:sz w:val="24"/>
          <w:szCs w:val="24"/>
        </w:rPr>
      </w:pPr>
      <w:r w:rsidRPr="004D6DF8">
        <w:rPr>
          <w:sz w:val="24"/>
          <w:szCs w:val="24"/>
        </w:rPr>
        <w:t>As explained above, Equitable reached an accord with OCA and OSBA which focused upon the rate treatment of the acquisition of the Goodwin and Tombaugh systems.  BIE strenuously opposes the acquisition of the systems and does not support the proposed settlement.</w:t>
      </w:r>
    </w:p>
    <w:p w:rsidR="004D6DF8" w:rsidRPr="004D6DF8" w:rsidRDefault="004D6DF8" w:rsidP="00DF5427">
      <w:pPr>
        <w:spacing w:line="360" w:lineRule="auto"/>
        <w:ind w:firstLine="720"/>
        <w:rPr>
          <w:sz w:val="24"/>
          <w:szCs w:val="24"/>
        </w:rPr>
      </w:pPr>
    </w:p>
    <w:p w:rsidR="004D6DF8" w:rsidRPr="004D6DF8" w:rsidRDefault="004D6DF8" w:rsidP="00DF5427">
      <w:pPr>
        <w:pStyle w:val="ListParagraph"/>
        <w:numPr>
          <w:ilvl w:val="0"/>
          <w:numId w:val="6"/>
        </w:numPr>
        <w:spacing w:line="360" w:lineRule="auto"/>
        <w:ind w:left="1440"/>
        <w:rPr>
          <w:sz w:val="24"/>
          <w:szCs w:val="24"/>
          <w:u w:val="single"/>
        </w:rPr>
      </w:pPr>
      <w:r w:rsidRPr="004D6DF8">
        <w:rPr>
          <w:sz w:val="24"/>
          <w:szCs w:val="24"/>
          <w:u w:val="single"/>
        </w:rPr>
        <w:t>Equitable’s Position</w:t>
      </w:r>
    </w:p>
    <w:p w:rsidR="004D6DF8" w:rsidRPr="004D6DF8" w:rsidRDefault="004D6DF8" w:rsidP="00DF5427">
      <w:pPr>
        <w:pStyle w:val="ListParagraph"/>
        <w:spacing w:line="360" w:lineRule="auto"/>
        <w:ind w:left="2160"/>
        <w:rPr>
          <w:sz w:val="24"/>
          <w:szCs w:val="24"/>
        </w:rPr>
      </w:pPr>
    </w:p>
    <w:p w:rsidR="004D6DF8" w:rsidRPr="004D6DF8" w:rsidRDefault="004D6DF8" w:rsidP="00DF5427">
      <w:pPr>
        <w:spacing w:line="360" w:lineRule="auto"/>
        <w:ind w:firstLine="1440"/>
        <w:rPr>
          <w:sz w:val="24"/>
          <w:szCs w:val="24"/>
        </w:rPr>
      </w:pPr>
      <w:r w:rsidRPr="004D6DF8">
        <w:rPr>
          <w:sz w:val="24"/>
          <w:szCs w:val="24"/>
        </w:rPr>
        <w:t xml:space="preserve">According to Equitable, with the exception of the cost of the initial assessment project (which is capped at $2 million and, otherwise, must be “prudently incurred” under the settlement terms), the Joint Settlement Agreement provides no assurance for Equitable of rate recovery of any expense or investment related to the Gathering Systems.  Ratemaking claims and Commission decisions concerning them remain for consideration in future proceedings, without prejudice to any position any of the Settling Parties may take in those proceedings. </w:t>
      </w:r>
    </w:p>
    <w:p w:rsidR="004D6DF8" w:rsidRPr="004D6DF8" w:rsidRDefault="004D6DF8" w:rsidP="00DF5427">
      <w:pPr>
        <w:spacing w:line="360" w:lineRule="auto"/>
        <w:ind w:firstLine="720"/>
        <w:rPr>
          <w:sz w:val="24"/>
          <w:szCs w:val="24"/>
        </w:rPr>
      </w:pPr>
      <w:r w:rsidRPr="004D6DF8">
        <w:rPr>
          <w:sz w:val="24"/>
          <w:szCs w:val="24"/>
        </w:rPr>
        <w:t xml:space="preserve"> </w:t>
      </w:r>
    </w:p>
    <w:p w:rsidR="004D6DF8" w:rsidRPr="004D6DF8" w:rsidRDefault="004D6DF8" w:rsidP="00DF5427">
      <w:pPr>
        <w:spacing w:line="360" w:lineRule="auto"/>
        <w:ind w:firstLine="1440"/>
        <w:rPr>
          <w:sz w:val="24"/>
          <w:szCs w:val="24"/>
        </w:rPr>
      </w:pPr>
      <w:r w:rsidRPr="004D6DF8">
        <w:rPr>
          <w:sz w:val="24"/>
          <w:szCs w:val="24"/>
        </w:rPr>
        <w:lastRenderedPageBreak/>
        <w:t>Equitable, moreover, has agreed in settlement that any dollar value it might pay to its affiliates to accomplish the transfers will not be recoverable in future rates.  It has also agreed in settlement to withdraw proposed Rider E.  These points were advocated by OCA and OSBA through their respective witnesses and, initially, opposed by Equitable.  Equitable, however, accepted them in settlement of these proceedings.  Consistent with traditional ratemaking principles, Equitable will seek rate recovery of capital expenditures and expenses related to the Gathering Systems in future base rate or other Commission proceedings.</w:t>
      </w:r>
    </w:p>
    <w:p w:rsidR="004D6DF8" w:rsidRPr="004D6DF8" w:rsidRDefault="004D6DF8" w:rsidP="004D6DF8">
      <w:pPr>
        <w:ind w:firstLine="720"/>
        <w:rPr>
          <w:sz w:val="24"/>
          <w:szCs w:val="24"/>
        </w:rPr>
      </w:pPr>
    </w:p>
    <w:p w:rsidR="004D6DF8" w:rsidRPr="004D6DF8" w:rsidRDefault="004D6DF8" w:rsidP="00DF5427">
      <w:pPr>
        <w:spacing w:line="360" w:lineRule="auto"/>
        <w:ind w:firstLine="1440"/>
        <w:rPr>
          <w:sz w:val="24"/>
          <w:szCs w:val="24"/>
        </w:rPr>
      </w:pPr>
      <w:r w:rsidRPr="004D6DF8">
        <w:rPr>
          <w:sz w:val="24"/>
          <w:szCs w:val="24"/>
        </w:rPr>
        <w:t xml:space="preserve">In Equitable’s view, the Joint Settlement Agreement has built in financial protections for customers on and off the Gathering Systems and provides the types of protections afforded under traditional ratemaking and regulatory principles. </w:t>
      </w:r>
      <w:r w:rsidR="00A166A1">
        <w:rPr>
          <w:sz w:val="24"/>
          <w:szCs w:val="24"/>
        </w:rPr>
        <w:t xml:space="preserve"> </w:t>
      </w:r>
      <w:r w:rsidRPr="004D6DF8">
        <w:rPr>
          <w:sz w:val="24"/>
          <w:szCs w:val="24"/>
        </w:rPr>
        <w:t xml:space="preserve">Equitable argues that the settlement puts ratepayers in the same position as if Equitable had always owned and operated the Gathering Systems. </w:t>
      </w:r>
    </w:p>
    <w:p w:rsidR="004D6DF8" w:rsidRPr="004D6DF8" w:rsidRDefault="004D6DF8" w:rsidP="00DF5427">
      <w:pPr>
        <w:spacing w:line="360" w:lineRule="auto"/>
        <w:ind w:firstLine="1440"/>
        <w:rPr>
          <w:sz w:val="24"/>
          <w:szCs w:val="24"/>
        </w:rPr>
      </w:pPr>
      <w:r w:rsidRPr="004D6DF8">
        <w:rPr>
          <w:sz w:val="24"/>
          <w:szCs w:val="24"/>
        </w:rPr>
        <w:t xml:space="preserve"> </w:t>
      </w:r>
    </w:p>
    <w:p w:rsidR="004D6DF8" w:rsidRPr="004D6DF8" w:rsidRDefault="004D6DF8" w:rsidP="00DF5427">
      <w:pPr>
        <w:spacing w:line="360" w:lineRule="auto"/>
        <w:ind w:firstLine="1440"/>
        <w:rPr>
          <w:sz w:val="24"/>
          <w:szCs w:val="24"/>
        </w:rPr>
      </w:pPr>
      <w:r w:rsidRPr="004D6DF8">
        <w:rPr>
          <w:sz w:val="24"/>
          <w:szCs w:val="24"/>
        </w:rPr>
        <w:t xml:space="preserve">The Settling Parties have addressed LUFG and potential safety concerns as part of the Joint Settlement Agreement and have agreed that Equitable should undertake a 12-month investigation of LUFG (which will include leak surveying and any necessary leak repair), including potential safety concerns, initiate rehabilitation consistent with the results of the investigation and report its findings to the Settling Parties.  Equitable is experienced in assessing and rehabilitating gathering systems.  It will employ the same multi-step, iterative process to the Goodwin and Tombaugh Gathering Systems as it applied to the Crooked Creek Gathering System. </w:t>
      </w:r>
    </w:p>
    <w:p w:rsidR="004D6DF8" w:rsidRPr="004D6DF8" w:rsidRDefault="004D6DF8" w:rsidP="00DF5427">
      <w:pPr>
        <w:spacing w:line="360" w:lineRule="auto"/>
        <w:ind w:firstLine="1440"/>
        <w:rPr>
          <w:sz w:val="24"/>
          <w:szCs w:val="24"/>
        </w:rPr>
      </w:pPr>
      <w:r w:rsidRPr="004D6DF8">
        <w:rPr>
          <w:sz w:val="24"/>
          <w:szCs w:val="24"/>
        </w:rPr>
        <w:t xml:space="preserve"> </w:t>
      </w:r>
    </w:p>
    <w:p w:rsidR="004D6DF8" w:rsidRPr="004D6DF8" w:rsidRDefault="004D6DF8" w:rsidP="00DF5427">
      <w:pPr>
        <w:spacing w:line="360" w:lineRule="auto"/>
        <w:ind w:firstLine="1440"/>
        <w:rPr>
          <w:sz w:val="24"/>
          <w:szCs w:val="24"/>
        </w:rPr>
      </w:pPr>
      <w:r w:rsidRPr="004D6DF8">
        <w:rPr>
          <w:sz w:val="24"/>
          <w:szCs w:val="24"/>
        </w:rPr>
        <w:t xml:space="preserve">Equitable witness Grabiec testified at length about the company’s efforts to investigate and rehabilitate the Crooked Creek Gathering System in Armstrong and Indiana Counties.  This large gathering system dates from the beginning of the 20th Century and includes approximately 814 miles of gathering pipeline and is used, in part, by Equitable to serve approximately 3,500 retail end use customers. </w:t>
      </w:r>
      <w:r w:rsidR="00A166A1">
        <w:rPr>
          <w:sz w:val="24"/>
          <w:szCs w:val="24"/>
        </w:rPr>
        <w:t xml:space="preserve"> </w:t>
      </w:r>
      <w:r w:rsidRPr="004D6DF8">
        <w:rPr>
          <w:sz w:val="24"/>
          <w:szCs w:val="24"/>
        </w:rPr>
        <w:t>Equitable takes the position that its investigative and rehabilitation efforts for the Crooked Creek Gathering System provide a model for what can be done for the Goodwin and Tombaugh Gathering Systems.</w:t>
      </w:r>
    </w:p>
    <w:p w:rsidR="004D6DF8" w:rsidRPr="004D6DF8" w:rsidRDefault="004D6DF8" w:rsidP="00DF5427">
      <w:pPr>
        <w:spacing w:line="360" w:lineRule="auto"/>
        <w:ind w:firstLine="1440"/>
        <w:rPr>
          <w:sz w:val="24"/>
          <w:szCs w:val="24"/>
        </w:rPr>
      </w:pPr>
    </w:p>
    <w:p w:rsidR="004D6DF8" w:rsidRPr="004D6DF8" w:rsidRDefault="004D6DF8" w:rsidP="00DF5427">
      <w:pPr>
        <w:spacing w:line="360" w:lineRule="auto"/>
        <w:ind w:firstLine="1440"/>
        <w:rPr>
          <w:sz w:val="24"/>
          <w:szCs w:val="24"/>
        </w:rPr>
      </w:pPr>
      <w:r w:rsidRPr="004D6DF8">
        <w:rPr>
          <w:sz w:val="24"/>
          <w:szCs w:val="24"/>
        </w:rPr>
        <w:lastRenderedPageBreak/>
        <w:t>Equitable points to Mr. Cooper’s testimony that EQT Gathering and Equitrans have adequately maintained these Gathering Systems, including maintaining a proper leak identification and repair program, consistent with their rural location and low pressure operating characteristics and that safety concerns are unfounded.  Although federal pipeline safety regulations do not generally apply to these Gathering Systems, EQT Gathering and Equitrans utilize those regulations as a proxy for managing the pipeline facilities.  Equitable, moreover, has conducted initial due diligence, including a review of the leak history and current leak balance, and does not view the reported LUFG levels as safety concerns that would prevent it from safely operating the Gathering Systems.</w:t>
      </w:r>
    </w:p>
    <w:p w:rsidR="004D6DF8" w:rsidRPr="004D6DF8" w:rsidRDefault="004D6DF8" w:rsidP="00DF5427">
      <w:pPr>
        <w:spacing w:line="360" w:lineRule="auto"/>
        <w:ind w:firstLine="1440"/>
        <w:rPr>
          <w:sz w:val="24"/>
          <w:szCs w:val="24"/>
        </w:rPr>
      </w:pPr>
    </w:p>
    <w:p w:rsidR="004D6DF8" w:rsidRPr="004D6DF8" w:rsidRDefault="004D6DF8" w:rsidP="00DF5427">
      <w:pPr>
        <w:spacing w:line="360" w:lineRule="auto"/>
        <w:ind w:firstLine="1440"/>
        <w:rPr>
          <w:sz w:val="24"/>
          <w:szCs w:val="24"/>
        </w:rPr>
      </w:pPr>
      <w:r w:rsidRPr="004D6DF8">
        <w:rPr>
          <w:sz w:val="24"/>
          <w:szCs w:val="24"/>
        </w:rPr>
        <w:t xml:space="preserve">Equitable’s expectation is that it will be able to reduce the LUFG on the Gathering Systems considerably and also operate the Gathering Systems safely.  Based on the information available to the company and its experience with the Crooked Creek Gathering System, Equitable is not anticipating the replacement of all, or even a large part, of the 379 miles of gathering pipe in order to operate a safe system.  As with the Crooked Creek Gathering System, the company will make safety and economic decisions on whether it renews (remediates or replaces) or abandons pipeline segments as it moves forward with the segmentation process. </w:t>
      </w:r>
    </w:p>
    <w:p w:rsidR="004D6DF8" w:rsidRPr="004D6DF8" w:rsidRDefault="004D6DF8" w:rsidP="00DF5427">
      <w:pPr>
        <w:spacing w:line="360" w:lineRule="auto"/>
        <w:ind w:firstLine="1440"/>
        <w:rPr>
          <w:sz w:val="24"/>
          <w:szCs w:val="24"/>
        </w:rPr>
      </w:pPr>
    </w:p>
    <w:p w:rsidR="004D6DF8" w:rsidRPr="004D6DF8" w:rsidRDefault="004D6DF8" w:rsidP="00DF5427">
      <w:pPr>
        <w:spacing w:line="360" w:lineRule="auto"/>
        <w:ind w:firstLine="1440"/>
        <w:rPr>
          <w:sz w:val="24"/>
          <w:szCs w:val="24"/>
        </w:rPr>
      </w:pPr>
      <w:r w:rsidRPr="004D6DF8">
        <w:rPr>
          <w:sz w:val="24"/>
          <w:szCs w:val="24"/>
        </w:rPr>
        <w:t>Equitable contends that if the Gathering Systems were leaking gas at the reported LUFG levels, Equitable, Equitrans or EQT Gathering would be receiving far more reports of natural gas odor than are occurring.  Although Equitable is not the owner of the Gathering Systems, natural gas odor would typically be reported to it as the local distribution company serving the area.  However, calls reporting gas odors are relatively infrequent.  Finally, if the cause of the reported LUFG w</w:t>
      </w:r>
      <w:r w:rsidR="0026373C">
        <w:rPr>
          <w:sz w:val="24"/>
          <w:szCs w:val="24"/>
        </w:rPr>
        <w:t>as</w:t>
      </w:r>
      <w:r w:rsidRPr="004D6DF8">
        <w:rPr>
          <w:sz w:val="24"/>
          <w:szCs w:val="24"/>
        </w:rPr>
        <w:t xml:space="preserve"> leaking gas, the number of leaks would be much higher than those which are known to exist. </w:t>
      </w:r>
    </w:p>
    <w:p w:rsidR="004D6DF8" w:rsidRPr="004D6DF8" w:rsidRDefault="004D6DF8" w:rsidP="00DF5427">
      <w:pPr>
        <w:spacing w:line="360" w:lineRule="auto"/>
        <w:ind w:firstLine="1440"/>
        <w:rPr>
          <w:sz w:val="24"/>
          <w:szCs w:val="24"/>
        </w:rPr>
      </w:pPr>
    </w:p>
    <w:p w:rsidR="004D6DF8" w:rsidRPr="004D6DF8" w:rsidRDefault="004D6DF8" w:rsidP="00DF5427">
      <w:pPr>
        <w:spacing w:line="360" w:lineRule="auto"/>
        <w:ind w:firstLine="1440"/>
        <w:rPr>
          <w:sz w:val="24"/>
          <w:szCs w:val="24"/>
        </w:rPr>
      </w:pPr>
      <w:r w:rsidRPr="004D6DF8">
        <w:rPr>
          <w:sz w:val="24"/>
          <w:szCs w:val="24"/>
        </w:rPr>
        <w:t xml:space="preserve">Equitable, OCA and OSBA believe it is reasonable and in the public interest for Equitable to move forward and acquire the Gathering Systems.  The acquisitions are necessary if all, or a significant number, of the Field Line Customers are to continue to receive natural gas service.  Equitable states that it is not in any way compromising safety.  Instead, it is proposing without any change to current rates, to maintain the status quo of continued natural gas service to </w:t>
      </w:r>
      <w:r w:rsidRPr="004D6DF8">
        <w:rPr>
          <w:sz w:val="24"/>
          <w:szCs w:val="24"/>
        </w:rPr>
        <w:lastRenderedPageBreak/>
        <w:t xml:space="preserve">the Field Line Customers while Equitable conducts a 12-month assessment of the Gathering Systems.  Equitable intends to continue compliance with any applicable pipeline safety laws and regulations regarding the Gathering Systems. </w:t>
      </w:r>
    </w:p>
    <w:p w:rsidR="004D6DF8" w:rsidRPr="004D6DF8" w:rsidRDefault="004D6DF8" w:rsidP="00DF5427">
      <w:pPr>
        <w:spacing w:line="360" w:lineRule="auto"/>
        <w:ind w:firstLine="1440"/>
        <w:rPr>
          <w:sz w:val="24"/>
          <w:szCs w:val="24"/>
        </w:rPr>
      </w:pPr>
      <w:r w:rsidRPr="004D6DF8">
        <w:rPr>
          <w:sz w:val="24"/>
          <w:szCs w:val="24"/>
        </w:rPr>
        <w:t xml:space="preserve"> </w:t>
      </w:r>
    </w:p>
    <w:p w:rsidR="004D6DF8" w:rsidRPr="004D6DF8" w:rsidRDefault="004D6DF8" w:rsidP="00DF5427">
      <w:pPr>
        <w:spacing w:line="360" w:lineRule="auto"/>
        <w:ind w:firstLine="1440"/>
        <w:rPr>
          <w:sz w:val="24"/>
          <w:szCs w:val="24"/>
        </w:rPr>
      </w:pPr>
      <w:r w:rsidRPr="004D6DF8">
        <w:rPr>
          <w:sz w:val="24"/>
          <w:szCs w:val="24"/>
        </w:rPr>
        <w:t>Equitable emphasizes that the proposed project is in the public interest because it  must wait for a future base rate or other Commission proceeding to seek recovery of any investment it might make to rehabilitate the Gathering Systems.  With the exception of the prudently</w:t>
      </w:r>
      <w:r w:rsidR="00E323AE">
        <w:rPr>
          <w:sz w:val="24"/>
          <w:szCs w:val="24"/>
        </w:rPr>
        <w:t>-</w:t>
      </w:r>
      <w:r w:rsidRPr="004D6DF8">
        <w:rPr>
          <w:sz w:val="24"/>
          <w:szCs w:val="24"/>
        </w:rPr>
        <w:t>incurred expenditures related to the 12-month initial investigation, the Joint Settlement Agreement is without prejudice to any position any Settling Party might make in a future proceeding in which Equitable seeks rate recovery.</w:t>
      </w:r>
    </w:p>
    <w:p w:rsidR="004D6DF8" w:rsidRPr="004D6DF8" w:rsidRDefault="004D6DF8" w:rsidP="00DF5427">
      <w:pPr>
        <w:spacing w:line="360" w:lineRule="auto"/>
        <w:ind w:firstLine="1440"/>
        <w:rPr>
          <w:sz w:val="24"/>
          <w:szCs w:val="24"/>
        </w:rPr>
      </w:pPr>
    </w:p>
    <w:p w:rsidR="004D6DF8" w:rsidRPr="004D6DF8" w:rsidRDefault="004D6DF8" w:rsidP="00DF5427">
      <w:pPr>
        <w:spacing w:line="360" w:lineRule="auto"/>
        <w:ind w:firstLine="1440"/>
        <w:rPr>
          <w:sz w:val="24"/>
          <w:szCs w:val="24"/>
        </w:rPr>
      </w:pPr>
      <w:r w:rsidRPr="004D6DF8">
        <w:rPr>
          <w:sz w:val="24"/>
          <w:szCs w:val="24"/>
        </w:rPr>
        <w:t>The Joint Settlement Agreement further protects the interests of the public, including the customers other than the Field Line Customers on the Gathering Systems, through the “Express Reservation” term whereby OCA, OSBA and Equitable may withdraw their further support for rehabilitation after review of the initial assessment report and revised cost estimates.  Thus, for example, if Equitable’s initial assessment were to conclude that the entirety of the Gathering Systems must be replaced at a cost of many millions of dollars, each of the Settling Parties would have the opportunity to withdraw support for rehabilitation that they view as overly costly and take whatever additional steps they deem appropriate.</w:t>
      </w:r>
    </w:p>
    <w:p w:rsidR="004D6DF8" w:rsidRPr="004D6DF8" w:rsidRDefault="004D6DF8" w:rsidP="00DF5427">
      <w:pPr>
        <w:spacing w:line="360" w:lineRule="auto"/>
        <w:ind w:firstLine="1440"/>
        <w:rPr>
          <w:sz w:val="24"/>
          <w:szCs w:val="24"/>
        </w:rPr>
      </w:pPr>
    </w:p>
    <w:p w:rsidR="004D6DF8" w:rsidRPr="004D6DF8" w:rsidRDefault="004D6DF8" w:rsidP="00DF5427">
      <w:pPr>
        <w:spacing w:line="360" w:lineRule="auto"/>
        <w:ind w:firstLine="1440"/>
        <w:rPr>
          <w:sz w:val="24"/>
          <w:szCs w:val="24"/>
        </w:rPr>
      </w:pPr>
      <w:r w:rsidRPr="004D6DF8">
        <w:rPr>
          <w:sz w:val="24"/>
          <w:szCs w:val="24"/>
        </w:rPr>
        <w:t xml:space="preserve">If the results of the initial assessment are consistent with Equitable’s experience with the Crooked Creek Gathering System as Equitable believes that they will be, investment dollars will likely be part of Equitable’s rehabilitation effort.  As an initial step, Equitable states that it will only make such investment decisions in a manner that is prudent, balancing, among other things, the number of customers impacted and the size of the investments required.  </w:t>
      </w:r>
    </w:p>
    <w:p w:rsidR="004D6DF8" w:rsidRPr="004D6DF8" w:rsidRDefault="004D6DF8" w:rsidP="00DF5427">
      <w:pPr>
        <w:spacing w:line="360" w:lineRule="auto"/>
        <w:ind w:firstLine="1440"/>
        <w:rPr>
          <w:sz w:val="24"/>
          <w:szCs w:val="24"/>
        </w:rPr>
      </w:pPr>
    </w:p>
    <w:p w:rsidR="004D6DF8" w:rsidRPr="004D6DF8" w:rsidRDefault="004D6DF8" w:rsidP="00DF5427">
      <w:pPr>
        <w:spacing w:line="360" w:lineRule="auto"/>
        <w:ind w:firstLine="1440"/>
        <w:rPr>
          <w:sz w:val="24"/>
          <w:szCs w:val="24"/>
        </w:rPr>
      </w:pPr>
      <w:r w:rsidRPr="004D6DF8">
        <w:rPr>
          <w:sz w:val="24"/>
          <w:szCs w:val="24"/>
        </w:rPr>
        <w:t xml:space="preserve">Assuming that Equitable has prudently invested in those rehabilitation efforts for these Gathering Systems, the socialization of rehabilitation costs over a utility’s entire customer base is an important part of utility ratemaking.  Through rates, for example, the Field Line Customers have contributed to the costs of system maintenance of facilities used to serve other Equitable customers.  When rates are changed to reflect rehabilitation costs of the Goodwin and </w:t>
      </w:r>
      <w:r w:rsidRPr="004D6DF8">
        <w:rPr>
          <w:sz w:val="24"/>
          <w:szCs w:val="24"/>
        </w:rPr>
        <w:lastRenderedPageBreak/>
        <w:t>Tombaugh Gathering Systems, other customers, as well as the Field Line Customers, will appropriately pay the socialized costs of rehabilitating these Gathering Systems.  The potential socialization of these rehabilitation costs is no different than the socialization of the costs of rehabilitating any of the many small water or wastewater systems acquired by larger water or wastewater systems with Commission approval.  Indeed, the Commission’s Policy Statements regarding the acquisition of smaller viable and nonviable water and wastewater systems encourage such acquisitions through the use of various regulatory incentives, including the allowance of acquisition adjustments to rate base and the deferred recovery of acquisition improvement costs.  Again, however, as set forth above, the Joint Settlement Agreement reserves the rights of each Settling Party in the event of rehabilitation efforts that might be viewed as overly costly.</w:t>
      </w:r>
    </w:p>
    <w:p w:rsidR="004D6DF8" w:rsidRPr="004D6DF8" w:rsidRDefault="004D6DF8" w:rsidP="00DF5427">
      <w:pPr>
        <w:spacing w:line="360" w:lineRule="auto"/>
        <w:ind w:firstLine="1440"/>
        <w:rPr>
          <w:sz w:val="24"/>
          <w:szCs w:val="24"/>
        </w:rPr>
      </w:pPr>
      <w:r w:rsidRPr="004D6DF8">
        <w:rPr>
          <w:sz w:val="24"/>
          <w:szCs w:val="24"/>
        </w:rPr>
        <w:t xml:space="preserve">  </w:t>
      </w:r>
    </w:p>
    <w:p w:rsidR="004D6DF8" w:rsidRPr="004D6DF8" w:rsidRDefault="004D6DF8" w:rsidP="00DF5427">
      <w:pPr>
        <w:spacing w:line="360" w:lineRule="auto"/>
        <w:ind w:firstLine="1440"/>
        <w:rPr>
          <w:sz w:val="24"/>
          <w:szCs w:val="24"/>
        </w:rPr>
      </w:pPr>
      <w:r w:rsidRPr="004D6DF8">
        <w:rPr>
          <w:sz w:val="24"/>
          <w:szCs w:val="24"/>
        </w:rPr>
        <w:t>In sum, Equitable takes the position that the proposed project is in the public interest because it preserves service to the Field Line Customers and minimizes rate impact on its customers by deferring cost recovery for the investigation and remediation of the Gathering Systems.</w:t>
      </w:r>
    </w:p>
    <w:p w:rsidR="004D6DF8" w:rsidRPr="004D6DF8" w:rsidRDefault="004D6DF8" w:rsidP="00DF5427">
      <w:pPr>
        <w:spacing w:line="360" w:lineRule="auto"/>
        <w:ind w:firstLine="1440"/>
        <w:rPr>
          <w:sz w:val="24"/>
          <w:szCs w:val="24"/>
        </w:rPr>
      </w:pPr>
    </w:p>
    <w:p w:rsidR="004D6DF8" w:rsidRPr="004D6DF8" w:rsidRDefault="004D6DF8" w:rsidP="00DF5427">
      <w:pPr>
        <w:spacing w:line="360" w:lineRule="auto"/>
        <w:rPr>
          <w:sz w:val="24"/>
          <w:szCs w:val="24"/>
          <w:u w:val="single"/>
        </w:rPr>
      </w:pPr>
      <w:r w:rsidRPr="004D6DF8">
        <w:rPr>
          <w:sz w:val="24"/>
          <w:szCs w:val="24"/>
        </w:rPr>
        <w:tab/>
        <w:t>2.</w:t>
      </w:r>
      <w:r w:rsidRPr="004D6DF8">
        <w:rPr>
          <w:sz w:val="24"/>
          <w:szCs w:val="24"/>
        </w:rPr>
        <w:tab/>
      </w:r>
      <w:r w:rsidRPr="004D6DF8">
        <w:rPr>
          <w:sz w:val="24"/>
          <w:szCs w:val="24"/>
          <w:u w:val="single"/>
        </w:rPr>
        <w:t>OCA’s Position</w:t>
      </w:r>
    </w:p>
    <w:p w:rsidR="004D6DF8" w:rsidRPr="004D6DF8" w:rsidRDefault="004D6DF8" w:rsidP="00DF5427">
      <w:pPr>
        <w:spacing w:line="360" w:lineRule="auto"/>
        <w:rPr>
          <w:sz w:val="24"/>
          <w:szCs w:val="24"/>
        </w:rPr>
      </w:pPr>
    </w:p>
    <w:p w:rsidR="004D6DF8" w:rsidRPr="004D6DF8" w:rsidRDefault="004D6DF8" w:rsidP="00DF5427">
      <w:pPr>
        <w:spacing w:line="360" w:lineRule="auto"/>
        <w:ind w:firstLine="1440"/>
        <w:rPr>
          <w:sz w:val="24"/>
          <w:szCs w:val="24"/>
        </w:rPr>
      </w:pPr>
      <w:r w:rsidRPr="004D6DF8">
        <w:rPr>
          <w:sz w:val="24"/>
          <w:szCs w:val="24"/>
        </w:rPr>
        <w:t>OCA’s chief concern was the rate treatment of the costs associated with the acquisition of the Gathering Systems and the preservation of service to the Field Line Customers.  OCA explains that Equitable proposed to purchase the Gathering Systems from its Affiliates for the combined net book value of the Gathering Systems, approximately $2 million.</w:t>
      </w:r>
      <w:r w:rsidRPr="004D6DF8">
        <w:rPr>
          <w:rStyle w:val="FootnoteReference"/>
          <w:sz w:val="24"/>
          <w:szCs w:val="24"/>
        </w:rPr>
        <w:footnoteReference w:id="22"/>
      </w:r>
      <w:r w:rsidRPr="004D6DF8">
        <w:rPr>
          <w:sz w:val="24"/>
          <w:szCs w:val="24"/>
        </w:rPr>
        <w:t xml:space="preserve">  OCA was opposed to the company paying its affiliates for these assets, or in the alternative, recovering any of the purchase price from ratepayers if it did consummate the transaction as proposed.  In OCA’s view, the settlement resolves OCA’s concerns over the purchase price of the Gathering Systems, in that ratepayers will not be asked to fund any part of the purchase price.  The agreement not to seek recovery of the purchase price is a benefit for all of Equitable’s customers.  OCA submits that this resolution of the purchase price of the Gathering Systems is reasonable </w:t>
      </w:r>
      <w:r w:rsidRPr="004D6DF8">
        <w:rPr>
          <w:sz w:val="24"/>
          <w:szCs w:val="24"/>
        </w:rPr>
        <w:lastRenderedPageBreak/>
        <w:t>and in the public interest, as Equitable’s shareholders and not its ratepayers will shoulder whatever level of expense is required to purchase the assets.</w:t>
      </w:r>
    </w:p>
    <w:p w:rsidR="004D6DF8" w:rsidRPr="004D6DF8" w:rsidRDefault="004D6DF8" w:rsidP="00DF5427">
      <w:pPr>
        <w:spacing w:line="360" w:lineRule="auto"/>
        <w:rPr>
          <w:sz w:val="24"/>
          <w:szCs w:val="24"/>
        </w:rPr>
      </w:pPr>
    </w:p>
    <w:p w:rsidR="004D6DF8" w:rsidRPr="004D6DF8" w:rsidRDefault="004D6DF8" w:rsidP="00DF5427">
      <w:pPr>
        <w:spacing w:line="360" w:lineRule="auto"/>
        <w:rPr>
          <w:sz w:val="24"/>
          <w:szCs w:val="24"/>
        </w:rPr>
      </w:pPr>
      <w:r w:rsidRPr="004D6DF8">
        <w:rPr>
          <w:sz w:val="24"/>
          <w:szCs w:val="24"/>
        </w:rPr>
        <w:tab/>
      </w:r>
      <w:r w:rsidR="00032949">
        <w:rPr>
          <w:sz w:val="24"/>
          <w:szCs w:val="24"/>
        </w:rPr>
        <w:tab/>
      </w:r>
      <w:r w:rsidRPr="004D6DF8">
        <w:rPr>
          <w:sz w:val="24"/>
          <w:szCs w:val="24"/>
        </w:rPr>
        <w:t>OCA’s testimony in this matter also focused on the potential cost consequences and ratemaking treatment of this transaction.  One of these costs, the initial Equitable estimate of $12 million for repair and rehabilitation efforts to the Gathering Systems over the next several years, was of concern.</w:t>
      </w:r>
      <w:r w:rsidRPr="004D6DF8">
        <w:rPr>
          <w:rStyle w:val="FootnoteReference"/>
          <w:sz w:val="24"/>
          <w:szCs w:val="24"/>
        </w:rPr>
        <w:footnoteReference w:id="23"/>
      </w:r>
      <w:r w:rsidRPr="004D6DF8">
        <w:rPr>
          <w:sz w:val="24"/>
          <w:szCs w:val="24"/>
        </w:rPr>
        <w:t xml:space="preserve">  This initial estimate was tied to the investigation, analysis and necessary repairs to address the high levels of LUFG identified on the Gathering Systems.  OCA was concerned that these costs were not fully developed at this time, and could substantially exceed the initial estimate of $12 million provided by the Company.  Related to this cost consideration, was the treatment of the Field Line Customers that Equitable serves off of these Gathering Systems.  OCA was concerned with not only the potential costs to repair these facilities, but also the potential cost consequences to these customers and the system if these customers were abandoned.</w:t>
      </w:r>
    </w:p>
    <w:p w:rsidR="004D6DF8" w:rsidRPr="004D6DF8" w:rsidRDefault="004D6DF8" w:rsidP="00DF5427">
      <w:pPr>
        <w:spacing w:line="360" w:lineRule="auto"/>
        <w:rPr>
          <w:sz w:val="24"/>
          <w:szCs w:val="24"/>
        </w:rPr>
      </w:pPr>
    </w:p>
    <w:p w:rsidR="004D6DF8" w:rsidRPr="004D6DF8" w:rsidRDefault="004D6DF8" w:rsidP="00DF5427">
      <w:pPr>
        <w:spacing w:line="360" w:lineRule="auto"/>
        <w:ind w:firstLine="1440"/>
        <w:rPr>
          <w:sz w:val="24"/>
          <w:szCs w:val="24"/>
        </w:rPr>
      </w:pPr>
      <w:r w:rsidRPr="004D6DF8">
        <w:rPr>
          <w:sz w:val="24"/>
          <w:szCs w:val="24"/>
        </w:rPr>
        <w:t>However, relying on the rebuttal testimony of Equitable’s witness Bruce Grabiec, Equitable’s Direct</w:t>
      </w:r>
      <w:r w:rsidR="00032949">
        <w:rPr>
          <w:sz w:val="24"/>
          <w:szCs w:val="24"/>
        </w:rPr>
        <w:t>or</w:t>
      </w:r>
      <w:r w:rsidRPr="004D6DF8">
        <w:rPr>
          <w:sz w:val="24"/>
          <w:szCs w:val="24"/>
        </w:rPr>
        <w:t xml:space="preserve"> of Field Operations, OCA agreed to a 12-month assessment period in order to determine the extent of remediation that might be necessary on the Gathering Systems.  Once Equitable acquires the assets it will commence an accelerated investigation of the condition of the system, identify safety concerns, identify major contributors to the LUFG levels, identify projected repair costs and ultimately provide an initial assessment report for review.  During this 12-month initial assessment period, Equitable will be able to effect necessary, prudent rehabilitation and repairs to the Gathering Systems with agreed-to cost recovery of up to $2 million.  Based on Equitable’s filings and responses to discovery, the Settling Parties agreed that an initial investment of $2 million was a reasonable resource commitment.  During this initial assessment process, Equitable will provide quarterly updates on its progress.  </w:t>
      </w:r>
    </w:p>
    <w:p w:rsidR="004D6DF8" w:rsidRPr="004D6DF8" w:rsidRDefault="004D6DF8" w:rsidP="00DF5427">
      <w:pPr>
        <w:spacing w:line="360" w:lineRule="auto"/>
        <w:rPr>
          <w:sz w:val="24"/>
          <w:szCs w:val="24"/>
        </w:rPr>
      </w:pPr>
    </w:p>
    <w:p w:rsidR="004D6DF8" w:rsidRPr="004D6DF8" w:rsidRDefault="004D6DF8" w:rsidP="00DF5427">
      <w:pPr>
        <w:spacing w:line="360" w:lineRule="auto"/>
        <w:ind w:firstLine="1440"/>
        <w:rPr>
          <w:sz w:val="24"/>
          <w:szCs w:val="24"/>
        </w:rPr>
      </w:pPr>
      <w:r w:rsidRPr="004D6DF8">
        <w:rPr>
          <w:sz w:val="24"/>
          <w:szCs w:val="24"/>
        </w:rPr>
        <w:t xml:space="preserve">OCA submits that the evidence of record in this proceeding has not been able to confirm the level of repairs that may be needed in order for Equitable to provide continued service on these Gathering Systems.  The testimony leads to the conclusion that a “boots on the </w:t>
      </w:r>
      <w:r w:rsidRPr="004D6DF8">
        <w:rPr>
          <w:sz w:val="24"/>
          <w:szCs w:val="24"/>
        </w:rPr>
        <w:lastRenderedPageBreak/>
        <w:t xml:space="preserve">ground” approach is necessary to evaluate the assets.  </w:t>
      </w:r>
      <w:r w:rsidR="001F28C1">
        <w:rPr>
          <w:sz w:val="24"/>
          <w:szCs w:val="24"/>
        </w:rPr>
        <w:t>In OCA’s view, t</w:t>
      </w:r>
      <w:r w:rsidRPr="004D6DF8">
        <w:rPr>
          <w:sz w:val="24"/>
          <w:szCs w:val="24"/>
        </w:rPr>
        <w:t xml:space="preserve">he Joint Settlement Agreement protects ratepayers from an open-ended commitment to the repair and rehabilitation of the Gathering Systems, as the Settling Parties have agreed to a $2 million cap on recovery of such initial costs.  </w:t>
      </w:r>
    </w:p>
    <w:p w:rsidR="004D6DF8" w:rsidRPr="004D6DF8" w:rsidRDefault="004D6DF8" w:rsidP="00DF5427">
      <w:pPr>
        <w:spacing w:line="360" w:lineRule="auto"/>
        <w:rPr>
          <w:sz w:val="24"/>
          <w:szCs w:val="24"/>
        </w:rPr>
      </w:pPr>
    </w:p>
    <w:p w:rsidR="004D6DF8" w:rsidRPr="004D6DF8" w:rsidRDefault="004D6DF8" w:rsidP="00DF5427">
      <w:pPr>
        <w:spacing w:line="360" w:lineRule="auto"/>
        <w:ind w:firstLine="1440"/>
        <w:rPr>
          <w:sz w:val="24"/>
          <w:szCs w:val="24"/>
        </w:rPr>
      </w:pPr>
      <w:r w:rsidRPr="004D6DF8">
        <w:rPr>
          <w:sz w:val="24"/>
          <w:szCs w:val="24"/>
        </w:rPr>
        <w:t>The settlement would create an opportunity to investigate the LUFG situation and provide a factual basis for further decisions as to the operation of the Gathering Systems.  The Investigation and Reporting clause of the Joint Settlement Agreement</w:t>
      </w:r>
      <w:r w:rsidRPr="004D6DF8">
        <w:rPr>
          <w:rStyle w:val="FootnoteReference"/>
          <w:sz w:val="24"/>
          <w:szCs w:val="24"/>
        </w:rPr>
        <w:footnoteReference w:id="24"/>
      </w:r>
      <w:r w:rsidRPr="004D6DF8">
        <w:rPr>
          <w:sz w:val="24"/>
          <w:szCs w:val="24"/>
        </w:rPr>
        <w:t xml:space="preserve"> provides the vehicle to do that, with well-defined time and resource constraints.  As this clause provides, OCA retains the full and complete ability to advocate for whatever course of action may be in the best interest of Equitable’s ratepayers after a thorough review of the initial assessment of the Gathering Systems.  A thorough, accelerated investigation and assessment of the infrastructure, currently supplying natural gas service to the Field Line Customers, is a necessary and reasonable process in order to reach an appropriate decision as to the operation of these </w:t>
      </w:r>
      <w:r w:rsidR="0026373C">
        <w:rPr>
          <w:sz w:val="24"/>
          <w:szCs w:val="24"/>
        </w:rPr>
        <w:t>a</w:t>
      </w:r>
      <w:r w:rsidRPr="004D6DF8">
        <w:rPr>
          <w:sz w:val="24"/>
          <w:szCs w:val="24"/>
        </w:rPr>
        <w:t xml:space="preserve">ssets and to protect ratepayers from unlimited cost exposure.  This portion of the </w:t>
      </w:r>
      <w:r w:rsidR="003F6E61">
        <w:rPr>
          <w:sz w:val="24"/>
          <w:szCs w:val="24"/>
        </w:rPr>
        <w:t>s</w:t>
      </w:r>
      <w:r w:rsidRPr="004D6DF8">
        <w:rPr>
          <w:sz w:val="24"/>
          <w:szCs w:val="24"/>
        </w:rPr>
        <w:t>ettlement provides a method for such an evaluation.  Accordingly, OCA submits that a thorough investigation of the Gathering Systems is in the public interest and in the best interest of Equitable’s customers.</w:t>
      </w:r>
    </w:p>
    <w:p w:rsidR="004D6DF8" w:rsidRPr="004D6DF8" w:rsidRDefault="004D6DF8" w:rsidP="00DF5427">
      <w:pPr>
        <w:spacing w:line="360" w:lineRule="auto"/>
        <w:rPr>
          <w:sz w:val="24"/>
          <w:szCs w:val="24"/>
        </w:rPr>
      </w:pPr>
    </w:p>
    <w:p w:rsidR="004D6DF8" w:rsidRPr="004D6DF8" w:rsidRDefault="004D6DF8" w:rsidP="00DF5427">
      <w:pPr>
        <w:spacing w:line="360" w:lineRule="auto"/>
        <w:ind w:firstLine="1440"/>
        <w:rPr>
          <w:sz w:val="24"/>
          <w:szCs w:val="24"/>
        </w:rPr>
      </w:pPr>
      <w:r w:rsidRPr="004D6DF8">
        <w:rPr>
          <w:sz w:val="24"/>
          <w:szCs w:val="24"/>
        </w:rPr>
        <w:t>Next, Equitable proposed Rider E as a cost recovery mechanism for any improvements to the Gathering Systems.  OCA objected to Rider E on a number of grounds, including OCA’s position that cost recovery of capital improvements to gathering systems through a rider as proposed by Equitable was not supported by the Public Utility Code, Rider E would recover not only Gathering System improvements but also recover the costs of projects anywhere on its system that would increase or maintain the continued availability of Pennsylvania</w:t>
      </w:r>
      <w:r w:rsidR="00E323AE">
        <w:rPr>
          <w:sz w:val="24"/>
          <w:szCs w:val="24"/>
        </w:rPr>
        <w:t>-</w:t>
      </w:r>
      <w:r w:rsidRPr="004D6DF8">
        <w:rPr>
          <w:sz w:val="24"/>
          <w:szCs w:val="24"/>
        </w:rPr>
        <w:t>produced Appalachian gas to Equitable’s customers, and the fact that Equitable’s proposed recovery mechanism would add substantial additional expense for ratepayers due to the tax treatment of such expenditures.</w:t>
      </w:r>
      <w:r w:rsidRPr="004D6DF8">
        <w:rPr>
          <w:rStyle w:val="FootnoteReference"/>
          <w:sz w:val="24"/>
          <w:szCs w:val="24"/>
        </w:rPr>
        <w:footnoteReference w:id="25"/>
      </w:r>
      <w:r w:rsidRPr="004D6DF8">
        <w:rPr>
          <w:sz w:val="24"/>
          <w:szCs w:val="24"/>
        </w:rPr>
        <w:t xml:space="preserve">  The core dispute over Rider E, however, is that such a cost recovery mechanism finds no support in the Public Utility Code.  As part of the settlement, Equitable will withdraw its proposed Rider E.  Equitable may seek rate recovery of any </w:t>
      </w:r>
      <w:r w:rsidRPr="004D6DF8">
        <w:rPr>
          <w:sz w:val="24"/>
          <w:szCs w:val="24"/>
        </w:rPr>
        <w:lastRenderedPageBreak/>
        <w:t>reasonably-incurred capital expenditures and expenses associated with Equitable’s investigation and rehabilitation of the Gathering Systems in future base rate or other PUC proceedings.  With the exception of the prudently</w:t>
      </w:r>
      <w:r w:rsidR="00F446F2">
        <w:rPr>
          <w:sz w:val="24"/>
          <w:szCs w:val="24"/>
        </w:rPr>
        <w:t>-</w:t>
      </w:r>
      <w:r w:rsidRPr="004D6DF8">
        <w:rPr>
          <w:sz w:val="24"/>
          <w:szCs w:val="24"/>
        </w:rPr>
        <w:t>incurred capital expenditures and expenses incurred during the 12-month initial assessment period set forth in the “Investigation and Reporting” section of the settlement, the Settling Parties’ agreement hereto is without prejudice to any position they may take in future proceedings in which Equitable seeks rate recovery.</w:t>
      </w:r>
    </w:p>
    <w:p w:rsidR="004D6DF8" w:rsidRPr="004D6DF8" w:rsidRDefault="004D6DF8" w:rsidP="004D6DF8">
      <w:pPr>
        <w:rPr>
          <w:sz w:val="24"/>
          <w:szCs w:val="24"/>
        </w:rPr>
      </w:pPr>
    </w:p>
    <w:p w:rsidR="004D6DF8" w:rsidRPr="004D6DF8" w:rsidRDefault="004D6DF8" w:rsidP="00DF5427">
      <w:pPr>
        <w:spacing w:line="360" w:lineRule="auto"/>
        <w:ind w:firstLine="1440"/>
        <w:rPr>
          <w:sz w:val="24"/>
          <w:szCs w:val="24"/>
        </w:rPr>
      </w:pPr>
      <w:r w:rsidRPr="004D6DF8">
        <w:rPr>
          <w:sz w:val="24"/>
          <w:szCs w:val="24"/>
        </w:rPr>
        <w:t xml:space="preserve">For the reasons discussed here and throughout Mr. Catlin’s Testimonies, the withdrawal of Rider E is a substantial benefit of the </w:t>
      </w:r>
      <w:r w:rsidR="003F6E61">
        <w:rPr>
          <w:sz w:val="24"/>
          <w:szCs w:val="24"/>
        </w:rPr>
        <w:t>s</w:t>
      </w:r>
      <w:r w:rsidRPr="004D6DF8">
        <w:rPr>
          <w:sz w:val="24"/>
          <w:szCs w:val="24"/>
        </w:rPr>
        <w:t xml:space="preserve">ettlement.  Alleviating the need to fully litigate this issue serves to promote the conservation of scarce resources.  The withdrawal of Rider E also places the risk of cost recovery for system improvements and repairs on the Company in any future PUC proceeding, except for the initial assessment costs – capped at $2 million, and brings the issue of cost recovery within the realm of normal base rate review processes, including prudence and reasonableness.  As proposed, all of Equitable’s distribution customers were subject to Rider E.  Accordingly, OCA submits that the resolution as to Rider E in this part of the </w:t>
      </w:r>
      <w:r w:rsidR="003F6E61">
        <w:rPr>
          <w:sz w:val="24"/>
          <w:szCs w:val="24"/>
        </w:rPr>
        <w:t>s</w:t>
      </w:r>
      <w:r w:rsidRPr="004D6DF8">
        <w:rPr>
          <w:sz w:val="24"/>
          <w:szCs w:val="24"/>
        </w:rPr>
        <w:t>ettlement is reasonable and in the public interest.</w:t>
      </w:r>
    </w:p>
    <w:p w:rsidR="004D6DF8" w:rsidRPr="004D6DF8" w:rsidRDefault="004D6DF8" w:rsidP="00DF5427">
      <w:pPr>
        <w:spacing w:line="360" w:lineRule="auto"/>
        <w:ind w:firstLine="1440"/>
        <w:rPr>
          <w:sz w:val="24"/>
          <w:szCs w:val="24"/>
        </w:rPr>
      </w:pPr>
    </w:p>
    <w:p w:rsidR="004D6DF8" w:rsidRPr="004D6DF8" w:rsidRDefault="004D6DF8" w:rsidP="00DF5427">
      <w:pPr>
        <w:spacing w:line="360" w:lineRule="auto"/>
        <w:ind w:firstLine="1440"/>
        <w:rPr>
          <w:sz w:val="24"/>
          <w:szCs w:val="24"/>
        </w:rPr>
      </w:pPr>
      <w:r w:rsidRPr="004D6DF8">
        <w:rPr>
          <w:sz w:val="24"/>
          <w:szCs w:val="24"/>
        </w:rPr>
        <w:t>Finally, OCA has always been concerned as to the possible loss of utility service for any utility customers.  Paramount in that concern, however, is the potential loss of central heating in cold weather.  OCA understands and appreciates the fact that, sometimes, natural gas customers may need to be abandoned due to infrastructure and other issues that present no other viable alternative.  With that thought in mind, the Settling Parties agreed to the following:</w:t>
      </w:r>
    </w:p>
    <w:p w:rsidR="004D6DF8" w:rsidRPr="004D6DF8" w:rsidRDefault="004D6DF8" w:rsidP="004D6DF8">
      <w:pPr>
        <w:rPr>
          <w:sz w:val="24"/>
          <w:szCs w:val="24"/>
        </w:rPr>
      </w:pPr>
    </w:p>
    <w:p w:rsidR="004D6DF8" w:rsidRDefault="004D6DF8" w:rsidP="004D6DF8">
      <w:pPr>
        <w:ind w:left="1440" w:right="1440"/>
        <w:rPr>
          <w:sz w:val="24"/>
          <w:szCs w:val="24"/>
        </w:rPr>
      </w:pPr>
      <w:r w:rsidRPr="004D6DF8">
        <w:rPr>
          <w:sz w:val="24"/>
          <w:szCs w:val="24"/>
        </w:rPr>
        <w:t>[Equitable] reserves the right to abandon service to its customers served off the Goodwin/Tombaugh Gathering Systems.  [Equitable] agrees to have discussions with the Parties hereto before proceeding with abandonment (absent emergency circumstances) of any customers, but such discussions shall in no way alter any of [Equitable]’s rights or discretion to proceed with abandonment.</w:t>
      </w:r>
    </w:p>
    <w:p w:rsidR="00032949" w:rsidRPr="004D6DF8" w:rsidRDefault="00032949" w:rsidP="00032949">
      <w:pPr>
        <w:spacing w:line="360" w:lineRule="auto"/>
        <w:ind w:left="1440" w:right="1440"/>
        <w:rPr>
          <w:sz w:val="24"/>
          <w:szCs w:val="24"/>
        </w:rPr>
      </w:pPr>
    </w:p>
    <w:p w:rsidR="004D6DF8" w:rsidRPr="004D6DF8" w:rsidRDefault="004D6DF8" w:rsidP="00032949">
      <w:pPr>
        <w:spacing w:line="360" w:lineRule="auto"/>
        <w:rPr>
          <w:sz w:val="24"/>
          <w:szCs w:val="24"/>
        </w:rPr>
      </w:pPr>
      <w:r w:rsidRPr="004D6DF8">
        <w:rPr>
          <w:sz w:val="24"/>
          <w:szCs w:val="24"/>
        </w:rPr>
        <w:t xml:space="preserve">Joint Settlement Agreement ¶ 5.   This </w:t>
      </w:r>
      <w:r w:rsidR="003F6E61">
        <w:rPr>
          <w:sz w:val="24"/>
          <w:szCs w:val="24"/>
        </w:rPr>
        <w:t>s</w:t>
      </w:r>
      <w:r w:rsidRPr="004D6DF8">
        <w:rPr>
          <w:sz w:val="24"/>
          <w:szCs w:val="24"/>
        </w:rPr>
        <w:t>ettlement clause would affi</w:t>
      </w:r>
      <w:r w:rsidR="003A7883">
        <w:rPr>
          <w:sz w:val="24"/>
          <w:szCs w:val="24"/>
        </w:rPr>
        <w:t xml:space="preserve">rmatively provide notice to </w:t>
      </w:r>
      <w:r w:rsidRPr="004D6DF8">
        <w:rPr>
          <w:sz w:val="24"/>
          <w:szCs w:val="24"/>
        </w:rPr>
        <w:t xml:space="preserve">OCA of any possible abandonment.  The ability of OCA to get involved in these issues on the ground floor may be helpful in finding a reasonable outcome for all parties involved.  </w:t>
      </w:r>
      <w:r w:rsidRPr="004D6DF8">
        <w:rPr>
          <w:sz w:val="24"/>
          <w:szCs w:val="24"/>
        </w:rPr>
        <w:lastRenderedPageBreak/>
        <w:t>Accordingly, OCA submits that the reporting and consultation feature is an important component of this settlement and is in the public interest.</w:t>
      </w:r>
    </w:p>
    <w:p w:rsidR="004D6DF8" w:rsidRPr="004D6DF8" w:rsidRDefault="004D6DF8" w:rsidP="00DF5427">
      <w:pPr>
        <w:spacing w:line="360" w:lineRule="auto"/>
        <w:rPr>
          <w:sz w:val="24"/>
          <w:szCs w:val="24"/>
        </w:rPr>
      </w:pPr>
    </w:p>
    <w:p w:rsidR="004D6DF8" w:rsidRPr="004D6DF8" w:rsidRDefault="004D6DF8" w:rsidP="0096242C">
      <w:pPr>
        <w:spacing w:line="360" w:lineRule="auto"/>
        <w:rPr>
          <w:sz w:val="24"/>
          <w:szCs w:val="24"/>
        </w:rPr>
      </w:pPr>
      <w:r w:rsidRPr="004D6DF8">
        <w:rPr>
          <w:sz w:val="24"/>
          <w:szCs w:val="24"/>
        </w:rPr>
        <w:tab/>
        <w:t>3.</w:t>
      </w:r>
      <w:r w:rsidRPr="004D6DF8">
        <w:rPr>
          <w:sz w:val="24"/>
          <w:szCs w:val="24"/>
        </w:rPr>
        <w:tab/>
      </w:r>
      <w:r w:rsidRPr="004D6DF8">
        <w:rPr>
          <w:sz w:val="24"/>
          <w:szCs w:val="24"/>
          <w:u w:val="single"/>
        </w:rPr>
        <w:t>OSBA’s Position</w:t>
      </w:r>
    </w:p>
    <w:p w:rsidR="004D6DF8" w:rsidRPr="004D6DF8" w:rsidRDefault="004D6DF8" w:rsidP="00DF5427">
      <w:pPr>
        <w:spacing w:line="360" w:lineRule="auto"/>
        <w:rPr>
          <w:sz w:val="24"/>
          <w:szCs w:val="24"/>
        </w:rPr>
      </w:pPr>
      <w:r w:rsidRPr="004D6DF8">
        <w:rPr>
          <w:sz w:val="24"/>
          <w:szCs w:val="24"/>
        </w:rPr>
        <w:tab/>
      </w:r>
    </w:p>
    <w:p w:rsidR="004D6DF8" w:rsidRPr="004D6DF8" w:rsidRDefault="004D6DF8" w:rsidP="00DF5427">
      <w:pPr>
        <w:spacing w:line="360" w:lineRule="auto"/>
        <w:ind w:firstLine="1440"/>
        <w:rPr>
          <w:sz w:val="24"/>
          <w:szCs w:val="24"/>
        </w:rPr>
      </w:pPr>
      <w:r w:rsidRPr="004D6DF8">
        <w:rPr>
          <w:sz w:val="24"/>
          <w:szCs w:val="24"/>
        </w:rPr>
        <w:t>In OSBA’s very brief statement in support of the settlement, it simply states that the ratepayers will not be burdened with the cost of the acquisition due to the withdrawal of the Rider E and that gas service will be preserved for the Field Line Customers.  Accordingly, in its view, the interests of its constituency are adequately protected and the settlement should be approved.</w:t>
      </w:r>
      <w:r w:rsidRPr="004D6DF8">
        <w:rPr>
          <w:rStyle w:val="FootnoteReference"/>
          <w:sz w:val="24"/>
          <w:szCs w:val="24"/>
        </w:rPr>
        <w:footnoteReference w:id="26"/>
      </w:r>
    </w:p>
    <w:p w:rsidR="004D6DF8" w:rsidRPr="004D6DF8" w:rsidRDefault="004D6DF8" w:rsidP="00DF5427">
      <w:pPr>
        <w:spacing w:line="360" w:lineRule="auto"/>
        <w:ind w:firstLine="1440"/>
        <w:rPr>
          <w:sz w:val="24"/>
          <w:szCs w:val="24"/>
        </w:rPr>
      </w:pPr>
    </w:p>
    <w:p w:rsidR="004D6DF8" w:rsidRPr="004D6DF8" w:rsidRDefault="004D6DF8" w:rsidP="00DF5427">
      <w:pPr>
        <w:spacing w:line="360" w:lineRule="auto"/>
        <w:rPr>
          <w:sz w:val="24"/>
          <w:szCs w:val="24"/>
        </w:rPr>
      </w:pPr>
      <w:r w:rsidRPr="004D6DF8">
        <w:rPr>
          <w:sz w:val="24"/>
          <w:szCs w:val="24"/>
        </w:rPr>
        <w:tab/>
        <w:t>4.</w:t>
      </w:r>
      <w:r w:rsidRPr="004D6DF8">
        <w:rPr>
          <w:sz w:val="24"/>
          <w:szCs w:val="24"/>
        </w:rPr>
        <w:tab/>
      </w:r>
      <w:r w:rsidRPr="004D6DF8">
        <w:rPr>
          <w:sz w:val="24"/>
          <w:szCs w:val="24"/>
          <w:u w:val="single"/>
        </w:rPr>
        <w:t>BIE’s Position</w:t>
      </w:r>
    </w:p>
    <w:p w:rsidR="004D6DF8" w:rsidRPr="004D6DF8" w:rsidRDefault="004D6DF8" w:rsidP="00DF5427">
      <w:pPr>
        <w:spacing w:line="360" w:lineRule="auto"/>
        <w:rPr>
          <w:sz w:val="24"/>
          <w:szCs w:val="24"/>
        </w:rPr>
      </w:pPr>
      <w:r w:rsidRPr="004D6DF8">
        <w:rPr>
          <w:sz w:val="24"/>
          <w:szCs w:val="24"/>
        </w:rPr>
        <w:tab/>
      </w:r>
    </w:p>
    <w:p w:rsidR="004D6DF8" w:rsidRPr="004D6DF8" w:rsidRDefault="004D6DF8" w:rsidP="00DF5427">
      <w:pPr>
        <w:spacing w:line="360" w:lineRule="auto"/>
        <w:ind w:firstLine="1440"/>
        <w:rPr>
          <w:sz w:val="24"/>
          <w:szCs w:val="24"/>
        </w:rPr>
      </w:pPr>
      <w:r w:rsidRPr="004D6DF8">
        <w:rPr>
          <w:sz w:val="24"/>
          <w:szCs w:val="24"/>
        </w:rPr>
        <w:t>BIE strenuously objects to both the acquisition of the Gathering Systems as well as the Joint Settlement Agreement.  Chiefly, BIE is concerned that Equitable has failed to demonstrate that the Gathering Systems are safe given their very high LUFG levels.  In BIE’s view, it is clear that neither Equitrans nor EQT have maintained the lines and the state of the lines pose</w:t>
      </w:r>
      <w:r w:rsidR="0026373C">
        <w:rPr>
          <w:sz w:val="24"/>
          <w:szCs w:val="24"/>
        </w:rPr>
        <w:t>s</w:t>
      </w:r>
      <w:r w:rsidRPr="004D6DF8">
        <w:rPr>
          <w:sz w:val="24"/>
          <w:szCs w:val="24"/>
        </w:rPr>
        <w:t xml:space="preserve"> a serious safety threat.  Because the lines have unsafe level</w:t>
      </w:r>
      <w:r w:rsidR="00032949">
        <w:rPr>
          <w:sz w:val="24"/>
          <w:szCs w:val="24"/>
        </w:rPr>
        <w:t>s</w:t>
      </w:r>
      <w:r w:rsidRPr="004D6DF8">
        <w:rPr>
          <w:sz w:val="24"/>
          <w:szCs w:val="24"/>
        </w:rPr>
        <w:t xml:space="preserve"> of LUFG, it is appropriate to consider abandonment of the </w:t>
      </w:r>
      <w:r w:rsidR="0026373C">
        <w:rPr>
          <w:sz w:val="24"/>
          <w:szCs w:val="24"/>
        </w:rPr>
        <w:t>F</w:t>
      </w:r>
      <w:r w:rsidRPr="004D6DF8">
        <w:rPr>
          <w:sz w:val="24"/>
          <w:szCs w:val="24"/>
        </w:rPr>
        <w:t xml:space="preserve">ield </w:t>
      </w:r>
      <w:r w:rsidR="0026373C">
        <w:rPr>
          <w:sz w:val="24"/>
          <w:szCs w:val="24"/>
        </w:rPr>
        <w:t>L</w:t>
      </w:r>
      <w:r w:rsidRPr="004D6DF8">
        <w:rPr>
          <w:sz w:val="24"/>
          <w:szCs w:val="24"/>
        </w:rPr>
        <w:t xml:space="preserve">ine </w:t>
      </w:r>
      <w:r w:rsidR="0026373C">
        <w:rPr>
          <w:sz w:val="24"/>
          <w:szCs w:val="24"/>
        </w:rPr>
        <w:t>C</w:t>
      </w:r>
      <w:r w:rsidRPr="004D6DF8">
        <w:rPr>
          <w:sz w:val="24"/>
          <w:szCs w:val="24"/>
        </w:rPr>
        <w:t>ustomers rather than to continue to render service from pipeline</w:t>
      </w:r>
      <w:r w:rsidR="00BE6E45">
        <w:rPr>
          <w:sz w:val="24"/>
          <w:szCs w:val="24"/>
        </w:rPr>
        <w:t>s</w:t>
      </w:r>
      <w:r w:rsidRPr="004D6DF8">
        <w:rPr>
          <w:sz w:val="24"/>
          <w:szCs w:val="24"/>
        </w:rPr>
        <w:t xml:space="preserve"> that may put them in jeopardy.</w:t>
      </w:r>
    </w:p>
    <w:p w:rsidR="004D6DF8" w:rsidRPr="004D6DF8" w:rsidRDefault="004D6DF8" w:rsidP="00DF5427">
      <w:pPr>
        <w:spacing w:line="360" w:lineRule="auto"/>
        <w:ind w:firstLine="1440"/>
        <w:rPr>
          <w:sz w:val="24"/>
          <w:szCs w:val="24"/>
        </w:rPr>
      </w:pPr>
      <w:r w:rsidRPr="004D6DF8">
        <w:rPr>
          <w:sz w:val="24"/>
          <w:szCs w:val="24"/>
        </w:rPr>
        <w:t xml:space="preserve"> </w:t>
      </w:r>
    </w:p>
    <w:p w:rsidR="004D6DF8" w:rsidRPr="004D6DF8" w:rsidRDefault="004D6DF8" w:rsidP="00DF5427">
      <w:pPr>
        <w:spacing w:line="360" w:lineRule="auto"/>
        <w:ind w:firstLine="1440"/>
        <w:rPr>
          <w:sz w:val="24"/>
          <w:szCs w:val="24"/>
        </w:rPr>
      </w:pPr>
      <w:r w:rsidRPr="004D6DF8">
        <w:rPr>
          <w:sz w:val="24"/>
          <w:szCs w:val="24"/>
        </w:rPr>
        <w:t xml:space="preserve">BIE also contends that the settlement should be rejected.  BIE does not believe that the reporting requirements adequately protect public safety, pointing out that neither OCA nor OSBA have any enforcement authority.  Moreover, even though the acquisition cost is not passed on to ratepayers, BIE points out that there are no limitations in the settlement to protect ratepayers from the burden of paying for a substantial rehabilitation of the Gathering </w:t>
      </w:r>
      <w:r w:rsidR="00715722">
        <w:rPr>
          <w:sz w:val="24"/>
          <w:szCs w:val="24"/>
        </w:rPr>
        <w:t>S</w:t>
      </w:r>
      <w:r w:rsidRPr="004D6DF8">
        <w:rPr>
          <w:sz w:val="24"/>
          <w:szCs w:val="24"/>
        </w:rPr>
        <w:t>ystems in the future.</w:t>
      </w:r>
    </w:p>
    <w:p w:rsidR="004D6DF8" w:rsidRPr="004D6DF8" w:rsidRDefault="004D6DF8" w:rsidP="00DF5427">
      <w:pPr>
        <w:spacing w:line="360" w:lineRule="auto"/>
        <w:rPr>
          <w:sz w:val="24"/>
          <w:szCs w:val="24"/>
        </w:rPr>
      </w:pPr>
    </w:p>
    <w:p w:rsidR="0096242C" w:rsidRDefault="0096242C">
      <w:pPr>
        <w:rPr>
          <w:sz w:val="24"/>
          <w:szCs w:val="24"/>
        </w:rPr>
      </w:pPr>
      <w:r>
        <w:rPr>
          <w:sz w:val="24"/>
          <w:szCs w:val="24"/>
        </w:rPr>
        <w:br w:type="page"/>
      </w:r>
    </w:p>
    <w:p w:rsidR="004D6DF8" w:rsidRPr="004D6DF8" w:rsidRDefault="004D6DF8" w:rsidP="00DF5427">
      <w:pPr>
        <w:spacing w:line="360" w:lineRule="auto"/>
        <w:rPr>
          <w:sz w:val="24"/>
          <w:szCs w:val="24"/>
          <w:u w:val="single"/>
        </w:rPr>
      </w:pPr>
      <w:r w:rsidRPr="004D6DF8">
        <w:rPr>
          <w:sz w:val="24"/>
          <w:szCs w:val="24"/>
        </w:rPr>
        <w:lastRenderedPageBreak/>
        <w:t xml:space="preserve">C. </w:t>
      </w:r>
      <w:r w:rsidRPr="004D6DF8">
        <w:rPr>
          <w:sz w:val="24"/>
          <w:szCs w:val="24"/>
        </w:rPr>
        <w:tab/>
      </w:r>
      <w:r w:rsidRPr="004D6DF8">
        <w:rPr>
          <w:sz w:val="24"/>
          <w:szCs w:val="24"/>
          <w:u w:val="single"/>
        </w:rPr>
        <w:t>Recommendation</w:t>
      </w:r>
    </w:p>
    <w:p w:rsidR="004D6DF8" w:rsidRPr="004D6DF8" w:rsidRDefault="004D6DF8" w:rsidP="00DF5427">
      <w:pPr>
        <w:spacing w:line="360" w:lineRule="auto"/>
        <w:rPr>
          <w:sz w:val="24"/>
          <w:szCs w:val="24"/>
        </w:rPr>
      </w:pPr>
      <w:r w:rsidRPr="004D6DF8">
        <w:rPr>
          <w:sz w:val="24"/>
          <w:szCs w:val="24"/>
        </w:rPr>
        <w:tab/>
      </w:r>
    </w:p>
    <w:p w:rsidR="004D6DF8" w:rsidRPr="004D6DF8" w:rsidRDefault="004D6DF8" w:rsidP="00AB1D50">
      <w:pPr>
        <w:spacing w:line="360" w:lineRule="auto"/>
        <w:ind w:firstLine="1440"/>
        <w:rPr>
          <w:sz w:val="24"/>
          <w:szCs w:val="24"/>
        </w:rPr>
      </w:pPr>
      <w:r w:rsidRPr="004D6DF8">
        <w:rPr>
          <w:sz w:val="24"/>
          <w:szCs w:val="24"/>
        </w:rPr>
        <w:t xml:space="preserve">These Gathering Systems have extraordinarily high LUFG levels.  Neither Equitable, nor its affiliates, EQT and Equitrans, have a clear notion of the cause of these LUFG levels.  Accordingly this proposed acquisition by Equitable is risky and potentially very expensive. </w:t>
      </w:r>
      <w:r w:rsidR="00032949">
        <w:rPr>
          <w:sz w:val="24"/>
          <w:szCs w:val="24"/>
        </w:rPr>
        <w:t xml:space="preserve"> </w:t>
      </w:r>
      <w:r w:rsidRPr="004D6DF8">
        <w:rPr>
          <w:sz w:val="24"/>
          <w:szCs w:val="24"/>
        </w:rPr>
        <w:t>Further, the Joint Settlement Agreement which provides for an investigation period does nothing to protect the ratepayers in the long</w:t>
      </w:r>
      <w:r w:rsidR="00D55887">
        <w:rPr>
          <w:sz w:val="24"/>
          <w:szCs w:val="24"/>
        </w:rPr>
        <w:t xml:space="preserve"> </w:t>
      </w:r>
      <w:r w:rsidRPr="004D6DF8">
        <w:rPr>
          <w:sz w:val="24"/>
          <w:szCs w:val="24"/>
        </w:rPr>
        <w:t>term nor does it offer specific long</w:t>
      </w:r>
      <w:r w:rsidR="00D55887">
        <w:rPr>
          <w:sz w:val="24"/>
          <w:szCs w:val="24"/>
        </w:rPr>
        <w:t>-</w:t>
      </w:r>
      <w:r w:rsidRPr="004D6DF8">
        <w:rPr>
          <w:sz w:val="24"/>
          <w:szCs w:val="24"/>
        </w:rPr>
        <w:t>term benefits to either the Field Line Customers or to Equitable’s other distribution customers.  Therefore, neither the acquisition nor the settlement should be approved.</w:t>
      </w:r>
    </w:p>
    <w:p w:rsidR="004D6DF8" w:rsidRPr="004D6DF8" w:rsidRDefault="004D6DF8" w:rsidP="00DF5427">
      <w:pPr>
        <w:spacing w:line="360" w:lineRule="auto"/>
        <w:rPr>
          <w:sz w:val="24"/>
          <w:szCs w:val="24"/>
        </w:rPr>
      </w:pPr>
    </w:p>
    <w:p w:rsidR="004D6DF8" w:rsidRPr="004D6DF8" w:rsidRDefault="004D6DF8" w:rsidP="00DF5427">
      <w:pPr>
        <w:spacing w:line="360" w:lineRule="auto"/>
        <w:ind w:firstLine="1440"/>
        <w:rPr>
          <w:sz w:val="24"/>
          <w:szCs w:val="24"/>
        </w:rPr>
      </w:pPr>
      <w:r w:rsidRPr="004D6DF8">
        <w:rPr>
          <w:sz w:val="24"/>
          <w:szCs w:val="24"/>
        </w:rPr>
        <w:t>There is no disagreement among the parties that the LUFG levels on these Gathering Systems are high.  Indeed, with LUFG levels over 50% on the Tombaugh system and 70% on the Goodwin system, Mr. Graeser of BIE observed that these p</w:t>
      </w:r>
      <w:r w:rsidR="00020ABD">
        <w:rPr>
          <w:sz w:val="24"/>
          <w:szCs w:val="24"/>
        </w:rPr>
        <w:t>ipelines are losing more gas tha</w:t>
      </w:r>
      <w:r w:rsidRPr="004D6DF8">
        <w:rPr>
          <w:sz w:val="24"/>
          <w:szCs w:val="24"/>
        </w:rPr>
        <w:t xml:space="preserve">n they are transporting.  In Equitable’s view, these extraordinary levels are not substantially caused by leakage, but are more likely a result of measurement and metering errors, which do not pose a safety concern.  BIE, in contrast, contends that these LUFG levels are substantially higher than LUFG levels in other parts of Equitable’s system and are a safety concern </w:t>
      </w:r>
      <w:r w:rsidRPr="004D6DF8">
        <w:rPr>
          <w:i/>
          <w:sz w:val="24"/>
          <w:szCs w:val="24"/>
        </w:rPr>
        <w:t>per se</w:t>
      </w:r>
      <w:r w:rsidRPr="004D6DF8">
        <w:rPr>
          <w:sz w:val="24"/>
          <w:szCs w:val="24"/>
        </w:rPr>
        <w:t>.</w:t>
      </w:r>
      <w:r w:rsidRPr="004D6DF8">
        <w:rPr>
          <w:rStyle w:val="FootnoteReference"/>
          <w:sz w:val="24"/>
          <w:szCs w:val="24"/>
        </w:rPr>
        <w:footnoteReference w:id="27"/>
      </w:r>
      <w:r w:rsidRPr="004D6DF8">
        <w:rPr>
          <w:sz w:val="24"/>
          <w:szCs w:val="24"/>
        </w:rPr>
        <w:t xml:space="preserve"> </w:t>
      </w:r>
    </w:p>
    <w:p w:rsidR="004D6DF8" w:rsidRPr="004D6DF8" w:rsidRDefault="004D6DF8" w:rsidP="004D6DF8">
      <w:pPr>
        <w:rPr>
          <w:sz w:val="24"/>
          <w:szCs w:val="24"/>
        </w:rPr>
      </w:pPr>
    </w:p>
    <w:p w:rsidR="001F28C1" w:rsidRDefault="004D6DF8" w:rsidP="00DF5427">
      <w:pPr>
        <w:spacing w:line="360" w:lineRule="auto"/>
        <w:ind w:firstLine="1440"/>
        <w:rPr>
          <w:sz w:val="24"/>
          <w:szCs w:val="24"/>
        </w:rPr>
      </w:pPr>
      <w:r w:rsidRPr="004D6DF8">
        <w:rPr>
          <w:sz w:val="24"/>
          <w:szCs w:val="24"/>
        </w:rPr>
        <w:t>Equitable bears the burden of proving that the proposed project is in the public interest.  Given the age of pipeline</w:t>
      </w:r>
      <w:r w:rsidR="00BE6E45">
        <w:rPr>
          <w:sz w:val="24"/>
          <w:szCs w:val="24"/>
        </w:rPr>
        <w:t>s</w:t>
      </w:r>
      <w:r w:rsidRPr="004D6DF8">
        <w:rPr>
          <w:sz w:val="24"/>
          <w:szCs w:val="24"/>
        </w:rPr>
        <w:t xml:space="preserve"> in the Gathering Systems and the LUFG levels, it is troubling that Equitable does not have more information concerning the breakdown of the causes of the LUFG.</w:t>
      </w:r>
      <w:r w:rsidRPr="004D6DF8">
        <w:rPr>
          <w:rStyle w:val="FootnoteReference"/>
          <w:sz w:val="24"/>
          <w:szCs w:val="24"/>
        </w:rPr>
        <w:footnoteReference w:id="28"/>
      </w:r>
      <w:r w:rsidRPr="004D6DF8">
        <w:rPr>
          <w:sz w:val="24"/>
          <w:szCs w:val="24"/>
        </w:rPr>
        <w:t xml:space="preserve">  Neither EQT nor Equitrans have invested much to discover the cause of the high LUFG levels on the Gathering Systems.  </w:t>
      </w:r>
      <w:r w:rsidR="001F28C1">
        <w:rPr>
          <w:sz w:val="24"/>
          <w:szCs w:val="24"/>
        </w:rPr>
        <w:t xml:space="preserve">It strains credulity to cast gas losses of this magnitude as measurement errors, especially when no meaningful physical inspection of the lines has occurred. </w:t>
      </w:r>
    </w:p>
    <w:p w:rsidR="001F28C1" w:rsidRDefault="001F28C1" w:rsidP="00DF5427">
      <w:pPr>
        <w:spacing w:line="360" w:lineRule="auto"/>
        <w:ind w:firstLine="1440"/>
        <w:rPr>
          <w:sz w:val="24"/>
          <w:szCs w:val="24"/>
        </w:rPr>
      </w:pPr>
    </w:p>
    <w:p w:rsidR="004D6DF8" w:rsidRPr="004D6DF8" w:rsidRDefault="004D6DF8" w:rsidP="00DF5427">
      <w:pPr>
        <w:spacing w:line="360" w:lineRule="auto"/>
        <w:ind w:firstLine="1440"/>
        <w:rPr>
          <w:sz w:val="24"/>
          <w:szCs w:val="24"/>
        </w:rPr>
      </w:pPr>
      <w:r w:rsidRPr="004D6DF8">
        <w:rPr>
          <w:sz w:val="24"/>
          <w:szCs w:val="24"/>
        </w:rPr>
        <w:lastRenderedPageBreak/>
        <w:t>Both Equitable and its affiliates rely on the number of leak calls as evidence that the LUFG is not caused by leakage.  However, these pipelines are located in a rural area with low population density.  The record is not clear whether or not the gas in the pipelines is odorized.  Therefore, the number of leak calls is not a reliable way to not</w:t>
      </w:r>
      <w:r w:rsidR="00032949">
        <w:rPr>
          <w:sz w:val="24"/>
          <w:szCs w:val="24"/>
        </w:rPr>
        <w:t>e</w:t>
      </w:r>
      <w:r w:rsidRPr="004D6DF8">
        <w:rPr>
          <w:sz w:val="24"/>
          <w:szCs w:val="24"/>
        </w:rPr>
        <w:t xml:space="preserve"> the leakage levels in the Gathering </w:t>
      </w:r>
      <w:r w:rsidR="00715722">
        <w:rPr>
          <w:sz w:val="24"/>
          <w:szCs w:val="24"/>
        </w:rPr>
        <w:t>S</w:t>
      </w:r>
      <w:r w:rsidRPr="004D6DF8">
        <w:rPr>
          <w:sz w:val="24"/>
          <w:szCs w:val="24"/>
        </w:rPr>
        <w:t>ystems.</w:t>
      </w:r>
    </w:p>
    <w:p w:rsidR="004D6DF8" w:rsidRPr="004D6DF8" w:rsidRDefault="004D6DF8" w:rsidP="00DF5427">
      <w:pPr>
        <w:spacing w:line="360" w:lineRule="auto"/>
        <w:ind w:firstLine="1440"/>
        <w:rPr>
          <w:sz w:val="24"/>
          <w:szCs w:val="24"/>
        </w:rPr>
      </w:pPr>
    </w:p>
    <w:p w:rsidR="004D6DF8" w:rsidRPr="004D6DF8" w:rsidRDefault="004D6DF8" w:rsidP="00DF5427">
      <w:pPr>
        <w:spacing w:line="360" w:lineRule="auto"/>
        <w:ind w:firstLine="1440"/>
        <w:rPr>
          <w:sz w:val="24"/>
          <w:szCs w:val="24"/>
        </w:rPr>
      </w:pPr>
      <w:r w:rsidRPr="004D6DF8">
        <w:rPr>
          <w:sz w:val="24"/>
          <w:szCs w:val="24"/>
        </w:rPr>
        <w:t>Further, neither Equitable nor its affiliates have done a physical inspection of the systems other than visiting the sites of leak reports.  Equitable has not recently physically inspected the lines that serve its Field Line Customers nor has it physically inspected other parts of the Gathering System</w:t>
      </w:r>
      <w:r w:rsidR="00BE6E45">
        <w:rPr>
          <w:sz w:val="24"/>
          <w:szCs w:val="24"/>
        </w:rPr>
        <w:t>s</w:t>
      </w:r>
      <w:r w:rsidRPr="004D6DF8">
        <w:rPr>
          <w:sz w:val="24"/>
          <w:szCs w:val="24"/>
        </w:rPr>
        <w:t xml:space="preserve">.  Accordingly, no witness could quantify what portion of the LUFG was due to measurement errors and what was due to leakage.  </w:t>
      </w:r>
    </w:p>
    <w:p w:rsidR="004D6DF8" w:rsidRPr="004D6DF8" w:rsidRDefault="004D6DF8" w:rsidP="00DF5427">
      <w:pPr>
        <w:spacing w:line="360" w:lineRule="auto"/>
        <w:rPr>
          <w:sz w:val="24"/>
          <w:szCs w:val="24"/>
        </w:rPr>
      </w:pPr>
    </w:p>
    <w:p w:rsidR="004D6DF8" w:rsidRPr="004D6DF8" w:rsidRDefault="004D6DF8" w:rsidP="00DF5427">
      <w:pPr>
        <w:spacing w:line="360" w:lineRule="auto"/>
        <w:ind w:firstLine="1440"/>
        <w:rPr>
          <w:sz w:val="24"/>
          <w:szCs w:val="24"/>
        </w:rPr>
      </w:pPr>
      <w:r w:rsidRPr="004D6DF8">
        <w:rPr>
          <w:sz w:val="24"/>
          <w:szCs w:val="24"/>
        </w:rPr>
        <w:t xml:space="preserve">Without at least this basic information it is impossible to know whether Equitable’s cost estimate of $12 million to operate the systems in the first three years of ownership is reasonable.  Further, it is impossible to know whether it will enjoy the same success rehabilitating these systems as it did with the Crooked Creek system.  Without reasonable cost estimates it is impossible to know whether it is reasonable to ask Equitable’s ratepayers to shoulder at least some of the burden of investigating and rehabilitating these systems. </w:t>
      </w:r>
    </w:p>
    <w:p w:rsidR="004D6DF8" w:rsidRPr="004D6DF8" w:rsidRDefault="004D6DF8" w:rsidP="00DF5427">
      <w:pPr>
        <w:spacing w:line="360" w:lineRule="auto"/>
        <w:ind w:firstLine="1440"/>
        <w:rPr>
          <w:sz w:val="24"/>
          <w:szCs w:val="24"/>
        </w:rPr>
      </w:pPr>
    </w:p>
    <w:p w:rsidR="004D6DF8" w:rsidRPr="004D6DF8" w:rsidRDefault="004D6DF8" w:rsidP="00DF5427">
      <w:pPr>
        <w:spacing w:line="360" w:lineRule="auto"/>
        <w:ind w:firstLine="1440"/>
        <w:rPr>
          <w:sz w:val="24"/>
          <w:szCs w:val="24"/>
        </w:rPr>
      </w:pPr>
      <w:r w:rsidRPr="004D6DF8">
        <w:rPr>
          <w:sz w:val="24"/>
          <w:szCs w:val="24"/>
        </w:rPr>
        <w:t>Importantly, although Equitable emphasizes that the primary purpose of the acquisition of the Gathering Systems is to preserve distribution service to the Field Line Customers, Equitable makes no guarantees that service to all the Field Line Customers will be preserved.  It does not quantify how many customers may be preserved and how many may have to be abandoned.</w:t>
      </w:r>
      <w:r w:rsidRPr="004D6DF8">
        <w:rPr>
          <w:rStyle w:val="FootnoteReference"/>
          <w:sz w:val="24"/>
          <w:szCs w:val="24"/>
        </w:rPr>
        <w:footnoteReference w:id="29"/>
      </w:r>
      <w:r w:rsidRPr="004D6DF8">
        <w:rPr>
          <w:sz w:val="24"/>
          <w:szCs w:val="24"/>
        </w:rPr>
        <w:t xml:space="preserve">  The settlement does not even guarantee that service to any Field Line Customers will be preserved during the 12-month investigation period.  Although Equitable contends that it does not expect to abandon “many” customers, it clearly does not have adequate information about the actual condition of the Gathering Systems to quantify how many customers it can reasonably expect to maintain.  Equitable’s speculation on this point is based solely on its experience with the Crooked Creek system.  However, other than the age of the </w:t>
      </w:r>
      <w:r w:rsidRPr="004D6DF8">
        <w:rPr>
          <w:sz w:val="24"/>
          <w:szCs w:val="24"/>
        </w:rPr>
        <w:lastRenderedPageBreak/>
        <w:t xml:space="preserve">pipeline, Equitable did not provide enough information in the record to conclude that its Crooked Creek experience offers a reasonable comparison from which to gauge its anticipated success on these Gathering Systems.  Although Equitable was able to reduce LUFG on the Crooked Creek system, LUFG levels there were significantly lower than the LUFG levels reported on these Gathering Systems.  </w:t>
      </w:r>
    </w:p>
    <w:p w:rsidR="004D6DF8" w:rsidRPr="004D6DF8" w:rsidRDefault="004D6DF8" w:rsidP="004D6DF8">
      <w:pPr>
        <w:rPr>
          <w:sz w:val="24"/>
          <w:szCs w:val="24"/>
        </w:rPr>
      </w:pPr>
    </w:p>
    <w:p w:rsidR="004D6DF8" w:rsidRPr="004D6DF8" w:rsidRDefault="004D6DF8" w:rsidP="00DF5427">
      <w:pPr>
        <w:spacing w:line="360" w:lineRule="auto"/>
        <w:ind w:firstLine="1440"/>
        <w:rPr>
          <w:sz w:val="24"/>
          <w:szCs w:val="24"/>
        </w:rPr>
      </w:pPr>
      <w:r w:rsidRPr="004D6DF8">
        <w:rPr>
          <w:sz w:val="24"/>
          <w:szCs w:val="24"/>
        </w:rPr>
        <w:t>Next, the information sharing and reporting to OCA and OSBA which they agreed to in the Joint Settlement Agreement offers little protection to these customers as neither OCA nor OSBA has any independent enforcement authority.  Neither explains how the withdrawal of support of the transaction after-the-fact offers any real protection to either of the constituencies these agencies represent</w:t>
      </w:r>
      <w:r w:rsidR="001F28C1">
        <w:rPr>
          <w:sz w:val="24"/>
          <w:szCs w:val="24"/>
        </w:rPr>
        <w:t xml:space="preserve">, </w:t>
      </w:r>
      <w:r w:rsidRPr="004D6DF8">
        <w:rPr>
          <w:sz w:val="24"/>
          <w:szCs w:val="24"/>
        </w:rPr>
        <w:t>other than advocacy before the Commission which may or may not be successful.</w:t>
      </w:r>
    </w:p>
    <w:p w:rsidR="004D6DF8" w:rsidRPr="004D6DF8" w:rsidRDefault="004D6DF8" w:rsidP="00DF5427">
      <w:pPr>
        <w:spacing w:line="360" w:lineRule="auto"/>
        <w:rPr>
          <w:sz w:val="24"/>
          <w:szCs w:val="24"/>
        </w:rPr>
      </w:pPr>
    </w:p>
    <w:p w:rsidR="004D6DF8" w:rsidRPr="004D6DF8" w:rsidRDefault="004D6DF8" w:rsidP="00DF5427">
      <w:pPr>
        <w:spacing w:line="360" w:lineRule="auto"/>
        <w:ind w:firstLine="1350"/>
        <w:rPr>
          <w:sz w:val="24"/>
          <w:szCs w:val="24"/>
        </w:rPr>
      </w:pPr>
      <w:r w:rsidRPr="004D6DF8">
        <w:rPr>
          <w:sz w:val="24"/>
          <w:szCs w:val="24"/>
        </w:rPr>
        <w:t xml:space="preserve"> Other benefits to Equitable’s ratepayers described as deriving from the proposed transaction are at best short-term benefits.  Equitable did not provide any evidence which evaluated whether the benefits of continuing to provide service to the Field Line Customers was cost</w:t>
      </w:r>
      <w:r w:rsidR="00E323AE">
        <w:rPr>
          <w:sz w:val="24"/>
          <w:szCs w:val="24"/>
        </w:rPr>
        <w:t xml:space="preserve"> </w:t>
      </w:r>
      <w:r w:rsidRPr="004D6DF8">
        <w:rPr>
          <w:sz w:val="24"/>
          <w:szCs w:val="24"/>
        </w:rPr>
        <w:t>effective given the costs it may incur in rehabilitating the Gathering Systems.  For example, the record is silent as to the revenue generated by the Field Line Customers.  Although Equitable claims that at some point in the future it will have greater access to local gas for its distribution customers, Equitable has not quantified those potential benefits and does not have a time</w:t>
      </w:r>
      <w:r w:rsidR="00D55887">
        <w:rPr>
          <w:sz w:val="24"/>
          <w:szCs w:val="24"/>
        </w:rPr>
        <w:t xml:space="preserve"> </w:t>
      </w:r>
      <w:r w:rsidRPr="004D6DF8">
        <w:rPr>
          <w:sz w:val="24"/>
          <w:szCs w:val="24"/>
        </w:rPr>
        <w:t xml:space="preserve">frame for when those benefits may be realized.  </w:t>
      </w:r>
    </w:p>
    <w:p w:rsidR="004D6DF8" w:rsidRPr="004D6DF8" w:rsidRDefault="004D6DF8" w:rsidP="00DF5427">
      <w:pPr>
        <w:spacing w:line="360" w:lineRule="auto"/>
        <w:rPr>
          <w:sz w:val="24"/>
          <w:szCs w:val="24"/>
        </w:rPr>
      </w:pPr>
    </w:p>
    <w:p w:rsidR="004D6DF8" w:rsidRPr="004D6DF8" w:rsidRDefault="004D6DF8" w:rsidP="00DF5427">
      <w:pPr>
        <w:spacing w:line="360" w:lineRule="auto"/>
        <w:ind w:firstLine="1440"/>
        <w:rPr>
          <w:sz w:val="24"/>
          <w:szCs w:val="24"/>
        </w:rPr>
      </w:pPr>
      <w:r w:rsidRPr="004D6DF8">
        <w:rPr>
          <w:sz w:val="24"/>
          <w:szCs w:val="24"/>
        </w:rPr>
        <w:t xml:space="preserve">Although the Settling Parties are content with after-the-fact review provisions provided by the Joint Settlement Agreement, once the Commission permits Equitable to acquire the Gathering Systems, its review of the investigation costs which Equitable will incur is focused on whether those costs are prudent investigation costs.  Equitable contends that the ratepayers are protected because it has agreed to not seek recovery of the acquisition costs for the systems and that its initial investigation costs are capped at $2 million and can only be recovered in a base rate proceeding upon a showing that the costs were “prudently incurred.”  But in the context of a rate proceeding, the Commission’s review would not include whether the acquisition was prudent in the first place if the investigation reveals that the rehabilitation of the systems is </w:t>
      </w:r>
      <w:r w:rsidRPr="004D6DF8">
        <w:rPr>
          <w:sz w:val="24"/>
          <w:szCs w:val="24"/>
        </w:rPr>
        <w:lastRenderedPageBreak/>
        <w:t xml:space="preserve">prohibitively expensive.  Replacement of the pipeline could amount to as much as $379,000,000, in the event that Equitable is unable to control LUFG by other means.  In order to meet its obligation to balance the needs of ratepayers with the needs of the company’s investors, the Commission would be in a position where it may have to permit the recovery of at least some of these costs from ratepayers in order to preserve the financial health of Equitable.  Therefore, the cap on investigation costs and the element of risk to Equitable that the Commission may limit the recovery of those costs only provides a short-term protection to ratepayers.  </w:t>
      </w:r>
    </w:p>
    <w:p w:rsidR="004D6DF8" w:rsidRPr="004D6DF8" w:rsidRDefault="004D6DF8" w:rsidP="00DF5427">
      <w:pPr>
        <w:spacing w:line="360" w:lineRule="auto"/>
        <w:rPr>
          <w:sz w:val="24"/>
          <w:szCs w:val="24"/>
        </w:rPr>
      </w:pPr>
    </w:p>
    <w:p w:rsidR="004D6DF8" w:rsidRPr="004D6DF8" w:rsidRDefault="004D6DF8" w:rsidP="00CC3B9B">
      <w:pPr>
        <w:spacing w:line="360" w:lineRule="auto"/>
        <w:rPr>
          <w:sz w:val="24"/>
          <w:szCs w:val="24"/>
        </w:rPr>
      </w:pPr>
      <w:r w:rsidRPr="004D6DF8">
        <w:rPr>
          <w:sz w:val="24"/>
          <w:szCs w:val="24"/>
        </w:rPr>
        <w:tab/>
      </w:r>
      <w:r w:rsidRPr="004D6DF8">
        <w:rPr>
          <w:sz w:val="24"/>
          <w:szCs w:val="24"/>
        </w:rPr>
        <w:tab/>
        <w:t xml:space="preserve">Similarly, although the Joint Settlement may offer some limited short-term protections to ratepayers, it offers no protection from future cost recovery.  Although Equitable claims that its main purpose in acquiring the systems is the continued distribution service to the Field Line Customers, it offers no guarantees either in its proposal or the settlement that would preserve service to those customers in either the short-term or the long-term.  Since the ultimate costs of the project are unknown and the benefits are unquantified and speculative, it is impossible to conclude that the acquisition of the Gathering Systems is in the public interest.  </w:t>
      </w:r>
    </w:p>
    <w:p w:rsidR="004D6DF8" w:rsidRPr="004D6DF8" w:rsidRDefault="004D6DF8" w:rsidP="00CC3B9B">
      <w:pPr>
        <w:spacing w:line="360" w:lineRule="auto"/>
        <w:rPr>
          <w:sz w:val="24"/>
          <w:szCs w:val="24"/>
        </w:rPr>
      </w:pPr>
    </w:p>
    <w:p w:rsidR="004D6DF8" w:rsidRPr="004D6DF8" w:rsidRDefault="004D6DF8" w:rsidP="00CC3B9B">
      <w:pPr>
        <w:spacing w:line="360" w:lineRule="auto"/>
        <w:jc w:val="center"/>
        <w:rPr>
          <w:sz w:val="24"/>
          <w:szCs w:val="24"/>
        </w:rPr>
      </w:pPr>
      <w:r w:rsidRPr="004D6DF8">
        <w:rPr>
          <w:sz w:val="24"/>
          <w:szCs w:val="24"/>
        </w:rPr>
        <w:t>VI.</w:t>
      </w:r>
      <w:r w:rsidRPr="004D6DF8">
        <w:rPr>
          <w:sz w:val="24"/>
          <w:szCs w:val="24"/>
        </w:rPr>
        <w:tab/>
      </w:r>
      <w:r w:rsidRPr="004D6DF8">
        <w:rPr>
          <w:sz w:val="24"/>
          <w:szCs w:val="24"/>
          <w:u w:val="single"/>
        </w:rPr>
        <w:t>CONCLUSIONS OF LAW</w:t>
      </w:r>
    </w:p>
    <w:p w:rsidR="004D6DF8" w:rsidRPr="004D6DF8" w:rsidRDefault="004D6DF8" w:rsidP="00CC3B9B">
      <w:pPr>
        <w:spacing w:line="360" w:lineRule="auto"/>
        <w:rPr>
          <w:sz w:val="24"/>
          <w:szCs w:val="24"/>
        </w:rPr>
      </w:pPr>
    </w:p>
    <w:p w:rsidR="004D6DF8" w:rsidRPr="004D6DF8" w:rsidRDefault="004D6DF8" w:rsidP="00CC3B9B">
      <w:pPr>
        <w:pStyle w:val="ListParagraph"/>
        <w:numPr>
          <w:ilvl w:val="0"/>
          <w:numId w:val="7"/>
        </w:numPr>
        <w:spacing w:line="360" w:lineRule="auto"/>
        <w:ind w:left="0" w:firstLine="1440"/>
        <w:rPr>
          <w:sz w:val="24"/>
          <w:szCs w:val="24"/>
        </w:rPr>
      </w:pPr>
      <w:r w:rsidRPr="004D6DF8">
        <w:rPr>
          <w:sz w:val="24"/>
          <w:szCs w:val="24"/>
        </w:rPr>
        <w:t>The Commission has jurisdiction over the subject</w:t>
      </w:r>
      <w:r w:rsidR="00032949">
        <w:rPr>
          <w:sz w:val="24"/>
          <w:szCs w:val="24"/>
        </w:rPr>
        <w:t xml:space="preserve"> </w:t>
      </w:r>
      <w:r w:rsidRPr="004D6DF8">
        <w:rPr>
          <w:sz w:val="24"/>
          <w:szCs w:val="24"/>
        </w:rPr>
        <w:t xml:space="preserve">matter and the parties to this proceeding. </w:t>
      </w:r>
      <w:r w:rsidR="00032949">
        <w:rPr>
          <w:sz w:val="24"/>
          <w:szCs w:val="24"/>
        </w:rPr>
        <w:t xml:space="preserve"> </w:t>
      </w:r>
      <w:r w:rsidRPr="004D6DF8">
        <w:rPr>
          <w:sz w:val="24"/>
          <w:szCs w:val="24"/>
        </w:rPr>
        <w:t>66 Pa. C.S. § 1308; 66 Pa. C.S. § 2102.</w:t>
      </w:r>
    </w:p>
    <w:p w:rsidR="004D6DF8" w:rsidRPr="004D6DF8" w:rsidRDefault="004D6DF8" w:rsidP="00CC3B9B">
      <w:pPr>
        <w:pStyle w:val="ListParagraph"/>
        <w:spacing w:line="360" w:lineRule="auto"/>
        <w:ind w:left="0" w:firstLine="1440"/>
        <w:rPr>
          <w:sz w:val="24"/>
          <w:szCs w:val="24"/>
        </w:rPr>
      </w:pPr>
    </w:p>
    <w:p w:rsidR="004D6DF8" w:rsidRPr="004D6DF8" w:rsidRDefault="004D6DF8" w:rsidP="00CC3B9B">
      <w:pPr>
        <w:pStyle w:val="ListParagraph"/>
        <w:numPr>
          <w:ilvl w:val="0"/>
          <w:numId w:val="7"/>
        </w:numPr>
        <w:spacing w:line="360" w:lineRule="auto"/>
        <w:ind w:left="0" w:firstLine="1440"/>
        <w:rPr>
          <w:sz w:val="24"/>
          <w:szCs w:val="24"/>
        </w:rPr>
      </w:pPr>
      <w:r w:rsidRPr="004D6DF8">
        <w:rPr>
          <w:sz w:val="24"/>
          <w:szCs w:val="24"/>
        </w:rPr>
        <w:t>The proponent of a rule or order in any Commission proceeding has the burden of proof.  66 Pa. C.S. § 332.</w:t>
      </w:r>
    </w:p>
    <w:p w:rsidR="004D6DF8" w:rsidRPr="004D6DF8" w:rsidRDefault="004D6DF8" w:rsidP="00CC3B9B">
      <w:pPr>
        <w:pStyle w:val="ListParagraph"/>
        <w:spacing w:line="360" w:lineRule="auto"/>
        <w:ind w:left="0" w:firstLine="1440"/>
        <w:rPr>
          <w:sz w:val="24"/>
          <w:szCs w:val="24"/>
        </w:rPr>
      </w:pPr>
    </w:p>
    <w:p w:rsidR="004D6DF8" w:rsidRPr="004D6DF8" w:rsidRDefault="004D6DF8" w:rsidP="00CC3B9B">
      <w:pPr>
        <w:pStyle w:val="ListParagraph"/>
        <w:numPr>
          <w:ilvl w:val="0"/>
          <w:numId w:val="7"/>
        </w:numPr>
        <w:spacing w:line="360" w:lineRule="auto"/>
        <w:ind w:left="0" w:firstLine="1440"/>
        <w:rPr>
          <w:sz w:val="24"/>
          <w:szCs w:val="24"/>
        </w:rPr>
      </w:pPr>
      <w:r w:rsidRPr="004D6DF8">
        <w:rPr>
          <w:sz w:val="24"/>
          <w:szCs w:val="24"/>
        </w:rPr>
        <w:t>The Commission will approve a contract between a public utility and an affiliated interest only if it is established that the contract is reasonable and consistent with the public interest.  66 Pa. C.S. § 2102(b).</w:t>
      </w:r>
    </w:p>
    <w:p w:rsidR="004D6DF8" w:rsidRPr="004D6DF8" w:rsidRDefault="004D6DF8" w:rsidP="00CC3B9B">
      <w:pPr>
        <w:pStyle w:val="ListParagraph"/>
        <w:spacing w:line="360" w:lineRule="auto"/>
        <w:ind w:left="0" w:firstLine="1440"/>
        <w:rPr>
          <w:sz w:val="24"/>
          <w:szCs w:val="24"/>
        </w:rPr>
      </w:pPr>
    </w:p>
    <w:p w:rsidR="004D6DF8" w:rsidRPr="004D6DF8" w:rsidRDefault="004D6DF8" w:rsidP="00CC3B9B">
      <w:pPr>
        <w:pStyle w:val="ListParagraph"/>
        <w:numPr>
          <w:ilvl w:val="0"/>
          <w:numId w:val="7"/>
        </w:numPr>
        <w:spacing w:line="360" w:lineRule="auto"/>
        <w:ind w:left="0" w:firstLine="1440"/>
        <w:rPr>
          <w:sz w:val="24"/>
          <w:szCs w:val="24"/>
        </w:rPr>
      </w:pPr>
      <w:r w:rsidRPr="004D6DF8">
        <w:rPr>
          <w:sz w:val="24"/>
          <w:szCs w:val="24"/>
        </w:rPr>
        <w:t xml:space="preserve">A settlement agreement will only be approved if the Commission determines that the settlement promotes the public interest. </w:t>
      </w:r>
    </w:p>
    <w:p w:rsidR="004D6DF8" w:rsidRPr="004D6DF8" w:rsidRDefault="004D6DF8" w:rsidP="00CC3B9B">
      <w:pPr>
        <w:pStyle w:val="ListParagraph"/>
        <w:spacing w:line="360" w:lineRule="auto"/>
        <w:ind w:left="0" w:firstLine="1440"/>
        <w:rPr>
          <w:sz w:val="24"/>
          <w:szCs w:val="24"/>
        </w:rPr>
      </w:pPr>
    </w:p>
    <w:p w:rsidR="004D6DF8" w:rsidRPr="004D6DF8" w:rsidRDefault="004D6DF8" w:rsidP="00CC3B9B">
      <w:pPr>
        <w:pStyle w:val="ListParagraph"/>
        <w:numPr>
          <w:ilvl w:val="0"/>
          <w:numId w:val="7"/>
        </w:numPr>
        <w:spacing w:line="360" w:lineRule="auto"/>
        <w:ind w:left="0" w:firstLine="1440"/>
        <w:rPr>
          <w:sz w:val="24"/>
          <w:szCs w:val="24"/>
        </w:rPr>
      </w:pPr>
      <w:r w:rsidRPr="004D6DF8">
        <w:rPr>
          <w:sz w:val="24"/>
          <w:szCs w:val="24"/>
        </w:rPr>
        <w:lastRenderedPageBreak/>
        <w:t>Equitable Gas Company, LLC has failed to carry its burden of proving that the Application of Equitable Gas Company, LLC for Affiliated Interest Approval and Such Other Approvals</w:t>
      </w:r>
      <w:r w:rsidR="004D4991">
        <w:rPr>
          <w:sz w:val="24"/>
          <w:szCs w:val="24"/>
        </w:rPr>
        <w:t>, If Any,</w:t>
      </w:r>
      <w:r w:rsidRPr="004D6DF8">
        <w:rPr>
          <w:sz w:val="24"/>
          <w:szCs w:val="24"/>
        </w:rPr>
        <w:t xml:space="preserve"> </w:t>
      </w:r>
      <w:r w:rsidR="00B35C94">
        <w:rPr>
          <w:sz w:val="24"/>
          <w:szCs w:val="24"/>
        </w:rPr>
        <w:t>A</w:t>
      </w:r>
      <w:r w:rsidRPr="004D6DF8">
        <w:rPr>
          <w:sz w:val="24"/>
          <w:szCs w:val="24"/>
        </w:rPr>
        <w:t xml:space="preserve">s May </w:t>
      </w:r>
      <w:r w:rsidR="00B35C94">
        <w:rPr>
          <w:sz w:val="24"/>
          <w:szCs w:val="24"/>
        </w:rPr>
        <w:t>B</w:t>
      </w:r>
      <w:r w:rsidRPr="004D6DF8">
        <w:rPr>
          <w:sz w:val="24"/>
          <w:szCs w:val="24"/>
        </w:rPr>
        <w:t>e Necessary, In Regard to the Acquisition of the Goodwin Gathering System from EQT Gathering, LLC and of the Tombaugh Gathering System from Equitrans, L.P. is consistent with the public interest.</w:t>
      </w:r>
    </w:p>
    <w:p w:rsidR="004D6DF8" w:rsidRPr="004D6DF8" w:rsidRDefault="004D6DF8" w:rsidP="00CC3B9B">
      <w:pPr>
        <w:pStyle w:val="ListParagraph"/>
        <w:spacing w:line="360" w:lineRule="auto"/>
        <w:ind w:left="0" w:firstLine="1440"/>
        <w:rPr>
          <w:sz w:val="24"/>
          <w:szCs w:val="24"/>
        </w:rPr>
      </w:pPr>
    </w:p>
    <w:p w:rsidR="004D6DF8" w:rsidRPr="004D6DF8" w:rsidRDefault="004D6DF8" w:rsidP="00CC3B9B">
      <w:pPr>
        <w:pStyle w:val="ListParagraph"/>
        <w:numPr>
          <w:ilvl w:val="0"/>
          <w:numId w:val="7"/>
        </w:numPr>
        <w:spacing w:line="360" w:lineRule="auto"/>
        <w:ind w:left="0" w:firstLine="1440"/>
        <w:rPr>
          <w:sz w:val="24"/>
          <w:szCs w:val="24"/>
        </w:rPr>
      </w:pPr>
      <w:r w:rsidRPr="004D6DF8">
        <w:rPr>
          <w:sz w:val="24"/>
          <w:szCs w:val="24"/>
        </w:rPr>
        <w:t>The Joint Petition for Settlement entered into between Equitable, OCA and OSBA is not consistent with the public interest.</w:t>
      </w:r>
    </w:p>
    <w:p w:rsidR="004D6DF8" w:rsidRPr="004D6DF8" w:rsidRDefault="004D6DF8" w:rsidP="00CC3B9B">
      <w:pPr>
        <w:pStyle w:val="ListParagraph"/>
        <w:spacing w:line="360" w:lineRule="auto"/>
        <w:ind w:left="0" w:firstLine="1440"/>
        <w:rPr>
          <w:sz w:val="24"/>
          <w:szCs w:val="24"/>
        </w:rPr>
      </w:pPr>
    </w:p>
    <w:p w:rsidR="00AB1D50" w:rsidRDefault="00AB1D50" w:rsidP="00CC3B9B">
      <w:pPr>
        <w:spacing w:line="360" w:lineRule="auto"/>
        <w:jc w:val="center"/>
        <w:rPr>
          <w:sz w:val="24"/>
          <w:szCs w:val="24"/>
        </w:rPr>
      </w:pPr>
    </w:p>
    <w:p w:rsidR="004D6DF8" w:rsidRPr="004D6DF8" w:rsidRDefault="004D6DF8" w:rsidP="00CC3B9B">
      <w:pPr>
        <w:spacing w:line="360" w:lineRule="auto"/>
        <w:jc w:val="center"/>
        <w:rPr>
          <w:sz w:val="24"/>
          <w:szCs w:val="24"/>
          <w:u w:val="single"/>
        </w:rPr>
      </w:pPr>
      <w:r w:rsidRPr="004D6DF8">
        <w:rPr>
          <w:sz w:val="24"/>
          <w:szCs w:val="24"/>
        </w:rPr>
        <w:t>VII.</w:t>
      </w:r>
      <w:r w:rsidRPr="004D6DF8">
        <w:rPr>
          <w:sz w:val="24"/>
          <w:szCs w:val="24"/>
        </w:rPr>
        <w:tab/>
      </w:r>
      <w:r w:rsidRPr="004D6DF8">
        <w:rPr>
          <w:sz w:val="24"/>
          <w:szCs w:val="24"/>
          <w:u w:val="single"/>
        </w:rPr>
        <w:t>RECOMMENDED ORDER</w:t>
      </w:r>
    </w:p>
    <w:p w:rsidR="004D6DF8" w:rsidRPr="004D6DF8" w:rsidRDefault="004D6DF8" w:rsidP="00CC3B9B">
      <w:pPr>
        <w:spacing w:line="360" w:lineRule="auto"/>
        <w:ind w:firstLine="1440"/>
        <w:jc w:val="center"/>
        <w:rPr>
          <w:sz w:val="24"/>
          <w:szCs w:val="24"/>
        </w:rPr>
      </w:pPr>
    </w:p>
    <w:p w:rsidR="004D6DF8" w:rsidRPr="004D6DF8" w:rsidRDefault="004D6DF8" w:rsidP="00CC3B9B">
      <w:pPr>
        <w:spacing w:line="360" w:lineRule="auto"/>
        <w:ind w:firstLine="1440"/>
        <w:rPr>
          <w:sz w:val="24"/>
          <w:szCs w:val="24"/>
        </w:rPr>
      </w:pPr>
      <w:r w:rsidRPr="004D6DF8">
        <w:rPr>
          <w:sz w:val="24"/>
          <w:szCs w:val="24"/>
        </w:rPr>
        <w:t>THEREFORE,</w:t>
      </w:r>
    </w:p>
    <w:p w:rsidR="004D6DF8" w:rsidRPr="004D6DF8" w:rsidRDefault="004D6DF8" w:rsidP="00CC3B9B">
      <w:pPr>
        <w:spacing w:line="360" w:lineRule="auto"/>
        <w:ind w:firstLine="1440"/>
        <w:rPr>
          <w:sz w:val="24"/>
          <w:szCs w:val="24"/>
        </w:rPr>
      </w:pPr>
    </w:p>
    <w:p w:rsidR="004D6DF8" w:rsidRPr="004D6DF8" w:rsidRDefault="004D6DF8" w:rsidP="00CC3B9B">
      <w:pPr>
        <w:spacing w:line="360" w:lineRule="auto"/>
        <w:ind w:firstLine="1440"/>
        <w:rPr>
          <w:sz w:val="24"/>
          <w:szCs w:val="24"/>
        </w:rPr>
      </w:pPr>
      <w:r w:rsidRPr="004D6DF8">
        <w:rPr>
          <w:sz w:val="24"/>
          <w:szCs w:val="24"/>
        </w:rPr>
        <w:t>IT IS RECOMMEDED:</w:t>
      </w:r>
    </w:p>
    <w:p w:rsidR="004D6DF8" w:rsidRPr="004D6DF8" w:rsidRDefault="004D6DF8" w:rsidP="00CC3B9B">
      <w:pPr>
        <w:spacing w:line="360" w:lineRule="auto"/>
        <w:ind w:firstLine="1440"/>
        <w:rPr>
          <w:szCs w:val="24"/>
        </w:rPr>
      </w:pPr>
    </w:p>
    <w:p w:rsidR="004D6DF8" w:rsidRPr="004D6DF8" w:rsidRDefault="004D6DF8" w:rsidP="00CC3B9B">
      <w:pPr>
        <w:pStyle w:val="ListParagraph"/>
        <w:numPr>
          <w:ilvl w:val="0"/>
          <w:numId w:val="8"/>
        </w:numPr>
        <w:spacing w:line="360" w:lineRule="auto"/>
        <w:ind w:left="0" w:firstLine="1440"/>
        <w:rPr>
          <w:sz w:val="24"/>
          <w:szCs w:val="24"/>
        </w:rPr>
      </w:pPr>
      <w:r w:rsidRPr="004D6DF8">
        <w:rPr>
          <w:sz w:val="24"/>
          <w:szCs w:val="24"/>
        </w:rPr>
        <w:t>That the Application of Equitable Gas Company, LLC for Affiliated Interest Ap</w:t>
      </w:r>
      <w:r w:rsidR="004D4991">
        <w:rPr>
          <w:sz w:val="24"/>
          <w:szCs w:val="24"/>
        </w:rPr>
        <w:t xml:space="preserve">proval and Such Other Approvals, If Any, </w:t>
      </w:r>
      <w:r w:rsidR="00B35C94">
        <w:rPr>
          <w:sz w:val="24"/>
          <w:szCs w:val="24"/>
        </w:rPr>
        <w:t>A</w:t>
      </w:r>
      <w:r w:rsidRPr="004D6DF8">
        <w:rPr>
          <w:sz w:val="24"/>
          <w:szCs w:val="24"/>
        </w:rPr>
        <w:t xml:space="preserve">s May </w:t>
      </w:r>
      <w:r w:rsidR="00B35C94">
        <w:rPr>
          <w:sz w:val="24"/>
          <w:szCs w:val="24"/>
        </w:rPr>
        <w:t>B</w:t>
      </w:r>
      <w:r w:rsidRPr="004D6DF8">
        <w:rPr>
          <w:sz w:val="24"/>
          <w:szCs w:val="24"/>
        </w:rPr>
        <w:t>e Necessary, In Regard to the Acquisition of the Goodwin Gathering System from EQT Gathering, LLC and of the Tombaugh Gathering System from Equitrans, L.P. at PUC Docket No. G-2012-2312597 be denied.</w:t>
      </w:r>
    </w:p>
    <w:p w:rsidR="004D6DF8" w:rsidRPr="004D6DF8" w:rsidRDefault="004D6DF8" w:rsidP="00CC3B9B">
      <w:pPr>
        <w:pStyle w:val="ListParagraph"/>
        <w:spacing w:line="360" w:lineRule="auto"/>
        <w:ind w:left="0" w:firstLine="1440"/>
        <w:rPr>
          <w:sz w:val="24"/>
          <w:szCs w:val="24"/>
        </w:rPr>
      </w:pPr>
    </w:p>
    <w:p w:rsidR="004D6DF8" w:rsidRPr="004D6DF8" w:rsidRDefault="004D6DF8" w:rsidP="00CC3B9B">
      <w:pPr>
        <w:pStyle w:val="ListParagraph"/>
        <w:numPr>
          <w:ilvl w:val="0"/>
          <w:numId w:val="8"/>
        </w:numPr>
        <w:spacing w:line="360" w:lineRule="auto"/>
        <w:ind w:left="0" w:firstLine="1440"/>
        <w:rPr>
          <w:sz w:val="24"/>
          <w:szCs w:val="24"/>
        </w:rPr>
      </w:pPr>
      <w:r w:rsidRPr="004D6DF8">
        <w:rPr>
          <w:sz w:val="24"/>
          <w:szCs w:val="24"/>
        </w:rPr>
        <w:t>That the Joint Settlement Agreement between Equitable Gas Company, LLC, the Office of Consumer Advocate and the Office of Small Business Advocate be denied.</w:t>
      </w:r>
    </w:p>
    <w:p w:rsidR="004D6DF8" w:rsidRPr="004D6DF8" w:rsidRDefault="004D6DF8" w:rsidP="00CC3B9B">
      <w:pPr>
        <w:pStyle w:val="ListParagraph"/>
        <w:spacing w:line="360" w:lineRule="auto"/>
        <w:ind w:left="0" w:firstLine="1440"/>
        <w:rPr>
          <w:sz w:val="24"/>
          <w:szCs w:val="24"/>
        </w:rPr>
      </w:pPr>
    </w:p>
    <w:p w:rsidR="004D6DF8" w:rsidRPr="004D6DF8" w:rsidRDefault="004D6DF8" w:rsidP="00CC3B9B">
      <w:pPr>
        <w:pStyle w:val="ListParagraph"/>
        <w:numPr>
          <w:ilvl w:val="0"/>
          <w:numId w:val="8"/>
        </w:numPr>
        <w:spacing w:line="360" w:lineRule="auto"/>
        <w:ind w:left="0" w:firstLine="1440"/>
        <w:rPr>
          <w:sz w:val="24"/>
          <w:szCs w:val="24"/>
        </w:rPr>
      </w:pPr>
      <w:r w:rsidRPr="004D6DF8">
        <w:rPr>
          <w:sz w:val="24"/>
          <w:szCs w:val="24"/>
        </w:rPr>
        <w:t>That proposed Tariff Supplement No. 86 to Tariff Gas-Pa. PUC No. 22 at PUC Docket No. R-2012-2312577 be denied.</w:t>
      </w:r>
    </w:p>
    <w:p w:rsidR="004D6DF8" w:rsidRPr="004D6DF8" w:rsidRDefault="004D6DF8" w:rsidP="00CC3B9B">
      <w:pPr>
        <w:spacing w:line="360" w:lineRule="auto"/>
        <w:ind w:firstLine="1440"/>
        <w:rPr>
          <w:szCs w:val="24"/>
        </w:rPr>
      </w:pPr>
    </w:p>
    <w:p w:rsidR="004D6DF8" w:rsidRPr="004D6DF8" w:rsidRDefault="004D6DF8" w:rsidP="00CC3B9B">
      <w:pPr>
        <w:pStyle w:val="ListParagraph"/>
        <w:numPr>
          <w:ilvl w:val="0"/>
          <w:numId w:val="8"/>
        </w:numPr>
        <w:spacing w:line="360" w:lineRule="auto"/>
        <w:ind w:left="0" w:firstLine="1440"/>
        <w:rPr>
          <w:sz w:val="24"/>
          <w:szCs w:val="24"/>
        </w:rPr>
      </w:pPr>
      <w:r w:rsidRPr="004D6DF8">
        <w:rPr>
          <w:sz w:val="24"/>
          <w:szCs w:val="24"/>
        </w:rPr>
        <w:t>That the complaint of the Office of Consumer Advocate at PUC Docket No. C-2012-2315323 be dismissed.</w:t>
      </w:r>
    </w:p>
    <w:p w:rsidR="00B46B62" w:rsidRDefault="00B46B62">
      <w:pPr>
        <w:rPr>
          <w:sz w:val="24"/>
          <w:szCs w:val="24"/>
        </w:rPr>
      </w:pPr>
      <w:r>
        <w:rPr>
          <w:sz w:val="24"/>
          <w:szCs w:val="24"/>
        </w:rPr>
        <w:br w:type="page"/>
      </w:r>
    </w:p>
    <w:p w:rsidR="004D6DF8" w:rsidRPr="004D6DF8" w:rsidRDefault="004D6DF8" w:rsidP="00CC3B9B">
      <w:pPr>
        <w:pStyle w:val="ListParagraph"/>
        <w:spacing w:line="360" w:lineRule="auto"/>
        <w:ind w:left="0" w:firstLine="1440"/>
        <w:rPr>
          <w:sz w:val="24"/>
          <w:szCs w:val="24"/>
        </w:rPr>
      </w:pPr>
    </w:p>
    <w:p w:rsidR="004D6DF8" w:rsidRPr="004D6DF8" w:rsidRDefault="004D6DF8" w:rsidP="00CC3B9B">
      <w:pPr>
        <w:pStyle w:val="ListParagraph"/>
        <w:numPr>
          <w:ilvl w:val="0"/>
          <w:numId w:val="8"/>
        </w:numPr>
        <w:spacing w:line="360" w:lineRule="auto"/>
        <w:ind w:left="0" w:firstLine="1440"/>
        <w:rPr>
          <w:sz w:val="24"/>
          <w:szCs w:val="24"/>
        </w:rPr>
      </w:pPr>
      <w:r w:rsidRPr="004D6DF8">
        <w:rPr>
          <w:sz w:val="24"/>
          <w:szCs w:val="24"/>
        </w:rPr>
        <w:t>Th</w:t>
      </w:r>
      <w:bookmarkStart w:id="0" w:name="_GoBack"/>
      <w:bookmarkEnd w:id="0"/>
      <w:r w:rsidRPr="004D6DF8">
        <w:rPr>
          <w:sz w:val="24"/>
          <w:szCs w:val="24"/>
        </w:rPr>
        <w:t>at the Secretary mark these dockets closed.</w:t>
      </w:r>
    </w:p>
    <w:p w:rsidR="00671FD6" w:rsidRPr="004D6DF8" w:rsidRDefault="00671FD6" w:rsidP="00671FD6">
      <w:pPr>
        <w:tabs>
          <w:tab w:val="left" w:pos="0"/>
        </w:tabs>
        <w:spacing w:line="480" w:lineRule="auto"/>
        <w:jc w:val="both"/>
        <w:rPr>
          <w:sz w:val="24"/>
          <w:szCs w:val="24"/>
        </w:rPr>
      </w:pPr>
    </w:p>
    <w:p w:rsidR="00671FD6" w:rsidRPr="004D6DF8" w:rsidRDefault="00671FD6" w:rsidP="00671FD6">
      <w:pPr>
        <w:tabs>
          <w:tab w:val="left" w:pos="0"/>
        </w:tabs>
        <w:spacing w:line="360" w:lineRule="auto"/>
        <w:jc w:val="both"/>
        <w:rPr>
          <w:sz w:val="24"/>
          <w:szCs w:val="24"/>
        </w:rPr>
      </w:pPr>
    </w:p>
    <w:p w:rsidR="00143126" w:rsidRPr="00143126" w:rsidRDefault="00143126" w:rsidP="00143126">
      <w:pPr>
        <w:tabs>
          <w:tab w:val="left" w:pos="0"/>
        </w:tabs>
        <w:jc w:val="both"/>
        <w:rPr>
          <w:sz w:val="24"/>
          <w:szCs w:val="24"/>
          <w:u w:val="single"/>
        </w:rPr>
      </w:pPr>
      <w:r w:rsidRPr="00143126">
        <w:rPr>
          <w:sz w:val="24"/>
          <w:szCs w:val="24"/>
        </w:rPr>
        <w:t xml:space="preserve">Date:  </w:t>
      </w:r>
      <w:r w:rsidRPr="00143126">
        <w:rPr>
          <w:sz w:val="24"/>
          <w:szCs w:val="24"/>
          <w:u w:val="single"/>
        </w:rPr>
        <w:t>January 28, 2013</w:t>
      </w:r>
      <w:r w:rsidRPr="00143126">
        <w:rPr>
          <w:sz w:val="24"/>
          <w:szCs w:val="24"/>
        </w:rPr>
        <w:tab/>
      </w:r>
      <w:r w:rsidRPr="00143126">
        <w:rPr>
          <w:sz w:val="24"/>
          <w:szCs w:val="24"/>
        </w:rPr>
        <w:tab/>
      </w:r>
      <w:r w:rsidR="00CC3B9B">
        <w:rPr>
          <w:sz w:val="24"/>
          <w:szCs w:val="24"/>
        </w:rPr>
        <w:tab/>
      </w:r>
      <w:r w:rsidRPr="00143126">
        <w:rPr>
          <w:sz w:val="24"/>
          <w:szCs w:val="24"/>
        </w:rPr>
        <w:tab/>
      </w:r>
      <w:r w:rsidR="00020ABD">
        <w:rPr>
          <w:sz w:val="24"/>
          <w:szCs w:val="24"/>
          <w:u w:val="single"/>
        </w:rPr>
        <w:tab/>
      </w:r>
      <w:r w:rsidR="00020ABD">
        <w:rPr>
          <w:sz w:val="24"/>
          <w:szCs w:val="24"/>
          <w:u w:val="single"/>
        </w:rPr>
        <w:tab/>
      </w:r>
      <w:r w:rsidRPr="00143126">
        <w:rPr>
          <w:sz w:val="24"/>
          <w:szCs w:val="24"/>
          <w:u w:val="single"/>
        </w:rPr>
        <w:tab/>
      </w:r>
      <w:r w:rsidRPr="00143126">
        <w:rPr>
          <w:sz w:val="24"/>
          <w:szCs w:val="24"/>
          <w:u w:val="single"/>
        </w:rPr>
        <w:tab/>
      </w:r>
      <w:r w:rsidRPr="00143126">
        <w:rPr>
          <w:sz w:val="24"/>
          <w:szCs w:val="24"/>
          <w:u w:val="single"/>
        </w:rPr>
        <w:tab/>
      </w:r>
    </w:p>
    <w:p w:rsidR="00143126" w:rsidRPr="00143126" w:rsidRDefault="00143126" w:rsidP="00143126">
      <w:pPr>
        <w:tabs>
          <w:tab w:val="left" w:pos="0"/>
        </w:tabs>
        <w:jc w:val="both"/>
        <w:rPr>
          <w:sz w:val="24"/>
          <w:szCs w:val="24"/>
        </w:rPr>
      </w:pPr>
      <w:r w:rsidRPr="00143126">
        <w:rPr>
          <w:sz w:val="24"/>
          <w:szCs w:val="24"/>
        </w:rPr>
        <w:tab/>
      </w:r>
      <w:r w:rsidRPr="00143126">
        <w:rPr>
          <w:sz w:val="24"/>
          <w:szCs w:val="24"/>
        </w:rPr>
        <w:tab/>
      </w:r>
      <w:r w:rsidRPr="00143126">
        <w:rPr>
          <w:sz w:val="24"/>
          <w:szCs w:val="24"/>
        </w:rPr>
        <w:tab/>
      </w:r>
      <w:r w:rsidRPr="00143126">
        <w:rPr>
          <w:sz w:val="24"/>
          <w:szCs w:val="24"/>
        </w:rPr>
        <w:tab/>
      </w:r>
      <w:r w:rsidRPr="00143126">
        <w:rPr>
          <w:sz w:val="24"/>
          <w:szCs w:val="24"/>
        </w:rPr>
        <w:tab/>
      </w:r>
      <w:r w:rsidR="00CC3B9B">
        <w:rPr>
          <w:sz w:val="24"/>
          <w:szCs w:val="24"/>
        </w:rPr>
        <w:tab/>
      </w:r>
      <w:r w:rsidRPr="00143126">
        <w:rPr>
          <w:sz w:val="24"/>
          <w:szCs w:val="24"/>
        </w:rPr>
        <w:tab/>
        <w:t>Mary D. Long</w:t>
      </w:r>
    </w:p>
    <w:p w:rsidR="00143126" w:rsidRDefault="00143126" w:rsidP="00143126">
      <w:pPr>
        <w:tabs>
          <w:tab w:val="left" w:pos="0"/>
        </w:tabs>
        <w:jc w:val="both"/>
        <w:rPr>
          <w:sz w:val="24"/>
          <w:szCs w:val="24"/>
        </w:rPr>
      </w:pPr>
      <w:r w:rsidRPr="00143126">
        <w:rPr>
          <w:sz w:val="24"/>
          <w:szCs w:val="24"/>
        </w:rPr>
        <w:tab/>
      </w:r>
      <w:r w:rsidRPr="00143126">
        <w:rPr>
          <w:sz w:val="24"/>
          <w:szCs w:val="24"/>
        </w:rPr>
        <w:tab/>
      </w:r>
      <w:r w:rsidRPr="00143126">
        <w:rPr>
          <w:sz w:val="24"/>
          <w:szCs w:val="24"/>
        </w:rPr>
        <w:tab/>
      </w:r>
      <w:r w:rsidRPr="00143126">
        <w:rPr>
          <w:sz w:val="24"/>
          <w:szCs w:val="24"/>
        </w:rPr>
        <w:tab/>
      </w:r>
      <w:r w:rsidRPr="00143126">
        <w:rPr>
          <w:sz w:val="24"/>
          <w:szCs w:val="24"/>
        </w:rPr>
        <w:tab/>
      </w:r>
      <w:r w:rsidR="00CC3B9B">
        <w:rPr>
          <w:sz w:val="24"/>
          <w:szCs w:val="24"/>
        </w:rPr>
        <w:tab/>
      </w:r>
      <w:r w:rsidRPr="00143126">
        <w:rPr>
          <w:sz w:val="24"/>
          <w:szCs w:val="24"/>
        </w:rPr>
        <w:tab/>
        <w:t>Administrative Law Judge</w:t>
      </w:r>
    </w:p>
    <w:p w:rsidR="003E24DA" w:rsidRPr="00143126" w:rsidRDefault="003E24DA" w:rsidP="00143126">
      <w:pPr>
        <w:tabs>
          <w:tab w:val="left" w:pos="0"/>
        </w:tabs>
        <w:jc w:val="both"/>
        <w:rPr>
          <w:b/>
          <w:sz w:val="24"/>
          <w:szCs w:val="24"/>
        </w:rPr>
      </w:pPr>
    </w:p>
    <w:sectPr w:rsidR="003E24DA" w:rsidRPr="00143126"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BFC" w:rsidRDefault="00D74BFC">
      <w:r>
        <w:separator/>
      </w:r>
    </w:p>
  </w:endnote>
  <w:endnote w:type="continuationSeparator" w:id="0">
    <w:p w:rsidR="00D74BFC" w:rsidRDefault="00D7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9A091E">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88974"/>
      <w:docPartObj>
        <w:docPartGallery w:val="Page Numbers (Bottom of Page)"/>
        <w:docPartUnique/>
      </w:docPartObj>
    </w:sdtPr>
    <w:sdtEndPr/>
    <w:sdtContent>
      <w:p w:rsidR="00671FD6" w:rsidRDefault="004D6DF8">
        <w:pPr>
          <w:pStyle w:val="Footer"/>
          <w:jc w:val="center"/>
        </w:pPr>
        <w:r>
          <w:fldChar w:fldCharType="begin"/>
        </w:r>
        <w:r>
          <w:instrText xml:space="preserve"> PAGE   \* MERGEFORMAT </w:instrText>
        </w:r>
        <w:r>
          <w:fldChar w:fldCharType="separate"/>
        </w:r>
        <w:r w:rsidR="00020ABD">
          <w:rPr>
            <w:noProof/>
          </w:rPr>
          <w:t>29</w:t>
        </w:r>
        <w:r>
          <w:rPr>
            <w:noProof/>
          </w:rPr>
          <w:fldChar w:fldCharType="end"/>
        </w:r>
      </w:p>
    </w:sdtContent>
  </w:sdt>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671FD6">
    <w:pPr>
      <w:pStyle w:val="Footer"/>
      <w:jc w:val="center"/>
    </w:pPr>
  </w:p>
  <w:p w:rsidR="00671FD6" w:rsidRDefault="00671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BFC" w:rsidRDefault="00D74BFC">
      <w:r>
        <w:separator/>
      </w:r>
    </w:p>
  </w:footnote>
  <w:footnote w:type="continuationSeparator" w:id="0">
    <w:p w:rsidR="00D74BFC" w:rsidRDefault="00D74BFC">
      <w:r>
        <w:continuationSeparator/>
      </w:r>
    </w:p>
  </w:footnote>
  <w:footnote w:id="1">
    <w:p w:rsidR="004D6DF8" w:rsidRDefault="004D6DF8" w:rsidP="00951D28">
      <w:pPr>
        <w:pStyle w:val="FootnoteText"/>
      </w:pPr>
      <w:r>
        <w:tab/>
      </w:r>
      <w:r>
        <w:rPr>
          <w:rStyle w:val="FootnoteReference"/>
        </w:rPr>
        <w:footnoteRef/>
      </w:r>
      <w:r>
        <w:t xml:space="preserve"> </w:t>
      </w:r>
      <w:r>
        <w:tab/>
        <w:t>BIE Cross-Examination Exs. 1 and 2.</w:t>
      </w:r>
    </w:p>
    <w:p w:rsidR="004D6DF8" w:rsidRDefault="004D6DF8" w:rsidP="00951D28">
      <w:pPr>
        <w:pStyle w:val="FootnoteText"/>
      </w:pPr>
    </w:p>
  </w:footnote>
  <w:footnote w:id="2">
    <w:p w:rsidR="004D6DF8" w:rsidRDefault="004D6DF8" w:rsidP="00951D28">
      <w:pPr>
        <w:pStyle w:val="FootnoteText"/>
      </w:pPr>
      <w:r>
        <w:tab/>
      </w:r>
      <w:r>
        <w:rPr>
          <w:rStyle w:val="FootnoteReference"/>
        </w:rPr>
        <w:footnoteRef/>
      </w:r>
      <w:r>
        <w:t xml:space="preserve">  </w:t>
      </w:r>
      <w:r>
        <w:tab/>
        <w:t>The Settling Parties are Equitable, OCA and OSBA.</w:t>
      </w:r>
    </w:p>
    <w:p w:rsidR="004D6DF8" w:rsidRDefault="004D6DF8" w:rsidP="00951D28">
      <w:pPr>
        <w:pStyle w:val="FootnoteText"/>
      </w:pPr>
    </w:p>
  </w:footnote>
  <w:footnote w:id="3">
    <w:p w:rsidR="004D6DF8" w:rsidRDefault="004D6DF8" w:rsidP="00951D28">
      <w:pPr>
        <w:pStyle w:val="FootnoteText"/>
      </w:pPr>
      <w:r>
        <w:tab/>
      </w:r>
      <w:r>
        <w:rPr>
          <w:rStyle w:val="FootnoteReference"/>
        </w:rPr>
        <w:footnoteRef/>
      </w:r>
      <w:r>
        <w:t xml:space="preserve"> </w:t>
      </w:r>
      <w:r>
        <w:tab/>
        <w:t>OCA also filed a reply brief.</w:t>
      </w:r>
    </w:p>
  </w:footnote>
  <w:footnote w:id="4">
    <w:p w:rsidR="004D6DF8" w:rsidRDefault="004D6DF8" w:rsidP="00951D28">
      <w:pPr>
        <w:pStyle w:val="FootnoteText"/>
        <w:ind w:firstLine="720"/>
      </w:pPr>
      <w:r>
        <w:rPr>
          <w:rStyle w:val="FootnoteReference"/>
        </w:rPr>
        <w:footnoteRef/>
      </w:r>
      <w:r>
        <w:t xml:space="preserve">  </w:t>
      </w:r>
      <w:r>
        <w:tab/>
        <w:t>The wells are not included in the proposed transfer.</w:t>
      </w:r>
      <w:r w:rsidR="007F7078">
        <w:t xml:space="preserve"> </w:t>
      </w:r>
      <w:r>
        <w:t xml:space="preserve"> (N.T. 103)</w:t>
      </w:r>
    </w:p>
    <w:p w:rsidR="004D6DF8" w:rsidRDefault="004D6DF8" w:rsidP="00951D28">
      <w:pPr>
        <w:pStyle w:val="FootnoteText"/>
      </w:pPr>
    </w:p>
  </w:footnote>
  <w:footnote w:id="5">
    <w:p w:rsidR="004D6DF8" w:rsidRDefault="004D6DF8" w:rsidP="00951D28">
      <w:pPr>
        <w:pStyle w:val="FootnoteText"/>
        <w:ind w:firstLine="720"/>
      </w:pPr>
      <w:r>
        <w:rPr>
          <w:rStyle w:val="FootnoteReference"/>
        </w:rPr>
        <w:footnoteRef/>
      </w:r>
      <w:r>
        <w:t xml:space="preserve">  </w:t>
      </w:r>
      <w:r>
        <w:tab/>
        <w:t>Robert J. Cooper is an expert witness proffered by Equitable.  He serves as the Vice President of Engineering for EQT Midstream, which includes the midstream assets of EQT Gathering, LLC and Equitrans, LP. (Equitable St. 4-R at 1)</w:t>
      </w:r>
    </w:p>
  </w:footnote>
  <w:footnote w:id="6">
    <w:p w:rsidR="004D6DF8" w:rsidRDefault="004D6DF8" w:rsidP="00951D28">
      <w:pPr>
        <w:pStyle w:val="FootnoteText"/>
      </w:pPr>
      <w:r>
        <w:tab/>
      </w:r>
      <w:r w:rsidRPr="00F55C6F">
        <w:rPr>
          <w:rStyle w:val="FootnoteReference"/>
        </w:rPr>
        <w:footnoteRef/>
      </w:r>
      <w:r w:rsidRPr="00F55C6F">
        <w:t xml:space="preserve"> </w:t>
      </w:r>
      <w:r w:rsidR="00143126">
        <w:tab/>
      </w:r>
      <w:r w:rsidRPr="00F55C6F">
        <w:t xml:space="preserve">Equitable would </w:t>
      </w:r>
      <w:r>
        <w:t xml:space="preserve">have </w:t>
      </w:r>
      <w:r w:rsidRPr="00F55C6F">
        <w:t>specifically identif</w:t>
      </w:r>
      <w:r>
        <w:t>ied</w:t>
      </w:r>
      <w:r w:rsidRPr="00F55C6F">
        <w:t xml:space="preserve"> and submit</w:t>
      </w:r>
      <w:r>
        <w:t>ted Rider E-</w:t>
      </w:r>
      <w:r w:rsidRPr="00F55C6F">
        <w:t xml:space="preserve">eligible projects with projected cost justification in its annual Section 1307(f) filings for review and approval by the Commission.  Eligible projects </w:t>
      </w:r>
      <w:r>
        <w:t xml:space="preserve">would have been </w:t>
      </w:r>
      <w:r w:rsidRPr="00F55C6F">
        <w:t>evaluated based on a net customer benefit analysis.</w:t>
      </w:r>
      <w:r>
        <w:t xml:space="preserve">  </w:t>
      </w:r>
      <w:r w:rsidRPr="00F55C6F">
        <w:t xml:space="preserve">Equitable St. No. 2 at 5. </w:t>
      </w:r>
    </w:p>
    <w:p w:rsidR="004D6DF8" w:rsidRPr="00F55C6F" w:rsidRDefault="004D6DF8" w:rsidP="00951D28">
      <w:pPr>
        <w:pStyle w:val="FootnoteText"/>
      </w:pPr>
    </w:p>
  </w:footnote>
  <w:footnote w:id="7">
    <w:p w:rsidR="004D6DF8" w:rsidRDefault="004D6DF8" w:rsidP="00951D28">
      <w:pPr>
        <w:pStyle w:val="FootnoteText"/>
      </w:pPr>
      <w:r>
        <w:tab/>
      </w:r>
      <w:r>
        <w:rPr>
          <w:rStyle w:val="FootnoteReference"/>
        </w:rPr>
        <w:footnoteRef/>
      </w:r>
      <w:r>
        <w:t xml:space="preserve"> </w:t>
      </w:r>
      <w:r>
        <w:tab/>
        <w:t>Thomas S. Catlin is the expert witness of OCA.  He is a princip</w:t>
      </w:r>
      <w:r w:rsidR="00E323AE">
        <w:t>al</w:t>
      </w:r>
      <w:r>
        <w:t xml:space="preserve"> with Exeter Associates, Inc. which is a firm of consulting economists specializing in issues pertaining to public utilities.</w:t>
      </w:r>
      <w:r w:rsidR="00A166A1">
        <w:t xml:space="preserve"> </w:t>
      </w:r>
      <w:r>
        <w:t xml:space="preserve"> (OCA St. 1 at 1)</w:t>
      </w:r>
    </w:p>
  </w:footnote>
  <w:footnote w:id="8">
    <w:p w:rsidR="004D6DF8" w:rsidRDefault="004D6DF8" w:rsidP="00951D28">
      <w:pPr>
        <w:pStyle w:val="FootnoteText"/>
        <w:ind w:firstLine="720"/>
      </w:pPr>
      <w:r>
        <w:rPr>
          <w:rStyle w:val="FootnoteReference"/>
        </w:rPr>
        <w:footnoteRef/>
      </w:r>
      <w:r>
        <w:t xml:space="preserve">  </w:t>
      </w:r>
      <w:r>
        <w:tab/>
        <w:t>Ralph Graeser is the expert witness of BIE.  He serves as a Gas Safety Supervisor in BIE.  He has held that position since 2011.  From 1984 until his promotion in 2011 he served as a Gas Safety Inspector.  (BIE St. 1 at 1)</w:t>
      </w:r>
    </w:p>
    <w:p w:rsidR="004D6DF8" w:rsidRDefault="004D6DF8" w:rsidP="00951D28">
      <w:pPr>
        <w:pStyle w:val="FootnoteText"/>
      </w:pPr>
      <w:r>
        <w:tab/>
      </w:r>
    </w:p>
  </w:footnote>
  <w:footnote w:id="9">
    <w:p w:rsidR="004D6DF8" w:rsidRDefault="004D6DF8" w:rsidP="00951D28">
      <w:pPr>
        <w:pStyle w:val="FootnoteText"/>
        <w:ind w:firstLine="720"/>
      </w:pPr>
      <w:r>
        <w:rPr>
          <w:rStyle w:val="FootnoteReference"/>
        </w:rPr>
        <w:footnoteRef/>
      </w:r>
      <w:r>
        <w:t xml:space="preserve">  </w:t>
      </w:r>
      <w:r>
        <w:tab/>
        <w:t>Bruce Grabiec is an expert witness of Equitable.  He is the Director of Field Operations for Equitable Gas Company.  He is responsible for distribution service operations for Equitable.  (Equitable St. 3-R at 1)</w:t>
      </w:r>
    </w:p>
    <w:p w:rsidR="004D6DF8" w:rsidRDefault="004D6DF8" w:rsidP="00951D28">
      <w:pPr>
        <w:pStyle w:val="FootnoteText"/>
      </w:pPr>
    </w:p>
  </w:footnote>
  <w:footnote w:id="10">
    <w:p w:rsidR="004D6DF8" w:rsidRDefault="004D6DF8" w:rsidP="00951D28">
      <w:pPr>
        <w:pStyle w:val="FootnoteText"/>
        <w:ind w:firstLine="720"/>
      </w:pPr>
      <w:r>
        <w:rPr>
          <w:rStyle w:val="FootnoteReference"/>
        </w:rPr>
        <w:footnoteRef/>
      </w:r>
      <w:r>
        <w:t xml:space="preserve">  </w:t>
      </w:r>
      <w:r>
        <w:tab/>
        <w:t>Equitable owned a portion of the system before 1999.  It did not own the entire 814 miles until it acquired the Apollo Gas portion of the system.  (Grabiec, N.T. 111)</w:t>
      </w:r>
    </w:p>
  </w:footnote>
  <w:footnote w:id="11">
    <w:p w:rsidR="004D6DF8" w:rsidRDefault="004D6DF8" w:rsidP="00951D28">
      <w:pPr>
        <w:pStyle w:val="FootnoteText"/>
        <w:ind w:firstLine="720"/>
      </w:pPr>
      <w:r>
        <w:rPr>
          <w:rStyle w:val="FootnoteReference"/>
        </w:rPr>
        <w:footnoteRef/>
      </w:r>
      <w:r>
        <w:t xml:space="preserve"> </w:t>
      </w:r>
      <w:r>
        <w:tab/>
        <w:t>Brian Kalcic is the expert witness of OSBA.  He is an economist and consultant in the field of public utility regulation and a principal of Excel Consulting.  (OSBA St. 1 at 1)</w:t>
      </w:r>
    </w:p>
  </w:footnote>
  <w:footnote w:id="12">
    <w:p w:rsidR="004D6DF8" w:rsidRDefault="004D6DF8" w:rsidP="008912E3">
      <w:pPr>
        <w:pStyle w:val="FootnoteText"/>
        <w:ind w:firstLine="720"/>
      </w:pPr>
      <w:r>
        <w:rPr>
          <w:rStyle w:val="FootnoteReference"/>
        </w:rPr>
        <w:footnoteRef/>
      </w:r>
      <w:r>
        <w:t xml:space="preserve"> </w:t>
      </w:r>
      <w:r>
        <w:tab/>
        <w:t xml:space="preserve">66 Pa. C.S. § 332(a). </w:t>
      </w:r>
    </w:p>
    <w:p w:rsidR="004D6DF8" w:rsidRDefault="004D6DF8" w:rsidP="00951D28">
      <w:pPr>
        <w:pStyle w:val="FootnoteText"/>
      </w:pPr>
      <w:r>
        <w:t xml:space="preserve"> </w:t>
      </w:r>
    </w:p>
  </w:footnote>
  <w:footnote w:id="13">
    <w:p w:rsidR="004D6DF8" w:rsidRDefault="004D6DF8" w:rsidP="008912E3">
      <w:pPr>
        <w:pStyle w:val="FootnoteText"/>
        <w:ind w:firstLine="720"/>
      </w:pPr>
      <w:r>
        <w:rPr>
          <w:rStyle w:val="FootnoteReference"/>
        </w:rPr>
        <w:footnoteRef/>
      </w:r>
      <w:r>
        <w:t xml:space="preserve"> </w:t>
      </w:r>
      <w:r>
        <w:tab/>
      </w:r>
      <w:r w:rsidRPr="00D85C32">
        <w:rPr>
          <w:i/>
        </w:rPr>
        <w:t>Samuel J. Lansberry, Inc. v. Pa. PUC</w:t>
      </w:r>
      <w:r>
        <w:t>, 578 A.2d 600 (Pa. Cmwlth. 1990).</w:t>
      </w:r>
    </w:p>
    <w:p w:rsidR="004D6DF8" w:rsidRDefault="004D6DF8" w:rsidP="00951D28">
      <w:pPr>
        <w:pStyle w:val="FootnoteText"/>
      </w:pPr>
      <w:r>
        <w:t xml:space="preserve">  </w:t>
      </w:r>
    </w:p>
  </w:footnote>
  <w:footnote w:id="14">
    <w:p w:rsidR="004D6DF8" w:rsidRDefault="004D6DF8" w:rsidP="008912E3">
      <w:pPr>
        <w:pStyle w:val="FootnoteText"/>
        <w:ind w:firstLine="720"/>
      </w:pPr>
      <w:r>
        <w:rPr>
          <w:rStyle w:val="FootnoteReference"/>
        </w:rPr>
        <w:footnoteRef/>
      </w:r>
      <w:r>
        <w:t xml:space="preserve"> </w:t>
      </w:r>
      <w:r>
        <w:tab/>
      </w:r>
      <w:r w:rsidRPr="00D85C32">
        <w:rPr>
          <w:i/>
        </w:rPr>
        <w:t>Se-Ling Hosiery v. Margulies</w:t>
      </w:r>
      <w:r w:rsidR="00490082">
        <w:t>, 70</w:t>
      </w:r>
      <w:r>
        <w:t xml:space="preserve"> A.2d 854 (Pa. 1950).</w:t>
      </w:r>
    </w:p>
    <w:p w:rsidR="004D6DF8" w:rsidRDefault="004D6DF8" w:rsidP="00951D28">
      <w:pPr>
        <w:pStyle w:val="FootnoteText"/>
      </w:pPr>
      <w:r>
        <w:t xml:space="preserve">  </w:t>
      </w:r>
    </w:p>
  </w:footnote>
  <w:footnote w:id="15">
    <w:p w:rsidR="004D6DF8" w:rsidRDefault="004D6DF8" w:rsidP="008912E3">
      <w:pPr>
        <w:pStyle w:val="FootnoteText"/>
        <w:ind w:firstLine="720"/>
      </w:pPr>
      <w:r>
        <w:rPr>
          <w:rStyle w:val="FootnoteReference"/>
        </w:rPr>
        <w:footnoteRef/>
      </w:r>
      <w:r>
        <w:t xml:space="preserve"> </w:t>
      </w:r>
      <w:r>
        <w:tab/>
      </w:r>
      <w:r w:rsidRPr="00A166A1">
        <w:rPr>
          <w:i/>
        </w:rPr>
        <w:t>Norfolk &amp; Western Ry. Co. v. Pa. PUC</w:t>
      </w:r>
      <w:r>
        <w:t>, 413 A.2d 1037 (Pa. 1980).</w:t>
      </w:r>
    </w:p>
    <w:p w:rsidR="004D6DF8" w:rsidRDefault="004D6DF8" w:rsidP="00951D28">
      <w:pPr>
        <w:pStyle w:val="FootnoteText"/>
      </w:pPr>
    </w:p>
  </w:footnote>
  <w:footnote w:id="16">
    <w:p w:rsidR="004D6DF8" w:rsidRDefault="004D6DF8" w:rsidP="008912E3">
      <w:pPr>
        <w:pStyle w:val="FootnoteText"/>
        <w:ind w:firstLine="720"/>
      </w:pPr>
      <w:r>
        <w:rPr>
          <w:rStyle w:val="FootnoteReference"/>
        </w:rPr>
        <w:footnoteRef/>
      </w:r>
      <w:r>
        <w:t xml:space="preserve">  </w:t>
      </w:r>
      <w:r>
        <w:tab/>
        <w:t>66 Pa. C.S. § 2102.</w:t>
      </w:r>
    </w:p>
    <w:p w:rsidR="004D6DF8" w:rsidRDefault="004D6DF8" w:rsidP="00951D28">
      <w:pPr>
        <w:pStyle w:val="FootnoteText"/>
      </w:pPr>
    </w:p>
  </w:footnote>
  <w:footnote w:id="17">
    <w:p w:rsidR="004D6DF8" w:rsidRDefault="004D6DF8" w:rsidP="008912E3">
      <w:pPr>
        <w:pStyle w:val="FootnoteText"/>
        <w:ind w:firstLine="720"/>
      </w:pPr>
      <w:r>
        <w:rPr>
          <w:rStyle w:val="FootnoteReference"/>
        </w:rPr>
        <w:footnoteRef/>
      </w:r>
      <w:r>
        <w:t xml:space="preserve"> </w:t>
      </w:r>
      <w:r>
        <w:tab/>
        <w:t>66 Pa. C.S. § 1308(a).</w:t>
      </w:r>
    </w:p>
    <w:p w:rsidR="004D6DF8" w:rsidRDefault="004D6DF8" w:rsidP="00951D28">
      <w:pPr>
        <w:pStyle w:val="FootnoteText"/>
      </w:pPr>
    </w:p>
  </w:footnote>
  <w:footnote w:id="18">
    <w:p w:rsidR="00DF5427" w:rsidRDefault="004D6DF8" w:rsidP="00951D28">
      <w:pPr>
        <w:pStyle w:val="FootnoteText"/>
      </w:pPr>
      <w:r>
        <w:tab/>
      </w:r>
      <w:r>
        <w:rPr>
          <w:rStyle w:val="FootnoteReference"/>
        </w:rPr>
        <w:footnoteRef/>
      </w:r>
      <w:r>
        <w:t xml:space="preserve"> </w:t>
      </w:r>
      <w:r>
        <w:tab/>
      </w:r>
      <w:r w:rsidRPr="00A166A1">
        <w:rPr>
          <w:i/>
        </w:rPr>
        <w:t>Application of PECO Energy Company for Approval of its Restructuring Plan Under Section 2806 of the Public Utility Code and Joint Petition for Partial Settlement</w:t>
      </w:r>
      <w:r>
        <w:t>, Docket Nos. R-00973953 and P-00971265, 1997 Pa. PUC LEXIS 51 (Order entered December 23, 1997).</w:t>
      </w:r>
      <w:r w:rsidR="00DF5427">
        <w:t xml:space="preserve"> </w:t>
      </w:r>
    </w:p>
  </w:footnote>
  <w:footnote w:id="19">
    <w:p w:rsidR="0096242C" w:rsidRDefault="004D6DF8" w:rsidP="00951D28">
      <w:pPr>
        <w:pStyle w:val="FootnoteText"/>
      </w:pPr>
      <w:r>
        <w:tab/>
      </w:r>
    </w:p>
    <w:p w:rsidR="004D6DF8" w:rsidRDefault="004D6DF8" w:rsidP="00437492">
      <w:pPr>
        <w:pStyle w:val="FootnoteText"/>
        <w:ind w:firstLine="720"/>
      </w:pPr>
      <w:r>
        <w:rPr>
          <w:rStyle w:val="FootnoteReference"/>
        </w:rPr>
        <w:footnoteRef/>
      </w:r>
      <w:r>
        <w:t xml:space="preserve"> </w:t>
      </w:r>
      <w:r>
        <w:tab/>
      </w:r>
      <w:r w:rsidRPr="00D85C32">
        <w:rPr>
          <w:i/>
        </w:rPr>
        <w:t>Popowsky v. Pa. PUC</w:t>
      </w:r>
      <w:r>
        <w:t>, 792 A.2d 636 (Pa. Cmwlth. 2002).</w:t>
      </w:r>
    </w:p>
    <w:p w:rsidR="00DF5427" w:rsidRDefault="00DF5427" w:rsidP="00951D28">
      <w:pPr>
        <w:pStyle w:val="FootnoteText"/>
      </w:pPr>
    </w:p>
  </w:footnote>
  <w:footnote w:id="20">
    <w:p w:rsidR="004D6DF8" w:rsidRDefault="004D6DF8" w:rsidP="00951D28">
      <w:pPr>
        <w:pStyle w:val="FootnoteText"/>
      </w:pPr>
      <w:r>
        <w:tab/>
      </w:r>
      <w:r>
        <w:rPr>
          <w:rStyle w:val="FootnoteReference"/>
        </w:rPr>
        <w:footnoteRef/>
      </w:r>
      <w:r>
        <w:tab/>
        <w:t>66 Pa. C.S. § 2102(b).</w:t>
      </w:r>
    </w:p>
    <w:p w:rsidR="004D6DF8" w:rsidRDefault="004D6DF8" w:rsidP="00951D28">
      <w:pPr>
        <w:pStyle w:val="FootnoteText"/>
      </w:pPr>
    </w:p>
  </w:footnote>
  <w:footnote w:id="21">
    <w:p w:rsidR="004D6DF8" w:rsidRDefault="004D6DF8" w:rsidP="00951D28">
      <w:pPr>
        <w:pStyle w:val="FootnoteText"/>
      </w:pPr>
      <w:r>
        <w:tab/>
      </w:r>
      <w:r>
        <w:rPr>
          <w:rStyle w:val="FootnoteReference"/>
        </w:rPr>
        <w:footnoteRef/>
      </w:r>
      <w:r>
        <w:t xml:space="preserve"> </w:t>
      </w:r>
      <w:r>
        <w:tab/>
        <w:t>66 Pa. C.S. § 2103.</w:t>
      </w:r>
    </w:p>
  </w:footnote>
  <w:footnote w:id="22">
    <w:p w:rsidR="004D6DF8" w:rsidRDefault="004D6DF8" w:rsidP="00951D28">
      <w:pPr>
        <w:pStyle w:val="FootnoteText"/>
      </w:pPr>
      <w:r>
        <w:tab/>
      </w:r>
      <w:r>
        <w:rPr>
          <w:rStyle w:val="FootnoteReference"/>
        </w:rPr>
        <w:footnoteRef/>
      </w:r>
      <w:r>
        <w:t xml:space="preserve">  </w:t>
      </w:r>
      <w:r>
        <w:tab/>
      </w:r>
      <w:r w:rsidRPr="00AE036F">
        <w:rPr>
          <w:i/>
        </w:rPr>
        <w:t>See</w:t>
      </w:r>
      <w:r>
        <w:t xml:space="preserve"> OCA St. 1 at 5.</w:t>
      </w:r>
    </w:p>
  </w:footnote>
  <w:footnote w:id="23">
    <w:p w:rsidR="004D6DF8" w:rsidRDefault="004D6DF8" w:rsidP="00951D28">
      <w:pPr>
        <w:pStyle w:val="FootnoteText"/>
      </w:pPr>
      <w:r>
        <w:tab/>
      </w:r>
      <w:r>
        <w:rPr>
          <w:rStyle w:val="FootnoteReference"/>
        </w:rPr>
        <w:footnoteRef/>
      </w:r>
      <w:r>
        <w:tab/>
        <w:t xml:space="preserve">OCA St. 1 at 5-6.  </w:t>
      </w:r>
    </w:p>
  </w:footnote>
  <w:footnote w:id="24">
    <w:p w:rsidR="004D6DF8" w:rsidRDefault="004D6DF8" w:rsidP="00951D28">
      <w:pPr>
        <w:pStyle w:val="FootnoteText"/>
      </w:pPr>
      <w:r>
        <w:tab/>
      </w:r>
      <w:r>
        <w:rPr>
          <w:rStyle w:val="FootnoteReference"/>
        </w:rPr>
        <w:footnoteRef/>
      </w:r>
      <w:r>
        <w:t xml:space="preserve">  </w:t>
      </w:r>
      <w:r>
        <w:tab/>
        <w:t>Joint Settlement Agreement at ¶ B.3.</w:t>
      </w:r>
    </w:p>
    <w:p w:rsidR="004D6DF8" w:rsidRDefault="004D6DF8" w:rsidP="00951D28">
      <w:pPr>
        <w:pStyle w:val="FootnoteText"/>
      </w:pPr>
    </w:p>
  </w:footnote>
  <w:footnote w:id="25">
    <w:p w:rsidR="004D6DF8" w:rsidRDefault="004D6DF8" w:rsidP="00951D28">
      <w:pPr>
        <w:pStyle w:val="FootnoteText"/>
      </w:pPr>
      <w:r>
        <w:tab/>
      </w:r>
      <w:r>
        <w:rPr>
          <w:rStyle w:val="FootnoteReference"/>
        </w:rPr>
        <w:footnoteRef/>
      </w:r>
      <w:r>
        <w:t xml:space="preserve">  </w:t>
      </w:r>
      <w:r>
        <w:tab/>
        <w:t xml:space="preserve">OCA St. 1 at 7-12.  </w:t>
      </w:r>
    </w:p>
  </w:footnote>
  <w:footnote w:id="26">
    <w:p w:rsidR="004D6DF8" w:rsidRDefault="004D6DF8" w:rsidP="00951D28">
      <w:pPr>
        <w:pStyle w:val="FootnoteText"/>
      </w:pPr>
      <w:r>
        <w:tab/>
      </w:r>
      <w:r>
        <w:rPr>
          <w:rStyle w:val="FootnoteReference"/>
        </w:rPr>
        <w:footnoteRef/>
      </w:r>
      <w:r>
        <w:t xml:space="preserve">  </w:t>
      </w:r>
      <w:r>
        <w:tab/>
        <w:t>Joint Settlement Agreement, Attachment C, third page.</w:t>
      </w:r>
    </w:p>
  </w:footnote>
  <w:footnote w:id="27">
    <w:p w:rsidR="004D6DF8" w:rsidRDefault="004D6DF8" w:rsidP="00951D28">
      <w:pPr>
        <w:pStyle w:val="FootnoteText"/>
      </w:pPr>
      <w:r>
        <w:tab/>
      </w:r>
      <w:r>
        <w:rPr>
          <w:rStyle w:val="FootnoteReference"/>
        </w:rPr>
        <w:footnoteRef/>
      </w:r>
      <w:r>
        <w:t xml:space="preserve">  </w:t>
      </w:r>
      <w:r>
        <w:tab/>
        <w:t>There is also some discussion by BIE concerning the jurisdictional status of the Gathering Systems under Act 129.  However, the relevance of those factors as they relate to Section 2102 of the Public Utility Code is not clear.  In view of my recommendation, it is not necessary to resolve this issue.</w:t>
      </w:r>
    </w:p>
    <w:p w:rsidR="004D6DF8" w:rsidRDefault="004D6DF8" w:rsidP="00951D28">
      <w:pPr>
        <w:pStyle w:val="FootnoteText"/>
      </w:pPr>
    </w:p>
  </w:footnote>
  <w:footnote w:id="28">
    <w:p w:rsidR="004D6DF8" w:rsidRDefault="004D6DF8" w:rsidP="00951D28">
      <w:pPr>
        <w:pStyle w:val="FootnoteText"/>
      </w:pPr>
      <w:r>
        <w:tab/>
      </w:r>
      <w:r>
        <w:rPr>
          <w:rStyle w:val="FootnoteReference"/>
        </w:rPr>
        <w:footnoteRef/>
      </w:r>
      <w:r>
        <w:t xml:space="preserve"> </w:t>
      </w:r>
      <w:r>
        <w:tab/>
        <w:t>LUFG is caused by leakage, theft or measurement errors.</w:t>
      </w:r>
    </w:p>
  </w:footnote>
  <w:footnote w:id="29">
    <w:p w:rsidR="004D6DF8" w:rsidRDefault="004D6DF8" w:rsidP="00951D28">
      <w:pPr>
        <w:pStyle w:val="FootnoteText"/>
      </w:pPr>
      <w:r>
        <w:tab/>
      </w:r>
      <w:r>
        <w:rPr>
          <w:rStyle w:val="FootnoteReference"/>
        </w:rPr>
        <w:footnoteRef/>
      </w:r>
      <w:r>
        <w:t xml:space="preserve"> </w:t>
      </w:r>
      <w:r>
        <w:tab/>
        <w:t xml:space="preserve"> Indeed, BIE maintains that Equitable has not demonstrated that it is currently rendering safe and reasonable service to the Field Line Customers.  Equitable is responsible for the service to its Field Line Customers as required by Section 1501 of the Public Utility Code. </w:t>
      </w:r>
      <w:r w:rsidR="00032949">
        <w:t xml:space="preserve"> </w:t>
      </w:r>
      <w:r>
        <w:t>66 Pa. C.S. § 1501.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286"/>
    <w:multiLevelType w:val="hybridMultilevel"/>
    <w:tmpl w:val="9FC6E28E"/>
    <w:lvl w:ilvl="0" w:tplc="0EF4E57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7F207E"/>
    <w:multiLevelType w:val="hybridMultilevel"/>
    <w:tmpl w:val="761C7A48"/>
    <w:lvl w:ilvl="0" w:tplc="2FFE91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16A4D"/>
    <w:multiLevelType w:val="hybridMultilevel"/>
    <w:tmpl w:val="53E4B1A0"/>
    <w:lvl w:ilvl="0" w:tplc="B462C44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3616D9C"/>
    <w:multiLevelType w:val="singleLevel"/>
    <w:tmpl w:val="0409000F"/>
    <w:lvl w:ilvl="0">
      <w:start w:val="1"/>
      <w:numFmt w:val="decimal"/>
      <w:lvlText w:val="%1."/>
      <w:lvlJc w:val="left"/>
      <w:pPr>
        <w:tabs>
          <w:tab w:val="num" w:pos="360"/>
        </w:tabs>
        <w:ind w:left="360" w:hanging="360"/>
      </w:pPr>
    </w:lvl>
  </w:abstractNum>
  <w:abstractNum w:abstractNumId="4">
    <w:nsid w:val="3A1D38E7"/>
    <w:multiLevelType w:val="hybridMultilevel"/>
    <w:tmpl w:val="7B701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6">
    <w:nsid w:val="69430AFC"/>
    <w:multiLevelType w:val="hybridMultilevel"/>
    <w:tmpl w:val="BB7AE946"/>
    <w:lvl w:ilvl="0" w:tplc="B486129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3123D49"/>
    <w:multiLevelType w:val="hybridMultilevel"/>
    <w:tmpl w:val="ED5EBA7A"/>
    <w:lvl w:ilvl="0" w:tplc="1562C29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5"/>
    <w:lvlOverride w:ilvl="0">
      <w:startOverride w:val="1"/>
    </w:lvlOverride>
  </w:num>
  <w:num w:numId="4">
    <w:abstractNumId w:val="4"/>
  </w:num>
  <w:num w:numId="5">
    <w:abstractNumId w:val="6"/>
  </w:num>
  <w:num w:numId="6">
    <w:abstractNumId w:val="2"/>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3D16"/>
    <w:rsid w:val="0001497D"/>
    <w:rsid w:val="00020ABD"/>
    <w:rsid w:val="00032949"/>
    <w:rsid w:val="00076AB6"/>
    <w:rsid w:val="0008404B"/>
    <w:rsid w:val="000A46E8"/>
    <w:rsid w:val="000D289E"/>
    <w:rsid w:val="000F718A"/>
    <w:rsid w:val="00143126"/>
    <w:rsid w:val="00143187"/>
    <w:rsid w:val="00143935"/>
    <w:rsid w:val="001601CE"/>
    <w:rsid w:val="0017554E"/>
    <w:rsid w:val="001832DA"/>
    <w:rsid w:val="001932F7"/>
    <w:rsid w:val="001A00E0"/>
    <w:rsid w:val="001D7D3E"/>
    <w:rsid w:val="001E59B9"/>
    <w:rsid w:val="001F28C1"/>
    <w:rsid w:val="001F4423"/>
    <w:rsid w:val="001F59DC"/>
    <w:rsid w:val="001F7CBA"/>
    <w:rsid w:val="00227AFE"/>
    <w:rsid w:val="002414B5"/>
    <w:rsid w:val="00247900"/>
    <w:rsid w:val="00256B89"/>
    <w:rsid w:val="0026268C"/>
    <w:rsid w:val="0026373C"/>
    <w:rsid w:val="00273ABB"/>
    <w:rsid w:val="00275A24"/>
    <w:rsid w:val="00295472"/>
    <w:rsid w:val="00295C39"/>
    <w:rsid w:val="002C634C"/>
    <w:rsid w:val="002D5E29"/>
    <w:rsid w:val="003232B1"/>
    <w:rsid w:val="00332CA0"/>
    <w:rsid w:val="003612E1"/>
    <w:rsid w:val="00376B71"/>
    <w:rsid w:val="00385D0E"/>
    <w:rsid w:val="003A7883"/>
    <w:rsid w:val="003C150F"/>
    <w:rsid w:val="003C5118"/>
    <w:rsid w:val="003D0A3D"/>
    <w:rsid w:val="003D6CD2"/>
    <w:rsid w:val="003E24DA"/>
    <w:rsid w:val="003F6E61"/>
    <w:rsid w:val="004024E6"/>
    <w:rsid w:val="004123EF"/>
    <w:rsid w:val="00412B85"/>
    <w:rsid w:val="00437492"/>
    <w:rsid w:val="00445261"/>
    <w:rsid w:val="0044702F"/>
    <w:rsid w:val="00451940"/>
    <w:rsid w:val="0047386A"/>
    <w:rsid w:val="00490082"/>
    <w:rsid w:val="0049263C"/>
    <w:rsid w:val="004D22DE"/>
    <w:rsid w:val="004D4991"/>
    <w:rsid w:val="004D6DF8"/>
    <w:rsid w:val="004E15BC"/>
    <w:rsid w:val="004E477C"/>
    <w:rsid w:val="00504601"/>
    <w:rsid w:val="0051419B"/>
    <w:rsid w:val="00560DC5"/>
    <w:rsid w:val="005816D3"/>
    <w:rsid w:val="005A598C"/>
    <w:rsid w:val="005B23DD"/>
    <w:rsid w:val="005D30E8"/>
    <w:rsid w:val="005D41E2"/>
    <w:rsid w:val="005F60D5"/>
    <w:rsid w:val="00616436"/>
    <w:rsid w:val="006226F3"/>
    <w:rsid w:val="00627A84"/>
    <w:rsid w:val="00627E74"/>
    <w:rsid w:val="00631A6B"/>
    <w:rsid w:val="00644991"/>
    <w:rsid w:val="00652CA9"/>
    <w:rsid w:val="006610FB"/>
    <w:rsid w:val="006675F1"/>
    <w:rsid w:val="00671FD6"/>
    <w:rsid w:val="0067466A"/>
    <w:rsid w:val="006754D0"/>
    <w:rsid w:val="00687145"/>
    <w:rsid w:val="006C6FB7"/>
    <w:rsid w:val="006E2126"/>
    <w:rsid w:val="006E4252"/>
    <w:rsid w:val="00706B87"/>
    <w:rsid w:val="00715722"/>
    <w:rsid w:val="00740950"/>
    <w:rsid w:val="007523B3"/>
    <w:rsid w:val="007539C9"/>
    <w:rsid w:val="007932DC"/>
    <w:rsid w:val="007C0A7A"/>
    <w:rsid w:val="007D3F4A"/>
    <w:rsid w:val="007E2C68"/>
    <w:rsid w:val="007F7078"/>
    <w:rsid w:val="00803B70"/>
    <w:rsid w:val="0080557F"/>
    <w:rsid w:val="0081430B"/>
    <w:rsid w:val="0082264A"/>
    <w:rsid w:val="00834241"/>
    <w:rsid w:val="00844F99"/>
    <w:rsid w:val="00845FB1"/>
    <w:rsid w:val="00862A4A"/>
    <w:rsid w:val="00890D5D"/>
    <w:rsid w:val="008912E3"/>
    <w:rsid w:val="008A4B85"/>
    <w:rsid w:val="008C3295"/>
    <w:rsid w:val="008D4576"/>
    <w:rsid w:val="008D47D2"/>
    <w:rsid w:val="008D6D8C"/>
    <w:rsid w:val="00950F37"/>
    <w:rsid w:val="00951D28"/>
    <w:rsid w:val="0096242C"/>
    <w:rsid w:val="0098034A"/>
    <w:rsid w:val="009A091E"/>
    <w:rsid w:val="009A7B6A"/>
    <w:rsid w:val="009B2DA0"/>
    <w:rsid w:val="009C7328"/>
    <w:rsid w:val="009D1A7F"/>
    <w:rsid w:val="00A07880"/>
    <w:rsid w:val="00A13B55"/>
    <w:rsid w:val="00A166A1"/>
    <w:rsid w:val="00A35024"/>
    <w:rsid w:val="00A37016"/>
    <w:rsid w:val="00A602D7"/>
    <w:rsid w:val="00A70419"/>
    <w:rsid w:val="00A73D2F"/>
    <w:rsid w:val="00AB1D50"/>
    <w:rsid w:val="00AB460E"/>
    <w:rsid w:val="00AC540C"/>
    <w:rsid w:val="00AD0EFA"/>
    <w:rsid w:val="00AE74A6"/>
    <w:rsid w:val="00AF6897"/>
    <w:rsid w:val="00B05F72"/>
    <w:rsid w:val="00B27AAA"/>
    <w:rsid w:val="00B35C94"/>
    <w:rsid w:val="00B46B62"/>
    <w:rsid w:val="00B5127B"/>
    <w:rsid w:val="00B51BB3"/>
    <w:rsid w:val="00B56A3E"/>
    <w:rsid w:val="00B64556"/>
    <w:rsid w:val="00B66296"/>
    <w:rsid w:val="00B969A6"/>
    <w:rsid w:val="00BD0DF4"/>
    <w:rsid w:val="00BD12B4"/>
    <w:rsid w:val="00BD159E"/>
    <w:rsid w:val="00BD42BA"/>
    <w:rsid w:val="00BE6E45"/>
    <w:rsid w:val="00BF0CDD"/>
    <w:rsid w:val="00BF4B6C"/>
    <w:rsid w:val="00C01328"/>
    <w:rsid w:val="00C07EAD"/>
    <w:rsid w:val="00C1344F"/>
    <w:rsid w:val="00C208E8"/>
    <w:rsid w:val="00C262F7"/>
    <w:rsid w:val="00C35505"/>
    <w:rsid w:val="00C43D5E"/>
    <w:rsid w:val="00C57E07"/>
    <w:rsid w:val="00C606BF"/>
    <w:rsid w:val="00C666FF"/>
    <w:rsid w:val="00C806E5"/>
    <w:rsid w:val="00C828D6"/>
    <w:rsid w:val="00C837A6"/>
    <w:rsid w:val="00C84E88"/>
    <w:rsid w:val="00C86EBF"/>
    <w:rsid w:val="00CA17C0"/>
    <w:rsid w:val="00CB077E"/>
    <w:rsid w:val="00CC3B9B"/>
    <w:rsid w:val="00CD44B0"/>
    <w:rsid w:val="00D21380"/>
    <w:rsid w:val="00D21FF1"/>
    <w:rsid w:val="00D418BF"/>
    <w:rsid w:val="00D55887"/>
    <w:rsid w:val="00D64EDE"/>
    <w:rsid w:val="00D64EFD"/>
    <w:rsid w:val="00D709D1"/>
    <w:rsid w:val="00D74BFC"/>
    <w:rsid w:val="00D93E5C"/>
    <w:rsid w:val="00DA0FE3"/>
    <w:rsid w:val="00DC3080"/>
    <w:rsid w:val="00DE7C21"/>
    <w:rsid w:val="00DF5427"/>
    <w:rsid w:val="00E159DA"/>
    <w:rsid w:val="00E323AE"/>
    <w:rsid w:val="00E42AC8"/>
    <w:rsid w:val="00E622C4"/>
    <w:rsid w:val="00E653F8"/>
    <w:rsid w:val="00E9168E"/>
    <w:rsid w:val="00E93582"/>
    <w:rsid w:val="00EF1478"/>
    <w:rsid w:val="00EF3C29"/>
    <w:rsid w:val="00F10391"/>
    <w:rsid w:val="00F10D22"/>
    <w:rsid w:val="00F4404F"/>
    <w:rsid w:val="00F446F2"/>
    <w:rsid w:val="00F45549"/>
    <w:rsid w:val="00F46B96"/>
    <w:rsid w:val="00F66E07"/>
    <w:rsid w:val="00F70414"/>
    <w:rsid w:val="00F712F2"/>
    <w:rsid w:val="00F836BF"/>
    <w:rsid w:val="00FA52E1"/>
    <w:rsid w:val="00FA7354"/>
    <w:rsid w:val="00FC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
    <w:basedOn w:val="DefaultParagraphFont"/>
    <w:link w:val="FootnoteText"/>
    <w:uiPriority w:val="99"/>
    <w:locked/>
    <w:rsid w:val="00951D28"/>
  </w:style>
  <w:style w:type="paragraph" w:styleId="FootnoteText">
    <w:name w:val="footnote text"/>
    <w:aliases w:val="Car"/>
    <w:basedOn w:val="Normal"/>
    <w:link w:val="FootnoteTextChar"/>
    <w:autoRedefine/>
    <w:uiPriority w:val="99"/>
    <w:unhideWhenUsed/>
    <w:qFormat/>
    <w:rsid w:val="00951D28"/>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basedOn w:val="DefaultParagraphFont"/>
    <w:unhideWhenUsed/>
    <w:rsid w:val="00EF3C29"/>
    <w:rPr>
      <w:rFonts w:ascii="Times New Roman" w:hAnsi="Times New Roman" w:cs="Times New Roman" w:hint="default"/>
      <w:vertAlign w:val="superscript"/>
    </w:rPr>
  </w:style>
  <w:style w:type="paragraph" w:styleId="BalloonText">
    <w:name w:val="Balloon Text"/>
    <w:basedOn w:val="Normal"/>
    <w:link w:val="BalloonTextChar"/>
    <w:rsid w:val="00F712F2"/>
    <w:rPr>
      <w:rFonts w:ascii="Tahoma" w:hAnsi="Tahoma" w:cs="Tahoma"/>
      <w:sz w:val="16"/>
      <w:szCs w:val="16"/>
    </w:rPr>
  </w:style>
  <w:style w:type="character" w:customStyle="1" w:styleId="BalloonTextChar">
    <w:name w:val="Balloon Text Char"/>
    <w:basedOn w:val="DefaultParagraphFont"/>
    <w:link w:val="BalloonText"/>
    <w:rsid w:val="00F712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
    <w:basedOn w:val="DefaultParagraphFont"/>
    <w:link w:val="FootnoteText"/>
    <w:uiPriority w:val="99"/>
    <w:locked/>
    <w:rsid w:val="00951D28"/>
  </w:style>
  <w:style w:type="paragraph" w:styleId="FootnoteText">
    <w:name w:val="footnote text"/>
    <w:aliases w:val="Car"/>
    <w:basedOn w:val="Normal"/>
    <w:link w:val="FootnoteTextChar"/>
    <w:autoRedefine/>
    <w:uiPriority w:val="99"/>
    <w:unhideWhenUsed/>
    <w:qFormat/>
    <w:rsid w:val="00951D28"/>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basedOn w:val="DefaultParagraphFont"/>
    <w:unhideWhenUsed/>
    <w:rsid w:val="00EF3C29"/>
    <w:rPr>
      <w:rFonts w:ascii="Times New Roman" w:hAnsi="Times New Roman" w:cs="Times New Roman" w:hint="default"/>
      <w:vertAlign w:val="superscript"/>
    </w:rPr>
  </w:style>
  <w:style w:type="paragraph" w:styleId="BalloonText">
    <w:name w:val="Balloon Text"/>
    <w:basedOn w:val="Normal"/>
    <w:link w:val="BalloonTextChar"/>
    <w:rsid w:val="00F712F2"/>
    <w:rPr>
      <w:rFonts w:ascii="Tahoma" w:hAnsi="Tahoma" w:cs="Tahoma"/>
      <w:sz w:val="16"/>
      <w:szCs w:val="16"/>
    </w:rPr>
  </w:style>
  <w:style w:type="character" w:customStyle="1" w:styleId="BalloonTextChar">
    <w:name w:val="Balloon Text Char"/>
    <w:basedOn w:val="DefaultParagraphFont"/>
    <w:link w:val="BalloonText"/>
    <w:rsid w:val="00F712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7370">
      <w:bodyDiv w:val="1"/>
      <w:marLeft w:val="0"/>
      <w:marRight w:val="0"/>
      <w:marTop w:val="0"/>
      <w:marBottom w:val="0"/>
      <w:divBdr>
        <w:top w:val="none" w:sz="0" w:space="0" w:color="auto"/>
        <w:left w:val="none" w:sz="0" w:space="0" w:color="auto"/>
        <w:bottom w:val="none" w:sz="0" w:space="0" w:color="auto"/>
        <w:right w:val="none" w:sz="0" w:space="0" w:color="auto"/>
      </w:divBdr>
    </w:div>
    <w:div w:id="382410734">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888565965">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70CBA-0D3B-4A53-9FF8-E69EFEDE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29</Pages>
  <Words>7959</Words>
  <Characters>45370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Reitenbach, Dawn</cp:lastModifiedBy>
  <cp:revision>33</cp:revision>
  <cp:lastPrinted>2013-02-07T19:04:00Z</cp:lastPrinted>
  <dcterms:created xsi:type="dcterms:W3CDTF">2013-01-25T18:47:00Z</dcterms:created>
  <dcterms:modified xsi:type="dcterms:W3CDTF">2013-02-07T19:34:00Z</dcterms:modified>
</cp:coreProperties>
</file>