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C1E" w:rsidRPr="00FA6483" w:rsidRDefault="00665C1E" w:rsidP="00665C1E">
      <w:pPr>
        <w:jc w:val="center"/>
        <w:rPr>
          <w:b/>
          <w:sz w:val="24"/>
          <w:szCs w:val="24"/>
        </w:rPr>
      </w:pPr>
      <w:r w:rsidRPr="00FA6483">
        <w:rPr>
          <w:b/>
          <w:sz w:val="24"/>
          <w:szCs w:val="24"/>
        </w:rPr>
        <w:t>BEFORE THE</w:t>
      </w:r>
    </w:p>
    <w:p w:rsidR="00665C1E" w:rsidRPr="00FA6483" w:rsidRDefault="00665C1E" w:rsidP="00665C1E">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665C1E" w:rsidRPr="00FA6483" w:rsidRDefault="00665C1E" w:rsidP="00665C1E">
      <w:pPr>
        <w:jc w:val="center"/>
        <w:rPr>
          <w:b/>
          <w:sz w:val="24"/>
          <w:szCs w:val="24"/>
        </w:rPr>
      </w:pPr>
    </w:p>
    <w:p w:rsidR="00665C1E" w:rsidRPr="00FA6483" w:rsidRDefault="00665C1E" w:rsidP="00665C1E">
      <w:pPr>
        <w:jc w:val="center"/>
        <w:rPr>
          <w:b/>
          <w:sz w:val="24"/>
          <w:szCs w:val="24"/>
        </w:rPr>
      </w:pPr>
    </w:p>
    <w:p w:rsidR="00665C1E" w:rsidRDefault="00665C1E" w:rsidP="00665C1E">
      <w:pPr>
        <w:jc w:val="center"/>
        <w:rPr>
          <w:b/>
        </w:rPr>
      </w:pPr>
    </w:p>
    <w:p w:rsidR="00665C1E" w:rsidRPr="00FA6483" w:rsidRDefault="00665C1E" w:rsidP="00665C1E">
      <w:pPr>
        <w:rPr>
          <w:sz w:val="24"/>
          <w:szCs w:val="24"/>
        </w:rPr>
      </w:pPr>
      <w:proofErr w:type="spellStart"/>
      <w:r>
        <w:rPr>
          <w:sz w:val="24"/>
          <w:szCs w:val="24"/>
        </w:rPr>
        <w:t>Goodluck</w:t>
      </w:r>
      <w:proofErr w:type="spellEnd"/>
      <w:r>
        <w:rPr>
          <w:sz w:val="24"/>
          <w:szCs w:val="24"/>
        </w:rPr>
        <w:t xml:space="preserve"> Moors</w:t>
      </w:r>
      <w:r>
        <w:rPr>
          <w:sz w:val="24"/>
          <w:szCs w:val="24"/>
        </w:rPr>
        <w:tab/>
      </w:r>
      <w:r>
        <w:rPr>
          <w:sz w:val="24"/>
          <w:szCs w:val="24"/>
        </w:rPr>
        <w:tab/>
      </w:r>
      <w:r>
        <w:rPr>
          <w:sz w:val="24"/>
          <w:szCs w:val="24"/>
        </w:rPr>
        <w:tab/>
      </w:r>
      <w:r>
        <w:rPr>
          <w:sz w:val="24"/>
          <w:szCs w:val="24"/>
        </w:rPr>
        <w:tab/>
      </w:r>
      <w:r>
        <w:rPr>
          <w:sz w:val="24"/>
          <w:szCs w:val="24"/>
        </w:rPr>
        <w:tab/>
        <w:t>:</w:t>
      </w:r>
    </w:p>
    <w:p w:rsidR="00665C1E" w:rsidRPr="00FA6483" w:rsidRDefault="00665C1E" w:rsidP="00665C1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65C1E" w:rsidRPr="00FA6483" w:rsidRDefault="00665C1E" w:rsidP="00665C1E">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F-2012-2329977</w:t>
      </w:r>
    </w:p>
    <w:p w:rsidR="00665C1E" w:rsidRPr="00FA6483" w:rsidRDefault="00665C1E" w:rsidP="00665C1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665C1E" w:rsidRPr="00FA6483" w:rsidRDefault="00665C1E" w:rsidP="00665C1E">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665C1E" w:rsidRDefault="00665C1E" w:rsidP="00665C1E"/>
    <w:p w:rsidR="00665C1E" w:rsidRDefault="00665C1E" w:rsidP="00665C1E"/>
    <w:p w:rsidR="00665C1E" w:rsidRDefault="00665C1E" w:rsidP="00665C1E">
      <w:pPr>
        <w:jc w:val="center"/>
        <w:rPr>
          <w:b/>
          <w:sz w:val="24"/>
          <w:szCs w:val="24"/>
          <w:u w:val="single"/>
        </w:rPr>
      </w:pPr>
      <w:r>
        <w:rPr>
          <w:b/>
          <w:sz w:val="24"/>
          <w:szCs w:val="24"/>
          <w:u w:val="single"/>
        </w:rPr>
        <w:t>ORDER REOPENING RECORD</w:t>
      </w:r>
    </w:p>
    <w:p w:rsidR="00665C1E" w:rsidRPr="00C50DFD" w:rsidRDefault="00665C1E" w:rsidP="00665C1E">
      <w:pPr>
        <w:jc w:val="center"/>
        <w:rPr>
          <w:sz w:val="24"/>
          <w:szCs w:val="24"/>
        </w:rPr>
      </w:pPr>
    </w:p>
    <w:p w:rsidR="00665C1E" w:rsidRPr="00C50DFD" w:rsidRDefault="00665C1E" w:rsidP="00665C1E">
      <w:pPr>
        <w:jc w:val="center"/>
        <w:rPr>
          <w:sz w:val="24"/>
          <w:szCs w:val="24"/>
        </w:rPr>
      </w:pPr>
    </w:p>
    <w:p w:rsidR="00665C1E" w:rsidRPr="00C50DFD" w:rsidRDefault="00665C1E" w:rsidP="00665C1E">
      <w:pPr>
        <w:jc w:val="center"/>
        <w:rPr>
          <w:sz w:val="24"/>
          <w:szCs w:val="24"/>
        </w:rPr>
      </w:pPr>
    </w:p>
    <w:p w:rsidR="00665C1E" w:rsidRDefault="00665C1E" w:rsidP="00665C1E">
      <w:pPr>
        <w:spacing w:line="360" w:lineRule="auto"/>
        <w:ind w:firstLine="1440"/>
        <w:contextualSpacing/>
        <w:rPr>
          <w:sz w:val="24"/>
          <w:szCs w:val="24"/>
        </w:rPr>
      </w:pPr>
      <w:r>
        <w:rPr>
          <w:sz w:val="24"/>
          <w:szCs w:val="24"/>
        </w:rPr>
        <w:t xml:space="preserve">On October 11, 2012, </w:t>
      </w:r>
      <w:proofErr w:type="spellStart"/>
      <w:r>
        <w:rPr>
          <w:sz w:val="24"/>
          <w:szCs w:val="24"/>
        </w:rPr>
        <w:t>Goodluck</w:t>
      </w:r>
      <w:proofErr w:type="spellEnd"/>
      <w:r>
        <w:rPr>
          <w:sz w:val="24"/>
          <w:szCs w:val="24"/>
        </w:rPr>
        <w:t xml:space="preserve"> Moors (Complainant) filed a formal Complaint with the Commission against Philadelphia Gas Works (PGW or Respondent) alleging that she had been billed for the gas bills on two properties when she had requested that the service to one of those properties be shut off.  The formal Complaint is a timely</w:t>
      </w:r>
      <w:r w:rsidRPr="00DC28A3">
        <w:rPr>
          <w:sz w:val="24"/>
          <w:szCs w:val="24"/>
        </w:rPr>
        <w:t xml:space="preserve"> appeal of B</w:t>
      </w:r>
      <w:r>
        <w:rPr>
          <w:sz w:val="24"/>
          <w:szCs w:val="24"/>
        </w:rPr>
        <w:t xml:space="preserve">ureau of </w:t>
      </w:r>
      <w:r w:rsidRPr="00DC28A3">
        <w:rPr>
          <w:sz w:val="24"/>
          <w:szCs w:val="24"/>
        </w:rPr>
        <w:t>C</w:t>
      </w:r>
      <w:r>
        <w:rPr>
          <w:sz w:val="24"/>
          <w:szCs w:val="24"/>
        </w:rPr>
        <w:t xml:space="preserve">onsumer </w:t>
      </w:r>
      <w:r w:rsidRPr="00DC28A3">
        <w:rPr>
          <w:sz w:val="24"/>
          <w:szCs w:val="24"/>
        </w:rPr>
        <w:t>S</w:t>
      </w:r>
      <w:r>
        <w:rPr>
          <w:sz w:val="24"/>
          <w:szCs w:val="24"/>
        </w:rPr>
        <w:t>ervices (BCS)</w:t>
      </w:r>
      <w:r w:rsidRPr="00DC28A3">
        <w:rPr>
          <w:sz w:val="24"/>
          <w:szCs w:val="24"/>
        </w:rPr>
        <w:t xml:space="preserve"> decision</w:t>
      </w:r>
      <w:r>
        <w:rPr>
          <w:sz w:val="24"/>
          <w:szCs w:val="24"/>
        </w:rPr>
        <w:t xml:space="preserve"> No. 2980668.</w:t>
      </w:r>
    </w:p>
    <w:p w:rsidR="00665C1E" w:rsidRDefault="00665C1E" w:rsidP="00665C1E">
      <w:pPr>
        <w:spacing w:line="360" w:lineRule="auto"/>
        <w:rPr>
          <w:sz w:val="24"/>
          <w:szCs w:val="24"/>
        </w:rPr>
      </w:pPr>
    </w:p>
    <w:p w:rsidR="00665C1E" w:rsidRDefault="00665C1E" w:rsidP="00665C1E">
      <w:pPr>
        <w:spacing w:line="360" w:lineRule="auto"/>
        <w:rPr>
          <w:sz w:val="24"/>
          <w:szCs w:val="24"/>
        </w:rPr>
      </w:pPr>
      <w:r>
        <w:rPr>
          <w:sz w:val="24"/>
          <w:szCs w:val="24"/>
        </w:rPr>
        <w:tab/>
      </w:r>
      <w:r>
        <w:rPr>
          <w:sz w:val="24"/>
          <w:szCs w:val="24"/>
        </w:rPr>
        <w:tab/>
        <w:t>The Complaint was served by the Commission's Secretary on October 19, 2012, and PGW filed its Answer on November 8, 2012.  The Answer avers that Complainant did contact the utility on October 19, 2011, to transfer gas service from the subject service address to a second address.  However, the utility avers that the Complainant requested that the service at the first address be turned on December 7, 2011.  PGW maintains that the Complainant is responsible for both bills.</w:t>
      </w:r>
    </w:p>
    <w:p w:rsidR="00665C1E" w:rsidRDefault="00665C1E" w:rsidP="00665C1E">
      <w:pPr>
        <w:spacing w:line="360" w:lineRule="auto"/>
        <w:rPr>
          <w:sz w:val="24"/>
          <w:szCs w:val="24"/>
        </w:rPr>
      </w:pPr>
    </w:p>
    <w:p w:rsidR="00665C1E" w:rsidRDefault="00665C1E" w:rsidP="00665C1E">
      <w:pPr>
        <w:spacing w:line="360" w:lineRule="auto"/>
        <w:rPr>
          <w:sz w:val="24"/>
          <w:szCs w:val="24"/>
        </w:rPr>
      </w:pPr>
      <w:r>
        <w:rPr>
          <w:sz w:val="24"/>
          <w:szCs w:val="24"/>
        </w:rPr>
        <w:tab/>
      </w:r>
      <w:r>
        <w:rPr>
          <w:sz w:val="24"/>
          <w:szCs w:val="24"/>
        </w:rPr>
        <w:tab/>
        <w:t>On December 18, 2012, a telephone hearing notice was issued which scheduled the evidentiary hearing for January 30, 2013 and assigned the matter to me.</w:t>
      </w:r>
    </w:p>
    <w:p w:rsidR="00665C1E" w:rsidRDefault="00665C1E" w:rsidP="00665C1E">
      <w:pPr>
        <w:spacing w:line="360" w:lineRule="auto"/>
        <w:rPr>
          <w:sz w:val="24"/>
          <w:szCs w:val="24"/>
        </w:rPr>
      </w:pPr>
    </w:p>
    <w:p w:rsidR="00665C1E" w:rsidRDefault="00665C1E" w:rsidP="00665C1E">
      <w:pPr>
        <w:spacing w:line="360" w:lineRule="auto"/>
        <w:rPr>
          <w:sz w:val="24"/>
          <w:szCs w:val="24"/>
        </w:rPr>
      </w:pPr>
      <w:r>
        <w:rPr>
          <w:sz w:val="24"/>
          <w:szCs w:val="24"/>
        </w:rPr>
        <w:tab/>
      </w:r>
      <w:r>
        <w:rPr>
          <w:sz w:val="24"/>
          <w:szCs w:val="24"/>
        </w:rPr>
        <w:tab/>
        <w:t xml:space="preserve">I issued a prehearing order on December 18, 2012, which set forth some of the requirements for a formal hearing before the Commission.  </w:t>
      </w:r>
    </w:p>
    <w:p w:rsidR="00665C1E" w:rsidRDefault="00665C1E" w:rsidP="00665C1E">
      <w:pPr>
        <w:spacing w:line="360" w:lineRule="auto"/>
        <w:rPr>
          <w:sz w:val="24"/>
          <w:szCs w:val="24"/>
        </w:rPr>
      </w:pPr>
    </w:p>
    <w:p w:rsidR="00665C1E" w:rsidRDefault="00665C1E" w:rsidP="00665C1E">
      <w:pPr>
        <w:spacing w:line="360" w:lineRule="auto"/>
        <w:rPr>
          <w:sz w:val="24"/>
          <w:szCs w:val="24"/>
        </w:rPr>
      </w:pPr>
      <w:r>
        <w:rPr>
          <w:sz w:val="24"/>
          <w:szCs w:val="24"/>
        </w:rPr>
        <w:tab/>
      </w:r>
      <w:r>
        <w:rPr>
          <w:sz w:val="24"/>
          <w:szCs w:val="24"/>
        </w:rPr>
        <w:tab/>
        <w:t xml:space="preserve">On January 24, 2012, PGW served its proposed exhibits.  </w:t>
      </w:r>
    </w:p>
    <w:p w:rsidR="00665C1E" w:rsidRDefault="00665C1E" w:rsidP="00665C1E">
      <w:pPr>
        <w:spacing w:line="360" w:lineRule="auto"/>
        <w:rPr>
          <w:sz w:val="24"/>
          <w:szCs w:val="24"/>
        </w:rPr>
      </w:pPr>
    </w:p>
    <w:p w:rsidR="00665C1E" w:rsidRDefault="00665C1E" w:rsidP="00665C1E">
      <w:pPr>
        <w:spacing w:line="360" w:lineRule="auto"/>
        <w:rPr>
          <w:sz w:val="24"/>
          <w:szCs w:val="24"/>
        </w:rPr>
      </w:pPr>
      <w:r>
        <w:rPr>
          <w:sz w:val="24"/>
          <w:szCs w:val="24"/>
        </w:rPr>
        <w:tab/>
      </w:r>
      <w:r>
        <w:rPr>
          <w:sz w:val="24"/>
          <w:szCs w:val="24"/>
        </w:rPr>
        <w:tab/>
        <w:t>On January 30, 2013, the hearing was held as scheduled.  Complainant represented herself.  PGW was represented by Laureto Farinas, Esq., who presented the testimony of Jack Irizarry, who in turn sponsored PGW exhibits 1 through 6.  The hearing resulted in a transcript of 52 pages, and the record closed upon its receipt on February 6, 2013.</w:t>
      </w:r>
    </w:p>
    <w:p w:rsidR="00665C1E" w:rsidRDefault="00665C1E" w:rsidP="00665C1E">
      <w:pPr>
        <w:spacing w:line="360" w:lineRule="auto"/>
        <w:rPr>
          <w:sz w:val="24"/>
          <w:szCs w:val="24"/>
        </w:rPr>
      </w:pPr>
    </w:p>
    <w:p w:rsidR="002C480B" w:rsidRDefault="00665C1E" w:rsidP="00665C1E">
      <w:pPr>
        <w:spacing w:line="360" w:lineRule="auto"/>
        <w:rPr>
          <w:sz w:val="24"/>
          <w:szCs w:val="24"/>
        </w:rPr>
      </w:pPr>
      <w:r>
        <w:rPr>
          <w:sz w:val="24"/>
          <w:szCs w:val="24"/>
        </w:rPr>
        <w:tab/>
      </w:r>
      <w:r>
        <w:rPr>
          <w:sz w:val="24"/>
          <w:szCs w:val="24"/>
        </w:rPr>
        <w:tab/>
        <w:t>During the preparation of the initial decision in this matter, it became clear that there are issues which require further factual development.  For example, PGW Exhibit 2 contains billing information for 34 months, with an overall average monthly billing of $147.75.  If</w:t>
      </w:r>
      <w:r w:rsidR="002C480B">
        <w:rPr>
          <w:sz w:val="24"/>
          <w:szCs w:val="24"/>
        </w:rPr>
        <w:t xml:space="preserve"> only</w:t>
      </w:r>
      <w:r>
        <w:rPr>
          <w:sz w:val="24"/>
          <w:szCs w:val="24"/>
        </w:rPr>
        <w:t xml:space="preserve"> the months of December through May are used</w:t>
      </w:r>
      <w:r w:rsidR="002C480B">
        <w:rPr>
          <w:sz w:val="24"/>
          <w:szCs w:val="24"/>
        </w:rPr>
        <w:t xml:space="preserve"> (corresponding to the months covering the time period at issue)</w:t>
      </w:r>
      <w:r>
        <w:rPr>
          <w:sz w:val="24"/>
          <w:szCs w:val="24"/>
        </w:rPr>
        <w:t>, the 16 monthly bills available average $192.11, with a single month's high bill of $304.49.  However, the six month period at issue in this proceeding resulted in an overall bill of $</w:t>
      </w:r>
      <w:proofErr w:type="gramStart"/>
      <w:r>
        <w:rPr>
          <w:sz w:val="24"/>
          <w:szCs w:val="24"/>
        </w:rPr>
        <w:t>4,146.81,</w:t>
      </w:r>
      <w:proofErr w:type="gramEnd"/>
      <w:r>
        <w:rPr>
          <w:sz w:val="24"/>
          <w:szCs w:val="24"/>
        </w:rPr>
        <w:t xml:space="preserve"> or a monthly average of $691.14 – more than twice the single highest month from the three prior years</w:t>
      </w:r>
      <w:r w:rsidR="002157E2">
        <w:rPr>
          <w:sz w:val="24"/>
          <w:szCs w:val="24"/>
        </w:rPr>
        <w:t xml:space="preserve">.  </w:t>
      </w:r>
      <w:r w:rsidR="002C480B">
        <w:rPr>
          <w:sz w:val="24"/>
          <w:szCs w:val="24"/>
        </w:rPr>
        <w:t>As the winter of 2012 was one of the warmest on record, this</w:t>
      </w:r>
      <w:r w:rsidR="002157E2">
        <w:rPr>
          <w:sz w:val="24"/>
          <w:szCs w:val="24"/>
        </w:rPr>
        <w:t xml:space="preserve"> anomaly</w:t>
      </w:r>
      <w:r w:rsidR="002C480B">
        <w:rPr>
          <w:sz w:val="24"/>
          <w:szCs w:val="24"/>
        </w:rPr>
        <w:t xml:space="preserve"> requires attention.  Accordingly</w:t>
      </w:r>
      <w:r w:rsidR="002157E2">
        <w:rPr>
          <w:sz w:val="24"/>
          <w:szCs w:val="24"/>
        </w:rPr>
        <w:t>,</w:t>
      </w:r>
      <w:r w:rsidR="002C480B">
        <w:rPr>
          <w:sz w:val="24"/>
          <w:szCs w:val="24"/>
        </w:rPr>
        <w:t xml:space="preserve"> the record is reopened to allow for additional evidence,</w:t>
      </w:r>
      <w:r w:rsidR="002157E2">
        <w:rPr>
          <w:sz w:val="24"/>
          <w:szCs w:val="24"/>
        </w:rPr>
        <w:t xml:space="preserve"> including a meter test</w:t>
      </w:r>
      <w:r w:rsidR="002C480B">
        <w:rPr>
          <w:sz w:val="24"/>
          <w:szCs w:val="24"/>
        </w:rPr>
        <w:t xml:space="preserve"> and a full high bill investigation by the utility</w:t>
      </w:r>
      <w:r w:rsidR="002157E2">
        <w:rPr>
          <w:sz w:val="24"/>
          <w:szCs w:val="24"/>
        </w:rPr>
        <w:t>.</w:t>
      </w:r>
      <w:r w:rsidR="002C480B">
        <w:rPr>
          <w:sz w:val="24"/>
          <w:szCs w:val="24"/>
        </w:rPr>
        <w:t xml:space="preserve">  Complainant is directed to cooperate by permitting access to the meter and a full accounting of the gas appliances in the subject residence.  </w:t>
      </w:r>
    </w:p>
    <w:p w:rsidR="002C480B" w:rsidRDefault="002C480B" w:rsidP="00665C1E">
      <w:pPr>
        <w:spacing w:line="360" w:lineRule="auto"/>
        <w:rPr>
          <w:sz w:val="24"/>
          <w:szCs w:val="24"/>
        </w:rPr>
      </w:pPr>
    </w:p>
    <w:p w:rsidR="003B6D45" w:rsidRDefault="002C480B" w:rsidP="00665C1E">
      <w:pPr>
        <w:spacing w:line="360" w:lineRule="auto"/>
        <w:rPr>
          <w:sz w:val="24"/>
          <w:szCs w:val="24"/>
        </w:rPr>
      </w:pPr>
      <w:r>
        <w:rPr>
          <w:sz w:val="24"/>
          <w:szCs w:val="24"/>
        </w:rPr>
        <w:tab/>
      </w:r>
      <w:r>
        <w:rPr>
          <w:sz w:val="24"/>
          <w:szCs w:val="24"/>
        </w:rPr>
        <w:tab/>
        <w:t>Complainant will conduct a full high bill</w:t>
      </w:r>
      <w:r w:rsidR="003B6D45">
        <w:rPr>
          <w:sz w:val="24"/>
          <w:szCs w:val="24"/>
        </w:rPr>
        <w:t xml:space="preserve"> investigation within sixty days and notify me when it has been completed.  A second hearing will be scheduled, and the utility shall provide the results of its investigation as part of its presentation.  In addition, the utility is directed to the following regulation:</w:t>
      </w:r>
    </w:p>
    <w:p w:rsidR="003B6D45" w:rsidRDefault="003B6D45" w:rsidP="00665C1E">
      <w:pPr>
        <w:spacing w:line="360" w:lineRule="auto"/>
        <w:rPr>
          <w:sz w:val="24"/>
          <w:szCs w:val="24"/>
        </w:rPr>
      </w:pPr>
    </w:p>
    <w:p w:rsidR="003B6D45" w:rsidRPr="008E36E0" w:rsidRDefault="003B6D45" w:rsidP="003B6D45">
      <w:pPr>
        <w:spacing w:line="360" w:lineRule="auto"/>
        <w:rPr>
          <w:b/>
          <w:sz w:val="24"/>
          <w:szCs w:val="24"/>
        </w:rPr>
      </w:pPr>
      <w:r>
        <w:rPr>
          <w:b/>
          <w:sz w:val="24"/>
          <w:szCs w:val="24"/>
        </w:rPr>
        <w:tab/>
      </w:r>
      <w:r>
        <w:rPr>
          <w:b/>
          <w:sz w:val="24"/>
          <w:szCs w:val="24"/>
        </w:rPr>
        <w:tab/>
      </w:r>
      <w:r w:rsidRPr="008E36E0">
        <w:rPr>
          <w:b/>
          <w:sz w:val="24"/>
          <w:szCs w:val="24"/>
        </w:rPr>
        <w:t>§ 56.14.  Previously unbilled public utility service.</w:t>
      </w:r>
    </w:p>
    <w:p w:rsidR="003B6D45" w:rsidRDefault="003B6D45" w:rsidP="003B6D45">
      <w:pPr>
        <w:ind w:left="1440" w:right="1440"/>
        <w:contextualSpacing/>
        <w:rPr>
          <w:sz w:val="24"/>
          <w:szCs w:val="24"/>
        </w:rPr>
      </w:pPr>
      <w:r>
        <w:rPr>
          <w:sz w:val="24"/>
          <w:szCs w:val="24"/>
        </w:rPr>
        <w:tab/>
        <w:t>When a public utility renders a make-up bill for previously unbilled public utility service which accrued within the past 4 years resulting from public utility billing error, meter failure, leakage that could not reasonably have been detected or loss of service, or four or more consecutive estimated bills and the make-up bill exceeds the otherwise normal estimated bill for the billing period during which the make-up bill is issued by at least 50% or at least $50, whichever is greater:</w:t>
      </w:r>
    </w:p>
    <w:p w:rsidR="003B6D45" w:rsidRDefault="003B6D45" w:rsidP="003B6D45">
      <w:pPr>
        <w:ind w:left="1440" w:right="1440"/>
        <w:contextualSpacing/>
        <w:rPr>
          <w:sz w:val="24"/>
          <w:szCs w:val="24"/>
        </w:rPr>
      </w:pPr>
      <w:r>
        <w:rPr>
          <w:sz w:val="24"/>
          <w:szCs w:val="24"/>
        </w:rPr>
        <w:lastRenderedPageBreak/>
        <w:tab/>
        <w:t xml:space="preserve">(1) </w:t>
      </w:r>
      <w:proofErr w:type="gramStart"/>
      <w:r>
        <w:rPr>
          <w:sz w:val="24"/>
          <w:szCs w:val="24"/>
        </w:rPr>
        <w:t>the</w:t>
      </w:r>
      <w:proofErr w:type="gramEnd"/>
      <w:r>
        <w:rPr>
          <w:sz w:val="24"/>
          <w:szCs w:val="24"/>
        </w:rPr>
        <w:t xml:space="preserve"> public utility shall explain the bill to the customer </w:t>
      </w:r>
      <w:r>
        <w:rPr>
          <w:sz w:val="24"/>
          <w:szCs w:val="24"/>
        </w:rPr>
        <w:tab/>
      </w:r>
      <w:r>
        <w:rPr>
          <w:sz w:val="24"/>
          <w:szCs w:val="24"/>
        </w:rPr>
        <w:tab/>
        <w:t>and make a reasonable attempt to amortize the bill.</w:t>
      </w:r>
    </w:p>
    <w:p w:rsidR="003B6D45" w:rsidRDefault="003B6D45" w:rsidP="003B6D45">
      <w:pPr>
        <w:ind w:left="1440" w:right="1440"/>
        <w:contextualSpacing/>
        <w:rPr>
          <w:sz w:val="24"/>
          <w:szCs w:val="24"/>
        </w:rPr>
      </w:pPr>
      <w:r>
        <w:rPr>
          <w:sz w:val="24"/>
          <w:szCs w:val="24"/>
        </w:rPr>
        <w:tab/>
        <w:t xml:space="preserve">(2) The period of the amortization may, at the option of the </w:t>
      </w:r>
      <w:r>
        <w:rPr>
          <w:sz w:val="24"/>
          <w:szCs w:val="24"/>
        </w:rPr>
        <w:tab/>
        <w:t>customer, extend at least as long as:</w:t>
      </w:r>
    </w:p>
    <w:p w:rsidR="003B6D45" w:rsidRDefault="003B6D45" w:rsidP="003B6D45">
      <w:pPr>
        <w:ind w:left="1440" w:right="1440"/>
        <w:contextualSpacing/>
        <w:rPr>
          <w:sz w:val="24"/>
          <w:szCs w:val="24"/>
        </w:rPr>
      </w:pPr>
      <w:r>
        <w:rPr>
          <w:sz w:val="24"/>
          <w:szCs w:val="24"/>
        </w:rPr>
        <w:tab/>
      </w:r>
      <w:r>
        <w:rPr>
          <w:sz w:val="24"/>
          <w:szCs w:val="24"/>
        </w:rPr>
        <w:tab/>
        <w:t>(i)</w:t>
      </w:r>
      <w:r>
        <w:rPr>
          <w:sz w:val="24"/>
          <w:szCs w:val="24"/>
        </w:rPr>
        <w:tab/>
        <w:t xml:space="preserve">The period during which the excess amount </w:t>
      </w:r>
      <w:r>
        <w:rPr>
          <w:sz w:val="24"/>
          <w:szCs w:val="24"/>
        </w:rPr>
        <w:tab/>
      </w:r>
      <w:r>
        <w:rPr>
          <w:sz w:val="24"/>
          <w:szCs w:val="24"/>
        </w:rPr>
        <w:tab/>
      </w:r>
      <w:r>
        <w:rPr>
          <w:sz w:val="24"/>
          <w:szCs w:val="24"/>
        </w:rPr>
        <w:tab/>
        <w:t>accrued.</w:t>
      </w:r>
    </w:p>
    <w:p w:rsidR="003B6D45" w:rsidRDefault="003B6D45" w:rsidP="003B6D45">
      <w:pPr>
        <w:ind w:left="1440" w:right="1440"/>
        <w:contextualSpacing/>
        <w:rPr>
          <w:sz w:val="24"/>
          <w:szCs w:val="24"/>
        </w:rPr>
      </w:pPr>
      <w:r>
        <w:rPr>
          <w:sz w:val="24"/>
          <w:szCs w:val="24"/>
        </w:rPr>
        <w:tab/>
      </w:r>
      <w:r>
        <w:rPr>
          <w:sz w:val="24"/>
          <w:szCs w:val="24"/>
        </w:rPr>
        <w:tab/>
        <w:t>(ii)</w:t>
      </w:r>
      <w:r>
        <w:rPr>
          <w:sz w:val="24"/>
          <w:szCs w:val="24"/>
        </w:rPr>
        <w:tab/>
        <w:t xml:space="preserve">Necessary so that the quantity of service </w:t>
      </w:r>
      <w:r>
        <w:rPr>
          <w:sz w:val="24"/>
          <w:szCs w:val="24"/>
        </w:rPr>
        <w:tab/>
      </w:r>
      <w:r>
        <w:rPr>
          <w:sz w:val="24"/>
          <w:szCs w:val="24"/>
        </w:rPr>
        <w:tab/>
      </w:r>
      <w:r>
        <w:rPr>
          <w:sz w:val="24"/>
          <w:szCs w:val="24"/>
        </w:rPr>
        <w:tab/>
        <w:t xml:space="preserve">billed in any one billing period is not greater than </w:t>
      </w:r>
      <w:r>
        <w:rPr>
          <w:sz w:val="24"/>
          <w:szCs w:val="24"/>
        </w:rPr>
        <w:tab/>
      </w:r>
      <w:r>
        <w:rPr>
          <w:sz w:val="24"/>
          <w:szCs w:val="24"/>
        </w:rPr>
        <w:tab/>
      </w:r>
      <w:r>
        <w:rPr>
          <w:sz w:val="24"/>
          <w:szCs w:val="24"/>
        </w:rPr>
        <w:tab/>
        <w:t xml:space="preserve">the normal estimated quantity for that period plus </w:t>
      </w:r>
      <w:r>
        <w:rPr>
          <w:sz w:val="24"/>
          <w:szCs w:val="24"/>
        </w:rPr>
        <w:tab/>
      </w:r>
      <w:r>
        <w:rPr>
          <w:sz w:val="24"/>
          <w:szCs w:val="24"/>
        </w:rPr>
        <w:tab/>
      </w:r>
      <w:r>
        <w:rPr>
          <w:sz w:val="24"/>
          <w:szCs w:val="24"/>
        </w:rPr>
        <w:tab/>
        <w:t>50%.</w:t>
      </w:r>
    </w:p>
    <w:p w:rsidR="003B6D45" w:rsidRDefault="003B6D45" w:rsidP="003B6D45">
      <w:pPr>
        <w:spacing w:line="360" w:lineRule="auto"/>
        <w:rPr>
          <w:sz w:val="24"/>
          <w:szCs w:val="24"/>
        </w:rPr>
      </w:pPr>
      <w:proofErr w:type="gramStart"/>
      <w:r>
        <w:rPr>
          <w:sz w:val="24"/>
          <w:szCs w:val="24"/>
        </w:rPr>
        <w:t>52 Pa. Code § 56.14.</w:t>
      </w:r>
      <w:proofErr w:type="gramEnd"/>
      <w:r>
        <w:rPr>
          <w:sz w:val="24"/>
          <w:szCs w:val="24"/>
        </w:rPr>
        <w:t xml:space="preserve">  </w:t>
      </w:r>
    </w:p>
    <w:p w:rsidR="003B6D45" w:rsidRDefault="003B6D45" w:rsidP="003B6D45">
      <w:pPr>
        <w:spacing w:line="360" w:lineRule="auto"/>
        <w:rPr>
          <w:sz w:val="24"/>
          <w:szCs w:val="24"/>
        </w:rPr>
      </w:pPr>
      <w:r>
        <w:rPr>
          <w:sz w:val="24"/>
          <w:szCs w:val="24"/>
        </w:rPr>
        <w:tab/>
      </w:r>
      <w:r>
        <w:rPr>
          <w:sz w:val="24"/>
          <w:szCs w:val="24"/>
        </w:rPr>
        <w:tab/>
      </w:r>
    </w:p>
    <w:p w:rsidR="00C04960" w:rsidRDefault="002157E2" w:rsidP="00665C1E">
      <w:pPr>
        <w:spacing w:line="360" w:lineRule="auto"/>
        <w:rPr>
          <w:sz w:val="24"/>
          <w:szCs w:val="24"/>
        </w:rPr>
      </w:pPr>
      <w:r>
        <w:rPr>
          <w:sz w:val="24"/>
          <w:szCs w:val="24"/>
        </w:rPr>
        <w:t xml:space="preserve">  </w:t>
      </w:r>
      <w:r w:rsidR="003B6D45">
        <w:rPr>
          <w:sz w:val="24"/>
          <w:szCs w:val="24"/>
        </w:rPr>
        <w:tab/>
      </w:r>
      <w:r w:rsidR="003B6D45">
        <w:rPr>
          <w:sz w:val="24"/>
          <w:szCs w:val="24"/>
        </w:rPr>
        <w:tab/>
        <w:t xml:space="preserve">Note that a claim for the enforcement of a bill for previously unbilled service must be accompanied by evidence of compliance with the above regulation.  Note further that compliance requires that "the normal estimated quantity" referred to in the last line must be presented as evidence as well.  </w:t>
      </w:r>
    </w:p>
    <w:p w:rsidR="00CC5169" w:rsidRDefault="00CC5169" w:rsidP="00665C1E">
      <w:pPr>
        <w:spacing w:line="360" w:lineRule="auto"/>
        <w:rPr>
          <w:sz w:val="24"/>
          <w:szCs w:val="24"/>
        </w:rPr>
      </w:pPr>
    </w:p>
    <w:p w:rsidR="00CC5169" w:rsidRDefault="00CC5169" w:rsidP="00665C1E">
      <w:pPr>
        <w:spacing w:line="360" w:lineRule="auto"/>
        <w:rPr>
          <w:sz w:val="24"/>
          <w:szCs w:val="24"/>
        </w:rPr>
      </w:pPr>
      <w:r>
        <w:rPr>
          <w:sz w:val="24"/>
          <w:szCs w:val="24"/>
        </w:rPr>
        <w:tab/>
      </w:r>
      <w:r>
        <w:rPr>
          <w:sz w:val="24"/>
          <w:szCs w:val="24"/>
        </w:rPr>
        <w:tab/>
        <w:t>THEREFORE,</w:t>
      </w:r>
    </w:p>
    <w:p w:rsidR="00CC5169" w:rsidRDefault="00CC5169" w:rsidP="00665C1E">
      <w:pPr>
        <w:spacing w:line="360" w:lineRule="auto"/>
        <w:rPr>
          <w:sz w:val="24"/>
          <w:szCs w:val="24"/>
        </w:rPr>
      </w:pPr>
    </w:p>
    <w:p w:rsidR="00CC5169" w:rsidRDefault="00CC5169" w:rsidP="00665C1E">
      <w:pPr>
        <w:spacing w:line="360" w:lineRule="auto"/>
        <w:rPr>
          <w:sz w:val="24"/>
          <w:szCs w:val="24"/>
        </w:rPr>
      </w:pPr>
      <w:r>
        <w:rPr>
          <w:sz w:val="24"/>
          <w:szCs w:val="24"/>
        </w:rPr>
        <w:tab/>
      </w:r>
      <w:r>
        <w:rPr>
          <w:sz w:val="24"/>
          <w:szCs w:val="24"/>
        </w:rPr>
        <w:tab/>
        <w:t>IT IS ORDERED:</w:t>
      </w:r>
    </w:p>
    <w:p w:rsidR="00CC5169" w:rsidRDefault="00CC5169" w:rsidP="00665C1E">
      <w:pPr>
        <w:spacing w:line="360" w:lineRule="auto"/>
        <w:rPr>
          <w:sz w:val="24"/>
          <w:szCs w:val="24"/>
        </w:rPr>
      </w:pPr>
    </w:p>
    <w:p w:rsidR="00CC5169" w:rsidRDefault="00CC5169" w:rsidP="00665C1E">
      <w:pPr>
        <w:spacing w:line="360" w:lineRule="auto"/>
        <w:rPr>
          <w:sz w:val="24"/>
          <w:szCs w:val="24"/>
        </w:rPr>
      </w:pPr>
      <w:r>
        <w:rPr>
          <w:sz w:val="24"/>
          <w:szCs w:val="24"/>
        </w:rPr>
        <w:tab/>
      </w:r>
      <w:r>
        <w:rPr>
          <w:sz w:val="24"/>
          <w:szCs w:val="24"/>
        </w:rPr>
        <w:tab/>
        <w:t>1.</w:t>
      </w:r>
      <w:r>
        <w:rPr>
          <w:sz w:val="24"/>
          <w:szCs w:val="24"/>
        </w:rPr>
        <w:tab/>
        <w:t xml:space="preserve">That the record in the case captioned </w:t>
      </w:r>
      <w:proofErr w:type="spellStart"/>
      <w:r>
        <w:rPr>
          <w:i/>
          <w:sz w:val="24"/>
          <w:szCs w:val="24"/>
        </w:rPr>
        <w:t>Goodluck</w:t>
      </w:r>
      <w:proofErr w:type="spellEnd"/>
      <w:r>
        <w:rPr>
          <w:i/>
          <w:sz w:val="24"/>
          <w:szCs w:val="24"/>
        </w:rPr>
        <w:t xml:space="preserve"> Moors v. Philadelphia Gas Works</w:t>
      </w:r>
      <w:r>
        <w:rPr>
          <w:sz w:val="24"/>
          <w:szCs w:val="24"/>
        </w:rPr>
        <w:t xml:space="preserve"> at Docket No. C-2012-</w:t>
      </w:r>
      <w:proofErr w:type="gramStart"/>
      <w:r>
        <w:rPr>
          <w:sz w:val="24"/>
          <w:szCs w:val="24"/>
        </w:rPr>
        <w:t>2329977,</w:t>
      </w:r>
      <w:proofErr w:type="gramEnd"/>
      <w:r>
        <w:rPr>
          <w:sz w:val="24"/>
          <w:szCs w:val="24"/>
        </w:rPr>
        <w:t xml:space="preserve"> is reopened.</w:t>
      </w:r>
    </w:p>
    <w:p w:rsidR="00CC5169" w:rsidRDefault="00CC5169" w:rsidP="00665C1E">
      <w:pPr>
        <w:spacing w:line="360" w:lineRule="auto"/>
        <w:rPr>
          <w:sz w:val="24"/>
          <w:szCs w:val="24"/>
        </w:rPr>
      </w:pPr>
    </w:p>
    <w:p w:rsidR="00CC5169" w:rsidRDefault="00CC5169" w:rsidP="00665C1E">
      <w:pPr>
        <w:spacing w:line="360" w:lineRule="auto"/>
        <w:rPr>
          <w:sz w:val="24"/>
          <w:szCs w:val="24"/>
        </w:rPr>
      </w:pPr>
      <w:r>
        <w:rPr>
          <w:sz w:val="24"/>
          <w:szCs w:val="24"/>
        </w:rPr>
        <w:tab/>
      </w:r>
      <w:r>
        <w:rPr>
          <w:sz w:val="24"/>
          <w:szCs w:val="24"/>
        </w:rPr>
        <w:tab/>
        <w:t>2.</w:t>
      </w:r>
      <w:r>
        <w:rPr>
          <w:sz w:val="24"/>
          <w:szCs w:val="24"/>
        </w:rPr>
        <w:tab/>
        <w:t xml:space="preserve">That within sixty (60) days of this Order, Philadelphia Gas Works shall conduct a full high bill investigation for 1017 Oak Lane, including a meter </w:t>
      </w:r>
      <w:proofErr w:type="gramStart"/>
      <w:r>
        <w:rPr>
          <w:sz w:val="24"/>
          <w:szCs w:val="24"/>
        </w:rPr>
        <w:t>check</w:t>
      </w:r>
      <w:proofErr w:type="gramEnd"/>
      <w:r>
        <w:rPr>
          <w:sz w:val="24"/>
          <w:szCs w:val="24"/>
        </w:rPr>
        <w:t>.</w:t>
      </w:r>
    </w:p>
    <w:p w:rsidR="00CC5169" w:rsidRDefault="00CC5169" w:rsidP="00665C1E">
      <w:pPr>
        <w:spacing w:line="360" w:lineRule="auto"/>
        <w:rPr>
          <w:sz w:val="24"/>
          <w:szCs w:val="24"/>
        </w:rPr>
      </w:pPr>
    </w:p>
    <w:p w:rsidR="00CC5169" w:rsidRDefault="00CC5169" w:rsidP="00665C1E">
      <w:pPr>
        <w:spacing w:line="360" w:lineRule="auto"/>
        <w:rPr>
          <w:sz w:val="24"/>
          <w:szCs w:val="24"/>
        </w:rPr>
      </w:pPr>
      <w:r>
        <w:rPr>
          <w:sz w:val="24"/>
          <w:szCs w:val="24"/>
        </w:rPr>
        <w:tab/>
      </w:r>
      <w:r>
        <w:rPr>
          <w:sz w:val="24"/>
          <w:szCs w:val="24"/>
        </w:rPr>
        <w:tab/>
        <w:t>3.</w:t>
      </w:r>
      <w:r>
        <w:rPr>
          <w:sz w:val="24"/>
          <w:szCs w:val="24"/>
        </w:rPr>
        <w:tab/>
        <w:t xml:space="preserve">That </w:t>
      </w:r>
      <w:proofErr w:type="spellStart"/>
      <w:r>
        <w:rPr>
          <w:sz w:val="24"/>
          <w:szCs w:val="24"/>
        </w:rPr>
        <w:t>Goodluck</w:t>
      </w:r>
      <w:proofErr w:type="spellEnd"/>
      <w:r>
        <w:rPr>
          <w:sz w:val="24"/>
          <w:szCs w:val="24"/>
        </w:rPr>
        <w:t xml:space="preserve"> Moors shall cooperate with Philadelphia Gas Works in its investigation and shall permit access to the meter and to the gas-powered appliances located in the residence at 1017 Oak Lane, Philadelphia.</w:t>
      </w:r>
    </w:p>
    <w:p w:rsidR="00CC5169" w:rsidRDefault="00CC5169" w:rsidP="00665C1E">
      <w:pPr>
        <w:spacing w:line="360" w:lineRule="auto"/>
        <w:rPr>
          <w:sz w:val="24"/>
          <w:szCs w:val="24"/>
        </w:rPr>
      </w:pPr>
    </w:p>
    <w:p w:rsidR="00CC5169" w:rsidRDefault="00CC5169" w:rsidP="00665C1E">
      <w:pPr>
        <w:spacing w:line="360" w:lineRule="auto"/>
        <w:rPr>
          <w:sz w:val="24"/>
          <w:szCs w:val="24"/>
        </w:rPr>
      </w:pPr>
      <w:r>
        <w:rPr>
          <w:sz w:val="24"/>
          <w:szCs w:val="24"/>
        </w:rPr>
        <w:tab/>
      </w:r>
      <w:r>
        <w:rPr>
          <w:sz w:val="24"/>
          <w:szCs w:val="24"/>
        </w:rPr>
        <w:tab/>
        <w:t>4.</w:t>
      </w:r>
      <w:r>
        <w:rPr>
          <w:sz w:val="24"/>
          <w:szCs w:val="24"/>
        </w:rPr>
        <w:tab/>
        <w:t xml:space="preserve">That Philadelphia Gas Works shall notify the presiding officer upon completion of the full high bill investigation.  </w:t>
      </w:r>
    </w:p>
    <w:p w:rsidR="00CC5169" w:rsidRDefault="00CC5169" w:rsidP="00665C1E">
      <w:pPr>
        <w:spacing w:line="360" w:lineRule="auto"/>
        <w:rPr>
          <w:sz w:val="24"/>
          <w:szCs w:val="24"/>
        </w:rPr>
      </w:pPr>
    </w:p>
    <w:p w:rsidR="00CC5169" w:rsidRDefault="00CC5169" w:rsidP="00665C1E">
      <w:pPr>
        <w:spacing w:line="360" w:lineRule="auto"/>
        <w:rPr>
          <w:sz w:val="24"/>
          <w:szCs w:val="24"/>
        </w:rPr>
      </w:pPr>
      <w:r>
        <w:rPr>
          <w:sz w:val="24"/>
          <w:szCs w:val="24"/>
        </w:rPr>
        <w:lastRenderedPageBreak/>
        <w:tab/>
      </w:r>
      <w:r>
        <w:rPr>
          <w:sz w:val="24"/>
          <w:szCs w:val="24"/>
        </w:rPr>
        <w:tab/>
        <w:t>5.</w:t>
      </w:r>
      <w:r>
        <w:rPr>
          <w:sz w:val="24"/>
          <w:szCs w:val="24"/>
        </w:rPr>
        <w:tab/>
        <w:t xml:space="preserve">That, upon notification that the high bill investigation has been completed, a hearing shall be scheduled for the purposes of receiving into evidence the results of the high bill investigation, as well as the "normal estimated quantity" for 1017 Oak Lane for the period of December 7, 2011 through May 11, 2012, and a complete explanation of how the estimate was developed, and other relevant evidence.  </w:t>
      </w:r>
    </w:p>
    <w:p w:rsidR="00DA777F" w:rsidRDefault="00DA777F" w:rsidP="00665C1E">
      <w:pPr>
        <w:spacing w:line="360" w:lineRule="auto"/>
        <w:rPr>
          <w:sz w:val="24"/>
          <w:szCs w:val="24"/>
        </w:rPr>
      </w:pPr>
    </w:p>
    <w:p w:rsidR="00DA777F" w:rsidRDefault="00DA777F" w:rsidP="00DA777F">
      <w:pPr>
        <w:rPr>
          <w:sz w:val="24"/>
          <w:szCs w:val="24"/>
        </w:rPr>
      </w:pPr>
      <w:r>
        <w:rPr>
          <w:sz w:val="24"/>
          <w:szCs w:val="24"/>
        </w:rPr>
        <w:t>Dated:</w:t>
      </w:r>
      <w:r>
        <w:rPr>
          <w:sz w:val="24"/>
          <w:szCs w:val="24"/>
        </w:rPr>
        <w:tab/>
      </w:r>
      <w:r>
        <w:rPr>
          <w:sz w:val="24"/>
          <w:szCs w:val="24"/>
          <w:u w:val="single"/>
        </w:rPr>
        <w:t>February 13, 2013</w:t>
      </w:r>
      <w:r>
        <w:rPr>
          <w:sz w:val="24"/>
          <w:szCs w:val="24"/>
        </w:rPr>
        <w:tab/>
      </w:r>
      <w:r>
        <w:rPr>
          <w:sz w:val="24"/>
          <w:szCs w:val="24"/>
        </w:rPr>
        <w:tab/>
      </w:r>
      <w:r>
        <w:rPr>
          <w:sz w:val="24"/>
          <w:szCs w:val="24"/>
        </w:rPr>
        <w:tab/>
      </w:r>
      <w:r>
        <w:rPr>
          <w:sz w:val="24"/>
          <w:szCs w:val="24"/>
        </w:rPr>
        <w:tab/>
        <w:t>____</w:t>
      </w:r>
      <w:r w:rsidR="00A66622">
        <w:rPr>
          <w:sz w:val="24"/>
          <w:szCs w:val="24"/>
          <w:u w:val="single"/>
        </w:rPr>
        <w:t>/</w:t>
      </w:r>
      <w:r w:rsidR="00A66622">
        <w:rPr>
          <w:rFonts w:ascii="Berlin Sans FB" w:hAnsi="Berlin Sans FB"/>
          <w:sz w:val="24"/>
          <w:szCs w:val="24"/>
          <w:u w:val="single"/>
        </w:rPr>
        <w:t>s</w:t>
      </w:r>
      <w:r w:rsidR="00A66622">
        <w:rPr>
          <w:sz w:val="24"/>
          <w:szCs w:val="24"/>
          <w:u w:val="single"/>
        </w:rPr>
        <w:t>/</w:t>
      </w:r>
      <w:r>
        <w:rPr>
          <w:sz w:val="24"/>
          <w:szCs w:val="24"/>
        </w:rPr>
        <w:t>_____________________________</w:t>
      </w:r>
    </w:p>
    <w:p w:rsidR="00DA777F" w:rsidRDefault="00DA777F" w:rsidP="00DA777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2F753A" w:rsidRDefault="00DA777F" w:rsidP="00DA777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Default="002F753A" w:rsidP="002F753A">
      <w:pPr>
        <w:rPr>
          <w:sz w:val="24"/>
          <w:szCs w:val="24"/>
        </w:rPr>
      </w:pPr>
    </w:p>
    <w:p w:rsidR="002F753A" w:rsidRPr="002F753A" w:rsidRDefault="002F753A" w:rsidP="002F753A">
      <w:pPr>
        <w:rPr>
          <w:sz w:val="24"/>
          <w:szCs w:val="24"/>
        </w:rPr>
      </w:pPr>
    </w:p>
    <w:p w:rsidR="002F753A" w:rsidRPr="002F753A" w:rsidRDefault="002F753A" w:rsidP="002F753A">
      <w:pPr>
        <w:rPr>
          <w:sz w:val="24"/>
          <w:szCs w:val="24"/>
        </w:rPr>
      </w:pPr>
    </w:p>
    <w:p w:rsidR="002F753A" w:rsidRDefault="002F753A" w:rsidP="002F753A">
      <w:pPr>
        <w:jc w:val="center"/>
        <w:rPr>
          <w:sz w:val="24"/>
          <w:szCs w:val="24"/>
        </w:rPr>
      </w:pPr>
    </w:p>
    <w:p w:rsidR="002F753A" w:rsidRDefault="002F753A" w:rsidP="002F753A">
      <w:pPr>
        <w:rPr>
          <w:sz w:val="24"/>
          <w:szCs w:val="24"/>
        </w:rPr>
      </w:pPr>
    </w:p>
    <w:p w:rsidR="002F753A" w:rsidRPr="002F753A" w:rsidRDefault="002F753A" w:rsidP="002F753A">
      <w:pPr>
        <w:rPr>
          <w:sz w:val="24"/>
          <w:szCs w:val="24"/>
        </w:rPr>
        <w:sectPr w:rsidR="002F753A" w:rsidRPr="002F753A" w:rsidSect="00DA777F">
          <w:footerReference w:type="default" r:id="rId7"/>
          <w:pgSz w:w="12240" w:h="15840"/>
          <w:pgMar w:top="1440" w:right="1440" w:bottom="1440" w:left="1440" w:header="720" w:footer="720" w:gutter="0"/>
          <w:cols w:space="720"/>
          <w:titlePg/>
          <w:docGrid w:linePitch="360"/>
        </w:sectPr>
      </w:pPr>
    </w:p>
    <w:p w:rsidR="002F753A" w:rsidRPr="002F753A" w:rsidRDefault="002F753A" w:rsidP="002F753A">
      <w:pPr>
        <w:rPr>
          <w:rFonts w:ascii="Microsoft Sans Serif" w:hAnsi="Microsoft Sans Serif" w:cs="Microsoft Sans Serif"/>
          <w:b/>
          <w:sz w:val="24"/>
          <w:szCs w:val="24"/>
          <w:u w:val="single"/>
        </w:rPr>
      </w:pPr>
      <w:r w:rsidRPr="002F753A">
        <w:rPr>
          <w:rFonts w:ascii="Microsoft Sans Serif" w:hAnsi="Microsoft Sans Serif" w:cs="Microsoft Sans Serif"/>
          <w:b/>
          <w:sz w:val="24"/>
          <w:szCs w:val="24"/>
          <w:u w:val="single"/>
        </w:rPr>
        <w:lastRenderedPageBreak/>
        <w:t>F-2012-2329977 - GOODLUCK MOORS v. PHILADELPHIA GAS WORKS</w:t>
      </w:r>
    </w:p>
    <w:p w:rsidR="002F753A" w:rsidRPr="002F753A" w:rsidRDefault="002F753A" w:rsidP="002F753A">
      <w:pPr>
        <w:rPr>
          <w:rFonts w:ascii="Microsoft Sans Serif" w:hAnsi="Microsoft Sans Serif" w:cs="Microsoft Sans Serif"/>
          <w:b/>
          <w:sz w:val="24"/>
          <w:szCs w:val="24"/>
          <w:u w:val="single"/>
        </w:rPr>
      </w:pPr>
    </w:p>
    <w:p w:rsidR="002F753A" w:rsidRPr="002F753A" w:rsidRDefault="002F753A" w:rsidP="002F753A">
      <w:pPr>
        <w:rPr>
          <w:rFonts w:ascii="Microsoft Sans Serif" w:hAnsi="Microsoft Sans Serif" w:cs="Microsoft Sans Serif"/>
          <w:b/>
          <w:sz w:val="24"/>
          <w:szCs w:val="24"/>
          <w:u w:val="single"/>
        </w:rPr>
      </w:pPr>
    </w:p>
    <w:p w:rsidR="002F753A" w:rsidRPr="002F753A" w:rsidRDefault="002F753A" w:rsidP="002F753A">
      <w:pPr>
        <w:rPr>
          <w:rFonts w:ascii="Microsoft Sans Serif" w:hAnsi="Microsoft Sans Serif" w:cs="Microsoft Sans Serif"/>
          <w:b/>
          <w:sz w:val="24"/>
          <w:szCs w:val="24"/>
          <w:u w:val="single"/>
        </w:rPr>
      </w:pPr>
    </w:p>
    <w:p w:rsidR="002F753A" w:rsidRPr="002F753A" w:rsidRDefault="002F753A" w:rsidP="002F753A">
      <w:pPr>
        <w:contextualSpacing/>
        <w:rPr>
          <w:rFonts w:ascii="Microsoft Sans Serif" w:hAnsi="Microsoft Sans Serif" w:cs="Microsoft Sans Serif"/>
          <w:sz w:val="24"/>
          <w:szCs w:val="24"/>
          <w:highlight w:val="black"/>
        </w:rPr>
      </w:pPr>
      <w:bookmarkStart w:id="0" w:name="BMLine9"/>
      <w:r w:rsidRPr="002F753A">
        <w:rPr>
          <w:rFonts w:ascii="Microsoft Sans Serif" w:hAnsi="Microsoft Sans Serif" w:cs="Microsoft Sans Serif"/>
          <w:sz w:val="24"/>
          <w:szCs w:val="24"/>
          <w:highlight w:val="black"/>
        </w:rPr>
        <w:t>GOODLUCK MOORS</w:t>
      </w:r>
    </w:p>
    <w:p w:rsidR="002F753A" w:rsidRPr="002F753A" w:rsidRDefault="002F753A" w:rsidP="002F753A">
      <w:pPr>
        <w:contextualSpacing/>
        <w:rPr>
          <w:rFonts w:ascii="Microsoft Sans Serif" w:hAnsi="Microsoft Sans Serif" w:cs="Microsoft Sans Serif"/>
          <w:sz w:val="24"/>
          <w:szCs w:val="24"/>
          <w:highlight w:val="black"/>
        </w:rPr>
      </w:pPr>
      <w:bookmarkStart w:id="1" w:name="BMLine10"/>
      <w:bookmarkEnd w:id="0"/>
      <w:r w:rsidRPr="002F753A">
        <w:rPr>
          <w:rFonts w:ascii="Microsoft Sans Serif" w:hAnsi="Microsoft Sans Serif" w:cs="Microsoft Sans Serif"/>
          <w:sz w:val="24"/>
          <w:szCs w:val="24"/>
          <w:highlight w:val="black"/>
        </w:rPr>
        <w:t>1017 OAK LANE</w:t>
      </w:r>
    </w:p>
    <w:p w:rsidR="002F753A" w:rsidRPr="002F753A" w:rsidRDefault="002F753A" w:rsidP="002F753A">
      <w:pPr>
        <w:contextualSpacing/>
        <w:rPr>
          <w:rFonts w:ascii="Microsoft Sans Serif" w:hAnsi="Microsoft Sans Serif" w:cs="Microsoft Sans Serif"/>
          <w:sz w:val="24"/>
          <w:szCs w:val="24"/>
          <w:highlight w:val="black"/>
        </w:rPr>
      </w:pPr>
      <w:bookmarkStart w:id="2" w:name="BMLine11"/>
      <w:bookmarkEnd w:id="1"/>
      <w:r w:rsidRPr="002F753A">
        <w:rPr>
          <w:rFonts w:ascii="Microsoft Sans Serif" w:hAnsi="Microsoft Sans Serif" w:cs="Microsoft Sans Serif"/>
          <w:sz w:val="24"/>
          <w:szCs w:val="24"/>
          <w:highlight w:val="black"/>
        </w:rPr>
        <w:t>PHILADELPHIA PA 19126</w:t>
      </w:r>
    </w:p>
    <w:p w:rsidR="002F753A" w:rsidRPr="002F753A" w:rsidRDefault="002F753A" w:rsidP="002F753A">
      <w:pPr>
        <w:contextualSpacing/>
        <w:rPr>
          <w:rFonts w:ascii="Microsoft Sans Serif" w:hAnsi="Microsoft Sans Serif" w:cs="Microsoft Sans Serif"/>
          <w:b/>
          <w:sz w:val="24"/>
          <w:szCs w:val="24"/>
        </w:rPr>
      </w:pPr>
      <w:bookmarkStart w:id="3" w:name="BMLine12"/>
      <w:bookmarkEnd w:id="2"/>
      <w:r w:rsidRPr="002F753A">
        <w:rPr>
          <w:rFonts w:ascii="Microsoft Sans Serif" w:hAnsi="Microsoft Sans Serif" w:cs="Microsoft Sans Serif"/>
          <w:b/>
          <w:sz w:val="24"/>
          <w:szCs w:val="24"/>
          <w:highlight w:val="black"/>
        </w:rPr>
        <w:t>215-287-2424</w:t>
      </w:r>
      <w:bookmarkStart w:id="4" w:name="BMLine13"/>
      <w:bookmarkStart w:id="5" w:name="_GoBack"/>
      <w:bookmarkEnd w:id="3"/>
      <w:bookmarkEnd w:id="4"/>
      <w:bookmarkEnd w:id="5"/>
    </w:p>
    <w:p w:rsidR="002F753A" w:rsidRPr="002F753A" w:rsidRDefault="002F753A" w:rsidP="002F753A">
      <w:pPr>
        <w:contextualSpacing/>
        <w:rPr>
          <w:rFonts w:ascii="Microsoft Sans Serif" w:hAnsi="Microsoft Sans Serif" w:cs="Microsoft Sans Serif"/>
          <w:sz w:val="24"/>
          <w:szCs w:val="24"/>
        </w:rPr>
      </w:pPr>
    </w:p>
    <w:p w:rsidR="002F753A" w:rsidRPr="002F753A" w:rsidRDefault="002F753A" w:rsidP="002F753A">
      <w:pPr>
        <w:contextualSpacing/>
        <w:rPr>
          <w:rFonts w:ascii="Microsoft Sans Serif" w:hAnsi="Microsoft Sans Serif" w:cs="Microsoft Sans Serif"/>
          <w:sz w:val="24"/>
          <w:szCs w:val="24"/>
        </w:rPr>
      </w:pPr>
      <w:r w:rsidRPr="002F753A">
        <w:rPr>
          <w:rFonts w:ascii="Microsoft Sans Serif" w:hAnsi="Microsoft Sans Serif" w:cs="Microsoft Sans Serif"/>
          <w:sz w:val="24"/>
          <w:szCs w:val="24"/>
        </w:rPr>
        <w:t>LAURETO FARINAS ESQUIRE</w:t>
      </w:r>
    </w:p>
    <w:p w:rsidR="002F753A" w:rsidRPr="002F753A" w:rsidRDefault="002F753A" w:rsidP="002F753A">
      <w:pPr>
        <w:contextualSpacing/>
        <w:rPr>
          <w:rFonts w:ascii="Microsoft Sans Serif" w:hAnsi="Microsoft Sans Serif" w:cs="Microsoft Sans Serif"/>
          <w:sz w:val="24"/>
          <w:szCs w:val="24"/>
        </w:rPr>
      </w:pPr>
      <w:r w:rsidRPr="002F753A">
        <w:rPr>
          <w:rFonts w:ascii="Microsoft Sans Serif" w:hAnsi="Microsoft Sans Serif" w:cs="Microsoft Sans Serif"/>
          <w:sz w:val="24"/>
          <w:szCs w:val="24"/>
        </w:rPr>
        <w:t>PHILADELPHIA GAS WORKS</w:t>
      </w:r>
    </w:p>
    <w:p w:rsidR="002F753A" w:rsidRPr="002F753A" w:rsidRDefault="002F753A" w:rsidP="002F753A">
      <w:pPr>
        <w:contextualSpacing/>
        <w:rPr>
          <w:rFonts w:ascii="Microsoft Sans Serif" w:hAnsi="Microsoft Sans Serif" w:cs="Microsoft Sans Serif"/>
          <w:sz w:val="24"/>
          <w:szCs w:val="24"/>
        </w:rPr>
      </w:pPr>
      <w:r w:rsidRPr="002F753A">
        <w:rPr>
          <w:rFonts w:ascii="Microsoft Sans Serif" w:hAnsi="Microsoft Sans Serif" w:cs="Microsoft Sans Serif"/>
          <w:sz w:val="24"/>
          <w:szCs w:val="24"/>
        </w:rPr>
        <w:t>4</w:t>
      </w:r>
      <w:r w:rsidRPr="002F753A">
        <w:rPr>
          <w:rFonts w:ascii="Microsoft Sans Serif" w:hAnsi="Microsoft Sans Serif" w:cs="Microsoft Sans Serif"/>
          <w:sz w:val="24"/>
          <w:szCs w:val="24"/>
          <w:vertAlign w:val="superscript"/>
        </w:rPr>
        <w:t>TH</w:t>
      </w:r>
      <w:r w:rsidRPr="002F753A">
        <w:rPr>
          <w:rFonts w:ascii="Microsoft Sans Serif" w:hAnsi="Microsoft Sans Serif" w:cs="Microsoft Sans Serif"/>
          <w:sz w:val="24"/>
          <w:szCs w:val="24"/>
        </w:rPr>
        <w:t xml:space="preserve"> FLOOR</w:t>
      </w:r>
    </w:p>
    <w:p w:rsidR="002F753A" w:rsidRPr="002F753A" w:rsidRDefault="002F753A" w:rsidP="002F753A">
      <w:pPr>
        <w:contextualSpacing/>
        <w:rPr>
          <w:rFonts w:ascii="Microsoft Sans Serif" w:hAnsi="Microsoft Sans Serif" w:cs="Microsoft Sans Serif"/>
          <w:sz w:val="24"/>
          <w:szCs w:val="24"/>
        </w:rPr>
      </w:pPr>
      <w:r w:rsidRPr="002F753A">
        <w:rPr>
          <w:rFonts w:ascii="Microsoft Sans Serif" w:hAnsi="Microsoft Sans Serif" w:cs="Microsoft Sans Serif"/>
          <w:sz w:val="24"/>
          <w:szCs w:val="24"/>
        </w:rPr>
        <w:t>800 W MONTGOMERY AVENUE</w:t>
      </w:r>
    </w:p>
    <w:p w:rsidR="002F753A" w:rsidRPr="002F753A" w:rsidRDefault="002F753A" w:rsidP="002F753A">
      <w:pPr>
        <w:contextualSpacing/>
        <w:rPr>
          <w:rFonts w:ascii="Microsoft Sans Serif" w:hAnsi="Microsoft Sans Serif" w:cs="Microsoft Sans Serif"/>
          <w:sz w:val="24"/>
          <w:szCs w:val="24"/>
        </w:rPr>
      </w:pPr>
      <w:bookmarkStart w:id="6" w:name="BMLine6"/>
      <w:r w:rsidRPr="002F753A">
        <w:rPr>
          <w:rFonts w:ascii="Microsoft Sans Serif" w:hAnsi="Microsoft Sans Serif" w:cs="Microsoft Sans Serif"/>
          <w:sz w:val="24"/>
          <w:szCs w:val="24"/>
        </w:rPr>
        <w:t>PHILADELPHIA PA 19122</w:t>
      </w:r>
    </w:p>
    <w:p w:rsidR="002F753A" w:rsidRPr="002F753A" w:rsidRDefault="002F753A" w:rsidP="002F753A">
      <w:pPr>
        <w:contextualSpacing/>
        <w:rPr>
          <w:rFonts w:ascii="Microsoft Sans Serif" w:hAnsi="Microsoft Sans Serif" w:cs="Microsoft Sans Serif"/>
          <w:b/>
          <w:sz w:val="24"/>
          <w:szCs w:val="24"/>
        </w:rPr>
      </w:pPr>
      <w:bookmarkStart w:id="7" w:name="BMLine7"/>
      <w:bookmarkEnd w:id="6"/>
      <w:r w:rsidRPr="002F753A">
        <w:rPr>
          <w:rFonts w:ascii="Microsoft Sans Serif" w:hAnsi="Microsoft Sans Serif" w:cs="Microsoft Sans Serif"/>
          <w:b/>
          <w:sz w:val="24"/>
          <w:szCs w:val="24"/>
        </w:rPr>
        <w:t>215.684.6982</w:t>
      </w:r>
      <w:bookmarkStart w:id="8" w:name="BMLine8"/>
      <w:bookmarkEnd w:id="7"/>
      <w:bookmarkEnd w:id="8"/>
    </w:p>
    <w:p w:rsidR="00DA777F" w:rsidRPr="00DA777F" w:rsidRDefault="00DA777F" w:rsidP="00DA777F"/>
    <w:sectPr w:rsidR="00DA777F" w:rsidRPr="00DA777F" w:rsidSect="00FD50E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B41" w:rsidRDefault="00B64B41" w:rsidP="00DA777F">
      <w:r>
        <w:separator/>
      </w:r>
    </w:p>
  </w:endnote>
  <w:endnote w:type="continuationSeparator" w:id="0">
    <w:p w:rsidR="00B64B41" w:rsidRDefault="00B64B41" w:rsidP="00DA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45465715"/>
      <w:docPartObj>
        <w:docPartGallery w:val="Page Numbers (Bottom of Page)"/>
        <w:docPartUnique/>
      </w:docPartObj>
    </w:sdtPr>
    <w:sdtEndPr>
      <w:rPr>
        <w:noProof/>
      </w:rPr>
    </w:sdtEndPr>
    <w:sdtContent>
      <w:p w:rsidR="00DA777F" w:rsidRPr="002F753A" w:rsidRDefault="00DA777F" w:rsidP="002F753A">
        <w:pPr>
          <w:pStyle w:val="Footer"/>
          <w:jc w:val="center"/>
          <w:rPr>
            <w:sz w:val="20"/>
            <w:szCs w:val="20"/>
          </w:rPr>
        </w:pPr>
        <w:r w:rsidRPr="002F753A">
          <w:rPr>
            <w:sz w:val="20"/>
            <w:szCs w:val="20"/>
          </w:rPr>
          <w:fldChar w:fldCharType="begin"/>
        </w:r>
        <w:r w:rsidRPr="002F753A">
          <w:rPr>
            <w:sz w:val="20"/>
            <w:szCs w:val="20"/>
          </w:rPr>
          <w:instrText xml:space="preserve"> PAGE   \* MERGEFORMAT </w:instrText>
        </w:r>
        <w:r w:rsidRPr="002F753A">
          <w:rPr>
            <w:sz w:val="20"/>
            <w:szCs w:val="20"/>
          </w:rPr>
          <w:fldChar w:fldCharType="separate"/>
        </w:r>
        <w:r w:rsidR="002F753A">
          <w:rPr>
            <w:noProof/>
            <w:sz w:val="20"/>
            <w:szCs w:val="20"/>
          </w:rPr>
          <w:t>4</w:t>
        </w:r>
        <w:r w:rsidRPr="002F753A">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53A" w:rsidRDefault="002F7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B41" w:rsidRDefault="00B64B41" w:rsidP="00DA777F">
      <w:r>
        <w:separator/>
      </w:r>
    </w:p>
  </w:footnote>
  <w:footnote w:type="continuationSeparator" w:id="0">
    <w:p w:rsidR="00B64B41" w:rsidRDefault="00B64B41" w:rsidP="00DA7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C1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7E2"/>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80B"/>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3A"/>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B6D45"/>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65C1E"/>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0EFA"/>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6622"/>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B41"/>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5169"/>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77F"/>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3DE"/>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C1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77F"/>
    <w:pPr>
      <w:tabs>
        <w:tab w:val="center" w:pos="4680"/>
        <w:tab w:val="right" w:pos="9360"/>
      </w:tabs>
    </w:pPr>
  </w:style>
  <w:style w:type="character" w:customStyle="1" w:styleId="HeaderChar">
    <w:name w:val="Header Char"/>
    <w:basedOn w:val="DefaultParagraphFont"/>
    <w:link w:val="Header"/>
    <w:uiPriority w:val="99"/>
    <w:rsid w:val="00DA777F"/>
    <w:rPr>
      <w:rFonts w:eastAsia="Times New Roman"/>
      <w:sz w:val="26"/>
      <w:szCs w:val="26"/>
    </w:rPr>
  </w:style>
  <w:style w:type="paragraph" w:styleId="Footer">
    <w:name w:val="footer"/>
    <w:basedOn w:val="Normal"/>
    <w:link w:val="FooterChar"/>
    <w:uiPriority w:val="99"/>
    <w:unhideWhenUsed/>
    <w:rsid w:val="00DA777F"/>
    <w:pPr>
      <w:tabs>
        <w:tab w:val="center" w:pos="4680"/>
        <w:tab w:val="right" w:pos="9360"/>
      </w:tabs>
    </w:pPr>
  </w:style>
  <w:style w:type="character" w:customStyle="1" w:styleId="FooterChar">
    <w:name w:val="Footer Char"/>
    <w:basedOn w:val="DefaultParagraphFont"/>
    <w:link w:val="Footer"/>
    <w:uiPriority w:val="99"/>
    <w:rsid w:val="00DA777F"/>
    <w:rPr>
      <w:rFonts w:eastAsia="Times New Roman"/>
      <w:sz w:val="26"/>
      <w:szCs w:val="26"/>
    </w:rPr>
  </w:style>
  <w:style w:type="paragraph" w:styleId="BalloonText">
    <w:name w:val="Balloon Text"/>
    <w:basedOn w:val="Normal"/>
    <w:link w:val="BalloonTextChar"/>
    <w:uiPriority w:val="99"/>
    <w:semiHidden/>
    <w:unhideWhenUsed/>
    <w:rsid w:val="002F753A"/>
    <w:rPr>
      <w:rFonts w:ascii="Tahoma" w:hAnsi="Tahoma" w:cs="Tahoma"/>
      <w:sz w:val="16"/>
      <w:szCs w:val="16"/>
    </w:rPr>
  </w:style>
  <w:style w:type="character" w:customStyle="1" w:styleId="BalloonTextChar">
    <w:name w:val="Balloon Text Char"/>
    <w:basedOn w:val="DefaultParagraphFont"/>
    <w:link w:val="BalloonText"/>
    <w:uiPriority w:val="99"/>
    <w:semiHidden/>
    <w:rsid w:val="002F753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C1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77F"/>
    <w:pPr>
      <w:tabs>
        <w:tab w:val="center" w:pos="4680"/>
        <w:tab w:val="right" w:pos="9360"/>
      </w:tabs>
    </w:pPr>
  </w:style>
  <w:style w:type="character" w:customStyle="1" w:styleId="HeaderChar">
    <w:name w:val="Header Char"/>
    <w:basedOn w:val="DefaultParagraphFont"/>
    <w:link w:val="Header"/>
    <w:uiPriority w:val="99"/>
    <w:rsid w:val="00DA777F"/>
    <w:rPr>
      <w:rFonts w:eastAsia="Times New Roman"/>
      <w:sz w:val="26"/>
      <w:szCs w:val="26"/>
    </w:rPr>
  </w:style>
  <w:style w:type="paragraph" w:styleId="Footer">
    <w:name w:val="footer"/>
    <w:basedOn w:val="Normal"/>
    <w:link w:val="FooterChar"/>
    <w:uiPriority w:val="99"/>
    <w:unhideWhenUsed/>
    <w:rsid w:val="00DA777F"/>
    <w:pPr>
      <w:tabs>
        <w:tab w:val="center" w:pos="4680"/>
        <w:tab w:val="right" w:pos="9360"/>
      </w:tabs>
    </w:pPr>
  </w:style>
  <w:style w:type="character" w:customStyle="1" w:styleId="FooterChar">
    <w:name w:val="Footer Char"/>
    <w:basedOn w:val="DefaultParagraphFont"/>
    <w:link w:val="Footer"/>
    <w:uiPriority w:val="99"/>
    <w:rsid w:val="00DA777F"/>
    <w:rPr>
      <w:rFonts w:eastAsia="Times New Roman"/>
      <w:sz w:val="26"/>
      <w:szCs w:val="26"/>
    </w:rPr>
  </w:style>
  <w:style w:type="paragraph" w:styleId="BalloonText">
    <w:name w:val="Balloon Text"/>
    <w:basedOn w:val="Normal"/>
    <w:link w:val="BalloonTextChar"/>
    <w:uiPriority w:val="99"/>
    <w:semiHidden/>
    <w:unhideWhenUsed/>
    <w:rsid w:val="002F753A"/>
    <w:rPr>
      <w:rFonts w:ascii="Tahoma" w:hAnsi="Tahoma" w:cs="Tahoma"/>
      <w:sz w:val="16"/>
      <w:szCs w:val="16"/>
    </w:rPr>
  </w:style>
  <w:style w:type="character" w:customStyle="1" w:styleId="BalloonTextChar">
    <w:name w:val="Balloon Text Char"/>
    <w:basedOn w:val="DefaultParagraphFont"/>
    <w:link w:val="BalloonText"/>
    <w:uiPriority w:val="99"/>
    <w:semiHidden/>
    <w:rsid w:val="002F753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2013-02-13T16:47:00Z</cp:lastPrinted>
  <dcterms:created xsi:type="dcterms:W3CDTF">2013-02-13T16:44:00Z</dcterms:created>
  <dcterms:modified xsi:type="dcterms:W3CDTF">2013-02-13T16:51:00Z</dcterms:modified>
</cp:coreProperties>
</file>