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C0451E">
        <w:tc>
          <w:tcPr>
            <w:tcW w:w="2448" w:type="dxa"/>
          </w:tcPr>
          <w:p w:rsidR="00D850D4" w:rsidRPr="00C0451E" w:rsidRDefault="00D850D4" w:rsidP="00092C0A">
            <w:pPr>
              <w:pStyle w:val="Heading3"/>
              <w:rPr>
                <w:rFonts w:ascii="Times New Roman" w:hAnsi="Times New Roman" w:cs="Times New Roman"/>
              </w:rPr>
            </w:pPr>
          </w:p>
        </w:tc>
        <w:tc>
          <w:tcPr>
            <w:tcW w:w="5130" w:type="dxa"/>
          </w:tcPr>
          <w:p w:rsidR="00D850D4" w:rsidRPr="00C0451E" w:rsidRDefault="00D850D4">
            <w:pPr>
              <w:jc w:val="center"/>
              <w:rPr>
                <w:b/>
                <w:sz w:val="26"/>
                <w:szCs w:val="26"/>
              </w:rPr>
            </w:pPr>
            <w:r w:rsidRPr="00C0451E">
              <w:rPr>
                <w:b/>
                <w:sz w:val="26"/>
                <w:szCs w:val="26"/>
              </w:rPr>
              <w:t>PENNSYLVANIA</w:t>
            </w:r>
          </w:p>
          <w:p w:rsidR="00D850D4" w:rsidRPr="00C0451E" w:rsidRDefault="00D850D4">
            <w:pPr>
              <w:jc w:val="center"/>
              <w:rPr>
                <w:b/>
                <w:sz w:val="26"/>
                <w:szCs w:val="26"/>
              </w:rPr>
            </w:pPr>
            <w:r w:rsidRPr="00C0451E">
              <w:rPr>
                <w:b/>
                <w:sz w:val="26"/>
                <w:szCs w:val="26"/>
              </w:rPr>
              <w:t>PUBLIC UTILITY COMMISSION</w:t>
            </w:r>
          </w:p>
          <w:p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rsidR="00D850D4" w:rsidRPr="00C0451E" w:rsidRDefault="00D850D4">
            <w:pPr>
              <w:rPr>
                <w:sz w:val="26"/>
                <w:szCs w:val="26"/>
              </w:rPr>
            </w:pPr>
          </w:p>
        </w:tc>
      </w:tr>
    </w:tbl>
    <w:p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tc>
          <w:tcPr>
            <w:tcW w:w="5148" w:type="dxa"/>
          </w:tcPr>
          <w:p w:rsidR="00D850D4" w:rsidRPr="00C0451E" w:rsidRDefault="00D850D4">
            <w:pPr>
              <w:rPr>
                <w:sz w:val="26"/>
                <w:szCs w:val="26"/>
              </w:rPr>
            </w:pPr>
          </w:p>
        </w:tc>
        <w:tc>
          <w:tcPr>
            <w:tcW w:w="5148" w:type="dxa"/>
          </w:tcPr>
          <w:p w:rsidR="00D850D4" w:rsidRPr="00C0451E" w:rsidRDefault="00D850D4" w:rsidP="004B34D3">
            <w:pPr>
              <w:ind w:firstLine="612"/>
              <w:rPr>
                <w:sz w:val="26"/>
                <w:szCs w:val="26"/>
              </w:rPr>
            </w:pPr>
            <w:r w:rsidRPr="00C0451E">
              <w:rPr>
                <w:sz w:val="26"/>
                <w:szCs w:val="26"/>
              </w:rPr>
              <w:t xml:space="preserve">Public Meeting held </w:t>
            </w:r>
            <w:r w:rsidR="000A1F94">
              <w:rPr>
                <w:sz w:val="26"/>
                <w:szCs w:val="26"/>
              </w:rPr>
              <w:t>February 14, 2013</w:t>
            </w:r>
          </w:p>
        </w:tc>
      </w:tr>
      <w:tr w:rsidR="00D850D4" w:rsidRPr="00C0451E">
        <w:tc>
          <w:tcPr>
            <w:tcW w:w="5148" w:type="dxa"/>
          </w:tcPr>
          <w:p w:rsidR="00D850D4" w:rsidRPr="00C0451E" w:rsidRDefault="00D850D4">
            <w:pPr>
              <w:rPr>
                <w:sz w:val="26"/>
                <w:szCs w:val="26"/>
              </w:rPr>
            </w:pPr>
            <w:r w:rsidRPr="00C0451E">
              <w:rPr>
                <w:sz w:val="26"/>
                <w:szCs w:val="26"/>
              </w:rPr>
              <w:t>Commissioners Present:</w:t>
            </w:r>
          </w:p>
        </w:tc>
        <w:tc>
          <w:tcPr>
            <w:tcW w:w="5148" w:type="dxa"/>
          </w:tcPr>
          <w:p w:rsidR="00D850D4" w:rsidRPr="00C0451E" w:rsidRDefault="00D850D4">
            <w:pPr>
              <w:rPr>
                <w:sz w:val="26"/>
                <w:szCs w:val="26"/>
              </w:rPr>
            </w:pPr>
          </w:p>
        </w:tc>
      </w:tr>
    </w:tbl>
    <w:p w:rsidR="00D850D4" w:rsidRPr="00C0451E"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4E58A5" w:rsidRPr="00C0451E" w:rsidTr="00107AB8">
        <w:tc>
          <w:tcPr>
            <w:tcW w:w="9378" w:type="dxa"/>
            <w:gridSpan w:val="3"/>
          </w:tcPr>
          <w:p w:rsidR="004E58A5" w:rsidRPr="00C0451E" w:rsidRDefault="00E15458" w:rsidP="00AB738E">
            <w:pPr>
              <w:overflowPunct/>
              <w:ind w:left="720"/>
              <w:textAlignment w:val="auto"/>
              <w:rPr>
                <w:sz w:val="26"/>
                <w:szCs w:val="26"/>
              </w:rPr>
            </w:pPr>
            <w:r>
              <w:rPr>
                <w:sz w:val="26"/>
                <w:szCs w:val="26"/>
              </w:rPr>
              <w:t>Robert F. Powelson, Chairman</w:t>
            </w:r>
          </w:p>
        </w:tc>
        <w:tc>
          <w:tcPr>
            <w:tcW w:w="918" w:type="dxa"/>
          </w:tcPr>
          <w:p w:rsidR="004E58A5" w:rsidRPr="00C0451E" w:rsidRDefault="004E58A5">
            <w:pPr>
              <w:rPr>
                <w:sz w:val="26"/>
                <w:szCs w:val="26"/>
              </w:rPr>
            </w:pPr>
          </w:p>
        </w:tc>
      </w:tr>
      <w:tr w:rsidR="004E58A5" w:rsidRPr="00C0451E" w:rsidTr="00107AB8">
        <w:tc>
          <w:tcPr>
            <w:tcW w:w="9378" w:type="dxa"/>
            <w:gridSpan w:val="3"/>
          </w:tcPr>
          <w:p w:rsidR="004E58A5" w:rsidRPr="00C0451E" w:rsidRDefault="00AB2CF1" w:rsidP="00AB738E">
            <w:pPr>
              <w:overflowPunct/>
              <w:ind w:left="720"/>
              <w:textAlignment w:val="auto"/>
              <w:rPr>
                <w:sz w:val="26"/>
                <w:szCs w:val="26"/>
              </w:rPr>
            </w:pPr>
            <w:r>
              <w:rPr>
                <w:sz w:val="26"/>
                <w:szCs w:val="26"/>
              </w:rPr>
              <w:t>John F. Coleman</w:t>
            </w:r>
            <w:r w:rsidR="004E58A5" w:rsidRPr="00C0451E">
              <w:rPr>
                <w:sz w:val="26"/>
                <w:szCs w:val="26"/>
              </w:rPr>
              <w:t xml:space="preserve">, </w:t>
            </w:r>
            <w:r>
              <w:rPr>
                <w:sz w:val="26"/>
                <w:szCs w:val="26"/>
              </w:rPr>
              <w:t xml:space="preserve">Jr., </w:t>
            </w:r>
            <w:r w:rsidR="004E58A5" w:rsidRPr="00C0451E">
              <w:rPr>
                <w:sz w:val="26"/>
                <w:szCs w:val="26"/>
              </w:rPr>
              <w:t>Vice Chairman</w:t>
            </w:r>
          </w:p>
        </w:tc>
        <w:tc>
          <w:tcPr>
            <w:tcW w:w="918" w:type="dxa"/>
          </w:tcPr>
          <w:p w:rsidR="004E58A5" w:rsidRPr="00C0451E" w:rsidRDefault="004E58A5">
            <w:pPr>
              <w:rPr>
                <w:sz w:val="26"/>
                <w:szCs w:val="26"/>
              </w:rPr>
            </w:pPr>
          </w:p>
        </w:tc>
      </w:tr>
      <w:tr w:rsidR="004E58A5" w:rsidRPr="00C0451E" w:rsidTr="00107AB8">
        <w:tc>
          <w:tcPr>
            <w:tcW w:w="9378" w:type="dxa"/>
            <w:gridSpan w:val="3"/>
          </w:tcPr>
          <w:p w:rsidR="004E58A5" w:rsidRPr="00C0451E" w:rsidRDefault="00B57B62" w:rsidP="00AB738E">
            <w:pPr>
              <w:overflowPunct/>
              <w:ind w:left="720"/>
              <w:textAlignment w:val="auto"/>
              <w:rPr>
                <w:sz w:val="26"/>
                <w:szCs w:val="26"/>
              </w:rPr>
            </w:pPr>
            <w:r w:rsidRPr="00C0451E">
              <w:rPr>
                <w:sz w:val="26"/>
                <w:szCs w:val="26"/>
              </w:rPr>
              <w:t>Wayne E. Gardner</w:t>
            </w:r>
          </w:p>
        </w:tc>
        <w:tc>
          <w:tcPr>
            <w:tcW w:w="918" w:type="dxa"/>
          </w:tcPr>
          <w:p w:rsidR="004E58A5" w:rsidRPr="00C0451E" w:rsidRDefault="004E58A5">
            <w:pPr>
              <w:rPr>
                <w:sz w:val="26"/>
                <w:szCs w:val="26"/>
              </w:rPr>
            </w:pPr>
          </w:p>
        </w:tc>
      </w:tr>
      <w:tr w:rsidR="004E58A5" w:rsidRPr="00C0451E" w:rsidTr="00107AB8">
        <w:tc>
          <w:tcPr>
            <w:tcW w:w="9378" w:type="dxa"/>
            <w:gridSpan w:val="3"/>
          </w:tcPr>
          <w:p w:rsidR="004E58A5" w:rsidRPr="00C0451E" w:rsidRDefault="00B57B62" w:rsidP="00AB738E">
            <w:pPr>
              <w:overflowPunct/>
              <w:ind w:left="720"/>
              <w:textAlignment w:val="auto"/>
              <w:rPr>
                <w:sz w:val="26"/>
                <w:szCs w:val="26"/>
              </w:rPr>
            </w:pPr>
            <w:r>
              <w:rPr>
                <w:sz w:val="26"/>
                <w:szCs w:val="26"/>
              </w:rPr>
              <w:t>James H. Cawley</w:t>
            </w:r>
          </w:p>
        </w:tc>
        <w:tc>
          <w:tcPr>
            <w:tcW w:w="918" w:type="dxa"/>
          </w:tcPr>
          <w:p w:rsidR="004E58A5" w:rsidRPr="00C0451E" w:rsidRDefault="004E58A5">
            <w:pPr>
              <w:rPr>
                <w:sz w:val="26"/>
                <w:szCs w:val="26"/>
              </w:rPr>
            </w:pPr>
          </w:p>
        </w:tc>
      </w:tr>
      <w:tr w:rsidR="00572CCC" w:rsidRPr="00C0451E" w:rsidTr="00571027">
        <w:trPr>
          <w:gridAfter w:val="2"/>
          <w:wAfter w:w="1440" w:type="dxa"/>
        </w:trPr>
        <w:tc>
          <w:tcPr>
            <w:tcW w:w="5958" w:type="dxa"/>
          </w:tcPr>
          <w:p w:rsidR="00572CCC" w:rsidRPr="00C0451E" w:rsidRDefault="00B57B62" w:rsidP="00AB738E">
            <w:pPr>
              <w:ind w:left="720"/>
              <w:rPr>
                <w:sz w:val="26"/>
                <w:szCs w:val="26"/>
              </w:rPr>
            </w:pPr>
            <w:r>
              <w:rPr>
                <w:sz w:val="26"/>
                <w:szCs w:val="26"/>
              </w:rPr>
              <w:t>Pamela A. Witmer</w:t>
            </w:r>
          </w:p>
        </w:tc>
        <w:tc>
          <w:tcPr>
            <w:tcW w:w="2898" w:type="dxa"/>
          </w:tcPr>
          <w:p w:rsidR="00572CCC" w:rsidRPr="00C0451E" w:rsidRDefault="00572CCC" w:rsidP="00A82FC9">
            <w:pPr>
              <w:rPr>
                <w:sz w:val="26"/>
                <w:szCs w:val="26"/>
              </w:rPr>
            </w:pPr>
          </w:p>
        </w:tc>
      </w:tr>
      <w:tr w:rsidR="00E441EC" w:rsidRPr="00C0451E" w:rsidTr="00571027">
        <w:trPr>
          <w:gridAfter w:val="2"/>
          <w:wAfter w:w="1440" w:type="dxa"/>
        </w:trPr>
        <w:tc>
          <w:tcPr>
            <w:tcW w:w="5958" w:type="dxa"/>
          </w:tcPr>
          <w:p w:rsidR="00E441EC" w:rsidRPr="00C0451E" w:rsidRDefault="00E441EC" w:rsidP="00F649E4">
            <w:pPr>
              <w:rPr>
                <w:sz w:val="26"/>
                <w:szCs w:val="26"/>
              </w:rPr>
            </w:pPr>
          </w:p>
        </w:tc>
        <w:tc>
          <w:tcPr>
            <w:tcW w:w="2898" w:type="dxa"/>
          </w:tcPr>
          <w:p w:rsidR="00E441EC" w:rsidRPr="00C0451E" w:rsidRDefault="00E441EC" w:rsidP="00A82FC9">
            <w:pPr>
              <w:rPr>
                <w:sz w:val="26"/>
                <w:szCs w:val="26"/>
              </w:rPr>
            </w:pPr>
          </w:p>
        </w:tc>
      </w:tr>
      <w:tr w:rsidR="00107AB8" w:rsidRPr="00C0451E" w:rsidTr="00571027">
        <w:trPr>
          <w:gridAfter w:val="2"/>
          <w:wAfter w:w="1440" w:type="dxa"/>
        </w:trPr>
        <w:tc>
          <w:tcPr>
            <w:tcW w:w="5958" w:type="dxa"/>
          </w:tcPr>
          <w:p w:rsidR="00AF69C9" w:rsidRDefault="00AF69C9" w:rsidP="00F649E4">
            <w:pPr>
              <w:rPr>
                <w:sz w:val="26"/>
                <w:szCs w:val="26"/>
              </w:rPr>
            </w:pPr>
            <w:r>
              <w:rPr>
                <w:sz w:val="26"/>
                <w:szCs w:val="26"/>
              </w:rPr>
              <w:t>Petiti</w:t>
            </w:r>
            <w:r w:rsidR="0013786E">
              <w:rPr>
                <w:sz w:val="26"/>
                <w:szCs w:val="26"/>
              </w:rPr>
              <w:t>on of</w:t>
            </w:r>
            <w:r w:rsidR="00883F37">
              <w:rPr>
                <w:sz w:val="26"/>
                <w:szCs w:val="26"/>
              </w:rPr>
              <w:t xml:space="preserve"> PPL Electric</w:t>
            </w:r>
            <w:r w:rsidR="00C916DF">
              <w:rPr>
                <w:sz w:val="26"/>
                <w:szCs w:val="26"/>
              </w:rPr>
              <w:t xml:space="preserve"> Utilities Corporation</w:t>
            </w:r>
            <w:r>
              <w:rPr>
                <w:sz w:val="26"/>
                <w:szCs w:val="26"/>
              </w:rPr>
              <w:t xml:space="preserve">                   </w:t>
            </w:r>
          </w:p>
          <w:p w:rsidR="00AF69C9" w:rsidRDefault="00AF69C9" w:rsidP="00F649E4">
            <w:pPr>
              <w:rPr>
                <w:sz w:val="26"/>
                <w:szCs w:val="26"/>
              </w:rPr>
            </w:pPr>
            <w:r>
              <w:rPr>
                <w:sz w:val="26"/>
                <w:szCs w:val="26"/>
              </w:rPr>
              <w:t xml:space="preserve">For Authorization to Defer, for </w:t>
            </w:r>
          </w:p>
          <w:p w:rsidR="00AF69C9" w:rsidRDefault="00AF69C9" w:rsidP="00F649E4">
            <w:pPr>
              <w:rPr>
                <w:sz w:val="26"/>
                <w:szCs w:val="26"/>
              </w:rPr>
            </w:pPr>
            <w:r>
              <w:rPr>
                <w:sz w:val="26"/>
                <w:szCs w:val="26"/>
              </w:rPr>
              <w:t xml:space="preserve">Accounting Purposes, Certain </w:t>
            </w:r>
          </w:p>
          <w:p w:rsidR="00AF69C9" w:rsidRDefault="00AF69C9" w:rsidP="00F649E4">
            <w:pPr>
              <w:rPr>
                <w:sz w:val="26"/>
                <w:szCs w:val="26"/>
              </w:rPr>
            </w:pPr>
            <w:r>
              <w:rPr>
                <w:sz w:val="26"/>
                <w:szCs w:val="26"/>
              </w:rPr>
              <w:t xml:space="preserve">Unanticipated Expenses Relating to </w:t>
            </w:r>
          </w:p>
          <w:p w:rsidR="00AF69C9" w:rsidRDefault="00AF69C9" w:rsidP="00F649E4">
            <w:pPr>
              <w:rPr>
                <w:sz w:val="26"/>
                <w:szCs w:val="26"/>
              </w:rPr>
            </w:pPr>
            <w:r>
              <w:rPr>
                <w:sz w:val="26"/>
                <w:szCs w:val="26"/>
              </w:rPr>
              <w:t>Relating to Storm Damage</w:t>
            </w:r>
          </w:p>
          <w:p w:rsidR="00AF69C9" w:rsidRPr="00C0451E" w:rsidRDefault="00AF69C9" w:rsidP="00F649E4">
            <w:pPr>
              <w:rPr>
                <w:sz w:val="26"/>
                <w:szCs w:val="26"/>
              </w:rPr>
            </w:pPr>
          </w:p>
        </w:tc>
        <w:tc>
          <w:tcPr>
            <w:tcW w:w="2898" w:type="dxa"/>
          </w:tcPr>
          <w:p w:rsidR="00AF69C9" w:rsidRPr="00C0451E" w:rsidRDefault="00AF69C9" w:rsidP="001A4F91">
            <w:pPr>
              <w:jc w:val="center"/>
              <w:rPr>
                <w:sz w:val="26"/>
                <w:szCs w:val="26"/>
              </w:rPr>
            </w:pPr>
            <w:r>
              <w:rPr>
                <w:sz w:val="26"/>
                <w:szCs w:val="26"/>
              </w:rPr>
              <w:t>P-201</w:t>
            </w:r>
            <w:r w:rsidR="0013786E">
              <w:rPr>
                <w:sz w:val="26"/>
                <w:szCs w:val="26"/>
              </w:rPr>
              <w:t>2</w:t>
            </w:r>
            <w:r w:rsidR="00883F37">
              <w:rPr>
                <w:sz w:val="26"/>
                <w:szCs w:val="26"/>
              </w:rPr>
              <w:t>-2338996</w:t>
            </w:r>
          </w:p>
        </w:tc>
      </w:tr>
      <w:tr w:rsidR="00AF69C9" w:rsidRPr="00C0451E" w:rsidTr="00571027">
        <w:trPr>
          <w:gridAfter w:val="2"/>
          <w:wAfter w:w="1440" w:type="dxa"/>
        </w:trPr>
        <w:tc>
          <w:tcPr>
            <w:tcW w:w="5958" w:type="dxa"/>
          </w:tcPr>
          <w:p w:rsidR="00AF69C9" w:rsidRDefault="00AF69C9" w:rsidP="00F649E4">
            <w:pPr>
              <w:rPr>
                <w:sz w:val="26"/>
                <w:szCs w:val="26"/>
              </w:rPr>
            </w:pPr>
          </w:p>
        </w:tc>
        <w:tc>
          <w:tcPr>
            <w:tcW w:w="2898" w:type="dxa"/>
          </w:tcPr>
          <w:p w:rsidR="00AF69C9" w:rsidRPr="00C0451E" w:rsidRDefault="00AF69C9" w:rsidP="00A82FC9">
            <w:pPr>
              <w:rPr>
                <w:sz w:val="26"/>
                <w:szCs w:val="26"/>
              </w:rPr>
            </w:pPr>
          </w:p>
        </w:tc>
      </w:tr>
    </w:tbl>
    <w:p w:rsidR="00E96680" w:rsidRDefault="00AF69C9" w:rsidP="00AF69C9">
      <w:pPr>
        <w:spacing w:line="360" w:lineRule="auto"/>
        <w:jc w:val="center"/>
        <w:rPr>
          <w:b/>
          <w:sz w:val="26"/>
          <w:szCs w:val="26"/>
        </w:rPr>
      </w:pPr>
      <w:r>
        <w:rPr>
          <w:b/>
          <w:sz w:val="26"/>
          <w:szCs w:val="26"/>
        </w:rPr>
        <w:t>OPINION AND ORDER</w:t>
      </w:r>
    </w:p>
    <w:p w:rsidR="00AF69C9" w:rsidRPr="00B132F4" w:rsidRDefault="00B132F4" w:rsidP="00AF69C9">
      <w:pPr>
        <w:spacing w:line="360" w:lineRule="auto"/>
        <w:rPr>
          <w:sz w:val="26"/>
          <w:szCs w:val="26"/>
        </w:rPr>
      </w:pPr>
      <w:r>
        <w:rPr>
          <w:b/>
          <w:sz w:val="26"/>
          <w:szCs w:val="26"/>
        </w:rPr>
        <w:tab/>
      </w:r>
    </w:p>
    <w:p w:rsidR="00DF0470" w:rsidRDefault="00DF0470" w:rsidP="00DF0470">
      <w:pPr>
        <w:pStyle w:val="p3"/>
        <w:spacing w:line="360" w:lineRule="auto"/>
        <w:rPr>
          <w:b/>
          <w:sz w:val="26"/>
          <w:szCs w:val="26"/>
        </w:rPr>
      </w:pPr>
      <w:r w:rsidRPr="00C0451E">
        <w:rPr>
          <w:b/>
          <w:sz w:val="26"/>
          <w:szCs w:val="26"/>
        </w:rPr>
        <w:t>BY THE COMMISSION:</w:t>
      </w:r>
    </w:p>
    <w:p w:rsidR="00A60F28" w:rsidRPr="00C0451E" w:rsidRDefault="00A60F28" w:rsidP="00DF0470">
      <w:pPr>
        <w:pStyle w:val="p3"/>
        <w:spacing w:line="360" w:lineRule="auto"/>
        <w:rPr>
          <w:b/>
          <w:sz w:val="26"/>
          <w:szCs w:val="26"/>
        </w:rPr>
      </w:pPr>
    </w:p>
    <w:p w:rsidR="00DC381A" w:rsidRDefault="00A333F9" w:rsidP="00DC381A">
      <w:pPr>
        <w:pStyle w:val="p3"/>
        <w:tabs>
          <w:tab w:val="clear" w:pos="204"/>
        </w:tabs>
        <w:spacing w:line="360" w:lineRule="auto"/>
        <w:ind w:firstLine="1440"/>
        <w:rPr>
          <w:sz w:val="26"/>
          <w:szCs w:val="26"/>
        </w:rPr>
      </w:pPr>
      <w:r>
        <w:rPr>
          <w:sz w:val="26"/>
          <w:szCs w:val="26"/>
        </w:rPr>
        <w:t>On December 13</w:t>
      </w:r>
      <w:r w:rsidR="0013786E">
        <w:rPr>
          <w:sz w:val="26"/>
          <w:szCs w:val="26"/>
        </w:rPr>
        <w:t>, 2012</w:t>
      </w:r>
      <w:r w:rsidR="00B132F4">
        <w:rPr>
          <w:sz w:val="26"/>
          <w:szCs w:val="26"/>
        </w:rPr>
        <w:t>,</w:t>
      </w:r>
      <w:r w:rsidR="00883F37">
        <w:rPr>
          <w:sz w:val="26"/>
          <w:szCs w:val="26"/>
        </w:rPr>
        <w:t xml:space="preserve"> PPL Electric</w:t>
      </w:r>
      <w:r w:rsidR="00C916DF">
        <w:rPr>
          <w:sz w:val="26"/>
          <w:szCs w:val="26"/>
        </w:rPr>
        <w:t xml:space="preserve"> Utilities Corporation </w:t>
      </w:r>
      <w:r w:rsidR="00883F37">
        <w:rPr>
          <w:sz w:val="26"/>
          <w:szCs w:val="26"/>
        </w:rPr>
        <w:t xml:space="preserve">(PPL) </w:t>
      </w:r>
      <w:r w:rsidR="00B132F4">
        <w:rPr>
          <w:sz w:val="26"/>
          <w:szCs w:val="26"/>
        </w:rPr>
        <w:t>filed a Petition for Authorization to Defer, for Accounting Purposes, Certain Unanticipated Expenses Relating to</w:t>
      </w:r>
      <w:r>
        <w:rPr>
          <w:sz w:val="26"/>
          <w:szCs w:val="26"/>
        </w:rPr>
        <w:t xml:space="preserve"> Storm Damage </w:t>
      </w:r>
      <w:r w:rsidR="00883F37">
        <w:rPr>
          <w:sz w:val="26"/>
          <w:szCs w:val="26"/>
        </w:rPr>
        <w:t xml:space="preserve">(Petition).  PPL </w:t>
      </w:r>
      <w:r w:rsidR="00B132F4">
        <w:rPr>
          <w:sz w:val="26"/>
          <w:szCs w:val="26"/>
        </w:rPr>
        <w:t xml:space="preserve">is requesting that we issue an order under </w:t>
      </w:r>
      <w:r w:rsidR="00033D57">
        <w:rPr>
          <w:sz w:val="26"/>
          <w:szCs w:val="26"/>
        </w:rPr>
        <w:t>s</w:t>
      </w:r>
      <w:r w:rsidR="00B132F4">
        <w:rPr>
          <w:sz w:val="26"/>
          <w:szCs w:val="26"/>
        </w:rPr>
        <w:t>ection 1701</w:t>
      </w:r>
      <w:r w:rsidR="00FE0180">
        <w:rPr>
          <w:sz w:val="26"/>
          <w:szCs w:val="26"/>
        </w:rPr>
        <w:t xml:space="preserve">of the Public Utility Code </w:t>
      </w:r>
      <w:r w:rsidR="00033D57">
        <w:rPr>
          <w:sz w:val="26"/>
          <w:szCs w:val="26"/>
        </w:rPr>
        <w:t>(</w:t>
      </w:r>
      <w:r w:rsidR="00FE0180">
        <w:rPr>
          <w:sz w:val="26"/>
          <w:szCs w:val="26"/>
        </w:rPr>
        <w:t>66 Pa. C.S. § 1701</w:t>
      </w:r>
      <w:r w:rsidR="00033D57">
        <w:rPr>
          <w:sz w:val="26"/>
          <w:szCs w:val="26"/>
        </w:rPr>
        <w:t>,</w:t>
      </w:r>
      <w:r w:rsidR="00FE0180">
        <w:rPr>
          <w:sz w:val="26"/>
          <w:szCs w:val="26"/>
        </w:rPr>
        <w:t xml:space="preserve"> </w:t>
      </w:r>
      <w:r w:rsidR="00A60F28">
        <w:rPr>
          <w:sz w:val="26"/>
          <w:szCs w:val="26"/>
        </w:rPr>
        <w:t>(m</w:t>
      </w:r>
      <w:r w:rsidR="00FE0180">
        <w:rPr>
          <w:sz w:val="26"/>
          <w:szCs w:val="26"/>
        </w:rPr>
        <w:t>andatory system of accounts), granting it the authority to defer, for accounting purposes, unanticipated expenses attributable to storm damage associa</w:t>
      </w:r>
      <w:r w:rsidR="00883F37">
        <w:rPr>
          <w:sz w:val="26"/>
          <w:szCs w:val="26"/>
        </w:rPr>
        <w:t>ted with Hurricane Sandy which affected</w:t>
      </w:r>
      <w:r w:rsidR="00FE0180">
        <w:rPr>
          <w:sz w:val="26"/>
          <w:szCs w:val="26"/>
        </w:rPr>
        <w:t xml:space="preserve"> the Company’s service </w:t>
      </w:r>
      <w:r w:rsidR="00DA54B8">
        <w:rPr>
          <w:sz w:val="26"/>
          <w:szCs w:val="26"/>
        </w:rPr>
        <w:t>territory and surrounding a</w:t>
      </w:r>
      <w:r w:rsidR="00632E50">
        <w:rPr>
          <w:sz w:val="26"/>
          <w:szCs w:val="26"/>
        </w:rPr>
        <w:t>reas in late October 2012</w:t>
      </w:r>
      <w:r w:rsidR="00DA54B8">
        <w:rPr>
          <w:sz w:val="26"/>
          <w:szCs w:val="26"/>
        </w:rPr>
        <w:t xml:space="preserve">.  </w:t>
      </w:r>
      <w:r>
        <w:rPr>
          <w:sz w:val="26"/>
          <w:szCs w:val="26"/>
        </w:rPr>
        <w:t xml:space="preserve">At this time PPL </w:t>
      </w:r>
      <w:r w:rsidR="008D0879">
        <w:rPr>
          <w:sz w:val="26"/>
          <w:szCs w:val="26"/>
        </w:rPr>
        <w:t>is</w:t>
      </w:r>
      <w:r w:rsidR="005C740D">
        <w:rPr>
          <w:sz w:val="26"/>
          <w:szCs w:val="26"/>
        </w:rPr>
        <w:t xml:space="preserve"> not </w:t>
      </w:r>
      <w:r w:rsidR="008D0879">
        <w:rPr>
          <w:sz w:val="26"/>
          <w:szCs w:val="26"/>
        </w:rPr>
        <w:t xml:space="preserve">requesting that the Commission </w:t>
      </w:r>
      <w:r w:rsidR="005C740D">
        <w:rPr>
          <w:sz w:val="26"/>
          <w:szCs w:val="26"/>
        </w:rPr>
        <w:t>decide ratemaking treatment for these e</w:t>
      </w:r>
      <w:r w:rsidR="00F34F36">
        <w:rPr>
          <w:sz w:val="26"/>
          <w:szCs w:val="26"/>
        </w:rPr>
        <w:t>xpenses but only that it has the Commission’s</w:t>
      </w:r>
      <w:r w:rsidR="005C740D">
        <w:rPr>
          <w:sz w:val="26"/>
          <w:szCs w:val="26"/>
        </w:rPr>
        <w:t xml:space="preserve"> permission to defer the costs so tha</w:t>
      </w:r>
      <w:r w:rsidR="00F34F36">
        <w:rPr>
          <w:sz w:val="26"/>
          <w:szCs w:val="26"/>
        </w:rPr>
        <w:t xml:space="preserve">t it may seek recovery </w:t>
      </w:r>
      <w:r w:rsidR="005C740D">
        <w:rPr>
          <w:sz w:val="26"/>
          <w:szCs w:val="26"/>
        </w:rPr>
        <w:t xml:space="preserve">of these expenses in the next base rate case filed by the Company pursuant to section </w:t>
      </w:r>
      <w:r w:rsidR="00DC381A">
        <w:rPr>
          <w:sz w:val="26"/>
          <w:szCs w:val="26"/>
        </w:rPr>
        <w:t>1308(d) of the Public Utility Code, 66 Pa. C.S. § 1308(d).</w:t>
      </w:r>
    </w:p>
    <w:p w:rsidR="004B34D3" w:rsidRDefault="004B34D3" w:rsidP="004B34D3">
      <w:pPr>
        <w:spacing w:line="360" w:lineRule="auto"/>
        <w:ind w:firstLine="1440"/>
        <w:rPr>
          <w:color w:val="000000"/>
          <w:sz w:val="26"/>
          <w:szCs w:val="26"/>
        </w:rPr>
      </w:pPr>
      <w:r>
        <w:rPr>
          <w:color w:val="000000"/>
          <w:sz w:val="26"/>
          <w:szCs w:val="26"/>
        </w:rPr>
        <w:lastRenderedPageBreak/>
        <w:t>The petition was served on the Bureau of Investigation and Enforcement, Office of Consumer Advocate, and the Office of Small Business Advocate.  No parties have filed protests in this proceeding.</w:t>
      </w:r>
      <w:r w:rsidR="00F3783C">
        <w:rPr>
          <w:color w:val="000000"/>
          <w:sz w:val="26"/>
          <w:szCs w:val="26"/>
        </w:rPr>
        <w:t xml:space="preserve">  On January 4, 2013 the OCA filed an answer to the petition that stipulated approval conditions which have been included into the first Ordering Paragraph.</w:t>
      </w:r>
    </w:p>
    <w:p w:rsidR="004B34D3" w:rsidRDefault="004B34D3" w:rsidP="004B34D3">
      <w:pPr>
        <w:spacing w:line="360" w:lineRule="auto"/>
        <w:ind w:firstLine="1440"/>
        <w:rPr>
          <w:color w:val="000000"/>
          <w:sz w:val="26"/>
          <w:szCs w:val="26"/>
        </w:rPr>
      </w:pPr>
    </w:p>
    <w:p w:rsidR="005C740D" w:rsidRDefault="005C740D" w:rsidP="00DA39AF">
      <w:pPr>
        <w:pStyle w:val="p3"/>
        <w:tabs>
          <w:tab w:val="clear" w:pos="204"/>
        </w:tabs>
        <w:spacing w:line="360" w:lineRule="auto"/>
        <w:ind w:firstLine="1440"/>
        <w:rPr>
          <w:sz w:val="26"/>
          <w:szCs w:val="26"/>
        </w:rPr>
      </w:pPr>
      <w:r>
        <w:rPr>
          <w:sz w:val="26"/>
          <w:szCs w:val="26"/>
        </w:rPr>
        <w:t xml:space="preserve">For the reasons set forth below, we shall grant the Petition with certain conditions consistent with those attached to similar requests to defer extraordinary loses for regulatory accounting and reporting purposes in the past.  </w:t>
      </w:r>
    </w:p>
    <w:p w:rsidR="005C740D" w:rsidRDefault="005C740D" w:rsidP="00DA39AF">
      <w:pPr>
        <w:pStyle w:val="p3"/>
        <w:tabs>
          <w:tab w:val="clear" w:pos="204"/>
        </w:tabs>
        <w:spacing w:line="360" w:lineRule="auto"/>
        <w:ind w:firstLine="1440"/>
        <w:rPr>
          <w:sz w:val="26"/>
          <w:szCs w:val="26"/>
        </w:rPr>
      </w:pPr>
    </w:p>
    <w:p w:rsidR="00924254" w:rsidRPr="00857376" w:rsidRDefault="00010B7A" w:rsidP="00DA39AF">
      <w:pPr>
        <w:pStyle w:val="p3"/>
        <w:tabs>
          <w:tab w:val="clear" w:pos="204"/>
        </w:tabs>
        <w:spacing w:line="360" w:lineRule="auto"/>
        <w:ind w:firstLine="1440"/>
        <w:rPr>
          <w:sz w:val="26"/>
          <w:szCs w:val="26"/>
        </w:rPr>
      </w:pPr>
      <w:r>
        <w:rPr>
          <w:sz w:val="26"/>
          <w:szCs w:val="26"/>
        </w:rPr>
        <w:t>PPL</w:t>
      </w:r>
      <w:r w:rsidR="00D80AFE" w:rsidRPr="00C20F64">
        <w:rPr>
          <w:sz w:val="26"/>
          <w:szCs w:val="26"/>
        </w:rPr>
        <w:t xml:space="preserve"> is a</w:t>
      </w:r>
      <w:r w:rsidR="00857376">
        <w:rPr>
          <w:sz w:val="26"/>
          <w:szCs w:val="26"/>
        </w:rPr>
        <w:t xml:space="preserve"> public utility </w:t>
      </w:r>
      <w:r w:rsidR="00D80AFE" w:rsidRPr="00C20F64">
        <w:rPr>
          <w:sz w:val="26"/>
          <w:szCs w:val="26"/>
        </w:rPr>
        <w:t>corporation</w:t>
      </w:r>
      <w:r>
        <w:rPr>
          <w:sz w:val="26"/>
          <w:szCs w:val="26"/>
        </w:rPr>
        <w:t xml:space="preserve"> that furnishes electric service to approximately 1.4 million customers throughout its service territory, which includes all or portions of 29 counties and encompasses approximately 10,000 square miles in eastern and central Pennsylvania.  PPL </w:t>
      </w:r>
      <w:r w:rsidR="00924254" w:rsidRPr="00C20F64">
        <w:rPr>
          <w:color w:val="000000"/>
          <w:sz w:val="26"/>
          <w:szCs w:val="26"/>
        </w:rPr>
        <w:t>is</w:t>
      </w:r>
      <w:r w:rsidR="00110975">
        <w:rPr>
          <w:color w:val="000000"/>
          <w:sz w:val="26"/>
          <w:szCs w:val="26"/>
        </w:rPr>
        <w:t xml:space="preserve"> a “public utility” as defined in Sections 102 and 2803 of the Pennsylvania Public Utility Code, 66 Pa. C.S. </w:t>
      </w:r>
      <w:r w:rsidR="00110975" w:rsidRPr="00C20F64">
        <w:rPr>
          <w:color w:val="000000"/>
          <w:sz w:val="26"/>
          <w:szCs w:val="26"/>
        </w:rPr>
        <w:t>§§</w:t>
      </w:r>
      <w:r w:rsidR="00110975">
        <w:rPr>
          <w:color w:val="000000"/>
          <w:sz w:val="26"/>
          <w:szCs w:val="26"/>
        </w:rPr>
        <w:t xml:space="preserve"> 102, 2803. </w:t>
      </w:r>
      <w:r w:rsidR="00DA39AF">
        <w:rPr>
          <w:color w:val="000000"/>
          <w:sz w:val="26"/>
          <w:szCs w:val="26"/>
        </w:rPr>
        <w:t xml:space="preserve"> </w:t>
      </w:r>
      <w:r w:rsidR="00924254" w:rsidRPr="00C20F64">
        <w:rPr>
          <w:color w:val="000000"/>
          <w:sz w:val="26"/>
          <w:szCs w:val="26"/>
        </w:rPr>
        <w:t>General Instruction No. 7 of the NARUC</w:t>
      </w:r>
      <w:r w:rsidR="00924254">
        <w:rPr>
          <w:color w:val="000000"/>
          <w:sz w:val="26"/>
          <w:szCs w:val="26"/>
        </w:rPr>
        <w:t xml:space="preserve"> </w:t>
      </w:r>
      <w:r w:rsidR="00924254" w:rsidRPr="00C20F64">
        <w:rPr>
          <w:color w:val="000000"/>
          <w:sz w:val="26"/>
          <w:szCs w:val="26"/>
        </w:rPr>
        <w:t>System of Accounts permits, upon Commission approval, the debiting of extraordinary items in</w:t>
      </w:r>
      <w:r w:rsidR="00924254">
        <w:rPr>
          <w:color w:val="000000"/>
          <w:sz w:val="26"/>
          <w:szCs w:val="26"/>
        </w:rPr>
        <w:t xml:space="preserve"> a</w:t>
      </w:r>
      <w:r w:rsidR="00924254" w:rsidRPr="00C20F64">
        <w:rPr>
          <w:color w:val="000000"/>
          <w:sz w:val="26"/>
          <w:szCs w:val="26"/>
        </w:rPr>
        <w:t>ccount No. 434 if they relate to the effects of events and transactions that are not typical or</w:t>
      </w:r>
      <w:r w:rsidR="00924254">
        <w:rPr>
          <w:color w:val="000000"/>
          <w:sz w:val="26"/>
          <w:szCs w:val="26"/>
        </w:rPr>
        <w:t xml:space="preserve"> customary business activities of a company.</w:t>
      </w:r>
      <w:r w:rsidR="00476D6B">
        <w:rPr>
          <w:color w:val="000000"/>
          <w:sz w:val="26"/>
          <w:szCs w:val="26"/>
        </w:rPr>
        <w:t xml:space="preserve">  </w:t>
      </w:r>
      <w:r w:rsidR="00924254" w:rsidRPr="00C20F64">
        <w:rPr>
          <w:color w:val="000000"/>
          <w:sz w:val="26"/>
          <w:szCs w:val="26"/>
        </w:rPr>
        <w:t>The e</w:t>
      </w:r>
      <w:r>
        <w:rPr>
          <w:color w:val="000000"/>
          <w:sz w:val="26"/>
          <w:szCs w:val="26"/>
        </w:rPr>
        <w:t>xpenses incurred by PPL</w:t>
      </w:r>
      <w:r w:rsidR="00924254" w:rsidRPr="00C20F64">
        <w:rPr>
          <w:color w:val="000000"/>
          <w:sz w:val="26"/>
          <w:szCs w:val="26"/>
        </w:rPr>
        <w:t xml:space="preserve"> as a result</w:t>
      </w:r>
      <w:r w:rsidR="00924254">
        <w:rPr>
          <w:color w:val="000000"/>
          <w:sz w:val="26"/>
          <w:szCs w:val="26"/>
        </w:rPr>
        <w:t xml:space="preserve"> </w:t>
      </w:r>
      <w:r>
        <w:rPr>
          <w:color w:val="000000"/>
          <w:sz w:val="26"/>
          <w:szCs w:val="26"/>
        </w:rPr>
        <w:t>of Hurricane Sandy</w:t>
      </w:r>
      <w:r w:rsidR="00924254" w:rsidRPr="00C20F64">
        <w:rPr>
          <w:color w:val="000000"/>
          <w:sz w:val="26"/>
          <w:szCs w:val="26"/>
        </w:rPr>
        <w:t xml:space="preserve"> clearly fall within this category.</w:t>
      </w:r>
    </w:p>
    <w:p w:rsidR="00D607F8" w:rsidRDefault="00D607F8" w:rsidP="00DA39AF">
      <w:pPr>
        <w:pStyle w:val="p3"/>
        <w:tabs>
          <w:tab w:val="clear" w:pos="204"/>
        </w:tabs>
        <w:spacing w:line="360" w:lineRule="auto"/>
        <w:ind w:firstLine="1440"/>
        <w:rPr>
          <w:sz w:val="26"/>
          <w:szCs w:val="26"/>
        </w:rPr>
      </w:pPr>
    </w:p>
    <w:p w:rsidR="0029405C" w:rsidRDefault="00C14305" w:rsidP="00DA39AF">
      <w:pPr>
        <w:pStyle w:val="p3"/>
        <w:tabs>
          <w:tab w:val="clear" w:pos="204"/>
        </w:tabs>
        <w:spacing w:line="360" w:lineRule="auto"/>
        <w:ind w:firstLine="1440"/>
        <w:rPr>
          <w:color w:val="000000"/>
          <w:sz w:val="26"/>
          <w:szCs w:val="26"/>
        </w:rPr>
      </w:pPr>
      <w:r>
        <w:rPr>
          <w:color w:val="000000"/>
          <w:sz w:val="26"/>
          <w:szCs w:val="26"/>
        </w:rPr>
        <w:t xml:space="preserve">Hurricane Sandy struck Pennsylvania from the morning of October 29 to late October 30.  PPL’s service territory experienced heavy rainfall and high winds, with gusts over 80 mph.  Most of PPL’s service territory experienced at least 2 inches of rain, while some areas received up to 5 inches.  Restoration was hampered for many days by the prolonged windy conditions.  Many of the Company’s distribution facilities were badly damaged, with service interrupted </w:t>
      </w:r>
      <w:r w:rsidR="0029405C">
        <w:rPr>
          <w:color w:val="000000"/>
          <w:sz w:val="26"/>
          <w:szCs w:val="26"/>
        </w:rPr>
        <w:t>to 523,936 customers.  PPL was r</w:t>
      </w:r>
      <w:r w:rsidR="00110975">
        <w:rPr>
          <w:color w:val="000000"/>
          <w:sz w:val="26"/>
          <w:szCs w:val="26"/>
        </w:rPr>
        <w:t>equired to replace 619 poles</w:t>
      </w:r>
      <w:r w:rsidR="00C132FD">
        <w:rPr>
          <w:color w:val="000000"/>
          <w:sz w:val="26"/>
          <w:szCs w:val="26"/>
        </w:rPr>
        <w:t xml:space="preserve"> and </w:t>
      </w:r>
      <w:r w:rsidR="0029405C">
        <w:rPr>
          <w:color w:val="000000"/>
          <w:sz w:val="26"/>
          <w:szCs w:val="26"/>
        </w:rPr>
        <w:t>1,494 cross arms</w:t>
      </w:r>
      <w:r w:rsidR="00C132FD">
        <w:rPr>
          <w:color w:val="000000"/>
          <w:sz w:val="26"/>
          <w:szCs w:val="26"/>
        </w:rPr>
        <w:t xml:space="preserve">.  </w:t>
      </w:r>
      <w:r w:rsidR="00110975">
        <w:rPr>
          <w:color w:val="000000"/>
          <w:sz w:val="26"/>
          <w:szCs w:val="26"/>
        </w:rPr>
        <w:t>Seventy-six miles of wire required repair or replacement as a result of the storm.</w:t>
      </w:r>
      <w:r w:rsidR="0029405C">
        <w:rPr>
          <w:color w:val="000000"/>
          <w:sz w:val="26"/>
          <w:szCs w:val="26"/>
        </w:rPr>
        <w:t xml:space="preserve">  Hurricane Sandy was the most damaging storm in PPL’s service territory since records have been kept.</w:t>
      </w:r>
    </w:p>
    <w:p w:rsidR="00D87056" w:rsidRDefault="000A1F94" w:rsidP="000A1F94">
      <w:pPr>
        <w:pStyle w:val="p3"/>
        <w:tabs>
          <w:tab w:val="clear" w:pos="204"/>
        </w:tabs>
        <w:spacing w:line="360" w:lineRule="auto"/>
        <w:rPr>
          <w:color w:val="000000"/>
          <w:sz w:val="26"/>
          <w:szCs w:val="26"/>
        </w:rPr>
      </w:pPr>
      <w:r>
        <w:rPr>
          <w:color w:val="000000"/>
          <w:sz w:val="26"/>
          <w:szCs w:val="26"/>
        </w:rPr>
        <w:lastRenderedPageBreak/>
        <w:t xml:space="preserve">                     </w:t>
      </w:r>
      <w:r w:rsidR="0029405C">
        <w:rPr>
          <w:color w:val="000000"/>
          <w:sz w:val="26"/>
          <w:szCs w:val="26"/>
        </w:rPr>
        <w:t xml:space="preserve">PPL anticipates that the total expenses incurred will exceed $60 million </w:t>
      </w:r>
      <w:r w:rsidR="00C132FD">
        <w:rPr>
          <w:color w:val="000000"/>
          <w:sz w:val="26"/>
          <w:szCs w:val="26"/>
        </w:rPr>
        <w:t xml:space="preserve">dollars.  From this total cost, </w:t>
      </w:r>
      <w:r w:rsidR="0029405C">
        <w:rPr>
          <w:color w:val="000000"/>
          <w:sz w:val="26"/>
          <w:szCs w:val="26"/>
        </w:rPr>
        <w:t>PPL has excluded transmission related expe</w:t>
      </w:r>
      <w:r>
        <w:rPr>
          <w:color w:val="000000"/>
          <w:sz w:val="26"/>
          <w:szCs w:val="26"/>
        </w:rPr>
        <w:t>nses,</w:t>
      </w:r>
      <w:r w:rsidR="0029405C">
        <w:rPr>
          <w:color w:val="000000"/>
          <w:sz w:val="26"/>
          <w:szCs w:val="26"/>
        </w:rPr>
        <w:t xml:space="preserve"> straight time wages and capital costs from the amount included in this Petition.</w:t>
      </w:r>
      <w:r>
        <w:rPr>
          <w:color w:val="000000"/>
          <w:sz w:val="26"/>
          <w:szCs w:val="26"/>
        </w:rPr>
        <w:t xml:space="preserve">  After th</w:t>
      </w:r>
      <w:r w:rsidR="00B35183">
        <w:rPr>
          <w:color w:val="000000"/>
          <w:sz w:val="26"/>
          <w:szCs w:val="26"/>
        </w:rPr>
        <w:t>e</w:t>
      </w:r>
      <w:r>
        <w:rPr>
          <w:color w:val="000000"/>
          <w:sz w:val="26"/>
          <w:szCs w:val="26"/>
        </w:rPr>
        <w:t xml:space="preserve"> e</w:t>
      </w:r>
      <w:r w:rsidR="00B35183">
        <w:rPr>
          <w:color w:val="000000"/>
          <w:sz w:val="26"/>
          <w:szCs w:val="26"/>
        </w:rPr>
        <w:t>xclusion of</w:t>
      </w:r>
      <w:r>
        <w:rPr>
          <w:color w:val="000000"/>
          <w:sz w:val="26"/>
          <w:szCs w:val="26"/>
        </w:rPr>
        <w:t xml:space="preserve"> these expenses,</w:t>
      </w:r>
      <w:r w:rsidR="00B35183">
        <w:rPr>
          <w:color w:val="000000"/>
          <w:sz w:val="26"/>
          <w:szCs w:val="26"/>
        </w:rPr>
        <w:t xml:space="preserve"> and the portion covered by PPL’s storm insurance, PPL estimates that it has experienced approximately $20 to $30 million dollars in net distribution related storm damage expenses.</w:t>
      </w:r>
    </w:p>
    <w:p w:rsidR="00776732" w:rsidRPr="00C20F64" w:rsidRDefault="00776732" w:rsidP="00DA39AF">
      <w:pPr>
        <w:spacing w:line="360" w:lineRule="auto"/>
        <w:ind w:firstLine="1440"/>
        <w:rPr>
          <w:color w:val="000000"/>
          <w:sz w:val="26"/>
          <w:szCs w:val="26"/>
        </w:rPr>
      </w:pPr>
    </w:p>
    <w:p w:rsidR="00284B26" w:rsidRDefault="000A1F94" w:rsidP="000A1F94">
      <w:pPr>
        <w:spacing w:line="360" w:lineRule="auto"/>
        <w:rPr>
          <w:color w:val="000000"/>
          <w:sz w:val="26"/>
          <w:szCs w:val="26"/>
        </w:rPr>
      </w:pPr>
      <w:r>
        <w:rPr>
          <w:color w:val="000000"/>
          <w:sz w:val="26"/>
          <w:szCs w:val="26"/>
        </w:rPr>
        <w:t xml:space="preserve">                     </w:t>
      </w:r>
      <w:r w:rsidR="00D607F8">
        <w:rPr>
          <w:color w:val="000000"/>
          <w:sz w:val="26"/>
          <w:szCs w:val="26"/>
        </w:rPr>
        <w:t xml:space="preserve">The Commission has approved </w:t>
      </w:r>
      <w:r w:rsidR="00B8745C">
        <w:rPr>
          <w:color w:val="000000"/>
          <w:sz w:val="26"/>
          <w:szCs w:val="26"/>
        </w:rPr>
        <w:t xml:space="preserve">prior </w:t>
      </w:r>
      <w:r w:rsidR="00D607F8">
        <w:rPr>
          <w:color w:val="000000"/>
          <w:sz w:val="26"/>
          <w:szCs w:val="26"/>
        </w:rPr>
        <w:t xml:space="preserve">petitions seeking approval of deferred accounting treatment for extraordinary expenses, including storm related expenses.  </w:t>
      </w:r>
      <w:r w:rsidR="00D607F8" w:rsidRPr="00210680">
        <w:rPr>
          <w:i/>
          <w:color w:val="000000"/>
          <w:sz w:val="26"/>
          <w:szCs w:val="26"/>
        </w:rPr>
        <w:t>See e.g. Petition of PPL Electric Utilities Corporation for Authorization to Defer, for Accounting Purposes, Certain Unanticipated Expenses Relating to S</w:t>
      </w:r>
      <w:r w:rsidR="00210680" w:rsidRPr="00210680">
        <w:rPr>
          <w:i/>
          <w:color w:val="000000"/>
          <w:sz w:val="26"/>
          <w:szCs w:val="26"/>
        </w:rPr>
        <w:t>t</w:t>
      </w:r>
      <w:r w:rsidR="00D607F8" w:rsidRPr="00210680">
        <w:rPr>
          <w:i/>
          <w:color w:val="000000"/>
          <w:sz w:val="26"/>
          <w:szCs w:val="26"/>
        </w:rPr>
        <w:t>orm Dam</w:t>
      </w:r>
      <w:r w:rsidR="00210680">
        <w:rPr>
          <w:i/>
          <w:color w:val="000000"/>
          <w:sz w:val="26"/>
          <w:szCs w:val="26"/>
        </w:rPr>
        <w:t xml:space="preserve">age, </w:t>
      </w:r>
      <w:r w:rsidR="00210680">
        <w:rPr>
          <w:color w:val="000000"/>
          <w:sz w:val="26"/>
          <w:szCs w:val="26"/>
        </w:rPr>
        <w:t>Docket No. P-2011-2270396 (Opinion and Order Entered December 15, 2011).</w:t>
      </w:r>
    </w:p>
    <w:p w:rsidR="00B11F12" w:rsidRDefault="00173459" w:rsidP="00DA39AF">
      <w:pPr>
        <w:spacing w:line="360" w:lineRule="auto"/>
        <w:ind w:firstLine="1440"/>
        <w:rPr>
          <w:color w:val="000000"/>
          <w:sz w:val="26"/>
          <w:szCs w:val="26"/>
        </w:rPr>
      </w:pPr>
      <w:r>
        <w:rPr>
          <w:color w:val="000000"/>
          <w:sz w:val="26"/>
          <w:szCs w:val="26"/>
        </w:rPr>
        <w:t xml:space="preserve"> </w:t>
      </w:r>
    </w:p>
    <w:p w:rsidR="00210680" w:rsidRDefault="00B35183" w:rsidP="00DA39AF">
      <w:pPr>
        <w:spacing w:line="360" w:lineRule="auto"/>
        <w:ind w:firstLine="1440"/>
        <w:rPr>
          <w:color w:val="000000"/>
          <w:sz w:val="26"/>
          <w:szCs w:val="26"/>
        </w:rPr>
      </w:pPr>
      <w:r>
        <w:rPr>
          <w:color w:val="000000"/>
          <w:sz w:val="26"/>
          <w:szCs w:val="26"/>
        </w:rPr>
        <w:t>PPL</w:t>
      </w:r>
      <w:r w:rsidR="00B11F12">
        <w:rPr>
          <w:color w:val="000000"/>
          <w:sz w:val="26"/>
          <w:szCs w:val="26"/>
        </w:rPr>
        <w:t xml:space="preserve"> requests that regardless of the amortization schedule, it be authorized to see</w:t>
      </w:r>
      <w:r>
        <w:rPr>
          <w:color w:val="000000"/>
          <w:sz w:val="26"/>
          <w:szCs w:val="26"/>
        </w:rPr>
        <w:t>k recovery of all deferred Sandy</w:t>
      </w:r>
      <w:r w:rsidR="00B11F12">
        <w:rPr>
          <w:color w:val="000000"/>
          <w:sz w:val="26"/>
          <w:szCs w:val="26"/>
        </w:rPr>
        <w:t xml:space="preserve">-related expenses including that portion which may have been already </w:t>
      </w:r>
      <w:r w:rsidR="00C266DE">
        <w:rPr>
          <w:color w:val="000000"/>
          <w:sz w:val="26"/>
          <w:szCs w:val="26"/>
        </w:rPr>
        <w:t xml:space="preserve">amortized when it files.  These expenses include actual costs </w:t>
      </w:r>
      <w:r w:rsidR="00B8745C">
        <w:rPr>
          <w:color w:val="000000"/>
          <w:sz w:val="26"/>
          <w:szCs w:val="26"/>
        </w:rPr>
        <w:t xml:space="preserve">‒ </w:t>
      </w:r>
      <w:r w:rsidR="00C266DE">
        <w:rPr>
          <w:color w:val="000000"/>
          <w:sz w:val="26"/>
          <w:szCs w:val="26"/>
        </w:rPr>
        <w:t>excluding capital costs, insurance recovery, and s</w:t>
      </w:r>
      <w:r w:rsidR="00B8745C">
        <w:rPr>
          <w:color w:val="000000"/>
          <w:sz w:val="26"/>
          <w:szCs w:val="26"/>
        </w:rPr>
        <w:t>traight time wages and benefits</w:t>
      </w:r>
      <w:r w:rsidR="00C266DE">
        <w:rPr>
          <w:color w:val="000000"/>
          <w:sz w:val="26"/>
          <w:szCs w:val="26"/>
        </w:rPr>
        <w:t>.</w:t>
      </w:r>
      <w:r w:rsidR="00B8745C">
        <w:rPr>
          <w:color w:val="000000"/>
          <w:sz w:val="26"/>
          <w:szCs w:val="26"/>
        </w:rPr>
        <w:t xml:space="preserve">  </w:t>
      </w:r>
      <w:r w:rsidR="00173459">
        <w:rPr>
          <w:color w:val="000000"/>
          <w:sz w:val="26"/>
          <w:szCs w:val="26"/>
        </w:rPr>
        <w:t>The issue</w:t>
      </w:r>
      <w:r w:rsidR="008F2E81">
        <w:rPr>
          <w:color w:val="000000"/>
          <w:sz w:val="26"/>
          <w:szCs w:val="26"/>
        </w:rPr>
        <w:t xml:space="preserve"> for co</w:t>
      </w:r>
      <w:r w:rsidR="00B11F12">
        <w:rPr>
          <w:color w:val="000000"/>
          <w:sz w:val="26"/>
          <w:szCs w:val="26"/>
        </w:rPr>
        <w:t>n</w:t>
      </w:r>
      <w:r w:rsidR="008F2E81">
        <w:rPr>
          <w:color w:val="000000"/>
          <w:sz w:val="26"/>
          <w:szCs w:val="26"/>
        </w:rPr>
        <w:t>sideration</w:t>
      </w:r>
      <w:r w:rsidR="00173459">
        <w:rPr>
          <w:color w:val="000000"/>
          <w:sz w:val="26"/>
          <w:szCs w:val="26"/>
        </w:rPr>
        <w:t xml:space="preserve"> before the Co</w:t>
      </w:r>
      <w:r>
        <w:rPr>
          <w:color w:val="000000"/>
          <w:sz w:val="26"/>
          <w:szCs w:val="26"/>
        </w:rPr>
        <w:t>mmission is whether PPL</w:t>
      </w:r>
      <w:r w:rsidR="00173459">
        <w:rPr>
          <w:color w:val="000000"/>
          <w:sz w:val="26"/>
          <w:szCs w:val="26"/>
        </w:rPr>
        <w:t xml:space="preserve"> should be authorized to defer certain unanticipated expenses associated with storm damage.  The ratemaking treatment of these expenses, if any, shall be addressed in a future ratemaking proceeding.</w:t>
      </w:r>
    </w:p>
    <w:p w:rsidR="00173459" w:rsidRDefault="00173459" w:rsidP="00DA39AF">
      <w:pPr>
        <w:spacing w:line="360" w:lineRule="auto"/>
        <w:ind w:firstLine="1440"/>
        <w:rPr>
          <w:color w:val="000000"/>
          <w:sz w:val="26"/>
          <w:szCs w:val="26"/>
        </w:rPr>
      </w:pPr>
    </w:p>
    <w:p w:rsidR="00240AAA" w:rsidRDefault="00D376F5" w:rsidP="00DA39AF">
      <w:pPr>
        <w:spacing w:line="360" w:lineRule="auto"/>
        <w:ind w:firstLine="1440"/>
        <w:rPr>
          <w:color w:val="000000"/>
          <w:sz w:val="26"/>
          <w:szCs w:val="26"/>
        </w:rPr>
      </w:pPr>
      <w:r>
        <w:rPr>
          <w:color w:val="000000"/>
          <w:sz w:val="26"/>
          <w:szCs w:val="26"/>
        </w:rPr>
        <w:t>The issue as to whether the expenses are extraordinary and whether the expenses were reasonably and prudently incurred is not resolved in a Deferral Petition as no record is developed</w:t>
      </w:r>
      <w:r w:rsidR="00240AAA">
        <w:rPr>
          <w:color w:val="000000"/>
          <w:sz w:val="26"/>
          <w:szCs w:val="26"/>
        </w:rPr>
        <w:t>.  Rather, the standard which a utility must meet when seeking Commission authorization for deferral accounting is whether, based on Commission precedent, the expense item appears to be within the scope of the type of items that the Commission has allowed as an exception to the general rule against retroactive recovery of past expenses.</w:t>
      </w:r>
    </w:p>
    <w:p w:rsidR="00944205" w:rsidRDefault="00944205" w:rsidP="00DA39AF">
      <w:pPr>
        <w:spacing w:line="360" w:lineRule="auto"/>
        <w:ind w:firstLine="1440"/>
        <w:rPr>
          <w:color w:val="000000"/>
          <w:sz w:val="26"/>
          <w:szCs w:val="26"/>
        </w:rPr>
      </w:pPr>
    </w:p>
    <w:p w:rsidR="00944205" w:rsidRDefault="00944205" w:rsidP="00944205">
      <w:pPr>
        <w:spacing w:line="360" w:lineRule="auto"/>
        <w:ind w:firstLine="1440"/>
        <w:rPr>
          <w:color w:val="000000"/>
          <w:sz w:val="26"/>
          <w:szCs w:val="26"/>
        </w:rPr>
      </w:pPr>
      <w:r>
        <w:rPr>
          <w:color w:val="000000"/>
          <w:sz w:val="26"/>
          <w:szCs w:val="26"/>
        </w:rPr>
        <w:lastRenderedPageBreak/>
        <w:t xml:space="preserve">Approval of this petition is not a directive that PPL </w:t>
      </w:r>
      <w:proofErr w:type="gramStart"/>
      <w:r>
        <w:rPr>
          <w:color w:val="000000"/>
          <w:sz w:val="26"/>
          <w:szCs w:val="26"/>
        </w:rPr>
        <w:t>must defer</w:t>
      </w:r>
      <w:proofErr w:type="gramEnd"/>
      <w:r>
        <w:rPr>
          <w:color w:val="000000"/>
          <w:sz w:val="26"/>
          <w:szCs w:val="26"/>
        </w:rPr>
        <w:t xml:space="preserve"> these expenses, nor is it making any determination as to the veracity of the PPL’s claim or the appropriate treatment for the recovery of any allowable costs in a future period.  This Order only grants authorization for PPL to defer certain expenses for accounting purposes.</w:t>
      </w:r>
    </w:p>
    <w:p w:rsidR="00944205" w:rsidRDefault="00944205" w:rsidP="00944205">
      <w:pPr>
        <w:spacing w:line="360" w:lineRule="auto"/>
        <w:ind w:firstLine="1440"/>
        <w:rPr>
          <w:color w:val="000000"/>
          <w:sz w:val="26"/>
          <w:szCs w:val="26"/>
        </w:rPr>
      </w:pPr>
    </w:p>
    <w:p w:rsidR="00C266DE" w:rsidRPr="00FD34F5" w:rsidRDefault="00C916DF" w:rsidP="00DA39AF">
      <w:pPr>
        <w:pStyle w:val="p3"/>
        <w:tabs>
          <w:tab w:val="clear" w:pos="204"/>
        </w:tabs>
        <w:spacing w:line="360" w:lineRule="auto"/>
        <w:ind w:firstLine="1440"/>
        <w:rPr>
          <w:sz w:val="26"/>
          <w:szCs w:val="26"/>
        </w:rPr>
      </w:pPr>
      <w:r>
        <w:rPr>
          <w:color w:val="000000"/>
          <w:sz w:val="26"/>
          <w:szCs w:val="26"/>
        </w:rPr>
        <w:t>We find that PPL</w:t>
      </w:r>
      <w:r w:rsidR="00240AAA">
        <w:rPr>
          <w:color w:val="000000"/>
          <w:sz w:val="26"/>
          <w:szCs w:val="26"/>
        </w:rPr>
        <w:t xml:space="preserve"> has established a </w:t>
      </w:r>
      <w:r w:rsidR="00240AAA" w:rsidRPr="00240AAA">
        <w:rPr>
          <w:i/>
          <w:color w:val="000000"/>
          <w:sz w:val="26"/>
          <w:szCs w:val="26"/>
        </w:rPr>
        <w:t>prima facie</w:t>
      </w:r>
      <w:r w:rsidR="00240AAA">
        <w:rPr>
          <w:color w:val="000000"/>
          <w:sz w:val="26"/>
          <w:szCs w:val="26"/>
        </w:rPr>
        <w:t xml:space="preserve"> case pursuant to the above standard</w:t>
      </w:r>
      <w:r w:rsidR="00FB0EE1">
        <w:rPr>
          <w:color w:val="000000"/>
          <w:sz w:val="26"/>
          <w:szCs w:val="26"/>
        </w:rPr>
        <w:t>.  However, we are not making any factual findings in this Order.  A petition seeking authorization for deferral accounting is not intended to create a factual record.  As such, this determination will be of no weight in such future proceeding.  The burden of</w:t>
      </w:r>
      <w:r w:rsidR="00A333F9">
        <w:rPr>
          <w:color w:val="000000"/>
          <w:sz w:val="26"/>
          <w:szCs w:val="26"/>
        </w:rPr>
        <w:t xml:space="preserve"> proof remains with PPL</w:t>
      </w:r>
      <w:r w:rsidR="00FB0EE1">
        <w:rPr>
          <w:color w:val="000000"/>
          <w:sz w:val="26"/>
          <w:szCs w:val="26"/>
        </w:rPr>
        <w:t xml:space="preserve"> pursuant to 66 Pa. C.S. § 315(</w:t>
      </w:r>
      <w:r w:rsidR="00A333F9">
        <w:rPr>
          <w:color w:val="000000"/>
          <w:sz w:val="26"/>
          <w:szCs w:val="26"/>
        </w:rPr>
        <w:t>a).  While we grant PPL</w:t>
      </w:r>
      <w:r w:rsidR="00FB0EE1">
        <w:rPr>
          <w:color w:val="000000"/>
          <w:sz w:val="26"/>
          <w:szCs w:val="26"/>
        </w:rPr>
        <w:t>’s petition subject to the conditions discussed he</w:t>
      </w:r>
      <w:r w:rsidR="00A333F9">
        <w:rPr>
          <w:color w:val="000000"/>
          <w:sz w:val="26"/>
          <w:szCs w:val="26"/>
        </w:rPr>
        <w:t>rein, we will direct PPL</w:t>
      </w:r>
      <w:r w:rsidR="00FB0EE1">
        <w:rPr>
          <w:color w:val="000000"/>
          <w:sz w:val="26"/>
          <w:szCs w:val="26"/>
        </w:rPr>
        <w:t xml:space="preserve"> to immediately begin expensing the deferred amounts in a reasonable amortization schedule; </w:t>
      </w:r>
      <w:r w:rsidR="00C266DE" w:rsidRPr="00C0451E">
        <w:rPr>
          <w:b/>
          <w:sz w:val="26"/>
          <w:szCs w:val="26"/>
        </w:rPr>
        <w:t>THEREFORE,</w:t>
      </w:r>
    </w:p>
    <w:p w:rsidR="00C266DE" w:rsidRPr="00C0451E" w:rsidRDefault="00C266DE" w:rsidP="00C266DE">
      <w:pPr>
        <w:tabs>
          <w:tab w:val="left" w:pos="742"/>
        </w:tabs>
        <w:spacing w:line="360" w:lineRule="auto"/>
        <w:rPr>
          <w:sz w:val="26"/>
          <w:szCs w:val="26"/>
        </w:rPr>
      </w:pPr>
    </w:p>
    <w:p w:rsidR="00C266DE" w:rsidRDefault="00C266DE" w:rsidP="00C266DE">
      <w:pPr>
        <w:spacing w:line="360" w:lineRule="auto"/>
        <w:rPr>
          <w:b/>
          <w:bCs/>
          <w:sz w:val="26"/>
          <w:szCs w:val="26"/>
        </w:rPr>
      </w:pPr>
      <w:r w:rsidRPr="00C0451E">
        <w:rPr>
          <w:b/>
          <w:bCs/>
          <w:sz w:val="26"/>
          <w:szCs w:val="26"/>
        </w:rPr>
        <w:tab/>
        <w:t>IT IS ORDERED:</w:t>
      </w:r>
    </w:p>
    <w:p w:rsidR="00C266DE" w:rsidRDefault="00C266DE" w:rsidP="00C266DE">
      <w:pPr>
        <w:spacing w:line="360" w:lineRule="auto"/>
        <w:rPr>
          <w:b/>
          <w:bCs/>
          <w:sz w:val="26"/>
          <w:szCs w:val="26"/>
        </w:rPr>
      </w:pPr>
    </w:p>
    <w:p w:rsidR="00C266DE" w:rsidRDefault="00C266DE" w:rsidP="00C266DE">
      <w:pPr>
        <w:spacing w:line="360" w:lineRule="auto"/>
        <w:rPr>
          <w:bCs/>
          <w:sz w:val="26"/>
          <w:szCs w:val="26"/>
        </w:rPr>
      </w:pPr>
      <w:r w:rsidRPr="00FD34F5">
        <w:rPr>
          <w:bCs/>
          <w:sz w:val="26"/>
          <w:szCs w:val="26"/>
        </w:rPr>
        <w:tab/>
        <w:t>1</w:t>
      </w:r>
      <w:r>
        <w:rPr>
          <w:bCs/>
          <w:sz w:val="26"/>
          <w:szCs w:val="26"/>
        </w:rPr>
        <w:t>.</w:t>
      </w:r>
      <w:r>
        <w:rPr>
          <w:bCs/>
          <w:sz w:val="26"/>
          <w:szCs w:val="26"/>
        </w:rPr>
        <w:tab/>
        <w:t xml:space="preserve">That </w:t>
      </w:r>
      <w:r w:rsidR="00C916DF">
        <w:rPr>
          <w:sz w:val="26"/>
          <w:szCs w:val="26"/>
        </w:rPr>
        <w:t>PPL Electric Utilities Corporation</w:t>
      </w:r>
      <w:r>
        <w:rPr>
          <w:bCs/>
          <w:sz w:val="26"/>
          <w:szCs w:val="26"/>
        </w:rPr>
        <w:t>’s Petition for authority to defer for accounting and financial reporting purposes certain expenses from damage caused to its property</w:t>
      </w:r>
      <w:r w:rsidR="00C132FD">
        <w:rPr>
          <w:bCs/>
          <w:sz w:val="26"/>
          <w:szCs w:val="26"/>
        </w:rPr>
        <w:t xml:space="preserve"> by Hurricane Sandy</w:t>
      </w:r>
      <w:r>
        <w:rPr>
          <w:bCs/>
          <w:sz w:val="26"/>
          <w:szCs w:val="26"/>
        </w:rPr>
        <w:t xml:space="preserve">, and to amortize such expenses is granted subject to the following conditions: </w:t>
      </w:r>
    </w:p>
    <w:p w:rsidR="00C266DE" w:rsidRDefault="00C266DE" w:rsidP="00C266DE">
      <w:pPr>
        <w:rPr>
          <w:bCs/>
          <w:sz w:val="26"/>
          <w:szCs w:val="26"/>
        </w:rPr>
      </w:pPr>
    </w:p>
    <w:p w:rsidR="00C266DE" w:rsidRDefault="00C266DE" w:rsidP="00C266DE">
      <w:pPr>
        <w:numPr>
          <w:ilvl w:val="0"/>
          <w:numId w:val="4"/>
        </w:numPr>
        <w:ind w:left="1080"/>
        <w:rPr>
          <w:bCs/>
          <w:sz w:val="26"/>
          <w:szCs w:val="26"/>
        </w:rPr>
      </w:pPr>
      <w:r>
        <w:rPr>
          <w:bCs/>
          <w:sz w:val="26"/>
          <w:szCs w:val="26"/>
        </w:rPr>
        <w:t xml:space="preserve">Authorization for deferred accounting treatment is not an assurance that future rate recovery is probable; </w:t>
      </w:r>
    </w:p>
    <w:p w:rsidR="00C266DE" w:rsidRDefault="00C266DE" w:rsidP="00C266DE">
      <w:pPr>
        <w:ind w:left="360"/>
        <w:rPr>
          <w:bCs/>
          <w:sz w:val="26"/>
          <w:szCs w:val="26"/>
        </w:rPr>
      </w:pPr>
    </w:p>
    <w:p w:rsidR="00C266DE" w:rsidRDefault="00C916DF" w:rsidP="00C266DE">
      <w:pPr>
        <w:numPr>
          <w:ilvl w:val="0"/>
          <w:numId w:val="4"/>
        </w:numPr>
        <w:ind w:left="1080"/>
        <w:rPr>
          <w:bCs/>
          <w:sz w:val="26"/>
          <w:szCs w:val="26"/>
        </w:rPr>
      </w:pPr>
      <w:r>
        <w:rPr>
          <w:bCs/>
          <w:sz w:val="26"/>
          <w:szCs w:val="26"/>
        </w:rPr>
        <w:t xml:space="preserve">PPL </w:t>
      </w:r>
      <w:r w:rsidR="00C266DE">
        <w:rPr>
          <w:bCs/>
          <w:sz w:val="26"/>
          <w:szCs w:val="26"/>
        </w:rPr>
        <w:t xml:space="preserve">shall claim the deferred expenses at its first available opportunity; </w:t>
      </w:r>
    </w:p>
    <w:p w:rsidR="00C266DE" w:rsidRDefault="00C266DE" w:rsidP="00C266DE">
      <w:pPr>
        <w:ind w:left="360"/>
        <w:rPr>
          <w:bCs/>
          <w:sz w:val="26"/>
          <w:szCs w:val="26"/>
        </w:rPr>
      </w:pPr>
    </w:p>
    <w:p w:rsidR="00C266DE" w:rsidRDefault="00C266DE" w:rsidP="00C266DE">
      <w:pPr>
        <w:numPr>
          <w:ilvl w:val="0"/>
          <w:numId w:val="4"/>
        </w:numPr>
        <w:ind w:left="1080"/>
        <w:rPr>
          <w:bCs/>
          <w:sz w:val="26"/>
          <w:szCs w:val="26"/>
        </w:rPr>
      </w:pPr>
      <w:r>
        <w:rPr>
          <w:bCs/>
          <w:sz w:val="26"/>
          <w:szCs w:val="26"/>
        </w:rPr>
        <w:t>Up</w:t>
      </w:r>
      <w:r w:rsidR="00C916DF">
        <w:rPr>
          <w:bCs/>
          <w:sz w:val="26"/>
          <w:szCs w:val="26"/>
        </w:rPr>
        <w:t xml:space="preserve">on entry of this Order, PPL </w:t>
      </w:r>
      <w:r>
        <w:rPr>
          <w:bCs/>
          <w:sz w:val="26"/>
          <w:szCs w:val="26"/>
        </w:rPr>
        <w:t xml:space="preserve">shall begin expensing the deferred amounts on a reasonable amortization schedule; </w:t>
      </w:r>
    </w:p>
    <w:p w:rsidR="00C266DE" w:rsidRDefault="00C266DE" w:rsidP="00C266DE">
      <w:pPr>
        <w:ind w:left="360"/>
        <w:rPr>
          <w:bCs/>
          <w:sz w:val="26"/>
          <w:szCs w:val="26"/>
        </w:rPr>
      </w:pPr>
    </w:p>
    <w:p w:rsidR="00C266DE" w:rsidRDefault="00C266DE" w:rsidP="00C266DE">
      <w:pPr>
        <w:numPr>
          <w:ilvl w:val="0"/>
          <w:numId w:val="4"/>
        </w:numPr>
        <w:ind w:left="1080"/>
        <w:rPr>
          <w:bCs/>
          <w:sz w:val="26"/>
          <w:szCs w:val="26"/>
        </w:rPr>
      </w:pPr>
      <w:r>
        <w:rPr>
          <w:bCs/>
          <w:sz w:val="26"/>
          <w:szCs w:val="26"/>
        </w:rPr>
        <w:t>This Orde</w:t>
      </w:r>
      <w:r w:rsidR="00C916DF">
        <w:rPr>
          <w:bCs/>
          <w:sz w:val="26"/>
          <w:szCs w:val="26"/>
        </w:rPr>
        <w:t>r does not preclude PPL</w:t>
      </w:r>
      <w:r>
        <w:rPr>
          <w:bCs/>
          <w:sz w:val="26"/>
          <w:szCs w:val="26"/>
        </w:rPr>
        <w:t xml:space="preserve"> from seeking recovery of the total amount of its deferred expenses; and </w:t>
      </w:r>
    </w:p>
    <w:p w:rsidR="00C266DE" w:rsidRDefault="00C266DE" w:rsidP="00C266DE">
      <w:pPr>
        <w:ind w:left="360"/>
        <w:rPr>
          <w:bCs/>
          <w:sz w:val="26"/>
          <w:szCs w:val="26"/>
        </w:rPr>
      </w:pPr>
    </w:p>
    <w:p w:rsidR="00C266DE" w:rsidRDefault="00C266DE" w:rsidP="00C266DE">
      <w:pPr>
        <w:numPr>
          <w:ilvl w:val="0"/>
          <w:numId w:val="4"/>
        </w:numPr>
        <w:ind w:left="1080"/>
        <w:rPr>
          <w:bCs/>
          <w:sz w:val="26"/>
          <w:szCs w:val="26"/>
        </w:rPr>
      </w:pPr>
      <w:r>
        <w:rPr>
          <w:bCs/>
          <w:sz w:val="26"/>
          <w:szCs w:val="26"/>
        </w:rPr>
        <w:t>This authoriz</w:t>
      </w:r>
      <w:r w:rsidR="00C916DF">
        <w:rPr>
          <w:bCs/>
          <w:sz w:val="26"/>
          <w:szCs w:val="26"/>
        </w:rPr>
        <w:t>ation is limited to PPL</w:t>
      </w:r>
      <w:r>
        <w:rPr>
          <w:bCs/>
          <w:sz w:val="26"/>
          <w:szCs w:val="26"/>
        </w:rPr>
        <w:t xml:space="preserve">’s actual operations and </w:t>
      </w:r>
      <w:proofErr w:type="gramStart"/>
      <w:r>
        <w:rPr>
          <w:bCs/>
          <w:sz w:val="26"/>
          <w:szCs w:val="26"/>
        </w:rPr>
        <w:t>maintenance costs for the damage caused by the storm, less insurance recovery, if any, and does</w:t>
      </w:r>
      <w:proofErr w:type="gramEnd"/>
      <w:r>
        <w:rPr>
          <w:bCs/>
          <w:sz w:val="26"/>
          <w:szCs w:val="26"/>
        </w:rPr>
        <w:t xml:space="preserve"> not extend to straight time and capitalized costs. </w:t>
      </w:r>
    </w:p>
    <w:p w:rsidR="00C266DE" w:rsidRDefault="00C266DE" w:rsidP="00C266DE">
      <w:pPr>
        <w:spacing w:line="360" w:lineRule="auto"/>
        <w:rPr>
          <w:bCs/>
          <w:sz w:val="26"/>
          <w:szCs w:val="26"/>
        </w:rPr>
      </w:pPr>
    </w:p>
    <w:p w:rsidR="00C266DE" w:rsidRDefault="00857376" w:rsidP="00C266DE">
      <w:pPr>
        <w:spacing w:line="360" w:lineRule="auto"/>
        <w:rPr>
          <w:bCs/>
          <w:sz w:val="26"/>
          <w:szCs w:val="26"/>
        </w:rPr>
      </w:pPr>
      <w:r>
        <w:rPr>
          <w:bCs/>
          <w:sz w:val="26"/>
          <w:szCs w:val="26"/>
        </w:rPr>
        <w:tab/>
        <w:t>2.</w:t>
      </w:r>
      <w:r w:rsidR="004B34D3">
        <w:rPr>
          <w:bCs/>
          <w:sz w:val="26"/>
          <w:szCs w:val="26"/>
        </w:rPr>
        <w:tab/>
      </w:r>
      <w:r w:rsidR="00C266DE">
        <w:rPr>
          <w:bCs/>
          <w:sz w:val="26"/>
          <w:szCs w:val="26"/>
        </w:rPr>
        <w:t xml:space="preserve">That nothing in this opinion and order limits the ability of any party to a future rate case to seek or oppose rate recovery of all or any part of the costs deferred pursuant to this authorization.  </w:t>
      </w:r>
    </w:p>
    <w:p w:rsidR="00284B26" w:rsidRDefault="00284B26" w:rsidP="00C266DE">
      <w:pPr>
        <w:spacing w:line="360" w:lineRule="auto"/>
        <w:rPr>
          <w:bCs/>
          <w:sz w:val="26"/>
          <w:szCs w:val="26"/>
        </w:rPr>
      </w:pPr>
    </w:p>
    <w:p w:rsidR="00284B26" w:rsidRDefault="00284B26" w:rsidP="00C266DE">
      <w:pPr>
        <w:spacing w:line="360" w:lineRule="auto"/>
        <w:rPr>
          <w:bCs/>
          <w:sz w:val="26"/>
          <w:szCs w:val="26"/>
        </w:rPr>
      </w:pPr>
      <w:r>
        <w:rPr>
          <w:bCs/>
          <w:sz w:val="26"/>
          <w:szCs w:val="26"/>
        </w:rPr>
        <w:tab/>
        <w:t>3.</w:t>
      </w:r>
      <w:r w:rsidR="004B34D3">
        <w:rPr>
          <w:bCs/>
          <w:sz w:val="26"/>
          <w:szCs w:val="26"/>
        </w:rPr>
        <w:tab/>
      </w:r>
      <w:r w:rsidR="00C266DE">
        <w:rPr>
          <w:bCs/>
          <w:sz w:val="26"/>
          <w:szCs w:val="26"/>
        </w:rPr>
        <w:t xml:space="preserve">That a copy of this order be served upon </w:t>
      </w:r>
      <w:r w:rsidR="00C916DF">
        <w:rPr>
          <w:sz w:val="26"/>
          <w:szCs w:val="26"/>
        </w:rPr>
        <w:t xml:space="preserve">PPL Electric Utilities Corporation, </w:t>
      </w:r>
      <w:r w:rsidR="00C266DE">
        <w:rPr>
          <w:bCs/>
          <w:sz w:val="26"/>
          <w:szCs w:val="26"/>
        </w:rPr>
        <w:t>the Commission’s Bureau of Investigation and Enforcement, the Office of Consumer Advocate and the Office of Small Business Advocate.</w:t>
      </w:r>
    </w:p>
    <w:p w:rsidR="00C266DE" w:rsidRDefault="00C266DE" w:rsidP="00C266DE">
      <w:pPr>
        <w:spacing w:line="360" w:lineRule="auto"/>
        <w:rPr>
          <w:bCs/>
          <w:sz w:val="26"/>
          <w:szCs w:val="26"/>
        </w:rPr>
      </w:pPr>
      <w:r>
        <w:rPr>
          <w:bCs/>
          <w:sz w:val="26"/>
          <w:szCs w:val="26"/>
        </w:rPr>
        <w:t xml:space="preserve"> </w:t>
      </w:r>
    </w:p>
    <w:p w:rsidR="00C266DE" w:rsidRPr="00FD34F5" w:rsidRDefault="00C266DE" w:rsidP="00C266DE">
      <w:pPr>
        <w:spacing w:line="360" w:lineRule="auto"/>
        <w:rPr>
          <w:bCs/>
          <w:sz w:val="26"/>
          <w:szCs w:val="26"/>
        </w:rPr>
      </w:pPr>
      <w:r>
        <w:rPr>
          <w:bCs/>
          <w:sz w:val="26"/>
          <w:szCs w:val="26"/>
        </w:rPr>
        <w:t xml:space="preserve"> </w:t>
      </w:r>
      <w:r w:rsidR="00924254">
        <w:rPr>
          <w:bCs/>
          <w:sz w:val="26"/>
          <w:szCs w:val="26"/>
        </w:rPr>
        <w:tab/>
        <w:t>4.</w:t>
      </w:r>
      <w:r w:rsidR="00924254">
        <w:rPr>
          <w:bCs/>
          <w:sz w:val="26"/>
          <w:szCs w:val="26"/>
        </w:rPr>
        <w:tab/>
        <w:t>That this docket</w:t>
      </w:r>
      <w:r>
        <w:rPr>
          <w:bCs/>
          <w:sz w:val="26"/>
          <w:szCs w:val="26"/>
        </w:rPr>
        <w:t xml:space="preserve"> be marked closed.  </w:t>
      </w:r>
    </w:p>
    <w:p w:rsidR="00C266DE" w:rsidRPr="00C0451E" w:rsidRDefault="00C266DE" w:rsidP="00C266DE">
      <w:pPr>
        <w:tabs>
          <w:tab w:val="left" w:pos="4320"/>
        </w:tabs>
        <w:rPr>
          <w:sz w:val="26"/>
          <w:szCs w:val="26"/>
        </w:rPr>
      </w:pPr>
      <w:r w:rsidRPr="00C0451E">
        <w:rPr>
          <w:sz w:val="26"/>
          <w:szCs w:val="26"/>
        </w:rPr>
        <w:tab/>
      </w:r>
      <w:r w:rsidRPr="00C0451E">
        <w:rPr>
          <w:sz w:val="26"/>
          <w:szCs w:val="26"/>
        </w:rPr>
        <w:tab/>
      </w:r>
      <w:r w:rsidRPr="00C0451E">
        <w:rPr>
          <w:sz w:val="26"/>
          <w:szCs w:val="26"/>
        </w:rPr>
        <w:tab/>
      </w:r>
    </w:p>
    <w:p w:rsidR="00C266DE" w:rsidRPr="00C0451E" w:rsidRDefault="00C266DE" w:rsidP="00C266DE">
      <w:pPr>
        <w:tabs>
          <w:tab w:val="left" w:pos="742"/>
        </w:tabs>
        <w:rPr>
          <w:sz w:val="26"/>
          <w:szCs w:val="26"/>
        </w:rPr>
      </w:pPr>
    </w:p>
    <w:p w:rsidR="00C266DE" w:rsidRPr="00C0451E" w:rsidRDefault="00EC6044" w:rsidP="00C266DE">
      <w:pPr>
        <w:pStyle w:val="p17"/>
        <w:ind w:left="5057"/>
        <w:rPr>
          <w:b/>
          <w:bCs/>
          <w:sz w:val="26"/>
          <w:szCs w:val="26"/>
        </w:rPr>
      </w:pPr>
      <w:r>
        <w:rPr>
          <w:noProof/>
        </w:rPr>
        <w:drawing>
          <wp:anchor distT="0" distB="0" distL="114300" distR="114300" simplePos="0" relativeHeight="251658240" behindDoc="1" locked="0" layoutInCell="1" allowOverlap="1" wp14:anchorId="5EB03EC0" wp14:editId="2A643FE4">
            <wp:simplePos x="0" y="0"/>
            <wp:positionH relativeFrom="column">
              <wp:posOffset>3054350</wp:posOffset>
            </wp:positionH>
            <wp:positionV relativeFrom="paragraph">
              <wp:posOffset>96520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66DE" w:rsidRPr="00C0451E">
        <w:rPr>
          <w:b/>
          <w:bCs/>
          <w:sz w:val="26"/>
          <w:szCs w:val="26"/>
        </w:rPr>
        <w:t>BY THE COMMISSION</w:t>
      </w:r>
    </w:p>
    <w:p w:rsidR="00C266DE" w:rsidRPr="00C0451E" w:rsidRDefault="00C266DE" w:rsidP="00C266DE">
      <w:pPr>
        <w:tabs>
          <w:tab w:val="left" w:pos="5057"/>
        </w:tabs>
        <w:rPr>
          <w:bCs/>
          <w:sz w:val="26"/>
          <w:szCs w:val="26"/>
        </w:rPr>
      </w:pPr>
    </w:p>
    <w:p w:rsidR="00C266DE" w:rsidRPr="00C0451E" w:rsidRDefault="00C266DE" w:rsidP="00C266DE">
      <w:pPr>
        <w:tabs>
          <w:tab w:val="left" w:pos="5057"/>
        </w:tabs>
        <w:rPr>
          <w:b/>
          <w:bCs/>
          <w:sz w:val="26"/>
          <w:szCs w:val="26"/>
        </w:rPr>
      </w:pPr>
    </w:p>
    <w:p w:rsidR="00C266DE" w:rsidRDefault="00C266DE" w:rsidP="00C266DE">
      <w:pPr>
        <w:tabs>
          <w:tab w:val="left" w:pos="5057"/>
        </w:tabs>
        <w:rPr>
          <w:b/>
          <w:bCs/>
          <w:sz w:val="26"/>
          <w:szCs w:val="26"/>
        </w:rPr>
      </w:pPr>
    </w:p>
    <w:p w:rsidR="00C266DE" w:rsidRPr="00C0451E" w:rsidRDefault="00C266DE" w:rsidP="00C266DE">
      <w:pPr>
        <w:tabs>
          <w:tab w:val="left" w:pos="5057"/>
        </w:tabs>
        <w:rPr>
          <w:b/>
          <w:bCs/>
          <w:sz w:val="26"/>
          <w:szCs w:val="26"/>
        </w:rPr>
      </w:pPr>
    </w:p>
    <w:p w:rsidR="00C266DE" w:rsidRPr="00C0451E" w:rsidRDefault="00C266DE" w:rsidP="00C266DE">
      <w:pPr>
        <w:pStyle w:val="p18"/>
        <w:ind w:left="5062"/>
        <w:rPr>
          <w:sz w:val="26"/>
          <w:szCs w:val="26"/>
        </w:rPr>
      </w:pPr>
      <w:r w:rsidRPr="00C0451E">
        <w:rPr>
          <w:sz w:val="26"/>
          <w:szCs w:val="26"/>
        </w:rPr>
        <w:t>Rosemary Chiavetta</w:t>
      </w:r>
    </w:p>
    <w:p w:rsidR="00C266DE" w:rsidRPr="00C0451E" w:rsidRDefault="00C266DE" w:rsidP="00C266DE">
      <w:pPr>
        <w:pStyle w:val="p18"/>
        <w:ind w:left="5062"/>
        <w:rPr>
          <w:sz w:val="26"/>
          <w:szCs w:val="26"/>
        </w:rPr>
      </w:pPr>
      <w:r w:rsidRPr="00C0451E">
        <w:rPr>
          <w:sz w:val="26"/>
          <w:szCs w:val="26"/>
        </w:rPr>
        <w:t>Secretary</w:t>
      </w:r>
    </w:p>
    <w:p w:rsidR="00C266DE" w:rsidRPr="00C0451E" w:rsidRDefault="00C266DE" w:rsidP="00C266DE">
      <w:pPr>
        <w:tabs>
          <w:tab w:val="left" w:pos="5062"/>
        </w:tabs>
        <w:rPr>
          <w:sz w:val="26"/>
          <w:szCs w:val="26"/>
        </w:rPr>
      </w:pPr>
    </w:p>
    <w:p w:rsidR="00C266DE" w:rsidRDefault="00C266DE" w:rsidP="00C266DE">
      <w:pPr>
        <w:pStyle w:val="p14"/>
        <w:rPr>
          <w:sz w:val="26"/>
          <w:szCs w:val="26"/>
        </w:rPr>
      </w:pPr>
    </w:p>
    <w:p w:rsidR="00C266DE" w:rsidRPr="00C0451E" w:rsidRDefault="00C266DE" w:rsidP="00C266DE">
      <w:pPr>
        <w:pStyle w:val="p14"/>
        <w:rPr>
          <w:sz w:val="26"/>
          <w:szCs w:val="26"/>
        </w:rPr>
      </w:pPr>
      <w:r w:rsidRPr="00C0451E">
        <w:rPr>
          <w:sz w:val="26"/>
          <w:szCs w:val="26"/>
        </w:rPr>
        <w:t>(SEAL)</w:t>
      </w:r>
    </w:p>
    <w:p w:rsidR="00C266DE" w:rsidRPr="00C0451E" w:rsidRDefault="00C266DE" w:rsidP="00C266DE">
      <w:pPr>
        <w:tabs>
          <w:tab w:val="left" w:pos="204"/>
        </w:tabs>
        <w:rPr>
          <w:sz w:val="26"/>
          <w:szCs w:val="26"/>
        </w:rPr>
      </w:pPr>
    </w:p>
    <w:p w:rsidR="00C266DE" w:rsidRPr="00C0451E" w:rsidRDefault="00C266DE" w:rsidP="00C266DE">
      <w:pPr>
        <w:pStyle w:val="p14"/>
        <w:rPr>
          <w:sz w:val="26"/>
          <w:szCs w:val="26"/>
        </w:rPr>
      </w:pPr>
      <w:r w:rsidRPr="00C0451E">
        <w:rPr>
          <w:sz w:val="26"/>
          <w:szCs w:val="26"/>
        </w:rPr>
        <w:t xml:space="preserve">ORDER ADOPTED:  </w:t>
      </w:r>
      <w:r w:rsidR="00C132FD">
        <w:rPr>
          <w:sz w:val="26"/>
          <w:szCs w:val="26"/>
        </w:rPr>
        <w:t xml:space="preserve">February </w:t>
      </w:r>
      <w:r w:rsidR="00944205">
        <w:rPr>
          <w:sz w:val="26"/>
          <w:szCs w:val="26"/>
        </w:rPr>
        <w:t>14</w:t>
      </w:r>
      <w:r w:rsidR="00C132FD">
        <w:rPr>
          <w:sz w:val="26"/>
          <w:szCs w:val="26"/>
        </w:rPr>
        <w:t>, 2013</w:t>
      </w:r>
    </w:p>
    <w:p w:rsidR="00C266DE" w:rsidRPr="00C0451E" w:rsidRDefault="00C266DE" w:rsidP="00C266DE">
      <w:pPr>
        <w:pStyle w:val="p14"/>
        <w:rPr>
          <w:sz w:val="26"/>
          <w:szCs w:val="26"/>
        </w:rPr>
      </w:pPr>
    </w:p>
    <w:p w:rsidR="00C266DE" w:rsidRPr="00C0451E" w:rsidRDefault="00C266DE" w:rsidP="00C266DE">
      <w:pPr>
        <w:pStyle w:val="p14"/>
        <w:rPr>
          <w:sz w:val="26"/>
          <w:szCs w:val="26"/>
        </w:rPr>
      </w:pPr>
      <w:r w:rsidRPr="00C0451E">
        <w:rPr>
          <w:sz w:val="26"/>
          <w:szCs w:val="26"/>
        </w:rPr>
        <w:t xml:space="preserve">ORDER ENTERED:  </w:t>
      </w:r>
      <w:r w:rsidR="00EC6044">
        <w:rPr>
          <w:sz w:val="26"/>
          <w:szCs w:val="26"/>
        </w:rPr>
        <w:t>February 14, 2013</w:t>
      </w:r>
      <w:bookmarkStart w:id="0" w:name="_GoBack"/>
      <w:bookmarkEnd w:id="0"/>
    </w:p>
    <w:p w:rsidR="00D376F5" w:rsidRPr="00210680" w:rsidRDefault="00D376F5" w:rsidP="00210680">
      <w:pPr>
        <w:spacing w:line="360" w:lineRule="auto"/>
        <w:rPr>
          <w:color w:val="000000"/>
          <w:sz w:val="26"/>
          <w:szCs w:val="26"/>
        </w:rPr>
      </w:pPr>
    </w:p>
    <w:sectPr w:rsidR="00D376F5" w:rsidRPr="00210680" w:rsidSect="00D8318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3F" w:rsidRDefault="00B1623F">
      <w:r>
        <w:separator/>
      </w:r>
    </w:p>
  </w:endnote>
  <w:endnote w:type="continuationSeparator" w:id="0">
    <w:p w:rsidR="00B1623F" w:rsidRDefault="00B1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7AC" w:rsidRDefault="007567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67AC" w:rsidRDefault="007567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7AC" w:rsidRDefault="007567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044">
      <w:rPr>
        <w:rStyle w:val="PageNumber"/>
        <w:noProof/>
      </w:rPr>
      <w:t>5</w:t>
    </w:r>
    <w:r>
      <w:rPr>
        <w:rStyle w:val="PageNumber"/>
      </w:rPr>
      <w:fldChar w:fldCharType="end"/>
    </w:r>
  </w:p>
  <w:p w:rsidR="007567AC" w:rsidRDefault="007567AC"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3F" w:rsidRDefault="00B1623F">
      <w:r>
        <w:separator/>
      </w:r>
    </w:p>
  </w:footnote>
  <w:footnote w:type="continuationSeparator" w:id="0">
    <w:p w:rsidR="00B1623F" w:rsidRDefault="00B16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308A6481"/>
    <w:multiLevelType w:val="hybridMultilevel"/>
    <w:tmpl w:val="C8AC1A08"/>
    <w:lvl w:ilvl="0" w:tplc="62942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CB2122"/>
    <w:multiLevelType w:val="hybridMultilevel"/>
    <w:tmpl w:val="A508D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FF00DB"/>
    <w:multiLevelType w:val="hybridMultilevel"/>
    <w:tmpl w:val="F9283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10B7A"/>
    <w:rsid w:val="000319EC"/>
    <w:rsid w:val="00033D57"/>
    <w:rsid w:val="00046AA5"/>
    <w:rsid w:val="000514E1"/>
    <w:rsid w:val="000675A4"/>
    <w:rsid w:val="000811B9"/>
    <w:rsid w:val="00092C0A"/>
    <w:rsid w:val="000A1D0C"/>
    <w:rsid w:val="000A1F94"/>
    <w:rsid w:val="000A6AC7"/>
    <w:rsid w:val="000E196A"/>
    <w:rsid w:val="000E3ECD"/>
    <w:rsid w:val="00107AB8"/>
    <w:rsid w:val="00110975"/>
    <w:rsid w:val="001119EF"/>
    <w:rsid w:val="001125A7"/>
    <w:rsid w:val="00120782"/>
    <w:rsid w:val="0013786E"/>
    <w:rsid w:val="00142828"/>
    <w:rsid w:val="001475A7"/>
    <w:rsid w:val="0015549B"/>
    <w:rsid w:val="00173459"/>
    <w:rsid w:val="001A4F91"/>
    <w:rsid w:val="001A6AF7"/>
    <w:rsid w:val="001B6D1F"/>
    <w:rsid w:val="001B6DC1"/>
    <w:rsid w:val="001B7588"/>
    <w:rsid w:val="001E3846"/>
    <w:rsid w:val="00210680"/>
    <w:rsid w:val="0021291E"/>
    <w:rsid w:val="00214C36"/>
    <w:rsid w:val="00217EF7"/>
    <w:rsid w:val="0022503C"/>
    <w:rsid w:val="00240AAA"/>
    <w:rsid w:val="00250087"/>
    <w:rsid w:val="00251C6E"/>
    <w:rsid w:val="00284B26"/>
    <w:rsid w:val="00290A3D"/>
    <w:rsid w:val="0029405C"/>
    <w:rsid w:val="002A23AC"/>
    <w:rsid w:val="002B18E0"/>
    <w:rsid w:val="002B1EFB"/>
    <w:rsid w:val="002B49E8"/>
    <w:rsid w:val="002C30F7"/>
    <w:rsid w:val="002C7630"/>
    <w:rsid w:val="002C7921"/>
    <w:rsid w:val="002E2B14"/>
    <w:rsid w:val="002F7691"/>
    <w:rsid w:val="00304809"/>
    <w:rsid w:val="00331134"/>
    <w:rsid w:val="0035040B"/>
    <w:rsid w:val="00353A13"/>
    <w:rsid w:val="00355458"/>
    <w:rsid w:val="003A4E64"/>
    <w:rsid w:val="003E2A29"/>
    <w:rsid w:val="003F34B0"/>
    <w:rsid w:val="004768B5"/>
    <w:rsid w:val="00476D6B"/>
    <w:rsid w:val="00496D77"/>
    <w:rsid w:val="004B34D3"/>
    <w:rsid w:val="004C759C"/>
    <w:rsid w:val="004D0C73"/>
    <w:rsid w:val="004E58A5"/>
    <w:rsid w:val="004F370A"/>
    <w:rsid w:val="004F6A5A"/>
    <w:rsid w:val="0050622A"/>
    <w:rsid w:val="0052030E"/>
    <w:rsid w:val="00520427"/>
    <w:rsid w:val="00523A8C"/>
    <w:rsid w:val="00524B6D"/>
    <w:rsid w:val="00535466"/>
    <w:rsid w:val="00536C0C"/>
    <w:rsid w:val="005529E9"/>
    <w:rsid w:val="00566258"/>
    <w:rsid w:val="00571027"/>
    <w:rsid w:val="00572CCC"/>
    <w:rsid w:val="005A6FCE"/>
    <w:rsid w:val="005A7356"/>
    <w:rsid w:val="005B4438"/>
    <w:rsid w:val="005C740D"/>
    <w:rsid w:val="005D03E0"/>
    <w:rsid w:val="005D7A07"/>
    <w:rsid w:val="005F1C61"/>
    <w:rsid w:val="005F3889"/>
    <w:rsid w:val="005F4FCF"/>
    <w:rsid w:val="00600A17"/>
    <w:rsid w:val="006027A7"/>
    <w:rsid w:val="006048E2"/>
    <w:rsid w:val="00613CD5"/>
    <w:rsid w:val="00621EEE"/>
    <w:rsid w:val="00622AFA"/>
    <w:rsid w:val="00632E50"/>
    <w:rsid w:val="00664271"/>
    <w:rsid w:val="00677BA9"/>
    <w:rsid w:val="00697266"/>
    <w:rsid w:val="006A01F9"/>
    <w:rsid w:val="006B1962"/>
    <w:rsid w:val="006B2984"/>
    <w:rsid w:val="006B77BE"/>
    <w:rsid w:val="006D3A74"/>
    <w:rsid w:val="006F73CF"/>
    <w:rsid w:val="0073099F"/>
    <w:rsid w:val="00746876"/>
    <w:rsid w:val="00747283"/>
    <w:rsid w:val="00754321"/>
    <w:rsid w:val="007567AC"/>
    <w:rsid w:val="007632B0"/>
    <w:rsid w:val="00776732"/>
    <w:rsid w:val="00776F80"/>
    <w:rsid w:val="007A2F74"/>
    <w:rsid w:val="007B2569"/>
    <w:rsid w:val="007B744C"/>
    <w:rsid w:val="007D0205"/>
    <w:rsid w:val="007D368E"/>
    <w:rsid w:val="007E6598"/>
    <w:rsid w:val="007F20F0"/>
    <w:rsid w:val="007F37C1"/>
    <w:rsid w:val="007F4E48"/>
    <w:rsid w:val="00804B77"/>
    <w:rsid w:val="00806E34"/>
    <w:rsid w:val="00816287"/>
    <w:rsid w:val="00835BE7"/>
    <w:rsid w:val="00857310"/>
    <w:rsid w:val="00857376"/>
    <w:rsid w:val="00860F48"/>
    <w:rsid w:val="00883F37"/>
    <w:rsid w:val="008A4F5D"/>
    <w:rsid w:val="008A5C24"/>
    <w:rsid w:val="008B1477"/>
    <w:rsid w:val="008B5653"/>
    <w:rsid w:val="008C7ABF"/>
    <w:rsid w:val="008D0879"/>
    <w:rsid w:val="008D2522"/>
    <w:rsid w:val="008D3BB8"/>
    <w:rsid w:val="008F2E81"/>
    <w:rsid w:val="009205C7"/>
    <w:rsid w:val="00924254"/>
    <w:rsid w:val="009248F5"/>
    <w:rsid w:val="00941451"/>
    <w:rsid w:val="00944205"/>
    <w:rsid w:val="00963258"/>
    <w:rsid w:val="00972365"/>
    <w:rsid w:val="00973BE4"/>
    <w:rsid w:val="00981EE0"/>
    <w:rsid w:val="00985472"/>
    <w:rsid w:val="009A31AE"/>
    <w:rsid w:val="009C5478"/>
    <w:rsid w:val="009D5F04"/>
    <w:rsid w:val="00A20BE8"/>
    <w:rsid w:val="00A333F9"/>
    <w:rsid w:val="00A508B3"/>
    <w:rsid w:val="00A60F28"/>
    <w:rsid w:val="00A82B74"/>
    <w:rsid w:val="00A82FC9"/>
    <w:rsid w:val="00A9040A"/>
    <w:rsid w:val="00AB2CF1"/>
    <w:rsid w:val="00AB738E"/>
    <w:rsid w:val="00AD5F40"/>
    <w:rsid w:val="00AE3E24"/>
    <w:rsid w:val="00AF69C9"/>
    <w:rsid w:val="00B10F16"/>
    <w:rsid w:val="00B11F12"/>
    <w:rsid w:val="00B132F4"/>
    <w:rsid w:val="00B15F58"/>
    <w:rsid w:val="00B1623F"/>
    <w:rsid w:val="00B3246D"/>
    <w:rsid w:val="00B35183"/>
    <w:rsid w:val="00B363B0"/>
    <w:rsid w:val="00B57B62"/>
    <w:rsid w:val="00B82863"/>
    <w:rsid w:val="00B8745C"/>
    <w:rsid w:val="00B9643A"/>
    <w:rsid w:val="00BB02BC"/>
    <w:rsid w:val="00BC2800"/>
    <w:rsid w:val="00BD7C30"/>
    <w:rsid w:val="00BE2339"/>
    <w:rsid w:val="00BE499A"/>
    <w:rsid w:val="00BF4BFC"/>
    <w:rsid w:val="00BF6062"/>
    <w:rsid w:val="00C01D96"/>
    <w:rsid w:val="00C0451E"/>
    <w:rsid w:val="00C132FD"/>
    <w:rsid w:val="00C14305"/>
    <w:rsid w:val="00C14B6E"/>
    <w:rsid w:val="00C20F64"/>
    <w:rsid w:val="00C266DE"/>
    <w:rsid w:val="00C31EC1"/>
    <w:rsid w:val="00C410FE"/>
    <w:rsid w:val="00C46BDE"/>
    <w:rsid w:val="00C5353F"/>
    <w:rsid w:val="00C65242"/>
    <w:rsid w:val="00C8021A"/>
    <w:rsid w:val="00C916DF"/>
    <w:rsid w:val="00CB7B05"/>
    <w:rsid w:val="00CD6C97"/>
    <w:rsid w:val="00CE3E4A"/>
    <w:rsid w:val="00D00C18"/>
    <w:rsid w:val="00D01581"/>
    <w:rsid w:val="00D376F5"/>
    <w:rsid w:val="00D53CF7"/>
    <w:rsid w:val="00D607F8"/>
    <w:rsid w:val="00D61F9F"/>
    <w:rsid w:val="00D74DC3"/>
    <w:rsid w:val="00D80AFE"/>
    <w:rsid w:val="00D83182"/>
    <w:rsid w:val="00D850D4"/>
    <w:rsid w:val="00D87056"/>
    <w:rsid w:val="00DA39AF"/>
    <w:rsid w:val="00DA4F7F"/>
    <w:rsid w:val="00DA54B8"/>
    <w:rsid w:val="00DA6850"/>
    <w:rsid w:val="00DB58F6"/>
    <w:rsid w:val="00DB623A"/>
    <w:rsid w:val="00DB7CCC"/>
    <w:rsid w:val="00DC381A"/>
    <w:rsid w:val="00DC7F2D"/>
    <w:rsid w:val="00DD7E32"/>
    <w:rsid w:val="00DE520F"/>
    <w:rsid w:val="00DF0470"/>
    <w:rsid w:val="00E140C9"/>
    <w:rsid w:val="00E15458"/>
    <w:rsid w:val="00E20E18"/>
    <w:rsid w:val="00E36544"/>
    <w:rsid w:val="00E441EC"/>
    <w:rsid w:val="00E45161"/>
    <w:rsid w:val="00E5153A"/>
    <w:rsid w:val="00E52E18"/>
    <w:rsid w:val="00E56AB8"/>
    <w:rsid w:val="00E61570"/>
    <w:rsid w:val="00E70F79"/>
    <w:rsid w:val="00E76049"/>
    <w:rsid w:val="00E96680"/>
    <w:rsid w:val="00EA5B39"/>
    <w:rsid w:val="00EA78E6"/>
    <w:rsid w:val="00EC6044"/>
    <w:rsid w:val="00EF600E"/>
    <w:rsid w:val="00F15A31"/>
    <w:rsid w:val="00F27679"/>
    <w:rsid w:val="00F34F36"/>
    <w:rsid w:val="00F3783C"/>
    <w:rsid w:val="00F51BF4"/>
    <w:rsid w:val="00F55B91"/>
    <w:rsid w:val="00F649E4"/>
    <w:rsid w:val="00F748D9"/>
    <w:rsid w:val="00F80429"/>
    <w:rsid w:val="00F9255F"/>
    <w:rsid w:val="00F965FB"/>
    <w:rsid w:val="00FA29A2"/>
    <w:rsid w:val="00FA40BB"/>
    <w:rsid w:val="00FA58EC"/>
    <w:rsid w:val="00FA5C58"/>
    <w:rsid w:val="00FB0EE1"/>
    <w:rsid w:val="00FC5916"/>
    <w:rsid w:val="00FD34F5"/>
    <w:rsid w:val="00FE0180"/>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4371-F83F-46E7-BD0D-2A7F8D93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Hinds, Margaret</cp:lastModifiedBy>
  <cp:revision>9</cp:revision>
  <cp:lastPrinted>2013-02-14T12:52:00Z</cp:lastPrinted>
  <dcterms:created xsi:type="dcterms:W3CDTF">2013-01-16T16:36:00Z</dcterms:created>
  <dcterms:modified xsi:type="dcterms:W3CDTF">2013-02-14T12:52:00Z</dcterms:modified>
</cp:coreProperties>
</file>