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4FE" w:rsidRPr="002A5D4B" w:rsidRDefault="009304FE" w:rsidP="009304FE">
      <w:pPr>
        <w:jc w:val="center"/>
        <w:rPr>
          <w:b/>
          <w:sz w:val="26"/>
          <w:szCs w:val="26"/>
        </w:rPr>
      </w:pPr>
      <w:r w:rsidRPr="002A5D4B">
        <w:rPr>
          <w:b/>
          <w:sz w:val="26"/>
          <w:szCs w:val="26"/>
        </w:rPr>
        <w:t>PENNSYLVANIA</w:t>
      </w:r>
    </w:p>
    <w:p w:rsidR="009304FE" w:rsidRPr="002A5D4B" w:rsidRDefault="009304FE" w:rsidP="009304FE">
      <w:pPr>
        <w:jc w:val="center"/>
        <w:rPr>
          <w:b/>
          <w:sz w:val="26"/>
          <w:szCs w:val="26"/>
        </w:rPr>
      </w:pPr>
      <w:r w:rsidRPr="002A5D4B">
        <w:rPr>
          <w:b/>
          <w:sz w:val="26"/>
          <w:szCs w:val="26"/>
        </w:rPr>
        <w:t>PUBLIC UTILITY COMMISSION</w:t>
      </w:r>
    </w:p>
    <w:p w:rsidR="009304FE" w:rsidRPr="002A5D4B" w:rsidRDefault="009304FE" w:rsidP="009304FE">
      <w:pPr>
        <w:jc w:val="center"/>
        <w:rPr>
          <w:b/>
          <w:sz w:val="26"/>
          <w:szCs w:val="26"/>
        </w:rPr>
      </w:pPr>
      <w:r w:rsidRPr="002A5D4B">
        <w:rPr>
          <w:b/>
          <w:sz w:val="26"/>
          <w:szCs w:val="26"/>
        </w:rPr>
        <w:t>Harrisburg, PA 17105-3265</w:t>
      </w:r>
    </w:p>
    <w:p w:rsidR="009304FE" w:rsidRDefault="009304FE" w:rsidP="009304FE">
      <w:pPr>
        <w:rPr>
          <w:sz w:val="26"/>
          <w:szCs w:val="26"/>
        </w:rPr>
      </w:pPr>
    </w:p>
    <w:p w:rsidR="00B01F47" w:rsidRPr="00BA66A4" w:rsidRDefault="00B01F47" w:rsidP="009304FE">
      <w:pPr>
        <w:rPr>
          <w:sz w:val="26"/>
          <w:szCs w:val="26"/>
        </w:rPr>
      </w:pPr>
    </w:p>
    <w:p w:rsidR="009304FE" w:rsidRPr="002A5D4B" w:rsidRDefault="00B01F47" w:rsidP="00B01F47">
      <w:pPr>
        <w:jc w:val="right"/>
        <w:rPr>
          <w:sz w:val="26"/>
          <w:szCs w:val="26"/>
        </w:rPr>
      </w:pPr>
      <w:r>
        <w:rPr>
          <w:sz w:val="26"/>
          <w:szCs w:val="26"/>
        </w:rPr>
        <w:tab/>
      </w:r>
      <w:r w:rsidR="00E862F4">
        <w:rPr>
          <w:sz w:val="26"/>
          <w:szCs w:val="26"/>
        </w:rPr>
        <w:t xml:space="preserve">  </w:t>
      </w:r>
      <w:r w:rsidR="009304FE">
        <w:rPr>
          <w:sz w:val="26"/>
          <w:szCs w:val="26"/>
        </w:rPr>
        <w:t>P</w:t>
      </w:r>
      <w:r w:rsidR="009304FE" w:rsidRPr="002A5D4B">
        <w:rPr>
          <w:sz w:val="26"/>
          <w:szCs w:val="26"/>
        </w:rPr>
        <w:t xml:space="preserve">ublic Meeting held </w:t>
      </w:r>
      <w:r w:rsidR="00507490">
        <w:rPr>
          <w:sz w:val="26"/>
          <w:szCs w:val="26"/>
        </w:rPr>
        <w:t>February 1</w:t>
      </w:r>
      <w:r w:rsidR="00E862F4">
        <w:rPr>
          <w:sz w:val="26"/>
          <w:szCs w:val="26"/>
        </w:rPr>
        <w:t>4, 2013</w:t>
      </w:r>
    </w:p>
    <w:p w:rsidR="009304FE" w:rsidRDefault="009304FE" w:rsidP="009304FE">
      <w:pPr>
        <w:rPr>
          <w:sz w:val="26"/>
          <w:szCs w:val="26"/>
        </w:rPr>
      </w:pPr>
    </w:p>
    <w:p w:rsidR="00B01F47" w:rsidRPr="002A5D4B" w:rsidRDefault="00B01F47" w:rsidP="009304FE">
      <w:pPr>
        <w:rPr>
          <w:sz w:val="26"/>
          <w:szCs w:val="26"/>
        </w:rPr>
      </w:pPr>
    </w:p>
    <w:p w:rsidR="009304FE" w:rsidRPr="002A5D4B" w:rsidRDefault="009304FE" w:rsidP="009304FE">
      <w:pPr>
        <w:rPr>
          <w:sz w:val="26"/>
          <w:szCs w:val="26"/>
        </w:rPr>
      </w:pPr>
      <w:r w:rsidRPr="002A5D4B">
        <w:rPr>
          <w:sz w:val="26"/>
          <w:szCs w:val="26"/>
        </w:rPr>
        <w:t>Commissioners Present:</w:t>
      </w:r>
    </w:p>
    <w:p w:rsidR="009304FE" w:rsidRPr="002A5D4B" w:rsidRDefault="009304FE" w:rsidP="009304FE">
      <w:pPr>
        <w:rPr>
          <w:sz w:val="26"/>
          <w:szCs w:val="26"/>
        </w:rPr>
      </w:pPr>
    </w:p>
    <w:p w:rsidR="00AC6A03" w:rsidRPr="00AC6A03" w:rsidRDefault="00AC6A03" w:rsidP="00AC6A03">
      <w:pPr>
        <w:ind w:firstLine="540"/>
        <w:rPr>
          <w:rFonts w:ascii="Times New (W1)" w:hAnsi="Times New (W1)"/>
          <w:sz w:val="26"/>
          <w:szCs w:val="20"/>
        </w:rPr>
      </w:pPr>
      <w:r w:rsidRPr="00AC6A03">
        <w:rPr>
          <w:rFonts w:ascii="Times New (W1)" w:hAnsi="Times New (W1)"/>
          <w:sz w:val="26"/>
          <w:szCs w:val="20"/>
        </w:rPr>
        <w:t>Robert F. Powelson, Chairman</w:t>
      </w:r>
    </w:p>
    <w:p w:rsidR="00AC6A03" w:rsidRPr="00AC6A03" w:rsidRDefault="00AC6A03" w:rsidP="00AC6A03">
      <w:pPr>
        <w:widowControl w:val="0"/>
        <w:ind w:firstLine="540"/>
        <w:rPr>
          <w:rFonts w:ascii="Times New (W1)" w:hAnsi="Times New (W1)"/>
          <w:sz w:val="26"/>
          <w:szCs w:val="20"/>
        </w:rPr>
      </w:pPr>
      <w:r w:rsidRPr="00AC6A03">
        <w:rPr>
          <w:rFonts w:ascii="Times New (W1)" w:hAnsi="Times New (W1)"/>
          <w:sz w:val="26"/>
          <w:szCs w:val="20"/>
        </w:rPr>
        <w:t>John F. Coleman, Jr., Vice Chairman</w:t>
      </w:r>
    </w:p>
    <w:p w:rsidR="00AC6A03" w:rsidRPr="00AC6A03" w:rsidRDefault="00AC6A03" w:rsidP="00AC6A03">
      <w:pPr>
        <w:widowControl w:val="0"/>
        <w:ind w:firstLine="540"/>
        <w:rPr>
          <w:rFonts w:ascii="Times New (W1)" w:hAnsi="Times New (W1)"/>
          <w:sz w:val="26"/>
          <w:szCs w:val="20"/>
        </w:rPr>
      </w:pPr>
      <w:r w:rsidRPr="00AC6A03">
        <w:rPr>
          <w:rFonts w:ascii="Times New (W1)" w:hAnsi="Times New (W1)"/>
          <w:sz w:val="26"/>
          <w:szCs w:val="20"/>
        </w:rPr>
        <w:t>Wayne E. Gardner</w:t>
      </w:r>
    </w:p>
    <w:p w:rsidR="00AC6A03" w:rsidRPr="00AC6A03" w:rsidRDefault="00AC6A03" w:rsidP="00AC6A03">
      <w:pPr>
        <w:widowControl w:val="0"/>
        <w:ind w:firstLine="540"/>
        <w:rPr>
          <w:rFonts w:ascii="Times New (W1)" w:hAnsi="Times New (W1)"/>
          <w:sz w:val="26"/>
          <w:szCs w:val="20"/>
        </w:rPr>
      </w:pPr>
      <w:r w:rsidRPr="00AC6A03">
        <w:rPr>
          <w:rFonts w:ascii="Times New (W1)" w:hAnsi="Times New (W1)"/>
          <w:sz w:val="26"/>
          <w:szCs w:val="20"/>
        </w:rPr>
        <w:t>James H. Cawley</w:t>
      </w:r>
    </w:p>
    <w:p w:rsidR="00AC6A03" w:rsidRPr="00AC6A03" w:rsidRDefault="00AC6A03" w:rsidP="00AC6A03">
      <w:pPr>
        <w:widowControl w:val="0"/>
        <w:ind w:firstLine="540"/>
        <w:rPr>
          <w:rFonts w:ascii="Times New (W1)" w:hAnsi="Times New (W1)"/>
          <w:sz w:val="26"/>
          <w:szCs w:val="20"/>
        </w:rPr>
      </w:pPr>
      <w:r w:rsidRPr="00AC6A03">
        <w:rPr>
          <w:rFonts w:ascii="Times New (W1)" w:hAnsi="Times New (W1)"/>
          <w:sz w:val="26"/>
          <w:szCs w:val="20"/>
        </w:rPr>
        <w:t>Pamela A. Witmer</w:t>
      </w:r>
    </w:p>
    <w:p w:rsidR="00AC6A03" w:rsidRDefault="00AC6A03" w:rsidP="00AC6A03">
      <w:pPr>
        <w:rPr>
          <w:sz w:val="26"/>
          <w:szCs w:val="26"/>
        </w:rPr>
      </w:pPr>
    </w:p>
    <w:p w:rsidR="009304FE" w:rsidRDefault="009304FE" w:rsidP="009304FE"/>
    <w:p w:rsidR="0024069A" w:rsidRDefault="00E862F4" w:rsidP="0024069A">
      <w:pPr>
        <w:tabs>
          <w:tab w:val="left" w:pos="-720"/>
          <w:tab w:val="left" w:pos="0"/>
        </w:tabs>
        <w:suppressAutoHyphens/>
        <w:rPr>
          <w:sz w:val="26"/>
          <w:szCs w:val="26"/>
        </w:rPr>
      </w:pPr>
      <w:r>
        <w:rPr>
          <w:sz w:val="26"/>
          <w:szCs w:val="26"/>
        </w:rPr>
        <w:t>Pennsylvania Public Utility Commission,</w:t>
      </w:r>
      <w:r>
        <w:rPr>
          <w:sz w:val="26"/>
          <w:szCs w:val="26"/>
        </w:rPr>
        <w:tab/>
      </w:r>
      <w:r>
        <w:rPr>
          <w:sz w:val="26"/>
          <w:szCs w:val="26"/>
        </w:rPr>
        <w:tab/>
      </w:r>
      <w:r>
        <w:rPr>
          <w:sz w:val="26"/>
          <w:szCs w:val="26"/>
        </w:rPr>
        <w:tab/>
        <w:t xml:space="preserve">                            C-2010-2175330</w:t>
      </w:r>
    </w:p>
    <w:p w:rsidR="00E862F4" w:rsidRDefault="00E862F4" w:rsidP="0024069A">
      <w:pPr>
        <w:tabs>
          <w:tab w:val="left" w:pos="-720"/>
          <w:tab w:val="left" w:pos="0"/>
        </w:tabs>
        <w:suppressAutoHyphens/>
        <w:rPr>
          <w:sz w:val="26"/>
          <w:szCs w:val="26"/>
        </w:rPr>
      </w:pPr>
      <w:r>
        <w:rPr>
          <w:sz w:val="26"/>
          <w:szCs w:val="26"/>
        </w:rPr>
        <w:t xml:space="preserve">Bureau of Transportation and Safety </w:t>
      </w:r>
    </w:p>
    <w:p w:rsidR="00E862F4" w:rsidRDefault="00E862F4" w:rsidP="0024069A">
      <w:pPr>
        <w:tabs>
          <w:tab w:val="left" w:pos="-720"/>
          <w:tab w:val="left" w:pos="0"/>
        </w:tabs>
        <w:suppressAutoHyphens/>
        <w:rPr>
          <w:sz w:val="26"/>
          <w:szCs w:val="26"/>
        </w:rPr>
      </w:pPr>
    </w:p>
    <w:p w:rsidR="00E862F4" w:rsidRDefault="00E862F4" w:rsidP="0024069A">
      <w:pPr>
        <w:tabs>
          <w:tab w:val="left" w:pos="-720"/>
          <w:tab w:val="left" w:pos="0"/>
        </w:tabs>
        <w:suppressAutoHyphens/>
        <w:rPr>
          <w:sz w:val="26"/>
          <w:szCs w:val="26"/>
        </w:rPr>
      </w:pPr>
      <w:r>
        <w:rPr>
          <w:sz w:val="26"/>
          <w:szCs w:val="26"/>
        </w:rPr>
        <w:tab/>
      </w:r>
      <w:r>
        <w:rPr>
          <w:sz w:val="26"/>
          <w:szCs w:val="26"/>
        </w:rPr>
        <w:tab/>
        <w:t>v.</w:t>
      </w:r>
    </w:p>
    <w:p w:rsidR="00E862F4" w:rsidRDefault="00E862F4" w:rsidP="0024069A">
      <w:pPr>
        <w:tabs>
          <w:tab w:val="left" w:pos="-720"/>
          <w:tab w:val="left" w:pos="0"/>
        </w:tabs>
        <w:suppressAutoHyphens/>
        <w:rPr>
          <w:sz w:val="26"/>
          <w:szCs w:val="26"/>
        </w:rPr>
      </w:pPr>
    </w:p>
    <w:p w:rsidR="00E862F4" w:rsidRPr="006C64C8" w:rsidRDefault="00E862F4" w:rsidP="0024069A">
      <w:pPr>
        <w:tabs>
          <w:tab w:val="left" w:pos="-720"/>
          <w:tab w:val="left" w:pos="0"/>
        </w:tabs>
        <w:suppressAutoHyphens/>
        <w:rPr>
          <w:sz w:val="26"/>
          <w:szCs w:val="26"/>
        </w:rPr>
      </w:pPr>
      <w:r>
        <w:rPr>
          <w:sz w:val="26"/>
          <w:szCs w:val="26"/>
        </w:rPr>
        <w:t xml:space="preserve">Germantown Cab Company </w:t>
      </w:r>
    </w:p>
    <w:p w:rsidR="009304FE" w:rsidRPr="006C64C8" w:rsidRDefault="009304FE" w:rsidP="009304FE">
      <w:pPr>
        <w:tabs>
          <w:tab w:val="left" w:pos="-720"/>
          <w:tab w:val="left" w:pos="0"/>
        </w:tabs>
        <w:suppressAutoHyphens/>
        <w:rPr>
          <w:sz w:val="26"/>
          <w:szCs w:val="26"/>
        </w:rPr>
      </w:pPr>
    </w:p>
    <w:p w:rsidR="009304FE" w:rsidRPr="00624B80" w:rsidRDefault="009304FE" w:rsidP="007F67A7">
      <w:pPr>
        <w:tabs>
          <w:tab w:val="left" w:pos="-720"/>
          <w:tab w:val="left" w:pos="0"/>
        </w:tabs>
        <w:suppressAutoHyphens/>
        <w:rPr>
          <w:sz w:val="26"/>
        </w:rPr>
      </w:pPr>
      <w:r w:rsidRPr="006C64C8">
        <w:rPr>
          <w:sz w:val="26"/>
          <w:szCs w:val="26"/>
        </w:rPr>
        <w:tab/>
      </w:r>
    </w:p>
    <w:p w:rsidR="009304FE" w:rsidRPr="00624B80" w:rsidRDefault="009304FE" w:rsidP="009304FE">
      <w:pPr>
        <w:tabs>
          <w:tab w:val="center" w:pos="4680"/>
        </w:tabs>
        <w:suppressAutoHyphens/>
        <w:jc w:val="center"/>
        <w:rPr>
          <w:b/>
          <w:sz w:val="26"/>
        </w:rPr>
      </w:pPr>
      <w:r w:rsidRPr="00624B80">
        <w:rPr>
          <w:b/>
          <w:sz w:val="26"/>
        </w:rPr>
        <w:t>OPINION AND ORDER</w:t>
      </w:r>
    </w:p>
    <w:p w:rsidR="00CA6BAF" w:rsidRPr="00624B80" w:rsidRDefault="00CA6BAF" w:rsidP="009304FE">
      <w:pPr>
        <w:tabs>
          <w:tab w:val="left" w:pos="-720"/>
        </w:tabs>
        <w:suppressAutoHyphens/>
        <w:spacing w:line="360" w:lineRule="auto"/>
        <w:rPr>
          <w:b/>
          <w:sz w:val="26"/>
        </w:rPr>
      </w:pPr>
    </w:p>
    <w:p w:rsidR="009304FE" w:rsidRPr="00624B80" w:rsidRDefault="009304FE" w:rsidP="009304FE">
      <w:pPr>
        <w:tabs>
          <w:tab w:val="left" w:pos="-720"/>
        </w:tabs>
        <w:suppressAutoHyphens/>
        <w:spacing w:line="360" w:lineRule="auto"/>
        <w:rPr>
          <w:sz w:val="26"/>
        </w:rPr>
      </w:pPr>
      <w:r w:rsidRPr="00624B80">
        <w:rPr>
          <w:b/>
          <w:sz w:val="26"/>
        </w:rPr>
        <w:t>BY THE COMMISSION:</w:t>
      </w:r>
    </w:p>
    <w:p w:rsidR="009304FE" w:rsidRPr="00585188" w:rsidRDefault="009304FE" w:rsidP="009304FE">
      <w:pPr>
        <w:rPr>
          <w:sz w:val="26"/>
          <w:szCs w:val="26"/>
        </w:rPr>
      </w:pPr>
    </w:p>
    <w:p w:rsidR="00966051" w:rsidRDefault="00AE655A" w:rsidP="0019214E">
      <w:pPr>
        <w:spacing w:line="360" w:lineRule="auto"/>
        <w:rPr>
          <w:sz w:val="26"/>
          <w:szCs w:val="26"/>
        </w:rPr>
      </w:pPr>
      <w:r>
        <w:rPr>
          <w:sz w:val="26"/>
          <w:szCs w:val="26"/>
        </w:rPr>
        <w:tab/>
      </w:r>
      <w:r>
        <w:rPr>
          <w:sz w:val="26"/>
          <w:szCs w:val="26"/>
        </w:rPr>
        <w:tab/>
      </w:r>
      <w:r w:rsidR="009304FE" w:rsidRPr="00585188">
        <w:rPr>
          <w:sz w:val="26"/>
          <w:szCs w:val="26"/>
        </w:rPr>
        <w:t xml:space="preserve">Before the </w:t>
      </w:r>
      <w:r w:rsidR="009304FE">
        <w:rPr>
          <w:sz w:val="26"/>
          <w:szCs w:val="26"/>
        </w:rPr>
        <w:t>Pennsylvania Public Utility Commission (</w:t>
      </w:r>
      <w:r w:rsidR="009304FE" w:rsidRPr="00585188">
        <w:rPr>
          <w:sz w:val="26"/>
          <w:szCs w:val="26"/>
        </w:rPr>
        <w:t>Commission</w:t>
      </w:r>
      <w:r w:rsidR="009304FE">
        <w:rPr>
          <w:sz w:val="26"/>
          <w:szCs w:val="26"/>
        </w:rPr>
        <w:t>)</w:t>
      </w:r>
      <w:r w:rsidR="009304FE" w:rsidRPr="00585188">
        <w:rPr>
          <w:sz w:val="26"/>
          <w:szCs w:val="26"/>
        </w:rPr>
        <w:t xml:space="preserve"> for consideration </w:t>
      </w:r>
      <w:r w:rsidR="009304FE">
        <w:rPr>
          <w:sz w:val="26"/>
          <w:szCs w:val="26"/>
        </w:rPr>
        <w:t xml:space="preserve">and disposition </w:t>
      </w:r>
      <w:r w:rsidR="009304FE" w:rsidRPr="00585188">
        <w:rPr>
          <w:sz w:val="26"/>
          <w:szCs w:val="26"/>
        </w:rPr>
        <w:t>are the Exceptions</w:t>
      </w:r>
      <w:r w:rsidR="00F23931">
        <w:rPr>
          <w:sz w:val="26"/>
          <w:szCs w:val="26"/>
        </w:rPr>
        <w:t xml:space="preserve"> of Germantown Cab Company </w:t>
      </w:r>
      <w:r w:rsidR="0095550E">
        <w:rPr>
          <w:sz w:val="26"/>
          <w:szCs w:val="26"/>
        </w:rPr>
        <w:t>(</w:t>
      </w:r>
      <w:r w:rsidR="00F23931">
        <w:rPr>
          <w:sz w:val="26"/>
          <w:szCs w:val="26"/>
        </w:rPr>
        <w:t>Respondent</w:t>
      </w:r>
      <w:r w:rsidR="0095550E">
        <w:rPr>
          <w:sz w:val="26"/>
          <w:szCs w:val="26"/>
        </w:rPr>
        <w:t>)</w:t>
      </w:r>
      <w:r w:rsidR="00F23931">
        <w:rPr>
          <w:sz w:val="26"/>
          <w:szCs w:val="26"/>
        </w:rPr>
        <w:t xml:space="preserve"> </w:t>
      </w:r>
      <w:r w:rsidR="00B45042">
        <w:rPr>
          <w:sz w:val="26"/>
          <w:szCs w:val="26"/>
        </w:rPr>
        <w:t>filed</w:t>
      </w:r>
      <w:r w:rsidR="00F8097F">
        <w:rPr>
          <w:sz w:val="26"/>
          <w:szCs w:val="26"/>
        </w:rPr>
        <w:t xml:space="preserve"> on </w:t>
      </w:r>
      <w:r w:rsidR="001863B0">
        <w:rPr>
          <w:sz w:val="26"/>
          <w:szCs w:val="26"/>
        </w:rPr>
        <w:t>August 7</w:t>
      </w:r>
      <w:r w:rsidR="009304FE" w:rsidRPr="00585188">
        <w:rPr>
          <w:sz w:val="26"/>
          <w:szCs w:val="26"/>
        </w:rPr>
        <w:t>,</w:t>
      </w:r>
      <w:r w:rsidR="001863B0">
        <w:rPr>
          <w:sz w:val="26"/>
          <w:szCs w:val="26"/>
        </w:rPr>
        <w:t xml:space="preserve"> 2012,</w:t>
      </w:r>
      <w:r w:rsidR="00F23931">
        <w:rPr>
          <w:sz w:val="26"/>
          <w:szCs w:val="26"/>
        </w:rPr>
        <w:t xml:space="preserve"> </w:t>
      </w:r>
      <w:r w:rsidR="009304FE" w:rsidRPr="00585188">
        <w:rPr>
          <w:sz w:val="26"/>
          <w:szCs w:val="26"/>
        </w:rPr>
        <w:t xml:space="preserve">to the Initial Decision </w:t>
      </w:r>
      <w:r w:rsidR="00B10F4E">
        <w:rPr>
          <w:sz w:val="26"/>
          <w:szCs w:val="26"/>
        </w:rPr>
        <w:t xml:space="preserve">(I.D.) </w:t>
      </w:r>
      <w:r w:rsidR="009304FE" w:rsidRPr="00585188">
        <w:rPr>
          <w:sz w:val="26"/>
          <w:szCs w:val="26"/>
        </w:rPr>
        <w:t>of</w:t>
      </w:r>
      <w:r w:rsidR="00F8097F">
        <w:rPr>
          <w:sz w:val="26"/>
          <w:szCs w:val="26"/>
        </w:rPr>
        <w:t xml:space="preserve"> Administrative Law Judge (ALJ)</w:t>
      </w:r>
      <w:r w:rsidR="001863B0">
        <w:rPr>
          <w:sz w:val="26"/>
          <w:szCs w:val="26"/>
        </w:rPr>
        <w:t xml:space="preserve"> Cynthia Williams Fordham</w:t>
      </w:r>
      <w:r w:rsidR="009304FE" w:rsidRPr="00585188">
        <w:rPr>
          <w:sz w:val="26"/>
          <w:szCs w:val="26"/>
        </w:rPr>
        <w:t>, issued</w:t>
      </w:r>
      <w:r w:rsidR="001863B0">
        <w:rPr>
          <w:sz w:val="26"/>
          <w:szCs w:val="26"/>
        </w:rPr>
        <w:t xml:space="preserve"> July 18, </w:t>
      </w:r>
      <w:r w:rsidR="00E3397D">
        <w:rPr>
          <w:sz w:val="26"/>
          <w:szCs w:val="26"/>
        </w:rPr>
        <w:t>201</w:t>
      </w:r>
      <w:r w:rsidR="00F643ED">
        <w:rPr>
          <w:sz w:val="26"/>
          <w:szCs w:val="26"/>
        </w:rPr>
        <w:t>2</w:t>
      </w:r>
      <w:r w:rsidR="009304FE">
        <w:rPr>
          <w:sz w:val="26"/>
          <w:szCs w:val="26"/>
        </w:rPr>
        <w:t xml:space="preserve">. </w:t>
      </w:r>
      <w:r w:rsidR="001863B0">
        <w:rPr>
          <w:sz w:val="26"/>
          <w:szCs w:val="26"/>
        </w:rPr>
        <w:t xml:space="preserve"> The Commission’s Bureau of Investigation and Enforcement (I&amp;E) </w:t>
      </w:r>
      <w:r w:rsidR="008F05C2">
        <w:rPr>
          <w:sz w:val="26"/>
          <w:szCs w:val="26"/>
        </w:rPr>
        <w:t>filed Repl</w:t>
      </w:r>
      <w:r w:rsidR="00E3397D">
        <w:rPr>
          <w:sz w:val="26"/>
          <w:szCs w:val="26"/>
        </w:rPr>
        <w:t>ies to</w:t>
      </w:r>
      <w:r w:rsidR="008F05C2">
        <w:rPr>
          <w:sz w:val="26"/>
          <w:szCs w:val="26"/>
        </w:rPr>
        <w:t xml:space="preserve"> Exceptions </w:t>
      </w:r>
      <w:r w:rsidR="00193EF0">
        <w:rPr>
          <w:sz w:val="26"/>
          <w:szCs w:val="26"/>
        </w:rPr>
        <w:t xml:space="preserve">on </w:t>
      </w:r>
      <w:r w:rsidR="00074512">
        <w:rPr>
          <w:sz w:val="26"/>
          <w:szCs w:val="26"/>
        </w:rPr>
        <w:t>August </w:t>
      </w:r>
      <w:r w:rsidR="001863B0">
        <w:rPr>
          <w:sz w:val="26"/>
          <w:szCs w:val="26"/>
        </w:rPr>
        <w:t>17, 2012</w:t>
      </w:r>
      <w:r w:rsidR="00E3397D">
        <w:rPr>
          <w:sz w:val="26"/>
          <w:szCs w:val="26"/>
        </w:rPr>
        <w:t>.</w:t>
      </w:r>
      <w:r w:rsidR="00137630">
        <w:rPr>
          <w:sz w:val="26"/>
          <w:szCs w:val="26"/>
        </w:rPr>
        <w:t xml:space="preserve">  For the reasons set forth herein, we shall deny the Exceptions and adopt the Initial Decision.  </w:t>
      </w:r>
      <w:r w:rsidR="001863B0">
        <w:rPr>
          <w:sz w:val="26"/>
          <w:szCs w:val="26"/>
        </w:rPr>
        <w:t xml:space="preserve">  </w:t>
      </w:r>
    </w:p>
    <w:p w:rsidR="003E48AA" w:rsidRDefault="003E48AA" w:rsidP="0019214E">
      <w:pPr>
        <w:spacing w:line="360" w:lineRule="auto"/>
        <w:rPr>
          <w:sz w:val="26"/>
          <w:szCs w:val="26"/>
        </w:rPr>
      </w:pPr>
    </w:p>
    <w:p w:rsidR="001863B0" w:rsidRDefault="001863B0" w:rsidP="00F55BED">
      <w:pPr>
        <w:spacing w:line="360" w:lineRule="auto"/>
        <w:jc w:val="center"/>
        <w:rPr>
          <w:b/>
          <w:sz w:val="26"/>
          <w:szCs w:val="26"/>
        </w:rPr>
      </w:pPr>
    </w:p>
    <w:p w:rsidR="009304FE" w:rsidRDefault="00F55BED" w:rsidP="00F55BED">
      <w:pPr>
        <w:spacing w:line="360" w:lineRule="auto"/>
        <w:jc w:val="center"/>
        <w:rPr>
          <w:b/>
          <w:sz w:val="26"/>
          <w:szCs w:val="26"/>
        </w:rPr>
      </w:pPr>
      <w:r w:rsidRPr="00CA1972">
        <w:rPr>
          <w:b/>
          <w:sz w:val="26"/>
          <w:szCs w:val="26"/>
        </w:rPr>
        <w:lastRenderedPageBreak/>
        <w:t>History of the Proceeding</w:t>
      </w:r>
    </w:p>
    <w:p w:rsidR="005C6B17" w:rsidRDefault="005C6B17" w:rsidP="00F55BED">
      <w:pPr>
        <w:spacing w:line="360" w:lineRule="auto"/>
        <w:jc w:val="center"/>
        <w:rPr>
          <w:b/>
          <w:sz w:val="26"/>
          <w:szCs w:val="26"/>
        </w:rPr>
      </w:pPr>
    </w:p>
    <w:p w:rsidR="00E80BF5" w:rsidRDefault="00F919E8" w:rsidP="006070AE">
      <w:pPr>
        <w:pStyle w:val="BodyText"/>
        <w:ind w:firstLine="1440"/>
        <w:rPr>
          <w:szCs w:val="24"/>
        </w:rPr>
      </w:pPr>
      <w:r>
        <w:rPr>
          <w:szCs w:val="24"/>
        </w:rPr>
        <w:t>On August 4, 2010, t</w:t>
      </w:r>
      <w:r w:rsidRPr="00BF3CBC">
        <w:rPr>
          <w:szCs w:val="24"/>
        </w:rPr>
        <w:t>he Commission’s Bureau of Transportation and Safety</w:t>
      </w:r>
      <w:r w:rsidR="00144175">
        <w:rPr>
          <w:szCs w:val="24"/>
        </w:rPr>
        <w:t xml:space="preserve"> (BTS)</w:t>
      </w:r>
      <w:r w:rsidR="005A4155">
        <w:rPr>
          <w:szCs w:val="24"/>
        </w:rPr>
        <w:t>, now I&amp;E,</w:t>
      </w:r>
      <w:r>
        <w:rPr>
          <w:rStyle w:val="FootnoteReference"/>
          <w:szCs w:val="24"/>
        </w:rPr>
        <w:footnoteReference w:id="1"/>
      </w:r>
      <w:r w:rsidRPr="00BF3CBC">
        <w:rPr>
          <w:szCs w:val="24"/>
        </w:rPr>
        <w:t xml:space="preserve"> filed a </w:t>
      </w:r>
      <w:r w:rsidR="0094412E">
        <w:rPr>
          <w:szCs w:val="24"/>
        </w:rPr>
        <w:t>F</w:t>
      </w:r>
      <w:r w:rsidRPr="00BF3CBC">
        <w:rPr>
          <w:szCs w:val="24"/>
        </w:rPr>
        <w:t xml:space="preserve">ormal </w:t>
      </w:r>
      <w:r w:rsidR="0094412E">
        <w:rPr>
          <w:szCs w:val="24"/>
        </w:rPr>
        <w:t>C</w:t>
      </w:r>
      <w:r w:rsidRPr="00BF3CBC">
        <w:rPr>
          <w:szCs w:val="24"/>
        </w:rPr>
        <w:t xml:space="preserve">omplaint against </w:t>
      </w:r>
      <w:r w:rsidR="0094412E">
        <w:rPr>
          <w:szCs w:val="24"/>
        </w:rPr>
        <w:t xml:space="preserve">the </w:t>
      </w:r>
      <w:r w:rsidRPr="00BF3CBC">
        <w:rPr>
          <w:szCs w:val="24"/>
        </w:rPr>
        <w:t xml:space="preserve">Respondent.  </w:t>
      </w:r>
      <w:r w:rsidR="0094412E">
        <w:rPr>
          <w:szCs w:val="24"/>
        </w:rPr>
        <w:t>In the Complaint, I&amp;E</w:t>
      </w:r>
      <w:r w:rsidRPr="00BF3CBC">
        <w:rPr>
          <w:szCs w:val="24"/>
        </w:rPr>
        <w:t xml:space="preserve"> </w:t>
      </w:r>
      <w:r w:rsidR="00D715A5">
        <w:rPr>
          <w:szCs w:val="24"/>
        </w:rPr>
        <w:t>stated</w:t>
      </w:r>
      <w:r w:rsidRPr="00BF3CBC">
        <w:rPr>
          <w:szCs w:val="24"/>
        </w:rPr>
        <w:t xml:space="preserve"> that </w:t>
      </w:r>
      <w:r w:rsidR="0094412E">
        <w:rPr>
          <w:szCs w:val="24"/>
        </w:rPr>
        <w:t>Commission e</w:t>
      </w:r>
      <w:r w:rsidRPr="00BF3CBC">
        <w:rPr>
          <w:szCs w:val="24"/>
        </w:rPr>
        <w:t xml:space="preserve">nforcement </w:t>
      </w:r>
      <w:r w:rsidR="0094412E">
        <w:rPr>
          <w:szCs w:val="24"/>
        </w:rPr>
        <w:t>o</w:t>
      </w:r>
      <w:r w:rsidRPr="00BF3CBC">
        <w:rPr>
          <w:szCs w:val="24"/>
        </w:rPr>
        <w:t xml:space="preserve">fficers </w:t>
      </w:r>
      <w:r w:rsidR="0094412E">
        <w:rPr>
          <w:szCs w:val="24"/>
        </w:rPr>
        <w:t>co</w:t>
      </w:r>
      <w:r w:rsidRPr="00BF3CBC">
        <w:rPr>
          <w:szCs w:val="24"/>
        </w:rPr>
        <w:t>nducted an annual inspection of the Respondent’s vehicles on April 26, 27,</w:t>
      </w:r>
      <w:r w:rsidR="00D715A5">
        <w:rPr>
          <w:szCs w:val="24"/>
        </w:rPr>
        <w:t xml:space="preserve"> and 30,</w:t>
      </w:r>
      <w:r w:rsidRPr="00BF3CBC">
        <w:rPr>
          <w:szCs w:val="24"/>
        </w:rPr>
        <w:t xml:space="preserve"> 2010.  The officers inspected forty-nine of the ninety vehicles in </w:t>
      </w:r>
      <w:r w:rsidR="00D715A5">
        <w:rPr>
          <w:szCs w:val="24"/>
        </w:rPr>
        <w:t xml:space="preserve">the </w:t>
      </w:r>
      <w:r w:rsidRPr="00BF3CBC">
        <w:rPr>
          <w:szCs w:val="24"/>
        </w:rPr>
        <w:t>Respondent’s fleet</w:t>
      </w:r>
      <w:r w:rsidR="00D715A5">
        <w:rPr>
          <w:szCs w:val="24"/>
        </w:rPr>
        <w:t xml:space="preserve"> and found </w:t>
      </w:r>
      <w:r w:rsidRPr="00BF3CBC">
        <w:rPr>
          <w:szCs w:val="24"/>
        </w:rPr>
        <w:t xml:space="preserve">seventy-three violations, including twenty-five mechanical violations, fifteen meter violations, twenty-two passenger violations, and eleven other violations.  </w:t>
      </w:r>
      <w:r w:rsidR="00E52BF1">
        <w:rPr>
          <w:szCs w:val="24"/>
        </w:rPr>
        <w:t xml:space="preserve">Tr. at 9.  </w:t>
      </w:r>
      <w:r w:rsidR="00E80BF5">
        <w:rPr>
          <w:szCs w:val="24"/>
        </w:rPr>
        <w:t xml:space="preserve">In the Complaint, </w:t>
      </w:r>
      <w:r w:rsidR="00D715A5">
        <w:rPr>
          <w:szCs w:val="24"/>
        </w:rPr>
        <w:t>I&amp;E alleged that t</w:t>
      </w:r>
      <w:r w:rsidRPr="00BF3CBC">
        <w:rPr>
          <w:szCs w:val="24"/>
        </w:rPr>
        <w:t xml:space="preserve">he Respondent </w:t>
      </w:r>
      <w:r w:rsidR="00E80BF5">
        <w:rPr>
          <w:szCs w:val="24"/>
        </w:rPr>
        <w:t xml:space="preserve">committed the following </w:t>
      </w:r>
      <w:r w:rsidR="00D715A5">
        <w:rPr>
          <w:szCs w:val="24"/>
        </w:rPr>
        <w:t>violat</w:t>
      </w:r>
      <w:r w:rsidR="00E80BF5">
        <w:rPr>
          <w:szCs w:val="24"/>
        </w:rPr>
        <w:t>ions:</w:t>
      </w:r>
    </w:p>
    <w:p w:rsidR="00E80BF5" w:rsidRDefault="00E80BF5" w:rsidP="006070AE">
      <w:pPr>
        <w:pStyle w:val="BodyText"/>
        <w:ind w:firstLine="1440"/>
        <w:rPr>
          <w:szCs w:val="24"/>
        </w:rPr>
      </w:pPr>
    </w:p>
    <w:p w:rsidR="00E80BF5" w:rsidRPr="00E80BF5" w:rsidRDefault="00E80BF5" w:rsidP="00261A03">
      <w:pPr>
        <w:widowControl w:val="0"/>
        <w:tabs>
          <w:tab w:val="left" w:pos="2196"/>
        </w:tabs>
        <w:autoSpaceDE w:val="0"/>
        <w:autoSpaceDN w:val="0"/>
        <w:spacing w:after="200"/>
        <w:ind w:left="1440" w:right="1440"/>
        <w:rPr>
          <w:sz w:val="26"/>
          <w:szCs w:val="20"/>
        </w:rPr>
      </w:pPr>
      <w:r>
        <w:rPr>
          <w:sz w:val="26"/>
          <w:szCs w:val="20"/>
        </w:rPr>
        <w:t>54.</w:t>
      </w:r>
      <w:r>
        <w:rPr>
          <w:sz w:val="26"/>
          <w:szCs w:val="20"/>
        </w:rPr>
        <w:tab/>
      </w:r>
      <w:r w:rsidRPr="00E80BF5">
        <w:rPr>
          <w:sz w:val="26"/>
          <w:szCs w:val="20"/>
        </w:rPr>
        <w:t>That respondent, by having its meter regulated so that a higher rate is charged than the current tariff rates on file with this Commission, violated 52 Pa. Code §</w:t>
      </w:r>
      <w:r>
        <w:rPr>
          <w:sz w:val="26"/>
          <w:szCs w:val="20"/>
        </w:rPr>
        <w:t xml:space="preserve"> </w:t>
      </w:r>
      <w:r w:rsidRPr="00E80BF5">
        <w:rPr>
          <w:sz w:val="26"/>
          <w:szCs w:val="20"/>
        </w:rPr>
        <w:t>29.314(b)(6) and §</w:t>
      </w:r>
      <w:r>
        <w:rPr>
          <w:sz w:val="26"/>
          <w:szCs w:val="20"/>
        </w:rPr>
        <w:t xml:space="preserve"> </w:t>
      </w:r>
      <w:r w:rsidRPr="00E80BF5">
        <w:rPr>
          <w:sz w:val="26"/>
          <w:szCs w:val="20"/>
        </w:rPr>
        <w:t>29.316.  The Bureau of Transportation and Safety Motor Carrier Services and Enforcement’s Prosecutory staff’s proposed civil penalty for this violation is $500.00 per vehicle, for a total proposed penalty of $6,500.00.</w:t>
      </w:r>
    </w:p>
    <w:p w:rsidR="00E80BF5" w:rsidRPr="00E80BF5" w:rsidRDefault="00E80BF5" w:rsidP="00261A03">
      <w:pPr>
        <w:widowControl w:val="0"/>
        <w:tabs>
          <w:tab w:val="left" w:pos="2196"/>
        </w:tabs>
        <w:autoSpaceDE w:val="0"/>
        <w:autoSpaceDN w:val="0"/>
        <w:ind w:left="1440" w:right="1440"/>
        <w:rPr>
          <w:sz w:val="26"/>
          <w:szCs w:val="20"/>
        </w:rPr>
      </w:pPr>
    </w:p>
    <w:p w:rsidR="00E80BF5" w:rsidRPr="00E80BF5" w:rsidRDefault="00E80BF5" w:rsidP="00261A03">
      <w:pPr>
        <w:widowControl w:val="0"/>
        <w:tabs>
          <w:tab w:val="left" w:pos="1440"/>
        </w:tabs>
        <w:autoSpaceDE w:val="0"/>
        <w:autoSpaceDN w:val="0"/>
        <w:spacing w:after="200"/>
        <w:ind w:left="1440" w:right="1440"/>
        <w:rPr>
          <w:sz w:val="26"/>
          <w:szCs w:val="20"/>
        </w:rPr>
      </w:pPr>
      <w:r>
        <w:rPr>
          <w:sz w:val="26"/>
          <w:szCs w:val="20"/>
        </w:rPr>
        <w:t>55.</w:t>
      </w:r>
      <w:r>
        <w:rPr>
          <w:sz w:val="26"/>
          <w:szCs w:val="20"/>
        </w:rPr>
        <w:tab/>
      </w:r>
      <w:r w:rsidRPr="00E80BF5">
        <w:rPr>
          <w:sz w:val="26"/>
          <w:szCs w:val="20"/>
        </w:rPr>
        <w:t>That respondent, by failing to have a fuel tank filler cap in place, violated 52 Pa. Code §</w:t>
      </w:r>
      <w:r>
        <w:rPr>
          <w:sz w:val="26"/>
          <w:szCs w:val="20"/>
        </w:rPr>
        <w:t xml:space="preserve"> </w:t>
      </w:r>
      <w:r w:rsidRPr="00E80BF5">
        <w:rPr>
          <w:sz w:val="26"/>
          <w:szCs w:val="20"/>
        </w:rPr>
        <w:t>29.402(1) and 67 Pa. C.S. §</w:t>
      </w:r>
      <w:r>
        <w:rPr>
          <w:sz w:val="26"/>
          <w:szCs w:val="20"/>
        </w:rPr>
        <w:t xml:space="preserve"> </w:t>
      </w:r>
      <w:r w:rsidRPr="00E80BF5">
        <w:rPr>
          <w:sz w:val="26"/>
          <w:szCs w:val="20"/>
        </w:rPr>
        <w:t xml:space="preserve">175.72(d).  The Bureau of Transportation and Safety Motor Carrier Services and Enforcement’s Prosecutory staff’s proposed civil penalty for this violation is $100.00 per vehicle, for a total proposed penalty of $200.00.  </w:t>
      </w:r>
    </w:p>
    <w:p w:rsidR="00E80BF5" w:rsidRPr="00E80BF5" w:rsidRDefault="00E80BF5" w:rsidP="00261A03">
      <w:pPr>
        <w:pStyle w:val="ListParagraph"/>
        <w:ind w:left="1440" w:right="1440"/>
        <w:rPr>
          <w:sz w:val="26"/>
          <w:szCs w:val="20"/>
        </w:rPr>
      </w:pPr>
    </w:p>
    <w:p w:rsidR="003F7233" w:rsidRDefault="00E80BF5" w:rsidP="00261A03">
      <w:pPr>
        <w:widowControl w:val="0"/>
        <w:tabs>
          <w:tab w:val="left" w:pos="2196"/>
        </w:tabs>
        <w:autoSpaceDE w:val="0"/>
        <w:autoSpaceDN w:val="0"/>
        <w:spacing w:after="200"/>
        <w:ind w:left="1440" w:right="1440"/>
        <w:rPr>
          <w:sz w:val="26"/>
          <w:szCs w:val="20"/>
        </w:rPr>
      </w:pPr>
      <w:r>
        <w:rPr>
          <w:sz w:val="26"/>
          <w:szCs w:val="20"/>
        </w:rPr>
        <w:t>56.</w:t>
      </w:r>
      <w:r>
        <w:rPr>
          <w:sz w:val="26"/>
          <w:szCs w:val="20"/>
        </w:rPr>
        <w:tab/>
      </w:r>
      <w:r w:rsidRPr="00E80BF5">
        <w:rPr>
          <w:sz w:val="26"/>
          <w:szCs w:val="20"/>
        </w:rPr>
        <w:t xml:space="preserve">That respondent, by failing to display a Commission-issued complaint decal on its vehicle, violated 52 Pa. Code </w:t>
      </w:r>
    </w:p>
    <w:p w:rsidR="00E80BF5" w:rsidRPr="00E80BF5" w:rsidRDefault="00E80BF5" w:rsidP="00261A03">
      <w:pPr>
        <w:widowControl w:val="0"/>
        <w:tabs>
          <w:tab w:val="left" w:pos="2196"/>
        </w:tabs>
        <w:autoSpaceDE w:val="0"/>
        <w:autoSpaceDN w:val="0"/>
        <w:spacing w:after="200"/>
        <w:ind w:left="1440" w:right="1440"/>
        <w:rPr>
          <w:sz w:val="26"/>
          <w:szCs w:val="20"/>
        </w:rPr>
      </w:pPr>
      <w:r w:rsidRPr="00E80BF5">
        <w:rPr>
          <w:sz w:val="26"/>
          <w:szCs w:val="20"/>
        </w:rPr>
        <w:t>§</w:t>
      </w:r>
      <w:r>
        <w:rPr>
          <w:sz w:val="26"/>
          <w:szCs w:val="20"/>
        </w:rPr>
        <w:t xml:space="preserve"> </w:t>
      </w:r>
      <w:r w:rsidRPr="00E80BF5">
        <w:rPr>
          <w:sz w:val="26"/>
          <w:szCs w:val="20"/>
        </w:rPr>
        <w:t xml:space="preserve">29.318.  The Bureau of Transportation and Safety Motor </w:t>
      </w:r>
      <w:r w:rsidRPr="00E80BF5">
        <w:rPr>
          <w:sz w:val="26"/>
          <w:szCs w:val="20"/>
        </w:rPr>
        <w:lastRenderedPageBreak/>
        <w:t>Carrier Services and Enforcement’s Prosecutory staff’s proposed civil penalty for this violation is $50.00 per annual inspection.</w:t>
      </w:r>
    </w:p>
    <w:p w:rsidR="00E80BF5" w:rsidRPr="00E80BF5" w:rsidRDefault="00E80BF5" w:rsidP="00261A03">
      <w:pPr>
        <w:pStyle w:val="ListParagraph"/>
        <w:ind w:left="1440" w:right="1440"/>
        <w:rPr>
          <w:sz w:val="26"/>
          <w:szCs w:val="20"/>
        </w:rPr>
      </w:pPr>
    </w:p>
    <w:p w:rsidR="00E80BF5" w:rsidRPr="00E80BF5" w:rsidRDefault="00E80BF5" w:rsidP="00261A03">
      <w:pPr>
        <w:widowControl w:val="0"/>
        <w:tabs>
          <w:tab w:val="left" w:pos="1440"/>
        </w:tabs>
        <w:autoSpaceDE w:val="0"/>
        <w:autoSpaceDN w:val="0"/>
        <w:spacing w:after="200"/>
        <w:ind w:left="1440" w:right="1440"/>
        <w:rPr>
          <w:sz w:val="26"/>
          <w:szCs w:val="20"/>
        </w:rPr>
      </w:pPr>
      <w:r>
        <w:rPr>
          <w:sz w:val="26"/>
          <w:szCs w:val="20"/>
        </w:rPr>
        <w:t>57.</w:t>
      </w:r>
      <w:r>
        <w:rPr>
          <w:sz w:val="26"/>
          <w:szCs w:val="20"/>
        </w:rPr>
        <w:tab/>
      </w:r>
      <w:r w:rsidRPr="00E80BF5">
        <w:rPr>
          <w:sz w:val="26"/>
          <w:szCs w:val="20"/>
        </w:rPr>
        <w:t>That respondent, by failing to have its vehicle marked with the number of its PUC certificate of public convenience, violated 52 Pa. Code §</w:t>
      </w:r>
      <w:r>
        <w:rPr>
          <w:sz w:val="26"/>
          <w:szCs w:val="20"/>
        </w:rPr>
        <w:t xml:space="preserve"> </w:t>
      </w:r>
      <w:r w:rsidRPr="00E80BF5">
        <w:rPr>
          <w:sz w:val="26"/>
          <w:szCs w:val="20"/>
        </w:rPr>
        <w:t xml:space="preserve">29.71(a).  The Bureau of Transportation and Safety Motor Carrier Services and Enforcement’s Prosecutory staff’s proposed civil penalty for this violation is $50.00 per annual inspection.  </w:t>
      </w:r>
    </w:p>
    <w:p w:rsidR="00E80BF5" w:rsidRPr="00E80BF5" w:rsidRDefault="00E80BF5" w:rsidP="00261A03">
      <w:pPr>
        <w:pStyle w:val="ListParagraph"/>
        <w:ind w:left="1440" w:right="1440"/>
        <w:rPr>
          <w:sz w:val="26"/>
          <w:szCs w:val="20"/>
        </w:rPr>
      </w:pPr>
    </w:p>
    <w:p w:rsidR="00E80BF5" w:rsidRPr="00E80BF5" w:rsidRDefault="00E80BF5" w:rsidP="00261A03">
      <w:pPr>
        <w:widowControl w:val="0"/>
        <w:tabs>
          <w:tab w:val="left" w:pos="2196"/>
        </w:tabs>
        <w:autoSpaceDE w:val="0"/>
        <w:autoSpaceDN w:val="0"/>
        <w:spacing w:after="200"/>
        <w:ind w:left="1440" w:right="1440"/>
        <w:rPr>
          <w:sz w:val="26"/>
          <w:szCs w:val="20"/>
        </w:rPr>
      </w:pPr>
      <w:r>
        <w:rPr>
          <w:sz w:val="26"/>
          <w:szCs w:val="20"/>
        </w:rPr>
        <w:t>58.</w:t>
      </w:r>
      <w:r>
        <w:rPr>
          <w:sz w:val="26"/>
          <w:szCs w:val="20"/>
        </w:rPr>
        <w:tab/>
      </w:r>
      <w:r w:rsidRPr="00E80BF5">
        <w:rPr>
          <w:sz w:val="26"/>
          <w:szCs w:val="20"/>
        </w:rPr>
        <w:t>That respondent, by failing to have a properly secured rear seat, violated 52 Pa. Code §</w:t>
      </w:r>
      <w:r>
        <w:rPr>
          <w:sz w:val="26"/>
          <w:szCs w:val="20"/>
        </w:rPr>
        <w:t xml:space="preserve"> </w:t>
      </w:r>
      <w:r w:rsidRPr="00E80BF5">
        <w:rPr>
          <w:sz w:val="26"/>
          <w:szCs w:val="20"/>
        </w:rPr>
        <w:t xml:space="preserve">29.403(9).  The Bureau of Transportation and Safety Motor Carrier Services and Enforcement’s Prosecutory staff’s proposed civil penalty for this violation is $100.00 per annual inspection.  </w:t>
      </w:r>
    </w:p>
    <w:p w:rsidR="00E80BF5" w:rsidRPr="00E80BF5" w:rsidRDefault="00E80BF5" w:rsidP="00261A03">
      <w:pPr>
        <w:pStyle w:val="ListParagraph"/>
        <w:ind w:left="1440" w:right="1440"/>
        <w:rPr>
          <w:sz w:val="26"/>
          <w:szCs w:val="20"/>
        </w:rPr>
      </w:pPr>
    </w:p>
    <w:p w:rsidR="00E80BF5" w:rsidRDefault="00E80BF5" w:rsidP="00261A03">
      <w:pPr>
        <w:widowControl w:val="0"/>
        <w:tabs>
          <w:tab w:val="left" w:pos="2196"/>
        </w:tabs>
        <w:autoSpaceDE w:val="0"/>
        <w:autoSpaceDN w:val="0"/>
        <w:spacing w:after="200"/>
        <w:ind w:left="1440" w:right="1440"/>
        <w:rPr>
          <w:sz w:val="26"/>
          <w:szCs w:val="20"/>
        </w:rPr>
      </w:pPr>
      <w:r>
        <w:rPr>
          <w:sz w:val="26"/>
          <w:szCs w:val="20"/>
        </w:rPr>
        <w:t>59.</w:t>
      </w:r>
      <w:r>
        <w:rPr>
          <w:sz w:val="26"/>
          <w:szCs w:val="20"/>
        </w:rPr>
        <w:tab/>
      </w:r>
      <w:r w:rsidRPr="00E80BF5">
        <w:rPr>
          <w:sz w:val="26"/>
          <w:szCs w:val="20"/>
        </w:rPr>
        <w:t>That respondent, by failing to have a trunk compartment clean and suitable for carrying passengers’ luggage, violated 52 Pa. Code §</w:t>
      </w:r>
      <w:r w:rsidR="00C2748A">
        <w:rPr>
          <w:sz w:val="26"/>
          <w:szCs w:val="20"/>
        </w:rPr>
        <w:t xml:space="preserve"> </w:t>
      </w:r>
      <w:r w:rsidRPr="00E80BF5">
        <w:rPr>
          <w:sz w:val="26"/>
          <w:szCs w:val="20"/>
        </w:rPr>
        <w:t xml:space="preserve">29.403(4).  The Bureau of Transportation and Safety Motor Carrier Services and Enforcement’s Prosecutory staff’s proposed civil penalty for this violation is $100.00 per annual inspection.  </w:t>
      </w:r>
    </w:p>
    <w:p w:rsidR="00092EC8" w:rsidRPr="00E80BF5" w:rsidRDefault="00092EC8" w:rsidP="00261A03">
      <w:pPr>
        <w:widowControl w:val="0"/>
        <w:tabs>
          <w:tab w:val="left" w:pos="2196"/>
        </w:tabs>
        <w:autoSpaceDE w:val="0"/>
        <w:autoSpaceDN w:val="0"/>
        <w:spacing w:after="200"/>
        <w:ind w:left="1440" w:right="1440"/>
        <w:rPr>
          <w:sz w:val="26"/>
          <w:szCs w:val="20"/>
        </w:rPr>
      </w:pPr>
    </w:p>
    <w:p w:rsidR="00E80BF5" w:rsidRPr="00E80BF5" w:rsidRDefault="00C2748A" w:rsidP="00261A03">
      <w:pPr>
        <w:widowControl w:val="0"/>
        <w:tabs>
          <w:tab w:val="left" w:pos="1440"/>
        </w:tabs>
        <w:autoSpaceDE w:val="0"/>
        <w:autoSpaceDN w:val="0"/>
        <w:spacing w:after="200"/>
        <w:ind w:left="1440" w:right="1440"/>
        <w:rPr>
          <w:sz w:val="26"/>
          <w:szCs w:val="20"/>
        </w:rPr>
      </w:pPr>
      <w:r>
        <w:rPr>
          <w:sz w:val="26"/>
          <w:szCs w:val="20"/>
        </w:rPr>
        <w:t>60.</w:t>
      </w:r>
      <w:r>
        <w:rPr>
          <w:sz w:val="26"/>
          <w:szCs w:val="20"/>
        </w:rPr>
        <w:tab/>
      </w:r>
      <w:r w:rsidR="00E80BF5" w:rsidRPr="00E80BF5">
        <w:rPr>
          <w:sz w:val="26"/>
          <w:szCs w:val="20"/>
        </w:rPr>
        <w:t>That respondent, by failing to have a properly functioning meter which properly charged for a second zone of service, violated 52 Pa. Code §</w:t>
      </w:r>
      <w:r w:rsidR="00871B93">
        <w:rPr>
          <w:sz w:val="26"/>
          <w:szCs w:val="20"/>
        </w:rPr>
        <w:t xml:space="preserve"> </w:t>
      </w:r>
      <w:r w:rsidR="00E80BF5" w:rsidRPr="00E80BF5">
        <w:rPr>
          <w:sz w:val="26"/>
          <w:szCs w:val="20"/>
        </w:rPr>
        <w:t>29.314(b)(6), §</w:t>
      </w:r>
      <w:r w:rsidR="00871B93">
        <w:rPr>
          <w:sz w:val="26"/>
          <w:szCs w:val="20"/>
        </w:rPr>
        <w:t xml:space="preserve"> </w:t>
      </w:r>
      <w:r w:rsidR="00E80BF5" w:rsidRPr="00E80BF5">
        <w:rPr>
          <w:sz w:val="26"/>
          <w:szCs w:val="20"/>
        </w:rPr>
        <w:t>9.314(b)(7), and §</w:t>
      </w:r>
      <w:r w:rsidR="00871B93">
        <w:rPr>
          <w:sz w:val="26"/>
          <w:szCs w:val="20"/>
        </w:rPr>
        <w:t xml:space="preserve"> </w:t>
      </w:r>
      <w:r w:rsidR="00E80BF5" w:rsidRPr="00E80BF5">
        <w:rPr>
          <w:sz w:val="26"/>
          <w:szCs w:val="20"/>
        </w:rPr>
        <w:t>29.316.  The Bureau of Transportation and Safety Motor Carrier Services and Enforcement’s Prosecutory staff’s proposed civil penalty for this violation is $1,000.00 per vehicle, for a total proposed penalty of $2,000.00.</w:t>
      </w:r>
    </w:p>
    <w:p w:rsidR="00E80BF5" w:rsidRPr="00E80BF5" w:rsidRDefault="00E80BF5" w:rsidP="00261A03">
      <w:pPr>
        <w:widowControl w:val="0"/>
        <w:tabs>
          <w:tab w:val="left" w:pos="2196"/>
        </w:tabs>
        <w:autoSpaceDE w:val="0"/>
        <w:autoSpaceDN w:val="0"/>
        <w:ind w:left="1440" w:right="1440"/>
        <w:rPr>
          <w:sz w:val="26"/>
          <w:szCs w:val="20"/>
        </w:rPr>
      </w:pPr>
    </w:p>
    <w:p w:rsidR="00E80BF5" w:rsidRDefault="00871B93" w:rsidP="00074512">
      <w:pPr>
        <w:tabs>
          <w:tab w:val="left" w:pos="2196"/>
        </w:tabs>
        <w:autoSpaceDE w:val="0"/>
        <w:autoSpaceDN w:val="0"/>
        <w:ind w:left="1440" w:right="1440"/>
        <w:rPr>
          <w:sz w:val="26"/>
          <w:szCs w:val="20"/>
        </w:rPr>
      </w:pPr>
      <w:r>
        <w:rPr>
          <w:sz w:val="26"/>
          <w:szCs w:val="20"/>
        </w:rPr>
        <w:t>61.</w:t>
      </w:r>
      <w:r>
        <w:rPr>
          <w:sz w:val="26"/>
          <w:szCs w:val="20"/>
        </w:rPr>
        <w:tab/>
      </w:r>
      <w:r w:rsidR="00E80BF5" w:rsidRPr="00E80BF5">
        <w:rPr>
          <w:sz w:val="26"/>
          <w:szCs w:val="20"/>
        </w:rPr>
        <w:t xml:space="preserve">That respondent, by </w:t>
      </w:r>
      <w:r w:rsidR="0045431E">
        <w:rPr>
          <w:sz w:val="26"/>
          <w:szCs w:val="20"/>
        </w:rPr>
        <w:t>[failing to have]</w:t>
      </w:r>
      <w:r w:rsidR="00E80BF5" w:rsidRPr="00E80BF5">
        <w:rPr>
          <w:sz w:val="26"/>
          <w:szCs w:val="20"/>
        </w:rPr>
        <w:t xml:space="preserve"> tires in safe operating condition installed, violated 52 Pa. Code §</w:t>
      </w:r>
      <w:r>
        <w:rPr>
          <w:sz w:val="26"/>
          <w:szCs w:val="20"/>
        </w:rPr>
        <w:t xml:space="preserve"> </w:t>
      </w:r>
      <w:r w:rsidR="00E80BF5" w:rsidRPr="00E80BF5">
        <w:rPr>
          <w:sz w:val="26"/>
          <w:szCs w:val="20"/>
        </w:rPr>
        <w:t>29.402(1) and 67 Pa. C.S. §</w:t>
      </w:r>
      <w:r>
        <w:rPr>
          <w:sz w:val="26"/>
          <w:szCs w:val="20"/>
        </w:rPr>
        <w:t xml:space="preserve"> </w:t>
      </w:r>
      <w:r w:rsidR="00E80BF5" w:rsidRPr="00E80BF5">
        <w:rPr>
          <w:sz w:val="26"/>
          <w:szCs w:val="20"/>
        </w:rPr>
        <w:t>175.65(a).  The Bureau of Transportation and Safety Motor Carrier Services and Enforcement’s Prosecutory staff’s proposed civil penalty for this violation is $100.00 per vehicle, for a total proposed penalty of $200.00.</w:t>
      </w:r>
    </w:p>
    <w:p w:rsidR="00074512" w:rsidRPr="00E80BF5" w:rsidRDefault="00074512" w:rsidP="00074512">
      <w:pPr>
        <w:tabs>
          <w:tab w:val="left" w:pos="2196"/>
        </w:tabs>
        <w:autoSpaceDE w:val="0"/>
        <w:autoSpaceDN w:val="0"/>
        <w:spacing w:after="200"/>
        <w:ind w:left="1440" w:right="1440"/>
        <w:rPr>
          <w:sz w:val="26"/>
          <w:szCs w:val="20"/>
        </w:rPr>
      </w:pPr>
    </w:p>
    <w:p w:rsidR="0080285B" w:rsidRDefault="003A6C95" w:rsidP="0038279A">
      <w:pPr>
        <w:widowControl w:val="0"/>
        <w:tabs>
          <w:tab w:val="left" w:pos="2196"/>
        </w:tabs>
        <w:autoSpaceDE w:val="0"/>
        <w:autoSpaceDN w:val="0"/>
        <w:ind w:left="1440" w:right="1440"/>
        <w:rPr>
          <w:sz w:val="26"/>
          <w:szCs w:val="20"/>
        </w:rPr>
      </w:pPr>
      <w:r>
        <w:rPr>
          <w:sz w:val="26"/>
          <w:szCs w:val="20"/>
        </w:rPr>
        <w:t>62.</w:t>
      </w:r>
      <w:r>
        <w:rPr>
          <w:sz w:val="26"/>
          <w:szCs w:val="20"/>
        </w:rPr>
        <w:tab/>
      </w:r>
      <w:r w:rsidR="00E80BF5" w:rsidRPr="00E80BF5">
        <w:rPr>
          <w:sz w:val="26"/>
          <w:szCs w:val="20"/>
        </w:rPr>
        <w:t>That respondent, by having an improperly functioning door, violated 52 Pa. Code §</w:t>
      </w:r>
      <w:r>
        <w:rPr>
          <w:sz w:val="26"/>
          <w:szCs w:val="20"/>
        </w:rPr>
        <w:t xml:space="preserve"> </w:t>
      </w:r>
      <w:r w:rsidR="00E80BF5" w:rsidRPr="00E80BF5">
        <w:rPr>
          <w:sz w:val="26"/>
          <w:szCs w:val="20"/>
        </w:rPr>
        <w:t xml:space="preserve">29.402(2) and 67 Pa. C.S. </w:t>
      </w:r>
    </w:p>
    <w:p w:rsidR="00E80BF5" w:rsidRPr="00E80BF5" w:rsidRDefault="00E80BF5" w:rsidP="0038279A">
      <w:pPr>
        <w:widowControl w:val="0"/>
        <w:tabs>
          <w:tab w:val="left" w:pos="2196"/>
        </w:tabs>
        <w:autoSpaceDE w:val="0"/>
        <w:autoSpaceDN w:val="0"/>
        <w:ind w:left="1440" w:right="1440"/>
        <w:rPr>
          <w:sz w:val="26"/>
          <w:szCs w:val="20"/>
        </w:rPr>
      </w:pPr>
      <w:r w:rsidRPr="00E80BF5">
        <w:rPr>
          <w:sz w:val="26"/>
          <w:szCs w:val="20"/>
        </w:rPr>
        <w:t>§</w:t>
      </w:r>
      <w:r w:rsidR="003A6C95">
        <w:rPr>
          <w:sz w:val="26"/>
          <w:szCs w:val="20"/>
        </w:rPr>
        <w:t xml:space="preserve"> </w:t>
      </w:r>
      <w:r w:rsidRPr="00E80BF5">
        <w:rPr>
          <w:sz w:val="26"/>
          <w:szCs w:val="20"/>
        </w:rPr>
        <w:t>175.77(f).  The Bureau of Transportation and Safety Motor Carrier Services and Enforcement’s Prosecutory staff’s proposed civil penalty for this violation is $100.00.</w:t>
      </w:r>
      <w:r w:rsidR="003A6C95">
        <w:rPr>
          <w:sz w:val="26"/>
          <w:szCs w:val="20"/>
        </w:rPr>
        <w:t xml:space="preserve">  </w:t>
      </w:r>
    </w:p>
    <w:p w:rsidR="00E80BF5" w:rsidRPr="00E80BF5" w:rsidRDefault="00E80BF5" w:rsidP="00074512">
      <w:pPr>
        <w:widowControl w:val="0"/>
        <w:tabs>
          <w:tab w:val="left" w:pos="2196"/>
        </w:tabs>
        <w:autoSpaceDE w:val="0"/>
        <w:autoSpaceDN w:val="0"/>
        <w:spacing w:after="200"/>
        <w:ind w:left="1440" w:right="1440"/>
        <w:rPr>
          <w:sz w:val="26"/>
          <w:szCs w:val="20"/>
        </w:rPr>
      </w:pPr>
    </w:p>
    <w:p w:rsidR="00E80BF5" w:rsidRPr="00E80BF5" w:rsidRDefault="0072171D" w:rsidP="00261A03">
      <w:pPr>
        <w:widowControl w:val="0"/>
        <w:tabs>
          <w:tab w:val="left" w:pos="1440"/>
        </w:tabs>
        <w:autoSpaceDE w:val="0"/>
        <w:autoSpaceDN w:val="0"/>
        <w:spacing w:after="200"/>
        <w:ind w:left="1440" w:right="1440"/>
        <w:rPr>
          <w:sz w:val="26"/>
          <w:szCs w:val="20"/>
        </w:rPr>
      </w:pPr>
      <w:r>
        <w:rPr>
          <w:sz w:val="26"/>
          <w:szCs w:val="20"/>
        </w:rPr>
        <w:t>63.</w:t>
      </w:r>
      <w:r>
        <w:rPr>
          <w:sz w:val="26"/>
          <w:szCs w:val="20"/>
        </w:rPr>
        <w:tab/>
      </w:r>
      <w:r w:rsidR="00E80BF5" w:rsidRPr="00E80BF5">
        <w:rPr>
          <w:sz w:val="26"/>
          <w:szCs w:val="20"/>
        </w:rPr>
        <w:t xml:space="preserve">That respondent, by failing to have a secured battery in its vehicle while in operation, violated 52 Pa. Code </w:t>
      </w:r>
      <w:r w:rsidR="0080285B">
        <w:rPr>
          <w:sz w:val="26"/>
          <w:szCs w:val="20"/>
        </w:rPr>
        <w:t xml:space="preserve">                </w:t>
      </w:r>
      <w:r w:rsidR="00E80BF5" w:rsidRPr="00E80BF5">
        <w:rPr>
          <w:sz w:val="26"/>
          <w:szCs w:val="20"/>
        </w:rPr>
        <w:t>§</w:t>
      </w:r>
      <w:r>
        <w:rPr>
          <w:sz w:val="26"/>
          <w:szCs w:val="20"/>
        </w:rPr>
        <w:t xml:space="preserve"> </w:t>
      </w:r>
      <w:r w:rsidR="00E80BF5" w:rsidRPr="00E80BF5">
        <w:rPr>
          <w:sz w:val="26"/>
          <w:szCs w:val="20"/>
        </w:rPr>
        <w:t>29.402(1) and 67 Pa. C.S. §</w:t>
      </w:r>
      <w:r>
        <w:rPr>
          <w:sz w:val="26"/>
          <w:szCs w:val="20"/>
        </w:rPr>
        <w:t xml:space="preserve"> </w:t>
      </w:r>
      <w:r w:rsidR="00E80BF5" w:rsidRPr="00E80BF5">
        <w:rPr>
          <w:sz w:val="26"/>
          <w:szCs w:val="20"/>
        </w:rPr>
        <w:t>175.66(n)</w:t>
      </w:r>
      <w:r>
        <w:rPr>
          <w:sz w:val="26"/>
          <w:szCs w:val="20"/>
        </w:rPr>
        <w:t>.</w:t>
      </w:r>
      <w:r w:rsidR="00E80BF5" w:rsidRPr="00E80BF5">
        <w:rPr>
          <w:sz w:val="26"/>
          <w:szCs w:val="20"/>
        </w:rPr>
        <w:t xml:space="preserve">  The Bureau of Transportation and Safety Motor Carrier Services and Enforcement’s Prosecutory staff’s proposed civil penalty for this violation is $100.00 per vehicle for a total proposed penalty of $300.00.</w:t>
      </w:r>
    </w:p>
    <w:p w:rsidR="00E80BF5" w:rsidRPr="00E80BF5" w:rsidRDefault="00E80BF5" w:rsidP="00261A03">
      <w:pPr>
        <w:pStyle w:val="ListParagraph"/>
        <w:ind w:left="1440" w:right="1440"/>
        <w:rPr>
          <w:sz w:val="26"/>
          <w:szCs w:val="20"/>
        </w:rPr>
      </w:pPr>
    </w:p>
    <w:p w:rsidR="00E80BF5" w:rsidRPr="00E80BF5" w:rsidRDefault="0072171D" w:rsidP="00261A03">
      <w:pPr>
        <w:widowControl w:val="0"/>
        <w:tabs>
          <w:tab w:val="left" w:pos="2196"/>
        </w:tabs>
        <w:autoSpaceDE w:val="0"/>
        <w:autoSpaceDN w:val="0"/>
        <w:spacing w:after="200"/>
        <w:ind w:left="1440" w:right="1440"/>
        <w:rPr>
          <w:sz w:val="26"/>
          <w:szCs w:val="20"/>
        </w:rPr>
      </w:pPr>
      <w:r>
        <w:rPr>
          <w:sz w:val="26"/>
          <w:szCs w:val="20"/>
        </w:rPr>
        <w:t>64.</w:t>
      </w:r>
      <w:r>
        <w:rPr>
          <w:sz w:val="26"/>
          <w:szCs w:val="20"/>
        </w:rPr>
        <w:tab/>
      </w:r>
      <w:r w:rsidR="00E80BF5" w:rsidRPr="00E80BF5">
        <w:rPr>
          <w:sz w:val="26"/>
          <w:szCs w:val="20"/>
        </w:rPr>
        <w:t>That respondent, by failing to have a complete matching set of wheel covers on its vehicle, violated 52 Pa. Code §</w:t>
      </w:r>
      <w:r>
        <w:rPr>
          <w:sz w:val="26"/>
          <w:szCs w:val="20"/>
        </w:rPr>
        <w:t xml:space="preserve"> </w:t>
      </w:r>
      <w:r w:rsidR="00E80BF5" w:rsidRPr="00E80BF5">
        <w:rPr>
          <w:sz w:val="26"/>
          <w:szCs w:val="20"/>
        </w:rPr>
        <w:t>29.403(7).  The Bureau of Transportation and Safety Motor Carrier Services and Enforcement’s Prosecutory staff’s proposed civil penalty for this violation is $100.00 per annual inspection.</w:t>
      </w:r>
    </w:p>
    <w:p w:rsidR="00E80BF5" w:rsidRPr="00E80BF5" w:rsidRDefault="00E80BF5" w:rsidP="00261A03">
      <w:pPr>
        <w:pStyle w:val="ListParagraph"/>
        <w:ind w:left="1440" w:right="1440"/>
        <w:rPr>
          <w:sz w:val="26"/>
          <w:szCs w:val="20"/>
        </w:rPr>
      </w:pPr>
    </w:p>
    <w:p w:rsidR="00E80BF5" w:rsidRPr="00E80BF5" w:rsidRDefault="0072171D" w:rsidP="00261A03">
      <w:pPr>
        <w:widowControl w:val="0"/>
        <w:tabs>
          <w:tab w:val="left" w:pos="2196"/>
        </w:tabs>
        <w:autoSpaceDE w:val="0"/>
        <w:autoSpaceDN w:val="0"/>
        <w:spacing w:after="200"/>
        <w:ind w:left="1440" w:right="1440"/>
        <w:rPr>
          <w:sz w:val="26"/>
          <w:szCs w:val="20"/>
        </w:rPr>
      </w:pPr>
      <w:r>
        <w:rPr>
          <w:sz w:val="26"/>
          <w:szCs w:val="20"/>
        </w:rPr>
        <w:t>65.</w:t>
      </w:r>
      <w:r>
        <w:rPr>
          <w:sz w:val="26"/>
          <w:szCs w:val="20"/>
        </w:rPr>
        <w:tab/>
      </w:r>
      <w:r w:rsidR="00E80BF5" w:rsidRPr="00E80BF5">
        <w:rPr>
          <w:sz w:val="26"/>
          <w:szCs w:val="20"/>
        </w:rPr>
        <w:t>That respondent, by having its meter regulated so that a lower rate is charged than the current tariff rates on file with this Commission, violated 52 Pa. Code §</w:t>
      </w:r>
      <w:r>
        <w:rPr>
          <w:sz w:val="26"/>
          <w:szCs w:val="20"/>
        </w:rPr>
        <w:t xml:space="preserve"> </w:t>
      </w:r>
      <w:r w:rsidR="00E80BF5" w:rsidRPr="00E80BF5">
        <w:rPr>
          <w:sz w:val="26"/>
          <w:szCs w:val="20"/>
        </w:rPr>
        <w:t>29.314(b)(6) and</w:t>
      </w:r>
      <w:r w:rsidR="00E535F4">
        <w:rPr>
          <w:sz w:val="26"/>
          <w:szCs w:val="20"/>
        </w:rPr>
        <w:t xml:space="preserve">      </w:t>
      </w:r>
      <w:r w:rsidR="00E80BF5" w:rsidRPr="00E80BF5">
        <w:rPr>
          <w:sz w:val="26"/>
          <w:szCs w:val="20"/>
        </w:rPr>
        <w:t>§</w:t>
      </w:r>
      <w:r w:rsidR="00E535F4">
        <w:rPr>
          <w:sz w:val="26"/>
          <w:szCs w:val="20"/>
        </w:rPr>
        <w:t xml:space="preserve"> </w:t>
      </w:r>
      <w:r w:rsidR="00E80BF5" w:rsidRPr="00E80BF5">
        <w:rPr>
          <w:sz w:val="26"/>
          <w:szCs w:val="20"/>
        </w:rPr>
        <w:t>29.316.  The Bureau of Transportation and Safety Motor Carrier Services and Enforcement’s Prosecutory staff’s proposed civil penalty for this violation is $250.00.</w:t>
      </w:r>
      <w:r>
        <w:rPr>
          <w:sz w:val="26"/>
          <w:szCs w:val="20"/>
        </w:rPr>
        <w:t xml:space="preserve">  </w:t>
      </w:r>
    </w:p>
    <w:p w:rsidR="00E80BF5" w:rsidRDefault="00E80BF5" w:rsidP="00E80BF5">
      <w:pPr>
        <w:widowControl w:val="0"/>
        <w:tabs>
          <w:tab w:val="left" w:pos="2196"/>
        </w:tabs>
        <w:autoSpaceDE w:val="0"/>
        <w:autoSpaceDN w:val="0"/>
        <w:ind w:left="1440"/>
        <w:rPr>
          <w:sz w:val="20"/>
          <w:szCs w:val="20"/>
        </w:rPr>
      </w:pPr>
    </w:p>
    <w:p w:rsidR="00F919E8" w:rsidRPr="00BF3CBC" w:rsidRDefault="00A16A4E" w:rsidP="0072171D">
      <w:pPr>
        <w:pStyle w:val="BodyText"/>
        <w:rPr>
          <w:szCs w:val="24"/>
        </w:rPr>
      </w:pPr>
      <w:r>
        <w:rPr>
          <w:szCs w:val="24"/>
        </w:rPr>
        <w:t>Complaint at ¶¶ 54 - 65.  For these violations, I&amp;E sought a</w:t>
      </w:r>
      <w:r w:rsidR="00F919E8" w:rsidRPr="00BF3CBC">
        <w:rPr>
          <w:szCs w:val="24"/>
        </w:rPr>
        <w:t xml:space="preserve"> </w:t>
      </w:r>
      <w:r w:rsidR="002E59E3">
        <w:rPr>
          <w:szCs w:val="24"/>
        </w:rPr>
        <w:t xml:space="preserve">total </w:t>
      </w:r>
      <w:r w:rsidR="00F919E8" w:rsidRPr="00BF3CBC">
        <w:rPr>
          <w:szCs w:val="24"/>
        </w:rPr>
        <w:t xml:space="preserve">civil penalty </w:t>
      </w:r>
      <w:r>
        <w:rPr>
          <w:szCs w:val="24"/>
        </w:rPr>
        <w:t xml:space="preserve">of </w:t>
      </w:r>
      <w:r w:rsidR="00F919E8" w:rsidRPr="00BF3CBC">
        <w:rPr>
          <w:szCs w:val="24"/>
        </w:rPr>
        <w:t>$9,950.</w:t>
      </w:r>
      <w:r w:rsidR="002E59E3">
        <w:rPr>
          <w:szCs w:val="24"/>
        </w:rPr>
        <w:t xml:space="preserve">  </w:t>
      </w:r>
      <w:r>
        <w:rPr>
          <w:szCs w:val="24"/>
        </w:rPr>
        <w:t xml:space="preserve">  </w:t>
      </w:r>
    </w:p>
    <w:p w:rsidR="00F919E8" w:rsidRPr="00BF3CBC" w:rsidRDefault="00F919E8" w:rsidP="00F919E8">
      <w:pPr>
        <w:pStyle w:val="BodyText"/>
        <w:tabs>
          <w:tab w:val="left" w:pos="720"/>
        </w:tabs>
        <w:rPr>
          <w:szCs w:val="24"/>
        </w:rPr>
      </w:pPr>
    </w:p>
    <w:p w:rsidR="00F919E8" w:rsidRPr="00BF3CBC" w:rsidRDefault="00F919E8" w:rsidP="00F919E8">
      <w:pPr>
        <w:pStyle w:val="BodyText"/>
        <w:tabs>
          <w:tab w:val="left" w:pos="0"/>
        </w:tabs>
        <w:rPr>
          <w:szCs w:val="24"/>
        </w:rPr>
      </w:pPr>
      <w:r w:rsidRPr="00BF3CBC">
        <w:rPr>
          <w:szCs w:val="24"/>
        </w:rPr>
        <w:tab/>
      </w:r>
      <w:r w:rsidRPr="00BF3CBC">
        <w:rPr>
          <w:szCs w:val="24"/>
        </w:rPr>
        <w:tab/>
        <w:t xml:space="preserve">On August 23, 2010, the Respondent filed an </w:t>
      </w:r>
      <w:r w:rsidR="002E59E3">
        <w:rPr>
          <w:szCs w:val="24"/>
        </w:rPr>
        <w:t>A</w:t>
      </w:r>
      <w:r w:rsidRPr="00BF3CBC">
        <w:rPr>
          <w:szCs w:val="24"/>
        </w:rPr>
        <w:t>nswer admitting that an inspection occurred</w:t>
      </w:r>
      <w:r w:rsidR="002E59E3">
        <w:rPr>
          <w:szCs w:val="24"/>
        </w:rPr>
        <w:t>,</w:t>
      </w:r>
      <w:r w:rsidRPr="00BF3CBC">
        <w:rPr>
          <w:szCs w:val="24"/>
        </w:rPr>
        <w:t xml:space="preserve"> but denying the allegations in the </w:t>
      </w:r>
      <w:r w:rsidR="002E59E3">
        <w:rPr>
          <w:szCs w:val="24"/>
        </w:rPr>
        <w:t>C</w:t>
      </w:r>
      <w:r w:rsidRPr="00BF3CBC">
        <w:rPr>
          <w:szCs w:val="24"/>
        </w:rPr>
        <w:t xml:space="preserve">omplaint.  </w:t>
      </w:r>
    </w:p>
    <w:p w:rsidR="00F919E8" w:rsidRPr="00BF3CBC" w:rsidRDefault="00F919E8" w:rsidP="00F919E8">
      <w:pPr>
        <w:pStyle w:val="BodyText"/>
        <w:tabs>
          <w:tab w:val="left" w:pos="0"/>
        </w:tabs>
        <w:rPr>
          <w:szCs w:val="24"/>
        </w:rPr>
      </w:pPr>
    </w:p>
    <w:p w:rsidR="00EE2F68" w:rsidRDefault="00F919E8" w:rsidP="006070AE">
      <w:pPr>
        <w:pStyle w:val="BodyText"/>
        <w:tabs>
          <w:tab w:val="left" w:pos="0"/>
        </w:tabs>
        <w:rPr>
          <w:szCs w:val="24"/>
        </w:rPr>
      </w:pPr>
      <w:r w:rsidRPr="00BF3CBC">
        <w:rPr>
          <w:szCs w:val="24"/>
        </w:rPr>
        <w:lastRenderedPageBreak/>
        <w:tab/>
      </w:r>
      <w:r w:rsidRPr="00BF3CBC">
        <w:rPr>
          <w:szCs w:val="24"/>
        </w:rPr>
        <w:tab/>
      </w:r>
      <w:r w:rsidRPr="006070AE">
        <w:rPr>
          <w:szCs w:val="24"/>
        </w:rPr>
        <w:t xml:space="preserve">An initial hearing was held on October 25, 2011.  </w:t>
      </w:r>
      <w:r w:rsidR="006070AE">
        <w:rPr>
          <w:szCs w:val="24"/>
        </w:rPr>
        <w:t>I&amp;E was represented by counsel, presented the testimony of four witnesses</w:t>
      </w:r>
      <w:r w:rsidR="00261A03">
        <w:rPr>
          <w:szCs w:val="24"/>
        </w:rPr>
        <w:t>,</w:t>
      </w:r>
      <w:r w:rsidR="006070AE">
        <w:rPr>
          <w:szCs w:val="24"/>
        </w:rPr>
        <w:t xml:space="preserve"> and sponsored four exhibits.  </w:t>
      </w:r>
      <w:r w:rsidRPr="006070AE">
        <w:rPr>
          <w:szCs w:val="24"/>
        </w:rPr>
        <w:t xml:space="preserve">The Respondent was represented by </w:t>
      </w:r>
      <w:r w:rsidR="006070AE">
        <w:rPr>
          <w:szCs w:val="24"/>
        </w:rPr>
        <w:t xml:space="preserve">counsel and </w:t>
      </w:r>
      <w:r w:rsidRPr="006070AE">
        <w:rPr>
          <w:szCs w:val="24"/>
        </w:rPr>
        <w:t xml:space="preserve">presented the testimony of </w:t>
      </w:r>
      <w:r w:rsidR="006070AE">
        <w:rPr>
          <w:szCs w:val="24"/>
        </w:rPr>
        <w:t>two witnesses.</w:t>
      </w:r>
    </w:p>
    <w:p w:rsidR="00F919E8" w:rsidRPr="006070AE" w:rsidRDefault="006070AE" w:rsidP="006070AE">
      <w:pPr>
        <w:pStyle w:val="BodyText"/>
        <w:tabs>
          <w:tab w:val="left" w:pos="0"/>
        </w:tabs>
        <w:rPr>
          <w:szCs w:val="24"/>
        </w:rPr>
      </w:pPr>
      <w:r>
        <w:rPr>
          <w:szCs w:val="24"/>
        </w:rPr>
        <w:t xml:space="preserve">  </w:t>
      </w:r>
    </w:p>
    <w:p w:rsidR="00F919E8" w:rsidRDefault="00F919E8" w:rsidP="006070AE">
      <w:pPr>
        <w:spacing w:line="360" w:lineRule="auto"/>
        <w:rPr>
          <w:sz w:val="26"/>
        </w:rPr>
      </w:pPr>
      <w:r w:rsidRPr="006070AE">
        <w:rPr>
          <w:sz w:val="26"/>
        </w:rPr>
        <w:tab/>
      </w:r>
      <w:r w:rsidRPr="006070AE">
        <w:rPr>
          <w:sz w:val="26"/>
        </w:rPr>
        <w:tab/>
        <w:t>During the hearing,</w:t>
      </w:r>
      <w:r w:rsidRPr="006070AE">
        <w:rPr>
          <w:b/>
          <w:sz w:val="26"/>
        </w:rPr>
        <w:t xml:space="preserve"> </w:t>
      </w:r>
      <w:r w:rsidRPr="006070AE">
        <w:rPr>
          <w:sz w:val="26"/>
        </w:rPr>
        <w:t>counsel for the Respondent questioned the Commission’s jurisdiction to prosecute this case</w:t>
      </w:r>
      <w:r w:rsidR="00FD38BA">
        <w:rPr>
          <w:sz w:val="26"/>
        </w:rPr>
        <w:t xml:space="preserve"> based on the fact</w:t>
      </w:r>
      <w:r w:rsidRPr="006070AE">
        <w:rPr>
          <w:sz w:val="26"/>
        </w:rPr>
        <w:t xml:space="preserve"> that both the Commission and the Philadelphia Parking Authority </w:t>
      </w:r>
      <w:r w:rsidR="00261A03">
        <w:rPr>
          <w:sz w:val="26"/>
        </w:rPr>
        <w:t xml:space="preserve">(PPA) </w:t>
      </w:r>
      <w:r w:rsidRPr="006070AE">
        <w:rPr>
          <w:sz w:val="26"/>
        </w:rPr>
        <w:t>regulate the Respondent</w:t>
      </w:r>
      <w:r w:rsidR="00261A03">
        <w:rPr>
          <w:sz w:val="26"/>
        </w:rPr>
        <w:t>,</w:t>
      </w:r>
      <w:r w:rsidRPr="006070AE">
        <w:rPr>
          <w:sz w:val="26"/>
        </w:rPr>
        <w:t xml:space="preserve"> because it operates outside of Philadelphia and in part of Philadelphia.</w:t>
      </w:r>
      <w:r w:rsidR="00FD38BA">
        <w:rPr>
          <w:sz w:val="26"/>
        </w:rPr>
        <w:t xml:space="preserve">  Tr. at 165.</w:t>
      </w:r>
      <w:r w:rsidRPr="006070AE">
        <w:rPr>
          <w:sz w:val="26"/>
        </w:rPr>
        <w:t xml:space="preserve">  </w:t>
      </w:r>
      <w:r w:rsidR="00D17574">
        <w:rPr>
          <w:sz w:val="26"/>
        </w:rPr>
        <w:t>By</w:t>
      </w:r>
      <w:r w:rsidR="00FD38BA">
        <w:rPr>
          <w:sz w:val="26"/>
        </w:rPr>
        <w:t xml:space="preserve"> Order dated November 2, 2011, the ALJ determined that, after</w:t>
      </w:r>
      <w:r w:rsidRPr="006070AE">
        <w:rPr>
          <w:sz w:val="26"/>
        </w:rPr>
        <w:t xml:space="preserve"> the transcript was received</w:t>
      </w:r>
      <w:r w:rsidR="00FD38BA">
        <w:rPr>
          <w:sz w:val="26"/>
        </w:rPr>
        <w:t>,</w:t>
      </w:r>
      <w:r w:rsidRPr="006070AE">
        <w:rPr>
          <w:sz w:val="26"/>
        </w:rPr>
        <w:t xml:space="preserve"> the Respondent could file a motion and brief concerning jurisdiction and the Commission could file an answer and brief.  </w:t>
      </w:r>
    </w:p>
    <w:p w:rsidR="00FD38BA" w:rsidRPr="006070AE" w:rsidRDefault="00FD38BA" w:rsidP="006070AE">
      <w:pPr>
        <w:spacing w:line="360" w:lineRule="auto"/>
        <w:rPr>
          <w:sz w:val="26"/>
        </w:rPr>
      </w:pPr>
    </w:p>
    <w:p w:rsidR="007325F6" w:rsidRDefault="00F919E8" w:rsidP="007325F6">
      <w:pPr>
        <w:pStyle w:val="Default"/>
        <w:spacing w:line="360" w:lineRule="auto"/>
        <w:rPr>
          <w:color w:val="auto"/>
          <w:sz w:val="26"/>
        </w:rPr>
      </w:pPr>
      <w:r w:rsidRPr="006070AE">
        <w:rPr>
          <w:sz w:val="26"/>
        </w:rPr>
        <w:tab/>
      </w:r>
      <w:r w:rsidRPr="006070AE">
        <w:rPr>
          <w:sz w:val="26"/>
        </w:rPr>
        <w:tab/>
        <w:t>The Respondent filed a Motion for Declaratory Order</w:t>
      </w:r>
      <w:r w:rsidR="00D17574">
        <w:rPr>
          <w:sz w:val="26"/>
        </w:rPr>
        <w:t xml:space="preserve"> (Motion)</w:t>
      </w:r>
      <w:r w:rsidRPr="006070AE">
        <w:rPr>
          <w:sz w:val="26"/>
        </w:rPr>
        <w:t xml:space="preserve"> and Respondent’s Brief in Support of Motion for Declaratory Order on February 10, 2012.</w:t>
      </w:r>
      <w:r w:rsidR="007325F6" w:rsidRPr="007325F6">
        <w:rPr>
          <w:color w:val="auto"/>
          <w:sz w:val="26"/>
        </w:rPr>
        <w:t xml:space="preserve"> </w:t>
      </w:r>
      <w:r w:rsidR="007325F6">
        <w:rPr>
          <w:color w:val="auto"/>
          <w:sz w:val="26"/>
        </w:rPr>
        <w:t xml:space="preserve"> </w:t>
      </w:r>
      <w:r w:rsidR="0045431E">
        <w:rPr>
          <w:color w:val="auto"/>
          <w:sz w:val="26"/>
        </w:rPr>
        <w:t xml:space="preserve">The Motion sought to have the Complaint dismissed.  Motion at 1.  </w:t>
      </w:r>
      <w:r w:rsidR="007325F6" w:rsidRPr="00A6577E">
        <w:rPr>
          <w:color w:val="auto"/>
          <w:sz w:val="26"/>
        </w:rPr>
        <w:t>In the Motion</w:t>
      </w:r>
      <w:r w:rsidR="007325F6">
        <w:rPr>
          <w:color w:val="auto"/>
          <w:sz w:val="26"/>
        </w:rPr>
        <w:t>,</w:t>
      </w:r>
      <w:r w:rsidR="007325F6" w:rsidRPr="00A6577E">
        <w:rPr>
          <w:color w:val="auto"/>
          <w:sz w:val="26"/>
        </w:rPr>
        <w:t xml:space="preserve"> the Respondent stated that “Germantown does not contend that the Commission lacks jurisdiction over this proceeding.  Rather, Germantown contends that the Commission has </w:t>
      </w:r>
      <w:r w:rsidR="007325F6" w:rsidRPr="00A6577E">
        <w:rPr>
          <w:b/>
          <w:bCs/>
          <w:i/>
          <w:iCs/>
          <w:color w:val="auto"/>
          <w:sz w:val="26"/>
        </w:rPr>
        <w:t xml:space="preserve">exclusive </w:t>
      </w:r>
      <w:r w:rsidR="007325F6" w:rsidRPr="00A6577E">
        <w:rPr>
          <w:color w:val="auto"/>
          <w:sz w:val="26"/>
        </w:rPr>
        <w:t xml:space="preserve">jurisdiction and regulatory authority over Germantown.”  </w:t>
      </w:r>
      <w:r w:rsidR="0045431E">
        <w:rPr>
          <w:i/>
          <w:color w:val="auto"/>
          <w:sz w:val="26"/>
        </w:rPr>
        <w:t>Id.</w:t>
      </w:r>
      <w:r w:rsidR="007325F6" w:rsidRPr="00A6577E">
        <w:rPr>
          <w:color w:val="auto"/>
          <w:sz w:val="26"/>
        </w:rPr>
        <w:t xml:space="preserve"> at ¶¶ 6, 7.  </w:t>
      </w:r>
      <w:r w:rsidR="007325F6">
        <w:rPr>
          <w:color w:val="auto"/>
          <w:sz w:val="26"/>
        </w:rPr>
        <w:t>T</w:t>
      </w:r>
      <w:r w:rsidR="007325F6" w:rsidRPr="00A6577E">
        <w:rPr>
          <w:color w:val="auto"/>
          <w:sz w:val="26"/>
        </w:rPr>
        <w:t xml:space="preserve">he Respondent requested that the Commission clarify this issue in the context of the present </w:t>
      </w:r>
      <w:r w:rsidR="007325F6">
        <w:rPr>
          <w:color w:val="auto"/>
          <w:sz w:val="26"/>
        </w:rPr>
        <w:t>case</w:t>
      </w:r>
      <w:r w:rsidR="007325F6" w:rsidRPr="00A6577E">
        <w:rPr>
          <w:color w:val="auto"/>
          <w:sz w:val="26"/>
        </w:rPr>
        <w:t xml:space="preserve">.  </w:t>
      </w:r>
      <w:r w:rsidR="0045431E">
        <w:rPr>
          <w:i/>
          <w:color w:val="auto"/>
          <w:sz w:val="26"/>
        </w:rPr>
        <w:t>Id.</w:t>
      </w:r>
      <w:r w:rsidR="007325F6" w:rsidRPr="00A6577E">
        <w:rPr>
          <w:color w:val="auto"/>
          <w:sz w:val="26"/>
        </w:rPr>
        <w:t xml:space="preserve"> at 8.</w:t>
      </w:r>
      <w:r w:rsidR="007325F6">
        <w:rPr>
          <w:color w:val="auto"/>
          <w:sz w:val="26"/>
        </w:rPr>
        <w:t xml:space="preserve">  </w:t>
      </w:r>
      <w:r w:rsidR="007325F6" w:rsidRPr="00A6577E">
        <w:rPr>
          <w:color w:val="auto"/>
          <w:sz w:val="26"/>
        </w:rPr>
        <w:t>The Respondent expressed concern about complying with conflicting regulations</w:t>
      </w:r>
      <w:r w:rsidR="007325F6">
        <w:rPr>
          <w:color w:val="auto"/>
          <w:sz w:val="26"/>
        </w:rPr>
        <w:t>,</w:t>
      </w:r>
      <w:r w:rsidR="007325F6" w:rsidRPr="00A6577E">
        <w:rPr>
          <w:color w:val="auto"/>
          <w:sz w:val="26"/>
        </w:rPr>
        <w:t xml:space="preserve"> specifically the rates that </w:t>
      </w:r>
      <w:r w:rsidR="007325F6">
        <w:rPr>
          <w:color w:val="auto"/>
          <w:sz w:val="26"/>
        </w:rPr>
        <w:t xml:space="preserve">the </w:t>
      </w:r>
      <w:r w:rsidR="007325F6" w:rsidRPr="00A6577E">
        <w:rPr>
          <w:color w:val="auto"/>
          <w:sz w:val="26"/>
        </w:rPr>
        <w:t xml:space="preserve">PPA requires versus the rates in its tariff </w:t>
      </w:r>
      <w:r w:rsidR="00261A03">
        <w:rPr>
          <w:color w:val="auto"/>
          <w:sz w:val="26"/>
        </w:rPr>
        <w:t>on</w:t>
      </w:r>
      <w:r w:rsidR="007325F6" w:rsidRPr="00A6577E">
        <w:rPr>
          <w:color w:val="auto"/>
          <w:sz w:val="26"/>
        </w:rPr>
        <w:t xml:space="preserve"> file with the Commission.  </w:t>
      </w:r>
      <w:r w:rsidR="0045431E">
        <w:rPr>
          <w:color w:val="auto"/>
          <w:sz w:val="26"/>
        </w:rPr>
        <w:t>Id.</w:t>
      </w:r>
      <w:r w:rsidR="007325F6" w:rsidRPr="00A6577E">
        <w:rPr>
          <w:color w:val="auto"/>
          <w:sz w:val="26"/>
        </w:rPr>
        <w:t xml:space="preserve"> at ¶¶ 21</w:t>
      </w:r>
      <w:r w:rsidR="007325F6" w:rsidRPr="00A6577E">
        <w:rPr>
          <w:color w:val="auto"/>
          <w:sz w:val="26"/>
        </w:rPr>
        <w:noBreakHyphen/>
        <w:t>38.</w:t>
      </w:r>
    </w:p>
    <w:p w:rsidR="007325F6" w:rsidRPr="00A6577E" w:rsidRDefault="007325F6" w:rsidP="007325F6">
      <w:pPr>
        <w:pStyle w:val="Default"/>
        <w:spacing w:line="360" w:lineRule="auto"/>
        <w:rPr>
          <w:color w:val="auto"/>
          <w:sz w:val="26"/>
        </w:rPr>
      </w:pPr>
    </w:p>
    <w:p w:rsidR="007325F6" w:rsidRDefault="008E5B70" w:rsidP="007325F6">
      <w:pPr>
        <w:pStyle w:val="BodyText"/>
        <w:ind w:firstLine="1440"/>
        <w:rPr>
          <w:szCs w:val="24"/>
        </w:rPr>
      </w:pPr>
      <w:r>
        <w:t xml:space="preserve">On March 6, 2012, </w:t>
      </w:r>
      <w:r w:rsidR="00D17574">
        <w:t>I&amp;E</w:t>
      </w:r>
      <w:r w:rsidR="00F919E8" w:rsidRPr="006070AE">
        <w:t xml:space="preserve"> filed Preliminary Objections to the Motion of Germantown Cab Company and </w:t>
      </w:r>
      <w:r w:rsidR="00D17574">
        <w:t>a</w:t>
      </w:r>
      <w:r w:rsidR="00F919E8" w:rsidRPr="006070AE">
        <w:t xml:space="preserve"> Brief in Support </w:t>
      </w:r>
      <w:r w:rsidR="00EE2F68">
        <w:t>there</w:t>
      </w:r>
      <w:r w:rsidR="00F919E8" w:rsidRPr="006070AE">
        <w:t>of</w:t>
      </w:r>
      <w:r w:rsidR="00F643ED">
        <w:t>.</w:t>
      </w:r>
      <w:r w:rsidR="00074512">
        <w:t xml:space="preserve"> </w:t>
      </w:r>
      <w:r w:rsidR="00F919E8" w:rsidRPr="006070AE">
        <w:t xml:space="preserve"> </w:t>
      </w:r>
      <w:r w:rsidR="007325F6">
        <w:rPr>
          <w:szCs w:val="24"/>
        </w:rPr>
        <w:t xml:space="preserve">In its Preliminary Objections, I&amp;E objected to the Motion for the following reasons:  the Respondent failed to provide a basis for the request to dismiss the Complaint; it agreed with the Respondent that the Commission has jurisdiction over the Respondent; and it was irrelevant to this </w:t>
      </w:r>
      <w:r w:rsidR="007325F6">
        <w:rPr>
          <w:szCs w:val="24"/>
        </w:rPr>
        <w:lastRenderedPageBreak/>
        <w:t>proceeding whether the Commission has concurrent or exclusive jurisdiction over the Respondent.  Preliminary Objections at 1.</w:t>
      </w:r>
    </w:p>
    <w:p w:rsidR="007325F6" w:rsidRPr="005F73F8" w:rsidRDefault="007325F6" w:rsidP="007325F6">
      <w:pPr>
        <w:pStyle w:val="BodyText"/>
        <w:rPr>
          <w:szCs w:val="24"/>
        </w:rPr>
      </w:pPr>
    </w:p>
    <w:p w:rsidR="00F919E8" w:rsidRDefault="00F919E8" w:rsidP="006070AE">
      <w:pPr>
        <w:pStyle w:val="BodyText"/>
        <w:tabs>
          <w:tab w:val="left" w:pos="720"/>
          <w:tab w:val="left" w:pos="1440"/>
        </w:tabs>
        <w:rPr>
          <w:szCs w:val="24"/>
        </w:rPr>
      </w:pPr>
      <w:r w:rsidRPr="006070AE">
        <w:rPr>
          <w:szCs w:val="24"/>
        </w:rPr>
        <w:tab/>
      </w:r>
      <w:r w:rsidRPr="006070AE">
        <w:rPr>
          <w:szCs w:val="24"/>
        </w:rPr>
        <w:tab/>
        <w:t xml:space="preserve">The record consists of </w:t>
      </w:r>
      <w:r w:rsidR="00D17574">
        <w:rPr>
          <w:szCs w:val="24"/>
        </w:rPr>
        <w:t>a</w:t>
      </w:r>
      <w:r w:rsidRPr="006070AE">
        <w:rPr>
          <w:szCs w:val="24"/>
        </w:rPr>
        <w:t xml:space="preserve"> 207</w:t>
      </w:r>
      <w:r w:rsidR="00D17574">
        <w:rPr>
          <w:szCs w:val="24"/>
        </w:rPr>
        <w:t>-</w:t>
      </w:r>
      <w:r w:rsidRPr="006070AE">
        <w:rPr>
          <w:szCs w:val="24"/>
        </w:rPr>
        <w:t>page transcript, four exhibits</w:t>
      </w:r>
      <w:r w:rsidR="00D17574">
        <w:rPr>
          <w:szCs w:val="24"/>
        </w:rPr>
        <w:t>,</w:t>
      </w:r>
      <w:r w:rsidRPr="006070AE">
        <w:rPr>
          <w:szCs w:val="24"/>
        </w:rPr>
        <w:t xml:space="preserve"> the </w:t>
      </w:r>
      <w:r w:rsidR="00D17574">
        <w:rPr>
          <w:szCs w:val="24"/>
        </w:rPr>
        <w:t xml:space="preserve">Respondent’s </w:t>
      </w:r>
      <w:r w:rsidRPr="006070AE">
        <w:rPr>
          <w:szCs w:val="24"/>
        </w:rPr>
        <w:t xml:space="preserve">Motion, </w:t>
      </w:r>
      <w:r w:rsidR="00F643ED">
        <w:rPr>
          <w:szCs w:val="24"/>
        </w:rPr>
        <w:t xml:space="preserve">I&amp;E’s </w:t>
      </w:r>
      <w:r w:rsidRPr="006070AE">
        <w:rPr>
          <w:szCs w:val="24"/>
        </w:rPr>
        <w:t>Objection to the Motion</w:t>
      </w:r>
      <w:r w:rsidR="00F643ED">
        <w:rPr>
          <w:szCs w:val="24"/>
        </w:rPr>
        <w:t>,</w:t>
      </w:r>
      <w:r w:rsidRPr="006070AE">
        <w:rPr>
          <w:szCs w:val="24"/>
        </w:rPr>
        <w:t xml:space="preserve"> and the </w:t>
      </w:r>
      <w:r w:rsidR="00F643ED">
        <w:rPr>
          <w:szCs w:val="24"/>
        </w:rPr>
        <w:t xml:space="preserve">Parties’ </w:t>
      </w:r>
      <w:r w:rsidRPr="006070AE">
        <w:rPr>
          <w:szCs w:val="24"/>
        </w:rPr>
        <w:t>briefs.  The record closed on March 21, 2012.</w:t>
      </w:r>
    </w:p>
    <w:p w:rsidR="00A53A81" w:rsidRPr="006070AE" w:rsidRDefault="00A53A81" w:rsidP="006070AE">
      <w:pPr>
        <w:pStyle w:val="BodyText"/>
        <w:tabs>
          <w:tab w:val="left" w:pos="720"/>
          <w:tab w:val="left" w:pos="1440"/>
        </w:tabs>
        <w:rPr>
          <w:szCs w:val="24"/>
        </w:rPr>
      </w:pPr>
    </w:p>
    <w:p w:rsidR="00E4082F" w:rsidRDefault="00E4082F" w:rsidP="00D343B7">
      <w:pPr>
        <w:spacing w:line="360" w:lineRule="auto"/>
        <w:ind w:firstLine="1440"/>
        <w:rPr>
          <w:sz w:val="26"/>
          <w:szCs w:val="26"/>
        </w:rPr>
      </w:pPr>
      <w:r>
        <w:rPr>
          <w:sz w:val="26"/>
          <w:szCs w:val="26"/>
        </w:rPr>
        <w:t xml:space="preserve">In an Initial Decision, issued </w:t>
      </w:r>
      <w:r w:rsidR="00F643ED">
        <w:rPr>
          <w:sz w:val="26"/>
          <w:szCs w:val="26"/>
        </w:rPr>
        <w:t>July 18</w:t>
      </w:r>
      <w:r>
        <w:rPr>
          <w:sz w:val="26"/>
          <w:szCs w:val="26"/>
        </w:rPr>
        <w:t>, 201</w:t>
      </w:r>
      <w:r w:rsidR="00F643ED">
        <w:rPr>
          <w:sz w:val="26"/>
          <w:szCs w:val="26"/>
        </w:rPr>
        <w:t>2</w:t>
      </w:r>
      <w:r>
        <w:rPr>
          <w:sz w:val="26"/>
          <w:szCs w:val="26"/>
        </w:rPr>
        <w:t xml:space="preserve">, </w:t>
      </w:r>
      <w:r w:rsidR="003802BC">
        <w:rPr>
          <w:sz w:val="26"/>
          <w:szCs w:val="26"/>
        </w:rPr>
        <w:t xml:space="preserve">the </w:t>
      </w:r>
      <w:r>
        <w:rPr>
          <w:sz w:val="26"/>
          <w:szCs w:val="26"/>
        </w:rPr>
        <w:t xml:space="preserve">ALJ </w:t>
      </w:r>
      <w:r w:rsidR="003802BC">
        <w:rPr>
          <w:sz w:val="26"/>
          <w:szCs w:val="26"/>
        </w:rPr>
        <w:t xml:space="preserve">denied the Respondent’s Motion and sustained the Complaint.  I.D. at 23. </w:t>
      </w:r>
      <w:r>
        <w:rPr>
          <w:sz w:val="26"/>
          <w:szCs w:val="26"/>
        </w:rPr>
        <w:t xml:space="preserve"> As previously indicated, </w:t>
      </w:r>
      <w:r w:rsidR="003802BC">
        <w:rPr>
          <w:sz w:val="26"/>
          <w:szCs w:val="26"/>
        </w:rPr>
        <w:t xml:space="preserve">the Respondent </w:t>
      </w:r>
      <w:r>
        <w:rPr>
          <w:sz w:val="26"/>
          <w:szCs w:val="26"/>
        </w:rPr>
        <w:t xml:space="preserve">filed Exceptions on </w:t>
      </w:r>
      <w:r w:rsidR="003802BC">
        <w:rPr>
          <w:sz w:val="26"/>
          <w:szCs w:val="26"/>
        </w:rPr>
        <w:t>August 7,</w:t>
      </w:r>
      <w:r w:rsidR="001F3665">
        <w:rPr>
          <w:sz w:val="26"/>
          <w:szCs w:val="26"/>
        </w:rPr>
        <w:t xml:space="preserve"> 201</w:t>
      </w:r>
      <w:r w:rsidR="003802BC">
        <w:rPr>
          <w:sz w:val="26"/>
          <w:szCs w:val="26"/>
        </w:rPr>
        <w:t>2</w:t>
      </w:r>
      <w:r w:rsidR="001F3665">
        <w:rPr>
          <w:sz w:val="26"/>
          <w:szCs w:val="26"/>
        </w:rPr>
        <w:t>.</w:t>
      </w:r>
      <w:r w:rsidR="0044741A">
        <w:rPr>
          <w:rStyle w:val="FootnoteReference"/>
        </w:rPr>
        <w:footnoteReference w:id="2"/>
      </w:r>
      <w:r w:rsidR="001F3665">
        <w:rPr>
          <w:sz w:val="26"/>
          <w:szCs w:val="26"/>
        </w:rPr>
        <w:t xml:space="preserve">  </w:t>
      </w:r>
      <w:r w:rsidR="003802BC">
        <w:rPr>
          <w:sz w:val="26"/>
          <w:szCs w:val="26"/>
        </w:rPr>
        <w:t>I&amp;E</w:t>
      </w:r>
      <w:r>
        <w:rPr>
          <w:sz w:val="26"/>
          <w:szCs w:val="26"/>
        </w:rPr>
        <w:t xml:space="preserve"> filed Replies to Exceptions on </w:t>
      </w:r>
      <w:r w:rsidR="003802BC">
        <w:rPr>
          <w:sz w:val="26"/>
          <w:szCs w:val="26"/>
        </w:rPr>
        <w:t>August 17, 2012</w:t>
      </w:r>
      <w:r>
        <w:rPr>
          <w:sz w:val="26"/>
          <w:szCs w:val="26"/>
        </w:rPr>
        <w:t>.</w:t>
      </w:r>
      <w:r w:rsidR="00DF49CC">
        <w:rPr>
          <w:sz w:val="26"/>
          <w:szCs w:val="26"/>
        </w:rPr>
        <w:t xml:space="preserve">  </w:t>
      </w:r>
      <w:r>
        <w:rPr>
          <w:sz w:val="26"/>
          <w:szCs w:val="26"/>
        </w:rPr>
        <w:t xml:space="preserve">   </w:t>
      </w:r>
    </w:p>
    <w:p w:rsidR="00E4082F" w:rsidRDefault="00E4082F" w:rsidP="00D343B7">
      <w:pPr>
        <w:spacing w:line="360" w:lineRule="auto"/>
        <w:ind w:firstLine="1440"/>
        <w:rPr>
          <w:sz w:val="26"/>
          <w:szCs w:val="26"/>
        </w:rPr>
      </w:pPr>
    </w:p>
    <w:p w:rsidR="001A1AD3" w:rsidRDefault="004419DA" w:rsidP="003D09C0">
      <w:pPr>
        <w:spacing w:line="360" w:lineRule="auto"/>
        <w:jc w:val="center"/>
        <w:rPr>
          <w:b/>
          <w:sz w:val="26"/>
          <w:szCs w:val="26"/>
        </w:rPr>
      </w:pPr>
      <w:r>
        <w:rPr>
          <w:b/>
          <w:sz w:val="26"/>
          <w:szCs w:val="26"/>
        </w:rPr>
        <w:t>Discussion</w:t>
      </w:r>
    </w:p>
    <w:p w:rsidR="00D5673B" w:rsidRDefault="00D5673B" w:rsidP="001A1AD3">
      <w:pPr>
        <w:spacing w:line="360" w:lineRule="auto"/>
        <w:jc w:val="center"/>
        <w:rPr>
          <w:sz w:val="26"/>
          <w:szCs w:val="26"/>
        </w:rPr>
      </w:pPr>
    </w:p>
    <w:p w:rsidR="00A024DB" w:rsidRDefault="005255F3" w:rsidP="00A04FFC">
      <w:pPr>
        <w:spacing w:line="360" w:lineRule="auto"/>
        <w:ind w:firstLine="1440"/>
        <w:rPr>
          <w:sz w:val="26"/>
          <w:szCs w:val="26"/>
        </w:rPr>
      </w:pPr>
      <w:r>
        <w:rPr>
          <w:sz w:val="26"/>
          <w:szCs w:val="26"/>
        </w:rPr>
        <w:t>In this proceeding, the burden of proof is on the utility, the Respondent, to show that its service and facilities are adequate, efficient, safe</w:t>
      </w:r>
      <w:r w:rsidR="00415524">
        <w:rPr>
          <w:sz w:val="26"/>
          <w:szCs w:val="26"/>
        </w:rPr>
        <w:t xml:space="preserve"> and</w:t>
      </w:r>
      <w:r>
        <w:rPr>
          <w:sz w:val="26"/>
          <w:szCs w:val="26"/>
        </w:rPr>
        <w:t xml:space="preserve"> reasonable.  66 Pa. C.S. § 315(c).</w:t>
      </w:r>
      <w:r w:rsidR="00CE1517">
        <w:rPr>
          <w:sz w:val="26"/>
          <w:szCs w:val="26"/>
        </w:rPr>
        <w:t xml:space="preserve">  </w:t>
      </w:r>
      <w:r w:rsidR="00A024DB" w:rsidRPr="00A024DB">
        <w:rPr>
          <w:sz w:val="26"/>
          <w:szCs w:val="26"/>
        </w:rPr>
        <w:t xml:space="preserve">Such a showing must be by a preponderance of the evidence.  </w:t>
      </w:r>
      <w:r w:rsidR="00A024DB" w:rsidRPr="00A024DB">
        <w:rPr>
          <w:i/>
          <w:iCs/>
          <w:sz w:val="26"/>
          <w:szCs w:val="26"/>
        </w:rPr>
        <w:t>Samuel J. Lansberry, Inc. v. Pa. PUC</w:t>
      </w:r>
      <w:r w:rsidR="00A024DB" w:rsidRPr="00A024DB">
        <w:rPr>
          <w:sz w:val="26"/>
          <w:szCs w:val="26"/>
        </w:rPr>
        <w:t xml:space="preserve">, 578 A.2d 600 (Pa. Cmwlth. 1990), </w:t>
      </w:r>
      <w:r w:rsidR="00A024DB" w:rsidRPr="00A024DB">
        <w:rPr>
          <w:i/>
          <w:sz w:val="26"/>
          <w:szCs w:val="26"/>
        </w:rPr>
        <w:t>alloc. denied,</w:t>
      </w:r>
      <w:r w:rsidR="00A024DB" w:rsidRPr="00A024DB">
        <w:rPr>
          <w:sz w:val="26"/>
          <w:szCs w:val="26"/>
        </w:rPr>
        <w:t xml:space="preserve"> 529 Pa. 654, 602 A.2d 863 (1992).  </w:t>
      </w:r>
      <w:r w:rsidR="00A024DB" w:rsidRPr="00AF5960">
        <w:rPr>
          <w:sz w:val="26"/>
          <w:szCs w:val="26"/>
        </w:rPr>
        <w:t xml:space="preserve">The term “preponderance of the evidence” means that one party has presented evidence which is more convincing, by even the slightest degree, than the evidence presented by the opposing party.  </w:t>
      </w:r>
      <w:r w:rsidR="00A024DB" w:rsidRPr="00A024DB">
        <w:rPr>
          <w:i/>
          <w:sz w:val="26"/>
          <w:szCs w:val="26"/>
        </w:rPr>
        <w:t>Se-Ling Hosiery, Inc. v. Margulies</w:t>
      </w:r>
      <w:r w:rsidR="00A024DB" w:rsidRPr="00A024DB">
        <w:rPr>
          <w:sz w:val="26"/>
          <w:szCs w:val="26"/>
        </w:rPr>
        <w:t xml:space="preserve">, 364 Pa. 45, 70 A.2d 854 (1950).  Additionally, this Commission’s decision must be supported by substantial evidence in the record.  More is required than a mere trace of evidence or a </w:t>
      </w:r>
      <w:r w:rsidR="00A024DB" w:rsidRPr="00A024DB">
        <w:rPr>
          <w:sz w:val="26"/>
          <w:szCs w:val="26"/>
        </w:rPr>
        <w:lastRenderedPageBreak/>
        <w:t xml:space="preserve">suspicion of the existence of a fact sought to be established.  </w:t>
      </w:r>
      <w:r w:rsidR="00A024DB" w:rsidRPr="00A024DB">
        <w:rPr>
          <w:i/>
          <w:sz w:val="26"/>
          <w:szCs w:val="26"/>
        </w:rPr>
        <w:t xml:space="preserve">Norfolk &amp; Western Ry. Co. v. Pa. PUC, </w:t>
      </w:r>
      <w:r w:rsidR="00A024DB" w:rsidRPr="00A024DB">
        <w:rPr>
          <w:sz w:val="26"/>
          <w:szCs w:val="26"/>
        </w:rPr>
        <w:t>489 Pa. 109, 413 A.2d 1037 (1980).</w:t>
      </w:r>
    </w:p>
    <w:p w:rsidR="00493D5E" w:rsidRPr="00A024DB" w:rsidRDefault="00493D5E" w:rsidP="00A024DB">
      <w:pPr>
        <w:widowControl w:val="0"/>
        <w:spacing w:line="360" w:lineRule="auto"/>
        <w:ind w:firstLine="1440"/>
        <w:rPr>
          <w:sz w:val="26"/>
          <w:szCs w:val="26"/>
        </w:rPr>
      </w:pPr>
    </w:p>
    <w:p w:rsidR="00493D5E" w:rsidRDefault="00493D5E" w:rsidP="00493D5E">
      <w:pPr>
        <w:spacing w:line="360" w:lineRule="auto"/>
        <w:ind w:firstLine="1440"/>
        <w:rPr>
          <w:sz w:val="26"/>
          <w:szCs w:val="26"/>
        </w:rPr>
      </w:pPr>
      <w:r w:rsidRPr="002E740E">
        <w:rPr>
          <w:sz w:val="26"/>
          <w:szCs w:val="26"/>
        </w:rPr>
        <w:t xml:space="preserve">In </w:t>
      </w:r>
      <w:r>
        <w:rPr>
          <w:sz w:val="26"/>
          <w:szCs w:val="26"/>
        </w:rPr>
        <w:t>the</w:t>
      </w:r>
      <w:r w:rsidRPr="002E740E">
        <w:rPr>
          <w:sz w:val="26"/>
          <w:szCs w:val="26"/>
        </w:rPr>
        <w:t xml:space="preserve"> Initial Decision, ALJ </w:t>
      </w:r>
      <w:r>
        <w:rPr>
          <w:sz w:val="26"/>
          <w:szCs w:val="26"/>
        </w:rPr>
        <w:t xml:space="preserve">Fordham </w:t>
      </w:r>
      <w:r w:rsidRPr="002E740E">
        <w:rPr>
          <w:sz w:val="26"/>
          <w:szCs w:val="26"/>
        </w:rPr>
        <w:t xml:space="preserve">made </w:t>
      </w:r>
      <w:r>
        <w:rPr>
          <w:sz w:val="26"/>
          <w:szCs w:val="26"/>
        </w:rPr>
        <w:t>sixty-eight Findings of Fact</w:t>
      </w:r>
      <w:r w:rsidRPr="002E740E">
        <w:rPr>
          <w:sz w:val="26"/>
          <w:szCs w:val="26"/>
        </w:rPr>
        <w:t xml:space="preserve"> and </w:t>
      </w:r>
      <w:r>
        <w:rPr>
          <w:sz w:val="26"/>
          <w:szCs w:val="26"/>
        </w:rPr>
        <w:t xml:space="preserve">reached twelve </w:t>
      </w:r>
      <w:r w:rsidRPr="002E740E">
        <w:rPr>
          <w:sz w:val="26"/>
          <w:szCs w:val="26"/>
        </w:rPr>
        <w:t>Conclusions of Law</w:t>
      </w:r>
      <w:r>
        <w:rPr>
          <w:sz w:val="26"/>
          <w:szCs w:val="26"/>
        </w:rPr>
        <w:t xml:space="preserve">.  </w:t>
      </w:r>
      <w:r w:rsidRPr="002E740E">
        <w:rPr>
          <w:sz w:val="26"/>
          <w:szCs w:val="26"/>
        </w:rPr>
        <w:t xml:space="preserve">I.D. at </w:t>
      </w:r>
      <w:r>
        <w:rPr>
          <w:sz w:val="26"/>
          <w:szCs w:val="26"/>
        </w:rPr>
        <w:t xml:space="preserve">4-14, 21-22.  </w:t>
      </w:r>
      <w:r w:rsidRPr="002E740E">
        <w:rPr>
          <w:sz w:val="26"/>
          <w:szCs w:val="26"/>
        </w:rPr>
        <w:t>We shall adopt and incorporate herein by reference the ALJ’s Findings of Fact and Conclusions of Law, unless they are reversed or modified by this Opinion and Order</w:t>
      </w:r>
      <w:r>
        <w:rPr>
          <w:sz w:val="26"/>
          <w:szCs w:val="26"/>
        </w:rPr>
        <w:t xml:space="preserve">, either </w:t>
      </w:r>
      <w:r w:rsidRPr="002E740E">
        <w:rPr>
          <w:sz w:val="26"/>
          <w:szCs w:val="26"/>
        </w:rPr>
        <w:t>expressly or by necessary implication</w:t>
      </w:r>
      <w:r>
        <w:rPr>
          <w:sz w:val="26"/>
          <w:szCs w:val="26"/>
        </w:rPr>
        <w:t>.</w:t>
      </w:r>
      <w:r w:rsidRPr="002E740E">
        <w:rPr>
          <w:sz w:val="26"/>
          <w:szCs w:val="26"/>
        </w:rPr>
        <w:t> </w:t>
      </w:r>
    </w:p>
    <w:p w:rsidR="00A024DB" w:rsidRDefault="00A024DB" w:rsidP="00411760">
      <w:pPr>
        <w:tabs>
          <w:tab w:val="left" w:pos="1440"/>
        </w:tabs>
        <w:spacing w:line="360" w:lineRule="auto"/>
        <w:rPr>
          <w:sz w:val="26"/>
          <w:szCs w:val="26"/>
        </w:rPr>
      </w:pPr>
    </w:p>
    <w:p w:rsidR="003440BD" w:rsidRDefault="005255F3" w:rsidP="00411760">
      <w:pPr>
        <w:tabs>
          <w:tab w:val="left" w:pos="1440"/>
        </w:tabs>
        <w:spacing w:line="360" w:lineRule="auto"/>
        <w:rPr>
          <w:i/>
          <w:sz w:val="26"/>
          <w:szCs w:val="26"/>
        </w:rPr>
      </w:pPr>
      <w:r>
        <w:rPr>
          <w:sz w:val="26"/>
          <w:szCs w:val="26"/>
        </w:rPr>
        <w:t xml:space="preserve">   </w:t>
      </w:r>
      <w:r w:rsidR="00411760">
        <w:rPr>
          <w:sz w:val="26"/>
          <w:szCs w:val="26"/>
        </w:rPr>
        <w:tab/>
      </w:r>
      <w:r w:rsidR="003440BD" w:rsidRPr="004A753B">
        <w:rPr>
          <w:sz w:val="26"/>
          <w:szCs w:val="26"/>
        </w:rPr>
        <w:t xml:space="preserve">As a preliminary matter, we note that any issue or Exception that we do not specifically address has been duly considered and will be denied without further discussion.  It is well settled that we are not required to consider, expressly or at length, each contention or argument raised by the parties.  </w:t>
      </w:r>
      <w:r w:rsidR="003440BD" w:rsidRPr="004A753B">
        <w:rPr>
          <w:i/>
          <w:sz w:val="26"/>
          <w:szCs w:val="26"/>
        </w:rPr>
        <w:t>Consolidated Rail Corporation v. Pa</w:t>
      </w:r>
      <w:r w:rsidR="00383585">
        <w:rPr>
          <w:i/>
          <w:sz w:val="26"/>
          <w:szCs w:val="26"/>
        </w:rPr>
        <w:t>.</w:t>
      </w:r>
      <w:r w:rsidR="003440BD" w:rsidRPr="004A753B">
        <w:rPr>
          <w:i/>
          <w:sz w:val="26"/>
          <w:szCs w:val="26"/>
        </w:rPr>
        <w:t xml:space="preserve"> PUC</w:t>
      </w:r>
      <w:r w:rsidR="003440BD" w:rsidRPr="004A753B">
        <w:rPr>
          <w:sz w:val="26"/>
          <w:szCs w:val="26"/>
        </w:rPr>
        <w:t xml:space="preserve">, 625 A.2d 741 (Pa. Cmwlth. 1993); </w:t>
      </w:r>
      <w:r w:rsidR="003440BD" w:rsidRPr="004A753B">
        <w:rPr>
          <w:i/>
          <w:sz w:val="26"/>
          <w:szCs w:val="26"/>
        </w:rPr>
        <w:t>see also</w:t>
      </w:r>
      <w:r w:rsidR="003440BD" w:rsidRPr="004A753B">
        <w:rPr>
          <w:sz w:val="26"/>
          <w:szCs w:val="26"/>
        </w:rPr>
        <w:t xml:space="preserve">, </w:t>
      </w:r>
      <w:r w:rsidR="003440BD" w:rsidRPr="004A753B">
        <w:rPr>
          <w:i/>
          <w:sz w:val="26"/>
          <w:szCs w:val="26"/>
        </w:rPr>
        <w:t>generally</w:t>
      </w:r>
      <w:r w:rsidR="003440BD" w:rsidRPr="004A753B">
        <w:rPr>
          <w:sz w:val="26"/>
          <w:szCs w:val="26"/>
        </w:rPr>
        <w:t xml:space="preserve">, </w:t>
      </w:r>
      <w:r w:rsidR="003440BD" w:rsidRPr="004A753B">
        <w:rPr>
          <w:i/>
          <w:sz w:val="26"/>
          <w:szCs w:val="26"/>
        </w:rPr>
        <w:t>University of P</w:t>
      </w:r>
      <w:r w:rsidR="00383585">
        <w:rPr>
          <w:i/>
          <w:sz w:val="26"/>
          <w:szCs w:val="26"/>
        </w:rPr>
        <w:t xml:space="preserve">ennsylvania </w:t>
      </w:r>
      <w:r w:rsidR="003440BD" w:rsidRPr="004A753B">
        <w:rPr>
          <w:i/>
          <w:sz w:val="26"/>
          <w:szCs w:val="26"/>
        </w:rPr>
        <w:t>v. Pa</w:t>
      </w:r>
      <w:r w:rsidR="00383585">
        <w:rPr>
          <w:i/>
          <w:sz w:val="26"/>
          <w:szCs w:val="26"/>
        </w:rPr>
        <w:t>.</w:t>
      </w:r>
      <w:r w:rsidR="003440BD" w:rsidRPr="004A753B">
        <w:rPr>
          <w:i/>
          <w:sz w:val="26"/>
          <w:szCs w:val="26"/>
        </w:rPr>
        <w:t xml:space="preserve"> PUC</w:t>
      </w:r>
      <w:r w:rsidR="003440BD" w:rsidRPr="004A753B">
        <w:rPr>
          <w:sz w:val="26"/>
          <w:szCs w:val="26"/>
        </w:rPr>
        <w:t>, 485 A.2d 1217 (Pa. Cmwlth. 1984</w:t>
      </w:r>
      <w:r w:rsidR="003440BD">
        <w:rPr>
          <w:sz w:val="26"/>
          <w:szCs w:val="26"/>
        </w:rPr>
        <w:t>).</w:t>
      </w:r>
    </w:p>
    <w:p w:rsidR="00B80BA7" w:rsidRDefault="00B80BA7" w:rsidP="003440BD">
      <w:pPr>
        <w:spacing w:line="360" w:lineRule="auto"/>
        <w:rPr>
          <w:i/>
          <w:sz w:val="26"/>
          <w:szCs w:val="26"/>
        </w:rPr>
      </w:pPr>
    </w:p>
    <w:p w:rsidR="002C73A9" w:rsidRDefault="00D1464D" w:rsidP="00620855">
      <w:pPr>
        <w:tabs>
          <w:tab w:val="left" w:pos="720"/>
        </w:tabs>
        <w:spacing w:line="360" w:lineRule="auto"/>
        <w:rPr>
          <w:b/>
          <w:sz w:val="26"/>
        </w:rPr>
      </w:pPr>
      <w:r>
        <w:rPr>
          <w:b/>
          <w:sz w:val="26"/>
        </w:rPr>
        <w:t>Exceptions Pertaining to</w:t>
      </w:r>
      <w:r w:rsidR="002C73A9">
        <w:rPr>
          <w:b/>
          <w:sz w:val="26"/>
        </w:rPr>
        <w:t xml:space="preserve"> the Commission’s Jurisdiction </w:t>
      </w:r>
    </w:p>
    <w:p w:rsidR="00620855" w:rsidRDefault="00620855" w:rsidP="00620855">
      <w:pPr>
        <w:tabs>
          <w:tab w:val="left" w:pos="720"/>
        </w:tabs>
        <w:spacing w:line="360" w:lineRule="auto"/>
        <w:rPr>
          <w:b/>
          <w:sz w:val="26"/>
        </w:rPr>
      </w:pPr>
    </w:p>
    <w:p w:rsidR="00130EB7" w:rsidRDefault="00620855" w:rsidP="004235F4">
      <w:pPr>
        <w:tabs>
          <w:tab w:val="left" w:pos="720"/>
        </w:tabs>
        <w:spacing w:line="360" w:lineRule="auto"/>
        <w:rPr>
          <w:b/>
          <w:sz w:val="26"/>
        </w:rPr>
      </w:pPr>
      <w:r>
        <w:rPr>
          <w:b/>
          <w:sz w:val="26"/>
        </w:rPr>
        <w:tab/>
      </w:r>
      <w:r w:rsidR="00130EB7">
        <w:rPr>
          <w:b/>
          <w:sz w:val="26"/>
        </w:rPr>
        <w:t xml:space="preserve">ALJ’s Recommendation </w:t>
      </w:r>
    </w:p>
    <w:p w:rsidR="00130EB7" w:rsidRDefault="00130EB7" w:rsidP="004235F4">
      <w:pPr>
        <w:tabs>
          <w:tab w:val="left" w:pos="720"/>
        </w:tabs>
        <w:spacing w:line="360" w:lineRule="auto"/>
        <w:rPr>
          <w:b/>
          <w:sz w:val="26"/>
        </w:rPr>
      </w:pPr>
    </w:p>
    <w:p w:rsidR="00053B4F" w:rsidRDefault="0042209A" w:rsidP="004235F4">
      <w:pPr>
        <w:tabs>
          <w:tab w:val="left" w:pos="720"/>
        </w:tabs>
        <w:spacing w:line="360" w:lineRule="auto"/>
        <w:rPr>
          <w:sz w:val="26"/>
        </w:rPr>
      </w:pPr>
      <w:r>
        <w:rPr>
          <w:b/>
          <w:sz w:val="26"/>
        </w:rPr>
        <w:tab/>
      </w:r>
      <w:r>
        <w:rPr>
          <w:b/>
          <w:sz w:val="26"/>
        </w:rPr>
        <w:tab/>
      </w:r>
      <w:r w:rsidR="007325F6" w:rsidRPr="007325F6">
        <w:rPr>
          <w:sz w:val="26"/>
        </w:rPr>
        <w:t>T</w:t>
      </w:r>
      <w:r w:rsidR="00512E9F">
        <w:rPr>
          <w:sz w:val="26"/>
        </w:rPr>
        <w:t xml:space="preserve">he ALJ </w:t>
      </w:r>
      <w:r w:rsidR="00345910">
        <w:rPr>
          <w:sz w:val="26"/>
        </w:rPr>
        <w:t xml:space="preserve">did not explicitly rule on I&amp;E’s Preliminary Objections to the Motion.  Instead, she </w:t>
      </w:r>
      <w:r w:rsidR="00512E9F">
        <w:rPr>
          <w:sz w:val="26"/>
        </w:rPr>
        <w:t xml:space="preserve">denied the Respondent’s Motion.  In reaching this decision, the ALJ stated that the Commission clearly has jurisdiction over the Respondent, as the Respondent has a Certificate of Public Convenience (Certificate) to operate in Pennsylvania, it submitted to the inspection by the enforcement officers, and </w:t>
      </w:r>
      <w:r w:rsidR="00053B4F">
        <w:rPr>
          <w:sz w:val="26"/>
        </w:rPr>
        <w:t>it was</w:t>
      </w:r>
      <w:r w:rsidR="00512E9F">
        <w:rPr>
          <w:sz w:val="26"/>
        </w:rPr>
        <w:t xml:space="preserve"> now asserting that the Commission has exclusive jurisdiction</w:t>
      </w:r>
      <w:r w:rsidR="00053B4F">
        <w:rPr>
          <w:sz w:val="26"/>
        </w:rPr>
        <w:t xml:space="preserve"> over it</w:t>
      </w:r>
      <w:r w:rsidR="00512E9F">
        <w:rPr>
          <w:sz w:val="26"/>
        </w:rPr>
        <w:t xml:space="preserve">.  </w:t>
      </w:r>
      <w:r w:rsidR="0075453B">
        <w:rPr>
          <w:sz w:val="26"/>
        </w:rPr>
        <w:t xml:space="preserve">I.D. at 16.  </w:t>
      </w:r>
      <w:r w:rsidR="00E378D8">
        <w:rPr>
          <w:sz w:val="26"/>
        </w:rPr>
        <w:t xml:space="preserve">The ALJ also found that, pursuant to Section 331(f) of the Public Utility Code (Code), 66 Pa. C.S. </w:t>
      </w:r>
    </w:p>
    <w:p w:rsidR="004F09EA" w:rsidRDefault="00E378D8" w:rsidP="004235F4">
      <w:pPr>
        <w:tabs>
          <w:tab w:val="left" w:pos="720"/>
        </w:tabs>
        <w:spacing w:line="360" w:lineRule="auto"/>
        <w:rPr>
          <w:sz w:val="26"/>
        </w:rPr>
      </w:pPr>
      <w:r>
        <w:rPr>
          <w:sz w:val="26"/>
        </w:rPr>
        <w:lastRenderedPageBreak/>
        <w:t>§ 331(f),</w:t>
      </w:r>
      <w:r w:rsidR="004F09EA">
        <w:rPr>
          <w:rStyle w:val="FootnoteReference"/>
        </w:rPr>
        <w:footnoteReference w:id="3"/>
      </w:r>
      <w:r>
        <w:rPr>
          <w:sz w:val="26"/>
        </w:rPr>
        <w:t xml:space="preserve"> the issuance of declaratory orders is discretionary, and the Respondent failed to provide compelling reasons for the issuance of a discretionary order.  </w:t>
      </w:r>
      <w:r w:rsidR="0075453B" w:rsidRPr="0075453B">
        <w:rPr>
          <w:i/>
          <w:sz w:val="26"/>
        </w:rPr>
        <w:t>Id</w:t>
      </w:r>
      <w:r w:rsidR="0075453B">
        <w:rPr>
          <w:sz w:val="26"/>
        </w:rPr>
        <w:t xml:space="preserve">. at 17.  </w:t>
      </w:r>
    </w:p>
    <w:p w:rsidR="00CF48E3" w:rsidRDefault="00CF48E3" w:rsidP="004235F4">
      <w:pPr>
        <w:tabs>
          <w:tab w:val="left" w:pos="720"/>
        </w:tabs>
        <w:spacing w:line="360" w:lineRule="auto"/>
        <w:rPr>
          <w:sz w:val="26"/>
        </w:rPr>
      </w:pPr>
    </w:p>
    <w:p w:rsidR="008D3A3C" w:rsidRDefault="00512E9F" w:rsidP="0042209A">
      <w:pPr>
        <w:tabs>
          <w:tab w:val="left" w:pos="720"/>
        </w:tabs>
        <w:spacing w:line="360" w:lineRule="auto"/>
        <w:rPr>
          <w:b/>
          <w:sz w:val="26"/>
        </w:rPr>
      </w:pPr>
      <w:r>
        <w:rPr>
          <w:sz w:val="26"/>
        </w:rPr>
        <w:t xml:space="preserve">  </w:t>
      </w:r>
      <w:r w:rsidR="008D3A3C">
        <w:rPr>
          <w:b/>
          <w:sz w:val="26"/>
        </w:rPr>
        <w:tab/>
      </w:r>
      <w:r w:rsidR="006A4BAE">
        <w:rPr>
          <w:b/>
          <w:sz w:val="26"/>
        </w:rPr>
        <w:t>PPA Does not have Exclusive Jurisdiction</w:t>
      </w:r>
      <w:r w:rsidR="008D3A3C">
        <w:rPr>
          <w:b/>
          <w:sz w:val="26"/>
        </w:rPr>
        <w:t xml:space="preserve"> </w:t>
      </w:r>
      <w:r w:rsidR="00490BCE">
        <w:rPr>
          <w:b/>
          <w:sz w:val="26"/>
        </w:rPr>
        <w:t>over the Respondent</w:t>
      </w:r>
    </w:p>
    <w:p w:rsidR="008D3A3C" w:rsidRDefault="008D3A3C" w:rsidP="0042209A">
      <w:pPr>
        <w:tabs>
          <w:tab w:val="left" w:pos="720"/>
        </w:tabs>
        <w:spacing w:line="360" w:lineRule="auto"/>
        <w:rPr>
          <w:b/>
          <w:sz w:val="26"/>
        </w:rPr>
      </w:pPr>
    </w:p>
    <w:p w:rsidR="00800E44" w:rsidRDefault="008D3A3C" w:rsidP="0042209A">
      <w:pPr>
        <w:tabs>
          <w:tab w:val="left" w:pos="720"/>
        </w:tabs>
        <w:spacing w:line="360" w:lineRule="auto"/>
        <w:rPr>
          <w:sz w:val="26"/>
        </w:rPr>
      </w:pPr>
      <w:r>
        <w:rPr>
          <w:b/>
          <w:sz w:val="26"/>
        </w:rPr>
        <w:tab/>
      </w:r>
      <w:r>
        <w:rPr>
          <w:b/>
          <w:sz w:val="26"/>
        </w:rPr>
        <w:tab/>
      </w:r>
      <w:r w:rsidR="00521112">
        <w:rPr>
          <w:sz w:val="26"/>
        </w:rPr>
        <w:t xml:space="preserve">In its </w:t>
      </w:r>
      <w:r w:rsidR="0030527A">
        <w:rPr>
          <w:sz w:val="26"/>
        </w:rPr>
        <w:t xml:space="preserve">first </w:t>
      </w:r>
      <w:r w:rsidR="00D72F6C">
        <w:rPr>
          <w:sz w:val="26"/>
        </w:rPr>
        <w:t>E</w:t>
      </w:r>
      <w:r w:rsidR="00521112">
        <w:rPr>
          <w:sz w:val="26"/>
        </w:rPr>
        <w:t>xception, the Respondent states that Act 119 of 2012,</w:t>
      </w:r>
      <w:r w:rsidR="00D63AA0">
        <w:rPr>
          <w:rStyle w:val="FootnoteReference"/>
        </w:rPr>
        <w:footnoteReference w:id="4"/>
      </w:r>
      <w:r w:rsidR="00521112">
        <w:rPr>
          <w:sz w:val="26"/>
        </w:rPr>
        <w:t xml:space="preserve"> codified in 53 Pa. C.S. Ch. 57, amended Section 5714(d)(2) to grant the PPA exclusive jurisdiction over the Respondent.  </w:t>
      </w:r>
      <w:r w:rsidR="00D73BA3">
        <w:rPr>
          <w:sz w:val="26"/>
        </w:rPr>
        <w:t xml:space="preserve">Exc. at 1.  </w:t>
      </w:r>
      <w:r w:rsidR="00521112">
        <w:rPr>
          <w:sz w:val="26"/>
        </w:rPr>
        <w:t>As such, the Respondent asserts that the Commission no longer has jurisdiction over it, and the Complaint should</w:t>
      </w:r>
      <w:r w:rsidR="00053B4F">
        <w:rPr>
          <w:sz w:val="26"/>
        </w:rPr>
        <w:t>,</w:t>
      </w:r>
      <w:r w:rsidR="00521112">
        <w:rPr>
          <w:sz w:val="26"/>
        </w:rPr>
        <w:t xml:space="preserve"> therefore</w:t>
      </w:r>
      <w:r w:rsidR="00053B4F">
        <w:rPr>
          <w:sz w:val="26"/>
        </w:rPr>
        <w:t>,</w:t>
      </w:r>
      <w:r w:rsidR="00521112">
        <w:rPr>
          <w:sz w:val="26"/>
        </w:rPr>
        <w:t xml:space="preserve"> be dismissed.</w:t>
      </w:r>
      <w:r w:rsidR="00D73BA3">
        <w:rPr>
          <w:sz w:val="26"/>
        </w:rPr>
        <w:t xml:space="preserve">  Exc. at 1-2.  </w:t>
      </w:r>
      <w:r w:rsidR="00521112">
        <w:rPr>
          <w:sz w:val="26"/>
        </w:rPr>
        <w:t xml:space="preserve">  </w:t>
      </w:r>
    </w:p>
    <w:p w:rsidR="00800E44" w:rsidRDefault="00800E44" w:rsidP="0042209A">
      <w:pPr>
        <w:tabs>
          <w:tab w:val="left" w:pos="720"/>
        </w:tabs>
        <w:spacing w:line="360" w:lineRule="auto"/>
        <w:rPr>
          <w:sz w:val="26"/>
        </w:rPr>
      </w:pPr>
    </w:p>
    <w:p w:rsidR="00924E06" w:rsidRDefault="00FB2FA4" w:rsidP="0042209A">
      <w:pPr>
        <w:tabs>
          <w:tab w:val="left" w:pos="720"/>
        </w:tabs>
        <w:spacing w:line="360" w:lineRule="auto"/>
        <w:rPr>
          <w:sz w:val="26"/>
        </w:rPr>
      </w:pPr>
      <w:r>
        <w:rPr>
          <w:sz w:val="26"/>
        </w:rPr>
        <w:tab/>
      </w:r>
      <w:r>
        <w:rPr>
          <w:sz w:val="26"/>
        </w:rPr>
        <w:tab/>
      </w:r>
      <w:r w:rsidR="007C0B66">
        <w:rPr>
          <w:sz w:val="26"/>
        </w:rPr>
        <w:t xml:space="preserve">In its Replies to Exceptions, I&amp;E avers that Act 119 of 2012 does not grant the PPA exclusive jurisdiction over the Respondent, but, rather, clarifies that the PPA has exclusive jurisdiction over taxicab service within cities of the first class.  </w:t>
      </w:r>
      <w:r w:rsidR="006651BE">
        <w:rPr>
          <w:sz w:val="26"/>
        </w:rPr>
        <w:t xml:space="preserve">R. Exc. at 2.  </w:t>
      </w:r>
      <w:r w:rsidR="007C0B66">
        <w:rPr>
          <w:sz w:val="26"/>
        </w:rPr>
        <w:t>I&amp;E states that, as amended, the relevant portion of Section 5714, 53 Pa. C.S. § 5714, relating to carriers that do not have city-wide authority from the PPA</w:t>
      </w:r>
      <w:r w:rsidR="00924E06">
        <w:rPr>
          <w:sz w:val="26"/>
        </w:rPr>
        <w:t xml:space="preserve">, provides the following:  </w:t>
      </w:r>
    </w:p>
    <w:p w:rsidR="00924E06" w:rsidRDefault="00924E06" w:rsidP="0042209A">
      <w:pPr>
        <w:tabs>
          <w:tab w:val="left" w:pos="720"/>
        </w:tabs>
        <w:spacing w:line="360" w:lineRule="auto"/>
        <w:rPr>
          <w:sz w:val="26"/>
        </w:rPr>
      </w:pPr>
    </w:p>
    <w:p w:rsidR="006651BE" w:rsidRDefault="00D65179" w:rsidP="006651BE">
      <w:pPr>
        <w:tabs>
          <w:tab w:val="left" w:pos="720"/>
        </w:tabs>
        <w:ind w:left="1440" w:right="1440"/>
        <w:rPr>
          <w:sz w:val="26"/>
          <w:szCs w:val="18"/>
        </w:rPr>
      </w:pPr>
      <w:r w:rsidRPr="006651BE">
        <w:rPr>
          <w:sz w:val="26"/>
          <w:szCs w:val="18"/>
        </w:rPr>
        <w:t>Carriers authorized by the authority to provide taxicab service to designated areas within cities of the first class on a non-citywide basis pursuant to section 5711(c)(2.1) (relating to power of authority to issue certificates of public convenience) shall retain their authorization in those areas of a city of the first class subject to the exclusive jurisdiction of the authority and orders and regulations of the authority issued under this chapter</w:t>
      </w:r>
      <w:r w:rsidR="006651BE">
        <w:rPr>
          <w:sz w:val="26"/>
          <w:szCs w:val="18"/>
        </w:rPr>
        <w:t>….</w:t>
      </w:r>
    </w:p>
    <w:p w:rsidR="006651BE" w:rsidRDefault="006651BE" w:rsidP="006651BE">
      <w:pPr>
        <w:tabs>
          <w:tab w:val="left" w:pos="720"/>
        </w:tabs>
        <w:ind w:left="1440" w:right="1440"/>
        <w:rPr>
          <w:sz w:val="26"/>
          <w:szCs w:val="18"/>
        </w:rPr>
      </w:pPr>
    </w:p>
    <w:p w:rsidR="00411760" w:rsidRDefault="006651BE" w:rsidP="006651BE">
      <w:pPr>
        <w:tabs>
          <w:tab w:val="left" w:pos="720"/>
        </w:tabs>
        <w:spacing w:line="360" w:lineRule="auto"/>
        <w:rPr>
          <w:sz w:val="26"/>
          <w:szCs w:val="18"/>
        </w:rPr>
      </w:pPr>
      <w:r>
        <w:rPr>
          <w:sz w:val="26"/>
          <w:szCs w:val="18"/>
        </w:rPr>
        <w:lastRenderedPageBreak/>
        <w:t xml:space="preserve">I&amp;E explains that the Respondent is a carrier that holds authority to provide service in Philadelphia on a non-citywide basis and separate authority from the Commission to provide service in areas outside of Philadelphia.  I&amp;E asserts that nothing in Act 119 of 2012 gives the PPA the authority to regulate taxi service outside of the </w:t>
      </w:r>
      <w:r w:rsidR="00CF48E3">
        <w:rPr>
          <w:sz w:val="26"/>
          <w:szCs w:val="18"/>
        </w:rPr>
        <w:t>C</w:t>
      </w:r>
      <w:r>
        <w:rPr>
          <w:sz w:val="26"/>
          <w:szCs w:val="18"/>
        </w:rPr>
        <w:t xml:space="preserve">ity of Philadelphia, and the Respondent does not point to any provision of the Act that supports its position that the PPA has exclusive jurisdiction over its operations outside of the </w:t>
      </w:r>
      <w:r w:rsidR="00CF48E3">
        <w:rPr>
          <w:sz w:val="26"/>
          <w:szCs w:val="18"/>
        </w:rPr>
        <w:t>C</w:t>
      </w:r>
      <w:r>
        <w:rPr>
          <w:sz w:val="26"/>
          <w:szCs w:val="18"/>
        </w:rPr>
        <w:t xml:space="preserve">ity of Philadelphia.  R. Exc. at 3. </w:t>
      </w:r>
    </w:p>
    <w:p w:rsidR="00624BBB" w:rsidRDefault="00624BBB" w:rsidP="006651BE">
      <w:pPr>
        <w:tabs>
          <w:tab w:val="left" w:pos="720"/>
        </w:tabs>
        <w:spacing w:line="360" w:lineRule="auto"/>
        <w:rPr>
          <w:sz w:val="26"/>
          <w:szCs w:val="18"/>
        </w:rPr>
      </w:pPr>
    </w:p>
    <w:p w:rsidR="007B119F" w:rsidRDefault="00411760" w:rsidP="006651BE">
      <w:pPr>
        <w:tabs>
          <w:tab w:val="left" w:pos="720"/>
        </w:tabs>
        <w:spacing w:line="360" w:lineRule="auto"/>
        <w:rPr>
          <w:sz w:val="26"/>
          <w:szCs w:val="18"/>
        </w:rPr>
      </w:pPr>
      <w:r>
        <w:rPr>
          <w:sz w:val="26"/>
          <w:szCs w:val="18"/>
        </w:rPr>
        <w:tab/>
      </w:r>
      <w:r>
        <w:rPr>
          <w:sz w:val="26"/>
          <w:szCs w:val="18"/>
        </w:rPr>
        <w:tab/>
        <w:t xml:space="preserve">Based on our review of the </w:t>
      </w:r>
      <w:r w:rsidR="00CD6D23">
        <w:rPr>
          <w:sz w:val="26"/>
          <w:szCs w:val="18"/>
        </w:rPr>
        <w:t>record</w:t>
      </w:r>
      <w:r w:rsidR="00EF0F22">
        <w:rPr>
          <w:sz w:val="26"/>
          <w:szCs w:val="18"/>
        </w:rPr>
        <w:t xml:space="preserve"> and </w:t>
      </w:r>
      <w:r w:rsidR="00CD6D23">
        <w:rPr>
          <w:sz w:val="26"/>
          <w:szCs w:val="18"/>
        </w:rPr>
        <w:t xml:space="preserve">the </w:t>
      </w:r>
      <w:r>
        <w:rPr>
          <w:sz w:val="26"/>
          <w:szCs w:val="18"/>
        </w:rPr>
        <w:t>applicable law, it is clear that the Commission</w:t>
      </w:r>
      <w:r w:rsidR="009F648D">
        <w:rPr>
          <w:sz w:val="26"/>
          <w:szCs w:val="18"/>
        </w:rPr>
        <w:t xml:space="preserve"> </w:t>
      </w:r>
      <w:r>
        <w:rPr>
          <w:sz w:val="26"/>
          <w:szCs w:val="18"/>
        </w:rPr>
        <w:t>ha</w:t>
      </w:r>
      <w:r w:rsidR="009F648D">
        <w:rPr>
          <w:sz w:val="26"/>
          <w:szCs w:val="18"/>
        </w:rPr>
        <w:t>s</w:t>
      </w:r>
      <w:r>
        <w:rPr>
          <w:sz w:val="26"/>
          <w:szCs w:val="18"/>
        </w:rPr>
        <w:t xml:space="preserve"> jurisdiction over the Respondent’s operations, and, as such, that the Commission has the authority to impose civil penalties upon the Respondent for violations of the Commission’s Rules and Regulations.</w:t>
      </w:r>
      <w:r w:rsidR="00CD6D23">
        <w:rPr>
          <w:sz w:val="26"/>
          <w:szCs w:val="18"/>
        </w:rPr>
        <w:t xml:space="preserve">  </w:t>
      </w:r>
      <w:r w:rsidR="007B119F">
        <w:rPr>
          <w:sz w:val="26"/>
          <w:szCs w:val="18"/>
        </w:rPr>
        <w:t>The Respondent was issued a Certificate by the Commission on September 5, 1996 for call or demand authority, at Docket No. A-00110733.  T</w:t>
      </w:r>
      <w:r w:rsidR="00CD6D23">
        <w:rPr>
          <w:sz w:val="26"/>
          <w:szCs w:val="18"/>
        </w:rPr>
        <w:t xml:space="preserve">he record demonstrates that </w:t>
      </w:r>
      <w:r w:rsidR="00105F7D">
        <w:rPr>
          <w:sz w:val="26"/>
          <w:szCs w:val="18"/>
        </w:rPr>
        <w:t xml:space="preserve">the Respondent holds authority from the PPA to provide service in Philadelphia on a non-citywide basis and separate authority from the Commission to provide service in areas outside of Philadelphia.  The record also demonstrates that </w:t>
      </w:r>
      <w:r w:rsidR="00CD6D23">
        <w:rPr>
          <w:sz w:val="26"/>
          <w:szCs w:val="18"/>
        </w:rPr>
        <w:t>all of the Respondent’s vehicles are subject to inspection by the Commission as none of them operate solely under the PPA’s jurisdiction</w:t>
      </w:r>
      <w:r w:rsidR="009F648D">
        <w:rPr>
          <w:sz w:val="26"/>
          <w:szCs w:val="18"/>
        </w:rPr>
        <w:t>,</w:t>
      </w:r>
      <w:r w:rsidR="004D47B1">
        <w:rPr>
          <w:sz w:val="26"/>
          <w:szCs w:val="18"/>
        </w:rPr>
        <w:t xml:space="preserve"> i.e., solely within Philadelphia on a non-citywide basis. </w:t>
      </w:r>
      <w:r w:rsidR="00CD6D23">
        <w:rPr>
          <w:sz w:val="26"/>
          <w:szCs w:val="18"/>
        </w:rPr>
        <w:t xml:space="preserve"> Tr. at 22, 23</w:t>
      </w:r>
      <w:r w:rsidR="00A85D36">
        <w:rPr>
          <w:sz w:val="26"/>
          <w:szCs w:val="18"/>
        </w:rPr>
        <w:t>, 153</w:t>
      </w:r>
      <w:r w:rsidR="00CD6D23">
        <w:rPr>
          <w:sz w:val="26"/>
          <w:szCs w:val="18"/>
        </w:rPr>
        <w:t>.</w:t>
      </w:r>
    </w:p>
    <w:p w:rsidR="007B119F" w:rsidRDefault="007B119F" w:rsidP="006651BE">
      <w:pPr>
        <w:tabs>
          <w:tab w:val="left" w:pos="720"/>
        </w:tabs>
        <w:spacing w:line="360" w:lineRule="auto"/>
        <w:rPr>
          <w:sz w:val="26"/>
          <w:szCs w:val="18"/>
        </w:rPr>
      </w:pPr>
    </w:p>
    <w:p w:rsidR="00FB2FA4" w:rsidRPr="006651BE" w:rsidRDefault="007B119F" w:rsidP="006651BE">
      <w:pPr>
        <w:tabs>
          <w:tab w:val="left" w:pos="720"/>
        </w:tabs>
        <w:spacing w:line="360" w:lineRule="auto"/>
        <w:rPr>
          <w:sz w:val="26"/>
        </w:rPr>
      </w:pPr>
      <w:r>
        <w:rPr>
          <w:sz w:val="26"/>
          <w:szCs w:val="18"/>
        </w:rPr>
        <w:tab/>
      </w:r>
      <w:r>
        <w:rPr>
          <w:sz w:val="26"/>
          <w:szCs w:val="18"/>
        </w:rPr>
        <w:tab/>
        <w:t xml:space="preserve">We agree with I&amp;E that the express language in </w:t>
      </w:r>
      <w:r w:rsidR="004D47B1">
        <w:rPr>
          <w:sz w:val="26"/>
          <w:szCs w:val="18"/>
        </w:rPr>
        <w:t>Section 5714</w:t>
      </w:r>
      <w:r>
        <w:rPr>
          <w:sz w:val="26"/>
          <w:szCs w:val="18"/>
        </w:rPr>
        <w:t xml:space="preserve"> does not affect our jurisdiction over the Respondent, but clarifies that the PPA has exclusive jurisdiction over taxicab service within cities of the first class.</w:t>
      </w:r>
      <w:r w:rsidR="004D47B1">
        <w:rPr>
          <w:sz w:val="26"/>
          <w:szCs w:val="18"/>
        </w:rPr>
        <w:t xml:space="preserve">  Neither Section 5714, nor any of the other provisions of Act 119 of 2012, provide the PPA with exclusive regulatory authority over carriers’ operations outside of the designated areas within the cities of first class.  As such, it would be illogical to conclude that the </w:t>
      </w:r>
      <w:r w:rsidR="002D10DC">
        <w:rPr>
          <w:sz w:val="26"/>
          <w:szCs w:val="18"/>
        </w:rPr>
        <w:t>L</w:t>
      </w:r>
      <w:r w:rsidR="004D47B1">
        <w:rPr>
          <w:sz w:val="26"/>
          <w:szCs w:val="18"/>
        </w:rPr>
        <w:t xml:space="preserve">egislature intended the PPA to have exclusive jurisdiction over the Respondent’s operations in areas outside of the </w:t>
      </w:r>
      <w:r w:rsidR="00CF48E3">
        <w:rPr>
          <w:sz w:val="26"/>
          <w:szCs w:val="18"/>
        </w:rPr>
        <w:t>C</w:t>
      </w:r>
      <w:r w:rsidR="004D47B1">
        <w:rPr>
          <w:sz w:val="26"/>
          <w:szCs w:val="18"/>
        </w:rPr>
        <w:t>ity of Philadelphia.</w:t>
      </w:r>
      <w:r w:rsidR="00105F7D">
        <w:rPr>
          <w:sz w:val="26"/>
          <w:szCs w:val="18"/>
        </w:rPr>
        <w:t xml:space="preserve">  </w:t>
      </w:r>
      <w:r w:rsidR="00A44011">
        <w:rPr>
          <w:sz w:val="26"/>
          <w:szCs w:val="18"/>
        </w:rPr>
        <w:t xml:space="preserve">These operations are within the Commission’s jurisdiction.  </w:t>
      </w:r>
      <w:r w:rsidR="00105F7D">
        <w:rPr>
          <w:sz w:val="26"/>
          <w:szCs w:val="18"/>
        </w:rPr>
        <w:t>For these reasons, we shall deny the Respondent’s first Exception.</w:t>
      </w:r>
      <w:r w:rsidR="004D47B1">
        <w:rPr>
          <w:sz w:val="26"/>
          <w:szCs w:val="18"/>
        </w:rPr>
        <w:t xml:space="preserve">    </w:t>
      </w:r>
      <w:r>
        <w:rPr>
          <w:sz w:val="26"/>
          <w:szCs w:val="18"/>
        </w:rPr>
        <w:t xml:space="preserve">      </w:t>
      </w:r>
      <w:r w:rsidR="00CD6D23">
        <w:rPr>
          <w:sz w:val="26"/>
          <w:szCs w:val="18"/>
        </w:rPr>
        <w:t xml:space="preserve">    </w:t>
      </w:r>
      <w:r w:rsidR="00411760">
        <w:rPr>
          <w:sz w:val="26"/>
          <w:szCs w:val="18"/>
        </w:rPr>
        <w:t xml:space="preserve">    </w:t>
      </w:r>
      <w:r w:rsidR="006651BE">
        <w:rPr>
          <w:sz w:val="26"/>
          <w:szCs w:val="18"/>
        </w:rPr>
        <w:t xml:space="preserve">      </w:t>
      </w:r>
      <w:r w:rsidR="00D65179" w:rsidRPr="006651BE">
        <w:rPr>
          <w:sz w:val="26"/>
          <w:szCs w:val="18"/>
        </w:rPr>
        <w:t xml:space="preserve"> </w:t>
      </w:r>
    </w:p>
    <w:p w:rsidR="00490BCE" w:rsidRPr="001E5DEC" w:rsidRDefault="00800E44" w:rsidP="00A04FFC">
      <w:pPr>
        <w:tabs>
          <w:tab w:val="left" w:pos="720"/>
        </w:tabs>
        <w:spacing w:line="360" w:lineRule="auto"/>
        <w:rPr>
          <w:b/>
          <w:sz w:val="26"/>
        </w:rPr>
      </w:pPr>
      <w:r>
        <w:rPr>
          <w:sz w:val="26"/>
        </w:rPr>
        <w:lastRenderedPageBreak/>
        <w:tab/>
      </w:r>
      <w:r w:rsidR="00490BCE">
        <w:rPr>
          <w:b/>
          <w:sz w:val="26"/>
        </w:rPr>
        <w:t>The ALJ Correctly Denied the Respondent’s Motion</w:t>
      </w:r>
    </w:p>
    <w:p w:rsidR="00FB2FA4" w:rsidRDefault="00800E44" w:rsidP="0042209A">
      <w:pPr>
        <w:tabs>
          <w:tab w:val="left" w:pos="720"/>
        </w:tabs>
        <w:spacing w:line="360" w:lineRule="auto"/>
        <w:rPr>
          <w:sz w:val="26"/>
        </w:rPr>
      </w:pPr>
      <w:r>
        <w:rPr>
          <w:sz w:val="26"/>
        </w:rPr>
        <w:tab/>
      </w:r>
    </w:p>
    <w:p w:rsidR="005D234C" w:rsidRDefault="00FB2FA4" w:rsidP="0042209A">
      <w:pPr>
        <w:tabs>
          <w:tab w:val="left" w:pos="720"/>
        </w:tabs>
        <w:spacing w:line="360" w:lineRule="auto"/>
        <w:rPr>
          <w:sz w:val="26"/>
        </w:rPr>
      </w:pPr>
      <w:r>
        <w:rPr>
          <w:sz w:val="26"/>
        </w:rPr>
        <w:tab/>
      </w:r>
      <w:r>
        <w:rPr>
          <w:sz w:val="26"/>
        </w:rPr>
        <w:tab/>
      </w:r>
      <w:r w:rsidR="0030527A">
        <w:rPr>
          <w:sz w:val="26"/>
        </w:rPr>
        <w:t xml:space="preserve">In its second Exception, </w:t>
      </w:r>
      <w:r w:rsidR="000F1CC8">
        <w:rPr>
          <w:sz w:val="26"/>
        </w:rPr>
        <w:t>t</w:t>
      </w:r>
      <w:r w:rsidR="00D72F6C">
        <w:rPr>
          <w:sz w:val="26"/>
        </w:rPr>
        <w:t>he Respondent avers</w:t>
      </w:r>
      <w:r w:rsidR="00800E44">
        <w:rPr>
          <w:sz w:val="26"/>
        </w:rPr>
        <w:t xml:space="preserve"> that</w:t>
      </w:r>
      <w:r w:rsidR="00B87A29">
        <w:rPr>
          <w:sz w:val="26"/>
        </w:rPr>
        <w:t>, in the alternative,</w:t>
      </w:r>
      <w:r w:rsidR="00800E44">
        <w:rPr>
          <w:sz w:val="26"/>
        </w:rPr>
        <w:t xml:space="preserve"> the ALJ should not have denied its Motion which </w:t>
      </w:r>
      <w:r w:rsidR="0030527A">
        <w:rPr>
          <w:sz w:val="26"/>
        </w:rPr>
        <w:t>assert</w:t>
      </w:r>
      <w:r w:rsidR="00800E44">
        <w:rPr>
          <w:sz w:val="26"/>
        </w:rPr>
        <w:t>ed that the Commission had exclusive jurisdiction over the Respondent.  The Respondent believes that granting its Motion was necessary in order to make certain determinations relating to the allegations in the Complaint, particularly those regarding meters and rates.</w:t>
      </w:r>
      <w:r w:rsidR="005D234C">
        <w:rPr>
          <w:sz w:val="26"/>
        </w:rPr>
        <w:t xml:space="preserve">  The Respondent asserts that there are numerous problems with the Commission’s and the PPA’s position that they have dual regulatory authority over carriers with call or demand rights in territories that include designated areas in Philadelphia.</w:t>
      </w:r>
      <w:r w:rsidR="00D73BA3">
        <w:rPr>
          <w:sz w:val="26"/>
        </w:rPr>
        <w:t xml:space="preserve">  </w:t>
      </w:r>
      <w:r w:rsidR="00D73BA3" w:rsidRPr="00D73BA3">
        <w:rPr>
          <w:i/>
          <w:sz w:val="26"/>
        </w:rPr>
        <w:t>Id</w:t>
      </w:r>
      <w:r w:rsidR="00D73BA3">
        <w:rPr>
          <w:sz w:val="26"/>
        </w:rPr>
        <w:t xml:space="preserve">. at 2.  </w:t>
      </w:r>
      <w:r w:rsidR="005D234C">
        <w:rPr>
          <w:sz w:val="26"/>
        </w:rPr>
        <w:t xml:space="preserve">  </w:t>
      </w:r>
    </w:p>
    <w:p w:rsidR="005D234C" w:rsidRDefault="005D234C" w:rsidP="0042209A">
      <w:pPr>
        <w:tabs>
          <w:tab w:val="left" w:pos="720"/>
        </w:tabs>
        <w:spacing w:line="360" w:lineRule="auto"/>
        <w:rPr>
          <w:sz w:val="26"/>
        </w:rPr>
      </w:pPr>
    </w:p>
    <w:p w:rsidR="006D3E9D" w:rsidRDefault="005D234C" w:rsidP="0042209A">
      <w:pPr>
        <w:tabs>
          <w:tab w:val="left" w:pos="720"/>
        </w:tabs>
        <w:spacing w:line="360" w:lineRule="auto"/>
        <w:rPr>
          <w:sz w:val="26"/>
        </w:rPr>
      </w:pPr>
      <w:r>
        <w:rPr>
          <w:sz w:val="26"/>
        </w:rPr>
        <w:tab/>
      </w:r>
      <w:r>
        <w:rPr>
          <w:sz w:val="26"/>
        </w:rPr>
        <w:tab/>
      </w:r>
      <w:r w:rsidR="00D73BA3">
        <w:rPr>
          <w:sz w:val="26"/>
        </w:rPr>
        <w:t>Specifically, the Respondent states that the first problem with enforcing a meter violation</w:t>
      </w:r>
      <w:r w:rsidR="00B87A29">
        <w:rPr>
          <w:sz w:val="26"/>
        </w:rPr>
        <w:t xml:space="preserve"> </w:t>
      </w:r>
      <w:r w:rsidR="00D73BA3">
        <w:rPr>
          <w:sz w:val="26"/>
        </w:rPr>
        <w:t>under the dual system of regulation is that the Respondent has rates on its meters that are not contained in its tariff on file with the Commission,</w:t>
      </w:r>
      <w:r w:rsidR="00501F73">
        <w:rPr>
          <w:rStyle w:val="FootnoteReference"/>
        </w:rPr>
        <w:footnoteReference w:id="5"/>
      </w:r>
      <w:r w:rsidR="00D73BA3">
        <w:rPr>
          <w:sz w:val="26"/>
        </w:rPr>
        <w:t xml:space="preserve"> and the Commission’s enforcement officers are not aware of what these rates are when they enforce </w:t>
      </w:r>
      <w:r w:rsidR="007A76D9">
        <w:rPr>
          <w:sz w:val="26"/>
        </w:rPr>
        <w:t>r</w:t>
      </w:r>
      <w:r w:rsidR="00D73BA3">
        <w:rPr>
          <w:sz w:val="26"/>
        </w:rPr>
        <w:t xml:space="preserve">egulations pertaining to meters and rates.  </w:t>
      </w:r>
      <w:r w:rsidR="007570AE" w:rsidRPr="007570AE">
        <w:rPr>
          <w:i/>
          <w:sz w:val="26"/>
        </w:rPr>
        <w:t>Id</w:t>
      </w:r>
      <w:r w:rsidR="007570AE">
        <w:rPr>
          <w:sz w:val="26"/>
        </w:rPr>
        <w:t xml:space="preserve">. at 3.  </w:t>
      </w:r>
      <w:r w:rsidR="002C0A9D">
        <w:rPr>
          <w:sz w:val="26"/>
        </w:rPr>
        <w:t>In order to remedy this problem, t</w:t>
      </w:r>
      <w:r w:rsidR="00D73BA3">
        <w:rPr>
          <w:sz w:val="26"/>
        </w:rPr>
        <w:t>he Respondent avers that the Commission should require the Respondent to file with the Commission the rates that the PPA requires the Respondent to charge.</w:t>
      </w:r>
      <w:r w:rsidR="002C0A9D">
        <w:rPr>
          <w:sz w:val="26"/>
        </w:rPr>
        <w:t xml:space="preserve">  The Respondent argues that the Commission’s failure to require such a filing is a violation of the Commission’s Regulations, specifically 52 Pa. Code §§ 23.1 and 23.11(a) and (b).</w:t>
      </w:r>
      <w:r w:rsidR="007570AE">
        <w:rPr>
          <w:sz w:val="26"/>
        </w:rPr>
        <w:t xml:space="preserve">  </w:t>
      </w:r>
      <w:r w:rsidR="007570AE" w:rsidRPr="007570AE">
        <w:rPr>
          <w:i/>
          <w:sz w:val="26"/>
        </w:rPr>
        <w:t>Id</w:t>
      </w:r>
      <w:r w:rsidR="007570AE">
        <w:rPr>
          <w:sz w:val="26"/>
        </w:rPr>
        <w:t>. at 4-5.</w:t>
      </w:r>
      <w:r w:rsidR="002C0A9D">
        <w:rPr>
          <w:sz w:val="26"/>
        </w:rPr>
        <w:t xml:space="preserve">  </w:t>
      </w:r>
    </w:p>
    <w:p w:rsidR="006D3E9D" w:rsidRDefault="006D3E9D" w:rsidP="0042209A">
      <w:pPr>
        <w:tabs>
          <w:tab w:val="left" w:pos="720"/>
        </w:tabs>
        <w:spacing w:line="360" w:lineRule="auto"/>
        <w:rPr>
          <w:sz w:val="26"/>
        </w:rPr>
      </w:pPr>
    </w:p>
    <w:p w:rsidR="0030527A" w:rsidRDefault="006D3E9D" w:rsidP="0042209A">
      <w:pPr>
        <w:tabs>
          <w:tab w:val="left" w:pos="720"/>
        </w:tabs>
        <w:spacing w:line="360" w:lineRule="auto"/>
        <w:rPr>
          <w:sz w:val="26"/>
        </w:rPr>
      </w:pPr>
      <w:r>
        <w:rPr>
          <w:sz w:val="26"/>
        </w:rPr>
        <w:tab/>
      </w:r>
      <w:r>
        <w:rPr>
          <w:sz w:val="26"/>
        </w:rPr>
        <w:tab/>
      </w:r>
      <w:r w:rsidR="002C0A9D">
        <w:rPr>
          <w:sz w:val="26"/>
        </w:rPr>
        <w:t>The Respondent asserts that the second problem with the dual system of regulation is the Jurisdictional Agreement between the PPA and the Commission and the PPA’s practice of allowing carriers to self-designate the vehicles that are subject to the PPA’s regulation.</w:t>
      </w:r>
      <w:r w:rsidR="007570AE">
        <w:rPr>
          <w:sz w:val="26"/>
        </w:rPr>
        <w:t xml:space="preserve">  </w:t>
      </w:r>
      <w:r w:rsidR="007570AE" w:rsidRPr="007570AE">
        <w:rPr>
          <w:i/>
          <w:sz w:val="26"/>
        </w:rPr>
        <w:t>Id</w:t>
      </w:r>
      <w:r w:rsidR="007570AE">
        <w:rPr>
          <w:sz w:val="26"/>
        </w:rPr>
        <w:t>. at 5.</w:t>
      </w:r>
      <w:r>
        <w:rPr>
          <w:sz w:val="26"/>
        </w:rPr>
        <w:t xml:space="preserve">  </w:t>
      </w:r>
      <w:r w:rsidR="0030527A">
        <w:rPr>
          <w:sz w:val="26"/>
        </w:rPr>
        <w:t xml:space="preserve">The Respondent states that, under the dual system, only </w:t>
      </w:r>
      <w:r w:rsidR="0030527A">
        <w:rPr>
          <w:sz w:val="26"/>
        </w:rPr>
        <w:lastRenderedPageBreak/>
        <w:t>non</w:t>
      </w:r>
      <w:r w:rsidR="000C25F1">
        <w:rPr>
          <w:sz w:val="26"/>
        </w:rPr>
        <w:noBreakHyphen/>
      </w:r>
      <w:r w:rsidR="0030527A">
        <w:rPr>
          <w:sz w:val="26"/>
        </w:rPr>
        <w:t xml:space="preserve">designated vehicles are subject to the Commission’s jurisdiction.  According to the Respondent, in this case, the Commission did not establish whether the vehicles were self-designated or non-designated vehicles, and, therefore, it did not establish whether it had jurisdiction over the vehicles it inspected.  </w:t>
      </w:r>
      <w:r w:rsidR="0030527A" w:rsidRPr="0030527A">
        <w:rPr>
          <w:i/>
          <w:sz w:val="26"/>
        </w:rPr>
        <w:t>Id</w:t>
      </w:r>
      <w:r w:rsidR="0030527A">
        <w:rPr>
          <w:sz w:val="26"/>
        </w:rPr>
        <w:t xml:space="preserve">. at 7.  </w:t>
      </w:r>
    </w:p>
    <w:p w:rsidR="007D06B3" w:rsidRDefault="0030527A" w:rsidP="0042209A">
      <w:pPr>
        <w:tabs>
          <w:tab w:val="left" w:pos="720"/>
        </w:tabs>
        <w:spacing w:line="360" w:lineRule="auto"/>
        <w:rPr>
          <w:sz w:val="26"/>
        </w:rPr>
      </w:pPr>
      <w:r>
        <w:rPr>
          <w:sz w:val="26"/>
        </w:rPr>
        <w:t xml:space="preserve">     </w:t>
      </w:r>
      <w:r w:rsidR="007570AE">
        <w:rPr>
          <w:sz w:val="26"/>
        </w:rPr>
        <w:t xml:space="preserve">    </w:t>
      </w:r>
      <w:r w:rsidR="002C0A9D">
        <w:rPr>
          <w:sz w:val="26"/>
        </w:rPr>
        <w:t xml:space="preserve">      </w:t>
      </w:r>
      <w:r w:rsidR="00D73BA3">
        <w:rPr>
          <w:sz w:val="26"/>
        </w:rPr>
        <w:t xml:space="preserve"> </w:t>
      </w:r>
      <w:r>
        <w:rPr>
          <w:sz w:val="26"/>
        </w:rPr>
        <w:tab/>
      </w:r>
    </w:p>
    <w:p w:rsidR="00192592" w:rsidRDefault="00345650" w:rsidP="0042209A">
      <w:pPr>
        <w:tabs>
          <w:tab w:val="left" w:pos="720"/>
        </w:tabs>
        <w:spacing w:line="360" w:lineRule="auto"/>
        <w:rPr>
          <w:sz w:val="26"/>
        </w:rPr>
      </w:pPr>
      <w:r>
        <w:rPr>
          <w:sz w:val="26"/>
        </w:rPr>
        <w:tab/>
      </w:r>
      <w:r>
        <w:rPr>
          <w:sz w:val="26"/>
        </w:rPr>
        <w:tab/>
        <w:t xml:space="preserve">In response, I&amp;E states that the ALJ properly found that, pursuant to Section 331(f) of the Code, the Respondent did not provide compelling reasons for a declaratory order. </w:t>
      </w:r>
      <w:r w:rsidR="00295ACF">
        <w:rPr>
          <w:sz w:val="26"/>
        </w:rPr>
        <w:t xml:space="preserve"> </w:t>
      </w:r>
      <w:r w:rsidR="00192592">
        <w:rPr>
          <w:sz w:val="26"/>
        </w:rPr>
        <w:t>R. Exc. at 3.</w:t>
      </w:r>
      <w:r>
        <w:rPr>
          <w:sz w:val="26"/>
        </w:rPr>
        <w:t xml:space="preserve"> </w:t>
      </w:r>
      <w:r w:rsidR="00192592">
        <w:rPr>
          <w:sz w:val="26"/>
        </w:rPr>
        <w:t xml:space="preserve"> </w:t>
      </w:r>
      <w:r>
        <w:rPr>
          <w:sz w:val="26"/>
        </w:rPr>
        <w:t xml:space="preserve">I&amp;E reiterated its position in its </w:t>
      </w:r>
      <w:r w:rsidR="00C6280B">
        <w:rPr>
          <w:sz w:val="26"/>
        </w:rPr>
        <w:t>B</w:t>
      </w:r>
      <w:r>
        <w:rPr>
          <w:sz w:val="26"/>
        </w:rPr>
        <w:t xml:space="preserve">rief that the only question regarding jurisdiction that is relevant to this proceeding is whether the Commission has jurisdiction over the operations of the Respondent outside of Philadelphia.  </w:t>
      </w:r>
      <w:r w:rsidR="00192592" w:rsidRPr="00192592">
        <w:rPr>
          <w:i/>
          <w:sz w:val="26"/>
        </w:rPr>
        <w:t>Id</w:t>
      </w:r>
      <w:r w:rsidR="00192592">
        <w:rPr>
          <w:sz w:val="26"/>
        </w:rPr>
        <w:t xml:space="preserve">. at 3-4.  </w:t>
      </w:r>
      <w:r>
        <w:rPr>
          <w:sz w:val="26"/>
        </w:rPr>
        <w:t xml:space="preserve">I&amp;E additionally asserts that an order divesting the PPA of its authority over the Respondent’s operations in Philadelphia would directly conflict with Act 119 of 2012, which clearly gives the PPA exclusive jurisdiction over taxi service within the </w:t>
      </w:r>
      <w:r w:rsidR="00CF48E3">
        <w:rPr>
          <w:sz w:val="26"/>
        </w:rPr>
        <w:t>C</w:t>
      </w:r>
      <w:r>
        <w:rPr>
          <w:sz w:val="26"/>
        </w:rPr>
        <w:t>ity of Philadelphia.</w:t>
      </w:r>
      <w:r w:rsidR="00192592">
        <w:rPr>
          <w:sz w:val="26"/>
        </w:rPr>
        <w:t xml:space="preserve">  </w:t>
      </w:r>
    </w:p>
    <w:p w:rsidR="00192592" w:rsidRDefault="00192592" w:rsidP="0042209A">
      <w:pPr>
        <w:tabs>
          <w:tab w:val="left" w:pos="720"/>
        </w:tabs>
        <w:spacing w:line="360" w:lineRule="auto"/>
        <w:rPr>
          <w:sz w:val="26"/>
        </w:rPr>
      </w:pPr>
      <w:r>
        <w:rPr>
          <w:sz w:val="26"/>
        </w:rPr>
        <w:tab/>
      </w:r>
    </w:p>
    <w:p w:rsidR="00105F7D" w:rsidRDefault="00192592" w:rsidP="0042209A">
      <w:pPr>
        <w:tabs>
          <w:tab w:val="left" w:pos="720"/>
        </w:tabs>
        <w:spacing w:line="360" w:lineRule="auto"/>
        <w:rPr>
          <w:sz w:val="26"/>
        </w:rPr>
      </w:pPr>
      <w:r>
        <w:rPr>
          <w:sz w:val="26"/>
        </w:rPr>
        <w:tab/>
      </w:r>
      <w:r>
        <w:rPr>
          <w:sz w:val="26"/>
        </w:rPr>
        <w:tab/>
        <w:t xml:space="preserve">Furthermore, I&amp;E avers that the PPA’s exclusive authority over taxi service within the </w:t>
      </w:r>
      <w:r w:rsidR="001F43E3">
        <w:rPr>
          <w:sz w:val="26"/>
        </w:rPr>
        <w:t>C</w:t>
      </w:r>
      <w:r>
        <w:rPr>
          <w:sz w:val="26"/>
        </w:rPr>
        <w:t xml:space="preserve">ity of Philadelphia gives the PPA the sole authority to regulate rates for taxi service within the </w:t>
      </w:r>
      <w:r w:rsidR="001F43E3">
        <w:rPr>
          <w:sz w:val="26"/>
        </w:rPr>
        <w:t>C</w:t>
      </w:r>
      <w:r>
        <w:rPr>
          <w:sz w:val="26"/>
        </w:rPr>
        <w:t xml:space="preserve">ity.  As such, I&amp;E states that the Respondent’s arguments that the Commission should regulate the Respondent’s PPA rates or require the Respondent to file these rates with the Commission is erroneous.  I&amp;E states that, because the </w:t>
      </w:r>
      <w:r w:rsidR="001669F4">
        <w:rPr>
          <w:sz w:val="26"/>
        </w:rPr>
        <w:t>L</w:t>
      </w:r>
      <w:r>
        <w:rPr>
          <w:sz w:val="26"/>
        </w:rPr>
        <w:t xml:space="preserve">egislature has delegated to the PPA the exclusive authority to regulate taxi service within the </w:t>
      </w:r>
      <w:r w:rsidR="001F43E3">
        <w:rPr>
          <w:sz w:val="26"/>
        </w:rPr>
        <w:t>C</w:t>
      </w:r>
      <w:r>
        <w:rPr>
          <w:sz w:val="26"/>
        </w:rPr>
        <w:t xml:space="preserve">ity of Philadelphia, the Commission does not have the authority to require the filing of tariffs for service that it does not regulate.  I&amp;E further explains that the Commission’s Regulations do not require carriers to file tariffs for service subject to the jurisdiction of federal regulatory bodies.  </w:t>
      </w:r>
      <w:r w:rsidR="0010255E">
        <w:rPr>
          <w:sz w:val="26"/>
        </w:rPr>
        <w:t xml:space="preserve">Finally, I&amp;E avers that the Respondent’s argument that the self-designation of cabs it wishes to use in its PPA jurisdictional service deprives the Commission of jurisdiction to inspect the Respondent’s cabs bearing its Commission-issued A-number is meritless.  I&amp;E asserts that the enforcement officers only inspected cabs bearing the Commission-issued A-number.   </w:t>
      </w:r>
    </w:p>
    <w:p w:rsidR="006B76F8" w:rsidRDefault="00105F7D" w:rsidP="0042209A">
      <w:pPr>
        <w:tabs>
          <w:tab w:val="left" w:pos="720"/>
        </w:tabs>
        <w:spacing w:line="360" w:lineRule="auto"/>
        <w:rPr>
          <w:sz w:val="26"/>
        </w:rPr>
      </w:pPr>
      <w:r>
        <w:rPr>
          <w:sz w:val="26"/>
        </w:rPr>
        <w:lastRenderedPageBreak/>
        <w:tab/>
      </w:r>
      <w:r>
        <w:rPr>
          <w:sz w:val="26"/>
        </w:rPr>
        <w:tab/>
      </w:r>
      <w:r w:rsidR="00AD0C62">
        <w:rPr>
          <w:sz w:val="26"/>
          <w:szCs w:val="18"/>
        </w:rPr>
        <w:t xml:space="preserve">Based on our review of the record and the applicable law, we will deny this Exception.  </w:t>
      </w:r>
      <w:r w:rsidR="007C6051">
        <w:rPr>
          <w:sz w:val="26"/>
          <w:szCs w:val="18"/>
        </w:rPr>
        <w:t>Based on the language in Act 119</w:t>
      </w:r>
      <w:r w:rsidR="00EB37A3">
        <w:rPr>
          <w:sz w:val="26"/>
        </w:rPr>
        <w:t>, we cannot agree with the argument that the Commission has exclusive jurisdiction.</w:t>
      </w:r>
      <w:r w:rsidR="00AD0C62">
        <w:rPr>
          <w:sz w:val="26"/>
        </w:rPr>
        <w:t xml:space="preserve">  Second, </w:t>
      </w:r>
      <w:r w:rsidR="00EB37A3">
        <w:rPr>
          <w:sz w:val="26"/>
        </w:rPr>
        <w:t>we agree with the ALJ’s denial of the Respondent’s Motion.  T</w:t>
      </w:r>
      <w:r w:rsidR="00F2149B">
        <w:rPr>
          <w:sz w:val="26"/>
        </w:rPr>
        <w:t xml:space="preserve">he ALJ properly exercised her discretion in deciding that the Respondent did not provide any compelling reasons for issuing a declaratory order in this case.  As </w:t>
      </w:r>
      <w:r w:rsidR="00931A51">
        <w:rPr>
          <w:sz w:val="26"/>
        </w:rPr>
        <w:t xml:space="preserve">previously discussed, </w:t>
      </w:r>
      <w:r w:rsidR="00F2149B">
        <w:rPr>
          <w:sz w:val="26"/>
        </w:rPr>
        <w:t xml:space="preserve">the record is clear that the Commission has authority over the Respondent for purposes of </w:t>
      </w:r>
      <w:r w:rsidR="00931A51">
        <w:rPr>
          <w:sz w:val="26"/>
        </w:rPr>
        <w:t>resolving</w:t>
      </w:r>
      <w:r w:rsidR="00F2149B">
        <w:rPr>
          <w:sz w:val="26"/>
        </w:rPr>
        <w:t xml:space="preserve"> the Complaint in this case</w:t>
      </w:r>
      <w:r w:rsidR="00931A51">
        <w:rPr>
          <w:sz w:val="26"/>
        </w:rPr>
        <w:t>.  As such,</w:t>
      </w:r>
      <w:r w:rsidR="00F2149B">
        <w:rPr>
          <w:sz w:val="26"/>
        </w:rPr>
        <w:t xml:space="preserve"> there is no uncertainty regarding jurisdiction that must be resolved</w:t>
      </w:r>
      <w:r w:rsidR="00931A51">
        <w:rPr>
          <w:sz w:val="26"/>
        </w:rPr>
        <w:t xml:space="preserve"> through the issuance of a declaratory order</w:t>
      </w:r>
      <w:r w:rsidR="00F2149B">
        <w:rPr>
          <w:sz w:val="26"/>
        </w:rPr>
        <w:t xml:space="preserve">.  </w:t>
      </w:r>
      <w:r w:rsidR="00366816">
        <w:rPr>
          <w:sz w:val="26"/>
        </w:rPr>
        <w:t xml:space="preserve">Additionally, </w:t>
      </w:r>
      <w:r w:rsidR="00EB37A3">
        <w:rPr>
          <w:sz w:val="26"/>
        </w:rPr>
        <w:t xml:space="preserve">the ALJ properly denied the Motion because </w:t>
      </w:r>
      <w:r w:rsidR="006B76F8">
        <w:rPr>
          <w:sz w:val="26"/>
        </w:rPr>
        <w:t>the Respondent’s reasoning (that the Commission</w:t>
      </w:r>
      <w:r w:rsidR="00220F20">
        <w:rPr>
          <w:sz w:val="26"/>
        </w:rPr>
        <w:t xml:space="preserve"> has exclusive jurisdiction</w:t>
      </w:r>
      <w:r w:rsidR="00EB37A3">
        <w:rPr>
          <w:sz w:val="26"/>
        </w:rPr>
        <w:t xml:space="preserve"> over the Respondent</w:t>
      </w:r>
      <w:r w:rsidR="006B76F8">
        <w:rPr>
          <w:sz w:val="26"/>
        </w:rPr>
        <w:t xml:space="preserve">) </w:t>
      </w:r>
      <w:r w:rsidR="00EB37A3">
        <w:rPr>
          <w:sz w:val="26"/>
        </w:rPr>
        <w:t xml:space="preserve">fails to </w:t>
      </w:r>
      <w:r w:rsidR="006B76F8">
        <w:rPr>
          <w:sz w:val="26"/>
        </w:rPr>
        <w:t>support the requested relief (dismissal of the Commission’s Complaint</w:t>
      </w:r>
      <w:r w:rsidR="00EB37A3">
        <w:rPr>
          <w:sz w:val="26"/>
        </w:rPr>
        <w:t xml:space="preserve"> against the Respondent</w:t>
      </w:r>
      <w:r w:rsidR="006B76F8">
        <w:rPr>
          <w:sz w:val="26"/>
        </w:rPr>
        <w:t>).</w:t>
      </w:r>
      <w:r w:rsidR="00220F20">
        <w:rPr>
          <w:sz w:val="26"/>
        </w:rPr>
        <w:t xml:space="preserve"> </w:t>
      </w:r>
    </w:p>
    <w:p w:rsidR="006B76F8" w:rsidRDefault="006B76F8" w:rsidP="0042209A">
      <w:pPr>
        <w:tabs>
          <w:tab w:val="left" w:pos="720"/>
        </w:tabs>
        <w:spacing w:line="360" w:lineRule="auto"/>
        <w:rPr>
          <w:sz w:val="26"/>
        </w:rPr>
      </w:pPr>
    </w:p>
    <w:p w:rsidR="00BC4B60" w:rsidRDefault="00366816" w:rsidP="0042209A">
      <w:pPr>
        <w:tabs>
          <w:tab w:val="left" w:pos="720"/>
        </w:tabs>
        <w:spacing w:line="360" w:lineRule="auto"/>
        <w:rPr>
          <w:sz w:val="26"/>
        </w:rPr>
      </w:pPr>
      <w:r>
        <w:rPr>
          <w:sz w:val="26"/>
        </w:rPr>
        <w:tab/>
      </w:r>
      <w:r>
        <w:rPr>
          <w:sz w:val="26"/>
        </w:rPr>
        <w:tab/>
        <w:t>Moreover, we find that the Respondent’s arguments</w:t>
      </w:r>
      <w:r w:rsidRPr="00366816">
        <w:rPr>
          <w:sz w:val="26"/>
        </w:rPr>
        <w:t xml:space="preserve"> </w:t>
      </w:r>
      <w:r>
        <w:rPr>
          <w:sz w:val="26"/>
        </w:rPr>
        <w:t xml:space="preserve">that the Commission should regulate the Respondent’s PPA rates or require the Respondent to file these rates with the Commission </w:t>
      </w:r>
      <w:r w:rsidR="004B7EF6">
        <w:rPr>
          <w:sz w:val="26"/>
        </w:rPr>
        <w:t>are</w:t>
      </w:r>
      <w:r>
        <w:rPr>
          <w:sz w:val="26"/>
        </w:rPr>
        <w:t xml:space="preserve"> meritless.</w:t>
      </w:r>
      <w:r w:rsidR="00384528">
        <w:rPr>
          <w:sz w:val="26"/>
        </w:rPr>
        <w:t xml:space="preserve">  Act 119 of 2012 provides the PPA with </w:t>
      </w:r>
      <w:r w:rsidR="004B7EF6">
        <w:rPr>
          <w:sz w:val="26"/>
        </w:rPr>
        <w:t xml:space="preserve">regulatory </w:t>
      </w:r>
      <w:r w:rsidR="00384528">
        <w:rPr>
          <w:sz w:val="26"/>
        </w:rPr>
        <w:t xml:space="preserve">authority over many aspects regarding carriers’ operations within the limits of the </w:t>
      </w:r>
      <w:r w:rsidR="00255D89">
        <w:rPr>
          <w:sz w:val="26"/>
        </w:rPr>
        <w:t>C</w:t>
      </w:r>
      <w:r w:rsidR="00384528">
        <w:rPr>
          <w:sz w:val="26"/>
        </w:rPr>
        <w:t>ity of Philadelphia.</w:t>
      </w:r>
      <w:r w:rsidR="00BC4B60">
        <w:rPr>
          <w:sz w:val="26"/>
        </w:rPr>
        <w:t xml:space="preserve">  For example, the PPA may require taxicabs to file tariffs and insurance with it</w:t>
      </w:r>
      <w:r w:rsidR="004B7EF6">
        <w:rPr>
          <w:sz w:val="26"/>
        </w:rPr>
        <w:t>,</w:t>
      </w:r>
      <w:r w:rsidR="00BC4B60">
        <w:rPr>
          <w:sz w:val="26"/>
        </w:rPr>
        <w:t xml:space="preserve"> and is authorized to issue certificates of public convenience.  </w:t>
      </w:r>
      <w:r w:rsidR="00BC4B60" w:rsidRPr="00BC4B60">
        <w:rPr>
          <w:i/>
          <w:sz w:val="26"/>
        </w:rPr>
        <w:t>See</w:t>
      </w:r>
      <w:r w:rsidR="00BC4B60">
        <w:rPr>
          <w:sz w:val="26"/>
        </w:rPr>
        <w:t xml:space="preserve">, 53 Pa. C.S. </w:t>
      </w:r>
    </w:p>
    <w:p w:rsidR="00A85D36" w:rsidRDefault="00BC4B60" w:rsidP="0042209A">
      <w:pPr>
        <w:tabs>
          <w:tab w:val="left" w:pos="720"/>
        </w:tabs>
        <w:spacing w:line="360" w:lineRule="auto"/>
        <w:rPr>
          <w:sz w:val="26"/>
        </w:rPr>
      </w:pPr>
      <w:r>
        <w:rPr>
          <w:sz w:val="26"/>
        </w:rPr>
        <w:t>§§ 5703, 5704, and 5711.</w:t>
      </w:r>
      <w:r w:rsidR="00307350">
        <w:rPr>
          <w:sz w:val="26"/>
        </w:rPr>
        <w:t xml:space="preserve">  The Commission does not currently require such filings and to do so now would be duplicative of any tariff filings required by the PPA and contradictory to the </w:t>
      </w:r>
      <w:r w:rsidR="00255D89">
        <w:rPr>
          <w:sz w:val="26"/>
        </w:rPr>
        <w:t>L</w:t>
      </w:r>
      <w:r w:rsidR="00307350">
        <w:rPr>
          <w:sz w:val="26"/>
        </w:rPr>
        <w:t>egislat</w:t>
      </w:r>
      <w:r w:rsidR="00255D89">
        <w:rPr>
          <w:sz w:val="26"/>
        </w:rPr>
        <w:t>ur</w:t>
      </w:r>
      <w:r w:rsidR="00307350">
        <w:rPr>
          <w:sz w:val="26"/>
        </w:rPr>
        <w:t xml:space="preserve">e’s grant of authority to the PPA to regulate the rates within the </w:t>
      </w:r>
      <w:r w:rsidR="00CF48E3">
        <w:rPr>
          <w:sz w:val="26"/>
        </w:rPr>
        <w:t>C</w:t>
      </w:r>
      <w:r w:rsidR="00307350">
        <w:rPr>
          <w:sz w:val="26"/>
        </w:rPr>
        <w:t xml:space="preserve">ity of Philadelphia.  </w:t>
      </w:r>
      <w:r w:rsidR="00220599">
        <w:rPr>
          <w:sz w:val="26"/>
        </w:rPr>
        <w:t xml:space="preserve">Accordingly, we shall deny the Respondent’s second Exception. </w:t>
      </w:r>
      <w:r>
        <w:rPr>
          <w:sz w:val="26"/>
        </w:rPr>
        <w:t xml:space="preserve">   </w:t>
      </w:r>
      <w:r w:rsidR="00366816">
        <w:rPr>
          <w:sz w:val="26"/>
        </w:rPr>
        <w:t xml:space="preserve">  </w:t>
      </w:r>
    </w:p>
    <w:p w:rsidR="007D06B3" w:rsidRDefault="00F2149B" w:rsidP="0042209A">
      <w:pPr>
        <w:tabs>
          <w:tab w:val="left" w:pos="720"/>
        </w:tabs>
        <w:spacing w:line="360" w:lineRule="auto"/>
        <w:rPr>
          <w:sz w:val="26"/>
        </w:rPr>
      </w:pPr>
      <w:r>
        <w:rPr>
          <w:sz w:val="26"/>
        </w:rPr>
        <w:t xml:space="preserve">   </w:t>
      </w:r>
      <w:r w:rsidR="00192592">
        <w:rPr>
          <w:sz w:val="26"/>
        </w:rPr>
        <w:t xml:space="preserve">      </w:t>
      </w:r>
      <w:r w:rsidR="00345650">
        <w:rPr>
          <w:sz w:val="26"/>
        </w:rPr>
        <w:t xml:space="preserve">      </w:t>
      </w:r>
    </w:p>
    <w:p w:rsidR="007D06B3" w:rsidRPr="007D06B3" w:rsidRDefault="00927069" w:rsidP="000C25F1">
      <w:pPr>
        <w:keepNext/>
        <w:tabs>
          <w:tab w:val="left" w:pos="720"/>
        </w:tabs>
        <w:spacing w:line="360" w:lineRule="auto"/>
        <w:rPr>
          <w:b/>
          <w:sz w:val="26"/>
        </w:rPr>
      </w:pPr>
      <w:r>
        <w:rPr>
          <w:b/>
          <w:sz w:val="26"/>
        </w:rPr>
        <w:t xml:space="preserve">Exception Pertaining to the </w:t>
      </w:r>
      <w:r w:rsidR="007D06B3" w:rsidRPr="007D06B3">
        <w:rPr>
          <w:b/>
          <w:sz w:val="26"/>
        </w:rPr>
        <w:t xml:space="preserve">Civil Penalty Amount </w:t>
      </w:r>
    </w:p>
    <w:p w:rsidR="007D06B3" w:rsidRDefault="007D06B3" w:rsidP="000C25F1">
      <w:pPr>
        <w:keepNext/>
        <w:tabs>
          <w:tab w:val="left" w:pos="720"/>
        </w:tabs>
        <w:spacing w:line="360" w:lineRule="auto"/>
        <w:rPr>
          <w:sz w:val="26"/>
        </w:rPr>
      </w:pPr>
    </w:p>
    <w:p w:rsidR="002E1770" w:rsidRPr="00967EB9" w:rsidRDefault="002E1770" w:rsidP="000C25F1">
      <w:pPr>
        <w:keepNext/>
        <w:tabs>
          <w:tab w:val="left" w:pos="720"/>
        </w:tabs>
        <w:spacing w:line="360" w:lineRule="auto"/>
        <w:rPr>
          <w:b/>
          <w:sz w:val="26"/>
        </w:rPr>
      </w:pPr>
      <w:r>
        <w:rPr>
          <w:sz w:val="26"/>
        </w:rPr>
        <w:tab/>
      </w:r>
      <w:r w:rsidRPr="00967EB9">
        <w:rPr>
          <w:b/>
          <w:sz w:val="26"/>
        </w:rPr>
        <w:t xml:space="preserve">ALJ’s Recommendation </w:t>
      </w:r>
    </w:p>
    <w:p w:rsidR="002E1770" w:rsidRDefault="002E1770" w:rsidP="0042209A">
      <w:pPr>
        <w:tabs>
          <w:tab w:val="left" w:pos="720"/>
        </w:tabs>
        <w:spacing w:line="360" w:lineRule="auto"/>
        <w:rPr>
          <w:sz w:val="26"/>
        </w:rPr>
      </w:pPr>
      <w:r>
        <w:rPr>
          <w:sz w:val="26"/>
        </w:rPr>
        <w:tab/>
      </w:r>
    </w:p>
    <w:p w:rsidR="00E04C3E" w:rsidRDefault="00865DA2" w:rsidP="003B349B">
      <w:pPr>
        <w:spacing w:line="360" w:lineRule="auto"/>
        <w:ind w:firstLine="1440"/>
        <w:rPr>
          <w:sz w:val="26"/>
        </w:rPr>
      </w:pPr>
      <w:r>
        <w:rPr>
          <w:sz w:val="26"/>
        </w:rPr>
        <w:lastRenderedPageBreak/>
        <w:t xml:space="preserve">Initially, the ALJ stated that the Respondent did not deny any of the violations in the Complaint, but, rather, just provided evidence to show it was difficult to comply with conflicting regulations of the PPA and the Commission regarding the meters and decals.  The ALJ also noted that I&amp;E did not suggest a reduction in any of the proposed penalties set forth in the Complaint.  I.D. at 19.  Next, the ALJ analyzed the civil penalty amount that was appropriate in this case </w:t>
      </w:r>
      <w:r w:rsidR="003B349B">
        <w:rPr>
          <w:sz w:val="26"/>
        </w:rPr>
        <w:t>based on the</w:t>
      </w:r>
      <w:r>
        <w:rPr>
          <w:color w:val="000000"/>
          <w:sz w:val="26"/>
          <w:szCs w:val="26"/>
          <w:u w:color="000000"/>
        </w:rPr>
        <w:t xml:space="preserve"> Commission’s </w:t>
      </w:r>
      <w:r w:rsidRPr="00B60A20">
        <w:rPr>
          <w:i/>
          <w:color w:val="000000"/>
          <w:sz w:val="26"/>
          <w:szCs w:val="26"/>
          <w:u w:color="000000"/>
        </w:rPr>
        <w:t>Policy Statement</w:t>
      </w:r>
      <w:r>
        <w:rPr>
          <w:color w:val="000000"/>
          <w:sz w:val="26"/>
          <w:szCs w:val="26"/>
          <w:u w:color="000000"/>
        </w:rPr>
        <w:t xml:space="preserve"> at 52 Pa.</w:t>
      </w:r>
      <w:r w:rsidR="003B349B">
        <w:rPr>
          <w:color w:val="000000"/>
          <w:sz w:val="26"/>
          <w:szCs w:val="26"/>
          <w:u w:color="000000"/>
        </w:rPr>
        <w:t xml:space="preserve"> </w:t>
      </w:r>
      <w:r>
        <w:rPr>
          <w:color w:val="000000"/>
          <w:sz w:val="26"/>
          <w:szCs w:val="26"/>
          <w:u w:color="000000"/>
        </w:rPr>
        <w:t xml:space="preserve">Code </w:t>
      </w:r>
      <w:r>
        <w:rPr>
          <w:sz w:val="26"/>
          <w:szCs w:val="26"/>
        </w:rPr>
        <w:t>§ 69.1201</w:t>
      </w:r>
      <w:r w:rsidR="003B349B">
        <w:rPr>
          <w:sz w:val="26"/>
          <w:szCs w:val="26"/>
        </w:rPr>
        <w:t>, which</w:t>
      </w:r>
      <w:r>
        <w:rPr>
          <w:sz w:val="26"/>
          <w:szCs w:val="26"/>
        </w:rPr>
        <w:t xml:space="preserve"> sets forth the guidelines we use when determining whether and to what extent a civil penalty is warranted</w:t>
      </w:r>
      <w:r w:rsidR="003B349B">
        <w:rPr>
          <w:sz w:val="26"/>
          <w:szCs w:val="26"/>
        </w:rPr>
        <w:t xml:space="preserve"> (</w:t>
      </w:r>
      <w:r w:rsidR="003B349B" w:rsidRPr="003B349B">
        <w:rPr>
          <w:i/>
          <w:sz w:val="26"/>
          <w:szCs w:val="26"/>
        </w:rPr>
        <w:t>Policy Statement</w:t>
      </w:r>
      <w:r w:rsidR="003B349B">
        <w:rPr>
          <w:sz w:val="26"/>
          <w:szCs w:val="26"/>
        </w:rPr>
        <w:t>)</w:t>
      </w:r>
      <w:r>
        <w:rPr>
          <w:sz w:val="26"/>
          <w:szCs w:val="26"/>
        </w:rPr>
        <w:t>.</w:t>
      </w:r>
      <w:r w:rsidR="003B349B">
        <w:rPr>
          <w:sz w:val="26"/>
          <w:szCs w:val="26"/>
        </w:rPr>
        <w:t xml:space="preserve">  Based on her analysis, the ALJ sustained the Complaint and recommended </w:t>
      </w:r>
      <w:r w:rsidR="000E44FC">
        <w:rPr>
          <w:sz w:val="26"/>
          <w:szCs w:val="26"/>
        </w:rPr>
        <w:t>the</w:t>
      </w:r>
      <w:r w:rsidR="003B349B">
        <w:rPr>
          <w:sz w:val="26"/>
          <w:szCs w:val="26"/>
        </w:rPr>
        <w:t xml:space="preserve"> civil penalty of $9,950</w:t>
      </w:r>
      <w:r w:rsidR="000E44FC">
        <w:rPr>
          <w:sz w:val="26"/>
          <w:szCs w:val="26"/>
        </w:rPr>
        <w:t xml:space="preserve"> that was sought by I&amp;E in the Complaint</w:t>
      </w:r>
      <w:r w:rsidR="003B349B">
        <w:rPr>
          <w:sz w:val="26"/>
          <w:szCs w:val="26"/>
        </w:rPr>
        <w:t>.</w:t>
      </w:r>
      <w:r w:rsidR="00252194">
        <w:rPr>
          <w:sz w:val="26"/>
          <w:szCs w:val="26"/>
        </w:rPr>
        <w:t xml:space="preserve">  I.D. at 23.</w:t>
      </w:r>
      <w:r w:rsidR="003B349B">
        <w:rPr>
          <w:sz w:val="26"/>
          <w:szCs w:val="26"/>
        </w:rPr>
        <w:t xml:space="preserve">  </w:t>
      </w:r>
      <w:r>
        <w:rPr>
          <w:sz w:val="26"/>
        </w:rPr>
        <w:t xml:space="preserve">   </w:t>
      </w:r>
    </w:p>
    <w:p w:rsidR="00E04C3E" w:rsidRDefault="00E04C3E" w:rsidP="003B349B">
      <w:pPr>
        <w:spacing w:line="360" w:lineRule="auto"/>
        <w:ind w:firstLine="1440"/>
        <w:rPr>
          <w:sz w:val="26"/>
        </w:rPr>
      </w:pPr>
    </w:p>
    <w:p w:rsidR="002E1770" w:rsidRDefault="002E1770" w:rsidP="0042209A">
      <w:pPr>
        <w:tabs>
          <w:tab w:val="left" w:pos="720"/>
        </w:tabs>
        <w:spacing w:line="360" w:lineRule="auto"/>
        <w:rPr>
          <w:b/>
          <w:sz w:val="26"/>
        </w:rPr>
      </w:pPr>
      <w:r>
        <w:rPr>
          <w:sz w:val="26"/>
        </w:rPr>
        <w:tab/>
      </w:r>
      <w:r w:rsidRPr="002E1770">
        <w:rPr>
          <w:b/>
          <w:sz w:val="26"/>
        </w:rPr>
        <w:t xml:space="preserve">Exceptions and Replies </w:t>
      </w:r>
    </w:p>
    <w:p w:rsidR="002E1770" w:rsidRPr="002E1770" w:rsidRDefault="002E1770" w:rsidP="0042209A">
      <w:pPr>
        <w:tabs>
          <w:tab w:val="left" w:pos="720"/>
        </w:tabs>
        <w:spacing w:line="360" w:lineRule="auto"/>
        <w:rPr>
          <w:b/>
          <w:sz w:val="26"/>
        </w:rPr>
      </w:pPr>
    </w:p>
    <w:p w:rsidR="002E1770" w:rsidRDefault="002E1770" w:rsidP="0042209A">
      <w:pPr>
        <w:tabs>
          <w:tab w:val="left" w:pos="720"/>
        </w:tabs>
        <w:spacing w:line="360" w:lineRule="auto"/>
        <w:rPr>
          <w:sz w:val="26"/>
        </w:rPr>
      </w:pPr>
      <w:r>
        <w:rPr>
          <w:sz w:val="26"/>
        </w:rPr>
        <w:tab/>
      </w:r>
      <w:r>
        <w:rPr>
          <w:sz w:val="26"/>
        </w:rPr>
        <w:tab/>
      </w:r>
      <w:r w:rsidR="0030527A">
        <w:rPr>
          <w:sz w:val="26"/>
        </w:rPr>
        <w:t xml:space="preserve">In its final Exception, the Respondent objects to the ALJ’s finding regarding the total amount of the civil penalty that was imposed.  The Respondent believes that, based on the findings in the ALJ’s Initial Decision on pages </w:t>
      </w:r>
      <w:r w:rsidR="003F7233">
        <w:rPr>
          <w:sz w:val="26"/>
        </w:rPr>
        <w:t>seventeen through nineteen</w:t>
      </w:r>
      <w:r w:rsidR="0030527A">
        <w:rPr>
          <w:sz w:val="26"/>
        </w:rPr>
        <w:t>, the total amount of the civil penalty should be $3,250.</w:t>
      </w:r>
      <w:r>
        <w:rPr>
          <w:sz w:val="26"/>
        </w:rPr>
        <w:t xml:space="preserve">  Exc. at 8.  </w:t>
      </w:r>
    </w:p>
    <w:p w:rsidR="002E1770" w:rsidRDefault="002E1770" w:rsidP="0042209A">
      <w:pPr>
        <w:tabs>
          <w:tab w:val="left" w:pos="720"/>
        </w:tabs>
        <w:spacing w:line="360" w:lineRule="auto"/>
        <w:rPr>
          <w:sz w:val="26"/>
        </w:rPr>
      </w:pPr>
    </w:p>
    <w:p w:rsidR="000F1CC8" w:rsidRDefault="002E1770" w:rsidP="0042209A">
      <w:pPr>
        <w:tabs>
          <w:tab w:val="left" w:pos="720"/>
        </w:tabs>
        <w:spacing w:line="360" w:lineRule="auto"/>
        <w:rPr>
          <w:sz w:val="26"/>
        </w:rPr>
      </w:pPr>
      <w:r>
        <w:rPr>
          <w:sz w:val="26"/>
        </w:rPr>
        <w:tab/>
      </w:r>
      <w:r>
        <w:rPr>
          <w:sz w:val="26"/>
        </w:rPr>
        <w:tab/>
        <w:t xml:space="preserve">In its Replies to Exceptions, I&amp;E states that the ALJ correctly found that the Respondent did not deny any of the violations set forth in the Complaint.  I&amp;E avers that the Respondent merely provided evidence to show it was difficult to comply with the conflicting regulations regarding meters and decals.  </w:t>
      </w:r>
      <w:r w:rsidR="00BD79CA">
        <w:rPr>
          <w:sz w:val="26"/>
        </w:rPr>
        <w:t xml:space="preserve">R. Exc. at 5.  </w:t>
      </w:r>
      <w:r>
        <w:rPr>
          <w:sz w:val="26"/>
        </w:rPr>
        <w:t xml:space="preserve">  </w:t>
      </w:r>
      <w:r w:rsidR="0030527A">
        <w:rPr>
          <w:sz w:val="26"/>
        </w:rPr>
        <w:t xml:space="preserve">  </w:t>
      </w:r>
      <w:r w:rsidR="00D73BA3">
        <w:rPr>
          <w:sz w:val="26"/>
        </w:rPr>
        <w:t xml:space="preserve">        </w:t>
      </w:r>
      <w:r w:rsidR="005D234C">
        <w:rPr>
          <w:sz w:val="26"/>
        </w:rPr>
        <w:t xml:space="preserve"> </w:t>
      </w:r>
      <w:r w:rsidR="00800E44">
        <w:rPr>
          <w:sz w:val="26"/>
        </w:rPr>
        <w:t xml:space="preserve"> </w:t>
      </w:r>
    </w:p>
    <w:p w:rsidR="000F1CC8" w:rsidRDefault="000F1CC8" w:rsidP="0042209A">
      <w:pPr>
        <w:tabs>
          <w:tab w:val="left" w:pos="720"/>
        </w:tabs>
        <w:spacing w:line="360" w:lineRule="auto"/>
        <w:rPr>
          <w:sz w:val="26"/>
        </w:rPr>
      </w:pPr>
    </w:p>
    <w:p w:rsidR="00927069" w:rsidRPr="001E5DEC" w:rsidRDefault="00927069" w:rsidP="000C25F1">
      <w:pPr>
        <w:keepNext/>
        <w:tabs>
          <w:tab w:val="left" w:pos="720"/>
        </w:tabs>
        <w:spacing w:line="360" w:lineRule="auto"/>
        <w:ind w:firstLine="720"/>
        <w:rPr>
          <w:b/>
          <w:sz w:val="26"/>
        </w:rPr>
      </w:pPr>
      <w:r w:rsidRPr="001E5DEC">
        <w:rPr>
          <w:b/>
          <w:sz w:val="26"/>
        </w:rPr>
        <w:t>Disposition</w:t>
      </w:r>
    </w:p>
    <w:p w:rsidR="00927069" w:rsidRDefault="00927069" w:rsidP="000C25F1">
      <w:pPr>
        <w:keepNext/>
        <w:tabs>
          <w:tab w:val="left" w:pos="720"/>
        </w:tabs>
        <w:spacing w:line="360" w:lineRule="auto"/>
        <w:rPr>
          <w:sz w:val="26"/>
        </w:rPr>
      </w:pPr>
    </w:p>
    <w:p w:rsidR="000B6501" w:rsidRDefault="00AD1C57" w:rsidP="004C494D">
      <w:pPr>
        <w:spacing w:line="360" w:lineRule="auto"/>
        <w:ind w:firstLine="1440"/>
        <w:rPr>
          <w:color w:val="000000"/>
          <w:sz w:val="26"/>
          <w:szCs w:val="26"/>
          <w:u w:color="000000"/>
        </w:rPr>
      </w:pPr>
      <w:r>
        <w:rPr>
          <w:color w:val="000000"/>
          <w:sz w:val="26"/>
          <w:szCs w:val="26"/>
          <w:u w:color="000000"/>
        </w:rPr>
        <w:t xml:space="preserve">Initially, </w:t>
      </w:r>
      <w:r w:rsidR="003F7233">
        <w:rPr>
          <w:color w:val="000000"/>
          <w:sz w:val="26"/>
          <w:szCs w:val="26"/>
          <w:u w:color="000000"/>
        </w:rPr>
        <w:t xml:space="preserve">we agree with the </w:t>
      </w:r>
      <w:r w:rsidR="003C2DB2">
        <w:rPr>
          <w:color w:val="000000"/>
          <w:sz w:val="26"/>
          <w:szCs w:val="26"/>
          <w:u w:color="000000"/>
        </w:rPr>
        <w:t>Respondent</w:t>
      </w:r>
      <w:r w:rsidR="003F7233">
        <w:rPr>
          <w:color w:val="000000"/>
          <w:sz w:val="26"/>
          <w:szCs w:val="26"/>
          <w:u w:color="000000"/>
        </w:rPr>
        <w:t xml:space="preserve"> that the ALJ’s discussion on pages seventeen through nineteen only addresses </w:t>
      </w:r>
      <w:r w:rsidR="00045622">
        <w:rPr>
          <w:color w:val="000000"/>
          <w:sz w:val="26"/>
          <w:szCs w:val="26"/>
          <w:u w:color="000000"/>
        </w:rPr>
        <w:t xml:space="preserve">some of the </w:t>
      </w:r>
      <w:r w:rsidR="003F7233">
        <w:rPr>
          <w:color w:val="000000"/>
          <w:sz w:val="26"/>
          <w:szCs w:val="26"/>
          <w:u w:color="000000"/>
        </w:rPr>
        <w:t xml:space="preserve">violations </w:t>
      </w:r>
      <w:r w:rsidR="00045622">
        <w:rPr>
          <w:color w:val="000000"/>
          <w:sz w:val="26"/>
          <w:szCs w:val="26"/>
          <w:u w:color="000000"/>
        </w:rPr>
        <w:t xml:space="preserve">alleged in the Complaint, and </w:t>
      </w:r>
      <w:r w:rsidR="003F7233">
        <w:rPr>
          <w:color w:val="000000"/>
          <w:sz w:val="26"/>
          <w:szCs w:val="26"/>
          <w:u w:color="000000"/>
        </w:rPr>
        <w:t xml:space="preserve">that </w:t>
      </w:r>
      <w:r w:rsidR="00045622">
        <w:rPr>
          <w:color w:val="000000"/>
          <w:sz w:val="26"/>
          <w:szCs w:val="26"/>
          <w:u w:color="000000"/>
        </w:rPr>
        <w:t xml:space="preserve">these violations </w:t>
      </w:r>
      <w:r w:rsidR="003F7233">
        <w:rPr>
          <w:color w:val="000000"/>
          <w:sz w:val="26"/>
          <w:szCs w:val="26"/>
          <w:u w:color="000000"/>
        </w:rPr>
        <w:t xml:space="preserve">amount to $3,250 in civil penalties.  </w:t>
      </w:r>
      <w:r w:rsidR="00130074">
        <w:rPr>
          <w:color w:val="000000"/>
          <w:sz w:val="26"/>
          <w:szCs w:val="26"/>
          <w:u w:color="000000"/>
        </w:rPr>
        <w:t xml:space="preserve">Nevertheless, </w:t>
      </w:r>
      <w:r w:rsidR="000B6501">
        <w:rPr>
          <w:color w:val="000000"/>
          <w:sz w:val="26"/>
          <w:szCs w:val="26"/>
          <w:u w:color="000000"/>
        </w:rPr>
        <w:lastRenderedPageBreak/>
        <w:t xml:space="preserve">we do not believe </w:t>
      </w:r>
      <w:r w:rsidR="00130074">
        <w:rPr>
          <w:color w:val="000000"/>
          <w:sz w:val="26"/>
          <w:szCs w:val="26"/>
          <w:u w:color="000000"/>
        </w:rPr>
        <w:t>this discussion affect</w:t>
      </w:r>
      <w:r w:rsidR="000B6501">
        <w:rPr>
          <w:color w:val="000000"/>
          <w:sz w:val="26"/>
          <w:szCs w:val="26"/>
          <w:u w:color="000000"/>
        </w:rPr>
        <w:t>s</w:t>
      </w:r>
      <w:r w:rsidR="00130074">
        <w:rPr>
          <w:color w:val="000000"/>
          <w:sz w:val="26"/>
          <w:szCs w:val="26"/>
          <w:u w:color="000000"/>
        </w:rPr>
        <w:t xml:space="preserve"> the ALJ’s finding that the Respondent shall pay a civil penalty of $9,</w:t>
      </w:r>
      <w:r w:rsidR="000B6501">
        <w:rPr>
          <w:color w:val="000000"/>
          <w:sz w:val="26"/>
          <w:szCs w:val="26"/>
          <w:u w:color="000000"/>
        </w:rPr>
        <w:t>9</w:t>
      </w:r>
      <w:r w:rsidR="00130074">
        <w:rPr>
          <w:color w:val="000000"/>
          <w:sz w:val="26"/>
          <w:szCs w:val="26"/>
          <w:u w:color="000000"/>
        </w:rPr>
        <w:t xml:space="preserve">50, as set forth in Ordering Paragraph Number Three.  </w:t>
      </w:r>
    </w:p>
    <w:p w:rsidR="003C51A2" w:rsidRDefault="003C51A2" w:rsidP="004C494D">
      <w:pPr>
        <w:spacing w:line="360" w:lineRule="auto"/>
        <w:ind w:firstLine="1440"/>
        <w:rPr>
          <w:color w:val="000000"/>
          <w:sz w:val="26"/>
          <w:szCs w:val="26"/>
          <w:u w:color="000000"/>
        </w:rPr>
      </w:pPr>
    </w:p>
    <w:p w:rsidR="00AD1C57" w:rsidRDefault="000B6501" w:rsidP="004C494D">
      <w:pPr>
        <w:spacing w:line="360" w:lineRule="auto"/>
        <w:ind w:firstLine="1440"/>
        <w:rPr>
          <w:color w:val="000000"/>
          <w:sz w:val="26"/>
          <w:szCs w:val="26"/>
          <w:u w:color="000000"/>
        </w:rPr>
      </w:pPr>
      <w:r>
        <w:rPr>
          <w:color w:val="000000"/>
          <w:sz w:val="26"/>
          <w:szCs w:val="26"/>
          <w:u w:color="000000"/>
        </w:rPr>
        <w:t>At pages seventeen through nineteen, the ALJ failed to mention</w:t>
      </w:r>
      <w:r w:rsidR="003F7233">
        <w:rPr>
          <w:color w:val="000000"/>
          <w:sz w:val="26"/>
          <w:szCs w:val="26"/>
          <w:u w:color="000000"/>
        </w:rPr>
        <w:t xml:space="preserve"> the violations set forth in paragraphs 54 and 55 of the Complaint, which, by themselves, amount to a civil penalty of </w:t>
      </w:r>
      <w:r w:rsidR="00FD3550">
        <w:rPr>
          <w:color w:val="000000"/>
          <w:sz w:val="26"/>
          <w:szCs w:val="26"/>
          <w:u w:color="000000"/>
        </w:rPr>
        <w:t>$6,700</w:t>
      </w:r>
      <w:r w:rsidR="003F7233">
        <w:rPr>
          <w:color w:val="000000"/>
          <w:sz w:val="26"/>
          <w:szCs w:val="26"/>
          <w:u w:color="000000"/>
        </w:rPr>
        <w:t>.</w:t>
      </w:r>
      <w:r>
        <w:rPr>
          <w:color w:val="000000"/>
          <w:sz w:val="26"/>
          <w:szCs w:val="26"/>
          <w:u w:color="000000"/>
        </w:rPr>
        <w:t xml:space="preserve">  Nevertheless, t</w:t>
      </w:r>
      <w:r w:rsidRPr="000B6501">
        <w:rPr>
          <w:color w:val="000000"/>
          <w:sz w:val="26"/>
          <w:szCs w:val="26"/>
          <w:u w:color="000000"/>
        </w:rPr>
        <w:t>he Initial Decision</w:t>
      </w:r>
      <w:r>
        <w:rPr>
          <w:color w:val="000000"/>
          <w:sz w:val="26"/>
          <w:szCs w:val="26"/>
          <w:u w:color="000000"/>
        </w:rPr>
        <w:t xml:space="preserve"> sustained the entire Complaint.</w:t>
      </w:r>
      <w:r w:rsidRPr="000B6501">
        <w:rPr>
          <w:color w:val="000000"/>
          <w:sz w:val="26"/>
          <w:szCs w:val="26"/>
          <w:u w:color="000000"/>
        </w:rPr>
        <w:t xml:space="preserve"> </w:t>
      </w:r>
      <w:r>
        <w:rPr>
          <w:color w:val="000000"/>
          <w:sz w:val="26"/>
          <w:szCs w:val="26"/>
          <w:u w:color="000000"/>
        </w:rPr>
        <w:t xml:space="preserve"> </w:t>
      </w:r>
      <w:r w:rsidRPr="000B6501">
        <w:rPr>
          <w:color w:val="000000"/>
          <w:sz w:val="26"/>
          <w:szCs w:val="26"/>
          <w:u w:color="000000"/>
        </w:rPr>
        <w:t>Ordering Paragraph No. 2</w:t>
      </w:r>
      <w:r>
        <w:rPr>
          <w:color w:val="000000"/>
          <w:sz w:val="26"/>
          <w:szCs w:val="26"/>
          <w:u w:color="000000"/>
        </w:rPr>
        <w:t xml:space="preserve">.  </w:t>
      </w:r>
      <w:r w:rsidR="00FD3550">
        <w:rPr>
          <w:color w:val="000000"/>
          <w:sz w:val="26"/>
          <w:szCs w:val="26"/>
          <w:u w:color="000000"/>
        </w:rPr>
        <w:t xml:space="preserve">The ALJ discussed all of the violations </w:t>
      </w:r>
      <w:r>
        <w:rPr>
          <w:color w:val="000000"/>
          <w:sz w:val="26"/>
          <w:szCs w:val="26"/>
          <w:u w:color="000000"/>
        </w:rPr>
        <w:t xml:space="preserve">alleged in the Complaint </w:t>
      </w:r>
      <w:r w:rsidR="00002EC7">
        <w:rPr>
          <w:color w:val="000000"/>
          <w:sz w:val="26"/>
          <w:szCs w:val="26"/>
          <w:u w:color="000000"/>
        </w:rPr>
        <w:t xml:space="preserve">on pages one and two of </w:t>
      </w:r>
      <w:r w:rsidR="00FD3550">
        <w:rPr>
          <w:color w:val="000000"/>
          <w:sz w:val="26"/>
          <w:szCs w:val="26"/>
          <w:u w:color="000000"/>
        </w:rPr>
        <w:t>the Initial Decision</w:t>
      </w:r>
      <w:r w:rsidR="00252194">
        <w:rPr>
          <w:color w:val="000000"/>
          <w:sz w:val="26"/>
          <w:szCs w:val="26"/>
          <w:u w:color="000000"/>
        </w:rPr>
        <w:t xml:space="preserve">.  </w:t>
      </w:r>
      <w:r>
        <w:rPr>
          <w:color w:val="000000"/>
          <w:sz w:val="26"/>
          <w:szCs w:val="26"/>
          <w:u w:color="000000"/>
        </w:rPr>
        <w:t xml:space="preserve">On pages </w:t>
      </w:r>
      <w:r w:rsidR="00002EC7">
        <w:rPr>
          <w:color w:val="000000"/>
          <w:sz w:val="26"/>
          <w:szCs w:val="26"/>
          <w:u w:color="000000"/>
        </w:rPr>
        <w:t>five through thirteen of the Initial Decision, t</w:t>
      </w:r>
      <w:r>
        <w:rPr>
          <w:color w:val="000000"/>
          <w:sz w:val="26"/>
          <w:szCs w:val="26"/>
          <w:u w:color="000000"/>
        </w:rPr>
        <w:t xml:space="preserve">he ALJ described in detail the </w:t>
      </w:r>
      <w:r w:rsidR="00002EC7">
        <w:rPr>
          <w:color w:val="000000"/>
          <w:sz w:val="26"/>
          <w:szCs w:val="26"/>
          <w:u w:color="000000"/>
        </w:rPr>
        <w:t xml:space="preserve">testimony of the Enforcement Officers conducting the pertinent inspections.  </w:t>
      </w:r>
      <w:r w:rsidR="00252194">
        <w:rPr>
          <w:color w:val="000000"/>
          <w:sz w:val="26"/>
          <w:szCs w:val="26"/>
          <w:u w:color="000000"/>
        </w:rPr>
        <w:t xml:space="preserve">The ALJ also pointed out that </w:t>
      </w:r>
      <w:r w:rsidR="00130074">
        <w:rPr>
          <w:color w:val="000000"/>
          <w:sz w:val="26"/>
          <w:szCs w:val="26"/>
          <w:u w:color="000000"/>
        </w:rPr>
        <w:t xml:space="preserve">the </w:t>
      </w:r>
      <w:r w:rsidR="00252194">
        <w:rPr>
          <w:sz w:val="26"/>
        </w:rPr>
        <w:t>Respondent did not deny any of the violations in the Complaint and that I&amp;E did not suggest a reduction in any of the proposed penalties set forth in the Complaint.  I.D. at 19.</w:t>
      </w:r>
      <w:r w:rsidR="00130074">
        <w:rPr>
          <w:sz w:val="26"/>
        </w:rPr>
        <w:t xml:space="preserve">  </w:t>
      </w:r>
    </w:p>
    <w:p w:rsidR="00AD1C57" w:rsidRDefault="00AD1C57" w:rsidP="004C494D">
      <w:pPr>
        <w:spacing w:line="360" w:lineRule="auto"/>
        <w:ind w:firstLine="1440"/>
        <w:rPr>
          <w:color w:val="000000"/>
          <w:sz w:val="26"/>
          <w:szCs w:val="26"/>
          <w:u w:color="000000"/>
        </w:rPr>
      </w:pPr>
    </w:p>
    <w:p w:rsidR="004F09EA" w:rsidRDefault="004C494D" w:rsidP="004C494D">
      <w:pPr>
        <w:spacing w:line="360" w:lineRule="auto"/>
        <w:ind w:firstLine="1440"/>
        <w:rPr>
          <w:sz w:val="26"/>
          <w:szCs w:val="26"/>
        </w:rPr>
      </w:pPr>
      <w:r>
        <w:rPr>
          <w:color w:val="000000"/>
          <w:sz w:val="26"/>
          <w:szCs w:val="26"/>
          <w:u w:color="000000"/>
        </w:rPr>
        <w:t xml:space="preserve">Based on our review of the record and our analysis of the </w:t>
      </w:r>
      <w:r w:rsidRPr="004C494D">
        <w:rPr>
          <w:i/>
          <w:color w:val="000000"/>
          <w:sz w:val="26"/>
          <w:szCs w:val="26"/>
          <w:u w:color="000000"/>
        </w:rPr>
        <w:t>Policy Statement</w:t>
      </w:r>
      <w:r>
        <w:rPr>
          <w:color w:val="000000"/>
          <w:sz w:val="26"/>
          <w:szCs w:val="26"/>
          <w:u w:color="000000"/>
        </w:rPr>
        <w:t xml:space="preserve">, </w:t>
      </w:r>
      <w:r w:rsidR="004F09EA">
        <w:rPr>
          <w:color w:val="000000"/>
          <w:sz w:val="26"/>
          <w:szCs w:val="26"/>
          <w:u w:color="000000"/>
        </w:rPr>
        <w:t xml:space="preserve">we </w:t>
      </w:r>
      <w:r>
        <w:rPr>
          <w:color w:val="000000"/>
          <w:sz w:val="26"/>
          <w:szCs w:val="26"/>
          <w:u w:color="000000"/>
        </w:rPr>
        <w:t xml:space="preserve">find that the $9,950 civil penalty is appropriate.  </w:t>
      </w:r>
    </w:p>
    <w:p w:rsidR="004F09EA" w:rsidRDefault="004F09EA" w:rsidP="004F09EA">
      <w:pPr>
        <w:spacing w:line="360" w:lineRule="auto"/>
        <w:ind w:firstLine="1440"/>
        <w:rPr>
          <w:sz w:val="26"/>
          <w:szCs w:val="26"/>
        </w:rPr>
      </w:pPr>
    </w:p>
    <w:p w:rsidR="00E04C3E" w:rsidRDefault="004F09EA" w:rsidP="004F09EA">
      <w:pPr>
        <w:spacing w:line="360" w:lineRule="auto"/>
        <w:ind w:firstLine="1440"/>
        <w:rPr>
          <w:sz w:val="26"/>
          <w:szCs w:val="26"/>
        </w:rPr>
      </w:pPr>
      <w:r w:rsidRPr="00A34E6C">
        <w:rPr>
          <w:sz w:val="26"/>
          <w:szCs w:val="26"/>
        </w:rPr>
        <w:t xml:space="preserve">The first factor to be considered under the </w:t>
      </w:r>
      <w:r w:rsidRPr="00A34E6C">
        <w:rPr>
          <w:i/>
          <w:sz w:val="26"/>
          <w:szCs w:val="26"/>
        </w:rPr>
        <w:t>Policy Statement</w:t>
      </w:r>
      <w:r w:rsidRPr="00A34E6C">
        <w:rPr>
          <w:sz w:val="26"/>
          <w:szCs w:val="26"/>
        </w:rPr>
        <w:t xml:space="preserve"> is whether the conduct at issue was of a serious nature, such as willful fraud or misrepresentation, or w</w:t>
      </w:r>
      <w:r w:rsidR="00677B6A">
        <w:rPr>
          <w:sz w:val="26"/>
          <w:szCs w:val="26"/>
        </w:rPr>
        <w:t xml:space="preserve">as </w:t>
      </w:r>
      <w:r w:rsidRPr="00A34E6C">
        <w:rPr>
          <w:sz w:val="26"/>
          <w:szCs w:val="26"/>
        </w:rPr>
        <w:t xml:space="preserve">merely administrative or technical errors.  52 Pa. Code § 69.1201(c)(1).  </w:t>
      </w:r>
      <w:r w:rsidR="00677B6A">
        <w:rPr>
          <w:sz w:val="26"/>
          <w:szCs w:val="26"/>
        </w:rPr>
        <w:t xml:space="preserve">While the Respondent did not comply with various </w:t>
      </w:r>
      <w:r w:rsidR="00A6320F">
        <w:rPr>
          <w:sz w:val="26"/>
          <w:szCs w:val="26"/>
        </w:rPr>
        <w:t xml:space="preserve">statutes and Commission Regulations, there is no evidence </w:t>
      </w:r>
      <w:r w:rsidR="009D0746">
        <w:rPr>
          <w:sz w:val="26"/>
          <w:szCs w:val="26"/>
        </w:rPr>
        <w:t xml:space="preserve">in the record </w:t>
      </w:r>
      <w:r w:rsidR="00A6320F">
        <w:rPr>
          <w:sz w:val="26"/>
          <w:szCs w:val="26"/>
        </w:rPr>
        <w:t>to suggest that this non-compliance should be deemed willful fraud or misrepresentation.</w:t>
      </w:r>
      <w:r w:rsidR="0034537F">
        <w:rPr>
          <w:sz w:val="26"/>
          <w:szCs w:val="26"/>
        </w:rPr>
        <w:t xml:space="preserve">  As such, this factor supports a lower civil penalty.  </w:t>
      </w:r>
      <w:r w:rsidR="009D0746">
        <w:rPr>
          <w:sz w:val="26"/>
          <w:szCs w:val="26"/>
        </w:rPr>
        <w:t xml:space="preserve">    </w:t>
      </w:r>
    </w:p>
    <w:p w:rsidR="00A6320F" w:rsidRDefault="00A6320F" w:rsidP="004F09EA">
      <w:pPr>
        <w:spacing w:line="360" w:lineRule="auto"/>
        <w:ind w:firstLine="1440"/>
        <w:rPr>
          <w:sz w:val="26"/>
          <w:szCs w:val="26"/>
        </w:rPr>
      </w:pPr>
      <w:r>
        <w:rPr>
          <w:sz w:val="26"/>
          <w:szCs w:val="26"/>
        </w:rPr>
        <w:t xml:space="preserve"> </w:t>
      </w:r>
    </w:p>
    <w:p w:rsidR="004F09EA" w:rsidRDefault="00A6320F" w:rsidP="004F09EA">
      <w:pPr>
        <w:spacing w:line="360" w:lineRule="auto"/>
        <w:ind w:firstLine="1440"/>
        <w:rPr>
          <w:sz w:val="26"/>
          <w:szCs w:val="26"/>
        </w:rPr>
      </w:pPr>
      <w:r>
        <w:rPr>
          <w:sz w:val="26"/>
          <w:szCs w:val="26"/>
        </w:rPr>
        <w:t xml:space="preserve"> </w:t>
      </w:r>
      <w:r w:rsidR="004F09EA">
        <w:rPr>
          <w:sz w:val="26"/>
          <w:szCs w:val="26"/>
        </w:rPr>
        <w:t xml:space="preserve">The second factor found in the </w:t>
      </w:r>
      <w:r w:rsidR="004F09EA">
        <w:rPr>
          <w:i/>
          <w:sz w:val="26"/>
          <w:szCs w:val="26"/>
        </w:rPr>
        <w:t>Policy Statement</w:t>
      </w:r>
      <w:r w:rsidR="004F09EA">
        <w:rPr>
          <w:sz w:val="26"/>
          <w:szCs w:val="26"/>
        </w:rPr>
        <w:t xml:space="preserve"> is an examination of whether the resulting consequences of the conduct at issue were of a serious nature, such as personal injury or property damage.  52 Pa. Code § 69.1201(c)(2).</w:t>
      </w:r>
      <w:r w:rsidR="007F1A80">
        <w:rPr>
          <w:sz w:val="26"/>
          <w:szCs w:val="26"/>
        </w:rPr>
        <w:t xml:space="preserve">  As the violations in this case were discovered during inspections</w:t>
      </w:r>
      <w:r w:rsidR="002A1D48">
        <w:rPr>
          <w:sz w:val="26"/>
          <w:szCs w:val="26"/>
        </w:rPr>
        <w:t xml:space="preserve"> on the Respondent’s property where the </w:t>
      </w:r>
      <w:r w:rsidR="002A1D48">
        <w:rPr>
          <w:sz w:val="26"/>
          <w:szCs w:val="26"/>
        </w:rPr>
        <w:lastRenderedPageBreak/>
        <w:t>vehicles are stored</w:t>
      </w:r>
      <w:r w:rsidR="007F1A80">
        <w:rPr>
          <w:sz w:val="26"/>
          <w:szCs w:val="26"/>
        </w:rPr>
        <w:t xml:space="preserve">, there is no evidence that there were any personal injuries or property damage as a result of the violations.       </w:t>
      </w:r>
      <w:r w:rsidR="004F09EA">
        <w:rPr>
          <w:sz w:val="26"/>
          <w:szCs w:val="26"/>
        </w:rPr>
        <w:t xml:space="preserve">  </w:t>
      </w:r>
    </w:p>
    <w:p w:rsidR="007F1A80" w:rsidRDefault="007F1A80" w:rsidP="004F09EA">
      <w:pPr>
        <w:spacing w:line="360" w:lineRule="auto"/>
        <w:ind w:firstLine="1440"/>
        <w:rPr>
          <w:sz w:val="26"/>
          <w:szCs w:val="26"/>
        </w:rPr>
      </w:pPr>
    </w:p>
    <w:p w:rsidR="00A978B0" w:rsidRDefault="004F09EA" w:rsidP="004F09EA">
      <w:pPr>
        <w:spacing w:line="360" w:lineRule="auto"/>
        <w:ind w:firstLine="1440"/>
        <w:rPr>
          <w:sz w:val="26"/>
          <w:szCs w:val="26"/>
        </w:rPr>
      </w:pPr>
      <w:r>
        <w:rPr>
          <w:sz w:val="26"/>
          <w:szCs w:val="26"/>
        </w:rPr>
        <w:t xml:space="preserve">The third factor in the </w:t>
      </w:r>
      <w:r>
        <w:rPr>
          <w:i/>
          <w:sz w:val="26"/>
          <w:szCs w:val="26"/>
        </w:rPr>
        <w:t>Policy Statement</w:t>
      </w:r>
      <w:r w:rsidR="002A1D48">
        <w:rPr>
          <w:i/>
          <w:sz w:val="26"/>
          <w:szCs w:val="26"/>
        </w:rPr>
        <w:t xml:space="preserve"> </w:t>
      </w:r>
      <w:r>
        <w:rPr>
          <w:sz w:val="26"/>
          <w:szCs w:val="26"/>
        </w:rPr>
        <w:t>is whether the conduct at issue was intentional or negligent.</w:t>
      </w:r>
      <w:r w:rsidR="002A1D48">
        <w:rPr>
          <w:sz w:val="26"/>
          <w:szCs w:val="26"/>
        </w:rPr>
        <w:t xml:space="preserve">  </w:t>
      </w:r>
      <w:r>
        <w:rPr>
          <w:sz w:val="26"/>
          <w:szCs w:val="26"/>
        </w:rPr>
        <w:t>52 Pa. Code § 69.1201(c)(3).</w:t>
      </w:r>
      <w:r w:rsidR="002A1D48">
        <w:rPr>
          <w:sz w:val="26"/>
          <w:szCs w:val="26"/>
        </w:rPr>
        <w:t xml:space="preserve">  The testimony from the Respondent’s witnesses supports that the Respondent intended to comply with the Commission’s Regulations.  </w:t>
      </w:r>
      <w:r w:rsidR="009D0746">
        <w:rPr>
          <w:sz w:val="26"/>
          <w:szCs w:val="26"/>
        </w:rPr>
        <w:t xml:space="preserve">For example, the Respondent provided testimony that it employs a meter repair person who is responsible for fixing and calibrating its meters.  Tr. at 132, 133.  The Respondent also provided testimony that it conducts internal inspections to comply with the Commission’s Regulations.  </w:t>
      </w:r>
      <w:r w:rsidR="00795030">
        <w:rPr>
          <w:sz w:val="26"/>
          <w:szCs w:val="26"/>
        </w:rPr>
        <w:t xml:space="preserve">Tr. at 181.  </w:t>
      </w:r>
      <w:r w:rsidR="002A1D48">
        <w:rPr>
          <w:sz w:val="26"/>
          <w:szCs w:val="26"/>
        </w:rPr>
        <w:t>As such, the conduct should not be deemed intentional in this case.</w:t>
      </w:r>
      <w:r w:rsidR="0034537F">
        <w:rPr>
          <w:sz w:val="26"/>
          <w:szCs w:val="26"/>
        </w:rPr>
        <w:t xml:space="preserve">  This factor supports a lower civil penalty.</w:t>
      </w:r>
    </w:p>
    <w:p w:rsidR="004F09EA" w:rsidRDefault="0034537F" w:rsidP="004F09EA">
      <w:pPr>
        <w:spacing w:line="360" w:lineRule="auto"/>
        <w:ind w:firstLine="1440"/>
        <w:rPr>
          <w:sz w:val="26"/>
          <w:szCs w:val="26"/>
        </w:rPr>
      </w:pPr>
      <w:r>
        <w:rPr>
          <w:sz w:val="26"/>
          <w:szCs w:val="26"/>
        </w:rPr>
        <w:t xml:space="preserve">    </w:t>
      </w:r>
      <w:r w:rsidR="009D0746">
        <w:rPr>
          <w:sz w:val="26"/>
          <w:szCs w:val="26"/>
        </w:rPr>
        <w:t xml:space="preserve">  </w:t>
      </w:r>
      <w:r w:rsidR="002A1D48">
        <w:rPr>
          <w:sz w:val="26"/>
          <w:szCs w:val="26"/>
        </w:rPr>
        <w:t xml:space="preserve">   </w:t>
      </w:r>
    </w:p>
    <w:p w:rsidR="001F5958" w:rsidRDefault="004F09EA" w:rsidP="004F09EA">
      <w:pPr>
        <w:spacing w:line="360" w:lineRule="auto"/>
        <w:ind w:firstLine="1440"/>
        <w:rPr>
          <w:sz w:val="26"/>
          <w:szCs w:val="26"/>
        </w:rPr>
      </w:pPr>
      <w:r>
        <w:rPr>
          <w:sz w:val="26"/>
          <w:szCs w:val="26"/>
        </w:rPr>
        <w:t xml:space="preserve">The fourth standard in the </w:t>
      </w:r>
      <w:r>
        <w:rPr>
          <w:i/>
          <w:sz w:val="26"/>
          <w:szCs w:val="26"/>
        </w:rPr>
        <w:t>Policy Statement</w:t>
      </w:r>
      <w:r>
        <w:rPr>
          <w:sz w:val="26"/>
          <w:szCs w:val="26"/>
        </w:rPr>
        <w:t xml:space="preserve"> is whether the regulated entity has made an effort to modify internal practices and procedures to address the conduct at issue and to prevent similar conduct in the future.  52 Pa. Code § 69.1201(c)(4).</w:t>
      </w:r>
      <w:r w:rsidR="001F5958">
        <w:rPr>
          <w:sz w:val="26"/>
          <w:szCs w:val="26"/>
        </w:rPr>
        <w:t xml:space="preserve">  The record indicates that the Respondent corrected fifteen of the violations immediately.  </w:t>
      </w:r>
      <w:r w:rsidR="00D0539F">
        <w:rPr>
          <w:sz w:val="26"/>
          <w:szCs w:val="26"/>
        </w:rPr>
        <w:t xml:space="preserve">Tr. at 38.  </w:t>
      </w:r>
      <w:r w:rsidR="00A20781">
        <w:rPr>
          <w:sz w:val="26"/>
          <w:szCs w:val="26"/>
        </w:rPr>
        <w:t>As previously stated, t</w:t>
      </w:r>
      <w:r w:rsidR="001F5958">
        <w:rPr>
          <w:sz w:val="26"/>
          <w:szCs w:val="26"/>
        </w:rPr>
        <w:t>he Respondent has a meter repair</w:t>
      </w:r>
      <w:r w:rsidR="00A20781">
        <w:rPr>
          <w:sz w:val="26"/>
          <w:szCs w:val="26"/>
        </w:rPr>
        <w:t xml:space="preserve"> person</w:t>
      </w:r>
      <w:r w:rsidR="001F5958">
        <w:rPr>
          <w:sz w:val="26"/>
          <w:szCs w:val="26"/>
        </w:rPr>
        <w:t xml:space="preserve"> to address any issues regarding meters and conducts internal inspections to comply with the Commission’s Regulations.</w:t>
      </w:r>
      <w:r w:rsidR="0034537F">
        <w:rPr>
          <w:sz w:val="26"/>
          <w:szCs w:val="26"/>
        </w:rPr>
        <w:t xml:space="preserve">  The Respondent’s internal practices support a lower civil penalty.  </w:t>
      </w:r>
      <w:r w:rsidR="00A20781">
        <w:rPr>
          <w:sz w:val="26"/>
          <w:szCs w:val="26"/>
        </w:rPr>
        <w:t xml:space="preserve">  </w:t>
      </w:r>
      <w:r w:rsidR="001F5958">
        <w:rPr>
          <w:sz w:val="26"/>
          <w:szCs w:val="26"/>
        </w:rPr>
        <w:t xml:space="preserve">      </w:t>
      </w:r>
    </w:p>
    <w:p w:rsidR="004F09EA" w:rsidRDefault="001F5958" w:rsidP="004F09EA">
      <w:pPr>
        <w:spacing w:line="360" w:lineRule="auto"/>
        <w:ind w:firstLine="1440"/>
        <w:rPr>
          <w:sz w:val="26"/>
          <w:szCs w:val="26"/>
        </w:rPr>
      </w:pPr>
      <w:r>
        <w:rPr>
          <w:sz w:val="26"/>
          <w:szCs w:val="26"/>
        </w:rPr>
        <w:t xml:space="preserve"> </w:t>
      </w:r>
    </w:p>
    <w:p w:rsidR="004F09EA" w:rsidRDefault="004F09EA" w:rsidP="004F09EA">
      <w:pPr>
        <w:spacing w:line="360" w:lineRule="auto"/>
        <w:ind w:firstLine="1440"/>
        <w:rPr>
          <w:sz w:val="26"/>
          <w:szCs w:val="26"/>
        </w:rPr>
      </w:pPr>
      <w:r>
        <w:rPr>
          <w:sz w:val="26"/>
          <w:szCs w:val="26"/>
        </w:rPr>
        <w:t xml:space="preserve">The fifth standard in the </w:t>
      </w:r>
      <w:r>
        <w:rPr>
          <w:i/>
          <w:sz w:val="26"/>
          <w:szCs w:val="26"/>
        </w:rPr>
        <w:t>Policy Statement</w:t>
      </w:r>
      <w:r>
        <w:rPr>
          <w:sz w:val="26"/>
          <w:szCs w:val="26"/>
        </w:rPr>
        <w:t xml:space="preserve"> deals with the number of customers affected and the duration of the violation.  52 Pa. Code § 69.1201(c)(5).</w:t>
      </w:r>
      <w:r w:rsidR="001F5958">
        <w:rPr>
          <w:sz w:val="26"/>
          <w:szCs w:val="26"/>
        </w:rPr>
        <w:t xml:space="preserve">  As the violations were discovered during an annual inspection, there is no evidence in the record regarding the number of customers affected or the duration of the violations.   </w:t>
      </w:r>
      <w:r>
        <w:rPr>
          <w:sz w:val="26"/>
          <w:szCs w:val="26"/>
        </w:rPr>
        <w:t xml:space="preserve">  </w:t>
      </w:r>
    </w:p>
    <w:p w:rsidR="001F5958" w:rsidRDefault="001F5958" w:rsidP="004F09EA">
      <w:pPr>
        <w:spacing w:line="360" w:lineRule="auto"/>
        <w:ind w:firstLine="1440"/>
        <w:rPr>
          <w:sz w:val="26"/>
          <w:szCs w:val="26"/>
        </w:rPr>
      </w:pPr>
    </w:p>
    <w:p w:rsidR="004F09EA" w:rsidRPr="00321AD2" w:rsidRDefault="004F09EA" w:rsidP="004F09EA">
      <w:pPr>
        <w:spacing w:line="360" w:lineRule="auto"/>
        <w:ind w:firstLine="1440"/>
        <w:rPr>
          <w:sz w:val="26"/>
          <w:szCs w:val="26"/>
        </w:rPr>
      </w:pPr>
      <w:r w:rsidRPr="00321AD2">
        <w:rPr>
          <w:sz w:val="26"/>
          <w:szCs w:val="26"/>
        </w:rPr>
        <w:t>The sixth standard is a consideration of the Respondent’s compliance history.  52 Pa. Code § 69.1201(c)(6).</w:t>
      </w:r>
      <w:r w:rsidR="00A97535">
        <w:rPr>
          <w:sz w:val="26"/>
          <w:szCs w:val="26"/>
        </w:rPr>
        <w:t xml:space="preserve">  </w:t>
      </w:r>
      <w:r w:rsidRPr="00321AD2">
        <w:rPr>
          <w:sz w:val="26"/>
          <w:szCs w:val="26"/>
        </w:rPr>
        <w:t>From a review of our records,</w:t>
      </w:r>
      <w:r w:rsidR="004D0DD2">
        <w:rPr>
          <w:sz w:val="26"/>
          <w:szCs w:val="26"/>
        </w:rPr>
        <w:t xml:space="preserve"> the Respondent has </w:t>
      </w:r>
      <w:r w:rsidR="004D0DD2">
        <w:rPr>
          <w:sz w:val="26"/>
          <w:szCs w:val="26"/>
        </w:rPr>
        <w:lastRenderedPageBreak/>
        <w:t xml:space="preserve">had numerous complaints filed against it since it received its Certificate.  Even upon a review of the past five years, the Respondent has had </w:t>
      </w:r>
      <w:r w:rsidR="00187C18">
        <w:rPr>
          <w:sz w:val="26"/>
          <w:szCs w:val="26"/>
        </w:rPr>
        <w:t>approximately fifteen complaints filed against it for which it has paid civil penalties, either as a result of a Commission Order, a settlement, or a decision not to contest the complaint.</w:t>
      </w:r>
      <w:r w:rsidR="00187C18">
        <w:rPr>
          <w:rStyle w:val="FootnoteReference"/>
        </w:rPr>
        <w:footnoteReference w:id="6"/>
      </w:r>
      <w:r w:rsidR="005C507C">
        <w:rPr>
          <w:sz w:val="26"/>
          <w:szCs w:val="26"/>
        </w:rPr>
        <w:t xml:space="preserve">  </w:t>
      </w:r>
      <w:r w:rsidR="00187C18">
        <w:rPr>
          <w:sz w:val="26"/>
          <w:szCs w:val="26"/>
        </w:rPr>
        <w:t>Many of these violations were similar in nature to the violations in this case and some were discovered as a result of Commission inspections.</w:t>
      </w:r>
      <w:r w:rsidR="005C507C">
        <w:rPr>
          <w:sz w:val="26"/>
          <w:szCs w:val="26"/>
        </w:rPr>
        <w:t xml:space="preserve">  The Respondent’s compliance history supports the imposition of a higher civil penalty.    </w:t>
      </w:r>
    </w:p>
    <w:p w:rsidR="004F09EA" w:rsidRPr="00AF748B" w:rsidRDefault="004F09EA" w:rsidP="004F09EA">
      <w:pPr>
        <w:tabs>
          <w:tab w:val="left" w:pos="0"/>
        </w:tabs>
        <w:spacing w:line="360" w:lineRule="auto"/>
        <w:ind w:firstLine="1440"/>
        <w:rPr>
          <w:sz w:val="26"/>
          <w:szCs w:val="26"/>
        </w:rPr>
      </w:pPr>
    </w:p>
    <w:p w:rsidR="004F09EA" w:rsidRDefault="004F09EA" w:rsidP="004F09EA">
      <w:pPr>
        <w:spacing w:line="360" w:lineRule="auto"/>
        <w:ind w:firstLine="1440"/>
        <w:rPr>
          <w:sz w:val="26"/>
          <w:szCs w:val="26"/>
        </w:rPr>
      </w:pPr>
      <w:r w:rsidRPr="00E854AE">
        <w:rPr>
          <w:sz w:val="26"/>
          <w:szCs w:val="26"/>
        </w:rPr>
        <w:t xml:space="preserve">The seventh standard in the </w:t>
      </w:r>
      <w:r w:rsidRPr="00E854AE">
        <w:rPr>
          <w:i/>
          <w:sz w:val="26"/>
          <w:szCs w:val="26"/>
        </w:rPr>
        <w:t>Policy Statement</w:t>
      </w:r>
      <w:r w:rsidRPr="00E854AE">
        <w:rPr>
          <w:sz w:val="26"/>
          <w:szCs w:val="26"/>
        </w:rPr>
        <w:t xml:space="preserve"> is whether the regulated entity cooperated with the Commission’s investigation.  52 Pa. Code § 69.1201(c)(7).</w:t>
      </w:r>
      <w:r w:rsidR="009F2AC3">
        <w:rPr>
          <w:sz w:val="26"/>
          <w:szCs w:val="26"/>
        </w:rPr>
        <w:t xml:space="preserve">  The record shows that the Respondent cooperated with Commission staff during the inspection and subsequent inspections.  </w:t>
      </w:r>
      <w:r w:rsidRPr="00E854AE">
        <w:rPr>
          <w:sz w:val="26"/>
          <w:szCs w:val="26"/>
        </w:rPr>
        <w:t xml:space="preserve">  </w:t>
      </w:r>
    </w:p>
    <w:p w:rsidR="009F2AC3" w:rsidRDefault="009F2AC3" w:rsidP="004F09EA">
      <w:pPr>
        <w:spacing w:line="360" w:lineRule="auto"/>
        <w:ind w:firstLine="1440"/>
        <w:rPr>
          <w:sz w:val="26"/>
          <w:szCs w:val="26"/>
        </w:rPr>
      </w:pPr>
    </w:p>
    <w:p w:rsidR="009F2AC3" w:rsidRDefault="004F09EA" w:rsidP="004F09EA">
      <w:pPr>
        <w:spacing w:line="360" w:lineRule="auto"/>
        <w:ind w:firstLine="1440"/>
        <w:rPr>
          <w:sz w:val="26"/>
          <w:szCs w:val="26"/>
        </w:rPr>
      </w:pPr>
      <w:r>
        <w:rPr>
          <w:sz w:val="26"/>
          <w:szCs w:val="26"/>
        </w:rPr>
        <w:t xml:space="preserve">The eighth standard in the </w:t>
      </w:r>
      <w:r>
        <w:rPr>
          <w:i/>
          <w:sz w:val="26"/>
          <w:szCs w:val="26"/>
        </w:rPr>
        <w:t>Policy Statement</w:t>
      </w:r>
      <w:r>
        <w:rPr>
          <w:sz w:val="26"/>
          <w:szCs w:val="26"/>
        </w:rPr>
        <w:t xml:space="preserve"> is a consideration of the amount of the civil penalty necessary to deter future violations.  52 Pa. Code </w:t>
      </w:r>
    </w:p>
    <w:p w:rsidR="003A3074" w:rsidRDefault="004F09EA" w:rsidP="009F2AC3">
      <w:pPr>
        <w:spacing w:line="360" w:lineRule="auto"/>
        <w:rPr>
          <w:sz w:val="26"/>
          <w:szCs w:val="26"/>
        </w:rPr>
      </w:pPr>
      <w:r>
        <w:rPr>
          <w:sz w:val="26"/>
          <w:szCs w:val="26"/>
        </w:rPr>
        <w:t>§ 69.1201(c)(8).  We find that a civil penalty in the amount of $</w:t>
      </w:r>
      <w:r w:rsidR="009F2AC3">
        <w:rPr>
          <w:sz w:val="26"/>
          <w:szCs w:val="26"/>
        </w:rPr>
        <w:t>9,950 is appropriate based on the record in this case</w:t>
      </w:r>
      <w:r w:rsidR="0034537F">
        <w:rPr>
          <w:sz w:val="26"/>
          <w:szCs w:val="26"/>
        </w:rPr>
        <w:t xml:space="preserve"> and the size of the utility.</w:t>
      </w:r>
      <w:r w:rsidR="009F2AC3">
        <w:rPr>
          <w:sz w:val="26"/>
          <w:szCs w:val="26"/>
        </w:rPr>
        <w:t xml:space="preserve"> </w:t>
      </w:r>
      <w:r w:rsidR="0034537F">
        <w:rPr>
          <w:sz w:val="26"/>
          <w:szCs w:val="26"/>
        </w:rPr>
        <w:t xml:space="preserve"> </w:t>
      </w:r>
      <w:r w:rsidR="003A3074">
        <w:rPr>
          <w:sz w:val="26"/>
          <w:szCs w:val="26"/>
        </w:rPr>
        <w:t xml:space="preserve">We agree with the ALJ that the Respondent did not present any evidence to show that it was in compliance with the Commission’s Regulations and Orders and did not commit the violations in this case.  Much of the Respondent’s case was based on the difficulty of complying with the standards of two regulating entities, the Commission and the PPA, and related jurisdictional issues. </w:t>
      </w:r>
    </w:p>
    <w:p w:rsidR="003A3074" w:rsidRDefault="003A3074" w:rsidP="009F2AC3">
      <w:pPr>
        <w:spacing w:line="360" w:lineRule="auto"/>
        <w:rPr>
          <w:sz w:val="26"/>
          <w:szCs w:val="26"/>
        </w:rPr>
      </w:pPr>
    </w:p>
    <w:p w:rsidR="004F09EA" w:rsidRDefault="0034537F" w:rsidP="003A3074">
      <w:pPr>
        <w:spacing w:line="360" w:lineRule="auto"/>
        <w:ind w:firstLine="1440"/>
        <w:rPr>
          <w:sz w:val="26"/>
          <w:szCs w:val="26"/>
        </w:rPr>
      </w:pPr>
      <w:r>
        <w:rPr>
          <w:sz w:val="26"/>
          <w:szCs w:val="26"/>
        </w:rPr>
        <w:t xml:space="preserve">We </w:t>
      </w:r>
      <w:r w:rsidR="003A3074">
        <w:rPr>
          <w:sz w:val="26"/>
          <w:szCs w:val="26"/>
        </w:rPr>
        <w:t xml:space="preserve">also </w:t>
      </w:r>
      <w:r>
        <w:rPr>
          <w:sz w:val="26"/>
          <w:szCs w:val="26"/>
        </w:rPr>
        <w:t>believe that th</w:t>
      </w:r>
      <w:r w:rsidR="003A3074">
        <w:rPr>
          <w:sz w:val="26"/>
          <w:szCs w:val="26"/>
        </w:rPr>
        <w:t>is civil penalty</w:t>
      </w:r>
      <w:r>
        <w:rPr>
          <w:sz w:val="26"/>
          <w:szCs w:val="26"/>
        </w:rPr>
        <w:t xml:space="preserve"> amount is necessary to </w:t>
      </w:r>
      <w:r w:rsidR="009F2AC3">
        <w:rPr>
          <w:sz w:val="26"/>
          <w:szCs w:val="26"/>
        </w:rPr>
        <w:t>deter future similar violations by the Respondent</w:t>
      </w:r>
      <w:r w:rsidR="004F09EA">
        <w:rPr>
          <w:sz w:val="26"/>
          <w:szCs w:val="26"/>
        </w:rPr>
        <w:t>.</w:t>
      </w:r>
      <w:r w:rsidR="009F2AC3">
        <w:rPr>
          <w:sz w:val="26"/>
          <w:szCs w:val="26"/>
        </w:rPr>
        <w:t xml:space="preserve">  </w:t>
      </w:r>
      <w:r>
        <w:rPr>
          <w:sz w:val="26"/>
          <w:szCs w:val="26"/>
        </w:rPr>
        <w:t xml:space="preserve">Overall, we are concerned about the Respondent’s </w:t>
      </w:r>
      <w:r>
        <w:rPr>
          <w:sz w:val="26"/>
          <w:szCs w:val="26"/>
        </w:rPr>
        <w:lastRenderedPageBreak/>
        <w:t xml:space="preserve">history of repetitive violations of the Commission’s Regulations and the sheer volume of violations in this case.  </w:t>
      </w:r>
    </w:p>
    <w:p w:rsidR="003A3074" w:rsidRDefault="003A3074" w:rsidP="003A3074">
      <w:pPr>
        <w:spacing w:line="360" w:lineRule="auto"/>
        <w:ind w:firstLine="1440"/>
        <w:rPr>
          <w:sz w:val="26"/>
          <w:szCs w:val="26"/>
        </w:rPr>
      </w:pPr>
    </w:p>
    <w:p w:rsidR="004F09EA" w:rsidRDefault="004F09EA" w:rsidP="004F09EA">
      <w:pPr>
        <w:spacing w:line="360" w:lineRule="auto"/>
        <w:ind w:firstLine="1440"/>
        <w:rPr>
          <w:sz w:val="26"/>
          <w:szCs w:val="26"/>
        </w:rPr>
      </w:pPr>
      <w:r>
        <w:rPr>
          <w:sz w:val="26"/>
          <w:szCs w:val="26"/>
        </w:rPr>
        <w:t xml:space="preserve">The ninth standard in the </w:t>
      </w:r>
      <w:r>
        <w:rPr>
          <w:i/>
          <w:sz w:val="26"/>
          <w:szCs w:val="26"/>
        </w:rPr>
        <w:t>Policy Statement</w:t>
      </w:r>
      <w:r>
        <w:rPr>
          <w:sz w:val="26"/>
          <w:szCs w:val="26"/>
        </w:rPr>
        <w:t xml:space="preserve"> examines past Commission decisions in similar situations.  52 Pa. Code § 69.1201(c)(9).  This </w:t>
      </w:r>
      <w:r w:rsidR="00E84176">
        <w:rPr>
          <w:sz w:val="26"/>
          <w:szCs w:val="26"/>
        </w:rPr>
        <w:t xml:space="preserve">civil penalty amount </w:t>
      </w:r>
      <w:r>
        <w:rPr>
          <w:sz w:val="26"/>
          <w:szCs w:val="26"/>
        </w:rPr>
        <w:t>is consistent with prior decisions and is appropriate based upon the circumstances of this case.</w:t>
      </w:r>
      <w:r w:rsidR="009F2AC3">
        <w:rPr>
          <w:sz w:val="26"/>
          <w:szCs w:val="26"/>
        </w:rPr>
        <w:t xml:space="preserve">  We agree with the ALJ that there is no evidence in the record to suggest that I&amp;E did not follow its usual practices in suggesting penalties based on its guidelines.</w:t>
      </w:r>
      <w:r w:rsidR="00513BC3">
        <w:rPr>
          <w:sz w:val="26"/>
          <w:szCs w:val="26"/>
        </w:rPr>
        <w:t xml:space="preserve">  </w:t>
      </w:r>
      <w:r w:rsidR="00513BC3" w:rsidRPr="00513BC3">
        <w:rPr>
          <w:i/>
          <w:sz w:val="26"/>
          <w:szCs w:val="26"/>
        </w:rPr>
        <w:t>See</w:t>
      </w:r>
      <w:r w:rsidR="00513BC3">
        <w:rPr>
          <w:sz w:val="26"/>
          <w:szCs w:val="26"/>
        </w:rPr>
        <w:t xml:space="preserve">, I.D. at 21.  </w:t>
      </w:r>
      <w:r w:rsidR="00715A0C">
        <w:rPr>
          <w:sz w:val="26"/>
          <w:szCs w:val="26"/>
        </w:rPr>
        <w:t xml:space="preserve"> </w:t>
      </w:r>
      <w:r w:rsidR="00D22155">
        <w:rPr>
          <w:sz w:val="26"/>
          <w:szCs w:val="26"/>
        </w:rPr>
        <w:t xml:space="preserve"> </w:t>
      </w:r>
      <w:r w:rsidR="00513BC3">
        <w:rPr>
          <w:sz w:val="26"/>
          <w:szCs w:val="26"/>
        </w:rPr>
        <w:t xml:space="preserve">  </w:t>
      </w:r>
      <w:r w:rsidR="009F2AC3">
        <w:rPr>
          <w:sz w:val="26"/>
          <w:szCs w:val="26"/>
        </w:rPr>
        <w:t xml:space="preserve"> </w:t>
      </w:r>
      <w:r>
        <w:rPr>
          <w:sz w:val="26"/>
          <w:szCs w:val="26"/>
        </w:rPr>
        <w:t xml:space="preserve">  </w:t>
      </w:r>
    </w:p>
    <w:p w:rsidR="004F09EA" w:rsidRDefault="004F09EA" w:rsidP="004F09EA">
      <w:pPr>
        <w:spacing w:line="360" w:lineRule="auto"/>
        <w:ind w:firstLine="1440"/>
        <w:rPr>
          <w:sz w:val="26"/>
          <w:szCs w:val="26"/>
        </w:rPr>
      </w:pPr>
    </w:p>
    <w:p w:rsidR="00E84176" w:rsidRDefault="004F09EA" w:rsidP="004F09EA">
      <w:pPr>
        <w:spacing w:line="360" w:lineRule="auto"/>
        <w:ind w:firstLine="1440"/>
        <w:rPr>
          <w:sz w:val="26"/>
          <w:szCs w:val="26"/>
        </w:rPr>
      </w:pPr>
      <w:r>
        <w:rPr>
          <w:sz w:val="26"/>
          <w:szCs w:val="26"/>
        </w:rPr>
        <w:t xml:space="preserve">The tenth standard in the </w:t>
      </w:r>
      <w:r>
        <w:rPr>
          <w:i/>
          <w:sz w:val="26"/>
          <w:szCs w:val="26"/>
        </w:rPr>
        <w:t>Policy Statement</w:t>
      </w:r>
      <w:r w:rsidR="00AF3952">
        <w:rPr>
          <w:i/>
          <w:sz w:val="26"/>
          <w:szCs w:val="26"/>
        </w:rPr>
        <w:t xml:space="preserve"> </w:t>
      </w:r>
      <w:r>
        <w:rPr>
          <w:sz w:val="26"/>
          <w:szCs w:val="26"/>
        </w:rPr>
        <w:t xml:space="preserve">examines other relevant factors.  52 Pa. Code § 69.1201(c)(10).  </w:t>
      </w:r>
      <w:r w:rsidR="004A5E42">
        <w:rPr>
          <w:sz w:val="26"/>
          <w:szCs w:val="26"/>
        </w:rPr>
        <w:t>There are no other relevant factors in this case.</w:t>
      </w:r>
    </w:p>
    <w:p w:rsidR="004F09EA" w:rsidRDefault="004A5E42" w:rsidP="004F09EA">
      <w:pPr>
        <w:spacing w:line="360" w:lineRule="auto"/>
        <w:ind w:firstLine="1440"/>
        <w:rPr>
          <w:sz w:val="26"/>
          <w:szCs w:val="26"/>
        </w:rPr>
      </w:pPr>
      <w:r>
        <w:rPr>
          <w:sz w:val="26"/>
          <w:szCs w:val="26"/>
        </w:rPr>
        <w:t xml:space="preserve">  </w:t>
      </w:r>
    </w:p>
    <w:p w:rsidR="009D4455" w:rsidRDefault="009D4455" w:rsidP="004F09EA">
      <w:pPr>
        <w:spacing w:line="360" w:lineRule="auto"/>
        <w:ind w:firstLine="1440"/>
        <w:rPr>
          <w:sz w:val="26"/>
          <w:szCs w:val="26"/>
        </w:rPr>
      </w:pPr>
      <w:r>
        <w:rPr>
          <w:sz w:val="26"/>
          <w:szCs w:val="26"/>
        </w:rPr>
        <w:t xml:space="preserve">Based on our analysis of the civil penalty recommended by the ALJ, we find that the civil penalty of $9,950 is appropriate in this case.  Accordingly, we shall deny the Respondent’s Exception on this issue.   </w:t>
      </w:r>
    </w:p>
    <w:p w:rsidR="00DE69E8" w:rsidRDefault="000F1CC8" w:rsidP="0042209A">
      <w:pPr>
        <w:tabs>
          <w:tab w:val="left" w:pos="720"/>
        </w:tabs>
        <w:spacing w:line="360" w:lineRule="auto"/>
        <w:rPr>
          <w:b/>
          <w:sz w:val="26"/>
        </w:rPr>
      </w:pPr>
      <w:r>
        <w:rPr>
          <w:sz w:val="26"/>
        </w:rPr>
        <w:tab/>
      </w:r>
      <w:r>
        <w:rPr>
          <w:sz w:val="26"/>
        </w:rPr>
        <w:tab/>
      </w:r>
      <w:r w:rsidR="00800E44">
        <w:rPr>
          <w:sz w:val="26"/>
        </w:rPr>
        <w:t xml:space="preserve">   </w:t>
      </w:r>
      <w:r w:rsidR="00521112">
        <w:rPr>
          <w:sz w:val="26"/>
        </w:rPr>
        <w:t xml:space="preserve">  </w:t>
      </w:r>
      <w:r w:rsidR="00DE69E8">
        <w:rPr>
          <w:b/>
          <w:sz w:val="26"/>
        </w:rPr>
        <w:tab/>
      </w:r>
      <w:r w:rsidR="00DE69E8">
        <w:rPr>
          <w:b/>
          <w:sz w:val="26"/>
        </w:rPr>
        <w:tab/>
      </w:r>
    </w:p>
    <w:p w:rsidR="00956972" w:rsidRPr="00956972" w:rsidRDefault="00956972" w:rsidP="005D0128">
      <w:pPr>
        <w:spacing w:line="360" w:lineRule="auto"/>
        <w:jc w:val="center"/>
        <w:rPr>
          <w:b/>
          <w:sz w:val="26"/>
          <w:szCs w:val="26"/>
        </w:rPr>
      </w:pPr>
      <w:r>
        <w:rPr>
          <w:b/>
          <w:sz w:val="26"/>
          <w:szCs w:val="26"/>
        </w:rPr>
        <w:t>Conclusion</w:t>
      </w:r>
    </w:p>
    <w:p w:rsidR="006C56A5" w:rsidRDefault="006C56A5" w:rsidP="007E3501">
      <w:pPr>
        <w:spacing w:line="360" w:lineRule="auto"/>
        <w:rPr>
          <w:sz w:val="26"/>
          <w:szCs w:val="26"/>
        </w:rPr>
      </w:pPr>
    </w:p>
    <w:p w:rsidR="00956972" w:rsidRDefault="006C56A5" w:rsidP="007E3501">
      <w:pPr>
        <w:spacing w:line="360" w:lineRule="auto"/>
        <w:rPr>
          <w:sz w:val="26"/>
          <w:szCs w:val="26"/>
        </w:rPr>
      </w:pPr>
      <w:r>
        <w:rPr>
          <w:sz w:val="26"/>
          <w:szCs w:val="26"/>
        </w:rPr>
        <w:tab/>
      </w:r>
      <w:r>
        <w:rPr>
          <w:sz w:val="26"/>
          <w:szCs w:val="26"/>
        </w:rPr>
        <w:tab/>
      </w:r>
      <w:r w:rsidR="00002751">
        <w:rPr>
          <w:sz w:val="26"/>
          <w:szCs w:val="26"/>
        </w:rPr>
        <w:t>We have reviewed the record as developed in this proceeding, including the ALJ’s Initial Decision</w:t>
      </w:r>
      <w:r w:rsidR="00584B20">
        <w:rPr>
          <w:sz w:val="26"/>
          <w:szCs w:val="26"/>
        </w:rPr>
        <w:t>,</w:t>
      </w:r>
      <w:r w:rsidR="00002751">
        <w:rPr>
          <w:sz w:val="26"/>
          <w:szCs w:val="26"/>
        </w:rPr>
        <w:t xml:space="preserve"> </w:t>
      </w:r>
      <w:r w:rsidR="00584B20">
        <w:rPr>
          <w:sz w:val="26"/>
          <w:szCs w:val="26"/>
        </w:rPr>
        <w:t>the</w:t>
      </w:r>
      <w:r w:rsidR="00002751">
        <w:rPr>
          <w:sz w:val="26"/>
          <w:szCs w:val="26"/>
        </w:rPr>
        <w:t xml:space="preserve"> Exceptions, </w:t>
      </w:r>
      <w:r w:rsidR="00CF3E79">
        <w:rPr>
          <w:sz w:val="26"/>
          <w:szCs w:val="26"/>
        </w:rPr>
        <w:t>and the</w:t>
      </w:r>
      <w:r w:rsidR="00002751">
        <w:rPr>
          <w:sz w:val="26"/>
          <w:szCs w:val="26"/>
        </w:rPr>
        <w:t xml:space="preserve"> Replies to Exceptions.  Premised upon our review of the record, </w:t>
      </w:r>
      <w:r w:rsidR="00D42385">
        <w:rPr>
          <w:sz w:val="26"/>
          <w:szCs w:val="26"/>
        </w:rPr>
        <w:t xml:space="preserve">and consistent with this Opinion and Order, </w:t>
      </w:r>
      <w:r w:rsidR="00002751">
        <w:rPr>
          <w:sz w:val="26"/>
          <w:szCs w:val="26"/>
        </w:rPr>
        <w:t xml:space="preserve">we shall deny the Exceptions </w:t>
      </w:r>
      <w:r w:rsidR="00CF3E79">
        <w:rPr>
          <w:sz w:val="26"/>
          <w:szCs w:val="26"/>
        </w:rPr>
        <w:t xml:space="preserve">and </w:t>
      </w:r>
      <w:r w:rsidR="00002751">
        <w:rPr>
          <w:sz w:val="26"/>
          <w:szCs w:val="26"/>
        </w:rPr>
        <w:t>adopt the ALJ’s Initial Decision</w:t>
      </w:r>
      <w:r w:rsidR="00905434">
        <w:rPr>
          <w:sz w:val="26"/>
          <w:szCs w:val="26"/>
        </w:rPr>
        <w:t>;</w:t>
      </w:r>
      <w:r w:rsidR="00CF3E79">
        <w:rPr>
          <w:sz w:val="26"/>
          <w:szCs w:val="26"/>
        </w:rPr>
        <w:t xml:space="preserve"> </w:t>
      </w:r>
      <w:r w:rsidR="00956972" w:rsidRPr="00956972">
        <w:rPr>
          <w:b/>
          <w:sz w:val="26"/>
          <w:szCs w:val="26"/>
        </w:rPr>
        <w:t>THEREFORE,</w:t>
      </w:r>
    </w:p>
    <w:p w:rsidR="00002751" w:rsidRDefault="001A1AD3" w:rsidP="001A1AD3">
      <w:pPr>
        <w:spacing w:line="360" w:lineRule="auto"/>
        <w:rPr>
          <w:sz w:val="26"/>
          <w:szCs w:val="26"/>
        </w:rPr>
      </w:pPr>
      <w:r w:rsidRPr="001C7049">
        <w:rPr>
          <w:sz w:val="26"/>
          <w:szCs w:val="26"/>
        </w:rPr>
        <w:tab/>
      </w:r>
      <w:r w:rsidRPr="001C7049">
        <w:rPr>
          <w:sz w:val="26"/>
          <w:szCs w:val="26"/>
        </w:rPr>
        <w:tab/>
      </w:r>
    </w:p>
    <w:p w:rsidR="001A1AD3" w:rsidRDefault="001A1AD3" w:rsidP="00002751">
      <w:pPr>
        <w:spacing w:line="360" w:lineRule="auto"/>
        <w:ind w:left="720" w:firstLine="720"/>
        <w:rPr>
          <w:b/>
          <w:sz w:val="26"/>
          <w:szCs w:val="26"/>
        </w:rPr>
      </w:pPr>
      <w:r w:rsidRPr="000D6043">
        <w:rPr>
          <w:b/>
          <w:sz w:val="26"/>
          <w:szCs w:val="26"/>
        </w:rPr>
        <w:t>IT IS ORDERED:</w:t>
      </w:r>
    </w:p>
    <w:p w:rsidR="001A1AD3" w:rsidRDefault="001A1AD3" w:rsidP="001A1AD3">
      <w:pPr>
        <w:spacing w:line="360" w:lineRule="auto"/>
        <w:rPr>
          <w:sz w:val="26"/>
          <w:szCs w:val="26"/>
        </w:rPr>
      </w:pPr>
    </w:p>
    <w:p w:rsidR="001A1AD3" w:rsidRPr="00E028C2" w:rsidRDefault="00BD67BF" w:rsidP="00441BFA">
      <w:pPr>
        <w:pStyle w:val="ListParagraph"/>
        <w:numPr>
          <w:ilvl w:val="0"/>
          <w:numId w:val="4"/>
        </w:numPr>
        <w:spacing w:line="360" w:lineRule="auto"/>
        <w:ind w:left="0" w:firstLine="1440"/>
        <w:rPr>
          <w:sz w:val="26"/>
          <w:szCs w:val="26"/>
        </w:rPr>
      </w:pPr>
      <w:r>
        <w:rPr>
          <w:sz w:val="26"/>
          <w:szCs w:val="26"/>
        </w:rPr>
        <w:t>T</w:t>
      </w:r>
      <w:r w:rsidR="00FB37EA" w:rsidRPr="00E028C2">
        <w:rPr>
          <w:sz w:val="26"/>
          <w:szCs w:val="26"/>
        </w:rPr>
        <w:t>hat the Exceptions</w:t>
      </w:r>
      <w:r>
        <w:rPr>
          <w:sz w:val="26"/>
          <w:szCs w:val="26"/>
        </w:rPr>
        <w:t xml:space="preserve"> </w:t>
      </w:r>
      <w:r w:rsidR="009342EE">
        <w:rPr>
          <w:sz w:val="26"/>
          <w:szCs w:val="26"/>
        </w:rPr>
        <w:t>of Germanto</w:t>
      </w:r>
      <w:r w:rsidR="000C25F1">
        <w:rPr>
          <w:sz w:val="26"/>
          <w:szCs w:val="26"/>
        </w:rPr>
        <w:t>wn Cab Company, filed on August </w:t>
      </w:r>
      <w:r w:rsidR="009342EE">
        <w:rPr>
          <w:sz w:val="26"/>
          <w:szCs w:val="26"/>
        </w:rPr>
        <w:t>7</w:t>
      </w:r>
      <w:r w:rsidR="009342EE" w:rsidRPr="00585188">
        <w:rPr>
          <w:sz w:val="26"/>
          <w:szCs w:val="26"/>
        </w:rPr>
        <w:t>,</w:t>
      </w:r>
      <w:r w:rsidR="009342EE">
        <w:rPr>
          <w:sz w:val="26"/>
          <w:szCs w:val="26"/>
        </w:rPr>
        <w:t xml:space="preserve"> 2012, </w:t>
      </w:r>
      <w:r>
        <w:rPr>
          <w:sz w:val="26"/>
          <w:szCs w:val="26"/>
        </w:rPr>
        <w:t>are denied</w:t>
      </w:r>
      <w:r w:rsidR="00B265B1" w:rsidRPr="00E028C2">
        <w:rPr>
          <w:sz w:val="26"/>
          <w:szCs w:val="26"/>
        </w:rPr>
        <w:t>.</w:t>
      </w:r>
    </w:p>
    <w:p w:rsidR="001A1AD3" w:rsidRDefault="001A1AD3" w:rsidP="001A1AD3">
      <w:pPr>
        <w:spacing w:line="360" w:lineRule="auto"/>
        <w:rPr>
          <w:sz w:val="26"/>
          <w:szCs w:val="26"/>
        </w:rPr>
      </w:pPr>
    </w:p>
    <w:p w:rsidR="00F97807" w:rsidRDefault="00431F78" w:rsidP="00F97807">
      <w:pPr>
        <w:spacing w:line="360" w:lineRule="auto"/>
        <w:rPr>
          <w:sz w:val="26"/>
          <w:szCs w:val="26"/>
        </w:rPr>
      </w:pPr>
      <w:r>
        <w:rPr>
          <w:b/>
          <w:sz w:val="26"/>
          <w:szCs w:val="26"/>
        </w:rPr>
        <w:lastRenderedPageBreak/>
        <w:tab/>
      </w:r>
      <w:r>
        <w:rPr>
          <w:b/>
          <w:sz w:val="26"/>
          <w:szCs w:val="26"/>
        </w:rPr>
        <w:tab/>
      </w:r>
      <w:r w:rsidRPr="00CE3475">
        <w:rPr>
          <w:sz w:val="26"/>
          <w:szCs w:val="26"/>
        </w:rPr>
        <w:t>2</w:t>
      </w:r>
      <w:r w:rsidRPr="00A37986">
        <w:rPr>
          <w:sz w:val="26"/>
          <w:szCs w:val="26"/>
        </w:rPr>
        <w:t>.</w:t>
      </w:r>
      <w:r w:rsidR="009221CC">
        <w:rPr>
          <w:b/>
          <w:sz w:val="26"/>
          <w:szCs w:val="26"/>
        </w:rPr>
        <w:tab/>
      </w:r>
      <w:r>
        <w:rPr>
          <w:sz w:val="26"/>
          <w:szCs w:val="26"/>
        </w:rPr>
        <w:t xml:space="preserve">That the </w:t>
      </w:r>
      <w:r w:rsidR="00527A20">
        <w:rPr>
          <w:sz w:val="26"/>
          <w:szCs w:val="26"/>
        </w:rPr>
        <w:t xml:space="preserve">Initial Decision of </w:t>
      </w:r>
      <w:r w:rsidR="00C05103">
        <w:rPr>
          <w:sz w:val="26"/>
          <w:szCs w:val="26"/>
        </w:rPr>
        <w:t>Administrative Law Judge</w:t>
      </w:r>
      <w:r w:rsidR="00B115F5" w:rsidRPr="00B115F5">
        <w:rPr>
          <w:sz w:val="26"/>
          <w:szCs w:val="26"/>
        </w:rPr>
        <w:t xml:space="preserve"> </w:t>
      </w:r>
      <w:r w:rsidR="00B115F5">
        <w:rPr>
          <w:sz w:val="26"/>
          <w:szCs w:val="26"/>
        </w:rPr>
        <w:t>Cynthia Williams Fordham</w:t>
      </w:r>
      <w:r w:rsidR="00B115F5" w:rsidRPr="00585188">
        <w:rPr>
          <w:sz w:val="26"/>
          <w:szCs w:val="26"/>
        </w:rPr>
        <w:t>, issued</w:t>
      </w:r>
      <w:r w:rsidR="00B115F5">
        <w:rPr>
          <w:sz w:val="26"/>
          <w:szCs w:val="26"/>
        </w:rPr>
        <w:t xml:space="preserve"> July 18, 2012,</w:t>
      </w:r>
      <w:r w:rsidR="00E97431">
        <w:rPr>
          <w:sz w:val="26"/>
          <w:szCs w:val="26"/>
        </w:rPr>
        <w:t xml:space="preserve"> </w:t>
      </w:r>
      <w:r w:rsidR="005154BC">
        <w:rPr>
          <w:sz w:val="26"/>
          <w:szCs w:val="26"/>
        </w:rPr>
        <w:t xml:space="preserve">is </w:t>
      </w:r>
      <w:r w:rsidR="00BD67BF">
        <w:rPr>
          <w:sz w:val="26"/>
          <w:szCs w:val="26"/>
        </w:rPr>
        <w:t>adopted</w:t>
      </w:r>
      <w:r w:rsidR="00A53DA7">
        <w:rPr>
          <w:sz w:val="26"/>
        </w:rPr>
        <w:t xml:space="preserve">.  </w:t>
      </w:r>
    </w:p>
    <w:p w:rsidR="00120C2F" w:rsidRPr="0080051F" w:rsidRDefault="00120C2F" w:rsidP="00F97807">
      <w:pPr>
        <w:spacing w:line="360" w:lineRule="auto"/>
        <w:rPr>
          <w:sz w:val="26"/>
          <w:szCs w:val="26"/>
        </w:rPr>
      </w:pPr>
    </w:p>
    <w:p w:rsidR="00921E66" w:rsidRPr="00921E66" w:rsidRDefault="00921E66" w:rsidP="00921E66">
      <w:pPr>
        <w:spacing w:line="360" w:lineRule="auto"/>
        <w:ind w:firstLine="1440"/>
        <w:rPr>
          <w:sz w:val="26"/>
        </w:rPr>
      </w:pPr>
      <w:r w:rsidRPr="00921E66">
        <w:rPr>
          <w:sz w:val="26"/>
        </w:rPr>
        <w:t>3.</w:t>
      </w:r>
      <w:r w:rsidRPr="00921E66">
        <w:rPr>
          <w:sz w:val="26"/>
        </w:rPr>
        <w:tab/>
        <w:t xml:space="preserve">That </w:t>
      </w:r>
      <w:r w:rsidR="00D17D89">
        <w:rPr>
          <w:sz w:val="26"/>
        </w:rPr>
        <w:t>Germantown Cab Company’s</w:t>
      </w:r>
      <w:r w:rsidRPr="00921E66">
        <w:rPr>
          <w:sz w:val="26"/>
        </w:rPr>
        <w:t xml:space="preserve"> Motion for a Declaratory Order dismissing this matter is denied.</w:t>
      </w:r>
    </w:p>
    <w:p w:rsidR="00921E66" w:rsidRPr="00921E66" w:rsidRDefault="00921E66" w:rsidP="00921E66">
      <w:pPr>
        <w:spacing w:line="360" w:lineRule="auto"/>
        <w:rPr>
          <w:sz w:val="26"/>
        </w:rPr>
      </w:pPr>
    </w:p>
    <w:p w:rsidR="00921E66" w:rsidRPr="00921E66" w:rsidRDefault="00921E66" w:rsidP="00921E66">
      <w:pPr>
        <w:spacing w:line="360" w:lineRule="auto"/>
        <w:rPr>
          <w:sz w:val="26"/>
        </w:rPr>
      </w:pPr>
      <w:r w:rsidRPr="00921E66">
        <w:rPr>
          <w:sz w:val="26"/>
        </w:rPr>
        <w:tab/>
      </w:r>
      <w:r w:rsidRPr="00921E66">
        <w:rPr>
          <w:sz w:val="26"/>
        </w:rPr>
        <w:tab/>
        <w:t>4.</w:t>
      </w:r>
      <w:r w:rsidRPr="00921E66">
        <w:rPr>
          <w:sz w:val="26"/>
        </w:rPr>
        <w:tab/>
        <w:t>That the Complaint at Docket No. C-2010-2175330 is sustained.</w:t>
      </w:r>
    </w:p>
    <w:p w:rsidR="00921E66" w:rsidRPr="00921E66" w:rsidRDefault="00921E66" w:rsidP="00921E66">
      <w:pPr>
        <w:spacing w:line="360" w:lineRule="auto"/>
        <w:rPr>
          <w:sz w:val="26"/>
        </w:rPr>
      </w:pPr>
    </w:p>
    <w:p w:rsidR="00D17D89" w:rsidRPr="00753FA4" w:rsidRDefault="00F6635A" w:rsidP="00D17D89">
      <w:pPr>
        <w:spacing w:line="360" w:lineRule="auto"/>
        <w:ind w:firstLine="1440"/>
        <w:rPr>
          <w:sz w:val="26"/>
        </w:rPr>
      </w:pPr>
      <w:r>
        <w:rPr>
          <w:sz w:val="26"/>
          <w:szCs w:val="26"/>
        </w:rPr>
        <w:t>5</w:t>
      </w:r>
      <w:r w:rsidR="00D17D89" w:rsidRPr="00753FA4">
        <w:rPr>
          <w:sz w:val="26"/>
          <w:szCs w:val="26"/>
        </w:rPr>
        <w:t>.</w:t>
      </w:r>
      <w:r w:rsidR="00D17D89" w:rsidRPr="00753FA4">
        <w:rPr>
          <w:sz w:val="26"/>
          <w:szCs w:val="26"/>
        </w:rPr>
        <w:tab/>
      </w:r>
      <w:r w:rsidR="00D17D89" w:rsidRPr="00753FA4">
        <w:rPr>
          <w:sz w:val="26"/>
        </w:rPr>
        <w:t xml:space="preserve">That, in accordance with Section 3301 of the Public Utility Code, 66 Pa. C.S. § 3301, within thirty (30) days of receipt of the Commission’s final Opinion and Order, </w:t>
      </w:r>
      <w:r>
        <w:rPr>
          <w:sz w:val="26"/>
        </w:rPr>
        <w:t>Germantown</w:t>
      </w:r>
      <w:r w:rsidR="00D17D89">
        <w:rPr>
          <w:sz w:val="26"/>
        </w:rPr>
        <w:t xml:space="preserve"> </w:t>
      </w:r>
      <w:r>
        <w:rPr>
          <w:sz w:val="26"/>
        </w:rPr>
        <w:t xml:space="preserve">Cab </w:t>
      </w:r>
      <w:r w:rsidR="00D17D89">
        <w:rPr>
          <w:sz w:val="26"/>
        </w:rPr>
        <w:t>Company</w:t>
      </w:r>
      <w:r w:rsidR="00D17D89" w:rsidRPr="00753FA4">
        <w:rPr>
          <w:sz w:val="26"/>
        </w:rPr>
        <w:t xml:space="preserve"> shall pay a civil penalty in the amount of $</w:t>
      </w:r>
      <w:r>
        <w:rPr>
          <w:sz w:val="26"/>
        </w:rPr>
        <w:t>9</w:t>
      </w:r>
      <w:r w:rsidR="00D17D89">
        <w:rPr>
          <w:sz w:val="26"/>
        </w:rPr>
        <w:t>,</w:t>
      </w:r>
      <w:r>
        <w:rPr>
          <w:sz w:val="26"/>
        </w:rPr>
        <w:t>950</w:t>
      </w:r>
      <w:r w:rsidR="00D17D89" w:rsidRPr="00753FA4">
        <w:rPr>
          <w:sz w:val="26"/>
        </w:rPr>
        <w:t>.  Said check or money order shall be made payable to</w:t>
      </w:r>
      <w:r w:rsidR="00507490">
        <w:rPr>
          <w:sz w:val="26"/>
        </w:rPr>
        <w:t xml:space="preserve"> </w:t>
      </w:r>
      <w:r w:rsidR="00E84176">
        <w:rPr>
          <w:sz w:val="26"/>
        </w:rPr>
        <w:t>“Commonwealth of Pennsylvania” and shall be sent to</w:t>
      </w:r>
      <w:r w:rsidR="00D17D89" w:rsidRPr="00753FA4">
        <w:rPr>
          <w:sz w:val="26"/>
        </w:rPr>
        <w:t>:</w:t>
      </w:r>
    </w:p>
    <w:p w:rsidR="00507490" w:rsidRDefault="00507490" w:rsidP="00D17D89">
      <w:pPr>
        <w:keepNext/>
        <w:ind w:firstLine="1440"/>
        <w:rPr>
          <w:sz w:val="26"/>
        </w:rPr>
      </w:pPr>
    </w:p>
    <w:p w:rsidR="00E84176" w:rsidRDefault="00E84176" w:rsidP="00D17D89">
      <w:pPr>
        <w:keepNext/>
        <w:ind w:firstLine="1440"/>
        <w:rPr>
          <w:sz w:val="26"/>
        </w:rPr>
      </w:pPr>
      <w:r>
        <w:rPr>
          <w:sz w:val="26"/>
        </w:rPr>
        <w:t>Secretary</w:t>
      </w:r>
    </w:p>
    <w:p w:rsidR="00D17D89" w:rsidRPr="00753FA4" w:rsidRDefault="00D17D89" w:rsidP="00D17D89">
      <w:pPr>
        <w:keepNext/>
        <w:ind w:firstLine="1440"/>
        <w:rPr>
          <w:sz w:val="26"/>
        </w:rPr>
      </w:pPr>
      <w:r w:rsidRPr="00753FA4">
        <w:rPr>
          <w:sz w:val="26"/>
        </w:rPr>
        <w:t>Pennsylvania Public Utility Commission</w:t>
      </w:r>
    </w:p>
    <w:p w:rsidR="00D17D89" w:rsidRPr="00753FA4" w:rsidRDefault="00D17D89" w:rsidP="00D17D89">
      <w:pPr>
        <w:keepNext/>
        <w:ind w:firstLine="1440"/>
        <w:rPr>
          <w:sz w:val="26"/>
        </w:rPr>
      </w:pPr>
      <w:smartTag w:uri="urn:schemas-microsoft-com:office:smarttags" w:element="address">
        <w:smartTag w:uri="urn:schemas-microsoft-com:office:smarttags" w:element="Street">
          <w:r w:rsidRPr="00753FA4">
            <w:rPr>
              <w:sz w:val="26"/>
            </w:rPr>
            <w:t>P.O. Box</w:t>
          </w:r>
        </w:smartTag>
        <w:r w:rsidRPr="00753FA4">
          <w:rPr>
            <w:sz w:val="26"/>
          </w:rPr>
          <w:t xml:space="preserve"> 3265</w:t>
        </w:r>
      </w:smartTag>
    </w:p>
    <w:p w:rsidR="00D17D89" w:rsidRPr="00753FA4" w:rsidRDefault="00D17D89" w:rsidP="00D17D89">
      <w:pPr>
        <w:ind w:firstLine="1440"/>
        <w:rPr>
          <w:sz w:val="26"/>
        </w:rPr>
      </w:pPr>
      <w:r w:rsidRPr="00753FA4">
        <w:rPr>
          <w:sz w:val="26"/>
        </w:rPr>
        <w:t>Harrisburg, PA  17105-3265</w:t>
      </w:r>
    </w:p>
    <w:p w:rsidR="00D17D89" w:rsidRPr="00753FA4" w:rsidRDefault="00D17D89" w:rsidP="00D17D89">
      <w:pPr>
        <w:ind w:firstLine="1440"/>
        <w:rPr>
          <w:sz w:val="26"/>
        </w:rPr>
      </w:pPr>
    </w:p>
    <w:p w:rsidR="00342B59" w:rsidRDefault="00342B59" w:rsidP="00D17D89">
      <w:pPr>
        <w:spacing w:line="360" w:lineRule="auto"/>
        <w:ind w:firstLine="1440"/>
        <w:rPr>
          <w:sz w:val="26"/>
        </w:rPr>
      </w:pPr>
    </w:p>
    <w:p w:rsidR="00D17D89" w:rsidRPr="00753FA4" w:rsidRDefault="00342B59" w:rsidP="00D17D89">
      <w:pPr>
        <w:spacing w:line="360" w:lineRule="auto"/>
        <w:ind w:firstLine="1440"/>
        <w:rPr>
          <w:sz w:val="26"/>
        </w:rPr>
      </w:pPr>
      <w:r>
        <w:rPr>
          <w:sz w:val="26"/>
        </w:rPr>
        <w:t>6</w:t>
      </w:r>
      <w:r w:rsidR="00D17D89" w:rsidRPr="00753FA4">
        <w:rPr>
          <w:sz w:val="26"/>
        </w:rPr>
        <w:t>.</w:t>
      </w:r>
      <w:r w:rsidR="00D17D89" w:rsidRPr="00753FA4">
        <w:rPr>
          <w:sz w:val="26"/>
        </w:rPr>
        <w:tab/>
        <w:t xml:space="preserve">That a copy of this Opinion and Order </w:t>
      </w:r>
      <w:r w:rsidR="00D17D89">
        <w:rPr>
          <w:sz w:val="26"/>
        </w:rPr>
        <w:t xml:space="preserve">shall </w:t>
      </w:r>
      <w:r w:rsidR="00D17D89" w:rsidRPr="00753FA4">
        <w:rPr>
          <w:sz w:val="26"/>
        </w:rPr>
        <w:t>be served upon the Financial and Assessment Chief, Office of Administrative Services.</w:t>
      </w:r>
    </w:p>
    <w:p w:rsidR="00D17D89" w:rsidRPr="00753FA4" w:rsidRDefault="00D17D89" w:rsidP="00D17D89">
      <w:pPr>
        <w:spacing w:line="360" w:lineRule="auto"/>
        <w:ind w:firstLine="1440"/>
        <w:rPr>
          <w:sz w:val="26"/>
        </w:rPr>
      </w:pPr>
    </w:p>
    <w:p w:rsidR="003870F0" w:rsidRDefault="003870F0" w:rsidP="00D17D89">
      <w:pPr>
        <w:spacing w:line="360" w:lineRule="auto"/>
        <w:ind w:firstLine="1440"/>
        <w:rPr>
          <w:sz w:val="26"/>
        </w:rPr>
      </w:pPr>
    </w:p>
    <w:p w:rsidR="003870F0" w:rsidRDefault="003870F0" w:rsidP="00D17D89">
      <w:pPr>
        <w:spacing w:line="360" w:lineRule="auto"/>
        <w:ind w:firstLine="1440"/>
        <w:rPr>
          <w:sz w:val="26"/>
        </w:rPr>
      </w:pPr>
    </w:p>
    <w:p w:rsidR="003870F0" w:rsidRDefault="003870F0" w:rsidP="00D17D89">
      <w:pPr>
        <w:spacing w:line="360" w:lineRule="auto"/>
        <w:ind w:firstLine="1440"/>
        <w:rPr>
          <w:sz w:val="26"/>
        </w:rPr>
      </w:pPr>
    </w:p>
    <w:p w:rsidR="003870F0" w:rsidRDefault="003870F0" w:rsidP="00D17D89">
      <w:pPr>
        <w:spacing w:line="360" w:lineRule="auto"/>
        <w:ind w:firstLine="1440"/>
        <w:rPr>
          <w:sz w:val="26"/>
        </w:rPr>
      </w:pPr>
    </w:p>
    <w:p w:rsidR="003870F0" w:rsidRDefault="003870F0" w:rsidP="00D17D89">
      <w:pPr>
        <w:spacing w:line="360" w:lineRule="auto"/>
        <w:ind w:firstLine="1440"/>
        <w:rPr>
          <w:sz w:val="26"/>
        </w:rPr>
      </w:pPr>
    </w:p>
    <w:p w:rsidR="003870F0" w:rsidRDefault="003870F0" w:rsidP="00D17D89">
      <w:pPr>
        <w:spacing w:line="360" w:lineRule="auto"/>
        <w:ind w:firstLine="1440"/>
        <w:rPr>
          <w:sz w:val="26"/>
        </w:rPr>
      </w:pPr>
    </w:p>
    <w:p w:rsidR="003870F0" w:rsidRDefault="003870F0" w:rsidP="00D17D89">
      <w:pPr>
        <w:spacing w:line="360" w:lineRule="auto"/>
        <w:ind w:firstLine="1440"/>
        <w:rPr>
          <w:sz w:val="26"/>
        </w:rPr>
      </w:pPr>
    </w:p>
    <w:p w:rsidR="00D17D89" w:rsidRDefault="003965A9" w:rsidP="00D17D89">
      <w:pPr>
        <w:spacing w:line="360" w:lineRule="auto"/>
        <w:ind w:firstLine="1440"/>
        <w:rPr>
          <w:sz w:val="26"/>
        </w:rPr>
      </w:pPr>
      <w:r>
        <w:rPr>
          <w:sz w:val="26"/>
        </w:rPr>
        <w:lastRenderedPageBreak/>
        <w:t>7</w:t>
      </w:r>
      <w:r w:rsidR="00D17D89">
        <w:rPr>
          <w:sz w:val="26"/>
        </w:rPr>
        <w:t>.</w:t>
      </w:r>
      <w:r w:rsidR="00D17D89" w:rsidRPr="00753FA4">
        <w:rPr>
          <w:sz w:val="26"/>
        </w:rPr>
        <w:tab/>
        <w:t>That the Secretary’s Bureau shall mark this proceeding closed upon payment of the penalty.</w:t>
      </w:r>
    </w:p>
    <w:p w:rsidR="0080051F" w:rsidRDefault="0080051F" w:rsidP="00B55B97">
      <w:pPr>
        <w:tabs>
          <w:tab w:val="left" w:pos="-720"/>
          <w:tab w:val="left" w:pos="0"/>
        </w:tabs>
        <w:suppressAutoHyphens/>
        <w:spacing w:line="360" w:lineRule="auto"/>
        <w:rPr>
          <w:sz w:val="26"/>
          <w:szCs w:val="26"/>
        </w:rPr>
      </w:pPr>
    </w:p>
    <w:p w:rsidR="00503B2F" w:rsidRPr="003C63B1" w:rsidRDefault="00042D1D" w:rsidP="00503B2F">
      <w:pPr>
        <w:tabs>
          <w:tab w:val="left" w:pos="-720"/>
        </w:tabs>
        <w:suppressAutoHyphens/>
        <w:rPr>
          <w:sz w:val="26"/>
        </w:rPr>
      </w:pPr>
      <w:r>
        <w:rPr>
          <w:noProof/>
        </w:rPr>
        <w:drawing>
          <wp:anchor distT="0" distB="0" distL="114300" distR="114300" simplePos="0" relativeHeight="251658240" behindDoc="1" locked="0" layoutInCell="1" allowOverlap="1" wp14:anchorId="22E2F8BA" wp14:editId="786CC305">
            <wp:simplePos x="0" y="0"/>
            <wp:positionH relativeFrom="column">
              <wp:posOffset>2959100</wp:posOffset>
            </wp:positionH>
            <wp:positionV relativeFrom="paragraph">
              <wp:posOffset>47625</wp:posOffset>
            </wp:positionV>
            <wp:extent cx="2200275" cy="8382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503B2F" w:rsidRPr="003C63B1">
        <w:rPr>
          <w:b/>
          <w:sz w:val="26"/>
        </w:rPr>
        <w:t>BY THE COMMISSION,</w:t>
      </w: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Pr>
          <w:sz w:val="26"/>
        </w:rPr>
        <w:tab/>
      </w:r>
      <w:r>
        <w:rPr>
          <w:sz w:val="26"/>
        </w:rPr>
        <w:tab/>
      </w:r>
      <w:r>
        <w:rPr>
          <w:sz w:val="26"/>
        </w:rPr>
        <w:tab/>
      </w:r>
      <w:r>
        <w:rPr>
          <w:sz w:val="26"/>
        </w:rPr>
        <w:tab/>
      </w:r>
      <w:r>
        <w:rPr>
          <w:sz w:val="26"/>
        </w:rPr>
        <w:tab/>
      </w:r>
      <w:r>
        <w:rPr>
          <w:sz w:val="26"/>
        </w:rPr>
        <w:tab/>
      </w:r>
      <w:r>
        <w:rPr>
          <w:sz w:val="26"/>
        </w:rPr>
        <w:tab/>
        <w:t>Rosemary Chiavetta</w:t>
      </w:r>
    </w:p>
    <w:p w:rsidR="00503B2F" w:rsidRPr="003C63B1" w:rsidRDefault="00503B2F" w:rsidP="00503B2F">
      <w:pPr>
        <w:tabs>
          <w:tab w:val="left" w:pos="-720"/>
        </w:tabs>
        <w:suppressAutoHyphens/>
        <w:rPr>
          <w:sz w:val="26"/>
        </w:rPr>
      </w:pP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t>Secretary</w:t>
      </w: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sidRPr="003C63B1">
        <w:rPr>
          <w:sz w:val="26"/>
        </w:rPr>
        <w:t>(SEAL)</w:t>
      </w: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Pr>
          <w:sz w:val="26"/>
        </w:rPr>
        <w:t xml:space="preserve">ORDER ADOPTED:  </w:t>
      </w:r>
      <w:r w:rsidR="00507490">
        <w:rPr>
          <w:sz w:val="26"/>
        </w:rPr>
        <w:t>February 14</w:t>
      </w:r>
      <w:r w:rsidR="003965A9">
        <w:rPr>
          <w:sz w:val="26"/>
        </w:rPr>
        <w:t xml:space="preserve">, 2013 </w:t>
      </w: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sidRPr="003C63B1">
        <w:rPr>
          <w:sz w:val="26"/>
        </w:rPr>
        <w:t xml:space="preserve">ORDER ENTERED: </w:t>
      </w:r>
      <w:r w:rsidR="00042D1D">
        <w:rPr>
          <w:sz w:val="26"/>
        </w:rPr>
        <w:t>February 14, 2013</w:t>
      </w:r>
      <w:bookmarkStart w:id="0" w:name="_GoBack"/>
      <w:bookmarkEnd w:id="0"/>
    </w:p>
    <w:p w:rsidR="009304FE" w:rsidRDefault="009304FE" w:rsidP="00503B2F">
      <w:pPr>
        <w:spacing w:line="360" w:lineRule="auto"/>
      </w:pPr>
    </w:p>
    <w:sectPr w:rsidR="009304FE" w:rsidSect="003742CF">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334" w:rsidRDefault="008E3334">
      <w:r>
        <w:separator/>
      </w:r>
    </w:p>
  </w:endnote>
  <w:endnote w:type="continuationSeparator" w:id="0">
    <w:p w:rsidR="008E3334" w:rsidRDefault="008E3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41" w:rsidRDefault="000B7056" w:rsidP="00654A2F">
    <w:pPr>
      <w:pStyle w:val="Footer"/>
      <w:framePr w:wrap="around" w:vAnchor="text" w:hAnchor="margin" w:xAlign="center" w:y="1"/>
      <w:rPr>
        <w:rStyle w:val="PageNumber"/>
      </w:rPr>
    </w:pPr>
    <w:r>
      <w:rPr>
        <w:rStyle w:val="PageNumber"/>
      </w:rPr>
      <w:fldChar w:fldCharType="begin"/>
    </w:r>
    <w:r w:rsidR="00DF4141">
      <w:rPr>
        <w:rStyle w:val="PageNumber"/>
      </w:rPr>
      <w:instrText xml:space="preserve">PAGE  </w:instrText>
    </w:r>
    <w:r>
      <w:rPr>
        <w:rStyle w:val="PageNumber"/>
      </w:rPr>
      <w:fldChar w:fldCharType="end"/>
    </w:r>
  </w:p>
  <w:p w:rsidR="00DF4141" w:rsidRDefault="00DF41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41" w:rsidRDefault="000B7056" w:rsidP="00654A2F">
    <w:pPr>
      <w:pStyle w:val="Footer"/>
      <w:framePr w:wrap="around" w:vAnchor="text" w:hAnchor="margin" w:xAlign="center" w:y="1"/>
      <w:rPr>
        <w:rStyle w:val="PageNumber"/>
      </w:rPr>
    </w:pPr>
    <w:r>
      <w:rPr>
        <w:rStyle w:val="PageNumber"/>
      </w:rPr>
      <w:fldChar w:fldCharType="begin"/>
    </w:r>
    <w:r w:rsidR="00DF4141">
      <w:rPr>
        <w:rStyle w:val="PageNumber"/>
      </w:rPr>
      <w:instrText xml:space="preserve">PAGE  </w:instrText>
    </w:r>
    <w:r>
      <w:rPr>
        <w:rStyle w:val="PageNumber"/>
      </w:rPr>
      <w:fldChar w:fldCharType="separate"/>
    </w:r>
    <w:r w:rsidR="00042D1D">
      <w:rPr>
        <w:rStyle w:val="PageNumber"/>
        <w:noProof/>
      </w:rPr>
      <w:t>19</w:t>
    </w:r>
    <w:r>
      <w:rPr>
        <w:rStyle w:val="PageNumber"/>
      </w:rPr>
      <w:fldChar w:fldCharType="end"/>
    </w:r>
  </w:p>
  <w:p w:rsidR="00DF4141" w:rsidRDefault="00DF41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334" w:rsidRDefault="008E3334">
      <w:r>
        <w:separator/>
      </w:r>
    </w:p>
  </w:footnote>
  <w:footnote w:type="continuationSeparator" w:id="0">
    <w:p w:rsidR="008E3334" w:rsidRDefault="008E3334">
      <w:r>
        <w:continuationSeparator/>
      </w:r>
    </w:p>
  </w:footnote>
  <w:footnote w:id="1">
    <w:p w:rsidR="001B1974" w:rsidRPr="00A228EB" w:rsidRDefault="00F919E8" w:rsidP="001B1974">
      <w:pPr>
        <w:pStyle w:val="FootnoteText"/>
        <w:ind w:firstLine="720"/>
        <w:rPr>
          <w:sz w:val="26"/>
          <w:szCs w:val="26"/>
        </w:rPr>
      </w:pPr>
      <w:r w:rsidRPr="0094412E">
        <w:rPr>
          <w:rStyle w:val="FootnoteReference"/>
          <w:rFonts w:ascii="Times New Roman" w:hAnsi="Times New Roman"/>
        </w:rPr>
        <w:footnoteRef/>
      </w:r>
      <w:r w:rsidRPr="0094412E">
        <w:rPr>
          <w:rFonts w:ascii="Times New Roman" w:hAnsi="Times New Roman"/>
          <w:sz w:val="26"/>
        </w:rPr>
        <w:t xml:space="preserve"> </w:t>
      </w:r>
      <w:r w:rsidRPr="0094412E">
        <w:rPr>
          <w:rFonts w:ascii="Times New Roman" w:hAnsi="Times New Roman"/>
          <w:sz w:val="26"/>
        </w:rPr>
        <w:tab/>
      </w:r>
      <w:r w:rsidR="001B1974" w:rsidRPr="00A228EB">
        <w:rPr>
          <w:sz w:val="26"/>
          <w:szCs w:val="26"/>
        </w:rPr>
        <w:t>By Order entered August 11, 2011, at Docket No. M-2008-2071852, the Commission reorganized this function of BTS into the new Bureau of Investigation and Enforcement.  For purposes of consistency, this Opinion and Order shall use the term “</w:t>
      </w:r>
      <w:r w:rsidR="001B1974">
        <w:rPr>
          <w:sz w:val="26"/>
          <w:szCs w:val="26"/>
        </w:rPr>
        <w:t>I&amp;E</w:t>
      </w:r>
      <w:r w:rsidR="001B1974" w:rsidRPr="00A228EB">
        <w:rPr>
          <w:sz w:val="26"/>
          <w:szCs w:val="26"/>
        </w:rPr>
        <w:t>” throughout.</w:t>
      </w:r>
    </w:p>
    <w:p w:rsidR="00F919E8" w:rsidRPr="0094412E" w:rsidRDefault="00F919E8" w:rsidP="00F919E8">
      <w:pPr>
        <w:pStyle w:val="FootnoteText"/>
        <w:rPr>
          <w:rFonts w:ascii="Times New Roman" w:hAnsi="Times New Roman"/>
          <w:sz w:val="26"/>
        </w:rPr>
      </w:pPr>
    </w:p>
  </w:footnote>
  <w:footnote w:id="2">
    <w:p w:rsidR="0044741A" w:rsidRPr="00BC4B86" w:rsidRDefault="0044741A">
      <w:pPr>
        <w:pStyle w:val="FootnoteText"/>
        <w:rPr>
          <w:rFonts w:ascii="Times New Roman" w:hAnsi="Times New Roman"/>
          <w:sz w:val="26"/>
        </w:rPr>
      </w:pPr>
      <w:r>
        <w:tab/>
      </w:r>
      <w:r w:rsidRPr="00BC4B86">
        <w:rPr>
          <w:rStyle w:val="FootnoteReference"/>
          <w:rFonts w:ascii="Times New Roman" w:hAnsi="Times New Roman"/>
        </w:rPr>
        <w:footnoteRef/>
      </w:r>
      <w:r w:rsidRPr="00BC4B86">
        <w:rPr>
          <w:rFonts w:ascii="Times New Roman" w:hAnsi="Times New Roman"/>
          <w:sz w:val="26"/>
        </w:rPr>
        <w:t xml:space="preserve"> </w:t>
      </w:r>
      <w:r w:rsidRPr="00BC4B86">
        <w:rPr>
          <w:rFonts w:ascii="Times New Roman" w:hAnsi="Times New Roman"/>
          <w:sz w:val="26"/>
        </w:rPr>
        <w:tab/>
        <w:t xml:space="preserve">We note that the Exceptions filed by counsel for the Respondent do not comply with our </w:t>
      </w:r>
      <w:r w:rsidR="0081274E" w:rsidRPr="00BC4B86">
        <w:rPr>
          <w:rFonts w:ascii="Times New Roman" w:hAnsi="Times New Roman"/>
          <w:sz w:val="26"/>
        </w:rPr>
        <w:t xml:space="preserve">Regulations at 52 Pa. Code § 5.533(b), which require each exception to be numbered and identify the finding of fact or conclusion of law to which exception is taken </w:t>
      </w:r>
      <w:r w:rsidR="00FB40D0" w:rsidRPr="00BC4B86">
        <w:rPr>
          <w:rFonts w:ascii="Times New Roman" w:hAnsi="Times New Roman"/>
          <w:sz w:val="26"/>
        </w:rPr>
        <w:t xml:space="preserve">and to cite to the relevant pages of the decision.  We will, nevertheless, consider the Exceptions in order to secure a just, speedy, and inexpensive determination in this proceeding.  </w:t>
      </w:r>
      <w:r w:rsidR="00FB40D0" w:rsidRPr="00BC4B86">
        <w:rPr>
          <w:rFonts w:ascii="Times New Roman" w:hAnsi="Times New Roman"/>
          <w:i/>
          <w:sz w:val="26"/>
        </w:rPr>
        <w:t>See</w:t>
      </w:r>
      <w:r w:rsidR="00FB40D0" w:rsidRPr="00BC4B86">
        <w:rPr>
          <w:rFonts w:ascii="Times New Roman" w:hAnsi="Times New Roman"/>
          <w:sz w:val="26"/>
        </w:rPr>
        <w:t xml:space="preserve">, 52 Pa. Code § 1.2(a).      </w:t>
      </w:r>
      <w:r w:rsidR="0081274E" w:rsidRPr="00BC4B86">
        <w:rPr>
          <w:rFonts w:ascii="Times New Roman" w:hAnsi="Times New Roman"/>
          <w:sz w:val="26"/>
        </w:rPr>
        <w:t xml:space="preserve"> </w:t>
      </w:r>
      <w:r w:rsidRPr="00BC4B86">
        <w:rPr>
          <w:rFonts w:ascii="Times New Roman" w:hAnsi="Times New Roman"/>
          <w:sz w:val="26"/>
        </w:rPr>
        <w:t xml:space="preserve"> </w:t>
      </w:r>
    </w:p>
  </w:footnote>
  <w:footnote w:id="3">
    <w:p w:rsidR="004F09EA" w:rsidRPr="004F09EA" w:rsidRDefault="004F09EA" w:rsidP="001E5DEC">
      <w:pPr>
        <w:ind w:firstLine="720"/>
        <w:rPr>
          <w:sz w:val="26"/>
        </w:rPr>
      </w:pPr>
      <w:r w:rsidRPr="004F09EA">
        <w:rPr>
          <w:rStyle w:val="FootnoteReference"/>
        </w:rPr>
        <w:footnoteRef/>
      </w:r>
      <w:r w:rsidRPr="004F09EA">
        <w:rPr>
          <w:sz w:val="26"/>
        </w:rPr>
        <w:t xml:space="preserve"> </w:t>
      </w:r>
      <w:r w:rsidRPr="004F09EA">
        <w:rPr>
          <w:sz w:val="26"/>
        </w:rPr>
        <w:tab/>
      </w:r>
      <w:r>
        <w:rPr>
          <w:sz w:val="26"/>
        </w:rPr>
        <w:t>Section 331(f) provides the following:  “</w:t>
      </w:r>
      <w:r w:rsidRPr="004F09EA">
        <w:rPr>
          <w:color w:val="000000"/>
          <w:sz w:val="26"/>
          <w:szCs w:val="18"/>
        </w:rPr>
        <w:t>The commission, with like effect as in the case of other orders, and in its sound discretion, may issue a declaratory order to terminate a controversy or remove uncertainty.</w:t>
      </w:r>
      <w:r>
        <w:rPr>
          <w:color w:val="000000"/>
          <w:sz w:val="26"/>
          <w:szCs w:val="18"/>
        </w:rPr>
        <w:t>”</w:t>
      </w:r>
    </w:p>
  </w:footnote>
  <w:footnote w:id="4">
    <w:p w:rsidR="00D63AA0" w:rsidRPr="001E5DEC" w:rsidRDefault="00D63AA0" w:rsidP="001E5DEC">
      <w:pPr>
        <w:pStyle w:val="FootnoteText"/>
        <w:spacing w:before="0" w:after="0"/>
        <w:ind w:firstLine="720"/>
        <w:rPr>
          <w:rFonts w:ascii="Times New Roman" w:hAnsi="Times New Roman"/>
          <w:sz w:val="26"/>
          <w:szCs w:val="26"/>
        </w:rPr>
      </w:pPr>
      <w:r w:rsidRPr="001E5DEC">
        <w:rPr>
          <w:rStyle w:val="FootnoteReference"/>
          <w:rFonts w:ascii="Times New Roman" w:hAnsi="Times New Roman"/>
        </w:rPr>
        <w:footnoteRef/>
      </w:r>
      <w:r w:rsidRPr="001E5DEC">
        <w:rPr>
          <w:rFonts w:ascii="Times New Roman" w:hAnsi="Times New Roman"/>
          <w:sz w:val="26"/>
          <w:szCs w:val="26"/>
        </w:rPr>
        <w:t xml:space="preserve"> </w:t>
      </w:r>
      <w:r w:rsidRPr="001E5DEC">
        <w:rPr>
          <w:rFonts w:ascii="Times New Roman" w:hAnsi="Times New Roman"/>
          <w:sz w:val="26"/>
          <w:szCs w:val="26"/>
        </w:rPr>
        <w:tab/>
        <w:t>Act 119 was signed by the Governor on July 5, 2012 (</w:t>
      </w:r>
      <w:r w:rsidR="00F72E0C">
        <w:rPr>
          <w:rFonts w:ascii="Times New Roman" w:hAnsi="Times New Roman"/>
          <w:sz w:val="26"/>
          <w:szCs w:val="26"/>
        </w:rPr>
        <w:t>several months after the Respondent filed its Motion arguing that the Commission has exclusive jurisdiction).</w:t>
      </w:r>
    </w:p>
  </w:footnote>
  <w:footnote w:id="5">
    <w:p w:rsidR="00501F73" w:rsidRPr="00501F73" w:rsidRDefault="00501F73">
      <w:pPr>
        <w:pStyle w:val="FootnoteText"/>
        <w:rPr>
          <w:rFonts w:ascii="Times New Roman" w:hAnsi="Times New Roman"/>
          <w:sz w:val="26"/>
        </w:rPr>
      </w:pPr>
      <w:r>
        <w:tab/>
      </w:r>
      <w:r w:rsidRPr="00501F73">
        <w:rPr>
          <w:rStyle w:val="FootnoteReference"/>
          <w:rFonts w:ascii="Times New Roman" w:hAnsi="Times New Roman"/>
        </w:rPr>
        <w:footnoteRef/>
      </w:r>
      <w:r w:rsidRPr="00501F73">
        <w:rPr>
          <w:rFonts w:ascii="Times New Roman" w:hAnsi="Times New Roman"/>
          <w:sz w:val="26"/>
        </w:rPr>
        <w:t xml:space="preserve"> </w:t>
      </w:r>
      <w:r w:rsidRPr="00501F73">
        <w:rPr>
          <w:rFonts w:ascii="Times New Roman" w:hAnsi="Times New Roman"/>
          <w:sz w:val="26"/>
        </w:rPr>
        <w:tab/>
        <w:t xml:space="preserve">The Commission’s enforcement officers are aware that there are two rates on the Respondent’s meters:  Rate 1, which is authorized by the PPA, and Rate 2, which is authorized by the Commission.  Tr. at 17.  </w:t>
      </w:r>
    </w:p>
  </w:footnote>
  <w:footnote w:id="6">
    <w:p w:rsidR="00187C18" w:rsidRPr="00187C18" w:rsidRDefault="00187C18">
      <w:pPr>
        <w:pStyle w:val="FootnoteText"/>
        <w:rPr>
          <w:rFonts w:ascii="Times New Roman" w:hAnsi="Times New Roman"/>
          <w:sz w:val="26"/>
        </w:rPr>
      </w:pPr>
      <w:r>
        <w:tab/>
      </w:r>
      <w:r w:rsidRPr="00187C18">
        <w:rPr>
          <w:rStyle w:val="FootnoteReference"/>
          <w:rFonts w:ascii="Times New Roman" w:hAnsi="Times New Roman"/>
        </w:rPr>
        <w:footnoteRef/>
      </w:r>
      <w:r w:rsidRPr="00187C18">
        <w:rPr>
          <w:rFonts w:ascii="Times New Roman" w:hAnsi="Times New Roman"/>
          <w:sz w:val="26"/>
        </w:rPr>
        <w:t xml:space="preserve"> </w:t>
      </w:r>
      <w:r w:rsidRPr="00187C18">
        <w:rPr>
          <w:rFonts w:ascii="Times New Roman" w:hAnsi="Times New Roman"/>
          <w:sz w:val="26"/>
        </w:rPr>
        <w:tab/>
      </w:r>
      <w:r w:rsidRPr="00187C18">
        <w:rPr>
          <w:rFonts w:ascii="Times New Roman" w:hAnsi="Times New Roman"/>
          <w:i/>
          <w:sz w:val="26"/>
        </w:rPr>
        <w:t>See</w:t>
      </w:r>
      <w:r w:rsidRPr="00187C18">
        <w:rPr>
          <w:rFonts w:ascii="Times New Roman" w:hAnsi="Times New Roman"/>
          <w:sz w:val="26"/>
        </w:rPr>
        <w:t xml:space="preserve"> Docket Nos. C-2010-2123058, C-2011-2261596, C-2011-2240322, </w:t>
      </w:r>
      <w:r w:rsidR="00732100">
        <w:rPr>
          <w:rFonts w:ascii="Times New Roman" w:hAnsi="Times New Roman"/>
          <w:sz w:val="26"/>
        </w:rPr>
        <w:br/>
      </w:r>
      <w:r w:rsidRPr="00187C18">
        <w:rPr>
          <w:rFonts w:ascii="Times New Roman" w:hAnsi="Times New Roman"/>
          <w:sz w:val="26"/>
        </w:rPr>
        <w:t xml:space="preserve">C-2010-2141769, C-2010-2113563, C-2011-2269386, C-2009-2107768, </w:t>
      </w:r>
      <w:r w:rsidR="00732100">
        <w:rPr>
          <w:rFonts w:ascii="Times New Roman" w:hAnsi="Times New Roman"/>
          <w:sz w:val="26"/>
        </w:rPr>
        <w:br/>
      </w:r>
      <w:r w:rsidRPr="00187C18">
        <w:rPr>
          <w:rFonts w:ascii="Times New Roman" w:hAnsi="Times New Roman"/>
          <w:sz w:val="26"/>
        </w:rPr>
        <w:t xml:space="preserve">C-2011-2270730, C-2011-2215375, C-2010-2194625, C-2008-2030859, </w:t>
      </w:r>
      <w:r w:rsidR="00732100">
        <w:rPr>
          <w:rFonts w:ascii="Times New Roman" w:hAnsi="Times New Roman"/>
          <w:sz w:val="26"/>
        </w:rPr>
        <w:br/>
      </w:r>
      <w:r w:rsidRPr="00187C18">
        <w:rPr>
          <w:rFonts w:ascii="Times New Roman" w:hAnsi="Times New Roman"/>
          <w:sz w:val="26"/>
        </w:rPr>
        <w:t xml:space="preserve">C-2011-2264321, C-2011-2263795, C-2010-2196902, and C-2011-2255809.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72075"/>
    <w:multiLevelType w:val="hybridMultilevel"/>
    <w:tmpl w:val="83D4F2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B80468"/>
    <w:multiLevelType w:val="hybridMultilevel"/>
    <w:tmpl w:val="A4A04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8E506B"/>
    <w:multiLevelType w:val="hybridMultilevel"/>
    <w:tmpl w:val="9F0C1BFE"/>
    <w:lvl w:ilvl="0" w:tplc="0409000F">
      <w:start w:val="1"/>
      <w:numFmt w:val="decimal"/>
      <w:lvlText w:val="%1."/>
      <w:lvlJc w:val="left"/>
      <w:pPr>
        <w:ind w:left="720" w:hanging="360"/>
      </w:pPr>
    </w:lvl>
    <w:lvl w:ilvl="1" w:tplc="3BAA4EFC">
      <w:start w:val="1"/>
      <w:numFmt w:val="lowerLetter"/>
      <w:lvlText w:val="%2."/>
      <w:lvlJc w:val="left"/>
      <w:pPr>
        <w:ind w:left="1440" w:hanging="360"/>
      </w:pPr>
      <w:rPr>
        <w:rFonts w:ascii="Times New Roman" w:hAnsi="Times New Roman" w:cs="Times New Roman"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961752"/>
    <w:multiLevelType w:val="hybridMultilevel"/>
    <w:tmpl w:val="C5D4CA64"/>
    <w:lvl w:ilvl="0" w:tplc="BCC8D6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51900E6"/>
    <w:multiLevelType w:val="hybridMultilevel"/>
    <w:tmpl w:val="D29083A6"/>
    <w:lvl w:ilvl="0" w:tplc="86D053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5D5557B4"/>
    <w:multiLevelType w:val="hybridMultilevel"/>
    <w:tmpl w:val="B8F63A76"/>
    <w:lvl w:ilvl="0" w:tplc="A656A14E">
      <w:start w:val="1"/>
      <w:numFmt w:val="lowerLetter"/>
      <w:lvlText w:val="(%1)"/>
      <w:lvlJc w:val="left"/>
      <w:pPr>
        <w:ind w:left="435" w:hanging="39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
    <w:nsid w:val="623E3CE4"/>
    <w:multiLevelType w:val="hybridMultilevel"/>
    <w:tmpl w:val="E1007D22"/>
    <w:lvl w:ilvl="0" w:tplc="A68CD3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6"/>
  </w:num>
  <w:num w:numId="4">
    <w:abstractNumId w:val="4"/>
  </w:num>
  <w:num w:numId="5">
    <w:abstractNumId w:val="7"/>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304FE"/>
    <w:rsid w:val="000004FF"/>
    <w:rsid w:val="00000C15"/>
    <w:rsid w:val="00001139"/>
    <w:rsid w:val="0000209B"/>
    <w:rsid w:val="00002751"/>
    <w:rsid w:val="00002EC7"/>
    <w:rsid w:val="00002F2A"/>
    <w:rsid w:val="000063E9"/>
    <w:rsid w:val="00007106"/>
    <w:rsid w:val="00007461"/>
    <w:rsid w:val="000074DC"/>
    <w:rsid w:val="00010322"/>
    <w:rsid w:val="0001099D"/>
    <w:rsid w:val="00011EC9"/>
    <w:rsid w:val="00012A70"/>
    <w:rsid w:val="00013B94"/>
    <w:rsid w:val="0001411C"/>
    <w:rsid w:val="000148F5"/>
    <w:rsid w:val="00015969"/>
    <w:rsid w:val="00015A01"/>
    <w:rsid w:val="00016160"/>
    <w:rsid w:val="00016CE0"/>
    <w:rsid w:val="00017033"/>
    <w:rsid w:val="00017BF5"/>
    <w:rsid w:val="00020E43"/>
    <w:rsid w:val="00020F8F"/>
    <w:rsid w:val="00021AAC"/>
    <w:rsid w:val="000234F5"/>
    <w:rsid w:val="00024987"/>
    <w:rsid w:val="00024DD1"/>
    <w:rsid w:val="00025686"/>
    <w:rsid w:val="0002585B"/>
    <w:rsid w:val="00025B28"/>
    <w:rsid w:val="000261D5"/>
    <w:rsid w:val="00026E4B"/>
    <w:rsid w:val="0002723A"/>
    <w:rsid w:val="0002744F"/>
    <w:rsid w:val="00027EE5"/>
    <w:rsid w:val="000310BE"/>
    <w:rsid w:val="000313B8"/>
    <w:rsid w:val="00031E93"/>
    <w:rsid w:val="0003225A"/>
    <w:rsid w:val="00033CB2"/>
    <w:rsid w:val="00037290"/>
    <w:rsid w:val="000378DC"/>
    <w:rsid w:val="000429BA"/>
    <w:rsid w:val="00042D1D"/>
    <w:rsid w:val="00044438"/>
    <w:rsid w:val="00045622"/>
    <w:rsid w:val="00046B36"/>
    <w:rsid w:val="000510D0"/>
    <w:rsid w:val="000510FD"/>
    <w:rsid w:val="000524CC"/>
    <w:rsid w:val="00053B4F"/>
    <w:rsid w:val="00053CED"/>
    <w:rsid w:val="00054407"/>
    <w:rsid w:val="00054F7A"/>
    <w:rsid w:val="00057057"/>
    <w:rsid w:val="00057855"/>
    <w:rsid w:val="00060B90"/>
    <w:rsid w:val="000610F9"/>
    <w:rsid w:val="00061284"/>
    <w:rsid w:val="00061850"/>
    <w:rsid w:val="000629CD"/>
    <w:rsid w:val="000634BD"/>
    <w:rsid w:val="0006405C"/>
    <w:rsid w:val="00065DB6"/>
    <w:rsid w:val="000673D1"/>
    <w:rsid w:val="00067DC7"/>
    <w:rsid w:val="000702C9"/>
    <w:rsid w:val="00070FF8"/>
    <w:rsid w:val="00070FFD"/>
    <w:rsid w:val="000711D9"/>
    <w:rsid w:val="000725E1"/>
    <w:rsid w:val="00072883"/>
    <w:rsid w:val="00073C25"/>
    <w:rsid w:val="00074512"/>
    <w:rsid w:val="00075161"/>
    <w:rsid w:val="00075677"/>
    <w:rsid w:val="0007596A"/>
    <w:rsid w:val="000777D8"/>
    <w:rsid w:val="00077995"/>
    <w:rsid w:val="00080C6A"/>
    <w:rsid w:val="0008328F"/>
    <w:rsid w:val="0008445E"/>
    <w:rsid w:val="00084B44"/>
    <w:rsid w:val="00085FFB"/>
    <w:rsid w:val="00086411"/>
    <w:rsid w:val="00086D0B"/>
    <w:rsid w:val="0008768F"/>
    <w:rsid w:val="00087C06"/>
    <w:rsid w:val="00087D18"/>
    <w:rsid w:val="0009074A"/>
    <w:rsid w:val="00090F10"/>
    <w:rsid w:val="00092384"/>
    <w:rsid w:val="00092ABD"/>
    <w:rsid w:val="00092EC8"/>
    <w:rsid w:val="00094D6F"/>
    <w:rsid w:val="00096187"/>
    <w:rsid w:val="000966DC"/>
    <w:rsid w:val="0009781B"/>
    <w:rsid w:val="000A18FF"/>
    <w:rsid w:val="000A2F11"/>
    <w:rsid w:val="000A35F4"/>
    <w:rsid w:val="000A6EB3"/>
    <w:rsid w:val="000A770A"/>
    <w:rsid w:val="000A7F96"/>
    <w:rsid w:val="000B1F02"/>
    <w:rsid w:val="000B2B80"/>
    <w:rsid w:val="000B3FB4"/>
    <w:rsid w:val="000B4F29"/>
    <w:rsid w:val="000B5487"/>
    <w:rsid w:val="000B5DF8"/>
    <w:rsid w:val="000B6501"/>
    <w:rsid w:val="000B7056"/>
    <w:rsid w:val="000B71E3"/>
    <w:rsid w:val="000B77E2"/>
    <w:rsid w:val="000C25F1"/>
    <w:rsid w:val="000C3577"/>
    <w:rsid w:val="000C4BFD"/>
    <w:rsid w:val="000C742F"/>
    <w:rsid w:val="000D0D75"/>
    <w:rsid w:val="000D3E0A"/>
    <w:rsid w:val="000D5BBB"/>
    <w:rsid w:val="000D6C35"/>
    <w:rsid w:val="000E0050"/>
    <w:rsid w:val="000E0311"/>
    <w:rsid w:val="000E09BE"/>
    <w:rsid w:val="000E0F2D"/>
    <w:rsid w:val="000E24DE"/>
    <w:rsid w:val="000E3FDA"/>
    <w:rsid w:val="000E44FC"/>
    <w:rsid w:val="000E492B"/>
    <w:rsid w:val="000E4BED"/>
    <w:rsid w:val="000E7110"/>
    <w:rsid w:val="000F1752"/>
    <w:rsid w:val="000F1CC8"/>
    <w:rsid w:val="000F2540"/>
    <w:rsid w:val="000F292B"/>
    <w:rsid w:val="000F34DC"/>
    <w:rsid w:val="000F34FC"/>
    <w:rsid w:val="000F4144"/>
    <w:rsid w:val="000F43AF"/>
    <w:rsid w:val="000F4C47"/>
    <w:rsid w:val="000F6D5A"/>
    <w:rsid w:val="0010013C"/>
    <w:rsid w:val="0010064F"/>
    <w:rsid w:val="001006F0"/>
    <w:rsid w:val="00100B30"/>
    <w:rsid w:val="00100B90"/>
    <w:rsid w:val="00100BF3"/>
    <w:rsid w:val="00101745"/>
    <w:rsid w:val="0010255E"/>
    <w:rsid w:val="001026AA"/>
    <w:rsid w:val="001026E6"/>
    <w:rsid w:val="00103A52"/>
    <w:rsid w:val="001048B3"/>
    <w:rsid w:val="00105084"/>
    <w:rsid w:val="00105104"/>
    <w:rsid w:val="00105193"/>
    <w:rsid w:val="00105F7D"/>
    <w:rsid w:val="00106537"/>
    <w:rsid w:val="001112D8"/>
    <w:rsid w:val="001114A0"/>
    <w:rsid w:val="0011244B"/>
    <w:rsid w:val="001133C8"/>
    <w:rsid w:val="001139C2"/>
    <w:rsid w:val="00114D80"/>
    <w:rsid w:val="00115FD9"/>
    <w:rsid w:val="00116D79"/>
    <w:rsid w:val="00117A38"/>
    <w:rsid w:val="001205FE"/>
    <w:rsid w:val="00120C2F"/>
    <w:rsid w:val="00122989"/>
    <w:rsid w:val="00123068"/>
    <w:rsid w:val="00124A50"/>
    <w:rsid w:val="00126152"/>
    <w:rsid w:val="0012697D"/>
    <w:rsid w:val="00127623"/>
    <w:rsid w:val="00127B2A"/>
    <w:rsid w:val="00127C7C"/>
    <w:rsid w:val="00130074"/>
    <w:rsid w:val="00130244"/>
    <w:rsid w:val="00130D74"/>
    <w:rsid w:val="00130EB7"/>
    <w:rsid w:val="00131B43"/>
    <w:rsid w:val="00132429"/>
    <w:rsid w:val="00133878"/>
    <w:rsid w:val="001338E1"/>
    <w:rsid w:val="001344F4"/>
    <w:rsid w:val="00135BB9"/>
    <w:rsid w:val="00137630"/>
    <w:rsid w:val="00137A60"/>
    <w:rsid w:val="001401EC"/>
    <w:rsid w:val="00140C4D"/>
    <w:rsid w:val="00141882"/>
    <w:rsid w:val="00141DF0"/>
    <w:rsid w:val="0014205C"/>
    <w:rsid w:val="00143F43"/>
    <w:rsid w:val="00144166"/>
    <w:rsid w:val="00144175"/>
    <w:rsid w:val="00144E09"/>
    <w:rsid w:val="00145EDC"/>
    <w:rsid w:val="0014617E"/>
    <w:rsid w:val="00147415"/>
    <w:rsid w:val="001476B8"/>
    <w:rsid w:val="00150989"/>
    <w:rsid w:val="001509E0"/>
    <w:rsid w:val="00150A39"/>
    <w:rsid w:val="00154829"/>
    <w:rsid w:val="00154DD8"/>
    <w:rsid w:val="0015662E"/>
    <w:rsid w:val="00156A41"/>
    <w:rsid w:val="001572C5"/>
    <w:rsid w:val="0016005F"/>
    <w:rsid w:val="001606BC"/>
    <w:rsid w:val="00161200"/>
    <w:rsid w:val="00162B46"/>
    <w:rsid w:val="00163AA3"/>
    <w:rsid w:val="0016441E"/>
    <w:rsid w:val="00164715"/>
    <w:rsid w:val="00164C98"/>
    <w:rsid w:val="001669F4"/>
    <w:rsid w:val="0016793B"/>
    <w:rsid w:val="001679F1"/>
    <w:rsid w:val="001701B3"/>
    <w:rsid w:val="00170405"/>
    <w:rsid w:val="001704F7"/>
    <w:rsid w:val="001707BD"/>
    <w:rsid w:val="001711B9"/>
    <w:rsid w:val="00176940"/>
    <w:rsid w:val="00177A43"/>
    <w:rsid w:val="00180052"/>
    <w:rsid w:val="001811B8"/>
    <w:rsid w:val="00181999"/>
    <w:rsid w:val="001827DB"/>
    <w:rsid w:val="001838E6"/>
    <w:rsid w:val="00183B8B"/>
    <w:rsid w:val="00183D96"/>
    <w:rsid w:val="00185B5E"/>
    <w:rsid w:val="001863B0"/>
    <w:rsid w:val="00186887"/>
    <w:rsid w:val="00187C18"/>
    <w:rsid w:val="0019214E"/>
    <w:rsid w:val="00192592"/>
    <w:rsid w:val="001928E3"/>
    <w:rsid w:val="00192B54"/>
    <w:rsid w:val="0019318F"/>
    <w:rsid w:val="001932CF"/>
    <w:rsid w:val="00193EF0"/>
    <w:rsid w:val="00195558"/>
    <w:rsid w:val="00197920"/>
    <w:rsid w:val="00197C2F"/>
    <w:rsid w:val="00197F3D"/>
    <w:rsid w:val="001A006C"/>
    <w:rsid w:val="001A0516"/>
    <w:rsid w:val="001A1AD3"/>
    <w:rsid w:val="001A4A0C"/>
    <w:rsid w:val="001A4C6C"/>
    <w:rsid w:val="001A5756"/>
    <w:rsid w:val="001A6FD4"/>
    <w:rsid w:val="001A75AA"/>
    <w:rsid w:val="001B1974"/>
    <w:rsid w:val="001B2218"/>
    <w:rsid w:val="001B2FD7"/>
    <w:rsid w:val="001B3486"/>
    <w:rsid w:val="001B423C"/>
    <w:rsid w:val="001B5CD3"/>
    <w:rsid w:val="001B7A05"/>
    <w:rsid w:val="001C3413"/>
    <w:rsid w:val="001C396E"/>
    <w:rsid w:val="001C42FD"/>
    <w:rsid w:val="001C4B37"/>
    <w:rsid w:val="001C50DA"/>
    <w:rsid w:val="001C53B1"/>
    <w:rsid w:val="001C742A"/>
    <w:rsid w:val="001C7DB5"/>
    <w:rsid w:val="001C7E91"/>
    <w:rsid w:val="001C7F88"/>
    <w:rsid w:val="001D01F1"/>
    <w:rsid w:val="001D02A2"/>
    <w:rsid w:val="001D0E29"/>
    <w:rsid w:val="001D21E6"/>
    <w:rsid w:val="001D2BAD"/>
    <w:rsid w:val="001D3B99"/>
    <w:rsid w:val="001D491F"/>
    <w:rsid w:val="001D57C0"/>
    <w:rsid w:val="001D5B7A"/>
    <w:rsid w:val="001D6C04"/>
    <w:rsid w:val="001D70A6"/>
    <w:rsid w:val="001D7137"/>
    <w:rsid w:val="001E058A"/>
    <w:rsid w:val="001E05C6"/>
    <w:rsid w:val="001E0B29"/>
    <w:rsid w:val="001E19BC"/>
    <w:rsid w:val="001E1A53"/>
    <w:rsid w:val="001E2CFB"/>
    <w:rsid w:val="001E3574"/>
    <w:rsid w:val="001E4106"/>
    <w:rsid w:val="001E4225"/>
    <w:rsid w:val="001E5B8E"/>
    <w:rsid w:val="001E5DEC"/>
    <w:rsid w:val="001F0488"/>
    <w:rsid w:val="001F3665"/>
    <w:rsid w:val="001F43D8"/>
    <w:rsid w:val="001F43E3"/>
    <w:rsid w:val="001F55D5"/>
    <w:rsid w:val="001F5958"/>
    <w:rsid w:val="001F5F40"/>
    <w:rsid w:val="001F75D6"/>
    <w:rsid w:val="001F79C6"/>
    <w:rsid w:val="001F7B55"/>
    <w:rsid w:val="00200BE3"/>
    <w:rsid w:val="00203F27"/>
    <w:rsid w:val="0020403A"/>
    <w:rsid w:val="00205242"/>
    <w:rsid w:val="00205B95"/>
    <w:rsid w:val="00206970"/>
    <w:rsid w:val="00206D03"/>
    <w:rsid w:val="00207453"/>
    <w:rsid w:val="0020784E"/>
    <w:rsid w:val="00207B80"/>
    <w:rsid w:val="00210868"/>
    <w:rsid w:val="00213B95"/>
    <w:rsid w:val="00214C25"/>
    <w:rsid w:val="002170BF"/>
    <w:rsid w:val="00217C4E"/>
    <w:rsid w:val="00220599"/>
    <w:rsid w:val="00220F20"/>
    <w:rsid w:val="00221BC9"/>
    <w:rsid w:val="0022290A"/>
    <w:rsid w:val="00223564"/>
    <w:rsid w:val="002242F7"/>
    <w:rsid w:val="00224FA9"/>
    <w:rsid w:val="002259AF"/>
    <w:rsid w:val="00225BD2"/>
    <w:rsid w:val="00225DE7"/>
    <w:rsid w:val="00230396"/>
    <w:rsid w:val="0023097E"/>
    <w:rsid w:val="00230BAB"/>
    <w:rsid w:val="00232A03"/>
    <w:rsid w:val="0023535F"/>
    <w:rsid w:val="002353F6"/>
    <w:rsid w:val="00235E4A"/>
    <w:rsid w:val="00237CE3"/>
    <w:rsid w:val="0024069A"/>
    <w:rsid w:val="00242DC1"/>
    <w:rsid w:val="0024349F"/>
    <w:rsid w:val="00243CC9"/>
    <w:rsid w:val="00243D31"/>
    <w:rsid w:val="002450F3"/>
    <w:rsid w:val="00245B0C"/>
    <w:rsid w:val="002461D4"/>
    <w:rsid w:val="002469C9"/>
    <w:rsid w:val="00247332"/>
    <w:rsid w:val="00250E63"/>
    <w:rsid w:val="00251D6F"/>
    <w:rsid w:val="00252194"/>
    <w:rsid w:val="00252313"/>
    <w:rsid w:val="00252626"/>
    <w:rsid w:val="00253CC7"/>
    <w:rsid w:val="00254560"/>
    <w:rsid w:val="002556E9"/>
    <w:rsid w:val="00255D89"/>
    <w:rsid w:val="002564D7"/>
    <w:rsid w:val="00256A4C"/>
    <w:rsid w:val="0025718D"/>
    <w:rsid w:val="0026143A"/>
    <w:rsid w:val="00261A03"/>
    <w:rsid w:val="0026312F"/>
    <w:rsid w:val="00263C26"/>
    <w:rsid w:val="00264ABB"/>
    <w:rsid w:val="00264ADE"/>
    <w:rsid w:val="002652DF"/>
    <w:rsid w:val="00265BD8"/>
    <w:rsid w:val="00271322"/>
    <w:rsid w:val="00271AC3"/>
    <w:rsid w:val="002723CB"/>
    <w:rsid w:val="002725C1"/>
    <w:rsid w:val="002730B0"/>
    <w:rsid w:val="00273450"/>
    <w:rsid w:val="0027458E"/>
    <w:rsid w:val="00274EC0"/>
    <w:rsid w:val="00277604"/>
    <w:rsid w:val="00282019"/>
    <w:rsid w:val="00283433"/>
    <w:rsid w:val="002838E3"/>
    <w:rsid w:val="002851CE"/>
    <w:rsid w:val="002854BF"/>
    <w:rsid w:val="00285856"/>
    <w:rsid w:val="00286867"/>
    <w:rsid w:val="00287281"/>
    <w:rsid w:val="002877B6"/>
    <w:rsid w:val="00287BE6"/>
    <w:rsid w:val="00291657"/>
    <w:rsid w:val="002919FB"/>
    <w:rsid w:val="00291CAB"/>
    <w:rsid w:val="00295ACF"/>
    <w:rsid w:val="00296493"/>
    <w:rsid w:val="00297040"/>
    <w:rsid w:val="002A0E82"/>
    <w:rsid w:val="002A1AEC"/>
    <w:rsid w:val="002A1D48"/>
    <w:rsid w:val="002A3A6E"/>
    <w:rsid w:val="002A3AC8"/>
    <w:rsid w:val="002A5399"/>
    <w:rsid w:val="002A5F4A"/>
    <w:rsid w:val="002A740E"/>
    <w:rsid w:val="002A782B"/>
    <w:rsid w:val="002B0047"/>
    <w:rsid w:val="002B0089"/>
    <w:rsid w:val="002B1332"/>
    <w:rsid w:val="002B31AD"/>
    <w:rsid w:val="002B3767"/>
    <w:rsid w:val="002B4B0D"/>
    <w:rsid w:val="002C011D"/>
    <w:rsid w:val="002C0A9D"/>
    <w:rsid w:val="002C1393"/>
    <w:rsid w:val="002C229A"/>
    <w:rsid w:val="002C3151"/>
    <w:rsid w:val="002C3E20"/>
    <w:rsid w:val="002C4236"/>
    <w:rsid w:val="002C4311"/>
    <w:rsid w:val="002C61A7"/>
    <w:rsid w:val="002C73A9"/>
    <w:rsid w:val="002D01EE"/>
    <w:rsid w:val="002D08E2"/>
    <w:rsid w:val="002D0BD9"/>
    <w:rsid w:val="002D10DC"/>
    <w:rsid w:val="002D33E8"/>
    <w:rsid w:val="002D4003"/>
    <w:rsid w:val="002D5216"/>
    <w:rsid w:val="002D5C5B"/>
    <w:rsid w:val="002D650D"/>
    <w:rsid w:val="002E00A3"/>
    <w:rsid w:val="002E0503"/>
    <w:rsid w:val="002E0CB0"/>
    <w:rsid w:val="002E1770"/>
    <w:rsid w:val="002E3715"/>
    <w:rsid w:val="002E4908"/>
    <w:rsid w:val="002E546B"/>
    <w:rsid w:val="002E59E3"/>
    <w:rsid w:val="002E6F2D"/>
    <w:rsid w:val="002E7381"/>
    <w:rsid w:val="002F0238"/>
    <w:rsid w:val="002F3B92"/>
    <w:rsid w:val="002F429C"/>
    <w:rsid w:val="002F4D5E"/>
    <w:rsid w:val="002F50FB"/>
    <w:rsid w:val="002F58E9"/>
    <w:rsid w:val="002F6563"/>
    <w:rsid w:val="002F6726"/>
    <w:rsid w:val="002F6E67"/>
    <w:rsid w:val="00300C9D"/>
    <w:rsid w:val="00301857"/>
    <w:rsid w:val="00303915"/>
    <w:rsid w:val="00304ABF"/>
    <w:rsid w:val="0030527A"/>
    <w:rsid w:val="0030541E"/>
    <w:rsid w:val="003054A6"/>
    <w:rsid w:val="00305684"/>
    <w:rsid w:val="003058F5"/>
    <w:rsid w:val="00306411"/>
    <w:rsid w:val="00307350"/>
    <w:rsid w:val="003077A3"/>
    <w:rsid w:val="003100C8"/>
    <w:rsid w:val="00310CE1"/>
    <w:rsid w:val="0031247C"/>
    <w:rsid w:val="0031278E"/>
    <w:rsid w:val="0031381F"/>
    <w:rsid w:val="00315C97"/>
    <w:rsid w:val="00316B27"/>
    <w:rsid w:val="00316BFA"/>
    <w:rsid w:val="003203B5"/>
    <w:rsid w:val="00322A65"/>
    <w:rsid w:val="0032388C"/>
    <w:rsid w:val="00324417"/>
    <w:rsid w:val="00324791"/>
    <w:rsid w:val="00324B2C"/>
    <w:rsid w:val="00324E5B"/>
    <w:rsid w:val="00325440"/>
    <w:rsid w:val="0032579A"/>
    <w:rsid w:val="0032615A"/>
    <w:rsid w:val="00326A17"/>
    <w:rsid w:val="00326C17"/>
    <w:rsid w:val="00330392"/>
    <w:rsid w:val="00332B32"/>
    <w:rsid w:val="00337C48"/>
    <w:rsid w:val="00337DFD"/>
    <w:rsid w:val="003408A6"/>
    <w:rsid w:val="00341A21"/>
    <w:rsid w:val="00342B59"/>
    <w:rsid w:val="00343EE8"/>
    <w:rsid w:val="003440BD"/>
    <w:rsid w:val="00344581"/>
    <w:rsid w:val="00344E04"/>
    <w:rsid w:val="0034537F"/>
    <w:rsid w:val="00345650"/>
    <w:rsid w:val="00345910"/>
    <w:rsid w:val="003459E2"/>
    <w:rsid w:val="00346717"/>
    <w:rsid w:val="00346964"/>
    <w:rsid w:val="00350442"/>
    <w:rsid w:val="00350B3E"/>
    <w:rsid w:val="00352BC7"/>
    <w:rsid w:val="00353BBC"/>
    <w:rsid w:val="00353F42"/>
    <w:rsid w:val="0035474E"/>
    <w:rsid w:val="00354EEE"/>
    <w:rsid w:val="003558F2"/>
    <w:rsid w:val="003573EB"/>
    <w:rsid w:val="00357B6E"/>
    <w:rsid w:val="00361C64"/>
    <w:rsid w:val="00362240"/>
    <w:rsid w:val="00362AC9"/>
    <w:rsid w:val="00366660"/>
    <w:rsid w:val="00366816"/>
    <w:rsid w:val="003669C8"/>
    <w:rsid w:val="00366C32"/>
    <w:rsid w:val="00367224"/>
    <w:rsid w:val="00370193"/>
    <w:rsid w:val="0037038A"/>
    <w:rsid w:val="003704B1"/>
    <w:rsid w:val="003708CD"/>
    <w:rsid w:val="00372113"/>
    <w:rsid w:val="00372BA4"/>
    <w:rsid w:val="00372E6D"/>
    <w:rsid w:val="003742CF"/>
    <w:rsid w:val="0037549D"/>
    <w:rsid w:val="0037692B"/>
    <w:rsid w:val="003802BC"/>
    <w:rsid w:val="003807E7"/>
    <w:rsid w:val="00381C7A"/>
    <w:rsid w:val="0038279A"/>
    <w:rsid w:val="00383585"/>
    <w:rsid w:val="00384528"/>
    <w:rsid w:val="003870F0"/>
    <w:rsid w:val="0039007A"/>
    <w:rsid w:val="00390FB3"/>
    <w:rsid w:val="00391B6F"/>
    <w:rsid w:val="00392B85"/>
    <w:rsid w:val="00393001"/>
    <w:rsid w:val="003943C4"/>
    <w:rsid w:val="00394901"/>
    <w:rsid w:val="00395BB0"/>
    <w:rsid w:val="003965A9"/>
    <w:rsid w:val="003967A2"/>
    <w:rsid w:val="00397F28"/>
    <w:rsid w:val="003A07CB"/>
    <w:rsid w:val="003A2FF8"/>
    <w:rsid w:val="003A3074"/>
    <w:rsid w:val="003A37DD"/>
    <w:rsid w:val="003A50AE"/>
    <w:rsid w:val="003A5385"/>
    <w:rsid w:val="003A54C7"/>
    <w:rsid w:val="003A6C95"/>
    <w:rsid w:val="003A76DB"/>
    <w:rsid w:val="003B349B"/>
    <w:rsid w:val="003B3893"/>
    <w:rsid w:val="003B3CEA"/>
    <w:rsid w:val="003B3E5F"/>
    <w:rsid w:val="003B561F"/>
    <w:rsid w:val="003B68C7"/>
    <w:rsid w:val="003B6D2E"/>
    <w:rsid w:val="003B72E5"/>
    <w:rsid w:val="003B7738"/>
    <w:rsid w:val="003B7B99"/>
    <w:rsid w:val="003B7FF2"/>
    <w:rsid w:val="003C042A"/>
    <w:rsid w:val="003C0F72"/>
    <w:rsid w:val="003C14DA"/>
    <w:rsid w:val="003C2DB2"/>
    <w:rsid w:val="003C31AF"/>
    <w:rsid w:val="003C384E"/>
    <w:rsid w:val="003C4355"/>
    <w:rsid w:val="003C446B"/>
    <w:rsid w:val="003C51A2"/>
    <w:rsid w:val="003C729B"/>
    <w:rsid w:val="003C7FAE"/>
    <w:rsid w:val="003D09C0"/>
    <w:rsid w:val="003D2264"/>
    <w:rsid w:val="003D4446"/>
    <w:rsid w:val="003D4638"/>
    <w:rsid w:val="003D4D1D"/>
    <w:rsid w:val="003D6E02"/>
    <w:rsid w:val="003D70DF"/>
    <w:rsid w:val="003D71AE"/>
    <w:rsid w:val="003D7753"/>
    <w:rsid w:val="003D7B97"/>
    <w:rsid w:val="003E07E5"/>
    <w:rsid w:val="003E0A5C"/>
    <w:rsid w:val="003E0C89"/>
    <w:rsid w:val="003E22D4"/>
    <w:rsid w:val="003E2B94"/>
    <w:rsid w:val="003E3836"/>
    <w:rsid w:val="003E48AA"/>
    <w:rsid w:val="003E4B1D"/>
    <w:rsid w:val="003E4CD9"/>
    <w:rsid w:val="003E73BC"/>
    <w:rsid w:val="003F07AF"/>
    <w:rsid w:val="003F0ABA"/>
    <w:rsid w:val="003F0E5A"/>
    <w:rsid w:val="003F1C7C"/>
    <w:rsid w:val="003F27D1"/>
    <w:rsid w:val="003F287E"/>
    <w:rsid w:val="003F3939"/>
    <w:rsid w:val="003F49BF"/>
    <w:rsid w:val="003F7233"/>
    <w:rsid w:val="003F73C2"/>
    <w:rsid w:val="00401CAF"/>
    <w:rsid w:val="00401EB5"/>
    <w:rsid w:val="004023F4"/>
    <w:rsid w:val="00402479"/>
    <w:rsid w:val="0040438F"/>
    <w:rsid w:val="00404496"/>
    <w:rsid w:val="004051BE"/>
    <w:rsid w:val="00406D11"/>
    <w:rsid w:val="00410827"/>
    <w:rsid w:val="00411760"/>
    <w:rsid w:val="00411FED"/>
    <w:rsid w:val="004140BA"/>
    <w:rsid w:val="004144EB"/>
    <w:rsid w:val="004144EE"/>
    <w:rsid w:val="004146BE"/>
    <w:rsid w:val="00414855"/>
    <w:rsid w:val="00415460"/>
    <w:rsid w:val="00415478"/>
    <w:rsid w:val="00415483"/>
    <w:rsid w:val="004154A3"/>
    <w:rsid w:val="00415524"/>
    <w:rsid w:val="00415A5E"/>
    <w:rsid w:val="00415C58"/>
    <w:rsid w:val="00416F67"/>
    <w:rsid w:val="00417CCE"/>
    <w:rsid w:val="00421677"/>
    <w:rsid w:val="00421E3B"/>
    <w:rsid w:val="0042209A"/>
    <w:rsid w:val="004223FD"/>
    <w:rsid w:val="004230DA"/>
    <w:rsid w:val="004235F4"/>
    <w:rsid w:val="0042448B"/>
    <w:rsid w:val="004246D3"/>
    <w:rsid w:val="00424DBA"/>
    <w:rsid w:val="004261F1"/>
    <w:rsid w:val="00427697"/>
    <w:rsid w:val="00430570"/>
    <w:rsid w:val="004315AC"/>
    <w:rsid w:val="00431621"/>
    <w:rsid w:val="00431969"/>
    <w:rsid w:val="00431F78"/>
    <w:rsid w:val="00433F60"/>
    <w:rsid w:val="00435582"/>
    <w:rsid w:val="00436201"/>
    <w:rsid w:val="0044114D"/>
    <w:rsid w:val="00441920"/>
    <w:rsid w:val="004419DA"/>
    <w:rsid w:val="00441B3C"/>
    <w:rsid w:val="00441BFA"/>
    <w:rsid w:val="00442945"/>
    <w:rsid w:val="00442E12"/>
    <w:rsid w:val="00443198"/>
    <w:rsid w:val="00444447"/>
    <w:rsid w:val="00444F22"/>
    <w:rsid w:val="0044579D"/>
    <w:rsid w:val="00446BCB"/>
    <w:rsid w:val="0044741A"/>
    <w:rsid w:val="00447592"/>
    <w:rsid w:val="0045175A"/>
    <w:rsid w:val="00454286"/>
    <w:rsid w:val="0045431E"/>
    <w:rsid w:val="00455C99"/>
    <w:rsid w:val="004572B4"/>
    <w:rsid w:val="00457386"/>
    <w:rsid w:val="004605A3"/>
    <w:rsid w:val="004610A5"/>
    <w:rsid w:val="004610AA"/>
    <w:rsid w:val="0046178C"/>
    <w:rsid w:val="00461E0C"/>
    <w:rsid w:val="004622AF"/>
    <w:rsid w:val="0046364A"/>
    <w:rsid w:val="00464C46"/>
    <w:rsid w:val="004715B6"/>
    <w:rsid w:val="0047297D"/>
    <w:rsid w:val="0047307A"/>
    <w:rsid w:val="00473CA5"/>
    <w:rsid w:val="00474F36"/>
    <w:rsid w:val="00474FC8"/>
    <w:rsid w:val="00475D45"/>
    <w:rsid w:val="004760F2"/>
    <w:rsid w:val="004761B9"/>
    <w:rsid w:val="004775A6"/>
    <w:rsid w:val="004812AC"/>
    <w:rsid w:val="004822FC"/>
    <w:rsid w:val="004854BF"/>
    <w:rsid w:val="0048674B"/>
    <w:rsid w:val="00486C6D"/>
    <w:rsid w:val="0048747D"/>
    <w:rsid w:val="00490BCE"/>
    <w:rsid w:val="004913AB"/>
    <w:rsid w:val="00492432"/>
    <w:rsid w:val="00492787"/>
    <w:rsid w:val="004928EE"/>
    <w:rsid w:val="004938FA"/>
    <w:rsid w:val="00493D5E"/>
    <w:rsid w:val="004949D0"/>
    <w:rsid w:val="0049771B"/>
    <w:rsid w:val="0049798B"/>
    <w:rsid w:val="00497BCA"/>
    <w:rsid w:val="004A2017"/>
    <w:rsid w:val="004A2A28"/>
    <w:rsid w:val="004A41B7"/>
    <w:rsid w:val="004A5287"/>
    <w:rsid w:val="004A572B"/>
    <w:rsid w:val="004A5E42"/>
    <w:rsid w:val="004A6496"/>
    <w:rsid w:val="004A719B"/>
    <w:rsid w:val="004A7831"/>
    <w:rsid w:val="004B1011"/>
    <w:rsid w:val="004B14C4"/>
    <w:rsid w:val="004B1784"/>
    <w:rsid w:val="004B30C3"/>
    <w:rsid w:val="004B7EF6"/>
    <w:rsid w:val="004C40E8"/>
    <w:rsid w:val="004C456A"/>
    <w:rsid w:val="004C494D"/>
    <w:rsid w:val="004C4F45"/>
    <w:rsid w:val="004C52E0"/>
    <w:rsid w:val="004C54A0"/>
    <w:rsid w:val="004C5B03"/>
    <w:rsid w:val="004C749A"/>
    <w:rsid w:val="004C7AC4"/>
    <w:rsid w:val="004D08F5"/>
    <w:rsid w:val="004D0DD2"/>
    <w:rsid w:val="004D362A"/>
    <w:rsid w:val="004D47B1"/>
    <w:rsid w:val="004D4923"/>
    <w:rsid w:val="004D5A16"/>
    <w:rsid w:val="004D5A6F"/>
    <w:rsid w:val="004D5B29"/>
    <w:rsid w:val="004D5E02"/>
    <w:rsid w:val="004D5F70"/>
    <w:rsid w:val="004D75D8"/>
    <w:rsid w:val="004D7A29"/>
    <w:rsid w:val="004E05E7"/>
    <w:rsid w:val="004E1757"/>
    <w:rsid w:val="004E2F35"/>
    <w:rsid w:val="004E3204"/>
    <w:rsid w:val="004E3FFF"/>
    <w:rsid w:val="004E4222"/>
    <w:rsid w:val="004E58C3"/>
    <w:rsid w:val="004E75A8"/>
    <w:rsid w:val="004E79BD"/>
    <w:rsid w:val="004F09EA"/>
    <w:rsid w:val="004F112E"/>
    <w:rsid w:val="004F2383"/>
    <w:rsid w:val="004F23E9"/>
    <w:rsid w:val="004F2FF1"/>
    <w:rsid w:val="004F5854"/>
    <w:rsid w:val="004F5BCA"/>
    <w:rsid w:val="004F7221"/>
    <w:rsid w:val="004F72E9"/>
    <w:rsid w:val="00500EDA"/>
    <w:rsid w:val="00501F73"/>
    <w:rsid w:val="00502D50"/>
    <w:rsid w:val="00503295"/>
    <w:rsid w:val="00503571"/>
    <w:rsid w:val="00503A81"/>
    <w:rsid w:val="00503B2F"/>
    <w:rsid w:val="00503E65"/>
    <w:rsid w:val="00504CED"/>
    <w:rsid w:val="00504D5D"/>
    <w:rsid w:val="00505BA0"/>
    <w:rsid w:val="00505E50"/>
    <w:rsid w:val="00506F07"/>
    <w:rsid w:val="00507490"/>
    <w:rsid w:val="005113DC"/>
    <w:rsid w:val="00512879"/>
    <w:rsid w:val="00512C92"/>
    <w:rsid w:val="00512E9F"/>
    <w:rsid w:val="005132B7"/>
    <w:rsid w:val="00513BC3"/>
    <w:rsid w:val="00514497"/>
    <w:rsid w:val="00514988"/>
    <w:rsid w:val="00514C76"/>
    <w:rsid w:val="00515110"/>
    <w:rsid w:val="005154BC"/>
    <w:rsid w:val="00517839"/>
    <w:rsid w:val="00521112"/>
    <w:rsid w:val="00523193"/>
    <w:rsid w:val="00523347"/>
    <w:rsid w:val="0052377B"/>
    <w:rsid w:val="00524898"/>
    <w:rsid w:val="005255F3"/>
    <w:rsid w:val="00525715"/>
    <w:rsid w:val="00525DBB"/>
    <w:rsid w:val="005262C2"/>
    <w:rsid w:val="00527A20"/>
    <w:rsid w:val="00530F5B"/>
    <w:rsid w:val="005310AE"/>
    <w:rsid w:val="005318B9"/>
    <w:rsid w:val="00531E07"/>
    <w:rsid w:val="005321F4"/>
    <w:rsid w:val="0053271E"/>
    <w:rsid w:val="005332F5"/>
    <w:rsid w:val="00534585"/>
    <w:rsid w:val="00534A1D"/>
    <w:rsid w:val="00535011"/>
    <w:rsid w:val="00535439"/>
    <w:rsid w:val="005403EF"/>
    <w:rsid w:val="00540F72"/>
    <w:rsid w:val="00543297"/>
    <w:rsid w:val="00543DB7"/>
    <w:rsid w:val="00544BCF"/>
    <w:rsid w:val="00545FB5"/>
    <w:rsid w:val="005460F4"/>
    <w:rsid w:val="005469D0"/>
    <w:rsid w:val="00551BEE"/>
    <w:rsid w:val="00555069"/>
    <w:rsid w:val="00555AFF"/>
    <w:rsid w:val="00555CA0"/>
    <w:rsid w:val="005579D3"/>
    <w:rsid w:val="00560ABF"/>
    <w:rsid w:val="00560E96"/>
    <w:rsid w:val="005611AB"/>
    <w:rsid w:val="00565214"/>
    <w:rsid w:val="0056564F"/>
    <w:rsid w:val="00566A05"/>
    <w:rsid w:val="00567178"/>
    <w:rsid w:val="005673FC"/>
    <w:rsid w:val="00571A10"/>
    <w:rsid w:val="00572F46"/>
    <w:rsid w:val="005775D1"/>
    <w:rsid w:val="00584B20"/>
    <w:rsid w:val="005850E9"/>
    <w:rsid w:val="00586456"/>
    <w:rsid w:val="00587FBD"/>
    <w:rsid w:val="00590A8E"/>
    <w:rsid w:val="005921ED"/>
    <w:rsid w:val="00592CAB"/>
    <w:rsid w:val="00593628"/>
    <w:rsid w:val="0059500A"/>
    <w:rsid w:val="0059745E"/>
    <w:rsid w:val="005A08BE"/>
    <w:rsid w:val="005A0C50"/>
    <w:rsid w:val="005A1764"/>
    <w:rsid w:val="005A1D99"/>
    <w:rsid w:val="005A32B5"/>
    <w:rsid w:val="005A4155"/>
    <w:rsid w:val="005A4358"/>
    <w:rsid w:val="005A5F10"/>
    <w:rsid w:val="005A6378"/>
    <w:rsid w:val="005A69E2"/>
    <w:rsid w:val="005A6C7B"/>
    <w:rsid w:val="005A7541"/>
    <w:rsid w:val="005A7D77"/>
    <w:rsid w:val="005B01F2"/>
    <w:rsid w:val="005B135E"/>
    <w:rsid w:val="005B1461"/>
    <w:rsid w:val="005B174D"/>
    <w:rsid w:val="005B4F29"/>
    <w:rsid w:val="005B5378"/>
    <w:rsid w:val="005B5F54"/>
    <w:rsid w:val="005C3A91"/>
    <w:rsid w:val="005C3D9A"/>
    <w:rsid w:val="005C4A4C"/>
    <w:rsid w:val="005C4B64"/>
    <w:rsid w:val="005C507C"/>
    <w:rsid w:val="005C6B17"/>
    <w:rsid w:val="005D0128"/>
    <w:rsid w:val="005D090E"/>
    <w:rsid w:val="005D0E07"/>
    <w:rsid w:val="005D234C"/>
    <w:rsid w:val="005D330D"/>
    <w:rsid w:val="005D40C7"/>
    <w:rsid w:val="005D4382"/>
    <w:rsid w:val="005D4BF0"/>
    <w:rsid w:val="005D4D4F"/>
    <w:rsid w:val="005D5B48"/>
    <w:rsid w:val="005D60FF"/>
    <w:rsid w:val="005D6922"/>
    <w:rsid w:val="005D6A8B"/>
    <w:rsid w:val="005D6DA6"/>
    <w:rsid w:val="005D75C3"/>
    <w:rsid w:val="005E0C51"/>
    <w:rsid w:val="005E390F"/>
    <w:rsid w:val="005E39DC"/>
    <w:rsid w:val="005E56CB"/>
    <w:rsid w:val="005E6754"/>
    <w:rsid w:val="005F05CF"/>
    <w:rsid w:val="005F10BC"/>
    <w:rsid w:val="005F178B"/>
    <w:rsid w:val="005F2B62"/>
    <w:rsid w:val="005F2E90"/>
    <w:rsid w:val="005F3184"/>
    <w:rsid w:val="005F35E2"/>
    <w:rsid w:val="005F4702"/>
    <w:rsid w:val="005F4A9E"/>
    <w:rsid w:val="005F4C5B"/>
    <w:rsid w:val="005F5031"/>
    <w:rsid w:val="005F5398"/>
    <w:rsid w:val="005F6D05"/>
    <w:rsid w:val="005F7940"/>
    <w:rsid w:val="006000EA"/>
    <w:rsid w:val="00600271"/>
    <w:rsid w:val="006015C3"/>
    <w:rsid w:val="0060192A"/>
    <w:rsid w:val="00603D1C"/>
    <w:rsid w:val="00604B46"/>
    <w:rsid w:val="006070AE"/>
    <w:rsid w:val="00607554"/>
    <w:rsid w:val="00607CD1"/>
    <w:rsid w:val="00613C23"/>
    <w:rsid w:val="00613EA0"/>
    <w:rsid w:val="006140FA"/>
    <w:rsid w:val="0061492A"/>
    <w:rsid w:val="0061524E"/>
    <w:rsid w:val="00615478"/>
    <w:rsid w:val="00615576"/>
    <w:rsid w:val="0061563D"/>
    <w:rsid w:val="006158BA"/>
    <w:rsid w:val="00617175"/>
    <w:rsid w:val="006172CD"/>
    <w:rsid w:val="00617E3A"/>
    <w:rsid w:val="006207F3"/>
    <w:rsid w:val="00620855"/>
    <w:rsid w:val="006216D9"/>
    <w:rsid w:val="00621F3C"/>
    <w:rsid w:val="00623C44"/>
    <w:rsid w:val="00624BBB"/>
    <w:rsid w:val="006258E9"/>
    <w:rsid w:val="00625C7F"/>
    <w:rsid w:val="006301EB"/>
    <w:rsid w:val="0063129B"/>
    <w:rsid w:val="00631505"/>
    <w:rsid w:val="00631DA5"/>
    <w:rsid w:val="0063259E"/>
    <w:rsid w:val="006327F5"/>
    <w:rsid w:val="0063491D"/>
    <w:rsid w:val="00640D08"/>
    <w:rsid w:val="00642706"/>
    <w:rsid w:val="00642A13"/>
    <w:rsid w:val="00642A8F"/>
    <w:rsid w:val="006437DA"/>
    <w:rsid w:val="00643ECB"/>
    <w:rsid w:val="0064401B"/>
    <w:rsid w:val="0064422C"/>
    <w:rsid w:val="00644313"/>
    <w:rsid w:val="00644E32"/>
    <w:rsid w:val="00645170"/>
    <w:rsid w:val="0065133F"/>
    <w:rsid w:val="0065242B"/>
    <w:rsid w:val="00652638"/>
    <w:rsid w:val="006536D9"/>
    <w:rsid w:val="00654340"/>
    <w:rsid w:val="0065458B"/>
    <w:rsid w:val="00654A2F"/>
    <w:rsid w:val="00654DC2"/>
    <w:rsid w:val="00655AC4"/>
    <w:rsid w:val="00655CC0"/>
    <w:rsid w:val="0065707C"/>
    <w:rsid w:val="006574BB"/>
    <w:rsid w:val="00657FCD"/>
    <w:rsid w:val="00660C81"/>
    <w:rsid w:val="00661965"/>
    <w:rsid w:val="00662E16"/>
    <w:rsid w:val="00662E83"/>
    <w:rsid w:val="00663DDD"/>
    <w:rsid w:val="006644CC"/>
    <w:rsid w:val="00664F45"/>
    <w:rsid w:val="006651BE"/>
    <w:rsid w:val="00666BF3"/>
    <w:rsid w:val="006706A5"/>
    <w:rsid w:val="006709E7"/>
    <w:rsid w:val="0067116A"/>
    <w:rsid w:val="00671A52"/>
    <w:rsid w:val="00671D61"/>
    <w:rsid w:val="00672851"/>
    <w:rsid w:val="00672B53"/>
    <w:rsid w:val="006737A1"/>
    <w:rsid w:val="00673F81"/>
    <w:rsid w:val="006747AD"/>
    <w:rsid w:val="0067589C"/>
    <w:rsid w:val="00677B6A"/>
    <w:rsid w:val="00680324"/>
    <w:rsid w:val="006811E0"/>
    <w:rsid w:val="006836BF"/>
    <w:rsid w:val="00685438"/>
    <w:rsid w:val="00685C47"/>
    <w:rsid w:val="00686195"/>
    <w:rsid w:val="0068734F"/>
    <w:rsid w:val="006873CB"/>
    <w:rsid w:val="006878D9"/>
    <w:rsid w:val="00690B33"/>
    <w:rsid w:val="00690F25"/>
    <w:rsid w:val="00693910"/>
    <w:rsid w:val="00694B21"/>
    <w:rsid w:val="00694D4A"/>
    <w:rsid w:val="00695654"/>
    <w:rsid w:val="00696608"/>
    <w:rsid w:val="00697E1F"/>
    <w:rsid w:val="006A0461"/>
    <w:rsid w:val="006A0550"/>
    <w:rsid w:val="006A0B82"/>
    <w:rsid w:val="006A29BE"/>
    <w:rsid w:val="006A2C4F"/>
    <w:rsid w:val="006A35EC"/>
    <w:rsid w:val="006A4113"/>
    <w:rsid w:val="006A4BAE"/>
    <w:rsid w:val="006A5CFC"/>
    <w:rsid w:val="006A5DB1"/>
    <w:rsid w:val="006A780B"/>
    <w:rsid w:val="006A7945"/>
    <w:rsid w:val="006A7DB6"/>
    <w:rsid w:val="006B1632"/>
    <w:rsid w:val="006B1689"/>
    <w:rsid w:val="006B247F"/>
    <w:rsid w:val="006B460D"/>
    <w:rsid w:val="006B60F1"/>
    <w:rsid w:val="006B76F8"/>
    <w:rsid w:val="006C0D4C"/>
    <w:rsid w:val="006C19BA"/>
    <w:rsid w:val="006C498E"/>
    <w:rsid w:val="006C56A5"/>
    <w:rsid w:val="006C58A2"/>
    <w:rsid w:val="006C5BFF"/>
    <w:rsid w:val="006C5D46"/>
    <w:rsid w:val="006C5DAF"/>
    <w:rsid w:val="006C7E2C"/>
    <w:rsid w:val="006D0207"/>
    <w:rsid w:val="006D04EE"/>
    <w:rsid w:val="006D1398"/>
    <w:rsid w:val="006D237A"/>
    <w:rsid w:val="006D3169"/>
    <w:rsid w:val="006D3E9D"/>
    <w:rsid w:val="006D590F"/>
    <w:rsid w:val="006D6E56"/>
    <w:rsid w:val="006E0ACD"/>
    <w:rsid w:val="006E19CA"/>
    <w:rsid w:val="006E1C9D"/>
    <w:rsid w:val="006E270D"/>
    <w:rsid w:val="006E3492"/>
    <w:rsid w:val="006E3777"/>
    <w:rsid w:val="006E50F1"/>
    <w:rsid w:val="006E63A9"/>
    <w:rsid w:val="006F0018"/>
    <w:rsid w:val="006F063A"/>
    <w:rsid w:val="006F32C7"/>
    <w:rsid w:val="006F381F"/>
    <w:rsid w:val="006F3C92"/>
    <w:rsid w:val="006F4482"/>
    <w:rsid w:val="006F59DE"/>
    <w:rsid w:val="00700664"/>
    <w:rsid w:val="00701FAC"/>
    <w:rsid w:val="00702EF7"/>
    <w:rsid w:val="00704460"/>
    <w:rsid w:val="00704A66"/>
    <w:rsid w:val="007052E1"/>
    <w:rsid w:val="007061D6"/>
    <w:rsid w:val="0070698C"/>
    <w:rsid w:val="00706A32"/>
    <w:rsid w:val="007078B7"/>
    <w:rsid w:val="007078DA"/>
    <w:rsid w:val="00710EAE"/>
    <w:rsid w:val="007132B5"/>
    <w:rsid w:val="00714DAA"/>
    <w:rsid w:val="00715A0C"/>
    <w:rsid w:val="00715A44"/>
    <w:rsid w:val="00715D19"/>
    <w:rsid w:val="00716C77"/>
    <w:rsid w:val="00716DBB"/>
    <w:rsid w:val="00717887"/>
    <w:rsid w:val="00717AA6"/>
    <w:rsid w:val="00720090"/>
    <w:rsid w:val="007210B2"/>
    <w:rsid w:val="0072171D"/>
    <w:rsid w:val="007225AC"/>
    <w:rsid w:val="0072487D"/>
    <w:rsid w:val="007258B9"/>
    <w:rsid w:val="00732100"/>
    <w:rsid w:val="007325F6"/>
    <w:rsid w:val="00732C4E"/>
    <w:rsid w:val="00733D05"/>
    <w:rsid w:val="00733E24"/>
    <w:rsid w:val="00735B80"/>
    <w:rsid w:val="00736CA8"/>
    <w:rsid w:val="00737C3A"/>
    <w:rsid w:val="00737F05"/>
    <w:rsid w:val="00740D7F"/>
    <w:rsid w:val="007431F5"/>
    <w:rsid w:val="00743E16"/>
    <w:rsid w:val="00745223"/>
    <w:rsid w:val="007455B2"/>
    <w:rsid w:val="00745908"/>
    <w:rsid w:val="0074691D"/>
    <w:rsid w:val="007477F4"/>
    <w:rsid w:val="00752178"/>
    <w:rsid w:val="0075282E"/>
    <w:rsid w:val="00752F02"/>
    <w:rsid w:val="00753516"/>
    <w:rsid w:val="0075453B"/>
    <w:rsid w:val="00754881"/>
    <w:rsid w:val="00754AB5"/>
    <w:rsid w:val="00754BDD"/>
    <w:rsid w:val="0075617D"/>
    <w:rsid w:val="007564AB"/>
    <w:rsid w:val="00756930"/>
    <w:rsid w:val="00756DFA"/>
    <w:rsid w:val="007570AE"/>
    <w:rsid w:val="00757C4B"/>
    <w:rsid w:val="00761B0B"/>
    <w:rsid w:val="007631E0"/>
    <w:rsid w:val="00763222"/>
    <w:rsid w:val="00765781"/>
    <w:rsid w:val="00766353"/>
    <w:rsid w:val="00766E3E"/>
    <w:rsid w:val="00774460"/>
    <w:rsid w:val="00774E2A"/>
    <w:rsid w:val="0077500C"/>
    <w:rsid w:val="00780296"/>
    <w:rsid w:val="00780707"/>
    <w:rsid w:val="00780972"/>
    <w:rsid w:val="00784C0B"/>
    <w:rsid w:val="00785FEE"/>
    <w:rsid w:val="00787B2C"/>
    <w:rsid w:val="00787D24"/>
    <w:rsid w:val="00795030"/>
    <w:rsid w:val="007958D9"/>
    <w:rsid w:val="00796651"/>
    <w:rsid w:val="007A1DC5"/>
    <w:rsid w:val="007A20AD"/>
    <w:rsid w:val="007A5483"/>
    <w:rsid w:val="007A54E1"/>
    <w:rsid w:val="007A5B12"/>
    <w:rsid w:val="007A5D05"/>
    <w:rsid w:val="007A7331"/>
    <w:rsid w:val="007A7415"/>
    <w:rsid w:val="007A76D9"/>
    <w:rsid w:val="007B04CE"/>
    <w:rsid w:val="007B0927"/>
    <w:rsid w:val="007B0CB0"/>
    <w:rsid w:val="007B119F"/>
    <w:rsid w:val="007B1F99"/>
    <w:rsid w:val="007B30E6"/>
    <w:rsid w:val="007B3A86"/>
    <w:rsid w:val="007B3DF4"/>
    <w:rsid w:val="007B54ED"/>
    <w:rsid w:val="007B596C"/>
    <w:rsid w:val="007C0B66"/>
    <w:rsid w:val="007C1403"/>
    <w:rsid w:val="007C31CC"/>
    <w:rsid w:val="007C3E46"/>
    <w:rsid w:val="007C528C"/>
    <w:rsid w:val="007C6051"/>
    <w:rsid w:val="007C6751"/>
    <w:rsid w:val="007D06B3"/>
    <w:rsid w:val="007D0E00"/>
    <w:rsid w:val="007D0FC5"/>
    <w:rsid w:val="007D1913"/>
    <w:rsid w:val="007D298C"/>
    <w:rsid w:val="007D3420"/>
    <w:rsid w:val="007D5362"/>
    <w:rsid w:val="007D6110"/>
    <w:rsid w:val="007D6AFD"/>
    <w:rsid w:val="007D6C48"/>
    <w:rsid w:val="007D71F7"/>
    <w:rsid w:val="007E000F"/>
    <w:rsid w:val="007E01E3"/>
    <w:rsid w:val="007E156E"/>
    <w:rsid w:val="007E2E70"/>
    <w:rsid w:val="007E3501"/>
    <w:rsid w:val="007E4C3F"/>
    <w:rsid w:val="007E54A0"/>
    <w:rsid w:val="007F0CCA"/>
    <w:rsid w:val="007F1A80"/>
    <w:rsid w:val="007F2683"/>
    <w:rsid w:val="007F2956"/>
    <w:rsid w:val="007F2E32"/>
    <w:rsid w:val="007F3B25"/>
    <w:rsid w:val="007F67A7"/>
    <w:rsid w:val="007F6A11"/>
    <w:rsid w:val="008002AA"/>
    <w:rsid w:val="0080051F"/>
    <w:rsid w:val="00800AB6"/>
    <w:rsid w:val="00800E44"/>
    <w:rsid w:val="00801BD9"/>
    <w:rsid w:val="00801E78"/>
    <w:rsid w:val="0080230D"/>
    <w:rsid w:val="0080285B"/>
    <w:rsid w:val="008039BF"/>
    <w:rsid w:val="008043A1"/>
    <w:rsid w:val="00805371"/>
    <w:rsid w:val="00810827"/>
    <w:rsid w:val="00810FAF"/>
    <w:rsid w:val="0081267A"/>
    <w:rsid w:val="0081274E"/>
    <w:rsid w:val="008127D6"/>
    <w:rsid w:val="00814E45"/>
    <w:rsid w:val="00815694"/>
    <w:rsid w:val="00817DA7"/>
    <w:rsid w:val="00821B16"/>
    <w:rsid w:val="00824CEF"/>
    <w:rsid w:val="008254AB"/>
    <w:rsid w:val="00826480"/>
    <w:rsid w:val="008265C6"/>
    <w:rsid w:val="00830148"/>
    <w:rsid w:val="008316AD"/>
    <w:rsid w:val="008317E8"/>
    <w:rsid w:val="00831855"/>
    <w:rsid w:val="00832EA7"/>
    <w:rsid w:val="00834BC3"/>
    <w:rsid w:val="00835315"/>
    <w:rsid w:val="00835AEB"/>
    <w:rsid w:val="00840D0F"/>
    <w:rsid w:val="008414B4"/>
    <w:rsid w:val="0084200E"/>
    <w:rsid w:val="00842A84"/>
    <w:rsid w:val="00842FDE"/>
    <w:rsid w:val="00843BDF"/>
    <w:rsid w:val="008445D4"/>
    <w:rsid w:val="008446F1"/>
    <w:rsid w:val="0084533F"/>
    <w:rsid w:val="00846FF0"/>
    <w:rsid w:val="00854B56"/>
    <w:rsid w:val="0085728C"/>
    <w:rsid w:val="00857A42"/>
    <w:rsid w:val="008611A4"/>
    <w:rsid w:val="00861466"/>
    <w:rsid w:val="0086146D"/>
    <w:rsid w:val="00861FD7"/>
    <w:rsid w:val="0086363F"/>
    <w:rsid w:val="008639C9"/>
    <w:rsid w:val="00865DA2"/>
    <w:rsid w:val="008667AD"/>
    <w:rsid w:val="00866D13"/>
    <w:rsid w:val="00871B93"/>
    <w:rsid w:val="00873D62"/>
    <w:rsid w:val="00874DEF"/>
    <w:rsid w:val="00875599"/>
    <w:rsid w:val="008765FA"/>
    <w:rsid w:val="00876FA8"/>
    <w:rsid w:val="0088013C"/>
    <w:rsid w:val="00880E96"/>
    <w:rsid w:val="00881882"/>
    <w:rsid w:val="00882AC7"/>
    <w:rsid w:val="00882CC5"/>
    <w:rsid w:val="00882DCE"/>
    <w:rsid w:val="008835E3"/>
    <w:rsid w:val="00883958"/>
    <w:rsid w:val="00884452"/>
    <w:rsid w:val="008905D7"/>
    <w:rsid w:val="008934C7"/>
    <w:rsid w:val="008957C4"/>
    <w:rsid w:val="00895B87"/>
    <w:rsid w:val="00895EB5"/>
    <w:rsid w:val="008960B7"/>
    <w:rsid w:val="008962F2"/>
    <w:rsid w:val="00896511"/>
    <w:rsid w:val="0089692A"/>
    <w:rsid w:val="00896F35"/>
    <w:rsid w:val="008975E7"/>
    <w:rsid w:val="008A08D2"/>
    <w:rsid w:val="008A0DE1"/>
    <w:rsid w:val="008A2E7B"/>
    <w:rsid w:val="008A3EA4"/>
    <w:rsid w:val="008A5A2A"/>
    <w:rsid w:val="008A5EAF"/>
    <w:rsid w:val="008A7133"/>
    <w:rsid w:val="008B0F1F"/>
    <w:rsid w:val="008B1D85"/>
    <w:rsid w:val="008B3920"/>
    <w:rsid w:val="008B5B9D"/>
    <w:rsid w:val="008B68C6"/>
    <w:rsid w:val="008B6F16"/>
    <w:rsid w:val="008B6F4B"/>
    <w:rsid w:val="008C0189"/>
    <w:rsid w:val="008C12FB"/>
    <w:rsid w:val="008C1942"/>
    <w:rsid w:val="008C202E"/>
    <w:rsid w:val="008C465E"/>
    <w:rsid w:val="008C4CE4"/>
    <w:rsid w:val="008C5856"/>
    <w:rsid w:val="008C6787"/>
    <w:rsid w:val="008C719D"/>
    <w:rsid w:val="008C73D6"/>
    <w:rsid w:val="008D0C62"/>
    <w:rsid w:val="008D179E"/>
    <w:rsid w:val="008D2CD6"/>
    <w:rsid w:val="008D3A3C"/>
    <w:rsid w:val="008D4939"/>
    <w:rsid w:val="008D50C8"/>
    <w:rsid w:val="008D75A6"/>
    <w:rsid w:val="008D7FC7"/>
    <w:rsid w:val="008E04DD"/>
    <w:rsid w:val="008E097D"/>
    <w:rsid w:val="008E287C"/>
    <w:rsid w:val="008E3334"/>
    <w:rsid w:val="008E3783"/>
    <w:rsid w:val="008E3D60"/>
    <w:rsid w:val="008E45DB"/>
    <w:rsid w:val="008E5B70"/>
    <w:rsid w:val="008E6F2B"/>
    <w:rsid w:val="008E7390"/>
    <w:rsid w:val="008F05C2"/>
    <w:rsid w:val="008F05F4"/>
    <w:rsid w:val="008F0991"/>
    <w:rsid w:val="008F1F00"/>
    <w:rsid w:val="008F40FA"/>
    <w:rsid w:val="008F42BB"/>
    <w:rsid w:val="008F47D1"/>
    <w:rsid w:val="008F57E0"/>
    <w:rsid w:val="008F612D"/>
    <w:rsid w:val="00901AB5"/>
    <w:rsid w:val="00905434"/>
    <w:rsid w:val="00905C39"/>
    <w:rsid w:val="009060CF"/>
    <w:rsid w:val="009072F6"/>
    <w:rsid w:val="00907697"/>
    <w:rsid w:val="009113AE"/>
    <w:rsid w:val="009116CC"/>
    <w:rsid w:val="00912262"/>
    <w:rsid w:val="00912A52"/>
    <w:rsid w:val="00912BE1"/>
    <w:rsid w:val="00916DBF"/>
    <w:rsid w:val="00920041"/>
    <w:rsid w:val="00921E66"/>
    <w:rsid w:val="00921F3C"/>
    <w:rsid w:val="009220C9"/>
    <w:rsid w:val="009221CC"/>
    <w:rsid w:val="00923A05"/>
    <w:rsid w:val="00924E06"/>
    <w:rsid w:val="00924F4A"/>
    <w:rsid w:val="009259EF"/>
    <w:rsid w:val="00927069"/>
    <w:rsid w:val="00927320"/>
    <w:rsid w:val="00927725"/>
    <w:rsid w:val="00927DC4"/>
    <w:rsid w:val="009304FE"/>
    <w:rsid w:val="00930782"/>
    <w:rsid w:val="009310AE"/>
    <w:rsid w:val="009310F0"/>
    <w:rsid w:val="00931A51"/>
    <w:rsid w:val="0093422B"/>
    <w:rsid w:val="009342EE"/>
    <w:rsid w:val="0093570A"/>
    <w:rsid w:val="009363C8"/>
    <w:rsid w:val="00936A84"/>
    <w:rsid w:val="00936C3C"/>
    <w:rsid w:val="00936EC8"/>
    <w:rsid w:val="00940C78"/>
    <w:rsid w:val="00941138"/>
    <w:rsid w:val="00942DAE"/>
    <w:rsid w:val="00943F6E"/>
    <w:rsid w:val="0094412E"/>
    <w:rsid w:val="00945D59"/>
    <w:rsid w:val="00947F9D"/>
    <w:rsid w:val="00951D24"/>
    <w:rsid w:val="00952049"/>
    <w:rsid w:val="0095274D"/>
    <w:rsid w:val="00952898"/>
    <w:rsid w:val="00953BC2"/>
    <w:rsid w:val="00953D71"/>
    <w:rsid w:val="00954376"/>
    <w:rsid w:val="0095550E"/>
    <w:rsid w:val="00955EF6"/>
    <w:rsid w:val="009564F3"/>
    <w:rsid w:val="009565E3"/>
    <w:rsid w:val="00956972"/>
    <w:rsid w:val="00961E91"/>
    <w:rsid w:val="00963876"/>
    <w:rsid w:val="00964BC8"/>
    <w:rsid w:val="00966051"/>
    <w:rsid w:val="00967EB9"/>
    <w:rsid w:val="00973955"/>
    <w:rsid w:val="00974568"/>
    <w:rsid w:val="0097493A"/>
    <w:rsid w:val="00977973"/>
    <w:rsid w:val="00981DB5"/>
    <w:rsid w:val="00981F79"/>
    <w:rsid w:val="009834E9"/>
    <w:rsid w:val="00984326"/>
    <w:rsid w:val="009850EF"/>
    <w:rsid w:val="0098630C"/>
    <w:rsid w:val="009868FC"/>
    <w:rsid w:val="00991A16"/>
    <w:rsid w:val="00992491"/>
    <w:rsid w:val="00993BEE"/>
    <w:rsid w:val="009961EE"/>
    <w:rsid w:val="00996FC8"/>
    <w:rsid w:val="009A0389"/>
    <w:rsid w:val="009A0BF1"/>
    <w:rsid w:val="009A23A4"/>
    <w:rsid w:val="009A43AF"/>
    <w:rsid w:val="009B0086"/>
    <w:rsid w:val="009B0DF1"/>
    <w:rsid w:val="009B4416"/>
    <w:rsid w:val="009B4E8F"/>
    <w:rsid w:val="009B53F4"/>
    <w:rsid w:val="009B5E0E"/>
    <w:rsid w:val="009B61A9"/>
    <w:rsid w:val="009B75B8"/>
    <w:rsid w:val="009B7759"/>
    <w:rsid w:val="009B7FCB"/>
    <w:rsid w:val="009C07DF"/>
    <w:rsid w:val="009C0E2E"/>
    <w:rsid w:val="009C0E48"/>
    <w:rsid w:val="009C190C"/>
    <w:rsid w:val="009C2436"/>
    <w:rsid w:val="009C2B04"/>
    <w:rsid w:val="009C3882"/>
    <w:rsid w:val="009C77A0"/>
    <w:rsid w:val="009C79CB"/>
    <w:rsid w:val="009D0746"/>
    <w:rsid w:val="009D1349"/>
    <w:rsid w:val="009D1640"/>
    <w:rsid w:val="009D21D0"/>
    <w:rsid w:val="009D2FBA"/>
    <w:rsid w:val="009D351E"/>
    <w:rsid w:val="009D4455"/>
    <w:rsid w:val="009D6307"/>
    <w:rsid w:val="009D7787"/>
    <w:rsid w:val="009D7C7B"/>
    <w:rsid w:val="009E02C9"/>
    <w:rsid w:val="009E2A96"/>
    <w:rsid w:val="009E2D64"/>
    <w:rsid w:val="009E2F60"/>
    <w:rsid w:val="009E39DC"/>
    <w:rsid w:val="009E3B55"/>
    <w:rsid w:val="009E44D4"/>
    <w:rsid w:val="009E455F"/>
    <w:rsid w:val="009E5575"/>
    <w:rsid w:val="009E5645"/>
    <w:rsid w:val="009E56B4"/>
    <w:rsid w:val="009E67DD"/>
    <w:rsid w:val="009E6A66"/>
    <w:rsid w:val="009F081F"/>
    <w:rsid w:val="009F2AC3"/>
    <w:rsid w:val="009F43C3"/>
    <w:rsid w:val="009F4C44"/>
    <w:rsid w:val="009F648D"/>
    <w:rsid w:val="00A020B4"/>
    <w:rsid w:val="00A024DB"/>
    <w:rsid w:val="00A02F3C"/>
    <w:rsid w:val="00A043FE"/>
    <w:rsid w:val="00A04FFC"/>
    <w:rsid w:val="00A05916"/>
    <w:rsid w:val="00A05AA6"/>
    <w:rsid w:val="00A06192"/>
    <w:rsid w:val="00A07065"/>
    <w:rsid w:val="00A101B5"/>
    <w:rsid w:val="00A10864"/>
    <w:rsid w:val="00A10886"/>
    <w:rsid w:val="00A11861"/>
    <w:rsid w:val="00A1266A"/>
    <w:rsid w:val="00A1389B"/>
    <w:rsid w:val="00A15691"/>
    <w:rsid w:val="00A1622A"/>
    <w:rsid w:val="00A16A4E"/>
    <w:rsid w:val="00A16EEB"/>
    <w:rsid w:val="00A20575"/>
    <w:rsid w:val="00A20781"/>
    <w:rsid w:val="00A2114F"/>
    <w:rsid w:val="00A21A53"/>
    <w:rsid w:val="00A2216E"/>
    <w:rsid w:val="00A22F5A"/>
    <w:rsid w:val="00A2370B"/>
    <w:rsid w:val="00A23F13"/>
    <w:rsid w:val="00A245DE"/>
    <w:rsid w:val="00A2644D"/>
    <w:rsid w:val="00A26956"/>
    <w:rsid w:val="00A27ACC"/>
    <w:rsid w:val="00A27C20"/>
    <w:rsid w:val="00A30EA6"/>
    <w:rsid w:val="00A31523"/>
    <w:rsid w:val="00A31536"/>
    <w:rsid w:val="00A31FAC"/>
    <w:rsid w:val="00A3269B"/>
    <w:rsid w:val="00A346FE"/>
    <w:rsid w:val="00A3596C"/>
    <w:rsid w:val="00A36B1D"/>
    <w:rsid w:val="00A36E14"/>
    <w:rsid w:val="00A40446"/>
    <w:rsid w:val="00A437BB"/>
    <w:rsid w:val="00A44011"/>
    <w:rsid w:val="00A44499"/>
    <w:rsid w:val="00A449FF"/>
    <w:rsid w:val="00A4716C"/>
    <w:rsid w:val="00A5067D"/>
    <w:rsid w:val="00A5218D"/>
    <w:rsid w:val="00A52978"/>
    <w:rsid w:val="00A53130"/>
    <w:rsid w:val="00A53A81"/>
    <w:rsid w:val="00A53DA7"/>
    <w:rsid w:val="00A5412B"/>
    <w:rsid w:val="00A56C49"/>
    <w:rsid w:val="00A57651"/>
    <w:rsid w:val="00A57AFD"/>
    <w:rsid w:val="00A6042C"/>
    <w:rsid w:val="00A628DE"/>
    <w:rsid w:val="00A6320F"/>
    <w:rsid w:val="00A64735"/>
    <w:rsid w:val="00A64ABC"/>
    <w:rsid w:val="00A64AC6"/>
    <w:rsid w:val="00A6577E"/>
    <w:rsid w:val="00A666B7"/>
    <w:rsid w:val="00A66B50"/>
    <w:rsid w:val="00A70F94"/>
    <w:rsid w:val="00A72556"/>
    <w:rsid w:val="00A7322E"/>
    <w:rsid w:val="00A73601"/>
    <w:rsid w:val="00A7422E"/>
    <w:rsid w:val="00A746B4"/>
    <w:rsid w:val="00A80B08"/>
    <w:rsid w:val="00A8291E"/>
    <w:rsid w:val="00A84536"/>
    <w:rsid w:val="00A8510A"/>
    <w:rsid w:val="00A8514D"/>
    <w:rsid w:val="00A85226"/>
    <w:rsid w:val="00A857A7"/>
    <w:rsid w:val="00A85D36"/>
    <w:rsid w:val="00A860D4"/>
    <w:rsid w:val="00A92240"/>
    <w:rsid w:val="00A944A8"/>
    <w:rsid w:val="00A95F3A"/>
    <w:rsid w:val="00A968A6"/>
    <w:rsid w:val="00A96ED1"/>
    <w:rsid w:val="00A973D1"/>
    <w:rsid w:val="00A97535"/>
    <w:rsid w:val="00A978B0"/>
    <w:rsid w:val="00AA06AA"/>
    <w:rsid w:val="00AA2990"/>
    <w:rsid w:val="00AA5C5A"/>
    <w:rsid w:val="00AA72B5"/>
    <w:rsid w:val="00AB2C4F"/>
    <w:rsid w:val="00AB2E27"/>
    <w:rsid w:val="00AB4CBC"/>
    <w:rsid w:val="00AB5020"/>
    <w:rsid w:val="00AB5546"/>
    <w:rsid w:val="00AB5F73"/>
    <w:rsid w:val="00AB6968"/>
    <w:rsid w:val="00AB699B"/>
    <w:rsid w:val="00AB6D5E"/>
    <w:rsid w:val="00AB6EAA"/>
    <w:rsid w:val="00AC113A"/>
    <w:rsid w:val="00AC1C9D"/>
    <w:rsid w:val="00AC1E64"/>
    <w:rsid w:val="00AC2919"/>
    <w:rsid w:val="00AC3473"/>
    <w:rsid w:val="00AC4230"/>
    <w:rsid w:val="00AC4377"/>
    <w:rsid w:val="00AC4746"/>
    <w:rsid w:val="00AC5FB9"/>
    <w:rsid w:val="00AC6A03"/>
    <w:rsid w:val="00AC6F04"/>
    <w:rsid w:val="00AC7204"/>
    <w:rsid w:val="00AD07F3"/>
    <w:rsid w:val="00AD0C62"/>
    <w:rsid w:val="00AD1C57"/>
    <w:rsid w:val="00AD1FB6"/>
    <w:rsid w:val="00AD22B6"/>
    <w:rsid w:val="00AD24C4"/>
    <w:rsid w:val="00AD2673"/>
    <w:rsid w:val="00AD59EB"/>
    <w:rsid w:val="00AD5C38"/>
    <w:rsid w:val="00AE2494"/>
    <w:rsid w:val="00AE2D37"/>
    <w:rsid w:val="00AE2D7B"/>
    <w:rsid w:val="00AE3F6D"/>
    <w:rsid w:val="00AE46F9"/>
    <w:rsid w:val="00AE655A"/>
    <w:rsid w:val="00AE76EA"/>
    <w:rsid w:val="00AE7768"/>
    <w:rsid w:val="00AF069F"/>
    <w:rsid w:val="00AF0964"/>
    <w:rsid w:val="00AF0AC1"/>
    <w:rsid w:val="00AF1293"/>
    <w:rsid w:val="00AF16AA"/>
    <w:rsid w:val="00AF2FA8"/>
    <w:rsid w:val="00AF3952"/>
    <w:rsid w:val="00AF3F3E"/>
    <w:rsid w:val="00AF41FA"/>
    <w:rsid w:val="00AF42E1"/>
    <w:rsid w:val="00AF4B50"/>
    <w:rsid w:val="00AF4E66"/>
    <w:rsid w:val="00AF5960"/>
    <w:rsid w:val="00AF6DD9"/>
    <w:rsid w:val="00AF7526"/>
    <w:rsid w:val="00B001CE"/>
    <w:rsid w:val="00B00417"/>
    <w:rsid w:val="00B00638"/>
    <w:rsid w:val="00B01F47"/>
    <w:rsid w:val="00B021F9"/>
    <w:rsid w:val="00B034A8"/>
    <w:rsid w:val="00B03703"/>
    <w:rsid w:val="00B044F4"/>
    <w:rsid w:val="00B0580A"/>
    <w:rsid w:val="00B05C76"/>
    <w:rsid w:val="00B07E37"/>
    <w:rsid w:val="00B101A9"/>
    <w:rsid w:val="00B102CD"/>
    <w:rsid w:val="00B106F6"/>
    <w:rsid w:val="00B10F4E"/>
    <w:rsid w:val="00B115F5"/>
    <w:rsid w:val="00B11E5B"/>
    <w:rsid w:val="00B146AF"/>
    <w:rsid w:val="00B1511A"/>
    <w:rsid w:val="00B1552C"/>
    <w:rsid w:val="00B15D08"/>
    <w:rsid w:val="00B169A9"/>
    <w:rsid w:val="00B16E7E"/>
    <w:rsid w:val="00B20655"/>
    <w:rsid w:val="00B20AC4"/>
    <w:rsid w:val="00B2168F"/>
    <w:rsid w:val="00B2631A"/>
    <w:rsid w:val="00B265B1"/>
    <w:rsid w:val="00B26D8F"/>
    <w:rsid w:val="00B301A2"/>
    <w:rsid w:val="00B303F0"/>
    <w:rsid w:val="00B30A47"/>
    <w:rsid w:val="00B312A4"/>
    <w:rsid w:val="00B32D74"/>
    <w:rsid w:val="00B3348E"/>
    <w:rsid w:val="00B35695"/>
    <w:rsid w:val="00B35BAC"/>
    <w:rsid w:val="00B374C3"/>
    <w:rsid w:val="00B40231"/>
    <w:rsid w:val="00B402C9"/>
    <w:rsid w:val="00B40C7A"/>
    <w:rsid w:val="00B419E0"/>
    <w:rsid w:val="00B4266C"/>
    <w:rsid w:val="00B42ABB"/>
    <w:rsid w:val="00B42F5F"/>
    <w:rsid w:val="00B45042"/>
    <w:rsid w:val="00B508E9"/>
    <w:rsid w:val="00B513A5"/>
    <w:rsid w:val="00B52B1B"/>
    <w:rsid w:val="00B531F1"/>
    <w:rsid w:val="00B547FB"/>
    <w:rsid w:val="00B54948"/>
    <w:rsid w:val="00B54F4D"/>
    <w:rsid w:val="00B555ED"/>
    <w:rsid w:val="00B55B97"/>
    <w:rsid w:val="00B56E5D"/>
    <w:rsid w:val="00B5729D"/>
    <w:rsid w:val="00B57E11"/>
    <w:rsid w:val="00B61727"/>
    <w:rsid w:val="00B6173F"/>
    <w:rsid w:val="00B64C58"/>
    <w:rsid w:val="00B666A5"/>
    <w:rsid w:val="00B66BAE"/>
    <w:rsid w:val="00B66D21"/>
    <w:rsid w:val="00B70517"/>
    <w:rsid w:val="00B7181E"/>
    <w:rsid w:val="00B72736"/>
    <w:rsid w:val="00B72809"/>
    <w:rsid w:val="00B72A2A"/>
    <w:rsid w:val="00B72D9A"/>
    <w:rsid w:val="00B72E8C"/>
    <w:rsid w:val="00B74F9D"/>
    <w:rsid w:val="00B751FF"/>
    <w:rsid w:val="00B75BA0"/>
    <w:rsid w:val="00B75BB3"/>
    <w:rsid w:val="00B77A70"/>
    <w:rsid w:val="00B8045B"/>
    <w:rsid w:val="00B80BA7"/>
    <w:rsid w:val="00B80D03"/>
    <w:rsid w:val="00B8177E"/>
    <w:rsid w:val="00B81FD1"/>
    <w:rsid w:val="00B865E3"/>
    <w:rsid w:val="00B866CA"/>
    <w:rsid w:val="00B877AA"/>
    <w:rsid w:val="00B87A29"/>
    <w:rsid w:val="00B9185F"/>
    <w:rsid w:val="00B918B1"/>
    <w:rsid w:val="00B92D56"/>
    <w:rsid w:val="00B93F64"/>
    <w:rsid w:val="00B951C0"/>
    <w:rsid w:val="00B95A7D"/>
    <w:rsid w:val="00B96A3D"/>
    <w:rsid w:val="00BA4BFE"/>
    <w:rsid w:val="00BA4EA6"/>
    <w:rsid w:val="00BA567A"/>
    <w:rsid w:val="00BA6576"/>
    <w:rsid w:val="00BA657A"/>
    <w:rsid w:val="00BA7BD2"/>
    <w:rsid w:val="00BB0A5A"/>
    <w:rsid w:val="00BB1257"/>
    <w:rsid w:val="00BB25C7"/>
    <w:rsid w:val="00BB276B"/>
    <w:rsid w:val="00BB354F"/>
    <w:rsid w:val="00BB36A8"/>
    <w:rsid w:val="00BB4228"/>
    <w:rsid w:val="00BB4825"/>
    <w:rsid w:val="00BB5B0A"/>
    <w:rsid w:val="00BB5FB5"/>
    <w:rsid w:val="00BB700A"/>
    <w:rsid w:val="00BB7187"/>
    <w:rsid w:val="00BB72CF"/>
    <w:rsid w:val="00BB7B8A"/>
    <w:rsid w:val="00BC0BCB"/>
    <w:rsid w:val="00BC108B"/>
    <w:rsid w:val="00BC12B6"/>
    <w:rsid w:val="00BC2DCC"/>
    <w:rsid w:val="00BC2DF0"/>
    <w:rsid w:val="00BC321A"/>
    <w:rsid w:val="00BC3531"/>
    <w:rsid w:val="00BC3F05"/>
    <w:rsid w:val="00BC45CB"/>
    <w:rsid w:val="00BC4B60"/>
    <w:rsid w:val="00BC4B86"/>
    <w:rsid w:val="00BC5C7E"/>
    <w:rsid w:val="00BD0A7E"/>
    <w:rsid w:val="00BD1E93"/>
    <w:rsid w:val="00BD1F85"/>
    <w:rsid w:val="00BD27A4"/>
    <w:rsid w:val="00BD4208"/>
    <w:rsid w:val="00BD5454"/>
    <w:rsid w:val="00BD57BE"/>
    <w:rsid w:val="00BD67BF"/>
    <w:rsid w:val="00BD720D"/>
    <w:rsid w:val="00BD79CA"/>
    <w:rsid w:val="00BE1981"/>
    <w:rsid w:val="00BE1985"/>
    <w:rsid w:val="00BE2DFC"/>
    <w:rsid w:val="00BE37E1"/>
    <w:rsid w:val="00BE448A"/>
    <w:rsid w:val="00BE4EF6"/>
    <w:rsid w:val="00BE527D"/>
    <w:rsid w:val="00BE6B92"/>
    <w:rsid w:val="00BE6BBF"/>
    <w:rsid w:val="00BE73F0"/>
    <w:rsid w:val="00BF335C"/>
    <w:rsid w:val="00BF48C1"/>
    <w:rsid w:val="00BF5828"/>
    <w:rsid w:val="00BF6C75"/>
    <w:rsid w:val="00BF7A60"/>
    <w:rsid w:val="00C00570"/>
    <w:rsid w:val="00C00AE5"/>
    <w:rsid w:val="00C02B21"/>
    <w:rsid w:val="00C03981"/>
    <w:rsid w:val="00C04218"/>
    <w:rsid w:val="00C05103"/>
    <w:rsid w:val="00C0704F"/>
    <w:rsid w:val="00C07844"/>
    <w:rsid w:val="00C07AD3"/>
    <w:rsid w:val="00C100E8"/>
    <w:rsid w:val="00C1369E"/>
    <w:rsid w:val="00C13ED1"/>
    <w:rsid w:val="00C1408E"/>
    <w:rsid w:val="00C14801"/>
    <w:rsid w:val="00C14D24"/>
    <w:rsid w:val="00C15225"/>
    <w:rsid w:val="00C152B8"/>
    <w:rsid w:val="00C16966"/>
    <w:rsid w:val="00C16E1E"/>
    <w:rsid w:val="00C21172"/>
    <w:rsid w:val="00C25829"/>
    <w:rsid w:val="00C26422"/>
    <w:rsid w:val="00C26763"/>
    <w:rsid w:val="00C26C7C"/>
    <w:rsid w:val="00C2748A"/>
    <w:rsid w:val="00C276FE"/>
    <w:rsid w:val="00C30D06"/>
    <w:rsid w:val="00C32484"/>
    <w:rsid w:val="00C3269F"/>
    <w:rsid w:val="00C33C89"/>
    <w:rsid w:val="00C34D03"/>
    <w:rsid w:val="00C3552A"/>
    <w:rsid w:val="00C3623A"/>
    <w:rsid w:val="00C41F4A"/>
    <w:rsid w:val="00C44C77"/>
    <w:rsid w:val="00C45358"/>
    <w:rsid w:val="00C45513"/>
    <w:rsid w:val="00C4681F"/>
    <w:rsid w:val="00C51391"/>
    <w:rsid w:val="00C51DA3"/>
    <w:rsid w:val="00C5223B"/>
    <w:rsid w:val="00C56CDC"/>
    <w:rsid w:val="00C577BF"/>
    <w:rsid w:val="00C609DF"/>
    <w:rsid w:val="00C6107C"/>
    <w:rsid w:val="00C6111C"/>
    <w:rsid w:val="00C6280B"/>
    <w:rsid w:val="00C640FB"/>
    <w:rsid w:val="00C65A7D"/>
    <w:rsid w:val="00C65E9D"/>
    <w:rsid w:val="00C70497"/>
    <w:rsid w:val="00C704B8"/>
    <w:rsid w:val="00C704E5"/>
    <w:rsid w:val="00C7149A"/>
    <w:rsid w:val="00C73BFF"/>
    <w:rsid w:val="00C740BF"/>
    <w:rsid w:val="00C748AB"/>
    <w:rsid w:val="00C74E95"/>
    <w:rsid w:val="00C74FDD"/>
    <w:rsid w:val="00C77A62"/>
    <w:rsid w:val="00C77C7E"/>
    <w:rsid w:val="00C81097"/>
    <w:rsid w:val="00C81704"/>
    <w:rsid w:val="00C848D1"/>
    <w:rsid w:val="00C869F3"/>
    <w:rsid w:val="00C86C12"/>
    <w:rsid w:val="00C86F0C"/>
    <w:rsid w:val="00C8770F"/>
    <w:rsid w:val="00C87880"/>
    <w:rsid w:val="00C90F30"/>
    <w:rsid w:val="00C918DF"/>
    <w:rsid w:val="00C9198B"/>
    <w:rsid w:val="00C93939"/>
    <w:rsid w:val="00C96027"/>
    <w:rsid w:val="00C96385"/>
    <w:rsid w:val="00C96BC5"/>
    <w:rsid w:val="00C97BC9"/>
    <w:rsid w:val="00C97FC8"/>
    <w:rsid w:val="00CA0724"/>
    <w:rsid w:val="00CA1972"/>
    <w:rsid w:val="00CA1C47"/>
    <w:rsid w:val="00CA3612"/>
    <w:rsid w:val="00CA372D"/>
    <w:rsid w:val="00CA3FCC"/>
    <w:rsid w:val="00CA4C2D"/>
    <w:rsid w:val="00CA574C"/>
    <w:rsid w:val="00CA630A"/>
    <w:rsid w:val="00CA63A8"/>
    <w:rsid w:val="00CA6536"/>
    <w:rsid w:val="00CA6742"/>
    <w:rsid w:val="00CA6B73"/>
    <w:rsid w:val="00CA6BAF"/>
    <w:rsid w:val="00CB0B66"/>
    <w:rsid w:val="00CB0E16"/>
    <w:rsid w:val="00CB10AA"/>
    <w:rsid w:val="00CB10E8"/>
    <w:rsid w:val="00CB1C25"/>
    <w:rsid w:val="00CB6336"/>
    <w:rsid w:val="00CC14C4"/>
    <w:rsid w:val="00CC199C"/>
    <w:rsid w:val="00CC4EB1"/>
    <w:rsid w:val="00CC54C3"/>
    <w:rsid w:val="00CC5812"/>
    <w:rsid w:val="00CC6BD1"/>
    <w:rsid w:val="00CC714E"/>
    <w:rsid w:val="00CD1C84"/>
    <w:rsid w:val="00CD24A8"/>
    <w:rsid w:val="00CD32A8"/>
    <w:rsid w:val="00CD38B6"/>
    <w:rsid w:val="00CD5D7F"/>
    <w:rsid w:val="00CD6D23"/>
    <w:rsid w:val="00CD7494"/>
    <w:rsid w:val="00CD7578"/>
    <w:rsid w:val="00CD7D3D"/>
    <w:rsid w:val="00CE1517"/>
    <w:rsid w:val="00CE186F"/>
    <w:rsid w:val="00CE1FF3"/>
    <w:rsid w:val="00CE200F"/>
    <w:rsid w:val="00CE23AA"/>
    <w:rsid w:val="00CE3041"/>
    <w:rsid w:val="00CE3475"/>
    <w:rsid w:val="00CE4799"/>
    <w:rsid w:val="00CE55DA"/>
    <w:rsid w:val="00CE62D8"/>
    <w:rsid w:val="00CE6615"/>
    <w:rsid w:val="00CE680F"/>
    <w:rsid w:val="00CE69C0"/>
    <w:rsid w:val="00CE799C"/>
    <w:rsid w:val="00CF0839"/>
    <w:rsid w:val="00CF0BAF"/>
    <w:rsid w:val="00CF1884"/>
    <w:rsid w:val="00CF1B89"/>
    <w:rsid w:val="00CF241F"/>
    <w:rsid w:val="00CF2459"/>
    <w:rsid w:val="00CF2881"/>
    <w:rsid w:val="00CF2B70"/>
    <w:rsid w:val="00CF39C9"/>
    <w:rsid w:val="00CF3E79"/>
    <w:rsid w:val="00CF48E3"/>
    <w:rsid w:val="00CF78BE"/>
    <w:rsid w:val="00D01C1F"/>
    <w:rsid w:val="00D020A8"/>
    <w:rsid w:val="00D025A0"/>
    <w:rsid w:val="00D028B9"/>
    <w:rsid w:val="00D04F78"/>
    <w:rsid w:val="00D0539F"/>
    <w:rsid w:val="00D05704"/>
    <w:rsid w:val="00D10CE0"/>
    <w:rsid w:val="00D113F3"/>
    <w:rsid w:val="00D12493"/>
    <w:rsid w:val="00D1464D"/>
    <w:rsid w:val="00D14EF9"/>
    <w:rsid w:val="00D15AE9"/>
    <w:rsid w:val="00D17574"/>
    <w:rsid w:val="00D17D89"/>
    <w:rsid w:val="00D21282"/>
    <w:rsid w:val="00D213D5"/>
    <w:rsid w:val="00D21CD0"/>
    <w:rsid w:val="00D22155"/>
    <w:rsid w:val="00D222D0"/>
    <w:rsid w:val="00D2377A"/>
    <w:rsid w:val="00D23D51"/>
    <w:rsid w:val="00D24CEA"/>
    <w:rsid w:val="00D30E85"/>
    <w:rsid w:val="00D325CD"/>
    <w:rsid w:val="00D32B20"/>
    <w:rsid w:val="00D33BAD"/>
    <w:rsid w:val="00D343B7"/>
    <w:rsid w:val="00D34B3D"/>
    <w:rsid w:val="00D3501F"/>
    <w:rsid w:val="00D352F2"/>
    <w:rsid w:val="00D354B8"/>
    <w:rsid w:val="00D36224"/>
    <w:rsid w:val="00D416AA"/>
    <w:rsid w:val="00D41FF6"/>
    <w:rsid w:val="00D42385"/>
    <w:rsid w:val="00D44A20"/>
    <w:rsid w:val="00D451BB"/>
    <w:rsid w:val="00D45FDF"/>
    <w:rsid w:val="00D50742"/>
    <w:rsid w:val="00D50EE4"/>
    <w:rsid w:val="00D51336"/>
    <w:rsid w:val="00D540B2"/>
    <w:rsid w:val="00D5532A"/>
    <w:rsid w:val="00D55558"/>
    <w:rsid w:val="00D556A2"/>
    <w:rsid w:val="00D55FDF"/>
    <w:rsid w:val="00D5616B"/>
    <w:rsid w:val="00D5672F"/>
    <w:rsid w:val="00D5673B"/>
    <w:rsid w:val="00D56769"/>
    <w:rsid w:val="00D56F3D"/>
    <w:rsid w:val="00D61398"/>
    <w:rsid w:val="00D617BB"/>
    <w:rsid w:val="00D63483"/>
    <w:rsid w:val="00D63AA0"/>
    <w:rsid w:val="00D63FC0"/>
    <w:rsid w:val="00D65037"/>
    <w:rsid w:val="00D65179"/>
    <w:rsid w:val="00D66349"/>
    <w:rsid w:val="00D66661"/>
    <w:rsid w:val="00D66F4D"/>
    <w:rsid w:val="00D67D38"/>
    <w:rsid w:val="00D70CE9"/>
    <w:rsid w:val="00D715A5"/>
    <w:rsid w:val="00D72B28"/>
    <w:rsid w:val="00D72F6C"/>
    <w:rsid w:val="00D731BC"/>
    <w:rsid w:val="00D73BA3"/>
    <w:rsid w:val="00D74447"/>
    <w:rsid w:val="00D75111"/>
    <w:rsid w:val="00D75B68"/>
    <w:rsid w:val="00D75DD0"/>
    <w:rsid w:val="00D75FE4"/>
    <w:rsid w:val="00D76810"/>
    <w:rsid w:val="00D76EF3"/>
    <w:rsid w:val="00D80A47"/>
    <w:rsid w:val="00D81263"/>
    <w:rsid w:val="00D812C3"/>
    <w:rsid w:val="00D82992"/>
    <w:rsid w:val="00D83927"/>
    <w:rsid w:val="00D85E86"/>
    <w:rsid w:val="00D867A5"/>
    <w:rsid w:val="00D923E5"/>
    <w:rsid w:val="00D942D5"/>
    <w:rsid w:val="00D94DB6"/>
    <w:rsid w:val="00D964B5"/>
    <w:rsid w:val="00DA1938"/>
    <w:rsid w:val="00DA3675"/>
    <w:rsid w:val="00DA44E4"/>
    <w:rsid w:val="00DA4B4A"/>
    <w:rsid w:val="00DA7199"/>
    <w:rsid w:val="00DB07BF"/>
    <w:rsid w:val="00DB4B1B"/>
    <w:rsid w:val="00DB56B4"/>
    <w:rsid w:val="00DB61A8"/>
    <w:rsid w:val="00DB65D5"/>
    <w:rsid w:val="00DC0374"/>
    <w:rsid w:val="00DC07A5"/>
    <w:rsid w:val="00DC0B14"/>
    <w:rsid w:val="00DC134F"/>
    <w:rsid w:val="00DC1490"/>
    <w:rsid w:val="00DC2DC4"/>
    <w:rsid w:val="00DC2FD3"/>
    <w:rsid w:val="00DC3E72"/>
    <w:rsid w:val="00DC4F0E"/>
    <w:rsid w:val="00DC4F2E"/>
    <w:rsid w:val="00DC5F21"/>
    <w:rsid w:val="00DC6174"/>
    <w:rsid w:val="00DC6C80"/>
    <w:rsid w:val="00DC7085"/>
    <w:rsid w:val="00DC7D17"/>
    <w:rsid w:val="00DD009F"/>
    <w:rsid w:val="00DD0EEF"/>
    <w:rsid w:val="00DD1E0A"/>
    <w:rsid w:val="00DD3811"/>
    <w:rsid w:val="00DD461A"/>
    <w:rsid w:val="00DD479B"/>
    <w:rsid w:val="00DD4AD2"/>
    <w:rsid w:val="00DD58FD"/>
    <w:rsid w:val="00DD5FC9"/>
    <w:rsid w:val="00DD6697"/>
    <w:rsid w:val="00DD77E6"/>
    <w:rsid w:val="00DD7963"/>
    <w:rsid w:val="00DE06E8"/>
    <w:rsid w:val="00DE167F"/>
    <w:rsid w:val="00DE1E91"/>
    <w:rsid w:val="00DE1F57"/>
    <w:rsid w:val="00DE3207"/>
    <w:rsid w:val="00DE4352"/>
    <w:rsid w:val="00DE5D05"/>
    <w:rsid w:val="00DE69E8"/>
    <w:rsid w:val="00DE6CE8"/>
    <w:rsid w:val="00DE6DAB"/>
    <w:rsid w:val="00DE7AB3"/>
    <w:rsid w:val="00DF0036"/>
    <w:rsid w:val="00DF0724"/>
    <w:rsid w:val="00DF0AA0"/>
    <w:rsid w:val="00DF2CA6"/>
    <w:rsid w:val="00DF4141"/>
    <w:rsid w:val="00DF49CC"/>
    <w:rsid w:val="00DF4AA9"/>
    <w:rsid w:val="00DF4BD9"/>
    <w:rsid w:val="00DF6AC2"/>
    <w:rsid w:val="00DF7AAA"/>
    <w:rsid w:val="00E007AE"/>
    <w:rsid w:val="00E028C2"/>
    <w:rsid w:val="00E04197"/>
    <w:rsid w:val="00E04C3E"/>
    <w:rsid w:val="00E05189"/>
    <w:rsid w:val="00E05801"/>
    <w:rsid w:val="00E05C7D"/>
    <w:rsid w:val="00E06113"/>
    <w:rsid w:val="00E064FC"/>
    <w:rsid w:val="00E0717C"/>
    <w:rsid w:val="00E1053D"/>
    <w:rsid w:val="00E11C9E"/>
    <w:rsid w:val="00E12301"/>
    <w:rsid w:val="00E12922"/>
    <w:rsid w:val="00E12E16"/>
    <w:rsid w:val="00E13CEA"/>
    <w:rsid w:val="00E14272"/>
    <w:rsid w:val="00E1487A"/>
    <w:rsid w:val="00E1561C"/>
    <w:rsid w:val="00E1648B"/>
    <w:rsid w:val="00E22AF2"/>
    <w:rsid w:val="00E23ECA"/>
    <w:rsid w:val="00E240F1"/>
    <w:rsid w:val="00E24C06"/>
    <w:rsid w:val="00E25274"/>
    <w:rsid w:val="00E26111"/>
    <w:rsid w:val="00E266C1"/>
    <w:rsid w:val="00E26B29"/>
    <w:rsid w:val="00E26E0C"/>
    <w:rsid w:val="00E302B8"/>
    <w:rsid w:val="00E31C44"/>
    <w:rsid w:val="00E3397D"/>
    <w:rsid w:val="00E34401"/>
    <w:rsid w:val="00E34CCD"/>
    <w:rsid w:val="00E3553E"/>
    <w:rsid w:val="00E375A3"/>
    <w:rsid w:val="00E375EE"/>
    <w:rsid w:val="00E378D8"/>
    <w:rsid w:val="00E37A09"/>
    <w:rsid w:val="00E4082F"/>
    <w:rsid w:val="00E40E74"/>
    <w:rsid w:val="00E412C8"/>
    <w:rsid w:val="00E4139F"/>
    <w:rsid w:val="00E42464"/>
    <w:rsid w:val="00E442D3"/>
    <w:rsid w:val="00E46C3A"/>
    <w:rsid w:val="00E501E9"/>
    <w:rsid w:val="00E52BF1"/>
    <w:rsid w:val="00E535F4"/>
    <w:rsid w:val="00E53916"/>
    <w:rsid w:val="00E54B68"/>
    <w:rsid w:val="00E54F24"/>
    <w:rsid w:val="00E5737B"/>
    <w:rsid w:val="00E574E0"/>
    <w:rsid w:val="00E57997"/>
    <w:rsid w:val="00E60D4F"/>
    <w:rsid w:val="00E61016"/>
    <w:rsid w:val="00E614A7"/>
    <w:rsid w:val="00E61A27"/>
    <w:rsid w:val="00E621AB"/>
    <w:rsid w:val="00E623C1"/>
    <w:rsid w:val="00E62415"/>
    <w:rsid w:val="00E62BE3"/>
    <w:rsid w:val="00E62E03"/>
    <w:rsid w:val="00E63316"/>
    <w:rsid w:val="00E63A60"/>
    <w:rsid w:val="00E64049"/>
    <w:rsid w:val="00E64DB9"/>
    <w:rsid w:val="00E677BC"/>
    <w:rsid w:val="00E72523"/>
    <w:rsid w:val="00E732DF"/>
    <w:rsid w:val="00E73C65"/>
    <w:rsid w:val="00E741A1"/>
    <w:rsid w:val="00E74D5E"/>
    <w:rsid w:val="00E76E58"/>
    <w:rsid w:val="00E77ADD"/>
    <w:rsid w:val="00E80BF5"/>
    <w:rsid w:val="00E82266"/>
    <w:rsid w:val="00E84176"/>
    <w:rsid w:val="00E849FB"/>
    <w:rsid w:val="00E862F4"/>
    <w:rsid w:val="00E865EA"/>
    <w:rsid w:val="00E9029E"/>
    <w:rsid w:val="00E91896"/>
    <w:rsid w:val="00E9272A"/>
    <w:rsid w:val="00E92AB6"/>
    <w:rsid w:val="00E93FDD"/>
    <w:rsid w:val="00E9423B"/>
    <w:rsid w:val="00E95165"/>
    <w:rsid w:val="00E95927"/>
    <w:rsid w:val="00E9646E"/>
    <w:rsid w:val="00E966E3"/>
    <w:rsid w:val="00E968B2"/>
    <w:rsid w:val="00E97431"/>
    <w:rsid w:val="00E97BC1"/>
    <w:rsid w:val="00EA02BD"/>
    <w:rsid w:val="00EA086B"/>
    <w:rsid w:val="00EA0DA3"/>
    <w:rsid w:val="00EA1B47"/>
    <w:rsid w:val="00EA4EBA"/>
    <w:rsid w:val="00EA6E2A"/>
    <w:rsid w:val="00EA7014"/>
    <w:rsid w:val="00EB37A3"/>
    <w:rsid w:val="00EB3AE7"/>
    <w:rsid w:val="00EB3F2D"/>
    <w:rsid w:val="00EB41FD"/>
    <w:rsid w:val="00EB52D7"/>
    <w:rsid w:val="00EB5DBD"/>
    <w:rsid w:val="00EC0FE8"/>
    <w:rsid w:val="00EC29E1"/>
    <w:rsid w:val="00EC2D4C"/>
    <w:rsid w:val="00EC3530"/>
    <w:rsid w:val="00EC3ED2"/>
    <w:rsid w:val="00EC46A8"/>
    <w:rsid w:val="00EC4AB0"/>
    <w:rsid w:val="00EC4D1C"/>
    <w:rsid w:val="00EC518F"/>
    <w:rsid w:val="00EC56D6"/>
    <w:rsid w:val="00EC56DD"/>
    <w:rsid w:val="00EC5EF0"/>
    <w:rsid w:val="00EC5F13"/>
    <w:rsid w:val="00EC73B4"/>
    <w:rsid w:val="00ED01B8"/>
    <w:rsid w:val="00ED06F0"/>
    <w:rsid w:val="00ED075D"/>
    <w:rsid w:val="00ED08E4"/>
    <w:rsid w:val="00ED0F69"/>
    <w:rsid w:val="00ED114C"/>
    <w:rsid w:val="00ED23F0"/>
    <w:rsid w:val="00ED2F21"/>
    <w:rsid w:val="00ED3390"/>
    <w:rsid w:val="00ED6560"/>
    <w:rsid w:val="00ED6EB2"/>
    <w:rsid w:val="00ED785A"/>
    <w:rsid w:val="00ED7F27"/>
    <w:rsid w:val="00EE0463"/>
    <w:rsid w:val="00EE21F4"/>
    <w:rsid w:val="00EE2F68"/>
    <w:rsid w:val="00EE6CE7"/>
    <w:rsid w:val="00EF0212"/>
    <w:rsid w:val="00EF095C"/>
    <w:rsid w:val="00EF0F22"/>
    <w:rsid w:val="00EF0F4B"/>
    <w:rsid w:val="00EF1579"/>
    <w:rsid w:val="00EF3738"/>
    <w:rsid w:val="00EF782F"/>
    <w:rsid w:val="00EF7CD6"/>
    <w:rsid w:val="00F02ACE"/>
    <w:rsid w:val="00F061E4"/>
    <w:rsid w:val="00F07424"/>
    <w:rsid w:val="00F07D5F"/>
    <w:rsid w:val="00F11BDB"/>
    <w:rsid w:val="00F12185"/>
    <w:rsid w:val="00F12408"/>
    <w:rsid w:val="00F128B6"/>
    <w:rsid w:val="00F12DC2"/>
    <w:rsid w:val="00F139DD"/>
    <w:rsid w:val="00F14298"/>
    <w:rsid w:val="00F147F9"/>
    <w:rsid w:val="00F15A81"/>
    <w:rsid w:val="00F15AA1"/>
    <w:rsid w:val="00F167EB"/>
    <w:rsid w:val="00F17105"/>
    <w:rsid w:val="00F177E3"/>
    <w:rsid w:val="00F2149B"/>
    <w:rsid w:val="00F22F8D"/>
    <w:rsid w:val="00F23931"/>
    <w:rsid w:val="00F24526"/>
    <w:rsid w:val="00F24759"/>
    <w:rsid w:val="00F24C1C"/>
    <w:rsid w:val="00F321C1"/>
    <w:rsid w:val="00F3260D"/>
    <w:rsid w:val="00F32D74"/>
    <w:rsid w:val="00F332CF"/>
    <w:rsid w:val="00F33CE5"/>
    <w:rsid w:val="00F3684A"/>
    <w:rsid w:val="00F409F0"/>
    <w:rsid w:val="00F40A17"/>
    <w:rsid w:val="00F41CC2"/>
    <w:rsid w:val="00F433E1"/>
    <w:rsid w:val="00F4379E"/>
    <w:rsid w:val="00F44E4B"/>
    <w:rsid w:val="00F458CA"/>
    <w:rsid w:val="00F45B85"/>
    <w:rsid w:val="00F45C6F"/>
    <w:rsid w:val="00F45DB2"/>
    <w:rsid w:val="00F47375"/>
    <w:rsid w:val="00F47CD9"/>
    <w:rsid w:val="00F50C10"/>
    <w:rsid w:val="00F5141B"/>
    <w:rsid w:val="00F52C7E"/>
    <w:rsid w:val="00F550EA"/>
    <w:rsid w:val="00F55BED"/>
    <w:rsid w:val="00F5729E"/>
    <w:rsid w:val="00F57956"/>
    <w:rsid w:val="00F60984"/>
    <w:rsid w:val="00F643ED"/>
    <w:rsid w:val="00F64418"/>
    <w:rsid w:val="00F65036"/>
    <w:rsid w:val="00F65147"/>
    <w:rsid w:val="00F652BB"/>
    <w:rsid w:val="00F6635A"/>
    <w:rsid w:val="00F6694C"/>
    <w:rsid w:val="00F66AF2"/>
    <w:rsid w:val="00F67CA9"/>
    <w:rsid w:val="00F70645"/>
    <w:rsid w:val="00F721EE"/>
    <w:rsid w:val="00F72E0C"/>
    <w:rsid w:val="00F732FB"/>
    <w:rsid w:val="00F8097F"/>
    <w:rsid w:val="00F8178D"/>
    <w:rsid w:val="00F82D64"/>
    <w:rsid w:val="00F83B58"/>
    <w:rsid w:val="00F83BAD"/>
    <w:rsid w:val="00F849DF"/>
    <w:rsid w:val="00F86732"/>
    <w:rsid w:val="00F91648"/>
    <w:rsid w:val="00F919E8"/>
    <w:rsid w:val="00F923D8"/>
    <w:rsid w:val="00F92764"/>
    <w:rsid w:val="00F93027"/>
    <w:rsid w:val="00F945B3"/>
    <w:rsid w:val="00F95052"/>
    <w:rsid w:val="00F96208"/>
    <w:rsid w:val="00F96664"/>
    <w:rsid w:val="00F97807"/>
    <w:rsid w:val="00FA1E4A"/>
    <w:rsid w:val="00FA2C64"/>
    <w:rsid w:val="00FA4F12"/>
    <w:rsid w:val="00FA67C3"/>
    <w:rsid w:val="00FA6D98"/>
    <w:rsid w:val="00FB0722"/>
    <w:rsid w:val="00FB1D58"/>
    <w:rsid w:val="00FB22E1"/>
    <w:rsid w:val="00FB2808"/>
    <w:rsid w:val="00FB29D2"/>
    <w:rsid w:val="00FB2FA4"/>
    <w:rsid w:val="00FB37EA"/>
    <w:rsid w:val="00FB40D0"/>
    <w:rsid w:val="00FB65AC"/>
    <w:rsid w:val="00FB6C98"/>
    <w:rsid w:val="00FB6CD4"/>
    <w:rsid w:val="00FC2654"/>
    <w:rsid w:val="00FC3216"/>
    <w:rsid w:val="00FC4BD9"/>
    <w:rsid w:val="00FC4D9A"/>
    <w:rsid w:val="00FC501B"/>
    <w:rsid w:val="00FC5547"/>
    <w:rsid w:val="00FC71E8"/>
    <w:rsid w:val="00FD2521"/>
    <w:rsid w:val="00FD286B"/>
    <w:rsid w:val="00FD2B91"/>
    <w:rsid w:val="00FD2DF8"/>
    <w:rsid w:val="00FD3549"/>
    <w:rsid w:val="00FD3550"/>
    <w:rsid w:val="00FD38BA"/>
    <w:rsid w:val="00FD497B"/>
    <w:rsid w:val="00FD4A6C"/>
    <w:rsid w:val="00FD58C2"/>
    <w:rsid w:val="00FD5BB3"/>
    <w:rsid w:val="00FE0478"/>
    <w:rsid w:val="00FE0C89"/>
    <w:rsid w:val="00FE3446"/>
    <w:rsid w:val="00FE3C11"/>
    <w:rsid w:val="00FE4072"/>
    <w:rsid w:val="00FE479B"/>
    <w:rsid w:val="00FE54C8"/>
    <w:rsid w:val="00FE63DF"/>
    <w:rsid w:val="00FE7460"/>
    <w:rsid w:val="00FF0555"/>
    <w:rsid w:val="00FF1B7D"/>
    <w:rsid w:val="00FF296D"/>
    <w:rsid w:val="00FF4761"/>
    <w:rsid w:val="00FF4A2A"/>
    <w:rsid w:val="00FF4F7F"/>
    <w:rsid w:val="00FF6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uiPriority w:val="99"/>
    <w:semiHidden/>
    <w:rsid w:val="001A1AD3"/>
    <w:pPr>
      <w:tabs>
        <w:tab w:val="left" w:pos="720"/>
      </w:tabs>
      <w:spacing w:before="120" w:after="120"/>
    </w:pPr>
    <w:rPr>
      <w:rFonts w:ascii="CG Times" w:hAnsi="CG Times"/>
      <w:szCs w:val="20"/>
    </w:rPr>
  </w:style>
  <w:style w:type="character" w:styleId="FootnoteReference">
    <w:name w:val="footnote reference"/>
    <w:basedOn w:val="DefaultParagraphFont"/>
    <w:uiPriority w:val="99"/>
    <w:semiHidden/>
    <w:rsid w:val="001A1AD3"/>
    <w:rPr>
      <w:sz w:val="26"/>
      <w:szCs w:val="26"/>
      <w:vertAlign w:val="superscript"/>
    </w:rPr>
  </w:style>
  <w:style w:type="paragraph" w:styleId="BodyText">
    <w:name w:val="Body Text"/>
    <w:basedOn w:val="Normal"/>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semiHidden/>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paragraph" w:styleId="TOC1">
    <w:name w:val="toc 1"/>
    <w:basedOn w:val="Normal"/>
    <w:next w:val="Normal"/>
    <w:rsid w:val="00277604"/>
    <w:pPr>
      <w:tabs>
        <w:tab w:val="right" w:leader="dot" w:pos="9360"/>
      </w:tabs>
      <w:suppressAutoHyphens/>
      <w:spacing w:before="480"/>
      <w:ind w:left="720" w:right="720" w:hanging="720"/>
    </w:pPr>
    <w:rPr>
      <w:rFonts w:ascii="Courier" w:hAnsi="Courier"/>
      <w:szCs w:val="20"/>
    </w:rPr>
  </w:style>
  <w:style w:type="character" w:customStyle="1" w:styleId="FooterChar">
    <w:name w:val="Footer Char"/>
    <w:link w:val="Footer"/>
    <w:uiPriority w:val="99"/>
    <w:rsid w:val="00F919E8"/>
    <w:rPr>
      <w:sz w:val="24"/>
      <w:szCs w:val="24"/>
    </w:rPr>
  </w:style>
  <w:style w:type="paragraph" w:styleId="BodyTextIndent2">
    <w:name w:val="Body Text Indent 2"/>
    <w:basedOn w:val="Normal"/>
    <w:link w:val="BodyTextIndent2Char"/>
    <w:rsid w:val="00A16A4E"/>
    <w:pPr>
      <w:spacing w:after="120" w:line="480" w:lineRule="auto"/>
      <w:ind w:left="360"/>
    </w:pPr>
  </w:style>
  <w:style w:type="character" w:customStyle="1" w:styleId="BodyTextIndent2Char">
    <w:name w:val="Body Text Indent 2 Char"/>
    <w:basedOn w:val="DefaultParagraphFont"/>
    <w:link w:val="BodyTextIndent2"/>
    <w:rsid w:val="00A16A4E"/>
    <w:rPr>
      <w:sz w:val="24"/>
      <w:szCs w:val="24"/>
    </w:rPr>
  </w:style>
  <w:style w:type="paragraph" w:customStyle="1" w:styleId="Default">
    <w:name w:val="Default"/>
    <w:rsid w:val="00A6577E"/>
    <w:pPr>
      <w:autoSpaceDE w:val="0"/>
      <w:autoSpaceDN w:val="0"/>
      <w:adjustRightInd w:val="0"/>
    </w:pPr>
    <w:rPr>
      <w:color w:val="000000"/>
      <w:sz w:val="24"/>
      <w:szCs w:val="24"/>
    </w:rPr>
  </w:style>
  <w:style w:type="character" w:styleId="Strong">
    <w:name w:val="Strong"/>
    <w:basedOn w:val="DefaultParagraphFont"/>
    <w:uiPriority w:val="22"/>
    <w:qFormat/>
    <w:rsid w:val="004F09E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semiHidden/>
    <w:rsid w:val="001A1AD3"/>
    <w:pPr>
      <w:tabs>
        <w:tab w:val="left" w:pos="720"/>
      </w:tabs>
      <w:spacing w:before="120" w:after="120"/>
    </w:pPr>
    <w:rPr>
      <w:rFonts w:ascii="CG Times" w:hAnsi="CG Times"/>
      <w:szCs w:val="20"/>
    </w:rPr>
  </w:style>
  <w:style w:type="character" w:styleId="FootnoteReference">
    <w:name w:val="footnote reference"/>
    <w:basedOn w:val="DefaultParagraphFont"/>
    <w:semiHidden/>
    <w:rsid w:val="001A1AD3"/>
    <w:rPr>
      <w:sz w:val="26"/>
      <w:szCs w:val="26"/>
      <w:vertAlign w:val="superscript"/>
    </w:rPr>
  </w:style>
  <w:style w:type="paragraph" w:styleId="BodyText">
    <w:name w:val="Body Text"/>
    <w:basedOn w:val="Normal"/>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semiHidden/>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paragraph" w:styleId="TOC1">
    <w:name w:val="toc 1"/>
    <w:basedOn w:val="Normal"/>
    <w:next w:val="Normal"/>
    <w:rsid w:val="00277604"/>
    <w:pPr>
      <w:tabs>
        <w:tab w:val="right" w:leader="dot" w:pos="9360"/>
      </w:tabs>
      <w:suppressAutoHyphens/>
      <w:spacing w:before="480"/>
      <w:ind w:left="720" w:right="720" w:hanging="720"/>
    </w:pPr>
    <w:rPr>
      <w:rFonts w:ascii="Courier" w:hAnsi="Courie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840316">
      <w:bodyDiv w:val="1"/>
      <w:marLeft w:val="0"/>
      <w:marRight w:val="0"/>
      <w:marTop w:val="0"/>
      <w:marBottom w:val="0"/>
      <w:divBdr>
        <w:top w:val="none" w:sz="0" w:space="0" w:color="auto"/>
        <w:left w:val="none" w:sz="0" w:space="0" w:color="auto"/>
        <w:bottom w:val="none" w:sz="0" w:space="0" w:color="auto"/>
        <w:right w:val="none" w:sz="0" w:space="0" w:color="auto"/>
      </w:divBdr>
      <w:divsChild>
        <w:div w:id="561331102">
          <w:marLeft w:val="120"/>
          <w:marRight w:val="120"/>
          <w:marTop w:val="120"/>
          <w:marBottom w:val="120"/>
          <w:divBdr>
            <w:top w:val="none" w:sz="0" w:space="0" w:color="auto"/>
            <w:left w:val="none" w:sz="0" w:space="0" w:color="auto"/>
            <w:bottom w:val="none" w:sz="0" w:space="0" w:color="auto"/>
            <w:right w:val="none" w:sz="0" w:space="0" w:color="auto"/>
          </w:divBdr>
          <w:divsChild>
            <w:div w:id="934483080">
              <w:marLeft w:val="0"/>
              <w:marRight w:val="0"/>
              <w:marTop w:val="0"/>
              <w:marBottom w:val="0"/>
              <w:divBdr>
                <w:top w:val="none" w:sz="0" w:space="0" w:color="auto"/>
                <w:left w:val="none" w:sz="0" w:space="0" w:color="auto"/>
                <w:bottom w:val="none" w:sz="0" w:space="0" w:color="auto"/>
                <w:right w:val="none" w:sz="0" w:space="0" w:color="auto"/>
              </w:divBdr>
              <w:divsChild>
                <w:div w:id="1115291883">
                  <w:marLeft w:val="0"/>
                  <w:marRight w:val="0"/>
                  <w:marTop w:val="0"/>
                  <w:marBottom w:val="0"/>
                  <w:divBdr>
                    <w:top w:val="none" w:sz="0" w:space="0" w:color="auto"/>
                    <w:left w:val="none" w:sz="0" w:space="0" w:color="auto"/>
                    <w:bottom w:val="none" w:sz="0" w:space="0" w:color="auto"/>
                    <w:right w:val="none" w:sz="0" w:space="0" w:color="auto"/>
                  </w:divBdr>
                  <w:divsChild>
                    <w:div w:id="65221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818431">
      <w:bodyDiv w:val="1"/>
      <w:marLeft w:val="0"/>
      <w:marRight w:val="0"/>
      <w:marTop w:val="0"/>
      <w:marBottom w:val="0"/>
      <w:divBdr>
        <w:top w:val="none" w:sz="0" w:space="0" w:color="auto"/>
        <w:left w:val="none" w:sz="0" w:space="0" w:color="auto"/>
        <w:bottom w:val="none" w:sz="0" w:space="0" w:color="auto"/>
        <w:right w:val="none" w:sz="0" w:space="0" w:color="auto"/>
      </w:divBdr>
      <w:divsChild>
        <w:div w:id="1889223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6893255">
      <w:bodyDiv w:val="1"/>
      <w:marLeft w:val="0"/>
      <w:marRight w:val="0"/>
      <w:marTop w:val="0"/>
      <w:marBottom w:val="0"/>
      <w:divBdr>
        <w:top w:val="none" w:sz="0" w:space="0" w:color="auto"/>
        <w:left w:val="none" w:sz="0" w:space="0" w:color="auto"/>
        <w:bottom w:val="none" w:sz="0" w:space="0" w:color="auto"/>
        <w:right w:val="none" w:sz="0" w:space="0" w:color="auto"/>
      </w:divBdr>
      <w:divsChild>
        <w:div w:id="347416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9EBED-8429-4655-9B4B-A6102A9E6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19</Pages>
  <Words>4563</Words>
  <Characters>26011</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30513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Hinds, Margaret</cp:lastModifiedBy>
  <cp:revision>149</cp:revision>
  <cp:lastPrinted>2013-02-14T18:15:00Z</cp:lastPrinted>
  <dcterms:created xsi:type="dcterms:W3CDTF">2013-01-08T15:17:00Z</dcterms:created>
  <dcterms:modified xsi:type="dcterms:W3CDTF">2013-02-14T18:15:00Z</dcterms:modified>
</cp:coreProperties>
</file>