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tab/>
      </w: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5148"/>
        <w:gridCol w:w="4320"/>
      </w:tblGrid>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764699">
            <w:pPr>
              <w:rPr>
                <w:sz w:val="26"/>
                <w:szCs w:val="26"/>
              </w:rPr>
            </w:pPr>
            <w:r w:rsidRPr="00754C39">
              <w:rPr>
                <w:sz w:val="26"/>
                <w:szCs w:val="26"/>
              </w:rPr>
              <w:t xml:space="preserve">Public Meeting held </w:t>
            </w:r>
            <w:r w:rsidR="00764699">
              <w:rPr>
                <w:sz w:val="26"/>
                <w:szCs w:val="26"/>
              </w:rPr>
              <w:t>February 14, 2013</w:t>
            </w:r>
          </w:p>
        </w:tc>
      </w:tr>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54C39" w:rsidRDefault="009F64F2" w:rsidP="009F64F2">
            <w:pPr>
              <w:rPr>
                <w:sz w:val="26"/>
                <w:szCs w:val="26"/>
              </w:rPr>
            </w:pPr>
            <w:r w:rsidRPr="00754C39">
              <w:rPr>
                <w:sz w:val="26"/>
                <w:szCs w:val="26"/>
              </w:rPr>
              <w:t>Commissioners Present:</w:t>
            </w: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6469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9468" w:type="dxa"/>
            <w:gridSpan w:val="2"/>
          </w:tcPr>
          <w:p w:rsidR="009F64F2" w:rsidRPr="00764699" w:rsidRDefault="00764699" w:rsidP="00764699">
            <w:pPr>
              <w:pStyle w:val="p5"/>
              <w:rPr>
                <w:sz w:val="26"/>
                <w:szCs w:val="26"/>
              </w:rPr>
            </w:pPr>
            <w:r w:rsidRPr="00764699">
              <w:rPr>
                <w:sz w:val="26"/>
                <w:szCs w:val="26"/>
              </w:rPr>
              <w:t xml:space="preserve">Robert F. Powelson, </w:t>
            </w:r>
            <w:r w:rsidR="009F64F2" w:rsidRPr="00764699">
              <w:rPr>
                <w:sz w:val="26"/>
                <w:szCs w:val="26"/>
              </w:rPr>
              <w:t>Chairman</w:t>
            </w:r>
          </w:p>
        </w:tc>
      </w:tr>
      <w:tr w:rsidR="009F64F2" w:rsidRPr="00754C39" w:rsidTr="009F64F2">
        <w:tc>
          <w:tcPr>
            <w:tcW w:w="9468" w:type="dxa"/>
            <w:gridSpan w:val="2"/>
          </w:tcPr>
          <w:p w:rsidR="009F64F2" w:rsidRPr="00764699" w:rsidRDefault="00764699" w:rsidP="009F64F2">
            <w:pPr>
              <w:pStyle w:val="p5"/>
              <w:rPr>
                <w:sz w:val="26"/>
                <w:szCs w:val="26"/>
              </w:rPr>
            </w:pPr>
            <w:r w:rsidRPr="00764699">
              <w:rPr>
                <w:sz w:val="26"/>
                <w:szCs w:val="26"/>
              </w:rPr>
              <w:t>John F. Coleman, Jr.</w:t>
            </w:r>
            <w:r w:rsidR="009F64F2" w:rsidRPr="00764699">
              <w:rPr>
                <w:sz w:val="26"/>
                <w:szCs w:val="26"/>
              </w:rPr>
              <w:t>, Vice Chairman</w:t>
            </w:r>
          </w:p>
          <w:p w:rsidR="009F64F2" w:rsidRPr="00764699" w:rsidRDefault="00764699" w:rsidP="009F64F2">
            <w:pPr>
              <w:pStyle w:val="p5"/>
              <w:rPr>
                <w:sz w:val="26"/>
                <w:szCs w:val="26"/>
              </w:rPr>
            </w:pPr>
            <w:r w:rsidRPr="00764699">
              <w:rPr>
                <w:sz w:val="26"/>
                <w:szCs w:val="26"/>
              </w:rPr>
              <w:t>Wayne E. Gardner</w:t>
            </w:r>
          </w:p>
          <w:p w:rsidR="009F64F2" w:rsidRPr="00764699" w:rsidRDefault="00764699" w:rsidP="009F64F2">
            <w:pPr>
              <w:pStyle w:val="p5"/>
              <w:rPr>
                <w:sz w:val="26"/>
                <w:szCs w:val="26"/>
              </w:rPr>
            </w:pPr>
            <w:r w:rsidRPr="00764699">
              <w:rPr>
                <w:sz w:val="26"/>
                <w:szCs w:val="26"/>
              </w:rPr>
              <w:t>James H. Cawley</w:t>
            </w:r>
          </w:p>
          <w:p w:rsidR="009F64F2" w:rsidRPr="00764699" w:rsidRDefault="00764699" w:rsidP="00764699">
            <w:pPr>
              <w:pStyle w:val="p5"/>
              <w:rPr>
                <w:sz w:val="26"/>
                <w:szCs w:val="26"/>
              </w:rPr>
            </w:pPr>
            <w:r w:rsidRPr="00764699">
              <w:rPr>
                <w:sz w:val="26"/>
                <w:szCs w:val="26"/>
              </w:rPr>
              <w:t>Pamela A. Witmer</w:t>
            </w:r>
          </w:p>
        </w:tc>
      </w:tr>
      <w:tr w:rsidR="009F64F2" w:rsidRPr="00754C39" w:rsidTr="009F64F2">
        <w:tc>
          <w:tcPr>
            <w:tcW w:w="9468" w:type="dxa"/>
            <w:gridSpan w:val="2"/>
          </w:tcPr>
          <w:p w:rsidR="009F64F2" w:rsidRPr="00754C39" w:rsidRDefault="009F64F2" w:rsidP="009F64F2">
            <w:pPr>
              <w:pStyle w:val="p5"/>
              <w:rPr>
                <w:sz w:val="26"/>
                <w:szCs w:val="26"/>
              </w:rPr>
            </w:pPr>
          </w:p>
        </w:tc>
      </w:tr>
      <w:tr w:rsidR="009F64F2" w:rsidRPr="00754C39" w:rsidTr="009F64F2">
        <w:tc>
          <w:tcPr>
            <w:tcW w:w="5148" w:type="dxa"/>
          </w:tcPr>
          <w:p w:rsidR="009F64F2" w:rsidRPr="00754C39" w:rsidRDefault="00764699" w:rsidP="009F64F2">
            <w:pPr>
              <w:rPr>
                <w:sz w:val="26"/>
                <w:szCs w:val="26"/>
              </w:rPr>
            </w:pPr>
            <w:r>
              <w:rPr>
                <w:sz w:val="26"/>
                <w:szCs w:val="26"/>
              </w:rPr>
              <w:t>Petition of PECO Energy Company for Approval of its Default Service Program II</w:t>
            </w:r>
          </w:p>
        </w:tc>
        <w:tc>
          <w:tcPr>
            <w:tcW w:w="4320" w:type="dxa"/>
            <w:vAlign w:val="center"/>
          </w:tcPr>
          <w:p w:rsidR="009F64F2" w:rsidRPr="00754C39" w:rsidRDefault="009F64F2" w:rsidP="009F64F2">
            <w:pPr>
              <w:ind w:firstLine="1332"/>
              <w:rPr>
                <w:sz w:val="26"/>
                <w:szCs w:val="26"/>
              </w:rPr>
            </w:pPr>
            <w:r w:rsidRPr="00754C39">
              <w:rPr>
                <w:sz w:val="26"/>
                <w:szCs w:val="26"/>
              </w:rPr>
              <w:t>Docket Number:</w:t>
            </w:r>
          </w:p>
          <w:p w:rsidR="009F64F2" w:rsidRPr="00754C39" w:rsidRDefault="00764699" w:rsidP="009F64F2">
            <w:pPr>
              <w:ind w:firstLine="1332"/>
              <w:rPr>
                <w:sz w:val="26"/>
                <w:szCs w:val="26"/>
              </w:rPr>
            </w:pPr>
            <w:r>
              <w:rPr>
                <w:sz w:val="26"/>
                <w:szCs w:val="26"/>
              </w:rPr>
              <w:t>P-2012-2283641</w:t>
            </w:r>
          </w:p>
        </w:tc>
      </w:tr>
    </w:tbl>
    <w:p w:rsidR="004B26E2" w:rsidRDefault="004B26E2" w:rsidP="004B26E2"/>
    <w:p w:rsidR="00560082" w:rsidRDefault="00560082" w:rsidP="00560082"/>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F922A0" w:rsidRDefault="00061AA0" w:rsidP="00E85D5D">
      <w:pPr>
        <w:spacing w:line="360" w:lineRule="auto"/>
        <w:ind w:firstLine="1440"/>
        <w:jc w:val="both"/>
      </w:pPr>
      <w:r w:rsidRPr="00103290">
        <w:t xml:space="preserve">This is to advise all parties of record that </w:t>
      </w:r>
      <w:r w:rsidR="00180DB7">
        <w:t>the Order</w:t>
      </w:r>
      <w:r w:rsidRPr="00103290">
        <w:t xml:space="preserve"> </w:t>
      </w:r>
      <w:r w:rsidR="00693018">
        <w:t xml:space="preserve">entered on </w:t>
      </w:r>
      <w:r w:rsidR="00764699">
        <w:t>February 14, 2013</w:t>
      </w:r>
      <w:r w:rsidR="00180DB7">
        <w:t>,</w:t>
      </w:r>
      <w:r w:rsidRPr="00103290">
        <w:t xml:space="preserve"> in the above-captioned proceeding contains</w:t>
      </w:r>
      <w:r w:rsidR="00F922A0">
        <w:t xml:space="preserve"> </w:t>
      </w:r>
      <w:r>
        <w:t>erro</w:t>
      </w:r>
      <w:r w:rsidR="00FA0973">
        <w:t>r</w:t>
      </w:r>
      <w:r w:rsidR="00180DB7">
        <w:t>s</w:t>
      </w:r>
      <w:r w:rsidR="00F922A0">
        <w:t xml:space="preserve"> </w:t>
      </w:r>
      <w:r w:rsidR="00F922A0" w:rsidRPr="00764699">
        <w:t>on P</w:t>
      </w:r>
      <w:r w:rsidR="00AD3111" w:rsidRPr="00764699">
        <w:t xml:space="preserve">age </w:t>
      </w:r>
      <w:r w:rsidR="00764699" w:rsidRPr="00764699">
        <w:t xml:space="preserve">20, and 21 </w:t>
      </w:r>
      <w:r w:rsidR="009F64F2" w:rsidRPr="00764699">
        <w:t xml:space="preserve">concerning </w:t>
      </w:r>
      <w:r w:rsidR="00764699" w:rsidRPr="00764699">
        <w:t>RESA’s position</w:t>
      </w:r>
      <w:r w:rsidR="009F64F2" w:rsidRPr="00764699">
        <w:t>.</w:t>
      </w:r>
    </w:p>
    <w:p w:rsidR="00F922A0" w:rsidRDefault="00F922A0" w:rsidP="00E85D5D">
      <w:pPr>
        <w:spacing w:line="360" w:lineRule="auto"/>
        <w:ind w:firstLine="1440"/>
        <w:jc w:val="both"/>
      </w:pPr>
    </w:p>
    <w:p w:rsidR="00061AA0" w:rsidRDefault="00764699" w:rsidP="00E85D5D">
      <w:pPr>
        <w:spacing w:line="360" w:lineRule="auto"/>
        <w:ind w:firstLine="1440"/>
        <w:jc w:val="both"/>
      </w:pPr>
      <w:r>
        <w:t xml:space="preserve">On page 20 there is a typographical error in the last line, “….or television </w:t>
      </w:r>
      <w:r w:rsidRPr="00764699">
        <w:t>or</w:t>
      </w:r>
      <w:r>
        <w:t xml:space="preserve"> radio station.  In addition, on page 21 a line was missed in the Publicity section.  </w:t>
      </w:r>
      <w:r w:rsidR="00A253F8">
        <w:t xml:space="preserve">Please find the corrected </w:t>
      </w:r>
      <w:r w:rsidR="00A253F8" w:rsidRPr="00764699">
        <w:t>page</w:t>
      </w:r>
      <w:r w:rsidR="00813ED3" w:rsidRPr="00764699">
        <w:t>s</w:t>
      </w:r>
      <w:r w:rsidR="00A253F8">
        <w:t xml:space="preserve"> attached</w:t>
      </w:r>
      <w:r w:rsidR="00D67425">
        <w:t xml:space="preserve"> for your records</w:t>
      </w:r>
      <w:r w:rsidR="00A253F8">
        <w:t>.</w:t>
      </w:r>
      <w:r w:rsidR="00061AA0">
        <w:t xml:space="preserve">  </w:t>
      </w:r>
    </w:p>
    <w:p w:rsidR="00813ED3" w:rsidRDefault="00813ED3" w:rsidP="00E85D5D">
      <w:pPr>
        <w:spacing w:line="360" w:lineRule="auto"/>
        <w:ind w:firstLine="1440"/>
        <w:jc w:val="both"/>
      </w:pPr>
    </w:p>
    <w:p w:rsidR="00541786" w:rsidRDefault="00061AA0" w:rsidP="00E85D5D">
      <w:pPr>
        <w:spacing w:line="360" w:lineRule="auto"/>
        <w:ind w:firstLine="1440"/>
        <w:jc w:val="both"/>
      </w:pPr>
      <w:r w:rsidRPr="00103290">
        <w:t xml:space="preserve">The </w:t>
      </w:r>
      <w:r w:rsidR="00560082">
        <w:t>Order</w:t>
      </w:r>
      <w:r w:rsidRPr="00103290">
        <w:t xml:space="preserve"> on the PA PUC website will be corrected as indicated above. </w:t>
      </w:r>
    </w:p>
    <w:p w:rsidR="00764699" w:rsidRDefault="00541786" w:rsidP="00764699">
      <w:pPr>
        <w:pStyle w:val="BodyText2"/>
        <w:spacing w:line="360" w:lineRule="auto"/>
        <w:rPr>
          <w:sz w:val="26"/>
          <w:szCs w:val="26"/>
        </w:rPr>
      </w:pPr>
      <w:r>
        <w:br w:type="page"/>
      </w:r>
      <w:r w:rsidR="00764699">
        <w:rPr>
          <w:sz w:val="26"/>
          <w:szCs w:val="26"/>
          <w:lang w:val="en-US"/>
        </w:rPr>
        <w:lastRenderedPageBreak/>
        <w:tab/>
      </w:r>
      <w:r w:rsidR="00764699">
        <w:rPr>
          <w:sz w:val="26"/>
          <w:szCs w:val="26"/>
          <w:lang w:val="en-US"/>
        </w:rPr>
        <w:tab/>
        <w:t>We conclude that adopting RESA’s proposal to include small C&amp;I customers with loads of 25kW or below in the Market Enhancement Programs will further the objectives of the Competition Act by inducing more customers to shop and ultimately reduce the costs of electric generation.  Therefore we shall adopt RESA’s proposal to include small C&amp;I customers with loads of 25kW or below in the Standard Offer Referral Program.</w:t>
      </w:r>
    </w:p>
    <w:p w:rsidR="00764699" w:rsidRDefault="00764699" w:rsidP="00764699">
      <w:pPr>
        <w:pStyle w:val="BodyText2"/>
        <w:spacing w:line="360" w:lineRule="auto"/>
        <w:rPr>
          <w:sz w:val="26"/>
          <w:szCs w:val="26"/>
        </w:rPr>
      </w:pPr>
    </w:p>
    <w:p w:rsidR="00764699" w:rsidRPr="00213759" w:rsidRDefault="00764699" w:rsidP="00764699">
      <w:pPr>
        <w:pStyle w:val="BodyText2"/>
        <w:numPr>
          <w:ilvl w:val="0"/>
          <w:numId w:val="3"/>
        </w:numPr>
        <w:spacing w:line="360" w:lineRule="auto"/>
        <w:rPr>
          <w:b/>
          <w:sz w:val="26"/>
          <w:szCs w:val="26"/>
        </w:rPr>
      </w:pPr>
      <w:r>
        <w:rPr>
          <w:b/>
          <w:sz w:val="26"/>
          <w:szCs w:val="26"/>
          <w:lang w:val="en-US"/>
        </w:rPr>
        <w:t>Publicity</w:t>
      </w:r>
    </w:p>
    <w:p w:rsidR="00764699" w:rsidRDefault="00764699" w:rsidP="00764699">
      <w:pPr>
        <w:pStyle w:val="BodyText2"/>
        <w:numPr>
          <w:ilvl w:val="0"/>
          <w:numId w:val="4"/>
        </w:numPr>
        <w:spacing w:line="360" w:lineRule="auto"/>
        <w:rPr>
          <w:b/>
          <w:sz w:val="26"/>
          <w:szCs w:val="26"/>
        </w:rPr>
      </w:pPr>
      <w:r>
        <w:rPr>
          <w:b/>
          <w:sz w:val="26"/>
          <w:szCs w:val="26"/>
          <w:lang w:val="en-US"/>
        </w:rPr>
        <w:t>Background</w:t>
      </w:r>
    </w:p>
    <w:p w:rsidR="00764699" w:rsidRDefault="00764699" w:rsidP="00764699">
      <w:pPr>
        <w:pStyle w:val="BodyText2"/>
        <w:spacing w:line="360" w:lineRule="auto"/>
        <w:rPr>
          <w:b/>
          <w:sz w:val="26"/>
          <w:szCs w:val="26"/>
          <w:lang w:val="en-US"/>
        </w:rPr>
      </w:pPr>
    </w:p>
    <w:p w:rsidR="00764699" w:rsidRDefault="00764699" w:rsidP="00764699">
      <w:pPr>
        <w:pStyle w:val="BodyText2"/>
        <w:spacing w:line="360" w:lineRule="auto"/>
        <w:rPr>
          <w:sz w:val="26"/>
          <w:szCs w:val="26"/>
          <w:lang w:val="en-US"/>
        </w:rPr>
      </w:pPr>
      <w:r>
        <w:rPr>
          <w:b/>
          <w:sz w:val="26"/>
          <w:szCs w:val="26"/>
          <w:lang w:val="en-US"/>
        </w:rPr>
        <w:tab/>
      </w:r>
      <w:r>
        <w:rPr>
          <w:b/>
          <w:sz w:val="26"/>
          <w:szCs w:val="26"/>
          <w:lang w:val="en-US"/>
        </w:rPr>
        <w:tab/>
      </w:r>
      <w:r>
        <w:rPr>
          <w:sz w:val="26"/>
          <w:szCs w:val="26"/>
          <w:lang w:val="en-US"/>
        </w:rPr>
        <w:t xml:space="preserve">In </w:t>
      </w:r>
      <w:r w:rsidRPr="00986E4D">
        <w:rPr>
          <w:sz w:val="26"/>
          <w:szCs w:val="26"/>
          <w:lang w:val="en-US"/>
        </w:rPr>
        <w:t xml:space="preserve">Section 8.8 of the Opt-In Program </w:t>
      </w:r>
      <w:r>
        <w:rPr>
          <w:sz w:val="26"/>
          <w:szCs w:val="26"/>
          <w:lang w:val="en-US"/>
        </w:rPr>
        <w:t xml:space="preserve">rules and Section 6.8 of the Standard Offer Customer Referral program rules of PECO’s plan, PECO attempts to limit the ability of participating suppliers to reference PECO in marketing. </w:t>
      </w:r>
    </w:p>
    <w:p w:rsidR="00764699" w:rsidRDefault="00764699" w:rsidP="00764699">
      <w:pPr>
        <w:pStyle w:val="BodyText2"/>
        <w:spacing w:line="360" w:lineRule="auto"/>
        <w:rPr>
          <w:sz w:val="26"/>
          <w:szCs w:val="26"/>
          <w:lang w:val="en-US"/>
        </w:rPr>
      </w:pPr>
    </w:p>
    <w:p w:rsidR="00764699" w:rsidRPr="00213759" w:rsidRDefault="00764699" w:rsidP="00764699">
      <w:pPr>
        <w:pStyle w:val="BodyText2"/>
        <w:numPr>
          <w:ilvl w:val="0"/>
          <w:numId w:val="4"/>
        </w:numPr>
        <w:spacing w:line="360" w:lineRule="auto"/>
        <w:rPr>
          <w:b/>
          <w:sz w:val="26"/>
          <w:szCs w:val="26"/>
          <w:lang w:val="en-US"/>
        </w:rPr>
      </w:pPr>
      <w:r>
        <w:rPr>
          <w:b/>
          <w:sz w:val="26"/>
          <w:szCs w:val="26"/>
          <w:lang w:val="en-US"/>
        </w:rPr>
        <w:t>RESA’s Position</w:t>
      </w:r>
    </w:p>
    <w:p w:rsidR="00764699" w:rsidRDefault="00764699" w:rsidP="00764699">
      <w:pPr>
        <w:pStyle w:val="BodyText2"/>
        <w:spacing w:line="360" w:lineRule="auto"/>
        <w:ind w:firstLine="1530"/>
        <w:rPr>
          <w:sz w:val="26"/>
          <w:szCs w:val="26"/>
          <w:lang w:val="en-US"/>
        </w:rPr>
      </w:pPr>
    </w:p>
    <w:p w:rsidR="00764699" w:rsidRDefault="00764699" w:rsidP="00764699">
      <w:pPr>
        <w:pStyle w:val="BodyText2"/>
        <w:spacing w:line="360" w:lineRule="auto"/>
        <w:ind w:firstLine="1530"/>
        <w:rPr>
          <w:sz w:val="26"/>
          <w:szCs w:val="26"/>
        </w:rPr>
      </w:pPr>
      <w:r>
        <w:rPr>
          <w:sz w:val="26"/>
          <w:szCs w:val="26"/>
          <w:lang w:val="en-US"/>
        </w:rPr>
        <w:t>RESA asserts that overly broad restrictions prohibiting EGSs participating in the programs to market the programs is counterproductive.  RESA further maintains that effective customer participation in these programs is more likely to result through a combination of marketing efforts by the Commission, PECO and participating suppliers. RESA proposes the following amended language:</w:t>
      </w:r>
    </w:p>
    <w:p w:rsidR="0012411F" w:rsidRDefault="00764699" w:rsidP="00764699">
      <w:pPr>
        <w:ind w:left="720" w:right="720"/>
        <w:rPr>
          <w:sz w:val="26"/>
          <w:szCs w:val="26"/>
        </w:rPr>
      </w:pPr>
      <w:proofErr w:type="gramStart"/>
      <w:r w:rsidRPr="008A3A74">
        <w:rPr>
          <w:b/>
          <w:sz w:val="26"/>
          <w:szCs w:val="26"/>
        </w:rPr>
        <w:t>Publicity</w:t>
      </w:r>
      <w:r>
        <w:rPr>
          <w:sz w:val="26"/>
          <w:szCs w:val="26"/>
        </w:rPr>
        <w:t>.</w:t>
      </w:r>
      <w:proofErr w:type="gramEnd"/>
      <w:r>
        <w:rPr>
          <w:sz w:val="26"/>
          <w:szCs w:val="26"/>
        </w:rPr>
        <w:t xml:space="preserve">  Each Participant understands and agrees that PECO does not participate in, nor does it allow, Participants to utilize media releases of any kind to publicize Participant’s business relationship with PECO. Each Participant shall not use any trade name, trademark, service mark or any other information which identifies PECO in such Participant’s sales, marketing and publicity activities, including interviews with representatives of any written publication, or television </w:t>
      </w:r>
      <w:r w:rsidRPr="00FB65E5">
        <w:rPr>
          <w:sz w:val="26"/>
          <w:szCs w:val="26"/>
          <w:highlight w:val="yellow"/>
        </w:rPr>
        <w:t>or</w:t>
      </w:r>
      <w:bookmarkStart w:id="0" w:name="_GoBack"/>
      <w:bookmarkEnd w:id="0"/>
      <w:r>
        <w:rPr>
          <w:sz w:val="26"/>
          <w:szCs w:val="26"/>
        </w:rPr>
        <w:t xml:space="preserve"> radio station or network, without</w:t>
      </w:r>
    </w:p>
    <w:p w:rsidR="00764699" w:rsidRDefault="00764699" w:rsidP="00764699">
      <w:pPr>
        <w:ind w:left="720" w:right="720"/>
      </w:pPr>
    </w:p>
    <w:p w:rsidR="00764699" w:rsidRDefault="00764699" w:rsidP="00764699">
      <w:pPr>
        <w:ind w:left="720" w:right="720"/>
      </w:pPr>
    </w:p>
    <w:p w:rsidR="00764699" w:rsidRDefault="00764699" w:rsidP="00764699">
      <w:pPr>
        <w:ind w:left="720" w:right="720"/>
        <w:jc w:val="center"/>
      </w:pPr>
      <w:r>
        <w:t>20</w:t>
      </w:r>
    </w:p>
    <w:p w:rsidR="00764699" w:rsidRDefault="00764699">
      <w:r>
        <w:br w:type="page"/>
      </w:r>
    </w:p>
    <w:p w:rsidR="00764699" w:rsidRDefault="00764699" w:rsidP="00764699">
      <w:pPr>
        <w:pStyle w:val="BodyText2"/>
        <w:spacing w:line="240" w:lineRule="auto"/>
        <w:ind w:left="720" w:right="720"/>
        <w:rPr>
          <w:sz w:val="26"/>
          <w:szCs w:val="26"/>
          <w:lang w:val="en-US"/>
        </w:rPr>
      </w:pPr>
      <w:r>
        <w:rPr>
          <w:sz w:val="26"/>
          <w:szCs w:val="26"/>
          <w:lang w:val="en-US"/>
        </w:rPr>
        <w:lastRenderedPageBreak/>
        <w:t xml:space="preserve">PECO’s express prior written consent. </w:t>
      </w:r>
      <w:r>
        <w:rPr>
          <w:sz w:val="26"/>
          <w:szCs w:val="26"/>
          <w:u w:val="single"/>
          <w:lang w:val="en-US"/>
        </w:rPr>
        <w:t>This prohibition, however, shall not be construed to require PECO’s express</w:t>
      </w:r>
      <w:r w:rsidR="00591B6B">
        <w:rPr>
          <w:sz w:val="26"/>
          <w:szCs w:val="26"/>
          <w:u w:val="single"/>
          <w:lang w:val="en-US"/>
        </w:rPr>
        <w:t xml:space="preserve"> consent before a </w:t>
      </w:r>
      <w:r w:rsidR="00591B6B" w:rsidRPr="00591B6B">
        <w:rPr>
          <w:sz w:val="26"/>
          <w:szCs w:val="26"/>
          <w:highlight w:val="yellow"/>
          <w:u w:val="single"/>
          <w:lang w:val="en-US"/>
        </w:rPr>
        <w:t>Participant can refer, in a factual manner, to the PECO service territory or the</w:t>
      </w:r>
      <w:r w:rsidR="00591B6B">
        <w:rPr>
          <w:sz w:val="26"/>
          <w:szCs w:val="26"/>
          <w:u w:val="single"/>
          <w:lang w:val="en-US"/>
        </w:rPr>
        <w:t xml:space="preserve"> </w:t>
      </w:r>
      <w:proofErr w:type="gramStart"/>
      <w:r w:rsidR="00591B6B">
        <w:rPr>
          <w:sz w:val="26"/>
          <w:szCs w:val="26"/>
          <w:u w:val="single"/>
          <w:lang w:val="en-US"/>
        </w:rPr>
        <w:t xml:space="preserve">Participant’s </w:t>
      </w:r>
      <w:r>
        <w:rPr>
          <w:sz w:val="26"/>
          <w:szCs w:val="26"/>
          <w:u w:val="single"/>
          <w:lang w:val="en-US"/>
        </w:rPr>
        <w:t xml:space="preserve"> participation</w:t>
      </w:r>
      <w:proofErr w:type="gramEnd"/>
      <w:r>
        <w:rPr>
          <w:sz w:val="26"/>
          <w:szCs w:val="26"/>
          <w:u w:val="single"/>
          <w:lang w:val="en-US"/>
        </w:rPr>
        <w:t xml:space="preserve"> in the PECO program so long as </w:t>
      </w:r>
      <w:r>
        <w:rPr>
          <w:strike/>
          <w:sz w:val="26"/>
          <w:szCs w:val="26"/>
          <w:lang w:val="en-US"/>
        </w:rPr>
        <w:t xml:space="preserve">For all other references to PECO not requiring PECO’s prior consent, </w:t>
      </w:r>
      <w:r>
        <w:rPr>
          <w:sz w:val="26"/>
          <w:szCs w:val="26"/>
          <w:lang w:val="en-US"/>
        </w:rPr>
        <w:t xml:space="preserve">the references </w:t>
      </w:r>
      <w:r>
        <w:rPr>
          <w:strike/>
          <w:sz w:val="26"/>
          <w:szCs w:val="26"/>
          <w:lang w:val="en-US"/>
        </w:rPr>
        <w:t>must be</w:t>
      </w:r>
      <w:r>
        <w:rPr>
          <w:sz w:val="26"/>
          <w:szCs w:val="26"/>
          <w:lang w:val="en-US"/>
        </w:rPr>
        <w:t xml:space="preserve"> are factual and </w:t>
      </w:r>
      <w:r>
        <w:rPr>
          <w:strike/>
          <w:sz w:val="26"/>
          <w:szCs w:val="26"/>
          <w:lang w:val="en-US"/>
        </w:rPr>
        <w:t>can</w:t>
      </w:r>
      <w:r>
        <w:rPr>
          <w:sz w:val="26"/>
          <w:szCs w:val="26"/>
          <w:lang w:val="en-US"/>
        </w:rPr>
        <w:t xml:space="preserve"> </w:t>
      </w:r>
      <w:r>
        <w:rPr>
          <w:sz w:val="26"/>
          <w:szCs w:val="26"/>
          <w:u w:val="single"/>
          <w:lang w:val="en-US"/>
        </w:rPr>
        <w:t>do</w:t>
      </w:r>
      <w:r>
        <w:rPr>
          <w:sz w:val="26"/>
          <w:szCs w:val="26"/>
          <w:lang w:val="en-US"/>
        </w:rPr>
        <w:t xml:space="preserve"> not infer endorsement by or affiliation with PECO. </w:t>
      </w:r>
    </w:p>
    <w:p w:rsidR="00764699" w:rsidRDefault="00764699" w:rsidP="00764699">
      <w:pPr>
        <w:pStyle w:val="BodyText2"/>
        <w:spacing w:line="240" w:lineRule="auto"/>
        <w:ind w:left="720" w:right="720"/>
        <w:rPr>
          <w:sz w:val="26"/>
          <w:szCs w:val="26"/>
          <w:lang w:val="en-US"/>
        </w:rPr>
      </w:pPr>
    </w:p>
    <w:p w:rsidR="00764699" w:rsidRDefault="00764699" w:rsidP="00764699">
      <w:pPr>
        <w:pStyle w:val="BodyText2"/>
        <w:spacing w:line="240" w:lineRule="auto"/>
        <w:rPr>
          <w:sz w:val="26"/>
          <w:szCs w:val="26"/>
          <w:lang w:val="en-US"/>
        </w:rPr>
      </w:pPr>
      <w:proofErr w:type="gramStart"/>
      <w:r>
        <w:rPr>
          <w:sz w:val="26"/>
          <w:szCs w:val="26"/>
          <w:lang w:val="en-US"/>
        </w:rPr>
        <w:t>RESA Comments at 19.</w:t>
      </w:r>
      <w:proofErr w:type="gramEnd"/>
    </w:p>
    <w:p w:rsidR="00764699" w:rsidRDefault="00764699" w:rsidP="00764699">
      <w:pPr>
        <w:pStyle w:val="BodyText2"/>
        <w:spacing w:line="240" w:lineRule="auto"/>
        <w:ind w:left="2250" w:right="720" w:hanging="2250"/>
        <w:rPr>
          <w:sz w:val="26"/>
          <w:szCs w:val="26"/>
        </w:rPr>
      </w:pPr>
    </w:p>
    <w:p w:rsidR="00764699" w:rsidRPr="00213759" w:rsidRDefault="00764699" w:rsidP="00764699">
      <w:pPr>
        <w:pStyle w:val="BodyText2"/>
        <w:numPr>
          <w:ilvl w:val="0"/>
          <w:numId w:val="5"/>
        </w:numPr>
        <w:spacing w:line="240" w:lineRule="auto"/>
        <w:ind w:right="720"/>
        <w:rPr>
          <w:b/>
          <w:sz w:val="26"/>
          <w:szCs w:val="26"/>
          <w:lang w:val="en-US"/>
        </w:rPr>
      </w:pPr>
      <w:r>
        <w:rPr>
          <w:b/>
          <w:sz w:val="26"/>
          <w:szCs w:val="26"/>
          <w:lang w:val="en-US"/>
        </w:rPr>
        <w:t>PECO’s Position</w:t>
      </w:r>
    </w:p>
    <w:p w:rsidR="00764699" w:rsidRPr="008A66AA" w:rsidRDefault="00764699" w:rsidP="00764699">
      <w:pPr>
        <w:pStyle w:val="BodyText2"/>
        <w:spacing w:line="240" w:lineRule="auto"/>
        <w:ind w:left="2250" w:right="720" w:hanging="2250"/>
        <w:rPr>
          <w:sz w:val="26"/>
          <w:szCs w:val="26"/>
        </w:rPr>
      </w:pPr>
    </w:p>
    <w:p w:rsidR="00764699" w:rsidRPr="008A66AA" w:rsidRDefault="00764699" w:rsidP="00764699">
      <w:pPr>
        <w:pStyle w:val="BodyText2"/>
        <w:spacing w:line="360" w:lineRule="auto"/>
        <w:rPr>
          <w:sz w:val="26"/>
          <w:szCs w:val="26"/>
        </w:rPr>
      </w:pPr>
      <w:r>
        <w:rPr>
          <w:b/>
          <w:sz w:val="26"/>
          <w:szCs w:val="26"/>
          <w:lang w:val="en-US"/>
        </w:rPr>
        <w:tab/>
      </w:r>
      <w:r>
        <w:rPr>
          <w:b/>
          <w:sz w:val="26"/>
          <w:szCs w:val="26"/>
          <w:lang w:val="en-US"/>
        </w:rPr>
        <w:tab/>
      </w:r>
      <w:r>
        <w:rPr>
          <w:sz w:val="26"/>
          <w:szCs w:val="26"/>
          <w:lang w:val="en-US"/>
        </w:rPr>
        <w:t xml:space="preserve">PECO explains that the purpose of these provisions is to ensure that PECO may withhold approval in cases where an EGS promotes its role in a way that has a negative effect on the reputation of the PECO brand.  Additionally PECO indicates that, RESA fails to recognize that the Commission has already approved more restrictive contractual language identical to PECO’s original DSP II proposal in PECO’s Alternative Energy Portfolio Standards Act (AEPS) Procurement plans.  </w:t>
      </w:r>
      <w:proofErr w:type="gramStart"/>
      <w:r>
        <w:rPr>
          <w:sz w:val="26"/>
          <w:szCs w:val="26"/>
          <w:lang w:val="en-US"/>
        </w:rPr>
        <w:t>PECO Reply Comments at 17.</w:t>
      </w:r>
      <w:proofErr w:type="gramEnd"/>
    </w:p>
    <w:p w:rsidR="00764699" w:rsidRPr="00E974A3" w:rsidRDefault="00764699" w:rsidP="00764699">
      <w:pPr>
        <w:pStyle w:val="BodyText2"/>
        <w:spacing w:line="360" w:lineRule="auto"/>
        <w:rPr>
          <w:sz w:val="26"/>
          <w:szCs w:val="26"/>
        </w:rPr>
      </w:pPr>
    </w:p>
    <w:p w:rsidR="00764699" w:rsidRDefault="00764699" w:rsidP="00764699">
      <w:pPr>
        <w:pStyle w:val="BodyText2"/>
        <w:numPr>
          <w:ilvl w:val="0"/>
          <w:numId w:val="5"/>
        </w:numPr>
        <w:spacing w:line="360" w:lineRule="auto"/>
        <w:rPr>
          <w:b/>
          <w:sz w:val="26"/>
          <w:szCs w:val="26"/>
        </w:rPr>
      </w:pPr>
      <w:r>
        <w:rPr>
          <w:b/>
          <w:sz w:val="26"/>
          <w:szCs w:val="26"/>
          <w:lang w:val="en-US"/>
        </w:rPr>
        <w:t>Disposition</w:t>
      </w:r>
    </w:p>
    <w:p w:rsidR="00764699" w:rsidRDefault="00764699" w:rsidP="00764699">
      <w:pPr>
        <w:pStyle w:val="BodyText2"/>
        <w:spacing w:line="360" w:lineRule="auto"/>
        <w:rPr>
          <w:sz w:val="26"/>
          <w:szCs w:val="26"/>
          <w:lang w:val="en-US"/>
        </w:rPr>
      </w:pPr>
    </w:p>
    <w:p w:rsidR="00764699" w:rsidRDefault="00764699" w:rsidP="00764699">
      <w:pPr>
        <w:pStyle w:val="BodyText2"/>
        <w:spacing w:line="360" w:lineRule="auto"/>
        <w:rPr>
          <w:sz w:val="26"/>
          <w:szCs w:val="26"/>
          <w:lang w:val="en-US"/>
        </w:rPr>
      </w:pPr>
      <w:r>
        <w:rPr>
          <w:sz w:val="26"/>
          <w:szCs w:val="26"/>
          <w:lang w:val="en-US"/>
        </w:rPr>
        <w:tab/>
      </w:r>
      <w:r>
        <w:rPr>
          <w:sz w:val="26"/>
          <w:szCs w:val="26"/>
          <w:lang w:val="en-US"/>
        </w:rPr>
        <w:tab/>
        <w:t>We are persuaded by RESA’s argument that PECO’s overly broad restrictions are counterproductive.  We find that RESA’s amended language concerning Publicity for the Opt-In Program and Standard Offer Referral Program is more concise and addresses PECO’s concerns about EGSs marketing the Retail Market Enhancement Programs.  We encourage the EGSs to promote the Retail Market Enhancement Programs, however we strongly caution EGSs to adhere to the Publicity rules set forth for both programs.</w:t>
      </w:r>
    </w:p>
    <w:p w:rsidR="00764699" w:rsidRDefault="00764699" w:rsidP="00764699">
      <w:pPr>
        <w:ind w:left="720" w:right="720"/>
      </w:pPr>
    </w:p>
    <w:p w:rsidR="00764699" w:rsidRDefault="00764699" w:rsidP="00764699">
      <w:pPr>
        <w:ind w:left="720" w:right="720"/>
      </w:pPr>
    </w:p>
    <w:p w:rsidR="00764699" w:rsidRDefault="00764699" w:rsidP="00764699">
      <w:pPr>
        <w:ind w:left="720" w:right="720"/>
      </w:pPr>
    </w:p>
    <w:p w:rsidR="00764699" w:rsidRDefault="00764699" w:rsidP="00764699">
      <w:pPr>
        <w:ind w:left="720" w:right="720"/>
      </w:pPr>
    </w:p>
    <w:p w:rsidR="00764699" w:rsidRDefault="00764699" w:rsidP="00764699">
      <w:pPr>
        <w:ind w:left="720" w:right="720"/>
      </w:pPr>
    </w:p>
    <w:p w:rsidR="00764699" w:rsidRDefault="00764699" w:rsidP="00764699">
      <w:pPr>
        <w:ind w:left="720" w:right="720"/>
        <w:jc w:val="center"/>
      </w:pPr>
      <w:r>
        <w:t>21</w:t>
      </w:r>
    </w:p>
    <w:sectPr w:rsidR="00764699" w:rsidSect="00CE0C52">
      <w:footerReference w:type="even" r:id="rId8"/>
      <w:footerReference w:type="first" r:id="rId9"/>
      <w:pgSz w:w="12240" w:h="15840" w:code="1"/>
      <w:pgMar w:top="1440" w:right="1440" w:bottom="360" w:left="1440" w:header="720" w:footer="288" w:gutter="0"/>
      <w:paperSrc w:first="15"/>
      <w:pgNumType w:start="2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01" w:rsidRDefault="00554001">
      <w:r>
        <w:separator/>
      </w:r>
    </w:p>
  </w:endnote>
  <w:endnote w:type="continuationSeparator" w:id="0">
    <w:p w:rsidR="00554001" w:rsidRDefault="0055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01" w:rsidRDefault="00554001">
      <w:r>
        <w:separator/>
      </w:r>
    </w:p>
  </w:footnote>
  <w:footnote w:type="continuationSeparator" w:id="0">
    <w:p w:rsidR="00554001" w:rsidRDefault="00554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0394"/>
    <w:multiLevelType w:val="hybridMultilevel"/>
    <w:tmpl w:val="199E2AD0"/>
    <w:lvl w:ilvl="0" w:tplc="67E66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711B26"/>
    <w:multiLevelType w:val="hybridMultilevel"/>
    <w:tmpl w:val="1A3E2F50"/>
    <w:lvl w:ilvl="0" w:tplc="EDCE7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876C23"/>
    <w:multiLevelType w:val="hybridMultilevel"/>
    <w:tmpl w:val="199E2AD0"/>
    <w:lvl w:ilvl="0" w:tplc="67E66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3586B"/>
    <w:rsid w:val="00137061"/>
    <w:rsid w:val="00141564"/>
    <w:rsid w:val="0014205C"/>
    <w:rsid w:val="00143209"/>
    <w:rsid w:val="00146731"/>
    <w:rsid w:val="00146CF5"/>
    <w:rsid w:val="00150480"/>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3BA1"/>
    <w:rsid w:val="003750FB"/>
    <w:rsid w:val="00375C32"/>
    <w:rsid w:val="00376C83"/>
    <w:rsid w:val="0038467C"/>
    <w:rsid w:val="003858B9"/>
    <w:rsid w:val="0039516D"/>
    <w:rsid w:val="00395BCC"/>
    <w:rsid w:val="003A07DE"/>
    <w:rsid w:val="003A2EB1"/>
    <w:rsid w:val="003A4014"/>
    <w:rsid w:val="003A5C02"/>
    <w:rsid w:val="003B3B28"/>
    <w:rsid w:val="003B5D10"/>
    <w:rsid w:val="003C726A"/>
    <w:rsid w:val="003D0209"/>
    <w:rsid w:val="003D1100"/>
    <w:rsid w:val="003D1E21"/>
    <w:rsid w:val="003D50A1"/>
    <w:rsid w:val="003D54D9"/>
    <w:rsid w:val="003E228E"/>
    <w:rsid w:val="003E568A"/>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4001"/>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1B6B"/>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4699"/>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27549"/>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23F9"/>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66DD"/>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B65E5"/>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BodyText2">
    <w:name w:val="Body Text 2"/>
    <w:basedOn w:val="Normal"/>
    <w:link w:val="BodyText2Char"/>
    <w:rsid w:val="00764699"/>
    <w:pPr>
      <w:autoSpaceDE w:val="0"/>
      <w:autoSpaceDN w:val="0"/>
      <w:spacing w:after="120" w:line="480" w:lineRule="auto"/>
    </w:pPr>
    <w:rPr>
      <w:lang w:val="x-none" w:eastAsia="x-none"/>
    </w:rPr>
  </w:style>
  <w:style w:type="character" w:customStyle="1" w:styleId="BodyText2Char">
    <w:name w:val="Body Text 2 Char"/>
    <w:basedOn w:val="DefaultParagraphFont"/>
    <w:link w:val="BodyText2"/>
    <w:rsid w:val="00764699"/>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paragraph" w:styleId="BodyText2">
    <w:name w:val="Body Text 2"/>
    <w:basedOn w:val="Normal"/>
    <w:link w:val="BodyText2Char"/>
    <w:rsid w:val="00764699"/>
    <w:pPr>
      <w:autoSpaceDE w:val="0"/>
      <w:autoSpaceDN w:val="0"/>
      <w:spacing w:after="120" w:line="480" w:lineRule="auto"/>
    </w:pPr>
    <w:rPr>
      <w:lang w:val="x-none" w:eastAsia="x-none"/>
    </w:rPr>
  </w:style>
  <w:style w:type="character" w:customStyle="1" w:styleId="BodyText2Char">
    <w:name w:val="Body Text 2 Char"/>
    <w:basedOn w:val="DefaultParagraphFont"/>
    <w:link w:val="BodyText2"/>
    <w:rsid w:val="00764699"/>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Miller, Sara</cp:lastModifiedBy>
  <cp:revision>2</cp:revision>
  <cp:lastPrinted>2010-01-05T13:43:00Z</cp:lastPrinted>
  <dcterms:created xsi:type="dcterms:W3CDTF">2013-02-15T18:24:00Z</dcterms:created>
  <dcterms:modified xsi:type="dcterms:W3CDTF">2013-02-15T18:24:00Z</dcterms:modified>
</cp:coreProperties>
</file>