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7A3463" w:rsidRDefault="009304FE" w:rsidP="009304FE">
      <w:pPr>
        <w:jc w:val="center"/>
        <w:rPr>
          <w:b/>
          <w:sz w:val="26"/>
          <w:szCs w:val="26"/>
        </w:rPr>
      </w:pPr>
      <w:r w:rsidRPr="007A3463">
        <w:rPr>
          <w:b/>
          <w:sz w:val="26"/>
          <w:szCs w:val="26"/>
        </w:rPr>
        <w:t>PENNSYLVANIA</w:t>
      </w:r>
    </w:p>
    <w:p w:rsidR="009304FE" w:rsidRPr="007A3463" w:rsidRDefault="009304FE" w:rsidP="009304FE">
      <w:pPr>
        <w:jc w:val="center"/>
        <w:rPr>
          <w:b/>
          <w:sz w:val="26"/>
          <w:szCs w:val="26"/>
        </w:rPr>
      </w:pPr>
      <w:r w:rsidRPr="007A3463">
        <w:rPr>
          <w:b/>
          <w:sz w:val="26"/>
          <w:szCs w:val="26"/>
        </w:rPr>
        <w:t>PUBLIC UTILITY COMMISSION</w:t>
      </w:r>
    </w:p>
    <w:p w:rsidR="009304FE" w:rsidRPr="007A3463" w:rsidRDefault="009304FE" w:rsidP="009304FE">
      <w:pPr>
        <w:jc w:val="center"/>
        <w:rPr>
          <w:b/>
          <w:sz w:val="26"/>
          <w:szCs w:val="26"/>
        </w:rPr>
      </w:pPr>
      <w:r w:rsidRPr="007A3463">
        <w:rPr>
          <w:b/>
          <w:sz w:val="26"/>
          <w:szCs w:val="26"/>
        </w:rPr>
        <w:t>Harrisburg, PA 17105-3265</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CB7C08">
      <w:pPr>
        <w:jc w:val="right"/>
        <w:rPr>
          <w:sz w:val="26"/>
          <w:szCs w:val="26"/>
        </w:rPr>
      </w:pPr>
      <w:r w:rsidRPr="007A3463">
        <w:rPr>
          <w:sz w:val="26"/>
          <w:szCs w:val="26"/>
        </w:rPr>
        <w:t xml:space="preserve">Public Meeting held </w:t>
      </w:r>
      <w:r w:rsidR="009C65B2" w:rsidRPr="007A3463">
        <w:rPr>
          <w:sz w:val="26"/>
          <w:szCs w:val="26"/>
        </w:rPr>
        <w:t>January 10, 2013</w:t>
      </w:r>
      <w:r w:rsidR="00B01F47" w:rsidRPr="007A3463">
        <w:rPr>
          <w:sz w:val="26"/>
          <w:szCs w:val="26"/>
        </w:rPr>
        <w:t xml:space="preserve"> </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9304FE">
      <w:pPr>
        <w:rPr>
          <w:sz w:val="26"/>
          <w:szCs w:val="26"/>
        </w:rPr>
      </w:pPr>
      <w:r w:rsidRPr="007A3463">
        <w:rPr>
          <w:sz w:val="26"/>
          <w:szCs w:val="26"/>
        </w:rPr>
        <w:t>Commissioners Present:</w:t>
      </w:r>
    </w:p>
    <w:p w:rsidR="009304FE" w:rsidRPr="007A3463" w:rsidRDefault="009304FE" w:rsidP="009304FE">
      <w:pPr>
        <w:rPr>
          <w:sz w:val="26"/>
          <w:szCs w:val="26"/>
        </w:rPr>
      </w:pPr>
    </w:p>
    <w:p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rsidR="009304FE" w:rsidRPr="007A3463" w:rsidRDefault="001C7F88" w:rsidP="009304FE">
      <w:pPr>
        <w:rPr>
          <w:sz w:val="26"/>
          <w:szCs w:val="26"/>
        </w:rPr>
      </w:pPr>
      <w:r w:rsidRPr="007A3463">
        <w:rPr>
          <w:sz w:val="26"/>
          <w:szCs w:val="26"/>
        </w:rPr>
        <w:tab/>
      </w:r>
      <w:r w:rsidR="009304FE" w:rsidRPr="007A3463">
        <w:rPr>
          <w:sz w:val="26"/>
          <w:szCs w:val="26"/>
        </w:rPr>
        <w:t>Wayne E. Gardner</w:t>
      </w:r>
    </w:p>
    <w:p w:rsidR="009304FE" w:rsidRPr="007A3463" w:rsidRDefault="009304FE" w:rsidP="009304FE">
      <w:pPr>
        <w:rPr>
          <w:sz w:val="26"/>
          <w:szCs w:val="26"/>
        </w:rPr>
      </w:pPr>
      <w:r w:rsidRPr="007A3463">
        <w:rPr>
          <w:sz w:val="26"/>
          <w:szCs w:val="26"/>
        </w:rPr>
        <w:tab/>
      </w:r>
      <w:r w:rsidR="007A3463" w:rsidRPr="007A3463">
        <w:rPr>
          <w:sz w:val="26"/>
          <w:szCs w:val="26"/>
        </w:rPr>
        <w:t>James H. Cawley</w:t>
      </w:r>
    </w:p>
    <w:p w:rsidR="009304FE" w:rsidRPr="007A3463" w:rsidRDefault="00AB0F2F" w:rsidP="009304FE">
      <w:r w:rsidRPr="007A3463">
        <w:tab/>
      </w:r>
      <w:r w:rsidRPr="007A3463">
        <w:rPr>
          <w:sz w:val="26"/>
        </w:rPr>
        <w:t>Pamela A. Witmer</w:t>
      </w:r>
    </w:p>
    <w:p w:rsidR="00AB0F2F" w:rsidRPr="007A3463" w:rsidRDefault="00AB0F2F" w:rsidP="009304FE"/>
    <w:p w:rsidR="009304FE" w:rsidRPr="007A3463" w:rsidRDefault="009304FE" w:rsidP="009304FE"/>
    <w:p w:rsidR="00E050C0" w:rsidRPr="007A3463" w:rsidRDefault="009C65B2" w:rsidP="00E050C0">
      <w:pPr>
        <w:tabs>
          <w:tab w:val="left" w:pos="-720"/>
          <w:tab w:val="left" w:pos="0"/>
        </w:tabs>
        <w:suppressAutoHyphens/>
        <w:rPr>
          <w:sz w:val="26"/>
          <w:szCs w:val="26"/>
        </w:rPr>
      </w:pPr>
      <w:r w:rsidRPr="007A3463">
        <w:rPr>
          <w:sz w:val="26"/>
          <w:szCs w:val="26"/>
        </w:rPr>
        <w:t>Sue Christmas</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1523CA" w:rsidRPr="007A3463">
        <w:rPr>
          <w:sz w:val="26"/>
          <w:szCs w:val="26"/>
        </w:rPr>
        <w:t xml:space="preserve">    </w:t>
      </w:r>
      <w:r w:rsidRPr="007A3463">
        <w:rPr>
          <w:sz w:val="26"/>
          <w:szCs w:val="26"/>
        </w:rPr>
        <w:t>F-2011-2273245</w:t>
      </w:r>
    </w:p>
    <w:p w:rsidR="00E050C0" w:rsidRPr="007A3463" w:rsidRDefault="00E050C0" w:rsidP="00E050C0">
      <w:pPr>
        <w:tabs>
          <w:tab w:val="left" w:pos="-720"/>
          <w:tab w:val="left" w:pos="0"/>
        </w:tabs>
        <w:suppressAutoHyphens/>
        <w:rPr>
          <w:sz w:val="26"/>
          <w:szCs w:val="26"/>
        </w:rPr>
      </w:pPr>
    </w:p>
    <w:p w:rsidR="00E050C0" w:rsidRPr="007A3463" w:rsidRDefault="00E050C0" w:rsidP="00E050C0">
      <w:pPr>
        <w:tabs>
          <w:tab w:val="left" w:pos="-720"/>
          <w:tab w:val="left" w:pos="0"/>
        </w:tabs>
        <w:suppressAutoHyphens/>
        <w:rPr>
          <w:sz w:val="26"/>
          <w:szCs w:val="26"/>
        </w:rPr>
      </w:pPr>
      <w:r w:rsidRPr="007A3463">
        <w:rPr>
          <w:sz w:val="26"/>
          <w:szCs w:val="26"/>
        </w:rPr>
        <w:tab/>
      </w:r>
      <w:proofErr w:type="gramStart"/>
      <w:r w:rsidRPr="007A3463">
        <w:rPr>
          <w:sz w:val="26"/>
          <w:szCs w:val="26"/>
        </w:rPr>
        <w:t>v</w:t>
      </w:r>
      <w:proofErr w:type="gramEnd"/>
      <w:r w:rsidRPr="007A3463">
        <w:rPr>
          <w:sz w:val="26"/>
          <w:szCs w:val="26"/>
        </w:rPr>
        <w:t>.</w:t>
      </w:r>
    </w:p>
    <w:p w:rsidR="00E050C0" w:rsidRPr="007A3463" w:rsidRDefault="00E050C0" w:rsidP="00E050C0">
      <w:pPr>
        <w:tabs>
          <w:tab w:val="left" w:pos="-720"/>
          <w:tab w:val="left" w:pos="0"/>
        </w:tabs>
        <w:suppressAutoHyphens/>
        <w:rPr>
          <w:sz w:val="26"/>
          <w:szCs w:val="26"/>
        </w:rPr>
      </w:pPr>
    </w:p>
    <w:p w:rsidR="009304FE" w:rsidRPr="007A3463" w:rsidRDefault="009C65B2" w:rsidP="00E050C0">
      <w:pPr>
        <w:tabs>
          <w:tab w:val="left" w:pos="-720"/>
          <w:tab w:val="left" w:pos="0"/>
        </w:tabs>
        <w:suppressAutoHyphens/>
        <w:rPr>
          <w:sz w:val="26"/>
          <w:szCs w:val="26"/>
        </w:rPr>
      </w:pPr>
      <w:r w:rsidRPr="007A3463">
        <w:rPr>
          <w:sz w:val="26"/>
          <w:szCs w:val="26"/>
        </w:rPr>
        <w:t>PECO Energy Company</w:t>
      </w:r>
    </w:p>
    <w:p w:rsidR="009304FE" w:rsidRPr="007A3463" w:rsidRDefault="009304FE" w:rsidP="009304FE">
      <w:pPr>
        <w:rPr>
          <w:sz w:val="26"/>
          <w:szCs w:val="26"/>
        </w:rPr>
      </w:pPr>
    </w:p>
    <w:p w:rsidR="009304FE" w:rsidRPr="007A3463" w:rsidRDefault="009304FE" w:rsidP="009304FE">
      <w:pPr>
        <w:tabs>
          <w:tab w:val="left" w:pos="-720"/>
        </w:tabs>
        <w:suppressAutoHyphens/>
        <w:rPr>
          <w:sz w:val="26"/>
        </w:rPr>
      </w:pPr>
    </w:p>
    <w:p w:rsidR="009304FE" w:rsidRPr="007A3463" w:rsidRDefault="009304FE" w:rsidP="009304FE">
      <w:pPr>
        <w:tabs>
          <w:tab w:val="center" w:pos="4680"/>
        </w:tabs>
        <w:suppressAutoHyphens/>
        <w:jc w:val="center"/>
        <w:rPr>
          <w:b/>
          <w:sz w:val="26"/>
        </w:rPr>
      </w:pPr>
      <w:r w:rsidRPr="007A3463">
        <w:rPr>
          <w:b/>
          <w:sz w:val="26"/>
        </w:rPr>
        <w:t>OPINION AND ORDER</w:t>
      </w:r>
    </w:p>
    <w:p w:rsidR="00CA6BAF" w:rsidRPr="007A3463" w:rsidRDefault="00CA6BAF" w:rsidP="009304FE">
      <w:pPr>
        <w:tabs>
          <w:tab w:val="left" w:pos="-720"/>
        </w:tabs>
        <w:suppressAutoHyphens/>
        <w:spacing w:line="360" w:lineRule="auto"/>
        <w:rPr>
          <w:b/>
          <w:sz w:val="26"/>
        </w:rPr>
      </w:pPr>
    </w:p>
    <w:p w:rsidR="009304FE" w:rsidRPr="007A3463" w:rsidRDefault="009304FE" w:rsidP="009304FE">
      <w:pPr>
        <w:tabs>
          <w:tab w:val="left" w:pos="-720"/>
        </w:tabs>
        <w:suppressAutoHyphens/>
        <w:spacing w:line="360" w:lineRule="auto"/>
        <w:rPr>
          <w:sz w:val="26"/>
        </w:rPr>
      </w:pPr>
      <w:r w:rsidRPr="007A3463">
        <w:rPr>
          <w:b/>
          <w:sz w:val="26"/>
        </w:rPr>
        <w:t>BY THE COMMISSION:</w:t>
      </w:r>
    </w:p>
    <w:p w:rsidR="009304FE" w:rsidRPr="007A3463" w:rsidRDefault="009304FE" w:rsidP="009304FE">
      <w:pPr>
        <w:rPr>
          <w:sz w:val="26"/>
          <w:szCs w:val="26"/>
        </w:rPr>
      </w:pPr>
    </w:p>
    <w:p w:rsidR="0067105F" w:rsidRPr="007A3463" w:rsidRDefault="00AE655A" w:rsidP="0019214E">
      <w:pPr>
        <w:spacing w:line="360" w:lineRule="auto"/>
        <w:rPr>
          <w:sz w:val="26"/>
          <w:szCs w:val="26"/>
        </w:rPr>
      </w:pPr>
      <w:r w:rsidRPr="007A3463">
        <w:rPr>
          <w:sz w:val="26"/>
          <w:szCs w:val="26"/>
        </w:rPr>
        <w:tab/>
      </w:r>
      <w:r w:rsidRPr="007A3463">
        <w:rPr>
          <w:sz w:val="26"/>
          <w:szCs w:val="26"/>
        </w:rPr>
        <w:tab/>
      </w:r>
      <w:r w:rsidR="009304FE" w:rsidRPr="007A3463">
        <w:rPr>
          <w:sz w:val="26"/>
          <w:szCs w:val="26"/>
        </w:rPr>
        <w:t xml:space="preserve">Before the Pennsylvania Public Utility Commission (Commission) for consideration and disposition </w:t>
      </w:r>
      <w:r w:rsidR="00AA3F68" w:rsidRPr="007A3463">
        <w:rPr>
          <w:sz w:val="26"/>
          <w:szCs w:val="26"/>
        </w:rPr>
        <w:t xml:space="preserve">is the Initial Decision (I.D.) of Administrative Law Judge (ALJ) </w:t>
      </w:r>
      <w:r w:rsidR="0083362F" w:rsidRPr="007A3463">
        <w:rPr>
          <w:sz w:val="26"/>
          <w:szCs w:val="26"/>
        </w:rPr>
        <w:t>Eranda Vero</w:t>
      </w:r>
      <w:r w:rsidR="00AA3F68" w:rsidRPr="007A3463">
        <w:rPr>
          <w:sz w:val="26"/>
          <w:szCs w:val="26"/>
        </w:rPr>
        <w:t xml:space="preserve">, issued on </w:t>
      </w:r>
      <w:r w:rsidR="0053478E" w:rsidRPr="007A3463">
        <w:rPr>
          <w:sz w:val="26"/>
          <w:szCs w:val="26"/>
        </w:rPr>
        <w:t>November 6</w:t>
      </w:r>
      <w:r w:rsidR="00B206E5" w:rsidRPr="007A3463">
        <w:rPr>
          <w:sz w:val="26"/>
          <w:szCs w:val="26"/>
        </w:rPr>
        <w:t>,</w:t>
      </w:r>
      <w:r w:rsidR="00A50430" w:rsidRPr="007A3463">
        <w:rPr>
          <w:sz w:val="26"/>
          <w:szCs w:val="26"/>
        </w:rPr>
        <w:t xml:space="preserve"> 2012,</w:t>
      </w:r>
      <w:r w:rsidR="00B206E5" w:rsidRPr="007A3463">
        <w:rPr>
          <w:sz w:val="26"/>
          <w:szCs w:val="26"/>
        </w:rPr>
        <w:t xml:space="preserve"> in the above-captioned proceeding.  </w:t>
      </w:r>
      <w:r w:rsidR="00700E59" w:rsidRPr="007A3463">
        <w:rPr>
          <w:sz w:val="26"/>
          <w:szCs w:val="26"/>
        </w:rPr>
        <w:t xml:space="preserve">Exceptions have not been filed.  </w:t>
      </w:r>
      <w:r w:rsidR="00BE7433" w:rsidRPr="007A3463">
        <w:rPr>
          <w:sz w:val="26"/>
          <w:szCs w:val="26"/>
        </w:rPr>
        <w:t xml:space="preserve">However, we exercised our right to review </w:t>
      </w:r>
      <w:r w:rsidR="008B24E5" w:rsidRPr="007A3463">
        <w:rPr>
          <w:sz w:val="26"/>
          <w:szCs w:val="26"/>
        </w:rPr>
        <w:t>the Initial Decision pursuant to Section 332(h) of the Public Utility Code (Code), 66 Pa. C.S. §</w:t>
      </w:r>
      <w:r w:rsidR="007A3463" w:rsidRPr="007A3463">
        <w:rPr>
          <w:sz w:val="26"/>
          <w:szCs w:val="26"/>
        </w:rPr>
        <w:t> </w:t>
      </w:r>
      <w:r w:rsidR="008B24E5" w:rsidRPr="007A3463">
        <w:rPr>
          <w:sz w:val="26"/>
          <w:szCs w:val="26"/>
        </w:rPr>
        <w:t xml:space="preserve">332(h).  For the reasons stated below, we </w:t>
      </w:r>
      <w:r w:rsidR="009C1908" w:rsidRPr="007A3463">
        <w:rPr>
          <w:sz w:val="26"/>
          <w:szCs w:val="26"/>
        </w:rPr>
        <w:t xml:space="preserve">shall </w:t>
      </w:r>
      <w:r w:rsidR="00306310" w:rsidRPr="007A3463">
        <w:rPr>
          <w:sz w:val="26"/>
          <w:szCs w:val="26"/>
        </w:rPr>
        <w:t>modify the ALJ’s Initial Decision</w:t>
      </w:r>
      <w:r w:rsidR="005C1345" w:rsidRPr="007A3463">
        <w:rPr>
          <w:sz w:val="26"/>
          <w:szCs w:val="26"/>
        </w:rPr>
        <w:t>, consisten</w:t>
      </w:r>
      <w:r w:rsidR="007A3463" w:rsidRPr="007A3463">
        <w:rPr>
          <w:sz w:val="26"/>
          <w:szCs w:val="26"/>
        </w:rPr>
        <w:t>t with this Opinion and Order.</w:t>
      </w:r>
    </w:p>
    <w:p w:rsidR="007A3463" w:rsidRPr="007A3463" w:rsidRDefault="007A3463" w:rsidP="00B32735">
      <w:pPr>
        <w:spacing w:line="360" w:lineRule="auto"/>
        <w:jc w:val="center"/>
        <w:rPr>
          <w:b/>
          <w:sz w:val="26"/>
          <w:szCs w:val="26"/>
        </w:rPr>
      </w:pPr>
    </w:p>
    <w:p w:rsidR="009304FE" w:rsidRPr="007A3463" w:rsidRDefault="00F55BED" w:rsidP="007A3463">
      <w:pPr>
        <w:keepNext/>
        <w:spacing w:line="360" w:lineRule="auto"/>
        <w:jc w:val="center"/>
        <w:rPr>
          <w:b/>
          <w:sz w:val="26"/>
          <w:szCs w:val="26"/>
        </w:rPr>
      </w:pPr>
      <w:r w:rsidRPr="007A3463">
        <w:rPr>
          <w:b/>
          <w:sz w:val="26"/>
          <w:szCs w:val="26"/>
        </w:rPr>
        <w:lastRenderedPageBreak/>
        <w:t>History of the Proceeding</w:t>
      </w:r>
    </w:p>
    <w:p w:rsidR="00B32735" w:rsidRPr="007A3463" w:rsidRDefault="00B32735" w:rsidP="007A3463">
      <w:pPr>
        <w:keepNext/>
        <w:spacing w:line="360" w:lineRule="auto"/>
        <w:jc w:val="center"/>
        <w:rPr>
          <w:b/>
          <w:sz w:val="26"/>
          <w:szCs w:val="26"/>
        </w:rPr>
      </w:pPr>
    </w:p>
    <w:p w:rsidR="00653FDD" w:rsidRPr="007A3463" w:rsidRDefault="00653FDD" w:rsidP="00653FDD">
      <w:pPr>
        <w:spacing w:line="360" w:lineRule="auto"/>
        <w:ind w:firstLine="1440"/>
        <w:rPr>
          <w:sz w:val="26"/>
        </w:rPr>
      </w:pPr>
      <w:r w:rsidRPr="007A3463">
        <w:rPr>
          <w:sz w:val="26"/>
        </w:rPr>
        <w:t xml:space="preserve">On </w:t>
      </w:r>
      <w:r w:rsidR="00771098" w:rsidRPr="007A3463">
        <w:rPr>
          <w:sz w:val="26"/>
        </w:rPr>
        <w:t>November 11</w:t>
      </w:r>
      <w:r w:rsidRPr="007A3463">
        <w:rPr>
          <w:sz w:val="26"/>
        </w:rPr>
        <w:t xml:space="preserve">, 2011, </w:t>
      </w:r>
      <w:r w:rsidR="00771098" w:rsidRPr="007A3463">
        <w:rPr>
          <w:sz w:val="26"/>
        </w:rPr>
        <w:t xml:space="preserve">Sue Christmas (Complainant) filed a </w:t>
      </w:r>
      <w:r w:rsidR="007A3463">
        <w:rPr>
          <w:sz w:val="26"/>
        </w:rPr>
        <w:t>F</w:t>
      </w:r>
      <w:r w:rsidRPr="007A3463">
        <w:rPr>
          <w:sz w:val="26"/>
        </w:rPr>
        <w:t xml:space="preserve">ormal </w:t>
      </w:r>
      <w:r w:rsidR="007A3463">
        <w:rPr>
          <w:sz w:val="26"/>
        </w:rPr>
        <w:t>C</w:t>
      </w:r>
      <w:r w:rsidRPr="007A3463">
        <w:rPr>
          <w:sz w:val="26"/>
        </w:rPr>
        <w:t>omplaint (Complaint)</w:t>
      </w:r>
      <w:r w:rsidR="00200D0C" w:rsidRPr="007A3463">
        <w:rPr>
          <w:rStyle w:val="FootnoteReference"/>
        </w:rPr>
        <w:footnoteReference w:id="1"/>
      </w:r>
      <w:r w:rsidRPr="007A3463">
        <w:rPr>
          <w:sz w:val="26"/>
        </w:rPr>
        <w:t xml:space="preserve"> against </w:t>
      </w:r>
      <w:r w:rsidR="00771098" w:rsidRPr="007A3463">
        <w:rPr>
          <w:sz w:val="26"/>
        </w:rPr>
        <w:t>PECO Energy Company (</w:t>
      </w:r>
      <w:r w:rsidR="007F6940" w:rsidRPr="007A3463">
        <w:rPr>
          <w:sz w:val="26"/>
        </w:rPr>
        <w:t>PECO</w:t>
      </w:r>
      <w:r w:rsidRPr="007A3463">
        <w:rPr>
          <w:sz w:val="26"/>
        </w:rPr>
        <w:t xml:space="preserve">), alleging that she </w:t>
      </w:r>
      <w:r w:rsidR="006C3710" w:rsidRPr="007A3463">
        <w:rPr>
          <w:sz w:val="26"/>
        </w:rPr>
        <w:t xml:space="preserve">had incorrect charges on her electric bill.  Specifically, the Complainant alleged that her service was terminated because </w:t>
      </w:r>
      <w:r w:rsidR="0003278B" w:rsidRPr="007A3463">
        <w:rPr>
          <w:sz w:val="26"/>
        </w:rPr>
        <w:t>PECO</w:t>
      </w:r>
      <w:r w:rsidR="006C3710" w:rsidRPr="007A3463">
        <w:rPr>
          <w:sz w:val="26"/>
        </w:rPr>
        <w:t xml:space="preserve"> failed to adhere to the terms of a Commission-issued payment agreement.  As relief, the Complainant re</w:t>
      </w:r>
      <w:r w:rsidR="00635B90" w:rsidRPr="007A3463">
        <w:rPr>
          <w:sz w:val="26"/>
        </w:rPr>
        <w:t>quested a refund of incorrect c</w:t>
      </w:r>
      <w:r w:rsidR="006C3710" w:rsidRPr="007A3463">
        <w:rPr>
          <w:sz w:val="26"/>
        </w:rPr>
        <w:t xml:space="preserve">harges, reconnection charges, </w:t>
      </w:r>
      <w:r w:rsidR="00DF1A1E" w:rsidRPr="007A3463">
        <w:rPr>
          <w:sz w:val="26"/>
        </w:rPr>
        <w:t xml:space="preserve">and </w:t>
      </w:r>
      <w:r w:rsidR="006C3710" w:rsidRPr="007A3463">
        <w:rPr>
          <w:sz w:val="26"/>
        </w:rPr>
        <w:t xml:space="preserve">restoration of her front yard “so that the electrical </w:t>
      </w:r>
      <w:r w:rsidR="002F1287" w:rsidRPr="007A3463">
        <w:rPr>
          <w:sz w:val="26"/>
        </w:rPr>
        <w:t>access box is once again buried.</w:t>
      </w:r>
      <w:r w:rsidR="006C3710" w:rsidRPr="007A3463">
        <w:rPr>
          <w:sz w:val="26"/>
        </w:rPr>
        <w:t xml:space="preserve">” </w:t>
      </w:r>
      <w:r w:rsidR="002F1287" w:rsidRPr="007A3463">
        <w:rPr>
          <w:sz w:val="26"/>
        </w:rPr>
        <w:t xml:space="preserve"> </w:t>
      </w:r>
      <w:proofErr w:type="gramStart"/>
      <w:r w:rsidR="002F1287" w:rsidRPr="007A3463">
        <w:rPr>
          <w:sz w:val="26"/>
        </w:rPr>
        <w:t xml:space="preserve">Complaint </w:t>
      </w:r>
      <w:r w:rsidR="00997386" w:rsidRPr="007A3463">
        <w:rPr>
          <w:sz w:val="26"/>
        </w:rPr>
        <w:t xml:space="preserve">at </w:t>
      </w:r>
      <w:r w:rsidR="002F1287" w:rsidRPr="007A3463">
        <w:rPr>
          <w:sz w:val="26"/>
        </w:rPr>
        <w:t>¶ 5</w:t>
      </w:r>
      <w:r w:rsidRPr="007A3463">
        <w:rPr>
          <w:sz w:val="26"/>
        </w:rPr>
        <w:t>.</w:t>
      </w:r>
      <w:proofErr w:type="gramEnd"/>
      <w:r w:rsidRPr="007A3463">
        <w:rPr>
          <w:sz w:val="26"/>
        </w:rPr>
        <w:t xml:space="preserve">   </w:t>
      </w:r>
    </w:p>
    <w:p w:rsidR="00653FDD" w:rsidRPr="007A3463" w:rsidRDefault="00653FDD" w:rsidP="00653FDD">
      <w:pPr>
        <w:spacing w:line="360" w:lineRule="auto"/>
        <w:rPr>
          <w:sz w:val="26"/>
        </w:rPr>
      </w:pPr>
    </w:p>
    <w:p w:rsidR="0020640C" w:rsidRPr="007A3463" w:rsidRDefault="00653FDD" w:rsidP="00653FDD">
      <w:pPr>
        <w:pStyle w:val="BodyText"/>
        <w:tabs>
          <w:tab w:val="left" w:pos="0"/>
        </w:tabs>
        <w:rPr>
          <w:szCs w:val="24"/>
        </w:rPr>
      </w:pPr>
      <w:r w:rsidRPr="007A3463">
        <w:rPr>
          <w:szCs w:val="24"/>
        </w:rPr>
        <w:tab/>
      </w:r>
      <w:r w:rsidRPr="007A3463">
        <w:rPr>
          <w:szCs w:val="24"/>
        </w:rPr>
        <w:tab/>
      </w:r>
      <w:r w:rsidR="00D151DF" w:rsidRPr="007A3463">
        <w:rPr>
          <w:szCs w:val="24"/>
        </w:rPr>
        <w:t>On December 6, 2011, PECO filed an Answer to the Complaint (Answer) denying the material allegations</w:t>
      </w:r>
      <w:r w:rsidR="007A3463">
        <w:rPr>
          <w:szCs w:val="24"/>
        </w:rPr>
        <w:t>.</w:t>
      </w:r>
    </w:p>
    <w:p w:rsidR="00901E6F" w:rsidRPr="007A3463" w:rsidRDefault="00901E6F" w:rsidP="00653FDD">
      <w:pPr>
        <w:pStyle w:val="BodyText"/>
        <w:tabs>
          <w:tab w:val="left" w:pos="0"/>
        </w:tabs>
        <w:rPr>
          <w:szCs w:val="24"/>
        </w:rPr>
      </w:pPr>
    </w:p>
    <w:p w:rsidR="00077822" w:rsidRPr="007A3463" w:rsidRDefault="00901E6F" w:rsidP="00671309">
      <w:pPr>
        <w:pStyle w:val="BodyText"/>
        <w:tabs>
          <w:tab w:val="left" w:pos="0"/>
        </w:tabs>
        <w:rPr>
          <w:szCs w:val="24"/>
        </w:rPr>
      </w:pPr>
      <w:r w:rsidRPr="007A3463">
        <w:rPr>
          <w:szCs w:val="24"/>
        </w:rPr>
        <w:tab/>
      </w:r>
      <w:r w:rsidRPr="007A3463">
        <w:rPr>
          <w:szCs w:val="24"/>
        </w:rPr>
        <w:tab/>
      </w:r>
      <w:r w:rsidR="00671309" w:rsidRPr="007A3463">
        <w:rPr>
          <w:szCs w:val="24"/>
        </w:rPr>
        <w:t>On May 1, 2012, a hearing was held</w:t>
      </w:r>
      <w:r w:rsidR="00077822" w:rsidRPr="007A3463">
        <w:rPr>
          <w:szCs w:val="24"/>
        </w:rPr>
        <w:t>.  The Complainant was represented by counsel who presented the testimony of the Complainant and presented six exhibits which were admitted into the record.  PECO was also represented by counsel, presented the testimony of one witness, and presented five exhibits which were admitted into the record.</w:t>
      </w:r>
    </w:p>
    <w:p w:rsidR="00671309" w:rsidRPr="007A3463" w:rsidRDefault="00671309" w:rsidP="00671309">
      <w:pPr>
        <w:pStyle w:val="BodyText"/>
        <w:tabs>
          <w:tab w:val="left" w:pos="0"/>
        </w:tabs>
        <w:rPr>
          <w:szCs w:val="24"/>
        </w:rPr>
      </w:pPr>
    </w:p>
    <w:p w:rsidR="00077822" w:rsidRPr="007A3463" w:rsidRDefault="00077822" w:rsidP="00653FDD">
      <w:pPr>
        <w:pStyle w:val="BodyText"/>
        <w:tabs>
          <w:tab w:val="left" w:pos="0"/>
        </w:tabs>
        <w:rPr>
          <w:szCs w:val="24"/>
        </w:rPr>
      </w:pPr>
      <w:r w:rsidRPr="007A3463">
        <w:rPr>
          <w:szCs w:val="24"/>
        </w:rPr>
        <w:tab/>
      </w:r>
      <w:r w:rsidRPr="007A3463">
        <w:rPr>
          <w:szCs w:val="24"/>
        </w:rPr>
        <w:tab/>
        <w:t>The hearing resulted in a transcript of 106 pages, and the record closed upon its receipt on June 18, 2012.</w:t>
      </w:r>
    </w:p>
    <w:p w:rsidR="00FE7087" w:rsidRPr="007A3463" w:rsidRDefault="00FE7087" w:rsidP="00FE7087">
      <w:pPr>
        <w:pStyle w:val="BodyText"/>
        <w:tabs>
          <w:tab w:val="left" w:pos="0"/>
        </w:tabs>
        <w:rPr>
          <w:szCs w:val="24"/>
        </w:rPr>
      </w:pPr>
    </w:p>
    <w:p w:rsidR="00426953" w:rsidRPr="007A3463" w:rsidRDefault="00FE7087" w:rsidP="00FE7087">
      <w:pPr>
        <w:pStyle w:val="BodyText"/>
        <w:tabs>
          <w:tab w:val="left" w:pos="0"/>
        </w:tabs>
      </w:pPr>
      <w:r w:rsidRPr="007A3463">
        <w:rPr>
          <w:szCs w:val="24"/>
        </w:rPr>
        <w:tab/>
      </w:r>
      <w:r w:rsidRPr="007A3463">
        <w:rPr>
          <w:szCs w:val="24"/>
        </w:rPr>
        <w:tab/>
      </w:r>
      <w:r w:rsidR="00D54954" w:rsidRPr="007A3463">
        <w:t>In t</w:t>
      </w:r>
      <w:r w:rsidR="00426953" w:rsidRPr="007A3463">
        <w:t>he Initial Decision</w:t>
      </w:r>
      <w:r w:rsidR="00D54954" w:rsidRPr="007A3463">
        <w:t>,</w:t>
      </w:r>
      <w:r w:rsidR="00426953" w:rsidRPr="007A3463">
        <w:t xml:space="preserve"> issued on </w:t>
      </w:r>
      <w:r w:rsidR="0053478E" w:rsidRPr="007A3463">
        <w:t>November 6</w:t>
      </w:r>
      <w:r w:rsidR="00D54954" w:rsidRPr="007A3463">
        <w:t xml:space="preserve">, 2012, the ALJ </w:t>
      </w:r>
      <w:r w:rsidR="000B2A1C" w:rsidRPr="007A3463">
        <w:t>sustained</w:t>
      </w:r>
      <w:r w:rsidR="00D54954" w:rsidRPr="007A3463">
        <w:t xml:space="preserve"> the Complaint, in part, and </w:t>
      </w:r>
      <w:r w:rsidR="000B2A1C" w:rsidRPr="007A3463">
        <w:t>dismissed the Complaint, in part</w:t>
      </w:r>
      <w:r w:rsidR="007A3463">
        <w:t>,</w:t>
      </w:r>
      <w:r w:rsidR="000B2A1C" w:rsidRPr="007A3463">
        <w:t xml:space="preserve"> and </w:t>
      </w:r>
      <w:r w:rsidR="00543543" w:rsidRPr="007A3463">
        <w:t>ordered PECO</w:t>
      </w:r>
      <w:r w:rsidR="00671309" w:rsidRPr="007A3463">
        <w:t xml:space="preserve"> to</w:t>
      </w:r>
      <w:r w:rsidR="00543543" w:rsidRPr="007A3463">
        <w:t xml:space="preserve"> issue a refund to the Complainant for the difference between her underground reconnection charges and </w:t>
      </w:r>
      <w:r w:rsidR="00DA3BAC" w:rsidRPr="007A3463">
        <w:t xml:space="preserve">her </w:t>
      </w:r>
      <w:r w:rsidR="00543543" w:rsidRPr="007A3463">
        <w:t xml:space="preserve">charges for reconnection at the meter.  The ALJ also </w:t>
      </w:r>
      <w:r w:rsidR="00CF6FAC" w:rsidRPr="007A3463">
        <w:t xml:space="preserve">directed </w:t>
      </w:r>
      <w:r w:rsidR="000B2A1C" w:rsidRPr="007A3463">
        <w:t>PECO</w:t>
      </w:r>
      <w:r w:rsidR="00CF6FAC" w:rsidRPr="007A3463">
        <w:t xml:space="preserve"> to </w:t>
      </w:r>
      <w:r w:rsidR="00CF6FAC" w:rsidRPr="007A3463">
        <w:lastRenderedPageBreak/>
        <w:t>pay a $1,500 civil penalty</w:t>
      </w:r>
      <w:r w:rsidR="000B2A1C" w:rsidRPr="007A3463">
        <w:t xml:space="preserve"> </w:t>
      </w:r>
      <w:r w:rsidRPr="007A3463">
        <w:t>for providing inadequate service in failing to apply correctly the terms of a Commission-issued payment arrangement, to clearly distinguish budget billing charges from current charges in its bill, and to provide the Complainant with adequate customer service</w:t>
      </w:r>
      <w:r w:rsidR="00426953" w:rsidRPr="007A3463">
        <w:t xml:space="preserve">.  </w:t>
      </w:r>
      <w:proofErr w:type="gramStart"/>
      <w:r w:rsidR="00426953" w:rsidRPr="007A3463">
        <w:t xml:space="preserve">I.D. at </w:t>
      </w:r>
      <w:r w:rsidRPr="007A3463">
        <w:t>27</w:t>
      </w:r>
      <w:r w:rsidR="00426953" w:rsidRPr="007A3463">
        <w:t>.</w:t>
      </w:r>
      <w:proofErr w:type="gramEnd"/>
    </w:p>
    <w:p w:rsidR="00426953" w:rsidRPr="007A3463" w:rsidRDefault="00426953" w:rsidP="00653FDD">
      <w:pPr>
        <w:spacing w:line="360" w:lineRule="auto"/>
        <w:rPr>
          <w:sz w:val="26"/>
        </w:rPr>
      </w:pPr>
    </w:p>
    <w:p w:rsidR="00F4770C" w:rsidRPr="007A3463" w:rsidRDefault="00F4770C" w:rsidP="00791EEE">
      <w:pPr>
        <w:jc w:val="center"/>
        <w:rPr>
          <w:b/>
          <w:sz w:val="26"/>
          <w:szCs w:val="26"/>
        </w:rPr>
      </w:pPr>
    </w:p>
    <w:p w:rsidR="001A1AD3" w:rsidRPr="007A3463" w:rsidRDefault="004419DA" w:rsidP="00791EEE">
      <w:pPr>
        <w:jc w:val="center"/>
        <w:rPr>
          <w:b/>
          <w:sz w:val="26"/>
          <w:szCs w:val="26"/>
        </w:rPr>
      </w:pPr>
      <w:r w:rsidRPr="007A3463">
        <w:rPr>
          <w:b/>
          <w:sz w:val="26"/>
          <w:szCs w:val="26"/>
        </w:rPr>
        <w:t>Discussion</w:t>
      </w:r>
    </w:p>
    <w:p w:rsidR="00D5673B" w:rsidRPr="007A3463" w:rsidRDefault="00D5673B" w:rsidP="001A1AD3">
      <w:pPr>
        <w:spacing w:line="360" w:lineRule="auto"/>
        <w:jc w:val="center"/>
        <w:rPr>
          <w:sz w:val="26"/>
          <w:szCs w:val="26"/>
        </w:rPr>
      </w:pPr>
    </w:p>
    <w:p w:rsidR="00FB0336" w:rsidRPr="007A3463" w:rsidRDefault="001448EA" w:rsidP="001448EA">
      <w:pPr>
        <w:spacing w:line="360" w:lineRule="auto"/>
        <w:ind w:firstLine="1440"/>
        <w:rPr>
          <w:rFonts w:ascii="Times New (W1)" w:hAnsi="Times New (W1)"/>
          <w:sz w:val="26"/>
        </w:rPr>
      </w:pPr>
      <w:r w:rsidRPr="007A3463">
        <w:rPr>
          <w:rFonts w:ascii="Times New (W1)" w:hAnsi="Times New (W1)"/>
          <w:sz w:val="26"/>
          <w:szCs w:val="26"/>
        </w:rPr>
        <w:t xml:space="preserve">As the proponent of a rule or order, the Complainant in this proceeding bears the burden of proof pursuant to Section 332(a) of the Code.  </w:t>
      </w:r>
      <w:proofErr w:type="gramStart"/>
      <w:r w:rsidRPr="007A3463">
        <w:rPr>
          <w:rFonts w:ascii="Times New (W1)" w:hAnsi="Times New (W1)"/>
          <w:sz w:val="26"/>
          <w:szCs w:val="26"/>
        </w:rPr>
        <w:t>66 Pa. C.S. § 332(a).</w:t>
      </w:r>
      <w:proofErr w:type="gramEnd"/>
      <w:r w:rsidRPr="007A3463">
        <w:rPr>
          <w:rFonts w:ascii="Times New (W1)" w:hAnsi="Times New (W1)"/>
          <w:sz w:val="26"/>
          <w:szCs w:val="26"/>
        </w:rPr>
        <w:t xml:space="preserve">  To establish a sufficient case and satisfy the burden of proof, the Complainant must show that the Company is responsible or accountable for the problem described in the Complaint.  </w:t>
      </w:r>
      <w:proofErr w:type="gramStart"/>
      <w:r w:rsidRPr="007A3463">
        <w:rPr>
          <w:rFonts w:ascii="Times New (W1)" w:hAnsi="Times New (W1)"/>
          <w:i/>
          <w:sz w:val="26"/>
          <w:szCs w:val="26"/>
        </w:rPr>
        <w:t>Patterson v. Bell Telephone Company of Pennsylvania</w:t>
      </w:r>
      <w:r w:rsidRPr="007A3463">
        <w:rPr>
          <w:rFonts w:ascii="Times New (W1)" w:hAnsi="Times New (W1)"/>
          <w:sz w:val="26"/>
          <w:szCs w:val="26"/>
        </w:rPr>
        <w:t>, 72 Pa. P.U.C. 196 (1990).</w:t>
      </w:r>
      <w:proofErr w:type="gramEnd"/>
      <w:r w:rsidRPr="007A3463">
        <w:rPr>
          <w:rFonts w:ascii="Times New (W1)" w:hAnsi="Times New (W1)"/>
          <w:sz w:val="26"/>
          <w:szCs w:val="26"/>
        </w:rPr>
        <w:t xml:space="preserve">  Such a showing must be by a preponderance of the evidence.  </w:t>
      </w:r>
      <w:proofErr w:type="gramStart"/>
      <w:r w:rsidRPr="007A3463">
        <w:rPr>
          <w:rFonts w:ascii="Times New (W1)" w:hAnsi="Times New (W1)"/>
          <w:i/>
          <w:iCs/>
          <w:sz w:val="26"/>
          <w:szCs w:val="26"/>
        </w:rPr>
        <w:t>Samuel J. Lansberry, Inc. v. Pa. PUC</w:t>
      </w:r>
      <w:r w:rsidRPr="007A3463">
        <w:rPr>
          <w:rFonts w:ascii="Times New (W1)" w:hAnsi="Times New (W1)"/>
          <w:sz w:val="26"/>
          <w:szCs w:val="26"/>
        </w:rPr>
        <w:t xml:space="preserve">, 578 A.2d 600 (Pa. Cmwlth. 1990), </w:t>
      </w:r>
      <w:r w:rsidRPr="007A3463">
        <w:rPr>
          <w:rFonts w:ascii="Times New (W1)" w:hAnsi="Times New (W1)"/>
          <w:i/>
          <w:sz w:val="26"/>
          <w:szCs w:val="26"/>
        </w:rPr>
        <w:t>alloc.</w:t>
      </w:r>
      <w:proofErr w:type="gramEnd"/>
      <w:r w:rsidRPr="007A3463">
        <w:rPr>
          <w:rFonts w:ascii="Times New (W1)" w:hAnsi="Times New (W1)"/>
          <w:i/>
          <w:sz w:val="26"/>
          <w:szCs w:val="26"/>
        </w:rPr>
        <w:t xml:space="preserve"> </w:t>
      </w:r>
      <w:proofErr w:type="gramStart"/>
      <w:r w:rsidRPr="007A3463">
        <w:rPr>
          <w:rFonts w:ascii="Times New (W1)" w:hAnsi="Times New (W1)"/>
          <w:i/>
          <w:sz w:val="26"/>
          <w:szCs w:val="26"/>
        </w:rPr>
        <w:t>denied</w:t>
      </w:r>
      <w:proofErr w:type="gramEnd"/>
      <w:r w:rsidRPr="007A3463">
        <w:rPr>
          <w:rFonts w:ascii="Times New (W1)" w:hAnsi="Times New (W1)"/>
          <w:i/>
          <w:sz w:val="26"/>
          <w:szCs w:val="26"/>
        </w:rPr>
        <w:t>,</w:t>
      </w:r>
      <w:r w:rsidRPr="007A3463">
        <w:rPr>
          <w:rFonts w:ascii="Times New (W1)" w:hAnsi="Times New (W1)"/>
          <w:sz w:val="26"/>
          <w:szCs w:val="26"/>
        </w:rPr>
        <w:t xml:space="preserve"> 529 Pa. 654, 602 A.2d 863 (1992).  That is, the Complainant’s evidence must be more convincing, by even the smallest amount, than that presented by the Company.  </w:t>
      </w:r>
      <w:proofErr w:type="gramStart"/>
      <w:r w:rsidRPr="007A3463">
        <w:rPr>
          <w:rFonts w:ascii="Times New (W1)" w:hAnsi="Times New (W1)"/>
          <w:i/>
          <w:sz w:val="26"/>
          <w:szCs w:val="26"/>
        </w:rPr>
        <w:t>Se-Ling Hosiery</w:t>
      </w:r>
      <w:r w:rsidR="00180E89" w:rsidRPr="007A3463">
        <w:rPr>
          <w:rFonts w:ascii="Times New (W1)" w:hAnsi="Times New (W1)"/>
          <w:i/>
          <w:sz w:val="26"/>
          <w:szCs w:val="26"/>
        </w:rPr>
        <w:t>, Inc.</w:t>
      </w:r>
      <w:r w:rsidRPr="007A3463">
        <w:rPr>
          <w:rFonts w:ascii="Times New (W1)" w:hAnsi="Times New (W1)"/>
          <w:i/>
          <w:sz w:val="26"/>
          <w:szCs w:val="26"/>
        </w:rPr>
        <w:t xml:space="preserve"> v. Margulies</w:t>
      </w:r>
      <w:r w:rsidRPr="007A3463">
        <w:rPr>
          <w:rFonts w:ascii="Times New (W1)" w:hAnsi="Times New (W1)"/>
          <w:sz w:val="26"/>
          <w:szCs w:val="26"/>
        </w:rPr>
        <w:t>, 364 Pa. 45, 70 A.2d 854 (1950).</w:t>
      </w:r>
      <w:proofErr w:type="gramEnd"/>
      <w:r w:rsidRPr="007A3463">
        <w:rPr>
          <w:rFonts w:ascii="Times New (W1)" w:hAnsi="Times New (W1)"/>
          <w:sz w:val="26"/>
          <w:szCs w:val="26"/>
        </w:rPr>
        <w:t xml:space="preserve">  Additionally, this Commission’s </w:t>
      </w:r>
      <w:r w:rsidRPr="007A3463">
        <w:rPr>
          <w:rFonts w:ascii="Times New (W1)" w:hAnsi="Times New (W1)"/>
          <w:sz w:val="26"/>
        </w:rPr>
        <w:t xml:space="preserve">decision must be supported by substantial evidence in the record.  More is required than a mere trace of evidence or a suspicion of the existence of a fact sought to be established.  </w:t>
      </w:r>
      <w:proofErr w:type="gramStart"/>
      <w:r w:rsidRPr="007A3463">
        <w:rPr>
          <w:rFonts w:ascii="Times New (W1)" w:hAnsi="Times New (W1)"/>
          <w:i/>
          <w:sz w:val="26"/>
        </w:rPr>
        <w:t xml:space="preserve">Norfolk &amp; Western Ry. Co. v. Pa. PUC, </w:t>
      </w:r>
      <w:r w:rsidRPr="007A3463">
        <w:rPr>
          <w:rFonts w:ascii="Times New (W1)" w:hAnsi="Times New (W1)"/>
          <w:sz w:val="26"/>
        </w:rPr>
        <w:t>489 Pa. 109, 413 A.2d 1037 (1980).</w:t>
      </w:r>
      <w:proofErr w:type="gramEnd"/>
      <w:r w:rsidR="00F00E17" w:rsidRPr="007A3463">
        <w:rPr>
          <w:rFonts w:ascii="Times New (W1)" w:hAnsi="Times New (W1)"/>
          <w:sz w:val="26"/>
        </w:rPr>
        <w:t xml:space="preserve">  </w:t>
      </w:r>
    </w:p>
    <w:p w:rsidR="00FB0336" w:rsidRPr="007A3463" w:rsidRDefault="00FB0336" w:rsidP="001448EA">
      <w:pPr>
        <w:spacing w:line="360" w:lineRule="auto"/>
        <w:ind w:firstLine="1440"/>
        <w:rPr>
          <w:rFonts w:ascii="Times New (W1)" w:hAnsi="Times New (W1)"/>
          <w:sz w:val="26"/>
        </w:rPr>
      </w:pPr>
    </w:p>
    <w:p w:rsidR="00FB0336" w:rsidRPr="007A3463" w:rsidRDefault="00FB0336" w:rsidP="00FB0336">
      <w:pPr>
        <w:spacing w:line="360" w:lineRule="auto"/>
        <w:ind w:firstLine="1440"/>
        <w:rPr>
          <w:sz w:val="26"/>
        </w:rPr>
      </w:pPr>
      <w:r w:rsidRPr="007A3463">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7A3463">
        <w:rPr>
          <w:iCs/>
          <w:sz w:val="26"/>
        </w:rPr>
        <w:t xml:space="preserve"> </w:t>
      </w:r>
      <w:hyperlink r:id="rId9" w:history="1">
        <w:r w:rsidRPr="007A3463">
          <w:rPr>
            <w:rFonts w:eastAsiaTheme="majorEastAsia"/>
            <w:i/>
            <w:iCs/>
            <w:sz w:val="26"/>
          </w:rPr>
          <w:t>Burleson v. Pa. PUC</w:t>
        </w:r>
        <w:r w:rsidRPr="007A3463">
          <w:rPr>
            <w:rFonts w:eastAsiaTheme="majorEastAsia"/>
            <w:iCs/>
            <w:sz w:val="26"/>
          </w:rPr>
          <w:t xml:space="preserve">, 443 A.2d 1373 (Pa. Cmwlth. 1982), </w:t>
        </w:r>
        <w:r w:rsidRPr="007A3463">
          <w:rPr>
            <w:rFonts w:eastAsiaTheme="majorEastAsia"/>
            <w:i/>
            <w:iCs/>
            <w:sz w:val="26"/>
          </w:rPr>
          <w:t>aff’d</w:t>
        </w:r>
        <w:r w:rsidRPr="007A3463">
          <w:rPr>
            <w:rFonts w:eastAsiaTheme="majorEastAsia"/>
            <w:iCs/>
            <w:sz w:val="26"/>
          </w:rPr>
          <w:t xml:space="preserve">, 501 Pa. </w:t>
        </w:r>
        <w:r w:rsidRPr="007A3463">
          <w:rPr>
            <w:rFonts w:eastAsiaTheme="majorEastAsia"/>
            <w:iCs/>
            <w:sz w:val="26"/>
          </w:rPr>
          <w:lastRenderedPageBreak/>
          <w:t>433, 461 A.2d 1234 (1983).</w:t>
        </w:r>
      </w:hyperlink>
      <w:r w:rsidRPr="007A3463">
        <w:rPr>
          <w:rFonts w:eastAsiaTheme="majorEastAsia"/>
          <w:iCs/>
          <w:sz w:val="26"/>
        </w:rPr>
        <w:t xml:space="preserve">  </w:t>
      </w:r>
      <w:r w:rsidRPr="007A3463">
        <w:rPr>
          <w:sz w:val="26"/>
        </w:rPr>
        <w:t xml:space="preserve">While the burden of </w:t>
      </w:r>
      <w:r w:rsidR="005618BC" w:rsidRPr="007A3463">
        <w:rPr>
          <w:sz w:val="26"/>
        </w:rPr>
        <w:t>going forward with the evidence</w:t>
      </w:r>
      <w:r w:rsidRPr="007A3463">
        <w:rPr>
          <w:sz w:val="26"/>
        </w:rPr>
        <w:t xml:space="preserve"> may </w:t>
      </w:r>
      <w:r w:rsidRPr="007A3463">
        <w:rPr>
          <w:rFonts w:eastAsiaTheme="majorEastAsia"/>
          <w:sz w:val="26"/>
        </w:rPr>
        <w:t>shift</w:t>
      </w:r>
      <w:r w:rsidRPr="007A3463">
        <w:rPr>
          <w:sz w:val="26"/>
        </w:rPr>
        <w:t xml:space="preserve"> back and forth during a proceeding, the </w:t>
      </w:r>
      <w:r w:rsidRPr="007A3463">
        <w:rPr>
          <w:rFonts w:eastAsiaTheme="majorEastAsia"/>
          <w:sz w:val="26"/>
        </w:rPr>
        <w:t>burden of proof</w:t>
      </w:r>
      <w:r w:rsidRPr="007A3463">
        <w:rPr>
          <w:sz w:val="26"/>
        </w:rPr>
        <w:t xml:space="preserve"> never </w:t>
      </w:r>
      <w:r w:rsidRPr="007A3463">
        <w:rPr>
          <w:rFonts w:eastAsiaTheme="majorEastAsia"/>
          <w:sz w:val="26"/>
        </w:rPr>
        <w:t>shifts.  The burden of proof</w:t>
      </w:r>
      <w:r w:rsidRPr="007A3463">
        <w:rPr>
          <w:sz w:val="26"/>
        </w:rPr>
        <w:t xml:space="preserve"> always remains on the party seeking affirmative relief from the Commission.  </w:t>
      </w:r>
      <w:proofErr w:type="gramStart"/>
      <w:r w:rsidRPr="007A3463">
        <w:rPr>
          <w:i/>
          <w:sz w:val="26"/>
        </w:rPr>
        <w:t xml:space="preserve">Milkie v. Pa. PUC, </w:t>
      </w:r>
      <w:r w:rsidRPr="007A3463">
        <w:rPr>
          <w:sz w:val="26"/>
        </w:rPr>
        <w:t>768 A.2d 1217 (Pa. Cmwlth. 2001).</w:t>
      </w:r>
      <w:proofErr w:type="gramEnd"/>
    </w:p>
    <w:p w:rsidR="001448EA" w:rsidRPr="007A3463" w:rsidRDefault="001448EA" w:rsidP="001448EA">
      <w:pPr>
        <w:spacing w:line="360" w:lineRule="auto"/>
        <w:rPr>
          <w:rFonts w:ascii="Times New (W1)" w:hAnsi="Times New (W1)"/>
          <w:sz w:val="26"/>
        </w:rPr>
      </w:pPr>
    </w:p>
    <w:p w:rsidR="0027458E" w:rsidRPr="007A3463" w:rsidRDefault="009542EE" w:rsidP="00DA2CEC">
      <w:pPr>
        <w:spacing w:line="360" w:lineRule="auto"/>
        <w:ind w:firstLine="1440"/>
        <w:rPr>
          <w:sz w:val="26"/>
          <w:szCs w:val="26"/>
        </w:rPr>
      </w:pPr>
      <w:r w:rsidRPr="007A3463">
        <w:rPr>
          <w:sz w:val="26"/>
          <w:szCs w:val="26"/>
        </w:rPr>
        <w:t xml:space="preserve">The ALJ </w:t>
      </w:r>
      <w:r w:rsidR="003440BD" w:rsidRPr="007A3463">
        <w:rPr>
          <w:sz w:val="26"/>
          <w:szCs w:val="26"/>
        </w:rPr>
        <w:t xml:space="preserve">made </w:t>
      </w:r>
      <w:r w:rsidR="00DE139F" w:rsidRPr="007A3463">
        <w:rPr>
          <w:sz w:val="26"/>
          <w:szCs w:val="26"/>
        </w:rPr>
        <w:t>forty-six</w:t>
      </w:r>
      <w:r w:rsidR="003440BD" w:rsidRPr="007A3463">
        <w:rPr>
          <w:sz w:val="26"/>
          <w:szCs w:val="26"/>
        </w:rPr>
        <w:t xml:space="preserve"> Findings of Fact and </w:t>
      </w:r>
      <w:r w:rsidR="00400A4D" w:rsidRPr="007A3463">
        <w:rPr>
          <w:sz w:val="26"/>
          <w:szCs w:val="26"/>
        </w:rPr>
        <w:t xml:space="preserve">reached </w:t>
      </w:r>
      <w:r w:rsidR="00DE139F" w:rsidRPr="007A3463">
        <w:rPr>
          <w:sz w:val="26"/>
          <w:szCs w:val="26"/>
        </w:rPr>
        <w:t>seventeen</w:t>
      </w:r>
      <w:r w:rsidR="003440BD" w:rsidRPr="007A3463">
        <w:rPr>
          <w:sz w:val="26"/>
          <w:szCs w:val="26"/>
        </w:rPr>
        <w:t xml:space="preserve"> Conclusions of Law.  I.D. at </w:t>
      </w:r>
      <w:r w:rsidR="00DE139F" w:rsidRPr="007A3463">
        <w:rPr>
          <w:sz w:val="26"/>
          <w:szCs w:val="26"/>
        </w:rPr>
        <w:t>2</w:t>
      </w:r>
      <w:r w:rsidR="00002615" w:rsidRPr="007A3463">
        <w:rPr>
          <w:sz w:val="26"/>
          <w:szCs w:val="26"/>
        </w:rPr>
        <w:t>-</w:t>
      </w:r>
      <w:r w:rsidR="00DE139F" w:rsidRPr="007A3463">
        <w:rPr>
          <w:sz w:val="26"/>
          <w:szCs w:val="26"/>
        </w:rPr>
        <w:t>8</w:t>
      </w:r>
      <w:r w:rsidR="003440BD" w:rsidRPr="007A3463">
        <w:rPr>
          <w:sz w:val="26"/>
          <w:szCs w:val="26"/>
        </w:rPr>
        <w:t xml:space="preserve">, </w:t>
      </w:r>
      <w:r w:rsidR="00DE139F" w:rsidRPr="007A3463">
        <w:rPr>
          <w:sz w:val="26"/>
          <w:szCs w:val="26"/>
        </w:rPr>
        <w:t>24-26</w:t>
      </w:r>
      <w:r w:rsidR="003440BD" w:rsidRPr="007A3463">
        <w:rPr>
          <w:sz w:val="26"/>
          <w:szCs w:val="26"/>
        </w:rPr>
        <w:t>.  We shall adopt and incorporate herein by reference the ALJ’s Findings of Fact and Conclusions of Law, unless they are reversed or modified by this Opinion and Order, either expressly or by necessary implication. </w:t>
      </w:r>
    </w:p>
    <w:p w:rsidR="004E66DA" w:rsidRPr="007A3463" w:rsidRDefault="004E66DA" w:rsidP="00DA2CEC">
      <w:pPr>
        <w:spacing w:line="360" w:lineRule="auto"/>
        <w:ind w:firstLine="1440"/>
        <w:rPr>
          <w:sz w:val="26"/>
          <w:szCs w:val="26"/>
        </w:rPr>
      </w:pPr>
    </w:p>
    <w:p w:rsidR="00F4770C" w:rsidRPr="007A3463" w:rsidRDefault="00F4770C" w:rsidP="004E66DA">
      <w:pPr>
        <w:spacing w:line="360" w:lineRule="auto"/>
        <w:rPr>
          <w:b/>
          <w:sz w:val="26"/>
          <w:szCs w:val="26"/>
        </w:rPr>
      </w:pPr>
    </w:p>
    <w:p w:rsidR="004E66DA" w:rsidRPr="007A3463" w:rsidRDefault="004E66DA" w:rsidP="004E66DA">
      <w:pPr>
        <w:spacing w:line="360" w:lineRule="auto"/>
        <w:rPr>
          <w:sz w:val="26"/>
          <w:szCs w:val="26"/>
        </w:rPr>
      </w:pPr>
      <w:r w:rsidRPr="007A3463">
        <w:rPr>
          <w:b/>
          <w:sz w:val="26"/>
          <w:szCs w:val="26"/>
        </w:rPr>
        <w:t>Payment Arrangement and Billing Dispute</w:t>
      </w:r>
    </w:p>
    <w:p w:rsidR="004E66DA" w:rsidRPr="007A3463" w:rsidRDefault="004E66DA" w:rsidP="004E66DA">
      <w:pPr>
        <w:spacing w:line="360" w:lineRule="auto"/>
        <w:rPr>
          <w:sz w:val="26"/>
          <w:szCs w:val="26"/>
        </w:rPr>
      </w:pPr>
    </w:p>
    <w:p w:rsidR="00244528" w:rsidRPr="007A3463" w:rsidRDefault="004E66DA" w:rsidP="004E66DA">
      <w:pPr>
        <w:spacing w:line="360" w:lineRule="auto"/>
        <w:rPr>
          <w:sz w:val="26"/>
          <w:szCs w:val="26"/>
        </w:rPr>
      </w:pPr>
      <w:r w:rsidRPr="007A3463">
        <w:rPr>
          <w:sz w:val="26"/>
          <w:szCs w:val="26"/>
        </w:rPr>
        <w:tab/>
      </w:r>
      <w:r w:rsidRPr="007A3463">
        <w:rPr>
          <w:sz w:val="26"/>
          <w:szCs w:val="26"/>
        </w:rPr>
        <w:tab/>
        <w:t xml:space="preserve">The </w:t>
      </w:r>
      <w:r w:rsidR="002F716A" w:rsidRPr="007A3463">
        <w:rPr>
          <w:sz w:val="26"/>
          <w:szCs w:val="26"/>
        </w:rPr>
        <w:t xml:space="preserve">Complaint focuses on </w:t>
      </w:r>
      <w:r w:rsidR="00DF04E0" w:rsidRPr="007A3463">
        <w:rPr>
          <w:sz w:val="26"/>
          <w:szCs w:val="26"/>
        </w:rPr>
        <w:t>the</w:t>
      </w:r>
      <w:r w:rsidR="002F716A" w:rsidRPr="007A3463">
        <w:rPr>
          <w:sz w:val="26"/>
          <w:szCs w:val="26"/>
        </w:rPr>
        <w:t xml:space="preserve"> </w:t>
      </w:r>
      <w:r w:rsidR="00DF04E0" w:rsidRPr="007A3463">
        <w:rPr>
          <w:sz w:val="26"/>
          <w:szCs w:val="26"/>
        </w:rPr>
        <w:t xml:space="preserve">Complainant’s </w:t>
      </w:r>
      <w:r w:rsidR="002F716A" w:rsidRPr="007A3463">
        <w:rPr>
          <w:sz w:val="26"/>
          <w:szCs w:val="26"/>
        </w:rPr>
        <w:t xml:space="preserve">allegations that her service was terminated because </w:t>
      </w:r>
      <w:r w:rsidR="00DF04E0" w:rsidRPr="007A3463">
        <w:rPr>
          <w:sz w:val="26"/>
          <w:szCs w:val="26"/>
        </w:rPr>
        <w:t>PECO</w:t>
      </w:r>
      <w:r w:rsidR="002F716A" w:rsidRPr="007A3463">
        <w:rPr>
          <w:sz w:val="26"/>
          <w:szCs w:val="26"/>
        </w:rPr>
        <w:t xml:space="preserve"> failed to adhere to the terms of a payment arrangement issued by the Commission’s Bureau of Consumer Services (BCS) on December 8, 2008, at BCS Case No. 2452212.  Under this arrangement, beginning with the January 2009 due date of her bill,  the Complainant was required to pay a special budget amount of $96 per month, which consisted of regular budget billing of $26 per month, plus $70 per month towards her arrearages.  </w:t>
      </w:r>
      <w:proofErr w:type="gramStart"/>
      <w:r w:rsidR="002F716A" w:rsidRPr="007A3463">
        <w:rPr>
          <w:sz w:val="26"/>
          <w:szCs w:val="26"/>
        </w:rPr>
        <w:t>PECO Exhibit 9.</w:t>
      </w:r>
      <w:proofErr w:type="gramEnd"/>
      <w:r w:rsidR="002F716A" w:rsidRPr="007A3463">
        <w:rPr>
          <w:sz w:val="26"/>
          <w:szCs w:val="26"/>
        </w:rPr>
        <w:t xml:space="preserve">  T</w:t>
      </w:r>
      <w:r w:rsidR="00B46895" w:rsidRPr="007A3463">
        <w:rPr>
          <w:sz w:val="26"/>
          <w:szCs w:val="26"/>
        </w:rPr>
        <w:t>he</w:t>
      </w:r>
      <w:r w:rsidR="002F716A" w:rsidRPr="007A3463">
        <w:rPr>
          <w:sz w:val="26"/>
          <w:szCs w:val="26"/>
        </w:rPr>
        <w:t xml:space="preserve"> BCS decision reminded the Complainant that she </w:t>
      </w:r>
      <w:r w:rsidR="002F716A" w:rsidRPr="007A3463">
        <w:rPr>
          <w:b/>
          <w:sz w:val="26"/>
          <w:szCs w:val="26"/>
        </w:rPr>
        <w:t>must</w:t>
      </w:r>
      <w:r w:rsidR="002F716A" w:rsidRPr="007A3463">
        <w:rPr>
          <w:sz w:val="26"/>
          <w:szCs w:val="26"/>
        </w:rPr>
        <w:t xml:space="preserve"> continue to pay current, non-disputed charges prior to the commencement of the payment agreement.</w:t>
      </w:r>
      <w:r w:rsidR="002F716A" w:rsidRPr="007A3463">
        <w:rPr>
          <w:rStyle w:val="FootnoteReference"/>
        </w:rPr>
        <w:footnoteReference w:id="2"/>
      </w:r>
      <w:r w:rsidR="00C812A4" w:rsidRPr="007A3463">
        <w:rPr>
          <w:sz w:val="26"/>
          <w:szCs w:val="26"/>
        </w:rPr>
        <w:t xml:space="preserve">  </w:t>
      </w:r>
      <w:r w:rsidR="009043BE" w:rsidRPr="007A3463">
        <w:rPr>
          <w:sz w:val="26"/>
          <w:szCs w:val="26"/>
        </w:rPr>
        <w:t>PECO previously issued the Complainant a current bill on November 25, 2008</w:t>
      </w:r>
      <w:r w:rsidR="00CE0975">
        <w:rPr>
          <w:sz w:val="26"/>
          <w:szCs w:val="26"/>
        </w:rPr>
        <w:t>,</w:t>
      </w:r>
      <w:r w:rsidR="009043BE" w:rsidRPr="007A3463">
        <w:rPr>
          <w:sz w:val="26"/>
          <w:szCs w:val="26"/>
        </w:rPr>
        <w:t xml:space="preserve"> with a due date of December 17, 20</w:t>
      </w:r>
      <w:r w:rsidR="00D217EE" w:rsidRPr="007A3463">
        <w:rPr>
          <w:sz w:val="26"/>
          <w:szCs w:val="26"/>
        </w:rPr>
        <w:t>08</w:t>
      </w:r>
      <w:r w:rsidR="009043BE" w:rsidRPr="007A3463">
        <w:rPr>
          <w:sz w:val="26"/>
          <w:szCs w:val="26"/>
        </w:rPr>
        <w:t xml:space="preserve">.  </w:t>
      </w:r>
      <w:proofErr w:type="gramStart"/>
      <w:r w:rsidR="009043BE" w:rsidRPr="007A3463">
        <w:rPr>
          <w:sz w:val="26"/>
          <w:szCs w:val="26"/>
        </w:rPr>
        <w:t>PECO Exhibit 1.</w:t>
      </w:r>
      <w:proofErr w:type="gramEnd"/>
      <w:r w:rsidR="009043BE" w:rsidRPr="007A3463">
        <w:rPr>
          <w:sz w:val="26"/>
          <w:szCs w:val="26"/>
        </w:rPr>
        <w:t xml:space="preserve">  Because the Complainant </w:t>
      </w:r>
      <w:r w:rsidR="00244528" w:rsidRPr="007A3463">
        <w:rPr>
          <w:sz w:val="26"/>
          <w:szCs w:val="26"/>
        </w:rPr>
        <w:t>failed to pay this bill by the stated due date</w:t>
      </w:r>
      <w:r w:rsidR="009043BE" w:rsidRPr="007A3463">
        <w:rPr>
          <w:sz w:val="26"/>
          <w:szCs w:val="26"/>
        </w:rPr>
        <w:t>, PECO deemed her to be</w:t>
      </w:r>
      <w:r w:rsidR="00ED249F" w:rsidRPr="007A3463">
        <w:rPr>
          <w:sz w:val="26"/>
          <w:szCs w:val="26"/>
        </w:rPr>
        <w:t xml:space="preserve"> in default of the Commission-issued payment ar</w:t>
      </w:r>
      <w:r w:rsidR="000C33A1" w:rsidRPr="007A3463">
        <w:rPr>
          <w:sz w:val="26"/>
          <w:szCs w:val="26"/>
        </w:rPr>
        <w:t>rang</w:t>
      </w:r>
      <w:r w:rsidR="00ED249F" w:rsidRPr="007A3463">
        <w:rPr>
          <w:sz w:val="26"/>
          <w:szCs w:val="26"/>
        </w:rPr>
        <w:t xml:space="preserve">ement on December 22, 2008, even though the first payment for the payment arrangement was not </w:t>
      </w:r>
      <w:r w:rsidR="00ED249F" w:rsidRPr="007A3463">
        <w:rPr>
          <w:sz w:val="26"/>
          <w:szCs w:val="26"/>
        </w:rPr>
        <w:lastRenderedPageBreak/>
        <w:t>due for another month.</w:t>
      </w:r>
      <w:r w:rsidR="00244528" w:rsidRPr="007A3463">
        <w:rPr>
          <w:sz w:val="26"/>
          <w:szCs w:val="26"/>
        </w:rPr>
        <w:t xml:space="preserve">  </w:t>
      </w:r>
      <w:r w:rsidR="00244528" w:rsidRPr="007A3463">
        <w:rPr>
          <w:i/>
          <w:sz w:val="26"/>
          <w:szCs w:val="26"/>
        </w:rPr>
        <w:t>Id.</w:t>
      </w:r>
      <w:r w:rsidR="00C812A4" w:rsidRPr="007A3463">
        <w:rPr>
          <w:i/>
          <w:sz w:val="26"/>
          <w:szCs w:val="26"/>
        </w:rPr>
        <w:t xml:space="preserve">  </w:t>
      </w:r>
      <w:r w:rsidR="00244528" w:rsidRPr="007A3463">
        <w:rPr>
          <w:sz w:val="26"/>
          <w:szCs w:val="26"/>
        </w:rPr>
        <w:t xml:space="preserve">PECO </w:t>
      </w:r>
      <w:r w:rsidR="000C33A1" w:rsidRPr="007A3463">
        <w:rPr>
          <w:sz w:val="26"/>
          <w:szCs w:val="26"/>
        </w:rPr>
        <w:t>testified</w:t>
      </w:r>
      <w:r w:rsidR="00244528" w:rsidRPr="007A3463">
        <w:rPr>
          <w:sz w:val="26"/>
          <w:szCs w:val="26"/>
        </w:rPr>
        <w:t xml:space="preserve"> that the language of the BCS decision was supportive of its practice of making a Commission-issued payment arrangement dependent on the payment of current charges.  </w:t>
      </w:r>
      <w:r w:rsidR="000C33A1" w:rsidRPr="007A3463">
        <w:rPr>
          <w:sz w:val="26"/>
          <w:szCs w:val="26"/>
        </w:rPr>
        <w:t>Tr.</w:t>
      </w:r>
      <w:r w:rsidR="00244528" w:rsidRPr="007A3463">
        <w:rPr>
          <w:sz w:val="26"/>
          <w:szCs w:val="26"/>
        </w:rPr>
        <w:t xml:space="preserve"> at </w:t>
      </w:r>
      <w:r w:rsidR="000C33A1" w:rsidRPr="007A3463">
        <w:rPr>
          <w:sz w:val="26"/>
          <w:szCs w:val="26"/>
        </w:rPr>
        <w:t xml:space="preserve">51-52.  </w:t>
      </w:r>
    </w:p>
    <w:p w:rsidR="005E24EC" w:rsidRPr="007A3463" w:rsidRDefault="005E24EC" w:rsidP="004E66DA">
      <w:pPr>
        <w:spacing w:line="360" w:lineRule="auto"/>
        <w:rPr>
          <w:sz w:val="26"/>
          <w:szCs w:val="26"/>
        </w:rPr>
      </w:pPr>
    </w:p>
    <w:p w:rsidR="009B044D" w:rsidRPr="007A3463" w:rsidRDefault="009B044D" w:rsidP="004E66DA">
      <w:pPr>
        <w:spacing w:line="360" w:lineRule="auto"/>
        <w:rPr>
          <w:sz w:val="26"/>
          <w:szCs w:val="26"/>
        </w:rPr>
      </w:pPr>
      <w:r w:rsidRPr="007A3463">
        <w:rPr>
          <w:sz w:val="26"/>
          <w:szCs w:val="26"/>
        </w:rPr>
        <w:tab/>
      </w:r>
      <w:r w:rsidRPr="007A3463">
        <w:rPr>
          <w:sz w:val="26"/>
          <w:szCs w:val="26"/>
        </w:rPr>
        <w:tab/>
        <w:t xml:space="preserve">The ALJ found in reviewing the record that PECO’s billing practices were confusing and that they “made it difficult for [the] Complainant to understand her bills.”  </w:t>
      </w:r>
      <w:proofErr w:type="gramStart"/>
      <w:r w:rsidRPr="007A3463">
        <w:rPr>
          <w:sz w:val="26"/>
          <w:szCs w:val="26"/>
        </w:rPr>
        <w:t>I.D. at 13.</w:t>
      </w:r>
      <w:proofErr w:type="gramEnd"/>
      <w:r w:rsidRPr="007A3463">
        <w:rPr>
          <w:sz w:val="26"/>
          <w:szCs w:val="26"/>
        </w:rPr>
        <w:t xml:space="preserve">  The ALJ </w:t>
      </w:r>
      <w:r w:rsidR="008F1D7A" w:rsidRPr="007A3463">
        <w:rPr>
          <w:sz w:val="26"/>
          <w:szCs w:val="26"/>
        </w:rPr>
        <w:t>concluded</w:t>
      </w:r>
      <w:r w:rsidRPr="007A3463">
        <w:rPr>
          <w:sz w:val="26"/>
          <w:szCs w:val="26"/>
        </w:rPr>
        <w:t xml:space="preserve"> that </w:t>
      </w:r>
      <w:r w:rsidR="00302FC9" w:rsidRPr="007A3463">
        <w:rPr>
          <w:sz w:val="26"/>
          <w:szCs w:val="26"/>
        </w:rPr>
        <w:t xml:space="preserve">PECO violated the Commission’s “plain language” policy statement on billing by grouping the Complainant’s current charges with deferred budget billing charges from previous bills. </w:t>
      </w:r>
      <w:r w:rsidR="008F1D7A" w:rsidRPr="007A3463">
        <w:rPr>
          <w:sz w:val="26"/>
          <w:szCs w:val="26"/>
        </w:rPr>
        <w:t xml:space="preserve"> </w:t>
      </w:r>
      <w:proofErr w:type="gramStart"/>
      <w:r w:rsidR="00034474">
        <w:rPr>
          <w:sz w:val="26"/>
          <w:szCs w:val="26"/>
        </w:rPr>
        <w:t>I.D. at 18.</w:t>
      </w:r>
      <w:proofErr w:type="gramEnd"/>
    </w:p>
    <w:p w:rsidR="00302FC9" w:rsidRPr="007A3463" w:rsidRDefault="00302FC9" w:rsidP="004E66DA">
      <w:pPr>
        <w:spacing w:line="360" w:lineRule="auto"/>
        <w:rPr>
          <w:sz w:val="26"/>
          <w:szCs w:val="26"/>
        </w:rPr>
      </w:pPr>
    </w:p>
    <w:p w:rsidR="00302FC9" w:rsidRPr="007A3463" w:rsidRDefault="00302FC9" w:rsidP="004E66DA">
      <w:pPr>
        <w:spacing w:line="360" w:lineRule="auto"/>
        <w:rPr>
          <w:sz w:val="26"/>
          <w:szCs w:val="26"/>
        </w:rPr>
      </w:pPr>
      <w:r w:rsidRPr="007A3463">
        <w:rPr>
          <w:sz w:val="26"/>
          <w:szCs w:val="26"/>
        </w:rPr>
        <w:tab/>
      </w:r>
      <w:r w:rsidRPr="007A3463">
        <w:rPr>
          <w:sz w:val="26"/>
          <w:szCs w:val="26"/>
        </w:rPr>
        <w:tab/>
        <w:t xml:space="preserve">The ALJ also </w:t>
      </w:r>
      <w:r w:rsidR="00DA11B1" w:rsidRPr="007A3463">
        <w:rPr>
          <w:sz w:val="26"/>
          <w:szCs w:val="26"/>
        </w:rPr>
        <w:t xml:space="preserve">determined that PECO provided unreasonable service to the Complainant because the Company conditioned a payment arrangement upon the payment of current charges.  </w:t>
      </w:r>
      <w:proofErr w:type="gramStart"/>
      <w:r w:rsidR="00DA11B1" w:rsidRPr="007A3463">
        <w:rPr>
          <w:sz w:val="26"/>
          <w:szCs w:val="26"/>
        </w:rPr>
        <w:t>I.D. at 20.</w:t>
      </w:r>
      <w:proofErr w:type="gramEnd"/>
      <w:r w:rsidR="00DA11B1" w:rsidRPr="007A3463">
        <w:rPr>
          <w:sz w:val="26"/>
          <w:szCs w:val="26"/>
        </w:rPr>
        <w:t xml:space="preserve">  The ALJ noted that the language in the BCS decision</w:t>
      </w:r>
      <w:r w:rsidR="00DA11B1" w:rsidRPr="007A3463">
        <w:rPr>
          <w:i/>
          <w:sz w:val="26"/>
          <w:szCs w:val="26"/>
        </w:rPr>
        <w:t xml:space="preserve"> </w:t>
      </w:r>
      <w:r w:rsidR="00DA11B1" w:rsidRPr="007A3463">
        <w:rPr>
          <w:sz w:val="26"/>
          <w:szCs w:val="26"/>
        </w:rPr>
        <w:t>merely instructed the Complainant to pay the current bills “</w:t>
      </w:r>
      <w:r w:rsidR="00DA11B1" w:rsidRPr="007A3463">
        <w:rPr>
          <w:i/>
          <w:sz w:val="26"/>
          <w:szCs w:val="26"/>
        </w:rPr>
        <w:t>in the interim period</w:t>
      </w:r>
      <w:r w:rsidR="00DA11B1" w:rsidRPr="007A3463">
        <w:rPr>
          <w:sz w:val="26"/>
          <w:szCs w:val="26"/>
        </w:rPr>
        <w:t xml:space="preserve"> between the issuance of the BCS decision and the effective date of the payment arrangement.”  </w:t>
      </w:r>
      <w:proofErr w:type="gramStart"/>
      <w:r w:rsidR="00DA11B1" w:rsidRPr="007A3463">
        <w:rPr>
          <w:sz w:val="26"/>
          <w:szCs w:val="26"/>
        </w:rPr>
        <w:t>I.D. at 14-15 (emphasis in original).</w:t>
      </w:r>
      <w:proofErr w:type="gramEnd"/>
      <w:r w:rsidR="006A4C05" w:rsidRPr="007A3463">
        <w:rPr>
          <w:sz w:val="26"/>
          <w:szCs w:val="26"/>
        </w:rPr>
        <w:t xml:space="preserve">  </w:t>
      </w:r>
      <w:r w:rsidR="00BB3D84" w:rsidRPr="007A3463">
        <w:rPr>
          <w:sz w:val="26"/>
          <w:szCs w:val="26"/>
        </w:rPr>
        <w:t xml:space="preserve">She </w:t>
      </w:r>
      <w:r w:rsidR="008B5ADC" w:rsidRPr="007A3463">
        <w:rPr>
          <w:sz w:val="26"/>
          <w:szCs w:val="26"/>
        </w:rPr>
        <w:t>stat</w:t>
      </w:r>
      <w:r w:rsidR="00BB3D84" w:rsidRPr="007A3463">
        <w:rPr>
          <w:sz w:val="26"/>
          <w:szCs w:val="26"/>
        </w:rPr>
        <w:t xml:space="preserve">ed that interpreting this statement in any other way “could result in the awkward and confusing situation where a customer has defaulted on a payment agreement before [it] has become effective, if that customer fails to pay the current charges in a timely fashion.” </w:t>
      </w:r>
      <w:r w:rsidR="00BB3D84" w:rsidRPr="007A3463">
        <w:rPr>
          <w:i/>
          <w:sz w:val="26"/>
          <w:szCs w:val="26"/>
        </w:rPr>
        <w:t xml:space="preserve"> </w:t>
      </w:r>
      <w:proofErr w:type="gramStart"/>
      <w:r w:rsidR="008B5ADC" w:rsidRPr="007A3463">
        <w:rPr>
          <w:sz w:val="26"/>
          <w:szCs w:val="26"/>
        </w:rPr>
        <w:t>I.D. at 15.</w:t>
      </w:r>
      <w:proofErr w:type="gramEnd"/>
      <w:r w:rsidR="00BB3D84" w:rsidRPr="007A3463">
        <w:rPr>
          <w:sz w:val="26"/>
          <w:szCs w:val="26"/>
        </w:rPr>
        <w:t xml:space="preserve">  </w:t>
      </w:r>
      <w:r w:rsidR="006A4C05" w:rsidRPr="007A3463">
        <w:rPr>
          <w:sz w:val="26"/>
          <w:szCs w:val="26"/>
        </w:rPr>
        <w:t xml:space="preserve">Based upon her findings of inadequate service, the ALJ assessed a $1,000 civil penalty upon PECO in accordance with </w:t>
      </w:r>
      <w:r w:rsidR="00FF48B7">
        <w:rPr>
          <w:sz w:val="26"/>
          <w:szCs w:val="26"/>
        </w:rPr>
        <w:t xml:space="preserve">Section 3301 of the Code, </w:t>
      </w:r>
      <w:r w:rsidR="006A4C05" w:rsidRPr="007A3463">
        <w:rPr>
          <w:sz w:val="26"/>
          <w:szCs w:val="26"/>
        </w:rPr>
        <w:t xml:space="preserve">66 Pa. C.S. § 3301.  </w:t>
      </w:r>
      <w:proofErr w:type="gramStart"/>
      <w:r w:rsidR="006A4C05" w:rsidRPr="007A3463">
        <w:rPr>
          <w:sz w:val="26"/>
          <w:szCs w:val="26"/>
        </w:rPr>
        <w:t>I.D. at 20.</w:t>
      </w:r>
      <w:proofErr w:type="gramEnd"/>
      <w:r w:rsidR="00B229D6" w:rsidRPr="007A3463">
        <w:rPr>
          <w:sz w:val="26"/>
          <w:szCs w:val="26"/>
        </w:rPr>
        <w:t xml:space="preserve">  In reaching her recommendation that the civil penalty should be $1,000, the ALJ analyzed the Commission’s Policy Statement at 52 Pa. Code § 69.1201 that sets forth ten factors that the Commission may consider in evaluating whether a fine for violating a Commission Order, Regulation, or statute is appropriate, as well as if a proposed settlement for a violation is reasonable and approval of the settlement agreement is in the public interest.</w:t>
      </w:r>
      <w:r w:rsidR="008B5ADC" w:rsidRPr="007A3463">
        <w:rPr>
          <w:sz w:val="26"/>
          <w:szCs w:val="26"/>
        </w:rPr>
        <w:t xml:space="preserve">  I.D. at 18-20.</w:t>
      </w:r>
    </w:p>
    <w:p w:rsidR="007262BB" w:rsidRPr="007A3463" w:rsidRDefault="007262BB" w:rsidP="004E66DA">
      <w:pPr>
        <w:spacing w:line="360" w:lineRule="auto"/>
        <w:rPr>
          <w:sz w:val="26"/>
          <w:szCs w:val="26"/>
        </w:rPr>
      </w:pPr>
    </w:p>
    <w:p w:rsidR="000537BC" w:rsidRPr="007A3463" w:rsidRDefault="00B573B5" w:rsidP="004E66DA">
      <w:pPr>
        <w:spacing w:line="360" w:lineRule="auto"/>
        <w:rPr>
          <w:sz w:val="26"/>
          <w:szCs w:val="26"/>
        </w:rPr>
      </w:pPr>
      <w:r w:rsidRPr="007A3463">
        <w:rPr>
          <w:sz w:val="26"/>
          <w:szCs w:val="26"/>
        </w:rPr>
        <w:lastRenderedPageBreak/>
        <w:tab/>
      </w:r>
      <w:r w:rsidRPr="007A3463">
        <w:rPr>
          <w:sz w:val="26"/>
          <w:szCs w:val="26"/>
        </w:rPr>
        <w:tab/>
      </w:r>
      <w:r w:rsidR="000537BC" w:rsidRPr="007A3463">
        <w:rPr>
          <w:sz w:val="26"/>
          <w:szCs w:val="26"/>
        </w:rPr>
        <w:t xml:space="preserve">We do not agree with the ALJ’s finding that PECO should be fined for deeming </w:t>
      </w:r>
      <w:r w:rsidR="00B229D6" w:rsidRPr="007A3463">
        <w:rPr>
          <w:sz w:val="26"/>
          <w:szCs w:val="26"/>
        </w:rPr>
        <w:t>the Complainant</w:t>
      </w:r>
      <w:r w:rsidR="000537BC" w:rsidRPr="007A3463">
        <w:rPr>
          <w:sz w:val="26"/>
          <w:szCs w:val="26"/>
        </w:rPr>
        <w:t xml:space="preserve"> in default of the payment arrangement before the first due date of the a</w:t>
      </w:r>
      <w:r w:rsidR="004F53C9" w:rsidRPr="007A3463">
        <w:rPr>
          <w:sz w:val="26"/>
          <w:szCs w:val="26"/>
        </w:rPr>
        <w:t>rrangement</w:t>
      </w:r>
      <w:r w:rsidR="000537BC" w:rsidRPr="007A3463">
        <w:rPr>
          <w:sz w:val="26"/>
          <w:szCs w:val="26"/>
        </w:rPr>
        <w:t>.  A utility may terminate service when a customer fails to pay the undisputed portion of a bill that is not subject to a Commission-issued payment a</w:t>
      </w:r>
      <w:r w:rsidR="004F53C9" w:rsidRPr="007A3463">
        <w:rPr>
          <w:sz w:val="26"/>
          <w:szCs w:val="26"/>
        </w:rPr>
        <w:t>rrangement</w:t>
      </w:r>
      <w:r w:rsidR="000537BC" w:rsidRPr="007A3463">
        <w:rPr>
          <w:sz w:val="26"/>
          <w:szCs w:val="26"/>
        </w:rPr>
        <w:t xml:space="preserve">.  </w:t>
      </w:r>
      <w:proofErr w:type="gramStart"/>
      <w:r w:rsidR="000537BC" w:rsidRPr="007A3463">
        <w:rPr>
          <w:sz w:val="26"/>
          <w:szCs w:val="26"/>
        </w:rPr>
        <w:t>66 Pa. C.S. § 1405(f).</w:t>
      </w:r>
      <w:proofErr w:type="gramEnd"/>
      <w:r w:rsidR="000537BC" w:rsidRPr="007A3463">
        <w:rPr>
          <w:sz w:val="26"/>
          <w:szCs w:val="26"/>
        </w:rPr>
        <w:t xml:space="preserve">  This does not mean that a utility can deem a customer in default of a Commission-issued payment arrangement when a customer fails to pay the undisputed portion of a bill that is rendered before the first billing period under which the arrangement is in effect.  While PECO’s actions were improper, they were not unreasonable and do not warrant a fine.</w:t>
      </w:r>
    </w:p>
    <w:p w:rsidR="00BF3465" w:rsidRPr="007A3463" w:rsidRDefault="00BF3465" w:rsidP="004E66DA">
      <w:pPr>
        <w:spacing w:line="360" w:lineRule="auto"/>
        <w:rPr>
          <w:sz w:val="26"/>
          <w:szCs w:val="26"/>
        </w:rPr>
      </w:pPr>
    </w:p>
    <w:p w:rsidR="00BF3465" w:rsidRPr="007A3463" w:rsidRDefault="00B573B5" w:rsidP="004E66DA">
      <w:pPr>
        <w:spacing w:line="360" w:lineRule="auto"/>
        <w:rPr>
          <w:sz w:val="26"/>
          <w:szCs w:val="26"/>
        </w:rPr>
      </w:pPr>
      <w:r w:rsidRPr="007A3463">
        <w:rPr>
          <w:sz w:val="26"/>
          <w:szCs w:val="26"/>
        </w:rPr>
        <w:tab/>
      </w:r>
      <w:r w:rsidRPr="007A3463">
        <w:rPr>
          <w:sz w:val="26"/>
          <w:szCs w:val="26"/>
        </w:rPr>
        <w:tab/>
      </w:r>
      <w:r w:rsidR="00BF3465" w:rsidRPr="007A3463">
        <w:rPr>
          <w:sz w:val="26"/>
          <w:szCs w:val="26"/>
        </w:rPr>
        <w:t xml:space="preserve">While we agree with the ALJ’s determination that PECO’s billing format was difficult to follow, </w:t>
      </w:r>
      <w:r w:rsidR="000E7B48" w:rsidRPr="007A3463">
        <w:rPr>
          <w:sz w:val="26"/>
          <w:szCs w:val="26"/>
        </w:rPr>
        <w:t xml:space="preserve">we note that </w:t>
      </w:r>
      <w:r w:rsidR="00BF3465" w:rsidRPr="007A3463">
        <w:rPr>
          <w:sz w:val="26"/>
          <w:szCs w:val="26"/>
        </w:rPr>
        <w:t xml:space="preserve">a similar issue was addressed in </w:t>
      </w:r>
      <w:r w:rsidR="00BF3465" w:rsidRPr="007A3463">
        <w:rPr>
          <w:i/>
          <w:sz w:val="26"/>
          <w:szCs w:val="26"/>
        </w:rPr>
        <w:t>Laura Maisch v. PECO</w:t>
      </w:r>
      <w:r w:rsidR="00BF3465" w:rsidRPr="007A3463">
        <w:rPr>
          <w:sz w:val="26"/>
          <w:szCs w:val="26"/>
        </w:rPr>
        <w:t>, Docket No. C-2009-2118649 (Order entered May 26, 2011).  Pursuant to that Order, PECO worked with BCS to develop a billing format which complies with the Commission’s “plain language” policy statement on billing.  PECO implemented its billing changes in January of 2012</w:t>
      </w:r>
      <w:r w:rsidRPr="007A3463">
        <w:rPr>
          <w:sz w:val="26"/>
          <w:szCs w:val="26"/>
        </w:rPr>
        <w:t>,</w:t>
      </w:r>
      <w:r w:rsidR="00BF3465" w:rsidRPr="007A3463">
        <w:rPr>
          <w:sz w:val="26"/>
          <w:szCs w:val="26"/>
        </w:rPr>
        <w:t xml:space="preserve"> which is after the billing period the Complainant contests</w:t>
      </w:r>
      <w:r w:rsidRPr="007A3463">
        <w:rPr>
          <w:sz w:val="26"/>
          <w:szCs w:val="26"/>
        </w:rPr>
        <w:t xml:space="preserve"> in the matter before us</w:t>
      </w:r>
      <w:r w:rsidR="00BF3465" w:rsidRPr="007A3463">
        <w:rPr>
          <w:sz w:val="26"/>
          <w:szCs w:val="26"/>
        </w:rPr>
        <w:t xml:space="preserve">.  Because PECO has worked with BCS to improve the clarity of its bills, </w:t>
      </w:r>
      <w:r w:rsidR="00BE62E8">
        <w:rPr>
          <w:sz w:val="26"/>
          <w:szCs w:val="26"/>
        </w:rPr>
        <w:t xml:space="preserve">we will </w:t>
      </w:r>
      <w:r w:rsidR="000537BC" w:rsidRPr="007A3463">
        <w:rPr>
          <w:sz w:val="26"/>
          <w:szCs w:val="26"/>
        </w:rPr>
        <w:t xml:space="preserve">not </w:t>
      </w:r>
      <w:r w:rsidR="00E61152">
        <w:rPr>
          <w:sz w:val="26"/>
          <w:szCs w:val="26"/>
        </w:rPr>
        <w:t>penalize</w:t>
      </w:r>
      <w:r w:rsidRPr="007A3463">
        <w:rPr>
          <w:sz w:val="26"/>
          <w:szCs w:val="26"/>
        </w:rPr>
        <w:t xml:space="preserve"> PECO</w:t>
      </w:r>
      <w:r w:rsidR="00BF3465" w:rsidRPr="007A3463">
        <w:rPr>
          <w:sz w:val="26"/>
          <w:szCs w:val="26"/>
        </w:rPr>
        <w:t xml:space="preserve"> at this time. </w:t>
      </w:r>
    </w:p>
    <w:p w:rsidR="00B46895" w:rsidRPr="007A3463" w:rsidRDefault="00B46895" w:rsidP="004E66DA">
      <w:pPr>
        <w:spacing w:line="360" w:lineRule="auto"/>
        <w:rPr>
          <w:sz w:val="26"/>
          <w:szCs w:val="26"/>
        </w:rPr>
      </w:pPr>
      <w:r w:rsidRPr="007A3463">
        <w:rPr>
          <w:sz w:val="26"/>
          <w:szCs w:val="26"/>
        </w:rPr>
        <w:tab/>
      </w:r>
      <w:r w:rsidRPr="007A3463">
        <w:rPr>
          <w:sz w:val="26"/>
          <w:szCs w:val="26"/>
        </w:rPr>
        <w:tab/>
      </w:r>
    </w:p>
    <w:p w:rsidR="009043BE" w:rsidRPr="007A3463" w:rsidRDefault="009043BE" w:rsidP="004E66DA">
      <w:pPr>
        <w:spacing w:line="360" w:lineRule="auto"/>
        <w:rPr>
          <w:b/>
          <w:sz w:val="26"/>
          <w:szCs w:val="26"/>
        </w:rPr>
      </w:pPr>
      <w:r w:rsidRPr="007A3463">
        <w:rPr>
          <w:b/>
          <w:sz w:val="26"/>
          <w:szCs w:val="26"/>
        </w:rPr>
        <w:t>Termination of Service on November 10, 2010</w:t>
      </w:r>
    </w:p>
    <w:p w:rsidR="001160BA" w:rsidRPr="007A3463" w:rsidRDefault="001160BA" w:rsidP="004E66DA">
      <w:pPr>
        <w:spacing w:line="360" w:lineRule="auto"/>
        <w:rPr>
          <w:b/>
          <w:sz w:val="26"/>
          <w:szCs w:val="26"/>
        </w:rPr>
      </w:pPr>
    </w:p>
    <w:p w:rsidR="009043BE" w:rsidRPr="007A3463" w:rsidRDefault="001160BA" w:rsidP="004E66DA">
      <w:pPr>
        <w:spacing w:line="360" w:lineRule="auto"/>
        <w:rPr>
          <w:sz w:val="26"/>
          <w:szCs w:val="26"/>
        </w:rPr>
      </w:pPr>
      <w:r w:rsidRPr="007A3463">
        <w:rPr>
          <w:b/>
          <w:sz w:val="26"/>
          <w:szCs w:val="26"/>
        </w:rPr>
        <w:tab/>
      </w:r>
      <w:r w:rsidRPr="007A3463">
        <w:rPr>
          <w:b/>
          <w:sz w:val="26"/>
          <w:szCs w:val="26"/>
        </w:rPr>
        <w:tab/>
      </w:r>
      <w:r w:rsidR="00BD223D" w:rsidRPr="007A3463">
        <w:rPr>
          <w:sz w:val="26"/>
          <w:szCs w:val="26"/>
        </w:rPr>
        <w:t>The Complainant also challenged PECO’s procedures for terminating her electric service.  In her testimony, the Complainant testified that when she returned home from work on November 10, 2010</w:t>
      </w:r>
      <w:r w:rsidR="00B10A00" w:rsidRPr="007A3463">
        <w:rPr>
          <w:sz w:val="26"/>
          <w:szCs w:val="26"/>
        </w:rPr>
        <w:t xml:space="preserve">, she discovered her electric service </w:t>
      </w:r>
      <w:r w:rsidR="003D1CE4">
        <w:rPr>
          <w:sz w:val="26"/>
          <w:szCs w:val="26"/>
        </w:rPr>
        <w:t>was</w:t>
      </w:r>
      <w:r w:rsidR="00B10A00" w:rsidRPr="007A3463">
        <w:rPr>
          <w:sz w:val="26"/>
          <w:szCs w:val="26"/>
        </w:rPr>
        <w:t xml:space="preserve"> shut off and </w:t>
      </w:r>
      <w:r w:rsidR="00AB1C09" w:rsidRPr="007A3463">
        <w:rPr>
          <w:sz w:val="26"/>
          <w:szCs w:val="26"/>
        </w:rPr>
        <w:t xml:space="preserve">that </w:t>
      </w:r>
      <w:r w:rsidR="00B10A00" w:rsidRPr="007A3463">
        <w:rPr>
          <w:sz w:val="26"/>
          <w:szCs w:val="26"/>
        </w:rPr>
        <w:t xml:space="preserve">PECO dug up her front yard in order to shut off her service.  The Complainant alleged that PECO did not ask for access to its meter prior to the termination of her service.  The Complainant further disputes the $1,650 </w:t>
      </w:r>
      <w:r w:rsidR="00AB1C09" w:rsidRPr="007A3463">
        <w:rPr>
          <w:sz w:val="26"/>
          <w:szCs w:val="26"/>
        </w:rPr>
        <w:t>reconnection of service charge</w:t>
      </w:r>
      <w:r w:rsidR="00B10A00" w:rsidRPr="007A3463">
        <w:rPr>
          <w:sz w:val="26"/>
          <w:szCs w:val="26"/>
        </w:rPr>
        <w:t xml:space="preserve"> that was added to her balance after the Company reconnected her service on November 12, 2010</w:t>
      </w:r>
      <w:r w:rsidR="003D1CE4">
        <w:rPr>
          <w:sz w:val="26"/>
          <w:szCs w:val="26"/>
        </w:rPr>
        <w:t>,</w:t>
      </w:r>
      <w:r w:rsidR="00B10A00" w:rsidRPr="007A3463">
        <w:rPr>
          <w:sz w:val="26"/>
          <w:szCs w:val="26"/>
        </w:rPr>
        <w:t xml:space="preserve"> upon receiving a medical certificate.  </w:t>
      </w:r>
      <w:proofErr w:type="gramStart"/>
      <w:r w:rsidR="00B10A00" w:rsidRPr="007A3463">
        <w:rPr>
          <w:sz w:val="26"/>
          <w:szCs w:val="26"/>
        </w:rPr>
        <w:t xml:space="preserve">Tr. </w:t>
      </w:r>
      <w:r w:rsidR="003A16F3" w:rsidRPr="007A3463">
        <w:rPr>
          <w:sz w:val="26"/>
          <w:szCs w:val="26"/>
        </w:rPr>
        <w:t xml:space="preserve">at </w:t>
      </w:r>
      <w:r w:rsidR="00B10A00" w:rsidRPr="007A3463">
        <w:rPr>
          <w:sz w:val="26"/>
          <w:szCs w:val="26"/>
        </w:rPr>
        <w:t>25.</w:t>
      </w:r>
      <w:proofErr w:type="gramEnd"/>
    </w:p>
    <w:p w:rsidR="00B10A00" w:rsidRPr="007A3463" w:rsidRDefault="00B10A00" w:rsidP="004E66DA">
      <w:pPr>
        <w:spacing w:line="360" w:lineRule="auto"/>
        <w:rPr>
          <w:sz w:val="26"/>
          <w:szCs w:val="26"/>
        </w:rPr>
      </w:pPr>
    </w:p>
    <w:p w:rsidR="00B10A00" w:rsidRPr="007A3463" w:rsidRDefault="00B10A00" w:rsidP="004E66DA">
      <w:pPr>
        <w:spacing w:line="360" w:lineRule="auto"/>
        <w:rPr>
          <w:sz w:val="26"/>
          <w:szCs w:val="26"/>
        </w:rPr>
      </w:pPr>
      <w:r w:rsidRPr="007A3463">
        <w:rPr>
          <w:sz w:val="26"/>
          <w:szCs w:val="26"/>
        </w:rPr>
        <w:tab/>
      </w:r>
      <w:r w:rsidRPr="007A3463">
        <w:rPr>
          <w:sz w:val="26"/>
          <w:szCs w:val="26"/>
        </w:rPr>
        <w:tab/>
        <w:t xml:space="preserve">In response, PECO stated that on four </w:t>
      </w:r>
      <w:r w:rsidR="000E7B48" w:rsidRPr="007A3463">
        <w:rPr>
          <w:sz w:val="26"/>
          <w:szCs w:val="26"/>
        </w:rPr>
        <w:t>occasions</w:t>
      </w:r>
      <w:r w:rsidRPr="007A3463">
        <w:rPr>
          <w:sz w:val="26"/>
          <w:szCs w:val="26"/>
        </w:rPr>
        <w:t xml:space="preserve"> between April 6, 2010 and November 10, 2010, </w:t>
      </w:r>
      <w:r w:rsidR="00384B25" w:rsidRPr="007A3463">
        <w:rPr>
          <w:sz w:val="26"/>
          <w:szCs w:val="26"/>
        </w:rPr>
        <w:t>it</w:t>
      </w:r>
      <w:r w:rsidRPr="007A3463">
        <w:rPr>
          <w:sz w:val="26"/>
          <w:szCs w:val="26"/>
        </w:rPr>
        <w:t xml:space="preserve"> issued ten-day</w:t>
      </w:r>
      <w:r w:rsidR="00384B25" w:rsidRPr="007A3463">
        <w:rPr>
          <w:sz w:val="26"/>
          <w:szCs w:val="26"/>
        </w:rPr>
        <w:t xml:space="preserve"> termination</w:t>
      </w:r>
      <w:r w:rsidRPr="007A3463">
        <w:rPr>
          <w:sz w:val="26"/>
          <w:szCs w:val="26"/>
        </w:rPr>
        <w:t xml:space="preserve"> notices for non-payment, each followed by the required seventy-two-hour notices.  The first two termination notices, dated April 6, 2010 and June 1, 2010, respectively, were not carried out because the Complainant refused PECO’s employees access to the meter located inside her residence. The third termination</w:t>
      </w:r>
      <w:r w:rsidR="00BD074E" w:rsidRPr="007A3463">
        <w:rPr>
          <w:sz w:val="26"/>
          <w:szCs w:val="26"/>
        </w:rPr>
        <w:t xml:space="preserve"> notice</w:t>
      </w:r>
      <w:r w:rsidRPr="007A3463">
        <w:rPr>
          <w:sz w:val="26"/>
          <w:szCs w:val="26"/>
        </w:rPr>
        <w:t xml:space="preserve">, dated July 27, 2010 was not carried out because the Complainant submitted a medical certificate.  </w:t>
      </w:r>
      <w:r w:rsidR="004427E2" w:rsidRPr="007A3463">
        <w:rPr>
          <w:sz w:val="26"/>
          <w:szCs w:val="26"/>
        </w:rPr>
        <w:t xml:space="preserve">PECO issued the fourth termination notice on August 11, 2010. </w:t>
      </w:r>
      <w:r w:rsidR="00BD074E" w:rsidRPr="007A3463">
        <w:rPr>
          <w:sz w:val="26"/>
          <w:szCs w:val="26"/>
        </w:rPr>
        <w:t xml:space="preserve"> </w:t>
      </w:r>
      <w:r w:rsidR="004427E2" w:rsidRPr="007A3463">
        <w:rPr>
          <w:sz w:val="26"/>
          <w:szCs w:val="26"/>
        </w:rPr>
        <w:t>On November 10, 2010</w:t>
      </w:r>
      <w:r w:rsidR="00825D30">
        <w:rPr>
          <w:sz w:val="26"/>
          <w:szCs w:val="26"/>
        </w:rPr>
        <w:t>,</w:t>
      </w:r>
      <w:r w:rsidR="004427E2" w:rsidRPr="007A3463">
        <w:rPr>
          <w:sz w:val="26"/>
          <w:szCs w:val="26"/>
        </w:rPr>
        <w:t xml:space="preserve"> the Respondent carried out the termination of electric service because of a nonpayment of a past due balance of $6,002.55.  To terminate service, PECO had to dig underground and install a splice box in the Complainant’s front yard so that any future terminations of service could be completed without having to excavate.  </w:t>
      </w:r>
      <w:proofErr w:type="gramStart"/>
      <w:r w:rsidR="004427E2" w:rsidRPr="007A3463">
        <w:rPr>
          <w:sz w:val="26"/>
          <w:szCs w:val="26"/>
        </w:rPr>
        <w:t>PECO Exhibit 2.</w:t>
      </w:r>
      <w:proofErr w:type="gramEnd"/>
    </w:p>
    <w:p w:rsidR="004D2C34" w:rsidRPr="007A3463" w:rsidRDefault="004D2C34" w:rsidP="004E66DA">
      <w:pPr>
        <w:spacing w:line="360" w:lineRule="auto"/>
        <w:rPr>
          <w:sz w:val="26"/>
          <w:szCs w:val="26"/>
        </w:rPr>
      </w:pPr>
    </w:p>
    <w:p w:rsidR="007C3745" w:rsidRPr="007A3463" w:rsidRDefault="004427E2" w:rsidP="004E66DA">
      <w:pPr>
        <w:spacing w:line="360" w:lineRule="auto"/>
        <w:rPr>
          <w:sz w:val="26"/>
          <w:szCs w:val="26"/>
        </w:rPr>
      </w:pPr>
      <w:r w:rsidRPr="007A3463">
        <w:rPr>
          <w:sz w:val="26"/>
          <w:szCs w:val="26"/>
        </w:rPr>
        <w:tab/>
      </w:r>
      <w:r w:rsidRPr="007A3463">
        <w:rPr>
          <w:sz w:val="26"/>
          <w:szCs w:val="26"/>
        </w:rPr>
        <w:tab/>
      </w:r>
      <w:r w:rsidR="00BD074E" w:rsidRPr="007A3463">
        <w:rPr>
          <w:sz w:val="26"/>
          <w:szCs w:val="26"/>
        </w:rPr>
        <w:t>PECO testified that, upon receiving a medical certificate, it restored the Complainant’s electric service on November 12, 2010</w:t>
      </w:r>
      <w:r w:rsidR="007A6BB9" w:rsidRPr="007A3463">
        <w:rPr>
          <w:sz w:val="26"/>
          <w:szCs w:val="26"/>
        </w:rPr>
        <w:t>, and</w:t>
      </w:r>
      <w:r w:rsidR="000E7B48" w:rsidRPr="007A3463">
        <w:rPr>
          <w:sz w:val="26"/>
          <w:szCs w:val="26"/>
        </w:rPr>
        <w:t xml:space="preserve"> </w:t>
      </w:r>
      <w:r w:rsidR="007D16EA" w:rsidRPr="007A3463">
        <w:rPr>
          <w:sz w:val="26"/>
          <w:szCs w:val="26"/>
        </w:rPr>
        <w:t>charged a security deposit in the amount of $240</w:t>
      </w:r>
      <w:r w:rsidR="00404C07" w:rsidRPr="007A3463">
        <w:rPr>
          <w:sz w:val="26"/>
          <w:szCs w:val="26"/>
        </w:rPr>
        <w:t xml:space="preserve"> </w:t>
      </w:r>
      <w:r w:rsidR="007D16EA" w:rsidRPr="007A3463">
        <w:rPr>
          <w:sz w:val="26"/>
          <w:szCs w:val="26"/>
        </w:rPr>
        <w:t>and a reconnection fee of $1,650</w:t>
      </w:r>
      <w:r w:rsidR="00404C07" w:rsidRPr="007A3463">
        <w:rPr>
          <w:sz w:val="26"/>
          <w:szCs w:val="26"/>
        </w:rPr>
        <w:t xml:space="preserve"> </w:t>
      </w:r>
      <w:r w:rsidR="007D16EA" w:rsidRPr="007A3463">
        <w:rPr>
          <w:sz w:val="26"/>
          <w:szCs w:val="26"/>
        </w:rPr>
        <w:t xml:space="preserve">to the Complainant’s account.  The reconnection fee was charged in accordance with PECO’s Commission-approved tariff for underground reconnection of service.  </w:t>
      </w:r>
      <w:proofErr w:type="gramStart"/>
      <w:r w:rsidR="007D16EA" w:rsidRPr="007A3463">
        <w:rPr>
          <w:sz w:val="26"/>
          <w:szCs w:val="26"/>
        </w:rPr>
        <w:t>PECO Exhibits 1, 2, and 4.</w:t>
      </w:r>
      <w:proofErr w:type="gramEnd"/>
      <w:r w:rsidR="007D16EA" w:rsidRPr="007A3463">
        <w:rPr>
          <w:sz w:val="26"/>
          <w:szCs w:val="26"/>
        </w:rPr>
        <w:t xml:space="preserve">  </w:t>
      </w:r>
    </w:p>
    <w:p w:rsidR="008C5AA7" w:rsidRPr="007A3463" w:rsidRDefault="008C5AA7" w:rsidP="004E66DA">
      <w:pPr>
        <w:spacing w:line="360" w:lineRule="auto"/>
        <w:rPr>
          <w:sz w:val="26"/>
          <w:szCs w:val="26"/>
        </w:rPr>
      </w:pPr>
    </w:p>
    <w:p w:rsidR="007C3745" w:rsidRPr="007A3463" w:rsidRDefault="007C3745" w:rsidP="004E66DA">
      <w:pPr>
        <w:spacing w:line="360" w:lineRule="auto"/>
        <w:rPr>
          <w:sz w:val="26"/>
          <w:szCs w:val="26"/>
        </w:rPr>
      </w:pPr>
      <w:r w:rsidRPr="007A3463">
        <w:rPr>
          <w:sz w:val="26"/>
          <w:szCs w:val="26"/>
        </w:rPr>
        <w:tab/>
      </w:r>
      <w:r w:rsidRPr="007A3463">
        <w:rPr>
          <w:sz w:val="26"/>
          <w:szCs w:val="26"/>
        </w:rPr>
        <w:tab/>
        <w:t xml:space="preserve">The ALJ determined that the Complainant met her burden of proof that she should be refunded for underground reconnection charges.  The ALJ concluded that the Complainant could have potentially avoided being charged a high reconnection fee if PECO had informed her that its facilities were underground and that any termination and reconnection of service would need to be completed underground </w:t>
      </w:r>
      <w:r w:rsidR="00404C07" w:rsidRPr="007A3463">
        <w:rPr>
          <w:sz w:val="26"/>
          <w:szCs w:val="26"/>
        </w:rPr>
        <w:t>if she failed to give</w:t>
      </w:r>
      <w:r w:rsidRPr="007A3463">
        <w:rPr>
          <w:sz w:val="26"/>
          <w:szCs w:val="26"/>
        </w:rPr>
        <w:t xml:space="preserve"> PECO access to her meter.</w:t>
      </w:r>
      <w:r w:rsidR="00404C07" w:rsidRPr="007A3463">
        <w:rPr>
          <w:sz w:val="26"/>
          <w:szCs w:val="26"/>
        </w:rPr>
        <w:t xml:space="preserve">  Based upon this evidence, the ALJ determined that PECO failed to provide adequate service because it did not contact the Complainant to request access to the meter.  </w:t>
      </w:r>
      <w:proofErr w:type="gramStart"/>
      <w:r w:rsidR="00404C07" w:rsidRPr="007A3463">
        <w:rPr>
          <w:sz w:val="26"/>
          <w:szCs w:val="26"/>
        </w:rPr>
        <w:t>I.D. at 22.</w:t>
      </w:r>
      <w:proofErr w:type="gramEnd"/>
      <w:r w:rsidR="00404C07" w:rsidRPr="007A3463">
        <w:rPr>
          <w:sz w:val="26"/>
          <w:szCs w:val="26"/>
        </w:rPr>
        <w:t xml:space="preserve">  </w:t>
      </w:r>
      <w:r w:rsidR="000E7B48" w:rsidRPr="007A3463">
        <w:rPr>
          <w:sz w:val="26"/>
          <w:szCs w:val="26"/>
        </w:rPr>
        <w:t>Analyzing the Commission’s Policy Statement at 52 Pa. Code § 69.1201, t</w:t>
      </w:r>
      <w:r w:rsidR="00404C07" w:rsidRPr="007A3463">
        <w:rPr>
          <w:sz w:val="26"/>
          <w:szCs w:val="26"/>
        </w:rPr>
        <w:t xml:space="preserve">he ALJ assessed a civil penalty of $500 on PECO to deter further such </w:t>
      </w:r>
      <w:r w:rsidR="00404C07" w:rsidRPr="007A3463">
        <w:rPr>
          <w:sz w:val="26"/>
          <w:szCs w:val="26"/>
        </w:rPr>
        <w:lastRenderedPageBreak/>
        <w:t xml:space="preserve">violations.  </w:t>
      </w:r>
      <w:proofErr w:type="gramStart"/>
      <w:r w:rsidR="002916BB" w:rsidRPr="007A3463">
        <w:rPr>
          <w:sz w:val="26"/>
          <w:szCs w:val="26"/>
        </w:rPr>
        <w:t>I.D. at 23.</w:t>
      </w:r>
      <w:proofErr w:type="gramEnd"/>
      <w:r w:rsidR="002916BB" w:rsidRPr="007A3463">
        <w:rPr>
          <w:sz w:val="26"/>
          <w:szCs w:val="26"/>
        </w:rPr>
        <w:t xml:space="preserve">  </w:t>
      </w:r>
      <w:r w:rsidR="00404C07" w:rsidRPr="007A3463">
        <w:rPr>
          <w:sz w:val="26"/>
          <w:szCs w:val="26"/>
        </w:rPr>
        <w:t xml:space="preserve">The ALJ also required the Respondent to issue a refund of $1,575 to the complainant, which represents the difference between the underground reconnection charge of $1,650 and the charge of $75 for reconnection at the meter.  </w:t>
      </w:r>
      <w:proofErr w:type="gramStart"/>
      <w:r w:rsidR="00404C07" w:rsidRPr="007A3463">
        <w:rPr>
          <w:sz w:val="26"/>
          <w:szCs w:val="26"/>
        </w:rPr>
        <w:t>I.D. at 24.</w:t>
      </w:r>
      <w:proofErr w:type="gramEnd"/>
    </w:p>
    <w:p w:rsidR="00404C07" w:rsidRPr="007A3463" w:rsidRDefault="00404C07" w:rsidP="004E66DA">
      <w:pPr>
        <w:spacing w:line="360" w:lineRule="auto"/>
        <w:rPr>
          <w:sz w:val="26"/>
          <w:szCs w:val="26"/>
        </w:rPr>
      </w:pPr>
    </w:p>
    <w:p w:rsidR="00473696" w:rsidRPr="007A3463" w:rsidRDefault="00404C07" w:rsidP="004E66DA">
      <w:pPr>
        <w:spacing w:line="360" w:lineRule="auto"/>
        <w:rPr>
          <w:sz w:val="26"/>
          <w:szCs w:val="26"/>
        </w:rPr>
      </w:pPr>
      <w:r w:rsidRPr="007A3463">
        <w:rPr>
          <w:sz w:val="26"/>
          <w:szCs w:val="26"/>
        </w:rPr>
        <w:tab/>
      </w:r>
      <w:r w:rsidRPr="007A3463">
        <w:rPr>
          <w:sz w:val="26"/>
          <w:szCs w:val="26"/>
        </w:rPr>
        <w:tab/>
        <w:t xml:space="preserve">We do not agree with the findings in the </w:t>
      </w:r>
      <w:r w:rsidR="00825D30">
        <w:rPr>
          <w:sz w:val="26"/>
          <w:szCs w:val="26"/>
        </w:rPr>
        <w:t>Initial Decision</w:t>
      </w:r>
      <w:r w:rsidRPr="007A3463">
        <w:rPr>
          <w:sz w:val="26"/>
          <w:szCs w:val="26"/>
        </w:rPr>
        <w:t xml:space="preserve"> that PECO failed to provide the Complainant with reasonable service.  The evidence shows that PECO made multiple attempts to contact the Complainant.  Tr. at 86.  In addition, the Complainant received several ten-day </w:t>
      </w:r>
      <w:r w:rsidR="00255125" w:rsidRPr="007A3463">
        <w:rPr>
          <w:sz w:val="26"/>
          <w:szCs w:val="26"/>
        </w:rPr>
        <w:t xml:space="preserve">termination </w:t>
      </w:r>
      <w:r w:rsidRPr="007A3463">
        <w:rPr>
          <w:sz w:val="26"/>
          <w:szCs w:val="26"/>
        </w:rPr>
        <w:t>notices</w:t>
      </w:r>
      <w:r w:rsidR="00825D30">
        <w:rPr>
          <w:sz w:val="26"/>
          <w:szCs w:val="26"/>
        </w:rPr>
        <w:t>, which</w:t>
      </w:r>
      <w:r w:rsidRPr="007A3463">
        <w:rPr>
          <w:sz w:val="26"/>
          <w:szCs w:val="26"/>
        </w:rPr>
        <w:t xml:space="preserve"> clearly stated that there was a potential charge of $1,650 associated with underground reconnection.  Tr. at 92-93.  Despite this knowledge, the Complainant did not make PECO’s facilities available to the Company.  </w:t>
      </w:r>
      <w:r w:rsidR="006C49EB">
        <w:rPr>
          <w:sz w:val="26"/>
          <w:szCs w:val="26"/>
        </w:rPr>
        <w:t>As such, in this instance, we are of the opinion that i</w:t>
      </w:r>
      <w:r w:rsidRPr="007A3463">
        <w:rPr>
          <w:sz w:val="26"/>
          <w:szCs w:val="26"/>
        </w:rPr>
        <w:t>t is not appropriate to assess a civil penalty of $500 or to require a reimbursement of $1,575 when PECO complied with both</w:t>
      </w:r>
      <w:r w:rsidR="006C49EB">
        <w:rPr>
          <w:sz w:val="26"/>
          <w:szCs w:val="26"/>
        </w:rPr>
        <w:t xml:space="preserve">, our </w:t>
      </w:r>
      <w:r w:rsidR="00255125" w:rsidRPr="007A3463">
        <w:rPr>
          <w:sz w:val="26"/>
          <w:szCs w:val="26"/>
        </w:rPr>
        <w:t>R</w:t>
      </w:r>
      <w:r w:rsidRPr="007A3463">
        <w:rPr>
          <w:sz w:val="26"/>
          <w:szCs w:val="26"/>
        </w:rPr>
        <w:t>egulations regarding termination and its Commission-approved tariff for underground reconnection of service.  Utilities have an obligation to ratepayers to prevent the accumulation of large arrearages for which the</w:t>
      </w:r>
      <w:r w:rsidR="00473696">
        <w:rPr>
          <w:sz w:val="26"/>
          <w:szCs w:val="26"/>
        </w:rPr>
        <w:t>y</w:t>
      </w:r>
      <w:r w:rsidRPr="007A3463">
        <w:rPr>
          <w:sz w:val="26"/>
          <w:szCs w:val="26"/>
        </w:rPr>
        <w:t xml:space="preserve"> may never receive payment.  </w:t>
      </w:r>
      <w:r w:rsidR="00F212CF">
        <w:rPr>
          <w:sz w:val="26"/>
          <w:szCs w:val="26"/>
        </w:rPr>
        <w:t xml:space="preserve">In this regard, </w:t>
      </w:r>
      <w:r w:rsidRPr="007A3463">
        <w:rPr>
          <w:sz w:val="26"/>
          <w:szCs w:val="26"/>
        </w:rPr>
        <w:t xml:space="preserve">PECO took appropriate action to terminate </w:t>
      </w:r>
      <w:r w:rsidR="00473696">
        <w:rPr>
          <w:sz w:val="26"/>
          <w:szCs w:val="26"/>
        </w:rPr>
        <w:t xml:space="preserve">the Complainant’s </w:t>
      </w:r>
      <w:r w:rsidRPr="007A3463">
        <w:rPr>
          <w:sz w:val="26"/>
          <w:szCs w:val="26"/>
        </w:rPr>
        <w:t>service.</w:t>
      </w:r>
      <w:r w:rsidR="00473696">
        <w:rPr>
          <w:sz w:val="26"/>
          <w:szCs w:val="26"/>
        </w:rPr>
        <w:t xml:space="preserve">  In light of the above, we shall reverse the ALJ’s decision to impose a penalty on PECO.</w:t>
      </w:r>
    </w:p>
    <w:p w:rsidR="00587D7D" w:rsidRPr="007A3463" w:rsidRDefault="00587D7D" w:rsidP="004E66DA">
      <w:pPr>
        <w:spacing w:line="360" w:lineRule="auto"/>
        <w:rPr>
          <w:sz w:val="26"/>
          <w:szCs w:val="26"/>
        </w:rPr>
      </w:pPr>
    </w:p>
    <w:p w:rsidR="00587D7D" w:rsidRPr="007A3463" w:rsidRDefault="00587D7D" w:rsidP="004E66DA">
      <w:pPr>
        <w:spacing w:line="360" w:lineRule="auto"/>
        <w:rPr>
          <w:b/>
          <w:sz w:val="26"/>
          <w:szCs w:val="26"/>
        </w:rPr>
      </w:pPr>
      <w:r w:rsidRPr="007A3463">
        <w:rPr>
          <w:b/>
          <w:sz w:val="26"/>
          <w:szCs w:val="26"/>
        </w:rPr>
        <w:t>Yard Restoration</w:t>
      </w:r>
    </w:p>
    <w:p w:rsidR="00587D7D" w:rsidRPr="007A3463" w:rsidRDefault="00587D7D" w:rsidP="004E66DA">
      <w:pPr>
        <w:spacing w:line="360" w:lineRule="auto"/>
        <w:rPr>
          <w:b/>
          <w:sz w:val="26"/>
          <w:szCs w:val="26"/>
        </w:rPr>
      </w:pPr>
    </w:p>
    <w:p w:rsidR="003F25E5" w:rsidRPr="007A3463" w:rsidRDefault="00587D7D" w:rsidP="00587D7D">
      <w:pPr>
        <w:spacing w:line="360" w:lineRule="auto"/>
        <w:rPr>
          <w:sz w:val="26"/>
          <w:szCs w:val="26"/>
        </w:rPr>
      </w:pPr>
      <w:r w:rsidRPr="007A3463">
        <w:rPr>
          <w:b/>
          <w:sz w:val="26"/>
          <w:szCs w:val="26"/>
        </w:rPr>
        <w:tab/>
      </w:r>
      <w:r w:rsidRPr="007A3463">
        <w:rPr>
          <w:b/>
          <w:sz w:val="26"/>
          <w:szCs w:val="26"/>
        </w:rPr>
        <w:tab/>
      </w:r>
      <w:r w:rsidR="00597281" w:rsidRPr="00597281">
        <w:rPr>
          <w:sz w:val="26"/>
          <w:szCs w:val="26"/>
        </w:rPr>
        <w:t>T</w:t>
      </w:r>
      <w:r w:rsidRPr="007A3463">
        <w:rPr>
          <w:sz w:val="26"/>
          <w:szCs w:val="26"/>
        </w:rPr>
        <w:t xml:space="preserve">he Complainant claims that PECO did not restore her yard after terminating her electrical service underground.  </w:t>
      </w:r>
      <w:r w:rsidR="00597281">
        <w:rPr>
          <w:sz w:val="26"/>
          <w:szCs w:val="26"/>
        </w:rPr>
        <w:t xml:space="preserve">We conclude that the record lacks </w:t>
      </w:r>
      <w:r w:rsidRPr="007A3463">
        <w:rPr>
          <w:sz w:val="26"/>
          <w:szCs w:val="26"/>
        </w:rPr>
        <w:t xml:space="preserve">sufficient evidence </w:t>
      </w:r>
      <w:r w:rsidR="00597281">
        <w:rPr>
          <w:sz w:val="26"/>
          <w:szCs w:val="26"/>
        </w:rPr>
        <w:t xml:space="preserve">for us to </w:t>
      </w:r>
      <w:r w:rsidRPr="007A3463">
        <w:rPr>
          <w:sz w:val="26"/>
          <w:szCs w:val="26"/>
        </w:rPr>
        <w:t>make a determination regarding yard restoration in this case</w:t>
      </w:r>
      <w:r w:rsidR="00597281">
        <w:rPr>
          <w:sz w:val="26"/>
          <w:szCs w:val="26"/>
        </w:rPr>
        <w:t>.  Nevertheless</w:t>
      </w:r>
      <w:r w:rsidRPr="007A3463">
        <w:rPr>
          <w:sz w:val="26"/>
          <w:szCs w:val="26"/>
        </w:rPr>
        <w:t xml:space="preserve">, </w:t>
      </w:r>
      <w:r w:rsidR="00F4770C" w:rsidRPr="007A3463">
        <w:rPr>
          <w:sz w:val="26"/>
          <w:szCs w:val="26"/>
        </w:rPr>
        <w:t>we</w:t>
      </w:r>
      <w:r w:rsidRPr="007A3463">
        <w:rPr>
          <w:sz w:val="26"/>
          <w:szCs w:val="26"/>
        </w:rPr>
        <w:t xml:space="preserve"> note that reasonable service requires restoration of a customer’s property to a condition similar to that </w:t>
      </w:r>
      <w:r w:rsidR="00F212CF">
        <w:rPr>
          <w:sz w:val="26"/>
          <w:szCs w:val="26"/>
        </w:rPr>
        <w:t xml:space="preserve">in </w:t>
      </w:r>
      <w:r w:rsidRPr="007A3463">
        <w:rPr>
          <w:sz w:val="26"/>
          <w:szCs w:val="26"/>
        </w:rPr>
        <w:t>which the property was before the utility engaged i</w:t>
      </w:r>
      <w:r w:rsidR="00597281">
        <w:rPr>
          <w:sz w:val="26"/>
          <w:szCs w:val="26"/>
        </w:rPr>
        <w:t>n the earth disturbing activity</w:t>
      </w:r>
      <w:r w:rsidR="00F212CF">
        <w:rPr>
          <w:sz w:val="26"/>
          <w:szCs w:val="26"/>
        </w:rPr>
        <w:t>.  W</w:t>
      </w:r>
      <w:r w:rsidR="00597281">
        <w:rPr>
          <w:sz w:val="26"/>
          <w:szCs w:val="26"/>
        </w:rPr>
        <w:t xml:space="preserve">e </w:t>
      </w:r>
      <w:r w:rsidR="00B53E54">
        <w:rPr>
          <w:sz w:val="26"/>
          <w:szCs w:val="26"/>
        </w:rPr>
        <w:t>caution</w:t>
      </w:r>
      <w:r w:rsidR="00597281">
        <w:rPr>
          <w:sz w:val="26"/>
          <w:szCs w:val="26"/>
        </w:rPr>
        <w:t xml:space="preserve"> </w:t>
      </w:r>
      <w:r w:rsidR="00B53E54">
        <w:rPr>
          <w:sz w:val="26"/>
          <w:szCs w:val="26"/>
        </w:rPr>
        <w:t>PECO and all utilities to adhere to this standard.</w:t>
      </w:r>
    </w:p>
    <w:p w:rsidR="00587D7D" w:rsidRPr="007A3463" w:rsidRDefault="00587D7D" w:rsidP="00587D7D">
      <w:pPr>
        <w:spacing w:line="360" w:lineRule="auto"/>
        <w:rPr>
          <w:sz w:val="26"/>
        </w:rPr>
      </w:pPr>
    </w:p>
    <w:p w:rsidR="00956972" w:rsidRPr="007A3463" w:rsidRDefault="00956972" w:rsidP="00B53E54">
      <w:pPr>
        <w:keepNext/>
        <w:spacing w:line="360" w:lineRule="auto"/>
        <w:jc w:val="center"/>
        <w:rPr>
          <w:b/>
          <w:sz w:val="26"/>
          <w:szCs w:val="26"/>
        </w:rPr>
      </w:pPr>
      <w:r w:rsidRPr="007A3463">
        <w:rPr>
          <w:b/>
          <w:sz w:val="26"/>
          <w:szCs w:val="26"/>
        </w:rPr>
        <w:t>Conclusion</w:t>
      </w:r>
    </w:p>
    <w:p w:rsidR="006C56A5" w:rsidRPr="007A3463" w:rsidRDefault="006C56A5" w:rsidP="00B53E54">
      <w:pPr>
        <w:keepNext/>
        <w:spacing w:line="360" w:lineRule="auto"/>
        <w:rPr>
          <w:sz w:val="26"/>
          <w:szCs w:val="26"/>
        </w:rPr>
      </w:pPr>
    </w:p>
    <w:p w:rsidR="00956972" w:rsidRPr="007A3463" w:rsidRDefault="006C56A5" w:rsidP="007E3501">
      <w:pPr>
        <w:spacing w:line="360" w:lineRule="auto"/>
        <w:rPr>
          <w:sz w:val="26"/>
          <w:szCs w:val="26"/>
        </w:rPr>
      </w:pPr>
      <w:r w:rsidRPr="007A3463">
        <w:rPr>
          <w:sz w:val="26"/>
          <w:szCs w:val="26"/>
        </w:rPr>
        <w:tab/>
      </w:r>
      <w:r w:rsidRPr="007A3463">
        <w:rPr>
          <w:sz w:val="26"/>
          <w:szCs w:val="26"/>
        </w:rPr>
        <w:tab/>
      </w:r>
      <w:r w:rsidR="0023377F" w:rsidRPr="007A3463">
        <w:rPr>
          <w:sz w:val="26"/>
          <w:szCs w:val="26"/>
        </w:rPr>
        <w:t xml:space="preserve">Based on our review of the </w:t>
      </w:r>
      <w:r w:rsidR="008B496B" w:rsidRPr="007A3463">
        <w:rPr>
          <w:sz w:val="26"/>
          <w:szCs w:val="26"/>
        </w:rPr>
        <w:t>record</w:t>
      </w:r>
      <w:r w:rsidR="003928E1" w:rsidRPr="007A3463">
        <w:rPr>
          <w:sz w:val="26"/>
          <w:szCs w:val="26"/>
        </w:rPr>
        <w:t xml:space="preserve">, the ALJ’s Initial Decision, </w:t>
      </w:r>
      <w:r w:rsidR="0023377F" w:rsidRPr="007A3463">
        <w:rPr>
          <w:sz w:val="26"/>
          <w:szCs w:val="26"/>
        </w:rPr>
        <w:t>and the applicable</w:t>
      </w:r>
      <w:r w:rsidR="003928E1" w:rsidRPr="007A3463">
        <w:rPr>
          <w:sz w:val="26"/>
          <w:szCs w:val="26"/>
        </w:rPr>
        <w:t xml:space="preserve"> </w:t>
      </w:r>
      <w:r w:rsidR="0023377F" w:rsidRPr="007A3463">
        <w:rPr>
          <w:sz w:val="26"/>
          <w:szCs w:val="26"/>
        </w:rPr>
        <w:t>law,</w:t>
      </w:r>
      <w:r w:rsidR="00474DBB" w:rsidRPr="007A3463">
        <w:rPr>
          <w:sz w:val="26"/>
          <w:szCs w:val="26"/>
        </w:rPr>
        <w:t xml:space="preserve"> </w:t>
      </w:r>
      <w:r w:rsidR="00FD497B" w:rsidRPr="007A3463">
        <w:rPr>
          <w:sz w:val="26"/>
          <w:szCs w:val="26"/>
        </w:rPr>
        <w:t>w</w:t>
      </w:r>
      <w:r w:rsidR="00B265B1" w:rsidRPr="007A3463">
        <w:rPr>
          <w:sz w:val="26"/>
          <w:szCs w:val="26"/>
        </w:rPr>
        <w:t xml:space="preserve">e </w:t>
      </w:r>
      <w:r w:rsidR="00502D50" w:rsidRPr="007A3463">
        <w:rPr>
          <w:sz w:val="26"/>
          <w:szCs w:val="26"/>
        </w:rPr>
        <w:t>shall</w:t>
      </w:r>
      <w:r w:rsidR="0019318F" w:rsidRPr="007A3463">
        <w:rPr>
          <w:sz w:val="26"/>
          <w:szCs w:val="26"/>
        </w:rPr>
        <w:t xml:space="preserve"> </w:t>
      </w:r>
      <w:r w:rsidR="006652C6" w:rsidRPr="007A3463">
        <w:rPr>
          <w:sz w:val="26"/>
          <w:szCs w:val="26"/>
        </w:rPr>
        <w:t>modify the A</w:t>
      </w:r>
      <w:r w:rsidR="0023377F" w:rsidRPr="007A3463">
        <w:rPr>
          <w:sz w:val="26"/>
          <w:szCs w:val="26"/>
        </w:rPr>
        <w:t>LJ’s Initial Decision</w:t>
      </w:r>
      <w:r w:rsidR="0019251E" w:rsidRPr="007A3463">
        <w:rPr>
          <w:sz w:val="26"/>
          <w:szCs w:val="26"/>
        </w:rPr>
        <w:t xml:space="preserve">, </w:t>
      </w:r>
      <w:r w:rsidR="006652C6" w:rsidRPr="007A3463">
        <w:rPr>
          <w:sz w:val="26"/>
          <w:szCs w:val="26"/>
        </w:rPr>
        <w:t>consistent with</w:t>
      </w:r>
      <w:r w:rsidR="007473AC" w:rsidRPr="007A3463">
        <w:rPr>
          <w:sz w:val="26"/>
          <w:szCs w:val="26"/>
        </w:rPr>
        <w:t xml:space="preserve"> </w:t>
      </w:r>
      <w:r w:rsidR="0019251E" w:rsidRPr="007A3463">
        <w:rPr>
          <w:sz w:val="26"/>
          <w:szCs w:val="26"/>
        </w:rPr>
        <w:t>this Opinion and Order</w:t>
      </w:r>
      <w:r w:rsidR="00905434" w:rsidRPr="007A3463">
        <w:rPr>
          <w:sz w:val="26"/>
          <w:szCs w:val="26"/>
        </w:rPr>
        <w:t>;</w:t>
      </w:r>
      <w:r w:rsidR="00956972" w:rsidRPr="007A3463">
        <w:rPr>
          <w:sz w:val="26"/>
          <w:szCs w:val="26"/>
        </w:rPr>
        <w:t xml:space="preserve"> </w:t>
      </w:r>
      <w:r w:rsidR="00956972" w:rsidRPr="007A3463">
        <w:rPr>
          <w:b/>
          <w:sz w:val="26"/>
          <w:szCs w:val="26"/>
        </w:rPr>
        <w:t>THEREFORE,</w:t>
      </w:r>
      <w:r w:rsidR="00956972" w:rsidRPr="007A3463">
        <w:rPr>
          <w:sz w:val="26"/>
          <w:szCs w:val="26"/>
        </w:rPr>
        <w:t xml:space="preserve"> </w:t>
      </w:r>
    </w:p>
    <w:p w:rsidR="001A1AD3" w:rsidRPr="007A3463" w:rsidRDefault="001A1AD3" w:rsidP="001A1AD3">
      <w:pPr>
        <w:spacing w:line="360" w:lineRule="auto"/>
        <w:rPr>
          <w:sz w:val="26"/>
          <w:szCs w:val="26"/>
        </w:rPr>
      </w:pPr>
      <w:r w:rsidRPr="007A3463">
        <w:rPr>
          <w:sz w:val="26"/>
          <w:szCs w:val="26"/>
        </w:rPr>
        <w:tab/>
      </w:r>
      <w:r w:rsidRPr="007A3463">
        <w:rPr>
          <w:sz w:val="26"/>
          <w:szCs w:val="26"/>
        </w:rPr>
        <w:tab/>
      </w:r>
    </w:p>
    <w:p w:rsidR="001A1AD3" w:rsidRPr="007A3463" w:rsidRDefault="001A1AD3" w:rsidP="001A1AD3">
      <w:pPr>
        <w:spacing w:line="360" w:lineRule="auto"/>
        <w:rPr>
          <w:b/>
          <w:sz w:val="26"/>
          <w:szCs w:val="26"/>
        </w:rPr>
      </w:pPr>
      <w:r w:rsidRPr="007A3463">
        <w:rPr>
          <w:sz w:val="26"/>
          <w:szCs w:val="26"/>
        </w:rPr>
        <w:tab/>
      </w:r>
      <w:r w:rsidRPr="007A3463">
        <w:rPr>
          <w:sz w:val="26"/>
          <w:szCs w:val="26"/>
        </w:rPr>
        <w:tab/>
      </w:r>
      <w:r w:rsidRPr="007A3463">
        <w:rPr>
          <w:b/>
          <w:sz w:val="26"/>
          <w:szCs w:val="26"/>
        </w:rPr>
        <w:t>IT IS ORDERED:</w:t>
      </w:r>
    </w:p>
    <w:p w:rsidR="001A1AD3" w:rsidRPr="007A3463" w:rsidRDefault="001A1AD3" w:rsidP="001A1AD3">
      <w:pPr>
        <w:spacing w:line="360" w:lineRule="auto"/>
        <w:rPr>
          <w:sz w:val="26"/>
          <w:szCs w:val="26"/>
        </w:rPr>
      </w:pPr>
    </w:p>
    <w:p w:rsidR="00F97807" w:rsidRPr="007A3463"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C05103" w:rsidRPr="007A3463">
        <w:rPr>
          <w:sz w:val="26"/>
          <w:szCs w:val="26"/>
        </w:rPr>
        <w:t xml:space="preserve">Administrative Law </w:t>
      </w:r>
      <w:r w:rsidR="00B809EB" w:rsidRPr="007A3463">
        <w:rPr>
          <w:sz w:val="26"/>
          <w:szCs w:val="26"/>
        </w:rPr>
        <w:t xml:space="preserve">Judge </w:t>
      </w:r>
      <w:r w:rsidR="003A16F3" w:rsidRPr="007A3463">
        <w:rPr>
          <w:sz w:val="26"/>
          <w:szCs w:val="26"/>
        </w:rPr>
        <w:t>Eranda Vero</w:t>
      </w:r>
      <w:r w:rsidR="00B809EB" w:rsidRPr="007A3463">
        <w:rPr>
          <w:sz w:val="26"/>
          <w:szCs w:val="26"/>
        </w:rPr>
        <w:t xml:space="preserve">, issued </w:t>
      </w:r>
      <w:r w:rsidR="0099682E" w:rsidRPr="007A3463">
        <w:rPr>
          <w:sz w:val="26"/>
          <w:szCs w:val="26"/>
        </w:rPr>
        <w:t>November 6</w:t>
      </w:r>
      <w:r w:rsidR="00B809EB" w:rsidRPr="007A3463">
        <w:rPr>
          <w:sz w:val="26"/>
          <w:szCs w:val="26"/>
        </w:rPr>
        <w:t>,</w:t>
      </w:r>
      <w:r w:rsidR="006652C6" w:rsidRPr="007A3463">
        <w:rPr>
          <w:sz w:val="26"/>
          <w:szCs w:val="26"/>
        </w:rPr>
        <w:t xml:space="preserve"> 2012,</w:t>
      </w:r>
      <w:r w:rsidR="008E45DB" w:rsidRPr="007A3463">
        <w:rPr>
          <w:sz w:val="26"/>
          <w:szCs w:val="26"/>
        </w:rPr>
        <w:t xml:space="preserve"> </w:t>
      </w:r>
      <w:r w:rsidR="005154BC" w:rsidRPr="007A3463">
        <w:rPr>
          <w:sz w:val="26"/>
          <w:szCs w:val="26"/>
        </w:rPr>
        <w:t xml:space="preserve">is </w:t>
      </w:r>
      <w:r w:rsidR="007473AC" w:rsidRPr="007A3463">
        <w:rPr>
          <w:sz w:val="26"/>
          <w:szCs w:val="26"/>
        </w:rPr>
        <w:t>adopted</w:t>
      </w:r>
      <w:r w:rsidR="00527A20" w:rsidRPr="007A3463">
        <w:rPr>
          <w:sz w:val="26"/>
          <w:szCs w:val="26"/>
        </w:rPr>
        <w:t xml:space="preserve">, </w:t>
      </w:r>
      <w:r w:rsidR="007473AC" w:rsidRPr="007A3463">
        <w:rPr>
          <w:sz w:val="26"/>
          <w:szCs w:val="26"/>
        </w:rPr>
        <w:t>as modified by</w:t>
      </w:r>
      <w:r w:rsidR="00243CC9" w:rsidRPr="007A3463">
        <w:rPr>
          <w:sz w:val="26"/>
          <w:szCs w:val="26"/>
        </w:rPr>
        <w:t xml:space="preserve"> this Opinion and Order</w:t>
      </w:r>
      <w:r w:rsidR="00EF782F" w:rsidRPr="007A3463">
        <w:rPr>
          <w:sz w:val="26"/>
          <w:szCs w:val="26"/>
        </w:rPr>
        <w:t>.</w:t>
      </w:r>
    </w:p>
    <w:p w:rsidR="00120C2F" w:rsidRPr="007A3463" w:rsidRDefault="00120C2F" w:rsidP="00F97807">
      <w:pPr>
        <w:spacing w:line="360" w:lineRule="auto"/>
        <w:rPr>
          <w:sz w:val="26"/>
          <w:szCs w:val="26"/>
        </w:rPr>
      </w:pPr>
    </w:p>
    <w:p w:rsidR="000C6C92" w:rsidRPr="007A3463" w:rsidRDefault="0019251E" w:rsidP="00766448">
      <w:pPr>
        <w:spacing w:line="360" w:lineRule="auto"/>
        <w:ind w:firstLine="1440"/>
        <w:rPr>
          <w:sz w:val="26"/>
          <w:szCs w:val="26"/>
        </w:rPr>
      </w:pPr>
      <w:r w:rsidRPr="007A3463">
        <w:rPr>
          <w:sz w:val="26"/>
          <w:szCs w:val="26"/>
        </w:rPr>
        <w:t>2</w:t>
      </w:r>
      <w:r w:rsidR="00120C2F" w:rsidRPr="007A3463">
        <w:rPr>
          <w:sz w:val="26"/>
          <w:szCs w:val="26"/>
        </w:rPr>
        <w:t>.</w:t>
      </w:r>
      <w:r w:rsidR="00120C2F" w:rsidRPr="007A3463">
        <w:rPr>
          <w:sz w:val="26"/>
          <w:szCs w:val="26"/>
        </w:rPr>
        <w:tab/>
      </w:r>
      <w:r w:rsidR="006C49EB">
        <w:rPr>
          <w:sz w:val="26"/>
          <w:szCs w:val="26"/>
        </w:rPr>
        <w:t>That the F</w:t>
      </w:r>
      <w:r w:rsidR="00DA3BAC" w:rsidRPr="007A3463">
        <w:rPr>
          <w:sz w:val="26"/>
          <w:szCs w:val="26"/>
        </w:rPr>
        <w:t xml:space="preserve">ormal </w:t>
      </w:r>
      <w:r w:rsidR="006C49EB">
        <w:rPr>
          <w:sz w:val="26"/>
          <w:szCs w:val="26"/>
        </w:rPr>
        <w:t>C</w:t>
      </w:r>
      <w:r w:rsidR="00DA3BAC" w:rsidRPr="007A3463">
        <w:rPr>
          <w:sz w:val="26"/>
          <w:szCs w:val="26"/>
        </w:rPr>
        <w:t xml:space="preserve">omplaint filed by Sue Christmas against PECO Energy Company at Docket No. F-2011-2273245 is </w:t>
      </w:r>
      <w:r w:rsidR="00E13204" w:rsidRPr="007A3463">
        <w:rPr>
          <w:sz w:val="26"/>
          <w:szCs w:val="26"/>
        </w:rPr>
        <w:t>dismissed, consistent with this Opinion and Order</w:t>
      </w:r>
      <w:r w:rsidR="00FF14E7" w:rsidRPr="007A3463">
        <w:rPr>
          <w:sz w:val="26"/>
          <w:szCs w:val="26"/>
        </w:rPr>
        <w:t xml:space="preserve">.  </w:t>
      </w:r>
    </w:p>
    <w:p w:rsidR="00C8216D" w:rsidRPr="007A3463" w:rsidRDefault="00C8216D" w:rsidP="001A1AD3">
      <w:pPr>
        <w:spacing w:line="360" w:lineRule="auto"/>
        <w:rPr>
          <w:sz w:val="26"/>
          <w:szCs w:val="26"/>
        </w:rPr>
      </w:pPr>
    </w:p>
    <w:p w:rsidR="005D74D6" w:rsidRPr="007A3463" w:rsidRDefault="00C8216D" w:rsidP="001A1AD3">
      <w:pPr>
        <w:spacing w:line="360" w:lineRule="auto"/>
        <w:rPr>
          <w:sz w:val="26"/>
          <w:szCs w:val="26"/>
        </w:rPr>
      </w:pPr>
      <w:r w:rsidRPr="007A3463">
        <w:rPr>
          <w:sz w:val="26"/>
          <w:szCs w:val="26"/>
        </w:rPr>
        <w:tab/>
      </w:r>
      <w:r w:rsidRPr="007A3463">
        <w:rPr>
          <w:sz w:val="26"/>
          <w:szCs w:val="26"/>
        </w:rPr>
        <w:tab/>
      </w:r>
      <w:r w:rsidR="00766448" w:rsidRPr="007A3463">
        <w:rPr>
          <w:sz w:val="26"/>
          <w:szCs w:val="26"/>
        </w:rPr>
        <w:t>3</w:t>
      </w:r>
      <w:r w:rsidRPr="007A3463">
        <w:rPr>
          <w:sz w:val="26"/>
          <w:szCs w:val="26"/>
        </w:rPr>
        <w:t>.</w:t>
      </w:r>
      <w:r w:rsidRPr="007A3463">
        <w:rPr>
          <w:sz w:val="26"/>
          <w:szCs w:val="26"/>
        </w:rPr>
        <w:tab/>
      </w:r>
      <w:r w:rsidR="005D74D6" w:rsidRPr="007A3463">
        <w:rPr>
          <w:sz w:val="26"/>
          <w:szCs w:val="26"/>
        </w:rPr>
        <w:t>Tha</w:t>
      </w:r>
      <w:r w:rsidR="00E13204" w:rsidRPr="007A3463">
        <w:rPr>
          <w:sz w:val="26"/>
          <w:szCs w:val="26"/>
        </w:rPr>
        <w:t>t this docket be marked closed.</w:t>
      </w:r>
    </w:p>
    <w:p w:rsidR="005D74D6" w:rsidRPr="007A3463" w:rsidRDefault="005D74D6" w:rsidP="001A1AD3">
      <w:pPr>
        <w:spacing w:line="360" w:lineRule="auto"/>
        <w:rPr>
          <w:sz w:val="26"/>
          <w:szCs w:val="26"/>
        </w:rPr>
      </w:pPr>
    </w:p>
    <w:p w:rsidR="00503B2F" w:rsidRPr="007A3463" w:rsidRDefault="00340164" w:rsidP="0019251E">
      <w:pPr>
        <w:spacing w:line="360" w:lineRule="auto"/>
        <w:rPr>
          <w:sz w:val="26"/>
        </w:rPr>
      </w:pPr>
      <w:bookmarkStart w:id="0" w:name="_GoBack"/>
      <w:r w:rsidRPr="00A14635">
        <w:rPr>
          <w:noProof/>
        </w:rPr>
        <w:drawing>
          <wp:anchor distT="0" distB="0" distL="114300" distR="114300" simplePos="0" relativeHeight="251659264" behindDoc="1" locked="0" layoutInCell="1" allowOverlap="1" wp14:anchorId="4FDB2547" wp14:editId="25320530">
            <wp:simplePos x="0" y="0"/>
            <wp:positionH relativeFrom="column">
              <wp:posOffset>3050540</wp:posOffset>
            </wp:positionH>
            <wp:positionV relativeFrom="paragraph">
              <wp:posOffset>163830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rsidR="00503B2F" w:rsidRPr="007A3463" w:rsidRDefault="00503B2F" w:rsidP="00503B2F">
      <w:pPr>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(SEAL)</w:t>
      </w:r>
    </w:p>
    <w:p w:rsidR="00503B2F" w:rsidRPr="007A3463" w:rsidRDefault="00503B2F" w:rsidP="00503B2F">
      <w:pPr>
        <w:tabs>
          <w:tab w:val="left" w:pos="-720"/>
        </w:tabs>
        <w:suppressAutoHyphens/>
        <w:rPr>
          <w:sz w:val="26"/>
        </w:rPr>
      </w:pPr>
    </w:p>
    <w:p w:rsidR="00503B2F" w:rsidRPr="007A3463" w:rsidRDefault="00503B2F" w:rsidP="00503B2F">
      <w:pPr>
        <w:tabs>
          <w:tab w:val="left" w:pos="-720"/>
        </w:tabs>
        <w:suppressAutoHyphens/>
        <w:rPr>
          <w:sz w:val="26"/>
        </w:rPr>
      </w:pPr>
      <w:r w:rsidRPr="007A3463">
        <w:rPr>
          <w:sz w:val="26"/>
        </w:rPr>
        <w:t>ORDER ADOPTED:</w:t>
      </w:r>
      <w:r w:rsidR="00FF14E7" w:rsidRPr="007A3463">
        <w:rPr>
          <w:sz w:val="26"/>
        </w:rPr>
        <w:t xml:space="preserve">  </w:t>
      </w:r>
      <w:r w:rsidR="00D32E71" w:rsidRPr="007A3463">
        <w:rPr>
          <w:sz w:val="26"/>
        </w:rPr>
        <w:t>January 10, 2013</w:t>
      </w:r>
    </w:p>
    <w:p w:rsidR="00503B2F" w:rsidRPr="007A3463" w:rsidRDefault="00503B2F" w:rsidP="00503B2F">
      <w:pPr>
        <w:tabs>
          <w:tab w:val="left" w:pos="-720"/>
        </w:tabs>
        <w:suppressAutoHyphens/>
        <w:rPr>
          <w:sz w:val="26"/>
        </w:rPr>
      </w:pPr>
    </w:p>
    <w:p w:rsidR="009304FE" w:rsidRPr="007A3463" w:rsidRDefault="00DD3119" w:rsidP="00A85CF2">
      <w:pPr>
        <w:tabs>
          <w:tab w:val="left" w:pos="-720"/>
        </w:tabs>
        <w:suppressAutoHyphens/>
      </w:pPr>
      <w:r w:rsidRPr="007A3463">
        <w:rPr>
          <w:sz w:val="26"/>
        </w:rPr>
        <w:t xml:space="preserve">ORDER ENTERED:  </w:t>
      </w:r>
      <w:r w:rsidR="00340164">
        <w:rPr>
          <w:sz w:val="26"/>
        </w:rPr>
        <w:t>February 20, 2013</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A1" w:rsidRDefault="005C4FA1">
      <w:r>
        <w:separator/>
      </w:r>
    </w:p>
  </w:endnote>
  <w:endnote w:type="continuationSeparator" w:id="0">
    <w:p w:rsidR="005C4FA1" w:rsidRDefault="005C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A1C" w:rsidRDefault="000B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1C" w:rsidRDefault="000B2A1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0164">
      <w:rPr>
        <w:rStyle w:val="PageNumber"/>
        <w:noProof/>
      </w:rPr>
      <w:t>9</w:t>
    </w:r>
    <w:r>
      <w:rPr>
        <w:rStyle w:val="PageNumber"/>
      </w:rPr>
      <w:fldChar w:fldCharType="end"/>
    </w:r>
  </w:p>
  <w:p w:rsidR="000B2A1C" w:rsidRDefault="000B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A1" w:rsidRDefault="005C4FA1">
      <w:r>
        <w:separator/>
      </w:r>
    </w:p>
  </w:footnote>
  <w:footnote w:type="continuationSeparator" w:id="0">
    <w:p w:rsidR="005C4FA1" w:rsidRDefault="005C4FA1">
      <w:r>
        <w:continuationSeparator/>
      </w:r>
    </w:p>
  </w:footnote>
  <w:footnote w:id="1">
    <w:p w:rsidR="000B2A1C" w:rsidRPr="00653FDD" w:rsidRDefault="000B2A1C" w:rsidP="00200D0C">
      <w:pPr>
        <w:ind w:firstLine="720"/>
        <w:rPr>
          <w:sz w:val="26"/>
        </w:rPr>
      </w:pPr>
      <w:r>
        <w:rPr>
          <w:rStyle w:val="FootnoteReference"/>
        </w:rPr>
        <w:footnoteRef/>
      </w:r>
      <w:r>
        <w:tab/>
      </w:r>
      <w:r w:rsidRPr="00653FDD">
        <w:rPr>
          <w:sz w:val="26"/>
        </w:rPr>
        <w:t>Th</w:t>
      </w:r>
      <w:r>
        <w:rPr>
          <w:sz w:val="26"/>
        </w:rPr>
        <w:t>e</w:t>
      </w:r>
      <w:r w:rsidRPr="00653FDD">
        <w:rPr>
          <w:sz w:val="26"/>
        </w:rPr>
        <w:t xml:space="preserve"> </w:t>
      </w:r>
      <w:r>
        <w:rPr>
          <w:sz w:val="26"/>
        </w:rPr>
        <w:t>Complaint</w:t>
      </w:r>
      <w:r w:rsidRPr="00653FDD">
        <w:rPr>
          <w:sz w:val="26"/>
        </w:rPr>
        <w:t xml:space="preserve"> </w:t>
      </w:r>
      <w:r>
        <w:rPr>
          <w:sz w:val="26"/>
        </w:rPr>
        <w:t xml:space="preserve">was </w:t>
      </w:r>
      <w:r w:rsidRPr="00653FDD">
        <w:rPr>
          <w:sz w:val="26"/>
        </w:rPr>
        <w:t>a</w:t>
      </w:r>
      <w:r>
        <w:rPr>
          <w:sz w:val="26"/>
        </w:rPr>
        <w:t xml:space="preserve"> timely</w:t>
      </w:r>
      <w:r w:rsidRPr="00653FDD">
        <w:rPr>
          <w:sz w:val="26"/>
        </w:rPr>
        <w:t xml:space="preserve"> appeal of</w:t>
      </w:r>
      <w:r>
        <w:rPr>
          <w:sz w:val="26"/>
        </w:rPr>
        <w:t xml:space="preserve"> the</w:t>
      </w:r>
      <w:r w:rsidRPr="00653FDD">
        <w:rPr>
          <w:sz w:val="26"/>
        </w:rPr>
        <w:t xml:space="preserve"> Bureau of Consumer Services</w:t>
      </w:r>
      <w:r>
        <w:rPr>
          <w:sz w:val="26"/>
        </w:rPr>
        <w:t xml:space="preserve"> October 17, 2011</w:t>
      </w:r>
      <w:r w:rsidRPr="00653FDD">
        <w:rPr>
          <w:sz w:val="26"/>
        </w:rPr>
        <w:t xml:space="preserve"> </w:t>
      </w:r>
      <w:r>
        <w:rPr>
          <w:sz w:val="26"/>
        </w:rPr>
        <w:t xml:space="preserve">informal </w:t>
      </w:r>
      <w:r w:rsidRPr="00653FDD">
        <w:rPr>
          <w:sz w:val="26"/>
        </w:rPr>
        <w:t>dec</w:t>
      </w:r>
      <w:r>
        <w:rPr>
          <w:sz w:val="26"/>
        </w:rPr>
        <w:t xml:space="preserve">ision at BCS Case </w:t>
      </w:r>
      <w:r w:rsidRPr="00653FDD">
        <w:rPr>
          <w:sz w:val="26"/>
        </w:rPr>
        <w:t>No. 28</w:t>
      </w:r>
      <w:r>
        <w:rPr>
          <w:sz w:val="26"/>
        </w:rPr>
        <w:t>57856</w:t>
      </w:r>
      <w:r w:rsidRPr="00653FDD">
        <w:rPr>
          <w:sz w:val="26"/>
        </w:rPr>
        <w:t>.</w:t>
      </w:r>
    </w:p>
    <w:p w:rsidR="000B2A1C" w:rsidRDefault="000B2A1C">
      <w:pPr>
        <w:pStyle w:val="FootnoteText"/>
      </w:pPr>
    </w:p>
  </w:footnote>
  <w:footnote w:id="2">
    <w:p w:rsidR="002F716A" w:rsidRDefault="000C33A1">
      <w:pPr>
        <w:pStyle w:val="FootnoteText"/>
      </w:pPr>
      <w:r>
        <w:tab/>
      </w:r>
      <w:r w:rsidR="002F716A">
        <w:rPr>
          <w:rStyle w:val="FootnoteReference"/>
        </w:rPr>
        <w:footnoteRef/>
      </w:r>
      <w:r>
        <w:tab/>
      </w:r>
      <w:r w:rsidR="002F716A" w:rsidRPr="003A16F3">
        <w:rPr>
          <w:rFonts w:ascii="Times New Roman" w:hAnsi="Times New Roman"/>
          <w:sz w:val="26"/>
          <w:szCs w:val="26"/>
        </w:rPr>
        <w:t xml:space="preserve">The BCS decision reads in pertinent part: “By Law you must pay any current bills due before this payment arrangement starts.” </w:t>
      </w:r>
      <w:r w:rsidR="007A5A18" w:rsidRPr="003A16F3">
        <w:rPr>
          <w:rFonts w:ascii="Times New Roman" w:hAnsi="Times New Roman"/>
          <w:sz w:val="26"/>
          <w:szCs w:val="26"/>
        </w:rPr>
        <w:t xml:space="preserve"> </w:t>
      </w:r>
      <w:r w:rsidR="002F716A" w:rsidRPr="003A16F3">
        <w:rPr>
          <w:rFonts w:ascii="Times New Roman" w:hAnsi="Times New Roman"/>
          <w:sz w:val="26"/>
          <w:szCs w:val="26"/>
        </w:rPr>
        <w:t>PECO Exhibit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3C0D"/>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23CA"/>
    <w:rsid w:val="0015662E"/>
    <w:rsid w:val="001572C5"/>
    <w:rsid w:val="0016005F"/>
    <w:rsid w:val="001606BC"/>
    <w:rsid w:val="00160F0A"/>
    <w:rsid w:val="0016115A"/>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4B25"/>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400A4D"/>
    <w:rsid w:val="0040233B"/>
    <w:rsid w:val="004023F4"/>
    <w:rsid w:val="00402479"/>
    <w:rsid w:val="00404C07"/>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7E2"/>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696"/>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0A55"/>
    <w:rsid w:val="004B1011"/>
    <w:rsid w:val="004B14C4"/>
    <w:rsid w:val="004B1F17"/>
    <w:rsid w:val="004B30C3"/>
    <w:rsid w:val="004B35DC"/>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4FA1"/>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250A"/>
    <w:rsid w:val="006D3169"/>
    <w:rsid w:val="006D590F"/>
    <w:rsid w:val="006D60A4"/>
    <w:rsid w:val="006D6E56"/>
    <w:rsid w:val="006E0ACD"/>
    <w:rsid w:val="006E19CA"/>
    <w:rsid w:val="006E270D"/>
    <w:rsid w:val="006E3777"/>
    <w:rsid w:val="006E3E10"/>
    <w:rsid w:val="006E50F1"/>
    <w:rsid w:val="006E7B1A"/>
    <w:rsid w:val="006F0018"/>
    <w:rsid w:val="006F32C7"/>
    <w:rsid w:val="006F381F"/>
    <w:rsid w:val="006F4482"/>
    <w:rsid w:val="006F45BC"/>
    <w:rsid w:val="006F472E"/>
    <w:rsid w:val="006F59DE"/>
    <w:rsid w:val="006F5C13"/>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6EC9"/>
    <w:rsid w:val="00780296"/>
    <w:rsid w:val="00780707"/>
    <w:rsid w:val="00780972"/>
    <w:rsid w:val="00780E2F"/>
    <w:rsid w:val="00781C27"/>
    <w:rsid w:val="00787B2C"/>
    <w:rsid w:val="00787B36"/>
    <w:rsid w:val="00787D24"/>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940"/>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6D2B"/>
    <w:rsid w:val="008F7005"/>
    <w:rsid w:val="00901E6F"/>
    <w:rsid w:val="0090291C"/>
    <w:rsid w:val="009043BE"/>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619C"/>
    <w:rsid w:val="009765DF"/>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82E"/>
    <w:rsid w:val="00996FC8"/>
    <w:rsid w:val="00997386"/>
    <w:rsid w:val="009A0BF1"/>
    <w:rsid w:val="009A23A4"/>
    <w:rsid w:val="009A2E64"/>
    <w:rsid w:val="009A3BAF"/>
    <w:rsid w:val="009A43AF"/>
    <w:rsid w:val="009A4914"/>
    <w:rsid w:val="009A4ED0"/>
    <w:rsid w:val="009A6EF9"/>
    <w:rsid w:val="009B0086"/>
    <w:rsid w:val="009B044D"/>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655"/>
    <w:rsid w:val="00B206E5"/>
    <w:rsid w:val="00B20AC4"/>
    <w:rsid w:val="00B21FFE"/>
    <w:rsid w:val="00B229D6"/>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B3A"/>
    <w:rsid w:val="00E62BE3"/>
    <w:rsid w:val="00E631AE"/>
    <w:rsid w:val="00E63A60"/>
    <w:rsid w:val="00E64049"/>
    <w:rsid w:val="00E64CEB"/>
    <w:rsid w:val="00E64DB9"/>
    <w:rsid w:val="00E65353"/>
    <w:rsid w:val="00E6557C"/>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522A"/>
    <w:rsid w:val="00F1579D"/>
    <w:rsid w:val="00F15AA1"/>
    <w:rsid w:val="00F167EB"/>
    <w:rsid w:val="00F1720D"/>
    <w:rsid w:val="00F177E3"/>
    <w:rsid w:val="00F212CF"/>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791A-8880-44C3-ADB0-989AB6C5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2013-02-20T12:23:00Z</cp:lastPrinted>
  <dcterms:created xsi:type="dcterms:W3CDTF">2013-02-11T17:55:00Z</dcterms:created>
  <dcterms:modified xsi:type="dcterms:W3CDTF">2013-02-20T12:23:00Z</dcterms:modified>
</cp:coreProperties>
</file>