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949" w:rsidRPr="00FB448C" w:rsidRDefault="00DE2949" w:rsidP="00E126F9">
      <w:pPr>
        <w:spacing w:line="240" w:lineRule="auto"/>
        <w:jc w:val="center"/>
        <w:rPr>
          <w:b/>
          <w:sz w:val="24"/>
          <w:szCs w:val="24"/>
        </w:rPr>
      </w:pPr>
      <w:r w:rsidRPr="00FB448C">
        <w:rPr>
          <w:b/>
          <w:sz w:val="24"/>
          <w:szCs w:val="24"/>
        </w:rPr>
        <w:t>BEFORE THE</w:t>
      </w:r>
    </w:p>
    <w:p w:rsidR="00DE2949" w:rsidRPr="00FB448C" w:rsidRDefault="00DE2949" w:rsidP="00E126F9">
      <w:pPr>
        <w:spacing w:line="240" w:lineRule="auto"/>
        <w:jc w:val="center"/>
        <w:rPr>
          <w:b/>
          <w:sz w:val="24"/>
          <w:szCs w:val="24"/>
        </w:rPr>
      </w:pPr>
      <w:r w:rsidRPr="00FB448C">
        <w:rPr>
          <w:b/>
          <w:sz w:val="24"/>
          <w:szCs w:val="24"/>
        </w:rPr>
        <w:t>PENNSYLVANIA PUBLIC UTILITY COMMISSION</w:t>
      </w:r>
    </w:p>
    <w:p w:rsidR="00DE2949" w:rsidRPr="00FB448C" w:rsidRDefault="00DE2949" w:rsidP="00E126F9">
      <w:pPr>
        <w:spacing w:line="240" w:lineRule="auto"/>
        <w:jc w:val="center"/>
        <w:rPr>
          <w:sz w:val="24"/>
          <w:szCs w:val="24"/>
        </w:rPr>
      </w:pPr>
    </w:p>
    <w:p w:rsidR="00DE2949" w:rsidRPr="00FB448C" w:rsidRDefault="00DE2949" w:rsidP="00E126F9">
      <w:pPr>
        <w:spacing w:line="240" w:lineRule="auto"/>
        <w:jc w:val="center"/>
        <w:rPr>
          <w:sz w:val="24"/>
          <w:szCs w:val="24"/>
        </w:rPr>
      </w:pPr>
    </w:p>
    <w:p w:rsidR="00E126F9" w:rsidRPr="00FB448C" w:rsidRDefault="00E126F9" w:rsidP="00E126F9">
      <w:pPr>
        <w:spacing w:line="240" w:lineRule="auto"/>
        <w:rPr>
          <w:sz w:val="24"/>
          <w:szCs w:val="24"/>
        </w:rPr>
      </w:pPr>
    </w:p>
    <w:p w:rsidR="00DE2949" w:rsidRPr="00FB448C" w:rsidRDefault="00FB004A" w:rsidP="00E126F9">
      <w:pPr>
        <w:spacing w:line="240" w:lineRule="auto"/>
        <w:rPr>
          <w:sz w:val="24"/>
          <w:szCs w:val="24"/>
        </w:rPr>
      </w:pPr>
      <w:r>
        <w:rPr>
          <w:sz w:val="24"/>
          <w:szCs w:val="24"/>
        </w:rPr>
        <w:t xml:space="preserve">Glenn </w:t>
      </w:r>
      <w:proofErr w:type="spellStart"/>
      <w:r>
        <w:rPr>
          <w:sz w:val="24"/>
          <w:szCs w:val="24"/>
        </w:rPr>
        <w:t>Borneman</w:t>
      </w:r>
      <w:proofErr w:type="spellEnd"/>
      <w:r w:rsidR="00E04BE4">
        <w:rPr>
          <w:sz w:val="24"/>
          <w:szCs w:val="24"/>
        </w:rPr>
        <w:tab/>
      </w:r>
      <w:r w:rsidR="00DE2949" w:rsidRPr="00FB448C">
        <w:rPr>
          <w:sz w:val="24"/>
          <w:szCs w:val="24"/>
        </w:rPr>
        <w:tab/>
      </w:r>
      <w:r w:rsidR="00DE2949" w:rsidRPr="00FB448C">
        <w:rPr>
          <w:sz w:val="24"/>
          <w:szCs w:val="24"/>
        </w:rPr>
        <w:tab/>
      </w:r>
      <w:r w:rsidR="00DE2949" w:rsidRPr="00FB448C">
        <w:rPr>
          <w:sz w:val="24"/>
          <w:szCs w:val="24"/>
        </w:rPr>
        <w:tab/>
      </w:r>
      <w:r w:rsidR="00DE2949" w:rsidRPr="00FB448C">
        <w:rPr>
          <w:sz w:val="24"/>
          <w:szCs w:val="24"/>
        </w:rPr>
        <w:tab/>
        <w:t>:</w:t>
      </w:r>
    </w:p>
    <w:p w:rsidR="00DE2949" w:rsidRPr="00FB448C" w:rsidRDefault="00DE2949" w:rsidP="00E126F9">
      <w:pPr>
        <w:spacing w:line="240" w:lineRule="auto"/>
        <w:rPr>
          <w:sz w:val="24"/>
          <w:szCs w:val="24"/>
        </w:rPr>
      </w:pP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t>:</w:t>
      </w:r>
    </w:p>
    <w:p w:rsidR="00DE2949" w:rsidRPr="00FB448C" w:rsidRDefault="00DE2949" w:rsidP="00E126F9">
      <w:pPr>
        <w:spacing w:line="240" w:lineRule="auto"/>
        <w:rPr>
          <w:sz w:val="24"/>
          <w:szCs w:val="24"/>
        </w:rPr>
      </w:pPr>
      <w:r w:rsidRPr="00FB448C">
        <w:rPr>
          <w:sz w:val="24"/>
          <w:szCs w:val="24"/>
        </w:rPr>
        <w:tab/>
        <w:t>v.</w:t>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t>:</w:t>
      </w:r>
      <w:r w:rsidRPr="00FB448C">
        <w:rPr>
          <w:sz w:val="24"/>
          <w:szCs w:val="24"/>
        </w:rPr>
        <w:tab/>
      </w:r>
      <w:r w:rsidRPr="00FB448C">
        <w:rPr>
          <w:sz w:val="24"/>
          <w:szCs w:val="24"/>
        </w:rPr>
        <w:tab/>
      </w:r>
      <w:r w:rsidR="00FB004A">
        <w:rPr>
          <w:sz w:val="24"/>
          <w:szCs w:val="24"/>
        </w:rPr>
        <w:t>F-2011-2219165</w:t>
      </w:r>
    </w:p>
    <w:p w:rsidR="00DE2949" w:rsidRPr="00FB448C" w:rsidRDefault="00DE2949" w:rsidP="00E126F9">
      <w:pPr>
        <w:spacing w:line="240" w:lineRule="auto"/>
        <w:ind w:left="4320" w:firstLine="720"/>
        <w:rPr>
          <w:sz w:val="24"/>
          <w:szCs w:val="24"/>
        </w:rPr>
      </w:pPr>
      <w:r w:rsidRPr="00FB448C">
        <w:rPr>
          <w:sz w:val="24"/>
          <w:szCs w:val="24"/>
        </w:rPr>
        <w:t>:</w:t>
      </w:r>
    </w:p>
    <w:p w:rsidR="00DE2949" w:rsidRPr="00FB448C" w:rsidRDefault="00FB004A" w:rsidP="00E126F9">
      <w:pPr>
        <w:spacing w:line="240" w:lineRule="auto"/>
        <w:rPr>
          <w:sz w:val="24"/>
          <w:szCs w:val="24"/>
        </w:rPr>
      </w:pPr>
      <w:r>
        <w:rPr>
          <w:sz w:val="24"/>
          <w:szCs w:val="24"/>
        </w:rPr>
        <w:t>PECO Energy</w:t>
      </w:r>
      <w:r w:rsidR="00DE2949" w:rsidRPr="00FB448C">
        <w:rPr>
          <w:sz w:val="24"/>
          <w:szCs w:val="24"/>
        </w:rPr>
        <w:t xml:space="preserve"> Company</w:t>
      </w:r>
      <w:r>
        <w:rPr>
          <w:sz w:val="24"/>
          <w:szCs w:val="24"/>
        </w:rPr>
        <w:tab/>
      </w:r>
      <w:r w:rsidR="00DE2949" w:rsidRPr="00FB448C">
        <w:rPr>
          <w:sz w:val="24"/>
          <w:szCs w:val="24"/>
        </w:rPr>
        <w:tab/>
      </w:r>
      <w:r w:rsidR="00DE2949" w:rsidRPr="00FB448C">
        <w:rPr>
          <w:sz w:val="24"/>
          <w:szCs w:val="24"/>
        </w:rPr>
        <w:tab/>
      </w:r>
      <w:r w:rsidR="00DE2949" w:rsidRPr="00FB448C">
        <w:rPr>
          <w:sz w:val="24"/>
          <w:szCs w:val="24"/>
        </w:rPr>
        <w:tab/>
        <w:t>:</w:t>
      </w:r>
    </w:p>
    <w:p w:rsidR="00DE2949" w:rsidRPr="00FB448C" w:rsidRDefault="00DE2949" w:rsidP="00E126F9">
      <w:pPr>
        <w:spacing w:line="240" w:lineRule="auto"/>
        <w:rPr>
          <w:sz w:val="24"/>
          <w:szCs w:val="24"/>
        </w:rPr>
      </w:pPr>
    </w:p>
    <w:p w:rsidR="00DE2949" w:rsidRPr="00FB448C" w:rsidRDefault="00DE2949" w:rsidP="00E126F9">
      <w:pPr>
        <w:spacing w:line="240" w:lineRule="auto"/>
        <w:rPr>
          <w:sz w:val="24"/>
          <w:szCs w:val="24"/>
        </w:rPr>
      </w:pPr>
    </w:p>
    <w:p w:rsidR="00DE2949" w:rsidRPr="00FB448C" w:rsidRDefault="00DE2949" w:rsidP="00E126F9">
      <w:pPr>
        <w:spacing w:line="240" w:lineRule="auto"/>
        <w:rPr>
          <w:sz w:val="24"/>
          <w:szCs w:val="24"/>
        </w:rPr>
      </w:pPr>
    </w:p>
    <w:p w:rsidR="00DE2949" w:rsidRPr="00FB448C" w:rsidRDefault="00DE2949" w:rsidP="00E126F9">
      <w:pPr>
        <w:pStyle w:val="Heading1"/>
        <w:rPr>
          <w:b/>
          <w:caps/>
          <w:sz w:val="24"/>
          <w:szCs w:val="24"/>
        </w:rPr>
      </w:pPr>
      <w:r w:rsidRPr="00FB448C">
        <w:rPr>
          <w:b/>
          <w:caps/>
          <w:sz w:val="24"/>
          <w:szCs w:val="24"/>
        </w:rPr>
        <w:t>Initial Decision</w:t>
      </w:r>
    </w:p>
    <w:p w:rsidR="00DE2949" w:rsidRPr="00FB448C" w:rsidRDefault="00DE2949" w:rsidP="00E126F9">
      <w:pPr>
        <w:spacing w:line="240" w:lineRule="auto"/>
        <w:jc w:val="center"/>
        <w:rPr>
          <w:sz w:val="24"/>
          <w:szCs w:val="24"/>
          <w:u w:val="single"/>
        </w:rPr>
      </w:pPr>
    </w:p>
    <w:p w:rsidR="00DE2949" w:rsidRPr="00FB448C" w:rsidRDefault="00DE2949" w:rsidP="00E126F9">
      <w:pPr>
        <w:spacing w:line="240" w:lineRule="auto"/>
        <w:jc w:val="center"/>
        <w:rPr>
          <w:sz w:val="24"/>
          <w:szCs w:val="24"/>
          <w:u w:val="single"/>
        </w:rPr>
      </w:pPr>
    </w:p>
    <w:p w:rsidR="00DE2949" w:rsidRPr="00FB448C" w:rsidRDefault="00DE2949" w:rsidP="00E126F9">
      <w:pPr>
        <w:spacing w:line="240" w:lineRule="auto"/>
        <w:jc w:val="center"/>
        <w:rPr>
          <w:sz w:val="24"/>
          <w:szCs w:val="24"/>
        </w:rPr>
      </w:pPr>
      <w:r w:rsidRPr="00FB448C">
        <w:rPr>
          <w:sz w:val="24"/>
          <w:szCs w:val="24"/>
        </w:rPr>
        <w:t>Before</w:t>
      </w:r>
    </w:p>
    <w:p w:rsidR="00DE2949" w:rsidRPr="00FB448C" w:rsidRDefault="00DE2949" w:rsidP="00E126F9">
      <w:pPr>
        <w:spacing w:line="240" w:lineRule="auto"/>
        <w:jc w:val="center"/>
        <w:rPr>
          <w:sz w:val="24"/>
          <w:szCs w:val="24"/>
        </w:rPr>
      </w:pPr>
      <w:r w:rsidRPr="00FB448C">
        <w:rPr>
          <w:sz w:val="24"/>
          <w:szCs w:val="24"/>
        </w:rPr>
        <w:t>Katrina L. Dunderdale</w:t>
      </w:r>
    </w:p>
    <w:p w:rsidR="00DE2949" w:rsidRPr="00FB448C" w:rsidRDefault="00DE2949" w:rsidP="00E126F9">
      <w:pPr>
        <w:spacing w:line="240" w:lineRule="auto"/>
        <w:jc w:val="center"/>
        <w:rPr>
          <w:sz w:val="24"/>
          <w:szCs w:val="24"/>
        </w:rPr>
      </w:pPr>
      <w:r w:rsidRPr="00FB448C">
        <w:rPr>
          <w:sz w:val="24"/>
          <w:szCs w:val="24"/>
        </w:rPr>
        <w:t>Administrative Law Judge</w:t>
      </w:r>
    </w:p>
    <w:p w:rsidR="00DE2949" w:rsidRPr="00FB448C" w:rsidRDefault="00DE2949" w:rsidP="00E126F9">
      <w:pPr>
        <w:spacing w:line="240" w:lineRule="auto"/>
        <w:jc w:val="center"/>
        <w:rPr>
          <w:sz w:val="24"/>
          <w:szCs w:val="24"/>
        </w:rPr>
      </w:pPr>
    </w:p>
    <w:p w:rsidR="00DE2949" w:rsidRPr="00FB448C" w:rsidRDefault="00DE2949" w:rsidP="00E126F9">
      <w:pPr>
        <w:spacing w:line="240" w:lineRule="auto"/>
        <w:jc w:val="center"/>
        <w:rPr>
          <w:sz w:val="24"/>
          <w:szCs w:val="24"/>
        </w:rPr>
      </w:pPr>
    </w:p>
    <w:p w:rsidR="00DE2949" w:rsidRPr="00FB448C" w:rsidRDefault="00DE2949" w:rsidP="00E126F9">
      <w:pPr>
        <w:pStyle w:val="Heading1"/>
        <w:rPr>
          <w:sz w:val="24"/>
          <w:szCs w:val="24"/>
          <w:u w:val="none"/>
        </w:rPr>
      </w:pPr>
      <w:r w:rsidRPr="00FB448C">
        <w:rPr>
          <w:sz w:val="24"/>
          <w:szCs w:val="24"/>
        </w:rPr>
        <w:t>HISTORY OF THE PROCEEDING</w:t>
      </w:r>
    </w:p>
    <w:p w:rsidR="00DE2949" w:rsidRPr="00FB448C" w:rsidRDefault="00DE2949" w:rsidP="00E126F9">
      <w:pPr>
        <w:spacing w:line="240" w:lineRule="auto"/>
        <w:ind w:firstLine="1440"/>
        <w:rPr>
          <w:sz w:val="24"/>
          <w:szCs w:val="24"/>
        </w:rPr>
      </w:pPr>
    </w:p>
    <w:p w:rsidR="00C44296" w:rsidRPr="00B73D10" w:rsidRDefault="00C44296" w:rsidP="00C44296">
      <w:pPr>
        <w:spacing w:line="240" w:lineRule="auto"/>
        <w:ind w:firstLine="1440"/>
        <w:rPr>
          <w:sz w:val="24"/>
          <w:szCs w:val="24"/>
        </w:rPr>
      </w:pPr>
    </w:p>
    <w:p w:rsidR="00340071" w:rsidRDefault="00C44296" w:rsidP="00FB2F18">
      <w:pPr>
        <w:ind w:firstLine="1440"/>
        <w:rPr>
          <w:sz w:val="24"/>
          <w:szCs w:val="24"/>
        </w:rPr>
      </w:pPr>
      <w:r w:rsidRPr="00B73D10">
        <w:rPr>
          <w:sz w:val="24"/>
          <w:szCs w:val="24"/>
        </w:rPr>
        <w:t xml:space="preserve">On </w:t>
      </w:r>
      <w:r w:rsidR="00340071">
        <w:rPr>
          <w:sz w:val="24"/>
          <w:szCs w:val="24"/>
        </w:rPr>
        <w:t>January 6, 2011</w:t>
      </w:r>
      <w:r w:rsidRPr="00B73D10">
        <w:rPr>
          <w:sz w:val="24"/>
          <w:szCs w:val="24"/>
        </w:rPr>
        <w:t xml:space="preserve">, </w:t>
      </w:r>
      <w:r w:rsidR="00715721">
        <w:rPr>
          <w:sz w:val="24"/>
          <w:szCs w:val="24"/>
        </w:rPr>
        <w:t xml:space="preserve">Glenn </w:t>
      </w:r>
      <w:proofErr w:type="spellStart"/>
      <w:r w:rsidR="00340071">
        <w:rPr>
          <w:sz w:val="24"/>
          <w:szCs w:val="24"/>
        </w:rPr>
        <w:t>Borneman</w:t>
      </w:r>
      <w:proofErr w:type="spellEnd"/>
      <w:r w:rsidRPr="00B73D10">
        <w:rPr>
          <w:sz w:val="24"/>
          <w:szCs w:val="24"/>
        </w:rPr>
        <w:t xml:space="preserve"> (“Complainant”) filed a formal complaint against </w:t>
      </w:r>
      <w:r w:rsidR="00340071">
        <w:rPr>
          <w:sz w:val="24"/>
          <w:szCs w:val="24"/>
        </w:rPr>
        <w:t>PECO Energy</w:t>
      </w:r>
      <w:r w:rsidRPr="00B73D10">
        <w:rPr>
          <w:sz w:val="24"/>
          <w:szCs w:val="24"/>
        </w:rPr>
        <w:t xml:space="preserve"> Company (“Respondent” or “</w:t>
      </w:r>
      <w:r w:rsidR="00340071">
        <w:rPr>
          <w:sz w:val="24"/>
          <w:szCs w:val="24"/>
        </w:rPr>
        <w:t>PECO</w:t>
      </w:r>
      <w:r w:rsidRPr="00B73D10">
        <w:rPr>
          <w:sz w:val="24"/>
          <w:szCs w:val="24"/>
        </w:rPr>
        <w:t>”) alleging</w:t>
      </w:r>
      <w:r w:rsidR="00340071">
        <w:rPr>
          <w:sz w:val="24"/>
          <w:szCs w:val="24"/>
        </w:rPr>
        <w:t xml:space="preserve"> incorrect charges and</w:t>
      </w:r>
      <w:r w:rsidRPr="00B73D10">
        <w:rPr>
          <w:sz w:val="24"/>
          <w:szCs w:val="24"/>
        </w:rPr>
        <w:t xml:space="preserve"> </w:t>
      </w:r>
      <w:r w:rsidR="00FB2F18">
        <w:rPr>
          <w:sz w:val="24"/>
          <w:szCs w:val="24"/>
        </w:rPr>
        <w:t xml:space="preserve">unexplained high bills </w:t>
      </w:r>
      <w:r w:rsidRPr="00B73D10">
        <w:rPr>
          <w:sz w:val="24"/>
          <w:szCs w:val="24"/>
        </w:rPr>
        <w:t xml:space="preserve">on Complainant’s residential account with Respondent.  </w:t>
      </w:r>
      <w:r w:rsidR="00340071">
        <w:rPr>
          <w:sz w:val="24"/>
          <w:szCs w:val="24"/>
        </w:rPr>
        <w:t xml:space="preserve">In addition, Complainant averred a PECO employee installed a volt panel eighteen years ago and PECO was “jogging” his meter readings from PECO’s offices.  </w:t>
      </w:r>
    </w:p>
    <w:p w:rsidR="00340071" w:rsidRDefault="00340071" w:rsidP="00FB2F18">
      <w:pPr>
        <w:ind w:firstLine="1440"/>
        <w:rPr>
          <w:sz w:val="24"/>
          <w:szCs w:val="24"/>
        </w:rPr>
      </w:pPr>
    </w:p>
    <w:p w:rsidR="00C44296" w:rsidRPr="00B73D10" w:rsidRDefault="00C44296" w:rsidP="00FB2F18">
      <w:pPr>
        <w:ind w:firstLine="1440"/>
        <w:rPr>
          <w:sz w:val="24"/>
          <w:szCs w:val="24"/>
        </w:rPr>
      </w:pPr>
      <w:r w:rsidRPr="00B73D10">
        <w:rPr>
          <w:sz w:val="24"/>
          <w:szCs w:val="24"/>
        </w:rPr>
        <w:t xml:space="preserve">On </w:t>
      </w:r>
      <w:r w:rsidR="00340071">
        <w:rPr>
          <w:sz w:val="24"/>
          <w:szCs w:val="24"/>
        </w:rPr>
        <w:t>January 27</w:t>
      </w:r>
      <w:r w:rsidR="00FB2F18">
        <w:rPr>
          <w:sz w:val="24"/>
          <w:szCs w:val="24"/>
        </w:rPr>
        <w:t>, 2011</w:t>
      </w:r>
      <w:r w:rsidRPr="00B73D10">
        <w:rPr>
          <w:sz w:val="24"/>
          <w:szCs w:val="24"/>
        </w:rPr>
        <w:t>, Respondent filed an Answer in response to Complainant’s formal complaint</w:t>
      </w:r>
      <w:r w:rsidR="00340071">
        <w:rPr>
          <w:sz w:val="24"/>
          <w:szCs w:val="24"/>
        </w:rPr>
        <w:t xml:space="preserve">, in which it denied billing Complainant for incorrect or unexplained high usage, and averred it conducted an appropriate high bill investigation.  </w:t>
      </w:r>
      <w:bookmarkStart w:id="0" w:name="_GoBack"/>
      <w:bookmarkEnd w:id="0"/>
    </w:p>
    <w:p w:rsidR="00C44296" w:rsidRPr="00B73D10" w:rsidRDefault="00C44296" w:rsidP="00C44296">
      <w:pPr>
        <w:rPr>
          <w:sz w:val="24"/>
          <w:szCs w:val="24"/>
        </w:rPr>
      </w:pPr>
    </w:p>
    <w:p w:rsidR="00FB2F18" w:rsidRDefault="00C44296" w:rsidP="00FB2F18">
      <w:pPr>
        <w:rPr>
          <w:sz w:val="24"/>
          <w:szCs w:val="24"/>
        </w:rPr>
      </w:pPr>
      <w:r w:rsidRPr="00B73D10">
        <w:rPr>
          <w:sz w:val="24"/>
          <w:szCs w:val="24"/>
        </w:rPr>
        <w:tab/>
      </w:r>
      <w:r w:rsidRPr="00B73D10">
        <w:rPr>
          <w:sz w:val="24"/>
          <w:szCs w:val="24"/>
        </w:rPr>
        <w:tab/>
        <w:t xml:space="preserve">On </w:t>
      </w:r>
      <w:r w:rsidR="00340071">
        <w:rPr>
          <w:sz w:val="24"/>
          <w:szCs w:val="24"/>
        </w:rPr>
        <w:t>October 14</w:t>
      </w:r>
      <w:r w:rsidR="00FB2F18">
        <w:rPr>
          <w:sz w:val="24"/>
          <w:szCs w:val="24"/>
        </w:rPr>
        <w:t>, 2011</w:t>
      </w:r>
      <w:r w:rsidRPr="00B73D10">
        <w:rPr>
          <w:sz w:val="24"/>
          <w:szCs w:val="24"/>
        </w:rPr>
        <w:t xml:space="preserve">, the Office of Administrative Law Judge issued a Telephone Hearing Notice, which scheduled an initial telephonic hearing to be conducted on </w:t>
      </w:r>
      <w:r w:rsidR="00340071">
        <w:rPr>
          <w:sz w:val="24"/>
          <w:szCs w:val="24"/>
        </w:rPr>
        <w:t>Thursday, December 1</w:t>
      </w:r>
      <w:r w:rsidR="00FB2F18">
        <w:rPr>
          <w:sz w:val="24"/>
          <w:szCs w:val="24"/>
        </w:rPr>
        <w:t>, 2011</w:t>
      </w:r>
      <w:r w:rsidRPr="00B73D10">
        <w:rPr>
          <w:sz w:val="24"/>
          <w:szCs w:val="24"/>
        </w:rPr>
        <w:t xml:space="preserve">.  On </w:t>
      </w:r>
      <w:r w:rsidR="00340071">
        <w:rPr>
          <w:sz w:val="24"/>
          <w:szCs w:val="24"/>
        </w:rPr>
        <w:t>October 17</w:t>
      </w:r>
      <w:r w:rsidR="00FB2F18">
        <w:rPr>
          <w:sz w:val="24"/>
          <w:szCs w:val="24"/>
        </w:rPr>
        <w:t>, 2011</w:t>
      </w:r>
      <w:r w:rsidRPr="00B73D10">
        <w:rPr>
          <w:sz w:val="24"/>
          <w:szCs w:val="24"/>
        </w:rPr>
        <w:t xml:space="preserve">, the undersigned issued a Prehearing Order.  </w:t>
      </w:r>
    </w:p>
    <w:p w:rsidR="00FB2F18" w:rsidRDefault="00FB2F18" w:rsidP="00FB2F18">
      <w:pPr>
        <w:rPr>
          <w:sz w:val="24"/>
          <w:szCs w:val="24"/>
        </w:rPr>
      </w:pPr>
    </w:p>
    <w:p w:rsidR="00C44296" w:rsidRPr="00B73D10" w:rsidRDefault="00C44296" w:rsidP="00FB2F18">
      <w:pPr>
        <w:ind w:firstLine="1440"/>
        <w:rPr>
          <w:sz w:val="24"/>
          <w:szCs w:val="24"/>
        </w:rPr>
      </w:pPr>
      <w:r w:rsidRPr="00B73D10">
        <w:rPr>
          <w:sz w:val="24"/>
          <w:szCs w:val="24"/>
        </w:rPr>
        <w:lastRenderedPageBreak/>
        <w:t xml:space="preserve">The presiding officer convened the initial telephonic hearing as scheduled on </w:t>
      </w:r>
      <w:r w:rsidR="00FB2F18">
        <w:rPr>
          <w:sz w:val="24"/>
          <w:szCs w:val="24"/>
        </w:rPr>
        <w:t xml:space="preserve">December </w:t>
      </w:r>
      <w:r w:rsidR="00340071">
        <w:rPr>
          <w:sz w:val="24"/>
          <w:szCs w:val="24"/>
        </w:rPr>
        <w:t>1</w:t>
      </w:r>
      <w:r w:rsidR="00FB2F18">
        <w:rPr>
          <w:sz w:val="24"/>
          <w:szCs w:val="24"/>
        </w:rPr>
        <w:t>, 2011</w:t>
      </w:r>
      <w:r w:rsidRPr="00B73D10">
        <w:rPr>
          <w:sz w:val="24"/>
          <w:szCs w:val="24"/>
        </w:rPr>
        <w:t xml:space="preserve">.  Mr. </w:t>
      </w:r>
      <w:proofErr w:type="spellStart"/>
      <w:r w:rsidR="00340071">
        <w:rPr>
          <w:sz w:val="24"/>
          <w:szCs w:val="24"/>
        </w:rPr>
        <w:t>Borneman</w:t>
      </w:r>
      <w:proofErr w:type="spellEnd"/>
      <w:r w:rsidRPr="00B73D10">
        <w:rPr>
          <w:sz w:val="24"/>
          <w:szCs w:val="24"/>
        </w:rPr>
        <w:t xml:space="preserve"> appeared </w:t>
      </w:r>
      <w:r w:rsidRPr="00B73D10">
        <w:rPr>
          <w:i/>
          <w:sz w:val="24"/>
          <w:szCs w:val="24"/>
        </w:rPr>
        <w:t>pro se</w:t>
      </w:r>
      <w:r w:rsidRPr="00B73D10">
        <w:rPr>
          <w:sz w:val="24"/>
          <w:szCs w:val="24"/>
        </w:rPr>
        <w:t xml:space="preserve"> </w:t>
      </w:r>
      <w:r>
        <w:rPr>
          <w:sz w:val="24"/>
          <w:szCs w:val="24"/>
        </w:rPr>
        <w:t xml:space="preserve">and testified </w:t>
      </w:r>
      <w:r w:rsidRPr="00B73D10">
        <w:rPr>
          <w:sz w:val="24"/>
          <w:szCs w:val="24"/>
        </w:rPr>
        <w:t xml:space="preserve">on his own behalf.  Respondent was represented by </w:t>
      </w:r>
      <w:r w:rsidR="00340071">
        <w:rPr>
          <w:sz w:val="24"/>
          <w:szCs w:val="24"/>
        </w:rPr>
        <w:t xml:space="preserve">Dana </w:t>
      </w:r>
      <w:proofErr w:type="spellStart"/>
      <w:r w:rsidR="00340071">
        <w:rPr>
          <w:sz w:val="24"/>
          <w:szCs w:val="24"/>
        </w:rPr>
        <w:t>Pirone</w:t>
      </w:r>
      <w:proofErr w:type="spellEnd"/>
      <w:r w:rsidR="00340071">
        <w:rPr>
          <w:sz w:val="24"/>
          <w:szCs w:val="24"/>
        </w:rPr>
        <w:t xml:space="preserve"> </w:t>
      </w:r>
      <w:proofErr w:type="spellStart"/>
      <w:r w:rsidR="00340071">
        <w:rPr>
          <w:sz w:val="24"/>
          <w:szCs w:val="24"/>
        </w:rPr>
        <w:t>Carosella</w:t>
      </w:r>
      <w:proofErr w:type="spellEnd"/>
      <w:r w:rsidRPr="00B73D10">
        <w:rPr>
          <w:sz w:val="24"/>
          <w:szCs w:val="24"/>
        </w:rPr>
        <w:t xml:space="preserve">, Esquire.  Attorney </w:t>
      </w:r>
      <w:proofErr w:type="spellStart"/>
      <w:r w:rsidR="00340071">
        <w:rPr>
          <w:sz w:val="24"/>
          <w:szCs w:val="24"/>
        </w:rPr>
        <w:t>Carosella</w:t>
      </w:r>
      <w:proofErr w:type="spellEnd"/>
      <w:r w:rsidRPr="00B73D10">
        <w:rPr>
          <w:sz w:val="24"/>
          <w:szCs w:val="24"/>
        </w:rPr>
        <w:t xml:space="preserve"> presented the testimony of </w:t>
      </w:r>
      <w:r w:rsidR="00340071">
        <w:rPr>
          <w:sz w:val="24"/>
          <w:szCs w:val="24"/>
        </w:rPr>
        <w:t>two</w:t>
      </w:r>
      <w:r w:rsidRPr="00B73D10">
        <w:rPr>
          <w:sz w:val="24"/>
          <w:szCs w:val="24"/>
        </w:rPr>
        <w:t xml:space="preserve"> witnesses, and offered </w:t>
      </w:r>
      <w:r w:rsidR="00340071">
        <w:rPr>
          <w:sz w:val="24"/>
          <w:szCs w:val="24"/>
        </w:rPr>
        <w:t>eight</w:t>
      </w:r>
      <w:r w:rsidRPr="00B73D10">
        <w:rPr>
          <w:sz w:val="24"/>
          <w:szCs w:val="24"/>
        </w:rPr>
        <w:t xml:space="preserve"> exhibits, marked </w:t>
      </w:r>
      <w:r w:rsidR="00340071">
        <w:rPr>
          <w:sz w:val="24"/>
          <w:szCs w:val="24"/>
        </w:rPr>
        <w:t>PECO</w:t>
      </w:r>
      <w:r w:rsidRPr="00B73D10">
        <w:rPr>
          <w:sz w:val="24"/>
          <w:szCs w:val="24"/>
        </w:rPr>
        <w:t xml:space="preserve"> Exhibit</w:t>
      </w:r>
      <w:r w:rsidR="00340071">
        <w:rPr>
          <w:sz w:val="24"/>
          <w:szCs w:val="24"/>
        </w:rPr>
        <w:t>s 1 through 8</w:t>
      </w:r>
      <w:r w:rsidRPr="00B73D10">
        <w:rPr>
          <w:sz w:val="24"/>
          <w:szCs w:val="24"/>
        </w:rPr>
        <w:t xml:space="preserve">, which exhibits were admitted into evidence on </w:t>
      </w:r>
      <w:r w:rsidR="00340071">
        <w:rPr>
          <w:sz w:val="24"/>
          <w:szCs w:val="24"/>
        </w:rPr>
        <w:t>December 1</w:t>
      </w:r>
      <w:r w:rsidR="00FB2F18">
        <w:rPr>
          <w:sz w:val="24"/>
          <w:szCs w:val="24"/>
        </w:rPr>
        <w:t>, 2011</w:t>
      </w:r>
      <w:r w:rsidRPr="00B73D10">
        <w:rPr>
          <w:sz w:val="24"/>
          <w:szCs w:val="24"/>
        </w:rPr>
        <w:t xml:space="preserve">.  The transcript of the hearing contains </w:t>
      </w:r>
      <w:r w:rsidR="00340071">
        <w:rPr>
          <w:sz w:val="24"/>
          <w:szCs w:val="24"/>
        </w:rPr>
        <w:t>fifty-two</w:t>
      </w:r>
      <w:r w:rsidR="00B80E5B">
        <w:rPr>
          <w:sz w:val="24"/>
          <w:szCs w:val="24"/>
        </w:rPr>
        <w:t xml:space="preserve"> (</w:t>
      </w:r>
      <w:r w:rsidR="00340071">
        <w:rPr>
          <w:sz w:val="24"/>
          <w:szCs w:val="24"/>
        </w:rPr>
        <w:t>52</w:t>
      </w:r>
      <w:r w:rsidR="00B80E5B">
        <w:rPr>
          <w:sz w:val="24"/>
          <w:szCs w:val="24"/>
        </w:rPr>
        <w:t>)</w:t>
      </w:r>
      <w:r w:rsidR="00FB2F18">
        <w:rPr>
          <w:sz w:val="24"/>
          <w:szCs w:val="24"/>
        </w:rPr>
        <w:t xml:space="preserve"> </w:t>
      </w:r>
      <w:r w:rsidRPr="00B73D10">
        <w:rPr>
          <w:sz w:val="24"/>
          <w:szCs w:val="24"/>
        </w:rPr>
        <w:t>pages</w:t>
      </w:r>
      <w:r w:rsidR="00FB2F18">
        <w:rPr>
          <w:sz w:val="24"/>
          <w:szCs w:val="24"/>
        </w:rPr>
        <w:t xml:space="preserve"> and was received </w:t>
      </w:r>
      <w:r w:rsidR="00ED0CBE">
        <w:rPr>
          <w:sz w:val="24"/>
          <w:szCs w:val="24"/>
        </w:rPr>
        <w:t>by</w:t>
      </w:r>
      <w:r w:rsidR="00FB2F18">
        <w:rPr>
          <w:sz w:val="24"/>
          <w:szCs w:val="24"/>
        </w:rPr>
        <w:t xml:space="preserve"> the presiding offic</w:t>
      </w:r>
      <w:r w:rsidR="00ED0CBE">
        <w:rPr>
          <w:sz w:val="24"/>
          <w:szCs w:val="24"/>
        </w:rPr>
        <w:t xml:space="preserve">er </w:t>
      </w:r>
      <w:r w:rsidR="00FB2F18">
        <w:rPr>
          <w:sz w:val="24"/>
          <w:szCs w:val="24"/>
        </w:rPr>
        <w:t xml:space="preserve">on </w:t>
      </w:r>
      <w:r w:rsidR="00340071">
        <w:rPr>
          <w:sz w:val="24"/>
          <w:szCs w:val="24"/>
        </w:rPr>
        <w:t>January</w:t>
      </w:r>
      <w:r w:rsidR="001807D8">
        <w:rPr>
          <w:sz w:val="24"/>
          <w:szCs w:val="24"/>
        </w:rPr>
        <w:t> </w:t>
      </w:r>
      <w:r w:rsidR="00340071">
        <w:rPr>
          <w:sz w:val="24"/>
          <w:szCs w:val="24"/>
        </w:rPr>
        <w:t>17</w:t>
      </w:r>
      <w:r w:rsidR="00B80E5B">
        <w:rPr>
          <w:sz w:val="24"/>
          <w:szCs w:val="24"/>
        </w:rPr>
        <w:t>, 2012.</w:t>
      </w:r>
      <w:r w:rsidRPr="00B73D10">
        <w:rPr>
          <w:sz w:val="24"/>
          <w:szCs w:val="24"/>
        </w:rPr>
        <w:t xml:space="preserve">  Complainant and Respondent issued final statements on the hearing record in lieu of filing briefs.  </w:t>
      </w:r>
    </w:p>
    <w:p w:rsidR="00C44296" w:rsidRPr="00B73D10" w:rsidRDefault="00C44296" w:rsidP="00C44296">
      <w:pPr>
        <w:tabs>
          <w:tab w:val="left" w:pos="2160"/>
        </w:tabs>
        <w:ind w:firstLine="1440"/>
        <w:rPr>
          <w:sz w:val="24"/>
          <w:szCs w:val="24"/>
        </w:rPr>
      </w:pPr>
    </w:p>
    <w:p w:rsidR="00C44296" w:rsidRPr="00B73D10" w:rsidRDefault="00C44296" w:rsidP="00C44296">
      <w:pPr>
        <w:tabs>
          <w:tab w:val="left" w:pos="2160"/>
        </w:tabs>
        <w:ind w:firstLine="1440"/>
        <w:rPr>
          <w:sz w:val="24"/>
          <w:szCs w:val="24"/>
        </w:rPr>
      </w:pPr>
      <w:r w:rsidRPr="00B73D10">
        <w:rPr>
          <w:sz w:val="24"/>
          <w:szCs w:val="24"/>
        </w:rPr>
        <w:t xml:space="preserve">On </w:t>
      </w:r>
      <w:r w:rsidR="00340071">
        <w:rPr>
          <w:sz w:val="24"/>
          <w:szCs w:val="24"/>
        </w:rPr>
        <w:t>January 17</w:t>
      </w:r>
      <w:r w:rsidR="00B80E5B">
        <w:rPr>
          <w:sz w:val="24"/>
          <w:szCs w:val="24"/>
        </w:rPr>
        <w:t>, 2012,</w:t>
      </w:r>
      <w:r w:rsidRPr="00B73D10">
        <w:rPr>
          <w:sz w:val="24"/>
          <w:szCs w:val="24"/>
        </w:rPr>
        <w:t xml:space="preserve"> </w:t>
      </w:r>
      <w:r w:rsidR="00B80E5B">
        <w:rPr>
          <w:sz w:val="24"/>
          <w:szCs w:val="24"/>
        </w:rPr>
        <w:t>the presiding officer closed the hearing</w:t>
      </w:r>
      <w:r w:rsidRPr="00B73D10">
        <w:rPr>
          <w:sz w:val="24"/>
          <w:szCs w:val="24"/>
        </w:rPr>
        <w:t xml:space="preserve"> record by Interim Order Closing the Hearing Record.</w:t>
      </w:r>
    </w:p>
    <w:p w:rsidR="00C44296" w:rsidRPr="00B73D10" w:rsidRDefault="00C44296" w:rsidP="00C44296">
      <w:pPr>
        <w:tabs>
          <w:tab w:val="left" w:pos="2160"/>
        </w:tabs>
        <w:ind w:firstLine="1440"/>
        <w:rPr>
          <w:sz w:val="24"/>
          <w:szCs w:val="24"/>
        </w:rPr>
      </w:pPr>
    </w:p>
    <w:p w:rsidR="00C44296" w:rsidRPr="00B73D10" w:rsidRDefault="00C44296" w:rsidP="00C44296">
      <w:pPr>
        <w:tabs>
          <w:tab w:val="left" w:pos="2160"/>
        </w:tabs>
        <w:jc w:val="center"/>
        <w:rPr>
          <w:sz w:val="24"/>
          <w:szCs w:val="24"/>
          <w:u w:val="single"/>
        </w:rPr>
      </w:pPr>
      <w:r w:rsidRPr="00B73D10">
        <w:rPr>
          <w:sz w:val="24"/>
          <w:szCs w:val="24"/>
          <w:u w:val="single"/>
        </w:rPr>
        <w:t xml:space="preserve">FINDINGS OF </w:t>
      </w:r>
      <w:smartTag w:uri="urn:schemas-microsoft-com:office:smarttags" w:element="stockticker">
        <w:r w:rsidRPr="00B73D10">
          <w:rPr>
            <w:sz w:val="24"/>
            <w:szCs w:val="24"/>
            <w:u w:val="single"/>
          </w:rPr>
          <w:t>FACT</w:t>
        </w:r>
      </w:smartTag>
    </w:p>
    <w:p w:rsidR="00C44296" w:rsidRPr="00B73D10" w:rsidRDefault="00C44296" w:rsidP="00C44296">
      <w:pPr>
        <w:tabs>
          <w:tab w:val="left" w:pos="2160"/>
        </w:tabs>
        <w:rPr>
          <w:sz w:val="24"/>
          <w:szCs w:val="24"/>
          <w:u w:val="single"/>
        </w:rPr>
      </w:pPr>
    </w:p>
    <w:p w:rsidR="00C44296" w:rsidRPr="00B73D10" w:rsidRDefault="00C44296" w:rsidP="00C44296">
      <w:pPr>
        <w:tabs>
          <w:tab w:val="left" w:pos="2160"/>
        </w:tabs>
        <w:ind w:firstLine="1440"/>
        <w:rPr>
          <w:sz w:val="24"/>
          <w:szCs w:val="24"/>
        </w:rPr>
      </w:pPr>
      <w:r w:rsidRPr="00B73D10">
        <w:rPr>
          <w:sz w:val="24"/>
          <w:szCs w:val="24"/>
        </w:rPr>
        <w:t>1.</w:t>
      </w:r>
      <w:r w:rsidRPr="00B73D10">
        <w:rPr>
          <w:sz w:val="24"/>
          <w:szCs w:val="24"/>
        </w:rPr>
        <w:tab/>
        <w:t xml:space="preserve">Complainant, </w:t>
      </w:r>
      <w:r w:rsidR="00715721">
        <w:rPr>
          <w:sz w:val="24"/>
          <w:szCs w:val="24"/>
        </w:rPr>
        <w:t xml:space="preserve">Glenn </w:t>
      </w:r>
      <w:proofErr w:type="spellStart"/>
      <w:r w:rsidR="00340071">
        <w:rPr>
          <w:sz w:val="24"/>
          <w:szCs w:val="24"/>
        </w:rPr>
        <w:t>Borneman</w:t>
      </w:r>
      <w:proofErr w:type="spellEnd"/>
      <w:r w:rsidR="00FB2F18">
        <w:rPr>
          <w:sz w:val="24"/>
          <w:szCs w:val="24"/>
        </w:rPr>
        <w:t xml:space="preserve">, </w:t>
      </w:r>
      <w:r w:rsidR="00494C7D">
        <w:rPr>
          <w:sz w:val="24"/>
          <w:szCs w:val="24"/>
        </w:rPr>
        <w:t xml:space="preserve">is a disabled individual who </w:t>
      </w:r>
      <w:r w:rsidR="00FB2F18">
        <w:rPr>
          <w:sz w:val="24"/>
          <w:szCs w:val="24"/>
        </w:rPr>
        <w:t xml:space="preserve">resides </w:t>
      </w:r>
      <w:r w:rsidR="00C254C4">
        <w:rPr>
          <w:sz w:val="24"/>
          <w:szCs w:val="24"/>
        </w:rPr>
        <w:t xml:space="preserve">in a multi-unit structure </w:t>
      </w:r>
      <w:r w:rsidR="00FB2F18">
        <w:rPr>
          <w:sz w:val="24"/>
          <w:szCs w:val="24"/>
        </w:rPr>
        <w:t xml:space="preserve">in </w:t>
      </w:r>
      <w:r w:rsidR="00340071">
        <w:rPr>
          <w:sz w:val="24"/>
          <w:szCs w:val="24"/>
        </w:rPr>
        <w:t>Pottstown, Lehigh County</w:t>
      </w:r>
      <w:r w:rsidR="00FB2F18">
        <w:rPr>
          <w:sz w:val="24"/>
          <w:szCs w:val="24"/>
        </w:rPr>
        <w:t xml:space="preserve">, Pennsylvania, where he has resided since </w:t>
      </w:r>
      <w:r w:rsidR="00C254C4">
        <w:rPr>
          <w:sz w:val="24"/>
          <w:szCs w:val="24"/>
        </w:rPr>
        <w:t>1980</w:t>
      </w:r>
      <w:r w:rsidRPr="00B73D10">
        <w:rPr>
          <w:sz w:val="24"/>
          <w:szCs w:val="24"/>
        </w:rPr>
        <w:t xml:space="preserve">.  </w:t>
      </w:r>
      <w:proofErr w:type="gramStart"/>
      <w:r w:rsidRPr="00B73D10">
        <w:rPr>
          <w:sz w:val="24"/>
          <w:szCs w:val="24"/>
        </w:rPr>
        <w:t xml:space="preserve">(Tr. </w:t>
      </w:r>
      <w:r w:rsidR="00494C7D">
        <w:rPr>
          <w:sz w:val="24"/>
          <w:szCs w:val="24"/>
        </w:rPr>
        <w:t>10, 11</w:t>
      </w:r>
      <w:r w:rsidR="00C254C4">
        <w:rPr>
          <w:sz w:val="24"/>
          <w:szCs w:val="24"/>
        </w:rPr>
        <w:t>, 20</w:t>
      </w:r>
      <w:r w:rsidRPr="00B73D10">
        <w:rPr>
          <w:sz w:val="24"/>
          <w:szCs w:val="24"/>
        </w:rPr>
        <w:t>).</w:t>
      </w:r>
      <w:proofErr w:type="gramEnd"/>
      <w:r w:rsidRPr="00B73D10">
        <w:rPr>
          <w:sz w:val="24"/>
          <w:szCs w:val="24"/>
        </w:rPr>
        <w:t xml:space="preserve"> </w:t>
      </w:r>
    </w:p>
    <w:p w:rsidR="00C44296" w:rsidRPr="00B73D10" w:rsidRDefault="00C44296" w:rsidP="00C44296">
      <w:pPr>
        <w:tabs>
          <w:tab w:val="left" w:pos="2160"/>
        </w:tabs>
        <w:ind w:firstLine="1440"/>
        <w:rPr>
          <w:sz w:val="24"/>
          <w:szCs w:val="24"/>
        </w:rPr>
      </w:pPr>
    </w:p>
    <w:p w:rsidR="00FB2F18" w:rsidRDefault="00C44296" w:rsidP="00C44296">
      <w:pPr>
        <w:tabs>
          <w:tab w:val="left" w:pos="2160"/>
        </w:tabs>
        <w:ind w:firstLine="1440"/>
        <w:rPr>
          <w:sz w:val="24"/>
          <w:szCs w:val="24"/>
        </w:rPr>
      </w:pPr>
      <w:r w:rsidRPr="00B73D10">
        <w:rPr>
          <w:sz w:val="24"/>
          <w:szCs w:val="24"/>
        </w:rPr>
        <w:t>2.</w:t>
      </w:r>
      <w:r w:rsidRPr="00B73D10">
        <w:rPr>
          <w:sz w:val="24"/>
          <w:szCs w:val="24"/>
        </w:rPr>
        <w:tab/>
      </w:r>
      <w:r w:rsidR="00FB2F18">
        <w:rPr>
          <w:sz w:val="24"/>
          <w:szCs w:val="24"/>
        </w:rPr>
        <w:t>Complainant</w:t>
      </w:r>
      <w:r w:rsidR="00C254C4">
        <w:rPr>
          <w:sz w:val="24"/>
          <w:szCs w:val="24"/>
        </w:rPr>
        <w:t>’s</w:t>
      </w:r>
      <w:r w:rsidR="00BB126E">
        <w:rPr>
          <w:sz w:val="24"/>
          <w:szCs w:val="24"/>
        </w:rPr>
        <w:t xml:space="preserve"> </w:t>
      </w:r>
      <w:r w:rsidR="00FB2F18">
        <w:rPr>
          <w:sz w:val="24"/>
          <w:szCs w:val="24"/>
        </w:rPr>
        <w:t xml:space="preserve">residence </w:t>
      </w:r>
      <w:r w:rsidR="00C254C4">
        <w:rPr>
          <w:sz w:val="24"/>
          <w:szCs w:val="24"/>
        </w:rPr>
        <w:t xml:space="preserve">is </w:t>
      </w:r>
      <w:r w:rsidR="00494C7D">
        <w:rPr>
          <w:sz w:val="24"/>
          <w:szCs w:val="24"/>
        </w:rPr>
        <w:t>separated into three apartments</w:t>
      </w:r>
      <w:r w:rsidR="00C254C4">
        <w:rPr>
          <w:sz w:val="24"/>
          <w:szCs w:val="24"/>
        </w:rPr>
        <w:t xml:space="preserve"> with one apartment in the front of the first floor, one in the </w:t>
      </w:r>
      <w:r w:rsidR="009D72E7">
        <w:rPr>
          <w:sz w:val="24"/>
          <w:szCs w:val="24"/>
        </w:rPr>
        <w:t>rear</w:t>
      </w:r>
      <w:r w:rsidR="00C254C4">
        <w:rPr>
          <w:sz w:val="24"/>
          <w:szCs w:val="24"/>
        </w:rPr>
        <w:t xml:space="preserve"> on the first floor and one located on the second floor</w:t>
      </w:r>
      <w:r w:rsidR="00FB2F18">
        <w:rPr>
          <w:sz w:val="24"/>
          <w:szCs w:val="24"/>
        </w:rPr>
        <w:t xml:space="preserve">.  </w:t>
      </w:r>
      <w:r w:rsidR="00C254C4">
        <w:rPr>
          <w:sz w:val="24"/>
          <w:szCs w:val="24"/>
        </w:rPr>
        <w:t xml:space="preserve">Complainant primarily lives in the </w:t>
      </w:r>
      <w:r w:rsidR="009D72E7">
        <w:rPr>
          <w:sz w:val="24"/>
          <w:szCs w:val="24"/>
        </w:rPr>
        <w:t>rear</w:t>
      </w:r>
      <w:r w:rsidR="00C254C4">
        <w:rPr>
          <w:sz w:val="24"/>
          <w:szCs w:val="24"/>
        </w:rPr>
        <w:t xml:space="preserve"> first floor apartment.  </w:t>
      </w:r>
      <w:proofErr w:type="gramStart"/>
      <w:r w:rsidR="00340071" w:rsidRPr="00B73D10">
        <w:rPr>
          <w:sz w:val="24"/>
          <w:szCs w:val="24"/>
        </w:rPr>
        <w:t xml:space="preserve">(Tr. </w:t>
      </w:r>
      <w:r w:rsidR="00494C7D">
        <w:rPr>
          <w:sz w:val="24"/>
          <w:szCs w:val="24"/>
        </w:rPr>
        <w:t>10, 11; PECO Exhibit 1</w:t>
      </w:r>
      <w:r w:rsidR="00340071" w:rsidRPr="00B73D10">
        <w:rPr>
          <w:sz w:val="24"/>
          <w:szCs w:val="24"/>
        </w:rPr>
        <w:t>).</w:t>
      </w:r>
      <w:proofErr w:type="gramEnd"/>
    </w:p>
    <w:p w:rsidR="00FB2F18" w:rsidRDefault="00FB2F18" w:rsidP="00C44296">
      <w:pPr>
        <w:tabs>
          <w:tab w:val="left" w:pos="2160"/>
        </w:tabs>
        <w:ind w:firstLine="1440"/>
        <w:rPr>
          <w:sz w:val="24"/>
          <w:szCs w:val="24"/>
        </w:rPr>
      </w:pPr>
    </w:p>
    <w:p w:rsidR="00C44296" w:rsidRDefault="00FB2F18" w:rsidP="00C44296">
      <w:pPr>
        <w:tabs>
          <w:tab w:val="left" w:pos="2160"/>
        </w:tabs>
        <w:ind w:firstLine="1440"/>
        <w:rPr>
          <w:sz w:val="24"/>
          <w:szCs w:val="24"/>
        </w:rPr>
      </w:pPr>
      <w:r>
        <w:rPr>
          <w:sz w:val="24"/>
          <w:szCs w:val="24"/>
        </w:rPr>
        <w:t>3.</w:t>
      </w:r>
      <w:r>
        <w:rPr>
          <w:sz w:val="24"/>
          <w:szCs w:val="24"/>
        </w:rPr>
        <w:tab/>
      </w:r>
      <w:r w:rsidR="00C254C4">
        <w:rPr>
          <w:sz w:val="24"/>
          <w:szCs w:val="24"/>
        </w:rPr>
        <w:t>The</w:t>
      </w:r>
      <w:r w:rsidR="00494C7D">
        <w:rPr>
          <w:sz w:val="24"/>
          <w:szCs w:val="24"/>
        </w:rPr>
        <w:t xml:space="preserve"> two units on the first floor</w:t>
      </w:r>
      <w:r w:rsidR="00C254C4">
        <w:rPr>
          <w:sz w:val="24"/>
          <w:szCs w:val="24"/>
        </w:rPr>
        <w:t xml:space="preserve"> </w:t>
      </w:r>
      <w:r w:rsidR="00494C7D">
        <w:rPr>
          <w:sz w:val="24"/>
          <w:szCs w:val="24"/>
        </w:rPr>
        <w:t>each have a separate electric meter</w:t>
      </w:r>
      <w:r w:rsidR="00715721">
        <w:rPr>
          <w:sz w:val="24"/>
          <w:szCs w:val="24"/>
        </w:rPr>
        <w:t xml:space="preserve">.   </w:t>
      </w:r>
      <w:r w:rsidR="00494C7D">
        <w:rPr>
          <w:sz w:val="24"/>
          <w:szCs w:val="24"/>
        </w:rPr>
        <w:t xml:space="preserve">Complainant has not rented out the front apartment </w:t>
      </w:r>
      <w:r w:rsidR="00715721">
        <w:rPr>
          <w:sz w:val="24"/>
          <w:szCs w:val="24"/>
        </w:rPr>
        <w:t>for the last six or seven years</w:t>
      </w:r>
      <w:r w:rsidR="00494C7D">
        <w:rPr>
          <w:sz w:val="24"/>
          <w:szCs w:val="24"/>
        </w:rPr>
        <w:t xml:space="preserve">.  </w:t>
      </w:r>
      <w:r w:rsidR="00340071" w:rsidRPr="00B73D10">
        <w:rPr>
          <w:sz w:val="24"/>
          <w:szCs w:val="24"/>
        </w:rPr>
        <w:t xml:space="preserve">(Tr. </w:t>
      </w:r>
      <w:r w:rsidR="00494C7D">
        <w:rPr>
          <w:sz w:val="24"/>
          <w:szCs w:val="24"/>
        </w:rPr>
        <w:t>9-11</w:t>
      </w:r>
      <w:r w:rsidR="00340071" w:rsidRPr="00B73D10">
        <w:rPr>
          <w:sz w:val="24"/>
          <w:szCs w:val="24"/>
        </w:rPr>
        <w:t>).</w:t>
      </w:r>
    </w:p>
    <w:p w:rsidR="00044B8E" w:rsidRDefault="00044B8E" w:rsidP="00C44296">
      <w:pPr>
        <w:tabs>
          <w:tab w:val="left" w:pos="2160"/>
        </w:tabs>
        <w:ind w:firstLine="1440"/>
        <w:rPr>
          <w:sz w:val="24"/>
          <w:szCs w:val="24"/>
        </w:rPr>
      </w:pPr>
    </w:p>
    <w:p w:rsidR="00044B8E" w:rsidRDefault="00044B8E" w:rsidP="00C44296">
      <w:pPr>
        <w:tabs>
          <w:tab w:val="left" w:pos="2160"/>
        </w:tabs>
        <w:ind w:firstLine="1440"/>
        <w:rPr>
          <w:sz w:val="24"/>
          <w:szCs w:val="24"/>
        </w:rPr>
      </w:pPr>
      <w:r>
        <w:rPr>
          <w:sz w:val="24"/>
          <w:szCs w:val="24"/>
        </w:rPr>
        <w:t>4.</w:t>
      </w:r>
      <w:r>
        <w:rPr>
          <w:sz w:val="24"/>
          <w:szCs w:val="24"/>
        </w:rPr>
        <w:tab/>
      </w:r>
      <w:r w:rsidR="0063443F">
        <w:rPr>
          <w:sz w:val="24"/>
          <w:szCs w:val="24"/>
        </w:rPr>
        <w:t xml:space="preserve">Complainant </w:t>
      </w:r>
      <w:r w:rsidR="00C254C4">
        <w:rPr>
          <w:sz w:val="24"/>
          <w:szCs w:val="24"/>
        </w:rPr>
        <w:t xml:space="preserve">had </w:t>
      </w:r>
      <w:r w:rsidR="0063443F">
        <w:rPr>
          <w:sz w:val="24"/>
          <w:szCs w:val="24"/>
        </w:rPr>
        <w:t xml:space="preserve">the electrical facilities in the residence </w:t>
      </w:r>
      <w:r w:rsidR="00C254C4">
        <w:rPr>
          <w:sz w:val="24"/>
          <w:szCs w:val="24"/>
        </w:rPr>
        <w:t xml:space="preserve">restored and replaced </w:t>
      </w:r>
      <w:r w:rsidR="0063443F">
        <w:rPr>
          <w:sz w:val="24"/>
          <w:szCs w:val="24"/>
        </w:rPr>
        <w:t xml:space="preserve">approximately eighteen years ago at which time a </w:t>
      </w:r>
      <w:r w:rsidR="008E3812">
        <w:rPr>
          <w:sz w:val="24"/>
          <w:szCs w:val="24"/>
        </w:rPr>
        <w:t>circuit board</w:t>
      </w:r>
      <w:r w:rsidR="0063443F">
        <w:rPr>
          <w:sz w:val="24"/>
          <w:szCs w:val="24"/>
        </w:rPr>
        <w:t xml:space="preserve"> panel was installed in his basement.  </w:t>
      </w:r>
      <w:proofErr w:type="gramStart"/>
      <w:r w:rsidR="00340071" w:rsidRPr="00B73D10">
        <w:rPr>
          <w:sz w:val="24"/>
          <w:szCs w:val="24"/>
        </w:rPr>
        <w:t xml:space="preserve">(Tr. </w:t>
      </w:r>
      <w:r w:rsidR="0063443F">
        <w:rPr>
          <w:sz w:val="24"/>
          <w:szCs w:val="24"/>
        </w:rPr>
        <w:t>9-13</w:t>
      </w:r>
      <w:r w:rsidR="008E3812">
        <w:rPr>
          <w:sz w:val="24"/>
          <w:szCs w:val="24"/>
        </w:rPr>
        <w:t>, 35</w:t>
      </w:r>
      <w:r w:rsidR="00340071" w:rsidRPr="00B73D10">
        <w:rPr>
          <w:sz w:val="24"/>
          <w:szCs w:val="24"/>
        </w:rPr>
        <w:t>).</w:t>
      </w:r>
      <w:proofErr w:type="gramEnd"/>
      <w:r>
        <w:rPr>
          <w:sz w:val="24"/>
          <w:szCs w:val="24"/>
        </w:rPr>
        <w:t xml:space="preserve">  </w:t>
      </w:r>
    </w:p>
    <w:p w:rsidR="00044B8E" w:rsidRDefault="00044B8E" w:rsidP="00C44296">
      <w:pPr>
        <w:tabs>
          <w:tab w:val="left" w:pos="2160"/>
        </w:tabs>
        <w:ind w:firstLine="1440"/>
        <w:rPr>
          <w:sz w:val="24"/>
          <w:szCs w:val="24"/>
        </w:rPr>
      </w:pPr>
    </w:p>
    <w:p w:rsidR="00044B8E" w:rsidRDefault="00044B8E" w:rsidP="00C44296">
      <w:pPr>
        <w:tabs>
          <w:tab w:val="left" w:pos="2160"/>
        </w:tabs>
        <w:ind w:firstLine="1440"/>
        <w:rPr>
          <w:sz w:val="24"/>
          <w:szCs w:val="24"/>
        </w:rPr>
      </w:pPr>
      <w:r>
        <w:rPr>
          <w:sz w:val="24"/>
          <w:szCs w:val="24"/>
        </w:rPr>
        <w:t>5.</w:t>
      </w:r>
      <w:r>
        <w:rPr>
          <w:sz w:val="24"/>
          <w:szCs w:val="24"/>
        </w:rPr>
        <w:tab/>
      </w:r>
      <w:r w:rsidR="00AB2D65">
        <w:rPr>
          <w:sz w:val="24"/>
          <w:szCs w:val="24"/>
        </w:rPr>
        <w:t xml:space="preserve">Complainant contacted Respondent to complain about receiving high bills </w:t>
      </w:r>
      <w:r w:rsidR="00715721">
        <w:rPr>
          <w:sz w:val="24"/>
          <w:szCs w:val="24"/>
        </w:rPr>
        <w:t>in 2010</w:t>
      </w:r>
      <w:r w:rsidR="00AB2D65">
        <w:rPr>
          <w:sz w:val="24"/>
          <w:szCs w:val="24"/>
        </w:rPr>
        <w:t xml:space="preserve">.  </w:t>
      </w:r>
      <w:r w:rsidR="00340071" w:rsidRPr="00B73D10">
        <w:rPr>
          <w:sz w:val="24"/>
          <w:szCs w:val="24"/>
        </w:rPr>
        <w:t xml:space="preserve">(Tr. </w:t>
      </w:r>
      <w:r w:rsidR="0063443F">
        <w:rPr>
          <w:sz w:val="24"/>
          <w:szCs w:val="24"/>
        </w:rPr>
        <w:t>12, 13</w:t>
      </w:r>
      <w:r w:rsidR="00715721">
        <w:rPr>
          <w:sz w:val="24"/>
          <w:szCs w:val="24"/>
        </w:rPr>
        <w:t>, 26-35</w:t>
      </w:r>
      <w:r w:rsidR="00340071" w:rsidRPr="00B73D10">
        <w:rPr>
          <w:sz w:val="24"/>
          <w:szCs w:val="24"/>
        </w:rPr>
        <w:t>).</w:t>
      </w:r>
    </w:p>
    <w:p w:rsidR="00ED0CBE" w:rsidRPr="00B73D10" w:rsidRDefault="009D72E7" w:rsidP="00ED0CBE">
      <w:pPr>
        <w:tabs>
          <w:tab w:val="left" w:pos="2160"/>
        </w:tabs>
        <w:ind w:firstLine="1440"/>
        <w:rPr>
          <w:sz w:val="24"/>
          <w:szCs w:val="24"/>
        </w:rPr>
      </w:pPr>
      <w:r>
        <w:rPr>
          <w:sz w:val="24"/>
          <w:szCs w:val="24"/>
        </w:rPr>
        <w:lastRenderedPageBreak/>
        <w:t>6</w:t>
      </w:r>
      <w:r w:rsidR="00ED0CBE">
        <w:rPr>
          <w:sz w:val="24"/>
          <w:szCs w:val="24"/>
        </w:rPr>
        <w:t>.</w:t>
      </w:r>
      <w:r w:rsidR="00ED0CBE">
        <w:rPr>
          <w:sz w:val="24"/>
          <w:szCs w:val="24"/>
        </w:rPr>
        <w:tab/>
      </w:r>
      <w:r w:rsidR="001E15DE">
        <w:rPr>
          <w:sz w:val="24"/>
          <w:szCs w:val="24"/>
        </w:rPr>
        <w:t xml:space="preserve">On September 3, 2010, PECO conducted a foreign wiring investigation, meter mix-up investigation and energy consumption investigation at Complainant’s residence.  </w:t>
      </w:r>
      <w:proofErr w:type="gramStart"/>
      <w:r w:rsidR="00DD6310" w:rsidRPr="00B73D10">
        <w:rPr>
          <w:sz w:val="24"/>
          <w:szCs w:val="24"/>
        </w:rPr>
        <w:t>(Tr.</w:t>
      </w:r>
      <w:r w:rsidR="00780CB1">
        <w:rPr>
          <w:sz w:val="24"/>
          <w:szCs w:val="24"/>
        </w:rPr>
        <w:t xml:space="preserve"> 27</w:t>
      </w:r>
      <w:r w:rsidR="001E15DE">
        <w:rPr>
          <w:sz w:val="24"/>
          <w:szCs w:val="24"/>
        </w:rPr>
        <w:t>; PECO Exhibit 4</w:t>
      </w:r>
      <w:r w:rsidR="00DD6310" w:rsidRPr="00B73D10">
        <w:rPr>
          <w:sz w:val="24"/>
          <w:szCs w:val="24"/>
        </w:rPr>
        <w:t>).</w:t>
      </w:r>
      <w:proofErr w:type="gramEnd"/>
    </w:p>
    <w:p w:rsidR="00ED0CBE" w:rsidRDefault="00ED0CBE" w:rsidP="00ED0CBE">
      <w:pPr>
        <w:tabs>
          <w:tab w:val="left" w:pos="2160"/>
        </w:tabs>
        <w:ind w:firstLine="1440"/>
        <w:rPr>
          <w:sz w:val="24"/>
          <w:szCs w:val="24"/>
        </w:rPr>
      </w:pPr>
    </w:p>
    <w:p w:rsidR="00715721" w:rsidRDefault="00715721" w:rsidP="00ED0CBE">
      <w:pPr>
        <w:tabs>
          <w:tab w:val="left" w:pos="2160"/>
        </w:tabs>
        <w:ind w:firstLine="1440"/>
        <w:rPr>
          <w:sz w:val="24"/>
          <w:szCs w:val="24"/>
        </w:rPr>
      </w:pPr>
      <w:r>
        <w:rPr>
          <w:sz w:val="24"/>
          <w:szCs w:val="24"/>
        </w:rPr>
        <w:t>7.</w:t>
      </w:r>
      <w:r>
        <w:rPr>
          <w:sz w:val="24"/>
          <w:szCs w:val="24"/>
        </w:rPr>
        <w:tab/>
        <w:t xml:space="preserve">PECO found there was a foreign load between the front apartment and the rear apartment on the first floor.  </w:t>
      </w:r>
      <w:proofErr w:type="gramStart"/>
      <w:r>
        <w:rPr>
          <w:sz w:val="24"/>
          <w:szCs w:val="24"/>
        </w:rPr>
        <w:t>(Tr. 29, 31).</w:t>
      </w:r>
      <w:proofErr w:type="gramEnd"/>
    </w:p>
    <w:p w:rsidR="00715721" w:rsidRDefault="00715721" w:rsidP="00ED0CBE">
      <w:pPr>
        <w:tabs>
          <w:tab w:val="left" w:pos="2160"/>
        </w:tabs>
        <w:ind w:firstLine="1440"/>
        <w:rPr>
          <w:sz w:val="24"/>
          <w:szCs w:val="24"/>
        </w:rPr>
      </w:pPr>
    </w:p>
    <w:p w:rsidR="00ED0CBE" w:rsidRDefault="00715721" w:rsidP="00ED0CBE">
      <w:pPr>
        <w:tabs>
          <w:tab w:val="left" w:pos="2160"/>
        </w:tabs>
        <w:ind w:firstLine="1440"/>
        <w:rPr>
          <w:sz w:val="24"/>
          <w:szCs w:val="24"/>
        </w:rPr>
      </w:pPr>
      <w:r>
        <w:rPr>
          <w:sz w:val="24"/>
          <w:szCs w:val="24"/>
        </w:rPr>
        <w:t>8</w:t>
      </w:r>
      <w:r w:rsidR="00ED0CBE" w:rsidRPr="00B73D10">
        <w:rPr>
          <w:sz w:val="24"/>
          <w:szCs w:val="24"/>
        </w:rPr>
        <w:t>.</w:t>
      </w:r>
      <w:r w:rsidR="00ED0CBE" w:rsidRPr="00B73D10">
        <w:rPr>
          <w:sz w:val="24"/>
          <w:szCs w:val="24"/>
        </w:rPr>
        <w:tab/>
      </w:r>
      <w:r w:rsidR="001E15DE">
        <w:rPr>
          <w:sz w:val="24"/>
          <w:szCs w:val="24"/>
        </w:rPr>
        <w:t xml:space="preserve">After </w:t>
      </w:r>
      <w:r>
        <w:rPr>
          <w:sz w:val="24"/>
          <w:szCs w:val="24"/>
        </w:rPr>
        <w:t>he turned off or unplugged all electricity usage i</w:t>
      </w:r>
      <w:r w:rsidR="001E15DE">
        <w:rPr>
          <w:sz w:val="24"/>
          <w:szCs w:val="24"/>
        </w:rPr>
        <w:t xml:space="preserve">n the front apartment, PECO’s field investigator found an additional 782 watt load </w:t>
      </w:r>
      <w:r>
        <w:rPr>
          <w:sz w:val="24"/>
          <w:szCs w:val="24"/>
        </w:rPr>
        <w:t xml:space="preserve">still was being recorded </w:t>
      </w:r>
      <w:r w:rsidR="001E15DE">
        <w:rPr>
          <w:sz w:val="24"/>
          <w:szCs w:val="24"/>
        </w:rPr>
        <w:t xml:space="preserve">on Complainant’s front apartment meter.  </w:t>
      </w:r>
      <w:proofErr w:type="gramStart"/>
      <w:r w:rsidR="00DD6310" w:rsidRPr="00B73D10">
        <w:rPr>
          <w:sz w:val="24"/>
          <w:szCs w:val="24"/>
        </w:rPr>
        <w:t xml:space="preserve">(Tr. </w:t>
      </w:r>
      <w:r w:rsidR="001E15DE">
        <w:rPr>
          <w:sz w:val="24"/>
          <w:szCs w:val="24"/>
        </w:rPr>
        <w:t>29</w:t>
      </w:r>
      <w:r w:rsidR="00DD6310" w:rsidRPr="00B73D10">
        <w:rPr>
          <w:sz w:val="24"/>
          <w:szCs w:val="24"/>
        </w:rPr>
        <w:t>).</w:t>
      </w:r>
      <w:proofErr w:type="gramEnd"/>
      <w:r w:rsidR="00ED0CBE" w:rsidRPr="00B73D10">
        <w:rPr>
          <w:sz w:val="24"/>
          <w:szCs w:val="24"/>
        </w:rPr>
        <w:t xml:space="preserve">  </w:t>
      </w:r>
    </w:p>
    <w:p w:rsidR="00ED0CBE" w:rsidRDefault="00ED0CBE" w:rsidP="00ED0CBE">
      <w:pPr>
        <w:tabs>
          <w:tab w:val="left" w:pos="2160"/>
        </w:tabs>
        <w:ind w:firstLine="1440"/>
        <w:rPr>
          <w:sz w:val="24"/>
          <w:szCs w:val="24"/>
        </w:rPr>
      </w:pPr>
    </w:p>
    <w:p w:rsidR="00ED0CBE" w:rsidRPr="00B73D10" w:rsidRDefault="00715721" w:rsidP="00347F45">
      <w:pPr>
        <w:tabs>
          <w:tab w:val="left" w:pos="2160"/>
        </w:tabs>
        <w:ind w:firstLine="1440"/>
        <w:rPr>
          <w:sz w:val="24"/>
          <w:szCs w:val="24"/>
        </w:rPr>
      </w:pPr>
      <w:r>
        <w:rPr>
          <w:sz w:val="24"/>
          <w:szCs w:val="24"/>
        </w:rPr>
        <w:t>9</w:t>
      </w:r>
      <w:r w:rsidR="00ED0CBE">
        <w:rPr>
          <w:sz w:val="24"/>
          <w:szCs w:val="24"/>
        </w:rPr>
        <w:t>.</w:t>
      </w:r>
      <w:r w:rsidR="00ED0CBE">
        <w:rPr>
          <w:sz w:val="24"/>
          <w:szCs w:val="24"/>
        </w:rPr>
        <w:tab/>
      </w:r>
      <w:r w:rsidR="001E15DE">
        <w:rPr>
          <w:sz w:val="24"/>
          <w:szCs w:val="24"/>
        </w:rPr>
        <w:t>The front apartment</w:t>
      </w:r>
      <w:r w:rsidR="00347F45">
        <w:rPr>
          <w:sz w:val="24"/>
          <w:szCs w:val="24"/>
        </w:rPr>
        <w:t>’s meter recorded consumption for the refrigerator</w:t>
      </w:r>
      <w:r w:rsidR="009D72E7">
        <w:rPr>
          <w:sz w:val="24"/>
          <w:szCs w:val="24"/>
        </w:rPr>
        <w:t xml:space="preserve"> located in the front apartment</w:t>
      </w:r>
      <w:r>
        <w:rPr>
          <w:sz w:val="24"/>
          <w:szCs w:val="24"/>
        </w:rPr>
        <w:t>.  The meter also recorded</w:t>
      </w:r>
      <w:r w:rsidR="006D3CEC">
        <w:rPr>
          <w:sz w:val="24"/>
          <w:szCs w:val="24"/>
        </w:rPr>
        <w:t xml:space="preserve"> consumption </w:t>
      </w:r>
      <w:r w:rsidR="009D72E7">
        <w:rPr>
          <w:sz w:val="24"/>
          <w:szCs w:val="24"/>
        </w:rPr>
        <w:t>for</w:t>
      </w:r>
      <w:r w:rsidR="006D3CEC">
        <w:rPr>
          <w:sz w:val="24"/>
          <w:szCs w:val="24"/>
        </w:rPr>
        <w:t xml:space="preserve"> the refrigerator, </w:t>
      </w:r>
      <w:r w:rsidR="00347F45">
        <w:rPr>
          <w:sz w:val="24"/>
          <w:szCs w:val="24"/>
        </w:rPr>
        <w:t>electric range</w:t>
      </w:r>
      <w:r w:rsidR="006D3CEC">
        <w:rPr>
          <w:sz w:val="24"/>
          <w:szCs w:val="24"/>
        </w:rPr>
        <w:t xml:space="preserve">, kitchen sink light </w:t>
      </w:r>
      <w:r>
        <w:rPr>
          <w:sz w:val="24"/>
          <w:szCs w:val="24"/>
        </w:rPr>
        <w:t xml:space="preserve">and bedroom air conditioning unit </w:t>
      </w:r>
      <w:r w:rsidR="006D3CEC">
        <w:rPr>
          <w:sz w:val="24"/>
          <w:szCs w:val="24"/>
        </w:rPr>
        <w:t>in the rear apartment</w:t>
      </w:r>
      <w:r w:rsidR="009D72E7">
        <w:rPr>
          <w:sz w:val="24"/>
          <w:szCs w:val="24"/>
        </w:rPr>
        <w:t>,</w:t>
      </w:r>
      <w:r w:rsidR="006D3CEC">
        <w:rPr>
          <w:sz w:val="24"/>
          <w:szCs w:val="24"/>
        </w:rPr>
        <w:t xml:space="preserve"> </w:t>
      </w:r>
      <w:r>
        <w:rPr>
          <w:sz w:val="24"/>
          <w:szCs w:val="24"/>
        </w:rPr>
        <w:t>plus</w:t>
      </w:r>
      <w:r w:rsidR="006D3CEC">
        <w:rPr>
          <w:sz w:val="24"/>
          <w:szCs w:val="24"/>
        </w:rPr>
        <w:t xml:space="preserve"> the lights and sump pump in </w:t>
      </w:r>
      <w:r w:rsidR="001E15DE">
        <w:rPr>
          <w:sz w:val="24"/>
          <w:szCs w:val="24"/>
        </w:rPr>
        <w:t xml:space="preserve">the basement.  </w:t>
      </w:r>
      <w:proofErr w:type="gramStart"/>
      <w:r w:rsidR="00DD6310" w:rsidRPr="00B73D10">
        <w:rPr>
          <w:sz w:val="24"/>
          <w:szCs w:val="24"/>
        </w:rPr>
        <w:t xml:space="preserve">(Tr. </w:t>
      </w:r>
      <w:r w:rsidR="001E15DE">
        <w:rPr>
          <w:sz w:val="24"/>
          <w:szCs w:val="24"/>
        </w:rPr>
        <w:t xml:space="preserve">29, </w:t>
      </w:r>
      <w:r w:rsidR="00347F45">
        <w:rPr>
          <w:sz w:val="24"/>
          <w:szCs w:val="24"/>
        </w:rPr>
        <w:t xml:space="preserve">31, </w:t>
      </w:r>
      <w:r w:rsidR="006D3CEC">
        <w:rPr>
          <w:sz w:val="24"/>
          <w:szCs w:val="24"/>
        </w:rPr>
        <w:t>38</w:t>
      </w:r>
      <w:r w:rsidR="00DD6310" w:rsidRPr="00B73D10">
        <w:rPr>
          <w:sz w:val="24"/>
          <w:szCs w:val="24"/>
        </w:rPr>
        <w:t>).</w:t>
      </w:r>
      <w:proofErr w:type="gramEnd"/>
    </w:p>
    <w:p w:rsidR="000420ED" w:rsidRDefault="000420ED" w:rsidP="000420ED">
      <w:pPr>
        <w:tabs>
          <w:tab w:val="left" w:pos="2160"/>
        </w:tabs>
        <w:ind w:firstLine="1440"/>
        <w:rPr>
          <w:sz w:val="24"/>
          <w:szCs w:val="24"/>
        </w:rPr>
      </w:pPr>
    </w:p>
    <w:p w:rsidR="000420ED" w:rsidRDefault="00780CB1" w:rsidP="000420ED">
      <w:pPr>
        <w:tabs>
          <w:tab w:val="left" w:pos="2160"/>
        </w:tabs>
        <w:ind w:firstLine="1440"/>
        <w:rPr>
          <w:sz w:val="24"/>
          <w:szCs w:val="24"/>
        </w:rPr>
      </w:pPr>
      <w:r>
        <w:rPr>
          <w:sz w:val="24"/>
          <w:szCs w:val="24"/>
        </w:rPr>
        <w:t>1</w:t>
      </w:r>
      <w:r w:rsidR="009D72E7">
        <w:rPr>
          <w:sz w:val="24"/>
          <w:szCs w:val="24"/>
        </w:rPr>
        <w:t>0</w:t>
      </w:r>
      <w:r w:rsidR="000420ED">
        <w:rPr>
          <w:sz w:val="24"/>
          <w:szCs w:val="24"/>
        </w:rPr>
        <w:t>.</w:t>
      </w:r>
      <w:r w:rsidR="000420ED">
        <w:rPr>
          <w:sz w:val="24"/>
          <w:szCs w:val="24"/>
        </w:rPr>
        <w:tab/>
      </w:r>
      <w:r w:rsidR="00347F45">
        <w:rPr>
          <w:sz w:val="24"/>
          <w:szCs w:val="24"/>
        </w:rPr>
        <w:t xml:space="preserve">After Complainant filed his formal complaint, PECO returned to the premises on February 4, 2011 to conduct the same tests and verified the foreign load situation </w:t>
      </w:r>
      <w:r w:rsidR="009D72E7">
        <w:rPr>
          <w:sz w:val="24"/>
          <w:szCs w:val="24"/>
        </w:rPr>
        <w:t>remained</w:t>
      </w:r>
      <w:r w:rsidR="00347F45">
        <w:rPr>
          <w:sz w:val="24"/>
          <w:szCs w:val="24"/>
        </w:rPr>
        <w:t xml:space="preserve"> unchanged.  </w:t>
      </w:r>
      <w:proofErr w:type="gramStart"/>
      <w:r w:rsidR="00DD6310" w:rsidRPr="00B73D10">
        <w:rPr>
          <w:sz w:val="24"/>
          <w:szCs w:val="24"/>
        </w:rPr>
        <w:t xml:space="preserve">(Tr. </w:t>
      </w:r>
      <w:r w:rsidR="00347F45">
        <w:rPr>
          <w:sz w:val="24"/>
          <w:szCs w:val="24"/>
        </w:rPr>
        <w:t>32; PECO Exhibit 5</w:t>
      </w:r>
      <w:r w:rsidR="00DD6310" w:rsidRPr="00B73D10">
        <w:rPr>
          <w:sz w:val="24"/>
          <w:szCs w:val="24"/>
        </w:rPr>
        <w:t>).</w:t>
      </w:r>
      <w:proofErr w:type="gramEnd"/>
    </w:p>
    <w:p w:rsidR="000420ED" w:rsidRDefault="000420ED" w:rsidP="000420ED">
      <w:pPr>
        <w:tabs>
          <w:tab w:val="left" w:pos="2160"/>
        </w:tabs>
        <w:ind w:firstLine="1440"/>
        <w:rPr>
          <w:sz w:val="24"/>
          <w:szCs w:val="24"/>
        </w:rPr>
      </w:pPr>
    </w:p>
    <w:p w:rsidR="000420ED" w:rsidRPr="00B73D10" w:rsidRDefault="00780CB1" w:rsidP="000420ED">
      <w:pPr>
        <w:tabs>
          <w:tab w:val="left" w:pos="2160"/>
        </w:tabs>
        <w:ind w:firstLine="1440"/>
        <w:rPr>
          <w:sz w:val="24"/>
          <w:szCs w:val="24"/>
        </w:rPr>
      </w:pPr>
      <w:r>
        <w:rPr>
          <w:sz w:val="24"/>
          <w:szCs w:val="24"/>
        </w:rPr>
        <w:t>1</w:t>
      </w:r>
      <w:r w:rsidR="009D72E7">
        <w:rPr>
          <w:sz w:val="24"/>
          <w:szCs w:val="24"/>
        </w:rPr>
        <w:t>1</w:t>
      </w:r>
      <w:r w:rsidR="000420ED">
        <w:rPr>
          <w:sz w:val="24"/>
          <w:szCs w:val="24"/>
        </w:rPr>
        <w:t>.</w:t>
      </w:r>
      <w:r w:rsidR="000420ED">
        <w:rPr>
          <w:sz w:val="24"/>
          <w:szCs w:val="24"/>
        </w:rPr>
        <w:tab/>
      </w:r>
      <w:r w:rsidR="008E3812">
        <w:rPr>
          <w:sz w:val="24"/>
          <w:szCs w:val="24"/>
        </w:rPr>
        <w:t xml:space="preserve">PECO installed an automatic meter reading device attached to Complainant’s meter approximately seven years ago, which device provides Respondent with daily readings of </w:t>
      </w:r>
      <w:r w:rsidR="00715721">
        <w:rPr>
          <w:sz w:val="24"/>
          <w:szCs w:val="24"/>
        </w:rPr>
        <w:t xml:space="preserve">Complainant’s electricity </w:t>
      </w:r>
      <w:r w:rsidR="008E3812">
        <w:rPr>
          <w:sz w:val="24"/>
          <w:szCs w:val="24"/>
        </w:rPr>
        <w:t xml:space="preserve">consumption.  </w:t>
      </w:r>
      <w:proofErr w:type="gramStart"/>
      <w:r w:rsidR="00DD6310" w:rsidRPr="00B73D10">
        <w:rPr>
          <w:sz w:val="24"/>
          <w:szCs w:val="24"/>
        </w:rPr>
        <w:t xml:space="preserve">(Tr. </w:t>
      </w:r>
      <w:r w:rsidR="008E3812">
        <w:rPr>
          <w:sz w:val="24"/>
          <w:szCs w:val="24"/>
        </w:rPr>
        <w:t>36, 37</w:t>
      </w:r>
      <w:r w:rsidR="00DD6310" w:rsidRPr="00B73D10">
        <w:rPr>
          <w:sz w:val="24"/>
          <w:szCs w:val="24"/>
        </w:rPr>
        <w:t>).</w:t>
      </w:r>
      <w:proofErr w:type="gramEnd"/>
    </w:p>
    <w:p w:rsidR="000420ED" w:rsidRDefault="000420ED" w:rsidP="000420ED">
      <w:pPr>
        <w:tabs>
          <w:tab w:val="left" w:pos="2160"/>
        </w:tabs>
        <w:ind w:firstLine="1440"/>
        <w:rPr>
          <w:sz w:val="24"/>
          <w:szCs w:val="24"/>
        </w:rPr>
      </w:pPr>
    </w:p>
    <w:p w:rsidR="00257E91" w:rsidRDefault="00780CB1" w:rsidP="000420ED">
      <w:pPr>
        <w:tabs>
          <w:tab w:val="left" w:pos="2160"/>
        </w:tabs>
        <w:ind w:firstLine="1440"/>
        <w:rPr>
          <w:sz w:val="24"/>
          <w:szCs w:val="24"/>
        </w:rPr>
      </w:pPr>
      <w:r>
        <w:rPr>
          <w:sz w:val="24"/>
          <w:szCs w:val="24"/>
        </w:rPr>
        <w:t>1</w:t>
      </w:r>
      <w:r w:rsidR="009D72E7">
        <w:rPr>
          <w:sz w:val="24"/>
          <w:szCs w:val="24"/>
        </w:rPr>
        <w:t>2</w:t>
      </w:r>
      <w:r w:rsidR="00257E91">
        <w:rPr>
          <w:sz w:val="24"/>
          <w:szCs w:val="24"/>
        </w:rPr>
        <w:t>.</w:t>
      </w:r>
      <w:r w:rsidR="00257E91">
        <w:rPr>
          <w:sz w:val="24"/>
          <w:szCs w:val="24"/>
        </w:rPr>
        <w:tab/>
      </w:r>
      <w:r w:rsidR="008E3812">
        <w:rPr>
          <w:sz w:val="24"/>
          <w:szCs w:val="24"/>
        </w:rPr>
        <w:t xml:space="preserve">Complainant’s pattern of consumption has been consistent over the last two years.  </w:t>
      </w:r>
      <w:proofErr w:type="gramStart"/>
      <w:r w:rsidR="00DD6310" w:rsidRPr="00B73D10">
        <w:rPr>
          <w:sz w:val="24"/>
          <w:szCs w:val="24"/>
        </w:rPr>
        <w:t xml:space="preserve">(Tr. </w:t>
      </w:r>
      <w:r w:rsidR="008E3812">
        <w:rPr>
          <w:sz w:val="24"/>
          <w:szCs w:val="24"/>
        </w:rPr>
        <w:t>37</w:t>
      </w:r>
      <w:r w:rsidR="00DD6310" w:rsidRPr="00B73D10">
        <w:rPr>
          <w:sz w:val="24"/>
          <w:szCs w:val="24"/>
        </w:rPr>
        <w:t>).</w:t>
      </w:r>
      <w:proofErr w:type="gramEnd"/>
    </w:p>
    <w:p w:rsidR="00257E91" w:rsidRDefault="00257E91" w:rsidP="000420ED">
      <w:pPr>
        <w:tabs>
          <w:tab w:val="left" w:pos="2160"/>
        </w:tabs>
        <w:ind w:firstLine="1440"/>
        <w:rPr>
          <w:sz w:val="24"/>
          <w:szCs w:val="24"/>
        </w:rPr>
      </w:pPr>
    </w:p>
    <w:p w:rsidR="00C44296" w:rsidRPr="00B73D10" w:rsidRDefault="00780CB1" w:rsidP="00780CB1">
      <w:pPr>
        <w:tabs>
          <w:tab w:val="left" w:pos="2160"/>
        </w:tabs>
        <w:ind w:firstLine="1440"/>
        <w:rPr>
          <w:sz w:val="24"/>
          <w:szCs w:val="24"/>
        </w:rPr>
      </w:pPr>
      <w:r>
        <w:rPr>
          <w:sz w:val="24"/>
          <w:szCs w:val="24"/>
        </w:rPr>
        <w:t>1</w:t>
      </w:r>
      <w:r w:rsidR="009D72E7">
        <w:rPr>
          <w:sz w:val="24"/>
          <w:szCs w:val="24"/>
        </w:rPr>
        <w:t>3</w:t>
      </w:r>
      <w:r w:rsidR="002721E6">
        <w:rPr>
          <w:sz w:val="24"/>
          <w:szCs w:val="24"/>
        </w:rPr>
        <w:t>.</w:t>
      </w:r>
      <w:r w:rsidR="002721E6">
        <w:rPr>
          <w:sz w:val="24"/>
          <w:szCs w:val="24"/>
        </w:rPr>
        <w:tab/>
      </w:r>
      <w:r w:rsidR="00C44296" w:rsidRPr="00B73D10">
        <w:rPr>
          <w:sz w:val="24"/>
          <w:szCs w:val="24"/>
        </w:rPr>
        <w:t xml:space="preserve">On </w:t>
      </w:r>
      <w:r w:rsidR="00DD6310">
        <w:rPr>
          <w:sz w:val="24"/>
          <w:szCs w:val="24"/>
        </w:rPr>
        <w:t>January 6</w:t>
      </w:r>
      <w:r w:rsidR="00FF4A00">
        <w:rPr>
          <w:sz w:val="24"/>
          <w:szCs w:val="24"/>
        </w:rPr>
        <w:t>, 2011</w:t>
      </w:r>
      <w:r w:rsidR="00C44296" w:rsidRPr="00B73D10">
        <w:rPr>
          <w:sz w:val="24"/>
          <w:szCs w:val="24"/>
        </w:rPr>
        <w:t xml:space="preserve">, </w:t>
      </w:r>
      <w:r w:rsidR="00FF4A00">
        <w:rPr>
          <w:sz w:val="24"/>
          <w:szCs w:val="24"/>
        </w:rPr>
        <w:t>Complainant</w:t>
      </w:r>
      <w:r w:rsidR="00C44296" w:rsidRPr="00B73D10">
        <w:rPr>
          <w:sz w:val="24"/>
          <w:szCs w:val="24"/>
        </w:rPr>
        <w:t xml:space="preserve"> filed a formal complaint with the Commission </w:t>
      </w:r>
      <w:r w:rsidR="00DD6310" w:rsidRPr="00B73D10">
        <w:rPr>
          <w:sz w:val="24"/>
          <w:szCs w:val="24"/>
        </w:rPr>
        <w:t>alleging</w:t>
      </w:r>
      <w:r w:rsidR="00DD6310">
        <w:rPr>
          <w:sz w:val="24"/>
          <w:szCs w:val="24"/>
        </w:rPr>
        <w:t xml:space="preserve"> incorrect charges and</w:t>
      </w:r>
      <w:r w:rsidR="00DD6310" w:rsidRPr="00B73D10">
        <w:rPr>
          <w:sz w:val="24"/>
          <w:szCs w:val="24"/>
        </w:rPr>
        <w:t xml:space="preserve"> </w:t>
      </w:r>
      <w:r w:rsidR="00DD6310">
        <w:rPr>
          <w:sz w:val="24"/>
          <w:szCs w:val="24"/>
        </w:rPr>
        <w:t xml:space="preserve">unexplained high bills </w:t>
      </w:r>
      <w:r w:rsidR="00DD6310" w:rsidRPr="00B73D10">
        <w:rPr>
          <w:sz w:val="24"/>
          <w:szCs w:val="24"/>
        </w:rPr>
        <w:t xml:space="preserve">on Complainant’s residential account with Respondent.  </w:t>
      </w:r>
    </w:p>
    <w:p w:rsidR="00B45783" w:rsidRDefault="00B45783">
      <w:pPr>
        <w:rPr>
          <w:sz w:val="24"/>
          <w:szCs w:val="24"/>
        </w:rPr>
      </w:pPr>
    </w:p>
    <w:p w:rsidR="00DE2949" w:rsidRPr="00FB448C" w:rsidRDefault="00DE2949">
      <w:pPr>
        <w:jc w:val="center"/>
        <w:rPr>
          <w:sz w:val="24"/>
          <w:szCs w:val="24"/>
        </w:rPr>
      </w:pPr>
      <w:r w:rsidRPr="00FB448C">
        <w:rPr>
          <w:sz w:val="24"/>
          <w:szCs w:val="24"/>
          <w:u w:val="single"/>
        </w:rPr>
        <w:lastRenderedPageBreak/>
        <w:t>DISCUSSION</w:t>
      </w:r>
    </w:p>
    <w:p w:rsidR="00DE2949" w:rsidRPr="00FB448C" w:rsidRDefault="00DE2949">
      <w:pPr>
        <w:jc w:val="center"/>
        <w:rPr>
          <w:sz w:val="24"/>
          <w:szCs w:val="24"/>
        </w:rPr>
      </w:pPr>
    </w:p>
    <w:p w:rsidR="00715721" w:rsidRDefault="00C354E5" w:rsidP="00C354E5">
      <w:pPr>
        <w:tabs>
          <w:tab w:val="left" w:pos="-1440"/>
          <w:tab w:val="left" w:pos="-720"/>
        </w:tabs>
        <w:suppressAutoHyphens/>
        <w:rPr>
          <w:sz w:val="24"/>
          <w:szCs w:val="24"/>
        </w:rPr>
      </w:pPr>
      <w:r w:rsidRPr="00FB448C">
        <w:rPr>
          <w:sz w:val="24"/>
          <w:szCs w:val="24"/>
        </w:rPr>
        <w:tab/>
      </w:r>
      <w:r w:rsidRPr="00FB448C">
        <w:rPr>
          <w:sz w:val="24"/>
          <w:szCs w:val="24"/>
        </w:rPr>
        <w:tab/>
      </w:r>
      <w:r w:rsidR="00A40F64" w:rsidRPr="00FB448C">
        <w:rPr>
          <w:sz w:val="24"/>
          <w:szCs w:val="24"/>
        </w:rPr>
        <w:t xml:space="preserve">In this matter, </w:t>
      </w:r>
      <w:r w:rsidRPr="00FB448C">
        <w:rPr>
          <w:sz w:val="24"/>
          <w:szCs w:val="24"/>
        </w:rPr>
        <w:t xml:space="preserve">Complainant </w:t>
      </w:r>
      <w:r w:rsidR="009D72E7">
        <w:rPr>
          <w:sz w:val="24"/>
          <w:szCs w:val="24"/>
        </w:rPr>
        <w:t>filed a formal complaint against</w:t>
      </w:r>
      <w:r w:rsidRPr="00FB448C">
        <w:rPr>
          <w:sz w:val="24"/>
          <w:szCs w:val="24"/>
        </w:rPr>
        <w:t xml:space="preserve"> Respondent </w:t>
      </w:r>
      <w:r w:rsidR="00DD6310" w:rsidRPr="00B73D10">
        <w:rPr>
          <w:sz w:val="24"/>
          <w:szCs w:val="24"/>
        </w:rPr>
        <w:t>alleging</w:t>
      </w:r>
      <w:r w:rsidR="00DD6310">
        <w:rPr>
          <w:sz w:val="24"/>
          <w:szCs w:val="24"/>
        </w:rPr>
        <w:t xml:space="preserve"> incorrect charges and</w:t>
      </w:r>
      <w:r w:rsidR="00DD6310" w:rsidRPr="00B73D10">
        <w:rPr>
          <w:sz w:val="24"/>
          <w:szCs w:val="24"/>
        </w:rPr>
        <w:t xml:space="preserve"> </w:t>
      </w:r>
      <w:r w:rsidR="00DD6310">
        <w:rPr>
          <w:sz w:val="24"/>
          <w:szCs w:val="24"/>
        </w:rPr>
        <w:t xml:space="preserve">unexplained high bills </w:t>
      </w:r>
      <w:r w:rsidR="00DD6310" w:rsidRPr="00B73D10">
        <w:rPr>
          <w:sz w:val="24"/>
          <w:szCs w:val="24"/>
        </w:rPr>
        <w:t xml:space="preserve">on Complainant’s residential account with Respondent.  </w:t>
      </w:r>
    </w:p>
    <w:p w:rsidR="00715721" w:rsidRDefault="00715721" w:rsidP="00C354E5">
      <w:pPr>
        <w:tabs>
          <w:tab w:val="left" w:pos="-1440"/>
          <w:tab w:val="left" w:pos="-720"/>
        </w:tabs>
        <w:suppressAutoHyphens/>
        <w:rPr>
          <w:sz w:val="24"/>
          <w:szCs w:val="24"/>
        </w:rPr>
      </w:pPr>
    </w:p>
    <w:p w:rsidR="00715721" w:rsidRDefault="00715721" w:rsidP="00715721">
      <w:pPr>
        <w:tabs>
          <w:tab w:val="left" w:pos="-1440"/>
          <w:tab w:val="left" w:pos="-720"/>
        </w:tabs>
        <w:suppressAutoHyphens/>
        <w:rPr>
          <w:sz w:val="24"/>
          <w:szCs w:val="24"/>
        </w:rPr>
      </w:pPr>
      <w:r>
        <w:rPr>
          <w:sz w:val="24"/>
          <w:szCs w:val="24"/>
          <w:u w:val="single"/>
        </w:rPr>
        <w:t>Complainant’s Position</w:t>
      </w:r>
    </w:p>
    <w:p w:rsidR="00715721" w:rsidRDefault="00715721" w:rsidP="00C354E5">
      <w:pPr>
        <w:tabs>
          <w:tab w:val="left" w:pos="-1440"/>
          <w:tab w:val="left" w:pos="-720"/>
        </w:tabs>
        <w:suppressAutoHyphens/>
        <w:rPr>
          <w:sz w:val="24"/>
          <w:szCs w:val="24"/>
        </w:rPr>
      </w:pPr>
    </w:p>
    <w:p w:rsidR="00C354E5" w:rsidRPr="00FB448C" w:rsidRDefault="00715721" w:rsidP="00C354E5">
      <w:pPr>
        <w:tabs>
          <w:tab w:val="left" w:pos="-1440"/>
          <w:tab w:val="left" w:pos="-720"/>
        </w:tabs>
        <w:suppressAutoHyphens/>
        <w:rPr>
          <w:spacing w:val="-3"/>
          <w:sz w:val="24"/>
          <w:szCs w:val="24"/>
        </w:rPr>
      </w:pPr>
      <w:r>
        <w:rPr>
          <w:sz w:val="24"/>
          <w:szCs w:val="24"/>
        </w:rPr>
        <w:tab/>
      </w:r>
      <w:r>
        <w:rPr>
          <w:sz w:val="24"/>
          <w:szCs w:val="24"/>
        </w:rPr>
        <w:tab/>
      </w:r>
      <w:r w:rsidR="00C254C4">
        <w:rPr>
          <w:sz w:val="24"/>
          <w:szCs w:val="24"/>
        </w:rPr>
        <w:t xml:space="preserve">Complainant specifically objects to the amount of consumption Respondent alleges his front apartment uses when the only electrical draw comes from the refrigerator.  </w:t>
      </w:r>
      <w:r w:rsidR="00DD6310">
        <w:rPr>
          <w:sz w:val="24"/>
          <w:szCs w:val="24"/>
        </w:rPr>
        <w:t>In addition, Complainant aver</w:t>
      </w:r>
      <w:r>
        <w:rPr>
          <w:sz w:val="24"/>
          <w:szCs w:val="24"/>
        </w:rPr>
        <w:t>s</w:t>
      </w:r>
      <w:r w:rsidR="00DD6310">
        <w:rPr>
          <w:sz w:val="24"/>
          <w:szCs w:val="24"/>
        </w:rPr>
        <w:t xml:space="preserve"> a PECO employee installed a volt panel eighteen years ago and PECO was “jogging” his meter readings from PECO’s offices.</w:t>
      </w:r>
      <w:r w:rsidR="00C354E5" w:rsidRPr="00FB448C">
        <w:rPr>
          <w:spacing w:val="-3"/>
          <w:sz w:val="24"/>
          <w:szCs w:val="24"/>
        </w:rPr>
        <w:t xml:space="preserve">  </w:t>
      </w:r>
      <w:r w:rsidR="00A40F64" w:rsidRPr="00FB448C">
        <w:rPr>
          <w:sz w:val="24"/>
          <w:szCs w:val="24"/>
        </w:rPr>
        <w:t>Complainant request</w:t>
      </w:r>
      <w:r w:rsidR="00C44296">
        <w:rPr>
          <w:sz w:val="24"/>
          <w:szCs w:val="24"/>
        </w:rPr>
        <w:t>s the Commission order</w:t>
      </w:r>
      <w:r w:rsidR="00C354E5" w:rsidRPr="00FB448C">
        <w:rPr>
          <w:sz w:val="24"/>
          <w:szCs w:val="24"/>
        </w:rPr>
        <w:t xml:space="preserve"> Respondent </w:t>
      </w:r>
      <w:r w:rsidR="00DD6310">
        <w:rPr>
          <w:sz w:val="24"/>
          <w:szCs w:val="24"/>
        </w:rPr>
        <w:t>to remove the volt panel, and to stop overcharging him for electric service</w:t>
      </w:r>
      <w:r w:rsidR="00C354E5" w:rsidRPr="00FB448C">
        <w:rPr>
          <w:sz w:val="24"/>
          <w:szCs w:val="24"/>
        </w:rPr>
        <w:t xml:space="preserve">.  </w:t>
      </w:r>
    </w:p>
    <w:p w:rsidR="008222E1" w:rsidRPr="008222E1" w:rsidRDefault="008222E1" w:rsidP="00DE2949">
      <w:pPr>
        <w:tabs>
          <w:tab w:val="left" w:pos="-1440"/>
          <w:tab w:val="left" w:pos="-720"/>
        </w:tabs>
        <w:suppressAutoHyphens/>
        <w:rPr>
          <w:sz w:val="24"/>
          <w:szCs w:val="24"/>
        </w:rPr>
      </w:pPr>
    </w:p>
    <w:p w:rsidR="001E15DE" w:rsidRDefault="00C44296" w:rsidP="00DE2949">
      <w:pPr>
        <w:tabs>
          <w:tab w:val="left" w:pos="-1440"/>
          <w:tab w:val="left" w:pos="-720"/>
        </w:tabs>
        <w:suppressAutoHyphens/>
        <w:rPr>
          <w:spacing w:val="-3"/>
          <w:sz w:val="24"/>
          <w:szCs w:val="24"/>
        </w:rPr>
      </w:pPr>
      <w:r>
        <w:rPr>
          <w:spacing w:val="-3"/>
          <w:sz w:val="24"/>
          <w:szCs w:val="24"/>
        </w:rPr>
        <w:tab/>
      </w:r>
      <w:r>
        <w:rPr>
          <w:spacing w:val="-3"/>
          <w:sz w:val="24"/>
          <w:szCs w:val="24"/>
        </w:rPr>
        <w:tab/>
        <w:t>Complainant testified</w:t>
      </w:r>
      <w:r w:rsidR="004F61B3">
        <w:rPr>
          <w:spacing w:val="-3"/>
          <w:sz w:val="24"/>
          <w:szCs w:val="24"/>
        </w:rPr>
        <w:t xml:space="preserve"> his </w:t>
      </w:r>
      <w:r w:rsidR="00715721">
        <w:rPr>
          <w:spacing w:val="-3"/>
          <w:sz w:val="24"/>
          <w:szCs w:val="24"/>
        </w:rPr>
        <w:t>monthly bills</w:t>
      </w:r>
      <w:r w:rsidR="004F61B3">
        <w:rPr>
          <w:spacing w:val="-3"/>
          <w:sz w:val="24"/>
          <w:szCs w:val="24"/>
        </w:rPr>
        <w:t xml:space="preserve"> incr</w:t>
      </w:r>
      <w:r w:rsidR="00715721">
        <w:rPr>
          <w:spacing w:val="-3"/>
          <w:sz w:val="24"/>
          <w:szCs w:val="24"/>
        </w:rPr>
        <w:t xml:space="preserve">ease and decrease all the time because </w:t>
      </w:r>
      <w:r w:rsidR="004F61B3">
        <w:rPr>
          <w:spacing w:val="-3"/>
          <w:sz w:val="24"/>
          <w:szCs w:val="24"/>
        </w:rPr>
        <w:t>PECO “joggle</w:t>
      </w:r>
      <w:r w:rsidR="00494C7D">
        <w:rPr>
          <w:spacing w:val="-3"/>
          <w:sz w:val="24"/>
          <w:szCs w:val="24"/>
        </w:rPr>
        <w:t>s</w:t>
      </w:r>
      <w:r w:rsidR="004F61B3">
        <w:rPr>
          <w:spacing w:val="-3"/>
          <w:sz w:val="24"/>
          <w:szCs w:val="24"/>
        </w:rPr>
        <w:t>”</w:t>
      </w:r>
      <w:r w:rsidR="00494C7D">
        <w:rPr>
          <w:spacing w:val="-3"/>
          <w:sz w:val="24"/>
          <w:szCs w:val="24"/>
        </w:rPr>
        <w:t xml:space="preserve"> or messes with his meter readings.  Complainant contends one apartment has only a refrigerator in it that’s plugged in and there is no way it consumes as mu</w:t>
      </w:r>
      <w:r w:rsidR="00891B92">
        <w:rPr>
          <w:spacing w:val="-3"/>
          <w:sz w:val="24"/>
          <w:szCs w:val="24"/>
        </w:rPr>
        <w:t xml:space="preserve">ch electricity as PECO says it uses.  </w:t>
      </w:r>
      <w:r w:rsidR="001E15DE">
        <w:rPr>
          <w:spacing w:val="-3"/>
          <w:sz w:val="24"/>
          <w:szCs w:val="24"/>
        </w:rPr>
        <w:t>Complainant acknowledges Respondent visited the premi</w:t>
      </w:r>
      <w:r w:rsidR="00715721">
        <w:rPr>
          <w:spacing w:val="-3"/>
          <w:sz w:val="24"/>
          <w:szCs w:val="24"/>
        </w:rPr>
        <w:t xml:space="preserve">ses to investigate the problem </w:t>
      </w:r>
      <w:r w:rsidR="001E15DE">
        <w:rPr>
          <w:spacing w:val="-3"/>
          <w:sz w:val="24"/>
          <w:szCs w:val="24"/>
        </w:rPr>
        <w:t xml:space="preserve">but contends </w:t>
      </w:r>
      <w:r w:rsidR="001E15DE">
        <w:rPr>
          <w:sz w:val="24"/>
          <w:szCs w:val="24"/>
        </w:rPr>
        <w:t>PECO did not provide any suggestions about how to reduce his usage or explain which electrical items in his residence could account for his electrical usage.</w:t>
      </w:r>
    </w:p>
    <w:p w:rsidR="001E15DE" w:rsidRDefault="001E15DE" w:rsidP="00DE2949">
      <w:pPr>
        <w:tabs>
          <w:tab w:val="left" w:pos="-1440"/>
          <w:tab w:val="left" w:pos="-720"/>
        </w:tabs>
        <w:suppressAutoHyphens/>
        <w:rPr>
          <w:spacing w:val="-3"/>
          <w:sz w:val="24"/>
          <w:szCs w:val="24"/>
        </w:rPr>
      </w:pPr>
    </w:p>
    <w:p w:rsidR="00C44296" w:rsidRPr="00FB448C" w:rsidRDefault="001E15DE" w:rsidP="00DE2949">
      <w:pPr>
        <w:tabs>
          <w:tab w:val="left" w:pos="-1440"/>
          <w:tab w:val="left" w:pos="-720"/>
        </w:tabs>
        <w:suppressAutoHyphens/>
        <w:rPr>
          <w:spacing w:val="-3"/>
          <w:sz w:val="24"/>
          <w:szCs w:val="24"/>
        </w:rPr>
      </w:pPr>
      <w:r>
        <w:rPr>
          <w:spacing w:val="-3"/>
          <w:sz w:val="24"/>
          <w:szCs w:val="24"/>
        </w:rPr>
        <w:tab/>
      </w:r>
      <w:r>
        <w:rPr>
          <w:spacing w:val="-3"/>
          <w:sz w:val="24"/>
          <w:szCs w:val="24"/>
        </w:rPr>
        <w:tab/>
      </w:r>
      <w:r w:rsidR="00891B92">
        <w:rPr>
          <w:spacing w:val="-3"/>
          <w:sz w:val="24"/>
          <w:szCs w:val="24"/>
        </w:rPr>
        <w:t>Complainant contends someone in the utility’s office in Philadelphia is forcing the meter to record higher consumption than he uses, and he wants the Commission to force Respondent to stop charging him for consumption he does not use.  Complainant avers his electric bill for the front apartment (where no one lives and only a refrigerator is plugged in) should total approximately $20.00 each month.</w:t>
      </w:r>
    </w:p>
    <w:p w:rsidR="00FD6BDF" w:rsidRDefault="00FD6BDF" w:rsidP="00DE2949">
      <w:pPr>
        <w:tabs>
          <w:tab w:val="left" w:pos="-1440"/>
          <w:tab w:val="left" w:pos="-720"/>
        </w:tabs>
        <w:suppressAutoHyphens/>
        <w:rPr>
          <w:spacing w:val="-3"/>
          <w:sz w:val="24"/>
          <w:szCs w:val="24"/>
          <w:u w:val="single"/>
        </w:rPr>
      </w:pPr>
    </w:p>
    <w:p w:rsidR="00FD6BDF" w:rsidRDefault="00FD6BDF" w:rsidP="00DE2949">
      <w:pPr>
        <w:tabs>
          <w:tab w:val="left" w:pos="-1440"/>
          <w:tab w:val="left" w:pos="-720"/>
        </w:tabs>
        <w:suppressAutoHyphens/>
        <w:rPr>
          <w:spacing w:val="-3"/>
          <w:sz w:val="24"/>
          <w:szCs w:val="24"/>
          <w:u w:val="single"/>
        </w:rPr>
      </w:pPr>
    </w:p>
    <w:p w:rsidR="00FD6BDF" w:rsidRDefault="00FD6BDF" w:rsidP="00DE2949">
      <w:pPr>
        <w:tabs>
          <w:tab w:val="left" w:pos="-1440"/>
          <w:tab w:val="left" w:pos="-720"/>
        </w:tabs>
        <w:suppressAutoHyphens/>
        <w:rPr>
          <w:spacing w:val="-3"/>
          <w:sz w:val="24"/>
          <w:szCs w:val="24"/>
          <w:u w:val="single"/>
        </w:rPr>
      </w:pPr>
    </w:p>
    <w:p w:rsidR="00FD6BDF" w:rsidRDefault="00FD6BDF" w:rsidP="00DE2949">
      <w:pPr>
        <w:tabs>
          <w:tab w:val="left" w:pos="-1440"/>
          <w:tab w:val="left" w:pos="-720"/>
        </w:tabs>
        <w:suppressAutoHyphens/>
        <w:rPr>
          <w:spacing w:val="-3"/>
          <w:sz w:val="24"/>
          <w:szCs w:val="24"/>
          <w:u w:val="single"/>
        </w:rPr>
      </w:pPr>
    </w:p>
    <w:p w:rsidR="008222E1" w:rsidRDefault="008222E1" w:rsidP="00DE2949">
      <w:pPr>
        <w:tabs>
          <w:tab w:val="left" w:pos="-1440"/>
          <w:tab w:val="left" w:pos="-720"/>
        </w:tabs>
        <w:suppressAutoHyphens/>
        <w:rPr>
          <w:spacing w:val="-3"/>
          <w:sz w:val="24"/>
          <w:szCs w:val="24"/>
          <w:u w:val="single"/>
        </w:rPr>
      </w:pPr>
      <w:r>
        <w:rPr>
          <w:spacing w:val="-3"/>
          <w:sz w:val="24"/>
          <w:szCs w:val="24"/>
          <w:u w:val="single"/>
        </w:rPr>
        <w:lastRenderedPageBreak/>
        <w:t>Respondent’s Position</w:t>
      </w:r>
    </w:p>
    <w:p w:rsidR="008222E1" w:rsidRPr="008222E1" w:rsidRDefault="008222E1" w:rsidP="00DE2949">
      <w:pPr>
        <w:tabs>
          <w:tab w:val="left" w:pos="-1440"/>
          <w:tab w:val="left" w:pos="-720"/>
        </w:tabs>
        <w:suppressAutoHyphens/>
        <w:rPr>
          <w:spacing w:val="-3"/>
          <w:sz w:val="24"/>
          <w:szCs w:val="24"/>
          <w:u w:val="single"/>
        </w:rPr>
      </w:pPr>
    </w:p>
    <w:p w:rsidR="008222E1" w:rsidRDefault="00DE2949" w:rsidP="00386F30">
      <w:pPr>
        <w:tabs>
          <w:tab w:val="left" w:pos="-1440"/>
          <w:tab w:val="left" w:pos="-720"/>
        </w:tabs>
        <w:suppressAutoHyphens/>
        <w:rPr>
          <w:spacing w:val="-3"/>
          <w:sz w:val="24"/>
          <w:szCs w:val="24"/>
        </w:rPr>
      </w:pPr>
      <w:r w:rsidRPr="00FB448C">
        <w:rPr>
          <w:spacing w:val="-3"/>
          <w:sz w:val="24"/>
          <w:szCs w:val="24"/>
        </w:rPr>
        <w:tab/>
      </w:r>
      <w:r w:rsidRPr="00FB448C">
        <w:rPr>
          <w:spacing w:val="-3"/>
          <w:sz w:val="24"/>
          <w:szCs w:val="24"/>
        </w:rPr>
        <w:tab/>
        <w:t>Respondent’s witness</w:t>
      </w:r>
      <w:r w:rsidR="00FA367A" w:rsidRPr="00FB448C">
        <w:rPr>
          <w:spacing w:val="-3"/>
          <w:sz w:val="24"/>
          <w:szCs w:val="24"/>
        </w:rPr>
        <w:t>es</w:t>
      </w:r>
      <w:r w:rsidRPr="00FB448C">
        <w:rPr>
          <w:spacing w:val="-3"/>
          <w:sz w:val="24"/>
          <w:szCs w:val="24"/>
        </w:rPr>
        <w:t xml:space="preserve"> testified</w:t>
      </w:r>
      <w:r w:rsidR="001E15DE">
        <w:rPr>
          <w:spacing w:val="-3"/>
          <w:sz w:val="24"/>
          <w:szCs w:val="24"/>
        </w:rPr>
        <w:t xml:space="preserve"> their investigation quickly pinpointed the problem as foreign load wiring.  </w:t>
      </w:r>
      <w:r w:rsidR="00347F45">
        <w:rPr>
          <w:spacing w:val="-3"/>
          <w:sz w:val="24"/>
          <w:szCs w:val="24"/>
        </w:rPr>
        <w:t xml:space="preserve">Numerous items located in the basement and in the back apartment were registering consumption on the electric meter for the front apartment.  Respondent contends it attempted to explain the problem to Complainant but Complainant insisted someone in Philadelphia was “jockeying” the electric consumption up and down.  </w:t>
      </w:r>
    </w:p>
    <w:p w:rsidR="00347F45" w:rsidRDefault="00347F45" w:rsidP="00386F30">
      <w:pPr>
        <w:tabs>
          <w:tab w:val="left" w:pos="-1440"/>
          <w:tab w:val="left" w:pos="-720"/>
        </w:tabs>
        <w:suppressAutoHyphens/>
        <w:rPr>
          <w:spacing w:val="-3"/>
          <w:sz w:val="24"/>
          <w:szCs w:val="24"/>
        </w:rPr>
      </w:pPr>
    </w:p>
    <w:p w:rsidR="00347F45" w:rsidRPr="00FB448C" w:rsidRDefault="00347F45" w:rsidP="00386F30">
      <w:pPr>
        <w:tabs>
          <w:tab w:val="left" w:pos="-1440"/>
          <w:tab w:val="left" w:pos="-720"/>
        </w:tabs>
        <w:suppressAutoHyphens/>
        <w:rPr>
          <w:spacing w:val="-3"/>
          <w:sz w:val="24"/>
          <w:szCs w:val="24"/>
        </w:rPr>
      </w:pPr>
      <w:r>
        <w:rPr>
          <w:spacing w:val="-3"/>
          <w:sz w:val="24"/>
          <w:szCs w:val="24"/>
        </w:rPr>
        <w:tab/>
      </w:r>
      <w:r>
        <w:rPr>
          <w:spacing w:val="-3"/>
          <w:sz w:val="24"/>
          <w:szCs w:val="24"/>
        </w:rPr>
        <w:tab/>
        <w:t>Respondent avers the wiring on the first floor of Complainant’s premises qualifies as a foreign load problem</w:t>
      </w:r>
      <w:r w:rsidR="00715721">
        <w:rPr>
          <w:spacing w:val="-3"/>
          <w:sz w:val="24"/>
          <w:szCs w:val="24"/>
        </w:rPr>
        <w:t xml:space="preserve">.  Respondent further explains it was not required to </w:t>
      </w:r>
      <w:r>
        <w:rPr>
          <w:spacing w:val="-3"/>
          <w:sz w:val="24"/>
          <w:szCs w:val="24"/>
        </w:rPr>
        <w:t>take an</w:t>
      </w:r>
      <w:r w:rsidR="00715721">
        <w:rPr>
          <w:spacing w:val="-3"/>
          <w:sz w:val="24"/>
          <w:szCs w:val="24"/>
        </w:rPr>
        <w:t>y corrective</w:t>
      </w:r>
      <w:r>
        <w:rPr>
          <w:spacing w:val="-3"/>
          <w:sz w:val="24"/>
          <w:szCs w:val="24"/>
        </w:rPr>
        <w:t xml:space="preserve"> action as a result</w:t>
      </w:r>
      <w:r w:rsidR="00715721">
        <w:rPr>
          <w:spacing w:val="-3"/>
          <w:sz w:val="24"/>
          <w:szCs w:val="24"/>
        </w:rPr>
        <w:t xml:space="preserve"> of the foreign load be</w:t>
      </w:r>
      <w:r>
        <w:rPr>
          <w:spacing w:val="-3"/>
          <w:sz w:val="24"/>
          <w:szCs w:val="24"/>
        </w:rPr>
        <w:t xml:space="preserve">cause Complainant owns the premises and currently resides in both </w:t>
      </w:r>
      <w:r w:rsidR="001126BF">
        <w:rPr>
          <w:spacing w:val="-3"/>
          <w:sz w:val="24"/>
          <w:szCs w:val="24"/>
        </w:rPr>
        <w:t>dwelling units.  There is no need</w:t>
      </w:r>
      <w:r>
        <w:rPr>
          <w:spacing w:val="-3"/>
          <w:sz w:val="24"/>
          <w:szCs w:val="24"/>
        </w:rPr>
        <w:t xml:space="preserve"> to separate the wiring</w:t>
      </w:r>
      <w:r w:rsidR="001126BF">
        <w:rPr>
          <w:spacing w:val="-3"/>
          <w:sz w:val="24"/>
          <w:szCs w:val="24"/>
        </w:rPr>
        <w:t xml:space="preserve"> or make any billing changes at this time</w:t>
      </w:r>
      <w:r>
        <w:rPr>
          <w:spacing w:val="-3"/>
          <w:sz w:val="24"/>
          <w:szCs w:val="24"/>
        </w:rPr>
        <w:t xml:space="preserve">.  However, Respondent contends Complainant must separate the wiring in the future if he wishes to rent either first floor apartment.  In addition, if Complainant currently wants his billing statements to correctly reflect the usage for each apartment, he </w:t>
      </w:r>
      <w:r w:rsidR="001126BF">
        <w:rPr>
          <w:spacing w:val="-3"/>
          <w:sz w:val="24"/>
          <w:szCs w:val="24"/>
        </w:rPr>
        <w:t>should</w:t>
      </w:r>
      <w:r>
        <w:rPr>
          <w:spacing w:val="-3"/>
          <w:sz w:val="24"/>
          <w:szCs w:val="24"/>
        </w:rPr>
        <w:t xml:space="preserve"> have an electrician separate the wiring so the meter for </w:t>
      </w:r>
      <w:r w:rsidR="009F7892">
        <w:rPr>
          <w:spacing w:val="-3"/>
          <w:sz w:val="24"/>
          <w:szCs w:val="24"/>
        </w:rPr>
        <w:t xml:space="preserve">the front apartment only </w:t>
      </w:r>
      <w:r>
        <w:rPr>
          <w:spacing w:val="-3"/>
          <w:sz w:val="24"/>
          <w:szCs w:val="24"/>
        </w:rPr>
        <w:t xml:space="preserve">records the usage </w:t>
      </w:r>
      <w:r w:rsidR="008E3812">
        <w:rPr>
          <w:spacing w:val="-3"/>
          <w:sz w:val="24"/>
          <w:szCs w:val="24"/>
        </w:rPr>
        <w:t>for</w:t>
      </w:r>
      <w:r w:rsidR="009F7892">
        <w:rPr>
          <w:spacing w:val="-3"/>
          <w:sz w:val="24"/>
          <w:szCs w:val="24"/>
        </w:rPr>
        <w:t xml:space="preserve"> that </w:t>
      </w:r>
      <w:r w:rsidR="001126BF">
        <w:rPr>
          <w:spacing w:val="-3"/>
          <w:sz w:val="24"/>
          <w:szCs w:val="24"/>
        </w:rPr>
        <w:t>dwelling unit alone</w:t>
      </w:r>
      <w:r w:rsidR="009F7892">
        <w:rPr>
          <w:spacing w:val="-3"/>
          <w:sz w:val="24"/>
          <w:szCs w:val="24"/>
        </w:rPr>
        <w:t xml:space="preserve">.  </w:t>
      </w:r>
    </w:p>
    <w:p w:rsidR="00DE2949" w:rsidRPr="00FB448C" w:rsidRDefault="00DE2949" w:rsidP="00DE2949">
      <w:pPr>
        <w:tabs>
          <w:tab w:val="left" w:pos="-1440"/>
          <w:tab w:val="left" w:pos="-720"/>
        </w:tabs>
        <w:suppressAutoHyphens/>
        <w:rPr>
          <w:sz w:val="24"/>
          <w:szCs w:val="24"/>
        </w:rPr>
      </w:pPr>
    </w:p>
    <w:p w:rsidR="00B21A12" w:rsidRPr="00FB448C" w:rsidRDefault="00184F61" w:rsidP="00DE2949">
      <w:pPr>
        <w:tabs>
          <w:tab w:val="left" w:pos="-1440"/>
          <w:tab w:val="left" w:pos="-720"/>
        </w:tabs>
        <w:suppressAutoHyphens/>
        <w:rPr>
          <w:sz w:val="24"/>
          <w:szCs w:val="24"/>
        </w:rPr>
      </w:pPr>
      <w:r>
        <w:rPr>
          <w:sz w:val="24"/>
          <w:szCs w:val="24"/>
          <w:u w:val="single"/>
        </w:rPr>
        <w:t>Burden of Proof in High Bill Complaints</w:t>
      </w:r>
    </w:p>
    <w:p w:rsidR="000A34DF" w:rsidRDefault="000A34DF" w:rsidP="000A34DF">
      <w:pPr>
        <w:tabs>
          <w:tab w:val="left" w:pos="-1440"/>
          <w:tab w:val="left" w:pos="-720"/>
        </w:tabs>
        <w:suppressAutoHyphens/>
        <w:rPr>
          <w:sz w:val="24"/>
          <w:szCs w:val="24"/>
        </w:rPr>
      </w:pPr>
    </w:p>
    <w:p w:rsidR="000A34DF" w:rsidRDefault="000A34DF" w:rsidP="000A34DF">
      <w:pPr>
        <w:tabs>
          <w:tab w:val="left" w:pos="-1440"/>
          <w:tab w:val="left" w:pos="-720"/>
        </w:tabs>
        <w:suppressAutoHyphens/>
        <w:rPr>
          <w:spacing w:val="-3"/>
          <w:sz w:val="24"/>
          <w:szCs w:val="24"/>
        </w:rPr>
      </w:pPr>
      <w:r w:rsidRPr="00FB448C">
        <w:rPr>
          <w:sz w:val="24"/>
          <w:szCs w:val="24"/>
        </w:rPr>
        <w:tab/>
      </w:r>
      <w:r w:rsidRPr="00FB448C">
        <w:rPr>
          <w:sz w:val="24"/>
          <w:szCs w:val="24"/>
        </w:rPr>
        <w:tab/>
        <w:t>As the party seeking the intervention fr</w:t>
      </w:r>
      <w:r w:rsidR="00C44296">
        <w:rPr>
          <w:sz w:val="24"/>
          <w:szCs w:val="24"/>
        </w:rPr>
        <w:t>om this Commission, Complainant</w:t>
      </w:r>
      <w:r w:rsidRPr="00FB448C">
        <w:rPr>
          <w:sz w:val="24"/>
          <w:szCs w:val="24"/>
        </w:rPr>
        <w:t xml:space="preserve"> bear</w:t>
      </w:r>
      <w:r w:rsidR="00C44296">
        <w:rPr>
          <w:sz w:val="24"/>
          <w:szCs w:val="24"/>
        </w:rPr>
        <w:t>s</w:t>
      </w:r>
      <w:r w:rsidRPr="00FB448C">
        <w:rPr>
          <w:sz w:val="24"/>
          <w:szCs w:val="24"/>
        </w:rPr>
        <w:t xml:space="preserve"> the burden of proving Respondent violated provisions of the Public Utility Code or the Public Utility Commission’s regulations in some fashion.</w:t>
      </w:r>
      <w:r w:rsidRPr="00FB448C">
        <w:rPr>
          <w:rStyle w:val="FootnoteReference"/>
          <w:sz w:val="24"/>
          <w:szCs w:val="24"/>
        </w:rPr>
        <w:footnoteReference w:id="1"/>
      </w:r>
      <w:r w:rsidRPr="00FB448C">
        <w:rPr>
          <w:sz w:val="24"/>
          <w:szCs w:val="24"/>
        </w:rPr>
        <w:t xml:space="preserve">  </w:t>
      </w:r>
      <w:r w:rsidRPr="00FB448C">
        <w:rPr>
          <w:spacing w:val="-3"/>
          <w:sz w:val="24"/>
          <w:szCs w:val="24"/>
        </w:rPr>
        <w:t xml:space="preserve">To establish a sufficient case and satisfy the </w:t>
      </w:r>
      <w:r w:rsidR="00C44296">
        <w:rPr>
          <w:spacing w:val="-3"/>
          <w:sz w:val="24"/>
          <w:szCs w:val="24"/>
        </w:rPr>
        <w:t>burden of proof, Complainant</w:t>
      </w:r>
      <w:r w:rsidRPr="00FB448C">
        <w:rPr>
          <w:spacing w:val="-3"/>
          <w:sz w:val="24"/>
          <w:szCs w:val="24"/>
        </w:rPr>
        <w:t xml:space="preserve"> must show the public utility is responsible or accountable for the problem described in the Complaint.</w:t>
      </w:r>
      <w:r w:rsidRPr="00FB448C">
        <w:rPr>
          <w:rStyle w:val="FootnoteReference"/>
          <w:spacing w:val="-3"/>
          <w:sz w:val="24"/>
          <w:szCs w:val="24"/>
        </w:rPr>
        <w:footnoteReference w:id="2"/>
      </w:r>
      <w:r w:rsidRPr="00FB448C">
        <w:rPr>
          <w:spacing w:val="-3"/>
          <w:sz w:val="24"/>
          <w:szCs w:val="24"/>
        </w:rPr>
        <w:t xml:space="preserve">  Such a showing must be by a preponderance of the </w:t>
      </w:r>
      <w:r w:rsidR="007B7675">
        <w:rPr>
          <w:spacing w:val="-3"/>
          <w:sz w:val="24"/>
          <w:szCs w:val="24"/>
        </w:rPr>
        <w:lastRenderedPageBreak/>
        <w:t>e</w:t>
      </w:r>
      <w:r w:rsidRPr="00FB448C">
        <w:rPr>
          <w:spacing w:val="-3"/>
          <w:sz w:val="24"/>
          <w:szCs w:val="24"/>
        </w:rPr>
        <w:t>vidence</w:t>
      </w:r>
      <w:r w:rsidRPr="00FB448C">
        <w:rPr>
          <w:rStyle w:val="FootnoteReference"/>
          <w:spacing w:val="-3"/>
          <w:sz w:val="24"/>
          <w:szCs w:val="24"/>
        </w:rPr>
        <w:footnoteReference w:id="3"/>
      </w:r>
      <w:r w:rsidR="00C44296">
        <w:rPr>
          <w:spacing w:val="-3"/>
          <w:sz w:val="24"/>
          <w:szCs w:val="24"/>
        </w:rPr>
        <w:t>.  Complainant</w:t>
      </w:r>
      <w:r w:rsidRPr="00FB448C">
        <w:rPr>
          <w:spacing w:val="-3"/>
          <w:sz w:val="24"/>
          <w:szCs w:val="24"/>
        </w:rPr>
        <w:t xml:space="preserve"> can meet that burden if </w:t>
      </w:r>
      <w:r w:rsidR="00C44296">
        <w:rPr>
          <w:spacing w:val="-3"/>
          <w:sz w:val="24"/>
          <w:szCs w:val="24"/>
        </w:rPr>
        <w:t>he</w:t>
      </w:r>
      <w:r w:rsidRPr="00FB448C">
        <w:rPr>
          <w:spacing w:val="-3"/>
          <w:sz w:val="24"/>
          <w:szCs w:val="24"/>
        </w:rPr>
        <w:t xml:space="preserve"> present</w:t>
      </w:r>
      <w:r w:rsidR="00C44296">
        <w:rPr>
          <w:spacing w:val="-3"/>
          <w:sz w:val="24"/>
          <w:szCs w:val="24"/>
        </w:rPr>
        <w:t>s</w:t>
      </w:r>
      <w:r w:rsidRPr="00FB448C">
        <w:rPr>
          <w:spacing w:val="-3"/>
          <w:sz w:val="24"/>
          <w:szCs w:val="24"/>
        </w:rPr>
        <w:t xml:space="preserve"> evidence more convincing, by even the smallest amount, than that evidence presented by Respondent.</w:t>
      </w:r>
      <w:r w:rsidRPr="00FB448C">
        <w:rPr>
          <w:rStyle w:val="FootnoteReference"/>
          <w:spacing w:val="-3"/>
          <w:sz w:val="24"/>
          <w:szCs w:val="24"/>
        </w:rPr>
        <w:footnoteReference w:id="4"/>
      </w:r>
      <w:r w:rsidRPr="00FB448C">
        <w:rPr>
          <w:spacing w:val="-3"/>
          <w:sz w:val="24"/>
          <w:szCs w:val="24"/>
        </w:rPr>
        <w:t xml:space="preserve">  </w:t>
      </w:r>
    </w:p>
    <w:p w:rsidR="00CB2E39" w:rsidRDefault="00CB2E39" w:rsidP="000A34DF">
      <w:pPr>
        <w:tabs>
          <w:tab w:val="left" w:pos="-1440"/>
          <w:tab w:val="left" w:pos="-720"/>
        </w:tabs>
        <w:suppressAutoHyphens/>
        <w:rPr>
          <w:spacing w:val="-3"/>
          <w:sz w:val="24"/>
          <w:szCs w:val="24"/>
        </w:rPr>
      </w:pPr>
    </w:p>
    <w:p w:rsidR="006C2C49" w:rsidRPr="00B73D10" w:rsidRDefault="006C2C49" w:rsidP="006C2C49">
      <w:pPr>
        <w:rPr>
          <w:sz w:val="24"/>
          <w:szCs w:val="24"/>
        </w:rPr>
      </w:pPr>
      <w:r w:rsidRPr="00B73D10">
        <w:rPr>
          <w:sz w:val="24"/>
          <w:szCs w:val="24"/>
        </w:rPr>
        <w:tab/>
      </w:r>
      <w:r>
        <w:rPr>
          <w:sz w:val="24"/>
          <w:szCs w:val="24"/>
        </w:rPr>
        <w:tab/>
      </w:r>
      <w:r w:rsidRPr="00B73D10">
        <w:rPr>
          <w:sz w:val="24"/>
          <w:szCs w:val="24"/>
        </w:rPr>
        <w:t xml:space="preserve">In </w:t>
      </w:r>
      <w:r w:rsidRPr="00B73D10">
        <w:rPr>
          <w:sz w:val="24"/>
          <w:szCs w:val="24"/>
          <w:u w:val="single"/>
        </w:rPr>
        <w:t>Waldron v</w:t>
      </w:r>
      <w:r w:rsidR="00E24CCB">
        <w:rPr>
          <w:sz w:val="24"/>
          <w:szCs w:val="24"/>
          <w:u w:val="single"/>
        </w:rPr>
        <w:t>.</w:t>
      </w:r>
      <w:r w:rsidRPr="00B73D10">
        <w:rPr>
          <w:sz w:val="24"/>
          <w:szCs w:val="24"/>
          <w:u w:val="single"/>
        </w:rPr>
        <w:t xml:space="preserve"> Philadelphia Electric Company</w:t>
      </w:r>
      <w:r w:rsidRPr="00B73D10">
        <w:rPr>
          <w:sz w:val="24"/>
          <w:szCs w:val="24"/>
        </w:rPr>
        <w:t xml:space="preserve">, 54 Pa. P.U.C. 98 (1980), the Commission outlined the general dynamics for the burden of proof in a case involving a high bill dispute.  The Commission held certain factors must be considered in order for a </w:t>
      </w:r>
      <w:r w:rsidR="00BE0C66">
        <w:rPr>
          <w:sz w:val="24"/>
          <w:szCs w:val="24"/>
        </w:rPr>
        <w:t>ratepayer</w:t>
      </w:r>
      <w:r w:rsidRPr="00B73D10">
        <w:rPr>
          <w:sz w:val="24"/>
          <w:szCs w:val="24"/>
        </w:rPr>
        <w:t xml:space="preserve"> to establish a </w:t>
      </w:r>
      <w:r w:rsidRPr="00B73D10">
        <w:rPr>
          <w:i/>
          <w:sz w:val="24"/>
          <w:szCs w:val="24"/>
        </w:rPr>
        <w:t>prima facie</w:t>
      </w:r>
      <w:r w:rsidRPr="00B73D10">
        <w:rPr>
          <w:sz w:val="24"/>
          <w:szCs w:val="24"/>
        </w:rPr>
        <w:t xml:space="preserve"> case whenever claiming unusually high bills.  The accuracy of a meter is an important factor to resolve a billing dispute </w:t>
      </w:r>
      <w:r w:rsidRPr="00BE0C66">
        <w:rPr>
          <w:sz w:val="24"/>
          <w:szCs w:val="24"/>
          <w:u w:val="single"/>
        </w:rPr>
        <w:t>but</w:t>
      </w:r>
      <w:r w:rsidRPr="00B73D10">
        <w:rPr>
          <w:sz w:val="24"/>
          <w:szCs w:val="24"/>
        </w:rPr>
        <w:t xml:space="preserve"> it is not the sole criterion.  A complainant may establish a </w:t>
      </w:r>
      <w:r w:rsidRPr="00B73D10">
        <w:rPr>
          <w:i/>
          <w:sz w:val="24"/>
          <w:szCs w:val="24"/>
        </w:rPr>
        <w:t xml:space="preserve">prima facie </w:t>
      </w:r>
      <w:r w:rsidRPr="00B73D10">
        <w:rPr>
          <w:sz w:val="24"/>
          <w:szCs w:val="24"/>
        </w:rPr>
        <w:t xml:space="preserve">case by showing: </w:t>
      </w:r>
    </w:p>
    <w:p w:rsidR="006C2C49" w:rsidRDefault="006C2C49" w:rsidP="00BB2908">
      <w:pPr>
        <w:tabs>
          <w:tab w:val="left" w:pos="-1440"/>
          <w:tab w:val="left" w:pos="-720"/>
        </w:tabs>
        <w:suppressAutoHyphens/>
        <w:ind w:left="1440" w:right="1440"/>
        <w:rPr>
          <w:sz w:val="24"/>
          <w:szCs w:val="24"/>
        </w:rPr>
      </w:pPr>
    </w:p>
    <w:p w:rsidR="006C2C49" w:rsidRPr="00406B6E" w:rsidRDefault="006C2C49" w:rsidP="00406B6E">
      <w:pPr>
        <w:pStyle w:val="ListParagraph"/>
        <w:numPr>
          <w:ilvl w:val="0"/>
          <w:numId w:val="14"/>
        </w:numPr>
        <w:tabs>
          <w:tab w:val="left" w:pos="-1440"/>
          <w:tab w:val="left" w:pos="-720"/>
        </w:tabs>
        <w:suppressAutoHyphens/>
        <w:spacing w:line="240" w:lineRule="auto"/>
        <w:ind w:left="2880" w:right="1440" w:hanging="720"/>
        <w:rPr>
          <w:sz w:val="24"/>
          <w:szCs w:val="24"/>
        </w:rPr>
      </w:pPr>
      <w:r w:rsidRPr="00406B6E">
        <w:rPr>
          <w:sz w:val="24"/>
          <w:szCs w:val="24"/>
        </w:rPr>
        <w:t xml:space="preserve">the disputed bill was abnormally high when compared to prior usage patterns; and </w:t>
      </w:r>
    </w:p>
    <w:p w:rsidR="00406B6E" w:rsidRPr="00406B6E" w:rsidRDefault="00406B6E" w:rsidP="00406B6E">
      <w:pPr>
        <w:pStyle w:val="ListParagraph"/>
        <w:tabs>
          <w:tab w:val="left" w:pos="-1440"/>
          <w:tab w:val="left" w:pos="-720"/>
        </w:tabs>
        <w:suppressAutoHyphens/>
        <w:spacing w:line="240" w:lineRule="auto"/>
        <w:ind w:left="2520" w:right="1440"/>
        <w:rPr>
          <w:sz w:val="24"/>
          <w:szCs w:val="24"/>
        </w:rPr>
      </w:pPr>
    </w:p>
    <w:p w:rsidR="006C2C49" w:rsidRPr="00B73D10" w:rsidRDefault="00406B6E" w:rsidP="006C2C49">
      <w:pPr>
        <w:tabs>
          <w:tab w:val="left" w:pos="-1440"/>
          <w:tab w:val="left" w:pos="-720"/>
        </w:tabs>
        <w:suppressAutoHyphens/>
        <w:ind w:left="1440" w:right="1440"/>
        <w:rPr>
          <w:sz w:val="24"/>
          <w:szCs w:val="24"/>
        </w:rPr>
      </w:pPr>
      <w:r>
        <w:rPr>
          <w:sz w:val="24"/>
          <w:szCs w:val="24"/>
        </w:rPr>
        <w:tab/>
      </w:r>
      <w:r w:rsidR="006C2C49" w:rsidRPr="00B73D10">
        <w:rPr>
          <w:sz w:val="24"/>
          <w:szCs w:val="24"/>
        </w:rPr>
        <w:t xml:space="preserve">(2) </w:t>
      </w:r>
      <w:r>
        <w:rPr>
          <w:sz w:val="24"/>
          <w:szCs w:val="24"/>
        </w:rPr>
        <w:tab/>
      </w:r>
      <w:proofErr w:type="gramStart"/>
      <w:r w:rsidR="006C2C49" w:rsidRPr="00B73D10">
        <w:rPr>
          <w:sz w:val="24"/>
          <w:szCs w:val="24"/>
        </w:rPr>
        <w:t>the</w:t>
      </w:r>
      <w:proofErr w:type="gramEnd"/>
      <w:r w:rsidR="006C2C49" w:rsidRPr="00B73D10">
        <w:rPr>
          <w:sz w:val="24"/>
          <w:szCs w:val="24"/>
        </w:rPr>
        <w:t xml:space="preserve"> ratepayer’s pattern of usage had not changed.  </w:t>
      </w:r>
    </w:p>
    <w:p w:rsidR="006C2C49" w:rsidRDefault="006C2C49" w:rsidP="006C2C49">
      <w:pPr>
        <w:tabs>
          <w:tab w:val="left" w:pos="-1440"/>
          <w:tab w:val="left" w:pos="-720"/>
        </w:tabs>
        <w:suppressAutoHyphens/>
        <w:rPr>
          <w:sz w:val="24"/>
          <w:szCs w:val="24"/>
        </w:rPr>
      </w:pPr>
    </w:p>
    <w:p w:rsidR="00174631" w:rsidRDefault="00174631" w:rsidP="006C2C49">
      <w:pPr>
        <w:tabs>
          <w:tab w:val="left" w:pos="-1440"/>
          <w:tab w:val="left" w:pos="-720"/>
        </w:tabs>
        <w:suppressAutoHyphens/>
        <w:rPr>
          <w:sz w:val="24"/>
          <w:szCs w:val="24"/>
        </w:rPr>
      </w:pPr>
      <w:r>
        <w:rPr>
          <w:sz w:val="24"/>
          <w:szCs w:val="24"/>
        </w:rPr>
        <w:tab/>
      </w:r>
      <w:r>
        <w:rPr>
          <w:sz w:val="24"/>
          <w:szCs w:val="24"/>
        </w:rPr>
        <w:tab/>
        <w:t xml:space="preserve">When looking at these criteria, important considerations include the billing history of the account, any change in the number of occupants residing in the household, the potential for energy utilization, and any other relevant facts or circumstances that come to light during the proceeding.  </w:t>
      </w:r>
      <w:proofErr w:type="spellStart"/>
      <w:proofErr w:type="gramStart"/>
      <w:r>
        <w:rPr>
          <w:sz w:val="24"/>
          <w:szCs w:val="24"/>
          <w:u w:val="single"/>
        </w:rPr>
        <w:t>Replogle</w:t>
      </w:r>
      <w:proofErr w:type="spellEnd"/>
      <w:r>
        <w:rPr>
          <w:sz w:val="24"/>
          <w:szCs w:val="24"/>
          <w:u w:val="single"/>
        </w:rPr>
        <w:t xml:space="preserve"> v. Pennsylvania Electric Company</w:t>
      </w:r>
      <w:r>
        <w:rPr>
          <w:sz w:val="24"/>
          <w:szCs w:val="24"/>
        </w:rPr>
        <w:t>, 54 Pa. P.U.C. 528 (1980).</w:t>
      </w:r>
      <w:proofErr w:type="gramEnd"/>
      <w:r>
        <w:rPr>
          <w:sz w:val="24"/>
          <w:szCs w:val="24"/>
        </w:rPr>
        <w:t xml:space="preserve">  In this way, a complainant may prove entitlement to relief by wholly circumstantial evidence, rather than direct evidence of some utility misfeasance.  </w:t>
      </w:r>
      <w:proofErr w:type="spellStart"/>
      <w:proofErr w:type="gramStart"/>
      <w:r>
        <w:rPr>
          <w:sz w:val="24"/>
          <w:szCs w:val="24"/>
          <w:u w:val="single"/>
        </w:rPr>
        <w:t>Milkie</w:t>
      </w:r>
      <w:proofErr w:type="spellEnd"/>
      <w:r>
        <w:rPr>
          <w:sz w:val="24"/>
          <w:szCs w:val="24"/>
          <w:u w:val="single"/>
        </w:rPr>
        <w:t xml:space="preserve"> v. Pa. Public Utility Comm.</w:t>
      </w:r>
      <w:r>
        <w:rPr>
          <w:sz w:val="24"/>
          <w:szCs w:val="24"/>
        </w:rPr>
        <w:t xml:space="preserve">, 768 A.2d 1217 (Pa. </w:t>
      </w:r>
      <w:proofErr w:type="spellStart"/>
      <w:r>
        <w:rPr>
          <w:sz w:val="24"/>
          <w:szCs w:val="24"/>
        </w:rPr>
        <w:t>Commw</w:t>
      </w:r>
      <w:proofErr w:type="spellEnd"/>
      <w:r>
        <w:rPr>
          <w:sz w:val="24"/>
          <w:szCs w:val="24"/>
        </w:rPr>
        <w:t>. 2001).</w:t>
      </w:r>
      <w:proofErr w:type="gramEnd"/>
    </w:p>
    <w:p w:rsidR="00174631" w:rsidRPr="00B73D10" w:rsidRDefault="00174631" w:rsidP="006C2C49">
      <w:pPr>
        <w:tabs>
          <w:tab w:val="left" w:pos="-1440"/>
          <w:tab w:val="left" w:pos="-720"/>
        </w:tabs>
        <w:suppressAutoHyphens/>
        <w:rPr>
          <w:sz w:val="24"/>
          <w:szCs w:val="24"/>
        </w:rPr>
      </w:pPr>
    </w:p>
    <w:p w:rsidR="006C2C49" w:rsidRPr="00B73D10" w:rsidRDefault="006C2C49" w:rsidP="006C2C49">
      <w:pPr>
        <w:tabs>
          <w:tab w:val="left" w:pos="-1440"/>
          <w:tab w:val="left" w:pos="-720"/>
        </w:tabs>
        <w:suppressAutoHyphens/>
        <w:rPr>
          <w:sz w:val="24"/>
          <w:szCs w:val="24"/>
        </w:rPr>
      </w:pPr>
      <w:r w:rsidRPr="00B73D10">
        <w:rPr>
          <w:sz w:val="24"/>
          <w:szCs w:val="24"/>
        </w:rPr>
        <w:tab/>
      </w:r>
      <w:r w:rsidRPr="00B73D10">
        <w:rPr>
          <w:sz w:val="24"/>
          <w:szCs w:val="24"/>
        </w:rPr>
        <w:tab/>
      </w:r>
      <w:r w:rsidR="00BE0C66">
        <w:rPr>
          <w:sz w:val="24"/>
          <w:szCs w:val="24"/>
        </w:rPr>
        <w:t>T</w:t>
      </w:r>
      <w:r w:rsidRPr="00B73D10">
        <w:rPr>
          <w:sz w:val="24"/>
          <w:szCs w:val="24"/>
        </w:rPr>
        <w:t xml:space="preserve">he Commission restated its position for the purpose of clarifying the </w:t>
      </w:r>
      <w:r w:rsidRPr="00B73D10">
        <w:rPr>
          <w:sz w:val="24"/>
          <w:szCs w:val="24"/>
          <w:u w:val="single"/>
        </w:rPr>
        <w:t>Waldron</w:t>
      </w:r>
      <w:r w:rsidRPr="00B73D10">
        <w:rPr>
          <w:sz w:val="24"/>
          <w:szCs w:val="24"/>
        </w:rPr>
        <w:t xml:space="preserve"> test</w:t>
      </w:r>
      <w:r w:rsidR="00BE0C66">
        <w:rPr>
          <w:sz w:val="24"/>
          <w:szCs w:val="24"/>
        </w:rPr>
        <w:t xml:space="preserve"> in </w:t>
      </w:r>
      <w:proofErr w:type="spellStart"/>
      <w:r w:rsidR="00BE0C66" w:rsidRPr="00B73D10">
        <w:rPr>
          <w:sz w:val="24"/>
          <w:szCs w:val="24"/>
          <w:u w:val="single"/>
        </w:rPr>
        <w:t>Charisse</w:t>
      </w:r>
      <w:proofErr w:type="spellEnd"/>
      <w:r w:rsidR="00BE0C66" w:rsidRPr="00B73D10">
        <w:rPr>
          <w:sz w:val="24"/>
          <w:szCs w:val="24"/>
          <w:u w:val="single"/>
        </w:rPr>
        <w:t xml:space="preserve"> M. Bennett v. The Peoples Natural Gas Company, LLC</w:t>
      </w:r>
      <w:r w:rsidR="00BE0C66" w:rsidRPr="00B73D10">
        <w:rPr>
          <w:sz w:val="24"/>
          <w:szCs w:val="24"/>
        </w:rPr>
        <w:t>, Docket No. C-2009-2122979 (Opinion and Order entered October 13, 2010)</w:t>
      </w:r>
      <w:r w:rsidRPr="00B73D10">
        <w:rPr>
          <w:sz w:val="24"/>
          <w:szCs w:val="24"/>
        </w:rPr>
        <w:t xml:space="preserve">.  In </w:t>
      </w:r>
      <w:r w:rsidRPr="00B73D10">
        <w:rPr>
          <w:sz w:val="24"/>
          <w:szCs w:val="24"/>
          <w:u w:val="single"/>
        </w:rPr>
        <w:t>Bennett</w:t>
      </w:r>
      <w:r w:rsidRPr="00B73D10">
        <w:rPr>
          <w:sz w:val="24"/>
          <w:szCs w:val="24"/>
        </w:rPr>
        <w:t>, the Commission stated:</w:t>
      </w:r>
    </w:p>
    <w:p w:rsidR="00CC37F7" w:rsidRDefault="00CC37F7" w:rsidP="006C2C49">
      <w:pPr>
        <w:spacing w:line="240" w:lineRule="auto"/>
        <w:ind w:left="1440" w:right="1440"/>
        <w:rPr>
          <w:sz w:val="24"/>
          <w:szCs w:val="24"/>
        </w:rPr>
      </w:pPr>
    </w:p>
    <w:p w:rsidR="006C2C49" w:rsidRPr="00B73D10" w:rsidRDefault="006C2C49" w:rsidP="006C2C49">
      <w:pPr>
        <w:spacing w:line="240" w:lineRule="auto"/>
        <w:ind w:left="1440" w:right="1440"/>
        <w:rPr>
          <w:sz w:val="24"/>
          <w:szCs w:val="24"/>
        </w:rPr>
      </w:pPr>
      <w:r w:rsidRPr="00B73D10">
        <w:rPr>
          <w:sz w:val="24"/>
          <w:szCs w:val="24"/>
        </w:rPr>
        <w:t xml:space="preserve">While a comparison of the disputed monthly bill to the Complainant’s billing history and the consistency of her usage pattern are important criteria to consider, they alone do not resolve </w:t>
      </w:r>
      <w:r w:rsidRPr="00B73D10">
        <w:rPr>
          <w:sz w:val="24"/>
          <w:szCs w:val="24"/>
        </w:rPr>
        <w:lastRenderedPageBreak/>
        <w:t xml:space="preserve">the issue of the Complainant’s disputed high bill….  Also, this interpretation does not allow for other relevant facts or circumstances with probative value to be considered as evidence supportive of a high bill complaint.  </w:t>
      </w:r>
      <w:r w:rsidRPr="00BE0C66">
        <w:rPr>
          <w:sz w:val="24"/>
          <w:szCs w:val="24"/>
          <w:u w:val="single"/>
        </w:rPr>
        <w:t>Waldron</w:t>
      </w:r>
      <w:r w:rsidRPr="00B73D10">
        <w:rPr>
          <w:sz w:val="24"/>
          <w:szCs w:val="24"/>
        </w:rPr>
        <w:t xml:space="preserve"> does not limit the establishment of a </w:t>
      </w:r>
      <w:r w:rsidRPr="00B73D10">
        <w:rPr>
          <w:i/>
          <w:sz w:val="24"/>
          <w:szCs w:val="24"/>
        </w:rPr>
        <w:t>prima facie</w:t>
      </w:r>
      <w:r w:rsidRPr="00B73D10">
        <w:rPr>
          <w:sz w:val="24"/>
          <w:szCs w:val="24"/>
        </w:rPr>
        <w:t xml:space="preserve"> case to the above two elements alone.  Rather, the Commission may consider the billing history of the account, any change in usage patterns (such as a change in the number of occupants residing in the household or potential energy utilization), </w:t>
      </w:r>
      <w:r w:rsidRPr="00B73D10">
        <w:rPr>
          <w:i/>
          <w:sz w:val="24"/>
          <w:szCs w:val="24"/>
        </w:rPr>
        <w:t>and</w:t>
      </w:r>
      <w:r w:rsidRPr="00B73D10">
        <w:rPr>
          <w:b/>
          <w:sz w:val="24"/>
          <w:szCs w:val="24"/>
        </w:rPr>
        <w:t xml:space="preserve"> </w:t>
      </w:r>
      <w:r w:rsidRPr="00B73D10">
        <w:rPr>
          <w:sz w:val="24"/>
          <w:szCs w:val="24"/>
        </w:rPr>
        <w:t>any other relevant facts or circumstances that come to light during the proceeding.</w:t>
      </w:r>
    </w:p>
    <w:p w:rsidR="002D3D1C" w:rsidRDefault="002D3D1C" w:rsidP="002D3D1C">
      <w:pPr>
        <w:tabs>
          <w:tab w:val="left" w:pos="-1440"/>
          <w:tab w:val="left" w:pos="-720"/>
        </w:tabs>
        <w:suppressAutoHyphens/>
        <w:spacing w:line="240" w:lineRule="auto"/>
        <w:rPr>
          <w:sz w:val="24"/>
          <w:szCs w:val="24"/>
          <w:u w:val="single"/>
        </w:rPr>
      </w:pPr>
    </w:p>
    <w:p w:rsidR="006C2C49" w:rsidRDefault="006C2C49" w:rsidP="002D3D1C">
      <w:pPr>
        <w:tabs>
          <w:tab w:val="left" w:pos="-1440"/>
          <w:tab w:val="left" w:pos="-720"/>
        </w:tabs>
        <w:suppressAutoHyphens/>
        <w:spacing w:line="240" w:lineRule="auto"/>
        <w:rPr>
          <w:sz w:val="24"/>
          <w:szCs w:val="24"/>
        </w:rPr>
      </w:pPr>
      <w:r w:rsidRPr="00B73D10">
        <w:rPr>
          <w:sz w:val="24"/>
          <w:szCs w:val="24"/>
          <w:u w:val="single"/>
        </w:rPr>
        <w:t>Bennett</w:t>
      </w:r>
      <w:r w:rsidRPr="00B73D10">
        <w:rPr>
          <w:sz w:val="24"/>
          <w:szCs w:val="24"/>
        </w:rPr>
        <w:t>, Opinion and Order entered October 13, 2010, p. 6 (emphasis in the original).</w:t>
      </w:r>
    </w:p>
    <w:p w:rsidR="00BE0C66" w:rsidRDefault="00BE0C66" w:rsidP="006C2C49">
      <w:pPr>
        <w:tabs>
          <w:tab w:val="left" w:pos="-1440"/>
          <w:tab w:val="left" w:pos="-720"/>
        </w:tabs>
        <w:suppressAutoHyphens/>
        <w:rPr>
          <w:sz w:val="24"/>
          <w:szCs w:val="24"/>
        </w:rPr>
      </w:pPr>
    </w:p>
    <w:p w:rsidR="00174631" w:rsidRDefault="00174631" w:rsidP="006C2C49">
      <w:pPr>
        <w:tabs>
          <w:tab w:val="left" w:pos="-1440"/>
          <w:tab w:val="left" w:pos="-720"/>
        </w:tabs>
        <w:suppressAutoHyphens/>
        <w:rPr>
          <w:sz w:val="24"/>
          <w:szCs w:val="24"/>
        </w:rPr>
      </w:pPr>
      <w:r>
        <w:rPr>
          <w:sz w:val="24"/>
          <w:szCs w:val="24"/>
        </w:rPr>
        <w:tab/>
      </w:r>
      <w:r>
        <w:rPr>
          <w:sz w:val="24"/>
          <w:szCs w:val="24"/>
        </w:rPr>
        <w:tab/>
        <w:t xml:space="preserve">Most recently, in </w:t>
      </w:r>
      <w:r w:rsidRPr="00174631">
        <w:rPr>
          <w:sz w:val="24"/>
          <w:szCs w:val="24"/>
          <w:u w:val="single"/>
        </w:rPr>
        <w:t>Nehemiah B. Thomas v</w:t>
      </w:r>
      <w:r w:rsidR="00BE0C66">
        <w:rPr>
          <w:sz w:val="24"/>
          <w:szCs w:val="24"/>
          <w:u w:val="single"/>
        </w:rPr>
        <w:t>.</w:t>
      </w:r>
      <w:r w:rsidRPr="00174631">
        <w:rPr>
          <w:sz w:val="24"/>
          <w:szCs w:val="24"/>
          <w:u w:val="single"/>
        </w:rPr>
        <w:t xml:space="preserve"> PECO Energy Company</w:t>
      </w:r>
      <w:r>
        <w:rPr>
          <w:sz w:val="24"/>
          <w:szCs w:val="24"/>
        </w:rPr>
        <w:t xml:space="preserve">, </w:t>
      </w:r>
      <w:r w:rsidRPr="00B73D10">
        <w:rPr>
          <w:sz w:val="24"/>
          <w:szCs w:val="24"/>
        </w:rPr>
        <w:t>Docket No. C-</w:t>
      </w:r>
      <w:r>
        <w:rPr>
          <w:sz w:val="24"/>
          <w:szCs w:val="24"/>
        </w:rPr>
        <w:t>2010-2187197</w:t>
      </w:r>
      <w:r w:rsidRPr="00B73D10">
        <w:rPr>
          <w:sz w:val="24"/>
          <w:szCs w:val="24"/>
        </w:rPr>
        <w:t xml:space="preserve"> (Opinion and Order entered </w:t>
      </w:r>
      <w:r w:rsidR="000D6D9C">
        <w:rPr>
          <w:sz w:val="24"/>
          <w:szCs w:val="24"/>
        </w:rPr>
        <w:t>November 15</w:t>
      </w:r>
      <w:r>
        <w:rPr>
          <w:sz w:val="24"/>
          <w:szCs w:val="24"/>
        </w:rPr>
        <w:t>, 2011</w:t>
      </w:r>
      <w:r w:rsidRPr="00B73D10">
        <w:rPr>
          <w:sz w:val="24"/>
          <w:szCs w:val="24"/>
        </w:rPr>
        <w:t>),</w:t>
      </w:r>
      <w:r>
        <w:rPr>
          <w:sz w:val="24"/>
          <w:szCs w:val="24"/>
        </w:rPr>
        <w:t xml:space="preserve"> the Commission reaffirmed its position in </w:t>
      </w:r>
      <w:r w:rsidRPr="00174631">
        <w:rPr>
          <w:sz w:val="24"/>
          <w:szCs w:val="24"/>
          <w:u w:val="single"/>
        </w:rPr>
        <w:t>Bennett</w:t>
      </w:r>
      <w:r>
        <w:rPr>
          <w:sz w:val="24"/>
          <w:szCs w:val="24"/>
        </w:rPr>
        <w:t>, supra</w:t>
      </w:r>
      <w:r w:rsidR="000D6D9C">
        <w:rPr>
          <w:sz w:val="24"/>
          <w:szCs w:val="24"/>
        </w:rPr>
        <w:t>, when it specified</w:t>
      </w:r>
      <w:r>
        <w:rPr>
          <w:sz w:val="24"/>
          <w:szCs w:val="24"/>
        </w:rPr>
        <w:t>:</w:t>
      </w:r>
    </w:p>
    <w:p w:rsidR="00A70DDC" w:rsidRDefault="00A70DDC" w:rsidP="00174631">
      <w:pPr>
        <w:tabs>
          <w:tab w:val="left" w:pos="-1440"/>
          <w:tab w:val="left" w:pos="-720"/>
        </w:tabs>
        <w:suppressAutoHyphens/>
        <w:spacing w:line="240" w:lineRule="auto"/>
        <w:ind w:left="1440"/>
        <w:rPr>
          <w:sz w:val="24"/>
          <w:szCs w:val="24"/>
        </w:rPr>
      </w:pPr>
    </w:p>
    <w:p w:rsidR="00174631" w:rsidRPr="00174631" w:rsidRDefault="00BE0C66" w:rsidP="00023854">
      <w:pPr>
        <w:tabs>
          <w:tab w:val="left" w:pos="-1440"/>
          <w:tab w:val="left" w:pos="-720"/>
        </w:tabs>
        <w:suppressAutoHyphens/>
        <w:spacing w:line="240" w:lineRule="auto"/>
        <w:ind w:left="1440" w:right="720"/>
        <w:rPr>
          <w:sz w:val="24"/>
          <w:szCs w:val="24"/>
        </w:rPr>
      </w:pPr>
      <w:r>
        <w:rPr>
          <w:sz w:val="24"/>
          <w:szCs w:val="24"/>
        </w:rPr>
        <w:t>[T]</w:t>
      </w:r>
      <w:r w:rsidR="00174631">
        <w:rPr>
          <w:sz w:val="24"/>
          <w:szCs w:val="24"/>
        </w:rPr>
        <w:t xml:space="preserve">he Waldron Rule allows a Complainant to establish a prima facie case in a “high bill” complaint by showing that the disputed bill is abnormally high when compared to prior usage patterns and his or her pattern of usage has not changed </w:t>
      </w:r>
      <w:r w:rsidR="00174631">
        <w:rPr>
          <w:i/>
          <w:sz w:val="24"/>
          <w:szCs w:val="24"/>
        </w:rPr>
        <w:t>or by providing other relevant evidence showing that the disputed bill is unreasonably high</w:t>
      </w:r>
      <w:r w:rsidR="00174631">
        <w:rPr>
          <w:sz w:val="24"/>
          <w:szCs w:val="24"/>
        </w:rPr>
        <w:t xml:space="preserve">.  In evaluating a “high bill” complaint, the Commission may consider such evidence as the billing history of the account, any change in usage patterns (such as a change in the number of occupants residing in the household or potential energy utilization), </w:t>
      </w:r>
      <w:r w:rsidR="00174631">
        <w:rPr>
          <w:i/>
          <w:sz w:val="24"/>
          <w:szCs w:val="24"/>
        </w:rPr>
        <w:t>and any other relevant facts or circumstances that come to light during the proceeding</w:t>
      </w:r>
      <w:r w:rsidR="00174631">
        <w:rPr>
          <w:sz w:val="24"/>
          <w:szCs w:val="24"/>
        </w:rPr>
        <w:t xml:space="preserve">.  </w:t>
      </w:r>
      <w:proofErr w:type="gramStart"/>
      <w:r w:rsidR="00174631">
        <w:rPr>
          <w:sz w:val="24"/>
          <w:szCs w:val="24"/>
        </w:rPr>
        <w:t>(Emphasis in original).</w:t>
      </w:r>
      <w:proofErr w:type="gramEnd"/>
    </w:p>
    <w:p w:rsidR="00174631" w:rsidRDefault="00174631" w:rsidP="006C2C49">
      <w:pPr>
        <w:tabs>
          <w:tab w:val="left" w:pos="-1440"/>
          <w:tab w:val="left" w:pos="-720"/>
        </w:tabs>
        <w:suppressAutoHyphens/>
        <w:rPr>
          <w:sz w:val="24"/>
          <w:szCs w:val="24"/>
        </w:rPr>
      </w:pPr>
    </w:p>
    <w:p w:rsidR="001126BF" w:rsidRDefault="001126BF" w:rsidP="006C2C49">
      <w:pPr>
        <w:tabs>
          <w:tab w:val="left" w:pos="-1440"/>
          <w:tab w:val="left" w:pos="-720"/>
        </w:tabs>
        <w:suppressAutoHyphens/>
        <w:rPr>
          <w:sz w:val="24"/>
          <w:szCs w:val="24"/>
        </w:rPr>
      </w:pPr>
      <w:r>
        <w:rPr>
          <w:sz w:val="24"/>
          <w:szCs w:val="24"/>
        </w:rPr>
        <w:tab/>
      </w:r>
      <w:r>
        <w:rPr>
          <w:sz w:val="24"/>
          <w:szCs w:val="24"/>
        </w:rPr>
        <w:tab/>
        <w:t>In the instant situation, the high bills Complainant noted for the front apartment are the direct result of the foreign load wiring problem.  Complainant’s bills for the front apartment would be markedly less if the meter only had to record the electrical consumption for the front apartment, instead of being wired to record the consumption used elsewhere within the same premises.</w:t>
      </w:r>
    </w:p>
    <w:p w:rsidR="001126BF" w:rsidRPr="00B75D25" w:rsidRDefault="001126BF" w:rsidP="006C2C49">
      <w:pPr>
        <w:tabs>
          <w:tab w:val="left" w:pos="-1440"/>
          <w:tab w:val="left" w:pos="-720"/>
        </w:tabs>
        <w:suppressAutoHyphens/>
        <w:rPr>
          <w:sz w:val="24"/>
          <w:szCs w:val="24"/>
        </w:rPr>
      </w:pPr>
    </w:p>
    <w:p w:rsidR="00B75D25" w:rsidRPr="00B75D25" w:rsidRDefault="00B75D25" w:rsidP="006C2C49">
      <w:pPr>
        <w:tabs>
          <w:tab w:val="left" w:pos="-1440"/>
          <w:tab w:val="left" w:pos="-720"/>
        </w:tabs>
        <w:suppressAutoHyphens/>
        <w:rPr>
          <w:sz w:val="24"/>
          <w:szCs w:val="24"/>
        </w:rPr>
      </w:pPr>
      <w:r w:rsidRPr="00B75D25">
        <w:rPr>
          <w:sz w:val="24"/>
          <w:szCs w:val="24"/>
          <w:u w:val="single"/>
        </w:rPr>
        <w:t>Foreign Load</w:t>
      </w:r>
    </w:p>
    <w:p w:rsidR="00B75D25" w:rsidRPr="00B75D25" w:rsidRDefault="00B75D25" w:rsidP="006C2C49">
      <w:pPr>
        <w:tabs>
          <w:tab w:val="left" w:pos="-1440"/>
          <w:tab w:val="left" w:pos="-720"/>
        </w:tabs>
        <w:suppressAutoHyphens/>
        <w:rPr>
          <w:sz w:val="24"/>
          <w:szCs w:val="24"/>
        </w:rPr>
      </w:pPr>
    </w:p>
    <w:p w:rsidR="00B75D25" w:rsidRDefault="00B75D25" w:rsidP="00B75D25">
      <w:pPr>
        <w:rPr>
          <w:color w:val="333333"/>
          <w:sz w:val="24"/>
          <w:szCs w:val="24"/>
        </w:rPr>
      </w:pPr>
      <w:r w:rsidRPr="00B75D25">
        <w:rPr>
          <w:sz w:val="24"/>
          <w:szCs w:val="24"/>
        </w:rPr>
        <w:tab/>
      </w:r>
      <w:r w:rsidRPr="00B75D25">
        <w:rPr>
          <w:sz w:val="24"/>
          <w:szCs w:val="24"/>
        </w:rPr>
        <w:tab/>
      </w:r>
      <w:r w:rsidRPr="00B75D25">
        <w:rPr>
          <w:bCs/>
          <w:color w:val="333333"/>
          <w:sz w:val="24"/>
          <w:szCs w:val="24"/>
        </w:rPr>
        <w:t>Foreign load</w:t>
      </w:r>
      <w:r w:rsidRPr="00B75D25">
        <w:rPr>
          <w:color w:val="333333"/>
          <w:sz w:val="24"/>
          <w:szCs w:val="24"/>
        </w:rPr>
        <w:t xml:space="preserve"> can occur whenever </w:t>
      </w:r>
      <w:r>
        <w:rPr>
          <w:color w:val="333333"/>
          <w:sz w:val="24"/>
          <w:szCs w:val="24"/>
        </w:rPr>
        <w:t>the</w:t>
      </w:r>
      <w:r w:rsidRPr="00B75D25">
        <w:rPr>
          <w:color w:val="333333"/>
          <w:sz w:val="24"/>
          <w:szCs w:val="24"/>
        </w:rPr>
        <w:t xml:space="preserve"> meter </w:t>
      </w:r>
      <w:r>
        <w:rPr>
          <w:color w:val="333333"/>
          <w:sz w:val="24"/>
          <w:szCs w:val="24"/>
        </w:rPr>
        <w:t xml:space="preserve">for one dwelling </w:t>
      </w:r>
      <w:r w:rsidRPr="00B75D25">
        <w:rPr>
          <w:color w:val="333333"/>
          <w:sz w:val="24"/>
          <w:szCs w:val="24"/>
        </w:rPr>
        <w:t>registers usage for utility service provided to a</w:t>
      </w:r>
      <w:r>
        <w:rPr>
          <w:color w:val="333333"/>
          <w:sz w:val="24"/>
          <w:szCs w:val="24"/>
        </w:rPr>
        <w:t>nother</w:t>
      </w:r>
      <w:r w:rsidRPr="00B75D25">
        <w:rPr>
          <w:color w:val="333333"/>
          <w:sz w:val="24"/>
          <w:szCs w:val="24"/>
        </w:rPr>
        <w:t xml:space="preserve"> dwelling unit.  </w:t>
      </w:r>
      <w:r>
        <w:rPr>
          <w:color w:val="333333"/>
          <w:sz w:val="24"/>
          <w:szCs w:val="24"/>
        </w:rPr>
        <w:t xml:space="preserve">Pursuant to 66 Pa. C.S.A. §1529.1, any premises containing more than one dwelling unit should individually meter each dwelling unit.  </w:t>
      </w:r>
      <w:r>
        <w:rPr>
          <w:color w:val="333333"/>
          <w:sz w:val="24"/>
          <w:szCs w:val="24"/>
        </w:rPr>
        <w:lastRenderedPageBreak/>
        <w:t xml:space="preserve">If the dwelling units are not individually metered, then the landowner is responsible to pay for the utility service.  </w:t>
      </w:r>
      <w:r w:rsidRPr="00B75D25">
        <w:rPr>
          <w:color w:val="333333"/>
          <w:sz w:val="24"/>
          <w:szCs w:val="24"/>
        </w:rPr>
        <w:t xml:space="preserve">In the instant situation, </w:t>
      </w:r>
      <w:r>
        <w:rPr>
          <w:color w:val="333333"/>
          <w:sz w:val="24"/>
          <w:szCs w:val="24"/>
        </w:rPr>
        <w:t xml:space="preserve">there are two dwelling units on the first floor.  The refrigerator, kitchen sink light, electric range and bedroom air conditioning unit for the back apartment are connected to the meter for the front apartment.  In addition, the basement lights and sump pump are also connected to the meter for the front apartment.  </w:t>
      </w:r>
    </w:p>
    <w:p w:rsidR="00B75D25" w:rsidRDefault="00B75D25" w:rsidP="00B75D25">
      <w:pPr>
        <w:rPr>
          <w:color w:val="333333"/>
          <w:sz w:val="24"/>
          <w:szCs w:val="24"/>
        </w:rPr>
      </w:pPr>
    </w:p>
    <w:p w:rsidR="00B75D25" w:rsidRPr="00B75D25" w:rsidRDefault="00B75D25" w:rsidP="00B75D25">
      <w:pPr>
        <w:ind w:firstLine="1440"/>
        <w:rPr>
          <w:color w:val="333333"/>
          <w:sz w:val="24"/>
          <w:szCs w:val="24"/>
        </w:rPr>
      </w:pPr>
      <w:r w:rsidRPr="00B75D25">
        <w:rPr>
          <w:color w:val="333333"/>
          <w:sz w:val="24"/>
          <w:szCs w:val="24"/>
        </w:rPr>
        <w:t xml:space="preserve">In other words, when </w:t>
      </w:r>
      <w:r>
        <w:rPr>
          <w:color w:val="333333"/>
          <w:sz w:val="24"/>
          <w:szCs w:val="24"/>
        </w:rPr>
        <w:t xml:space="preserve">Complainant (living in the rear apartment) turned on the air conditioning unit in his bedroom, the electricity consumption was recorded on the meter for the </w:t>
      </w:r>
      <w:r w:rsidRPr="00B75D25">
        <w:rPr>
          <w:color w:val="333333"/>
          <w:sz w:val="24"/>
          <w:szCs w:val="24"/>
          <w:u w:val="single"/>
        </w:rPr>
        <w:t>front</w:t>
      </w:r>
      <w:r>
        <w:rPr>
          <w:color w:val="333333"/>
          <w:sz w:val="24"/>
          <w:szCs w:val="24"/>
        </w:rPr>
        <w:t xml:space="preserve"> apartment, not the rear apartment.  The fluctuation which Complainant observed in recorded consumption for the front apartment actually is a reflection of the amount of energy he used in his living quarters in the </w:t>
      </w:r>
      <w:r w:rsidRPr="001126BF">
        <w:rPr>
          <w:color w:val="333333"/>
          <w:sz w:val="24"/>
          <w:szCs w:val="24"/>
          <w:u w:val="single"/>
        </w:rPr>
        <w:t>rear</w:t>
      </w:r>
      <w:r>
        <w:rPr>
          <w:color w:val="333333"/>
          <w:sz w:val="24"/>
          <w:szCs w:val="24"/>
        </w:rPr>
        <w:t xml:space="preserve"> apartment.  </w:t>
      </w:r>
      <w:r w:rsidR="00715721">
        <w:rPr>
          <w:color w:val="333333"/>
          <w:sz w:val="24"/>
          <w:szCs w:val="24"/>
        </w:rPr>
        <w:t xml:space="preserve">This proceeding does not require any action by Respondent due to the presence of the foreign load because Complainant, as the owner, is the only individual in possession of both affected dwelling units.  If he were currently renting out the front apartment, he would be required to either separate the wiring between the two apartments or pay the electricity bills for both first floor apartments </w:t>
      </w:r>
      <w:proofErr w:type="gramStart"/>
      <w:r w:rsidR="00715721">
        <w:rPr>
          <w:color w:val="333333"/>
          <w:sz w:val="24"/>
          <w:szCs w:val="24"/>
        </w:rPr>
        <w:t>himself</w:t>
      </w:r>
      <w:proofErr w:type="gramEnd"/>
      <w:r w:rsidR="00715721">
        <w:rPr>
          <w:color w:val="333333"/>
          <w:sz w:val="24"/>
          <w:szCs w:val="24"/>
        </w:rPr>
        <w:t>.</w:t>
      </w:r>
    </w:p>
    <w:p w:rsidR="00B75D25" w:rsidRPr="00B75D25" w:rsidRDefault="00B75D25" w:rsidP="006C2C49">
      <w:pPr>
        <w:tabs>
          <w:tab w:val="left" w:pos="-1440"/>
          <w:tab w:val="left" w:pos="-720"/>
        </w:tabs>
        <w:suppressAutoHyphens/>
        <w:rPr>
          <w:sz w:val="24"/>
          <w:szCs w:val="24"/>
        </w:rPr>
      </w:pPr>
    </w:p>
    <w:p w:rsidR="00184F61" w:rsidRPr="00B75D25" w:rsidRDefault="00184F61" w:rsidP="006C2C49">
      <w:pPr>
        <w:tabs>
          <w:tab w:val="left" w:pos="-1440"/>
          <w:tab w:val="left" w:pos="-720"/>
        </w:tabs>
        <w:suppressAutoHyphens/>
        <w:rPr>
          <w:sz w:val="24"/>
          <w:szCs w:val="24"/>
        </w:rPr>
      </w:pPr>
      <w:r w:rsidRPr="00B75D25">
        <w:rPr>
          <w:sz w:val="24"/>
          <w:szCs w:val="24"/>
          <w:u w:val="single"/>
        </w:rPr>
        <w:t>Conclusion</w:t>
      </w:r>
    </w:p>
    <w:p w:rsidR="006C2C49" w:rsidRPr="00B75D25" w:rsidRDefault="006C2C49" w:rsidP="006C2C49">
      <w:pPr>
        <w:ind w:firstLine="720"/>
        <w:rPr>
          <w:sz w:val="24"/>
          <w:szCs w:val="24"/>
        </w:rPr>
      </w:pPr>
    </w:p>
    <w:p w:rsidR="00780CB1" w:rsidRDefault="00723D2E" w:rsidP="006C2C49">
      <w:pPr>
        <w:ind w:firstLine="1440"/>
        <w:rPr>
          <w:sz w:val="24"/>
          <w:szCs w:val="24"/>
        </w:rPr>
      </w:pPr>
      <w:r>
        <w:rPr>
          <w:sz w:val="24"/>
          <w:szCs w:val="24"/>
        </w:rPr>
        <w:t xml:space="preserve">Complainant contacted Respondent to </w:t>
      </w:r>
      <w:r w:rsidR="00780CB1">
        <w:rPr>
          <w:sz w:val="24"/>
          <w:szCs w:val="24"/>
        </w:rPr>
        <w:t>complain his monthly bills for electricity were too high</w:t>
      </w:r>
      <w:r w:rsidR="001126BF">
        <w:rPr>
          <w:sz w:val="24"/>
          <w:szCs w:val="24"/>
        </w:rPr>
        <w:t xml:space="preserve"> f</w:t>
      </w:r>
      <w:r w:rsidR="00780CB1">
        <w:rPr>
          <w:sz w:val="24"/>
          <w:szCs w:val="24"/>
        </w:rPr>
        <w:t xml:space="preserve">or the front, first floor apartment.  Complainant said the only electrical appliance or item in use in the front apartment was one refrigerator, </w:t>
      </w:r>
      <w:r w:rsidR="001126BF">
        <w:rPr>
          <w:sz w:val="24"/>
          <w:szCs w:val="24"/>
        </w:rPr>
        <w:t>and</w:t>
      </w:r>
      <w:r w:rsidR="00780CB1">
        <w:rPr>
          <w:sz w:val="24"/>
          <w:szCs w:val="24"/>
        </w:rPr>
        <w:t xml:space="preserve"> Complainant did not understand why the consumption would fluctuate so much during the year</w:t>
      </w:r>
      <w:r w:rsidR="00184F61">
        <w:rPr>
          <w:sz w:val="24"/>
          <w:szCs w:val="24"/>
        </w:rPr>
        <w:t>.</w:t>
      </w:r>
    </w:p>
    <w:p w:rsidR="00780CB1" w:rsidRDefault="00780CB1" w:rsidP="006C2C49">
      <w:pPr>
        <w:ind w:firstLine="1440"/>
        <w:rPr>
          <w:sz w:val="24"/>
          <w:szCs w:val="24"/>
        </w:rPr>
      </w:pPr>
    </w:p>
    <w:p w:rsidR="00BD0AF8" w:rsidRPr="00184F61" w:rsidRDefault="00780CB1" w:rsidP="006C2C49">
      <w:pPr>
        <w:ind w:firstLine="1440"/>
        <w:rPr>
          <w:sz w:val="24"/>
          <w:szCs w:val="24"/>
        </w:rPr>
      </w:pPr>
      <w:r>
        <w:rPr>
          <w:sz w:val="24"/>
          <w:szCs w:val="24"/>
        </w:rPr>
        <w:t>As a result of his complaint, Respondent visited the premises twice</w:t>
      </w:r>
      <w:r w:rsidR="00EB04F4">
        <w:rPr>
          <w:sz w:val="24"/>
          <w:szCs w:val="24"/>
        </w:rPr>
        <w:t xml:space="preserve"> and inspected the electrical service</w:t>
      </w:r>
      <w:r w:rsidR="009D72E7">
        <w:rPr>
          <w:sz w:val="24"/>
          <w:szCs w:val="24"/>
        </w:rPr>
        <w:t xml:space="preserve"> provided</w:t>
      </w:r>
      <w:r w:rsidR="00EB04F4">
        <w:rPr>
          <w:sz w:val="24"/>
          <w:szCs w:val="24"/>
        </w:rPr>
        <w:t xml:space="preserve"> to the premises.  </w:t>
      </w:r>
      <w:r w:rsidR="009D72E7">
        <w:rPr>
          <w:sz w:val="24"/>
          <w:szCs w:val="24"/>
        </w:rPr>
        <w:t xml:space="preserve">Respondent inspected its own equipment plus inspected the equipment located inside the premises which Complainant owned.  </w:t>
      </w:r>
      <w:r w:rsidR="00EB04F4">
        <w:rPr>
          <w:sz w:val="24"/>
          <w:szCs w:val="24"/>
        </w:rPr>
        <w:t xml:space="preserve">Respondent determined </w:t>
      </w:r>
      <w:r w:rsidR="009D72E7">
        <w:rPr>
          <w:sz w:val="24"/>
          <w:szCs w:val="24"/>
        </w:rPr>
        <w:t xml:space="preserve">the front apartment’s electric meter recorded consumption for </w:t>
      </w:r>
      <w:r w:rsidR="00EB04F4">
        <w:rPr>
          <w:sz w:val="24"/>
          <w:szCs w:val="24"/>
        </w:rPr>
        <w:t>some outlets and appliances</w:t>
      </w:r>
      <w:r w:rsidR="009D72E7">
        <w:rPr>
          <w:sz w:val="24"/>
          <w:szCs w:val="24"/>
        </w:rPr>
        <w:t>, which were</w:t>
      </w:r>
      <w:r w:rsidR="00EB04F4">
        <w:rPr>
          <w:sz w:val="24"/>
          <w:szCs w:val="24"/>
        </w:rPr>
        <w:t xml:space="preserve"> located and used in the rear apartment.  </w:t>
      </w:r>
      <w:r w:rsidR="009D72E7">
        <w:rPr>
          <w:sz w:val="24"/>
          <w:szCs w:val="24"/>
        </w:rPr>
        <w:t xml:space="preserve">Respondent explained this </w:t>
      </w:r>
      <w:r w:rsidR="00EB04F4">
        <w:rPr>
          <w:sz w:val="24"/>
          <w:szCs w:val="24"/>
        </w:rPr>
        <w:t>foreign load situati</w:t>
      </w:r>
      <w:r w:rsidR="009D72E7">
        <w:rPr>
          <w:sz w:val="24"/>
          <w:szCs w:val="24"/>
        </w:rPr>
        <w:t>on to Complainant and also explained Complainant was responsible to fix this foreign load problem.</w:t>
      </w:r>
    </w:p>
    <w:p w:rsidR="00BD0AF8" w:rsidRDefault="00BD0AF8" w:rsidP="006C2C49">
      <w:pPr>
        <w:ind w:firstLine="1440"/>
        <w:rPr>
          <w:sz w:val="24"/>
          <w:szCs w:val="24"/>
        </w:rPr>
      </w:pPr>
    </w:p>
    <w:p w:rsidR="006C2C49" w:rsidRPr="00F022CE" w:rsidRDefault="006C2C49" w:rsidP="00F022CE">
      <w:pPr>
        <w:ind w:firstLine="1440"/>
        <w:rPr>
          <w:sz w:val="24"/>
          <w:szCs w:val="24"/>
        </w:rPr>
      </w:pPr>
      <w:r w:rsidRPr="00B73D10">
        <w:rPr>
          <w:sz w:val="24"/>
          <w:szCs w:val="24"/>
        </w:rPr>
        <w:lastRenderedPageBreak/>
        <w:t xml:space="preserve">Complainant </w:t>
      </w:r>
      <w:r w:rsidR="00F022CE">
        <w:rPr>
          <w:sz w:val="24"/>
          <w:szCs w:val="24"/>
        </w:rPr>
        <w:t>did not meet</w:t>
      </w:r>
      <w:r w:rsidRPr="00B73D10">
        <w:rPr>
          <w:sz w:val="24"/>
          <w:szCs w:val="24"/>
        </w:rPr>
        <w:t xml:space="preserve"> his burden of proof in this proceeding.  </w:t>
      </w:r>
      <w:proofErr w:type="gramStart"/>
      <w:r w:rsidRPr="00B73D10">
        <w:rPr>
          <w:sz w:val="24"/>
          <w:szCs w:val="24"/>
        </w:rPr>
        <w:t>66 Pa. C.S. §332(a).</w:t>
      </w:r>
      <w:proofErr w:type="gramEnd"/>
      <w:r w:rsidR="00F022CE">
        <w:rPr>
          <w:sz w:val="24"/>
          <w:szCs w:val="24"/>
        </w:rPr>
        <w:t xml:space="preserve">  </w:t>
      </w:r>
      <w:r w:rsidR="009D72E7">
        <w:rPr>
          <w:sz w:val="24"/>
          <w:szCs w:val="24"/>
        </w:rPr>
        <w:t>The evidence clearly shows Complainant’s billing statements and recorded consumptions for the front apartment fluctuated because the front apartment’s meter included electrical consumption from the rear apartment, where Complainant resides.  Therefore, i</w:t>
      </w:r>
      <w:r w:rsidR="00F022CE">
        <w:rPr>
          <w:sz w:val="24"/>
          <w:szCs w:val="24"/>
        </w:rPr>
        <w:t>n</w:t>
      </w:r>
      <w:r w:rsidRPr="00B73D10">
        <w:rPr>
          <w:sz w:val="24"/>
          <w:szCs w:val="24"/>
        </w:rPr>
        <w:t xml:space="preserve"> the ordering paragraphs to follow, the high bill complaint is </w:t>
      </w:r>
      <w:r w:rsidR="00F022CE">
        <w:rPr>
          <w:sz w:val="24"/>
          <w:szCs w:val="24"/>
        </w:rPr>
        <w:t>denied</w:t>
      </w:r>
      <w:r>
        <w:rPr>
          <w:sz w:val="24"/>
          <w:szCs w:val="24"/>
        </w:rPr>
        <w:t xml:space="preserve">.  </w:t>
      </w:r>
    </w:p>
    <w:p w:rsidR="00891398" w:rsidRPr="00B73D10" w:rsidRDefault="00891398" w:rsidP="00891398">
      <w:pPr>
        <w:rPr>
          <w:bCs/>
          <w:iCs/>
          <w:color w:val="000000"/>
          <w:sz w:val="24"/>
          <w:szCs w:val="24"/>
        </w:rPr>
      </w:pPr>
    </w:p>
    <w:p w:rsidR="006C2C49" w:rsidRPr="00B73D10" w:rsidRDefault="006C2C49" w:rsidP="006C2C49">
      <w:pPr>
        <w:pStyle w:val="Heading1"/>
        <w:spacing w:line="360" w:lineRule="auto"/>
        <w:rPr>
          <w:sz w:val="24"/>
          <w:szCs w:val="24"/>
        </w:rPr>
      </w:pPr>
      <w:r w:rsidRPr="00B73D10">
        <w:rPr>
          <w:sz w:val="24"/>
          <w:szCs w:val="24"/>
        </w:rPr>
        <w:t>CONCLUSIONS OF LAW</w:t>
      </w:r>
    </w:p>
    <w:p w:rsidR="006C2C49" w:rsidRPr="00B73D10" w:rsidRDefault="006C2C49" w:rsidP="006C2C49">
      <w:pPr>
        <w:rPr>
          <w:sz w:val="24"/>
          <w:szCs w:val="24"/>
        </w:rPr>
      </w:pPr>
    </w:p>
    <w:p w:rsidR="006C2C49" w:rsidRPr="00B73D10" w:rsidRDefault="006C2C49" w:rsidP="006C2C49">
      <w:pPr>
        <w:numPr>
          <w:ilvl w:val="0"/>
          <w:numId w:val="2"/>
        </w:numPr>
        <w:tabs>
          <w:tab w:val="clear" w:pos="1440"/>
          <w:tab w:val="num" w:pos="2160"/>
        </w:tabs>
        <w:ind w:left="0" w:firstLine="1440"/>
        <w:rPr>
          <w:sz w:val="24"/>
          <w:szCs w:val="24"/>
        </w:rPr>
      </w:pPr>
      <w:r w:rsidRPr="00B73D10">
        <w:rPr>
          <w:sz w:val="24"/>
          <w:szCs w:val="24"/>
        </w:rPr>
        <w:t>This Commission has jurisdiction over the parties to and subject matter of this case.  66 Pa. C.S. §701.</w:t>
      </w:r>
    </w:p>
    <w:p w:rsidR="006C2C49" w:rsidRPr="00B73D10" w:rsidRDefault="006C2C49" w:rsidP="006C2C49">
      <w:pPr>
        <w:rPr>
          <w:sz w:val="24"/>
          <w:szCs w:val="24"/>
        </w:rPr>
      </w:pPr>
    </w:p>
    <w:p w:rsidR="006C2C49" w:rsidRDefault="006C2C49" w:rsidP="006C2C49">
      <w:pPr>
        <w:numPr>
          <w:ilvl w:val="0"/>
          <w:numId w:val="2"/>
        </w:numPr>
        <w:tabs>
          <w:tab w:val="clear" w:pos="1440"/>
          <w:tab w:val="left" w:pos="0"/>
        </w:tabs>
        <w:ind w:left="0" w:firstLine="1440"/>
        <w:rPr>
          <w:sz w:val="24"/>
          <w:szCs w:val="24"/>
        </w:rPr>
      </w:pPr>
      <w:r w:rsidRPr="00B73D10">
        <w:rPr>
          <w:sz w:val="24"/>
          <w:szCs w:val="24"/>
        </w:rPr>
        <w:t>Complainant has the burden of proving Respondent is not providing reasonable and adequate service.  66 Pa. C.S.A. §332(a).</w:t>
      </w:r>
    </w:p>
    <w:p w:rsidR="006C2C49" w:rsidRDefault="006C2C49" w:rsidP="006C2C49">
      <w:pPr>
        <w:pStyle w:val="ListParagraph"/>
        <w:rPr>
          <w:sz w:val="24"/>
          <w:szCs w:val="24"/>
        </w:rPr>
      </w:pPr>
    </w:p>
    <w:p w:rsidR="006C2C49" w:rsidRPr="00B73D10" w:rsidRDefault="006C2C49" w:rsidP="006C2C49">
      <w:pPr>
        <w:tabs>
          <w:tab w:val="left" w:pos="0"/>
        </w:tabs>
        <w:rPr>
          <w:sz w:val="24"/>
          <w:szCs w:val="24"/>
        </w:rPr>
      </w:pPr>
      <w:r w:rsidRPr="00B73D10">
        <w:rPr>
          <w:sz w:val="24"/>
          <w:szCs w:val="24"/>
        </w:rPr>
        <w:tab/>
      </w:r>
      <w:r w:rsidRPr="00B73D10">
        <w:rPr>
          <w:sz w:val="24"/>
          <w:szCs w:val="24"/>
        </w:rPr>
        <w:tab/>
        <w:t>3.</w:t>
      </w:r>
      <w:r w:rsidRPr="00B73D10">
        <w:rPr>
          <w:sz w:val="24"/>
          <w:szCs w:val="24"/>
        </w:rPr>
        <w:tab/>
        <w:t xml:space="preserve">Complainant </w:t>
      </w:r>
      <w:r w:rsidR="00F022CE">
        <w:rPr>
          <w:sz w:val="24"/>
          <w:szCs w:val="24"/>
        </w:rPr>
        <w:t xml:space="preserve">did not </w:t>
      </w:r>
      <w:r w:rsidRPr="00B73D10">
        <w:rPr>
          <w:sz w:val="24"/>
          <w:szCs w:val="24"/>
        </w:rPr>
        <w:t>me</w:t>
      </w:r>
      <w:r w:rsidR="00F022CE">
        <w:rPr>
          <w:sz w:val="24"/>
          <w:szCs w:val="24"/>
        </w:rPr>
        <w:t>e</w:t>
      </w:r>
      <w:r w:rsidRPr="00B73D10">
        <w:rPr>
          <w:sz w:val="24"/>
          <w:szCs w:val="24"/>
        </w:rPr>
        <w:t xml:space="preserve">t the burden of proving he was overcharged for electric utility service provided by Respondent from </w:t>
      </w:r>
      <w:r w:rsidR="009D72E7">
        <w:rPr>
          <w:sz w:val="24"/>
          <w:szCs w:val="24"/>
        </w:rPr>
        <w:t xml:space="preserve">2010 </w:t>
      </w:r>
      <w:r w:rsidR="00BD0AF8">
        <w:rPr>
          <w:sz w:val="24"/>
          <w:szCs w:val="24"/>
        </w:rPr>
        <w:t>through the present</w:t>
      </w:r>
      <w:r w:rsidRPr="00B73D10">
        <w:rPr>
          <w:sz w:val="24"/>
          <w:szCs w:val="24"/>
        </w:rPr>
        <w:t xml:space="preserve">.  </w:t>
      </w:r>
      <w:proofErr w:type="gramStart"/>
      <w:r w:rsidRPr="00BD0AF8">
        <w:rPr>
          <w:sz w:val="24"/>
          <w:szCs w:val="24"/>
          <w:u w:val="single"/>
        </w:rPr>
        <w:t>Waldron v. Philadelphia Electric Company</w:t>
      </w:r>
      <w:r w:rsidR="00BD0AF8">
        <w:rPr>
          <w:sz w:val="24"/>
          <w:szCs w:val="24"/>
        </w:rPr>
        <w:t xml:space="preserve">, 54 Pa. P.U.C. 98 (1980), and </w:t>
      </w:r>
      <w:proofErr w:type="spellStart"/>
      <w:r w:rsidR="00BD0AF8" w:rsidRPr="00B73D10">
        <w:rPr>
          <w:sz w:val="24"/>
          <w:szCs w:val="24"/>
          <w:u w:val="single"/>
        </w:rPr>
        <w:t>Charisse</w:t>
      </w:r>
      <w:proofErr w:type="spellEnd"/>
      <w:r w:rsidR="00BD0AF8" w:rsidRPr="00B73D10">
        <w:rPr>
          <w:sz w:val="24"/>
          <w:szCs w:val="24"/>
          <w:u w:val="single"/>
        </w:rPr>
        <w:t xml:space="preserve"> M. Bennett v.</w:t>
      </w:r>
      <w:proofErr w:type="gramEnd"/>
      <w:r w:rsidR="00BD0AF8" w:rsidRPr="00B73D10">
        <w:rPr>
          <w:sz w:val="24"/>
          <w:szCs w:val="24"/>
          <w:u w:val="single"/>
        </w:rPr>
        <w:t xml:space="preserve"> The Peoples Natural Gas Company, LLC</w:t>
      </w:r>
      <w:r w:rsidR="00BD0AF8" w:rsidRPr="00B73D10">
        <w:rPr>
          <w:sz w:val="24"/>
          <w:szCs w:val="24"/>
        </w:rPr>
        <w:t>, Docket No. C-2009-2122979 (Opinion and Order entered October 13, 2010)</w:t>
      </w:r>
      <w:r w:rsidR="00BD0AF8">
        <w:rPr>
          <w:sz w:val="24"/>
          <w:szCs w:val="24"/>
        </w:rPr>
        <w:t>.</w:t>
      </w:r>
    </w:p>
    <w:p w:rsidR="006C2C49" w:rsidRDefault="006C2C49" w:rsidP="00777FF7">
      <w:pPr>
        <w:tabs>
          <w:tab w:val="left" w:pos="0"/>
        </w:tabs>
        <w:spacing w:line="240" w:lineRule="auto"/>
        <w:rPr>
          <w:sz w:val="24"/>
          <w:szCs w:val="24"/>
        </w:rPr>
      </w:pPr>
    </w:p>
    <w:p w:rsidR="00777FF7" w:rsidRPr="00B73D10" w:rsidRDefault="00777FF7" w:rsidP="00777FF7">
      <w:pPr>
        <w:tabs>
          <w:tab w:val="left" w:pos="0"/>
        </w:tabs>
        <w:spacing w:line="240" w:lineRule="auto"/>
        <w:rPr>
          <w:sz w:val="24"/>
          <w:szCs w:val="24"/>
        </w:rPr>
      </w:pPr>
    </w:p>
    <w:p w:rsidR="006C2C49" w:rsidRDefault="006C2C49" w:rsidP="00A314EC">
      <w:pPr>
        <w:spacing w:line="240" w:lineRule="auto"/>
        <w:jc w:val="center"/>
        <w:rPr>
          <w:b/>
          <w:sz w:val="24"/>
          <w:szCs w:val="24"/>
          <w:u w:val="single"/>
        </w:rPr>
      </w:pPr>
      <w:r w:rsidRPr="00777FF7">
        <w:rPr>
          <w:b/>
          <w:sz w:val="24"/>
          <w:szCs w:val="24"/>
          <w:u w:val="single"/>
        </w:rPr>
        <w:t>ORDER</w:t>
      </w:r>
    </w:p>
    <w:p w:rsidR="00777FF7" w:rsidRDefault="00777FF7" w:rsidP="00A314EC">
      <w:pPr>
        <w:spacing w:line="240" w:lineRule="auto"/>
        <w:jc w:val="center"/>
        <w:rPr>
          <w:b/>
          <w:sz w:val="24"/>
          <w:szCs w:val="24"/>
          <w:u w:val="single"/>
        </w:rPr>
      </w:pPr>
    </w:p>
    <w:p w:rsidR="00777FF7" w:rsidRPr="00777FF7" w:rsidRDefault="00777FF7" w:rsidP="00A314EC">
      <w:pPr>
        <w:spacing w:line="240" w:lineRule="auto"/>
        <w:jc w:val="center"/>
        <w:rPr>
          <w:b/>
          <w:sz w:val="24"/>
          <w:szCs w:val="24"/>
          <w:u w:val="single"/>
        </w:rPr>
      </w:pPr>
    </w:p>
    <w:p w:rsidR="006C2C49" w:rsidRPr="00B73D10" w:rsidRDefault="006C2C49" w:rsidP="00330277">
      <w:pPr>
        <w:rPr>
          <w:sz w:val="24"/>
          <w:szCs w:val="24"/>
        </w:rPr>
      </w:pPr>
      <w:r w:rsidRPr="00B73D10">
        <w:rPr>
          <w:sz w:val="24"/>
          <w:szCs w:val="24"/>
        </w:rPr>
        <w:tab/>
      </w:r>
      <w:r w:rsidRPr="00B73D10">
        <w:rPr>
          <w:sz w:val="24"/>
          <w:szCs w:val="24"/>
        </w:rPr>
        <w:tab/>
        <w:t>THEREFORE,</w:t>
      </w:r>
    </w:p>
    <w:p w:rsidR="00330277" w:rsidRDefault="006C2C49" w:rsidP="00F5423F">
      <w:pPr>
        <w:spacing w:line="240" w:lineRule="auto"/>
        <w:rPr>
          <w:sz w:val="24"/>
          <w:szCs w:val="24"/>
        </w:rPr>
      </w:pPr>
      <w:r w:rsidRPr="00B73D10">
        <w:rPr>
          <w:sz w:val="24"/>
          <w:szCs w:val="24"/>
        </w:rPr>
        <w:tab/>
      </w:r>
      <w:r w:rsidRPr="00B73D10">
        <w:rPr>
          <w:sz w:val="24"/>
          <w:szCs w:val="24"/>
        </w:rPr>
        <w:tab/>
      </w:r>
    </w:p>
    <w:p w:rsidR="006C2C49" w:rsidRDefault="006C2C49" w:rsidP="00330277">
      <w:pPr>
        <w:ind w:left="720" w:firstLine="720"/>
        <w:rPr>
          <w:sz w:val="24"/>
          <w:szCs w:val="24"/>
        </w:rPr>
      </w:pPr>
      <w:r w:rsidRPr="00B73D10">
        <w:rPr>
          <w:sz w:val="24"/>
          <w:szCs w:val="24"/>
        </w:rPr>
        <w:t>IT IS ORDERED:</w:t>
      </w:r>
    </w:p>
    <w:p w:rsidR="00F5423F" w:rsidRDefault="00F5423F" w:rsidP="00F5423F">
      <w:pPr>
        <w:spacing w:line="240" w:lineRule="auto"/>
        <w:rPr>
          <w:sz w:val="24"/>
          <w:szCs w:val="24"/>
        </w:rPr>
      </w:pPr>
    </w:p>
    <w:p w:rsidR="006C2C49" w:rsidRPr="00B73D10" w:rsidRDefault="006C2C49" w:rsidP="00891398">
      <w:pPr>
        <w:rPr>
          <w:sz w:val="24"/>
          <w:szCs w:val="24"/>
        </w:rPr>
      </w:pPr>
      <w:r w:rsidRPr="00B73D10">
        <w:rPr>
          <w:sz w:val="24"/>
          <w:szCs w:val="24"/>
        </w:rPr>
        <w:tab/>
      </w:r>
      <w:r w:rsidRPr="00B73D10">
        <w:rPr>
          <w:sz w:val="24"/>
          <w:szCs w:val="24"/>
        </w:rPr>
        <w:tab/>
        <w:t xml:space="preserve">That the complaint of </w:t>
      </w:r>
      <w:r w:rsidR="00F022CE" w:rsidRPr="00F5423F">
        <w:rPr>
          <w:sz w:val="24"/>
          <w:szCs w:val="24"/>
        </w:rPr>
        <w:t xml:space="preserve">Glenn F. </w:t>
      </w:r>
      <w:proofErr w:type="spellStart"/>
      <w:r w:rsidR="00F022CE" w:rsidRPr="00F5423F">
        <w:rPr>
          <w:sz w:val="24"/>
          <w:szCs w:val="24"/>
        </w:rPr>
        <w:t>Borneman</w:t>
      </w:r>
      <w:proofErr w:type="spellEnd"/>
      <w:r w:rsidRPr="00F5423F">
        <w:rPr>
          <w:sz w:val="24"/>
          <w:szCs w:val="24"/>
        </w:rPr>
        <w:t xml:space="preserve"> versus </w:t>
      </w:r>
      <w:r w:rsidR="00F022CE" w:rsidRPr="00F5423F">
        <w:rPr>
          <w:sz w:val="24"/>
          <w:szCs w:val="24"/>
        </w:rPr>
        <w:t>PECO Energy</w:t>
      </w:r>
      <w:r w:rsidRPr="00F5423F">
        <w:rPr>
          <w:sz w:val="24"/>
          <w:szCs w:val="24"/>
        </w:rPr>
        <w:t xml:space="preserve"> Company</w:t>
      </w:r>
      <w:r w:rsidRPr="00B73D10">
        <w:rPr>
          <w:sz w:val="24"/>
          <w:szCs w:val="24"/>
        </w:rPr>
        <w:t xml:space="preserve"> at Docket No. </w:t>
      </w:r>
      <w:r w:rsidR="00F022CE">
        <w:rPr>
          <w:sz w:val="24"/>
          <w:szCs w:val="24"/>
        </w:rPr>
        <w:t>F</w:t>
      </w:r>
      <w:r w:rsidR="00BD0AF8">
        <w:rPr>
          <w:sz w:val="24"/>
          <w:szCs w:val="24"/>
        </w:rPr>
        <w:t>-2011-</w:t>
      </w:r>
      <w:r w:rsidR="00F022CE">
        <w:rPr>
          <w:sz w:val="24"/>
          <w:szCs w:val="24"/>
        </w:rPr>
        <w:t>2219165</w:t>
      </w:r>
      <w:r w:rsidRPr="00B73D10">
        <w:rPr>
          <w:sz w:val="24"/>
          <w:szCs w:val="24"/>
        </w:rPr>
        <w:t xml:space="preserve"> is hereby </w:t>
      </w:r>
      <w:r w:rsidR="00F022CE">
        <w:rPr>
          <w:sz w:val="24"/>
          <w:szCs w:val="24"/>
        </w:rPr>
        <w:t>denied</w:t>
      </w:r>
      <w:r w:rsidRPr="00B73D10">
        <w:rPr>
          <w:sz w:val="24"/>
          <w:szCs w:val="24"/>
        </w:rPr>
        <w:t>.</w:t>
      </w:r>
    </w:p>
    <w:p w:rsidR="006C2C49" w:rsidRDefault="006C2C49" w:rsidP="00777FF7">
      <w:pPr>
        <w:spacing w:line="240" w:lineRule="auto"/>
        <w:rPr>
          <w:sz w:val="24"/>
          <w:szCs w:val="24"/>
        </w:rPr>
      </w:pPr>
    </w:p>
    <w:p w:rsidR="00A314EC" w:rsidRPr="00B73D10" w:rsidRDefault="00A314EC" w:rsidP="00A314EC">
      <w:pPr>
        <w:spacing w:line="240" w:lineRule="auto"/>
        <w:rPr>
          <w:sz w:val="24"/>
          <w:szCs w:val="24"/>
        </w:rPr>
      </w:pPr>
    </w:p>
    <w:p w:rsidR="006C2C49" w:rsidRPr="00B73D10" w:rsidRDefault="006C2C49" w:rsidP="006C2C49">
      <w:pPr>
        <w:spacing w:line="240" w:lineRule="auto"/>
        <w:rPr>
          <w:sz w:val="24"/>
          <w:szCs w:val="24"/>
          <w:u w:val="single"/>
        </w:rPr>
      </w:pPr>
      <w:r w:rsidRPr="00B73D10">
        <w:rPr>
          <w:sz w:val="24"/>
          <w:szCs w:val="24"/>
        </w:rPr>
        <w:t xml:space="preserve">Date:  </w:t>
      </w:r>
      <w:r w:rsidR="009D72E7">
        <w:rPr>
          <w:sz w:val="24"/>
          <w:szCs w:val="24"/>
          <w:u w:val="single"/>
        </w:rPr>
        <w:t>March 29</w:t>
      </w:r>
      <w:r w:rsidR="00BD0AF8">
        <w:rPr>
          <w:sz w:val="24"/>
          <w:szCs w:val="24"/>
          <w:u w:val="single"/>
        </w:rPr>
        <w:t>, 2012</w:t>
      </w:r>
      <w:r w:rsidRPr="00B73D10">
        <w:rPr>
          <w:sz w:val="24"/>
          <w:szCs w:val="24"/>
        </w:rPr>
        <w:tab/>
      </w:r>
      <w:r w:rsidRPr="00B73D10">
        <w:rPr>
          <w:sz w:val="24"/>
          <w:szCs w:val="24"/>
        </w:rPr>
        <w:tab/>
      </w:r>
      <w:r w:rsidRPr="00B73D10">
        <w:rPr>
          <w:sz w:val="24"/>
          <w:szCs w:val="24"/>
        </w:rPr>
        <w:tab/>
      </w:r>
      <w:r w:rsidRPr="00B73D10">
        <w:rPr>
          <w:sz w:val="24"/>
          <w:szCs w:val="24"/>
        </w:rPr>
        <w:tab/>
      </w:r>
      <w:r w:rsidR="00F5423F">
        <w:rPr>
          <w:sz w:val="24"/>
          <w:szCs w:val="24"/>
        </w:rPr>
        <w:tab/>
      </w:r>
      <w:r w:rsidRPr="00B73D10">
        <w:rPr>
          <w:sz w:val="24"/>
          <w:szCs w:val="24"/>
          <w:u w:val="single"/>
        </w:rPr>
        <w:t xml:space="preserve">                                                       </w:t>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t>Katrina L. Dunderdale</w:t>
      </w:r>
    </w:p>
    <w:p w:rsidR="00DE2949" w:rsidRPr="00FB448C" w:rsidRDefault="006C2C49" w:rsidP="009D72E7">
      <w:pPr>
        <w:spacing w:line="240" w:lineRule="auto"/>
        <w:rPr>
          <w:sz w:val="24"/>
          <w:szCs w:val="24"/>
        </w:rPr>
      </w:pP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00A314EC">
        <w:rPr>
          <w:sz w:val="24"/>
          <w:szCs w:val="24"/>
        </w:rPr>
        <w:tab/>
      </w:r>
      <w:r w:rsidRPr="00B73D10">
        <w:rPr>
          <w:sz w:val="24"/>
          <w:szCs w:val="24"/>
        </w:rPr>
        <w:t>Administrative Law Judge</w:t>
      </w:r>
    </w:p>
    <w:sectPr w:rsidR="00DE2949" w:rsidRPr="00FB448C" w:rsidSect="00A314EC">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897" w:rsidRDefault="00A73897">
      <w:r>
        <w:separator/>
      </w:r>
    </w:p>
  </w:endnote>
  <w:endnote w:type="continuationSeparator" w:id="0">
    <w:p w:rsidR="00A73897" w:rsidRDefault="00A73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4B" w:rsidRDefault="00BF7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F7A4B" w:rsidRDefault="00BF7A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4B" w:rsidRPr="002730A4" w:rsidRDefault="00BF7A4B">
    <w:pPr>
      <w:pStyle w:val="Footer"/>
      <w:framePr w:wrap="around" w:vAnchor="text" w:hAnchor="margin" w:xAlign="center" w:y="1"/>
      <w:rPr>
        <w:rStyle w:val="PageNumber"/>
        <w:sz w:val="24"/>
        <w:szCs w:val="24"/>
      </w:rPr>
    </w:pPr>
    <w:r w:rsidRPr="002730A4">
      <w:rPr>
        <w:rStyle w:val="PageNumber"/>
        <w:sz w:val="24"/>
        <w:szCs w:val="24"/>
      </w:rPr>
      <w:fldChar w:fldCharType="begin"/>
    </w:r>
    <w:r w:rsidRPr="002730A4">
      <w:rPr>
        <w:rStyle w:val="PageNumber"/>
        <w:sz w:val="24"/>
        <w:szCs w:val="24"/>
      </w:rPr>
      <w:instrText xml:space="preserve">PAGE  </w:instrText>
    </w:r>
    <w:r w:rsidRPr="002730A4">
      <w:rPr>
        <w:rStyle w:val="PageNumber"/>
        <w:sz w:val="24"/>
        <w:szCs w:val="24"/>
      </w:rPr>
      <w:fldChar w:fldCharType="separate"/>
    </w:r>
    <w:r w:rsidR="0091573C">
      <w:rPr>
        <w:rStyle w:val="PageNumber"/>
        <w:noProof/>
        <w:sz w:val="24"/>
        <w:szCs w:val="24"/>
      </w:rPr>
      <w:t>9</w:t>
    </w:r>
    <w:r w:rsidRPr="002730A4">
      <w:rPr>
        <w:rStyle w:val="PageNumber"/>
        <w:sz w:val="24"/>
        <w:szCs w:val="24"/>
      </w:rPr>
      <w:fldChar w:fldCharType="end"/>
    </w:r>
  </w:p>
  <w:p w:rsidR="00BF7A4B" w:rsidRDefault="00BF7A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897" w:rsidRDefault="00A73897">
      <w:r>
        <w:separator/>
      </w:r>
    </w:p>
  </w:footnote>
  <w:footnote w:type="continuationSeparator" w:id="0">
    <w:p w:rsidR="00A73897" w:rsidRDefault="00A73897">
      <w:r>
        <w:continuationSeparator/>
      </w:r>
    </w:p>
  </w:footnote>
  <w:footnote w:id="1">
    <w:p w:rsidR="00BF7A4B" w:rsidRDefault="00BF7A4B" w:rsidP="000A34DF">
      <w:pPr>
        <w:pStyle w:val="FootnoteText"/>
        <w:ind w:firstLine="720"/>
      </w:pPr>
      <w:r>
        <w:rPr>
          <w:rStyle w:val="FootnoteReference"/>
        </w:rPr>
        <w:footnoteRef/>
      </w:r>
      <w:r>
        <w:t xml:space="preserve"> </w:t>
      </w:r>
      <w:r>
        <w:tab/>
      </w:r>
      <w:proofErr w:type="gramStart"/>
      <w:r w:rsidRPr="00EC0D25">
        <w:t>Section 332(a) of the Public Utility Code, 66 Pa. C.S. §332(a).</w:t>
      </w:r>
      <w:proofErr w:type="gramEnd"/>
    </w:p>
    <w:p w:rsidR="00BF7A4B" w:rsidRPr="00EC0D25" w:rsidRDefault="00BF7A4B" w:rsidP="000A34DF">
      <w:pPr>
        <w:pStyle w:val="FootnoteText"/>
        <w:ind w:firstLine="720"/>
      </w:pPr>
    </w:p>
  </w:footnote>
  <w:footnote w:id="2">
    <w:p w:rsidR="00BF7A4B" w:rsidRDefault="00BF7A4B" w:rsidP="000A34DF">
      <w:pPr>
        <w:pStyle w:val="FootnoteText"/>
        <w:ind w:firstLine="720"/>
      </w:pPr>
      <w:r>
        <w:rPr>
          <w:rStyle w:val="FootnoteReference"/>
        </w:rPr>
        <w:footnoteRef/>
      </w:r>
      <w:r>
        <w:t xml:space="preserve"> </w:t>
      </w:r>
      <w:r>
        <w:tab/>
      </w:r>
      <w:proofErr w:type="gramStart"/>
      <w:r w:rsidRPr="0058651A">
        <w:rPr>
          <w:spacing w:val="-3"/>
          <w:u w:val="single"/>
        </w:rPr>
        <w:t>Patterson v. Bell Telephone Company of Pennsylvania</w:t>
      </w:r>
      <w:r w:rsidRPr="0058651A">
        <w:rPr>
          <w:spacing w:val="-3"/>
        </w:rPr>
        <w:t xml:space="preserve">, 72 PA PUC 196 (1990), </w:t>
      </w:r>
      <w:r w:rsidRPr="0058651A">
        <w:rPr>
          <w:spacing w:val="-3"/>
          <w:u w:val="single"/>
        </w:rPr>
        <w:t>Feinstein v. Philadelphia Suburban Water Company</w:t>
      </w:r>
      <w:r w:rsidRPr="0058651A">
        <w:rPr>
          <w:spacing w:val="-3"/>
        </w:rPr>
        <w:t>, 50 PA PUC 300 (1976).</w:t>
      </w:r>
      <w:proofErr w:type="gramEnd"/>
      <w:r w:rsidRPr="00D27E1B">
        <w:rPr>
          <w:spacing w:val="-3"/>
          <w:sz w:val="24"/>
          <w:szCs w:val="24"/>
        </w:rPr>
        <w:t xml:space="preserve">  </w:t>
      </w:r>
    </w:p>
  </w:footnote>
  <w:footnote w:id="3">
    <w:p w:rsidR="00BF7A4B" w:rsidRDefault="00BF7A4B" w:rsidP="000A34DF">
      <w:pPr>
        <w:pStyle w:val="FootnoteText"/>
        <w:ind w:firstLine="720"/>
        <w:rPr>
          <w:spacing w:val="-3"/>
        </w:rPr>
      </w:pPr>
      <w:r>
        <w:rPr>
          <w:rStyle w:val="FootnoteReference"/>
        </w:rPr>
        <w:footnoteRef/>
      </w:r>
      <w:r>
        <w:t xml:space="preserve"> </w:t>
      </w:r>
      <w:r>
        <w:tab/>
      </w:r>
      <w:r w:rsidRPr="00EC0D25">
        <w:rPr>
          <w:spacing w:val="-3"/>
          <w:u w:val="single"/>
        </w:rPr>
        <w:t xml:space="preserve">Samuel J. </w:t>
      </w:r>
      <w:proofErr w:type="spellStart"/>
      <w:r w:rsidRPr="00EC0D25">
        <w:rPr>
          <w:spacing w:val="-3"/>
          <w:u w:val="single"/>
        </w:rPr>
        <w:t>Lansberry</w:t>
      </w:r>
      <w:proofErr w:type="spellEnd"/>
      <w:r w:rsidRPr="00EC0D25">
        <w:rPr>
          <w:spacing w:val="-3"/>
          <w:u w:val="single"/>
        </w:rPr>
        <w:t xml:space="preserve">, Inc. v. Pa. Public Utility </w:t>
      </w:r>
      <w:proofErr w:type="spellStart"/>
      <w:r w:rsidRPr="00EC0D25">
        <w:rPr>
          <w:spacing w:val="-3"/>
          <w:u w:val="single"/>
        </w:rPr>
        <w:t>Comm’n</w:t>
      </w:r>
      <w:proofErr w:type="spellEnd"/>
      <w:r w:rsidRPr="00EC0D25">
        <w:rPr>
          <w:spacing w:val="-3"/>
        </w:rPr>
        <w:t>, 134 Pa.</w:t>
      </w:r>
      <w:r w:rsidR="004D0218">
        <w:rPr>
          <w:spacing w:val="-3"/>
        </w:rPr>
        <w:t xml:space="preserve"> </w:t>
      </w:r>
      <w:proofErr w:type="spellStart"/>
      <w:r w:rsidRPr="00EC0D25">
        <w:rPr>
          <w:spacing w:val="-3"/>
        </w:rPr>
        <w:t>Commw</w:t>
      </w:r>
      <w:proofErr w:type="spellEnd"/>
      <w:r w:rsidRPr="00EC0D25">
        <w:rPr>
          <w:spacing w:val="-3"/>
        </w:rPr>
        <w:t xml:space="preserve">. </w:t>
      </w:r>
      <w:proofErr w:type="gramStart"/>
      <w:r w:rsidRPr="00EC0D25">
        <w:rPr>
          <w:spacing w:val="-3"/>
        </w:rPr>
        <w:t xml:space="preserve">218; 221-222, 578 A.2d 600; 602 (1990), </w:t>
      </w:r>
      <w:proofErr w:type="spellStart"/>
      <w:r w:rsidRPr="00EC0D25">
        <w:rPr>
          <w:i/>
          <w:iCs/>
          <w:spacing w:val="-3"/>
        </w:rPr>
        <w:t>alloc</w:t>
      </w:r>
      <w:proofErr w:type="spellEnd"/>
      <w:r w:rsidRPr="00EC0D25">
        <w:rPr>
          <w:i/>
          <w:iCs/>
          <w:spacing w:val="-3"/>
        </w:rPr>
        <w:t>.</w:t>
      </w:r>
      <w:proofErr w:type="gramEnd"/>
      <w:r w:rsidRPr="00EC0D25">
        <w:rPr>
          <w:i/>
          <w:iCs/>
          <w:spacing w:val="-3"/>
        </w:rPr>
        <w:t xml:space="preserve"> </w:t>
      </w:r>
      <w:proofErr w:type="gramStart"/>
      <w:r w:rsidRPr="00EC0D25">
        <w:rPr>
          <w:i/>
          <w:iCs/>
          <w:spacing w:val="-3"/>
        </w:rPr>
        <w:t>den</w:t>
      </w:r>
      <w:proofErr w:type="gramEnd"/>
      <w:r w:rsidRPr="00EC0D25">
        <w:rPr>
          <w:spacing w:val="-3"/>
        </w:rPr>
        <w:t xml:space="preserve">. </w:t>
      </w:r>
      <w:proofErr w:type="gramStart"/>
      <w:r w:rsidRPr="00EC0D25">
        <w:rPr>
          <w:spacing w:val="-3"/>
        </w:rPr>
        <w:t>in</w:t>
      </w:r>
      <w:proofErr w:type="gramEnd"/>
      <w:r w:rsidRPr="00EC0D25">
        <w:rPr>
          <w:spacing w:val="-3"/>
        </w:rPr>
        <w:t xml:space="preserve"> 602 A.2d 863 (1992)</w:t>
      </w:r>
      <w:r>
        <w:rPr>
          <w:spacing w:val="-3"/>
        </w:rPr>
        <w:t>.</w:t>
      </w:r>
    </w:p>
    <w:p w:rsidR="00897BB2" w:rsidRPr="00EC0D25" w:rsidRDefault="00897BB2" w:rsidP="000A34DF">
      <w:pPr>
        <w:pStyle w:val="FootnoteText"/>
        <w:ind w:firstLine="720"/>
      </w:pPr>
    </w:p>
  </w:footnote>
  <w:footnote w:id="4">
    <w:p w:rsidR="00BF7A4B" w:rsidRPr="00A964A8" w:rsidRDefault="00BF7A4B" w:rsidP="000A34DF">
      <w:pPr>
        <w:tabs>
          <w:tab w:val="left" w:pos="-1440"/>
          <w:tab w:val="left" w:pos="-720"/>
        </w:tabs>
        <w:suppressAutoHyphens/>
        <w:spacing w:line="240" w:lineRule="auto"/>
        <w:rPr>
          <w:sz w:val="24"/>
          <w:szCs w:val="24"/>
        </w:rPr>
      </w:pPr>
      <w:r>
        <w:tab/>
      </w:r>
      <w:r w:rsidRPr="004D0218">
        <w:rPr>
          <w:rStyle w:val="FootnoteReference"/>
          <w:sz w:val="20"/>
        </w:rPr>
        <w:footnoteRef/>
      </w:r>
      <w:r w:rsidRPr="004D0218">
        <w:rPr>
          <w:sz w:val="20"/>
        </w:rPr>
        <w:t xml:space="preserve"> </w:t>
      </w:r>
      <w:r>
        <w:tab/>
      </w:r>
      <w:proofErr w:type="gramStart"/>
      <w:r w:rsidRPr="009828D3">
        <w:rPr>
          <w:spacing w:val="-3"/>
          <w:sz w:val="20"/>
          <w:u w:val="single"/>
        </w:rPr>
        <w:t>Se-Ling Hosiery v. Margulies</w:t>
      </w:r>
      <w:r w:rsidRPr="009828D3">
        <w:rPr>
          <w:spacing w:val="-3"/>
          <w:sz w:val="20"/>
        </w:rPr>
        <w:t>, 364 Pa. 45, 70 A.2d 854 (1950).</w:t>
      </w:r>
      <w:proofErr w:type="gramEnd"/>
      <w:r w:rsidRPr="009828D3">
        <w:rPr>
          <w:spacing w:val="-3"/>
          <w:sz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F6C5E"/>
    <w:multiLevelType w:val="hybridMultilevel"/>
    <w:tmpl w:val="B4C45A8E"/>
    <w:lvl w:ilvl="0" w:tplc="9AECC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83581A"/>
    <w:multiLevelType w:val="singleLevel"/>
    <w:tmpl w:val="0409000F"/>
    <w:lvl w:ilvl="0">
      <w:start w:val="1"/>
      <w:numFmt w:val="decimal"/>
      <w:lvlText w:val="%1."/>
      <w:lvlJc w:val="left"/>
      <w:pPr>
        <w:tabs>
          <w:tab w:val="num" w:pos="1980"/>
        </w:tabs>
        <w:ind w:left="1980" w:hanging="360"/>
      </w:pPr>
    </w:lvl>
  </w:abstractNum>
  <w:abstractNum w:abstractNumId="2">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3">
    <w:nsid w:val="360C2495"/>
    <w:multiLevelType w:val="hybridMultilevel"/>
    <w:tmpl w:val="B360E9C6"/>
    <w:lvl w:ilvl="0" w:tplc="480097F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5">
    <w:nsid w:val="5CE16C58"/>
    <w:multiLevelType w:val="hybridMultilevel"/>
    <w:tmpl w:val="78188B60"/>
    <w:lvl w:ilvl="0" w:tplc="C4A689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7">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8">
    <w:nsid w:val="71483690"/>
    <w:multiLevelType w:val="hybridMultilevel"/>
    <w:tmpl w:val="2E8E8656"/>
    <w:lvl w:ilvl="0" w:tplc="E1D693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79E4175"/>
    <w:multiLevelType w:val="singleLevel"/>
    <w:tmpl w:val="E6CCE61E"/>
    <w:lvl w:ilvl="0">
      <w:start w:val="2"/>
      <w:numFmt w:val="lowerLetter"/>
      <w:lvlText w:val="(%1)"/>
      <w:lvlJc w:val="left"/>
      <w:pPr>
        <w:tabs>
          <w:tab w:val="num" w:pos="360"/>
        </w:tabs>
        <w:ind w:left="360" w:hanging="360"/>
      </w:pPr>
      <w:rPr>
        <w:rFonts w:hint="default"/>
      </w:rPr>
    </w:lvl>
  </w:abstractNum>
  <w:abstractNum w:abstractNumId="10">
    <w:nsid w:val="7AE27F73"/>
    <w:multiLevelType w:val="hybridMultilevel"/>
    <w:tmpl w:val="EEAE4ADA"/>
    <w:lvl w:ilvl="0" w:tplc="FE1C3D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7"/>
  </w:num>
  <w:num w:numId="3">
    <w:abstractNumId w:val="2"/>
  </w:num>
  <w:num w:numId="4">
    <w:abstractNumId w:val="4"/>
  </w:num>
  <w:num w:numId="5">
    <w:abstractNumId w:val="9"/>
  </w:num>
  <w:num w:numId="6">
    <w:abstractNumId w:val="7"/>
    <w:lvlOverride w:ilvl="0">
      <w:startOverride w:val="1"/>
    </w:lvlOverride>
  </w:num>
  <w:num w:numId="7">
    <w:abstractNumId w:val="2"/>
    <w:lvlOverride w:ilvl="0">
      <w:startOverride w:val="1"/>
    </w:lvlOverride>
  </w:num>
  <w:num w:numId="8">
    <w:abstractNumId w:val="9"/>
    <w:lvlOverride w:ilvl="0">
      <w:startOverride w:val="2"/>
    </w:lvlOverride>
  </w:num>
  <w:num w:numId="9">
    <w:abstractNumId w:val="1"/>
  </w:num>
  <w:num w:numId="10">
    <w:abstractNumId w:val="10"/>
  </w:num>
  <w:num w:numId="11">
    <w:abstractNumId w:val="8"/>
  </w:num>
  <w:num w:numId="12">
    <w:abstractNumId w:val="0"/>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56E"/>
    <w:rsid w:val="00000D8E"/>
    <w:rsid w:val="000024B6"/>
    <w:rsid w:val="00015564"/>
    <w:rsid w:val="00023854"/>
    <w:rsid w:val="000268F4"/>
    <w:rsid w:val="0003169F"/>
    <w:rsid w:val="000420ED"/>
    <w:rsid w:val="00044200"/>
    <w:rsid w:val="00044B8E"/>
    <w:rsid w:val="000755DB"/>
    <w:rsid w:val="00083078"/>
    <w:rsid w:val="000961CD"/>
    <w:rsid w:val="000A1439"/>
    <w:rsid w:val="000A34DF"/>
    <w:rsid w:val="000C55C5"/>
    <w:rsid w:val="000D6D9C"/>
    <w:rsid w:val="000F202B"/>
    <w:rsid w:val="001056A1"/>
    <w:rsid w:val="001126BF"/>
    <w:rsid w:val="00113941"/>
    <w:rsid w:val="0011768F"/>
    <w:rsid w:val="001339A3"/>
    <w:rsid w:val="0014638B"/>
    <w:rsid w:val="001635F9"/>
    <w:rsid w:val="00166694"/>
    <w:rsid w:val="00174631"/>
    <w:rsid w:val="001760E3"/>
    <w:rsid w:val="0017796A"/>
    <w:rsid w:val="001807D8"/>
    <w:rsid w:val="001837DE"/>
    <w:rsid w:val="00184F61"/>
    <w:rsid w:val="00187E50"/>
    <w:rsid w:val="001908AF"/>
    <w:rsid w:val="00192CF9"/>
    <w:rsid w:val="00195CBA"/>
    <w:rsid w:val="00195D67"/>
    <w:rsid w:val="001B2A30"/>
    <w:rsid w:val="001B55FD"/>
    <w:rsid w:val="001D457F"/>
    <w:rsid w:val="001E15DE"/>
    <w:rsid w:val="001E2C0B"/>
    <w:rsid w:val="001F16E2"/>
    <w:rsid w:val="002135C1"/>
    <w:rsid w:val="00213C20"/>
    <w:rsid w:val="0024448A"/>
    <w:rsid w:val="0025693E"/>
    <w:rsid w:val="00257E91"/>
    <w:rsid w:val="002721E6"/>
    <w:rsid w:val="00273706"/>
    <w:rsid w:val="002A1305"/>
    <w:rsid w:val="002A59BF"/>
    <w:rsid w:val="002C5C8D"/>
    <w:rsid w:val="002D3D1C"/>
    <w:rsid w:val="002E25F3"/>
    <w:rsid w:val="002E2700"/>
    <w:rsid w:val="00305F0D"/>
    <w:rsid w:val="00330277"/>
    <w:rsid w:val="00340071"/>
    <w:rsid w:val="00341B79"/>
    <w:rsid w:val="003460CC"/>
    <w:rsid w:val="00347F45"/>
    <w:rsid w:val="00355E33"/>
    <w:rsid w:val="003611E4"/>
    <w:rsid w:val="00382023"/>
    <w:rsid w:val="00386F30"/>
    <w:rsid w:val="00395B5D"/>
    <w:rsid w:val="003962EA"/>
    <w:rsid w:val="003A2086"/>
    <w:rsid w:val="003A2C39"/>
    <w:rsid w:val="003A31A9"/>
    <w:rsid w:val="003A33F5"/>
    <w:rsid w:val="003C7183"/>
    <w:rsid w:val="003D139B"/>
    <w:rsid w:val="003D3AA4"/>
    <w:rsid w:val="003F0927"/>
    <w:rsid w:val="003F68A9"/>
    <w:rsid w:val="004012A8"/>
    <w:rsid w:val="00406B6E"/>
    <w:rsid w:val="0041141D"/>
    <w:rsid w:val="00412886"/>
    <w:rsid w:val="0042086F"/>
    <w:rsid w:val="004222C6"/>
    <w:rsid w:val="0043056E"/>
    <w:rsid w:val="00430C21"/>
    <w:rsid w:val="00433CEC"/>
    <w:rsid w:val="0043514B"/>
    <w:rsid w:val="004369B1"/>
    <w:rsid w:val="00437CE0"/>
    <w:rsid w:val="004415A2"/>
    <w:rsid w:val="004477EB"/>
    <w:rsid w:val="00451160"/>
    <w:rsid w:val="00452A48"/>
    <w:rsid w:val="004768C7"/>
    <w:rsid w:val="00493D42"/>
    <w:rsid w:val="00494C7D"/>
    <w:rsid w:val="004A287A"/>
    <w:rsid w:val="004A5400"/>
    <w:rsid w:val="004B418C"/>
    <w:rsid w:val="004C0960"/>
    <w:rsid w:val="004D0218"/>
    <w:rsid w:val="004D0D4F"/>
    <w:rsid w:val="004D6317"/>
    <w:rsid w:val="004D63DC"/>
    <w:rsid w:val="004E3DB9"/>
    <w:rsid w:val="004F4E74"/>
    <w:rsid w:val="004F511D"/>
    <w:rsid w:val="004F61B3"/>
    <w:rsid w:val="004F6DF0"/>
    <w:rsid w:val="00530A02"/>
    <w:rsid w:val="00540947"/>
    <w:rsid w:val="00556E9A"/>
    <w:rsid w:val="005609B8"/>
    <w:rsid w:val="00560FDD"/>
    <w:rsid w:val="00567C6F"/>
    <w:rsid w:val="005745EB"/>
    <w:rsid w:val="00574E22"/>
    <w:rsid w:val="00576E65"/>
    <w:rsid w:val="0058651A"/>
    <w:rsid w:val="00593D95"/>
    <w:rsid w:val="00595168"/>
    <w:rsid w:val="005B4757"/>
    <w:rsid w:val="005B5748"/>
    <w:rsid w:val="005C5898"/>
    <w:rsid w:val="005D3D7F"/>
    <w:rsid w:val="005D6663"/>
    <w:rsid w:val="005E12B1"/>
    <w:rsid w:val="005F5C9E"/>
    <w:rsid w:val="00601B51"/>
    <w:rsid w:val="00606BD0"/>
    <w:rsid w:val="00620C7B"/>
    <w:rsid w:val="0063443F"/>
    <w:rsid w:val="00643108"/>
    <w:rsid w:val="00655AE4"/>
    <w:rsid w:val="006647CC"/>
    <w:rsid w:val="00674464"/>
    <w:rsid w:val="006837EE"/>
    <w:rsid w:val="006930B8"/>
    <w:rsid w:val="006B3FEA"/>
    <w:rsid w:val="006C2C49"/>
    <w:rsid w:val="006D0E2D"/>
    <w:rsid w:val="006D252C"/>
    <w:rsid w:val="006D3CEC"/>
    <w:rsid w:val="006D7DE2"/>
    <w:rsid w:val="006E1F15"/>
    <w:rsid w:val="006E50BA"/>
    <w:rsid w:val="006F0985"/>
    <w:rsid w:val="006F5CB0"/>
    <w:rsid w:val="006F6BB8"/>
    <w:rsid w:val="00715721"/>
    <w:rsid w:val="00720264"/>
    <w:rsid w:val="00723D2E"/>
    <w:rsid w:val="007240AC"/>
    <w:rsid w:val="0072437C"/>
    <w:rsid w:val="00747019"/>
    <w:rsid w:val="00757BEB"/>
    <w:rsid w:val="007618E6"/>
    <w:rsid w:val="00777AD8"/>
    <w:rsid w:val="00777FF7"/>
    <w:rsid w:val="00780CB1"/>
    <w:rsid w:val="007A01A8"/>
    <w:rsid w:val="007B7675"/>
    <w:rsid w:val="007C4CD8"/>
    <w:rsid w:val="007D5F4A"/>
    <w:rsid w:val="007F46D2"/>
    <w:rsid w:val="00803E31"/>
    <w:rsid w:val="00804DAB"/>
    <w:rsid w:val="00805247"/>
    <w:rsid w:val="00806C9B"/>
    <w:rsid w:val="008222E1"/>
    <w:rsid w:val="0083441D"/>
    <w:rsid w:val="008509B1"/>
    <w:rsid w:val="00850A24"/>
    <w:rsid w:val="00862A3E"/>
    <w:rsid w:val="008648D6"/>
    <w:rsid w:val="00867FD3"/>
    <w:rsid w:val="00877C75"/>
    <w:rsid w:val="00881239"/>
    <w:rsid w:val="0088541A"/>
    <w:rsid w:val="00891398"/>
    <w:rsid w:val="00891B92"/>
    <w:rsid w:val="00897BB2"/>
    <w:rsid w:val="008A7257"/>
    <w:rsid w:val="008C21DB"/>
    <w:rsid w:val="008C2C84"/>
    <w:rsid w:val="008E3812"/>
    <w:rsid w:val="008E759A"/>
    <w:rsid w:val="008F030B"/>
    <w:rsid w:val="0091247C"/>
    <w:rsid w:val="0091573C"/>
    <w:rsid w:val="00946C11"/>
    <w:rsid w:val="009504A6"/>
    <w:rsid w:val="00951CFC"/>
    <w:rsid w:val="009753B7"/>
    <w:rsid w:val="00977B94"/>
    <w:rsid w:val="00977BB6"/>
    <w:rsid w:val="009828D3"/>
    <w:rsid w:val="00992A72"/>
    <w:rsid w:val="00994613"/>
    <w:rsid w:val="00996FB5"/>
    <w:rsid w:val="00997FD4"/>
    <w:rsid w:val="009A3D9F"/>
    <w:rsid w:val="009D6921"/>
    <w:rsid w:val="009D72E7"/>
    <w:rsid w:val="009D7777"/>
    <w:rsid w:val="009E1902"/>
    <w:rsid w:val="009F5506"/>
    <w:rsid w:val="009F7892"/>
    <w:rsid w:val="00A314EC"/>
    <w:rsid w:val="00A40F64"/>
    <w:rsid w:val="00A450CB"/>
    <w:rsid w:val="00A508D1"/>
    <w:rsid w:val="00A5362D"/>
    <w:rsid w:val="00A60625"/>
    <w:rsid w:val="00A648CB"/>
    <w:rsid w:val="00A66258"/>
    <w:rsid w:val="00A70DDC"/>
    <w:rsid w:val="00A73897"/>
    <w:rsid w:val="00A75695"/>
    <w:rsid w:val="00A75EB0"/>
    <w:rsid w:val="00A904A7"/>
    <w:rsid w:val="00A964A8"/>
    <w:rsid w:val="00AA22B4"/>
    <w:rsid w:val="00AA2459"/>
    <w:rsid w:val="00AA3795"/>
    <w:rsid w:val="00AB0456"/>
    <w:rsid w:val="00AB20BD"/>
    <w:rsid w:val="00AB2D65"/>
    <w:rsid w:val="00AB73D1"/>
    <w:rsid w:val="00AC1F69"/>
    <w:rsid w:val="00AC5192"/>
    <w:rsid w:val="00AD671E"/>
    <w:rsid w:val="00AD7D51"/>
    <w:rsid w:val="00AE0EA3"/>
    <w:rsid w:val="00AF7930"/>
    <w:rsid w:val="00B07ED7"/>
    <w:rsid w:val="00B20BB1"/>
    <w:rsid w:val="00B21A12"/>
    <w:rsid w:val="00B34327"/>
    <w:rsid w:val="00B45783"/>
    <w:rsid w:val="00B67D11"/>
    <w:rsid w:val="00B75D25"/>
    <w:rsid w:val="00B80E5B"/>
    <w:rsid w:val="00B839E8"/>
    <w:rsid w:val="00B93AED"/>
    <w:rsid w:val="00B954D9"/>
    <w:rsid w:val="00B96704"/>
    <w:rsid w:val="00BB126E"/>
    <w:rsid w:val="00BB2908"/>
    <w:rsid w:val="00BC6609"/>
    <w:rsid w:val="00BD0AF8"/>
    <w:rsid w:val="00BD1626"/>
    <w:rsid w:val="00BD656E"/>
    <w:rsid w:val="00BE0C66"/>
    <w:rsid w:val="00BF339C"/>
    <w:rsid w:val="00BF7A4B"/>
    <w:rsid w:val="00C02D78"/>
    <w:rsid w:val="00C146D5"/>
    <w:rsid w:val="00C1597F"/>
    <w:rsid w:val="00C254C4"/>
    <w:rsid w:val="00C354E5"/>
    <w:rsid w:val="00C44296"/>
    <w:rsid w:val="00C6661E"/>
    <w:rsid w:val="00C72198"/>
    <w:rsid w:val="00C7317C"/>
    <w:rsid w:val="00C9371A"/>
    <w:rsid w:val="00C97273"/>
    <w:rsid w:val="00CA4DF4"/>
    <w:rsid w:val="00CA5FBB"/>
    <w:rsid w:val="00CB2E39"/>
    <w:rsid w:val="00CC11CD"/>
    <w:rsid w:val="00CC37F7"/>
    <w:rsid w:val="00CC7273"/>
    <w:rsid w:val="00CC7EAF"/>
    <w:rsid w:val="00CE7E68"/>
    <w:rsid w:val="00D0052C"/>
    <w:rsid w:val="00D02672"/>
    <w:rsid w:val="00D04E2C"/>
    <w:rsid w:val="00D236A3"/>
    <w:rsid w:val="00D30C6D"/>
    <w:rsid w:val="00D44704"/>
    <w:rsid w:val="00D63ADB"/>
    <w:rsid w:val="00D64DCB"/>
    <w:rsid w:val="00D66FE4"/>
    <w:rsid w:val="00D7007A"/>
    <w:rsid w:val="00D82C44"/>
    <w:rsid w:val="00D86982"/>
    <w:rsid w:val="00D95DB1"/>
    <w:rsid w:val="00DA16D1"/>
    <w:rsid w:val="00DA5000"/>
    <w:rsid w:val="00DA6365"/>
    <w:rsid w:val="00DD6310"/>
    <w:rsid w:val="00DE09F3"/>
    <w:rsid w:val="00DE2170"/>
    <w:rsid w:val="00DE2266"/>
    <w:rsid w:val="00DE2949"/>
    <w:rsid w:val="00DE7F93"/>
    <w:rsid w:val="00DF04BF"/>
    <w:rsid w:val="00DF13C4"/>
    <w:rsid w:val="00DF4ADB"/>
    <w:rsid w:val="00E00157"/>
    <w:rsid w:val="00E02815"/>
    <w:rsid w:val="00E03BB5"/>
    <w:rsid w:val="00E04BE4"/>
    <w:rsid w:val="00E0580F"/>
    <w:rsid w:val="00E1062D"/>
    <w:rsid w:val="00E126F9"/>
    <w:rsid w:val="00E24CCB"/>
    <w:rsid w:val="00E33BA9"/>
    <w:rsid w:val="00E45AE4"/>
    <w:rsid w:val="00E500AF"/>
    <w:rsid w:val="00E5034B"/>
    <w:rsid w:val="00E76B68"/>
    <w:rsid w:val="00E77421"/>
    <w:rsid w:val="00E80B68"/>
    <w:rsid w:val="00E85864"/>
    <w:rsid w:val="00E91CE3"/>
    <w:rsid w:val="00E941D2"/>
    <w:rsid w:val="00EA7153"/>
    <w:rsid w:val="00EB04F4"/>
    <w:rsid w:val="00EC0D25"/>
    <w:rsid w:val="00EC46E0"/>
    <w:rsid w:val="00EC4BF1"/>
    <w:rsid w:val="00EC6BFE"/>
    <w:rsid w:val="00ED0CBE"/>
    <w:rsid w:val="00ED652F"/>
    <w:rsid w:val="00ED6B35"/>
    <w:rsid w:val="00EE0FF3"/>
    <w:rsid w:val="00EE480E"/>
    <w:rsid w:val="00EF3B1E"/>
    <w:rsid w:val="00F01C8E"/>
    <w:rsid w:val="00F022CE"/>
    <w:rsid w:val="00F220CF"/>
    <w:rsid w:val="00F43B77"/>
    <w:rsid w:val="00F5423F"/>
    <w:rsid w:val="00F72B2B"/>
    <w:rsid w:val="00F73C62"/>
    <w:rsid w:val="00F84C36"/>
    <w:rsid w:val="00FA2CDB"/>
    <w:rsid w:val="00FA367A"/>
    <w:rsid w:val="00FA3BA7"/>
    <w:rsid w:val="00FB004A"/>
    <w:rsid w:val="00FB2F18"/>
    <w:rsid w:val="00FB448C"/>
    <w:rsid w:val="00FB7AFF"/>
    <w:rsid w:val="00FC42F5"/>
    <w:rsid w:val="00FD6BDF"/>
    <w:rsid w:val="00FF26FD"/>
    <w:rsid w:val="00FF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6E2"/>
    <w:pPr>
      <w:spacing w:line="360" w:lineRule="auto"/>
    </w:pPr>
    <w:rPr>
      <w:sz w:val="26"/>
    </w:rPr>
  </w:style>
  <w:style w:type="paragraph" w:styleId="Heading1">
    <w:name w:val="heading 1"/>
    <w:basedOn w:val="Normal"/>
    <w:next w:val="Normal"/>
    <w:qFormat/>
    <w:rsid w:val="001F16E2"/>
    <w:pPr>
      <w:keepNext/>
      <w:spacing w:line="240" w:lineRule="auto"/>
      <w:jc w:val="center"/>
      <w:outlineLvl w:val="0"/>
    </w:pPr>
    <w:rPr>
      <w:u w:val="single"/>
    </w:rPr>
  </w:style>
  <w:style w:type="paragraph" w:styleId="Heading2">
    <w:name w:val="heading 2"/>
    <w:basedOn w:val="Normal"/>
    <w:next w:val="Normal"/>
    <w:qFormat/>
    <w:rsid w:val="001F16E2"/>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6E2"/>
    <w:pPr>
      <w:tabs>
        <w:tab w:val="center" w:pos="4320"/>
        <w:tab w:val="right" w:pos="8640"/>
      </w:tabs>
    </w:pPr>
  </w:style>
  <w:style w:type="character" w:styleId="PageNumber">
    <w:name w:val="page number"/>
    <w:basedOn w:val="DefaultParagraphFont"/>
    <w:rsid w:val="001F16E2"/>
  </w:style>
  <w:style w:type="paragraph" w:styleId="BodyText">
    <w:name w:val="Body Text"/>
    <w:basedOn w:val="Normal"/>
    <w:link w:val="BodyTextChar"/>
    <w:rsid w:val="00555C71"/>
    <w:pPr>
      <w:jc w:val="both"/>
    </w:pPr>
    <w:rPr>
      <w:rFonts w:eastAsia="SimSun"/>
    </w:rPr>
  </w:style>
  <w:style w:type="paragraph" w:styleId="FootnoteText">
    <w:name w:val="footnote text"/>
    <w:basedOn w:val="Normal"/>
    <w:semiHidden/>
    <w:rsid w:val="004F60B1"/>
    <w:pPr>
      <w:spacing w:line="240" w:lineRule="auto"/>
    </w:pPr>
    <w:rPr>
      <w:sz w:val="20"/>
    </w:rPr>
  </w:style>
  <w:style w:type="character" w:styleId="FootnoteReference">
    <w:name w:val="footnote reference"/>
    <w:basedOn w:val="DefaultParagraphFont"/>
    <w:semiHidden/>
    <w:rsid w:val="004F60B1"/>
    <w:rPr>
      <w:vertAlign w:val="superscript"/>
    </w:rPr>
  </w:style>
  <w:style w:type="paragraph" w:styleId="Header">
    <w:name w:val="header"/>
    <w:basedOn w:val="Normal"/>
    <w:rsid w:val="00446A48"/>
    <w:pPr>
      <w:tabs>
        <w:tab w:val="center" w:pos="4320"/>
        <w:tab w:val="right" w:pos="8640"/>
      </w:tabs>
    </w:pPr>
  </w:style>
  <w:style w:type="paragraph" w:styleId="ListParagraph">
    <w:name w:val="List Paragraph"/>
    <w:basedOn w:val="Normal"/>
    <w:uiPriority w:val="34"/>
    <w:qFormat/>
    <w:rsid w:val="006C2C49"/>
    <w:pPr>
      <w:ind w:left="720"/>
      <w:contextualSpacing/>
    </w:pPr>
  </w:style>
  <w:style w:type="character" w:customStyle="1" w:styleId="BodyTextChar">
    <w:name w:val="Body Text Char"/>
    <w:basedOn w:val="DefaultParagraphFont"/>
    <w:link w:val="BodyText"/>
    <w:rsid w:val="00B34327"/>
    <w:rPr>
      <w:rFonts w:eastAsia="SimSun"/>
      <w:sz w:val="26"/>
    </w:rPr>
  </w:style>
  <w:style w:type="paragraph" w:styleId="BalloonText">
    <w:name w:val="Balloon Text"/>
    <w:basedOn w:val="Normal"/>
    <w:link w:val="BalloonTextChar"/>
    <w:rsid w:val="0002385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238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6E2"/>
    <w:pPr>
      <w:spacing w:line="360" w:lineRule="auto"/>
    </w:pPr>
    <w:rPr>
      <w:sz w:val="26"/>
    </w:rPr>
  </w:style>
  <w:style w:type="paragraph" w:styleId="Heading1">
    <w:name w:val="heading 1"/>
    <w:basedOn w:val="Normal"/>
    <w:next w:val="Normal"/>
    <w:qFormat/>
    <w:rsid w:val="001F16E2"/>
    <w:pPr>
      <w:keepNext/>
      <w:spacing w:line="240" w:lineRule="auto"/>
      <w:jc w:val="center"/>
      <w:outlineLvl w:val="0"/>
    </w:pPr>
    <w:rPr>
      <w:u w:val="single"/>
    </w:rPr>
  </w:style>
  <w:style w:type="paragraph" w:styleId="Heading2">
    <w:name w:val="heading 2"/>
    <w:basedOn w:val="Normal"/>
    <w:next w:val="Normal"/>
    <w:qFormat/>
    <w:rsid w:val="001F16E2"/>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6E2"/>
    <w:pPr>
      <w:tabs>
        <w:tab w:val="center" w:pos="4320"/>
        <w:tab w:val="right" w:pos="8640"/>
      </w:tabs>
    </w:pPr>
  </w:style>
  <w:style w:type="character" w:styleId="PageNumber">
    <w:name w:val="page number"/>
    <w:basedOn w:val="DefaultParagraphFont"/>
    <w:rsid w:val="001F16E2"/>
  </w:style>
  <w:style w:type="paragraph" w:styleId="BodyText">
    <w:name w:val="Body Text"/>
    <w:basedOn w:val="Normal"/>
    <w:link w:val="BodyTextChar"/>
    <w:rsid w:val="00555C71"/>
    <w:pPr>
      <w:jc w:val="both"/>
    </w:pPr>
    <w:rPr>
      <w:rFonts w:eastAsia="SimSun"/>
    </w:rPr>
  </w:style>
  <w:style w:type="paragraph" w:styleId="FootnoteText">
    <w:name w:val="footnote text"/>
    <w:basedOn w:val="Normal"/>
    <w:semiHidden/>
    <w:rsid w:val="004F60B1"/>
    <w:pPr>
      <w:spacing w:line="240" w:lineRule="auto"/>
    </w:pPr>
    <w:rPr>
      <w:sz w:val="20"/>
    </w:rPr>
  </w:style>
  <w:style w:type="character" w:styleId="FootnoteReference">
    <w:name w:val="footnote reference"/>
    <w:basedOn w:val="DefaultParagraphFont"/>
    <w:semiHidden/>
    <w:rsid w:val="004F60B1"/>
    <w:rPr>
      <w:vertAlign w:val="superscript"/>
    </w:rPr>
  </w:style>
  <w:style w:type="paragraph" w:styleId="Header">
    <w:name w:val="header"/>
    <w:basedOn w:val="Normal"/>
    <w:rsid w:val="00446A48"/>
    <w:pPr>
      <w:tabs>
        <w:tab w:val="center" w:pos="4320"/>
        <w:tab w:val="right" w:pos="8640"/>
      </w:tabs>
    </w:pPr>
  </w:style>
  <w:style w:type="paragraph" w:styleId="ListParagraph">
    <w:name w:val="List Paragraph"/>
    <w:basedOn w:val="Normal"/>
    <w:uiPriority w:val="34"/>
    <w:qFormat/>
    <w:rsid w:val="006C2C49"/>
    <w:pPr>
      <w:ind w:left="720"/>
      <w:contextualSpacing/>
    </w:pPr>
  </w:style>
  <w:style w:type="character" w:customStyle="1" w:styleId="BodyTextChar">
    <w:name w:val="Body Text Char"/>
    <w:basedOn w:val="DefaultParagraphFont"/>
    <w:link w:val="BodyText"/>
    <w:rsid w:val="00B34327"/>
    <w:rPr>
      <w:rFonts w:eastAsia="SimSun"/>
      <w:sz w:val="26"/>
    </w:rPr>
  </w:style>
  <w:style w:type="paragraph" w:styleId="BalloonText">
    <w:name w:val="Balloon Text"/>
    <w:basedOn w:val="Normal"/>
    <w:link w:val="BalloonTextChar"/>
    <w:rsid w:val="0002385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23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05253-4026-4E36-9DD5-3DFB36CA0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2311</Words>
  <Characters>13176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15457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PUC</dc:creator>
  <cp:lastModifiedBy>sandra elizabeth oldynski</cp:lastModifiedBy>
  <cp:revision>3</cp:revision>
  <cp:lastPrinted>2012-03-29T13:51:00Z</cp:lastPrinted>
  <dcterms:created xsi:type="dcterms:W3CDTF">2012-04-10T13:09:00Z</dcterms:created>
  <dcterms:modified xsi:type="dcterms:W3CDTF">2012-04-10T13:09:00Z</dcterms:modified>
</cp:coreProperties>
</file>