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E22703" w:rsidRDefault="006D33B5" w:rsidP="00E22703">
      <w:pPr>
        <w:jc w:val="center"/>
        <w:rPr>
          <w:b/>
          <w:bCs/>
        </w:rPr>
      </w:pPr>
      <w:r w:rsidRPr="00E22703">
        <w:rPr>
          <w:b/>
          <w:bCs/>
        </w:rPr>
        <w:t>BEFORE THE</w:t>
      </w:r>
    </w:p>
    <w:p w:rsidR="006D33B5" w:rsidRDefault="006D33B5" w:rsidP="00E22703">
      <w:pPr>
        <w:jc w:val="center"/>
        <w:rPr>
          <w:b/>
          <w:bCs/>
        </w:rPr>
      </w:pPr>
      <w:r w:rsidRPr="00E22703">
        <w:rPr>
          <w:b/>
          <w:bCs/>
        </w:rPr>
        <w:t>PENNSYLVANIA PUBLIC UTILITY COMMISSION</w:t>
      </w:r>
    </w:p>
    <w:p w:rsidR="00E22703" w:rsidRPr="00555AB2" w:rsidRDefault="00E22703" w:rsidP="00555AB2">
      <w:pPr>
        <w:rPr>
          <w:bCs/>
        </w:rPr>
      </w:pPr>
    </w:p>
    <w:p w:rsidR="00E22703" w:rsidRPr="00555AB2" w:rsidRDefault="00E22703" w:rsidP="00555AB2">
      <w:pPr>
        <w:rPr>
          <w:bCs/>
        </w:rPr>
      </w:pPr>
    </w:p>
    <w:p w:rsidR="00E22703" w:rsidRPr="00555AB2" w:rsidRDefault="00E22703" w:rsidP="00555AB2">
      <w:pPr>
        <w:rPr>
          <w:bCs/>
        </w:rPr>
      </w:pPr>
    </w:p>
    <w:p w:rsidR="00193F4C" w:rsidRDefault="00193F4C" w:rsidP="00193F4C">
      <w:r>
        <w:t>Application of Consolidated Rail Corporation</w:t>
      </w:r>
      <w:r>
        <w:tab/>
        <w:t>:</w:t>
      </w:r>
    </w:p>
    <w:p w:rsidR="00193F4C" w:rsidRDefault="00193F4C" w:rsidP="00193F4C">
      <w:proofErr w:type="gramStart"/>
      <w:r>
        <w:t>for</w:t>
      </w:r>
      <w:proofErr w:type="gramEnd"/>
      <w:r>
        <w:t xml:space="preserve"> the abolition of thirty-one crossings of the </w:t>
      </w:r>
      <w:r>
        <w:tab/>
        <w:t>:</w:t>
      </w:r>
      <w:r>
        <w:tab/>
        <w:t>A-00111016</w:t>
      </w:r>
    </w:p>
    <w:p w:rsidR="00193F4C" w:rsidRDefault="00193F4C" w:rsidP="00193F4C">
      <w:r>
        <w:t>Enola Branch, LC201323, MP 3.5 to MP 27.0,</w:t>
      </w:r>
      <w:r>
        <w:tab/>
        <w:t>:</w:t>
      </w:r>
    </w:p>
    <w:p w:rsidR="00193F4C" w:rsidRDefault="00193F4C" w:rsidP="00193F4C">
      <w:r>
        <w:t>Sub No. 1095, Harrisburg Division, Lancaster</w:t>
      </w:r>
      <w:r>
        <w:tab/>
        <w:t>:</w:t>
      </w:r>
    </w:p>
    <w:p w:rsidR="00193F4C" w:rsidRDefault="00193F4C" w:rsidP="00193F4C">
      <w:r>
        <w:t>County</w:t>
      </w:r>
      <w:r>
        <w:tab/>
      </w:r>
      <w:r>
        <w:tab/>
      </w:r>
      <w:r>
        <w:tab/>
      </w:r>
      <w:r>
        <w:tab/>
      </w:r>
      <w:r>
        <w:tab/>
      </w:r>
      <w:r>
        <w:tab/>
      </w:r>
      <w:r>
        <w:tab/>
        <w:t>:</w:t>
      </w:r>
    </w:p>
    <w:p w:rsidR="00193F4C" w:rsidRDefault="00AA5A3B" w:rsidP="00193F4C">
      <w:r>
        <w:tab/>
      </w:r>
      <w:r>
        <w:tab/>
      </w:r>
      <w:r>
        <w:tab/>
      </w:r>
      <w:r>
        <w:tab/>
      </w:r>
      <w:r>
        <w:tab/>
      </w:r>
      <w:r>
        <w:tab/>
      </w:r>
      <w:r>
        <w:tab/>
      </w:r>
    </w:p>
    <w:p w:rsidR="00AA5A3B" w:rsidRDefault="00AA5A3B" w:rsidP="00193F4C"/>
    <w:p w:rsidR="00193F4C" w:rsidRDefault="00193F4C" w:rsidP="00193F4C">
      <w:r>
        <w:t>Board of Supervisors of Bart Township,</w:t>
      </w:r>
      <w:r>
        <w:tab/>
      </w:r>
      <w:r>
        <w:tab/>
        <w:t>:</w:t>
      </w:r>
    </w:p>
    <w:p w:rsidR="00193F4C" w:rsidRDefault="00193F4C" w:rsidP="00193F4C">
      <w:r>
        <w:tab/>
      </w:r>
      <w:r>
        <w:tab/>
      </w:r>
      <w:r>
        <w:tab/>
      </w:r>
      <w:r>
        <w:tab/>
      </w:r>
      <w:r>
        <w:tab/>
      </w:r>
      <w:r>
        <w:tab/>
      </w:r>
      <w:r>
        <w:tab/>
        <w:t>:</w:t>
      </w:r>
    </w:p>
    <w:p w:rsidR="00193F4C" w:rsidRDefault="00193F4C" w:rsidP="00193F4C">
      <w:r>
        <w:tab/>
      </w:r>
      <w:r>
        <w:tab/>
        <w:t>v.</w:t>
      </w:r>
      <w:r>
        <w:tab/>
      </w:r>
      <w:r>
        <w:tab/>
      </w:r>
      <w:r>
        <w:tab/>
      </w:r>
      <w:r>
        <w:tab/>
      </w:r>
      <w:r>
        <w:tab/>
        <w:t>:</w:t>
      </w:r>
      <w:r>
        <w:tab/>
        <w:t>C-00913256</w:t>
      </w:r>
    </w:p>
    <w:p w:rsidR="00193F4C" w:rsidRDefault="00193F4C" w:rsidP="00193F4C">
      <w:r>
        <w:tab/>
      </w:r>
      <w:r>
        <w:tab/>
      </w:r>
      <w:r>
        <w:tab/>
      </w:r>
      <w:r>
        <w:tab/>
      </w:r>
      <w:r>
        <w:tab/>
      </w:r>
      <w:r>
        <w:tab/>
      </w:r>
      <w:r>
        <w:tab/>
        <w:t>:</w:t>
      </w:r>
    </w:p>
    <w:p w:rsidR="00193F4C" w:rsidRDefault="00193F4C" w:rsidP="00193F4C">
      <w:r>
        <w:t>Consolidated Rail Corporation,</w:t>
      </w:r>
      <w:r>
        <w:tab/>
      </w:r>
      <w:r>
        <w:tab/>
      </w:r>
      <w:r>
        <w:tab/>
        <w:t>:</w:t>
      </w:r>
    </w:p>
    <w:p w:rsidR="00193F4C" w:rsidRDefault="00193F4C" w:rsidP="00193F4C">
      <w:r>
        <w:t xml:space="preserve">and the Pennsylvania Department of </w:t>
      </w:r>
      <w:r>
        <w:tab/>
      </w:r>
      <w:r>
        <w:tab/>
      </w:r>
      <w:r>
        <w:tab/>
        <w:t>:</w:t>
      </w:r>
    </w:p>
    <w:p w:rsidR="00193F4C" w:rsidRDefault="00193F4C" w:rsidP="00193F4C">
      <w:r>
        <w:t>Transportation and Commissioners of the</w:t>
      </w:r>
      <w:r>
        <w:tab/>
      </w:r>
      <w:r>
        <w:tab/>
        <w:t>:</w:t>
      </w:r>
    </w:p>
    <w:p w:rsidR="00193F4C" w:rsidRDefault="00193F4C" w:rsidP="00193F4C">
      <w:r>
        <w:t>County of Lancaster, et al.</w:t>
      </w:r>
      <w:r>
        <w:tab/>
      </w:r>
      <w:r>
        <w:tab/>
      </w:r>
      <w:r>
        <w:tab/>
      </w:r>
      <w:r>
        <w:tab/>
        <w:t>:</w:t>
      </w:r>
    </w:p>
    <w:p w:rsidR="006747F7" w:rsidRDefault="006747F7"/>
    <w:p w:rsidR="00E22703" w:rsidRPr="00E22703" w:rsidRDefault="00E22703"/>
    <w:p w:rsidR="00922597" w:rsidRDefault="00F46A84" w:rsidP="00922597">
      <w:pPr>
        <w:tabs>
          <w:tab w:val="center" w:pos="4680"/>
        </w:tabs>
        <w:suppressAutoHyphens/>
        <w:jc w:val="center"/>
        <w:rPr>
          <w:b/>
          <w:spacing w:val="-3"/>
          <w:u w:val="single"/>
        </w:rPr>
      </w:pPr>
      <w:r>
        <w:rPr>
          <w:b/>
          <w:spacing w:val="-3"/>
          <w:u w:val="single"/>
        </w:rPr>
        <w:t>SCHEDULING</w:t>
      </w:r>
      <w:r w:rsidR="00E21F02">
        <w:rPr>
          <w:b/>
          <w:spacing w:val="-3"/>
          <w:u w:val="single"/>
        </w:rPr>
        <w:t xml:space="preserve"> ORDER</w:t>
      </w:r>
      <w:r w:rsidR="00CE701C" w:rsidRPr="00BF3A95">
        <w:rPr>
          <w:b/>
          <w:spacing w:val="-3"/>
          <w:u w:val="single"/>
        </w:rPr>
        <w:t xml:space="preserve"> </w:t>
      </w:r>
    </w:p>
    <w:p w:rsidR="007B76C4" w:rsidRDefault="007B76C4" w:rsidP="00922597">
      <w:pPr>
        <w:tabs>
          <w:tab w:val="center" w:pos="4680"/>
        </w:tabs>
        <w:suppressAutoHyphens/>
        <w:jc w:val="center"/>
        <w:rPr>
          <w:b/>
          <w:spacing w:val="-3"/>
          <w:u w:val="single"/>
        </w:rPr>
      </w:pPr>
    </w:p>
    <w:p w:rsidR="007B76C4" w:rsidRPr="007B76C4" w:rsidRDefault="007B76C4" w:rsidP="00922597">
      <w:pPr>
        <w:tabs>
          <w:tab w:val="center" w:pos="4680"/>
        </w:tabs>
        <w:suppressAutoHyphens/>
        <w:jc w:val="center"/>
        <w:rPr>
          <w:spacing w:val="-3"/>
        </w:rPr>
      </w:pPr>
    </w:p>
    <w:p w:rsidR="00444E27" w:rsidRDefault="00444E27" w:rsidP="00444E27">
      <w:pPr>
        <w:spacing w:line="360" w:lineRule="auto"/>
        <w:ind w:firstLine="1440"/>
      </w:pPr>
      <w:r>
        <w:t xml:space="preserve">On October 9, 1997, the Pennsylvania Public Utility Commission (Commission) entered an Opinion and Order approving a Stipulation of Settlement entered into by multiple parties to resolve various issues in connection with an Application filed by Consolidated Rail Corporation (Conrail) at Docket Nos. </w:t>
      </w:r>
      <w:proofErr w:type="gramStart"/>
      <w:r>
        <w:t>A-00111016 and C-00913256.</w:t>
      </w:r>
      <w:proofErr w:type="gramEnd"/>
      <w:r>
        <w:t xml:space="preserve">  Conrail’s Application sought the abolition of thirty-one (31) crossings where the Enola Branch, Harrisburg Division, crossed above and below certain highways in a total of eight (8) municipalities in Lancaster and Chester Counties.  </w:t>
      </w:r>
    </w:p>
    <w:p w:rsidR="00444E27" w:rsidRDefault="00444E27" w:rsidP="00444E27">
      <w:pPr>
        <w:spacing w:line="360" w:lineRule="auto"/>
        <w:ind w:firstLine="1440"/>
      </w:pPr>
    </w:p>
    <w:p w:rsidR="00444E27" w:rsidRDefault="00444E27" w:rsidP="00444E27">
      <w:pPr>
        <w:spacing w:line="360" w:lineRule="auto"/>
        <w:ind w:firstLine="1440"/>
      </w:pPr>
      <w:r>
        <w:t xml:space="preserve">On April 17, 2012, Eden Township, a Second Class Township in Lancaster County (“Eden Township”), filed a Petition to Modify Portions of the October 9, 1997 Opinion and Order (Petition) pertaining to the crossing identified in the 1997 Order as Crossing No. 10 (Pumping Station Road) (“Crossing No. 10”).  Crossing No. 10 is a below-grade crossing where Pumping Station Road crosses under the railroad right-of-way in Eden Township.  The bridge at this crossing is a stone arch culvert that is 31 </w:t>
      </w:r>
      <w:r>
        <w:lastRenderedPageBreak/>
        <w:t xml:space="preserve">feet in length and is located beneath the railroad embankment.  The bridge is of stone masonry construction, including the headwalls, </w:t>
      </w:r>
      <w:proofErr w:type="spellStart"/>
      <w:r>
        <w:t>wingwalls</w:t>
      </w:r>
      <w:proofErr w:type="spellEnd"/>
      <w:r>
        <w:t xml:space="preserve"> and abutments.  The bridge has a maximum vertical clearance of 12 feet 4 inches at the center of the arch and a horizontal clearance of 30 feet.</w:t>
      </w:r>
    </w:p>
    <w:p w:rsidR="00444E27" w:rsidRDefault="00444E27" w:rsidP="00444E27">
      <w:pPr>
        <w:spacing w:line="360" w:lineRule="auto"/>
        <w:ind w:firstLine="1440"/>
      </w:pPr>
    </w:p>
    <w:p w:rsidR="00444E27" w:rsidRDefault="00444E27" w:rsidP="00444E27">
      <w:pPr>
        <w:spacing w:line="360" w:lineRule="auto"/>
        <w:ind w:firstLine="1440"/>
      </w:pPr>
      <w:r>
        <w:t>On May 9, 2012, the Commonwealth of Pennsylvania, Department of Transportation (</w:t>
      </w:r>
      <w:proofErr w:type="spellStart"/>
      <w:r>
        <w:t>PennDOT</w:t>
      </w:r>
      <w:proofErr w:type="spellEnd"/>
      <w:r>
        <w:t xml:space="preserve">) filed an Answer opposing the Petition filed by Eden Township and requesting that the Petition be denied.  On May 11, 2012, the Commission’s </w:t>
      </w:r>
      <w:r w:rsidR="008D2A90">
        <w:t xml:space="preserve">Bureau of Investigation and Enforcement (BI&amp;E) </w:t>
      </w:r>
      <w:r>
        <w:t xml:space="preserve">filed a letter opposing the Petition filed by Eden Township and requesting an evidentiary hearing be held or, in the alternative, the Petition </w:t>
      </w:r>
      <w:proofErr w:type="gramStart"/>
      <w:r>
        <w:t>be</w:t>
      </w:r>
      <w:proofErr w:type="gramEnd"/>
      <w:r>
        <w:t xml:space="preserve"> denied.  On November 19, 2012, the Commission granted </w:t>
      </w:r>
      <w:r w:rsidR="008D2A90">
        <w:t xml:space="preserve">BI&amp;E’s </w:t>
      </w:r>
      <w:r>
        <w:t xml:space="preserve">request for an evidentiary hearing and referred the matter to the Office of Administrative Law Judge for further proceedings.  </w:t>
      </w:r>
    </w:p>
    <w:p w:rsidR="00444E27" w:rsidRDefault="00444E27" w:rsidP="00444E27">
      <w:pPr>
        <w:spacing w:line="360" w:lineRule="auto"/>
        <w:ind w:firstLine="1440"/>
      </w:pPr>
    </w:p>
    <w:p w:rsidR="00BA156B" w:rsidRPr="008D2A90" w:rsidRDefault="00444E27" w:rsidP="00444E27">
      <w:pPr>
        <w:widowControl w:val="0"/>
        <w:spacing w:line="360" w:lineRule="auto"/>
        <w:ind w:firstLine="1440"/>
        <w:rPr>
          <w:rFonts w:cs="CG Times"/>
        </w:rPr>
      </w:pPr>
      <w:r w:rsidRPr="008D2A90">
        <w:t>On January 23, 2013, a Notice was issued establishing a Further Prehearing Conference for this matter for Thursday, February 21, 2013 at 10:00 a.m. in Hearing Room 4 of the Commonwealth Keystone Building in Harrisburg.  Administrative Law Judges Elizabeth H. Barnes and Joel H. Cheskis were assigned as Presiding Officers.</w:t>
      </w:r>
      <w:r w:rsidRPr="008D2A90">
        <w:rPr>
          <w:rFonts w:cs="CG Times"/>
        </w:rPr>
        <w:t xml:space="preserve">  </w:t>
      </w:r>
      <w:r w:rsidR="000D6D75" w:rsidRPr="008D2A90">
        <w:rPr>
          <w:rFonts w:cs="CG Times"/>
        </w:rPr>
        <w:t>A Prehearing Conference Order was issued Jan</w:t>
      </w:r>
      <w:r w:rsidR="00AA5A3B">
        <w:rPr>
          <w:rFonts w:cs="CG Times"/>
        </w:rPr>
        <w:t xml:space="preserve">uary </w:t>
      </w:r>
      <w:r w:rsidR="008D2A90" w:rsidRPr="008D2A90">
        <w:rPr>
          <w:rFonts w:cs="CG Times"/>
        </w:rPr>
        <w:t>25</w:t>
      </w:r>
      <w:r w:rsidR="000D6D75" w:rsidRPr="008D2A90">
        <w:rPr>
          <w:rFonts w:cs="CG Times"/>
        </w:rPr>
        <w:t xml:space="preserve">, 2013.  In response to the Prehearing Conference Order, Prehearing Memoranda were received from </w:t>
      </w:r>
      <w:r w:rsidR="008D2A90" w:rsidRPr="008D2A90">
        <w:rPr>
          <w:rFonts w:cs="CG Times"/>
        </w:rPr>
        <w:t xml:space="preserve">Eden Township, </w:t>
      </w:r>
      <w:proofErr w:type="spellStart"/>
      <w:r w:rsidR="008D2A90" w:rsidRPr="008D2A90">
        <w:rPr>
          <w:rFonts w:cs="CG Times"/>
        </w:rPr>
        <w:t>PennDOT</w:t>
      </w:r>
      <w:proofErr w:type="spellEnd"/>
      <w:r w:rsidR="008D2A90" w:rsidRPr="008D2A90">
        <w:rPr>
          <w:rFonts w:cs="CG Times"/>
        </w:rPr>
        <w:t xml:space="preserve">, BI&amp;E, </w:t>
      </w:r>
      <w:r w:rsidR="000D6D75" w:rsidRPr="008D2A90">
        <w:rPr>
          <w:rFonts w:cs="CG Times"/>
        </w:rPr>
        <w:t>Norfolk Southern Railway Company (Norfolk)</w:t>
      </w:r>
      <w:r w:rsidR="008D2A90" w:rsidRPr="008D2A90">
        <w:rPr>
          <w:rFonts w:cs="CG Times"/>
        </w:rPr>
        <w:t xml:space="preserve"> and the Pennsylvania Department of Conservation and Natural Resources</w:t>
      </w:r>
      <w:r w:rsidR="000D6D75" w:rsidRPr="008D2A90">
        <w:rPr>
          <w:rFonts w:cs="CG Times"/>
        </w:rPr>
        <w:t xml:space="preserve"> </w:t>
      </w:r>
      <w:r w:rsidR="008D2A90" w:rsidRPr="008D2A90">
        <w:rPr>
          <w:rFonts w:cs="CG Times"/>
        </w:rPr>
        <w:t>(DCNR</w:t>
      </w:r>
      <w:r w:rsidR="000D6D75" w:rsidRPr="008D2A90">
        <w:rPr>
          <w:rFonts w:cs="CG Times"/>
        </w:rPr>
        <w:t xml:space="preserve">).  </w:t>
      </w:r>
    </w:p>
    <w:p w:rsidR="00BA156B" w:rsidRPr="00444E27" w:rsidRDefault="00BA156B" w:rsidP="00BA156B">
      <w:pPr>
        <w:widowControl w:val="0"/>
        <w:spacing w:line="360" w:lineRule="auto"/>
        <w:ind w:firstLine="1440"/>
        <w:rPr>
          <w:rFonts w:cs="CG Times"/>
          <w:strike/>
        </w:rPr>
      </w:pPr>
    </w:p>
    <w:p w:rsidR="00E93D93" w:rsidRPr="00187940" w:rsidRDefault="00E93D93">
      <w:pPr>
        <w:spacing w:line="360" w:lineRule="auto"/>
        <w:ind w:firstLine="1440"/>
      </w:pPr>
      <w:r w:rsidRPr="00187940">
        <w:t xml:space="preserve">The Initial Prehearing Conference was held as scheduled.  The following counsel appeared: Benjamin C. Dunlap, Jr., Esquire, on behalf of Norfolk; </w:t>
      </w:r>
      <w:r w:rsidR="00187940" w:rsidRPr="00187940">
        <w:t>David Screven</w:t>
      </w:r>
      <w:r w:rsidRPr="00187940">
        <w:t xml:space="preserve">, Esquire, on behalf of </w:t>
      </w:r>
      <w:r w:rsidR="00187940" w:rsidRPr="00187940">
        <w:t>B</w:t>
      </w:r>
      <w:r w:rsidRPr="00187940">
        <w:t xml:space="preserve">I&amp;E; </w:t>
      </w:r>
      <w:r w:rsidR="00187940" w:rsidRPr="00187940">
        <w:t>Gina D’Alfonso</w:t>
      </w:r>
      <w:r w:rsidRPr="00187940">
        <w:t xml:space="preserve">, Esquire, on behalf of </w:t>
      </w:r>
      <w:proofErr w:type="spellStart"/>
      <w:r w:rsidRPr="00187940">
        <w:t>PennDOT</w:t>
      </w:r>
      <w:proofErr w:type="spellEnd"/>
      <w:r w:rsidR="00187940">
        <w:t xml:space="preserve">; Michael </w:t>
      </w:r>
      <w:proofErr w:type="spellStart"/>
      <w:r w:rsidR="00187940">
        <w:t>Gruin</w:t>
      </w:r>
      <w:proofErr w:type="spellEnd"/>
      <w:r w:rsidR="00187940">
        <w:t>, Esquire, on behalf of Pennsylvania American Water Company (PAWC); Martha Smith, Esquire, on behalf of DCNR; and Janice Longer, Esquire, on behalf of Eden Township</w:t>
      </w:r>
      <w:r w:rsidRPr="00187940">
        <w:t>.</w:t>
      </w:r>
    </w:p>
    <w:p w:rsidR="00C5657B" w:rsidRPr="00187940" w:rsidRDefault="00C5657B">
      <w:pPr>
        <w:spacing w:line="360" w:lineRule="auto"/>
        <w:ind w:firstLine="1440"/>
      </w:pPr>
    </w:p>
    <w:p w:rsidR="00E93D93" w:rsidRPr="00187940" w:rsidRDefault="00E93D93">
      <w:pPr>
        <w:spacing w:line="360" w:lineRule="auto"/>
        <w:ind w:firstLine="1440"/>
      </w:pPr>
      <w:r w:rsidRPr="00187940">
        <w:lastRenderedPageBreak/>
        <w:t>During the Initial Prehearing Conference, various procedural matters were discussed.  Most notably, the following procedural schedule was agreed upon:</w:t>
      </w:r>
    </w:p>
    <w:p w:rsidR="00D94D3A" w:rsidRPr="00187940" w:rsidRDefault="00D94D3A">
      <w:pPr>
        <w:spacing w:line="360" w:lineRule="auto"/>
        <w:ind w:firstLine="1440"/>
      </w:pPr>
    </w:p>
    <w:tbl>
      <w:tblPr>
        <w:tblStyle w:val="TableGrid"/>
        <w:tblW w:w="0" w:type="auto"/>
        <w:tblInd w:w="1008" w:type="dxa"/>
        <w:tblLook w:val="04A0" w:firstRow="1" w:lastRow="0" w:firstColumn="1" w:lastColumn="0" w:noHBand="0" w:noVBand="1"/>
      </w:tblPr>
      <w:tblGrid>
        <w:gridCol w:w="3420"/>
        <w:gridCol w:w="3420"/>
      </w:tblGrid>
      <w:tr w:rsidR="00D94D3A" w:rsidRPr="00187940" w:rsidTr="00107108">
        <w:tc>
          <w:tcPr>
            <w:tcW w:w="3420" w:type="dxa"/>
          </w:tcPr>
          <w:p w:rsidR="00D94D3A" w:rsidRPr="00187940" w:rsidRDefault="00187940">
            <w:pPr>
              <w:spacing w:line="360" w:lineRule="auto"/>
            </w:pPr>
            <w:r w:rsidRPr="00187940">
              <w:t>Eden</w:t>
            </w:r>
            <w:r w:rsidR="00107108" w:rsidRPr="00187940">
              <w:t xml:space="preserve"> </w:t>
            </w:r>
            <w:r w:rsidR="00D94D3A" w:rsidRPr="00187940">
              <w:t>Direct Testimony</w:t>
            </w:r>
          </w:p>
        </w:tc>
        <w:tc>
          <w:tcPr>
            <w:tcW w:w="3420" w:type="dxa"/>
          </w:tcPr>
          <w:p w:rsidR="00D94D3A" w:rsidRPr="00187940" w:rsidRDefault="00187940">
            <w:pPr>
              <w:spacing w:line="360" w:lineRule="auto"/>
            </w:pPr>
            <w:r w:rsidRPr="00187940">
              <w:t>May 10</w:t>
            </w:r>
            <w:r w:rsidR="00D94D3A" w:rsidRPr="00187940">
              <w:t>, 2013</w:t>
            </w:r>
          </w:p>
        </w:tc>
      </w:tr>
      <w:tr w:rsidR="00D94D3A" w:rsidRPr="00187940" w:rsidTr="00107108">
        <w:tc>
          <w:tcPr>
            <w:tcW w:w="3420" w:type="dxa"/>
          </w:tcPr>
          <w:p w:rsidR="00D94D3A" w:rsidRPr="00187940" w:rsidRDefault="00107108" w:rsidP="00187940">
            <w:pPr>
              <w:spacing w:line="360" w:lineRule="auto"/>
            </w:pPr>
            <w:proofErr w:type="spellStart"/>
            <w:r w:rsidRPr="00187940">
              <w:t>Intervenor</w:t>
            </w:r>
            <w:proofErr w:type="spellEnd"/>
            <w:r w:rsidRPr="00187940">
              <w:t xml:space="preserve"> </w:t>
            </w:r>
            <w:r w:rsidR="00187940" w:rsidRPr="00187940">
              <w:t xml:space="preserve">Direct </w:t>
            </w:r>
            <w:r w:rsidR="00D94D3A" w:rsidRPr="00187940">
              <w:t>Testimony</w:t>
            </w:r>
          </w:p>
        </w:tc>
        <w:tc>
          <w:tcPr>
            <w:tcW w:w="3420" w:type="dxa"/>
          </w:tcPr>
          <w:p w:rsidR="00D94D3A" w:rsidRPr="00187940" w:rsidRDefault="00187940">
            <w:pPr>
              <w:spacing w:line="360" w:lineRule="auto"/>
            </w:pPr>
            <w:r w:rsidRPr="00187940">
              <w:t>June 7</w:t>
            </w:r>
            <w:r w:rsidR="00D94D3A" w:rsidRPr="00187940">
              <w:t>, 2013</w:t>
            </w:r>
          </w:p>
        </w:tc>
      </w:tr>
      <w:tr w:rsidR="00D94D3A" w:rsidRPr="00187940" w:rsidTr="00107108">
        <w:tc>
          <w:tcPr>
            <w:tcW w:w="3420" w:type="dxa"/>
          </w:tcPr>
          <w:p w:rsidR="00D94D3A" w:rsidRPr="00187940" w:rsidRDefault="00187940">
            <w:pPr>
              <w:spacing w:line="360" w:lineRule="auto"/>
            </w:pPr>
            <w:r w:rsidRPr="00187940">
              <w:t xml:space="preserve">All Party Rebuttal </w:t>
            </w:r>
            <w:r w:rsidR="00D94D3A" w:rsidRPr="00187940">
              <w:t>Testimony</w:t>
            </w:r>
          </w:p>
        </w:tc>
        <w:tc>
          <w:tcPr>
            <w:tcW w:w="3420" w:type="dxa"/>
          </w:tcPr>
          <w:p w:rsidR="00D94D3A" w:rsidRPr="00187940" w:rsidRDefault="00187940">
            <w:pPr>
              <w:spacing w:line="360" w:lineRule="auto"/>
            </w:pPr>
            <w:r w:rsidRPr="00187940">
              <w:t>June 28</w:t>
            </w:r>
            <w:r w:rsidR="00D94D3A" w:rsidRPr="00187940">
              <w:t>, 2013</w:t>
            </w:r>
          </w:p>
        </w:tc>
      </w:tr>
      <w:tr w:rsidR="00D94D3A" w:rsidRPr="00187940" w:rsidTr="00107108">
        <w:tc>
          <w:tcPr>
            <w:tcW w:w="3420" w:type="dxa"/>
          </w:tcPr>
          <w:p w:rsidR="00D94D3A" w:rsidRPr="00187940" w:rsidRDefault="00D94D3A">
            <w:pPr>
              <w:spacing w:line="360" w:lineRule="auto"/>
            </w:pPr>
            <w:r w:rsidRPr="00187940">
              <w:t>Hearings</w:t>
            </w:r>
          </w:p>
        </w:tc>
        <w:tc>
          <w:tcPr>
            <w:tcW w:w="3420" w:type="dxa"/>
          </w:tcPr>
          <w:p w:rsidR="00D94D3A" w:rsidRPr="00187940" w:rsidRDefault="00187940">
            <w:pPr>
              <w:spacing w:line="360" w:lineRule="auto"/>
            </w:pPr>
            <w:r w:rsidRPr="00187940">
              <w:t>July 17</w:t>
            </w:r>
            <w:r w:rsidR="00D94D3A" w:rsidRPr="00187940">
              <w:t>, 2013</w:t>
            </w:r>
          </w:p>
        </w:tc>
      </w:tr>
      <w:tr w:rsidR="00D94D3A" w:rsidRPr="00187940" w:rsidTr="00107108">
        <w:tc>
          <w:tcPr>
            <w:tcW w:w="3420" w:type="dxa"/>
          </w:tcPr>
          <w:p w:rsidR="00D94D3A" w:rsidRPr="00187940" w:rsidRDefault="00D94D3A">
            <w:pPr>
              <w:spacing w:line="360" w:lineRule="auto"/>
            </w:pPr>
            <w:r w:rsidRPr="00187940">
              <w:t>Main Briefs</w:t>
            </w:r>
          </w:p>
        </w:tc>
        <w:tc>
          <w:tcPr>
            <w:tcW w:w="3420" w:type="dxa"/>
          </w:tcPr>
          <w:p w:rsidR="00D94D3A" w:rsidRPr="00187940" w:rsidRDefault="00D94D3A">
            <w:pPr>
              <w:spacing w:line="360" w:lineRule="auto"/>
            </w:pPr>
            <w:r w:rsidRPr="00187940">
              <w:t>30 days after receipt of transcript</w:t>
            </w:r>
          </w:p>
        </w:tc>
      </w:tr>
      <w:tr w:rsidR="00D94D3A" w:rsidRPr="00187940" w:rsidTr="00107108">
        <w:tc>
          <w:tcPr>
            <w:tcW w:w="3420" w:type="dxa"/>
          </w:tcPr>
          <w:p w:rsidR="00D94D3A" w:rsidRPr="00187940" w:rsidRDefault="00D94D3A">
            <w:pPr>
              <w:spacing w:line="360" w:lineRule="auto"/>
            </w:pPr>
            <w:r w:rsidRPr="00187940">
              <w:t>Reply Briefs</w:t>
            </w:r>
          </w:p>
        </w:tc>
        <w:tc>
          <w:tcPr>
            <w:tcW w:w="3420" w:type="dxa"/>
          </w:tcPr>
          <w:p w:rsidR="00D94D3A" w:rsidRPr="00187940" w:rsidRDefault="00187940">
            <w:pPr>
              <w:spacing w:line="360" w:lineRule="auto"/>
            </w:pPr>
            <w:r w:rsidRPr="00187940">
              <w:t xml:space="preserve">20 </w:t>
            </w:r>
            <w:r w:rsidR="00D94D3A" w:rsidRPr="00187940">
              <w:t>days after Main Briefs</w:t>
            </w:r>
          </w:p>
        </w:tc>
      </w:tr>
    </w:tbl>
    <w:p w:rsidR="00E93D93" w:rsidRPr="00187940" w:rsidRDefault="00E93D93" w:rsidP="00E93D93">
      <w:pPr>
        <w:spacing w:line="360" w:lineRule="auto"/>
      </w:pPr>
    </w:p>
    <w:p w:rsidR="00E93D93" w:rsidRPr="00187940" w:rsidRDefault="00D601F0" w:rsidP="00E93D93">
      <w:pPr>
        <w:spacing w:line="360" w:lineRule="auto"/>
      </w:pPr>
      <w:r w:rsidRPr="00187940">
        <w:t xml:space="preserve">The hearing </w:t>
      </w:r>
      <w:r w:rsidR="00E93D93" w:rsidRPr="00187940">
        <w:t xml:space="preserve">will be held in Harrisburg </w:t>
      </w:r>
      <w:r w:rsidR="00427BB1" w:rsidRPr="00187940">
        <w:t>in a hearing room in the Commonwealth Keystone Building</w:t>
      </w:r>
      <w:r w:rsidR="00E93D93" w:rsidRPr="00187940">
        <w:t>.</w:t>
      </w:r>
      <w:r w:rsidR="00522D71" w:rsidRPr="00187940">
        <w:t xml:space="preserve">  Other procedural issues were discussed as detailed below.  </w:t>
      </w:r>
      <w:r w:rsidR="00187940">
        <w:t>Both PAWC</w:t>
      </w:r>
      <w:r w:rsidR="00522D71" w:rsidRPr="00187940">
        <w:t xml:space="preserve"> </w:t>
      </w:r>
      <w:r w:rsidR="00187940">
        <w:t xml:space="preserve">and the National Railroad Passenger Corporation (AMTRAK) </w:t>
      </w:r>
      <w:r w:rsidR="00522D71" w:rsidRPr="00187940">
        <w:t xml:space="preserve">requested to </w:t>
      </w:r>
      <w:r w:rsidR="00187940">
        <w:t xml:space="preserve">remain a party to the proceeding to monitor </w:t>
      </w:r>
      <w:r w:rsidR="000C541F">
        <w:t xml:space="preserve">the impact it may have on their respective companies and asked </w:t>
      </w:r>
      <w:r w:rsidR="00522D71" w:rsidRPr="00187940">
        <w:t xml:space="preserve">to remain on the service list.  </w:t>
      </w:r>
      <w:r w:rsidR="000C541F">
        <w:t xml:space="preserve">Neither request was opposed.  </w:t>
      </w:r>
      <w:r w:rsidR="00522D71" w:rsidRPr="00187940">
        <w:t xml:space="preserve">As </w:t>
      </w:r>
      <w:r w:rsidR="000C541F">
        <w:t xml:space="preserve">those </w:t>
      </w:r>
      <w:r w:rsidR="00522D71" w:rsidRPr="00187940">
        <w:t>request</w:t>
      </w:r>
      <w:r w:rsidR="000C541F">
        <w:t>s were</w:t>
      </w:r>
      <w:r w:rsidR="00522D71" w:rsidRPr="00187940">
        <w:t xml:space="preserve"> reasonable and unopposed, </w:t>
      </w:r>
      <w:r w:rsidR="000C541F">
        <w:t xml:space="preserve">they were </w:t>
      </w:r>
      <w:r w:rsidR="00522D71" w:rsidRPr="00187940">
        <w:t>granted.</w:t>
      </w:r>
    </w:p>
    <w:p w:rsidR="00D22294" w:rsidRPr="00444E27" w:rsidRDefault="00D22294" w:rsidP="00E93D93">
      <w:pPr>
        <w:spacing w:line="360" w:lineRule="auto"/>
        <w:rPr>
          <w:strike/>
        </w:rPr>
      </w:pPr>
    </w:p>
    <w:p w:rsidR="00D22294" w:rsidRPr="00F441B2" w:rsidRDefault="00107108" w:rsidP="00D601F0">
      <w:pPr>
        <w:tabs>
          <w:tab w:val="left" w:pos="-720"/>
          <w:tab w:val="left" w:pos="1260"/>
          <w:tab w:val="left" w:pos="2070"/>
        </w:tabs>
        <w:suppressAutoHyphens/>
        <w:spacing w:line="360" w:lineRule="auto"/>
        <w:ind w:firstLine="1440"/>
      </w:pPr>
      <w:r w:rsidRPr="00F441B2">
        <w:t xml:space="preserve">The parties were reminded that </w:t>
      </w:r>
      <w:r w:rsidR="00D22294" w:rsidRPr="00F441B2">
        <w:t xml:space="preserve">Commission policy promotes settlements.  </w:t>
      </w:r>
      <w:proofErr w:type="gramStart"/>
      <w:r w:rsidR="00D22294" w:rsidRPr="00F441B2">
        <w:t>52 Pa. Code §5.231(a).</w:t>
      </w:r>
      <w:proofErr w:type="gramEnd"/>
      <w:r w:rsidR="00D22294" w:rsidRPr="00F441B2">
        <w:t xml:space="preserve">  </w:t>
      </w:r>
      <w:r w:rsidR="00D601F0" w:rsidRPr="00F441B2">
        <w:t xml:space="preserve">The parties are encouraged to commence settlement discussions as early as possible.  </w:t>
      </w:r>
      <w:r w:rsidR="00D22294" w:rsidRPr="00F441B2">
        <w:t>Even if the parties are unable to settle this case, they may still resolve some of the questions or issues during their discussions.  If the parties reach an agreement on all issues, a formal hearing will not be necessary and the scheduled hearing will be cancelled.</w:t>
      </w:r>
      <w:r w:rsidR="00D601F0" w:rsidRPr="00F441B2">
        <w:t xml:space="preserve">  The parties are reminded, however, that </w:t>
      </w:r>
      <w:r w:rsidR="00111D05" w:rsidRPr="00F441B2">
        <w:t xml:space="preserve">decisions of the Commission must be supported by substantial evidence.  </w:t>
      </w:r>
      <w:proofErr w:type="gramStart"/>
      <w:r w:rsidR="00111D05" w:rsidRPr="00F441B2">
        <w:t>2 Pa. C.S. § 704.</w:t>
      </w:r>
      <w:proofErr w:type="gramEnd"/>
      <w:r w:rsidR="00111D05" w:rsidRPr="00F441B2">
        <w:t xml:space="preserve">  "Substantial evidence" is such relevant evidence that a reasonable mind might accept as adequate to support a conclusion.  More is required than a mere trace of evidence or a suspicion of the existence of a fact sought to be established.  Any settlement submitted for approval must be supported by substantial evidence.</w:t>
      </w:r>
    </w:p>
    <w:p w:rsidR="00D22294" w:rsidRDefault="00D22294" w:rsidP="00E93D93">
      <w:pPr>
        <w:spacing w:line="360" w:lineRule="auto"/>
      </w:pPr>
    </w:p>
    <w:p w:rsidR="00AA5A3B" w:rsidRDefault="00AA5A3B" w:rsidP="00E93D93">
      <w:pPr>
        <w:spacing w:line="360" w:lineRule="auto"/>
      </w:pPr>
    </w:p>
    <w:p w:rsidR="00AA5A3B" w:rsidRPr="00F441B2" w:rsidRDefault="00AA5A3B" w:rsidP="00E93D93">
      <w:pPr>
        <w:spacing w:line="360" w:lineRule="auto"/>
      </w:pPr>
    </w:p>
    <w:p w:rsidR="006D33B5" w:rsidRPr="00F441B2" w:rsidRDefault="006D33B5">
      <w:pPr>
        <w:spacing w:line="360" w:lineRule="auto"/>
        <w:ind w:firstLine="1440"/>
        <w:rPr>
          <w:bCs/>
        </w:rPr>
      </w:pPr>
      <w:r w:rsidRPr="00F441B2">
        <w:rPr>
          <w:bCs/>
        </w:rPr>
        <w:lastRenderedPageBreak/>
        <w:t>THEREFORE,</w:t>
      </w:r>
    </w:p>
    <w:p w:rsidR="006D33B5" w:rsidRPr="00F441B2" w:rsidRDefault="006D33B5">
      <w:pPr>
        <w:spacing w:line="360" w:lineRule="auto"/>
        <w:ind w:firstLine="1440"/>
      </w:pPr>
    </w:p>
    <w:p w:rsidR="0013770C" w:rsidRPr="00F441B2" w:rsidRDefault="006D33B5" w:rsidP="0013770C">
      <w:pPr>
        <w:spacing w:line="360" w:lineRule="auto"/>
        <w:ind w:firstLine="1440"/>
        <w:rPr>
          <w:bCs/>
        </w:rPr>
      </w:pPr>
      <w:r w:rsidRPr="00F441B2">
        <w:rPr>
          <w:bCs/>
        </w:rPr>
        <w:t>IT IS ORDERED:</w:t>
      </w:r>
    </w:p>
    <w:p w:rsidR="0013770C" w:rsidRPr="00F441B2" w:rsidRDefault="0013770C" w:rsidP="0013770C">
      <w:pPr>
        <w:spacing w:line="360" w:lineRule="auto"/>
        <w:ind w:firstLine="1440"/>
        <w:rPr>
          <w:bCs/>
        </w:rPr>
      </w:pPr>
    </w:p>
    <w:p w:rsidR="00D626EC" w:rsidRPr="00F441B2" w:rsidRDefault="00D626EC" w:rsidP="00111D05">
      <w:pPr>
        <w:pStyle w:val="ListParagraph"/>
        <w:numPr>
          <w:ilvl w:val="0"/>
          <w:numId w:val="11"/>
        </w:numPr>
        <w:ind w:left="2160" w:hanging="720"/>
      </w:pPr>
      <w:r w:rsidRPr="00F441B2">
        <w:t>That the following schedule is adopted:</w:t>
      </w:r>
    </w:p>
    <w:p w:rsidR="00F441B2" w:rsidRPr="00187940" w:rsidRDefault="00F441B2" w:rsidP="00F441B2">
      <w:pPr>
        <w:pStyle w:val="ListParagraph"/>
        <w:spacing w:line="360" w:lineRule="auto"/>
        <w:ind w:left="1800"/>
      </w:pPr>
    </w:p>
    <w:tbl>
      <w:tblPr>
        <w:tblStyle w:val="TableGrid"/>
        <w:tblW w:w="0" w:type="auto"/>
        <w:tblInd w:w="1008" w:type="dxa"/>
        <w:tblLook w:val="04A0" w:firstRow="1" w:lastRow="0" w:firstColumn="1" w:lastColumn="0" w:noHBand="0" w:noVBand="1"/>
      </w:tblPr>
      <w:tblGrid>
        <w:gridCol w:w="3420"/>
        <w:gridCol w:w="3420"/>
      </w:tblGrid>
      <w:tr w:rsidR="00F441B2" w:rsidRPr="00187940" w:rsidTr="00E3771C">
        <w:tc>
          <w:tcPr>
            <w:tcW w:w="3420" w:type="dxa"/>
          </w:tcPr>
          <w:p w:rsidR="00F441B2" w:rsidRPr="00187940" w:rsidRDefault="00F441B2" w:rsidP="00E3771C">
            <w:pPr>
              <w:spacing w:line="360" w:lineRule="auto"/>
            </w:pPr>
            <w:r w:rsidRPr="00187940">
              <w:t>Eden Direct Testimony</w:t>
            </w:r>
          </w:p>
        </w:tc>
        <w:tc>
          <w:tcPr>
            <w:tcW w:w="3420" w:type="dxa"/>
          </w:tcPr>
          <w:p w:rsidR="00F441B2" w:rsidRPr="00187940" w:rsidRDefault="00F441B2" w:rsidP="00E3771C">
            <w:pPr>
              <w:spacing w:line="360" w:lineRule="auto"/>
            </w:pPr>
            <w:r w:rsidRPr="00187940">
              <w:t>May 10, 2013</w:t>
            </w:r>
          </w:p>
        </w:tc>
      </w:tr>
      <w:tr w:rsidR="00F441B2" w:rsidRPr="00187940" w:rsidTr="00E3771C">
        <w:tc>
          <w:tcPr>
            <w:tcW w:w="3420" w:type="dxa"/>
          </w:tcPr>
          <w:p w:rsidR="00F441B2" w:rsidRPr="00187940" w:rsidRDefault="00F441B2" w:rsidP="00E3771C">
            <w:pPr>
              <w:spacing w:line="360" w:lineRule="auto"/>
            </w:pPr>
            <w:proofErr w:type="spellStart"/>
            <w:r w:rsidRPr="00187940">
              <w:t>Intervenor</w:t>
            </w:r>
            <w:proofErr w:type="spellEnd"/>
            <w:r w:rsidRPr="00187940">
              <w:t xml:space="preserve"> Direct Testimony</w:t>
            </w:r>
          </w:p>
        </w:tc>
        <w:tc>
          <w:tcPr>
            <w:tcW w:w="3420" w:type="dxa"/>
          </w:tcPr>
          <w:p w:rsidR="00F441B2" w:rsidRPr="00187940" w:rsidRDefault="00F441B2" w:rsidP="00E3771C">
            <w:pPr>
              <w:spacing w:line="360" w:lineRule="auto"/>
            </w:pPr>
            <w:r w:rsidRPr="00187940">
              <w:t>June 7, 2013</w:t>
            </w:r>
          </w:p>
        </w:tc>
      </w:tr>
      <w:tr w:rsidR="00F441B2" w:rsidRPr="00187940" w:rsidTr="00E3771C">
        <w:tc>
          <w:tcPr>
            <w:tcW w:w="3420" w:type="dxa"/>
          </w:tcPr>
          <w:p w:rsidR="00F441B2" w:rsidRPr="00187940" w:rsidRDefault="00F441B2" w:rsidP="00E3771C">
            <w:pPr>
              <w:spacing w:line="360" w:lineRule="auto"/>
            </w:pPr>
            <w:r w:rsidRPr="00187940">
              <w:t>All Party Rebuttal Testimony</w:t>
            </w:r>
          </w:p>
        </w:tc>
        <w:tc>
          <w:tcPr>
            <w:tcW w:w="3420" w:type="dxa"/>
          </w:tcPr>
          <w:p w:rsidR="00F441B2" w:rsidRPr="00187940" w:rsidRDefault="00F441B2" w:rsidP="00E3771C">
            <w:pPr>
              <w:spacing w:line="360" w:lineRule="auto"/>
            </w:pPr>
            <w:r w:rsidRPr="00187940">
              <w:t>June 28, 2013</w:t>
            </w:r>
          </w:p>
        </w:tc>
      </w:tr>
      <w:tr w:rsidR="00F441B2" w:rsidRPr="00187940" w:rsidTr="00E3771C">
        <w:tc>
          <w:tcPr>
            <w:tcW w:w="3420" w:type="dxa"/>
          </w:tcPr>
          <w:p w:rsidR="00F441B2" w:rsidRPr="00187940" w:rsidRDefault="00F441B2" w:rsidP="00E3771C">
            <w:pPr>
              <w:spacing w:line="360" w:lineRule="auto"/>
            </w:pPr>
            <w:r w:rsidRPr="00187940">
              <w:t>Hearings</w:t>
            </w:r>
          </w:p>
        </w:tc>
        <w:tc>
          <w:tcPr>
            <w:tcW w:w="3420" w:type="dxa"/>
          </w:tcPr>
          <w:p w:rsidR="00F441B2" w:rsidRPr="00187940" w:rsidRDefault="00F441B2" w:rsidP="00E3771C">
            <w:pPr>
              <w:spacing w:line="360" w:lineRule="auto"/>
            </w:pPr>
            <w:r w:rsidRPr="00187940">
              <w:t>July 17, 2013</w:t>
            </w:r>
          </w:p>
        </w:tc>
      </w:tr>
      <w:tr w:rsidR="00F441B2" w:rsidRPr="00187940" w:rsidTr="00E3771C">
        <w:tc>
          <w:tcPr>
            <w:tcW w:w="3420" w:type="dxa"/>
          </w:tcPr>
          <w:p w:rsidR="00F441B2" w:rsidRPr="00187940" w:rsidRDefault="00F441B2" w:rsidP="00E3771C">
            <w:pPr>
              <w:spacing w:line="360" w:lineRule="auto"/>
            </w:pPr>
            <w:r w:rsidRPr="00187940">
              <w:t>Main Briefs</w:t>
            </w:r>
          </w:p>
        </w:tc>
        <w:tc>
          <w:tcPr>
            <w:tcW w:w="3420" w:type="dxa"/>
          </w:tcPr>
          <w:p w:rsidR="00F441B2" w:rsidRPr="00187940" w:rsidRDefault="00F441B2" w:rsidP="00E3771C">
            <w:pPr>
              <w:spacing w:line="360" w:lineRule="auto"/>
            </w:pPr>
            <w:r w:rsidRPr="00187940">
              <w:t>30 days after receipt of transcript</w:t>
            </w:r>
          </w:p>
        </w:tc>
      </w:tr>
      <w:tr w:rsidR="00F441B2" w:rsidRPr="00187940" w:rsidTr="00E3771C">
        <w:tc>
          <w:tcPr>
            <w:tcW w:w="3420" w:type="dxa"/>
          </w:tcPr>
          <w:p w:rsidR="00F441B2" w:rsidRPr="00187940" w:rsidRDefault="00F441B2" w:rsidP="00E3771C">
            <w:pPr>
              <w:spacing w:line="360" w:lineRule="auto"/>
            </w:pPr>
            <w:r w:rsidRPr="00187940">
              <w:t>Reply Briefs</w:t>
            </w:r>
          </w:p>
        </w:tc>
        <w:tc>
          <w:tcPr>
            <w:tcW w:w="3420" w:type="dxa"/>
          </w:tcPr>
          <w:p w:rsidR="00F441B2" w:rsidRPr="00187940" w:rsidRDefault="00F441B2" w:rsidP="00F441B2">
            <w:pPr>
              <w:spacing w:line="360" w:lineRule="auto"/>
            </w:pPr>
            <w:r>
              <w:t xml:space="preserve">20 </w:t>
            </w:r>
            <w:r w:rsidRPr="00187940">
              <w:t>days after Main Briefs</w:t>
            </w:r>
          </w:p>
        </w:tc>
      </w:tr>
    </w:tbl>
    <w:p w:rsidR="00F441B2" w:rsidRPr="00F441B2" w:rsidRDefault="00F441B2" w:rsidP="00F441B2">
      <w:pPr>
        <w:pStyle w:val="BodyTextIndent"/>
        <w:spacing w:line="360" w:lineRule="auto"/>
        <w:ind w:left="0" w:firstLine="0"/>
        <w:jc w:val="left"/>
        <w:rPr>
          <w:sz w:val="24"/>
          <w:szCs w:val="24"/>
        </w:rPr>
      </w:pPr>
    </w:p>
    <w:p w:rsidR="00F441B2" w:rsidRPr="00F441B2" w:rsidRDefault="00F441B2" w:rsidP="00F441B2">
      <w:pPr>
        <w:pStyle w:val="BodyTextIndent"/>
        <w:numPr>
          <w:ilvl w:val="0"/>
          <w:numId w:val="11"/>
        </w:numPr>
        <w:spacing w:line="360" w:lineRule="auto"/>
        <w:jc w:val="left"/>
        <w:rPr>
          <w:sz w:val="24"/>
          <w:szCs w:val="24"/>
        </w:rPr>
      </w:pPr>
      <w:r w:rsidRPr="00F441B2">
        <w:rPr>
          <w:sz w:val="24"/>
          <w:szCs w:val="24"/>
        </w:rPr>
        <w:t>That the service list shall be limited to the following parties:</w:t>
      </w:r>
    </w:p>
    <w:p w:rsidR="00F441B2" w:rsidRPr="00F441B2" w:rsidRDefault="00F441B2" w:rsidP="00F441B2">
      <w:pPr>
        <w:pStyle w:val="ListParagraph"/>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0"/>
        <w:gridCol w:w="3686"/>
      </w:tblGrid>
      <w:tr w:rsidR="00F441B2" w:rsidRPr="00F441B2" w:rsidTr="00E3771C">
        <w:tc>
          <w:tcPr>
            <w:tcW w:w="3730" w:type="dxa"/>
            <w:shd w:val="clear" w:color="auto" w:fill="auto"/>
          </w:tcPr>
          <w:p w:rsidR="00F441B2" w:rsidRPr="00F441B2" w:rsidRDefault="00F441B2" w:rsidP="00E3771C">
            <w:pPr>
              <w:pStyle w:val="BodyTextIndent"/>
              <w:ind w:firstLine="0"/>
              <w:jc w:val="center"/>
              <w:rPr>
                <w:b/>
                <w:sz w:val="24"/>
                <w:szCs w:val="24"/>
                <w:u w:val="single"/>
              </w:rPr>
            </w:pPr>
            <w:r w:rsidRPr="00F441B2">
              <w:rPr>
                <w:b/>
                <w:sz w:val="24"/>
                <w:szCs w:val="24"/>
                <w:u w:val="single"/>
              </w:rPr>
              <w:t>Party</w:t>
            </w:r>
          </w:p>
        </w:tc>
        <w:tc>
          <w:tcPr>
            <w:tcW w:w="3686" w:type="dxa"/>
            <w:shd w:val="clear" w:color="auto" w:fill="auto"/>
          </w:tcPr>
          <w:p w:rsidR="00F441B2" w:rsidRPr="00F441B2" w:rsidRDefault="00F441B2" w:rsidP="00E3771C">
            <w:pPr>
              <w:pStyle w:val="BodyTextIndent"/>
              <w:ind w:firstLine="0"/>
              <w:jc w:val="center"/>
              <w:rPr>
                <w:b/>
                <w:sz w:val="24"/>
                <w:szCs w:val="24"/>
                <w:u w:val="single"/>
              </w:rPr>
            </w:pPr>
            <w:r w:rsidRPr="00F441B2">
              <w:rPr>
                <w:b/>
                <w:sz w:val="24"/>
                <w:szCs w:val="24"/>
                <w:u w:val="single"/>
              </w:rPr>
              <w:t>Counsel</w:t>
            </w:r>
          </w:p>
        </w:tc>
      </w:tr>
      <w:tr w:rsidR="00F441B2" w:rsidRPr="00F441B2" w:rsidTr="00E3771C">
        <w:tc>
          <w:tcPr>
            <w:tcW w:w="3730" w:type="dxa"/>
            <w:shd w:val="clear" w:color="auto" w:fill="auto"/>
          </w:tcPr>
          <w:p w:rsidR="00F441B2" w:rsidRPr="00F441B2" w:rsidRDefault="001C7E2F" w:rsidP="00E3771C">
            <w:pPr>
              <w:pStyle w:val="BodyTextIndent"/>
              <w:ind w:firstLine="0"/>
              <w:rPr>
                <w:sz w:val="24"/>
                <w:szCs w:val="24"/>
              </w:rPr>
            </w:pPr>
            <w:r>
              <w:rPr>
                <w:sz w:val="24"/>
                <w:szCs w:val="24"/>
              </w:rPr>
              <w:t>Eden Township</w:t>
            </w:r>
          </w:p>
        </w:tc>
        <w:tc>
          <w:tcPr>
            <w:tcW w:w="3686" w:type="dxa"/>
            <w:shd w:val="clear" w:color="auto" w:fill="auto"/>
          </w:tcPr>
          <w:p w:rsidR="00F441B2" w:rsidRPr="00F441B2" w:rsidRDefault="001C7E2F" w:rsidP="00E3771C">
            <w:pPr>
              <w:pStyle w:val="BodyTextIndent"/>
              <w:ind w:firstLine="0"/>
              <w:rPr>
                <w:sz w:val="24"/>
                <w:szCs w:val="24"/>
              </w:rPr>
            </w:pPr>
            <w:r>
              <w:rPr>
                <w:sz w:val="24"/>
                <w:szCs w:val="24"/>
              </w:rPr>
              <w:t>Janice Longer</w:t>
            </w:r>
            <w:r w:rsidR="00F441B2" w:rsidRPr="00F441B2">
              <w:rPr>
                <w:sz w:val="24"/>
                <w:szCs w:val="24"/>
              </w:rPr>
              <w:t>, Esquire</w:t>
            </w:r>
          </w:p>
        </w:tc>
      </w:tr>
      <w:tr w:rsidR="00F441B2" w:rsidRPr="00F441B2" w:rsidTr="00E3771C">
        <w:tc>
          <w:tcPr>
            <w:tcW w:w="3730" w:type="dxa"/>
            <w:shd w:val="clear" w:color="auto" w:fill="auto"/>
          </w:tcPr>
          <w:p w:rsidR="00F441B2" w:rsidRPr="00F441B2" w:rsidRDefault="001C7E2F" w:rsidP="00E3771C">
            <w:pPr>
              <w:pStyle w:val="BodyTextIndent"/>
              <w:ind w:firstLine="0"/>
              <w:rPr>
                <w:sz w:val="24"/>
                <w:szCs w:val="24"/>
              </w:rPr>
            </w:pPr>
            <w:r>
              <w:rPr>
                <w:sz w:val="24"/>
                <w:szCs w:val="24"/>
              </w:rPr>
              <w:t>BI&amp;E</w:t>
            </w:r>
          </w:p>
        </w:tc>
        <w:tc>
          <w:tcPr>
            <w:tcW w:w="3686" w:type="dxa"/>
            <w:shd w:val="clear" w:color="auto" w:fill="auto"/>
          </w:tcPr>
          <w:p w:rsidR="00F441B2" w:rsidRPr="00F441B2" w:rsidRDefault="001C7E2F" w:rsidP="00E3771C">
            <w:pPr>
              <w:pStyle w:val="BodyTextIndent"/>
              <w:ind w:firstLine="0"/>
              <w:rPr>
                <w:sz w:val="24"/>
                <w:szCs w:val="24"/>
              </w:rPr>
            </w:pPr>
            <w:r>
              <w:rPr>
                <w:sz w:val="24"/>
                <w:szCs w:val="24"/>
              </w:rPr>
              <w:t>David Screven</w:t>
            </w:r>
            <w:r w:rsidR="00F441B2" w:rsidRPr="00F441B2">
              <w:rPr>
                <w:sz w:val="24"/>
                <w:szCs w:val="24"/>
              </w:rPr>
              <w:t>, Esquire</w:t>
            </w:r>
          </w:p>
        </w:tc>
      </w:tr>
      <w:tr w:rsidR="00F441B2" w:rsidRPr="00F441B2" w:rsidTr="00E3771C">
        <w:tc>
          <w:tcPr>
            <w:tcW w:w="3730" w:type="dxa"/>
            <w:shd w:val="clear" w:color="auto" w:fill="auto"/>
          </w:tcPr>
          <w:p w:rsidR="00F441B2" w:rsidRPr="00F441B2" w:rsidRDefault="00F441B2" w:rsidP="00E3771C">
            <w:pPr>
              <w:pStyle w:val="BodyTextIndent"/>
              <w:ind w:firstLine="0"/>
              <w:rPr>
                <w:sz w:val="24"/>
                <w:szCs w:val="24"/>
              </w:rPr>
            </w:pPr>
            <w:r w:rsidRPr="00F441B2">
              <w:rPr>
                <w:sz w:val="24"/>
                <w:szCs w:val="24"/>
              </w:rPr>
              <w:t>Norfolk Southern Railway</w:t>
            </w:r>
          </w:p>
        </w:tc>
        <w:tc>
          <w:tcPr>
            <w:tcW w:w="3686" w:type="dxa"/>
            <w:shd w:val="clear" w:color="auto" w:fill="auto"/>
          </w:tcPr>
          <w:p w:rsidR="00F441B2" w:rsidRPr="00F441B2" w:rsidRDefault="00F441B2" w:rsidP="00E3771C">
            <w:pPr>
              <w:pStyle w:val="BodyTextIndent"/>
              <w:ind w:firstLine="0"/>
              <w:rPr>
                <w:sz w:val="24"/>
                <w:szCs w:val="24"/>
              </w:rPr>
            </w:pPr>
            <w:r w:rsidRPr="00F441B2">
              <w:rPr>
                <w:sz w:val="24"/>
                <w:szCs w:val="24"/>
              </w:rPr>
              <w:t>Benjamin C. Dunlap, Esquire</w:t>
            </w:r>
          </w:p>
        </w:tc>
      </w:tr>
      <w:tr w:rsidR="00F441B2" w:rsidRPr="00F441B2" w:rsidTr="00E3771C">
        <w:tc>
          <w:tcPr>
            <w:tcW w:w="3730" w:type="dxa"/>
            <w:shd w:val="clear" w:color="auto" w:fill="auto"/>
          </w:tcPr>
          <w:p w:rsidR="00F441B2" w:rsidRPr="00F441B2" w:rsidRDefault="001C7E2F" w:rsidP="00E3771C">
            <w:pPr>
              <w:pStyle w:val="BodyTextIndent"/>
              <w:ind w:firstLine="0"/>
              <w:rPr>
                <w:sz w:val="24"/>
                <w:szCs w:val="24"/>
              </w:rPr>
            </w:pPr>
            <w:r>
              <w:rPr>
                <w:sz w:val="24"/>
                <w:szCs w:val="24"/>
              </w:rPr>
              <w:t>DCNR</w:t>
            </w:r>
          </w:p>
        </w:tc>
        <w:tc>
          <w:tcPr>
            <w:tcW w:w="3686" w:type="dxa"/>
            <w:shd w:val="clear" w:color="auto" w:fill="auto"/>
          </w:tcPr>
          <w:p w:rsidR="00F441B2" w:rsidRPr="00F441B2" w:rsidRDefault="001C7E2F" w:rsidP="00E3771C">
            <w:pPr>
              <w:pStyle w:val="BodyTextIndent"/>
              <w:ind w:firstLine="0"/>
              <w:rPr>
                <w:sz w:val="24"/>
                <w:szCs w:val="24"/>
              </w:rPr>
            </w:pPr>
            <w:r>
              <w:rPr>
                <w:sz w:val="24"/>
                <w:szCs w:val="24"/>
              </w:rPr>
              <w:t>Martha Smith</w:t>
            </w:r>
            <w:r w:rsidR="00F441B2" w:rsidRPr="00F441B2">
              <w:rPr>
                <w:sz w:val="24"/>
                <w:szCs w:val="24"/>
              </w:rPr>
              <w:t>, Esquire</w:t>
            </w:r>
          </w:p>
        </w:tc>
      </w:tr>
      <w:tr w:rsidR="00F441B2" w:rsidRPr="00F441B2" w:rsidTr="00E3771C">
        <w:tc>
          <w:tcPr>
            <w:tcW w:w="3730" w:type="dxa"/>
            <w:shd w:val="clear" w:color="auto" w:fill="auto"/>
          </w:tcPr>
          <w:p w:rsidR="00F441B2" w:rsidRPr="00F441B2" w:rsidRDefault="00F441B2" w:rsidP="00E3771C">
            <w:pPr>
              <w:pStyle w:val="BodyTextIndent"/>
              <w:ind w:firstLine="0"/>
              <w:rPr>
                <w:sz w:val="24"/>
                <w:szCs w:val="24"/>
              </w:rPr>
            </w:pPr>
            <w:proofErr w:type="spellStart"/>
            <w:r w:rsidRPr="00F441B2">
              <w:rPr>
                <w:sz w:val="24"/>
                <w:szCs w:val="24"/>
              </w:rPr>
              <w:t>PennDOT</w:t>
            </w:r>
            <w:proofErr w:type="spellEnd"/>
          </w:p>
        </w:tc>
        <w:tc>
          <w:tcPr>
            <w:tcW w:w="3686" w:type="dxa"/>
            <w:shd w:val="clear" w:color="auto" w:fill="auto"/>
          </w:tcPr>
          <w:p w:rsidR="00F441B2" w:rsidRPr="00F441B2" w:rsidRDefault="001C7E2F" w:rsidP="00E3771C">
            <w:pPr>
              <w:pStyle w:val="BodyTextIndent"/>
              <w:ind w:firstLine="0"/>
              <w:rPr>
                <w:sz w:val="24"/>
                <w:szCs w:val="24"/>
              </w:rPr>
            </w:pPr>
            <w:r>
              <w:rPr>
                <w:sz w:val="24"/>
                <w:szCs w:val="24"/>
              </w:rPr>
              <w:t>Gina D’Alfonso</w:t>
            </w:r>
            <w:r w:rsidR="00F441B2" w:rsidRPr="00F441B2">
              <w:rPr>
                <w:sz w:val="24"/>
                <w:szCs w:val="24"/>
              </w:rPr>
              <w:t>, Esquire</w:t>
            </w:r>
          </w:p>
        </w:tc>
      </w:tr>
      <w:tr w:rsidR="001C7E2F" w:rsidRPr="00F441B2" w:rsidTr="00E3771C">
        <w:tc>
          <w:tcPr>
            <w:tcW w:w="3730" w:type="dxa"/>
            <w:shd w:val="clear" w:color="auto" w:fill="auto"/>
          </w:tcPr>
          <w:p w:rsidR="001C7E2F" w:rsidRPr="00F441B2" w:rsidRDefault="001C7E2F" w:rsidP="00E3771C">
            <w:pPr>
              <w:pStyle w:val="BodyTextIndent"/>
              <w:ind w:firstLine="0"/>
              <w:rPr>
                <w:sz w:val="24"/>
                <w:szCs w:val="24"/>
              </w:rPr>
            </w:pPr>
            <w:r>
              <w:rPr>
                <w:sz w:val="24"/>
                <w:szCs w:val="24"/>
              </w:rPr>
              <w:t>PAWC</w:t>
            </w:r>
          </w:p>
        </w:tc>
        <w:tc>
          <w:tcPr>
            <w:tcW w:w="3686" w:type="dxa"/>
            <w:shd w:val="clear" w:color="auto" w:fill="auto"/>
          </w:tcPr>
          <w:p w:rsidR="001C7E2F" w:rsidRDefault="001C7E2F" w:rsidP="00E3771C">
            <w:pPr>
              <w:pStyle w:val="BodyTextIndent"/>
              <w:ind w:firstLine="0"/>
              <w:rPr>
                <w:sz w:val="24"/>
                <w:szCs w:val="24"/>
              </w:rPr>
            </w:pPr>
            <w:r>
              <w:rPr>
                <w:sz w:val="24"/>
                <w:szCs w:val="24"/>
              </w:rPr>
              <w:t>Michael Gruin, Esquire</w:t>
            </w:r>
          </w:p>
        </w:tc>
      </w:tr>
      <w:tr w:rsidR="001C7E2F" w:rsidRPr="00F441B2" w:rsidTr="00E3771C">
        <w:tc>
          <w:tcPr>
            <w:tcW w:w="3730" w:type="dxa"/>
            <w:shd w:val="clear" w:color="auto" w:fill="auto"/>
          </w:tcPr>
          <w:p w:rsidR="001C7E2F" w:rsidRPr="00F441B2" w:rsidRDefault="001C7E2F" w:rsidP="00E3771C">
            <w:pPr>
              <w:pStyle w:val="BodyTextIndent"/>
              <w:ind w:firstLine="0"/>
              <w:rPr>
                <w:sz w:val="24"/>
                <w:szCs w:val="24"/>
              </w:rPr>
            </w:pPr>
            <w:r>
              <w:rPr>
                <w:sz w:val="24"/>
                <w:szCs w:val="24"/>
              </w:rPr>
              <w:t>AMTRAK</w:t>
            </w:r>
          </w:p>
        </w:tc>
        <w:tc>
          <w:tcPr>
            <w:tcW w:w="3686" w:type="dxa"/>
            <w:shd w:val="clear" w:color="auto" w:fill="auto"/>
          </w:tcPr>
          <w:p w:rsidR="001C7E2F" w:rsidRDefault="001C7E2F" w:rsidP="00E3771C">
            <w:pPr>
              <w:pStyle w:val="BodyTextIndent"/>
              <w:ind w:firstLine="0"/>
              <w:rPr>
                <w:sz w:val="24"/>
                <w:szCs w:val="24"/>
              </w:rPr>
            </w:pPr>
            <w:r>
              <w:rPr>
                <w:sz w:val="24"/>
                <w:szCs w:val="24"/>
              </w:rPr>
              <w:t>Dennis Moore, Esquire</w:t>
            </w:r>
          </w:p>
        </w:tc>
      </w:tr>
    </w:tbl>
    <w:p w:rsidR="00F441B2" w:rsidRPr="001C7E2F" w:rsidRDefault="00F441B2" w:rsidP="00F441B2">
      <w:pPr>
        <w:spacing w:line="360" w:lineRule="auto"/>
      </w:pPr>
    </w:p>
    <w:p w:rsidR="001C7E2F" w:rsidRPr="001C7E2F" w:rsidRDefault="00522D71" w:rsidP="001C7E2F">
      <w:pPr>
        <w:pStyle w:val="ListParagraph"/>
        <w:numPr>
          <w:ilvl w:val="0"/>
          <w:numId w:val="11"/>
        </w:numPr>
        <w:spacing w:line="360" w:lineRule="auto"/>
        <w:ind w:left="0" w:firstLine="1440"/>
      </w:pPr>
      <w:r w:rsidRPr="001C7E2F">
        <w:t xml:space="preserve">That </w:t>
      </w:r>
      <w:r w:rsidR="00D626EC" w:rsidRPr="001C7E2F">
        <w:t xml:space="preserve">the parties shall receive all documents and shall copy all other parties on documents they file with the Commission or serve on </w:t>
      </w:r>
      <w:r w:rsidR="002E5F7E">
        <w:t>us</w:t>
      </w:r>
      <w:r w:rsidR="00D626EC" w:rsidRPr="001C7E2F">
        <w:t>.  The parties are expected to conduct discovery, attend hearings, or pre</w:t>
      </w:r>
      <w:r w:rsidR="00111D05" w:rsidRPr="001C7E2F">
        <w:t xml:space="preserve">sent or cross-examine witnesses, as appropriate.  </w:t>
      </w:r>
      <w:r w:rsidR="005C038C" w:rsidRPr="001C7E2F">
        <w:t>T</w:t>
      </w:r>
      <w:r w:rsidR="005C038C" w:rsidRPr="001C7E2F">
        <w:rPr>
          <w:spacing w:val="-3"/>
        </w:rPr>
        <w:t>he parties shall serve the documents listed above so that the documents are received in-hand by the parties and presiding officer</w:t>
      </w:r>
      <w:r w:rsidR="002E5F7E">
        <w:rPr>
          <w:spacing w:val="-3"/>
        </w:rPr>
        <w:t>s</w:t>
      </w:r>
      <w:r w:rsidR="005C038C" w:rsidRPr="001C7E2F">
        <w:rPr>
          <w:spacing w:val="-3"/>
        </w:rPr>
        <w:t xml:space="preserve"> no later than 4:30 p.m. on the dates listed.  Parties may serve the documents listed above via e-mail to meet this requirement, with hard copy to follow by regular first class mail</w:t>
      </w:r>
      <w:r w:rsidR="00107108" w:rsidRPr="001C7E2F">
        <w:rPr>
          <w:spacing w:val="-3"/>
        </w:rPr>
        <w:t>, so long as the electronic version is Microsoft Word compatible and no larger than 5 MB per email</w:t>
      </w:r>
      <w:r w:rsidR="005C038C" w:rsidRPr="001C7E2F">
        <w:rPr>
          <w:spacing w:val="-3"/>
        </w:rPr>
        <w:t xml:space="preserve">.  Parties shall not file testimony with the Commission, but shall file a certificate of service.  </w:t>
      </w:r>
    </w:p>
    <w:p w:rsidR="001C7E2F" w:rsidRPr="001C7E2F" w:rsidRDefault="001C7E2F" w:rsidP="001C7E2F">
      <w:pPr>
        <w:pStyle w:val="ListParagraph"/>
        <w:spacing w:line="360" w:lineRule="auto"/>
        <w:ind w:left="0" w:firstLine="1440"/>
      </w:pPr>
    </w:p>
    <w:p w:rsidR="00D626EC" w:rsidRPr="001C7E2F" w:rsidRDefault="00D626EC" w:rsidP="001C7E2F">
      <w:pPr>
        <w:pStyle w:val="ListParagraph"/>
        <w:numPr>
          <w:ilvl w:val="0"/>
          <w:numId w:val="11"/>
        </w:numPr>
        <w:spacing w:line="360" w:lineRule="auto"/>
        <w:ind w:left="0" w:firstLine="1440"/>
      </w:pPr>
      <w:r w:rsidRPr="001C7E2F">
        <w:lastRenderedPageBreak/>
        <w:t xml:space="preserve">That written testimony shall comply with the requirements of 52 Pa. Code §5.412 and shall be marked with numerical, sequential statement numbers. </w:t>
      </w:r>
      <w:r w:rsidR="00522D71" w:rsidRPr="001C7E2F">
        <w:t xml:space="preserve"> Parties serving pre-served testimony pursuant to 52 Pa. Code § 5.412(f) are required, within thirty (30) days after the final hearing, to either </w:t>
      </w:r>
      <w:proofErr w:type="spellStart"/>
      <w:r w:rsidR="00522D71" w:rsidRPr="001C7E2F">
        <w:t>eFile</w:t>
      </w:r>
      <w:proofErr w:type="spellEnd"/>
      <w:r w:rsidR="00522D71" w:rsidRPr="001C7E2F">
        <w:t xml:space="preserve"> with or provide to the Secretary’s Bureau a Compact Disc (CD) containing all testimony furnished to the court reporter during the proceeding, consistent with the Commission’s Implementation Order, dated January 10, 2013, at Docket No. M-2012-2331973.</w:t>
      </w:r>
    </w:p>
    <w:p w:rsidR="00D626EC" w:rsidRPr="001C7E2F" w:rsidRDefault="00D626EC" w:rsidP="00D626EC">
      <w:pPr>
        <w:spacing w:line="360" w:lineRule="auto"/>
        <w:ind w:firstLine="1440"/>
      </w:pPr>
    </w:p>
    <w:p w:rsidR="00D626EC" w:rsidRPr="001C7E2F" w:rsidRDefault="00D626EC" w:rsidP="00D626EC">
      <w:pPr>
        <w:spacing w:line="360" w:lineRule="auto"/>
      </w:pPr>
      <w:r w:rsidRPr="001C7E2F">
        <w:rPr>
          <w:b/>
        </w:rPr>
        <w:tab/>
      </w:r>
      <w:r w:rsidRPr="001C7E2F">
        <w:rPr>
          <w:b/>
        </w:rPr>
        <w:tab/>
      </w:r>
      <w:r w:rsidR="00AA5A3B">
        <w:t>5</w:t>
      </w:r>
      <w:r w:rsidRPr="001C7E2F">
        <w:t>.</w:t>
      </w:r>
      <w:r w:rsidRPr="001C7E2F">
        <w:tab/>
        <w:t>That all parties shall comply with the provisions of 52 Pa. Code §5.243(e) which prohibits the introduction of evidence during rebuttal which should have been included in the party’s case-in-chief or which substantially varies from the party’s case-in-chief, unless the party is introducing evidence in support of a proposed settlement.</w:t>
      </w:r>
    </w:p>
    <w:p w:rsidR="00D626EC" w:rsidRPr="001C7E2F" w:rsidRDefault="00D626EC" w:rsidP="00D626EC">
      <w:pPr>
        <w:spacing w:line="360" w:lineRule="auto"/>
      </w:pPr>
      <w:r w:rsidRPr="001C7E2F">
        <w:tab/>
      </w:r>
      <w:r w:rsidRPr="001C7E2F">
        <w:tab/>
      </w:r>
    </w:p>
    <w:p w:rsidR="00D626EC" w:rsidRPr="001C7E2F" w:rsidRDefault="00D626EC" w:rsidP="00D626EC">
      <w:pPr>
        <w:spacing w:line="360" w:lineRule="auto"/>
      </w:pPr>
      <w:r w:rsidRPr="001C7E2F">
        <w:tab/>
      </w:r>
      <w:r w:rsidRPr="001C7E2F">
        <w:tab/>
      </w:r>
      <w:r w:rsidR="00AA5A3B">
        <w:t>6</w:t>
      </w:r>
      <w:r w:rsidRPr="001C7E2F">
        <w:t>.</w:t>
      </w:r>
      <w:r w:rsidRPr="001C7E2F">
        <w:tab/>
        <w:t xml:space="preserve">That the parties shall conduct discovery pursuant to 52 Pa. Code §§5.321-5.373.  The parties are encouraged to cooperate and exchange information on an informal basis.  The parties shall cooperate rather than engage in numerous or protracted discovery disagreements that require formal resolution.  All motions to compel shall contain a certification by counsel setting forth the informal discovery undertaken and their efforts to resolve their discovery disputes informally.  If a motion to compel does not contain this certification, the parties will be directed to pursue informal discovery.  There are limitations on discovery and sanctions for abuse of the discovery process.  </w:t>
      </w:r>
      <w:proofErr w:type="gramStart"/>
      <w:r w:rsidRPr="001C7E2F">
        <w:t>52 Pa. Code §§5.361, 5.371-5.372</w:t>
      </w:r>
      <w:r w:rsidR="001C7E2F">
        <w:t>.</w:t>
      </w:r>
      <w:proofErr w:type="gramEnd"/>
      <w:r w:rsidR="001C7E2F">
        <w:t xml:space="preserve">  No discovery shall be issued that cannot be answered earlier than thirty (30) days prior to the evidentiary hearing.</w:t>
      </w:r>
    </w:p>
    <w:p w:rsidR="00D626EC" w:rsidRPr="001C7E2F" w:rsidRDefault="00D626EC" w:rsidP="00D626EC">
      <w:pPr>
        <w:spacing w:line="360" w:lineRule="auto"/>
      </w:pPr>
    </w:p>
    <w:p w:rsidR="00D626EC" w:rsidRPr="001C7E2F" w:rsidRDefault="00AA5A3B" w:rsidP="00D626EC">
      <w:pPr>
        <w:spacing w:line="360" w:lineRule="auto"/>
        <w:ind w:firstLine="1440"/>
        <w:rPr>
          <w:spacing w:val="-3"/>
        </w:rPr>
      </w:pPr>
      <w:r>
        <w:t>7</w:t>
      </w:r>
      <w:r w:rsidR="00D626EC" w:rsidRPr="001C7E2F">
        <w:t>.</w:t>
      </w:r>
      <w:r w:rsidR="00D626EC" w:rsidRPr="001C7E2F">
        <w:tab/>
        <w:t xml:space="preserve">That the </w:t>
      </w:r>
      <w:r w:rsidR="00D626EC" w:rsidRPr="001C7E2F">
        <w:rPr>
          <w:spacing w:val="-3"/>
        </w:rPr>
        <w:t>evidentiary hearing will be held in Harrisburg and will commence at 10:00 a.m. unless changed by the presiding officer</w:t>
      </w:r>
      <w:r w:rsidR="002E5F7E">
        <w:rPr>
          <w:spacing w:val="-3"/>
        </w:rPr>
        <w:t>s</w:t>
      </w:r>
      <w:r w:rsidR="00D626EC" w:rsidRPr="001C7E2F">
        <w:rPr>
          <w:spacing w:val="-3"/>
        </w:rPr>
        <w:t xml:space="preserve">.  </w:t>
      </w:r>
    </w:p>
    <w:p w:rsidR="00D626EC" w:rsidRPr="001C7E2F" w:rsidRDefault="00D626EC" w:rsidP="00D626EC">
      <w:pPr>
        <w:spacing w:line="360" w:lineRule="auto"/>
        <w:ind w:firstLine="1440"/>
      </w:pPr>
    </w:p>
    <w:p w:rsidR="00D626EC" w:rsidRPr="001C7E2F" w:rsidRDefault="00D626EC" w:rsidP="00D626EC">
      <w:pPr>
        <w:spacing w:line="360" w:lineRule="auto"/>
      </w:pPr>
      <w:r w:rsidRPr="001C7E2F">
        <w:tab/>
      </w:r>
      <w:r w:rsidRPr="001C7E2F">
        <w:tab/>
      </w:r>
      <w:r w:rsidR="00AA5A3B">
        <w:t>8</w:t>
      </w:r>
      <w:r w:rsidRPr="001C7E2F">
        <w:t xml:space="preserve">. </w:t>
      </w:r>
      <w:r w:rsidRPr="001C7E2F">
        <w:tab/>
        <w:t xml:space="preserve">That the parties shall stipulate to any matters they reasonably can to expedite this proceeding, lessen the burden of time and expenses in litigation on all parties and conserve administrative hearing resources.  52 Pa. Code §§5.232 and 5.234  </w:t>
      </w:r>
    </w:p>
    <w:p w:rsidR="00D626EC" w:rsidRPr="001C7E2F" w:rsidRDefault="00D626EC" w:rsidP="00D22EBC">
      <w:pPr>
        <w:spacing w:line="360" w:lineRule="auto"/>
        <w:ind w:firstLine="1440"/>
      </w:pPr>
      <w:r w:rsidRPr="001C7E2F">
        <w:lastRenderedPageBreak/>
        <w:t xml:space="preserve">  </w:t>
      </w:r>
    </w:p>
    <w:p w:rsidR="00FF4F5F" w:rsidRPr="001C7E2F" w:rsidRDefault="00AA5A3B" w:rsidP="00D22EBC">
      <w:pPr>
        <w:spacing w:line="360" w:lineRule="auto"/>
        <w:ind w:firstLine="1440"/>
      </w:pPr>
      <w:r>
        <w:t>9</w:t>
      </w:r>
      <w:r w:rsidR="00D626EC" w:rsidRPr="001C7E2F">
        <w:t>.</w:t>
      </w:r>
      <w:r w:rsidR="00D626EC" w:rsidRPr="001C7E2F">
        <w:tab/>
        <w:t>That the evidentiary hearings in this matter constitute a formal legal proceeding and will be conducted in accordance with the Commission’s Rules of Administrative Practice and Procedure, as well as the rules of evidence as applied to administrative hearings.</w:t>
      </w:r>
    </w:p>
    <w:p w:rsidR="00D626EC" w:rsidRPr="001C7E2F" w:rsidRDefault="00D626EC" w:rsidP="00D22EBC">
      <w:pPr>
        <w:spacing w:line="360" w:lineRule="auto"/>
        <w:ind w:firstLine="1440"/>
      </w:pPr>
    </w:p>
    <w:p w:rsidR="00D626EC" w:rsidRPr="001C7E2F" w:rsidRDefault="00D22EBC" w:rsidP="00D22EBC">
      <w:pPr>
        <w:pStyle w:val="BodyTextIndent"/>
        <w:spacing w:line="360" w:lineRule="auto"/>
        <w:ind w:left="0" w:firstLine="1440"/>
        <w:rPr>
          <w:sz w:val="24"/>
        </w:rPr>
      </w:pPr>
      <w:r w:rsidRPr="001C7E2F">
        <w:rPr>
          <w:sz w:val="24"/>
          <w:szCs w:val="24"/>
        </w:rPr>
        <w:t>1</w:t>
      </w:r>
      <w:r w:rsidR="00AA5A3B">
        <w:rPr>
          <w:sz w:val="24"/>
          <w:szCs w:val="24"/>
        </w:rPr>
        <w:t>0</w:t>
      </w:r>
      <w:r w:rsidR="00D626EC" w:rsidRPr="001C7E2F">
        <w:rPr>
          <w:sz w:val="24"/>
          <w:szCs w:val="24"/>
        </w:rPr>
        <w:t>.</w:t>
      </w:r>
      <w:r w:rsidR="00D626EC" w:rsidRPr="001C7E2F">
        <w:rPr>
          <w:sz w:val="24"/>
          <w:szCs w:val="24"/>
        </w:rPr>
        <w:tab/>
        <w:t xml:space="preserve">That any provision of this prehearing order may be modified upon motion and good cause shown by any party in interest </w:t>
      </w:r>
      <w:r w:rsidR="00D626EC" w:rsidRPr="001C7E2F">
        <w:rPr>
          <w:sz w:val="24"/>
        </w:rPr>
        <w:t>in accordance with 52 Pa. Code §5.223(a).</w:t>
      </w:r>
    </w:p>
    <w:p w:rsidR="00D626EC" w:rsidRPr="001C7E2F" w:rsidRDefault="00D626EC" w:rsidP="00D626EC">
      <w:pPr>
        <w:spacing w:line="360" w:lineRule="auto"/>
      </w:pPr>
    </w:p>
    <w:p w:rsidR="00D7167B" w:rsidRDefault="00D7167B"/>
    <w:p w:rsidR="00444E27" w:rsidRDefault="00444E27" w:rsidP="00444E27"/>
    <w:p w:rsidR="00444E27" w:rsidRDefault="00444E27" w:rsidP="00444E27"/>
    <w:p w:rsidR="00444E27" w:rsidRPr="00774975" w:rsidRDefault="00444E27" w:rsidP="00444E27">
      <w:pPr>
        <w:rPr>
          <w:u w:val="single"/>
        </w:rPr>
      </w:pPr>
      <w:r w:rsidRPr="00E22703">
        <w:t xml:space="preserve">Date: </w:t>
      </w:r>
      <w:r>
        <w:rPr>
          <w:u w:val="single"/>
        </w:rPr>
        <w:t>February 2</w:t>
      </w:r>
      <w:r w:rsidR="008540FD">
        <w:rPr>
          <w:u w:val="single"/>
        </w:rPr>
        <w:t>5</w:t>
      </w:r>
      <w:r>
        <w:rPr>
          <w:u w:val="single"/>
        </w:rPr>
        <w:t>, 2013</w:t>
      </w:r>
      <w:r>
        <w:tab/>
      </w:r>
      <w:r>
        <w:tab/>
      </w:r>
      <w:r>
        <w:rPr>
          <w:u w:val="single"/>
        </w:rPr>
        <w:tab/>
      </w:r>
      <w:r>
        <w:rPr>
          <w:u w:val="single"/>
        </w:rPr>
        <w:tab/>
      </w:r>
      <w:r>
        <w:rPr>
          <w:u w:val="single"/>
        </w:rPr>
        <w:tab/>
      </w:r>
      <w:r>
        <w:rPr>
          <w:u w:val="single"/>
        </w:rPr>
        <w:tab/>
      </w:r>
      <w:r>
        <w:rPr>
          <w:u w:val="single"/>
        </w:rPr>
        <w:tab/>
      </w:r>
      <w:r>
        <w:rPr>
          <w:u w:val="single"/>
        </w:rPr>
        <w:tab/>
      </w:r>
      <w:r>
        <w:rPr>
          <w:u w:val="single"/>
        </w:rPr>
        <w:tab/>
      </w:r>
    </w:p>
    <w:p w:rsidR="00444E27" w:rsidRPr="00E22703" w:rsidRDefault="00444E27" w:rsidP="00444E27">
      <w:r w:rsidRPr="00E22703">
        <w:tab/>
      </w:r>
      <w:r w:rsidRPr="00E22703">
        <w:tab/>
      </w:r>
      <w:r w:rsidRPr="00E22703">
        <w:tab/>
      </w:r>
      <w:r w:rsidRPr="00E22703">
        <w:tab/>
      </w:r>
      <w:r w:rsidRPr="00E22703">
        <w:tab/>
      </w:r>
      <w:r>
        <w:t>Elizabeth H. Barnes</w:t>
      </w:r>
    </w:p>
    <w:p w:rsidR="00444E27" w:rsidRDefault="00444E27" w:rsidP="00444E27">
      <w:r w:rsidRPr="00E22703">
        <w:tab/>
      </w:r>
      <w:r w:rsidRPr="00E22703">
        <w:tab/>
      </w:r>
      <w:r w:rsidRPr="00E22703">
        <w:tab/>
      </w:r>
      <w:r w:rsidRPr="00E22703">
        <w:tab/>
      </w:r>
      <w:r w:rsidRPr="00E22703">
        <w:tab/>
        <w:t>Administrative Law Judge</w:t>
      </w:r>
    </w:p>
    <w:p w:rsidR="00444E27" w:rsidRDefault="00444E27" w:rsidP="00444E27"/>
    <w:p w:rsidR="00444E27" w:rsidRDefault="00444E27" w:rsidP="00444E27">
      <w:r>
        <w:tab/>
      </w:r>
      <w:r>
        <w:tab/>
      </w:r>
      <w:r>
        <w:tab/>
      </w:r>
    </w:p>
    <w:p w:rsidR="00444E27" w:rsidRDefault="00444E27" w:rsidP="00444E27">
      <w:r>
        <w:tab/>
      </w:r>
      <w:r>
        <w:tab/>
      </w:r>
    </w:p>
    <w:p w:rsidR="00444E27" w:rsidRDefault="00444E27" w:rsidP="00444E27">
      <w:r>
        <w:tab/>
      </w:r>
      <w:r>
        <w:tab/>
      </w:r>
      <w:r>
        <w:tab/>
      </w:r>
      <w:r>
        <w:tab/>
      </w:r>
      <w:r>
        <w:tab/>
        <w:t>__________________________________________</w:t>
      </w:r>
    </w:p>
    <w:p w:rsidR="00444E27" w:rsidRDefault="00444E27" w:rsidP="00444E27">
      <w:r>
        <w:tab/>
      </w:r>
      <w:r>
        <w:tab/>
      </w:r>
      <w:r>
        <w:tab/>
      </w:r>
      <w:r>
        <w:tab/>
      </w:r>
      <w:r>
        <w:tab/>
        <w:t>Joel H. Cheskis</w:t>
      </w:r>
    </w:p>
    <w:p w:rsidR="00216FEA" w:rsidRDefault="00444E27" w:rsidP="00444E27">
      <w:pPr>
        <w:sectPr w:rsidR="00216FEA" w:rsidSect="00713D64">
          <w:footerReference w:type="default" r:id="rId9"/>
          <w:pgSz w:w="12240" w:h="15840"/>
          <w:pgMar w:top="1440" w:right="1800" w:bottom="1440" w:left="1800" w:header="720" w:footer="720" w:gutter="0"/>
          <w:cols w:space="720"/>
          <w:titlePg/>
        </w:sectPr>
      </w:pPr>
      <w:r>
        <w:tab/>
      </w:r>
      <w:r>
        <w:tab/>
      </w:r>
      <w:r>
        <w:tab/>
      </w:r>
      <w:r>
        <w:tab/>
      </w:r>
      <w:r>
        <w:tab/>
        <w:t>Administrative Law Judge</w:t>
      </w:r>
    </w:p>
    <w:p w:rsidR="00216FEA" w:rsidRPr="00216FEA" w:rsidRDefault="00216FEA" w:rsidP="00216FEA">
      <w:pPr>
        <w:autoSpaceDE/>
        <w:autoSpaceDN/>
        <w:rPr>
          <w:rFonts w:ascii="Microsoft Sans Serif" w:eastAsiaTheme="minorHAnsi" w:hAnsi="Microsoft Sans Serif" w:cs="Microsoft Sans Serif"/>
          <w:b/>
          <w:noProof/>
          <w:szCs w:val="22"/>
          <w:u w:val="single"/>
        </w:rPr>
      </w:pPr>
      <w:r w:rsidRPr="00216FEA">
        <w:rPr>
          <w:rFonts w:ascii="Microsoft Sans Serif" w:eastAsiaTheme="minorHAnsi" w:hAnsi="Microsoft Sans Serif" w:cs="Microsoft Sans Serif"/>
          <w:b/>
          <w:noProof/>
          <w:szCs w:val="22"/>
          <w:u w:val="single"/>
        </w:rPr>
        <w:lastRenderedPageBreak/>
        <w:t>A-00111016 – APPLICATION OF CONSOLIDATED RAIL CORPORATION FOR THE ABOLITION OF THIRTY-ONE CROSSINGS OF THE ENOLA BRANCH, LC:201323, MP 3.5 TO MP 27.0, SUB. NO. 1095X, HARRISBURG DIVISION, LANCASTER COUNTY.</w:t>
      </w:r>
    </w:p>
    <w:p w:rsidR="00216FEA" w:rsidRPr="00216FEA" w:rsidRDefault="00216FEA" w:rsidP="00216FEA">
      <w:pPr>
        <w:autoSpaceDE/>
        <w:autoSpaceDN/>
        <w:rPr>
          <w:rFonts w:ascii="Microsoft Sans Serif" w:eastAsiaTheme="minorHAnsi" w:hAnsi="Microsoft Sans Serif" w:cs="Microsoft Sans Serif"/>
          <w:b/>
          <w:noProof/>
          <w:szCs w:val="22"/>
          <w:u w:val="single"/>
        </w:rPr>
      </w:pPr>
    </w:p>
    <w:p w:rsidR="00216FEA" w:rsidRPr="00216FEA" w:rsidRDefault="00216FEA" w:rsidP="00216FEA">
      <w:pPr>
        <w:autoSpaceDE/>
        <w:autoSpaceDN/>
        <w:rPr>
          <w:rFonts w:ascii="Microsoft Sans Serif" w:eastAsiaTheme="minorHAnsi" w:hAnsi="Microsoft Sans Serif" w:cs="Microsoft Sans Serif"/>
          <w:b/>
          <w:noProof/>
          <w:szCs w:val="22"/>
          <w:u w:val="single"/>
        </w:rPr>
      </w:pPr>
      <w:r w:rsidRPr="00216FEA">
        <w:rPr>
          <w:rFonts w:ascii="Microsoft Sans Serif" w:eastAsiaTheme="minorHAnsi" w:hAnsi="Microsoft Sans Serif" w:cs="Microsoft Sans Serif"/>
          <w:b/>
          <w:noProof/>
          <w:szCs w:val="22"/>
          <w:u w:val="single"/>
        </w:rPr>
        <w:t>C-00913256 – Board of Supervisors of Bart Township v. Consolidated Rail Corporation, Pennsylvania Department of Transportation and Lancaster County, et al</w:t>
      </w:r>
    </w:p>
    <w:p w:rsidR="00216FEA" w:rsidRPr="00216FEA" w:rsidRDefault="00216FEA" w:rsidP="00216FEA">
      <w:pPr>
        <w:autoSpaceDE/>
        <w:autoSpaceDN/>
        <w:rPr>
          <w:rFonts w:ascii="Microsoft Sans Serif" w:eastAsiaTheme="minorHAnsi" w:hAnsi="Microsoft Sans Serif" w:cs="Microsoft Sans Serif"/>
          <w:noProof/>
          <w:szCs w:val="22"/>
        </w:rPr>
      </w:pPr>
    </w:p>
    <w:p w:rsidR="00216FEA" w:rsidRPr="00216FEA" w:rsidRDefault="00216FEA" w:rsidP="00216FEA">
      <w:pPr>
        <w:autoSpaceDE/>
        <w:autoSpaceDN/>
        <w:rPr>
          <w:rFonts w:ascii="Microsoft Sans Serif" w:eastAsiaTheme="minorHAnsi" w:hAnsi="Microsoft Sans Serif" w:cs="Microsoft Sans Serif"/>
          <w:b/>
          <w:i/>
          <w:noProof/>
          <w:szCs w:val="22"/>
          <w:u w:val="single"/>
        </w:rPr>
      </w:pPr>
      <w:r w:rsidRPr="00216FEA">
        <w:rPr>
          <w:rFonts w:ascii="Microsoft Sans Serif" w:eastAsiaTheme="minorHAnsi" w:hAnsi="Microsoft Sans Serif" w:cs="Microsoft Sans Serif"/>
          <w:b/>
          <w:i/>
          <w:noProof/>
          <w:szCs w:val="22"/>
          <w:u w:val="single"/>
        </w:rPr>
        <w:t>Revised 2/21/13</w:t>
      </w:r>
    </w:p>
    <w:p w:rsidR="00216FEA" w:rsidRPr="00216FEA" w:rsidRDefault="00216FEA" w:rsidP="00216FEA">
      <w:pPr>
        <w:autoSpaceDE/>
        <w:autoSpaceDN/>
        <w:rPr>
          <w:rFonts w:ascii="Microsoft Sans Serif" w:eastAsiaTheme="minorHAnsi" w:hAnsi="Microsoft Sans Serif" w:cs="Microsoft Sans Serif"/>
          <w:noProof/>
          <w:szCs w:val="22"/>
        </w:rPr>
      </w:pPr>
    </w:p>
    <w:p w:rsidR="00216FEA" w:rsidRPr="00216FEA" w:rsidRDefault="00216FEA" w:rsidP="00216FEA">
      <w:pPr>
        <w:autoSpaceDE/>
        <w:autoSpaceDN/>
        <w:rPr>
          <w:rFonts w:ascii="Microsoft Sans Serif" w:eastAsiaTheme="minorHAnsi" w:hAnsi="Microsoft Sans Serif" w:cs="Microsoft Sans Serif"/>
          <w:noProof/>
          <w:szCs w:val="22"/>
        </w:rPr>
      </w:pPr>
    </w:p>
    <w:p w:rsidR="00216FEA" w:rsidRPr="00216FEA" w:rsidRDefault="00216FEA" w:rsidP="00216FEA">
      <w:pPr>
        <w:autoSpaceDE/>
        <w:autoSpaceDN/>
        <w:rPr>
          <w:rFonts w:ascii="Microsoft Sans Serif" w:eastAsiaTheme="minorHAnsi" w:hAnsi="Microsoft Sans Serif" w:cs="Microsoft Sans Serif"/>
          <w:noProof/>
          <w:szCs w:val="22"/>
        </w:rPr>
        <w:sectPr w:rsidR="00216FEA" w:rsidRPr="00216FEA" w:rsidSect="001B41DC">
          <w:footerReference w:type="default" r:id="rId10"/>
          <w:pgSz w:w="12240" w:h="15840" w:code="1"/>
          <w:pgMar w:top="720" w:right="720" w:bottom="720" w:left="720" w:header="720" w:footer="720" w:gutter="0"/>
          <w:cols w:space="720"/>
          <w:docGrid w:linePitch="360"/>
        </w:sectPr>
      </w:pPr>
    </w:p>
    <w:p w:rsidR="00216FEA" w:rsidRPr="00216FEA" w:rsidRDefault="00216FEA" w:rsidP="00216FEA">
      <w:pPr>
        <w:autoSpaceDE/>
        <w:autoSpaceDN/>
        <w:rPr>
          <w:rFonts w:ascii="Microsoft Sans Serif" w:eastAsiaTheme="minorHAnsi" w:hAnsi="Microsoft Sans Serif" w:cs="Microsoft Sans Serif"/>
          <w:szCs w:val="22"/>
        </w:rPr>
      </w:pPr>
      <w:r w:rsidRPr="00216FEA">
        <w:rPr>
          <w:rFonts w:ascii="Microsoft Sans Serif" w:eastAsiaTheme="minorHAnsi" w:hAnsi="Microsoft Sans Serif" w:cs="Microsoft Sans Serif"/>
          <w:noProof/>
          <w:szCs w:val="22"/>
        </w:rPr>
        <w:lastRenderedPageBreak/>
        <w:t>BENJAMIN C DUNLAP JR</w:t>
      </w:r>
      <w:r w:rsidRPr="00216FEA">
        <w:rPr>
          <w:rFonts w:ascii="Microsoft Sans Serif" w:eastAsiaTheme="minorHAnsi" w:hAnsi="Microsoft Sans Serif" w:cs="Microsoft Sans Serif"/>
          <w:szCs w:val="22"/>
        </w:rPr>
        <w:t xml:space="preserve"> </w:t>
      </w:r>
      <w:r w:rsidRPr="00216FEA">
        <w:rPr>
          <w:rFonts w:ascii="Microsoft Sans Serif" w:eastAsiaTheme="minorHAnsi" w:hAnsi="Microsoft Sans Serif" w:cs="Microsoft Sans Serif"/>
          <w:noProof/>
          <w:szCs w:val="22"/>
        </w:rPr>
        <w:t>ESQUIRE</w:t>
      </w:r>
    </w:p>
    <w:p w:rsidR="00216FEA" w:rsidRPr="00216FEA" w:rsidRDefault="00216FEA" w:rsidP="00216FEA">
      <w:pPr>
        <w:autoSpaceDE/>
        <w:autoSpaceDN/>
        <w:rPr>
          <w:rFonts w:ascii="Microsoft Sans Serif" w:eastAsiaTheme="minorHAnsi" w:hAnsi="Microsoft Sans Serif" w:cs="Microsoft Sans Serif"/>
          <w:szCs w:val="22"/>
        </w:rPr>
      </w:pPr>
      <w:r w:rsidRPr="00216FEA">
        <w:rPr>
          <w:rFonts w:ascii="Microsoft Sans Serif" w:eastAsiaTheme="minorHAnsi" w:hAnsi="Microsoft Sans Serif" w:cs="Microsoft Sans Serif"/>
          <w:noProof/>
          <w:szCs w:val="22"/>
        </w:rPr>
        <w:t>NAUMAN SMITH SHISSLER &amp; HALL</w:t>
      </w:r>
    </w:p>
    <w:p w:rsidR="00216FEA" w:rsidRPr="00216FEA" w:rsidRDefault="00216FEA" w:rsidP="00216FEA">
      <w:pPr>
        <w:autoSpaceDE/>
        <w:autoSpaceDN/>
        <w:rPr>
          <w:rFonts w:ascii="Microsoft Sans Serif" w:eastAsiaTheme="minorHAnsi" w:hAnsi="Microsoft Sans Serif" w:cs="Microsoft Sans Serif"/>
          <w:szCs w:val="22"/>
        </w:rPr>
      </w:pPr>
      <w:r w:rsidRPr="00216FEA">
        <w:rPr>
          <w:rFonts w:ascii="Microsoft Sans Serif" w:eastAsiaTheme="minorHAnsi" w:hAnsi="Microsoft Sans Serif" w:cs="Microsoft Sans Serif"/>
          <w:noProof/>
          <w:szCs w:val="22"/>
        </w:rPr>
        <w:t>200 NORTH THIRD STREET 18TH FLOOR</w:t>
      </w:r>
    </w:p>
    <w:p w:rsidR="00216FEA" w:rsidRPr="00216FEA" w:rsidRDefault="00216FEA" w:rsidP="00216FEA">
      <w:pPr>
        <w:autoSpaceDE/>
        <w:autoSpaceDN/>
        <w:rPr>
          <w:rFonts w:ascii="Microsoft Sans Serif" w:eastAsiaTheme="minorHAnsi" w:hAnsi="Microsoft Sans Serif" w:cs="Microsoft Sans Serif"/>
          <w:szCs w:val="22"/>
        </w:rPr>
      </w:pPr>
      <w:r w:rsidRPr="00216FEA">
        <w:rPr>
          <w:rFonts w:ascii="Microsoft Sans Serif" w:eastAsiaTheme="minorHAnsi" w:hAnsi="Microsoft Sans Serif" w:cs="Microsoft Sans Serif"/>
          <w:noProof/>
          <w:szCs w:val="22"/>
        </w:rPr>
        <w:t>PO BOX 840</w:t>
      </w:r>
    </w:p>
    <w:p w:rsidR="00216FEA" w:rsidRPr="00216FEA" w:rsidRDefault="00216FEA" w:rsidP="00216FEA">
      <w:pPr>
        <w:autoSpaceDE/>
        <w:autoSpaceDN/>
        <w:rPr>
          <w:rFonts w:ascii="Microsoft Sans Serif" w:eastAsiaTheme="minorHAnsi" w:hAnsi="Microsoft Sans Serif" w:cs="Microsoft Sans Serif"/>
          <w:noProof/>
          <w:szCs w:val="22"/>
        </w:rPr>
      </w:pPr>
      <w:r w:rsidRPr="00216FEA">
        <w:rPr>
          <w:rFonts w:ascii="Microsoft Sans Serif" w:eastAsiaTheme="minorHAnsi" w:hAnsi="Microsoft Sans Serif" w:cs="Microsoft Sans Serif"/>
          <w:noProof/>
          <w:szCs w:val="22"/>
        </w:rPr>
        <w:t>HARRISBURG</w:t>
      </w:r>
      <w:r w:rsidRPr="00216FEA">
        <w:rPr>
          <w:rFonts w:ascii="Microsoft Sans Serif" w:eastAsiaTheme="minorHAnsi" w:hAnsi="Microsoft Sans Serif" w:cs="Microsoft Sans Serif"/>
          <w:szCs w:val="22"/>
        </w:rPr>
        <w:t xml:space="preserve"> </w:t>
      </w:r>
      <w:r w:rsidRPr="00216FEA">
        <w:rPr>
          <w:rFonts w:ascii="Microsoft Sans Serif" w:eastAsiaTheme="minorHAnsi" w:hAnsi="Microsoft Sans Serif" w:cs="Microsoft Sans Serif"/>
          <w:noProof/>
          <w:szCs w:val="22"/>
        </w:rPr>
        <w:t>PA</w:t>
      </w:r>
      <w:r w:rsidRPr="00216FEA">
        <w:rPr>
          <w:rFonts w:ascii="Microsoft Sans Serif" w:eastAsiaTheme="minorHAnsi" w:hAnsi="Microsoft Sans Serif" w:cs="Microsoft Sans Serif"/>
          <w:szCs w:val="22"/>
        </w:rPr>
        <w:t xml:space="preserve">  </w:t>
      </w:r>
      <w:r w:rsidRPr="00216FEA">
        <w:rPr>
          <w:rFonts w:ascii="Microsoft Sans Serif" w:eastAsiaTheme="minorHAnsi" w:hAnsi="Microsoft Sans Serif" w:cs="Microsoft Sans Serif"/>
          <w:noProof/>
          <w:szCs w:val="22"/>
        </w:rPr>
        <w:t>17108</w:t>
      </w:r>
    </w:p>
    <w:p w:rsidR="00216FEA" w:rsidRPr="00216FEA" w:rsidRDefault="00216FEA" w:rsidP="00216FEA">
      <w:pPr>
        <w:autoSpaceDE/>
        <w:autoSpaceDN/>
        <w:rPr>
          <w:rFonts w:ascii="Microsoft Sans Serif" w:eastAsiaTheme="minorHAnsi" w:hAnsi="Microsoft Sans Serif" w:cs="Microsoft Sans Serif"/>
          <w:b/>
          <w:szCs w:val="22"/>
          <w:u w:val="single"/>
        </w:rPr>
      </w:pPr>
      <w:r w:rsidRPr="00216FEA">
        <w:rPr>
          <w:rFonts w:ascii="Microsoft Sans Serif" w:eastAsiaTheme="minorHAnsi" w:hAnsi="Microsoft Sans Serif" w:cs="Microsoft Sans Serif"/>
          <w:b/>
          <w:noProof/>
          <w:szCs w:val="22"/>
          <w:u w:val="single"/>
        </w:rPr>
        <w:t>eServe</w:t>
      </w:r>
    </w:p>
    <w:p w:rsidR="00216FEA" w:rsidRPr="00216FEA" w:rsidRDefault="00216FEA" w:rsidP="00216FEA">
      <w:pPr>
        <w:autoSpaceDE/>
        <w:autoSpaceDN/>
        <w:rPr>
          <w:rFonts w:ascii="Microsoft Sans Serif" w:eastAsiaTheme="minorHAnsi" w:hAnsi="Microsoft Sans Serif" w:cs="Microsoft Sans Serif"/>
          <w:szCs w:val="22"/>
        </w:rPr>
      </w:pPr>
    </w:p>
    <w:p w:rsidR="00216FEA" w:rsidRPr="00216FEA" w:rsidRDefault="00216FEA" w:rsidP="00216FEA">
      <w:pPr>
        <w:autoSpaceDE/>
        <w:autoSpaceDN/>
        <w:rPr>
          <w:rFonts w:ascii="Microsoft Sans Serif" w:eastAsiaTheme="minorHAnsi" w:hAnsi="Microsoft Sans Serif" w:cs="Microsoft Sans Serif"/>
          <w:szCs w:val="22"/>
        </w:rPr>
      </w:pPr>
      <w:r w:rsidRPr="00216FEA">
        <w:rPr>
          <w:rFonts w:ascii="Microsoft Sans Serif" w:eastAsiaTheme="minorHAnsi" w:hAnsi="Microsoft Sans Serif" w:cs="Microsoft Sans Serif"/>
          <w:noProof/>
          <w:szCs w:val="22"/>
        </w:rPr>
        <w:t>DAVID E SCREVEN</w:t>
      </w:r>
      <w:r w:rsidRPr="00216FEA">
        <w:rPr>
          <w:rFonts w:ascii="Microsoft Sans Serif" w:eastAsiaTheme="minorHAnsi" w:hAnsi="Microsoft Sans Serif" w:cs="Microsoft Sans Serif"/>
          <w:szCs w:val="22"/>
        </w:rPr>
        <w:t xml:space="preserve"> </w:t>
      </w:r>
      <w:r w:rsidRPr="00216FEA">
        <w:rPr>
          <w:rFonts w:ascii="Microsoft Sans Serif" w:eastAsiaTheme="minorHAnsi" w:hAnsi="Microsoft Sans Serif" w:cs="Microsoft Sans Serif"/>
          <w:noProof/>
          <w:szCs w:val="22"/>
        </w:rPr>
        <w:t>ESQUIRE</w:t>
      </w:r>
    </w:p>
    <w:p w:rsidR="00216FEA" w:rsidRPr="00216FEA" w:rsidRDefault="00216FEA" w:rsidP="00216FEA">
      <w:pPr>
        <w:autoSpaceDE/>
        <w:autoSpaceDN/>
        <w:rPr>
          <w:rFonts w:ascii="Microsoft Sans Serif" w:eastAsiaTheme="minorHAnsi" w:hAnsi="Microsoft Sans Serif" w:cs="Microsoft Sans Serif"/>
          <w:szCs w:val="22"/>
        </w:rPr>
      </w:pPr>
      <w:r w:rsidRPr="00216FEA">
        <w:rPr>
          <w:rFonts w:ascii="Microsoft Sans Serif" w:eastAsiaTheme="minorHAnsi" w:hAnsi="Microsoft Sans Serif" w:cs="Microsoft Sans Serif"/>
          <w:noProof/>
          <w:szCs w:val="22"/>
        </w:rPr>
        <w:t>PA PUC LAW BUREAU</w:t>
      </w:r>
    </w:p>
    <w:p w:rsidR="00216FEA" w:rsidRPr="00216FEA" w:rsidRDefault="00216FEA" w:rsidP="00216FEA">
      <w:pPr>
        <w:autoSpaceDE/>
        <w:autoSpaceDN/>
        <w:rPr>
          <w:rFonts w:ascii="Microsoft Sans Serif" w:eastAsiaTheme="minorHAnsi" w:hAnsi="Microsoft Sans Serif" w:cs="Microsoft Sans Serif"/>
          <w:szCs w:val="22"/>
        </w:rPr>
      </w:pPr>
      <w:r w:rsidRPr="00216FEA">
        <w:rPr>
          <w:rFonts w:ascii="Microsoft Sans Serif" w:eastAsiaTheme="minorHAnsi" w:hAnsi="Microsoft Sans Serif" w:cs="Microsoft Sans Serif"/>
          <w:noProof/>
          <w:szCs w:val="22"/>
        </w:rPr>
        <w:t>PO BOX 3265</w:t>
      </w:r>
    </w:p>
    <w:p w:rsidR="00216FEA" w:rsidRPr="00216FEA" w:rsidRDefault="00216FEA" w:rsidP="00216FEA">
      <w:pPr>
        <w:autoSpaceDE/>
        <w:autoSpaceDN/>
        <w:rPr>
          <w:rFonts w:ascii="Microsoft Sans Serif" w:eastAsiaTheme="minorHAnsi" w:hAnsi="Microsoft Sans Serif" w:cs="Microsoft Sans Serif"/>
          <w:szCs w:val="22"/>
        </w:rPr>
      </w:pPr>
      <w:r w:rsidRPr="00216FEA">
        <w:rPr>
          <w:rFonts w:ascii="Microsoft Sans Serif" w:eastAsiaTheme="minorHAnsi" w:hAnsi="Microsoft Sans Serif" w:cs="Microsoft Sans Serif"/>
          <w:noProof/>
          <w:szCs w:val="22"/>
        </w:rPr>
        <w:t>HARRISBURG</w:t>
      </w:r>
      <w:r w:rsidRPr="00216FEA">
        <w:rPr>
          <w:rFonts w:ascii="Microsoft Sans Serif" w:eastAsiaTheme="minorHAnsi" w:hAnsi="Microsoft Sans Serif" w:cs="Microsoft Sans Serif"/>
          <w:szCs w:val="22"/>
        </w:rPr>
        <w:t xml:space="preserve"> </w:t>
      </w:r>
      <w:r w:rsidRPr="00216FEA">
        <w:rPr>
          <w:rFonts w:ascii="Microsoft Sans Serif" w:eastAsiaTheme="minorHAnsi" w:hAnsi="Microsoft Sans Serif" w:cs="Microsoft Sans Serif"/>
          <w:noProof/>
          <w:szCs w:val="22"/>
        </w:rPr>
        <w:t>PA</w:t>
      </w:r>
      <w:r w:rsidRPr="00216FEA">
        <w:rPr>
          <w:rFonts w:ascii="Microsoft Sans Serif" w:eastAsiaTheme="minorHAnsi" w:hAnsi="Microsoft Sans Serif" w:cs="Microsoft Sans Serif"/>
          <w:szCs w:val="22"/>
        </w:rPr>
        <w:t xml:space="preserve">  </w:t>
      </w:r>
      <w:r w:rsidRPr="00216FEA">
        <w:rPr>
          <w:rFonts w:ascii="Microsoft Sans Serif" w:eastAsiaTheme="minorHAnsi" w:hAnsi="Microsoft Sans Serif" w:cs="Microsoft Sans Serif"/>
          <w:noProof/>
          <w:szCs w:val="22"/>
        </w:rPr>
        <w:t>17105-3265</w:t>
      </w:r>
    </w:p>
    <w:p w:rsidR="00216FEA" w:rsidRPr="00216FEA" w:rsidRDefault="00216FEA" w:rsidP="00216FEA">
      <w:pPr>
        <w:autoSpaceDE/>
        <w:autoSpaceDN/>
        <w:rPr>
          <w:rFonts w:ascii="Microsoft Sans Serif" w:eastAsiaTheme="minorHAnsi" w:hAnsi="Microsoft Sans Serif" w:cs="Microsoft Sans Serif"/>
          <w:szCs w:val="22"/>
        </w:rPr>
      </w:pPr>
    </w:p>
    <w:p w:rsidR="00216FEA" w:rsidRPr="00216FEA" w:rsidRDefault="00216FEA" w:rsidP="00216FEA">
      <w:pPr>
        <w:autoSpaceDE/>
        <w:autoSpaceDN/>
        <w:rPr>
          <w:rFonts w:ascii="Microsoft Sans Serif" w:eastAsiaTheme="minorHAnsi" w:hAnsi="Microsoft Sans Serif" w:cs="Microsoft Sans Serif"/>
          <w:szCs w:val="22"/>
        </w:rPr>
      </w:pPr>
      <w:r w:rsidRPr="00216FEA">
        <w:rPr>
          <w:rFonts w:ascii="Microsoft Sans Serif" w:eastAsiaTheme="minorHAnsi" w:hAnsi="Microsoft Sans Serif" w:cs="Microsoft Sans Serif"/>
          <w:noProof/>
          <w:szCs w:val="22"/>
        </w:rPr>
        <w:t>GINA M D'ALFONSO</w:t>
      </w:r>
      <w:r w:rsidRPr="00216FEA">
        <w:rPr>
          <w:rFonts w:ascii="Microsoft Sans Serif" w:eastAsiaTheme="minorHAnsi" w:hAnsi="Microsoft Sans Serif" w:cs="Microsoft Sans Serif"/>
          <w:szCs w:val="22"/>
        </w:rPr>
        <w:t xml:space="preserve"> </w:t>
      </w:r>
      <w:r w:rsidRPr="00216FEA">
        <w:rPr>
          <w:rFonts w:ascii="Microsoft Sans Serif" w:eastAsiaTheme="minorHAnsi" w:hAnsi="Microsoft Sans Serif" w:cs="Microsoft Sans Serif"/>
          <w:noProof/>
          <w:szCs w:val="22"/>
        </w:rPr>
        <w:t>ESQUIRE</w:t>
      </w:r>
    </w:p>
    <w:p w:rsidR="00216FEA" w:rsidRPr="00216FEA" w:rsidRDefault="00216FEA" w:rsidP="00216FEA">
      <w:pPr>
        <w:autoSpaceDE/>
        <w:autoSpaceDN/>
        <w:rPr>
          <w:rFonts w:ascii="Microsoft Sans Serif" w:eastAsiaTheme="minorHAnsi" w:hAnsi="Microsoft Sans Serif" w:cs="Microsoft Sans Serif"/>
          <w:szCs w:val="22"/>
        </w:rPr>
      </w:pPr>
      <w:r w:rsidRPr="00216FEA">
        <w:rPr>
          <w:rFonts w:ascii="Microsoft Sans Serif" w:eastAsiaTheme="minorHAnsi" w:hAnsi="Microsoft Sans Serif" w:cs="Microsoft Sans Serif"/>
          <w:noProof/>
          <w:szCs w:val="22"/>
        </w:rPr>
        <w:t>PENNDOT</w:t>
      </w:r>
    </w:p>
    <w:p w:rsidR="00216FEA" w:rsidRPr="00216FEA" w:rsidRDefault="00216FEA" w:rsidP="00216FEA">
      <w:pPr>
        <w:autoSpaceDE/>
        <w:autoSpaceDN/>
        <w:rPr>
          <w:rFonts w:ascii="Microsoft Sans Serif" w:eastAsiaTheme="minorHAnsi" w:hAnsi="Microsoft Sans Serif" w:cs="Microsoft Sans Serif"/>
          <w:szCs w:val="22"/>
        </w:rPr>
      </w:pPr>
      <w:r w:rsidRPr="00216FEA">
        <w:rPr>
          <w:rFonts w:ascii="Microsoft Sans Serif" w:eastAsiaTheme="minorHAnsi" w:hAnsi="Microsoft Sans Serif" w:cs="Microsoft Sans Serif"/>
          <w:noProof/>
          <w:szCs w:val="22"/>
        </w:rPr>
        <w:t>PO BOX 8212</w:t>
      </w:r>
    </w:p>
    <w:p w:rsidR="00216FEA" w:rsidRPr="00216FEA" w:rsidRDefault="00216FEA" w:rsidP="00216FEA">
      <w:pPr>
        <w:autoSpaceDE/>
        <w:autoSpaceDN/>
        <w:rPr>
          <w:rFonts w:ascii="Microsoft Sans Serif" w:eastAsiaTheme="minorHAnsi" w:hAnsi="Microsoft Sans Serif" w:cs="Microsoft Sans Serif"/>
          <w:szCs w:val="22"/>
        </w:rPr>
      </w:pPr>
      <w:r w:rsidRPr="00216FEA">
        <w:rPr>
          <w:rFonts w:ascii="Microsoft Sans Serif" w:eastAsiaTheme="minorHAnsi" w:hAnsi="Microsoft Sans Serif" w:cs="Microsoft Sans Serif"/>
          <w:noProof/>
          <w:szCs w:val="22"/>
        </w:rPr>
        <w:t>HARRISBURG</w:t>
      </w:r>
      <w:r w:rsidRPr="00216FEA">
        <w:rPr>
          <w:rFonts w:ascii="Microsoft Sans Serif" w:eastAsiaTheme="minorHAnsi" w:hAnsi="Microsoft Sans Serif" w:cs="Microsoft Sans Serif"/>
          <w:szCs w:val="22"/>
        </w:rPr>
        <w:t xml:space="preserve"> </w:t>
      </w:r>
      <w:r w:rsidRPr="00216FEA">
        <w:rPr>
          <w:rFonts w:ascii="Microsoft Sans Serif" w:eastAsiaTheme="minorHAnsi" w:hAnsi="Microsoft Sans Serif" w:cs="Microsoft Sans Serif"/>
          <w:noProof/>
          <w:szCs w:val="22"/>
        </w:rPr>
        <w:t>PA</w:t>
      </w:r>
      <w:r w:rsidRPr="00216FEA">
        <w:rPr>
          <w:rFonts w:ascii="Microsoft Sans Serif" w:eastAsiaTheme="minorHAnsi" w:hAnsi="Microsoft Sans Serif" w:cs="Microsoft Sans Serif"/>
          <w:szCs w:val="22"/>
        </w:rPr>
        <w:t xml:space="preserve">  </w:t>
      </w:r>
      <w:r w:rsidRPr="00216FEA">
        <w:rPr>
          <w:rFonts w:ascii="Microsoft Sans Serif" w:eastAsiaTheme="minorHAnsi" w:hAnsi="Microsoft Sans Serif" w:cs="Microsoft Sans Serif"/>
          <w:noProof/>
          <w:szCs w:val="22"/>
        </w:rPr>
        <w:t>17105-8212</w:t>
      </w:r>
    </w:p>
    <w:p w:rsidR="00216FEA" w:rsidRPr="00216FEA" w:rsidRDefault="00216FEA" w:rsidP="00216FEA">
      <w:pPr>
        <w:autoSpaceDE/>
        <w:autoSpaceDN/>
        <w:rPr>
          <w:rFonts w:ascii="Microsoft Sans Serif" w:eastAsiaTheme="minorHAnsi" w:hAnsi="Microsoft Sans Serif" w:cs="Microsoft Sans Serif"/>
          <w:b/>
          <w:szCs w:val="22"/>
          <w:u w:val="single"/>
        </w:rPr>
      </w:pPr>
      <w:r w:rsidRPr="00216FEA">
        <w:rPr>
          <w:rFonts w:ascii="Microsoft Sans Serif" w:eastAsiaTheme="minorHAnsi" w:hAnsi="Microsoft Sans Serif" w:cs="Microsoft Sans Serif"/>
          <w:b/>
          <w:noProof/>
          <w:szCs w:val="22"/>
          <w:u w:val="single"/>
        </w:rPr>
        <w:t>eServe</w:t>
      </w:r>
    </w:p>
    <w:p w:rsidR="00216FEA" w:rsidRPr="00216FEA" w:rsidRDefault="00216FEA" w:rsidP="00216FEA">
      <w:pPr>
        <w:autoSpaceDE/>
        <w:autoSpaceDN/>
        <w:rPr>
          <w:rFonts w:ascii="Microsoft Sans Serif" w:eastAsiaTheme="minorHAnsi" w:hAnsi="Microsoft Sans Serif" w:cs="Microsoft Sans Serif"/>
          <w:szCs w:val="22"/>
        </w:rPr>
      </w:pPr>
    </w:p>
    <w:p w:rsidR="00216FEA" w:rsidRPr="00216FEA" w:rsidRDefault="00216FEA" w:rsidP="00216FEA">
      <w:pPr>
        <w:autoSpaceDE/>
        <w:autoSpaceDN/>
        <w:rPr>
          <w:rFonts w:ascii="Microsoft Sans Serif" w:eastAsiaTheme="minorHAnsi" w:hAnsi="Microsoft Sans Serif" w:cs="Microsoft Sans Serif"/>
          <w:szCs w:val="22"/>
        </w:rPr>
      </w:pPr>
      <w:r w:rsidRPr="00216FEA">
        <w:rPr>
          <w:rFonts w:ascii="Microsoft Sans Serif" w:eastAsiaTheme="minorHAnsi" w:hAnsi="Microsoft Sans Serif" w:cs="Microsoft Sans Serif"/>
          <w:noProof/>
          <w:szCs w:val="22"/>
        </w:rPr>
        <w:t>DENNIS M MOORE</w:t>
      </w:r>
      <w:r w:rsidRPr="00216FEA">
        <w:rPr>
          <w:rFonts w:ascii="Microsoft Sans Serif" w:eastAsiaTheme="minorHAnsi" w:hAnsi="Microsoft Sans Serif" w:cs="Microsoft Sans Serif"/>
          <w:szCs w:val="22"/>
        </w:rPr>
        <w:t xml:space="preserve"> </w:t>
      </w:r>
    </w:p>
    <w:p w:rsidR="00216FEA" w:rsidRPr="00216FEA" w:rsidRDefault="00216FEA" w:rsidP="00216FEA">
      <w:pPr>
        <w:autoSpaceDE/>
        <w:autoSpaceDN/>
        <w:rPr>
          <w:rFonts w:ascii="Microsoft Sans Serif" w:eastAsiaTheme="minorHAnsi" w:hAnsi="Microsoft Sans Serif" w:cs="Microsoft Sans Serif"/>
          <w:szCs w:val="22"/>
        </w:rPr>
      </w:pPr>
      <w:r w:rsidRPr="00216FEA">
        <w:rPr>
          <w:rFonts w:ascii="Microsoft Sans Serif" w:eastAsiaTheme="minorHAnsi" w:hAnsi="Microsoft Sans Serif" w:cs="Microsoft Sans Serif"/>
          <w:noProof/>
          <w:szCs w:val="22"/>
        </w:rPr>
        <w:t>NATIONAL RAILROAD PASSENGER CORP</w:t>
      </w:r>
    </w:p>
    <w:p w:rsidR="00216FEA" w:rsidRPr="00216FEA" w:rsidRDefault="00216FEA" w:rsidP="00216FEA">
      <w:pPr>
        <w:autoSpaceDE/>
        <w:autoSpaceDN/>
        <w:rPr>
          <w:rFonts w:ascii="Microsoft Sans Serif" w:eastAsiaTheme="minorHAnsi" w:hAnsi="Microsoft Sans Serif" w:cs="Microsoft Sans Serif"/>
          <w:szCs w:val="22"/>
        </w:rPr>
      </w:pPr>
      <w:r w:rsidRPr="00216FEA">
        <w:rPr>
          <w:rFonts w:ascii="Microsoft Sans Serif" w:eastAsiaTheme="minorHAnsi" w:hAnsi="Microsoft Sans Serif" w:cs="Microsoft Sans Serif"/>
          <w:noProof/>
          <w:szCs w:val="22"/>
        </w:rPr>
        <w:t>AMTRAK LAW DEPARTMENT</w:t>
      </w:r>
    </w:p>
    <w:p w:rsidR="00216FEA" w:rsidRPr="00216FEA" w:rsidRDefault="00216FEA" w:rsidP="00216FEA">
      <w:pPr>
        <w:autoSpaceDE/>
        <w:autoSpaceDN/>
        <w:rPr>
          <w:rFonts w:ascii="Microsoft Sans Serif" w:eastAsiaTheme="minorHAnsi" w:hAnsi="Microsoft Sans Serif" w:cs="Microsoft Sans Serif"/>
          <w:szCs w:val="22"/>
        </w:rPr>
      </w:pPr>
      <w:r w:rsidRPr="00216FEA">
        <w:rPr>
          <w:rFonts w:ascii="Microsoft Sans Serif" w:eastAsiaTheme="minorHAnsi" w:hAnsi="Microsoft Sans Serif" w:cs="Microsoft Sans Serif"/>
          <w:noProof/>
          <w:szCs w:val="22"/>
        </w:rPr>
        <w:t>60 MASSACHUSETTS AVE. NE</w:t>
      </w:r>
    </w:p>
    <w:p w:rsidR="00216FEA" w:rsidRPr="00216FEA" w:rsidRDefault="00216FEA" w:rsidP="00216FEA">
      <w:pPr>
        <w:autoSpaceDE/>
        <w:autoSpaceDN/>
        <w:rPr>
          <w:rFonts w:ascii="Microsoft Sans Serif" w:eastAsiaTheme="minorHAnsi" w:hAnsi="Microsoft Sans Serif" w:cs="Microsoft Sans Serif"/>
          <w:szCs w:val="22"/>
        </w:rPr>
      </w:pPr>
      <w:r w:rsidRPr="00216FEA">
        <w:rPr>
          <w:rFonts w:ascii="Microsoft Sans Serif" w:eastAsiaTheme="minorHAnsi" w:hAnsi="Microsoft Sans Serif" w:cs="Microsoft Sans Serif"/>
          <w:noProof/>
          <w:szCs w:val="22"/>
        </w:rPr>
        <w:t>WASHINGTON</w:t>
      </w:r>
      <w:r w:rsidRPr="00216FEA">
        <w:rPr>
          <w:rFonts w:ascii="Microsoft Sans Serif" w:eastAsiaTheme="minorHAnsi" w:hAnsi="Microsoft Sans Serif" w:cs="Microsoft Sans Serif"/>
          <w:szCs w:val="22"/>
        </w:rPr>
        <w:t xml:space="preserve"> </w:t>
      </w:r>
      <w:r w:rsidRPr="00216FEA">
        <w:rPr>
          <w:rFonts w:ascii="Microsoft Sans Serif" w:eastAsiaTheme="minorHAnsi" w:hAnsi="Microsoft Sans Serif" w:cs="Microsoft Sans Serif"/>
          <w:noProof/>
          <w:szCs w:val="22"/>
        </w:rPr>
        <w:t>DC</w:t>
      </w:r>
      <w:r w:rsidRPr="00216FEA">
        <w:rPr>
          <w:rFonts w:ascii="Microsoft Sans Serif" w:eastAsiaTheme="minorHAnsi" w:hAnsi="Microsoft Sans Serif" w:cs="Microsoft Sans Serif"/>
          <w:szCs w:val="22"/>
        </w:rPr>
        <w:t xml:space="preserve">  </w:t>
      </w:r>
      <w:r w:rsidRPr="00216FEA">
        <w:rPr>
          <w:rFonts w:ascii="Microsoft Sans Serif" w:eastAsiaTheme="minorHAnsi" w:hAnsi="Microsoft Sans Serif" w:cs="Microsoft Sans Serif"/>
          <w:noProof/>
          <w:szCs w:val="22"/>
        </w:rPr>
        <w:t>20002</w:t>
      </w:r>
    </w:p>
    <w:p w:rsidR="00216FEA" w:rsidRPr="00216FEA" w:rsidRDefault="00216FEA" w:rsidP="00216FEA">
      <w:pPr>
        <w:autoSpaceDE/>
        <w:autoSpaceDN/>
        <w:rPr>
          <w:rFonts w:ascii="Microsoft Sans Serif" w:eastAsiaTheme="minorHAnsi" w:hAnsi="Microsoft Sans Serif" w:cs="Microsoft Sans Serif"/>
          <w:b/>
          <w:szCs w:val="22"/>
          <w:u w:val="single"/>
        </w:rPr>
      </w:pPr>
      <w:r w:rsidRPr="00216FEA">
        <w:rPr>
          <w:rFonts w:ascii="Microsoft Sans Serif" w:eastAsiaTheme="minorHAnsi" w:hAnsi="Microsoft Sans Serif" w:cs="Microsoft Sans Serif"/>
          <w:b/>
          <w:noProof/>
          <w:szCs w:val="22"/>
          <w:u w:val="single"/>
        </w:rPr>
        <w:t>eServe</w:t>
      </w:r>
    </w:p>
    <w:p w:rsidR="00216FEA" w:rsidRPr="00216FEA" w:rsidRDefault="00216FEA" w:rsidP="00216FEA">
      <w:pPr>
        <w:autoSpaceDE/>
        <w:autoSpaceDN/>
        <w:rPr>
          <w:rFonts w:ascii="Microsoft Sans Serif" w:eastAsiaTheme="minorHAnsi" w:hAnsi="Microsoft Sans Serif" w:cs="Microsoft Sans Serif"/>
          <w:szCs w:val="22"/>
        </w:rPr>
      </w:pPr>
    </w:p>
    <w:p w:rsidR="00216FEA" w:rsidRPr="00216FEA" w:rsidRDefault="00216FEA" w:rsidP="00216FEA">
      <w:pPr>
        <w:autoSpaceDE/>
        <w:autoSpaceDN/>
        <w:rPr>
          <w:rFonts w:ascii="Microsoft Sans Serif" w:eastAsiaTheme="minorHAnsi" w:hAnsi="Microsoft Sans Serif" w:cs="Microsoft Sans Serif"/>
          <w:szCs w:val="22"/>
        </w:rPr>
      </w:pPr>
      <w:r w:rsidRPr="00216FEA">
        <w:rPr>
          <w:rFonts w:ascii="Microsoft Sans Serif" w:eastAsiaTheme="minorHAnsi" w:hAnsi="Microsoft Sans Serif" w:cs="Microsoft Sans Serif"/>
          <w:noProof/>
          <w:szCs w:val="22"/>
        </w:rPr>
        <w:t>JANICE L M LONGER</w:t>
      </w:r>
      <w:r w:rsidRPr="00216FEA">
        <w:rPr>
          <w:rFonts w:ascii="Microsoft Sans Serif" w:eastAsiaTheme="minorHAnsi" w:hAnsi="Microsoft Sans Serif" w:cs="Microsoft Sans Serif"/>
          <w:szCs w:val="22"/>
        </w:rPr>
        <w:t xml:space="preserve"> ESQUIRE</w:t>
      </w:r>
    </w:p>
    <w:p w:rsidR="00216FEA" w:rsidRPr="00216FEA" w:rsidRDefault="00216FEA" w:rsidP="00216FEA">
      <w:pPr>
        <w:autoSpaceDE/>
        <w:autoSpaceDN/>
        <w:rPr>
          <w:rFonts w:ascii="Microsoft Sans Serif" w:eastAsiaTheme="minorHAnsi" w:hAnsi="Microsoft Sans Serif" w:cs="Microsoft Sans Serif"/>
          <w:szCs w:val="22"/>
        </w:rPr>
      </w:pPr>
      <w:r w:rsidRPr="00216FEA">
        <w:rPr>
          <w:rFonts w:ascii="Microsoft Sans Serif" w:eastAsiaTheme="minorHAnsi" w:hAnsi="Microsoft Sans Serif" w:cs="Microsoft Sans Serif"/>
          <w:noProof/>
          <w:szCs w:val="22"/>
        </w:rPr>
        <w:t>120 NORTH SHIPPEN ST</w:t>
      </w:r>
    </w:p>
    <w:p w:rsidR="00216FEA" w:rsidRPr="00216FEA" w:rsidRDefault="00216FEA" w:rsidP="00216FEA">
      <w:pPr>
        <w:autoSpaceDE/>
        <w:autoSpaceDN/>
        <w:rPr>
          <w:rFonts w:ascii="Microsoft Sans Serif" w:eastAsiaTheme="minorHAnsi" w:hAnsi="Microsoft Sans Serif" w:cs="Microsoft Sans Serif"/>
          <w:szCs w:val="22"/>
        </w:rPr>
      </w:pPr>
      <w:r w:rsidRPr="00216FEA">
        <w:rPr>
          <w:rFonts w:ascii="Microsoft Sans Serif" w:eastAsiaTheme="minorHAnsi" w:hAnsi="Microsoft Sans Serif" w:cs="Microsoft Sans Serif"/>
          <w:noProof/>
          <w:szCs w:val="22"/>
        </w:rPr>
        <w:t>LANCASTER</w:t>
      </w:r>
      <w:r w:rsidRPr="00216FEA">
        <w:rPr>
          <w:rFonts w:ascii="Microsoft Sans Serif" w:eastAsiaTheme="minorHAnsi" w:hAnsi="Microsoft Sans Serif" w:cs="Microsoft Sans Serif"/>
          <w:szCs w:val="22"/>
        </w:rPr>
        <w:t xml:space="preserve"> </w:t>
      </w:r>
      <w:r w:rsidRPr="00216FEA">
        <w:rPr>
          <w:rFonts w:ascii="Microsoft Sans Serif" w:eastAsiaTheme="minorHAnsi" w:hAnsi="Microsoft Sans Serif" w:cs="Microsoft Sans Serif"/>
          <w:noProof/>
          <w:szCs w:val="22"/>
        </w:rPr>
        <w:t>PA</w:t>
      </w:r>
      <w:r w:rsidRPr="00216FEA">
        <w:rPr>
          <w:rFonts w:ascii="Microsoft Sans Serif" w:eastAsiaTheme="minorHAnsi" w:hAnsi="Microsoft Sans Serif" w:cs="Microsoft Sans Serif"/>
          <w:szCs w:val="22"/>
        </w:rPr>
        <w:t xml:space="preserve">  </w:t>
      </w:r>
      <w:r w:rsidRPr="00216FEA">
        <w:rPr>
          <w:rFonts w:ascii="Microsoft Sans Serif" w:eastAsiaTheme="minorHAnsi" w:hAnsi="Microsoft Sans Serif" w:cs="Microsoft Sans Serif"/>
          <w:noProof/>
          <w:szCs w:val="22"/>
        </w:rPr>
        <w:t>17602</w:t>
      </w:r>
    </w:p>
    <w:p w:rsidR="00216FEA" w:rsidRPr="00216FEA" w:rsidRDefault="00216FEA" w:rsidP="00216FEA">
      <w:pPr>
        <w:autoSpaceDE/>
        <w:autoSpaceDN/>
        <w:rPr>
          <w:rFonts w:ascii="Microsoft Sans Serif" w:eastAsiaTheme="minorHAnsi" w:hAnsi="Microsoft Sans Serif" w:cs="Microsoft Sans Serif"/>
          <w:i/>
          <w:szCs w:val="22"/>
        </w:rPr>
      </w:pPr>
      <w:r w:rsidRPr="00216FEA">
        <w:rPr>
          <w:rFonts w:ascii="Microsoft Sans Serif" w:eastAsiaTheme="minorHAnsi" w:hAnsi="Microsoft Sans Serif" w:cs="Microsoft Sans Serif"/>
          <w:i/>
          <w:szCs w:val="22"/>
        </w:rPr>
        <w:t xml:space="preserve">(FOR </w:t>
      </w:r>
      <w:r w:rsidRPr="00216FEA">
        <w:rPr>
          <w:rFonts w:ascii="Microsoft Sans Serif" w:eastAsiaTheme="minorHAnsi" w:hAnsi="Microsoft Sans Serif" w:cs="Microsoft Sans Serif"/>
          <w:i/>
          <w:noProof/>
          <w:szCs w:val="22"/>
        </w:rPr>
        <w:t>EDEN TOWNSHIP</w:t>
      </w:r>
      <w:r w:rsidRPr="00216FEA">
        <w:rPr>
          <w:rFonts w:ascii="Microsoft Sans Serif" w:eastAsiaTheme="minorHAnsi" w:hAnsi="Microsoft Sans Serif" w:cs="Microsoft Sans Serif"/>
          <w:i/>
          <w:szCs w:val="22"/>
        </w:rPr>
        <w:t>)</w:t>
      </w:r>
    </w:p>
    <w:p w:rsidR="00216FEA" w:rsidRPr="00216FEA" w:rsidRDefault="00216FEA" w:rsidP="00216FEA">
      <w:pPr>
        <w:autoSpaceDE/>
        <w:autoSpaceDN/>
        <w:rPr>
          <w:rFonts w:ascii="Microsoft Sans Serif" w:eastAsiaTheme="minorHAnsi" w:hAnsi="Microsoft Sans Serif" w:cs="Microsoft Sans Serif"/>
          <w:i/>
          <w:szCs w:val="22"/>
        </w:rPr>
      </w:pPr>
    </w:p>
    <w:p w:rsidR="00216FEA" w:rsidRPr="00216FEA" w:rsidRDefault="00216FEA" w:rsidP="00216FEA">
      <w:pPr>
        <w:autoSpaceDE/>
        <w:autoSpaceDN/>
        <w:rPr>
          <w:rFonts w:ascii="Microsoft Sans Serif" w:eastAsiaTheme="minorHAnsi" w:hAnsi="Microsoft Sans Serif" w:cs="Microsoft Sans Serif"/>
          <w:bCs/>
          <w:szCs w:val="22"/>
        </w:rPr>
      </w:pPr>
      <w:r w:rsidRPr="00216FEA">
        <w:rPr>
          <w:rFonts w:ascii="Microsoft Sans Serif" w:eastAsiaTheme="minorHAnsi" w:hAnsi="Microsoft Sans Serif" w:cs="Microsoft Sans Serif"/>
          <w:bCs/>
          <w:szCs w:val="22"/>
        </w:rPr>
        <w:t>MARTHA R SMITH ESQUIRE</w:t>
      </w:r>
    </w:p>
    <w:p w:rsidR="00216FEA" w:rsidRPr="00216FEA" w:rsidRDefault="00216FEA" w:rsidP="00216FEA">
      <w:pPr>
        <w:autoSpaceDE/>
        <w:autoSpaceDN/>
        <w:rPr>
          <w:rFonts w:ascii="Microsoft Sans Serif" w:eastAsiaTheme="minorHAnsi" w:hAnsi="Microsoft Sans Serif" w:cs="Microsoft Sans Serif"/>
          <w:szCs w:val="22"/>
        </w:rPr>
      </w:pPr>
      <w:r w:rsidRPr="00216FEA">
        <w:rPr>
          <w:rFonts w:ascii="Microsoft Sans Serif" w:eastAsiaTheme="minorHAnsi" w:hAnsi="Microsoft Sans Serif" w:cs="Microsoft Sans Serif"/>
          <w:szCs w:val="22"/>
        </w:rPr>
        <w:t>CONSERVATION AND NATURAL RESOURCES</w:t>
      </w:r>
    </w:p>
    <w:p w:rsidR="00216FEA" w:rsidRPr="00216FEA" w:rsidRDefault="00216FEA" w:rsidP="00216FEA">
      <w:pPr>
        <w:autoSpaceDE/>
        <w:autoSpaceDN/>
        <w:rPr>
          <w:rFonts w:ascii="Microsoft Sans Serif" w:eastAsiaTheme="minorHAnsi" w:hAnsi="Microsoft Sans Serif" w:cs="Microsoft Sans Serif"/>
          <w:szCs w:val="22"/>
        </w:rPr>
      </w:pPr>
      <w:r w:rsidRPr="00216FEA">
        <w:rPr>
          <w:rFonts w:ascii="Microsoft Sans Serif" w:eastAsiaTheme="minorHAnsi" w:hAnsi="Microsoft Sans Serif" w:cs="Microsoft Sans Serif"/>
          <w:szCs w:val="22"/>
        </w:rPr>
        <w:t>GOVERNOR'S OFFICE OF GENERAL COUNSEL</w:t>
      </w:r>
    </w:p>
    <w:p w:rsidR="00216FEA" w:rsidRPr="00216FEA" w:rsidRDefault="00216FEA" w:rsidP="00216FEA">
      <w:pPr>
        <w:autoSpaceDE/>
        <w:autoSpaceDN/>
        <w:rPr>
          <w:rFonts w:ascii="Microsoft Sans Serif" w:eastAsiaTheme="minorHAnsi" w:hAnsi="Microsoft Sans Serif" w:cs="Microsoft Sans Serif"/>
          <w:szCs w:val="22"/>
        </w:rPr>
      </w:pPr>
      <w:r w:rsidRPr="00216FEA">
        <w:rPr>
          <w:rFonts w:ascii="Microsoft Sans Serif" w:eastAsiaTheme="minorHAnsi" w:hAnsi="Microsoft Sans Serif" w:cs="Microsoft Sans Serif"/>
          <w:szCs w:val="22"/>
        </w:rPr>
        <w:t xml:space="preserve">400 MARKET ST </w:t>
      </w:r>
    </w:p>
    <w:p w:rsidR="00216FEA" w:rsidRPr="00216FEA" w:rsidRDefault="00216FEA" w:rsidP="00216FEA">
      <w:pPr>
        <w:autoSpaceDE/>
        <w:autoSpaceDN/>
        <w:rPr>
          <w:rFonts w:ascii="Microsoft Sans Serif" w:eastAsiaTheme="minorHAnsi" w:hAnsi="Microsoft Sans Serif" w:cs="Microsoft Sans Serif"/>
          <w:szCs w:val="22"/>
        </w:rPr>
      </w:pPr>
      <w:r w:rsidRPr="00216FEA">
        <w:rPr>
          <w:rFonts w:ascii="Microsoft Sans Serif" w:eastAsiaTheme="minorHAnsi" w:hAnsi="Microsoft Sans Serif" w:cs="Microsoft Sans Serif"/>
          <w:szCs w:val="22"/>
        </w:rPr>
        <w:t>RACHEL CARSON BLDG, 7</w:t>
      </w:r>
      <w:r w:rsidRPr="00216FEA">
        <w:rPr>
          <w:rFonts w:ascii="Microsoft Sans Serif" w:eastAsiaTheme="minorHAnsi" w:hAnsi="Microsoft Sans Serif" w:cs="Microsoft Sans Serif"/>
          <w:szCs w:val="22"/>
          <w:vertAlign w:val="superscript"/>
        </w:rPr>
        <w:t>TH</w:t>
      </w:r>
      <w:r w:rsidRPr="00216FEA">
        <w:rPr>
          <w:rFonts w:ascii="Microsoft Sans Serif" w:eastAsiaTheme="minorHAnsi" w:hAnsi="Microsoft Sans Serif" w:cs="Microsoft Sans Serif"/>
          <w:szCs w:val="22"/>
        </w:rPr>
        <w:t xml:space="preserve"> FLOOR</w:t>
      </w:r>
    </w:p>
    <w:p w:rsidR="00216FEA" w:rsidRPr="00216FEA" w:rsidRDefault="00216FEA" w:rsidP="00216FEA">
      <w:pPr>
        <w:autoSpaceDE/>
        <w:autoSpaceDN/>
        <w:rPr>
          <w:rFonts w:ascii="Microsoft Sans Serif" w:eastAsiaTheme="minorHAnsi" w:hAnsi="Microsoft Sans Serif" w:cs="Microsoft Sans Serif"/>
          <w:szCs w:val="22"/>
        </w:rPr>
      </w:pPr>
      <w:r w:rsidRPr="00216FEA">
        <w:rPr>
          <w:rFonts w:ascii="Microsoft Sans Serif" w:eastAsiaTheme="minorHAnsi" w:hAnsi="Microsoft Sans Serif" w:cs="Microsoft Sans Serif"/>
          <w:szCs w:val="22"/>
        </w:rPr>
        <w:t>PO BOX 8767</w:t>
      </w:r>
    </w:p>
    <w:p w:rsidR="00216FEA" w:rsidRPr="00216FEA" w:rsidRDefault="00216FEA" w:rsidP="00216FEA">
      <w:pPr>
        <w:autoSpaceDE/>
        <w:autoSpaceDN/>
        <w:rPr>
          <w:rFonts w:ascii="Microsoft Sans Serif" w:eastAsiaTheme="minorHAnsi" w:hAnsi="Microsoft Sans Serif" w:cs="Microsoft Sans Serif"/>
          <w:szCs w:val="22"/>
        </w:rPr>
      </w:pPr>
      <w:r w:rsidRPr="00216FEA">
        <w:rPr>
          <w:rFonts w:ascii="Microsoft Sans Serif" w:eastAsiaTheme="minorHAnsi" w:hAnsi="Microsoft Sans Serif" w:cs="Microsoft Sans Serif"/>
          <w:szCs w:val="22"/>
        </w:rPr>
        <w:t>HARRISBURG PA  17105</w:t>
      </w:r>
    </w:p>
    <w:p w:rsidR="00216FEA" w:rsidRPr="00216FEA" w:rsidRDefault="00216FEA" w:rsidP="00216FEA">
      <w:pPr>
        <w:autoSpaceDE/>
        <w:autoSpaceDN/>
        <w:rPr>
          <w:rFonts w:ascii="Microsoft Sans Serif" w:eastAsiaTheme="minorHAnsi" w:hAnsi="Microsoft Sans Serif" w:cs="Microsoft Sans Serif"/>
          <w:b/>
          <w:szCs w:val="22"/>
          <w:u w:val="single"/>
        </w:rPr>
      </w:pPr>
      <w:proofErr w:type="spellStart"/>
      <w:proofErr w:type="gramStart"/>
      <w:r w:rsidRPr="00216FEA">
        <w:rPr>
          <w:rFonts w:ascii="Microsoft Sans Serif" w:eastAsiaTheme="minorHAnsi" w:hAnsi="Microsoft Sans Serif" w:cs="Microsoft Sans Serif"/>
          <w:b/>
          <w:szCs w:val="22"/>
          <w:u w:val="single"/>
        </w:rPr>
        <w:t>eServe</w:t>
      </w:r>
      <w:proofErr w:type="spellEnd"/>
      <w:proofErr w:type="gramEnd"/>
    </w:p>
    <w:p w:rsidR="00216FEA" w:rsidRPr="00216FEA" w:rsidRDefault="00216FEA" w:rsidP="00216FEA">
      <w:pPr>
        <w:autoSpaceDE/>
        <w:autoSpaceDN/>
        <w:rPr>
          <w:rFonts w:ascii="Microsoft Sans Serif" w:eastAsiaTheme="minorHAnsi" w:hAnsi="Microsoft Sans Serif" w:cs="Microsoft Sans Serif"/>
          <w:szCs w:val="22"/>
        </w:rPr>
      </w:pPr>
    </w:p>
    <w:p w:rsidR="00216FEA" w:rsidRPr="00216FEA" w:rsidRDefault="00216FEA" w:rsidP="00216FEA">
      <w:pPr>
        <w:autoSpaceDE/>
        <w:autoSpaceDN/>
        <w:rPr>
          <w:rFonts w:ascii="Microsoft Sans Serif" w:eastAsiaTheme="minorHAnsi" w:hAnsi="Microsoft Sans Serif" w:cs="Microsoft Sans Serif"/>
          <w:szCs w:val="22"/>
        </w:rPr>
      </w:pPr>
    </w:p>
    <w:p w:rsidR="00216FEA" w:rsidRPr="00216FEA" w:rsidRDefault="00216FEA" w:rsidP="00216FEA">
      <w:pPr>
        <w:autoSpaceDE/>
        <w:autoSpaceDN/>
        <w:rPr>
          <w:rFonts w:ascii="Microsoft Sans Serif" w:eastAsiaTheme="minorHAnsi" w:hAnsi="Microsoft Sans Serif" w:cs="Microsoft Sans Serif"/>
          <w:szCs w:val="22"/>
        </w:rPr>
      </w:pPr>
      <w:r w:rsidRPr="00216FEA">
        <w:rPr>
          <w:rFonts w:ascii="Microsoft Sans Serif" w:eastAsiaTheme="minorHAnsi" w:cstheme="minorBidi"/>
          <w:szCs w:val="22"/>
        </w:rPr>
        <w:lastRenderedPageBreak/>
        <w:t>MICHAEL A GRUIN ESQUIRE</w:t>
      </w:r>
      <w:r w:rsidRPr="00216FEA">
        <w:rPr>
          <w:rFonts w:ascii="Microsoft Sans Serif" w:eastAsiaTheme="minorHAnsi" w:cstheme="minorBidi"/>
          <w:szCs w:val="22"/>
        </w:rPr>
        <w:cr/>
        <w:t>STEVENS &amp; LEE</w:t>
      </w:r>
      <w:r w:rsidRPr="00216FEA">
        <w:rPr>
          <w:rFonts w:ascii="Microsoft Sans Serif" w:eastAsiaTheme="minorHAnsi" w:cstheme="minorBidi"/>
          <w:szCs w:val="22"/>
        </w:rPr>
        <w:cr/>
        <w:t>16TH FLOOR</w:t>
      </w:r>
      <w:r w:rsidRPr="00216FEA">
        <w:rPr>
          <w:rFonts w:ascii="Microsoft Sans Serif" w:eastAsiaTheme="minorHAnsi" w:cstheme="minorBidi"/>
          <w:szCs w:val="22"/>
        </w:rPr>
        <w:cr/>
        <w:t xml:space="preserve">17 NORTH SECOND </w:t>
      </w:r>
      <w:proofErr w:type="gramStart"/>
      <w:r w:rsidRPr="00216FEA">
        <w:rPr>
          <w:rFonts w:ascii="Microsoft Sans Serif" w:eastAsiaTheme="minorHAnsi" w:cstheme="minorBidi"/>
          <w:szCs w:val="22"/>
        </w:rPr>
        <w:t>STREET</w:t>
      </w:r>
      <w:proofErr w:type="gramEnd"/>
      <w:r w:rsidRPr="00216FEA">
        <w:rPr>
          <w:rFonts w:ascii="Microsoft Sans Serif" w:eastAsiaTheme="minorHAnsi" w:cstheme="minorBidi"/>
          <w:szCs w:val="22"/>
        </w:rPr>
        <w:cr/>
        <w:t>HARRISBURG PA  17101</w:t>
      </w:r>
      <w:r w:rsidRPr="00216FEA">
        <w:rPr>
          <w:rFonts w:ascii="Microsoft Sans Serif" w:eastAsiaTheme="minorHAnsi" w:cstheme="minorBidi"/>
          <w:szCs w:val="22"/>
        </w:rPr>
        <w:cr/>
      </w:r>
      <w:r w:rsidRPr="00216FEA">
        <w:rPr>
          <w:rFonts w:ascii="Microsoft Sans Serif" w:eastAsiaTheme="minorHAnsi" w:cstheme="minorBidi"/>
          <w:b/>
          <w:szCs w:val="22"/>
        </w:rPr>
        <w:t>717.255.7365</w:t>
      </w:r>
      <w:r w:rsidRPr="00216FEA">
        <w:rPr>
          <w:rFonts w:ascii="Microsoft Sans Serif" w:eastAsiaTheme="minorHAnsi" w:cstheme="minorBidi"/>
          <w:b/>
          <w:szCs w:val="22"/>
        </w:rPr>
        <w:cr/>
      </w:r>
      <w:proofErr w:type="spellStart"/>
      <w:proofErr w:type="gramStart"/>
      <w:r w:rsidRPr="00216FEA">
        <w:rPr>
          <w:rFonts w:ascii="Microsoft Sans Serif" w:eastAsiaTheme="minorHAnsi" w:cstheme="minorBidi"/>
          <w:b/>
          <w:szCs w:val="22"/>
          <w:u w:val="single"/>
        </w:rPr>
        <w:t>eServe</w:t>
      </w:r>
      <w:proofErr w:type="spellEnd"/>
      <w:proofErr w:type="gramEnd"/>
    </w:p>
    <w:p w:rsidR="006D33B5" w:rsidRDefault="006D33B5" w:rsidP="00444E27">
      <w:bookmarkStart w:id="0" w:name="_GoBack"/>
      <w:bookmarkEnd w:id="0"/>
    </w:p>
    <w:sectPr w:rsidR="006D33B5" w:rsidSect="001B41DC">
      <w:type w:val="continuous"/>
      <w:pgSz w:w="12240" w:h="15840" w:code="1"/>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D68" w:rsidRDefault="00154D68">
      <w:r>
        <w:separator/>
      </w:r>
    </w:p>
  </w:endnote>
  <w:endnote w:type="continuationSeparator" w:id="0">
    <w:p w:rsidR="00154D68" w:rsidRDefault="00154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3C02CC" w:rsidRDefault="00B806F4">
    <w:pPr>
      <w:pStyle w:val="Footer"/>
      <w:framePr w:wrap="auto" w:vAnchor="text" w:hAnchor="margin" w:xAlign="center" w:y="1"/>
      <w:rPr>
        <w:rStyle w:val="PageNumber"/>
        <w:sz w:val="23"/>
        <w:szCs w:val="23"/>
      </w:rPr>
    </w:pPr>
    <w:r w:rsidRPr="003C02CC">
      <w:rPr>
        <w:rStyle w:val="PageNumber"/>
        <w:sz w:val="23"/>
        <w:szCs w:val="23"/>
      </w:rPr>
      <w:fldChar w:fldCharType="begin"/>
    </w:r>
    <w:r w:rsidR="006D33B5" w:rsidRPr="003C02CC">
      <w:rPr>
        <w:rStyle w:val="PageNumber"/>
        <w:sz w:val="23"/>
        <w:szCs w:val="23"/>
      </w:rPr>
      <w:instrText xml:space="preserve">PAGE  </w:instrText>
    </w:r>
    <w:r w:rsidRPr="003C02CC">
      <w:rPr>
        <w:rStyle w:val="PageNumber"/>
        <w:sz w:val="23"/>
        <w:szCs w:val="23"/>
      </w:rPr>
      <w:fldChar w:fldCharType="separate"/>
    </w:r>
    <w:r w:rsidR="009E54F3">
      <w:rPr>
        <w:rStyle w:val="PageNumber"/>
        <w:noProof/>
        <w:sz w:val="23"/>
        <w:szCs w:val="23"/>
      </w:rPr>
      <w:t>6</w:t>
    </w:r>
    <w:r w:rsidRPr="003C02CC">
      <w:rPr>
        <w:rStyle w:val="PageNumber"/>
        <w:sz w:val="23"/>
        <w:szCs w:val="23"/>
      </w:rPr>
      <w:fldChar w:fldCharType="end"/>
    </w:r>
  </w:p>
  <w:p w:rsidR="006D33B5" w:rsidRPr="003C02CC" w:rsidRDefault="006D33B5">
    <w:pPr>
      <w:pStyle w:val="Footer"/>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4F3" w:rsidRPr="003C02CC" w:rsidRDefault="009E54F3">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D68" w:rsidRDefault="00154D68">
      <w:r>
        <w:separator/>
      </w:r>
    </w:p>
  </w:footnote>
  <w:footnote w:type="continuationSeparator" w:id="0">
    <w:p w:rsidR="00154D68" w:rsidRDefault="00154D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6"/>
  </w:num>
  <w:num w:numId="3">
    <w:abstractNumId w:val="2"/>
  </w:num>
  <w:num w:numId="4">
    <w:abstractNumId w:val="13"/>
  </w:num>
  <w:num w:numId="5">
    <w:abstractNumId w:val="3"/>
  </w:num>
  <w:num w:numId="6">
    <w:abstractNumId w:val="15"/>
  </w:num>
  <w:num w:numId="7">
    <w:abstractNumId w:val="1"/>
  </w:num>
  <w:num w:numId="8">
    <w:abstractNumId w:val="9"/>
  </w:num>
  <w:num w:numId="9">
    <w:abstractNumId w:val="5"/>
  </w:num>
  <w:num w:numId="10">
    <w:abstractNumId w:val="14"/>
  </w:num>
  <w:num w:numId="11">
    <w:abstractNumId w:val="11"/>
  </w:num>
  <w:num w:numId="12">
    <w:abstractNumId w:val="4"/>
  </w:num>
  <w:num w:numId="13">
    <w:abstractNumId w:val="10"/>
  </w:num>
  <w:num w:numId="14">
    <w:abstractNumId w:val="0"/>
  </w:num>
  <w:num w:numId="15">
    <w:abstractNumId w:val="1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11478"/>
    <w:rsid w:val="000253F8"/>
    <w:rsid w:val="00031CED"/>
    <w:rsid w:val="00037E8B"/>
    <w:rsid w:val="00040542"/>
    <w:rsid w:val="000447F9"/>
    <w:rsid w:val="00050489"/>
    <w:rsid w:val="00050AF1"/>
    <w:rsid w:val="00054540"/>
    <w:rsid w:val="00054A10"/>
    <w:rsid w:val="00055FCB"/>
    <w:rsid w:val="00060BB1"/>
    <w:rsid w:val="00063F87"/>
    <w:rsid w:val="00073240"/>
    <w:rsid w:val="00080E54"/>
    <w:rsid w:val="00081A6A"/>
    <w:rsid w:val="000851FC"/>
    <w:rsid w:val="000878EC"/>
    <w:rsid w:val="000B6D6C"/>
    <w:rsid w:val="000C3A73"/>
    <w:rsid w:val="000C5271"/>
    <w:rsid w:val="000C541F"/>
    <w:rsid w:val="000C5888"/>
    <w:rsid w:val="000D2CCA"/>
    <w:rsid w:val="000D4032"/>
    <w:rsid w:val="000D67B4"/>
    <w:rsid w:val="000D6D75"/>
    <w:rsid w:val="000E6B3B"/>
    <w:rsid w:val="000F0A49"/>
    <w:rsid w:val="000F7691"/>
    <w:rsid w:val="00100249"/>
    <w:rsid w:val="001011A4"/>
    <w:rsid w:val="00104073"/>
    <w:rsid w:val="00104D08"/>
    <w:rsid w:val="001066C1"/>
    <w:rsid w:val="00107108"/>
    <w:rsid w:val="00111D05"/>
    <w:rsid w:val="00113C98"/>
    <w:rsid w:val="001143EE"/>
    <w:rsid w:val="00116479"/>
    <w:rsid w:val="00116C62"/>
    <w:rsid w:val="00122A9C"/>
    <w:rsid w:val="001270B6"/>
    <w:rsid w:val="00132928"/>
    <w:rsid w:val="0013770C"/>
    <w:rsid w:val="00140883"/>
    <w:rsid w:val="00142EE0"/>
    <w:rsid w:val="001441F9"/>
    <w:rsid w:val="00153529"/>
    <w:rsid w:val="001547B2"/>
    <w:rsid w:val="00154D68"/>
    <w:rsid w:val="001714A2"/>
    <w:rsid w:val="001767DF"/>
    <w:rsid w:val="00181BAB"/>
    <w:rsid w:val="00182ECA"/>
    <w:rsid w:val="00187495"/>
    <w:rsid w:val="00187940"/>
    <w:rsid w:val="001900E6"/>
    <w:rsid w:val="00190843"/>
    <w:rsid w:val="00193F4C"/>
    <w:rsid w:val="0019509B"/>
    <w:rsid w:val="00197B84"/>
    <w:rsid w:val="001A1495"/>
    <w:rsid w:val="001C23B6"/>
    <w:rsid w:val="001C7376"/>
    <w:rsid w:val="001C7DC7"/>
    <w:rsid w:val="001C7E2F"/>
    <w:rsid w:val="001D0606"/>
    <w:rsid w:val="001D36BC"/>
    <w:rsid w:val="001D48D9"/>
    <w:rsid w:val="001E0583"/>
    <w:rsid w:val="001E1EE6"/>
    <w:rsid w:val="001E41F1"/>
    <w:rsid w:val="001E755C"/>
    <w:rsid w:val="001F3D60"/>
    <w:rsid w:val="001F59C0"/>
    <w:rsid w:val="002026C5"/>
    <w:rsid w:val="002069A1"/>
    <w:rsid w:val="00212459"/>
    <w:rsid w:val="00216FEA"/>
    <w:rsid w:val="0022121D"/>
    <w:rsid w:val="00224765"/>
    <w:rsid w:val="00252F51"/>
    <w:rsid w:val="0025436A"/>
    <w:rsid w:val="0026329B"/>
    <w:rsid w:val="00266583"/>
    <w:rsid w:val="0027269F"/>
    <w:rsid w:val="00276158"/>
    <w:rsid w:val="002825EF"/>
    <w:rsid w:val="002860B7"/>
    <w:rsid w:val="002967E5"/>
    <w:rsid w:val="002A5F90"/>
    <w:rsid w:val="002A6146"/>
    <w:rsid w:val="002B04F4"/>
    <w:rsid w:val="002B1DB7"/>
    <w:rsid w:val="002B5A65"/>
    <w:rsid w:val="002C06C1"/>
    <w:rsid w:val="002C13F5"/>
    <w:rsid w:val="002C2C4E"/>
    <w:rsid w:val="002C32C8"/>
    <w:rsid w:val="002C40FB"/>
    <w:rsid w:val="002C66E9"/>
    <w:rsid w:val="002E2B8A"/>
    <w:rsid w:val="002E4F5F"/>
    <w:rsid w:val="002E5F7E"/>
    <w:rsid w:val="002E76DB"/>
    <w:rsid w:val="002F61D3"/>
    <w:rsid w:val="003038D5"/>
    <w:rsid w:val="00312F22"/>
    <w:rsid w:val="00316851"/>
    <w:rsid w:val="003234C9"/>
    <w:rsid w:val="00326FA4"/>
    <w:rsid w:val="00331314"/>
    <w:rsid w:val="00333A41"/>
    <w:rsid w:val="00337DC7"/>
    <w:rsid w:val="00342A79"/>
    <w:rsid w:val="0036322E"/>
    <w:rsid w:val="00364A6D"/>
    <w:rsid w:val="00366708"/>
    <w:rsid w:val="00367E2E"/>
    <w:rsid w:val="00371B8B"/>
    <w:rsid w:val="00374FE0"/>
    <w:rsid w:val="0037679C"/>
    <w:rsid w:val="00380135"/>
    <w:rsid w:val="003828F7"/>
    <w:rsid w:val="0039072F"/>
    <w:rsid w:val="0039566B"/>
    <w:rsid w:val="003A5D44"/>
    <w:rsid w:val="003B2B0E"/>
    <w:rsid w:val="003B4C91"/>
    <w:rsid w:val="003B4D8F"/>
    <w:rsid w:val="003C02CC"/>
    <w:rsid w:val="003C424C"/>
    <w:rsid w:val="003D419D"/>
    <w:rsid w:val="003E04E8"/>
    <w:rsid w:val="003E3839"/>
    <w:rsid w:val="003E44F8"/>
    <w:rsid w:val="003F49DD"/>
    <w:rsid w:val="003F68D9"/>
    <w:rsid w:val="00407622"/>
    <w:rsid w:val="00413065"/>
    <w:rsid w:val="00415EAE"/>
    <w:rsid w:val="00421C2E"/>
    <w:rsid w:val="00427BB1"/>
    <w:rsid w:val="004327EC"/>
    <w:rsid w:val="0044078D"/>
    <w:rsid w:val="00444026"/>
    <w:rsid w:val="004441EB"/>
    <w:rsid w:val="00444E27"/>
    <w:rsid w:val="00446AEA"/>
    <w:rsid w:val="004509B5"/>
    <w:rsid w:val="004677A9"/>
    <w:rsid w:val="0046782D"/>
    <w:rsid w:val="00476814"/>
    <w:rsid w:val="0048022D"/>
    <w:rsid w:val="00484CA9"/>
    <w:rsid w:val="00487C67"/>
    <w:rsid w:val="00491200"/>
    <w:rsid w:val="004A44C7"/>
    <w:rsid w:val="004A6217"/>
    <w:rsid w:val="004A6FC9"/>
    <w:rsid w:val="004B12AD"/>
    <w:rsid w:val="004B3128"/>
    <w:rsid w:val="004B73DA"/>
    <w:rsid w:val="004C0C8D"/>
    <w:rsid w:val="004C19EA"/>
    <w:rsid w:val="004C54A1"/>
    <w:rsid w:val="004C5959"/>
    <w:rsid w:val="004D5EDA"/>
    <w:rsid w:val="004E0DA2"/>
    <w:rsid w:val="004F0FF9"/>
    <w:rsid w:val="0050525A"/>
    <w:rsid w:val="00506ED2"/>
    <w:rsid w:val="00506F36"/>
    <w:rsid w:val="0051332A"/>
    <w:rsid w:val="005173E3"/>
    <w:rsid w:val="0052063B"/>
    <w:rsid w:val="00522D71"/>
    <w:rsid w:val="00526B7E"/>
    <w:rsid w:val="00531C6A"/>
    <w:rsid w:val="0053542E"/>
    <w:rsid w:val="00535728"/>
    <w:rsid w:val="00535B47"/>
    <w:rsid w:val="00541FA5"/>
    <w:rsid w:val="005534AB"/>
    <w:rsid w:val="00555AB2"/>
    <w:rsid w:val="0056090B"/>
    <w:rsid w:val="00562740"/>
    <w:rsid w:val="0056328E"/>
    <w:rsid w:val="00564A1C"/>
    <w:rsid w:val="00566D50"/>
    <w:rsid w:val="00577041"/>
    <w:rsid w:val="00582CDA"/>
    <w:rsid w:val="0058333F"/>
    <w:rsid w:val="005877DE"/>
    <w:rsid w:val="00587965"/>
    <w:rsid w:val="00593CE6"/>
    <w:rsid w:val="005A0C2C"/>
    <w:rsid w:val="005A36C7"/>
    <w:rsid w:val="005A3B57"/>
    <w:rsid w:val="005B49D8"/>
    <w:rsid w:val="005B6C33"/>
    <w:rsid w:val="005C038C"/>
    <w:rsid w:val="005C7120"/>
    <w:rsid w:val="005D0602"/>
    <w:rsid w:val="005D092D"/>
    <w:rsid w:val="005E5B28"/>
    <w:rsid w:val="005F179B"/>
    <w:rsid w:val="005F1FD3"/>
    <w:rsid w:val="005F2817"/>
    <w:rsid w:val="005F3E44"/>
    <w:rsid w:val="005F5D43"/>
    <w:rsid w:val="006031D8"/>
    <w:rsid w:val="006044E1"/>
    <w:rsid w:val="0060777D"/>
    <w:rsid w:val="006151E8"/>
    <w:rsid w:val="00617F66"/>
    <w:rsid w:val="00626332"/>
    <w:rsid w:val="00634D85"/>
    <w:rsid w:val="00643063"/>
    <w:rsid w:val="00645312"/>
    <w:rsid w:val="0064719F"/>
    <w:rsid w:val="00657239"/>
    <w:rsid w:val="00661F7B"/>
    <w:rsid w:val="00664B91"/>
    <w:rsid w:val="00666CE7"/>
    <w:rsid w:val="00670EBA"/>
    <w:rsid w:val="006747F7"/>
    <w:rsid w:val="006763F3"/>
    <w:rsid w:val="006803CC"/>
    <w:rsid w:val="006816B8"/>
    <w:rsid w:val="00684075"/>
    <w:rsid w:val="00694651"/>
    <w:rsid w:val="0069608E"/>
    <w:rsid w:val="0069608F"/>
    <w:rsid w:val="006A2304"/>
    <w:rsid w:val="006A7A0E"/>
    <w:rsid w:val="006C2C4C"/>
    <w:rsid w:val="006C393A"/>
    <w:rsid w:val="006C5A4D"/>
    <w:rsid w:val="006D33B5"/>
    <w:rsid w:val="006D48B8"/>
    <w:rsid w:val="006D5523"/>
    <w:rsid w:val="006E3B8A"/>
    <w:rsid w:val="006E6FAE"/>
    <w:rsid w:val="006F0FF6"/>
    <w:rsid w:val="006F1BFA"/>
    <w:rsid w:val="006F3A0C"/>
    <w:rsid w:val="006F74A6"/>
    <w:rsid w:val="006F77FC"/>
    <w:rsid w:val="006F7FCB"/>
    <w:rsid w:val="00702A13"/>
    <w:rsid w:val="007041DB"/>
    <w:rsid w:val="007138CC"/>
    <w:rsid w:val="00713D64"/>
    <w:rsid w:val="00714476"/>
    <w:rsid w:val="007203E5"/>
    <w:rsid w:val="00724ABE"/>
    <w:rsid w:val="00735291"/>
    <w:rsid w:val="0074212A"/>
    <w:rsid w:val="00746EC7"/>
    <w:rsid w:val="00752614"/>
    <w:rsid w:val="0075751F"/>
    <w:rsid w:val="00761AAA"/>
    <w:rsid w:val="00763DA0"/>
    <w:rsid w:val="00771201"/>
    <w:rsid w:val="00774975"/>
    <w:rsid w:val="00783F05"/>
    <w:rsid w:val="00784AE9"/>
    <w:rsid w:val="007876C7"/>
    <w:rsid w:val="007945B3"/>
    <w:rsid w:val="007B135C"/>
    <w:rsid w:val="007B19DA"/>
    <w:rsid w:val="007B76C4"/>
    <w:rsid w:val="007C6559"/>
    <w:rsid w:val="007F24B0"/>
    <w:rsid w:val="007F6F2B"/>
    <w:rsid w:val="007F7EA4"/>
    <w:rsid w:val="00801014"/>
    <w:rsid w:val="008027C4"/>
    <w:rsid w:val="00802923"/>
    <w:rsid w:val="00817C41"/>
    <w:rsid w:val="00820EA8"/>
    <w:rsid w:val="008253A9"/>
    <w:rsid w:val="00830CF6"/>
    <w:rsid w:val="008413F8"/>
    <w:rsid w:val="008438CF"/>
    <w:rsid w:val="008454B9"/>
    <w:rsid w:val="00845A5B"/>
    <w:rsid w:val="008540FD"/>
    <w:rsid w:val="00854EC8"/>
    <w:rsid w:val="008733C7"/>
    <w:rsid w:val="00874F41"/>
    <w:rsid w:val="008773BF"/>
    <w:rsid w:val="0088262B"/>
    <w:rsid w:val="00883E39"/>
    <w:rsid w:val="00886427"/>
    <w:rsid w:val="008921ED"/>
    <w:rsid w:val="00894A7C"/>
    <w:rsid w:val="008A048B"/>
    <w:rsid w:val="008A28B8"/>
    <w:rsid w:val="008A7776"/>
    <w:rsid w:val="008C0504"/>
    <w:rsid w:val="008C2266"/>
    <w:rsid w:val="008C53F0"/>
    <w:rsid w:val="008C6629"/>
    <w:rsid w:val="008C6C08"/>
    <w:rsid w:val="008C7929"/>
    <w:rsid w:val="008D2A90"/>
    <w:rsid w:val="008D34B8"/>
    <w:rsid w:val="008D59A2"/>
    <w:rsid w:val="008E6D84"/>
    <w:rsid w:val="008F755E"/>
    <w:rsid w:val="009065DB"/>
    <w:rsid w:val="00907551"/>
    <w:rsid w:val="00907E93"/>
    <w:rsid w:val="0091132C"/>
    <w:rsid w:val="00922597"/>
    <w:rsid w:val="009242C7"/>
    <w:rsid w:val="00926832"/>
    <w:rsid w:val="00933A0A"/>
    <w:rsid w:val="00935A17"/>
    <w:rsid w:val="009435E2"/>
    <w:rsid w:val="009479D5"/>
    <w:rsid w:val="00951B5E"/>
    <w:rsid w:val="00951BBB"/>
    <w:rsid w:val="00952807"/>
    <w:rsid w:val="00957662"/>
    <w:rsid w:val="009651D5"/>
    <w:rsid w:val="00967192"/>
    <w:rsid w:val="009701FB"/>
    <w:rsid w:val="00970AF3"/>
    <w:rsid w:val="009712E6"/>
    <w:rsid w:val="00973E46"/>
    <w:rsid w:val="0098199E"/>
    <w:rsid w:val="00985B9C"/>
    <w:rsid w:val="00994060"/>
    <w:rsid w:val="009971D9"/>
    <w:rsid w:val="009A241C"/>
    <w:rsid w:val="009B0651"/>
    <w:rsid w:val="009C1072"/>
    <w:rsid w:val="009C228F"/>
    <w:rsid w:val="009C416F"/>
    <w:rsid w:val="009C44F8"/>
    <w:rsid w:val="009C5580"/>
    <w:rsid w:val="009D2069"/>
    <w:rsid w:val="009D37EA"/>
    <w:rsid w:val="009D7DAC"/>
    <w:rsid w:val="009E1824"/>
    <w:rsid w:val="009E2517"/>
    <w:rsid w:val="009E54F3"/>
    <w:rsid w:val="009E69D3"/>
    <w:rsid w:val="009F01F6"/>
    <w:rsid w:val="009F421F"/>
    <w:rsid w:val="009F57DD"/>
    <w:rsid w:val="009F6BF1"/>
    <w:rsid w:val="00A050EC"/>
    <w:rsid w:val="00A06973"/>
    <w:rsid w:val="00A07A16"/>
    <w:rsid w:val="00A21C65"/>
    <w:rsid w:val="00A30723"/>
    <w:rsid w:val="00A319FB"/>
    <w:rsid w:val="00A33DC1"/>
    <w:rsid w:val="00A4123B"/>
    <w:rsid w:val="00A43247"/>
    <w:rsid w:val="00A442D1"/>
    <w:rsid w:val="00A452AA"/>
    <w:rsid w:val="00A543D6"/>
    <w:rsid w:val="00A54F8A"/>
    <w:rsid w:val="00A62BBE"/>
    <w:rsid w:val="00A74AF3"/>
    <w:rsid w:val="00A76336"/>
    <w:rsid w:val="00A76480"/>
    <w:rsid w:val="00A8749E"/>
    <w:rsid w:val="00A92373"/>
    <w:rsid w:val="00A93FB7"/>
    <w:rsid w:val="00AA23BA"/>
    <w:rsid w:val="00AA3B44"/>
    <w:rsid w:val="00AA5A3B"/>
    <w:rsid w:val="00AC425C"/>
    <w:rsid w:val="00AC56B3"/>
    <w:rsid w:val="00AC6D5D"/>
    <w:rsid w:val="00AD2E4C"/>
    <w:rsid w:val="00AD6AC6"/>
    <w:rsid w:val="00AE7C1B"/>
    <w:rsid w:val="00AF43A3"/>
    <w:rsid w:val="00AF4DD8"/>
    <w:rsid w:val="00AF5EBD"/>
    <w:rsid w:val="00AF6655"/>
    <w:rsid w:val="00AF754F"/>
    <w:rsid w:val="00B01228"/>
    <w:rsid w:val="00B01460"/>
    <w:rsid w:val="00B04A94"/>
    <w:rsid w:val="00B105BD"/>
    <w:rsid w:val="00B10BE1"/>
    <w:rsid w:val="00B12632"/>
    <w:rsid w:val="00B13E2F"/>
    <w:rsid w:val="00B16B10"/>
    <w:rsid w:val="00B17E29"/>
    <w:rsid w:val="00B22385"/>
    <w:rsid w:val="00B2251B"/>
    <w:rsid w:val="00B22579"/>
    <w:rsid w:val="00B34D51"/>
    <w:rsid w:val="00B42052"/>
    <w:rsid w:val="00B42143"/>
    <w:rsid w:val="00B4231E"/>
    <w:rsid w:val="00B428B5"/>
    <w:rsid w:val="00B44A3E"/>
    <w:rsid w:val="00B606E5"/>
    <w:rsid w:val="00B6233D"/>
    <w:rsid w:val="00B70E1E"/>
    <w:rsid w:val="00B715DC"/>
    <w:rsid w:val="00B73F8B"/>
    <w:rsid w:val="00B7459D"/>
    <w:rsid w:val="00B806F4"/>
    <w:rsid w:val="00B83324"/>
    <w:rsid w:val="00B8363B"/>
    <w:rsid w:val="00B85A59"/>
    <w:rsid w:val="00B87D27"/>
    <w:rsid w:val="00B87F4C"/>
    <w:rsid w:val="00B905A3"/>
    <w:rsid w:val="00B97AB5"/>
    <w:rsid w:val="00BA0600"/>
    <w:rsid w:val="00BA156B"/>
    <w:rsid w:val="00BA19C5"/>
    <w:rsid w:val="00BA5156"/>
    <w:rsid w:val="00BB0A31"/>
    <w:rsid w:val="00BB229F"/>
    <w:rsid w:val="00BB5DF1"/>
    <w:rsid w:val="00BC1B7C"/>
    <w:rsid w:val="00BC5CA3"/>
    <w:rsid w:val="00BC689D"/>
    <w:rsid w:val="00BD2783"/>
    <w:rsid w:val="00BE0854"/>
    <w:rsid w:val="00BE1ED2"/>
    <w:rsid w:val="00BF341D"/>
    <w:rsid w:val="00BF3473"/>
    <w:rsid w:val="00BF718F"/>
    <w:rsid w:val="00C0065E"/>
    <w:rsid w:val="00C12AD7"/>
    <w:rsid w:val="00C16397"/>
    <w:rsid w:val="00C201CA"/>
    <w:rsid w:val="00C23D73"/>
    <w:rsid w:val="00C241A1"/>
    <w:rsid w:val="00C27500"/>
    <w:rsid w:val="00C27ADF"/>
    <w:rsid w:val="00C306E8"/>
    <w:rsid w:val="00C35956"/>
    <w:rsid w:val="00C407D6"/>
    <w:rsid w:val="00C5657B"/>
    <w:rsid w:val="00C60A73"/>
    <w:rsid w:val="00C6203D"/>
    <w:rsid w:val="00C67551"/>
    <w:rsid w:val="00C72120"/>
    <w:rsid w:val="00C77DA0"/>
    <w:rsid w:val="00C843D7"/>
    <w:rsid w:val="00C90325"/>
    <w:rsid w:val="00CA3396"/>
    <w:rsid w:val="00CA73E2"/>
    <w:rsid w:val="00CB18E0"/>
    <w:rsid w:val="00CB4DB1"/>
    <w:rsid w:val="00CC3542"/>
    <w:rsid w:val="00CD68CE"/>
    <w:rsid w:val="00CE08CE"/>
    <w:rsid w:val="00CE20E9"/>
    <w:rsid w:val="00CE3773"/>
    <w:rsid w:val="00CE5A2E"/>
    <w:rsid w:val="00CE6FC5"/>
    <w:rsid w:val="00CE701C"/>
    <w:rsid w:val="00CF0E33"/>
    <w:rsid w:val="00CF4490"/>
    <w:rsid w:val="00CF5A8F"/>
    <w:rsid w:val="00D00379"/>
    <w:rsid w:val="00D10467"/>
    <w:rsid w:val="00D10652"/>
    <w:rsid w:val="00D13DB2"/>
    <w:rsid w:val="00D209B6"/>
    <w:rsid w:val="00D22294"/>
    <w:rsid w:val="00D22442"/>
    <w:rsid w:val="00D2255F"/>
    <w:rsid w:val="00D22EBC"/>
    <w:rsid w:val="00D24374"/>
    <w:rsid w:val="00D24620"/>
    <w:rsid w:val="00D3123C"/>
    <w:rsid w:val="00D44B05"/>
    <w:rsid w:val="00D51B5E"/>
    <w:rsid w:val="00D55377"/>
    <w:rsid w:val="00D557D5"/>
    <w:rsid w:val="00D57E4B"/>
    <w:rsid w:val="00D601F0"/>
    <w:rsid w:val="00D626EC"/>
    <w:rsid w:val="00D64F50"/>
    <w:rsid w:val="00D7167B"/>
    <w:rsid w:val="00D73519"/>
    <w:rsid w:val="00D73E83"/>
    <w:rsid w:val="00D80A3E"/>
    <w:rsid w:val="00D84B3D"/>
    <w:rsid w:val="00D92151"/>
    <w:rsid w:val="00D94D3A"/>
    <w:rsid w:val="00DA0323"/>
    <w:rsid w:val="00DA3FF9"/>
    <w:rsid w:val="00DB13BD"/>
    <w:rsid w:val="00DB1971"/>
    <w:rsid w:val="00DC451E"/>
    <w:rsid w:val="00DC5FA1"/>
    <w:rsid w:val="00DC7C98"/>
    <w:rsid w:val="00DD0CE4"/>
    <w:rsid w:val="00DE3721"/>
    <w:rsid w:val="00DF2742"/>
    <w:rsid w:val="00DF448C"/>
    <w:rsid w:val="00E061D8"/>
    <w:rsid w:val="00E07EE4"/>
    <w:rsid w:val="00E14245"/>
    <w:rsid w:val="00E21F02"/>
    <w:rsid w:val="00E22703"/>
    <w:rsid w:val="00E24228"/>
    <w:rsid w:val="00E27B5F"/>
    <w:rsid w:val="00E445D8"/>
    <w:rsid w:val="00E46ACA"/>
    <w:rsid w:val="00E50FFA"/>
    <w:rsid w:val="00E526F5"/>
    <w:rsid w:val="00E5528B"/>
    <w:rsid w:val="00E5593B"/>
    <w:rsid w:val="00E63F24"/>
    <w:rsid w:val="00E70A61"/>
    <w:rsid w:val="00E77251"/>
    <w:rsid w:val="00E817EE"/>
    <w:rsid w:val="00E818B6"/>
    <w:rsid w:val="00E83487"/>
    <w:rsid w:val="00E9187B"/>
    <w:rsid w:val="00E91EAA"/>
    <w:rsid w:val="00E92FD0"/>
    <w:rsid w:val="00E93B0A"/>
    <w:rsid w:val="00E93D93"/>
    <w:rsid w:val="00EB045D"/>
    <w:rsid w:val="00EB41C4"/>
    <w:rsid w:val="00EC1909"/>
    <w:rsid w:val="00EC2835"/>
    <w:rsid w:val="00EC4455"/>
    <w:rsid w:val="00ED1828"/>
    <w:rsid w:val="00ED4EEA"/>
    <w:rsid w:val="00F00D62"/>
    <w:rsid w:val="00F0305C"/>
    <w:rsid w:val="00F1692D"/>
    <w:rsid w:val="00F23018"/>
    <w:rsid w:val="00F33096"/>
    <w:rsid w:val="00F40D25"/>
    <w:rsid w:val="00F441B2"/>
    <w:rsid w:val="00F46A84"/>
    <w:rsid w:val="00F5660C"/>
    <w:rsid w:val="00F63836"/>
    <w:rsid w:val="00F76819"/>
    <w:rsid w:val="00F9081A"/>
    <w:rsid w:val="00F90A9D"/>
    <w:rsid w:val="00FA0E84"/>
    <w:rsid w:val="00FA5B52"/>
    <w:rsid w:val="00FA73C3"/>
    <w:rsid w:val="00FA7A69"/>
    <w:rsid w:val="00FB2261"/>
    <w:rsid w:val="00FD25D2"/>
    <w:rsid w:val="00FD342D"/>
    <w:rsid w:val="00FD4C02"/>
    <w:rsid w:val="00FD795C"/>
    <w:rsid w:val="00FE1C67"/>
    <w:rsid w:val="00FE1CDD"/>
    <w:rsid w:val="00FF4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rsid w:val="00444E2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rsid w:val="00444E2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472CD-57A7-43DE-8A81-ACE206BD2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1587</Words>
  <Characters>9047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10613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Leonard, Allyson</cp:lastModifiedBy>
  <cp:revision>4</cp:revision>
  <cp:lastPrinted>2013-02-25T15:34:00Z</cp:lastPrinted>
  <dcterms:created xsi:type="dcterms:W3CDTF">2013-02-25T15:23:00Z</dcterms:created>
  <dcterms:modified xsi:type="dcterms:W3CDTF">2013-02-25T15:38:00Z</dcterms:modified>
</cp:coreProperties>
</file>