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4230"/>
        <w:gridCol w:w="2880"/>
      </w:tblGrid>
      <w:tr w:rsidR="00F824DA" w:rsidRPr="005536DA" w:rsidTr="00723772">
        <w:tc>
          <w:tcPr>
            <w:tcW w:w="2448" w:type="dxa"/>
          </w:tcPr>
          <w:p w:rsidR="00F824DA" w:rsidRPr="005536DA" w:rsidRDefault="00F824DA" w:rsidP="0019656D">
            <w:pPr>
              <w:rPr>
                <w:szCs w:val="26"/>
              </w:rPr>
            </w:pPr>
          </w:p>
        </w:tc>
        <w:tc>
          <w:tcPr>
            <w:tcW w:w="4230" w:type="dxa"/>
          </w:tcPr>
          <w:p w:rsidR="00F824DA" w:rsidRPr="005536DA" w:rsidRDefault="00F824DA" w:rsidP="00723772">
            <w:pPr>
              <w:jc w:val="center"/>
              <w:rPr>
                <w:b/>
                <w:szCs w:val="26"/>
              </w:rPr>
            </w:pPr>
            <w:r w:rsidRPr="005536DA">
              <w:rPr>
                <w:b/>
                <w:szCs w:val="26"/>
              </w:rPr>
              <w:t>PENNSYLVANIA</w:t>
            </w:r>
          </w:p>
          <w:p w:rsidR="00F824DA" w:rsidRPr="005536DA" w:rsidRDefault="00F824DA" w:rsidP="00723772">
            <w:pPr>
              <w:jc w:val="center"/>
              <w:rPr>
                <w:b/>
                <w:szCs w:val="26"/>
              </w:rPr>
            </w:pPr>
            <w:r w:rsidRPr="005536DA">
              <w:rPr>
                <w:b/>
                <w:szCs w:val="26"/>
              </w:rPr>
              <w:t>PUBLIC UTILITY COMMISSION</w:t>
            </w:r>
          </w:p>
          <w:p w:rsidR="00F824DA" w:rsidRPr="005536DA" w:rsidRDefault="00F824DA" w:rsidP="00723772">
            <w:pPr>
              <w:jc w:val="center"/>
              <w:rPr>
                <w:szCs w:val="26"/>
              </w:rPr>
            </w:pPr>
            <w:r w:rsidRPr="005536DA">
              <w:rPr>
                <w:b/>
                <w:szCs w:val="26"/>
              </w:rPr>
              <w:t>Harrisburg, PA  17105-3265</w:t>
            </w:r>
          </w:p>
        </w:tc>
        <w:tc>
          <w:tcPr>
            <w:tcW w:w="2880" w:type="dxa"/>
          </w:tcPr>
          <w:p w:rsidR="00F824DA" w:rsidRPr="005536DA" w:rsidRDefault="00F824DA" w:rsidP="0019656D">
            <w:pPr>
              <w:rPr>
                <w:szCs w:val="26"/>
              </w:rPr>
            </w:pPr>
          </w:p>
        </w:tc>
      </w:tr>
    </w:tbl>
    <w:p w:rsidR="00F824DA" w:rsidRPr="005536DA" w:rsidRDefault="00F824DA" w:rsidP="0019656D">
      <w:pPr>
        <w:rPr>
          <w:szCs w:val="26"/>
        </w:rPr>
      </w:pPr>
    </w:p>
    <w:tbl>
      <w:tblPr>
        <w:tblW w:w="0" w:type="auto"/>
        <w:tblLayout w:type="fixed"/>
        <w:tblLook w:val="0000" w:firstRow="0" w:lastRow="0" w:firstColumn="0" w:lastColumn="0" w:noHBand="0" w:noVBand="0"/>
      </w:tblPr>
      <w:tblGrid>
        <w:gridCol w:w="4428"/>
        <w:gridCol w:w="5130"/>
      </w:tblGrid>
      <w:tr w:rsidR="00F824DA" w:rsidRPr="005536DA" w:rsidTr="00723772">
        <w:tc>
          <w:tcPr>
            <w:tcW w:w="4428" w:type="dxa"/>
          </w:tcPr>
          <w:p w:rsidR="00F824DA" w:rsidRPr="005536DA" w:rsidRDefault="00F824DA" w:rsidP="0019656D">
            <w:pPr>
              <w:rPr>
                <w:szCs w:val="26"/>
              </w:rPr>
            </w:pPr>
          </w:p>
        </w:tc>
        <w:tc>
          <w:tcPr>
            <w:tcW w:w="5130" w:type="dxa"/>
          </w:tcPr>
          <w:p w:rsidR="00F824DA" w:rsidRPr="005536DA" w:rsidRDefault="00F824DA" w:rsidP="00A948FA">
            <w:pPr>
              <w:ind w:firstLine="612"/>
              <w:rPr>
                <w:color w:val="auto"/>
                <w:szCs w:val="26"/>
              </w:rPr>
            </w:pPr>
            <w:r w:rsidRPr="005536DA">
              <w:rPr>
                <w:color w:val="auto"/>
                <w:szCs w:val="26"/>
              </w:rPr>
              <w:t>Publ</w:t>
            </w:r>
            <w:r w:rsidR="007D31C3" w:rsidRPr="005536DA">
              <w:rPr>
                <w:color w:val="auto"/>
                <w:szCs w:val="26"/>
              </w:rPr>
              <w:t xml:space="preserve">ic Meeting held </w:t>
            </w:r>
            <w:r w:rsidR="00B85FBB" w:rsidRPr="005536DA">
              <w:rPr>
                <w:color w:val="auto"/>
                <w:szCs w:val="26"/>
              </w:rPr>
              <w:t xml:space="preserve"> </w:t>
            </w:r>
            <w:r w:rsidR="00A948FA">
              <w:rPr>
                <w:color w:val="auto"/>
                <w:szCs w:val="26"/>
              </w:rPr>
              <w:t xml:space="preserve">February 28, </w:t>
            </w:r>
            <w:r w:rsidR="00B85FBB" w:rsidRPr="005536DA">
              <w:rPr>
                <w:color w:val="auto"/>
                <w:szCs w:val="26"/>
              </w:rPr>
              <w:t>201</w:t>
            </w:r>
            <w:r w:rsidR="00A948FA">
              <w:rPr>
                <w:color w:val="auto"/>
                <w:szCs w:val="26"/>
              </w:rPr>
              <w:t>3</w:t>
            </w:r>
          </w:p>
        </w:tc>
      </w:tr>
      <w:tr w:rsidR="00F824DA" w:rsidRPr="005536DA" w:rsidTr="00723772">
        <w:tc>
          <w:tcPr>
            <w:tcW w:w="4428" w:type="dxa"/>
          </w:tcPr>
          <w:p w:rsidR="00F824DA" w:rsidRPr="005536DA" w:rsidRDefault="00F824DA" w:rsidP="0019656D">
            <w:pPr>
              <w:rPr>
                <w:szCs w:val="26"/>
              </w:rPr>
            </w:pPr>
            <w:r w:rsidRPr="005536DA">
              <w:rPr>
                <w:szCs w:val="26"/>
              </w:rPr>
              <w:t>Commissioners Present:</w:t>
            </w:r>
          </w:p>
        </w:tc>
        <w:tc>
          <w:tcPr>
            <w:tcW w:w="5130" w:type="dxa"/>
          </w:tcPr>
          <w:p w:rsidR="00F824DA" w:rsidRPr="005536DA" w:rsidRDefault="00F824DA" w:rsidP="0019656D">
            <w:pPr>
              <w:rPr>
                <w:szCs w:val="26"/>
              </w:rPr>
            </w:pPr>
          </w:p>
        </w:tc>
      </w:tr>
    </w:tbl>
    <w:p w:rsidR="00F824DA" w:rsidRPr="005536DA" w:rsidRDefault="00F824DA" w:rsidP="0019656D">
      <w:pPr>
        <w:rPr>
          <w:szCs w:val="26"/>
        </w:rPr>
      </w:pPr>
    </w:p>
    <w:tbl>
      <w:tblPr>
        <w:tblW w:w="9558" w:type="dxa"/>
        <w:tblLayout w:type="fixed"/>
        <w:tblLook w:val="0000" w:firstRow="0" w:lastRow="0" w:firstColumn="0" w:lastColumn="0" w:noHBand="0" w:noVBand="0"/>
      </w:tblPr>
      <w:tblGrid>
        <w:gridCol w:w="6678"/>
        <w:gridCol w:w="2880"/>
      </w:tblGrid>
      <w:tr w:rsidR="00F824DA" w:rsidRPr="005536DA" w:rsidTr="00DD2DE7">
        <w:tc>
          <w:tcPr>
            <w:tcW w:w="6678" w:type="dxa"/>
          </w:tcPr>
          <w:p w:rsidR="00F824DA" w:rsidRPr="005536DA" w:rsidRDefault="00F824DA" w:rsidP="0019656D">
            <w:pPr>
              <w:ind w:firstLine="450"/>
              <w:rPr>
                <w:szCs w:val="26"/>
              </w:rPr>
            </w:pPr>
            <w:r w:rsidRPr="005536DA">
              <w:rPr>
                <w:szCs w:val="26"/>
              </w:rPr>
              <w:t xml:space="preserve">Robert F. </w:t>
            </w:r>
            <w:proofErr w:type="spellStart"/>
            <w:r w:rsidRPr="005536DA">
              <w:rPr>
                <w:szCs w:val="26"/>
              </w:rPr>
              <w:t>Powelson</w:t>
            </w:r>
            <w:proofErr w:type="spellEnd"/>
            <w:r w:rsidRPr="005536DA">
              <w:rPr>
                <w:szCs w:val="26"/>
              </w:rPr>
              <w:t>, Chairman</w:t>
            </w:r>
          </w:p>
        </w:tc>
        <w:tc>
          <w:tcPr>
            <w:tcW w:w="2880" w:type="dxa"/>
          </w:tcPr>
          <w:p w:rsidR="00F824DA" w:rsidRPr="005536DA" w:rsidRDefault="00F824DA" w:rsidP="0019656D">
            <w:pPr>
              <w:rPr>
                <w:szCs w:val="26"/>
              </w:rPr>
            </w:pPr>
          </w:p>
        </w:tc>
      </w:tr>
      <w:tr w:rsidR="00F824DA" w:rsidRPr="005536DA" w:rsidTr="00DD2DE7">
        <w:tc>
          <w:tcPr>
            <w:tcW w:w="6678" w:type="dxa"/>
          </w:tcPr>
          <w:p w:rsidR="00F824DA" w:rsidRPr="005536DA" w:rsidRDefault="00F824DA" w:rsidP="0019656D">
            <w:pPr>
              <w:ind w:firstLine="450"/>
              <w:rPr>
                <w:szCs w:val="26"/>
              </w:rPr>
            </w:pPr>
            <w:r w:rsidRPr="005536DA">
              <w:rPr>
                <w:szCs w:val="26"/>
              </w:rPr>
              <w:t>John F. Coleman, Jr., Vice Chairman</w:t>
            </w:r>
          </w:p>
        </w:tc>
        <w:tc>
          <w:tcPr>
            <w:tcW w:w="2880" w:type="dxa"/>
          </w:tcPr>
          <w:p w:rsidR="00F824DA" w:rsidRPr="005536DA" w:rsidRDefault="00F824DA" w:rsidP="0019656D">
            <w:pPr>
              <w:rPr>
                <w:szCs w:val="26"/>
              </w:rPr>
            </w:pPr>
          </w:p>
        </w:tc>
      </w:tr>
      <w:tr w:rsidR="00F824DA" w:rsidRPr="005536DA" w:rsidTr="00DD2DE7">
        <w:tc>
          <w:tcPr>
            <w:tcW w:w="6678" w:type="dxa"/>
          </w:tcPr>
          <w:p w:rsidR="00F824DA" w:rsidRPr="005536DA" w:rsidRDefault="00F824DA" w:rsidP="0019656D">
            <w:pPr>
              <w:ind w:firstLine="450"/>
              <w:rPr>
                <w:szCs w:val="26"/>
              </w:rPr>
            </w:pPr>
            <w:r w:rsidRPr="005536DA">
              <w:rPr>
                <w:szCs w:val="26"/>
              </w:rPr>
              <w:t>Wayne E. Gardner</w:t>
            </w:r>
          </w:p>
        </w:tc>
        <w:tc>
          <w:tcPr>
            <w:tcW w:w="2880" w:type="dxa"/>
          </w:tcPr>
          <w:p w:rsidR="00F824DA" w:rsidRPr="005536DA" w:rsidRDefault="00F824DA" w:rsidP="0019656D">
            <w:pPr>
              <w:rPr>
                <w:szCs w:val="26"/>
              </w:rPr>
            </w:pPr>
          </w:p>
        </w:tc>
      </w:tr>
      <w:tr w:rsidR="00F824DA" w:rsidRPr="005536DA" w:rsidTr="00DD2DE7">
        <w:tc>
          <w:tcPr>
            <w:tcW w:w="6678" w:type="dxa"/>
          </w:tcPr>
          <w:p w:rsidR="00F824DA" w:rsidRPr="005536DA" w:rsidRDefault="00F824DA" w:rsidP="0019656D">
            <w:pPr>
              <w:ind w:firstLine="450"/>
              <w:rPr>
                <w:szCs w:val="26"/>
              </w:rPr>
            </w:pPr>
            <w:r w:rsidRPr="005536DA">
              <w:rPr>
                <w:szCs w:val="26"/>
              </w:rPr>
              <w:t xml:space="preserve">James H. </w:t>
            </w:r>
            <w:proofErr w:type="spellStart"/>
            <w:r w:rsidRPr="005536DA">
              <w:rPr>
                <w:szCs w:val="26"/>
              </w:rPr>
              <w:t>Cawley</w:t>
            </w:r>
            <w:proofErr w:type="spellEnd"/>
          </w:p>
        </w:tc>
        <w:tc>
          <w:tcPr>
            <w:tcW w:w="2880" w:type="dxa"/>
          </w:tcPr>
          <w:p w:rsidR="00F824DA" w:rsidRPr="005536DA" w:rsidRDefault="00F824DA" w:rsidP="0019656D">
            <w:pPr>
              <w:rPr>
                <w:szCs w:val="26"/>
              </w:rPr>
            </w:pPr>
          </w:p>
        </w:tc>
      </w:tr>
      <w:tr w:rsidR="00F824DA" w:rsidRPr="005536DA" w:rsidTr="00DD2DE7">
        <w:tc>
          <w:tcPr>
            <w:tcW w:w="6678" w:type="dxa"/>
          </w:tcPr>
          <w:p w:rsidR="00341937" w:rsidRPr="005536DA" w:rsidRDefault="00F824DA" w:rsidP="0019656D">
            <w:pPr>
              <w:ind w:firstLine="450"/>
              <w:rPr>
                <w:szCs w:val="26"/>
              </w:rPr>
            </w:pPr>
            <w:r w:rsidRPr="005536DA">
              <w:rPr>
                <w:szCs w:val="26"/>
              </w:rPr>
              <w:t xml:space="preserve">Pamela A. </w:t>
            </w:r>
            <w:proofErr w:type="spellStart"/>
            <w:r w:rsidRPr="005536DA">
              <w:rPr>
                <w:szCs w:val="26"/>
              </w:rPr>
              <w:t>Witmer</w:t>
            </w:r>
            <w:proofErr w:type="spellEnd"/>
          </w:p>
          <w:p w:rsidR="005536DA" w:rsidRPr="005536DA" w:rsidRDefault="005536DA" w:rsidP="001319D5">
            <w:pPr>
              <w:rPr>
                <w:szCs w:val="26"/>
              </w:rPr>
            </w:pPr>
          </w:p>
          <w:p w:rsidR="00341937" w:rsidRPr="005536DA" w:rsidRDefault="00341937" w:rsidP="001319D5">
            <w:pPr>
              <w:rPr>
                <w:szCs w:val="26"/>
              </w:rPr>
            </w:pPr>
          </w:p>
          <w:p w:rsidR="00341937" w:rsidRPr="00411E53" w:rsidRDefault="00F37029" w:rsidP="00F37029">
            <w:pPr>
              <w:ind w:right="1584"/>
              <w:rPr>
                <w:spacing w:val="-3"/>
                <w:szCs w:val="26"/>
              </w:rPr>
            </w:pPr>
            <w:r w:rsidRPr="00F37029">
              <w:rPr>
                <w:spacing w:val="-3"/>
                <w:szCs w:val="26"/>
              </w:rPr>
              <w:t>Application of Pennsylvania-American Water Company for approval of (1) the transfer, by sale, of substantially all of Koppel Borough’s assets, properties and rights related to its wastewater system to Pennsylvania-American Water Company, and (2) the rights of Pennsylvania-American Water Company to begin to offer or furnish wastewater service to the public in all of Koppel Borou</w:t>
            </w:r>
            <w:r>
              <w:rPr>
                <w:spacing w:val="-3"/>
                <w:szCs w:val="26"/>
              </w:rPr>
              <w:t>gh, Beaver County, Pennsylvania</w:t>
            </w:r>
            <w:r w:rsidR="00491D8B">
              <w:rPr>
                <w:spacing w:val="-3"/>
                <w:szCs w:val="26"/>
              </w:rPr>
              <w:t>.</w:t>
            </w:r>
          </w:p>
        </w:tc>
        <w:tc>
          <w:tcPr>
            <w:tcW w:w="2880" w:type="dxa"/>
          </w:tcPr>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5536DA" w:rsidP="0019656D">
            <w:pPr>
              <w:rPr>
                <w:szCs w:val="26"/>
              </w:rPr>
            </w:pPr>
            <w:r w:rsidRPr="005536DA">
              <w:rPr>
                <w:szCs w:val="26"/>
              </w:rPr>
              <w:t>Docket Number:</w:t>
            </w:r>
          </w:p>
          <w:p w:rsidR="00694DBE" w:rsidRPr="005536DA" w:rsidRDefault="005536DA" w:rsidP="0019656D">
            <w:pPr>
              <w:rPr>
                <w:szCs w:val="26"/>
              </w:rPr>
            </w:pPr>
            <w:r w:rsidRPr="005536DA">
              <w:rPr>
                <w:szCs w:val="26"/>
              </w:rPr>
              <w:t>A-2012-2</w:t>
            </w:r>
            <w:r w:rsidR="00723772">
              <w:rPr>
                <w:szCs w:val="26"/>
              </w:rPr>
              <w:t>307203</w:t>
            </w: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ind w:firstLine="720"/>
              <w:rPr>
                <w:szCs w:val="26"/>
              </w:rPr>
            </w:pPr>
          </w:p>
        </w:tc>
      </w:tr>
    </w:tbl>
    <w:p w:rsidR="00674A8F" w:rsidRDefault="00674A8F" w:rsidP="0019656D">
      <w:pPr>
        <w:rPr>
          <w:b/>
          <w:szCs w:val="26"/>
        </w:rPr>
      </w:pPr>
    </w:p>
    <w:p w:rsidR="00411E53" w:rsidRDefault="00411E53" w:rsidP="00411E53">
      <w:pPr>
        <w:jc w:val="center"/>
        <w:rPr>
          <w:b/>
          <w:szCs w:val="26"/>
        </w:rPr>
      </w:pPr>
      <w:r w:rsidRPr="00411E53">
        <w:rPr>
          <w:b/>
          <w:szCs w:val="26"/>
        </w:rPr>
        <w:t>ORDER</w:t>
      </w:r>
    </w:p>
    <w:p w:rsidR="00411E53" w:rsidRDefault="00411E53" w:rsidP="00411E53">
      <w:pPr>
        <w:rPr>
          <w:b/>
          <w:szCs w:val="26"/>
        </w:rPr>
      </w:pPr>
    </w:p>
    <w:p w:rsidR="00411E53" w:rsidRDefault="00411E53" w:rsidP="00411E53">
      <w:pPr>
        <w:rPr>
          <w:b/>
          <w:szCs w:val="26"/>
        </w:rPr>
      </w:pPr>
      <w:r w:rsidRPr="005536DA">
        <w:rPr>
          <w:b/>
          <w:szCs w:val="26"/>
        </w:rPr>
        <w:t>BY THE COMMISSION:</w:t>
      </w:r>
    </w:p>
    <w:p w:rsidR="00411E53" w:rsidRPr="005536DA" w:rsidRDefault="00411E53" w:rsidP="00411E53">
      <w:pPr>
        <w:rPr>
          <w:b/>
          <w:szCs w:val="26"/>
        </w:rPr>
      </w:pPr>
    </w:p>
    <w:p w:rsidR="00F824DA" w:rsidRDefault="007F79D8" w:rsidP="001319D5">
      <w:pPr>
        <w:spacing w:line="360" w:lineRule="auto"/>
        <w:ind w:firstLine="1440"/>
        <w:rPr>
          <w:szCs w:val="26"/>
        </w:rPr>
      </w:pPr>
      <w:r w:rsidRPr="005536DA">
        <w:rPr>
          <w:szCs w:val="26"/>
        </w:rPr>
        <w:t xml:space="preserve">On </w:t>
      </w:r>
      <w:r w:rsidR="00723772">
        <w:rPr>
          <w:szCs w:val="26"/>
        </w:rPr>
        <w:t>May 30</w:t>
      </w:r>
      <w:r w:rsidRPr="005536DA">
        <w:rPr>
          <w:szCs w:val="26"/>
        </w:rPr>
        <w:t>, 2012</w:t>
      </w:r>
      <w:r w:rsidR="00F824DA" w:rsidRPr="005536DA">
        <w:rPr>
          <w:szCs w:val="26"/>
        </w:rPr>
        <w:t xml:space="preserve">, pursuant to </w:t>
      </w:r>
      <w:bookmarkStart w:id="0" w:name="OLE_LINK1"/>
      <w:bookmarkStart w:id="1" w:name="OLE_LINK2"/>
      <w:r w:rsidR="00F824DA" w:rsidRPr="005536DA">
        <w:rPr>
          <w:szCs w:val="26"/>
        </w:rPr>
        <w:t>Section 1102(a)</w:t>
      </w:r>
      <w:r w:rsidR="00AA10DD">
        <w:rPr>
          <w:szCs w:val="26"/>
        </w:rPr>
        <w:t>(1)(</w:t>
      </w:r>
      <w:proofErr w:type="spellStart"/>
      <w:r w:rsidR="00AA10DD">
        <w:rPr>
          <w:szCs w:val="26"/>
        </w:rPr>
        <w:t>i</w:t>
      </w:r>
      <w:proofErr w:type="spellEnd"/>
      <w:r w:rsidR="00AA10DD">
        <w:rPr>
          <w:szCs w:val="26"/>
        </w:rPr>
        <w:t>) and (3)</w:t>
      </w:r>
      <w:r w:rsidR="00F824DA" w:rsidRPr="005536DA">
        <w:rPr>
          <w:szCs w:val="26"/>
        </w:rPr>
        <w:t xml:space="preserve"> of the Public Utility Code, 66 Pa. C.S. §1102(</w:t>
      </w:r>
      <w:r w:rsidR="00723772">
        <w:rPr>
          <w:szCs w:val="26"/>
        </w:rPr>
        <w:t>a</w:t>
      </w:r>
      <w:r w:rsidR="00F824DA" w:rsidRPr="005536DA">
        <w:rPr>
          <w:szCs w:val="26"/>
        </w:rPr>
        <w:t>)</w:t>
      </w:r>
      <w:r w:rsidR="00AA10DD">
        <w:rPr>
          <w:szCs w:val="26"/>
        </w:rPr>
        <w:t>(1)(</w:t>
      </w:r>
      <w:proofErr w:type="spellStart"/>
      <w:r w:rsidR="00AA10DD">
        <w:rPr>
          <w:szCs w:val="26"/>
        </w:rPr>
        <w:t>i</w:t>
      </w:r>
      <w:proofErr w:type="spellEnd"/>
      <w:r w:rsidR="00AA10DD">
        <w:rPr>
          <w:szCs w:val="26"/>
        </w:rPr>
        <w:t>) and (3)</w:t>
      </w:r>
      <w:r w:rsidR="00F824DA" w:rsidRPr="005536DA">
        <w:rPr>
          <w:szCs w:val="26"/>
        </w:rPr>
        <w:t>,</w:t>
      </w:r>
      <w:r w:rsidR="007A17BC" w:rsidRPr="005536DA">
        <w:rPr>
          <w:szCs w:val="26"/>
        </w:rPr>
        <w:t xml:space="preserve"> </w:t>
      </w:r>
      <w:r w:rsidR="00723772">
        <w:rPr>
          <w:szCs w:val="26"/>
        </w:rPr>
        <w:t>Pennsylvania-American</w:t>
      </w:r>
      <w:r w:rsidRPr="005536DA">
        <w:rPr>
          <w:szCs w:val="26"/>
        </w:rPr>
        <w:t xml:space="preserve"> Water Company (</w:t>
      </w:r>
      <w:r w:rsidR="00723772">
        <w:rPr>
          <w:szCs w:val="26"/>
        </w:rPr>
        <w:t>Pennsylvania-American</w:t>
      </w:r>
      <w:r w:rsidRPr="005536DA">
        <w:rPr>
          <w:szCs w:val="26"/>
        </w:rPr>
        <w:t>)</w:t>
      </w:r>
      <w:r w:rsidR="00694DBE" w:rsidRPr="005536DA">
        <w:rPr>
          <w:szCs w:val="26"/>
        </w:rPr>
        <w:t>,</w:t>
      </w:r>
      <w:r w:rsidRPr="005536DA">
        <w:rPr>
          <w:szCs w:val="26"/>
        </w:rPr>
        <w:t xml:space="preserve"> </w:t>
      </w:r>
      <w:r w:rsidR="009566BE">
        <w:rPr>
          <w:szCs w:val="26"/>
        </w:rPr>
        <w:t xml:space="preserve">800 West </w:t>
      </w:r>
      <w:proofErr w:type="spellStart"/>
      <w:r w:rsidR="009566BE">
        <w:rPr>
          <w:szCs w:val="26"/>
        </w:rPr>
        <w:t>Hersheypark</w:t>
      </w:r>
      <w:proofErr w:type="spellEnd"/>
      <w:r w:rsidR="009566BE">
        <w:rPr>
          <w:szCs w:val="26"/>
        </w:rPr>
        <w:t xml:space="preserve"> Drive, </w:t>
      </w:r>
      <w:r w:rsidR="00A473F3" w:rsidRPr="005536DA">
        <w:rPr>
          <w:szCs w:val="26"/>
        </w:rPr>
        <w:t>PA 17</w:t>
      </w:r>
      <w:r w:rsidR="009566BE">
        <w:rPr>
          <w:szCs w:val="26"/>
        </w:rPr>
        <w:t>033</w:t>
      </w:r>
      <w:r w:rsidR="00F824DA" w:rsidRPr="005536DA">
        <w:rPr>
          <w:szCs w:val="26"/>
        </w:rPr>
        <w:t xml:space="preserve"> </w:t>
      </w:r>
      <w:bookmarkEnd w:id="0"/>
      <w:bookmarkEnd w:id="1"/>
      <w:r w:rsidR="00F824DA" w:rsidRPr="005536DA">
        <w:rPr>
          <w:szCs w:val="26"/>
        </w:rPr>
        <w:t>filed a</w:t>
      </w:r>
      <w:r w:rsidR="009566BE">
        <w:rPr>
          <w:szCs w:val="26"/>
        </w:rPr>
        <w:t>n</w:t>
      </w:r>
      <w:r w:rsidR="00F824DA" w:rsidRPr="005536DA">
        <w:rPr>
          <w:szCs w:val="26"/>
        </w:rPr>
        <w:t xml:space="preserve"> Application for approval of</w:t>
      </w:r>
      <w:r w:rsidR="009566BE">
        <w:rPr>
          <w:szCs w:val="26"/>
        </w:rPr>
        <w:t>: (1)</w:t>
      </w:r>
      <w:r w:rsidR="00A473F3" w:rsidRPr="005536DA">
        <w:rPr>
          <w:szCs w:val="26"/>
        </w:rPr>
        <w:t xml:space="preserve"> the transfer, by sale, </w:t>
      </w:r>
      <w:r w:rsidR="00491D8B">
        <w:rPr>
          <w:szCs w:val="26"/>
        </w:rPr>
        <w:t>of</w:t>
      </w:r>
      <w:r w:rsidR="009566BE">
        <w:rPr>
          <w:szCs w:val="26"/>
        </w:rPr>
        <w:t xml:space="preserve"> substantially all of </w:t>
      </w:r>
      <w:r w:rsidR="00491D8B">
        <w:rPr>
          <w:szCs w:val="26"/>
        </w:rPr>
        <w:t xml:space="preserve">Koppel Borough’s </w:t>
      </w:r>
      <w:r w:rsidR="009566BE">
        <w:rPr>
          <w:szCs w:val="26"/>
        </w:rPr>
        <w:t>assets, properties and rights related to</w:t>
      </w:r>
      <w:r w:rsidR="00491D8B">
        <w:rPr>
          <w:szCs w:val="26"/>
        </w:rPr>
        <w:t xml:space="preserve"> </w:t>
      </w:r>
      <w:r w:rsidR="009566BE">
        <w:rPr>
          <w:szCs w:val="26"/>
        </w:rPr>
        <w:t>its wastewater system</w:t>
      </w:r>
      <w:r w:rsidR="00491D8B">
        <w:rPr>
          <w:szCs w:val="26"/>
        </w:rPr>
        <w:t xml:space="preserve"> to Pennsylvania-America</w:t>
      </w:r>
      <w:r w:rsidR="009B3DC8">
        <w:rPr>
          <w:szCs w:val="26"/>
        </w:rPr>
        <w:t>n</w:t>
      </w:r>
      <w:r w:rsidR="009566BE">
        <w:rPr>
          <w:szCs w:val="26"/>
        </w:rPr>
        <w:t xml:space="preserve">, </w:t>
      </w:r>
      <w:r w:rsidR="00F37029">
        <w:rPr>
          <w:szCs w:val="26"/>
        </w:rPr>
        <w:t xml:space="preserve">and </w:t>
      </w:r>
      <w:r w:rsidR="009566BE">
        <w:rPr>
          <w:szCs w:val="26"/>
        </w:rPr>
        <w:t xml:space="preserve">(2) </w:t>
      </w:r>
      <w:r w:rsidR="00F37029">
        <w:rPr>
          <w:szCs w:val="26"/>
        </w:rPr>
        <w:t>the right</w:t>
      </w:r>
      <w:r w:rsidR="009547BF">
        <w:rPr>
          <w:szCs w:val="26"/>
        </w:rPr>
        <w:t>s</w:t>
      </w:r>
      <w:r w:rsidR="00F37029">
        <w:rPr>
          <w:szCs w:val="26"/>
        </w:rPr>
        <w:t xml:space="preserve"> of </w:t>
      </w:r>
      <w:r w:rsidR="009566BE">
        <w:rPr>
          <w:szCs w:val="26"/>
        </w:rPr>
        <w:t xml:space="preserve">Pennsylvania-American to </w:t>
      </w:r>
      <w:r w:rsidR="00F37029">
        <w:rPr>
          <w:szCs w:val="26"/>
        </w:rPr>
        <w:t xml:space="preserve">begin to </w:t>
      </w:r>
      <w:r w:rsidR="009566BE">
        <w:rPr>
          <w:szCs w:val="26"/>
        </w:rPr>
        <w:t>offer</w:t>
      </w:r>
      <w:r w:rsidR="00491D8B">
        <w:rPr>
          <w:szCs w:val="26"/>
        </w:rPr>
        <w:t xml:space="preserve"> or </w:t>
      </w:r>
      <w:r w:rsidR="009566BE">
        <w:rPr>
          <w:szCs w:val="26"/>
        </w:rPr>
        <w:t>furnish wastewater service</w:t>
      </w:r>
      <w:r w:rsidR="00491D8B">
        <w:rPr>
          <w:szCs w:val="26"/>
        </w:rPr>
        <w:t xml:space="preserve"> to the public</w:t>
      </w:r>
      <w:r w:rsidR="009566BE">
        <w:rPr>
          <w:szCs w:val="26"/>
        </w:rPr>
        <w:t xml:space="preserve"> in </w:t>
      </w:r>
      <w:r w:rsidR="00491D8B">
        <w:rPr>
          <w:szCs w:val="26"/>
        </w:rPr>
        <w:t xml:space="preserve">all of </w:t>
      </w:r>
      <w:r w:rsidR="009566BE">
        <w:rPr>
          <w:szCs w:val="26"/>
        </w:rPr>
        <w:t>Koppel</w:t>
      </w:r>
      <w:r w:rsidR="00F37029">
        <w:rPr>
          <w:szCs w:val="26"/>
        </w:rPr>
        <w:t xml:space="preserve"> Borough</w:t>
      </w:r>
      <w:r w:rsidR="009566BE">
        <w:rPr>
          <w:szCs w:val="26"/>
        </w:rPr>
        <w:t>.</w:t>
      </w:r>
      <w:r w:rsidR="00F824DA" w:rsidRPr="005536DA">
        <w:rPr>
          <w:szCs w:val="26"/>
        </w:rPr>
        <w:t xml:space="preserve"> </w:t>
      </w:r>
    </w:p>
    <w:p w:rsidR="00411E53" w:rsidRPr="005536DA" w:rsidRDefault="00411E53" w:rsidP="00411E53">
      <w:pPr>
        <w:tabs>
          <w:tab w:val="left" w:pos="1440"/>
        </w:tabs>
        <w:spacing w:line="360" w:lineRule="auto"/>
        <w:rPr>
          <w:szCs w:val="26"/>
        </w:rPr>
      </w:pPr>
    </w:p>
    <w:p w:rsidR="009B3DC8" w:rsidRDefault="00F824DA" w:rsidP="00411E53">
      <w:pPr>
        <w:spacing w:line="360" w:lineRule="auto"/>
        <w:ind w:firstLine="1440"/>
        <w:rPr>
          <w:szCs w:val="26"/>
        </w:rPr>
      </w:pPr>
      <w:r w:rsidRPr="00A948FA">
        <w:rPr>
          <w:szCs w:val="26"/>
        </w:rPr>
        <w:lastRenderedPageBreak/>
        <w:t>Proofs of service and publication were su</w:t>
      </w:r>
      <w:r w:rsidR="007A17BC" w:rsidRPr="00A948FA">
        <w:rPr>
          <w:szCs w:val="26"/>
        </w:rPr>
        <w:t xml:space="preserve">bmitted by </w:t>
      </w:r>
      <w:r w:rsidR="00F4509B" w:rsidRPr="00A948FA">
        <w:rPr>
          <w:szCs w:val="26"/>
        </w:rPr>
        <w:t>Pennsylvania-American</w:t>
      </w:r>
      <w:r w:rsidRPr="00A948FA">
        <w:rPr>
          <w:szCs w:val="26"/>
        </w:rPr>
        <w:t xml:space="preserve">.  </w:t>
      </w:r>
      <w:r w:rsidRPr="00BC2035">
        <w:rPr>
          <w:szCs w:val="26"/>
        </w:rPr>
        <w:t xml:space="preserve">In addition, </w:t>
      </w:r>
      <w:r w:rsidR="007A17BC" w:rsidRPr="00BC2035">
        <w:rPr>
          <w:szCs w:val="26"/>
        </w:rPr>
        <w:t xml:space="preserve">notice of </w:t>
      </w:r>
      <w:r w:rsidRPr="00BC2035">
        <w:rPr>
          <w:szCs w:val="26"/>
        </w:rPr>
        <w:t xml:space="preserve">this Application was published in </w:t>
      </w:r>
      <w:r w:rsidRPr="00BC2035">
        <w:rPr>
          <w:i/>
          <w:szCs w:val="26"/>
        </w:rPr>
        <w:t>The Pennsylvania Bulletin,</w:t>
      </w:r>
      <w:r w:rsidRPr="00BC2035">
        <w:rPr>
          <w:szCs w:val="26"/>
        </w:rPr>
        <w:t xml:space="preserve"> 4</w:t>
      </w:r>
      <w:r w:rsidR="00BC2035">
        <w:rPr>
          <w:szCs w:val="26"/>
        </w:rPr>
        <w:t>2</w:t>
      </w:r>
      <w:r w:rsidRPr="00BC2035">
        <w:rPr>
          <w:szCs w:val="26"/>
        </w:rPr>
        <w:t xml:space="preserve"> Pa. B </w:t>
      </w:r>
      <w:r w:rsidR="00BC2035">
        <w:rPr>
          <w:szCs w:val="26"/>
        </w:rPr>
        <w:t>3548</w:t>
      </w:r>
      <w:r w:rsidRPr="00BC2035">
        <w:rPr>
          <w:szCs w:val="26"/>
        </w:rPr>
        <w:t>,</w:t>
      </w:r>
      <w:r w:rsidR="000C0368" w:rsidRPr="00BC2035">
        <w:rPr>
          <w:szCs w:val="26"/>
        </w:rPr>
        <w:t xml:space="preserve"> Saturday, </w:t>
      </w:r>
      <w:r w:rsidR="00BC2035">
        <w:rPr>
          <w:szCs w:val="26"/>
        </w:rPr>
        <w:t>June 16</w:t>
      </w:r>
      <w:r w:rsidR="000C0368" w:rsidRPr="00BC2035">
        <w:rPr>
          <w:szCs w:val="26"/>
        </w:rPr>
        <w:t>, 2012.</w:t>
      </w:r>
      <w:r w:rsidRPr="005536DA">
        <w:rPr>
          <w:i/>
          <w:szCs w:val="26"/>
        </w:rPr>
        <w:t xml:space="preserve">  </w:t>
      </w:r>
      <w:r w:rsidRPr="005536DA">
        <w:rPr>
          <w:szCs w:val="26"/>
        </w:rPr>
        <w:t>The protest period ended</w:t>
      </w:r>
      <w:r w:rsidR="000C0368" w:rsidRPr="005536DA">
        <w:rPr>
          <w:szCs w:val="26"/>
        </w:rPr>
        <w:t xml:space="preserve"> </w:t>
      </w:r>
      <w:r w:rsidR="009566BE">
        <w:rPr>
          <w:szCs w:val="26"/>
        </w:rPr>
        <w:t>July</w:t>
      </w:r>
      <w:r w:rsidR="000C0368" w:rsidRPr="005536DA">
        <w:rPr>
          <w:szCs w:val="26"/>
        </w:rPr>
        <w:t xml:space="preserve"> 2, 2012.</w:t>
      </w:r>
      <w:r w:rsidRPr="005536DA">
        <w:rPr>
          <w:szCs w:val="26"/>
        </w:rPr>
        <w:t xml:space="preserve">  No protests were filed and no hearings were held.</w:t>
      </w:r>
    </w:p>
    <w:p w:rsidR="009B3DC8" w:rsidRDefault="009B3DC8" w:rsidP="009B3DC8">
      <w:pPr>
        <w:spacing w:line="360" w:lineRule="auto"/>
        <w:rPr>
          <w:szCs w:val="26"/>
        </w:rPr>
      </w:pPr>
    </w:p>
    <w:p w:rsidR="00F824DA" w:rsidRPr="005536DA" w:rsidRDefault="00491D8B" w:rsidP="00411E53">
      <w:pPr>
        <w:spacing w:line="360" w:lineRule="auto"/>
        <w:ind w:firstLine="1440"/>
        <w:rPr>
          <w:szCs w:val="26"/>
        </w:rPr>
      </w:pPr>
      <w:r>
        <w:rPr>
          <w:szCs w:val="26"/>
        </w:rPr>
        <w:t>The preparation of this Order was delayed because Pennsylvania-American did not respond to the Commission’s data requests in a timely manner.  Final responses from Pennsylvania-American were not received until January 18, 2013.</w:t>
      </w:r>
    </w:p>
    <w:p w:rsidR="00F824DA" w:rsidRPr="005536DA" w:rsidRDefault="00F824DA" w:rsidP="00262A9A">
      <w:pPr>
        <w:spacing w:line="360" w:lineRule="auto"/>
        <w:rPr>
          <w:szCs w:val="26"/>
        </w:rPr>
      </w:pPr>
    </w:p>
    <w:p w:rsidR="00F824DA" w:rsidRDefault="009566BE" w:rsidP="001319D5">
      <w:pPr>
        <w:spacing w:line="360" w:lineRule="auto"/>
        <w:ind w:firstLine="1440"/>
        <w:rPr>
          <w:szCs w:val="26"/>
        </w:rPr>
      </w:pPr>
      <w:r>
        <w:rPr>
          <w:szCs w:val="26"/>
        </w:rPr>
        <w:t>Pennsylvania-American</w:t>
      </w:r>
      <w:r w:rsidR="00F824DA" w:rsidRPr="005536DA">
        <w:rPr>
          <w:szCs w:val="26"/>
        </w:rPr>
        <w:t xml:space="preserve"> is a </w:t>
      </w:r>
      <w:r w:rsidR="00DA7CA3">
        <w:rPr>
          <w:szCs w:val="26"/>
        </w:rPr>
        <w:t xml:space="preserve">regulated </w:t>
      </w:r>
      <w:r w:rsidR="00F824DA" w:rsidRPr="005536DA">
        <w:rPr>
          <w:szCs w:val="26"/>
        </w:rPr>
        <w:t xml:space="preserve">public utility corporation duly organized and existing under the laws of the Commonwealth of Pennsylvania and is engaged in the business of </w:t>
      </w:r>
      <w:r w:rsidR="00DA7CA3">
        <w:rPr>
          <w:szCs w:val="26"/>
        </w:rPr>
        <w:t>collecting, treating, storing, supplying,</w:t>
      </w:r>
      <w:r w:rsidR="00F824DA" w:rsidRPr="005536DA">
        <w:rPr>
          <w:szCs w:val="26"/>
        </w:rPr>
        <w:t xml:space="preserve"> distributing </w:t>
      </w:r>
      <w:r w:rsidR="00DA7CA3">
        <w:rPr>
          <w:szCs w:val="26"/>
        </w:rPr>
        <w:t xml:space="preserve">and selling </w:t>
      </w:r>
      <w:r w:rsidR="00F824DA" w:rsidRPr="005536DA">
        <w:rPr>
          <w:szCs w:val="26"/>
        </w:rPr>
        <w:t>water</w:t>
      </w:r>
      <w:r w:rsidR="00DA7CA3">
        <w:rPr>
          <w:szCs w:val="26"/>
        </w:rPr>
        <w:t xml:space="preserve"> to the public, and collection, treating, transporting and disposing of wastewater and sewage for the public</w:t>
      </w:r>
      <w:r w:rsidR="00F824DA" w:rsidRPr="005536DA">
        <w:rPr>
          <w:szCs w:val="26"/>
        </w:rPr>
        <w:t xml:space="preserve">.  Water </w:t>
      </w:r>
      <w:r w:rsidR="00DA7CA3">
        <w:rPr>
          <w:szCs w:val="26"/>
        </w:rPr>
        <w:t xml:space="preserve">and wastewater </w:t>
      </w:r>
      <w:r w:rsidR="00F824DA" w:rsidRPr="005536DA">
        <w:rPr>
          <w:szCs w:val="26"/>
        </w:rPr>
        <w:t xml:space="preserve">service is furnished </w:t>
      </w:r>
      <w:r w:rsidR="00DA7CA3">
        <w:rPr>
          <w:szCs w:val="26"/>
        </w:rPr>
        <w:t xml:space="preserve">by Pennsylvania-American </w:t>
      </w:r>
      <w:r w:rsidR="00F824DA" w:rsidRPr="005536DA">
        <w:rPr>
          <w:szCs w:val="26"/>
        </w:rPr>
        <w:t>to the public in a service terri</w:t>
      </w:r>
      <w:r w:rsidR="00A473F3" w:rsidRPr="005536DA">
        <w:rPr>
          <w:szCs w:val="26"/>
        </w:rPr>
        <w:t xml:space="preserve">tory encompassing </w:t>
      </w:r>
      <w:r w:rsidR="00DA7CA3">
        <w:rPr>
          <w:szCs w:val="26"/>
        </w:rPr>
        <w:t>more than 290</w:t>
      </w:r>
      <w:r w:rsidR="00A473F3" w:rsidRPr="005536DA">
        <w:rPr>
          <w:szCs w:val="26"/>
        </w:rPr>
        <w:t xml:space="preserve"> communities </w:t>
      </w:r>
      <w:r w:rsidR="00DA7CA3">
        <w:rPr>
          <w:szCs w:val="26"/>
        </w:rPr>
        <w:t>across the C</w:t>
      </w:r>
      <w:r w:rsidR="00F824DA" w:rsidRPr="005536DA">
        <w:rPr>
          <w:szCs w:val="26"/>
        </w:rPr>
        <w:t>ommonwealth with a c</w:t>
      </w:r>
      <w:r w:rsidR="00A473F3" w:rsidRPr="005536DA">
        <w:rPr>
          <w:szCs w:val="26"/>
        </w:rPr>
        <w:t>ombined population of over 2</w:t>
      </w:r>
      <w:r w:rsidR="006F4465" w:rsidRPr="005536DA">
        <w:rPr>
          <w:szCs w:val="26"/>
        </w:rPr>
        <w:t>,000</w:t>
      </w:r>
      <w:r w:rsidR="00DA7CA3">
        <w:rPr>
          <w:szCs w:val="26"/>
        </w:rPr>
        <w:t>,000</w:t>
      </w:r>
      <w:r w:rsidR="006F4465" w:rsidRPr="005536DA">
        <w:rPr>
          <w:szCs w:val="26"/>
        </w:rPr>
        <w:t xml:space="preserve">.  </w:t>
      </w:r>
      <w:r w:rsidR="00DA7CA3">
        <w:rPr>
          <w:szCs w:val="26"/>
        </w:rPr>
        <w:t>A description of Pennsylvania-American’s certificated water and wastewater franchise territory is found in Exhibit A attached to the Application, along with a detailed corporate history, outlining all of the mergers, acquisitions, and consolidations which have created Pennsylvania-American as it exists today.</w:t>
      </w:r>
    </w:p>
    <w:p w:rsidR="00DA7CA3" w:rsidRPr="005536DA" w:rsidRDefault="00DA7CA3" w:rsidP="00262A9A">
      <w:pPr>
        <w:spacing w:line="360" w:lineRule="auto"/>
        <w:rPr>
          <w:szCs w:val="26"/>
        </w:rPr>
      </w:pPr>
    </w:p>
    <w:p w:rsidR="007D2D26" w:rsidRDefault="00DA7CA3" w:rsidP="00411E53">
      <w:pPr>
        <w:spacing w:line="360" w:lineRule="auto"/>
        <w:ind w:firstLine="1440"/>
        <w:rPr>
          <w:szCs w:val="26"/>
        </w:rPr>
      </w:pPr>
      <w:r>
        <w:rPr>
          <w:szCs w:val="26"/>
        </w:rPr>
        <w:t xml:space="preserve">Koppel </w:t>
      </w:r>
      <w:r w:rsidR="007F61DC">
        <w:rPr>
          <w:szCs w:val="26"/>
        </w:rPr>
        <w:t xml:space="preserve">Borough </w:t>
      </w:r>
      <w:r>
        <w:rPr>
          <w:szCs w:val="26"/>
        </w:rPr>
        <w:t xml:space="preserve">provides wastewater service to the public in a service territory encompassing all of Koppel Borough, Beaver County, Pennsylvania, with a population of approximately 1,200.  </w:t>
      </w:r>
      <w:r w:rsidR="007F61DC">
        <w:rPr>
          <w:szCs w:val="26"/>
        </w:rPr>
        <w:t>As of December 31, 2011, Koppel Borough furnished wastewa</w:t>
      </w:r>
      <w:r w:rsidR="00411E53">
        <w:rPr>
          <w:szCs w:val="26"/>
        </w:rPr>
        <w:t xml:space="preserve">ter service to 500 customers.  </w:t>
      </w:r>
      <w:r w:rsidR="00E12304" w:rsidRPr="005536DA">
        <w:rPr>
          <w:szCs w:val="26"/>
        </w:rPr>
        <w:t xml:space="preserve">A map representing the </w:t>
      </w:r>
      <w:r w:rsidR="007F61DC">
        <w:rPr>
          <w:szCs w:val="26"/>
        </w:rPr>
        <w:t>service</w:t>
      </w:r>
      <w:r w:rsidR="00E12304" w:rsidRPr="005536DA">
        <w:rPr>
          <w:szCs w:val="26"/>
        </w:rPr>
        <w:t xml:space="preserve"> territory </w:t>
      </w:r>
      <w:r w:rsidR="001319D5">
        <w:rPr>
          <w:szCs w:val="26"/>
        </w:rPr>
        <w:t>is</w:t>
      </w:r>
      <w:r w:rsidR="00E12304" w:rsidRPr="005536DA">
        <w:rPr>
          <w:szCs w:val="26"/>
        </w:rPr>
        <w:t xml:space="preserve"> found </w:t>
      </w:r>
      <w:r w:rsidR="007F61DC">
        <w:rPr>
          <w:szCs w:val="26"/>
        </w:rPr>
        <w:t>in Exhibit L, attached to the Application</w:t>
      </w:r>
      <w:r w:rsidR="00E12304" w:rsidRPr="005536DA">
        <w:rPr>
          <w:szCs w:val="26"/>
        </w:rPr>
        <w:t>.</w:t>
      </w:r>
    </w:p>
    <w:p w:rsidR="007F61DC" w:rsidRPr="005536DA" w:rsidRDefault="007F61DC" w:rsidP="00262A9A">
      <w:pPr>
        <w:spacing w:line="360" w:lineRule="auto"/>
        <w:rPr>
          <w:szCs w:val="26"/>
        </w:rPr>
      </w:pPr>
    </w:p>
    <w:p w:rsidR="001E6D39" w:rsidRPr="005536DA" w:rsidRDefault="009566BE" w:rsidP="001319D5">
      <w:pPr>
        <w:spacing w:line="360" w:lineRule="auto"/>
        <w:ind w:firstLine="1440"/>
        <w:rPr>
          <w:szCs w:val="26"/>
        </w:rPr>
      </w:pPr>
      <w:r>
        <w:rPr>
          <w:szCs w:val="26"/>
        </w:rPr>
        <w:t>Pennsylvania-American</w:t>
      </w:r>
      <w:r w:rsidR="00B32A3E" w:rsidRPr="005536DA">
        <w:rPr>
          <w:szCs w:val="26"/>
        </w:rPr>
        <w:t xml:space="preserve"> </w:t>
      </w:r>
      <w:r w:rsidR="00694DBE" w:rsidRPr="005536DA">
        <w:rPr>
          <w:szCs w:val="26"/>
        </w:rPr>
        <w:t xml:space="preserve">entered into an </w:t>
      </w:r>
      <w:r w:rsidR="007F61DC">
        <w:rPr>
          <w:szCs w:val="26"/>
        </w:rPr>
        <w:t xml:space="preserve">executed Purchase </w:t>
      </w:r>
      <w:r w:rsidR="001319D5" w:rsidRPr="005536DA">
        <w:rPr>
          <w:szCs w:val="26"/>
        </w:rPr>
        <w:t>Agreement (</w:t>
      </w:r>
      <w:r w:rsidR="00E731A4" w:rsidRPr="005536DA">
        <w:rPr>
          <w:szCs w:val="26"/>
        </w:rPr>
        <w:t>Agreement)</w:t>
      </w:r>
      <w:r w:rsidR="00694DBE" w:rsidRPr="005536DA">
        <w:rPr>
          <w:szCs w:val="26"/>
        </w:rPr>
        <w:t xml:space="preserve"> with </w:t>
      </w:r>
      <w:r w:rsidR="007F61DC">
        <w:rPr>
          <w:szCs w:val="26"/>
        </w:rPr>
        <w:t xml:space="preserve">Koppel </w:t>
      </w:r>
      <w:r w:rsidR="001319D5">
        <w:rPr>
          <w:szCs w:val="26"/>
        </w:rPr>
        <w:t xml:space="preserve">Borough </w:t>
      </w:r>
      <w:r w:rsidR="00694DBE" w:rsidRPr="005536DA">
        <w:rPr>
          <w:szCs w:val="26"/>
        </w:rPr>
        <w:t xml:space="preserve">dated </w:t>
      </w:r>
      <w:r w:rsidR="001319D5">
        <w:rPr>
          <w:szCs w:val="26"/>
        </w:rPr>
        <w:t xml:space="preserve">March </w:t>
      </w:r>
      <w:r w:rsidR="00694DBE" w:rsidRPr="005536DA">
        <w:rPr>
          <w:szCs w:val="26"/>
        </w:rPr>
        <w:t>2</w:t>
      </w:r>
      <w:r w:rsidR="001319D5">
        <w:rPr>
          <w:szCs w:val="26"/>
        </w:rPr>
        <w:t>9</w:t>
      </w:r>
      <w:r w:rsidR="00694DBE" w:rsidRPr="005536DA">
        <w:rPr>
          <w:szCs w:val="26"/>
        </w:rPr>
        <w:t>, 201</w:t>
      </w:r>
      <w:r w:rsidR="001319D5">
        <w:rPr>
          <w:szCs w:val="26"/>
        </w:rPr>
        <w:t>2</w:t>
      </w:r>
      <w:r w:rsidR="00694DBE" w:rsidRPr="005536DA">
        <w:rPr>
          <w:szCs w:val="26"/>
        </w:rPr>
        <w:t xml:space="preserve">, to purchase the </w:t>
      </w:r>
      <w:r w:rsidR="001319D5">
        <w:rPr>
          <w:szCs w:val="26"/>
        </w:rPr>
        <w:t>Borough’s</w:t>
      </w:r>
      <w:r w:rsidR="00694DBE" w:rsidRPr="005536DA">
        <w:rPr>
          <w:szCs w:val="26"/>
        </w:rPr>
        <w:t xml:space="preserve"> </w:t>
      </w:r>
      <w:r w:rsidR="00694DBE" w:rsidRPr="005536DA">
        <w:rPr>
          <w:szCs w:val="26"/>
        </w:rPr>
        <w:lastRenderedPageBreak/>
        <w:t>wastewater collection and treatment system.  A copy of this Agreement i</w:t>
      </w:r>
      <w:r w:rsidR="00FB6511" w:rsidRPr="005536DA">
        <w:rPr>
          <w:szCs w:val="26"/>
        </w:rPr>
        <w:t xml:space="preserve">s found </w:t>
      </w:r>
      <w:r w:rsidR="00B32A3E" w:rsidRPr="005536DA">
        <w:rPr>
          <w:szCs w:val="26"/>
        </w:rPr>
        <w:t>in</w:t>
      </w:r>
      <w:r w:rsidR="00FB6511" w:rsidRPr="005536DA">
        <w:rPr>
          <w:szCs w:val="26"/>
        </w:rPr>
        <w:t xml:space="preserve"> the </w:t>
      </w:r>
      <w:r w:rsidR="001319D5">
        <w:rPr>
          <w:szCs w:val="26"/>
        </w:rPr>
        <w:t>A</w:t>
      </w:r>
      <w:r w:rsidR="00FB6511" w:rsidRPr="005536DA">
        <w:rPr>
          <w:szCs w:val="26"/>
        </w:rPr>
        <w:t>pplication</w:t>
      </w:r>
      <w:r w:rsidR="00F4509B">
        <w:rPr>
          <w:szCs w:val="26"/>
        </w:rPr>
        <w:t xml:space="preserve">, </w:t>
      </w:r>
      <w:r w:rsidR="00F4509B" w:rsidRPr="005536DA">
        <w:rPr>
          <w:szCs w:val="26"/>
        </w:rPr>
        <w:t>a</w:t>
      </w:r>
      <w:r w:rsidR="00936276">
        <w:rPr>
          <w:szCs w:val="26"/>
        </w:rPr>
        <w:t>s</w:t>
      </w:r>
      <w:r w:rsidR="00F4509B" w:rsidRPr="005536DA">
        <w:rPr>
          <w:szCs w:val="26"/>
        </w:rPr>
        <w:t xml:space="preserve"> Exhibit </w:t>
      </w:r>
      <w:r w:rsidR="00F4509B">
        <w:rPr>
          <w:szCs w:val="26"/>
        </w:rPr>
        <w:t>F</w:t>
      </w:r>
      <w:r w:rsidR="00BC05C5" w:rsidRPr="005536DA">
        <w:rPr>
          <w:szCs w:val="26"/>
        </w:rPr>
        <w:t>.</w:t>
      </w:r>
    </w:p>
    <w:p w:rsidR="00F824DA" w:rsidRPr="005536DA" w:rsidRDefault="00F824DA" w:rsidP="00262A9A">
      <w:pPr>
        <w:spacing w:line="360" w:lineRule="auto"/>
        <w:rPr>
          <w:bCs/>
          <w:color w:val="auto"/>
          <w:szCs w:val="26"/>
        </w:rPr>
      </w:pPr>
    </w:p>
    <w:p w:rsidR="00F824DA" w:rsidRPr="005536DA" w:rsidRDefault="00A6403E" w:rsidP="00F4509B">
      <w:pPr>
        <w:tabs>
          <w:tab w:val="left" w:pos="1440"/>
        </w:tabs>
        <w:spacing w:line="360" w:lineRule="auto"/>
        <w:ind w:firstLine="1440"/>
        <w:rPr>
          <w:bCs/>
          <w:color w:val="auto"/>
          <w:szCs w:val="26"/>
        </w:rPr>
      </w:pPr>
      <w:r>
        <w:rPr>
          <w:bCs/>
          <w:color w:val="auto"/>
          <w:szCs w:val="26"/>
        </w:rPr>
        <w:t xml:space="preserve">The consideration for transfer of the wastewater system is $1,833,000 as outlined in Paragraph 2.1 of the Agreement.  </w:t>
      </w:r>
      <w:r w:rsidR="005C055E" w:rsidRPr="005536DA">
        <w:rPr>
          <w:bCs/>
          <w:color w:val="auto"/>
          <w:szCs w:val="26"/>
        </w:rPr>
        <w:t xml:space="preserve">Negotiations were conducted at arm’s length. </w:t>
      </w:r>
      <w:r>
        <w:rPr>
          <w:bCs/>
          <w:color w:val="auto"/>
          <w:szCs w:val="26"/>
        </w:rPr>
        <w:t xml:space="preserve"> </w:t>
      </w:r>
      <w:r w:rsidR="00E3395C" w:rsidRPr="005536DA">
        <w:rPr>
          <w:bCs/>
          <w:color w:val="auto"/>
          <w:szCs w:val="26"/>
        </w:rPr>
        <w:t xml:space="preserve">The </w:t>
      </w:r>
      <w:r w:rsidR="00F679C7">
        <w:rPr>
          <w:bCs/>
          <w:color w:val="auto"/>
          <w:szCs w:val="26"/>
        </w:rPr>
        <w:t xml:space="preserve">“Acquired Assets” </w:t>
      </w:r>
      <w:r w:rsidR="00F824DA" w:rsidRPr="005536DA">
        <w:rPr>
          <w:bCs/>
          <w:color w:val="auto"/>
          <w:szCs w:val="26"/>
        </w:rPr>
        <w:t xml:space="preserve">to be transferred include all </w:t>
      </w:r>
      <w:r w:rsidR="00963B11">
        <w:rPr>
          <w:bCs/>
          <w:color w:val="auto"/>
          <w:szCs w:val="26"/>
        </w:rPr>
        <w:t xml:space="preserve">of Koppel Borough’s assets, properties </w:t>
      </w:r>
      <w:r w:rsidR="00491D8B">
        <w:rPr>
          <w:bCs/>
          <w:color w:val="auto"/>
          <w:szCs w:val="26"/>
        </w:rPr>
        <w:t xml:space="preserve">and </w:t>
      </w:r>
      <w:r w:rsidR="00963B11">
        <w:rPr>
          <w:bCs/>
          <w:color w:val="auto"/>
          <w:szCs w:val="26"/>
        </w:rPr>
        <w:t xml:space="preserve">rights </w:t>
      </w:r>
      <w:r w:rsidR="00491D8B">
        <w:rPr>
          <w:bCs/>
          <w:color w:val="auto"/>
          <w:szCs w:val="26"/>
        </w:rPr>
        <w:t xml:space="preserve">related to </w:t>
      </w:r>
      <w:r w:rsidR="00523FBD">
        <w:rPr>
          <w:bCs/>
          <w:color w:val="auto"/>
          <w:szCs w:val="26"/>
        </w:rPr>
        <w:t>its</w:t>
      </w:r>
      <w:r w:rsidR="00963B11">
        <w:rPr>
          <w:bCs/>
          <w:color w:val="auto"/>
          <w:szCs w:val="26"/>
        </w:rPr>
        <w:t xml:space="preserve"> wastewater system</w:t>
      </w:r>
      <w:r w:rsidR="00491D8B">
        <w:rPr>
          <w:bCs/>
          <w:color w:val="auto"/>
          <w:szCs w:val="26"/>
        </w:rPr>
        <w:t xml:space="preserve"> </w:t>
      </w:r>
      <w:r w:rsidR="00E3395C" w:rsidRPr="005536DA">
        <w:rPr>
          <w:bCs/>
          <w:color w:val="auto"/>
          <w:szCs w:val="26"/>
        </w:rPr>
        <w:t>as described in A</w:t>
      </w:r>
      <w:r w:rsidR="00963B11">
        <w:rPr>
          <w:bCs/>
          <w:color w:val="auto"/>
          <w:szCs w:val="26"/>
        </w:rPr>
        <w:t>rticle 1 of the Agreement</w:t>
      </w:r>
      <w:r w:rsidR="00F824DA" w:rsidRPr="005536DA">
        <w:rPr>
          <w:bCs/>
          <w:color w:val="auto"/>
          <w:szCs w:val="26"/>
        </w:rPr>
        <w:t>.  Assets excluded from the sale are cash</w:t>
      </w:r>
      <w:r w:rsidR="00963B11">
        <w:rPr>
          <w:bCs/>
          <w:color w:val="auto"/>
          <w:szCs w:val="26"/>
        </w:rPr>
        <w:t>, checking, saving, CD’s, investments</w:t>
      </w:r>
      <w:r w:rsidR="00F824DA" w:rsidRPr="005536DA">
        <w:rPr>
          <w:bCs/>
          <w:color w:val="auto"/>
          <w:szCs w:val="26"/>
        </w:rPr>
        <w:t xml:space="preserve"> and accounts receivable.</w:t>
      </w:r>
    </w:p>
    <w:p w:rsidR="00F824DA" w:rsidRPr="005536DA" w:rsidRDefault="00F824DA" w:rsidP="00262A9A">
      <w:pPr>
        <w:spacing w:line="360" w:lineRule="auto"/>
        <w:rPr>
          <w:bCs/>
          <w:color w:val="auto"/>
          <w:szCs w:val="26"/>
        </w:rPr>
      </w:pPr>
    </w:p>
    <w:p w:rsidR="00824A05" w:rsidRPr="004E429A" w:rsidRDefault="009566BE" w:rsidP="00091932">
      <w:pPr>
        <w:tabs>
          <w:tab w:val="left" w:pos="1440"/>
        </w:tabs>
        <w:spacing w:line="360" w:lineRule="auto"/>
        <w:ind w:firstLine="1350"/>
        <w:rPr>
          <w:bCs/>
          <w:color w:val="auto"/>
          <w:szCs w:val="26"/>
        </w:rPr>
      </w:pPr>
      <w:r w:rsidRPr="004E429A">
        <w:rPr>
          <w:bCs/>
          <w:color w:val="auto"/>
          <w:szCs w:val="26"/>
        </w:rPr>
        <w:t>Pennsylvania-American</w:t>
      </w:r>
      <w:r w:rsidR="00C36505" w:rsidRPr="004E429A">
        <w:rPr>
          <w:bCs/>
          <w:color w:val="auto"/>
          <w:szCs w:val="26"/>
        </w:rPr>
        <w:t xml:space="preserve"> </w:t>
      </w:r>
      <w:r w:rsidR="00F824DA" w:rsidRPr="004E429A">
        <w:rPr>
          <w:bCs/>
          <w:color w:val="auto"/>
          <w:szCs w:val="26"/>
        </w:rPr>
        <w:t>stated that no corporation, partnership or i</w:t>
      </w:r>
      <w:r w:rsidR="00A05421" w:rsidRPr="004E429A">
        <w:rPr>
          <w:bCs/>
          <w:color w:val="auto"/>
          <w:szCs w:val="26"/>
        </w:rPr>
        <w:t xml:space="preserve">ndividual, other than </w:t>
      </w:r>
      <w:r w:rsidR="004E429A" w:rsidRPr="004E429A">
        <w:rPr>
          <w:bCs/>
          <w:color w:val="auto"/>
          <w:szCs w:val="26"/>
        </w:rPr>
        <w:t>Koppel Borough</w:t>
      </w:r>
      <w:r w:rsidR="00F824DA" w:rsidRPr="004E429A">
        <w:rPr>
          <w:bCs/>
          <w:color w:val="auto"/>
          <w:szCs w:val="26"/>
        </w:rPr>
        <w:t xml:space="preserve"> is now furnishing or has corporate or franchise rights to furnish service similar to that to be rendered by </w:t>
      </w:r>
      <w:r w:rsidRPr="004E429A">
        <w:rPr>
          <w:bCs/>
          <w:color w:val="auto"/>
          <w:szCs w:val="26"/>
        </w:rPr>
        <w:t>Pennsylvania-American</w:t>
      </w:r>
      <w:r w:rsidR="00C36505" w:rsidRPr="004E429A">
        <w:rPr>
          <w:bCs/>
          <w:color w:val="auto"/>
          <w:szCs w:val="26"/>
        </w:rPr>
        <w:t xml:space="preserve"> </w:t>
      </w:r>
      <w:r w:rsidR="00F824DA" w:rsidRPr="004E429A">
        <w:rPr>
          <w:bCs/>
          <w:color w:val="auto"/>
          <w:szCs w:val="26"/>
        </w:rPr>
        <w:t>in the territory covered by this</w:t>
      </w:r>
      <w:r w:rsidR="00206E62" w:rsidRPr="004E429A">
        <w:rPr>
          <w:bCs/>
          <w:color w:val="auto"/>
          <w:szCs w:val="26"/>
        </w:rPr>
        <w:t xml:space="preserve"> </w:t>
      </w:r>
      <w:r w:rsidR="00F824DA" w:rsidRPr="004E429A">
        <w:rPr>
          <w:bCs/>
          <w:color w:val="auto"/>
          <w:szCs w:val="26"/>
        </w:rPr>
        <w:t xml:space="preserve">Application, and no competitive condition will be created.  </w:t>
      </w:r>
      <w:r w:rsidRPr="004E429A">
        <w:rPr>
          <w:bCs/>
          <w:color w:val="auto"/>
          <w:szCs w:val="26"/>
        </w:rPr>
        <w:t>Pennsylvania-American</w:t>
      </w:r>
      <w:r w:rsidR="00C36505" w:rsidRPr="004E429A">
        <w:rPr>
          <w:bCs/>
          <w:color w:val="auto"/>
          <w:szCs w:val="26"/>
        </w:rPr>
        <w:t xml:space="preserve"> </w:t>
      </w:r>
      <w:r w:rsidR="00F824DA" w:rsidRPr="004E429A">
        <w:rPr>
          <w:bCs/>
          <w:color w:val="auto"/>
          <w:szCs w:val="26"/>
        </w:rPr>
        <w:t>also stated that the proposed transaction will have no effect on its existing customers.</w:t>
      </w:r>
      <w:r w:rsidR="00A52E75" w:rsidRPr="004E429A">
        <w:rPr>
          <w:bCs/>
          <w:color w:val="auto"/>
          <w:szCs w:val="26"/>
        </w:rPr>
        <w:t xml:space="preserve">  </w:t>
      </w:r>
      <w:r w:rsidRPr="004E429A">
        <w:rPr>
          <w:bCs/>
          <w:color w:val="auto"/>
          <w:szCs w:val="26"/>
        </w:rPr>
        <w:t>Pennsylvania-American</w:t>
      </w:r>
      <w:r w:rsidR="004E5E9E" w:rsidRPr="004E429A">
        <w:rPr>
          <w:bCs/>
          <w:color w:val="auto"/>
          <w:szCs w:val="26"/>
        </w:rPr>
        <w:t xml:space="preserve"> will adopt </w:t>
      </w:r>
      <w:r w:rsidR="004E429A">
        <w:rPr>
          <w:bCs/>
          <w:color w:val="auto"/>
          <w:szCs w:val="26"/>
        </w:rPr>
        <w:t xml:space="preserve">Koppel Borough’s rates at the time of </w:t>
      </w:r>
      <w:r w:rsidR="00523FBD">
        <w:rPr>
          <w:bCs/>
          <w:color w:val="auto"/>
          <w:szCs w:val="26"/>
        </w:rPr>
        <w:t>c</w:t>
      </w:r>
      <w:r w:rsidR="004E429A">
        <w:rPr>
          <w:bCs/>
          <w:color w:val="auto"/>
          <w:szCs w:val="26"/>
        </w:rPr>
        <w:t>losing, in addition to Koppel Borough’s existing rules and regulations regarding conditions of service</w:t>
      </w:r>
      <w:r w:rsidR="004E5E9E" w:rsidRPr="004E429A">
        <w:rPr>
          <w:bCs/>
          <w:color w:val="auto"/>
          <w:szCs w:val="26"/>
        </w:rPr>
        <w:t xml:space="preserve">.  </w:t>
      </w:r>
      <w:r w:rsidR="006B35C5">
        <w:rPr>
          <w:bCs/>
          <w:color w:val="auto"/>
          <w:szCs w:val="26"/>
        </w:rPr>
        <w:t>A copy of the adopted 20</w:t>
      </w:r>
      <w:r w:rsidR="00091932">
        <w:rPr>
          <w:bCs/>
          <w:color w:val="auto"/>
          <w:szCs w:val="26"/>
        </w:rPr>
        <w:t>12</w:t>
      </w:r>
      <w:r w:rsidR="006B35C5">
        <w:rPr>
          <w:bCs/>
          <w:color w:val="auto"/>
          <w:szCs w:val="26"/>
        </w:rPr>
        <w:t xml:space="preserve"> </w:t>
      </w:r>
      <w:r w:rsidR="002A1B99">
        <w:rPr>
          <w:bCs/>
          <w:color w:val="auto"/>
          <w:szCs w:val="26"/>
        </w:rPr>
        <w:t xml:space="preserve">Koppel Borough’s </w:t>
      </w:r>
      <w:r w:rsidR="006B35C5">
        <w:rPr>
          <w:bCs/>
          <w:color w:val="auto"/>
          <w:szCs w:val="26"/>
        </w:rPr>
        <w:t xml:space="preserve">Rate Schedule is </w:t>
      </w:r>
      <w:r w:rsidR="002A1B99">
        <w:rPr>
          <w:bCs/>
          <w:color w:val="auto"/>
          <w:szCs w:val="26"/>
        </w:rPr>
        <w:t>found in the Application, as</w:t>
      </w:r>
      <w:r w:rsidR="00091932">
        <w:rPr>
          <w:bCs/>
          <w:color w:val="auto"/>
          <w:szCs w:val="26"/>
        </w:rPr>
        <w:t xml:space="preserve"> attached </w:t>
      </w:r>
      <w:r w:rsidR="002A1B99">
        <w:rPr>
          <w:bCs/>
          <w:color w:val="auto"/>
          <w:szCs w:val="26"/>
        </w:rPr>
        <w:t>Exhibit K.</w:t>
      </w:r>
    </w:p>
    <w:p w:rsidR="00824A05" w:rsidRDefault="00824A05" w:rsidP="00262A9A">
      <w:pPr>
        <w:spacing w:line="360" w:lineRule="auto"/>
        <w:rPr>
          <w:bCs/>
          <w:color w:val="auto"/>
          <w:szCs w:val="26"/>
        </w:rPr>
      </w:pPr>
    </w:p>
    <w:p w:rsidR="00824A05" w:rsidRDefault="009566BE" w:rsidP="00523FBD">
      <w:pPr>
        <w:spacing w:line="360" w:lineRule="auto"/>
        <w:ind w:firstLine="1440"/>
        <w:rPr>
          <w:bCs/>
          <w:color w:val="auto"/>
          <w:szCs w:val="26"/>
        </w:rPr>
      </w:pPr>
      <w:r w:rsidRPr="004D2EC4">
        <w:rPr>
          <w:bCs/>
          <w:color w:val="auto"/>
          <w:szCs w:val="26"/>
        </w:rPr>
        <w:t>Pennsylvania-American</w:t>
      </w:r>
      <w:r w:rsidR="00C36505" w:rsidRPr="004D2EC4">
        <w:rPr>
          <w:bCs/>
          <w:color w:val="auto"/>
          <w:szCs w:val="26"/>
        </w:rPr>
        <w:t xml:space="preserve"> </w:t>
      </w:r>
      <w:r w:rsidR="00F824DA" w:rsidRPr="004D2EC4">
        <w:rPr>
          <w:bCs/>
          <w:color w:val="auto"/>
          <w:szCs w:val="26"/>
        </w:rPr>
        <w:t>submits that the proposed transfer will have a beneficial eff</w:t>
      </w:r>
      <w:r w:rsidR="00A05421" w:rsidRPr="004D2EC4">
        <w:rPr>
          <w:bCs/>
          <w:color w:val="auto"/>
          <w:szCs w:val="26"/>
        </w:rPr>
        <w:t>e</w:t>
      </w:r>
      <w:r w:rsidR="00BA0548" w:rsidRPr="004D2EC4">
        <w:rPr>
          <w:bCs/>
          <w:color w:val="auto"/>
          <w:szCs w:val="26"/>
        </w:rPr>
        <w:t xml:space="preserve">ct on the customers of </w:t>
      </w:r>
      <w:r w:rsidR="004D2EC4">
        <w:rPr>
          <w:bCs/>
          <w:color w:val="auto"/>
          <w:szCs w:val="26"/>
        </w:rPr>
        <w:t>Koppel Borough</w:t>
      </w:r>
      <w:r w:rsidR="004E5E9E" w:rsidRPr="004D2EC4">
        <w:rPr>
          <w:bCs/>
          <w:color w:val="auto"/>
          <w:szCs w:val="26"/>
        </w:rPr>
        <w:t>.</w:t>
      </w:r>
      <w:r w:rsidR="00A05421" w:rsidRPr="004D2EC4">
        <w:rPr>
          <w:bCs/>
          <w:color w:val="auto"/>
          <w:szCs w:val="26"/>
        </w:rPr>
        <w:t xml:space="preserve"> </w:t>
      </w:r>
      <w:r w:rsidR="004D2EC4">
        <w:rPr>
          <w:bCs/>
          <w:color w:val="auto"/>
          <w:szCs w:val="26"/>
        </w:rPr>
        <w:t xml:space="preserve"> </w:t>
      </w:r>
      <w:r w:rsidRPr="004D2EC4">
        <w:rPr>
          <w:bCs/>
          <w:color w:val="auto"/>
          <w:szCs w:val="26"/>
        </w:rPr>
        <w:t>Pennsylvania-American</w:t>
      </w:r>
      <w:r w:rsidR="004E5E9E" w:rsidRPr="004D2EC4">
        <w:rPr>
          <w:bCs/>
          <w:color w:val="auto"/>
          <w:szCs w:val="26"/>
        </w:rPr>
        <w:t xml:space="preserve"> states that it</w:t>
      </w:r>
      <w:r w:rsidR="00F824DA" w:rsidRPr="004D2EC4">
        <w:rPr>
          <w:bCs/>
          <w:color w:val="auto"/>
          <w:szCs w:val="26"/>
        </w:rPr>
        <w:t xml:space="preserve"> has the managerial, technical and financial capabilities to operate the system within the regulatory guidelines, make improvements as needed, and improve centralized management including customer and administrative services.</w:t>
      </w:r>
      <w:r w:rsidR="004D2EC4">
        <w:rPr>
          <w:bCs/>
          <w:color w:val="auto"/>
          <w:szCs w:val="26"/>
        </w:rPr>
        <w:t xml:space="preserve">  </w:t>
      </w:r>
      <w:r w:rsidR="00523FBD">
        <w:rPr>
          <w:bCs/>
          <w:color w:val="auto"/>
          <w:szCs w:val="26"/>
        </w:rPr>
        <w:t xml:space="preserve">Pennsylvania-American currently provides water service to Koppel Borough.  </w:t>
      </w:r>
      <w:r w:rsidR="004D2EC4">
        <w:rPr>
          <w:bCs/>
          <w:color w:val="auto"/>
          <w:szCs w:val="26"/>
        </w:rPr>
        <w:t xml:space="preserve">The geographic overlap between Koppel Borough’s </w:t>
      </w:r>
      <w:r w:rsidR="008605C7">
        <w:rPr>
          <w:bCs/>
          <w:color w:val="auto"/>
          <w:szCs w:val="26"/>
        </w:rPr>
        <w:t>corporate boundaries and Pennsylvania-American’s existing water operations creates opportunities for functional and operational consolidation, and associated efficiencies and cost savings.</w:t>
      </w:r>
      <w:r w:rsidR="00523FBD">
        <w:rPr>
          <w:bCs/>
          <w:color w:val="auto"/>
          <w:szCs w:val="26"/>
        </w:rPr>
        <w:t xml:space="preserve"> </w:t>
      </w:r>
    </w:p>
    <w:p w:rsidR="004D2EC4" w:rsidRDefault="009566BE" w:rsidP="00523FBD">
      <w:pPr>
        <w:spacing w:line="360" w:lineRule="auto"/>
        <w:ind w:firstLine="1440"/>
        <w:rPr>
          <w:bCs/>
          <w:color w:val="auto"/>
          <w:szCs w:val="26"/>
        </w:rPr>
      </w:pPr>
      <w:r>
        <w:rPr>
          <w:bCs/>
          <w:color w:val="auto"/>
          <w:szCs w:val="26"/>
        </w:rPr>
        <w:lastRenderedPageBreak/>
        <w:t>Pennsylvania-American</w:t>
      </w:r>
      <w:r w:rsidR="00A05421" w:rsidRPr="005536DA">
        <w:rPr>
          <w:bCs/>
          <w:color w:val="auto"/>
          <w:szCs w:val="26"/>
        </w:rPr>
        <w:t xml:space="preserve"> </w:t>
      </w:r>
      <w:r w:rsidR="00F824DA" w:rsidRPr="005536DA">
        <w:rPr>
          <w:bCs/>
          <w:color w:val="auto"/>
          <w:szCs w:val="26"/>
        </w:rPr>
        <w:t>is current with its annual, quarterly earnings and the Security Planning and Readiness report filing requirements and there are no outstanding fines or assessments due to t</w:t>
      </w:r>
      <w:r w:rsidR="00A05421" w:rsidRPr="005536DA">
        <w:rPr>
          <w:bCs/>
          <w:color w:val="auto"/>
          <w:szCs w:val="26"/>
        </w:rPr>
        <w:t>he Commission</w:t>
      </w:r>
      <w:r w:rsidR="004D2EC4">
        <w:rPr>
          <w:bCs/>
          <w:color w:val="auto"/>
          <w:szCs w:val="26"/>
        </w:rPr>
        <w:t>.</w:t>
      </w:r>
      <w:r w:rsidR="0007723E">
        <w:rPr>
          <w:bCs/>
          <w:color w:val="auto"/>
          <w:szCs w:val="26"/>
        </w:rPr>
        <w:t xml:space="preserve">  Pennsylvania Department of Environmental Protection does not have any pending actions or outstanding complaints against Koppel Borough’s wastewater treatment operation. </w:t>
      </w:r>
    </w:p>
    <w:p w:rsidR="008605C7" w:rsidRDefault="008605C7" w:rsidP="00262A9A">
      <w:pPr>
        <w:spacing w:line="360" w:lineRule="auto"/>
        <w:rPr>
          <w:bCs/>
          <w:color w:val="auto"/>
          <w:szCs w:val="26"/>
        </w:rPr>
      </w:pPr>
    </w:p>
    <w:p w:rsidR="008605C7" w:rsidRDefault="0065633E" w:rsidP="00523FBD">
      <w:pPr>
        <w:spacing w:line="360" w:lineRule="auto"/>
        <w:ind w:firstLine="1440"/>
        <w:rPr>
          <w:bCs/>
          <w:color w:val="auto"/>
          <w:szCs w:val="26"/>
        </w:rPr>
      </w:pPr>
      <w:r>
        <w:rPr>
          <w:bCs/>
          <w:color w:val="auto"/>
          <w:szCs w:val="26"/>
        </w:rPr>
        <w:t>Koppel Borough Council’s</w:t>
      </w:r>
      <w:r w:rsidR="008605C7">
        <w:rPr>
          <w:bCs/>
          <w:color w:val="auto"/>
          <w:szCs w:val="26"/>
        </w:rPr>
        <w:t xml:space="preserve"> executed Resolution</w:t>
      </w:r>
      <w:r>
        <w:rPr>
          <w:bCs/>
          <w:color w:val="auto"/>
          <w:szCs w:val="26"/>
        </w:rPr>
        <w:t>,</w:t>
      </w:r>
      <w:r w:rsidR="008605C7">
        <w:rPr>
          <w:bCs/>
          <w:color w:val="auto"/>
          <w:szCs w:val="26"/>
        </w:rPr>
        <w:t xml:space="preserve"> </w:t>
      </w:r>
      <w:r>
        <w:rPr>
          <w:bCs/>
          <w:color w:val="auto"/>
          <w:szCs w:val="26"/>
        </w:rPr>
        <w:t xml:space="preserve">effective June 19, 2012, </w:t>
      </w:r>
      <w:r w:rsidR="008605C7">
        <w:rPr>
          <w:bCs/>
          <w:color w:val="auto"/>
          <w:szCs w:val="26"/>
        </w:rPr>
        <w:t xml:space="preserve">for </w:t>
      </w:r>
      <w:r>
        <w:rPr>
          <w:bCs/>
          <w:color w:val="auto"/>
          <w:szCs w:val="26"/>
        </w:rPr>
        <w:t xml:space="preserve">the </w:t>
      </w:r>
      <w:r w:rsidR="008605C7">
        <w:rPr>
          <w:bCs/>
          <w:color w:val="auto"/>
          <w:szCs w:val="26"/>
        </w:rPr>
        <w:t xml:space="preserve">sale of </w:t>
      </w:r>
      <w:r>
        <w:rPr>
          <w:bCs/>
          <w:color w:val="auto"/>
          <w:szCs w:val="26"/>
        </w:rPr>
        <w:t>its</w:t>
      </w:r>
      <w:r w:rsidR="008605C7">
        <w:rPr>
          <w:bCs/>
          <w:color w:val="auto"/>
          <w:szCs w:val="26"/>
        </w:rPr>
        <w:t xml:space="preserve"> wastewater treatment </w:t>
      </w:r>
      <w:r>
        <w:rPr>
          <w:bCs/>
          <w:color w:val="auto"/>
          <w:szCs w:val="26"/>
        </w:rPr>
        <w:t>assets</w:t>
      </w:r>
      <w:r w:rsidR="008605C7">
        <w:rPr>
          <w:bCs/>
          <w:color w:val="auto"/>
          <w:szCs w:val="26"/>
        </w:rPr>
        <w:t xml:space="preserve"> was filed </w:t>
      </w:r>
      <w:r>
        <w:rPr>
          <w:bCs/>
          <w:color w:val="auto"/>
          <w:szCs w:val="26"/>
        </w:rPr>
        <w:t xml:space="preserve">on January 18, 2013 </w:t>
      </w:r>
      <w:r w:rsidR="008605C7">
        <w:rPr>
          <w:bCs/>
          <w:color w:val="auto"/>
          <w:szCs w:val="26"/>
        </w:rPr>
        <w:t>as a response to a data request.</w:t>
      </w:r>
      <w:r w:rsidR="0007723E">
        <w:rPr>
          <w:bCs/>
          <w:color w:val="auto"/>
          <w:szCs w:val="26"/>
        </w:rPr>
        <w:t xml:space="preserve">  </w:t>
      </w:r>
      <w:r>
        <w:rPr>
          <w:bCs/>
          <w:color w:val="auto"/>
          <w:szCs w:val="26"/>
        </w:rPr>
        <w:t>The f</w:t>
      </w:r>
      <w:r w:rsidR="0007723E">
        <w:rPr>
          <w:bCs/>
          <w:color w:val="auto"/>
          <w:szCs w:val="26"/>
        </w:rPr>
        <w:t>iling of th</w:t>
      </w:r>
      <w:r>
        <w:rPr>
          <w:bCs/>
          <w:color w:val="auto"/>
          <w:szCs w:val="26"/>
        </w:rPr>
        <w:t>is</w:t>
      </w:r>
      <w:r w:rsidR="0007723E">
        <w:rPr>
          <w:bCs/>
          <w:color w:val="auto"/>
          <w:szCs w:val="26"/>
        </w:rPr>
        <w:t xml:space="preserve"> Resolution completes the Application’s Exhibit J</w:t>
      </w:r>
      <w:r w:rsidR="00AB272A">
        <w:rPr>
          <w:bCs/>
          <w:color w:val="auto"/>
          <w:szCs w:val="26"/>
        </w:rPr>
        <w:t xml:space="preserve"> which was noted </w:t>
      </w:r>
      <w:r>
        <w:rPr>
          <w:bCs/>
          <w:color w:val="auto"/>
          <w:szCs w:val="26"/>
        </w:rPr>
        <w:t>“</w:t>
      </w:r>
      <w:r w:rsidR="00AB272A">
        <w:rPr>
          <w:bCs/>
          <w:color w:val="auto"/>
          <w:szCs w:val="26"/>
        </w:rPr>
        <w:t>to be filed separately</w:t>
      </w:r>
      <w:r>
        <w:rPr>
          <w:bCs/>
          <w:color w:val="auto"/>
          <w:szCs w:val="26"/>
        </w:rPr>
        <w:t>”</w:t>
      </w:r>
      <w:r w:rsidR="00AB272A">
        <w:rPr>
          <w:bCs/>
          <w:color w:val="auto"/>
          <w:szCs w:val="26"/>
        </w:rPr>
        <w:t xml:space="preserve"> in the original Application</w:t>
      </w:r>
      <w:r w:rsidR="0007723E">
        <w:rPr>
          <w:bCs/>
          <w:color w:val="auto"/>
          <w:szCs w:val="26"/>
        </w:rPr>
        <w:t>.</w:t>
      </w:r>
    </w:p>
    <w:p w:rsidR="00F824DA" w:rsidRPr="005536DA" w:rsidRDefault="00F824DA" w:rsidP="00262A9A">
      <w:pPr>
        <w:spacing w:line="360" w:lineRule="auto"/>
        <w:rPr>
          <w:bCs/>
          <w:color w:val="auto"/>
          <w:szCs w:val="26"/>
        </w:rPr>
      </w:pPr>
    </w:p>
    <w:p w:rsidR="00F824DA" w:rsidRPr="005536DA" w:rsidRDefault="00F824DA" w:rsidP="00262A9A">
      <w:pPr>
        <w:spacing w:line="360" w:lineRule="auto"/>
        <w:ind w:firstLine="1440"/>
        <w:rPr>
          <w:szCs w:val="26"/>
        </w:rPr>
      </w:pPr>
      <w:r w:rsidRPr="005536DA">
        <w:rPr>
          <w:szCs w:val="26"/>
        </w:rPr>
        <w:t>Based upon the f</w:t>
      </w:r>
      <w:r w:rsidR="00A85F46" w:rsidRPr="005536DA">
        <w:rPr>
          <w:szCs w:val="26"/>
        </w:rPr>
        <w:t xml:space="preserve">acts that </w:t>
      </w:r>
      <w:r w:rsidR="009566BE">
        <w:rPr>
          <w:szCs w:val="26"/>
        </w:rPr>
        <w:t>Pennsylvania-American</w:t>
      </w:r>
      <w:r w:rsidR="00A05421" w:rsidRPr="005536DA">
        <w:rPr>
          <w:szCs w:val="26"/>
        </w:rPr>
        <w:t xml:space="preserve"> </w:t>
      </w:r>
      <w:r w:rsidRPr="005536DA">
        <w:rPr>
          <w:szCs w:val="26"/>
        </w:rPr>
        <w:t xml:space="preserve">will expand its service territory to customers in compliance with our regulations, that the economies of scale of an expanded customer base has a beneficial effect on existing </w:t>
      </w:r>
      <w:r w:rsidR="00A85F46" w:rsidRPr="005536DA">
        <w:rPr>
          <w:szCs w:val="26"/>
        </w:rPr>
        <w:t xml:space="preserve">customers, and that </w:t>
      </w:r>
      <w:r w:rsidR="009566BE">
        <w:rPr>
          <w:szCs w:val="26"/>
        </w:rPr>
        <w:t>Pennsylvania-American</w:t>
      </w:r>
      <w:r w:rsidR="00A85F46" w:rsidRPr="005536DA">
        <w:rPr>
          <w:szCs w:val="26"/>
        </w:rPr>
        <w:t xml:space="preserve"> </w:t>
      </w:r>
      <w:r w:rsidRPr="005536DA">
        <w:rPr>
          <w:szCs w:val="26"/>
        </w:rPr>
        <w:t>will be meeting the needs of new customers without any detriment to its existing customers, the Commission finds tha</w:t>
      </w:r>
      <w:r w:rsidR="00A85F46" w:rsidRPr="005536DA">
        <w:rPr>
          <w:szCs w:val="26"/>
        </w:rPr>
        <w:t xml:space="preserve">t granting </w:t>
      </w:r>
      <w:r w:rsidR="009566BE">
        <w:rPr>
          <w:szCs w:val="26"/>
        </w:rPr>
        <w:t>Pennsylvania-American</w:t>
      </w:r>
      <w:r w:rsidR="00A05421" w:rsidRPr="005536DA">
        <w:rPr>
          <w:szCs w:val="26"/>
        </w:rPr>
        <w:t xml:space="preserve">’s </w:t>
      </w:r>
      <w:r w:rsidRPr="005536DA">
        <w:rPr>
          <w:szCs w:val="26"/>
        </w:rPr>
        <w:t xml:space="preserve">Application for approval of the transfer and abandonment is necessary or proper for the service, accommodation, convenience, or safety of the public; </w:t>
      </w:r>
      <w:r w:rsidRPr="005536DA">
        <w:rPr>
          <w:b/>
          <w:szCs w:val="26"/>
        </w:rPr>
        <w:t>THEREFORE,</w:t>
      </w:r>
    </w:p>
    <w:p w:rsidR="00F824DA" w:rsidRPr="005536DA" w:rsidRDefault="00F824DA" w:rsidP="00262A9A">
      <w:pPr>
        <w:spacing w:line="360" w:lineRule="auto"/>
        <w:rPr>
          <w:szCs w:val="26"/>
        </w:rPr>
      </w:pPr>
    </w:p>
    <w:p w:rsidR="00F824DA" w:rsidRPr="005536DA" w:rsidRDefault="00F824DA" w:rsidP="00936276">
      <w:pPr>
        <w:spacing w:line="360" w:lineRule="auto"/>
        <w:ind w:firstLine="1440"/>
        <w:rPr>
          <w:b/>
          <w:szCs w:val="26"/>
        </w:rPr>
      </w:pPr>
      <w:r w:rsidRPr="005536DA">
        <w:rPr>
          <w:b/>
          <w:szCs w:val="26"/>
        </w:rPr>
        <w:t>IT IS ORDERED:</w:t>
      </w:r>
    </w:p>
    <w:p w:rsidR="00F824DA" w:rsidRPr="000835F0" w:rsidRDefault="00F824DA" w:rsidP="00262A9A">
      <w:pPr>
        <w:spacing w:line="360" w:lineRule="auto"/>
        <w:rPr>
          <w:szCs w:val="26"/>
        </w:rPr>
      </w:pPr>
    </w:p>
    <w:p w:rsidR="004854F6" w:rsidRPr="00150EB0" w:rsidRDefault="004854F6" w:rsidP="000835F0">
      <w:pPr>
        <w:numPr>
          <w:ilvl w:val="0"/>
          <w:numId w:val="1"/>
        </w:numPr>
        <w:spacing w:line="360" w:lineRule="auto"/>
        <w:ind w:left="0" w:firstLine="1440"/>
        <w:rPr>
          <w:szCs w:val="26"/>
        </w:rPr>
      </w:pPr>
      <w:r w:rsidRPr="00150EB0">
        <w:rPr>
          <w:szCs w:val="26"/>
        </w:rPr>
        <w:t xml:space="preserve">That the Application of </w:t>
      </w:r>
      <w:r w:rsidR="009566BE" w:rsidRPr="00150EB0">
        <w:rPr>
          <w:szCs w:val="26"/>
        </w:rPr>
        <w:t>Pennsylvania-American</w:t>
      </w:r>
      <w:r w:rsidRPr="00150EB0">
        <w:rPr>
          <w:szCs w:val="26"/>
        </w:rPr>
        <w:t xml:space="preserve"> Water Company at Docket No. A-2012-</w:t>
      </w:r>
      <w:proofErr w:type="gramStart"/>
      <w:r w:rsidRPr="00150EB0">
        <w:rPr>
          <w:szCs w:val="26"/>
        </w:rPr>
        <w:t>2</w:t>
      </w:r>
      <w:r w:rsidR="000835F0">
        <w:rPr>
          <w:szCs w:val="26"/>
        </w:rPr>
        <w:t>307203</w:t>
      </w:r>
      <w:r w:rsidR="00936276">
        <w:rPr>
          <w:szCs w:val="26"/>
        </w:rPr>
        <w:t>,</w:t>
      </w:r>
      <w:proofErr w:type="gramEnd"/>
      <w:r w:rsidRPr="00150EB0">
        <w:rPr>
          <w:szCs w:val="26"/>
        </w:rPr>
        <w:t xml:space="preserve"> is hereby approved.</w:t>
      </w:r>
    </w:p>
    <w:p w:rsidR="004854F6" w:rsidRPr="005536DA" w:rsidRDefault="004854F6" w:rsidP="00262A9A">
      <w:pPr>
        <w:tabs>
          <w:tab w:val="left" w:pos="1440"/>
          <w:tab w:val="left" w:pos="2160"/>
        </w:tabs>
        <w:spacing w:line="360" w:lineRule="auto"/>
        <w:rPr>
          <w:szCs w:val="26"/>
        </w:rPr>
      </w:pPr>
    </w:p>
    <w:p w:rsidR="004854F6" w:rsidRPr="005536DA" w:rsidRDefault="004854F6" w:rsidP="000835F0">
      <w:pPr>
        <w:numPr>
          <w:ilvl w:val="0"/>
          <w:numId w:val="1"/>
        </w:numPr>
        <w:spacing w:line="360" w:lineRule="auto"/>
        <w:ind w:left="0" w:firstLine="1440"/>
        <w:rPr>
          <w:szCs w:val="26"/>
        </w:rPr>
      </w:pPr>
      <w:r w:rsidRPr="005536DA">
        <w:rPr>
          <w:szCs w:val="26"/>
        </w:rPr>
        <w:t>That a Certificate of Public Convenience be issued pursuant to</w:t>
      </w:r>
    </w:p>
    <w:p w:rsidR="004854F6" w:rsidRPr="005536DA" w:rsidRDefault="004854F6" w:rsidP="00262A9A">
      <w:pPr>
        <w:tabs>
          <w:tab w:val="left" w:pos="1440"/>
          <w:tab w:val="left" w:pos="2160"/>
        </w:tabs>
        <w:spacing w:line="360" w:lineRule="auto"/>
        <w:rPr>
          <w:szCs w:val="26"/>
        </w:rPr>
      </w:pPr>
      <w:r w:rsidRPr="005536DA">
        <w:rPr>
          <w:szCs w:val="26"/>
        </w:rPr>
        <w:t xml:space="preserve"> Section 1102(a)</w:t>
      </w:r>
      <w:r w:rsidR="00AA10DD">
        <w:rPr>
          <w:szCs w:val="26"/>
        </w:rPr>
        <w:t>(1)(</w:t>
      </w:r>
      <w:proofErr w:type="spellStart"/>
      <w:r w:rsidR="00AA10DD">
        <w:rPr>
          <w:szCs w:val="26"/>
        </w:rPr>
        <w:t>i</w:t>
      </w:r>
      <w:proofErr w:type="spellEnd"/>
      <w:r w:rsidR="00AA10DD">
        <w:rPr>
          <w:szCs w:val="26"/>
        </w:rPr>
        <w:t>) and (3)</w:t>
      </w:r>
      <w:r w:rsidRPr="005536DA">
        <w:rPr>
          <w:szCs w:val="26"/>
        </w:rPr>
        <w:t xml:space="preserve"> of the Public Utility Code, 66 Pa. C.S. §1102 (a)</w:t>
      </w:r>
      <w:r w:rsidR="00AA10DD">
        <w:rPr>
          <w:szCs w:val="26"/>
        </w:rPr>
        <w:t>(1)(</w:t>
      </w:r>
      <w:proofErr w:type="spellStart"/>
      <w:r w:rsidR="00AA10DD">
        <w:rPr>
          <w:szCs w:val="26"/>
        </w:rPr>
        <w:t>i</w:t>
      </w:r>
      <w:proofErr w:type="spellEnd"/>
      <w:r w:rsidR="00AA10DD">
        <w:rPr>
          <w:szCs w:val="26"/>
        </w:rPr>
        <w:t>) and (3)</w:t>
      </w:r>
      <w:r w:rsidRPr="005536DA">
        <w:rPr>
          <w:szCs w:val="26"/>
        </w:rPr>
        <w:t xml:space="preserve">, evidencing Commission approval of the acquisition by </w:t>
      </w:r>
      <w:r w:rsidR="009566BE">
        <w:rPr>
          <w:szCs w:val="26"/>
        </w:rPr>
        <w:t>Pennsylvania-American</w:t>
      </w:r>
      <w:r w:rsidRPr="005536DA">
        <w:rPr>
          <w:szCs w:val="26"/>
        </w:rPr>
        <w:t xml:space="preserve"> </w:t>
      </w:r>
      <w:r w:rsidRPr="005536DA">
        <w:rPr>
          <w:szCs w:val="26"/>
        </w:rPr>
        <w:lastRenderedPageBreak/>
        <w:t xml:space="preserve">Water Company of the wastewater system assets of </w:t>
      </w:r>
      <w:r w:rsidR="000835F0">
        <w:rPr>
          <w:szCs w:val="26"/>
        </w:rPr>
        <w:t xml:space="preserve">Koppel Borough, </w:t>
      </w:r>
      <w:r w:rsidRPr="005536DA">
        <w:rPr>
          <w:szCs w:val="26"/>
        </w:rPr>
        <w:t xml:space="preserve">situated in </w:t>
      </w:r>
      <w:r w:rsidR="000835F0">
        <w:rPr>
          <w:szCs w:val="26"/>
        </w:rPr>
        <w:t>Beaver</w:t>
      </w:r>
      <w:r w:rsidRPr="005536DA">
        <w:rPr>
          <w:szCs w:val="26"/>
        </w:rPr>
        <w:t xml:space="preserve"> County, as described in the Application.</w:t>
      </w:r>
    </w:p>
    <w:p w:rsidR="004854F6" w:rsidRPr="005536DA" w:rsidRDefault="004854F6" w:rsidP="00262A9A">
      <w:pPr>
        <w:tabs>
          <w:tab w:val="left" w:pos="1440"/>
          <w:tab w:val="left" w:pos="2160"/>
        </w:tabs>
        <w:spacing w:line="360" w:lineRule="auto"/>
        <w:rPr>
          <w:szCs w:val="26"/>
        </w:rPr>
      </w:pPr>
    </w:p>
    <w:p w:rsidR="00936276" w:rsidRPr="00936276" w:rsidRDefault="004854F6" w:rsidP="00936276">
      <w:pPr>
        <w:pStyle w:val="ListParagraph"/>
        <w:numPr>
          <w:ilvl w:val="0"/>
          <w:numId w:val="1"/>
        </w:numPr>
        <w:spacing w:line="360" w:lineRule="auto"/>
        <w:ind w:left="0" w:firstLine="1440"/>
        <w:rPr>
          <w:szCs w:val="26"/>
        </w:rPr>
      </w:pPr>
      <w:r w:rsidRPr="000835F0">
        <w:rPr>
          <w:szCs w:val="26"/>
        </w:rPr>
        <w:t>That upon receipt of notice of closing, a Certificate of Public Convenience be issued pursuant to Section 1102(a</w:t>
      </w:r>
      <w:proofErr w:type="gramStart"/>
      <w:r w:rsidRPr="000835F0">
        <w:rPr>
          <w:szCs w:val="26"/>
        </w:rPr>
        <w:t>)</w:t>
      </w:r>
      <w:r w:rsidR="00AA10DD">
        <w:rPr>
          <w:szCs w:val="26"/>
        </w:rPr>
        <w:t>(</w:t>
      </w:r>
      <w:proofErr w:type="gramEnd"/>
      <w:r w:rsidR="00AA10DD">
        <w:rPr>
          <w:szCs w:val="26"/>
        </w:rPr>
        <w:t>1)(</w:t>
      </w:r>
      <w:proofErr w:type="spellStart"/>
      <w:r w:rsidR="00AA10DD">
        <w:rPr>
          <w:szCs w:val="26"/>
        </w:rPr>
        <w:t>i</w:t>
      </w:r>
      <w:proofErr w:type="spellEnd"/>
      <w:r w:rsidR="00AA10DD">
        <w:rPr>
          <w:szCs w:val="26"/>
        </w:rPr>
        <w:t>) and (3)</w:t>
      </w:r>
      <w:r w:rsidRPr="000835F0">
        <w:rPr>
          <w:szCs w:val="26"/>
        </w:rPr>
        <w:t xml:space="preserve"> of the Public Utility Code, 66 Pa. C.S. §1102(a)</w:t>
      </w:r>
      <w:r w:rsidR="00AA10DD">
        <w:rPr>
          <w:szCs w:val="26"/>
        </w:rPr>
        <w:t>(1)(</w:t>
      </w:r>
      <w:proofErr w:type="spellStart"/>
      <w:r w:rsidR="00AA10DD">
        <w:rPr>
          <w:szCs w:val="26"/>
        </w:rPr>
        <w:t>i</w:t>
      </w:r>
      <w:proofErr w:type="spellEnd"/>
      <w:r w:rsidR="00AA10DD">
        <w:rPr>
          <w:szCs w:val="26"/>
        </w:rPr>
        <w:t>) and (3)</w:t>
      </w:r>
      <w:r w:rsidRPr="000835F0">
        <w:rPr>
          <w:szCs w:val="26"/>
        </w:rPr>
        <w:t xml:space="preserve">, evidencing Commission approval for </w:t>
      </w:r>
      <w:r w:rsidR="009566BE" w:rsidRPr="000835F0">
        <w:rPr>
          <w:szCs w:val="26"/>
        </w:rPr>
        <w:t>Pennsylvania-American</w:t>
      </w:r>
      <w:r w:rsidRPr="000835F0">
        <w:rPr>
          <w:szCs w:val="26"/>
        </w:rPr>
        <w:t xml:space="preserve"> Water Company to begin to offer, render, furnish and supply wastewater treatment service to the public in </w:t>
      </w:r>
      <w:r w:rsidR="000835F0">
        <w:rPr>
          <w:szCs w:val="26"/>
        </w:rPr>
        <w:t>Koppel Borough</w:t>
      </w:r>
      <w:r w:rsidRPr="000835F0">
        <w:rPr>
          <w:szCs w:val="26"/>
        </w:rPr>
        <w:t xml:space="preserve">, </w:t>
      </w:r>
      <w:r w:rsidR="000835F0">
        <w:rPr>
          <w:szCs w:val="26"/>
        </w:rPr>
        <w:t>Beaver</w:t>
      </w:r>
      <w:r w:rsidRPr="000835F0">
        <w:rPr>
          <w:szCs w:val="26"/>
        </w:rPr>
        <w:t xml:space="preserve"> County</w:t>
      </w:r>
      <w:r w:rsidR="000835F0">
        <w:rPr>
          <w:szCs w:val="26"/>
        </w:rPr>
        <w:t xml:space="preserve">, </w:t>
      </w:r>
      <w:r w:rsidR="00936276">
        <w:rPr>
          <w:szCs w:val="26"/>
        </w:rPr>
        <w:t>Pennsylvania.</w:t>
      </w:r>
    </w:p>
    <w:p w:rsidR="000835F0" w:rsidRPr="00936276" w:rsidRDefault="000835F0" w:rsidP="00936276">
      <w:pPr>
        <w:spacing w:line="360" w:lineRule="auto"/>
        <w:rPr>
          <w:szCs w:val="26"/>
        </w:rPr>
      </w:pPr>
    </w:p>
    <w:p w:rsidR="004854F6" w:rsidRDefault="004854F6" w:rsidP="00262A9A">
      <w:pPr>
        <w:pStyle w:val="ListParagraph"/>
        <w:numPr>
          <w:ilvl w:val="0"/>
          <w:numId w:val="1"/>
        </w:numPr>
        <w:tabs>
          <w:tab w:val="left" w:pos="1440"/>
          <w:tab w:val="left" w:pos="2160"/>
        </w:tabs>
        <w:spacing w:line="360" w:lineRule="auto"/>
        <w:ind w:left="0" w:firstLine="1440"/>
        <w:rPr>
          <w:szCs w:val="26"/>
        </w:rPr>
      </w:pPr>
      <w:r w:rsidRPr="000835F0">
        <w:rPr>
          <w:szCs w:val="26"/>
        </w:rPr>
        <w:t xml:space="preserve">That following closing, </w:t>
      </w:r>
      <w:r w:rsidR="000835F0" w:rsidRPr="000835F0">
        <w:rPr>
          <w:szCs w:val="26"/>
        </w:rPr>
        <w:t xml:space="preserve">Pennsylvania-American </w:t>
      </w:r>
      <w:r w:rsidRPr="000835F0">
        <w:rPr>
          <w:szCs w:val="26"/>
        </w:rPr>
        <w:t>Water Company shall file a tariff</w:t>
      </w:r>
      <w:r w:rsidR="000835F0">
        <w:rPr>
          <w:szCs w:val="26"/>
        </w:rPr>
        <w:t xml:space="preserve"> </w:t>
      </w:r>
      <w:r w:rsidRPr="000835F0">
        <w:rPr>
          <w:szCs w:val="26"/>
        </w:rPr>
        <w:t>supplement for the subject franchise territory within 10 days after the date of closing.</w:t>
      </w:r>
    </w:p>
    <w:p w:rsidR="00936276" w:rsidRPr="00936276" w:rsidRDefault="00936276" w:rsidP="00936276">
      <w:pPr>
        <w:pStyle w:val="ListParagraph"/>
        <w:ind w:left="0"/>
        <w:rPr>
          <w:szCs w:val="26"/>
        </w:rPr>
      </w:pPr>
    </w:p>
    <w:p w:rsidR="004854F6" w:rsidRDefault="004854F6" w:rsidP="00262A9A">
      <w:pPr>
        <w:pStyle w:val="ListParagraph"/>
        <w:numPr>
          <w:ilvl w:val="0"/>
          <w:numId w:val="1"/>
        </w:numPr>
        <w:tabs>
          <w:tab w:val="left" w:pos="1440"/>
          <w:tab w:val="left" w:pos="2160"/>
        </w:tabs>
        <w:spacing w:line="360" w:lineRule="auto"/>
        <w:ind w:left="0" w:firstLine="1440"/>
        <w:rPr>
          <w:color w:val="auto"/>
          <w:szCs w:val="26"/>
        </w:rPr>
      </w:pPr>
      <w:r w:rsidRPr="00936276">
        <w:rPr>
          <w:color w:val="auto"/>
          <w:szCs w:val="26"/>
        </w:rPr>
        <w:t xml:space="preserve">That nothing herein shall be construed to exempt </w:t>
      </w:r>
      <w:r w:rsidR="00936276" w:rsidRPr="00936276">
        <w:rPr>
          <w:color w:val="auto"/>
          <w:szCs w:val="26"/>
        </w:rPr>
        <w:t>Pennsylvania-American</w:t>
      </w:r>
      <w:r w:rsidRPr="00936276">
        <w:rPr>
          <w:szCs w:val="26"/>
        </w:rPr>
        <w:t xml:space="preserve"> Water </w:t>
      </w:r>
      <w:r w:rsidRPr="00936276">
        <w:rPr>
          <w:color w:val="auto"/>
          <w:szCs w:val="26"/>
        </w:rPr>
        <w:t>Company from obtaining all necessary permits, licenses, and approvals from other local, state, and federal government agencies having</w:t>
      </w:r>
      <w:r w:rsidR="00876A3F" w:rsidRPr="00936276">
        <w:rPr>
          <w:color w:val="auto"/>
          <w:szCs w:val="26"/>
        </w:rPr>
        <w:t xml:space="preserve"> </w:t>
      </w:r>
      <w:r w:rsidRPr="00936276">
        <w:rPr>
          <w:color w:val="auto"/>
          <w:szCs w:val="26"/>
        </w:rPr>
        <w:t>jurisdiction.</w:t>
      </w:r>
    </w:p>
    <w:p w:rsidR="00523FBD" w:rsidRDefault="00523FBD">
      <w:pPr>
        <w:spacing w:after="200" w:line="276" w:lineRule="auto"/>
        <w:rPr>
          <w:color w:val="auto"/>
          <w:szCs w:val="26"/>
        </w:rPr>
      </w:pPr>
      <w:r>
        <w:rPr>
          <w:color w:val="auto"/>
          <w:szCs w:val="26"/>
        </w:rPr>
        <w:br w:type="page"/>
      </w:r>
    </w:p>
    <w:p w:rsidR="00936276" w:rsidRPr="00523FBD" w:rsidRDefault="00936276" w:rsidP="00523FBD">
      <w:pPr>
        <w:rPr>
          <w:color w:val="auto"/>
          <w:szCs w:val="26"/>
        </w:rPr>
      </w:pPr>
    </w:p>
    <w:p w:rsidR="004854F6" w:rsidRPr="00936276" w:rsidRDefault="004854F6" w:rsidP="00262A9A">
      <w:pPr>
        <w:pStyle w:val="ListParagraph"/>
        <w:numPr>
          <w:ilvl w:val="0"/>
          <w:numId w:val="1"/>
        </w:numPr>
        <w:tabs>
          <w:tab w:val="left" w:pos="1440"/>
          <w:tab w:val="left" w:pos="2160"/>
        </w:tabs>
        <w:spacing w:line="360" w:lineRule="auto"/>
        <w:ind w:left="0" w:firstLine="1440"/>
        <w:rPr>
          <w:szCs w:val="26"/>
        </w:rPr>
      </w:pPr>
      <w:r w:rsidRPr="00936276">
        <w:rPr>
          <w:szCs w:val="26"/>
        </w:rPr>
        <w:t xml:space="preserve">That a copy of this Order be served upon </w:t>
      </w:r>
      <w:r w:rsidR="00936276" w:rsidRPr="00936276">
        <w:rPr>
          <w:szCs w:val="26"/>
        </w:rPr>
        <w:t>Pennsylvania-American</w:t>
      </w:r>
      <w:r w:rsidRPr="00936276">
        <w:rPr>
          <w:szCs w:val="26"/>
        </w:rPr>
        <w:t xml:space="preserve"> Water Company, the Bureau of Investigation and Enforcement, the Office of Consumer Advocate, the Office of Small Business Advocate, the Department of Revenue, Bureau of Corporate Taxes, and the Department of Environmental Protection, South</w:t>
      </w:r>
      <w:r w:rsidR="004D2EC4">
        <w:rPr>
          <w:szCs w:val="26"/>
        </w:rPr>
        <w:t>west Clean Water</w:t>
      </w:r>
      <w:r w:rsidRPr="00936276">
        <w:rPr>
          <w:szCs w:val="26"/>
        </w:rPr>
        <w:t xml:space="preserve"> Field Operations</w:t>
      </w:r>
      <w:r w:rsidR="004D2EC4">
        <w:rPr>
          <w:szCs w:val="26"/>
        </w:rPr>
        <w:t>-Region 5</w:t>
      </w:r>
      <w:r w:rsidRPr="00936276">
        <w:rPr>
          <w:szCs w:val="26"/>
        </w:rPr>
        <w:t xml:space="preserve"> and Central Office-Bureau of Regulatory Counsel.</w:t>
      </w:r>
    </w:p>
    <w:p w:rsidR="00CC0977" w:rsidRPr="005536DA" w:rsidRDefault="00CC0977" w:rsidP="00936276">
      <w:pPr>
        <w:pStyle w:val="ListParagraph"/>
        <w:ind w:left="0"/>
        <w:rPr>
          <w:szCs w:val="26"/>
        </w:rPr>
      </w:pPr>
    </w:p>
    <w:p w:rsidR="00CC0977" w:rsidRPr="005536DA" w:rsidRDefault="007268E8" w:rsidP="00E25EE7">
      <w:pPr>
        <w:tabs>
          <w:tab w:val="left" w:pos="4320"/>
        </w:tabs>
        <w:jc w:val="both"/>
        <w:rPr>
          <w:szCs w:val="26"/>
        </w:rPr>
      </w:pPr>
      <w:r>
        <w:rPr>
          <w:noProof/>
        </w:rPr>
        <w:drawing>
          <wp:anchor distT="0" distB="0" distL="114300" distR="114300" simplePos="0" relativeHeight="251658240" behindDoc="1" locked="0" layoutInCell="1" allowOverlap="1" wp14:anchorId="10547993" wp14:editId="13C8A730">
            <wp:simplePos x="0" y="0"/>
            <wp:positionH relativeFrom="column">
              <wp:posOffset>2387600</wp:posOffset>
            </wp:positionH>
            <wp:positionV relativeFrom="paragraph">
              <wp:posOffset>171450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C0977" w:rsidRPr="005536DA" w:rsidRDefault="00CC0977" w:rsidP="00E25EE7">
      <w:pPr>
        <w:tabs>
          <w:tab w:val="left" w:pos="4320"/>
        </w:tabs>
        <w:jc w:val="both"/>
        <w:rPr>
          <w:szCs w:val="26"/>
        </w:rPr>
      </w:pPr>
      <w:r w:rsidRPr="005536DA">
        <w:rPr>
          <w:szCs w:val="26"/>
        </w:rPr>
        <w:tab/>
      </w:r>
      <w:r w:rsidRPr="005536DA">
        <w:rPr>
          <w:b/>
          <w:szCs w:val="26"/>
        </w:rPr>
        <w:t>BY THE COMMISSION,</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r w:rsidRPr="005536DA">
        <w:rPr>
          <w:szCs w:val="26"/>
        </w:rPr>
        <w:tab/>
        <w:t>Rosemary Chiavetta</w:t>
      </w:r>
    </w:p>
    <w:p w:rsidR="00CC0977" w:rsidRPr="005536DA" w:rsidRDefault="00CC0977" w:rsidP="00E25EE7">
      <w:pPr>
        <w:tabs>
          <w:tab w:val="left" w:pos="4320"/>
        </w:tabs>
        <w:jc w:val="both"/>
        <w:rPr>
          <w:szCs w:val="26"/>
        </w:rPr>
      </w:pPr>
      <w:r w:rsidRPr="005536DA">
        <w:rPr>
          <w:szCs w:val="26"/>
        </w:rPr>
        <w:tab/>
        <w:t>Secretary</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r w:rsidRPr="005536DA">
        <w:rPr>
          <w:szCs w:val="26"/>
        </w:rPr>
        <w:t>(SEAL)</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7D31C3" w:rsidP="00E25EE7">
      <w:pPr>
        <w:tabs>
          <w:tab w:val="left" w:pos="4320"/>
        </w:tabs>
        <w:jc w:val="both"/>
        <w:rPr>
          <w:szCs w:val="26"/>
        </w:rPr>
      </w:pPr>
      <w:r w:rsidRPr="005536DA">
        <w:rPr>
          <w:szCs w:val="26"/>
        </w:rPr>
        <w:t xml:space="preserve">ORDER ADOPTED:  </w:t>
      </w:r>
      <w:r w:rsidR="00A948FA">
        <w:rPr>
          <w:szCs w:val="26"/>
        </w:rPr>
        <w:t>February 28, 2013</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r w:rsidRPr="005536DA">
        <w:rPr>
          <w:szCs w:val="26"/>
        </w:rPr>
        <w:t xml:space="preserve">ORDER ENTERED:  </w:t>
      </w:r>
      <w:r w:rsidR="007268E8">
        <w:rPr>
          <w:szCs w:val="26"/>
        </w:rPr>
        <w:t>February 28, 2013</w:t>
      </w:r>
      <w:bookmarkStart w:id="2" w:name="_GoBack"/>
      <w:bookmarkEnd w:id="2"/>
    </w:p>
    <w:p w:rsidR="00723772" w:rsidRDefault="00723772"/>
    <w:sectPr w:rsidR="00723772" w:rsidSect="00800F7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A2" w:rsidRDefault="00CA3EA2">
      <w:r>
        <w:separator/>
      </w:r>
    </w:p>
  </w:endnote>
  <w:endnote w:type="continuationSeparator" w:id="0">
    <w:p w:rsidR="00CA3EA2" w:rsidRDefault="00CA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9B" w:rsidRDefault="00F4509B" w:rsidP="00723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4509B" w:rsidRDefault="00F45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9B" w:rsidRDefault="00F4509B" w:rsidP="00723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8E8">
      <w:rPr>
        <w:rStyle w:val="PageNumber"/>
        <w:noProof/>
      </w:rPr>
      <w:t>6</w:t>
    </w:r>
    <w:r>
      <w:rPr>
        <w:rStyle w:val="PageNumber"/>
      </w:rPr>
      <w:fldChar w:fldCharType="end"/>
    </w:r>
  </w:p>
  <w:p w:rsidR="00F4509B" w:rsidRPr="00A55048" w:rsidRDefault="00F4509B" w:rsidP="00723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9B" w:rsidRDefault="00F45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A2" w:rsidRDefault="00CA3EA2">
      <w:r>
        <w:separator/>
      </w:r>
    </w:p>
  </w:footnote>
  <w:footnote w:type="continuationSeparator" w:id="0">
    <w:p w:rsidR="00CA3EA2" w:rsidRDefault="00CA3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9B" w:rsidRDefault="00F45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9B" w:rsidRDefault="00F450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9B" w:rsidRDefault="00F450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B94"/>
    <w:multiLevelType w:val="hybridMultilevel"/>
    <w:tmpl w:val="0D609620"/>
    <w:lvl w:ilvl="0" w:tplc="EF9003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671C54"/>
    <w:multiLevelType w:val="hybridMultilevel"/>
    <w:tmpl w:val="ED8EE340"/>
    <w:lvl w:ilvl="0" w:tplc="65FE438E">
      <w:start w:val="1"/>
      <w:numFmt w:val="decimal"/>
      <w:lvlText w:val="%1."/>
      <w:lvlJc w:val="left"/>
      <w:pPr>
        <w:ind w:left="8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A16369"/>
    <w:multiLevelType w:val="hybridMultilevel"/>
    <w:tmpl w:val="A80E9E38"/>
    <w:lvl w:ilvl="0" w:tplc="4288C8F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9C570E"/>
    <w:multiLevelType w:val="hybridMultilevel"/>
    <w:tmpl w:val="ACE413C4"/>
    <w:lvl w:ilvl="0" w:tplc="718C945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DA"/>
    <w:rsid w:val="00010162"/>
    <w:rsid w:val="000146DD"/>
    <w:rsid w:val="00017566"/>
    <w:rsid w:val="00070D34"/>
    <w:rsid w:val="0007723E"/>
    <w:rsid w:val="000835F0"/>
    <w:rsid w:val="00091932"/>
    <w:rsid w:val="000A7872"/>
    <w:rsid w:val="000C0368"/>
    <w:rsid w:val="000C6850"/>
    <w:rsid w:val="000E3D56"/>
    <w:rsid w:val="000E7E5D"/>
    <w:rsid w:val="000F60A4"/>
    <w:rsid w:val="001319D5"/>
    <w:rsid w:val="00133791"/>
    <w:rsid w:val="00145B9B"/>
    <w:rsid w:val="00150EB0"/>
    <w:rsid w:val="00155C7F"/>
    <w:rsid w:val="001909FA"/>
    <w:rsid w:val="0019656D"/>
    <w:rsid w:val="001A4CF4"/>
    <w:rsid w:val="001E6D39"/>
    <w:rsid w:val="001F7FE1"/>
    <w:rsid w:val="00206E62"/>
    <w:rsid w:val="002113C8"/>
    <w:rsid w:val="002139DE"/>
    <w:rsid w:val="00244E1A"/>
    <w:rsid w:val="00254C8E"/>
    <w:rsid w:val="00257E67"/>
    <w:rsid w:val="00262A9A"/>
    <w:rsid w:val="002A1B99"/>
    <w:rsid w:val="002A355D"/>
    <w:rsid w:val="002A5EAA"/>
    <w:rsid w:val="00333A70"/>
    <w:rsid w:val="00341937"/>
    <w:rsid w:val="00345D9B"/>
    <w:rsid w:val="003A181E"/>
    <w:rsid w:val="003A5577"/>
    <w:rsid w:val="003D54CC"/>
    <w:rsid w:val="003F4918"/>
    <w:rsid w:val="00411CBA"/>
    <w:rsid w:val="00411E53"/>
    <w:rsid w:val="00451E35"/>
    <w:rsid w:val="004756C2"/>
    <w:rsid w:val="004854F6"/>
    <w:rsid w:val="00491D8B"/>
    <w:rsid w:val="004A1C00"/>
    <w:rsid w:val="004B35AA"/>
    <w:rsid w:val="004B5AE2"/>
    <w:rsid w:val="004D2EC4"/>
    <w:rsid w:val="004D53F5"/>
    <w:rsid w:val="004E429A"/>
    <w:rsid w:val="004E5E9E"/>
    <w:rsid w:val="004F37D9"/>
    <w:rsid w:val="00523FBD"/>
    <w:rsid w:val="00543901"/>
    <w:rsid w:val="0055015B"/>
    <w:rsid w:val="00552FAD"/>
    <w:rsid w:val="005536DA"/>
    <w:rsid w:val="00565F52"/>
    <w:rsid w:val="00572912"/>
    <w:rsid w:val="00586E0B"/>
    <w:rsid w:val="00591FB3"/>
    <w:rsid w:val="005960C0"/>
    <w:rsid w:val="00596B0C"/>
    <w:rsid w:val="005C055E"/>
    <w:rsid w:val="005C5105"/>
    <w:rsid w:val="005E533B"/>
    <w:rsid w:val="0061722E"/>
    <w:rsid w:val="006412EF"/>
    <w:rsid w:val="00647C77"/>
    <w:rsid w:val="0065633E"/>
    <w:rsid w:val="00660EC1"/>
    <w:rsid w:val="00663D8D"/>
    <w:rsid w:val="00674A8F"/>
    <w:rsid w:val="006924A3"/>
    <w:rsid w:val="00694DBE"/>
    <w:rsid w:val="0069663C"/>
    <w:rsid w:val="006B31C0"/>
    <w:rsid w:val="006B35C5"/>
    <w:rsid w:val="006B6111"/>
    <w:rsid w:val="006C2E87"/>
    <w:rsid w:val="006C3F3D"/>
    <w:rsid w:val="006D5D3D"/>
    <w:rsid w:val="006F0831"/>
    <w:rsid w:val="006F1530"/>
    <w:rsid w:val="006F4465"/>
    <w:rsid w:val="006F64B7"/>
    <w:rsid w:val="00723772"/>
    <w:rsid w:val="007268E8"/>
    <w:rsid w:val="00727194"/>
    <w:rsid w:val="00746BBB"/>
    <w:rsid w:val="007802FC"/>
    <w:rsid w:val="007870AA"/>
    <w:rsid w:val="007A17BC"/>
    <w:rsid w:val="007A78AA"/>
    <w:rsid w:val="007B2726"/>
    <w:rsid w:val="007B6C20"/>
    <w:rsid w:val="007C6508"/>
    <w:rsid w:val="007D2D26"/>
    <w:rsid w:val="007D31C3"/>
    <w:rsid w:val="007F61DC"/>
    <w:rsid w:val="007F79D8"/>
    <w:rsid w:val="00800F7C"/>
    <w:rsid w:val="00822F80"/>
    <w:rsid w:val="00824A05"/>
    <w:rsid w:val="00847EDC"/>
    <w:rsid w:val="008605C7"/>
    <w:rsid w:val="00864DAA"/>
    <w:rsid w:val="00875ED1"/>
    <w:rsid w:val="00876A3F"/>
    <w:rsid w:val="008C3F3B"/>
    <w:rsid w:val="008D1E06"/>
    <w:rsid w:val="008D53D2"/>
    <w:rsid w:val="008D6313"/>
    <w:rsid w:val="008E2ACC"/>
    <w:rsid w:val="008F7D5C"/>
    <w:rsid w:val="0091554D"/>
    <w:rsid w:val="00923D82"/>
    <w:rsid w:val="00936276"/>
    <w:rsid w:val="00943EE0"/>
    <w:rsid w:val="00947EA8"/>
    <w:rsid w:val="009547BF"/>
    <w:rsid w:val="009566BE"/>
    <w:rsid w:val="00963B11"/>
    <w:rsid w:val="00990794"/>
    <w:rsid w:val="009B3DC8"/>
    <w:rsid w:val="009D35A5"/>
    <w:rsid w:val="009F5964"/>
    <w:rsid w:val="00A05421"/>
    <w:rsid w:val="00A42F54"/>
    <w:rsid w:val="00A473F3"/>
    <w:rsid w:val="00A51970"/>
    <w:rsid w:val="00A52E75"/>
    <w:rsid w:val="00A57D75"/>
    <w:rsid w:val="00A615DD"/>
    <w:rsid w:val="00A6403E"/>
    <w:rsid w:val="00A85F46"/>
    <w:rsid w:val="00A948FA"/>
    <w:rsid w:val="00AA011D"/>
    <w:rsid w:val="00AA10DD"/>
    <w:rsid w:val="00AA58B4"/>
    <w:rsid w:val="00AB272A"/>
    <w:rsid w:val="00AE7F23"/>
    <w:rsid w:val="00AF67DE"/>
    <w:rsid w:val="00B04779"/>
    <w:rsid w:val="00B04C6E"/>
    <w:rsid w:val="00B07DEE"/>
    <w:rsid w:val="00B32A3E"/>
    <w:rsid w:val="00B60AE7"/>
    <w:rsid w:val="00B84891"/>
    <w:rsid w:val="00B84E07"/>
    <w:rsid w:val="00B85FBB"/>
    <w:rsid w:val="00B91667"/>
    <w:rsid w:val="00BA0548"/>
    <w:rsid w:val="00BB1C98"/>
    <w:rsid w:val="00BB6C6A"/>
    <w:rsid w:val="00BC05C5"/>
    <w:rsid w:val="00BC09EE"/>
    <w:rsid w:val="00BC2035"/>
    <w:rsid w:val="00BE764A"/>
    <w:rsid w:val="00BE7AB5"/>
    <w:rsid w:val="00BF6B18"/>
    <w:rsid w:val="00C35DA3"/>
    <w:rsid w:val="00C36505"/>
    <w:rsid w:val="00C456CE"/>
    <w:rsid w:val="00C561D0"/>
    <w:rsid w:val="00CA3EA2"/>
    <w:rsid w:val="00CB5F9C"/>
    <w:rsid w:val="00CC0977"/>
    <w:rsid w:val="00CC33EB"/>
    <w:rsid w:val="00CD6683"/>
    <w:rsid w:val="00CE43B7"/>
    <w:rsid w:val="00CF6197"/>
    <w:rsid w:val="00D426CA"/>
    <w:rsid w:val="00D521D0"/>
    <w:rsid w:val="00DA7CA3"/>
    <w:rsid w:val="00DD2DE7"/>
    <w:rsid w:val="00DD4972"/>
    <w:rsid w:val="00DE395F"/>
    <w:rsid w:val="00E03E0A"/>
    <w:rsid w:val="00E0772F"/>
    <w:rsid w:val="00E12304"/>
    <w:rsid w:val="00E25EE7"/>
    <w:rsid w:val="00E3395C"/>
    <w:rsid w:val="00E36611"/>
    <w:rsid w:val="00E6197A"/>
    <w:rsid w:val="00E66706"/>
    <w:rsid w:val="00E731A4"/>
    <w:rsid w:val="00E92AAD"/>
    <w:rsid w:val="00EA2DA7"/>
    <w:rsid w:val="00EB123F"/>
    <w:rsid w:val="00EE5AB1"/>
    <w:rsid w:val="00F23F48"/>
    <w:rsid w:val="00F37029"/>
    <w:rsid w:val="00F37ACF"/>
    <w:rsid w:val="00F4509B"/>
    <w:rsid w:val="00F541D3"/>
    <w:rsid w:val="00F56233"/>
    <w:rsid w:val="00F611FD"/>
    <w:rsid w:val="00F679C7"/>
    <w:rsid w:val="00F824DA"/>
    <w:rsid w:val="00F92FB5"/>
    <w:rsid w:val="00FA0B3A"/>
    <w:rsid w:val="00FA1C60"/>
    <w:rsid w:val="00FB0FCB"/>
    <w:rsid w:val="00FB2D24"/>
    <w:rsid w:val="00FB6511"/>
    <w:rsid w:val="00FC4D0A"/>
    <w:rsid w:val="00FF0EC5"/>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DA"/>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4DA"/>
    <w:pPr>
      <w:tabs>
        <w:tab w:val="center" w:pos="4320"/>
        <w:tab w:val="right" w:pos="8640"/>
      </w:tabs>
    </w:pPr>
  </w:style>
  <w:style w:type="character" w:customStyle="1" w:styleId="FooterChar">
    <w:name w:val="Footer Char"/>
    <w:basedOn w:val="DefaultParagraphFont"/>
    <w:link w:val="Footer"/>
    <w:rsid w:val="00F824DA"/>
    <w:rPr>
      <w:rFonts w:ascii="Times New Roman" w:eastAsia="Times New Roman" w:hAnsi="Times New Roman" w:cs="Times New Roman"/>
      <w:color w:val="000000"/>
      <w:sz w:val="26"/>
      <w:szCs w:val="20"/>
    </w:rPr>
  </w:style>
  <w:style w:type="character" w:styleId="PageNumber">
    <w:name w:val="page number"/>
    <w:basedOn w:val="DefaultParagraphFont"/>
    <w:rsid w:val="00F824DA"/>
  </w:style>
  <w:style w:type="paragraph" w:styleId="ListParagraph">
    <w:name w:val="List Paragraph"/>
    <w:basedOn w:val="Normal"/>
    <w:uiPriority w:val="34"/>
    <w:qFormat/>
    <w:rsid w:val="00F824DA"/>
    <w:pPr>
      <w:ind w:left="720"/>
    </w:pPr>
  </w:style>
  <w:style w:type="paragraph" w:styleId="BalloonText">
    <w:name w:val="Balloon Text"/>
    <w:basedOn w:val="Normal"/>
    <w:link w:val="BalloonTextChar"/>
    <w:uiPriority w:val="99"/>
    <w:semiHidden/>
    <w:unhideWhenUsed/>
    <w:rsid w:val="00552FAD"/>
    <w:rPr>
      <w:rFonts w:ascii="Tahoma" w:hAnsi="Tahoma" w:cs="Tahoma"/>
      <w:sz w:val="16"/>
      <w:szCs w:val="16"/>
    </w:rPr>
  </w:style>
  <w:style w:type="character" w:customStyle="1" w:styleId="BalloonTextChar">
    <w:name w:val="Balloon Text Char"/>
    <w:basedOn w:val="DefaultParagraphFont"/>
    <w:link w:val="BalloonText"/>
    <w:uiPriority w:val="99"/>
    <w:semiHidden/>
    <w:rsid w:val="00552FAD"/>
    <w:rPr>
      <w:rFonts w:ascii="Tahoma" w:eastAsia="Times New Roman" w:hAnsi="Tahoma" w:cs="Tahoma"/>
      <w:color w:val="000000"/>
      <w:sz w:val="16"/>
      <w:szCs w:val="16"/>
    </w:rPr>
  </w:style>
  <w:style w:type="paragraph" w:styleId="Header">
    <w:name w:val="header"/>
    <w:basedOn w:val="Normal"/>
    <w:link w:val="HeaderChar"/>
    <w:uiPriority w:val="99"/>
    <w:unhideWhenUsed/>
    <w:rsid w:val="007D31C3"/>
    <w:pPr>
      <w:tabs>
        <w:tab w:val="center" w:pos="4680"/>
        <w:tab w:val="right" w:pos="9360"/>
      </w:tabs>
    </w:pPr>
  </w:style>
  <w:style w:type="character" w:customStyle="1" w:styleId="HeaderChar">
    <w:name w:val="Header Char"/>
    <w:basedOn w:val="DefaultParagraphFont"/>
    <w:link w:val="Header"/>
    <w:uiPriority w:val="99"/>
    <w:rsid w:val="007D31C3"/>
    <w:rPr>
      <w:rFonts w:ascii="Times New Roman" w:eastAsia="Times New Roman" w:hAnsi="Times New Roman" w:cs="Times New Roman"/>
      <w:color w:val="00000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DA"/>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4DA"/>
    <w:pPr>
      <w:tabs>
        <w:tab w:val="center" w:pos="4320"/>
        <w:tab w:val="right" w:pos="8640"/>
      </w:tabs>
    </w:pPr>
  </w:style>
  <w:style w:type="character" w:customStyle="1" w:styleId="FooterChar">
    <w:name w:val="Footer Char"/>
    <w:basedOn w:val="DefaultParagraphFont"/>
    <w:link w:val="Footer"/>
    <w:rsid w:val="00F824DA"/>
    <w:rPr>
      <w:rFonts w:ascii="Times New Roman" w:eastAsia="Times New Roman" w:hAnsi="Times New Roman" w:cs="Times New Roman"/>
      <w:color w:val="000000"/>
      <w:sz w:val="26"/>
      <w:szCs w:val="20"/>
    </w:rPr>
  </w:style>
  <w:style w:type="character" w:styleId="PageNumber">
    <w:name w:val="page number"/>
    <w:basedOn w:val="DefaultParagraphFont"/>
    <w:rsid w:val="00F824DA"/>
  </w:style>
  <w:style w:type="paragraph" w:styleId="ListParagraph">
    <w:name w:val="List Paragraph"/>
    <w:basedOn w:val="Normal"/>
    <w:uiPriority w:val="34"/>
    <w:qFormat/>
    <w:rsid w:val="00F824DA"/>
    <w:pPr>
      <w:ind w:left="720"/>
    </w:pPr>
  </w:style>
  <w:style w:type="paragraph" w:styleId="BalloonText">
    <w:name w:val="Balloon Text"/>
    <w:basedOn w:val="Normal"/>
    <w:link w:val="BalloonTextChar"/>
    <w:uiPriority w:val="99"/>
    <w:semiHidden/>
    <w:unhideWhenUsed/>
    <w:rsid w:val="00552FAD"/>
    <w:rPr>
      <w:rFonts w:ascii="Tahoma" w:hAnsi="Tahoma" w:cs="Tahoma"/>
      <w:sz w:val="16"/>
      <w:szCs w:val="16"/>
    </w:rPr>
  </w:style>
  <w:style w:type="character" w:customStyle="1" w:styleId="BalloonTextChar">
    <w:name w:val="Balloon Text Char"/>
    <w:basedOn w:val="DefaultParagraphFont"/>
    <w:link w:val="BalloonText"/>
    <w:uiPriority w:val="99"/>
    <w:semiHidden/>
    <w:rsid w:val="00552FAD"/>
    <w:rPr>
      <w:rFonts w:ascii="Tahoma" w:eastAsia="Times New Roman" w:hAnsi="Tahoma" w:cs="Tahoma"/>
      <w:color w:val="000000"/>
      <w:sz w:val="16"/>
      <w:szCs w:val="16"/>
    </w:rPr>
  </w:style>
  <w:style w:type="paragraph" w:styleId="Header">
    <w:name w:val="header"/>
    <w:basedOn w:val="Normal"/>
    <w:link w:val="HeaderChar"/>
    <w:uiPriority w:val="99"/>
    <w:unhideWhenUsed/>
    <w:rsid w:val="007D31C3"/>
    <w:pPr>
      <w:tabs>
        <w:tab w:val="center" w:pos="4680"/>
        <w:tab w:val="right" w:pos="9360"/>
      </w:tabs>
    </w:pPr>
  </w:style>
  <w:style w:type="character" w:customStyle="1" w:styleId="HeaderChar">
    <w:name w:val="Header Char"/>
    <w:basedOn w:val="DefaultParagraphFont"/>
    <w:link w:val="Header"/>
    <w:uiPriority w:val="99"/>
    <w:rsid w:val="007D31C3"/>
    <w:rPr>
      <w:rFonts w:ascii="Times New Roman" w:eastAsia="Times New Roman" w:hAnsi="Times New Roman" w:cs="Times New Roman"/>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3</cp:revision>
  <cp:lastPrinted>2013-02-28T12:26:00Z</cp:lastPrinted>
  <dcterms:created xsi:type="dcterms:W3CDTF">2013-02-15T19:18:00Z</dcterms:created>
  <dcterms:modified xsi:type="dcterms:W3CDTF">2013-02-28T12:26:00Z</dcterms:modified>
</cp:coreProperties>
</file>