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260"/>
        <w:gridCol w:w="720"/>
        <w:gridCol w:w="2160"/>
        <w:gridCol w:w="720"/>
      </w:tblGrid>
      <w:tr w:rsidR="00DF7EBB" w:rsidRPr="00A05F32" w:rsidTr="0030244B">
        <w:tc>
          <w:tcPr>
            <w:tcW w:w="2448" w:type="dxa"/>
          </w:tcPr>
          <w:p w:rsidR="00DF7EBB" w:rsidRPr="00A05F32" w:rsidRDefault="00DF7EBB">
            <w:pPr>
              <w:rPr>
                <w:color w:val="000000"/>
                <w:sz w:val="26"/>
                <w:szCs w:val="26"/>
              </w:rPr>
            </w:pPr>
          </w:p>
        </w:tc>
        <w:tc>
          <w:tcPr>
            <w:tcW w:w="4230" w:type="dxa"/>
            <w:gridSpan w:val="3"/>
          </w:tcPr>
          <w:p w:rsidR="00DF7EBB" w:rsidRPr="00A05F32" w:rsidRDefault="00DF7EBB">
            <w:pPr>
              <w:jc w:val="center"/>
              <w:rPr>
                <w:b/>
                <w:color w:val="000000"/>
                <w:sz w:val="26"/>
                <w:szCs w:val="26"/>
              </w:rPr>
            </w:pPr>
            <w:r w:rsidRPr="00A05F32">
              <w:rPr>
                <w:b/>
                <w:color w:val="000000"/>
                <w:sz w:val="26"/>
                <w:szCs w:val="26"/>
              </w:rPr>
              <w:t>PENNSYLVANIA</w:t>
            </w:r>
          </w:p>
          <w:p w:rsidR="00DF7EBB" w:rsidRPr="00A05F32" w:rsidRDefault="00DF7EBB">
            <w:pPr>
              <w:jc w:val="center"/>
              <w:rPr>
                <w:b/>
                <w:color w:val="000000"/>
                <w:sz w:val="26"/>
                <w:szCs w:val="26"/>
              </w:rPr>
            </w:pPr>
            <w:r w:rsidRPr="00A05F32">
              <w:rPr>
                <w:b/>
                <w:color w:val="000000"/>
                <w:sz w:val="26"/>
                <w:szCs w:val="26"/>
              </w:rPr>
              <w:t>PUBLIC UTILITY COMMISSION</w:t>
            </w:r>
          </w:p>
          <w:p w:rsidR="00DF7EBB" w:rsidRPr="00A05F32" w:rsidRDefault="00DF7EBB">
            <w:pPr>
              <w:jc w:val="center"/>
              <w:rPr>
                <w:color w:val="000000"/>
                <w:sz w:val="26"/>
                <w:szCs w:val="26"/>
              </w:rPr>
            </w:pPr>
            <w:r w:rsidRPr="00A05F32">
              <w:rPr>
                <w:b/>
                <w:color w:val="000000"/>
                <w:sz w:val="26"/>
                <w:szCs w:val="26"/>
              </w:rPr>
              <w:t>Harrisburg</w:t>
            </w:r>
            <w:r w:rsidR="00091554" w:rsidRPr="00A05F32">
              <w:rPr>
                <w:b/>
                <w:color w:val="000000"/>
                <w:sz w:val="26"/>
                <w:szCs w:val="26"/>
              </w:rPr>
              <w:t>, PA</w:t>
            </w:r>
            <w:r w:rsidRPr="00A05F32">
              <w:rPr>
                <w:b/>
                <w:color w:val="000000"/>
                <w:sz w:val="26"/>
                <w:szCs w:val="26"/>
              </w:rPr>
              <w:t xml:space="preserve">  17105-3265</w:t>
            </w:r>
          </w:p>
        </w:tc>
        <w:tc>
          <w:tcPr>
            <w:tcW w:w="2880" w:type="dxa"/>
            <w:gridSpan w:val="2"/>
          </w:tcPr>
          <w:p w:rsidR="00DF7EBB" w:rsidRPr="00A05F32" w:rsidRDefault="00DF7EBB">
            <w:pPr>
              <w:rPr>
                <w:color w:val="000000"/>
                <w:sz w:val="26"/>
                <w:szCs w:val="26"/>
              </w:rPr>
            </w:pPr>
          </w:p>
        </w:tc>
      </w:tr>
      <w:tr w:rsidR="00C9585E" w:rsidRPr="00A05F32" w:rsidTr="0030244B">
        <w:tc>
          <w:tcPr>
            <w:tcW w:w="2448" w:type="dxa"/>
          </w:tcPr>
          <w:p w:rsidR="00C9585E" w:rsidRPr="00A05F32" w:rsidRDefault="00C9585E">
            <w:pPr>
              <w:rPr>
                <w:color w:val="000000"/>
                <w:sz w:val="26"/>
                <w:szCs w:val="26"/>
              </w:rPr>
            </w:pPr>
          </w:p>
        </w:tc>
        <w:tc>
          <w:tcPr>
            <w:tcW w:w="4230" w:type="dxa"/>
            <w:gridSpan w:val="3"/>
          </w:tcPr>
          <w:p w:rsidR="00C9585E" w:rsidRPr="00A05F32" w:rsidRDefault="00C9585E">
            <w:pPr>
              <w:jc w:val="center"/>
              <w:rPr>
                <w:b/>
                <w:color w:val="000000"/>
                <w:sz w:val="26"/>
                <w:szCs w:val="26"/>
              </w:rPr>
            </w:pPr>
          </w:p>
        </w:tc>
        <w:tc>
          <w:tcPr>
            <w:tcW w:w="2880" w:type="dxa"/>
            <w:gridSpan w:val="2"/>
          </w:tcPr>
          <w:p w:rsidR="00C9585E" w:rsidRPr="00A05F32" w:rsidRDefault="00C9585E">
            <w:pPr>
              <w:rPr>
                <w:color w:val="000000"/>
                <w:sz w:val="26"/>
                <w:szCs w:val="26"/>
              </w:rPr>
            </w:pPr>
          </w:p>
        </w:tc>
      </w:tr>
      <w:tr w:rsidR="00DF7EBB" w:rsidRPr="00A05F32" w:rsidTr="0030244B">
        <w:tc>
          <w:tcPr>
            <w:tcW w:w="4698" w:type="dxa"/>
            <w:gridSpan w:val="2"/>
          </w:tcPr>
          <w:p w:rsidR="00DF7EBB" w:rsidRPr="00A05F32" w:rsidRDefault="00DF7EBB">
            <w:pPr>
              <w:rPr>
                <w:color w:val="000000"/>
                <w:sz w:val="26"/>
                <w:szCs w:val="26"/>
              </w:rPr>
            </w:pPr>
          </w:p>
        </w:tc>
        <w:tc>
          <w:tcPr>
            <w:tcW w:w="4860" w:type="dxa"/>
            <w:gridSpan w:val="4"/>
          </w:tcPr>
          <w:p w:rsidR="00DF7EBB" w:rsidRPr="00A05F32" w:rsidRDefault="00DF7EBB" w:rsidP="00265290">
            <w:pPr>
              <w:jc w:val="right"/>
              <w:rPr>
                <w:color w:val="000000"/>
                <w:sz w:val="26"/>
                <w:szCs w:val="26"/>
              </w:rPr>
            </w:pPr>
            <w:r w:rsidRPr="00A05F32">
              <w:rPr>
                <w:color w:val="000000"/>
                <w:sz w:val="26"/>
                <w:szCs w:val="26"/>
              </w:rPr>
              <w:t>Public Meeting held</w:t>
            </w:r>
            <w:r w:rsidR="00265290">
              <w:rPr>
                <w:color w:val="000000"/>
                <w:sz w:val="26"/>
                <w:szCs w:val="26"/>
              </w:rPr>
              <w:t xml:space="preserve"> March 14, 2013</w:t>
            </w:r>
          </w:p>
        </w:tc>
      </w:tr>
      <w:tr w:rsidR="00DF7EBB" w:rsidRPr="00A05F32" w:rsidTr="0030244B">
        <w:tc>
          <w:tcPr>
            <w:tcW w:w="4698" w:type="dxa"/>
            <w:gridSpan w:val="2"/>
          </w:tcPr>
          <w:p w:rsidR="00DF7EBB" w:rsidRPr="00A05F32" w:rsidRDefault="00DF7EBB">
            <w:pPr>
              <w:rPr>
                <w:color w:val="000000"/>
                <w:sz w:val="26"/>
                <w:szCs w:val="26"/>
              </w:rPr>
            </w:pPr>
            <w:r w:rsidRPr="00A05F32">
              <w:rPr>
                <w:color w:val="000000"/>
                <w:sz w:val="26"/>
                <w:szCs w:val="26"/>
              </w:rPr>
              <w:t>Commissioners Present:</w:t>
            </w:r>
          </w:p>
        </w:tc>
        <w:tc>
          <w:tcPr>
            <w:tcW w:w="4860" w:type="dxa"/>
            <w:gridSpan w:val="4"/>
          </w:tcPr>
          <w:p w:rsidR="00DF7EBB" w:rsidRPr="00A05F32" w:rsidRDefault="00DF7EBB">
            <w:pPr>
              <w:rPr>
                <w:color w:val="000000"/>
                <w:sz w:val="26"/>
                <w:szCs w:val="26"/>
              </w:rPr>
            </w:pPr>
          </w:p>
        </w:tc>
      </w:tr>
      <w:tr w:rsidR="00C9585E" w:rsidRPr="00A05F32" w:rsidTr="0030244B">
        <w:tc>
          <w:tcPr>
            <w:tcW w:w="4698" w:type="dxa"/>
            <w:gridSpan w:val="2"/>
          </w:tcPr>
          <w:p w:rsidR="00C9585E" w:rsidRPr="00A05F32" w:rsidRDefault="00C9585E">
            <w:pPr>
              <w:rPr>
                <w:color w:val="000000"/>
                <w:sz w:val="26"/>
                <w:szCs w:val="26"/>
              </w:rPr>
            </w:pPr>
          </w:p>
        </w:tc>
        <w:tc>
          <w:tcPr>
            <w:tcW w:w="4860" w:type="dxa"/>
            <w:gridSpan w:val="4"/>
          </w:tcPr>
          <w:p w:rsidR="00C9585E" w:rsidRPr="00A05F32" w:rsidRDefault="00C9585E">
            <w:pPr>
              <w:rPr>
                <w:color w:val="000000"/>
                <w:sz w:val="26"/>
                <w:szCs w:val="26"/>
              </w:rPr>
            </w:pPr>
          </w:p>
        </w:tc>
      </w:tr>
      <w:tr w:rsidR="00DF7EBB" w:rsidRPr="00A05F32" w:rsidTr="0030244B">
        <w:tc>
          <w:tcPr>
            <w:tcW w:w="8838" w:type="dxa"/>
            <w:gridSpan w:val="5"/>
          </w:tcPr>
          <w:p w:rsidR="000B5D39" w:rsidRPr="00837A78" w:rsidRDefault="000B5D39" w:rsidP="000B5D39">
            <w:pPr>
              <w:rPr>
                <w:color w:val="000000"/>
                <w:sz w:val="26"/>
                <w:szCs w:val="26"/>
              </w:rPr>
            </w:pPr>
            <w:r w:rsidRPr="00837A78">
              <w:rPr>
                <w:color w:val="000000"/>
                <w:sz w:val="26"/>
                <w:szCs w:val="26"/>
              </w:rPr>
              <w:tab/>
              <w:t>Robert F. Powelson, Chairman</w:t>
            </w:r>
          </w:p>
          <w:p w:rsidR="000B5D39" w:rsidRPr="00837A78" w:rsidRDefault="000B5D39" w:rsidP="000B5D39">
            <w:pPr>
              <w:rPr>
                <w:color w:val="000000"/>
                <w:sz w:val="26"/>
                <w:szCs w:val="26"/>
              </w:rPr>
            </w:pPr>
            <w:r w:rsidRPr="00837A78">
              <w:rPr>
                <w:color w:val="000000"/>
                <w:sz w:val="26"/>
                <w:szCs w:val="26"/>
              </w:rPr>
              <w:tab/>
              <w:t>John F. Coleman, Jr., Vice Chairman</w:t>
            </w:r>
          </w:p>
          <w:p w:rsidR="000B5D39" w:rsidRPr="00837A78" w:rsidRDefault="000B5D39" w:rsidP="000B5D39">
            <w:pPr>
              <w:rPr>
                <w:color w:val="000000"/>
                <w:sz w:val="26"/>
                <w:szCs w:val="26"/>
              </w:rPr>
            </w:pPr>
            <w:r w:rsidRPr="00837A78">
              <w:rPr>
                <w:color w:val="000000"/>
                <w:sz w:val="26"/>
                <w:szCs w:val="26"/>
              </w:rPr>
              <w:tab/>
              <w:t>Wayne E. Gardner</w:t>
            </w:r>
          </w:p>
          <w:p w:rsidR="000B5D39" w:rsidRPr="00837A78" w:rsidRDefault="000B5D39" w:rsidP="000B5D39">
            <w:pPr>
              <w:rPr>
                <w:color w:val="000000"/>
                <w:sz w:val="26"/>
                <w:szCs w:val="26"/>
              </w:rPr>
            </w:pPr>
            <w:r w:rsidRPr="00837A78">
              <w:rPr>
                <w:color w:val="000000"/>
                <w:sz w:val="26"/>
                <w:szCs w:val="26"/>
              </w:rPr>
              <w:tab/>
              <w:t>James H. Cawley</w:t>
            </w:r>
          </w:p>
          <w:p w:rsidR="00C9585E" w:rsidRPr="00A05F32" w:rsidRDefault="000B5D39" w:rsidP="000B5D39">
            <w:pPr>
              <w:ind w:firstLine="450"/>
              <w:rPr>
                <w:color w:val="000000"/>
                <w:sz w:val="26"/>
                <w:szCs w:val="26"/>
              </w:rPr>
            </w:pPr>
            <w:r w:rsidRPr="00837A78">
              <w:rPr>
                <w:color w:val="000000"/>
                <w:sz w:val="26"/>
                <w:szCs w:val="26"/>
              </w:rPr>
              <w:tab/>
              <w:t>Pamela A. Witmer</w:t>
            </w:r>
          </w:p>
        </w:tc>
        <w:tc>
          <w:tcPr>
            <w:tcW w:w="720" w:type="dxa"/>
          </w:tcPr>
          <w:p w:rsidR="00DF7EBB" w:rsidRPr="00A05F32" w:rsidRDefault="00DF7EBB">
            <w:pPr>
              <w:rPr>
                <w:color w:val="000000"/>
                <w:sz w:val="26"/>
                <w:szCs w:val="26"/>
              </w:rPr>
            </w:pPr>
          </w:p>
        </w:tc>
      </w:tr>
      <w:tr w:rsidR="00BE4EA8" w:rsidRPr="00A05F32" w:rsidTr="0030244B">
        <w:tc>
          <w:tcPr>
            <w:tcW w:w="8838" w:type="dxa"/>
            <w:gridSpan w:val="5"/>
          </w:tcPr>
          <w:p w:rsidR="00BE4EA8" w:rsidRPr="00A05F32" w:rsidRDefault="00BE4EA8" w:rsidP="00C9585E">
            <w:pPr>
              <w:ind w:firstLine="540"/>
              <w:rPr>
                <w:color w:val="000000"/>
                <w:sz w:val="26"/>
                <w:szCs w:val="26"/>
              </w:rPr>
            </w:pPr>
          </w:p>
        </w:tc>
        <w:tc>
          <w:tcPr>
            <w:tcW w:w="720" w:type="dxa"/>
          </w:tcPr>
          <w:p w:rsidR="00BE4EA8" w:rsidRPr="00A05F32" w:rsidRDefault="00BE4EA8">
            <w:pPr>
              <w:rPr>
                <w:color w:val="000000"/>
                <w:sz w:val="26"/>
                <w:szCs w:val="26"/>
              </w:rPr>
            </w:pPr>
          </w:p>
        </w:tc>
      </w:tr>
      <w:tr w:rsidR="00BE4EA8" w:rsidRPr="00A05F32" w:rsidTr="0030244B">
        <w:tc>
          <w:tcPr>
            <w:tcW w:w="5958" w:type="dxa"/>
            <w:gridSpan w:val="3"/>
          </w:tcPr>
          <w:p w:rsidR="00265290" w:rsidRDefault="00EA4F46" w:rsidP="00265290">
            <w:pPr>
              <w:rPr>
                <w:color w:val="000000"/>
                <w:sz w:val="26"/>
                <w:szCs w:val="26"/>
              </w:rPr>
            </w:pPr>
            <w:r w:rsidRPr="00A05F32">
              <w:rPr>
                <w:color w:val="000000"/>
                <w:sz w:val="26"/>
                <w:szCs w:val="26"/>
              </w:rPr>
              <w:t>Petition for</w:t>
            </w:r>
            <w:r w:rsidR="00265290">
              <w:rPr>
                <w:color w:val="000000"/>
                <w:sz w:val="26"/>
                <w:szCs w:val="26"/>
              </w:rPr>
              <w:t xml:space="preserve"> Alternative Regulation and Network Modernization Plan of Commonwealth Telephone Company d/b/a Frontier Communications Commonwealth Telephone Company</w:t>
            </w:r>
            <w:r w:rsidRPr="00A05F32">
              <w:rPr>
                <w:color w:val="000000"/>
                <w:sz w:val="26"/>
                <w:szCs w:val="26"/>
              </w:rPr>
              <w:t xml:space="preserve"> </w:t>
            </w:r>
          </w:p>
          <w:p w:rsidR="00B32D72" w:rsidRDefault="00265290" w:rsidP="00C35105">
            <w:pPr>
              <w:spacing w:after="120"/>
              <w:rPr>
                <w:color w:val="000000"/>
                <w:sz w:val="26"/>
                <w:szCs w:val="26"/>
              </w:rPr>
            </w:pPr>
            <w:r>
              <w:rPr>
                <w:color w:val="000000"/>
                <w:sz w:val="26"/>
                <w:szCs w:val="26"/>
              </w:rPr>
              <w:t xml:space="preserve">2013 </w:t>
            </w:r>
            <w:r w:rsidR="004D288D" w:rsidRPr="00A05F32">
              <w:rPr>
                <w:color w:val="000000"/>
                <w:sz w:val="26"/>
                <w:szCs w:val="26"/>
              </w:rPr>
              <w:t>Price Stab</w:t>
            </w:r>
            <w:r>
              <w:rPr>
                <w:color w:val="000000"/>
                <w:sz w:val="26"/>
                <w:szCs w:val="26"/>
              </w:rPr>
              <w:t>ility Index/Service Price Index</w:t>
            </w:r>
            <w:r w:rsidR="000D1DB0">
              <w:rPr>
                <w:color w:val="000000"/>
                <w:sz w:val="26"/>
                <w:szCs w:val="26"/>
              </w:rPr>
              <w:t xml:space="preserve"> Report Filing</w:t>
            </w:r>
          </w:p>
          <w:p w:rsidR="007C7A81" w:rsidRDefault="007C7A81" w:rsidP="00C35105">
            <w:pPr>
              <w:spacing w:after="120"/>
              <w:rPr>
                <w:color w:val="000000"/>
                <w:sz w:val="26"/>
                <w:szCs w:val="26"/>
              </w:rPr>
            </w:pPr>
          </w:p>
          <w:p w:rsidR="00265290" w:rsidRPr="00A05F32" w:rsidRDefault="00265290" w:rsidP="00153E30">
            <w:pPr>
              <w:rPr>
                <w:color w:val="000000"/>
                <w:sz w:val="26"/>
                <w:szCs w:val="26"/>
              </w:rPr>
            </w:pPr>
          </w:p>
        </w:tc>
        <w:tc>
          <w:tcPr>
            <w:tcW w:w="3600" w:type="dxa"/>
            <w:gridSpan w:val="3"/>
          </w:tcPr>
          <w:p w:rsidR="001D0FBE" w:rsidRPr="00A05F32" w:rsidRDefault="00B32D72" w:rsidP="00265290">
            <w:pPr>
              <w:jc w:val="right"/>
              <w:rPr>
                <w:color w:val="000000"/>
                <w:sz w:val="26"/>
                <w:szCs w:val="26"/>
              </w:rPr>
            </w:pPr>
            <w:r>
              <w:rPr>
                <w:color w:val="000000"/>
                <w:sz w:val="26"/>
                <w:szCs w:val="26"/>
              </w:rPr>
              <w:t>P-00</w:t>
            </w:r>
            <w:r w:rsidR="00265290">
              <w:rPr>
                <w:color w:val="000000"/>
                <w:sz w:val="26"/>
                <w:szCs w:val="26"/>
              </w:rPr>
              <w:t>961024F1000</w:t>
            </w:r>
          </w:p>
        </w:tc>
      </w:tr>
      <w:tr w:rsidR="00265290" w:rsidRPr="007539F1" w:rsidTr="0030244B">
        <w:trPr>
          <w:trHeight w:val="1403"/>
        </w:trPr>
        <w:tc>
          <w:tcPr>
            <w:tcW w:w="5958" w:type="dxa"/>
            <w:gridSpan w:val="3"/>
          </w:tcPr>
          <w:p w:rsidR="00265290" w:rsidRDefault="00265290" w:rsidP="00B32D72">
            <w:pPr>
              <w:rPr>
                <w:color w:val="000000"/>
                <w:sz w:val="26"/>
                <w:szCs w:val="26"/>
              </w:rPr>
            </w:pPr>
            <w:r>
              <w:rPr>
                <w:color w:val="000000"/>
                <w:sz w:val="26"/>
                <w:szCs w:val="26"/>
              </w:rPr>
              <w:t xml:space="preserve">Commonwealth Telephone Company d/b/a </w:t>
            </w:r>
            <w:r w:rsidRPr="00A05F32">
              <w:rPr>
                <w:color w:val="000000"/>
                <w:sz w:val="26"/>
                <w:szCs w:val="26"/>
              </w:rPr>
              <w:t>Frontier Com</w:t>
            </w:r>
            <w:r>
              <w:rPr>
                <w:color w:val="000000"/>
                <w:sz w:val="26"/>
                <w:szCs w:val="26"/>
              </w:rPr>
              <w:t>munications Commonwealth Telephone Company</w:t>
            </w:r>
          </w:p>
          <w:p w:rsidR="00265290" w:rsidRPr="0083457C" w:rsidRDefault="00265290" w:rsidP="00265290">
            <w:pPr>
              <w:spacing w:after="120"/>
              <w:rPr>
                <w:color w:val="000000"/>
                <w:sz w:val="26"/>
                <w:szCs w:val="26"/>
              </w:rPr>
            </w:pPr>
            <w:r>
              <w:rPr>
                <w:color w:val="000000"/>
                <w:sz w:val="26"/>
                <w:szCs w:val="26"/>
              </w:rPr>
              <w:t>Supplement No. 113 to Tariff Telephone - PA P.U.C. No. 2</w:t>
            </w:r>
            <w:r w:rsidR="000D1DB0">
              <w:rPr>
                <w:color w:val="000000"/>
                <w:sz w:val="26"/>
                <w:szCs w:val="26"/>
              </w:rPr>
              <w:t>4</w:t>
            </w:r>
          </w:p>
        </w:tc>
        <w:tc>
          <w:tcPr>
            <w:tcW w:w="3600" w:type="dxa"/>
            <w:gridSpan w:val="3"/>
          </w:tcPr>
          <w:p w:rsidR="00265290" w:rsidRPr="0083457C" w:rsidRDefault="00265290" w:rsidP="00265290">
            <w:pPr>
              <w:jc w:val="right"/>
              <w:rPr>
                <w:color w:val="000000"/>
                <w:sz w:val="26"/>
                <w:szCs w:val="26"/>
              </w:rPr>
            </w:pPr>
            <w:r>
              <w:rPr>
                <w:color w:val="000000"/>
                <w:sz w:val="26"/>
                <w:szCs w:val="26"/>
              </w:rPr>
              <w:t>R-2013-2343479</w:t>
            </w:r>
          </w:p>
        </w:tc>
      </w:tr>
    </w:tbl>
    <w:p w:rsidR="00DF7EBB" w:rsidRPr="00A05F32" w:rsidRDefault="00DF7EBB" w:rsidP="006C3DD2">
      <w:pPr>
        <w:spacing w:after="240" w:line="360" w:lineRule="auto"/>
        <w:jc w:val="center"/>
        <w:rPr>
          <w:b/>
          <w:color w:val="000000"/>
          <w:sz w:val="26"/>
          <w:szCs w:val="26"/>
        </w:rPr>
      </w:pPr>
      <w:r w:rsidRPr="00A05F32">
        <w:rPr>
          <w:b/>
          <w:color w:val="000000"/>
          <w:sz w:val="26"/>
          <w:szCs w:val="26"/>
        </w:rPr>
        <w:t>ORDER</w:t>
      </w:r>
    </w:p>
    <w:p w:rsidR="00DF7EBB" w:rsidRPr="00A05F32" w:rsidRDefault="00DF7EBB" w:rsidP="006C3DD2">
      <w:pPr>
        <w:spacing w:after="240" w:line="360" w:lineRule="auto"/>
        <w:rPr>
          <w:color w:val="000000"/>
          <w:sz w:val="26"/>
          <w:szCs w:val="26"/>
        </w:rPr>
      </w:pPr>
      <w:r w:rsidRPr="00A05F32">
        <w:rPr>
          <w:b/>
          <w:color w:val="000000"/>
          <w:sz w:val="26"/>
          <w:szCs w:val="26"/>
        </w:rPr>
        <w:t>BY THE COMMISSION:</w:t>
      </w:r>
    </w:p>
    <w:p w:rsidR="001D0FBE" w:rsidRPr="00014F2B" w:rsidRDefault="00F4408D" w:rsidP="006C3DD2">
      <w:pPr>
        <w:spacing w:after="240" w:line="360" w:lineRule="auto"/>
        <w:rPr>
          <w:b/>
          <w:color w:val="000000"/>
          <w:sz w:val="26"/>
          <w:szCs w:val="26"/>
        </w:rPr>
      </w:pPr>
      <w:r>
        <w:rPr>
          <w:b/>
          <w:color w:val="000000"/>
          <w:sz w:val="26"/>
          <w:szCs w:val="26"/>
        </w:rPr>
        <w:tab/>
      </w:r>
      <w:r w:rsidR="003228D7" w:rsidRPr="00014F2B">
        <w:rPr>
          <w:b/>
          <w:color w:val="000000"/>
          <w:sz w:val="26"/>
          <w:szCs w:val="26"/>
        </w:rPr>
        <w:t>I.</w:t>
      </w:r>
      <w:r w:rsidR="001D0FBE" w:rsidRPr="00014F2B">
        <w:rPr>
          <w:b/>
          <w:color w:val="000000"/>
          <w:sz w:val="26"/>
          <w:szCs w:val="26"/>
        </w:rPr>
        <w:tab/>
        <w:t>BACKGROUND</w:t>
      </w:r>
    </w:p>
    <w:p w:rsidR="00F4408D" w:rsidRPr="00F4408D" w:rsidRDefault="001D0FBE" w:rsidP="00F4408D">
      <w:pPr>
        <w:spacing w:after="240" w:line="360" w:lineRule="auto"/>
        <w:rPr>
          <w:color w:val="000000"/>
          <w:sz w:val="26"/>
          <w:szCs w:val="26"/>
        </w:rPr>
      </w:pPr>
      <w:r w:rsidRPr="00A05F32">
        <w:rPr>
          <w:color w:val="000000"/>
          <w:sz w:val="26"/>
          <w:szCs w:val="26"/>
        </w:rPr>
        <w:tab/>
      </w:r>
      <w:r w:rsidR="00EF74DA" w:rsidRPr="00A05F32">
        <w:rPr>
          <w:color w:val="000000"/>
          <w:sz w:val="26"/>
          <w:szCs w:val="26"/>
        </w:rPr>
        <w:tab/>
      </w:r>
      <w:r w:rsidR="00A563F6">
        <w:rPr>
          <w:color w:val="000000"/>
          <w:sz w:val="26"/>
          <w:szCs w:val="26"/>
        </w:rPr>
        <w:t xml:space="preserve">Before us for disposition </w:t>
      </w:r>
      <w:r w:rsidR="00F4408D">
        <w:rPr>
          <w:color w:val="000000"/>
          <w:sz w:val="26"/>
          <w:szCs w:val="26"/>
        </w:rPr>
        <w:t>are</w:t>
      </w:r>
      <w:r w:rsidR="00EA4F46" w:rsidRPr="00A05F32">
        <w:rPr>
          <w:color w:val="000000"/>
          <w:sz w:val="26"/>
          <w:szCs w:val="26"/>
        </w:rPr>
        <w:t xml:space="preserve"> the </w:t>
      </w:r>
      <w:r w:rsidR="004D288D">
        <w:rPr>
          <w:color w:val="000000"/>
          <w:sz w:val="26"/>
          <w:szCs w:val="26"/>
        </w:rPr>
        <w:t>2013</w:t>
      </w:r>
      <w:r w:rsidR="00767395" w:rsidRPr="00A05F32">
        <w:rPr>
          <w:color w:val="000000"/>
          <w:sz w:val="26"/>
          <w:szCs w:val="26"/>
        </w:rPr>
        <w:t xml:space="preserve"> Price</w:t>
      </w:r>
      <w:r w:rsidR="00EA4F46" w:rsidRPr="00A05F32">
        <w:rPr>
          <w:color w:val="000000"/>
          <w:sz w:val="26"/>
          <w:szCs w:val="26"/>
        </w:rPr>
        <w:t xml:space="preserve"> Stability Index (PSI) and Service Price Index (SPI</w:t>
      </w:r>
      <w:r w:rsidR="000F431D">
        <w:rPr>
          <w:color w:val="000000"/>
          <w:sz w:val="26"/>
          <w:szCs w:val="26"/>
        </w:rPr>
        <w:t>) Report</w:t>
      </w:r>
      <w:r w:rsidR="00EA4F46" w:rsidRPr="00A05F32">
        <w:rPr>
          <w:color w:val="000000"/>
          <w:sz w:val="26"/>
          <w:szCs w:val="26"/>
        </w:rPr>
        <w:t xml:space="preserve"> for</w:t>
      </w:r>
      <w:r w:rsidR="00F4408D">
        <w:rPr>
          <w:color w:val="000000"/>
          <w:sz w:val="26"/>
          <w:szCs w:val="26"/>
        </w:rPr>
        <w:t xml:space="preserve"> Commonwealth Telephone Company d/b/a Frontier Communications Commonwealth Telephone Company (Frontier Commonwealth or the Company)</w:t>
      </w:r>
      <w:r w:rsidR="00EA4F46" w:rsidRPr="00A05F32">
        <w:rPr>
          <w:color w:val="000000"/>
          <w:sz w:val="26"/>
          <w:szCs w:val="26"/>
        </w:rPr>
        <w:t xml:space="preserve"> </w:t>
      </w:r>
      <w:r w:rsidR="00F4408D">
        <w:rPr>
          <w:color w:val="000000"/>
          <w:sz w:val="26"/>
          <w:szCs w:val="26"/>
        </w:rPr>
        <w:t xml:space="preserve">and associated revenue increases.  </w:t>
      </w:r>
      <w:r w:rsidR="00EA4F46" w:rsidRPr="00A05F32">
        <w:rPr>
          <w:color w:val="000000"/>
          <w:sz w:val="26"/>
          <w:szCs w:val="26"/>
        </w:rPr>
        <w:t xml:space="preserve"> </w:t>
      </w:r>
      <w:r w:rsidR="00F4408D" w:rsidRPr="00F4408D">
        <w:rPr>
          <w:color w:val="000000"/>
          <w:sz w:val="26"/>
          <w:szCs w:val="26"/>
        </w:rPr>
        <w:t>The Company’s annual PSI/</w:t>
      </w:r>
      <w:smartTag w:uri="urn:schemas-microsoft-com:office:smarttags" w:element="stockticker">
        <w:r w:rsidR="00F4408D" w:rsidRPr="00F4408D">
          <w:rPr>
            <w:color w:val="000000"/>
            <w:sz w:val="26"/>
            <w:szCs w:val="26"/>
          </w:rPr>
          <w:t>SPI</w:t>
        </w:r>
      </w:smartTag>
      <w:r w:rsidR="00F4408D" w:rsidRPr="00F4408D">
        <w:rPr>
          <w:color w:val="000000"/>
          <w:sz w:val="26"/>
          <w:szCs w:val="26"/>
        </w:rPr>
        <w:t xml:space="preserve"> filing was made under the provisions of Act 183 of 2004, P.L. 1398 (66 Pa. C.S. §§ 3011-3019) (Chapter 30) and pursuant to the Company’s Streamlined Regulation and Network </w:t>
      </w:r>
      <w:r w:rsidR="00F4408D" w:rsidRPr="00F4408D">
        <w:rPr>
          <w:color w:val="000000"/>
          <w:sz w:val="26"/>
          <w:szCs w:val="26"/>
        </w:rPr>
        <w:lastRenderedPageBreak/>
        <w:t>Modernization Plan (Chapter 30 Plan) that this Commission approved at Docket No. P</w:t>
      </w:r>
      <w:r w:rsidR="00F4408D" w:rsidRPr="00F4408D">
        <w:rPr>
          <w:color w:val="000000"/>
          <w:sz w:val="26"/>
          <w:szCs w:val="26"/>
        </w:rPr>
        <w:noBreakHyphen/>
        <w:t>00961024F1000.</w:t>
      </w:r>
      <w:r w:rsidR="00F4408D" w:rsidRPr="00F4408D">
        <w:rPr>
          <w:color w:val="000000"/>
          <w:sz w:val="26"/>
          <w:szCs w:val="26"/>
          <w:vertAlign w:val="superscript"/>
        </w:rPr>
        <w:footnoteReference w:id="1"/>
      </w:r>
    </w:p>
    <w:p w:rsidR="00F4408D" w:rsidRPr="00F4408D" w:rsidRDefault="00EF74DA" w:rsidP="00F4408D">
      <w:pPr>
        <w:spacing w:after="240" w:line="360" w:lineRule="auto"/>
        <w:rPr>
          <w:color w:val="000000"/>
          <w:sz w:val="26"/>
          <w:szCs w:val="26"/>
        </w:rPr>
      </w:pPr>
      <w:r w:rsidRPr="00A05F32">
        <w:rPr>
          <w:color w:val="000000"/>
          <w:sz w:val="26"/>
          <w:szCs w:val="26"/>
        </w:rPr>
        <w:tab/>
      </w:r>
      <w:r w:rsidR="00973C4D">
        <w:rPr>
          <w:color w:val="000000"/>
          <w:sz w:val="26"/>
          <w:szCs w:val="26"/>
        </w:rPr>
        <w:tab/>
      </w:r>
      <w:r w:rsidR="00931059" w:rsidRPr="00A05F32">
        <w:rPr>
          <w:color w:val="000000"/>
          <w:sz w:val="26"/>
          <w:szCs w:val="26"/>
        </w:rPr>
        <w:t>The Compan</w:t>
      </w:r>
      <w:r w:rsidR="00931059">
        <w:rPr>
          <w:color w:val="000000"/>
          <w:sz w:val="26"/>
          <w:szCs w:val="26"/>
        </w:rPr>
        <w:t>y</w:t>
      </w:r>
      <w:r w:rsidR="00931059" w:rsidRPr="00A05F32">
        <w:rPr>
          <w:color w:val="000000"/>
          <w:sz w:val="26"/>
          <w:szCs w:val="26"/>
        </w:rPr>
        <w:t xml:space="preserve"> possess</w:t>
      </w:r>
      <w:r w:rsidR="00931059">
        <w:rPr>
          <w:color w:val="000000"/>
          <w:sz w:val="26"/>
          <w:szCs w:val="26"/>
        </w:rPr>
        <w:t>es</w:t>
      </w:r>
      <w:r w:rsidR="00931059" w:rsidRPr="00A05F32">
        <w:rPr>
          <w:color w:val="000000"/>
          <w:sz w:val="26"/>
          <w:szCs w:val="26"/>
        </w:rPr>
        <w:t xml:space="preserve"> t</w:t>
      </w:r>
      <w:r w:rsidR="00931059">
        <w:rPr>
          <w:color w:val="000000"/>
          <w:sz w:val="26"/>
          <w:szCs w:val="26"/>
        </w:rPr>
        <w:t xml:space="preserve">he statutory right under 66 Pa. </w:t>
      </w:r>
      <w:r w:rsidR="00931059" w:rsidRPr="00A05F32">
        <w:rPr>
          <w:color w:val="000000"/>
          <w:sz w:val="26"/>
          <w:szCs w:val="26"/>
        </w:rPr>
        <w:t>C.S. §</w:t>
      </w:r>
      <w:r w:rsidR="00931059">
        <w:rPr>
          <w:color w:val="000000"/>
          <w:sz w:val="26"/>
          <w:szCs w:val="26"/>
        </w:rPr>
        <w:t> </w:t>
      </w:r>
      <w:r w:rsidR="00931059" w:rsidRPr="00A05F32">
        <w:rPr>
          <w:color w:val="000000"/>
          <w:sz w:val="26"/>
          <w:szCs w:val="26"/>
        </w:rPr>
        <w:t xml:space="preserve">3015(a)(1)(iii) and </w:t>
      </w:r>
      <w:r w:rsidR="00931059">
        <w:rPr>
          <w:color w:val="000000"/>
          <w:sz w:val="26"/>
          <w:szCs w:val="26"/>
        </w:rPr>
        <w:t>its</w:t>
      </w:r>
      <w:r w:rsidR="00931059" w:rsidRPr="00A05F32">
        <w:rPr>
          <w:color w:val="000000"/>
          <w:sz w:val="26"/>
          <w:szCs w:val="26"/>
        </w:rPr>
        <w:t xml:space="preserve"> approved Chapter 30 Plan to seek and obtain an automatic revenue and rate increase as contemplated by </w:t>
      </w:r>
      <w:r w:rsidR="00931059">
        <w:rPr>
          <w:color w:val="000000"/>
          <w:sz w:val="26"/>
          <w:szCs w:val="26"/>
        </w:rPr>
        <w:t>Chapter 30</w:t>
      </w:r>
      <w:r w:rsidR="00931059" w:rsidRPr="00A05F32">
        <w:rPr>
          <w:color w:val="000000"/>
          <w:sz w:val="26"/>
          <w:szCs w:val="26"/>
        </w:rPr>
        <w:t>.  Under the Compan</w:t>
      </w:r>
      <w:r w:rsidR="00931059">
        <w:rPr>
          <w:color w:val="000000"/>
          <w:sz w:val="26"/>
          <w:szCs w:val="26"/>
        </w:rPr>
        <w:t>y’s</w:t>
      </w:r>
      <w:r w:rsidR="00931059" w:rsidRPr="00A05F32">
        <w:rPr>
          <w:color w:val="000000"/>
          <w:sz w:val="26"/>
          <w:szCs w:val="26"/>
        </w:rPr>
        <w:t xml:space="preserve"> Price Stability Plan (PSP), the PSI calculates the allowable change in </w:t>
      </w:r>
      <w:r w:rsidR="00931059">
        <w:rPr>
          <w:color w:val="000000"/>
          <w:sz w:val="26"/>
          <w:szCs w:val="26"/>
        </w:rPr>
        <w:t>non</w:t>
      </w:r>
      <w:r w:rsidR="00931059" w:rsidRPr="00A05F32">
        <w:rPr>
          <w:color w:val="000000"/>
          <w:sz w:val="26"/>
          <w:szCs w:val="26"/>
        </w:rPr>
        <w:t>competitive rates based, in pa</w:t>
      </w:r>
      <w:r w:rsidR="00931059">
        <w:rPr>
          <w:color w:val="000000"/>
          <w:sz w:val="26"/>
          <w:szCs w:val="26"/>
        </w:rPr>
        <w:t xml:space="preserve">rt, on the annual change in </w:t>
      </w:r>
      <w:r w:rsidR="00931059" w:rsidRPr="00A05F32">
        <w:rPr>
          <w:color w:val="000000"/>
          <w:sz w:val="26"/>
          <w:szCs w:val="26"/>
        </w:rPr>
        <w:t xml:space="preserve">the Gross Domestic Product Price Index (GDP-PI).  The SPI tracks the prior </w:t>
      </w:r>
      <w:r w:rsidR="00931059">
        <w:rPr>
          <w:color w:val="000000"/>
          <w:sz w:val="26"/>
          <w:szCs w:val="26"/>
        </w:rPr>
        <w:t xml:space="preserve">rate </w:t>
      </w:r>
      <w:r w:rsidR="00931059" w:rsidRPr="00A05F32">
        <w:rPr>
          <w:color w:val="000000"/>
          <w:sz w:val="26"/>
          <w:szCs w:val="26"/>
        </w:rPr>
        <w:t xml:space="preserve">changes for noncompetitive services related to the PSI.  </w:t>
      </w:r>
      <w:r w:rsidR="00931059" w:rsidRPr="00F4408D">
        <w:rPr>
          <w:color w:val="000000"/>
          <w:sz w:val="26"/>
          <w:szCs w:val="26"/>
        </w:rPr>
        <w:t>The PSP also contains special provisions for protected services and addresses revenue neutral rate adjustments to the rates for noncompetitive services.</w:t>
      </w:r>
      <w:r w:rsidR="00931059" w:rsidRPr="00A05F32">
        <w:rPr>
          <w:color w:val="000000"/>
          <w:sz w:val="26"/>
          <w:szCs w:val="26"/>
        </w:rPr>
        <w:t xml:space="preserve">  The PSP set forth in the Compan</w:t>
      </w:r>
      <w:r w:rsidR="00931059">
        <w:rPr>
          <w:color w:val="000000"/>
          <w:sz w:val="26"/>
          <w:szCs w:val="26"/>
        </w:rPr>
        <w:t>y</w:t>
      </w:r>
      <w:r w:rsidR="00931059" w:rsidRPr="00A05F32">
        <w:rPr>
          <w:color w:val="000000"/>
          <w:sz w:val="26"/>
          <w:szCs w:val="26"/>
        </w:rPr>
        <w:t>’</w:t>
      </w:r>
      <w:r w:rsidR="00931059">
        <w:rPr>
          <w:color w:val="000000"/>
          <w:sz w:val="26"/>
          <w:szCs w:val="26"/>
        </w:rPr>
        <w:t>s</w:t>
      </w:r>
      <w:r w:rsidR="00931059" w:rsidRPr="00A05F32">
        <w:rPr>
          <w:color w:val="000000"/>
          <w:sz w:val="26"/>
          <w:szCs w:val="26"/>
        </w:rPr>
        <w:t xml:space="preserve"> Chapter 30 Plan is a complete substitution of the rate base/rate of return regulation.  Further, the</w:t>
      </w:r>
      <w:r w:rsidR="00931059">
        <w:rPr>
          <w:color w:val="000000"/>
          <w:sz w:val="26"/>
          <w:szCs w:val="26"/>
        </w:rPr>
        <w:t xml:space="preserve"> Company’s </w:t>
      </w:r>
      <w:r w:rsidR="00931059" w:rsidRPr="00A05F32">
        <w:rPr>
          <w:color w:val="000000"/>
          <w:sz w:val="26"/>
          <w:szCs w:val="26"/>
        </w:rPr>
        <w:t>Chapter 30 Pla</w:t>
      </w:r>
      <w:r w:rsidR="00931059">
        <w:rPr>
          <w:color w:val="000000"/>
          <w:sz w:val="26"/>
          <w:szCs w:val="26"/>
        </w:rPr>
        <w:t>n acknowledges that nothing in its</w:t>
      </w:r>
      <w:r w:rsidR="00931059" w:rsidRPr="00A05F32">
        <w:rPr>
          <w:color w:val="000000"/>
          <w:sz w:val="26"/>
          <w:szCs w:val="26"/>
        </w:rPr>
        <w:t xml:space="preserve"> Plan shall be construed to limit the requirement under 66 Pa. C.S. §</w:t>
      </w:r>
      <w:r w:rsidR="00931059">
        <w:rPr>
          <w:color w:val="000000"/>
          <w:sz w:val="26"/>
          <w:szCs w:val="26"/>
        </w:rPr>
        <w:t xml:space="preserve"> </w:t>
      </w:r>
      <w:r w:rsidR="00931059" w:rsidRPr="00A05F32">
        <w:rPr>
          <w:color w:val="000000"/>
          <w:sz w:val="26"/>
          <w:szCs w:val="26"/>
        </w:rPr>
        <w:t>1301 that rates shall be just and reasonable.</w:t>
      </w:r>
    </w:p>
    <w:p w:rsidR="006A572B" w:rsidRPr="00014F2B" w:rsidRDefault="00F4408D" w:rsidP="00153E30">
      <w:pPr>
        <w:spacing w:after="240" w:line="360" w:lineRule="auto"/>
        <w:rPr>
          <w:b/>
          <w:color w:val="000000"/>
          <w:sz w:val="26"/>
          <w:szCs w:val="26"/>
        </w:rPr>
      </w:pPr>
      <w:r>
        <w:rPr>
          <w:b/>
          <w:color w:val="000000"/>
          <w:sz w:val="26"/>
          <w:szCs w:val="26"/>
        </w:rPr>
        <w:tab/>
      </w:r>
      <w:r w:rsidR="008B0596" w:rsidRPr="00014F2B">
        <w:rPr>
          <w:b/>
          <w:color w:val="000000"/>
          <w:sz w:val="26"/>
          <w:szCs w:val="26"/>
        </w:rPr>
        <w:t>II.</w:t>
      </w:r>
      <w:r w:rsidR="008B0596" w:rsidRPr="00014F2B">
        <w:rPr>
          <w:b/>
          <w:color w:val="000000"/>
          <w:sz w:val="26"/>
          <w:szCs w:val="26"/>
        </w:rPr>
        <w:tab/>
      </w:r>
      <w:r>
        <w:rPr>
          <w:b/>
          <w:color w:val="000000"/>
          <w:sz w:val="26"/>
          <w:szCs w:val="26"/>
        </w:rPr>
        <w:t>COMPANY’S</w:t>
      </w:r>
      <w:r w:rsidR="003228D7" w:rsidRPr="00014F2B">
        <w:rPr>
          <w:b/>
          <w:color w:val="000000"/>
          <w:sz w:val="26"/>
          <w:szCs w:val="26"/>
        </w:rPr>
        <w:t xml:space="preserve"> FILING</w:t>
      </w:r>
    </w:p>
    <w:p w:rsidR="007F4BBC" w:rsidRDefault="00F4408D" w:rsidP="00153E30">
      <w:pPr>
        <w:overflowPunct w:val="0"/>
        <w:autoSpaceDE w:val="0"/>
        <w:autoSpaceDN w:val="0"/>
        <w:adjustRightInd w:val="0"/>
        <w:spacing w:after="240" w:line="360" w:lineRule="auto"/>
        <w:textAlignment w:val="baseline"/>
        <w:rPr>
          <w:color w:val="auto"/>
          <w:sz w:val="26"/>
          <w:szCs w:val="26"/>
        </w:rPr>
      </w:pPr>
      <w:r>
        <w:rPr>
          <w:color w:val="auto"/>
          <w:sz w:val="26"/>
          <w:szCs w:val="26"/>
        </w:rPr>
        <w:tab/>
      </w:r>
      <w:r>
        <w:rPr>
          <w:color w:val="auto"/>
          <w:sz w:val="26"/>
          <w:szCs w:val="26"/>
        </w:rPr>
        <w:tab/>
      </w:r>
      <w:r w:rsidRPr="00F4408D">
        <w:rPr>
          <w:color w:val="auto"/>
          <w:sz w:val="26"/>
          <w:szCs w:val="26"/>
        </w:rPr>
        <w:t xml:space="preserve">Pursuant to the Company’s Chapter 30 Plan, Advance Notice was issued on </w:t>
      </w:r>
      <w:r>
        <w:rPr>
          <w:color w:val="auto"/>
          <w:sz w:val="26"/>
          <w:szCs w:val="26"/>
        </w:rPr>
        <w:t>January 14, 2013</w:t>
      </w:r>
      <w:r w:rsidRPr="00F4408D">
        <w:rPr>
          <w:color w:val="auto"/>
          <w:sz w:val="26"/>
          <w:szCs w:val="26"/>
        </w:rPr>
        <w:t xml:space="preserve">, informing the Commission of the forthcoming </w:t>
      </w:r>
      <w:r>
        <w:rPr>
          <w:color w:val="auto"/>
          <w:sz w:val="26"/>
          <w:szCs w:val="26"/>
        </w:rPr>
        <w:t>filing</w:t>
      </w:r>
      <w:r w:rsidR="005F6B97">
        <w:rPr>
          <w:color w:val="auto"/>
          <w:sz w:val="26"/>
          <w:szCs w:val="26"/>
        </w:rPr>
        <w:t>.  On February 1, 2013</w:t>
      </w:r>
      <w:r w:rsidRPr="00F4408D">
        <w:rPr>
          <w:color w:val="auto"/>
          <w:sz w:val="26"/>
          <w:szCs w:val="26"/>
        </w:rPr>
        <w:t>, Frontier Commonwealth filed its annual PSI/</w:t>
      </w:r>
      <w:smartTag w:uri="urn:schemas-microsoft-com:office:smarttags" w:element="stockticker">
        <w:r w:rsidRPr="00F4408D">
          <w:rPr>
            <w:color w:val="auto"/>
            <w:sz w:val="26"/>
            <w:szCs w:val="26"/>
          </w:rPr>
          <w:t>SPI</w:t>
        </w:r>
      </w:smartTag>
      <w:r w:rsidRPr="00F4408D">
        <w:rPr>
          <w:color w:val="auto"/>
          <w:sz w:val="26"/>
          <w:szCs w:val="26"/>
        </w:rPr>
        <w:t xml:space="preserve"> Report us</w:t>
      </w:r>
      <w:r w:rsidR="005F6B97">
        <w:rPr>
          <w:color w:val="auto"/>
          <w:sz w:val="26"/>
          <w:szCs w:val="26"/>
        </w:rPr>
        <w:t>ing the change in 2011</w:t>
      </w:r>
      <w:r w:rsidRPr="00F4408D">
        <w:rPr>
          <w:color w:val="auto"/>
          <w:sz w:val="26"/>
          <w:szCs w:val="26"/>
        </w:rPr>
        <w:t xml:space="preserve"> </w:t>
      </w:r>
      <w:r w:rsidR="005F6B97">
        <w:rPr>
          <w:color w:val="auto"/>
          <w:sz w:val="26"/>
          <w:szCs w:val="26"/>
        </w:rPr>
        <w:t>and 2012</w:t>
      </w:r>
      <w:r w:rsidRPr="00F4408D">
        <w:rPr>
          <w:color w:val="auto"/>
          <w:sz w:val="26"/>
          <w:szCs w:val="26"/>
        </w:rPr>
        <w:t xml:space="preserve"> third quarter </w:t>
      </w:r>
      <w:smartTag w:uri="urn:schemas-microsoft-com:office:smarttags" w:element="stockticker">
        <w:r w:rsidRPr="00F4408D">
          <w:rPr>
            <w:color w:val="auto"/>
            <w:sz w:val="26"/>
            <w:szCs w:val="26"/>
          </w:rPr>
          <w:t>GDP</w:t>
        </w:r>
      </w:smartTag>
      <w:r w:rsidR="00973C4D">
        <w:rPr>
          <w:color w:val="auto"/>
          <w:sz w:val="26"/>
          <w:szCs w:val="26"/>
        </w:rPr>
        <w:t>-PI</w:t>
      </w:r>
      <w:r w:rsidR="005F6B97">
        <w:rPr>
          <w:color w:val="auto"/>
          <w:sz w:val="26"/>
          <w:szCs w:val="26"/>
        </w:rPr>
        <w:t>, which equates to a 1</w:t>
      </w:r>
      <w:r w:rsidRPr="00F4408D">
        <w:rPr>
          <w:color w:val="auto"/>
          <w:sz w:val="26"/>
          <w:szCs w:val="26"/>
        </w:rPr>
        <w:t>.</w:t>
      </w:r>
      <w:r w:rsidR="005F6B97">
        <w:rPr>
          <w:color w:val="auto"/>
          <w:sz w:val="26"/>
          <w:szCs w:val="26"/>
        </w:rPr>
        <w:t>6</w:t>
      </w:r>
      <w:r w:rsidRPr="00F4408D">
        <w:rPr>
          <w:color w:val="auto"/>
          <w:sz w:val="26"/>
          <w:szCs w:val="26"/>
        </w:rPr>
        <w:t>4% increase in the PSI.</w:t>
      </w:r>
      <w:r w:rsidR="00FB2D76">
        <w:rPr>
          <w:color w:val="auto"/>
          <w:sz w:val="26"/>
          <w:szCs w:val="26"/>
        </w:rPr>
        <w:t xml:space="preserve"> </w:t>
      </w:r>
      <w:r w:rsidRPr="00F4408D">
        <w:rPr>
          <w:color w:val="auto"/>
          <w:sz w:val="26"/>
          <w:szCs w:val="26"/>
        </w:rPr>
        <w:t xml:space="preserve"> When appli</w:t>
      </w:r>
      <w:r w:rsidR="005F6B97">
        <w:rPr>
          <w:color w:val="auto"/>
          <w:sz w:val="26"/>
          <w:szCs w:val="26"/>
        </w:rPr>
        <w:t>ed to the Previous PSI of 1.1388</w:t>
      </w:r>
      <w:r w:rsidRPr="00F4408D">
        <w:rPr>
          <w:color w:val="auto"/>
          <w:sz w:val="26"/>
          <w:szCs w:val="26"/>
        </w:rPr>
        <w:t>, t</w:t>
      </w:r>
      <w:r w:rsidR="005F6B97">
        <w:rPr>
          <w:color w:val="auto"/>
          <w:sz w:val="26"/>
          <w:szCs w:val="26"/>
        </w:rPr>
        <w:t>his produces a new PSI of 1.1575</w:t>
      </w:r>
      <w:r w:rsidRPr="00F4408D">
        <w:rPr>
          <w:color w:val="auto"/>
          <w:sz w:val="26"/>
          <w:szCs w:val="26"/>
        </w:rPr>
        <w:t xml:space="preserve">. Applying this change to current </w:t>
      </w:r>
      <w:r w:rsidR="0038393E">
        <w:rPr>
          <w:color w:val="auto"/>
          <w:sz w:val="26"/>
          <w:szCs w:val="26"/>
        </w:rPr>
        <w:t>noncompetitive</w:t>
      </w:r>
      <w:r w:rsidRPr="00F4408D">
        <w:rPr>
          <w:color w:val="auto"/>
          <w:sz w:val="26"/>
          <w:szCs w:val="26"/>
        </w:rPr>
        <w:t xml:space="preserve"> revenues of $</w:t>
      </w:r>
      <w:r w:rsidR="005F6B97">
        <w:rPr>
          <w:color w:val="auto"/>
          <w:sz w:val="26"/>
          <w:szCs w:val="26"/>
        </w:rPr>
        <w:t>98,169,710</w:t>
      </w:r>
      <w:r w:rsidRPr="00F4408D">
        <w:rPr>
          <w:color w:val="auto"/>
          <w:sz w:val="26"/>
          <w:szCs w:val="26"/>
        </w:rPr>
        <w:t xml:space="preserve"> produces a maximum allowed </w:t>
      </w:r>
      <w:r w:rsidR="0038393E">
        <w:rPr>
          <w:color w:val="auto"/>
          <w:sz w:val="26"/>
          <w:szCs w:val="26"/>
        </w:rPr>
        <w:t>noncompetitive</w:t>
      </w:r>
      <w:r w:rsidRPr="00F4408D">
        <w:rPr>
          <w:color w:val="auto"/>
          <w:sz w:val="26"/>
          <w:szCs w:val="26"/>
        </w:rPr>
        <w:t xml:space="preserve"> revenue increase of $</w:t>
      </w:r>
      <w:r w:rsidR="005F6B97">
        <w:rPr>
          <w:color w:val="auto"/>
          <w:sz w:val="26"/>
          <w:szCs w:val="26"/>
        </w:rPr>
        <w:t>1,609</w:t>
      </w:r>
      <w:r w:rsidRPr="00F4408D">
        <w:rPr>
          <w:color w:val="auto"/>
          <w:sz w:val="26"/>
          <w:szCs w:val="26"/>
        </w:rPr>
        <w:t>,</w:t>
      </w:r>
      <w:r w:rsidR="005F6B97">
        <w:rPr>
          <w:color w:val="auto"/>
          <w:sz w:val="26"/>
          <w:szCs w:val="26"/>
        </w:rPr>
        <w:t>983.24</w:t>
      </w:r>
      <w:r w:rsidRPr="00F4408D">
        <w:rPr>
          <w:color w:val="auto"/>
          <w:sz w:val="26"/>
          <w:szCs w:val="26"/>
        </w:rPr>
        <w:t>.</w:t>
      </w:r>
      <w:r w:rsidR="005F6B97">
        <w:rPr>
          <w:color w:val="auto"/>
          <w:sz w:val="26"/>
          <w:szCs w:val="26"/>
        </w:rPr>
        <w:t xml:space="preserve"> </w:t>
      </w:r>
      <w:r w:rsidRPr="00F4408D">
        <w:rPr>
          <w:color w:val="auto"/>
          <w:sz w:val="26"/>
          <w:szCs w:val="26"/>
        </w:rPr>
        <w:t xml:space="preserve"> </w:t>
      </w:r>
    </w:p>
    <w:p w:rsidR="00886BB2" w:rsidRDefault="00886BB2" w:rsidP="00153E30">
      <w:pPr>
        <w:overflowPunct w:val="0"/>
        <w:autoSpaceDE w:val="0"/>
        <w:autoSpaceDN w:val="0"/>
        <w:adjustRightInd w:val="0"/>
        <w:spacing w:after="240" w:line="360" w:lineRule="auto"/>
        <w:textAlignment w:val="baseline"/>
        <w:rPr>
          <w:color w:val="auto"/>
          <w:sz w:val="26"/>
          <w:szCs w:val="26"/>
        </w:rPr>
      </w:pPr>
      <w:r>
        <w:rPr>
          <w:color w:val="000000"/>
          <w:sz w:val="26"/>
          <w:szCs w:val="26"/>
        </w:rPr>
        <w:tab/>
      </w:r>
      <w:r>
        <w:rPr>
          <w:color w:val="000000"/>
          <w:sz w:val="26"/>
          <w:szCs w:val="26"/>
        </w:rPr>
        <w:tab/>
      </w:r>
      <w:r w:rsidRPr="00886BB2">
        <w:rPr>
          <w:color w:val="000000" w:themeColor="text1"/>
          <w:sz w:val="26"/>
          <w:szCs w:val="26"/>
        </w:rPr>
        <w:t xml:space="preserve">In its 2013 filing, the Company is implementing a total of $1,180,381.00 in actual rate increases.  The Service Price Index (SPI) indicates the cumulative price changes from current and prior years and tracks the actual total price changes for </w:t>
      </w:r>
      <w:r w:rsidR="0038393E">
        <w:rPr>
          <w:color w:val="000000" w:themeColor="text1"/>
          <w:sz w:val="26"/>
          <w:szCs w:val="26"/>
        </w:rPr>
        <w:lastRenderedPageBreak/>
        <w:t>noncompetitive</w:t>
      </w:r>
      <w:r w:rsidRPr="00886BB2">
        <w:rPr>
          <w:color w:val="000000" w:themeColor="text1"/>
          <w:sz w:val="26"/>
          <w:szCs w:val="26"/>
        </w:rPr>
        <w:t xml:space="preserve"> services.</w:t>
      </w:r>
      <w:r w:rsidRPr="00886BB2">
        <w:rPr>
          <w:rFonts w:ascii="Arial" w:hAnsi="Arial" w:cs="Arial"/>
          <w:color w:val="000000" w:themeColor="text1"/>
        </w:rPr>
        <w:t xml:space="preserve">  </w:t>
      </w:r>
      <w:r w:rsidRPr="00886BB2">
        <w:rPr>
          <w:color w:val="000000" w:themeColor="text1"/>
          <w:sz w:val="26"/>
          <w:szCs w:val="26"/>
        </w:rPr>
        <w:t>Applied to its current SPI of 1.0736, the Company’s rate increases produce a new SPI of 1.0865.</w:t>
      </w:r>
    </w:p>
    <w:p w:rsidR="007F4BBC" w:rsidRPr="005F6B97" w:rsidRDefault="007F4BBC" w:rsidP="00153E30">
      <w:pPr>
        <w:overflowPunct w:val="0"/>
        <w:autoSpaceDE w:val="0"/>
        <w:autoSpaceDN w:val="0"/>
        <w:adjustRightInd w:val="0"/>
        <w:spacing w:after="240" w:line="360" w:lineRule="auto"/>
        <w:textAlignment w:val="baseline"/>
        <w:rPr>
          <w:color w:val="auto"/>
          <w:sz w:val="26"/>
          <w:szCs w:val="26"/>
        </w:rPr>
      </w:pPr>
      <w:r>
        <w:rPr>
          <w:color w:val="auto"/>
          <w:sz w:val="26"/>
          <w:szCs w:val="26"/>
        </w:rPr>
        <w:tab/>
      </w:r>
      <w:r>
        <w:rPr>
          <w:color w:val="auto"/>
          <w:sz w:val="26"/>
          <w:szCs w:val="26"/>
        </w:rPr>
        <w:tab/>
      </w:r>
      <w:r w:rsidRPr="005F6B97">
        <w:rPr>
          <w:color w:val="auto"/>
          <w:sz w:val="26"/>
          <w:szCs w:val="26"/>
        </w:rPr>
        <w:t>Consistent with the Commission approved Protective Order entered March 27, 2008 at P-2008-2022840 and pursuant to 52 Pa. Code § 5.423, the Company has marked specific information in its filing as proprietary.</w:t>
      </w:r>
    </w:p>
    <w:p w:rsidR="005F6B97" w:rsidRPr="00F4408D" w:rsidRDefault="005F6B97" w:rsidP="00153E30">
      <w:pPr>
        <w:overflowPunct w:val="0"/>
        <w:autoSpaceDE w:val="0"/>
        <w:autoSpaceDN w:val="0"/>
        <w:adjustRightInd w:val="0"/>
        <w:spacing w:after="240" w:line="360" w:lineRule="auto"/>
        <w:textAlignment w:val="baseline"/>
        <w:rPr>
          <w:color w:val="auto"/>
          <w:sz w:val="26"/>
          <w:szCs w:val="26"/>
        </w:rPr>
      </w:pPr>
      <w:r>
        <w:rPr>
          <w:color w:val="auto"/>
          <w:sz w:val="26"/>
          <w:szCs w:val="26"/>
        </w:rPr>
        <w:tab/>
      </w:r>
      <w:r>
        <w:rPr>
          <w:color w:val="auto"/>
          <w:sz w:val="26"/>
          <w:szCs w:val="26"/>
        </w:rPr>
        <w:tab/>
        <w:t>On February 1, 2013,</w:t>
      </w:r>
      <w:r w:rsidRPr="005F6B97">
        <w:rPr>
          <w:color w:val="auto"/>
          <w:sz w:val="26"/>
          <w:szCs w:val="26"/>
        </w:rPr>
        <w:t xml:space="preserve"> </w:t>
      </w:r>
      <w:r w:rsidR="00FB2D76">
        <w:rPr>
          <w:color w:val="auto"/>
          <w:sz w:val="26"/>
          <w:szCs w:val="26"/>
        </w:rPr>
        <w:t>the Company served a copy of its PSI/SPI</w:t>
      </w:r>
      <w:r w:rsidRPr="005F6B97">
        <w:rPr>
          <w:color w:val="auto"/>
          <w:sz w:val="26"/>
          <w:szCs w:val="26"/>
        </w:rPr>
        <w:t xml:space="preserve"> </w:t>
      </w:r>
      <w:r w:rsidR="00FB2D76">
        <w:rPr>
          <w:color w:val="auto"/>
          <w:sz w:val="26"/>
          <w:szCs w:val="26"/>
        </w:rPr>
        <w:t>Report</w:t>
      </w:r>
      <w:r w:rsidRPr="005F6B97">
        <w:rPr>
          <w:color w:val="auto"/>
          <w:sz w:val="26"/>
          <w:szCs w:val="26"/>
        </w:rPr>
        <w:t xml:space="preserve"> on the Of</w:t>
      </w:r>
      <w:r w:rsidR="007F4BBC">
        <w:rPr>
          <w:color w:val="auto"/>
          <w:sz w:val="26"/>
          <w:szCs w:val="26"/>
        </w:rPr>
        <w:t>fice of Small Business Advocate, the</w:t>
      </w:r>
      <w:r w:rsidRPr="005F6B97">
        <w:rPr>
          <w:color w:val="auto"/>
          <w:sz w:val="26"/>
          <w:szCs w:val="26"/>
        </w:rPr>
        <w:t xml:space="preserve"> Office of Consumer Advocate</w:t>
      </w:r>
      <w:r w:rsidR="007F4BBC">
        <w:rPr>
          <w:color w:val="auto"/>
          <w:sz w:val="26"/>
          <w:szCs w:val="26"/>
        </w:rPr>
        <w:t>, the</w:t>
      </w:r>
      <w:r w:rsidR="007C7A81">
        <w:rPr>
          <w:color w:val="auto"/>
          <w:sz w:val="26"/>
          <w:szCs w:val="26"/>
        </w:rPr>
        <w:t xml:space="preserve"> Bureau of Investigation</w:t>
      </w:r>
      <w:r w:rsidR="007F4BBC">
        <w:rPr>
          <w:color w:val="auto"/>
          <w:sz w:val="26"/>
          <w:szCs w:val="26"/>
        </w:rPr>
        <w:t xml:space="preserve"> and Enforcement, AT&amp;T Communications of Pennsylvania, Inc</w:t>
      </w:r>
      <w:r w:rsidRPr="005F6B97">
        <w:rPr>
          <w:color w:val="auto"/>
          <w:sz w:val="26"/>
          <w:szCs w:val="26"/>
        </w:rPr>
        <w:t>.</w:t>
      </w:r>
      <w:r w:rsidR="007F4BBC">
        <w:rPr>
          <w:color w:val="auto"/>
          <w:sz w:val="26"/>
          <w:szCs w:val="26"/>
        </w:rPr>
        <w:t xml:space="preserve"> and MCI </w:t>
      </w:r>
      <w:proofErr w:type="spellStart"/>
      <w:r w:rsidR="007F4BBC">
        <w:rPr>
          <w:color w:val="auto"/>
          <w:sz w:val="26"/>
          <w:szCs w:val="26"/>
        </w:rPr>
        <w:t>Worldcom</w:t>
      </w:r>
      <w:proofErr w:type="spellEnd"/>
      <w:r w:rsidR="007F4BBC">
        <w:rPr>
          <w:color w:val="auto"/>
          <w:sz w:val="26"/>
          <w:szCs w:val="26"/>
        </w:rPr>
        <w:t xml:space="preserve"> Inc.</w:t>
      </w:r>
      <w:r w:rsidRPr="005F6B97">
        <w:rPr>
          <w:color w:val="auto"/>
          <w:sz w:val="26"/>
          <w:szCs w:val="26"/>
        </w:rPr>
        <w:t xml:space="preserve">  No complaints were filed and no hearings were held.  </w:t>
      </w:r>
    </w:p>
    <w:p w:rsidR="00F4408D" w:rsidRDefault="00F4408D" w:rsidP="00153E30">
      <w:pPr>
        <w:overflowPunct w:val="0"/>
        <w:autoSpaceDE w:val="0"/>
        <w:autoSpaceDN w:val="0"/>
        <w:adjustRightInd w:val="0"/>
        <w:spacing w:after="240" w:line="360" w:lineRule="auto"/>
        <w:textAlignment w:val="baseline"/>
        <w:rPr>
          <w:color w:val="auto"/>
          <w:sz w:val="26"/>
          <w:szCs w:val="26"/>
        </w:rPr>
      </w:pPr>
      <w:r w:rsidRPr="00F4408D">
        <w:rPr>
          <w:color w:val="auto"/>
          <w:sz w:val="26"/>
          <w:szCs w:val="26"/>
        </w:rPr>
        <w:tab/>
      </w:r>
      <w:r w:rsidRPr="00F4408D">
        <w:rPr>
          <w:color w:val="auto"/>
          <w:sz w:val="26"/>
          <w:szCs w:val="26"/>
        </w:rPr>
        <w:tab/>
        <w:t>Part 3.A.7-9 of Frontier Commonwealth’s Approved Amended Chapter 30 Plan states the following: “On February 1st of each year, . . . the Company shall file with the Commission a PSI and SPI Report . . . Each such annual filing may be accompanied by tariffs to implement any required or authorized SPI. The proposed tariff rates will become effective within 60 days of filing. . . . A Commission Order must be entered within sixty (60) days of the filing, otherwise the tariff(s) shall become effective as filed.”</w:t>
      </w:r>
    </w:p>
    <w:p w:rsidR="008B4138" w:rsidRDefault="00886BB2" w:rsidP="00153E30">
      <w:pPr>
        <w:overflowPunct w:val="0"/>
        <w:autoSpaceDE w:val="0"/>
        <w:autoSpaceDN w:val="0"/>
        <w:adjustRightInd w:val="0"/>
        <w:spacing w:after="240" w:line="360" w:lineRule="auto"/>
        <w:textAlignment w:val="baseline"/>
        <w:rPr>
          <w:color w:val="000000"/>
          <w:sz w:val="26"/>
          <w:szCs w:val="26"/>
        </w:rPr>
      </w:pPr>
      <w:r w:rsidRPr="00886BB2">
        <w:rPr>
          <w:color w:val="auto"/>
          <w:sz w:val="26"/>
          <w:szCs w:val="26"/>
        </w:rPr>
        <w:tab/>
      </w:r>
      <w:r w:rsidRPr="00886BB2">
        <w:rPr>
          <w:color w:val="auto"/>
          <w:sz w:val="26"/>
          <w:szCs w:val="26"/>
        </w:rPr>
        <w:tab/>
        <w:t>As noted in more deta</w:t>
      </w:r>
      <w:r>
        <w:rPr>
          <w:color w:val="auto"/>
          <w:sz w:val="26"/>
          <w:szCs w:val="26"/>
        </w:rPr>
        <w:t>il in Table 1 below, in its 2013</w:t>
      </w:r>
      <w:r w:rsidRPr="00886BB2">
        <w:rPr>
          <w:color w:val="auto"/>
          <w:sz w:val="26"/>
          <w:szCs w:val="26"/>
        </w:rPr>
        <w:t xml:space="preserve"> filing, the Company proposes to</w:t>
      </w:r>
      <w:r w:rsidR="009D3AAC">
        <w:rPr>
          <w:color w:val="auto"/>
          <w:sz w:val="26"/>
          <w:szCs w:val="26"/>
        </w:rPr>
        <w:t xml:space="preserve"> increase local residential dial tone line rate</w:t>
      </w:r>
      <w:r w:rsidRPr="00886BB2">
        <w:rPr>
          <w:color w:val="auto"/>
          <w:sz w:val="26"/>
          <w:szCs w:val="26"/>
        </w:rPr>
        <w:t>s</w:t>
      </w:r>
      <w:r>
        <w:rPr>
          <w:color w:val="auto"/>
          <w:sz w:val="26"/>
          <w:szCs w:val="26"/>
        </w:rPr>
        <w:t xml:space="preserve"> by $1.89 monthly</w:t>
      </w:r>
      <w:r w:rsidRPr="00886BB2">
        <w:rPr>
          <w:color w:val="auto"/>
          <w:sz w:val="26"/>
          <w:szCs w:val="26"/>
        </w:rPr>
        <w:t>.  The Company’s proposed rate increases will be implemented through</w:t>
      </w:r>
      <w:r>
        <w:rPr>
          <w:color w:val="auto"/>
          <w:sz w:val="26"/>
          <w:szCs w:val="26"/>
        </w:rPr>
        <w:t xml:space="preserve"> </w:t>
      </w:r>
      <w:r>
        <w:rPr>
          <w:color w:val="000000"/>
          <w:sz w:val="26"/>
          <w:szCs w:val="26"/>
        </w:rPr>
        <w:t>Supplement No. 113 to Tariff</w:t>
      </w:r>
      <w:r w:rsidR="008B4138">
        <w:rPr>
          <w:color w:val="000000"/>
          <w:sz w:val="26"/>
          <w:szCs w:val="26"/>
        </w:rPr>
        <w:t xml:space="preserve"> Telephone - PA P.U.C. No. 24, which carries an effective date of April 1, 2013.</w:t>
      </w:r>
      <w:r w:rsidR="00FE5800">
        <w:rPr>
          <w:color w:val="000000"/>
          <w:sz w:val="26"/>
          <w:szCs w:val="26"/>
        </w:rPr>
        <w:t xml:space="preserve">  Per the Company’s filing, customers will be given advance notice of the proposed rate increases via billing notice. </w:t>
      </w:r>
      <w:r w:rsidR="008B4138">
        <w:rPr>
          <w:color w:val="000000"/>
          <w:sz w:val="26"/>
          <w:szCs w:val="26"/>
        </w:rPr>
        <w:t xml:space="preserve">  </w:t>
      </w:r>
    </w:p>
    <w:p w:rsidR="003F0018" w:rsidRDefault="003F0018" w:rsidP="00153E30">
      <w:pPr>
        <w:overflowPunct w:val="0"/>
        <w:autoSpaceDE w:val="0"/>
        <w:autoSpaceDN w:val="0"/>
        <w:adjustRightInd w:val="0"/>
        <w:spacing w:after="240" w:line="360" w:lineRule="auto"/>
        <w:textAlignment w:val="baseline"/>
        <w:rPr>
          <w:color w:val="000000"/>
          <w:sz w:val="26"/>
          <w:szCs w:val="26"/>
        </w:rPr>
      </w:pPr>
    </w:p>
    <w:p w:rsidR="003F0018" w:rsidRDefault="003F0018" w:rsidP="00153E30">
      <w:pPr>
        <w:overflowPunct w:val="0"/>
        <w:autoSpaceDE w:val="0"/>
        <w:autoSpaceDN w:val="0"/>
        <w:adjustRightInd w:val="0"/>
        <w:spacing w:after="240" w:line="360" w:lineRule="auto"/>
        <w:textAlignment w:val="baseline"/>
        <w:rPr>
          <w:color w:val="000000"/>
          <w:sz w:val="26"/>
          <w:szCs w:val="26"/>
        </w:rPr>
      </w:pPr>
    </w:p>
    <w:p w:rsidR="003F0018" w:rsidRPr="00886BB2" w:rsidRDefault="003F0018" w:rsidP="00153E30">
      <w:pPr>
        <w:overflowPunct w:val="0"/>
        <w:autoSpaceDE w:val="0"/>
        <w:autoSpaceDN w:val="0"/>
        <w:adjustRightInd w:val="0"/>
        <w:spacing w:after="240" w:line="360" w:lineRule="auto"/>
        <w:textAlignment w:val="baseline"/>
        <w:rPr>
          <w:color w:val="auto"/>
          <w:sz w:val="26"/>
          <w:szCs w:val="26"/>
        </w:rPr>
      </w:pPr>
    </w:p>
    <w:tbl>
      <w:tblPr>
        <w:tblW w:w="7200" w:type="dxa"/>
        <w:jc w:val="center"/>
        <w:tblInd w:w="18" w:type="dxa"/>
        <w:tblLook w:val="04A0" w:firstRow="1" w:lastRow="0" w:firstColumn="1" w:lastColumn="0" w:noHBand="0" w:noVBand="1"/>
      </w:tblPr>
      <w:tblGrid>
        <w:gridCol w:w="1516"/>
        <w:gridCol w:w="645"/>
        <w:gridCol w:w="1440"/>
        <w:gridCol w:w="1259"/>
        <w:gridCol w:w="1170"/>
        <w:gridCol w:w="1170"/>
      </w:tblGrid>
      <w:tr w:rsidR="008B4138" w:rsidRPr="008B4138" w:rsidTr="008B4138">
        <w:trPr>
          <w:trHeight w:val="300"/>
          <w:jc w:val="center"/>
        </w:trPr>
        <w:tc>
          <w:tcPr>
            <w:tcW w:w="7200" w:type="dxa"/>
            <w:gridSpan w:val="6"/>
            <w:tcBorders>
              <w:bottom w:val="single" w:sz="12" w:space="0" w:color="000000"/>
            </w:tcBorders>
            <w:shd w:val="clear" w:color="auto" w:fill="auto"/>
            <w:noWrap/>
            <w:vAlign w:val="center"/>
            <w:hideMark/>
          </w:tcPr>
          <w:p w:rsidR="008B4138" w:rsidRPr="008B4138" w:rsidRDefault="008B4138" w:rsidP="008B4138">
            <w:pPr>
              <w:rPr>
                <w:rFonts w:ascii="Arial" w:hAnsi="Arial" w:cs="Arial"/>
                <w:b/>
                <w:bCs/>
                <w:color w:val="auto"/>
                <w:sz w:val="20"/>
              </w:rPr>
            </w:pPr>
            <w:r w:rsidRPr="008B4138">
              <w:rPr>
                <w:rFonts w:ascii="Arial" w:hAnsi="Arial" w:cs="Arial"/>
                <w:b/>
                <w:bCs/>
                <w:color w:val="auto"/>
                <w:sz w:val="20"/>
              </w:rPr>
              <w:lastRenderedPageBreak/>
              <w:t>TABLE 1</w:t>
            </w:r>
          </w:p>
        </w:tc>
      </w:tr>
      <w:tr w:rsidR="008B4138" w:rsidRPr="008B4138" w:rsidTr="008B4138">
        <w:trPr>
          <w:trHeight w:val="312"/>
          <w:jc w:val="center"/>
        </w:trPr>
        <w:tc>
          <w:tcPr>
            <w:tcW w:w="7200" w:type="dxa"/>
            <w:gridSpan w:val="6"/>
            <w:tcBorders>
              <w:top w:val="single" w:sz="12" w:space="0" w:color="000000"/>
              <w:left w:val="single" w:sz="12" w:space="0" w:color="000000"/>
              <w:bottom w:val="single" w:sz="12" w:space="0" w:color="000000"/>
              <w:right w:val="single" w:sz="12" w:space="0" w:color="000000"/>
            </w:tcBorders>
            <w:shd w:val="clear" w:color="auto" w:fill="auto"/>
            <w:noWrap/>
            <w:vAlign w:val="center"/>
            <w:hideMark/>
          </w:tcPr>
          <w:p w:rsidR="008B4138" w:rsidRPr="008B4138" w:rsidRDefault="008B4138" w:rsidP="008B4138">
            <w:pPr>
              <w:jc w:val="center"/>
              <w:rPr>
                <w:rFonts w:ascii="Arial" w:hAnsi="Arial" w:cs="Arial"/>
                <w:b/>
                <w:bCs/>
                <w:color w:val="auto"/>
                <w:sz w:val="20"/>
              </w:rPr>
            </w:pPr>
            <w:r w:rsidRPr="008B4138">
              <w:rPr>
                <w:rFonts w:ascii="Arial" w:hAnsi="Arial" w:cs="Arial"/>
                <w:b/>
                <w:bCs/>
                <w:color w:val="auto"/>
                <w:sz w:val="20"/>
              </w:rPr>
              <w:t>Summary of Rate Changes for Frontier Commonwealth</w:t>
            </w:r>
          </w:p>
        </w:tc>
      </w:tr>
      <w:tr w:rsidR="008B4138" w:rsidRPr="008B4138" w:rsidTr="008B4138">
        <w:trPr>
          <w:trHeight w:val="300"/>
          <w:jc w:val="center"/>
        </w:trPr>
        <w:tc>
          <w:tcPr>
            <w:tcW w:w="3601" w:type="dxa"/>
            <w:gridSpan w:val="3"/>
            <w:tcBorders>
              <w:top w:val="single" w:sz="12" w:space="0" w:color="000000"/>
              <w:left w:val="single" w:sz="12" w:space="0" w:color="auto"/>
              <w:bottom w:val="nil"/>
              <w:right w:val="single" w:sz="12" w:space="0" w:color="000000"/>
            </w:tcBorders>
            <w:shd w:val="clear" w:color="auto" w:fill="auto"/>
            <w:noWrap/>
            <w:vAlign w:val="center"/>
            <w:hideMark/>
          </w:tcPr>
          <w:p w:rsidR="008B4138" w:rsidRPr="008B4138" w:rsidRDefault="008B4138" w:rsidP="008B4138">
            <w:pPr>
              <w:jc w:val="center"/>
              <w:rPr>
                <w:rFonts w:ascii="Arial" w:hAnsi="Arial" w:cs="Arial"/>
                <w:b/>
                <w:bCs/>
                <w:color w:val="auto"/>
                <w:sz w:val="20"/>
              </w:rPr>
            </w:pPr>
            <w:r w:rsidRPr="008B4138">
              <w:rPr>
                <w:rFonts w:ascii="Arial" w:hAnsi="Arial" w:cs="Arial"/>
                <w:b/>
                <w:bCs/>
                <w:color w:val="auto"/>
                <w:sz w:val="20"/>
              </w:rPr>
              <w:t>Service Description</w:t>
            </w:r>
          </w:p>
        </w:tc>
        <w:tc>
          <w:tcPr>
            <w:tcW w:w="2429" w:type="dxa"/>
            <w:gridSpan w:val="2"/>
            <w:tcBorders>
              <w:top w:val="single" w:sz="12" w:space="0" w:color="000000"/>
              <w:left w:val="nil"/>
              <w:bottom w:val="nil"/>
              <w:right w:val="nil"/>
            </w:tcBorders>
            <w:shd w:val="clear" w:color="auto" w:fill="auto"/>
            <w:noWrap/>
            <w:vAlign w:val="center"/>
            <w:hideMark/>
          </w:tcPr>
          <w:p w:rsidR="008B4138" w:rsidRPr="008B4138" w:rsidRDefault="008B4138" w:rsidP="008B4138">
            <w:pPr>
              <w:jc w:val="center"/>
              <w:rPr>
                <w:rFonts w:ascii="Arial" w:hAnsi="Arial" w:cs="Arial"/>
                <w:b/>
                <w:bCs/>
                <w:color w:val="auto"/>
                <w:sz w:val="20"/>
              </w:rPr>
            </w:pPr>
            <w:r w:rsidRPr="008B4138">
              <w:rPr>
                <w:rFonts w:ascii="Arial" w:hAnsi="Arial" w:cs="Arial"/>
                <w:b/>
                <w:bCs/>
                <w:color w:val="auto"/>
                <w:sz w:val="20"/>
              </w:rPr>
              <w:t>Rates</w:t>
            </w:r>
          </w:p>
        </w:tc>
        <w:tc>
          <w:tcPr>
            <w:tcW w:w="1170" w:type="dxa"/>
            <w:tcBorders>
              <w:top w:val="single" w:sz="12" w:space="0" w:color="000000"/>
              <w:left w:val="single" w:sz="12" w:space="0" w:color="auto"/>
              <w:bottom w:val="nil"/>
              <w:right w:val="single" w:sz="12" w:space="0" w:color="auto"/>
            </w:tcBorders>
            <w:shd w:val="clear" w:color="auto" w:fill="auto"/>
            <w:noWrap/>
            <w:vAlign w:val="center"/>
            <w:hideMark/>
          </w:tcPr>
          <w:p w:rsidR="008B4138" w:rsidRPr="008B4138" w:rsidRDefault="008B4138" w:rsidP="008B4138">
            <w:pPr>
              <w:jc w:val="center"/>
              <w:rPr>
                <w:rFonts w:ascii="Arial" w:hAnsi="Arial" w:cs="Arial"/>
                <w:b/>
                <w:bCs/>
                <w:color w:val="auto"/>
                <w:sz w:val="20"/>
              </w:rPr>
            </w:pPr>
            <w:r w:rsidRPr="008B4138">
              <w:rPr>
                <w:rFonts w:ascii="Arial" w:hAnsi="Arial" w:cs="Arial"/>
                <w:b/>
                <w:bCs/>
                <w:color w:val="auto"/>
                <w:sz w:val="20"/>
              </w:rPr>
              <w:t>Net</w:t>
            </w:r>
          </w:p>
        </w:tc>
      </w:tr>
      <w:tr w:rsidR="008B4138" w:rsidRPr="008B4138" w:rsidTr="008B4138">
        <w:trPr>
          <w:trHeight w:val="300"/>
          <w:jc w:val="center"/>
        </w:trPr>
        <w:tc>
          <w:tcPr>
            <w:tcW w:w="3601" w:type="dxa"/>
            <w:gridSpan w:val="3"/>
            <w:tcBorders>
              <w:top w:val="nil"/>
              <w:left w:val="single" w:sz="12" w:space="0" w:color="auto"/>
              <w:bottom w:val="single" w:sz="12" w:space="0" w:color="auto"/>
              <w:right w:val="single" w:sz="12" w:space="0" w:color="000000"/>
            </w:tcBorders>
            <w:shd w:val="clear" w:color="auto" w:fill="auto"/>
            <w:noWrap/>
            <w:vAlign w:val="center"/>
            <w:hideMark/>
          </w:tcPr>
          <w:p w:rsidR="008B4138" w:rsidRPr="008B4138" w:rsidRDefault="008B4138" w:rsidP="008B4138">
            <w:pPr>
              <w:jc w:val="center"/>
              <w:rPr>
                <w:rFonts w:ascii="Arial" w:hAnsi="Arial" w:cs="Arial"/>
                <w:b/>
                <w:bCs/>
                <w:color w:val="auto"/>
                <w:sz w:val="20"/>
              </w:rPr>
            </w:pPr>
            <w:r w:rsidRPr="008B4138">
              <w:rPr>
                <w:rFonts w:ascii="Arial" w:hAnsi="Arial" w:cs="Arial"/>
                <w:b/>
                <w:bCs/>
                <w:color w:val="auto"/>
                <w:sz w:val="20"/>
              </w:rPr>
              <w:t> </w:t>
            </w:r>
          </w:p>
        </w:tc>
        <w:tc>
          <w:tcPr>
            <w:tcW w:w="1259" w:type="dxa"/>
            <w:tcBorders>
              <w:top w:val="nil"/>
              <w:left w:val="nil"/>
              <w:bottom w:val="single" w:sz="12" w:space="0" w:color="auto"/>
              <w:right w:val="nil"/>
            </w:tcBorders>
            <w:shd w:val="clear" w:color="auto" w:fill="auto"/>
            <w:noWrap/>
            <w:vAlign w:val="center"/>
            <w:hideMark/>
          </w:tcPr>
          <w:p w:rsidR="008B4138" w:rsidRPr="008B4138" w:rsidRDefault="008B4138" w:rsidP="008B4138">
            <w:pPr>
              <w:rPr>
                <w:rFonts w:ascii="Arial" w:hAnsi="Arial" w:cs="Arial"/>
                <w:b/>
                <w:bCs/>
                <w:color w:val="auto"/>
                <w:sz w:val="20"/>
              </w:rPr>
            </w:pPr>
            <w:r w:rsidRPr="008B4138">
              <w:rPr>
                <w:rFonts w:ascii="Arial" w:hAnsi="Arial" w:cs="Arial"/>
                <w:b/>
                <w:bCs/>
                <w:color w:val="auto"/>
                <w:sz w:val="20"/>
              </w:rPr>
              <w:t>Existing</w:t>
            </w:r>
          </w:p>
        </w:tc>
        <w:tc>
          <w:tcPr>
            <w:tcW w:w="1170" w:type="dxa"/>
            <w:tcBorders>
              <w:top w:val="nil"/>
              <w:left w:val="nil"/>
              <w:bottom w:val="single" w:sz="12" w:space="0" w:color="auto"/>
              <w:right w:val="nil"/>
            </w:tcBorders>
            <w:shd w:val="clear" w:color="auto" w:fill="auto"/>
            <w:noWrap/>
            <w:vAlign w:val="center"/>
            <w:hideMark/>
          </w:tcPr>
          <w:p w:rsidR="008B4138" w:rsidRPr="008B4138" w:rsidRDefault="008B4138" w:rsidP="008B4138">
            <w:pPr>
              <w:rPr>
                <w:rFonts w:ascii="Arial" w:hAnsi="Arial" w:cs="Arial"/>
                <w:b/>
                <w:bCs/>
                <w:color w:val="auto"/>
                <w:sz w:val="20"/>
              </w:rPr>
            </w:pPr>
            <w:r w:rsidRPr="008B4138">
              <w:rPr>
                <w:rFonts w:ascii="Arial" w:hAnsi="Arial" w:cs="Arial"/>
                <w:b/>
                <w:bCs/>
                <w:color w:val="auto"/>
                <w:sz w:val="20"/>
              </w:rPr>
              <w:t>Proposed</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rsidR="008B4138" w:rsidRPr="008B4138" w:rsidRDefault="008B4138" w:rsidP="008B4138">
            <w:pPr>
              <w:jc w:val="center"/>
              <w:rPr>
                <w:rFonts w:ascii="Arial" w:hAnsi="Arial" w:cs="Arial"/>
                <w:b/>
                <w:bCs/>
                <w:color w:val="auto"/>
                <w:sz w:val="20"/>
              </w:rPr>
            </w:pPr>
            <w:r w:rsidRPr="008B4138">
              <w:rPr>
                <w:rFonts w:ascii="Arial" w:hAnsi="Arial" w:cs="Arial"/>
                <w:b/>
                <w:bCs/>
                <w:color w:val="auto"/>
                <w:sz w:val="20"/>
              </w:rPr>
              <w:t>Increase</w:t>
            </w:r>
          </w:p>
        </w:tc>
      </w:tr>
      <w:tr w:rsidR="008B4138" w:rsidRPr="008B4138" w:rsidTr="008B4138">
        <w:trPr>
          <w:trHeight w:val="300"/>
          <w:jc w:val="center"/>
        </w:trPr>
        <w:tc>
          <w:tcPr>
            <w:tcW w:w="3601" w:type="dxa"/>
            <w:gridSpan w:val="3"/>
            <w:tcBorders>
              <w:top w:val="single" w:sz="12" w:space="0" w:color="auto"/>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Dallas Measured Service, R-1</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$10.69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$12.58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1516" w:type="dxa"/>
            <w:tcBorders>
              <w:top w:val="nil"/>
              <w:left w:val="single" w:sz="12" w:space="0" w:color="auto"/>
              <w:bottom w:val="nil"/>
              <w:right w:val="nil"/>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645" w:type="dxa"/>
            <w:tcBorders>
              <w:top w:val="nil"/>
              <w:left w:val="nil"/>
              <w:bottom w:val="nil"/>
              <w:right w:val="nil"/>
            </w:tcBorders>
            <w:shd w:val="clear" w:color="auto" w:fill="auto"/>
            <w:noWrap/>
            <w:vAlign w:val="center"/>
            <w:hideMark/>
          </w:tcPr>
          <w:p w:rsidR="008B4138" w:rsidRPr="008B4138" w:rsidRDefault="008B4138" w:rsidP="008B4138">
            <w:pPr>
              <w:rPr>
                <w:rFonts w:ascii="Arial" w:hAnsi="Arial" w:cs="Arial"/>
                <w:color w:val="auto"/>
                <w:sz w:val="18"/>
                <w:szCs w:val="18"/>
              </w:rPr>
            </w:pPr>
          </w:p>
        </w:tc>
        <w:tc>
          <w:tcPr>
            <w:tcW w:w="1440" w:type="dxa"/>
            <w:tcBorders>
              <w:top w:val="nil"/>
              <w:left w:val="nil"/>
              <w:bottom w:val="nil"/>
              <w:right w:val="single" w:sz="12" w:space="0" w:color="auto"/>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Lewisberry Measured Service, R-1</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$10.69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$12.58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1516" w:type="dxa"/>
            <w:tcBorders>
              <w:top w:val="nil"/>
              <w:left w:val="single" w:sz="12" w:space="0" w:color="auto"/>
              <w:bottom w:val="nil"/>
              <w:right w:val="nil"/>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645" w:type="dxa"/>
            <w:tcBorders>
              <w:top w:val="nil"/>
              <w:left w:val="nil"/>
              <w:bottom w:val="nil"/>
              <w:right w:val="nil"/>
            </w:tcBorders>
            <w:shd w:val="clear" w:color="auto" w:fill="auto"/>
            <w:noWrap/>
            <w:vAlign w:val="center"/>
            <w:hideMark/>
          </w:tcPr>
          <w:p w:rsidR="008B4138" w:rsidRPr="008B4138" w:rsidRDefault="008B4138" w:rsidP="008B4138">
            <w:pPr>
              <w:rPr>
                <w:rFonts w:ascii="Arial" w:hAnsi="Arial" w:cs="Arial"/>
                <w:color w:val="auto"/>
                <w:sz w:val="18"/>
                <w:szCs w:val="18"/>
              </w:rPr>
            </w:pPr>
          </w:p>
        </w:tc>
        <w:tc>
          <w:tcPr>
            <w:tcW w:w="1440" w:type="dxa"/>
            <w:tcBorders>
              <w:top w:val="nil"/>
              <w:left w:val="nil"/>
              <w:bottom w:val="nil"/>
              <w:right w:val="single" w:sz="12" w:space="0" w:color="auto"/>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Dallas Metered Service, R-1</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$10.69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$12.58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1516" w:type="dxa"/>
            <w:tcBorders>
              <w:top w:val="nil"/>
              <w:left w:val="single" w:sz="12" w:space="0" w:color="auto"/>
              <w:bottom w:val="nil"/>
              <w:right w:val="nil"/>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645" w:type="dxa"/>
            <w:tcBorders>
              <w:top w:val="nil"/>
              <w:left w:val="nil"/>
              <w:bottom w:val="nil"/>
              <w:right w:val="nil"/>
            </w:tcBorders>
            <w:shd w:val="clear" w:color="auto" w:fill="auto"/>
            <w:noWrap/>
            <w:vAlign w:val="center"/>
            <w:hideMark/>
          </w:tcPr>
          <w:p w:rsidR="008B4138" w:rsidRPr="008B4138" w:rsidRDefault="008B4138" w:rsidP="008B4138">
            <w:pPr>
              <w:rPr>
                <w:rFonts w:ascii="Arial" w:hAnsi="Arial" w:cs="Arial"/>
                <w:color w:val="auto"/>
                <w:sz w:val="18"/>
                <w:szCs w:val="18"/>
              </w:rPr>
            </w:pPr>
          </w:p>
        </w:tc>
        <w:tc>
          <w:tcPr>
            <w:tcW w:w="1440" w:type="dxa"/>
            <w:tcBorders>
              <w:top w:val="nil"/>
              <w:left w:val="nil"/>
              <w:bottom w:val="nil"/>
              <w:right w:val="single" w:sz="12" w:space="0" w:color="auto"/>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Lewisberry Metered Service, R-1</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$10.69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$12.58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1516" w:type="dxa"/>
            <w:tcBorders>
              <w:top w:val="nil"/>
              <w:left w:val="single" w:sz="12" w:space="0" w:color="auto"/>
              <w:bottom w:val="nil"/>
              <w:right w:val="nil"/>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645" w:type="dxa"/>
            <w:tcBorders>
              <w:top w:val="nil"/>
              <w:left w:val="nil"/>
              <w:bottom w:val="nil"/>
              <w:right w:val="nil"/>
            </w:tcBorders>
            <w:shd w:val="clear" w:color="auto" w:fill="auto"/>
            <w:noWrap/>
            <w:vAlign w:val="center"/>
            <w:hideMark/>
          </w:tcPr>
          <w:p w:rsidR="008B4138" w:rsidRPr="008B4138" w:rsidRDefault="008B4138" w:rsidP="008B4138">
            <w:pPr>
              <w:rPr>
                <w:rFonts w:ascii="Arial" w:hAnsi="Arial" w:cs="Arial"/>
                <w:color w:val="auto"/>
                <w:sz w:val="18"/>
                <w:szCs w:val="18"/>
              </w:rPr>
            </w:pPr>
          </w:p>
        </w:tc>
        <w:tc>
          <w:tcPr>
            <w:tcW w:w="1440" w:type="dxa"/>
            <w:tcBorders>
              <w:top w:val="nil"/>
              <w:left w:val="nil"/>
              <w:bottom w:val="nil"/>
              <w:right w:val="single" w:sz="12" w:space="0" w:color="auto"/>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rPr>
                <w:rFonts w:ascii="Arial" w:hAnsi="Arial" w:cs="Arial"/>
                <w:color w:val="auto"/>
                <w:sz w:val="18"/>
                <w:szCs w:val="18"/>
              </w:rPr>
            </w:pPr>
            <w:r w:rsidRPr="008B4138">
              <w:rPr>
                <w:rFonts w:ascii="Arial" w:hAnsi="Arial" w:cs="Arial"/>
                <w:color w:val="auto"/>
                <w:sz w:val="18"/>
                <w:szCs w:val="18"/>
              </w:rPr>
              <w:t>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Pr>
                <w:rFonts w:ascii="Arial" w:hAnsi="Arial" w:cs="Arial"/>
                <w:b/>
                <w:bCs/>
                <w:color w:val="auto"/>
                <w:sz w:val="18"/>
                <w:szCs w:val="18"/>
              </w:rPr>
              <w:t>Unlimited</w:t>
            </w:r>
            <w:r w:rsidRPr="008B4138">
              <w:rPr>
                <w:rFonts w:ascii="Arial" w:hAnsi="Arial" w:cs="Arial"/>
                <w:b/>
                <w:bCs/>
                <w:color w:val="auto"/>
                <w:sz w:val="18"/>
                <w:szCs w:val="18"/>
              </w:rPr>
              <w:t xml:space="preserve"> Local Exchange Service</w:t>
            </w:r>
            <w:r>
              <w:rPr>
                <w:rFonts w:ascii="Arial" w:hAnsi="Arial" w:cs="Arial"/>
                <w:b/>
                <w:bCs/>
                <w:color w:val="auto"/>
                <w:sz w:val="18"/>
                <w:szCs w:val="18"/>
              </w:rPr>
              <w:t>, R-1</w:t>
            </w:r>
            <w:r w:rsidRPr="008B4138">
              <w:rPr>
                <w:rFonts w:ascii="Arial" w:hAnsi="Arial" w:cs="Arial"/>
                <w:b/>
                <w:bCs/>
                <w:color w:val="auto"/>
                <w:sz w:val="18"/>
                <w:szCs w:val="18"/>
              </w:rPr>
              <w:t xml:space="preserve"> </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Rate Group 1 - (First Line)</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$14.43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$16.32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(Each Additional Line)</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$9.78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$11.67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Rate Group 2 - (First Line)</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$14.68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$16.57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(Each Additional Line)</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$10.03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$11.92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Rate Group 3 - (First Line)</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$14.93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$16.82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(Each Additional Line)</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$10.28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$12.17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Rate Group 4 - (First Line)</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$15.18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$17.07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(Each Additional Line)</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$10.53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$12.42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Rate Group 5 - (First Line)</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$15.68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$17.57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(Each Additional Line)</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$11.03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$12.92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288"/>
          <w:jc w:val="center"/>
        </w:trPr>
        <w:tc>
          <w:tcPr>
            <w:tcW w:w="3601" w:type="dxa"/>
            <w:gridSpan w:val="3"/>
            <w:tcBorders>
              <w:top w:val="nil"/>
              <w:left w:val="single" w:sz="12" w:space="0" w:color="auto"/>
              <w:bottom w:val="nil"/>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Rate Group 6 - (First Line)</w:t>
            </w:r>
          </w:p>
        </w:tc>
        <w:tc>
          <w:tcPr>
            <w:tcW w:w="1259" w:type="dxa"/>
            <w:tcBorders>
              <w:top w:val="nil"/>
              <w:left w:val="nil"/>
              <w:bottom w:val="nil"/>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$16.18 </w:t>
            </w:r>
          </w:p>
        </w:tc>
        <w:tc>
          <w:tcPr>
            <w:tcW w:w="1170" w:type="dxa"/>
            <w:tcBorders>
              <w:top w:val="nil"/>
              <w:left w:val="single" w:sz="12" w:space="0" w:color="auto"/>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$18.07 </w:t>
            </w:r>
          </w:p>
        </w:tc>
        <w:tc>
          <w:tcPr>
            <w:tcW w:w="1170" w:type="dxa"/>
            <w:tcBorders>
              <w:top w:val="nil"/>
              <w:left w:val="nil"/>
              <w:bottom w:val="nil"/>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r w:rsidR="008B4138" w:rsidRPr="008B4138" w:rsidTr="008B4138">
        <w:trPr>
          <w:trHeight w:val="300"/>
          <w:jc w:val="center"/>
        </w:trPr>
        <w:tc>
          <w:tcPr>
            <w:tcW w:w="3601" w:type="dxa"/>
            <w:gridSpan w:val="3"/>
            <w:tcBorders>
              <w:top w:val="nil"/>
              <w:left w:val="single" w:sz="12" w:space="0" w:color="auto"/>
              <w:bottom w:val="single" w:sz="12" w:space="0" w:color="auto"/>
              <w:right w:val="single" w:sz="12" w:space="0" w:color="000000"/>
            </w:tcBorders>
            <w:shd w:val="clear" w:color="auto" w:fill="auto"/>
            <w:noWrap/>
            <w:vAlign w:val="center"/>
            <w:hideMark/>
          </w:tcPr>
          <w:p w:rsidR="008B4138" w:rsidRPr="008B4138" w:rsidRDefault="008B4138" w:rsidP="008B4138">
            <w:pPr>
              <w:jc w:val="right"/>
              <w:rPr>
                <w:rFonts w:ascii="Arial" w:hAnsi="Arial" w:cs="Arial"/>
                <w:b/>
                <w:bCs/>
                <w:color w:val="auto"/>
                <w:sz w:val="18"/>
                <w:szCs w:val="18"/>
              </w:rPr>
            </w:pPr>
            <w:r w:rsidRPr="008B4138">
              <w:rPr>
                <w:rFonts w:ascii="Arial" w:hAnsi="Arial" w:cs="Arial"/>
                <w:b/>
                <w:bCs/>
                <w:color w:val="auto"/>
                <w:sz w:val="18"/>
                <w:szCs w:val="18"/>
              </w:rPr>
              <w:t>(Each Additional Line)</w:t>
            </w:r>
          </w:p>
        </w:tc>
        <w:tc>
          <w:tcPr>
            <w:tcW w:w="1259" w:type="dxa"/>
            <w:tcBorders>
              <w:top w:val="nil"/>
              <w:left w:val="nil"/>
              <w:bottom w:val="single" w:sz="12" w:space="0" w:color="auto"/>
              <w:right w:val="nil"/>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$11.53 </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$13.42 </w:t>
            </w:r>
          </w:p>
        </w:tc>
        <w:tc>
          <w:tcPr>
            <w:tcW w:w="1170" w:type="dxa"/>
            <w:tcBorders>
              <w:top w:val="nil"/>
              <w:left w:val="nil"/>
              <w:bottom w:val="single" w:sz="12" w:space="0" w:color="auto"/>
              <w:right w:val="single" w:sz="12" w:space="0" w:color="auto"/>
            </w:tcBorders>
            <w:shd w:val="clear" w:color="auto" w:fill="auto"/>
            <w:noWrap/>
            <w:vAlign w:val="center"/>
            <w:hideMark/>
          </w:tcPr>
          <w:p w:rsidR="008B4138" w:rsidRPr="008B4138" w:rsidRDefault="008B4138" w:rsidP="008B4138">
            <w:pPr>
              <w:jc w:val="right"/>
              <w:rPr>
                <w:rFonts w:ascii="Arial" w:hAnsi="Arial" w:cs="Arial"/>
                <w:color w:val="auto"/>
                <w:sz w:val="20"/>
              </w:rPr>
            </w:pPr>
            <w:r w:rsidRPr="008B4138">
              <w:rPr>
                <w:rFonts w:ascii="Arial" w:hAnsi="Arial" w:cs="Arial"/>
                <w:color w:val="auto"/>
                <w:sz w:val="20"/>
              </w:rPr>
              <w:t xml:space="preserve">$1.89 </w:t>
            </w:r>
          </w:p>
        </w:tc>
      </w:tr>
    </w:tbl>
    <w:p w:rsidR="008B4138" w:rsidRDefault="008B4138" w:rsidP="008B4138">
      <w:pPr>
        <w:overflowPunct w:val="0"/>
        <w:autoSpaceDE w:val="0"/>
        <w:autoSpaceDN w:val="0"/>
        <w:adjustRightInd w:val="0"/>
        <w:spacing w:line="360" w:lineRule="auto"/>
        <w:textAlignment w:val="baseline"/>
        <w:rPr>
          <w:color w:val="auto"/>
          <w:sz w:val="26"/>
          <w:szCs w:val="26"/>
        </w:rPr>
      </w:pPr>
    </w:p>
    <w:p w:rsidR="00886BB2" w:rsidRDefault="00886BB2" w:rsidP="00153E30">
      <w:pPr>
        <w:overflowPunct w:val="0"/>
        <w:autoSpaceDE w:val="0"/>
        <w:autoSpaceDN w:val="0"/>
        <w:adjustRightInd w:val="0"/>
        <w:spacing w:after="240" w:line="360" w:lineRule="auto"/>
        <w:textAlignment w:val="baseline"/>
        <w:rPr>
          <w:color w:val="auto"/>
          <w:sz w:val="26"/>
          <w:szCs w:val="26"/>
        </w:rPr>
      </w:pPr>
      <w:r w:rsidRPr="00886BB2">
        <w:rPr>
          <w:color w:val="auto"/>
          <w:sz w:val="26"/>
          <w:szCs w:val="26"/>
        </w:rPr>
        <w:tab/>
      </w:r>
      <w:r w:rsidRPr="00886BB2">
        <w:rPr>
          <w:color w:val="auto"/>
          <w:sz w:val="26"/>
          <w:szCs w:val="26"/>
        </w:rPr>
        <w:tab/>
        <w:t xml:space="preserve">It is estimated that approximately </w:t>
      </w:r>
      <w:r w:rsidR="009D3AAC">
        <w:rPr>
          <w:color w:val="auto"/>
          <w:sz w:val="26"/>
          <w:szCs w:val="26"/>
        </w:rPr>
        <w:t>52,045</w:t>
      </w:r>
      <w:r w:rsidRPr="00886BB2">
        <w:rPr>
          <w:color w:val="auto"/>
          <w:sz w:val="26"/>
          <w:szCs w:val="26"/>
        </w:rPr>
        <w:t xml:space="preserve"> customers will be affected by these rate increases.  </w:t>
      </w:r>
    </w:p>
    <w:p w:rsidR="009B7317" w:rsidRDefault="009B7317" w:rsidP="00153E30">
      <w:pPr>
        <w:overflowPunct w:val="0"/>
        <w:autoSpaceDE w:val="0"/>
        <w:autoSpaceDN w:val="0"/>
        <w:adjustRightInd w:val="0"/>
        <w:spacing w:after="240" w:line="360" w:lineRule="auto"/>
        <w:ind w:firstLine="1440"/>
        <w:textAlignment w:val="baseline"/>
        <w:rPr>
          <w:color w:val="auto"/>
          <w:sz w:val="26"/>
          <w:szCs w:val="26"/>
        </w:rPr>
      </w:pPr>
      <w:r w:rsidRPr="0085027E">
        <w:rPr>
          <w:color w:val="auto"/>
          <w:sz w:val="26"/>
          <w:szCs w:val="26"/>
        </w:rPr>
        <w:t>The banking methods Frontier Commonwealth uses in its 201</w:t>
      </w:r>
      <w:r>
        <w:rPr>
          <w:color w:val="auto"/>
          <w:sz w:val="26"/>
          <w:szCs w:val="26"/>
        </w:rPr>
        <w:t>3 PSI</w:t>
      </w:r>
      <w:r w:rsidRPr="0085027E">
        <w:rPr>
          <w:color w:val="auto"/>
          <w:sz w:val="26"/>
          <w:szCs w:val="26"/>
        </w:rPr>
        <w:t xml:space="preserve"> filing are consistent wi</w:t>
      </w:r>
      <w:r>
        <w:rPr>
          <w:color w:val="auto"/>
          <w:sz w:val="26"/>
          <w:szCs w:val="26"/>
        </w:rPr>
        <w:t>th its Amended Chapter 30 Plan.  In its 2012</w:t>
      </w:r>
      <w:r w:rsidRPr="0085027E">
        <w:rPr>
          <w:color w:val="auto"/>
          <w:sz w:val="26"/>
          <w:szCs w:val="26"/>
        </w:rPr>
        <w:t xml:space="preserve"> PSI filing, the Company was authorized a rate increase amount of $</w:t>
      </w:r>
      <w:r>
        <w:rPr>
          <w:color w:val="auto"/>
          <w:sz w:val="26"/>
          <w:szCs w:val="26"/>
        </w:rPr>
        <w:t>2,602,874</w:t>
      </w:r>
      <w:r w:rsidRPr="0085027E">
        <w:rPr>
          <w:color w:val="auto"/>
          <w:sz w:val="26"/>
          <w:szCs w:val="26"/>
        </w:rPr>
        <w:t>.  The Company did not implement any of this authorized money into actua</w:t>
      </w:r>
      <w:r>
        <w:rPr>
          <w:color w:val="auto"/>
          <w:sz w:val="26"/>
          <w:szCs w:val="26"/>
        </w:rPr>
        <w:t>l rate increases during the 2012</w:t>
      </w:r>
      <w:r w:rsidRPr="0085027E">
        <w:rPr>
          <w:color w:val="auto"/>
          <w:sz w:val="26"/>
          <w:szCs w:val="26"/>
        </w:rPr>
        <w:t xml:space="preserve"> PSI period and is banking this amount for future use.  </w:t>
      </w:r>
    </w:p>
    <w:p w:rsidR="009B7317" w:rsidRDefault="009B7317" w:rsidP="00153E30">
      <w:pPr>
        <w:overflowPunct w:val="0"/>
        <w:autoSpaceDE w:val="0"/>
        <w:autoSpaceDN w:val="0"/>
        <w:adjustRightInd w:val="0"/>
        <w:spacing w:after="240" w:line="360" w:lineRule="auto"/>
        <w:textAlignment w:val="baseline"/>
        <w:rPr>
          <w:color w:val="000000"/>
          <w:sz w:val="26"/>
          <w:szCs w:val="26"/>
        </w:rPr>
      </w:pPr>
      <w:r w:rsidRPr="009B7317">
        <w:rPr>
          <w:color w:val="000000"/>
          <w:sz w:val="26"/>
          <w:szCs w:val="26"/>
        </w:rPr>
        <w:tab/>
      </w:r>
      <w:r w:rsidRPr="009B7317">
        <w:rPr>
          <w:color w:val="000000"/>
          <w:sz w:val="26"/>
          <w:szCs w:val="26"/>
        </w:rPr>
        <w:tab/>
        <w:t xml:space="preserve">On January 8, 2013, the Company filed an updated banking report to reflect the amounts retired from the Company’s bank as a result of the State Tax Adjustment Surcharge (STAS) recalculation.  A </w:t>
      </w:r>
      <w:r w:rsidRPr="009B7317">
        <w:rPr>
          <w:color w:val="0B0B0B"/>
          <w:sz w:val="26"/>
          <w:szCs w:val="26"/>
          <w:lang w:bidi="he-IL"/>
        </w:rPr>
        <w:t xml:space="preserve">Secretarial Letter was previously issued permitting </w:t>
      </w:r>
      <w:r w:rsidRPr="009B7317">
        <w:rPr>
          <w:color w:val="0B0B0B"/>
          <w:sz w:val="26"/>
          <w:szCs w:val="26"/>
          <w:lang w:bidi="he-IL"/>
        </w:rPr>
        <w:lastRenderedPageBreak/>
        <w:t>Frontier Commonwealth's STAS recalculation to go into effect.</w:t>
      </w:r>
      <w:r w:rsidRPr="009B7317">
        <w:rPr>
          <w:rStyle w:val="FootnoteReference"/>
          <w:color w:val="0B0B0B"/>
          <w:sz w:val="26"/>
          <w:szCs w:val="26"/>
          <w:lang w:bidi="he-IL"/>
        </w:rPr>
        <w:footnoteReference w:id="2"/>
      </w:r>
      <w:r w:rsidRPr="009B7317">
        <w:rPr>
          <w:color w:val="0B0B0B"/>
          <w:sz w:val="26"/>
          <w:szCs w:val="26"/>
          <w:lang w:bidi="he-IL"/>
        </w:rPr>
        <w:t xml:space="preserve">  The STAS recalculation amount of $915,071 retired from the Company’s bank was sufficient to completely extinguish the entire banked amount remaining from the Company’s 2010 PSI period</w:t>
      </w:r>
      <w:r w:rsidR="00153E30">
        <w:rPr>
          <w:color w:val="0B0B0B"/>
          <w:sz w:val="26"/>
          <w:szCs w:val="26"/>
          <w:lang w:bidi="he-IL"/>
        </w:rPr>
        <w:t xml:space="preserve"> ($791,159)</w:t>
      </w:r>
      <w:r w:rsidRPr="009B7317">
        <w:rPr>
          <w:color w:val="0B0B0B"/>
          <w:sz w:val="26"/>
          <w:szCs w:val="26"/>
          <w:lang w:bidi="he-IL"/>
        </w:rPr>
        <w:t>, with the remainder</w:t>
      </w:r>
      <w:r w:rsidR="00153E30">
        <w:rPr>
          <w:color w:val="0B0B0B"/>
          <w:sz w:val="26"/>
          <w:szCs w:val="26"/>
          <w:lang w:bidi="he-IL"/>
        </w:rPr>
        <w:t xml:space="preserve"> ($123,912)</w:t>
      </w:r>
      <w:r w:rsidRPr="009B7317">
        <w:rPr>
          <w:color w:val="0B0B0B"/>
          <w:sz w:val="26"/>
          <w:szCs w:val="26"/>
          <w:lang w:bidi="he-IL"/>
        </w:rPr>
        <w:t xml:space="preserve"> being drawn from the banked amount remaining from the Company’s 2011 PSI period.  </w:t>
      </w:r>
    </w:p>
    <w:p w:rsidR="00AC4B9D" w:rsidRDefault="00AC4B9D" w:rsidP="00153E30">
      <w:pPr>
        <w:overflowPunct w:val="0"/>
        <w:autoSpaceDE w:val="0"/>
        <w:autoSpaceDN w:val="0"/>
        <w:adjustRightInd w:val="0"/>
        <w:spacing w:after="240" w:line="360" w:lineRule="auto"/>
        <w:ind w:firstLine="1440"/>
        <w:textAlignment w:val="baseline"/>
        <w:rPr>
          <w:color w:val="auto"/>
          <w:sz w:val="26"/>
          <w:szCs w:val="26"/>
        </w:rPr>
      </w:pPr>
      <w:r w:rsidRPr="0085027E">
        <w:rPr>
          <w:color w:val="auto"/>
          <w:sz w:val="26"/>
          <w:szCs w:val="26"/>
        </w:rPr>
        <w:t>Figure 1 summarizes</w:t>
      </w:r>
      <w:r>
        <w:rPr>
          <w:color w:val="auto"/>
          <w:sz w:val="26"/>
          <w:szCs w:val="26"/>
        </w:rPr>
        <w:t xml:space="preserve"> the banking report included with</w:t>
      </w:r>
      <w:r w:rsidRPr="0085027E">
        <w:rPr>
          <w:color w:val="auto"/>
          <w:sz w:val="26"/>
          <w:szCs w:val="26"/>
        </w:rPr>
        <w:t xml:space="preserve"> Frontier Commonwealth’s</w:t>
      </w:r>
      <w:r>
        <w:rPr>
          <w:color w:val="auto"/>
          <w:sz w:val="26"/>
          <w:szCs w:val="26"/>
        </w:rPr>
        <w:t xml:space="preserve"> 2013 PSI/SPI Report</w:t>
      </w:r>
      <w:r w:rsidR="009B7317">
        <w:rPr>
          <w:color w:val="auto"/>
          <w:sz w:val="26"/>
          <w:szCs w:val="26"/>
        </w:rPr>
        <w:t>.</w:t>
      </w:r>
    </w:p>
    <w:tbl>
      <w:tblPr>
        <w:tblW w:w="9300" w:type="dxa"/>
        <w:jc w:val="center"/>
        <w:tblInd w:w="-9" w:type="dxa"/>
        <w:tblLook w:val="04A0" w:firstRow="1" w:lastRow="0" w:firstColumn="1" w:lastColumn="0" w:noHBand="0" w:noVBand="1"/>
      </w:tblPr>
      <w:tblGrid>
        <w:gridCol w:w="2417"/>
        <w:gridCol w:w="1611"/>
        <w:gridCol w:w="920"/>
        <w:gridCol w:w="1535"/>
        <w:gridCol w:w="1377"/>
        <w:gridCol w:w="1440"/>
      </w:tblGrid>
      <w:tr w:rsidR="00A40254" w:rsidRPr="00E45845" w:rsidTr="00A40254">
        <w:trPr>
          <w:trHeight w:val="264"/>
          <w:jc w:val="center"/>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40254" w:rsidRPr="00E45845" w:rsidRDefault="00A40254" w:rsidP="00E45845">
            <w:pPr>
              <w:jc w:val="center"/>
              <w:rPr>
                <w:rFonts w:ascii="Arial" w:hAnsi="Arial" w:cs="Arial"/>
                <w:b/>
                <w:bCs/>
                <w:color w:val="auto"/>
                <w:sz w:val="20"/>
              </w:rPr>
            </w:pPr>
            <w:r>
              <w:rPr>
                <w:rFonts w:ascii="Arial" w:hAnsi="Arial" w:cs="Arial"/>
                <w:b/>
                <w:bCs/>
                <w:color w:val="auto"/>
                <w:sz w:val="20"/>
              </w:rPr>
              <w:t xml:space="preserve"> 2013</w:t>
            </w:r>
            <w:r w:rsidRPr="00E45845">
              <w:rPr>
                <w:rFonts w:ascii="Arial" w:hAnsi="Arial" w:cs="Arial"/>
                <w:b/>
                <w:bCs/>
                <w:color w:val="auto"/>
                <w:sz w:val="20"/>
              </w:rPr>
              <w:t xml:space="preserve"> PSI PERIOD</w:t>
            </w:r>
            <w:r>
              <w:rPr>
                <w:rFonts w:ascii="Arial" w:hAnsi="Arial" w:cs="Arial"/>
                <w:b/>
                <w:bCs/>
                <w:color w:val="auto"/>
                <w:sz w:val="20"/>
              </w:rPr>
              <w:t xml:space="preserve"> </w:t>
            </w:r>
            <w:r w:rsidRPr="00E45845">
              <w:rPr>
                <w:rFonts w:ascii="Arial" w:hAnsi="Arial" w:cs="Arial"/>
                <w:b/>
                <w:bCs/>
                <w:color w:val="auto"/>
                <w:sz w:val="20"/>
              </w:rPr>
              <w:t>BANKING REPORT</w:t>
            </w:r>
          </w:p>
        </w:tc>
      </w:tr>
      <w:tr w:rsidR="00A40254" w:rsidRPr="00E45845" w:rsidTr="00A40254">
        <w:trPr>
          <w:trHeight w:val="264"/>
          <w:jc w:val="center"/>
        </w:trPr>
        <w:tc>
          <w:tcPr>
            <w:tcW w:w="2417" w:type="dxa"/>
            <w:tcBorders>
              <w:top w:val="nil"/>
              <w:left w:val="single" w:sz="4" w:space="0" w:color="auto"/>
              <w:bottom w:val="nil"/>
              <w:right w:val="nil"/>
            </w:tcBorders>
            <w:shd w:val="clear" w:color="auto" w:fill="auto"/>
            <w:noWrap/>
            <w:vAlign w:val="bottom"/>
            <w:hideMark/>
          </w:tcPr>
          <w:p w:rsidR="00A40254" w:rsidRPr="00E45845" w:rsidRDefault="00A40254" w:rsidP="00E45845">
            <w:pPr>
              <w:jc w:val="center"/>
              <w:rPr>
                <w:rFonts w:ascii="Arial" w:hAnsi="Arial" w:cs="Arial"/>
                <w:color w:val="auto"/>
                <w:sz w:val="20"/>
                <w:u w:val="single"/>
              </w:rPr>
            </w:pPr>
            <w:r w:rsidRPr="00E45845">
              <w:rPr>
                <w:rFonts w:ascii="Arial" w:hAnsi="Arial" w:cs="Arial"/>
                <w:color w:val="auto"/>
                <w:sz w:val="20"/>
                <w:u w:val="single"/>
              </w:rPr>
              <w:t>PSI Period</w:t>
            </w:r>
          </w:p>
        </w:tc>
        <w:tc>
          <w:tcPr>
            <w:tcW w:w="1611" w:type="dxa"/>
            <w:tcBorders>
              <w:top w:val="nil"/>
              <w:left w:val="nil"/>
              <w:bottom w:val="nil"/>
              <w:right w:val="nil"/>
            </w:tcBorders>
            <w:shd w:val="clear" w:color="auto" w:fill="auto"/>
            <w:noWrap/>
            <w:vAlign w:val="bottom"/>
            <w:hideMark/>
          </w:tcPr>
          <w:p w:rsidR="00A40254" w:rsidRPr="00E45845" w:rsidRDefault="00A40254" w:rsidP="00E45845">
            <w:pPr>
              <w:jc w:val="center"/>
              <w:rPr>
                <w:rFonts w:ascii="Arial" w:hAnsi="Arial" w:cs="Arial"/>
                <w:color w:val="auto"/>
                <w:sz w:val="20"/>
                <w:u w:val="single"/>
              </w:rPr>
            </w:pPr>
            <w:r w:rsidRPr="00E45845">
              <w:rPr>
                <w:rFonts w:ascii="Arial" w:hAnsi="Arial" w:cs="Arial"/>
                <w:color w:val="auto"/>
                <w:sz w:val="20"/>
                <w:u w:val="single"/>
              </w:rPr>
              <w:t>Principle</w:t>
            </w:r>
          </w:p>
        </w:tc>
        <w:tc>
          <w:tcPr>
            <w:tcW w:w="920" w:type="dxa"/>
            <w:tcBorders>
              <w:top w:val="nil"/>
              <w:left w:val="nil"/>
              <w:bottom w:val="nil"/>
              <w:right w:val="nil"/>
            </w:tcBorders>
            <w:shd w:val="clear" w:color="auto" w:fill="auto"/>
            <w:noWrap/>
            <w:vAlign w:val="bottom"/>
            <w:hideMark/>
          </w:tcPr>
          <w:p w:rsidR="00A40254" w:rsidRPr="00E45845" w:rsidRDefault="00A40254" w:rsidP="00E45845">
            <w:pPr>
              <w:jc w:val="center"/>
              <w:rPr>
                <w:rFonts w:ascii="Arial" w:hAnsi="Arial" w:cs="Arial"/>
                <w:color w:val="auto"/>
                <w:sz w:val="20"/>
                <w:u w:val="single"/>
              </w:rPr>
            </w:pPr>
            <w:r w:rsidRPr="00E45845">
              <w:rPr>
                <w:rFonts w:ascii="Arial" w:hAnsi="Arial" w:cs="Arial"/>
                <w:color w:val="auto"/>
                <w:sz w:val="20"/>
                <w:u w:val="single"/>
              </w:rPr>
              <w:t>Interest</w:t>
            </w:r>
          </w:p>
        </w:tc>
        <w:tc>
          <w:tcPr>
            <w:tcW w:w="1535" w:type="dxa"/>
            <w:tcBorders>
              <w:top w:val="nil"/>
              <w:left w:val="nil"/>
              <w:bottom w:val="nil"/>
              <w:right w:val="nil"/>
            </w:tcBorders>
            <w:shd w:val="clear" w:color="auto" w:fill="auto"/>
            <w:noWrap/>
            <w:vAlign w:val="bottom"/>
            <w:hideMark/>
          </w:tcPr>
          <w:p w:rsidR="00A40254" w:rsidRPr="00E45845" w:rsidRDefault="00A40254" w:rsidP="00E45845">
            <w:pPr>
              <w:jc w:val="center"/>
              <w:rPr>
                <w:rFonts w:ascii="Arial" w:hAnsi="Arial" w:cs="Arial"/>
                <w:color w:val="auto"/>
                <w:sz w:val="20"/>
                <w:u w:val="single"/>
              </w:rPr>
            </w:pPr>
            <w:proofErr w:type="spellStart"/>
            <w:r w:rsidRPr="00E45845">
              <w:rPr>
                <w:rFonts w:ascii="Arial" w:hAnsi="Arial" w:cs="Arial"/>
                <w:color w:val="auto"/>
                <w:sz w:val="20"/>
                <w:u w:val="single"/>
              </w:rPr>
              <w:t>Princ+Itrst</w:t>
            </w:r>
            <w:proofErr w:type="spellEnd"/>
          </w:p>
        </w:tc>
        <w:tc>
          <w:tcPr>
            <w:tcW w:w="1377" w:type="dxa"/>
            <w:tcBorders>
              <w:top w:val="nil"/>
              <w:left w:val="nil"/>
              <w:bottom w:val="nil"/>
              <w:right w:val="nil"/>
            </w:tcBorders>
            <w:shd w:val="clear" w:color="auto" w:fill="auto"/>
            <w:noWrap/>
            <w:vAlign w:val="bottom"/>
            <w:hideMark/>
          </w:tcPr>
          <w:p w:rsidR="00A40254" w:rsidRPr="00E45845" w:rsidRDefault="00A40254" w:rsidP="00E45845">
            <w:pPr>
              <w:jc w:val="center"/>
              <w:rPr>
                <w:rFonts w:ascii="Arial" w:hAnsi="Arial" w:cs="Arial"/>
                <w:color w:val="auto"/>
                <w:sz w:val="20"/>
                <w:u w:val="single"/>
              </w:rPr>
            </w:pPr>
            <w:r w:rsidRPr="00E45845">
              <w:rPr>
                <w:rFonts w:ascii="Arial" w:hAnsi="Arial" w:cs="Arial"/>
                <w:color w:val="auto"/>
                <w:sz w:val="20"/>
                <w:u w:val="single"/>
              </w:rPr>
              <w:t xml:space="preserve">Retired </w:t>
            </w:r>
            <w:proofErr w:type="spellStart"/>
            <w:r w:rsidRPr="00E45845">
              <w:rPr>
                <w:rFonts w:ascii="Arial" w:hAnsi="Arial" w:cs="Arial"/>
                <w:color w:val="auto"/>
                <w:sz w:val="20"/>
                <w:u w:val="single"/>
              </w:rPr>
              <w:t>Amt</w:t>
            </w:r>
            <w:proofErr w:type="spellEnd"/>
          </w:p>
        </w:tc>
        <w:tc>
          <w:tcPr>
            <w:tcW w:w="1440" w:type="dxa"/>
            <w:tcBorders>
              <w:top w:val="nil"/>
              <w:left w:val="nil"/>
              <w:bottom w:val="nil"/>
              <w:right w:val="single" w:sz="4" w:space="0" w:color="auto"/>
            </w:tcBorders>
            <w:shd w:val="clear" w:color="auto" w:fill="auto"/>
            <w:noWrap/>
            <w:vAlign w:val="bottom"/>
            <w:hideMark/>
          </w:tcPr>
          <w:p w:rsidR="00A40254" w:rsidRPr="00E45845" w:rsidRDefault="00A40254" w:rsidP="00E45845">
            <w:pPr>
              <w:jc w:val="center"/>
              <w:rPr>
                <w:rFonts w:ascii="Arial" w:hAnsi="Arial" w:cs="Arial"/>
                <w:color w:val="auto"/>
                <w:sz w:val="20"/>
                <w:u w:val="single"/>
              </w:rPr>
            </w:pPr>
            <w:r w:rsidRPr="00E45845">
              <w:rPr>
                <w:rFonts w:ascii="Arial" w:hAnsi="Arial" w:cs="Arial"/>
                <w:color w:val="auto"/>
                <w:sz w:val="20"/>
                <w:u w:val="single"/>
              </w:rPr>
              <w:t>Net Bank</w:t>
            </w:r>
          </w:p>
        </w:tc>
      </w:tr>
      <w:tr w:rsidR="00A40254" w:rsidRPr="00E45845" w:rsidTr="00A40254">
        <w:trPr>
          <w:trHeight w:val="264"/>
          <w:jc w:val="center"/>
        </w:trPr>
        <w:tc>
          <w:tcPr>
            <w:tcW w:w="2417" w:type="dxa"/>
            <w:tcBorders>
              <w:top w:val="nil"/>
              <w:left w:val="single" w:sz="4" w:space="0" w:color="auto"/>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2012 (4/1/12 - 3/31/13)</w:t>
            </w:r>
          </w:p>
        </w:tc>
        <w:tc>
          <w:tcPr>
            <w:tcW w:w="1611"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2,602,874 </w:t>
            </w:r>
          </w:p>
        </w:tc>
        <w:tc>
          <w:tcPr>
            <w:tcW w:w="920"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1535"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$ 2,602,874 </w:t>
            </w:r>
          </w:p>
        </w:tc>
        <w:tc>
          <w:tcPr>
            <w:tcW w:w="1377"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1440" w:type="dxa"/>
            <w:tcBorders>
              <w:top w:val="nil"/>
              <w:left w:val="nil"/>
              <w:bottom w:val="nil"/>
              <w:right w:val="single" w:sz="4" w:space="0" w:color="auto"/>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2,602,874 </w:t>
            </w:r>
          </w:p>
        </w:tc>
      </w:tr>
      <w:tr w:rsidR="00A40254" w:rsidRPr="00E45845" w:rsidTr="00A40254">
        <w:trPr>
          <w:trHeight w:val="264"/>
          <w:jc w:val="center"/>
        </w:trPr>
        <w:tc>
          <w:tcPr>
            <w:tcW w:w="2417" w:type="dxa"/>
            <w:tcBorders>
              <w:top w:val="nil"/>
              <w:left w:val="single" w:sz="4" w:space="0" w:color="auto"/>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2011 (4/1/11 - 3/31/12)</w:t>
            </w:r>
          </w:p>
        </w:tc>
        <w:tc>
          <w:tcPr>
            <w:tcW w:w="1611"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1,345,559 </w:t>
            </w:r>
          </w:p>
        </w:tc>
        <w:tc>
          <w:tcPr>
            <w:tcW w:w="920"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1535"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$ 1,345,559 </w:t>
            </w:r>
          </w:p>
        </w:tc>
        <w:tc>
          <w:tcPr>
            <w:tcW w:w="1377"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1440" w:type="dxa"/>
            <w:tcBorders>
              <w:top w:val="nil"/>
              <w:left w:val="nil"/>
              <w:bottom w:val="nil"/>
              <w:right w:val="single" w:sz="4" w:space="0" w:color="auto"/>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1,345,559 </w:t>
            </w:r>
          </w:p>
        </w:tc>
      </w:tr>
      <w:tr w:rsidR="00A40254" w:rsidRPr="00E45845" w:rsidTr="00A40254">
        <w:trPr>
          <w:trHeight w:val="264"/>
          <w:jc w:val="center"/>
        </w:trPr>
        <w:tc>
          <w:tcPr>
            <w:tcW w:w="2417" w:type="dxa"/>
            <w:tcBorders>
              <w:top w:val="nil"/>
              <w:left w:val="single" w:sz="4" w:space="0" w:color="auto"/>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2010 (4/1/10 - 3/31/11)</w:t>
            </w:r>
          </w:p>
        </w:tc>
        <w:tc>
          <w:tcPr>
            <w:tcW w:w="1611"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920"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1535"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1377"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1440" w:type="dxa"/>
            <w:tcBorders>
              <w:top w:val="nil"/>
              <w:left w:val="nil"/>
              <w:bottom w:val="nil"/>
              <w:right w:val="single" w:sz="4" w:space="0" w:color="auto"/>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r>
      <w:tr w:rsidR="00A40254" w:rsidRPr="00E45845" w:rsidTr="00A40254">
        <w:trPr>
          <w:trHeight w:val="264"/>
          <w:jc w:val="center"/>
        </w:trPr>
        <w:tc>
          <w:tcPr>
            <w:tcW w:w="2417" w:type="dxa"/>
            <w:tcBorders>
              <w:top w:val="nil"/>
              <w:left w:val="single" w:sz="4" w:space="0" w:color="auto"/>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2009 (4/1/09 - 3/31/10)*</w:t>
            </w:r>
          </w:p>
        </w:tc>
        <w:tc>
          <w:tcPr>
            <w:tcW w:w="1611"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920"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1535"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1377"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1440" w:type="dxa"/>
            <w:tcBorders>
              <w:top w:val="nil"/>
              <w:left w:val="nil"/>
              <w:bottom w:val="nil"/>
              <w:right w:val="single" w:sz="4" w:space="0" w:color="auto"/>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r>
      <w:tr w:rsidR="00A40254" w:rsidRPr="00E45845" w:rsidTr="00A40254">
        <w:trPr>
          <w:trHeight w:val="300"/>
          <w:jc w:val="center"/>
        </w:trPr>
        <w:tc>
          <w:tcPr>
            <w:tcW w:w="2417" w:type="dxa"/>
            <w:tcBorders>
              <w:top w:val="nil"/>
              <w:left w:val="single" w:sz="4" w:space="0" w:color="auto"/>
              <w:bottom w:val="nil"/>
              <w:right w:val="nil"/>
            </w:tcBorders>
            <w:shd w:val="clear" w:color="auto" w:fill="auto"/>
            <w:noWrap/>
            <w:vAlign w:val="bottom"/>
            <w:hideMark/>
          </w:tcPr>
          <w:p w:rsidR="00A40254" w:rsidRPr="00E45845" w:rsidRDefault="00A40254" w:rsidP="00E45845">
            <w:pPr>
              <w:rPr>
                <w:rFonts w:ascii="Arial" w:hAnsi="Arial" w:cs="Arial"/>
                <w:color w:val="auto"/>
                <w:sz w:val="20"/>
              </w:rPr>
            </w:pPr>
            <w:r>
              <w:rPr>
                <w:rFonts w:ascii="Arial" w:hAnsi="Arial" w:cs="Arial"/>
                <w:color w:val="auto"/>
                <w:sz w:val="20"/>
              </w:rPr>
              <w:t>2008 (4/1/08</w:t>
            </w:r>
            <w:r w:rsidRPr="00E45845">
              <w:rPr>
                <w:rFonts w:ascii="Arial" w:hAnsi="Arial" w:cs="Arial"/>
                <w:color w:val="auto"/>
                <w:sz w:val="20"/>
              </w:rPr>
              <w:t xml:space="preserve"> - 3/31/09)*</w:t>
            </w:r>
          </w:p>
        </w:tc>
        <w:tc>
          <w:tcPr>
            <w:tcW w:w="1611"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u w:val="single"/>
              </w:rPr>
            </w:pPr>
            <w:r w:rsidRPr="00E45845">
              <w:rPr>
                <w:rFonts w:ascii="Arial" w:hAnsi="Arial" w:cs="Arial"/>
                <w:color w:val="auto"/>
                <w:sz w:val="20"/>
                <w:u w:val="single"/>
              </w:rPr>
              <w:t xml:space="preserve"> $             -   </w:t>
            </w:r>
          </w:p>
        </w:tc>
        <w:tc>
          <w:tcPr>
            <w:tcW w:w="920"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u w:val="single"/>
              </w:rPr>
            </w:pPr>
            <w:r w:rsidRPr="00E45845">
              <w:rPr>
                <w:rFonts w:ascii="Arial" w:hAnsi="Arial" w:cs="Arial"/>
                <w:color w:val="auto"/>
                <w:sz w:val="20"/>
                <w:u w:val="single"/>
              </w:rPr>
              <w:t xml:space="preserve"> $      -   </w:t>
            </w:r>
          </w:p>
        </w:tc>
        <w:tc>
          <w:tcPr>
            <w:tcW w:w="1535"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u w:val="single"/>
              </w:rPr>
            </w:pPr>
            <w:r w:rsidRPr="00E45845">
              <w:rPr>
                <w:rFonts w:ascii="Arial" w:hAnsi="Arial" w:cs="Arial"/>
                <w:color w:val="auto"/>
                <w:sz w:val="20"/>
                <w:u w:val="single"/>
              </w:rPr>
              <w:t xml:space="preserve"> $            -   </w:t>
            </w:r>
          </w:p>
        </w:tc>
        <w:tc>
          <w:tcPr>
            <w:tcW w:w="1377" w:type="dxa"/>
            <w:tcBorders>
              <w:top w:val="nil"/>
              <w:left w:val="nil"/>
              <w:bottom w:val="nil"/>
              <w:right w:val="nil"/>
            </w:tcBorders>
            <w:shd w:val="clear" w:color="auto" w:fill="auto"/>
            <w:noWrap/>
            <w:vAlign w:val="bottom"/>
            <w:hideMark/>
          </w:tcPr>
          <w:p w:rsidR="00A40254" w:rsidRPr="00E45845" w:rsidRDefault="00A40254" w:rsidP="00E45845">
            <w:pPr>
              <w:rPr>
                <w:rFonts w:ascii="Arial" w:hAnsi="Arial" w:cs="Arial"/>
                <w:color w:val="auto"/>
                <w:sz w:val="20"/>
                <w:u w:val="single"/>
              </w:rPr>
            </w:pPr>
            <w:r w:rsidRPr="00E45845">
              <w:rPr>
                <w:rFonts w:ascii="Arial" w:hAnsi="Arial" w:cs="Arial"/>
                <w:color w:val="auto"/>
                <w:sz w:val="20"/>
                <w:u w:val="single"/>
              </w:rPr>
              <w:t xml:space="preserve"> $           -   </w:t>
            </w:r>
          </w:p>
        </w:tc>
        <w:tc>
          <w:tcPr>
            <w:tcW w:w="1440" w:type="dxa"/>
            <w:tcBorders>
              <w:top w:val="nil"/>
              <w:left w:val="nil"/>
              <w:bottom w:val="nil"/>
              <w:right w:val="single" w:sz="4" w:space="0" w:color="auto"/>
            </w:tcBorders>
            <w:shd w:val="clear" w:color="auto" w:fill="auto"/>
            <w:noWrap/>
            <w:vAlign w:val="bottom"/>
            <w:hideMark/>
          </w:tcPr>
          <w:p w:rsidR="00A40254" w:rsidRPr="00E45845" w:rsidRDefault="00A40254" w:rsidP="00E45845">
            <w:pPr>
              <w:rPr>
                <w:rFonts w:ascii="Arial" w:hAnsi="Arial" w:cs="Arial"/>
                <w:color w:val="auto"/>
                <w:sz w:val="20"/>
                <w:u w:val="single"/>
              </w:rPr>
            </w:pPr>
            <w:r w:rsidRPr="00E45845">
              <w:rPr>
                <w:rFonts w:ascii="Arial" w:hAnsi="Arial" w:cs="Arial"/>
                <w:color w:val="auto"/>
                <w:sz w:val="20"/>
                <w:u w:val="single"/>
              </w:rPr>
              <w:t xml:space="preserve"> $             -   </w:t>
            </w:r>
          </w:p>
        </w:tc>
      </w:tr>
      <w:tr w:rsidR="00A40254" w:rsidRPr="00E45845" w:rsidTr="00972840">
        <w:trPr>
          <w:trHeight w:val="264"/>
          <w:jc w:val="center"/>
        </w:trPr>
        <w:tc>
          <w:tcPr>
            <w:tcW w:w="2417" w:type="dxa"/>
            <w:tcBorders>
              <w:top w:val="nil"/>
              <w:left w:val="single" w:sz="4" w:space="0" w:color="auto"/>
              <w:bottom w:val="single" w:sz="4" w:space="0" w:color="auto"/>
              <w:right w:val="nil"/>
            </w:tcBorders>
            <w:shd w:val="clear" w:color="auto" w:fill="auto"/>
            <w:noWrap/>
            <w:vAlign w:val="bottom"/>
            <w:hideMark/>
          </w:tcPr>
          <w:p w:rsidR="00A40254" w:rsidRPr="00E45845" w:rsidRDefault="00A40254" w:rsidP="00E45845">
            <w:pPr>
              <w:rPr>
                <w:rFonts w:ascii="Arial" w:hAnsi="Arial" w:cs="Arial"/>
                <w:b/>
                <w:bCs/>
                <w:color w:val="auto"/>
                <w:sz w:val="20"/>
              </w:rPr>
            </w:pPr>
            <w:r w:rsidRPr="00E45845">
              <w:rPr>
                <w:rFonts w:ascii="Arial" w:hAnsi="Arial" w:cs="Arial"/>
                <w:b/>
                <w:bCs/>
                <w:color w:val="auto"/>
                <w:sz w:val="20"/>
              </w:rPr>
              <w:t>Total all PSI Periods</w:t>
            </w:r>
          </w:p>
        </w:tc>
        <w:tc>
          <w:tcPr>
            <w:tcW w:w="1611" w:type="dxa"/>
            <w:tcBorders>
              <w:top w:val="nil"/>
              <w:left w:val="nil"/>
              <w:bottom w:val="single" w:sz="4" w:space="0" w:color="auto"/>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3,948,433 </w:t>
            </w:r>
          </w:p>
        </w:tc>
        <w:tc>
          <w:tcPr>
            <w:tcW w:w="920" w:type="dxa"/>
            <w:tcBorders>
              <w:top w:val="nil"/>
              <w:left w:val="nil"/>
              <w:bottom w:val="single" w:sz="4" w:space="0" w:color="auto"/>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1535" w:type="dxa"/>
            <w:tcBorders>
              <w:top w:val="nil"/>
              <w:left w:val="nil"/>
              <w:bottom w:val="single" w:sz="4" w:space="0" w:color="auto"/>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$ 3,948,433 </w:t>
            </w:r>
          </w:p>
        </w:tc>
        <w:tc>
          <w:tcPr>
            <w:tcW w:w="1377" w:type="dxa"/>
            <w:tcBorders>
              <w:top w:val="nil"/>
              <w:left w:val="nil"/>
              <w:bottom w:val="single" w:sz="4" w:space="0" w:color="auto"/>
              <w:right w:val="nil"/>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rsidR="00A40254" w:rsidRPr="00E45845" w:rsidRDefault="00A40254" w:rsidP="00E45845">
            <w:pPr>
              <w:rPr>
                <w:rFonts w:ascii="Arial" w:hAnsi="Arial" w:cs="Arial"/>
                <w:color w:val="auto"/>
                <w:sz w:val="20"/>
              </w:rPr>
            </w:pPr>
            <w:r w:rsidRPr="00E45845">
              <w:rPr>
                <w:rFonts w:ascii="Arial" w:hAnsi="Arial" w:cs="Arial"/>
                <w:color w:val="auto"/>
                <w:sz w:val="20"/>
              </w:rPr>
              <w:t xml:space="preserve"> $  3,948,433 </w:t>
            </w:r>
          </w:p>
        </w:tc>
      </w:tr>
      <w:tr w:rsidR="00972840" w:rsidRPr="00E45845" w:rsidTr="00972840">
        <w:trPr>
          <w:trHeight w:val="264"/>
          <w:jc w:val="center"/>
        </w:trPr>
        <w:tc>
          <w:tcPr>
            <w:tcW w:w="9300" w:type="dxa"/>
            <w:gridSpan w:val="6"/>
            <w:tcBorders>
              <w:top w:val="single" w:sz="4" w:space="0" w:color="auto"/>
            </w:tcBorders>
            <w:shd w:val="clear" w:color="auto" w:fill="auto"/>
            <w:noWrap/>
            <w:vAlign w:val="bottom"/>
          </w:tcPr>
          <w:p w:rsidR="00972840" w:rsidRPr="00E45845" w:rsidRDefault="00972840" w:rsidP="00972840">
            <w:pPr>
              <w:overflowPunct w:val="0"/>
              <w:autoSpaceDE w:val="0"/>
              <w:autoSpaceDN w:val="0"/>
              <w:adjustRightInd w:val="0"/>
              <w:spacing w:after="240"/>
              <w:textAlignment w:val="baseline"/>
              <w:rPr>
                <w:rFonts w:ascii="Arial" w:hAnsi="Arial" w:cs="Arial"/>
                <w:color w:val="auto"/>
                <w:sz w:val="20"/>
              </w:rPr>
            </w:pPr>
            <w:r w:rsidRPr="00096E51">
              <w:rPr>
                <w:rFonts w:ascii="Arial" w:hAnsi="Arial" w:cs="Arial"/>
                <w:color w:val="auto"/>
                <w:sz w:val="20"/>
              </w:rPr>
              <w:t>*Pursuant to the Merger Agreement between Citizens Communications Company and Commonwealth Telephone Company, no banking is permitted to occur for this period.</w:t>
            </w:r>
            <w:r w:rsidRPr="00096E51">
              <w:rPr>
                <w:rFonts w:ascii="Arial" w:hAnsi="Arial" w:cs="Arial"/>
                <w:color w:val="auto"/>
                <w:sz w:val="20"/>
                <w:vertAlign w:val="superscript"/>
              </w:rPr>
              <w:footnoteReference w:id="3"/>
            </w:r>
          </w:p>
        </w:tc>
      </w:tr>
    </w:tbl>
    <w:p w:rsidR="0085027E" w:rsidRPr="0085027E" w:rsidRDefault="00E45845" w:rsidP="00972840">
      <w:pPr>
        <w:overflowPunct w:val="0"/>
        <w:autoSpaceDE w:val="0"/>
        <w:autoSpaceDN w:val="0"/>
        <w:adjustRightInd w:val="0"/>
        <w:spacing w:after="240" w:line="360" w:lineRule="auto"/>
        <w:textAlignment w:val="baseline"/>
        <w:rPr>
          <w:color w:val="auto"/>
          <w:sz w:val="26"/>
          <w:szCs w:val="26"/>
        </w:rPr>
      </w:pPr>
      <w:r>
        <w:rPr>
          <w:color w:val="000000"/>
          <w:sz w:val="26"/>
          <w:szCs w:val="26"/>
        </w:rPr>
        <w:tab/>
      </w:r>
      <w:r w:rsidR="00153E30">
        <w:rPr>
          <w:color w:val="000000"/>
          <w:sz w:val="26"/>
          <w:szCs w:val="26"/>
        </w:rPr>
        <w:tab/>
      </w:r>
      <w:r>
        <w:rPr>
          <w:color w:val="000000"/>
          <w:sz w:val="26"/>
          <w:szCs w:val="26"/>
        </w:rPr>
        <w:t xml:space="preserve">The revenue for the </w:t>
      </w:r>
      <w:r w:rsidRPr="00886BB2">
        <w:rPr>
          <w:color w:val="000000" w:themeColor="text1"/>
          <w:sz w:val="26"/>
          <w:szCs w:val="26"/>
        </w:rPr>
        <w:t>$1,180,381.00</w:t>
      </w:r>
      <w:r>
        <w:rPr>
          <w:color w:val="000000" w:themeColor="text1"/>
          <w:sz w:val="26"/>
          <w:szCs w:val="26"/>
        </w:rPr>
        <w:t xml:space="preserve"> in</w:t>
      </w:r>
      <w:r w:rsidR="0085027E">
        <w:rPr>
          <w:color w:val="000000"/>
          <w:sz w:val="26"/>
          <w:szCs w:val="26"/>
        </w:rPr>
        <w:t xml:space="preserve"> rate increases</w:t>
      </w:r>
      <w:r>
        <w:rPr>
          <w:color w:val="000000"/>
          <w:sz w:val="26"/>
          <w:szCs w:val="26"/>
        </w:rPr>
        <w:t xml:space="preserve"> included with the instant filing will be</w:t>
      </w:r>
      <w:r w:rsidR="0085027E">
        <w:rPr>
          <w:color w:val="000000"/>
          <w:sz w:val="26"/>
          <w:szCs w:val="26"/>
        </w:rPr>
        <w:t xml:space="preserve"> drawn from the banked amount remaining from the Company’s 2011 PSI period</w:t>
      </w:r>
      <w:r w:rsidR="009B7317">
        <w:rPr>
          <w:color w:val="000000"/>
          <w:sz w:val="26"/>
          <w:szCs w:val="26"/>
        </w:rPr>
        <w:t xml:space="preserve"> and will be reflected on the banking report included with its 2014 PSI/SPI Report.  </w:t>
      </w:r>
      <w:r w:rsidR="0085027E">
        <w:rPr>
          <w:color w:val="000000"/>
          <w:sz w:val="26"/>
          <w:szCs w:val="26"/>
        </w:rPr>
        <w:t>Additionally, the banking report filed with the Company’s 2014 PSI/SPI Report will reflect the</w:t>
      </w:r>
      <w:r w:rsidR="002B0146">
        <w:rPr>
          <w:color w:val="000000"/>
          <w:sz w:val="26"/>
          <w:szCs w:val="26"/>
        </w:rPr>
        <w:t xml:space="preserve"> addition of the</w:t>
      </w:r>
      <w:r w:rsidR="0085027E">
        <w:rPr>
          <w:color w:val="000000"/>
          <w:sz w:val="26"/>
          <w:szCs w:val="26"/>
        </w:rPr>
        <w:t xml:space="preserve"> 2013 authorized revenue increase </w:t>
      </w:r>
      <w:r w:rsidR="009B7317">
        <w:rPr>
          <w:color w:val="000000"/>
          <w:sz w:val="26"/>
          <w:szCs w:val="26"/>
        </w:rPr>
        <w:t xml:space="preserve">amount </w:t>
      </w:r>
      <w:r w:rsidR="0085027E">
        <w:rPr>
          <w:color w:val="000000"/>
          <w:sz w:val="26"/>
          <w:szCs w:val="26"/>
        </w:rPr>
        <w:t xml:space="preserve">of </w:t>
      </w:r>
      <w:r w:rsidR="0085027E" w:rsidRPr="00F4408D">
        <w:rPr>
          <w:color w:val="auto"/>
          <w:sz w:val="26"/>
          <w:szCs w:val="26"/>
        </w:rPr>
        <w:t>$</w:t>
      </w:r>
      <w:r w:rsidR="0085027E">
        <w:rPr>
          <w:color w:val="auto"/>
          <w:sz w:val="26"/>
          <w:szCs w:val="26"/>
        </w:rPr>
        <w:t>1,609</w:t>
      </w:r>
      <w:r w:rsidR="0085027E" w:rsidRPr="00F4408D">
        <w:rPr>
          <w:color w:val="auto"/>
          <w:sz w:val="26"/>
          <w:szCs w:val="26"/>
        </w:rPr>
        <w:t>,</w:t>
      </w:r>
      <w:r w:rsidR="0085027E">
        <w:rPr>
          <w:color w:val="auto"/>
          <w:sz w:val="26"/>
          <w:szCs w:val="26"/>
        </w:rPr>
        <w:t>983.24</w:t>
      </w:r>
      <w:r w:rsidR="0085027E" w:rsidRPr="00F4408D">
        <w:rPr>
          <w:color w:val="auto"/>
          <w:sz w:val="26"/>
          <w:szCs w:val="26"/>
        </w:rPr>
        <w:t>.</w:t>
      </w:r>
      <w:r w:rsidR="0085027E">
        <w:rPr>
          <w:color w:val="auto"/>
          <w:sz w:val="26"/>
          <w:szCs w:val="26"/>
        </w:rPr>
        <w:t xml:space="preserve"> </w:t>
      </w:r>
      <w:r w:rsidR="009B7317">
        <w:rPr>
          <w:color w:val="auto"/>
          <w:sz w:val="26"/>
          <w:szCs w:val="26"/>
        </w:rPr>
        <w:t xml:space="preserve"> </w:t>
      </w:r>
      <w:r w:rsidR="0085027E" w:rsidRPr="0085027E">
        <w:rPr>
          <w:color w:val="auto"/>
          <w:sz w:val="26"/>
          <w:szCs w:val="26"/>
        </w:rPr>
        <w:t xml:space="preserve">We note that in accordance with Frontier Commonwealth’s Chapter 30 Plan, deferred increases shall carry no interest.  </w:t>
      </w:r>
    </w:p>
    <w:p w:rsidR="003F0018" w:rsidRDefault="00096E51" w:rsidP="006C3DD2">
      <w:pPr>
        <w:tabs>
          <w:tab w:val="left" w:pos="0"/>
        </w:tabs>
        <w:spacing w:after="240" w:line="360" w:lineRule="auto"/>
        <w:ind w:left="360" w:hanging="360"/>
        <w:rPr>
          <w:b/>
          <w:color w:val="000000"/>
          <w:sz w:val="26"/>
          <w:szCs w:val="26"/>
        </w:rPr>
      </w:pPr>
      <w:r>
        <w:rPr>
          <w:b/>
          <w:color w:val="000000"/>
          <w:sz w:val="26"/>
          <w:szCs w:val="26"/>
        </w:rPr>
        <w:tab/>
      </w:r>
    </w:p>
    <w:p w:rsidR="003F0018" w:rsidRDefault="003F0018" w:rsidP="006C3DD2">
      <w:pPr>
        <w:tabs>
          <w:tab w:val="left" w:pos="0"/>
        </w:tabs>
        <w:spacing w:after="240" w:line="360" w:lineRule="auto"/>
        <w:ind w:left="360" w:hanging="360"/>
        <w:rPr>
          <w:b/>
          <w:color w:val="000000"/>
          <w:sz w:val="26"/>
          <w:szCs w:val="26"/>
        </w:rPr>
      </w:pPr>
    </w:p>
    <w:p w:rsidR="00754B06" w:rsidRPr="00014F2B" w:rsidRDefault="001D27C8" w:rsidP="003F0018">
      <w:pPr>
        <w:tabs>
          <w:tab w:val="left" w:pos="0"/>
        </w:tabs>
        <w:spacing w:after="240" w:line="360" w:lineRule="auto"/>
        <w:ind w:left="360" w:hanging="360"/>
        <w:rPr>
          <w:b/>
          <w:color w:val="000000"/>
          <w:sz w:val="26"/>
          <w:szCs w:val="26"/>
        </w:rPr>
      </w:pPr>
      <w:r>
        <w:rPr>
          <w:b/>
          <w:color w:val="000000"/>
          <w:sz w:val="26"/>
          <w:szCs w:val="26"/>
        </w:rPr>
        <w:lastRenderedPageBreak/>
        <w:t>III.</w:t>
      </w:r>
      <w:r>
        <w:rPr>
          <w:b/>
          <w:color w:val="000000"/>
          <w:sz w:val="26"/>
          <w:szCs w:val="26"/>
        </w:rPr>
        <w:tab/>
      </w:r>
      <w:r w:rsidR="0087183F">
        <w:rPr>
          <w:b/>
          <w:color w:val="000000"/>
          <w:sz w:val="26"/>
          <w:szCs w:val="26"/>
        </w:rPr>
        <w:t>CONCLUSION</w:t>
      </w:r>
    </w:p>
    <w:p w:rsidR="00501F5B" w:rsidRPr="0040590D" w:rsidRDefault="0087183F" w:rsidP="003F0018">
      <w:pPr>
        <w:spacing w:after="240" w:line="360" w:lineRule="auto"/>
        <w:rPr>
          <w:color w:val="000000"/>
          <w:sz w:val="26"/>
          <w:szCs w:val="26"/>
        </w:rPr>
      </w:pPr>
      <w:r>
        <w:rPr>
          <w:color w:val="000000"/>
          <w:sz w:val="26"/>
          <w:szCs w:val="26"/>
        </w:rPr>
        <w:tab/>
      </w:r>
      <w:r>
        <w:rPr>
          <w:color w:val="000000"/>
          <w:sz w:val="26"/>
          <w:szCs w:val="26"/>
        </w:rPr>
        <w:tab/>
      </w:r>
      <w:r w:rsidRPr="00A05F32">
        <w:rPr>
          <w:color w:val="000000"/>
          <w:sz w:val="26"/>
          <w:szCs w:val="26"/>
        </w:rPr>
        <w:t xml:space="preserve">Our review </w:t>
      </w:r>
      <w:r w:rsidR="0085027E">
        <w:rPr>
          <w:color w:val="000000"/>
          <w:sz w:val="26"/>
          <w:szCs w:val="26"/>
        </w:rPr>
        <w:t xml:space="preserve">of the Company’s </w:t>
      </w:r>
      <w:r>
        <w:rPr>
          <w:color w:val="000000"/>
          <w:sz w:val="26"/>
          <w:szCs w:val="26"/>
        </w:rPr>
        <w:t>2013 PSI/SPI Report</w:t>
      </w:r>
      <w:r w:rsidRPr="00A05F32">
        <w:rPr>
          <w:color w:val="000000"/>
          <w:sz w:val="26"/>
          <w:szCs w:val="26"/>
        </w:rPr>
        <w:t xml:space="preserve"> indicates </w:t>
      </w:r>
      <w:r>
        <w:rPr>
          <w:color w:val="000000"/>
          <w:sz w:val="26"/>
          <w:szCs w:val="26"/>
        </w:rPr>
        <w:t>the PSI/SPI calculations,</w:t>
      </w:r>
      <w:r w:rsidRPr="00A05F32">
        <w:rPr>
          <w:color w:val="000000"/>
          <w:sz w:val="26"/>
          <w:szCs w:val="26"/>
        </w:rPr>
        <w:t xml:space="preserve"> banked revenue calculations</w:t>
      </w:r>
      <w:r>
        <w:rPr>
          <w:color w:val="000000"/>
          <w:sz w:val="26"/>
          <w:szCs w:val="26"/>
        </w:rPr>
        <w:t xml:space="preserve"> and proposed rate increases are reasonable,</w:t>
      </w:r>
      <w:r w:rsidRPr="00A05F32">
        <w:rPr>
          <w:color w:val="000000"/>
          <w:sz w:val="26"/>
          <w:szCs w:val="26"/>
        </w:rPr>
        <w:t xml:space="preserve"> consistent</w:t>
      </w:r>
      <w:r>
        <w:rPr>
          <w:color w:val="000000"/>
          <w:sz w:val="26"/>
          <w:szCs w:val="26"/>
        </w:rPr>
        <w:t xml:space="preserve"> and in conformance</w:t>
      </w:r>
      <w:r w:rsidR="0085027E">
        <w:rPr>
          <w:color w:val="000000"/>
          <w:sz w:val="26"/>
          <w:szCs w:val="26"/>
        </w:rPr>
        <w:t xml:space="preserve"> with the terms of the Company</w:t>
      </w:r>
      <w:r w:rsidRPr="00A05F32">
        <w:rPr>
          <w:color w:val="000000"/>
          <w:sz w:val="26"/>
          <w:szCs w:val="26"/>
        </w:rPr>
        <w:t>’</w:t>
      </w:r>
      <w:r w:rsidR="0085027E">
        <w:rPr>
          <w:color w:val="000000"/>
          <w:sz w:val="26"/>
          <w:szCs w:val="26"/>
        </w:rPr>
        <w:t>s</w:t>
      </w:r>
      <w:r w:rsidRPr="00A05F32">
        <w:rPr>
          <w:color w:val="000000"/>
          <w:sz w:val="26"/>
          <w:szCs w:val="26"/>
        </w:rPr>
        <w:t xml:space="preserve"> Commission-approved Amended Chapter 30 Plan.  We note that in accordance with </w:t>
      </w:r>
      <w:r w:rsidR="0085027E">
        <w:rPr>
          <w:color w:val="000000"/>
          <w:sz w:val="26"/>
          <w:szCs w:val="26"/>
        </w:rPr>
        <w:t>its</w:t>
      </w:r>
      <w:r w:rsidRPr="00A05F32">
        <w:rPr>
          <w:color w:val="000000"/>
          <w:sz w:val="26"/>
          <w:szCs w:val="26"/>
        </w:rPr>
        <w:t xml:space="preserve"> Chapter 30 Plan, deferred </w:t>
      </w:r>
      <w:r>
        <w:rPr>
          <w:color w:val="000000"/>
          <w:sz w:val="26"/>
          <w:szCs w:val="26"/>
        </w:rPr>
        <w:t xml:space="preserve">rate </w:t>
      </w:r>
      <w:r w:rsidRPr="00A05F32">
        <w:rPr>
          <w:color w:val="000000"/>
          <w:sz w:val="26"/>
          <w:szCs w:val="26"/>
        </w:rPr>
        <w:t xml:space="preserve">increases shall </w:t>
      </w:r>
      <w:r>
        <w:rPr>
          <w:color w:val="000000"/>
          <w:sz w:val="26"/>
          <w:szCs w:val="26"/>
        </w:rPr>
        <w:t>accrue</w:t>
      </w:r>
      <w:r w:rsidRPr="00A05F32">
        <w:rPr>
          <w:color w:val="000000"/>
          <w:sz w:val="26"/>
          <w:szCs w:val="26"/>
        </w:rPr>
        <w:t xml:space="preserve"> no interest;</w:t>
      </w:r>
      <w:r w:rsidR="00E57CB6">
        <w:rPr>
          <w:color w:val="000000"/>
          <w:sz w:val="26"/>
          <w:szCs w:val="26"/>
        </w:rPr>
        <w:t xml:space="preserve"> </w:t>
      </w:r>
      <w:r w:rsidR="00DF7EBB" w:rsidRPr="00A05F32">
        <w:rPr>
          <w:b/>
          <w:color w:val="000000"/>
          <w:sz w:val="26"/>
          <w:szCs w:val="26"/>
        </w:rPr>
        <w:t>THEREFORE,</w:t>
      </w:r>
    </w:p>
    <w:p w:rsidR="00DF7EBB" w:rsidRPr="00A05F32" w:rsidRDefault="00DF7EBB" w:rsidP="003F0018">
      <w:pPr>
        <w:spacing w:after="240" w:line="360" w:lineRule="auto"/>
        <w:ind w:firstLine="1440"/>
        <w:rPr>
          <w:b/>
          <w:color w:val="000000"/>
          <w:sz w:val="26"/>
          <w:szCs w:val="26"/>
        </w:rPr>
      </w:pPr>
      <w:r w:rsidRPr="00A05F32">
        <w:rPr>
          <w:b/>
          <w:color w:val="000000"/>
          <w:sz w:val="26"/>
          <w:szCs w:val="26"/>
        </w:rPr>
        <w:t>IT IS ORDERED:</w:t>
      </w:r>
    </w:p>
    <w:p w:rsidR="00DF7EBB" w:rsidRPr="00A05F32" w:rsidRDefault="00EF74DA" w:rsidP="003F0018">
      <w:pPr>
        <w:spacing w:after="240" w:line="360" w:lineRule="auto"/>
        <w:ind w:firstLine="720"/>
        <w:rPr>
          <w:color w:val="000000"/>
          <w:sz w:val="26"/>
          <w:szCs w:val="26"/>
        </w:rPr>
      </w:pPr>
      <w:r w:rsidRPr="00A05F32">
        <w:rPr>
          <w:color w:val="000000"/>
          <w:sz w:val="26"/>
          <w:szCs w:val="26"/>
        </w:rPr>
        <w:tab/>
      </w:r>
      <w:r w:rsidR="00327D24" w:rsidRPr="00A05F32">
        <w:rPr>
          <w:color w:val="000000"/>
          <w:sz w:val="26"/>
          <w:szCs w:val="26"/>
        </w:rPr>
        <w:t>1.</w:t>
      </w:r>
      <w:r w:rsidR="00C13C62" w:rsidRPr="00A05F32">
        <w:rPr>
          <w:color w:val="000000"/>
          <w:sz w:val="26"/>
          <w:szCs w:val="26"/>
        </w:rPr>
        <w:tab/>
      </w:r>
      <w:r w:rsidR="00C5408D" w:rsidRPr="00A05F32">
        <w:rPr>
          <w:color w:val="000000"/>
          <w:sz w:val="26"/>
          <w:szCs w:val="26"/>
        </w:rPr>
        <w:t>That the Compan</w:t>
      </w:r>
      <w:r w:rsidR="0085027E">
        <w:rPr>
          <w:color w:val="000000"/>
          <w:sz w:val="26"/>
          <w:szCs w:val="26"/>
        </w:rPr>
        <w:t xml:space="preserve">y’s </w:t>
      </w:r>
      <w:r w:rsidR="0087183F">
        <w:rPr>
          <w:color w:val="000000"/>
          <w:sz w:val="26"/>
          <w:szCs w:val="26"/>
        </w:rPr>
        <w:t>2013</w:t>
      </w:r>
      <w:r w:rsidR="00C5408D" w:rsidRPr="00A05F32">
        <w:rPr>
          <w:color w:val="000000"/>
          <w:sz w:val="26"/>
          <w:szCs w:val="26"/>
        </w:rPr>
        <w:t xml:space="preserve"> P</w:t>
      </w:r>
      <w:r w:rsidR="003A5456" w:rsidRPr="00A05F32">
        <w:rPr>
          <w:color w:val="000000"/>
          <w:sz w:val="26"/>
          <w:szCs w:val="26"/>
        </w:rPr>
        <w:t>S</w:t>
      </w:r>
      <w:r w:rsidR="00C5408D" w:rsidRPr="00A05F32">
        <w:rPr>
          <w:color w:val="000000"/>
          <w:sz w:val="26"/>
          <w:szCs w:val="26"/>
        </w:rPr>
        <w:t>I/SPI</w:t>
      </w:r>
      <w:r w:rsidR="00442C90">
        <w:rPr>
          <w:color w:val="000000"/>
          <w:sz w:val="26"/>
          <w:szCs w:val="26"/>
        </w:rPr>
        <w:t xml:space="preserve"> Report</w:t>
      </w:r>
      <w:r w:rsidR="00C5408D" w:rsidRPr="00A05F32">
        <w:rPr>
          <w:color w:val="000000"/>
          <w:sz w:val="26"/>
          <w:szCs w:val="26"/>
        </w:rPr>
        <w:t xml:space="preserve"> </w:t>
      </w:r>
      <w:r w:rsidRPr="00A05F32">
        <w:rPr>
          <w:color w:val="000000"/>
          <w:sz w:val="26"/>
          <w:szCs w:val="26"/>
        </w:rPr>
        <w:t>is</w:t>
      </w:r>
      <w:r w:rsidR="00A05F32" w:rsidRPr="00A05F32">
        <w:rPr>
          <w:color w:val="000000"/>
          <w:sz w:val="26"/>
          <w:szCs w:val="26"/>
        </w:rPr>
        <w:t xml:space="preserve"> consistent with their </w:t>
      </w:r>
      <w:r w:rsidR="009936BA">
        <w:rPr>
          <w:color w:val="000000"/>
          <w:sz w:val="26"/>
          <w:szCs w:val="26"/>
        </w:rPr>
        <w:t>Commission-approved</w:t>
      </w:r>
      <w:r w:rsidR="00501F5B">
        <w:rPr>
          <w:color w:val="000000"/>
          <w:sz w:val="26"/>
          <w:szCs w:val="26"/>
        </w:rPr>
        <w:t xml:space="preserve"> </w:t>
      </w:r>
      <w:r w:rsidR="00C5408D" w:rsidRPr="00A05F32">
        <w:rPr>
          <w:color w:val="000000"/>
          <w:sz w:val="26"/>
          <w:szCs w:val="26"/>
        </w:rPr>
        <w:t>A</w:t>
      </w:r>
      <w:r w:rsidR="00C13C62" w:rsidRPr="00A05F32">
        <w:rPr>
          <w:color w:val="000000"/>
          <w:sz w:val="26"/>
          <w:szCs w:val="26"/>
        </w:rPr>
        <w:t>mended</w:t>
      </w:r>
      <w:r w:rsidR="0085027E">
        <w:rPr>
          <w:color w:val="000000"/>
          <w:sz w:val="26"/>
          <w:szCs w:val="26"/>
        </w:rPr>
        <w:t xml:space="preserve"> </w:t>
      </w:r>
      <w:r w:rsidR="00C13C62" w:rsidRPr="00A05F32">
        <w:rPr>
          <w:color w:val="000000"/>
          <w:sz w:val="26"/>
          <w:szCs w:val="26"/>
        </w:rPr>
        <w:t>Streamlined Regulation</w:t>
      </w:r>
      <w:r w:rsidR="00FF3EF7" w:rsidRPr="00A05F32">
        <w:rPr>
          <w:color w:val="000000"/>
          <w:sz w:val="26"/>
          <w:szCs w:val="26"/>
        </w:rPr>
        <w:t xml:space="preserve"> and Network Modernization Plan and is therefore approved as filed.</w:t>
      </w:r>
    </w:p>
    <w:p w:rsidR="0087183F" w:rsidRDefault="00EF74DA" w:rsidP="003F0018">
      <w:pPr>
        <w:spacing w:after="240" w:line="360" w:lineRule="auto"/>
        <w:ind w:firstLine="720"/>
        <w:rPr>
          <w:color w:val="auto"/>
          <w:sz w:val="26"/>
          <w:szCs w:val="26"/>
        </w:rPr>
      </w:pPr>
      <w:r w:rsidRPr="00A05F32">
        <w:rPr>
          <w:color w:val="000000"/>
          <w:sz w:val="26"/>
          <w:szCs w:val="26"/>
        </w:rPr>
        <w:tab/>
      </w:r>
      <w:r w:rsidR="00C13C62" w:rsidRPr="00A05F32">
        <w:rPr>
          <w:color w:val="000000"/>
          <w:sz w:val="26"/>
          <w:szCs w:val="26"/>
        </w:rPr>
        <w:t>2</w:t>
      </w:r>
      <w:r w:rsidR="00554FF8" w:rsidRPr="00A05F32">
        <w:rPr>
          <w:color w:val="000000"/>
          <w:sz w:val="26"/>
          <w:szCs w:val="26"/>
        </w:rPr>
        <w:t>.</w:t>
      </w:r>
      <w:r w:rsidR="00C13C62" w:rsidRPr="00A05F32">
        <w:rPr>
          <w:color w:val="000000"/>
          <w:sz w:val="26"/>
          <w:szCs w:val="26"/>
        </w:rPr>
        <w:tab/>
      </w:r>
      <w:r w:rsidR="0087183F">
        <w:rPr>
          <w:color w:val="auto"/>
          <w:sz w:val="26"/>
          <w:szCs w:val="26"/>
        </w:rPr>
        <w:t>That the rate increases proposed by the Compan</w:t>
      </w:r>
      <w:r w:rsidR="00694DE5">
        <w:rPr>
          <w:color w:val="auto"/>
          <w:sz w:val="26"/>
          <w:szCs w:val="26"/>
        </w:rPr>
        <w:t xml:space="preserve">y and included in </w:t>
      </w:r>
      <w:r w:rsidR="00694DE5">
        <w:rPr>
          <w:color w:val="000000"/>
          <w:sz w:val="26"/>
          <w:szCs w:val="26"/>
        </w:rPr>
        <w:t>Supplement No. 113 to Tariff Telephone - PA P.U.C. No. 24</w:t>
      </w:r>
      <w:r w:rsidR="0087183F">
        <w:rPr>
          <w:color w:val="auto"/>
          <w:sz w:val="26"/>
          <w:szCs w:val="26"/>
        </w:rPr>
        <w:t xml:space="preserve"> be permitted to go into effect as filed.</w:t>
      </w:r>
    </w:p>
    <w:p w:rsidR="0087183F" w:rsidRDefault="0087183F" w:rsidP="003F0018">
      <w:pPr>
        <w:spacing w:after="240" w:line="360" w:lineRule="auto"/>
        <w:ind w:firstLine="720"/>
        <w:rPr>
          <w:color w:val="auto"/>
          <w:sz w:val="26"/>
          <w:szCs w:val="26"/>
        </w:rPr>
      </w:pPr>
      <w:r>
        <w:rPr>
          <w:color w:val="auto"/>
          <w:sz w:val="26"/>
          <w:szCs w:val="26"/>
        </w:rPr>
        <w:tab/>
        <w:t>3.</w:t>
      </w:r>
      <w:r>
        <w:rPr>
          <w:color w:val="auto"/>
          <w:sz w:val="26"/>
          <w:szCs w:val="26"/>
        </w:rPr>
        <w:tab/>
        <w:t xml:space="preserve">That a copy of this Order be served on the Office of Consumer Advocate, the Office of Small Business Advocate and the Bureau of Investigation and Enforcement. </w:t>
      </w:r>
    </w:p>
    <w:p w:rsidR="0087183F" w:rsidRDefault="004B4608" w:rsidP="003F0018">
      <w:pPr>
        <w:spacing w:after="240" w:line="360" w:lineRule="auto"/>
        <w:ind w:firstLine="720"/>
        <w:rPr>
          <w:color w:val="auto"/>
          <w:sz w:val="26"/>
          <w:szCs w:val="26"/>
        </w:rPr>
      </w:pPr>
      <w:r>
        <w:rPr>
          <w:noProof/>
        </w:rPr>
        <w:drawing>
          <wp:anchor distT="0" distB="0" distL="114300" distR="114300" simplePos="0" relativeHeight="251658240" behindDoc="1" locked="0" layoutInCell="1" allowOverlap="1" wp14:anchorId="01DA1D7C" wp14:editId="27A9D772">
            <wp:simplePos x="0" y="0"/>
            <wp:positionH relativeFrom="column">
              <wp:posOffset>2863850</wp:posOffset>
            </wp:positionH>
            <wp:positionV relativeFrom="paragraph">
              <wp:posOffset>365125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7183F" w:rsidRPr="007539F1">
        <w:rPr>
          <w:color w:val="auto"/>
          <w:sz w:val="26"/>
          <w:szCs w:val="26"/>
        </w:rPr>
        <w:tab/>
      </w:r>
      <w:r w:rsidR="0087183F">
        <w:rPr>
          <w:color w:val="auto"/>
          <w:sz w:val="26"/>
          <w:szCs w:val="26"/>
        </w:rPr>
        <w:t>4</w:t>
      </w:r>
      <w:r w:rsidR="0087183F" w:rsidRPr="007539F1">
        <w:rPr>
          <w:color w:val="auto"/>
          <w:sz w:val="26"/>
          <w:szCs w:val="26"/>
        </w:rPr>
        <w:t>.</w:t>
      </w:r>
      <w:r w:rsidR="0087183F" w:rsidRPr="007539F1">
        <w:rPr>
          <w:color w:val="auto"/>
          <w:sz w:val="26"/>
          <w:szCs w:val="26"/>
        </w:rPr>
        <w:tab/>
      </w:r>
      <w:r w:rsidR="003F0018">
        <w:rPr>
          <w:color w:val="auto"/>
          <w:sz w:val="26"/>
          <w:szCs w:val="26"/>
        </w:rPr>
        <w:t>That the case</w:t>
      </w:r>
      <w:r w:rsidR="0087183F">
        <w:rPr>
          <w:color w:val="auto"/>
          <w:sz w:val="26"/>
          <w:szCs w:val="26"/>
        </w:rPr>
        <w:t xml:space="preserve"> be marked </w:t>
      </w:r>
      <w:r w:rsidR="0087183F" w:rsidRPr="007539F1">
        <w:rPr>
          <w:color w:val="auto"/>
          <w:sz w:val="26"/>
          <w:szCs w:val="26"/>
        </w:rPr>
        <w:t>closed.</w:t>
      </w:r>
    </w:p>
    <w:p w:rsidR="00DF7EBB" w:rsidRPr="00A05F32" w:rsidRDefault="00A03FD8" w:rsidP="006C3DD2">
      <w:pPr>
        <w:tabs>
          <w:tab w:val="left" w:pos="4320"/>
        </w:tabs>
        <w:rPr>
          <w:b/>
          <w:color w:val="000000"/>
          <w:sz w:val="26"/>
          <w:szCs w:val="26"/>
        </w:rPr>
      </w:pPr>
      <w:r w:rsidRPr="00A05F32">
        <w:rPr>
          <w:color w:val="000000"/>
          <w:sz w:val="26"/>
          <w:szCs w:val="26"/>
        </w:rPr>
        <w:tab/>
      </w:r>
      <w:r w:rsidR="00DF7EBB" w:rsidRPr="00A05F32">
        <w:rPr>
          <w:b/>
          <w:color w:val="000000"/>
          <w:sz w:val="26"/>
          <w:szCs w:val="26"/>
        </w:rPr>
        <w:t>BY THE COMMISSION,</w:t>
      </w:r>
    </w:p>
    <w:p w:rsidR="00DF7EBB" w:rsidRPr="00A05F32" w:rsidRDefault="00DF7EBB" w:rsidP="007539F1">
      <w:pPr>
        <w:tabs>
          <w:tab w:val="left" w:pos="4320"/>
        </w:tabs>
        <w:rPr>
          <w:b/>
          <w:color w:val="000000"/>
          <w:sz w:val="26"/>
          <w:szCs w:val="26"/>
        </w:rPr>
      </w:pPr>
    </w:p>
    <w:p w:rsidR="007539F1" w:rsidRPr="00A05F32" w:rsidRDefault="007539F1" w:rsidP="007539F1">
      <w:pPr>
        <w:tabs>
          <w:tab w:val="left" w:pos="4320"/>
        </w:tabs>
        <w:rPr>
          <w:b/>
          <w:color w:val="000000"/>
          <w:sz w:val="26"/>
          <w:szCs w:val="26"/>
        </w:rPr>
      </w:pPr>
    </w:p>
    <w:p w:rsidR="007539F1" w:rsidRPr="00A05F32" w:rsidRDefault="007539F1" w:rsidP="007539F1">
      <w:pPr>
        <w:tabs>
          <w:tab w:val="left" w:pos="4320"/>
        </w:tabs>
        <w:rPr>
          <w:b/>
          <w:color w:val="000000"/>
          <w:sz w:val="26"/>
          <w:szCs w:val="26"/>
        </w:rPr>
      </w:pPr>
    </w:p>
    <w:p w:rsidR="00DF7EBB" w:rsidRPr="00A05F32" w:rsidRDefault="00A03FD8" w:rsidP="007539F1">
      <w:pPr>
        <w:tabs>
          <w:tab w:val="left" w:pos="4320"/>
        </w:tabs>
        <w:rPr>
          <w:color w:val="000000"/>
          <w:sz w:val="26"/>
          <w:szCs w:val="26"/>
        </w:rPr>
      </w:pPr>
      <w:r w:rsidRPr="00A05F32">
        <w:rPr>
          <w:b/>
          <w:color w:val="000000"/>
          <w:sz w:val="26"/>
          <w:szCs w:val="26"/>
        </w:rPr>
        <w:tab/>
      </w:r>
      <w:r w:rsidR="00E300E3" w:rsidRPr="004929EB">
        <w:rPr>
          <w:color w:val="auto"/>
          <w:sz w:val="26"/>
          <w:szCs w:val="26"/>
        </w:rPr>
        <w:t>Rosemary Chiavetta</w:t>
      </w:r>
    </w:p>
    <w:p w:rsidR="00DF7EBB" w:rsidRPr="00A05F32" w:rsidRDefault="00DF7EBB" w:rsidP="003F0018">
      <w:pPr>
        <w:tabs>
          <w:tab w:val="left" w:pos="4320"/>
        </w:tabs>
        <w:spacing w:after="320"/>
        <w:rPr>
          <w:color w:val="000000"/>
          <w:sz w:val="26"/>
          <w:szCs w:val="26"/>
        </w:rPr>
      </w:pPr>
      <w:r w:rsidRPr="00A05F32">
        <w:rPr>
          <w:color w:val="000000"/>
          <w:sz w:val="26"/>
          <w:szCs w:val="26"/>
        </w:rPr>
        <w:tab/>
        <w:t>Secretary</w:t>
      </w:r>
    </w:p>
    <w:p w:rsidR="007539F1" w:rsidRDefault="00DF7EBB" w:rsidP="003F0018">
      <w:pPr>
        <w:tabs>
          <w:tab w:val="left" w:pos="4320"/>
        </w:tabs>
        <w:spacing w:after="320" w:line="360" w:lineRule="auto"/>
        <w:rPr>
          <w:color w:val="000000"/>
          <w:sz w:val="26"/>
          <w:szCs w:val="26"/>
        </w:rPr>
      </w:pPr>
      <w:r w:rsidRPr="00A05F32">
        <w:rPr>
          <w:color w:val="000000"/>
          <w:sz w:val="26"/>
          <w:szCs w:val="26"/>
        </w:rPr>
        <w:t>(SEAL)</w:t>
      </w:r>
    </w:p>
    <w:p w:rsidR="00DF7EBB" w:rsidRPr="00A05F32" w:rsidRDefault="00DF7EBB" w:rsidP="003F0018">
      <w:pPr>
        <w:tabs>
          <w:tab w:val="left" w:pos="4320"/>
        </w:tabs>
        <w:spacing w:line="360" w:lineRule="auto"/>
        <w:rPr>
          <w:color w:val="000000"/>
          <w:sz w:val="26"/>
          <w:szCs w:val="26"/>
        </w:rPr>
      </w:pPr>
      <w:r w:rsidRPr="00A05F32">
        <w:rPr>
          <w:color w:val="000000"/>
          <w:sz w:val="26"/>
          <w:szCs w:val="26"/>
        </w:rPr>
        <w:t xml:space="preserve">ORDER ADOPTED: </w:t>
      </w:r>
      <w:r w:rsidR="007539F1" w:rsidRPr="00A05F32">
        <w:rPr>
          <w:color w:val="000000"/>
          <w:sz w:val="26"/>
          <w:szCs w:val="26"/>
        </w:rPr>
        <w:t xml:space="preserve"> </w:t>
      </w:r>
      <w:r w:rsidR="003C23A5">
        <w:rPr>
          <w:color w:val="000000"/>
          <w:sz w:val="26"/>
          <w:szCs w:val="26"/>
        </w:rPr>
        <w:t>March 14, 2013</w:t>
      </w:r>
    </w:p>
    <w:p w:rsidR="0040590D" w:rsidRPr="0045526C" w:rsidRDefault="00DF7EBB" w:rsidP="0045526C">
      <w:pPr>
        <w:tabs>
          <w:tab w:val="left" w:pos="4320"/>
        </w:tabs>
        <w:spacing w:line="360" w:lineRule="auto"/>
        <w:rPr>
          <w:color w:val="000000"/>
          <w:sz w:val="26"/>
          <w:szCs w:val="26"/>
        </w:rPr>
      </w:pPr>
      <w:r w:rsidRPr="00A05F32">
        <w:rPr>
          <w:color w:val="000000"/>
          <w:sz w:val="26"/>
          <w:szCs w:val="26"/>
        </w:rPr>
        <w:t>ORDE</w:t>
      </w:r>
      <w:r w:rsidR="001A3ED9" w:rsidRPr="00A05F32">
        <w:rPr>
          <w:color w:val="000000"/>
          <w:sz w:val="26"/>
          <w:szCs w:val="26"/>
        </w:rPr>
        <w:t>R ENTERED</w:t>
      </w:r>
      <w:r w:rsidR="003A5456" w:rsidRPr="00A05F32">
        <w:rPr>
          <w:color w:val="000000"/>
          <w:sz w:val="26"/>
          <w:szCs w:val="26"/>
        </w:rPr>
        <w:t>:</w:t>
      </w:r>
      <w:r w:rsidR="00FF3EF7" w:rsidRPr="00A05F32">
        <w:rPr>
          <w:color w:val="000000"/>
          <w:sz w:val="26"/>
          <w:szCs w:val="26"/>
        </w:rPr>
        <w:t xml:space="preserve">  </w:t>
      </w:r>
      <w:r w:rsidR="004B4608">
        <w:rPr>
          <w:color w:val="000000"/>
          <w:sz w:val="26"/>
          <w:szCs w:val="26"/>
        </w:rPr>
        <w:t>March 14, 2013</w:t>
      </w:r>
      <w:bookmarkStart w:id="0" w:name="_GoBack"/>
      <w:bookmarkEnd w:id="0"/>
    </w:p>
    <w:sectPr w:rsidR="0040590D" w:rsidRPr="0045526C" w:rsidSect="00536787">
      <w:footerReference w:type="even" r:id="rId10"/>
      <w:footerReference w:type="defaul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52" w:rsidRDefault="00C37052">
      <w:r>
        <w:separator/>
      </w:r>
    </w:p>
  </w:endnote>
  <w:endnote w:type="continuationSeparator" w:id="0">
    <w:p w:rsidR="00C37052" w:rsidRDefault="00C3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D" w:rsidRDefault="00F4408D"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08D" w:rsidRDefault="00F440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D" w:rsidRPr="00A05F32" w:rsidRDefault="00F4408D"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4B4608">
      <w:rPr>
        <w:rStyle w:val="PageNumber"/>
        <w:noProof/>
        <w:color w:val="000000"/>
      </w:rPr>
      <w:t>6</w:t>
    </w:r>
    <w:r w:rsidRPr="00A05F32">
      <w:rPr>
        <w:rStyle w:val="PageNumber"/>
        <w:color w:val="000000"/>
      </w:rPr>
      <w:fldChar w:fldCharType="end"/>
    </w:r>
  </w:p>
  <w:p w:rsidR="00F4408D" w:rsidRPr="00A05F32" w:rsidRDefault="00F4408D" w:rsidP="005754EE">
    <w:pPr>
      <w:pStyle w:val="Foo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D" w:rsidRDefault="00F4408D">
    <w:pPr>
      <w:pStyle w:val="Footer"/>
      <w:rPr>
        <w:sz w:val="16"/>
      </w:rPr>
    </w:pPr>
  </w:p>
  <w:p w:rsidR="00F4408D" w:rsidRDefault="00F44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52" w:rsidRPr="00014F2B" w:rsidRDefault="00C37052">
      <w:pPr>
        <w:rPr>
          <w:color w:val="000000"/>
        </w:rPr>
      </w:pPr>
      <w:r w:rsidRPr="00014F2B">
        <w:rPr>
          <w:color w:val="000000"/>
        </w:rPr>
        <w:separator/>
      </w:r>
    </w:p>
  </w:footnote>
  <w:footnote w:type="continuationSeparator" w:id="0">
    <w:p w:rsidR="00C37052" w:rsidRDefault="00C37052">
      <w:r>
        <w:continuationSeparator/>
      </w:r>
    </w:p>
  </w:footnote>
  <w:footnote w:id="1">
    <w:p w:rsidR="00F4408D" w:rsidRPr="00C16A77" w:rsidRDefault="00F4408D" w:rsidP="00F4408D">
      <w:pPr>
        <w:pStyle w:val="FootnoteText"/>
        <w:rPr>
          <w:sz w:val="18"/>
          <w:szCs w:val="18"/>
        </w:rPr>
      </w:pPr>
      <w:r w:rsidRPr="00F4408D">
        <w:rPr>
          <w:rStyle w:val="FootnoteReference"/>
          <w:color w:val="000000" w:themeColor="text1"/>
        </w:rPr>
        <w:footnoteRef/>
      </w:r>
      <w:r w:rsidRPr="00F4408D">
        <w:rPr>
          <w:color w:val="000000" w:themeColor="text1"/>
        </w:rPr>
        <w:t xml:space="preserve"> </w:t>
      </w:r>
      <w:r>
        <w:rPr>
          <w:color w:val="000000" w:themeColor="text1"/>
        </w:rPr>
        <w:t xml:space="preserve">See </w:t>
      </w:r>
      <w:r w:rsidRPr="00F4408D">
        <w:rPr>
          <w:i/>
          <w:color w:val="000000" w:themeColor="text1"/>
          <w:sz w:val="18"/>
          <w:szCs w:val="18"/>
        </w:rPr>
        <w:t>Petition for Amended Alternative Regulation and Network Modernization Plan of Commonwealth Telephone Company</w:t>
      </w:r>
      <w:r w:rsidRPr="00F4408D">
        <w:rPr>
          <w:color w:val="000000" w:themeColor="text1"/>
          <w:sz w:val="18"/>
          <w:szCs w:val="18"/>
        </w:rPr>
        <w:t>, Doc</w:t>
      </w:r>
      <w:r w:rsidR="00973C4D">
        <w:rPr>
          <w:color w:val="000000" w:themeColor="text1"/>
          <w:sz w:val="18"/>
          <w:szCs w:val="18"/>
        </w:rPr>
        <w:t>ket No. P-00961024F1000 (Order E</w:t>
      </w:r>
      <w:r w:rsidRPr="00F4408D">
        <w:rPr>
          <w:color w:val="000000" w:themeColor="text1"/>
          <w:sz w:val="18"/>
          <w:szCs w:val="18"/>
        </w:rPr>
        <w:t>ntered March 3, 2005).</w:t>
      </w:r>
    </w:p>
  </w:footnote>
  <w:footnote w:id="2">
    <w:p w:rsidR="009B7317" w:rsidRDefault="009B7317" w:rsidP="00153E30">
      <w:pPr>
        <w:pStyle w:val="Style"/>
        <w:spacing w:after="120"/>
      </w:pPr>
      <w:r w:rsidRPr="00B900EF">
        <w:rPr>
          <w:rStyle w:val="FootnoteReference"/>
          <w:sz w:val="20"/>
          <w:szCs w:val="20"/>
        </w:rPr>
        <w:footnoteRef/>
      </w:r>
      <w:r>
        <w:rPr>
          <w:sz w:val="20"/>
          <w:szCs w:val="20"/>
        </w:rPr>
        <w:t xml:space="preserve"> </w:t>
      </w:r>
      <w:r w:rsidRPr="00B900EF">
        <w:rPr>
          <w:i/>
          <w:sz w:val="20"/>
          <w:szCs w:val="20"/>
        </w:rPr>
        <w:t>See</w:t>
      </w:r>
      <w:r w:rsidRPr="00B900EF">
        <w:rPr>
          <w:sz w:val="20"/>
          <w:szCs w:val="20"/>
        </w:rPr>
        <w:t xml:space="preserve"> </w:t>
      </w:r>
      <w:r w:rsidRPr="00B900EF">
        <w:rPr>
          <w:color w:val="0B0B0B"/>
          <w:sz w:val="20"/>
          <w:szCs w:val="20"/>
          <w:lang w:bidi="he-IL"/>
        </w:rPr>
        <w:t>Docket No</w:t>
      </w:r>
      <w:r w:rsidR="00973C4D">
        <w:rPr>
          <w:color w:val="0B0B0B"/>
          <w:sz w:val="20"/>
          <w:szCs w:val="20"/>
          <w:lang w:bidi="he-IL"/>
        </w:rPr>
        <w:t xml:space="preserve">. R-2012-2319977, </w:t>
      </w:r>
      <w:r>
        <w:rPr>
          <w:color w:val="0B0B0B"/>
          <w:sz w:val="20"/>
          <w:szCs w:val="20"/>
          <w:lang w:bidi="he-IL"/>
        </w:rPr>
        <w:t>Secretarial Letter issued October 26, 2012</w:t>
      </w:r>
      <w:r w:rsidR="00973C4D">
        <w:rPr>
          <w:color w:val="0B0B0B"/>
          <w:sz w:val="20"/>
          <w:szCs w:val="20"/>
          <w:lang w:bidi="he-IL"/>
        </w:rPr>
        <w:t>.</w:t>
      </w:r>
    </w:p>
  </w:footnote>
  <w:footnote w:id="3">
    <w:p w:rsidR="00972840" w:rsidRPr="00096E51" w:rsidRDefault="00972840" w:rsidP="00972840">
      <w:pPr>
        <w:rPr>
          <w:color w:val="000000" w:themeColor="text1"/>
          <w:sz w:val="20"/>
        </w:rPr>
      </w:pPr>
      <w:r w:rsidRPr="00096E51">
        <w:rPr>
          <w:rStyle w:val="FootnoteReference"/>
          <w:color w:val="000000" w:themeColor="text1"/>
          <w:sz w:val="20"/>
        </w:rPr>
        <w:footnoteRef/>
      </w:r>
      <w:r w:rsidRPr="00096E51">
        <w:rPr>
          <w:color w:val="000000" w:themeColor="text1"/>
          <w:sz w:val="20"/>
        </w:rPr>
        <w:t xml:space="preserve"> See </w:t>
      </w:r>
      <w:r w:rsidRPr="00096E51">
        <w:rPr>
          <w:i/>
          <w:color w:val="000000" w:themeColor="text1"/>
          <w:sz w:val="20"/>
        </w:rPr>
        <w:t>Joint Application of Commonwealth Telephone Company, CTSI, LLC, and CTE Telecom, LLC d/b/a Commonwealth Long Distance Company for all approvals under the Public Utility Code for the acquisition by Citizens Communications Company of all of the stock of the Joint Applicants’ Corporate Parent, Commonwealth Telephone Enterprises, Inc</w:t>
      </w:r>
      <w:r w:rsidRPr="00096E51">
        <w:rPr>
          <w:color w:val="000000" w:themeColor="text1"/>
          <w:sz w:val="20"/>
        </w:rPr>
        <w:t>., Docket No</w:t>
      </w:r>
      <w:r>
        <w:rPr>
          <w:color w:val="000000" w:themeColor="text1"/>
          <w:sz w:val="20"/>
        </w:rPr>
        <w:t>s. A-310800F0010, A-311095F0005 and</w:t>
      </w:r>
      <w:r w:rsidRPr="00096E51">
        <w:rPr>
          <w:color w:val="000000" w:themeColor="text1"/>
          <w:sz w:val="20"/>
        </w:rPr>
        <w:t xml:space="preserve"> A-311225F0002 (Order </w:t>
      </w:r>
      <w:r>
        <w:rPr>
          <w:color w:val="000000" w:themeColor="text1"/>
          <w:sz w:val="20"/>
        </w:rPr>
        <w:t>E</w:t>
      </w:r>
      <w:r w:rsidRPr="00096E51">
        <w:rPr>
          <w:color w:val="000000" w:themeColor="text1"/>
          <w:sz w:val="20"/>
        </w:rPr>
        <w:t xml:space="preserve">ntered March 1, 2007).  </w:t>
      </w:r>
    </w:p>
    <w:p w:rsidR="00972840" w:rsidRDefault="00972840" w:rsidP="0097284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5">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8">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8"/>
  </w:num>
  <w:num w:numId="3">
    <w:abstractNumId w:val="7"/>
  </w:num>
  <w:num w:numId="4">
    <w:abstractNumId w:val="9"/>
  </w:num>
  <w:num w:numId="5">
    <w:abstractNumId w:val="2"/>
  </w:num>
  <w:num w:numId="6">
    <w:abstractNumId w:val="1"/>
  </w:num>
  <w:num w:numId="7">
    <w:abstractNumId w:val="4"/>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14F2B"/>
    <w:rsid w:val="00020D91"/>
    <w:rsid w:val="00021254"/>
    <w:rsid w:val="00030873"/>
    <w:rsid w:val="00030AD5"/>
    <w:rsid w:val="000452EB"/>
    <w:rsid w:val="00051AE1"/>
    <w:rsid w:val="00052ADD"/>
    <w:rsid w:val="00055826"/>
    <w:rsid w:val="000602B3"/>
    <w:rsid w:val="00065987"/>
    <w:rsid w:val="000672A5"/>
    <w:rsid w:val="00073D48"/>
    <w:rsid w:val="00076C0F"/>
    <w:rsid w:val="00091554"/>
    <w:rsid w:val="000918CB"/>
    <w:rsid w:val="00096E51"/>
    <w:rsid w:val="000A4F7F"/>
    <w:rsid w:val="000A6320"/>
    <w:rsid w:val="000B44AF"/>
    <w:rsid w:val="000B5D39"/>
    <w:rsid w:val="000C34B8"/>
    <w:rsid w:val="000D1DB0"/>
    <w:rsid w:val="000D559B"/>
    <w:rsid w:val="000E2577"/>
    <w:rsid w:val="000F431D"/>
    <w:rsid w:val="00102317"/>
    <w:rsid w:val="0011062C"/>
    <w:rsid w:val="00110E6C"/>
    <w:rsid w:val="00110FA6"/>
    <w:rsid w:val="00111839"/>
    <w:rsid w:val="00117EB4"/>
    <w:rsid w:val="00117EFD"/>
    <w:rsid w:val="00120E17"/>
    <w:rsid w:val="001210B5"/>
    <w:rsid w:val="00127AF1"/>
    <w:rsid w:val="00133BE1"/>
    <w:rsid w:val="00134534"/>
    <w:rsid w:val="001408BB"/>
    <w:rsid w:val="001426AA"/>
    <w:rsid w:val="00143556"/>
    <w:rsid w:val="001464E7"/>
    <w:rsid w:val="00146F08"/>
    <w:rsid w:val="00147AB2"/>
    <w:rsid w:val="00151366"/>
    <w:rsid w:val="00152B43"/>
    <w:rsid w:val="00153E30"/>
    <w:rsid w:val="0015408B"/>
    <w:rsid w:val="00166486"/>
    <w:rsid w:val="00171851"/>
    <w:rsid w:val="00181290"/>
    <w:rsid w:val="00185651"/>
    <w:rsid w:val="001A3ED9"/>
    <w:rsid w:val="001A5570"/>
    <w:rsid w:val="001A5B48"/>
    <w:rsid w:val="001B0333"/>
    <w:rsid w:val="001B1A60"/>
    <w:rsid w:val="001B35AF"/>
    <w:rsid w:val="001C2804"/>
    <w:rsid w:val="001D0FBE"/>
    <w:rsid w:val="001D27C8"/>
    <w:rsid w:val="001D32C6"/>
    <w:rsid w:val="001D379B"/>
    <w:rsid w:val="001D4548"/>
    <w:rsid w:val="001D6FDB"/>
    <w:rsid w:val="001E1CFA"/>
    <w:rsid w:val="001E67DB"/>
    <w:rsid w:val="001F0F0B"/>
    <w:rsid w:val="001F286F"/>
    <w:rsid w:val="001F3805"/>
    <w:rsid w:val="001F4FD9"/>
    <w:rsid w:val="001F5943"/>
    <w:rsid w:val="002041EC"/>
    <w:rsid w:val="00204784"/>
    <w:rsid w:val="00217678"/>
    <w:rsid w:val="00217D01"/>
    <w:rsid w:val="00223089"/>
    <w:rsid w:val="00224879"/>
    <w:rsid w:val="002367E9"/>
    <w:rsid w:val="002412C9"/>
    <w:rsid w:val="0024370B"/>
    <w:rsid w:val="00252603"/>
    <w:rsid w:val="002526D1"/>
    <w:rsid w:val="00255B65"/>
    <w:rsid w:val="002607FB"/>
    <w:rsid w:val="00264DD1"/>
    <w:rsid w:val="00265290"/>
    <w:rsid w:val="00273D16"/>
    <w:rsid w:val="002757B4"/>
    <w:rsid w:val="00282418"/>
    <w:rsid w:val="00290614"/>
    <w:rsid w:val="00290D88"/>
    <w:rsid w:val="0029336F"/>
    <w:rsid w:val="002933BD"/>
    <w:rsid w:val="002951BC"/>
    <w:rsid w:val="002A3C17"/>
    <w:rsid w:val="002B0146"/>
    <w:rsid w:val="002C3CD9"/>
    <w:rsid w:val="002D4D34"/>
    <w:rsid w:val="002E4081"/>
    <w:rsid w:val="002E4366"/>
    <w:rsid w:val="002E7B80"/>
    <w:rsid w:val="002F1CB0"/>
    <w:rsid w:val="002F2A24"/>
    <w:rsid w:val="002F4031"/>
    <w:rsid w:val="002F5E67"/>
    <w:rsid w:val="00302029"/>
    <w:rsid w:val="0030244B"/>
    <w:rsid w:val="003047C7"/>
    <w:rsid w:val="00310215"/>
    <w:rsid w:val="00313E12"/>
    <w:rsid w:val="00314586"/>
    <w:rsid w:val="00314AC5"/>
    <w:rsid w:val="003228D7"/>
    <w:rsid w:val="0032299E"/>
    <w:rsid w:val="00327D24"/>
    <w:rsid w:val="00330E8B"/>
    <w:rsid w:val="00333D4F"/>
    <w:rsid w:val="00335318"/>
    <w:rsid w:val="00336D22"/>
    <w:rsid w:val="00342FE2"/>
    <w:rsid w:val="00350453"/>
    <w:rsid w:val="0035685F"/>
    <w:rsid w:val="00362B62"/>
    <w:rsid w:val="00366F1C"/>
    <w:rsid w:val="0036702E"/>
    <w:rsid w:val="003801D9"/>
    <w:rsid w:val="0038393E"/>
    <w:rsid w:val="00383B4E"/>
    <w:rsid w:val="00383B59"/>
    <w:rsid w:val="003909C8"/>
    <w:rsid w:val="0039736C"/>
    <w:rsid w:val="003A5456"/>
    <w:rsid w:val="003A7044"/>
    <w:rsid w:val="003A768F"/>
    <w:rsid w:val="003B05E8"/>
    <w:rsid w:val="003C23A5"/>
    <w:rsid w:val="003C2400"/>
    <w:rsid w:val="003C35B8"/>
    <w:rsid w:val="003C5172"/>
    <w:rsid w:val="003C6F92"/>
    <w:rsid w:val="003D3DA4"/>
    <w:rsid w:val="003D3F17"/>
    <w:rsid w:val="003D5BA1"/>
    <w:rsid w:val="003E7558"/>
    <w:rsid w:val="003F0018"/>
    <w:rsid w:val="004016C3"/>
    <w:rsid w:val="004018D5"/>
    <w:rsid w:val="0040590D"/>
    <w:rsid w:val="00416881"/>
    <w:rsid w:val="00421E0A"/>
    <w:rsid w:val="00422C20"/>
    <w:rsid w:val="00425010"/>
    <w:rsid w:val="0042748F"/>
    <w:rsid w:val="004335FD"/>
    <w:rsid w:val="00442C90"/>
    <w:rsid w:val="0044373D"/>
    <w:rsid w:val="004505C3"/>
    <w:rsid w:val="00454256"/>
    <w:rsid w:val="0045526C"/>
    <w:rsid w:val="00455EAD"/>
    <w:rsid w:val="0046101E"/>
    <w:rsid w:val="00463DAB"/>
    <w:rsid w:val="00466E8F"/>
    <w:rsid w:val="00475F57"/>
    <w:rsid w:val="00486CAD"/>
    <w:rsid w:val="004A51EB"/>
    <w:rsid w:val="004A6A15"/>
    <w:rsid w:val="004A6EFA"/>
    <w:rsid w:val="004B40B2"/>
    <w:rsid w:val="004B4608"/>
    <w:rsid w:val="004C3136"/>
    <w:rsid w:val="004C57D0"/>
    <w:rsid w:val="004C5D71"/>
    <w:rsid w:val="004D1E3D"/>
    <w:rsid w:val="004D288D"/>
    <w:rsid w:val="004D4BA4"/>
    <w:rsid w:val="004D7D30"/>
    <w:rsid w:val="004E0F1E"/>
    <w:rsid w:val="004E781A"/>
    <w:rsid w:val="004F1A01"/>
    <w:rsid w:val="004F301C"/>
    <w:rsid w:val="004F522F"/>
    <w:rsid w:val="00501F5B"/>
    <w:rsid w:val="0050239E"/>
    <w:rsid w:val="00502B29"/>
    <w:rsid w:val="0050502A"/>
    <w:rsid w:val="00511F0E"/>
    <w:rsid w:val="005324FD"/>
    <w:rsid w:val="00533FD3"/>
    <w:rsid w:val="00536787"/>
    <w:rsid w:val="00537F09"/>
    <w:rsid w:val="0055128D"/>
    <w:rsid w:val="005515DB"/>
    <w:rsid w:val="0055182B"/>
    <w:rsid w:val="00554FF8"/>
    <w:rsid w:val="00562440"/>
    <w:rsid w:val="00564729"/>
    <w:rsid w:val="00567FA7"/>
    <w:rsid w:val="00571A2E"/>
    <w:rsid w:val="005754EE"/>
    <w:rsid w:val="00577268"/>
    <w:rsid w:val="00584ED6"/>
    <w:rsid w:val="00590306"/>
    <w:rsid w:val="00591D9C"/>
    <w:rsid w:val="0059571A"/>
    <w:rsid w:val="00597E2A"/>
    <w:rsid w:val="005A2323"/>
    <w:rsid w:val="005A337F"/>
    <w:rsid w:val="005B2E37"/>
    <w:rsid w:val="005B47E2"/>
    <w:rsid w:val="005B4838"/>
    <w:rsid w:val="005C2DD0"/>
    <w:rsid w:val="005D05CC"/>
    <w:rsid w:val="005D54D3"/>
    <w:rsid w:val="005E183C"/>
    <w:rsid w:val="005E1F34"/>
    <w:rsid w:val="005F6B97"/>
    <w:rsid w:val="005F74CC"/>
    <w:rsid w:val="00602457"/>
    <w:rsid w:val="00602F3C"/>
    <w:rsid w:val="00604AED"/>
    <w:rsid w:val="00605460"/>
    <w:rsid w:val="00610145"/>
    <w:rsid w:val="00614BBC"/>
    <w:rsid w:val="00615EAC"/>
    <w:rsid w:val="00620479"/>
    <w:rsid w:val="006204D3"/>
    <w:rsid w:val="006207AB"/>
    <w:rsid w:val="00625D45"/>
    <w:rsid w:val="006341CB"/>
    <w:rsid w:val="006503C9"/>
    <w:rsid w:val="00650A6C"/>
    <w:rsid w:val="00653AB0"/>
    <w:rsid w:val="0065690E"/>
    <w:rsid w:val="00670A94"/>
    <w:rsid w:val="00675714"/>
    <w:rsid w:val="00677ACA"/>
    <w:rsid w:val="00682F26"/>
    <w:rsid w:val="00686E9B"/>
    <w:rsid w:val="00694DE5"/>
    <w:rsid w:val="006A572B"/>
    <w:rsid w:val="006A6AFE"/>
    <w:rsid w:val="006B0F08"/>
    <w:rsid w:val="006C14E4"/>
    <w:rsid w:val="006C1714"/>
    <w:rsid w:val="006C3DD2"/>
    <w:rsid w:val="006D2520"/>
    <w:rsid w:val="006D3C20"/>
    <w:rsid w:val="006D6218"/>
    <w:rsid w:val="006F001E"/>
    <w:rsid w:val="006F19A6"/>
    <w:rsid w:val="007073A0"/>
    <w:rsid w:val="00710228"/>
    <w:rsid w:val="00713484"/>
    <w:rsid w:val="007141D6"/>
    <w:rsid w:val="00717EB6"/>
    <w:rsid w:val="00722AEA"/>
    <w:rsid w:val="00733279"/>
    <w:rsid w:val="00734EE6"/>
    <w:rsid w:val="00740834"/>
    <w:rsid w:val="00741B49"/>
    <w:rsid w:val="00743576"/>
    <w:rsid w:val="00743672"/>
    <w:rsid w:val="00743682"/>
    <w:rsid w:val="007460ED"/>
    <w:rsid w:val="0074628B"/>
    <w:rsid w:val="00746490"/>
    <w:rsid w:val="0075184B"/>
    <w:rsid w:val="007539F1"/>
    <w:rsid w:val="00754B06"/>
    <w:rsid w:val="007603A8"/>
    <w:rsid w:val="00765FEE"/>
    <w:rsid w:val="00766E2A"/>
    <w:rsid w:val="00767395"/>
    <w:rsid w:val="007728FE"/>
    <w:rsid w:val="0077512A"/>
    <w:rsid w:val="00775973"/>
    <w:rsid w:val="007842BB"/>
    <w:rsid w:val="00786833"/>
    <w:rsid w:val="0079117C"/>
    <w:rsid w:val="0079278F"/>
    <w:rsid w:val="00795433"/>
    <w:rsid w:val="007A05C1"/>
    <w:rsid w:val="007A1B0F"/>
    <w:rsid w:val="007A33E0"/>
    <w:rsid w:val="007B3549"/>
    <w:rsid w:val="007B490C"/>
    <w:rsid w:val="007B5A8D"/>
    <w:rsid w:val="007C35AA"/>
    <w:rsid w:val="007C7A81"/>
    <w:rsid w:val="007D09F1"/>
    <w:rsid w:val="007E1113"/>
    <w:rsid w:val="007E5E21"/>
    <w:rsid w:val="007E7ECC"/>
    <w:rsid w:val="007F2066"/>
    <w:rsid w:val="007F3759"/>
    <w:rsid w:val="007F4BBC"/>
    <w:rsid w:val="00804EBC"/>
    <w:rsid w:val="00805E46"/>
    <w:rsid w:val="0080704D"/>
    <w:rsid w:val="00813B02"/>
    <w:rsid w:val="00816D74"/>
    <w:rsid w:val="00817887"/>
    <w:rsid w:val="00817D76"/>
    <w:rsid w:val="00822FC7"/>
    <w:rsid w:val="00825255"/>
    <w:rsid w:val="00826A63"/>
    <w:rsid w:val="0083477E"/>
    <w:rsid w:val="00837A78"/>
    <w:rsid w:val="00842778"/>
    <w:rsid w:val="008453B2"/>
    <w:rsid w:val="0085027E"/>
    <w:rsid w:val="00854D8B"/>
    <w:rsid w:val="008557A9"/>
    <w:rsid w:val="0087183F"/>
    <w:rsid w:val="00871880"/>
    <w:rsid w:val="00871924"/>
    <w:rsid w:val="0087323C"/>
    <w:rsid w:val="008776D9"/>
    <w:rsid w:val="00877E48"/>
    <w:rsid w:val="00880B30"/>
    <w:rsid w:val="00886BB2"/>
    <w:rsid w:val="0088796C"/>
    <w:rsid w:val="00892936"/>
    <w:rsid w:val="008968D2"/>
    <w:rsid w:val="008A22CD"/>
    <w:rsid w:val="008A4FA9"/>
    <w:rsid w:val="008B0596"/>
    <w:rsid w:val="008B4138"/>
    <w:rsid w:val="008C15D9"/>
    <w:rsid w:val="008C3353"/>
    <w:rsid w:val="008D50D1"/>
    <w:rsid w:val="008E000F"/>
    <w:rsid w:val="008E350E"/>
    <w:rsid w:val="008F2CB8"/>
    <w:rsid w:val="00900BB5"/>
    <w:rsid w:val="00910F98"/>
    <w:rsid w:val="00931059"/>
    <w:rsid w:val="009335E6"/>
    <w:rsid w:val="00933BDC"/>
    <w:rsid w:val="00936709"/>
    <w:rsid w:val="00936D67"/>
    <w:rsid w:val="00943424"/>
    <w:rsid w:val="009503C3"/>
    <w:rsid w:val="00950A43"/>
    <w:rsid w:val="00953241"/>
    <w:rsid w:val="00961756"/>
    <w:rsid w:val="00961D1A"/>
    <w:rsid w:val="009630A2"/>
    <w:rsid w:val="00965E57"/>
    <w:rsid w:val="00971EAC"/>
    <w:rsid w:val="00972840"/>
    <w:rsid w:val="00973C4D"/>
    <w:rsid w:val="00975DF1"/>
    <w:rsid w:val="00981A18"/>
    <w:rsid w:val="009875C5"/>
    <w:rsid w:val="009936BA"/>
    <w:rsid w:val="009950AA"/>
    <w:rsid w:val="0099735A"/>
    <w:rsid w:val="009A3FAD"/>
    <w:rsid w:val="009A5FF6"/>
    <w:rsid w:val="009A74D2"/>
    <w:rsid w:val="009B00B7"/>
    <w:rsid w:val="009B1DBD"/>
    <w:rsid w:val="009B7317"/>
    <w:rsid w:val="009C0431"/>
    <w:rsid w:val="009C0F81"/>
    <w:rsid w:val="009C572A"/>
    <w:rsid w:val="009D3AAC"/>
    <w:rsid w:val="009E2A7A"/>
    <w:rsid w:val="009E30E8"/>
    <w:rsid w:val="009E6813"/>
    <w:rsid w:val="009E788D"/>
    <w:rsid w:val="00A03FD8"/>
    <w:rsid w:val="00A05F32"/>
    <w:rsid w:val="00A11D0E"/>
    <w:rsid w:val="00A2000C"/>
    <w:rsid w:val="00A23EA2"/>
    <w:rsid w:val="00A3089C"/>
    <w:rsid w:val="00A30D04"/>
    <w:rsid w:val="00A31D1A"/>
    <w:rsid w:val="00A32E5E"/>
    <w:rsid w:val="00A33253"/>
    <w:rsid w:val="00A37C47"/>
    <w:rsid w:val="00A40254"/>
    <w:rsid w:val="00A409FF"/>
    <w:rsid w:val="00A42C8D"/>
    <w:rsid w:val="00A563F6"/>
    <w:rsid w:val="00A57AF0"/>
    <w:rsid w:val="00A638D4"/>
    <w:rsid w:val="00A65FF1"/>
    <w:rsid w:val="00A6765C"/>
    <w:rsid w:val="00A70984"/>
    <w:rsid w:val="00A74D64"/>
    <w:rsid w:val="00A75FE2"/>
    <w:rsid w:val="00A776BC"/>
    <w:rsid w:val="00A81108"/>
    <w:rsid w:val="00A847B7"/>
    <w:rsid w:val="00A85568"/>
    <w:rsid w:val="00A8565D"/>
    <w:rsid w:val="00A86891"/>
    <w:rsid w:val="00A967E0"/>
    <w:rsid w:val="00AA0CC3"/>
    <w:rsid w:val="00AA2FFC"/>
    <w:rsid w:val="00AA450C"/>
    <w:rsid w:val="00AB1278"/>
    <w:rsid w:val="00AB3419"/>
    <w:rsid w:val="00AC4B9D"/>
    <w:rsid w:val="00AD2931"/>
    <w:rsid w:val="00AD4679"/>
    <w:rsid w:val="00AD6DF1"/>
    <w:rsid w:val="00AF7849"/>
    <w:rsid w:val="00B04B95"/>
    <w:rsid w:val="00B04C82"/>
    <w:rsid w:val="00B05832"/>
    <w:rsid w:val="00B11443"/>
    <w:rsid w:val="00B116E6"/>
    <w:rsid w:val="00B12D59"/>
    <w:rsid w:val="00B21E50"/>
    <w:rsid w:val="00B24DD0"/>
    <w:rsid w:val="00B32D72"/>
    <w:rsid w:val="00B32E7D"/>
    <w:rsid w:val="00B347E8"/>
    <w:rsid w:val="00B4122C"/>
    <w:rsid w:val="00B44843"/>
    <w:rsid w:val="00B55C17"/>
    <w:rsid w:val="00B573C3"/>
    <w:rsid w:val="00B626D7"/>
    <w:rsid w:val="00B807F2"/>
    <w:rsid w:val="00B83ECC"/>
    <w:rsid w:val="00B84B64"/>
    <w:rsid w:val="00B84F2E"/>
    <w:rsid w:val="00B900EF"/>
    <w:rsid w:val="00B919FF"/>
    <w:rsid w:val="00B932E2"/>
    <w:rsid w:val="00BA3750"/>
    <w:rsid w:val="00BA3DA0"/>
    <w:rsid w:val="00BC3D8C"/>
    <w:rsid w:val="00BC5AB7"/>
    <w:rsid w:val="00BD26E7"/>
    <w:rsid w:val="00BD2E0A"/>
    <w:rsid w:val="00BD68A8"/>
    <w:rsid w:val="00BE4EA8"/>
    <w:rsid w:val="00BE6135"/>
    <w:rsid w:val="00BF0C82"/>
    <w:rsid w:val="00BF0FAE"/>
    <w:rsid w:val="00BF15A0"/>
    <w:rsid w:val="00BF1F2F"/>
    <w:rsid w:val="00BF2DCA"/>
    <w:rsid w:val="00BF314E"/>
    <w:rsid w:val="00C04908"/>
    <w:rsid w:val="00C11FAC"/>
    <w:rsid w:val="00C13C62"/>
    <w:rsid w:val="00C14DCF"/>
    <w:rsid w:val="00C2337D"/>
    <w:rsid w:val="00C239FE"/>
    <w:rsid w:val="00C27E0E"/>
    <w:rsid w:val="00C30191"/>
    <w:rsid w:val="00C302BB"/>
    <w:rsid w:val="00C35105"/>
    <w:rsid w:val="00C36105"/>
    <w:rsid w:val="00C37052"/>
    <w:rsid w:val="00C376D3"/>
    <w:rsid w:val="00C4137A"/>
    <w:rsid w:val="00C448C8"/>
    <w:rsid w:val="00C462A7"/>
    <w:rsid w:val="00C50AB9"/>
    <w:rsid w:val="00C53746"/>
    <w:rsid w:val="00C5408D"/>
    <w:rsid w:val="00C62DA6"/>
    <w:rsid w:val="00C728BE"/>
    <w:rsid w:val="00C847A1"/>
    <w:rsid w:val="00C86CFC"/>
    <w:rsid w:val="00C87555"/>
    <w:rsid w:val="00C92024"/>
    <w:rsid w:val="00C9585E"/>
    <w:rsid w:val="00C962EE"/>
    <w:rsid w:val="00CA53ED"/>
    <w:rsid w:val="00CB33C6"/>
    <w:rsid w:val="00CC21C3"/>
    <w:rsid w:val="00CC2FF9"/>
    <w:rsid w:val="00CD5F2A"/>
    <w:rsid w:val="00CD7E2D"/>
    <w:rsid w:val="00CE0822"/>
    <w:rsid w:val="00CF2DE2"/>
    <w:rsid w:val="00D00098"/>
    <w:rsid w:val="00D01421"/>
    <w:rsid w:val="00D075A2"/>
    <w:rsid w:val="00D24217"/>
    <w:rsid w:val="00D26315"/>
    <w:rsid w:val="00D27DBF"/>
    <w:rsid w:val="00D41582"/>
    <w:rsid w:val="00D42312"/>
    <w:rsid w:val="00D44B84"/>
    <w:rsid w:val="00D66ED1"/>
    <w:rsid w:val="00D8090A"/>
    <w:rsid w:val="00D93396"/>
    <w:rsid w:val="00DA7728"/>
    <w:rsid w:val="00DB17DD"/>
    <w:rsid w:val="00DB5E26"/>
    <w:rsid w:val="00DC3BAC"/>
    <w:rsid w:val="00DC5DC7"/>
    <w:rsid w:val="00DD3489"/>
    <w:rsid w:val="00DF2A1C"/>
    <w:rsid w:val="00DF7EBB"/>
    <w:rsid w:val="00E00447"/>
    <w:rsid w:val="00E028A7"/>
    <w:rsid w:val="00E04F0D"/>
    <w:rsid w:val="00E068E7"/>
    <w:rsid w:val="00E15D82"/>
    <w:rsid w:val="00E24784"/>
    <w:rsid w:val="00E300E3"/>
    <w:rsid w:val="00E373D1"/>
    <w:rsid w:val="00E409F4"/>
    <w:rsid w:val="00E419B1"/>
    <w:rsid w:val="00E45845"/>
    <w:rsid w:val="00E45D16"/>
    <w:rsid w:val="00E523C7"/>
    <w:rsid w:val="00E57CB6"/>
    <w:rsid w:val="00E748A4"/>
    <w:rsid w:val="00E7749D"/>
    <w:rsid w:val="00E774DE"/>
    <w:rsid w:val="00E812B8"/>
    <w:rsid w:val="00E8410D"/>
    <w:rsid w:val="00E8534E"/>
    <w:rsid w:val="00E858AC"/>
    <w:rsid w:val="00E93489"/>
    <w:rsid w:val="00E961CF"/>
    <w:rsid w:val="00EA0BF0"/>
    <w:rsid w:val="00EA299D"/>
    <w:rsid w:val="00EA3832"/>
    <w:rsid w:val="00EA4F46"/>
    <w:rsid w:val="00EA685B"/>
    <w:rsid w:val="00EA7086"/>
    <w:rsid w:val="00EB5B9B"/>
    <w:rsid w:val="00EB702F"/>
    <w:rsid w:val="00EB71D0"/>
    <w:rsid w:val="00EE1C12"/>
    <w:rsid w:val="00EE4C47"/>
    <w:rsid w:val="00EE5E02"/>
    <w:rsid w:val="00EF5D99"/>
    <w:rsid w:val="00EF74DA"/>
    <w:rsid w:val="00F01FC4"/>
    <w:rsid w:val="00F127C8"/>
    <w:rsid w:val="00F21C5D"/>
    <w:rsid w:val="00F21D4D"/>
    <w:rsid w:val="00F26AA0"/>
    <w:rsid w:val="00F331CB"/>
    <w:rsid w:val="00F4408D"/>
    <w:rsid w:val="00F448A6"/>
    <w:rsid w:val="00F5392A"/>
    <w:rsid w:val="00F54873"/>
    <w:rsid w:val="00F57D51"/>
    <w:rsid w:val="00F66EB0"/>
    <w:rsid w:val="00F87D8A"/>
    <w:rsid w:val="00F9170A"/>
    <w:rsid w:val="00F95213"/>
    <w:rsid w:val="00F96027"/>
    <w:rsid w:val="00FA04B2"/>
    <w:rsid w:val="00FA52CB"/>
    <w:rsid w:val="00FA64F8"/>
    <w:rsid w:val="00FA73E7"/>
    <w:rsid w:val="00FB0213"/>
    <w:rsid w:val="00FB0FFE"/>
    <w:rsid w:val="00FB2D76"/>
    <w:rsid w:val="00FB56F4"/>
    <w:rsid w:val="00FC5257"/>
    <w:rsid w:val="00FD49D0"/>
    <w:rsid w:val="00FD5F98"/>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C7BD0-6649-4CF8-83CC-B17D5682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Affordable Voice Communications, Inc</vt:lpstr>
    </vt:vector>
  </TitlesOfParts>
  <Company>PA PUC</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Voice Communications, Inc</dc:title>
  <dc:creator>TUZINSKI</dc:creator>
  <cp:lastModifiedBy>Hinds, Margaret</cp:lastModifiedBy>
  <cp:revision>11</cp:revision>
  <cp:lastPrinted>2013-03-14T13:22:00Z</cp:lastPrinted>
  <dcterms:created xsi:type="dcterms:W3CDTF">2013-02-20T15:17:00Z</dcterms:created>
  <dcterms:modified xsi:type="dcterms:W3CDTF">2013-03-14T13:22:00Z</dcterms:modified>
</cp:coreProperties>
</file>