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FB" w:rsidRPr="00F514FB" w:rsidRDefault="00F514FB" w:rsidP="00ED79A0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F514FB" w:rsidRPr="00F514FB" w:rsidRDefault="00F514FB" w:rsidP="00ED79A0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F514FB" w:rsidRPr="00F514FB" w:rsidRDefault="00F514FB" w:rsidP="00ED79A0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F514FB" w:rsidRPr="00F514FB" w:rsidRDefault="00F514FB" w:rsidP="00ED79A0">
      <w:pPr>
        <w:widowControl/>
        <w:tabs>
          <w:tab w:val="left" w:pos="-720"/>
        </w:tabs>
        <w:suppressAutoHyphens/>
        <w:rPr>
          <w:sz w:val="26"/>
          <w:szCs w:val="26"/>
        </w:rPr>
      </w:pPr>
    </w:p>
    <w:p w:rsidR="00F514FB" w:rsidRPr="00F514FB" w:rsidRDefault="00F514FB" w:rsidP="00ED79A0">
      <w:pPr>
        <w:widowControl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428"/>
      </w:tblGrid>
      <w:tr w:rsidR="00F514FB" w:rsidRPr="00F514FB" w:rsidTr="00DE25AC">
        <w:tc>
          <w:tcPr>
            <w:tcW w:w="5058" w:type="dxa"/>
          </w:tcPr>
          <w:p w:rsidR="00F514FB" w:rsidRPr="00F514FB" w:rsidRDefault="00F514FB" w:rsidP="00ED79A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F514FB" w:rsidRPr="00F514FB" w:rsidRDefault="00F514FB" w:rsidP="00ED79A0">
            <w:pPr>
              <w:widowControl/>
              <w:jc w:val="right"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Public Meeting held</w:t>
            </w:r>
            <w:r w:rsidR="001A4B31">
              <w:rPr>
                <w:sz w:val="26"/>
                <w:szCs w:val="26"/>
              </w:rPr>
              <w:t xml:space="preserve"> </w:t>
            </w:r>
            <w:r w:rsidR="00EC5A98">
              <w:rPr>
                <w:sz w:val="26"/>
                <w:szCs w:val="26"/>
              </w:rPr>
              <w:t>March</w:t>
            </w:r>
            <w:r w:rsidR="001A4B31">
              <w:rPr>
                <w:sz w:val="26"/>
                <w:szCs w:val="26"/>
              </w:rPr>
              <w:t xml:space="preserve"> 14, 2013</w:t>
            </w:r>
          </w:p>
          <w:p w:rsidR="00F514FB" w:rsidRPr="00F514FB" w:rsidRDefault="00F514FB" w:rsidP="00ED79A0">
            <w:pPr>
              <w:widowControl/>
              <w:jc w:val="right"/>
              <w:rPr>
                <w:sz w:val="26"/>
                <w:szCs w:val="26"/>
              </w:rPr>
            </w:pPr>
          </w:p>
          <w:p w:rsidR="00F514FB" w:rsidRPr="00F514FB" w:rsidRDefault="00F514FB" w:rsidP="00ED79A0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F514FB" w:rsidRPr="00F514FB" w:rsidTr="00EC5A98">
        <w:trPr>
          <w:trHeight w:val="2556"/>
        </w:trPr>
        <w:tc>
          <w:tcPr>
            <w:tcW w:w="5058" w:type="dxa"/>
          </w:tcPr>
          <w:p w:rsidR="00F514FB" w:rsidRPr="00F514FB" w:rsidRDefault="00F514FB" w:rsidP="00ED79A0">
            <w:pPr>
              <w:widowControl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Commissioners Present:</w:t>
            </w:r>
          </w:p>
          <w:p w:rsidR="00F514FB" w:rsidRPr="00F514FB" w:rsidRDefault="00F514FB" w:rsidP="00ED79A0">
            <w:pPr>
              <w:widowControl/>
              <w:rPr>
                <w:sz w:val="26"/>
                <w:szCs w:val="26"/>
              </w:rPr>
            </w:pPr>
          </w:p>
          <w:p w:rsidR="00F514FB" w:rsidRPr="00F514FB" w:rsidRDefault="00F514FB" w:rsidP="00ED79A0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Robert F. Powelson, Chairman</w:t>
            </w:r>
          </w:p>
          <w:p w:rsidR="00F514FB" w:rsidRPr="00F514FB" w:rsidRDefault="00F514FB" w:rsidP="00ED79A0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John F. Coleman, Jr., Vice Chairman</w:t>
            </w:r>
          </w:p>
          <w:p w:rsidR="00F514FB" w:rsidRPr="00F514FB" w:rsidRDefault="00F514FB" w:rsidP="00ED79A0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Wayne E. Gardner</w:t>
            </w:r>
          </w:p>
          <w:p w:rsidR="00F514FB" w:rsidRPr="00F514FB" w:rsidRDefault="00F514FB" w:rsidP="00ED79A0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James H. Cawley</w:t>
            </w:r>
          </w:p>
          <w:p w:rsidR="00F514FB" w:rsidRPr="00F514FB" w:rsidRDefault="00F514FB" w:rsidP="00ED79A0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Pamela A. Witmer</w:t>
            </w:r>
          </w:p>
          <w:p w:rsidR="00F514FB" w:rsidRPr="00F514FB" w:rsidRDefault="00F514FB" w:rsidP="00ED79A0">
            <w:pPr>
              <w:widowControl/>
              <w:rPr>
                <w:sz w:val="26"/>
                <w:szCs w:val="26"/>
              </w:rPr>
            </w:pPr>
          </w:p>
          <w:p w:rsidR="00F514FB" w:rsidRPr="00F514FB" w:rsidRDefault="00F514FB" w:rsidP="00ED79A0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F514FB" w:rsidRPr="00F514FB" w:rsidRDefault="00F514FB" w:rsidP="00ED79A0">
            <w:pPr>
              <w:widowControl/>
              <w:jc w:val="right"/>
              <w:rPr>
                <w:sz w:val="26"/>
                <w:szCs w:val="26"/>
              </w:rPr>
            </w:pPr>
          </w:p>
          <w:p w:rsidR="00F514FB" w:rsidRPr="00F514FB" w:rsidRDefault="00F514FB" w:rsidP="00ED79A0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F514FB" w:rsidRPr="00F514FB" w:rsidTr="00DE25AC">
        <w:tc>
          <w:tcPr>
            <w:tcW w:w="5058" w:type="dxa"/>
          </w:tcPr>
          <w:p w:rsidR="00F514FB" w:rsidRDefault="00EC5A98" w:rsidP="00ED79A0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Petition of PECO Energy Company for</w:t>
            </w:r>
          </w:p>
          <w:p w:rsidR="00EC5A98" w:rsidRPr="00F514FB" w:rsidRDefault="00EC5A98" w:rsidP="00ED79A0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Approval of its Default Service Program</w:t>
            </w:r>
            <w:r w:rsidR="00543607">
              <w:rPr>
                <w:sz w:val="26"/>
                <w:szCs w:val="26"/>
              </w:rPr>
              <w:t xml:space="preserve"> II</w:t>
            </w:r>
          </w:p>
        </w:tc>
        <w:tc>
          <w:tcPr>
            <w:tcW w:w="4428" w:type="dxa"/>
          </w:tcPr>
          <w:p w:rsidR="00F514FB" w:rsidRPr="00F514FB" w:rsidRDefault="00EC5A98" w:rsidP="00ED79A0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P-2012-2283641</w:t>
            </w:r>
          </w:p>
        </w:tc>
      </w:tr>
      <w:tr w:rsidR="00F514FB" w:rsidRPr="00F514FB" w:rsidTr="00DE25AC">
        <w:tc>
          <w:tcPr>
            <w:tcW w:w="5058" w:type="dxa"/>
          </w:tcPr>
          <w:p w:rsidR="00F514FB" w:rsidRPr="00F514FB" w:rsidRDefault="00F514FB" w:rsidP="00ED79A0">
            <w:pPr>
              <w:widowControl/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F514FB" w:rsidRPr="00F514FB" w:rsidRDefault="00F514FB" w:rsidP="00ED79A0">
            <w:pPr>
              <w:widowControl/>
              <w:rPr>
                <w:sz w:val="26"/>
                <w:szCs w:val="26"/>
              </w:rPr>
            </w:pPr>
          </w:p>
        </w:tc>
      </w:tr>
      <w:tr w:rsidR="00F514FB" w:rsidRPr="00F514FB" w:rsidTr="004050B0">
        <w:tc>
          <w:tcPr>
            <w:tcW w:w="5058" w:type="dxa"/>
          </w:tcPr>
          <w:p w:rsidR="00EC5A98" w:rsidRDefault="00EC5A98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Joint Petition of Metropolitan Edison      Company, Pennsylvania Electric Company,</w:t>
            </w:r>
          </w:p>
          <w:p w:rsidR="00EC5A98" w:rsidRDefault="00EC5A98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Power Company and</w:t>
            </w:r>
          </w:p>
          <w:p w:rsidR="00EC5A98" w:rsidRDefault="00EC5A98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West Penn Power Company for Approval of</w:t>
            </w:r>
          </w:p>
          <w:p w:rsidR="00EC5A98" w:rsidRDefault="00EC5A98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Their Default Service Programs</w:t>
            </w:r>
          </w:p>
          <w:p w:rsidR="00F45B0D" w:rsidRDefault="00F45B0D" w:rsidP="00EC5A98">
            <w:pPr>
              <w:widowControl/>
              <w:rPr>
                <w:sz w:val="26"/>
                <w:szCs w:val="26"/>
              </w:rPr>
            </w:pPr>
          </w:p>
          <w:p w:rsidR="00F45B0D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Petition of PPL Electric Utilities Corporation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 Approval of a Default Service Program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Procurement Plan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Petition of Duquesne Light Company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 Approval of a Default Service Program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 Procurement Plan for the Period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 1, 2013 through May 31, 2015</w:t>
            </w:r>
          </w:p>
          <w:p w:rsidR="00543607" w:rsidRDefault="00543607" w:rsidP="00EC5A98">
            <w:pPr>
              <w:widowControl/>
              <w:rPr>
                <w:sz w:val="26"/>
                <w:szCs w:val="26"/>
              </w:rPr>
            </w:pPr>
          </w:p>
          <w:p w:rsidR="00543607" w:rsidRPr="00F514FB" w:rsidRDefault="00543607" w:rsidP="00EC5A9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EC5A98" w:rsidRDefault="00EC5A98" w:rsidP="00EC5A98">
            <w:pPr>
              <w:widowControl/>
              <w:ind w:right="-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P-2011-2273650</w:t>
            </w:r>
          </w:p>
          <w:p w:rsidR="00EC5A98" w:rsidRDefault="00FC178F" w:rsidP="00EC5A98">
            <w:pPr>
              <w:tabs>
                <w:tab w:val="left" w:pos="2502"/>
              </w:tabs>
              <w:ind w:right="-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r w:rsidR="00EC5A98">
              <w:rPr>
                <w:sz w:val="26"/>
                <w:szCs w:val="26"/>
              </w:rPr>
              <w:t>P-2011-2273668</w:t>
            </w:r>
          </w:p>
          <w:p w:rsidR="00EC5A98" w:rsidRDefault="00EC5A98" w:rsidP="00EC5A98">
            <w:pPr>
              <w:ind w:right="-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</w:t>
            </w:r>
            <w:r w:rsidR="00FC178F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>P-2011-2273669</w:t>
            </w:r>
          </w:p>
          <w:p w:rsidR="00543607" w:rsidRDefault="00EC5A98" w:rsidP="00EC5A98">
            <w:pPr>
              <w:ind w:right="-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C178F">
              <w:rPr>
                <w:sz w:val="26"/>
                <w:szCs w:val="26"/>
              </w:rPr>
              <w:t xml:space="preserve">                             </w:t>
            </w:r>
            <w:r>
              <w:rPr>
                <w:sz w:val="26"/>
                <w:szCs w:val="26"/>
              </w:rPr>
              <w:t>P-2011-2273670</w:t>
            </w:r>
          </w:p>
          <w:p w:rsidR="00543607" w:rsidRPr="00543607" w:rsidRDefault="00543607" w:rsidP="00543607">
            <w:pPr>
              <w:rPr>
                <w:sz w:val="26"/>
                <w:szCs w:val="26"/>
              </w:rPr>
            </w:pPr>
          </w:p>
          <w:p w:rsidR="00543607" w:rsidRDefault="00543607" w:rsidP="00543607">
            <w:pPr>
              <w:rPr>
                <w:sz w:val="26"/>
                <w:szCs w:val="26"/>
              </w:rPr>
            </w:pPr>
          </w:p>
          <w:p w:rsidR="00543607" w:rsidRDefault="00543607" w:rsidP="00543607">
            <w:pPr>
              <w:ind w:right="-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FC178F">
              <w:rPr>
                <w:sz w:val="26"/>
                <w:szCs w:val="26"/>
              </w:rPr>
              <w:t xml:space="preserve">                               </w:t>
            </w:r>
            <w:r>
              <w:rPr>
                <w:sz w:val="26"/>
                <w:szCs w:val="26"/>
              </w:rPr>
              <w:t xml:space="preserve">P-2012-2302074 </w:t>
            </w:r>
          </w:p>
          <w:p w:rsidR="00543607" w:rsidRPr="00543607" w:rsidRDefault="00543607" w:rsidP="00543607">
            <w:pPr>
              <w:rPr>
                <w:sz w:val="26"/>
                <w:szCs w:val="26"/>
              </w:rPr>
            </w:pPr>
          </w:p>
          <w:p w:rsidR="00543607" w:rsidRPr="00543607" w:rsidRDefault="00543607" w:rsidP="00543607">
            <w:pPr>
              <w:rPr>
                <w:sz w:val="26"/>
                <w:szCs w:val="26"/>
              </w:rPr>
            </w:pPr>
          </w:p>
          <w:p w:rsidR="00543607" w:rsidRDefault="00543607" w:rsidP="00543607">
            <w:pPr>
              <w:rPr>
                <w:sz w:val="26"/>
                <w:szCs w:val="26"/>
              </w:rPr>
            </w:pPr>
          </w:p>
          <w:p w:rsidR="00F514FB" w:rsidRPr="00543607" w:rsidRDefault="00FC178F" w:rsidP="00543607">
            <w:pPr>
              <w:tabs>
                <w:tab w:val="left" w:pos="2661"/>
              </w:tabs>
              <w:ind w:right="-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</w:t>
            </w:r>
            <w:r w:rsidR="00543607">
              <w:rPr>
                <w:sz w:val="26"/>
                <w:szCs w:val="26"/>
              </w:rPr>
              <w:t>P-2012-</w:t>
            </w:r>
            <w:r w:rsidR="00614933">
              <w:rPr>
                <w:sz w:val="26"/>
                <w:szCs w:val="26"/>
              </w:rPr>
              <w:t>2</w:t>
            </w:r>
            <w:r w:rsidR="00543607">
              <w:rPr>
                <w:sz w:val="26"/>
                <w:szCs w:val="26"/>
              </w:rPr>
              <w:t>301664</w:t>
            </w:r>
          </w:p>
        </w:tc>
      </w:tr>
    </w:tbl>
    <w:p w:rsidR="00F514FB" w:rsidRPr="00F514FB" w:rsidRDefault="00F514FB" w:rsidP="00ED79A0">
      <w:pPr>
        <w:widowControl/>
        <w:rPr>
          <w:sz w:val="26"/>
          <w:szCs w:val="26"/>
        </w:rPr>
      </w:pPr>
    </w:p>
    <w:p w:rsidR="00F514FB" w:rsidRPr="00F514FB" w:rsidRDefault="00F514FB" w:rsidP="00ED79A0">
      <w:pPr>
        <w:widowControl/>
        <w:rPr>
          <w:sz w:val="26"/>
          <w:szCs w:val="26"/>
        </w:rPr>
      </w:pPr>
    </w:p>
    <w:p w:rsidR="00F514FB" w:rsidRPr="00F514FB" w:rsidRDefault="0031245B" w:rsidP="00BB0C3A">
      <w:pPr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TENTATIVE </w:t>
      </w:r>
      <w:r w:rsidR="00F514FB" w:rsidRPr="00F514FB">
        <w:rPr>
          <w:b/>
          <w:sz w:val="26"/>
          <w:szCs w:val="26"/>
        </w:rPr>
        <w:t>ORDER</w:t>
      </w:r>
      <w:r w:rsidR="00BB0C3A">
        <w:rPr>
          <w:b/>
          <w:sz w:val="26"/>
          <w:szCs w:val="26"/>
        </w:rPr>
        <w:t xml:space="preserve"> ON RECONSIDERATION</w:t>
      </w:r>
    </w:p>
    <w:p w:rsidR="00F514FB" w:rsidRPr="00F514FB" w:rsidRDefault="00F514FB" w:rsidP="00BB0C3A">
      <w:pPr>
        <w:widowControl/>
        <w:jc w:val="center"/>
        <w:rPr>
          <w:b/>
          <w:sz w:val="26"/>
          <w:szCs w:val="26"/>
        </w:rPr>
      </w:pPr>
    </w:p>
    <w:p w:rsidR="00F514FB" w:rsidRPr="00F514FB" w:rsidRDefault="00F514FB" w:rsidP="00BB0C3A">
      <w:pPr>
        <w:widowControl/>
        <w:jc w:val="center"/>
        <w:rPr>
          <w:b/>
          <w:sz w:val="26"/>
          <w:szCs w:val="26"/>
        </w:rPr>
      </w:pPr>
    </w:p>
    <w:p w:rsidR="00F514FB" w:rsidRPr="00F514FB" w:rsidRDefault="00F514FB" w:rsidP="00BB0C3A">
      <w:pPr>
        <w:keepNext/>
        <w:keepLines/>
        <w:widowControl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lastRenderedPageBreak/>
        <w:t>BY THE COMMISSION:</w:t>
      </w:r>
    </w:p>
    <w:p w:rsidR="00F514FB" w:rsidRPr="00F514FB" w:rsidRDefault="00F514FB" w:rsidP="00BB0C3A">
      <w:pPr>
        <w:keepNext/>
        <w:keepLines/>
        <w:widowControl/>
        <w:rPr>
          <w:sz w:val="26"/>
          <w:szCs w:val="26"/>
        </w:rPr>
      </w:pPr>
    </w:p>
    <w:p w:rsidR="00F514FB" w:rsidRPr="00F514FB" w:rsidRDefault="00F514FB" w:rsidP="00BB0C3A">
      <w:pPr>
        <w:keepNext/>
        <w:keepLines/>
        <w:widowControl/>
        <w:rPr>
          <w:sz w:val="26"/>
          <w:szCs w:val="26"/>
        </w:rPr>
      </w:pPr>
    </w:p>
    <w:p w:rsidR="00251E07" w:rsidRDefault="005D6F8B" w:rsidP="005D6F8B">
      <w:pPr>
        <w:keepNext/>
        <w:keepLines/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90343">
        <w:rPr>
          <w:sz w:val="26"/>
          <w:szCs w:val="26"/>
        </w:rPr>
        <w:t>Pursuant to Section 703(g) of the Public Utility Code (Code), 66 Pa. C.S. §</w:t>
      </w:r>
      <w:r w:rsidR="00F90343">
        <w:t> </w:t>
      </w:r>
      <w:r w:rsidR="00F90343">
        <w:rPr>
          <w:sz w:val="26"/>
          <w:szCs w:val="26"/>
        </w:rPr>
        <w:t>703(g), the Public Utili</w:t>
      </w:r>
      <w:r w:rsidR="00B60EB7">
        <w:rPr>
          <w:sz w:val="26"/>
          <w:szCs w:val="26"/>
        </w:rPr>
        <w:t xml:space="preserve">ty Commission (Commission) </w:t>
      </w:r>
      <w:r w:rsidR="00BB0C3A">
        <w:rPr>
          <w:sz w:val="26"/>
          <w:szCs w:val="26"/>
        </w:rPr>
        <w:t xml:space="preserve">is providing notice that </w:t>
      </w:r>
      <w:r w:rsidR="00CF7E7C">
        <w:rPr>
          <w:sz w:val="26"/>
          <w:szCs w:val="26"/>
        </w:rPr>
        <w:t xml:space="preserve">it </w:t>
      </w:r>
      <w:r w:rsidR="00BB0C3A">
        <w:rPr>
          <w:sz w:val="26"/>
          <w:szCs w:val="26"/>
        </w:rPr>
        <w:t xml:space="preserve">will </w:t>
      </w:r>
      <w:r w:rsidR="00B60EB7">
        <w:rPr>
          <w:sz w:val="26"/>
          <w:szCs w:val="26"/>
        </w:rPr>
        <w:t>reconsider</w:t>
      </w:r>
      <w:r w:rsidR="00F90343">
        <w:rPr>
          <w:sz w:val="26"/>
          <w:szCs w:val="26"/>
        </w:rPr>
        <w:t xml:space="preserve"> one issue which is common in each of the above-captioned default service proceedings.  In each of these proceedings, the Commission directed the </w:t>
      </w:r>
      <w:r w:rsidR="00BB0C3A">
        <w:rPr>
          <w:sz w:val="26"/>
          <w:szCs w:val="26"/>
        </w:rPr>
        <w:t xml:space="preserve">petitioning </w:t>
      </w:r>
      <w:r w:rsidR="00F90343">
        <w:rPr>
          <w:sz w:val="26"/>
          <w:szCs w:val="26"/>
        </w:rPr>
        <w:t xml:space="preserve">electric distribution company (EDC) to implement a Retail Opt-In (ROI) </w:t>
      </w:r>
      <w:r w:rsidR="00537EB7">
        <w:rPr>
          <w:sz w:val="26"/>
          <w:szCs w:val="26"/>
        </w:rPr>
        <w:t xml:space="preserve">Program </w:t>
      </w:r>
      <w:r w:rsidR="00F90343">
        <w:rPr>
          <w:sz w:val="26"/>
          <w:szCs w:val="26"/>
        </w:rPr>
        <w:t xml:space="preserve">for residential and small </w:t>
      </w:r>
      <w:r w:rsidR="005D1C22">
        <w:rPr>
          <w:sz w:val="26"/>
          <w:szCs w:val="26"/>
        </w:rPr>
        <w:t>commercial and industrial</w:t>
      </w:r>
      <w:r w:rsidR="00F90343">
        <w:rPr>
          <w:sz w:val="26"/>
          <w:szCs w:val="26"/>
        </w:rPr>
        <w:t xml:space="preserve"> customers.  The ROI </w:t>
      </w:r>
      <w:r w:rsidR="00DF4BEA">
        <w:rPr>
          <w:sz w:val="26"/>
          <w:szCs w:val="26"/>
        </w:rPr>
        <w:t xml:space="preserve">Program </w:t>
      </w:r>
      <w:r w:rsidR="00F90343">
        <w:rPr>
          <w:sz w:val="26"/>
          <w:szCs w:val="26"/>
        </w:rPr>
        <w:t>was required to provide a four-month discount from the EDC’s price to compare</w:t>
      </w:r>
      <w:r w:rsidR="00BB0C3A">
        <w:rPr>
          <w:sz w:val="26"/>
          <w:szCs w:val="26"/>
        </w:rPr>
        <w:t xml:space="preserve"> (PTC)</w:t>
      </w:r>
      <w:r w:rsidR="00F90343">
        <w:rPr>
          <w:sz w:val="26"/>
          <w:szCs w:val="26"/>
        </w:rPr>
        <w:t>, followed by an eight-month fixed price offer by participating electric generation suppliers</w:t>
      </w:r>
      <w:r w:rsidR="00251E07">
        <w:rPr>
          <w:sz w:val="26"/>
          <w:szCs w:val="26"/>
        </w:rPr>
        <w:t>.  Customers who remained in the program for the first four months would receive a fifty dollar bonus.  There would be no penalty for leaving the ROI</w:t>
      </w:r>
      <w:r w:rsidR="00DF4BEA">
        <w:rPr>
          <w:sz w:val="26"/>
          <w:szCs w:val="26"/>
        </w:rPr>
        <w:t xml:space="preserve"> Program</w:t>
      </w:r>
      <w:r w:rsidR="00251E07">
        <w:rPr>
          <w:sz w:val="26"/>
          <w:szCs w:val="26"/>
        </w:rPr>
        <w:t xml:space="preserve"> at any time.</w:t>
      </w:r>
      <w:r w:rsidR="00DF4BEA">
        <w:rPr>
          <w:rStyle w:val="FootnoteReference"/>
          <w:sz w:val="26"/>
          <w:szCs w:val="26"/>
        </w:rPr>
        <w:footnoteReference w:id="1"/>
      </w:r>
      <w:r w:rsidR="00251E07">
        <w:rPr>
          <w:sz w:val="26"/>
          <w:szCs w:val="26"/>
        </w:rPr>
        <w:t xml:space="preserve">  </w:t>
      </w:r>
    </w:p>
    <w:p w:rsidR="005D6F8B" w:rsidRDefault="005D6F8B" w:rsidP="005D6F8B">
      <w:pPr>
        <w:keepNext/>
        <w:keepLines/>
        <w:widowControl/>
        <w:spacing w:line="360" w:lineRule="auto"/>
        <w:jc w:val="both"/>
        <w:rPr>
          <w:sz w:val="26"/>
          <w:szCs w:val="26"/>
        </w:rPr>
      </w:pPr>
    </w:p>
    <w:p w:rsidR="005D6F8B" w:rsidRDefault="005D6F8B" w:rsidP="005D6F8B">
      <w:pPr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51E07">
        <w:rPr>
          <w:sz w:val="26"/>
          <w:szCs w:val="26"/>
        </w:rPr>
        <w:t xml:space="preserve">In addition to the </w:t>
      </w:r>
      <w:r w:rsidR="00BB0C3A">
        <w:rPr>
          <w:sz w:val="26"/>
          <w:szCs w:val="26"/>
        </w:rPr>
        <w:t xml:space="preserve">directed </w:t>
      </w:r>
      <w:r w:rsidR="00251E07">
        <w:rPr>
          <w:sz w:val="26"/>
          <w:szCs w:val="26"/>
        </w:rPr>
        <w:t>ROI</w:t>
      </w:r>
      <w:r w:rsidR="00D56933">
        <w:rPr>
          <w:sz w:val="26"/>
          <w:szCs w:val="26"/>
        </w:rPr>
        <w:t xml:space="preserve"> </w:t>
      </w:r>
      <w:r w:rsidR="00DF4BEA">
        <w:rPr>
          <w:sz w:val="26"/>
          <w:szCs w:val="26"/>
        </w:rPr>
        <w:t>P</w:t>
      </w:r>
      <w:r w:rsidR="00D56933">
        <w:rPr>
          <w:sz w:val="26"/>
          <w:szCs w:val="26"/>
        </w:rPr>
        <w:t>rogram</w:t>
      </w:r>
      <w:r w:rsidR="00251E07">
        <w:rPr>
          <w:sz w:val="26"/>
          <w:szCs w:val="26"/>
        </w:rPr>
        <w:t xml:space="preserve">, we directed each of the </w:t>
      </w:r>
      <w:r w:rsidR="00BB0C3A">
        <w:rPr>
          <w:sz w:val="26"/>
          <w:szCs w:val="26"/>
        </w:rPr>
        <w:t xml:space="preserve">affected </w:t>
      </w:r>
      <w:r w:rsidR="00251E07">
        <w:rPr>
          <w:sz w:val="26"/>
          <w:szCs w:val="26"/>
        </w:rPr>
        <w:t xml:space="preserve">EDCs to implement a </w:t>
      </w:r>
      <w:r w:rsidR="00BB0C3A">
        <w:rPr>
          <w:sz w:val="26"/>
          <w:szCs w:val="26"/>
        </w:rPr>
        <w:t xml:space="preserve">Standard Offer Referral Program </w:t>
      </w:r>
      <w:r w:rsidR="005D1C22">
        <w:rPr>
          <w:sz w:val="26"/>
          <w:szCs w:val="26"/>
        </w:rPr>
        <w:t>for residential and small commercial and industrial customers.  The Standard Offer Referral Program also provided a discount from the EDC’s PTC for a twelve-month term.</w:t>
      </w:r>
      <w:r w:rsidR="00DF4BEA">
        <w:rPr>
          <w:rStyle w:val="FootnoteReference"/>
          <w:sz w:val="26"/>
          <w:szCs w:val="26"/>
        </w:rPr>
        <w:footnoteReference w:id="2"/>
      </w:r>
      <w:r w:rsidR="005D1C22">
        <w:rPr>
          <w:sz w:val="26"/>
          <w:szCs w:val="26"/>
        </w:rPr>
        <w:t xml:space="preserve">  In each of these proceedings, the EDC was directed </w:t>
      </w:r>
      <w:r w:rsidR="007A4C9B">
        <w:rPr>
          <w:sz w:val="26"/>
          <w:szCs w:val="26"/>
        </w:rPr>
        <w:t xml:space="preserve">to stagger </w:t>
      </w:r>
      <w:r w:rsidR="005D1C22">
        <w:rPr>
          <w:sz w:val="26"/>
          <w:szCs w:val="26"/>
        </w:rPr>
        <w:t>implement</w:t>
      </w:r>
      <w:r w:rsidR="007A4C9B">
        <w:rPr>
          <w:sz w:val="26"/>
          <w:szCs w:val="26"/>
        </w:rPr>
        <w:t>ation of</w:t>
      </w:r>
      <w:r w:rsidR="005D1C22">
        <w:rPr>
          <w:sz w:val="26"/>
          <w:szCs w:val="26"/>
        </w:rPr>
        <w:t xml:space="preserve"> the ROI and the Standard Offer Program</w:t>
      </w:r>
      <w:r w:rsidR="007A4C9B">
        <w:rPr>
          <w:sz w:val="26"/>
          <w:szCs w:val="26"/>
        </w:rPr>
        <w:t>s</w:t>
      </w:r>
      <w:r w:rsidR="005D1C22">
        <w:rPr>
          <w:sz w:val="26"/>
          <w:szCs w:val="26"/>
        </w:rPr>
        <w:t xml:space="preserve"> </w:t>
      </w:r>
      <w:r w:rsidR="00BB0C3A">
        <w:rPr>
          <w:sz w:val="26"/>
          <w:szCs w:val="26"/>
        </w:rPr>
        <w:t>on or before specific date</w:t>
      </w:r>
      <w:r w:rsidR="001003B6">
        <w:rPr>
          <w:sz w:val="26"/>
          <w:szCs w:val="26"/>
        </w:rPr>
        <w:t>s</w:t>
      </w:r>
      <w:r w:rsidR="00BB0C3A">
        <w:rPr>
          <w:sz w:val="26"/>
          <w:szCs w:val="26"/>
        </w:rPr>
        <w:t xml:space="preserve">, </w:t>
      </w:r>
      <w:r w:rsidR="007A4C9B">
        <w:rPr>
          <w:sz w:val="26"/>
          <w:szCs w:val="26"/>
        </w:rPr>
        <w:t>approximately</w:t>
      </w:r>
      <w:r w:rsidR="001003B6">
        <w:rPr>
          <w:sz w:val="26"/>
          <w:szCs w:val="26"/>
        </w:rPr>
        <w:t xml:space="preserve"> one month apart</w:t>
      </w:r>
      <w:r w:rsidR="005D1C22">
        <w:rPr>
          <w:sz w:val="26"/>
          <w:szCs w:val="26"/>
        </w:rPr>
        <w:t>.</w:t>
      </w:r>
      <w:r w:rsidR="00DF4BEA">
        <w:rPr>
          <w:rStyle w:val="FootnoteReference"/>
          <w:sz w:val="26"/>
          <w:szCs w:val="26"/>
        </w:rPr>
        <w:footnoteReference w:id="3"/>
      </w:r>
      <w:r w:rsidR="005D1C22">
        <w:rPr>
          <w:sz w:val="26"/>
          <w:szCs w:val="26"/>
        </w:rPr>
        <w:t xml:space="preserve">  </w:t>
      </w:r>
    </w:p>
    <w:p w:rsidR="005D6F8B" w:rsidRDefault="005D6F8B" w:rsidP="00ED79A0">
      <w:pPr>
        <w:widowControl/>
        <w:spacing w:line="360" w:lineRule="auto"/>
        <w:rPr>
          <w:sz w:val="26"/>
          <w:szCs w:val="26"/>
        </w:rPr>
      </w:pPr>
    </w:p>
    <w:p w:rsidR="0028052B" w:rsidRDefault="005D6F8B" w:rsidP="005D6F8B">
      <w:pPr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D1C22">
        <w:rPr>
          <w:sz w:val="26"/>
          <w:szCs w:val="26"/>
        </w:rPr>
        <w:t xml:space="preserve">Upon further reflection, we </w:t>
      </w:r>
      <w:r w:rsidR="00DF4BEA">
        <w:rPr>
          <w:sz w:val="26"/>
          <w:szCs w:val="26"/>
        </w:rPr>
        <w:t xml:space="preserve">are </w:t>
      </w:r>
      <w:r w:rsidR="005D1C22">
        <w:rPr>
          <w:sz w:val="26"/>
          <w:szCs w:val="26"/>
        </w:rPr>
        <w:t>reconsider</w:t>
      </w:r>
      <w:r w:rsidR="00DF4BEA">
        <w:rPr>
          <w:sz w:val="26"/>
          <w:szCs w:val="26"/>
        </w:rPr>
        <w:t>ing</w:t>
      </w:r>
      <w:r w:rsidR="005D1C22">
        <w:rPr>
          <w:sz w:val="26"/>
          <w:szCs w:val="26"/>
        </w:rPr>
        <w:t xml:space="preserve"> the implementation</w:t>
      </w:r>
      <w:r w:rsidR="007A4C9B">
        <w:rPr>
          <w:sz w:val="26"/>
          <w:szCs w:val="26"/>
        </w:rPr>
        <w:t xml:space="preserve"> schedule</w:t>
      </w:r>
      <w:r w:rsidR="005D1C22">
        <w:rPr>
          <w:sz w:val="26"/>
          <w:szCs w:val="26"/>
        </w:rPr>
        <w:t xml:space="preserve"> </w:t>
      </w:r>
      <w:r w:rsidR="007A4C9B">
        <w:rPr>
          <w:sz w:val="26"/>
          <w:szCs w:val="26"/>
        </w:rPr>
        <w:t>for</w:t>
      </w:r>
      <w:r w:rsidR="005D1C22">
        <w:rPr>
          <w:sz w:val="26"/>
          <w:szCs w:val="26"/>
        </w:rPr>
        <w:t xml:space="preserve"> the ROI</w:t>
      </w:r>
      <w:r w:rsidR="007A4C9B">
        <w:rPr>
          <w:sz w:val="26"/>
          <w:szCs w:val="26"/>
        </w:rPr>
        <w:t xml:space="preserve"> Program</w:t>
      </w:r>
      <w:r w:rsidR="005D1C22">
        <w:rPr>
          <w:sz w:val="26"/>
          <w:szCs w:val="26"/>
        </w:rPr>
        <w:t xml:space="preserve"> in each of the above</w:t>
      </w:r>
      <w:r w:rsidR="00614933">
        <w:rPr>
          <w:sz w:val="26"/>
          <w:szCs w:val="26"/>
        </w:rPr>
        <w:t>-captioned</w:t>
      </w:r>
      <w:r w:rsidR="005D1C22">
        <w:rPr>
          <w:sz w:val="26"/>
          <w:szCs w:val="26"/>
        </w:rPr>
        <w:t xml:space="preserve"> proceedings</w:t>
      </w:r>
      <w:r w:rsidR="00D36DC4">
        <w:rPr>
          <w:sz w:val="26"/>
          <w:szCs w:val="26"/>
        </w:rPr>
        <w:t xml:space="preserve">.  </w:t>
      </w:r>
      <w:r w:rsidR="0028052B">
        <w:rPr>
          <w:sz w:val="26"/>
          <w:szCs w:val="26"/>
        </w:rPr>
        <w:t xml:space="preserve">The ROI </w:t>
      </w:r>
      <w:r w:rsidR="00EA4B65">
        <w:rPr>
          <w:sz w:val="26"/>
          <w:szCs w:val="26"/>
        </w:rPr>
        <w:t>Program</w:t>
      </w:r>
      <w:r w:rsidR="0028052B">
        <w:rPr>
          <w:sz w:val="26"/>
          <w:szCs w:val="26"/>
        </w:rPr>
        <w:t xml:space="preserve"> discussed in each of these proceedings is expected to provide residential and small commercial and industrial customers with appropriate incentives to participat</w:t>
      </w:r>
      <w:r w:rsidR="00304ECB">
        <w:rPr>
          <w:sz w:val="26"/>
          <w:szCs w:val="26"/>
        </w:rPr>
        <w:t>e</w:t>
      </w:r>
      <w:r w:rsidR="0028052B">
        <w:rPr>
          <w:sz w:val="26"/>
          <w:szCs w:val="26"/>
        </w:rPr>
        <w:t xml:space="preserve"> in Pennsylvania’s retail electricity market and provide a positive shopping experienc</w:t>
      </w:r>
      <w:r>
        <w:rPr>
          <w:sz w:val="26"/>
          <w:szCs w:val="26"/>
        </w:rPr>
        <w:t xml:space="preserve">e.  The Standard Offer </w:t>
      </w:r>
      <w:r w:rsidR="0028052B">
        <w:rPr>
          <w:sz w:val="26"/>
          <w:szCs w:val="26"/>
        </w:rPr>
        <w:t xml:space="preserve">Referral Program was designed with the same objective, although that program’s </w:t>
      </w:r>
      <w:r w:rsidR="0028052B">
        <w:rPr>
          <w:sz w:val="26"/>
          <w:szCs w:val="26"/>
        </w:rPr>
        <w:lastRenderedPageBreak/>
        <w:t xml:space="preserve">structure is </w:t>
      </w:r>
      <w:r w:rsidR="00614933">
        <w:rPr>
          <w:sz w:val="26"/>
          <w:szCs w:val="26"/>
        </w:rPr>
        <w:t>somewhat</w:t>
      </w:r>
      <w:r w:rsidR="0028052B">
        <w:rPr>
          <w:sz w:val="26"/>
          <w:szCs w:val="26"/>
        </w:rPr>
        <w:t xml:space="preserve"> different.  </w:t>
      </w:r>
      <w:r w:rsidR="007757C2">
        <w:rPr>
          <w:sz w:val="26"/>
          <w:szCs w:val="26"/>
        </w:rPr>
        <w:t>W</w:t>
      </w:r>
      <w:r w:rsidR="0028052B">
        <w:rPr>
          <w:sz w:val="26"/>
          <w:szCs w:val="26"/>
        </w:rPr>
        <w:t xml:space="preserve">e are concerned that implementation of the ROI </w:t>
      </w:r>
      <w:r w:rsidR="007A4C9B">
        <w:rPr>
          <w:sz w:val="26"/>
          <w:szCs w:val="26"/>
        </w:rPr>
        <w:t xml:space="preserve">Program </w:t>
      </w:r>
      <w:r w:rsidR="00614933">
        <w:rPr>
          <w:sz w:val="26"/>
          <w:szCs w:val="26"/>
        </w:rPr>
        <w:t xml:space="preserve">so close in time to the implementation of </w:t>
      </w:r>
      <w:r w:rsidR="0028052B">
        <w:rPr>
          <w:sz w:val="26"/>
          <w:szCs w:val="26"/>
        </w:rPr>
        <w:t>the Standard Offer Referral Program may result in confusion for customers</w:t>
      </w:r>
      <w:r w:rsidR="00304ECB">
        <w:rPr>
          <w:sz w:val="26"/>
          <w:szCs w:val="26"/>
        </w:rPr>
        <w:t>.</w:t>
      </w:r>
      <w:r w:rsidR="0028052B">
        <w:rPr>
          <w:sz w:val="26"/>
          <w:szCs w:val="26"/>
        </w:rPr>
        <w:t xml:space="preserve"> </w:t>
      </w:r>
      <w:r w:rsidR="00304ECB">
        <w:rPr>
          <w:sz w:val="26"/>
          <w:szCs w:val="26"/>
        </w:rPr>
        <w:t xml:space="preserve">  </w:t>
      </w:r>
    </w:p>
    <w:p w:rsidR="0028052B" w:rsidRDefault="0028052B" w:rsidP="00ED79A0">
      <w:pPr>
        <w:widowControl/>
        <w:spacing w:line="360" w:lineRule="auto"/>
        <w:rPr>
          <w:sz w:val="26"/>
          <w:szCs w:val="26"/>
        </w:rPr>
      </w:pPr>
    </w:p>
    <w:p w:rsidR="0028052B" w:rsidRDefault="005D6F8B" w:rsidP="005D6F8B">
      <w:pPr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8052B">
        <w:rPr>
          <w:sz w:val="26"/>
          <w:szCs w:val="26"/>
        </w:rPr>
        <w:t>Based on the foregoing concerns</w:t>
      </w:r>
      <w:r>
        <w:rPr>
          <w:sz w:val="26"/>
          <w:szCs w:val="26"/>
        </w:rPr>
        <w:t xml:space="preserve">, we </w:t>
      </w:r>
      <w:r w:rsidR="00870A34">
        <w:rPr>
          <w:sz w:val="26"/>
          <w:szCs w:val="26"/>
        </w:rPr>
        <w:t xml:space="preserve">tentatively </w:t>
      </w:r>
      <w:r>
        <w:rPr>
          <w:sz w:val="26"/>
          <w:szCs w:val="26"/>
        </w:rPr>
        <w:t xml:space="preserve">plan to postpone </w:t>
      </w:r>
      <w:r w:rsidR="0028052B">
        <w:rPr>
          <w:sz w:val="26"/>
          <w:szCs w:val="26"/>
        </w:rPr>
        <w:t xml:space="preserve">implementation of the ROI </w:t>
      </w:r>
      <w:r>
        <w:rPr>
          <w:sz w:val="26"/>
          <w:szCs w:val="26"/>
        </w:rPr>
        <w:t xml:space="preserve">Program </w:t>
      </w:r>
      <w:r w:rsidR="0028052B">
        <w:rPr>
          <w:sz w:val="26"/>
          <w:szCs w:val="26"/>
        </w:rPr>
        <w:t xml:space="preserve">in each of the </w:t>
      </w:r>
      <w:r w:rsidR="00B60EB7">
        <w:rPr>
          <w:sz w:val="26"/>
          <w:szCs w:val="26"/>
        </w:rPr>
        <w:t xml:space="preserve">affected </w:t>
      </w:r>
      <w:r w:rsidR="0028052B">
        <w:rPr>
          <w:sz w:val="26"/>
          <w:szCs w:val="26"/>
        </w:rPr>
        <w:t xml:space="preserve">EDC service territories </w:t>
      </w:r>
      <w:r w:rsidR="00B60EB7">
        <w:rPr>
          <w:sz w:val="26"/>
          <w:szCs w:val="26"/>
        </w:rPr>
        <w:t>i</w:t>
      </w:r>
      <w:r w:rsidR="0028052B">
        <w:rPr>
          <w:sz w:val="26"/>
          <w:szCs w:val="26"/>
        </w:rPr>
        <w:t xml:space="preserve">n order to permit the Standard Offer Customer Referral Program to move forward on its own.  </w:t>
      </w:r>
      <w:r w:rsidR="00380334" w:rsidRPr="005D6F8B">
        <w:rPr>
          <w:sz w:val="26"/>
          <w:szCs w:val="24"/>
        </w:rPr>
        <w:t>The Commission</w:t>
      </w:r>
      <w:r>
        <w:rPr>
          <w:sz w:val="26"/>
          <w:szCs w:val="24"/>
        </w:rPr>
        <w:t xml:space="preserve"> will revisit the ROI Program</w:t>
      </w:r>
      <w:r w:rsidR="00380334" w:rsidRPr="005D6F8B">
        <w:rPr>
          <w:sz w:val="26"/>
          <w:szCs w:val="24"/>
        </w:rPr>
        <w:t xml:space="preserve"> after we have had the opportunity to consider the </w:t>
      </w:r>
      <w:r>
        <w:rPr>
          <w:sz w:val="26"/>
          <w:szCs w:val="24"/>
        </w:rPr>
        <w:t xml:space="preserve">ongoing </w:t>
      </w:r>
      <w:r w:rsidR="00380334" w:rsidRPr="005D6F8B">
        <w:rPr>
          <w:sz w:val="26"/>
          <w:szCs w:val="24"/>
        </w:rPr>
        <w:t>results of the Standard Offer</w:t>
      </w:r>
      <w:r>
        <w:rPr>
          <w:sz w:val="26"/>
          <w:szCs w:val="24"/>
        </w:rPr>
        <w:t xml:space="preserve"> Referral</w:t>
      </w:r>
      <w:r w:rsidR="00380334" w:rsidRPr="005D6F8B">
        <w:rPr>
          <w:sz w:val="26"/>
          <w:szCs w:val="24"/>
        </w:rPr>
        <w:t xml:space="preserve"> Program.  </w:t>
      </w:r>
    </w:p>
    <w:p w:rsidR="00DA0430" w:rsidRDefault="00DA0430" w:rsidP="00ED79A0">
      <w:pPr>
        <w:widowControl/>
        <w:spacing w:line="360" w:lineRule="auto"/>
        <w:rPr>
          <w:sz w:val="26"/>
          <w:szCs w:val="26"/>
        </w:rPr>
      </w:pPr>
    </w:p>
    <w:p w:rsidR="00DA0430" w:rsidRDefault="005D6F8B" w:rsidP="005D6F8B">
      <w:pPr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A0430">
        <w:rPr>
          <w:sz w:val="26"/>
          <w:szCs w:val="26"/>
        </w:rPr>
        <w:t xml:space="preserve">We direct that this Tentative Order be served on all </w:t>
      </w:r>
      <w:r w:rsidR="007A2AF8">
        <w:rPr>
          <w:sz w:val="26"/>
          <w:szCs w:val="26"/>
        </w:rPr>
        <w:t>Parties in</w:t>
      </w:r>
      <w:r w:rsidR="00DA0430">
        <w:rPr>
          <w:sz w:val="26"/>
          <w:szCs w:val="26"/>
        </w:rPr>
        <w:t xml:space="preserve"> the above-captioned proceedings.  </w:t>
      </w:r>
      <w:r>
        <w:rPr>
          <w:sz w:val="26"/>
          <w:szCs w:val="26"/>
        </w:rPr>
        <w:t>Any c</w:t>
      </w:r>
      <w:r w:rsidR="00380334">
        <w:rPr>
          <w:sz w:val="26"/>
          <w:szCs w:val="26"/>
        </w:rPr>
        <w:t>omments</w:t>
      </w:r>
      <w:r w:rsidR="00DA0430">
        <w:rPr>
          <w:sz w:val="26"/>
          <w:szCs w:val="26"/>
        </w:rPr>
        <w:t xml:space="preserve"> must be filed within ten days of the entry of this Tentative Order.  </w:t>
      </w:r>
    </w:p>
    <w:p w:rsidR="00DA0430" w:rsidRDefault="00DA0430" w:rsidP="00ED79A0">
      <w:pPr>
        <w:widowControl/>
        <w:spacing w:line="360" w:lineRule="auto"/>
        <w:rPr>
          <w:sz w:val="26"/>
          <w:szCs w:val="26"/>
        </w:rPr>
      </w:pPr>
    </w:p>
    <w:p w:rsidR="00B60EB7" w:rsidRDefault="005D6F8B" w:rsidP="005D6F8B">
      <w:pPr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A0430">
        <w:rPr>
          <w:sz w:val="26"/>
          <w:szCs w:val="26"/>
        </w:rPr>
        <w:t>We also direct that</w:t>
      </w:r>
      <w:r>
        <w:rPr>
          <w:sz w:val="26"/>
          <w:szCs w:val="26"/>
        </w:rPr>
        <w:t xml:space="preserve"> each of the affected EDCs immediately postpone</w:t>
      </w:r>
      <w:r w:rsidR="00DA0430">
        <w:rPr>
          <w:sz w:val="26"/>
          <w:szCs w:val="26"/>
        </w:rPr>
        <w:t xml:space="preserve"> the implementation of their ROI</w:t>
      </w:r>
      <w:r w:rsidR="007757C2">
        <w:rPr>
          <w:sz w:val="26"/>
          <w:szCs w:val="26"/>
        </w:rPr>
        <w:t xml:space="preserve"> Program</w:t>
      </w:r>
      <w:r w:rsidR="00DA3A0A">
        <w:rPr>
          <w:sz w:val="26"/>
          <w:szCs w:val="26"/>
        </w:rPr>
        <w:t>s</w:t>
      </w:r>
      <w:r w:rsidR="00DA0430">
        <w:rPr>
          <w:sz w:val="26"/>
          <w:szCs w:val="26"/>
        </w:rPr>
        <w:t>, pending the outcome of ou</w:t>
      </w:r>
      <w:r>
        <w:rPr>
          <w:sz w:val="26"/>
          <w:szCs w:val="26"/>
        </w:rPr>
        <w:t>r reconsideration set forth herein</w:t>
      </w:r>
      <w:r w:rsidR="00DA0430">
        <w:rPr>
          <w:sz w:val="26"/>
          <w:szCs w:val="26"/>
        </w:rPr>
        <w:t xml:space="preserve">.  </w:t>
      </w:r>
      <w:r w:rsidR="007757C2">
        <w:rPr>
          <w:sz w:val="26"/>
          <w:szCs w:val="26"/>
        </w:rPr>
        <w:t>Further, t</w:t>
      </w:r>
      <w:r>
        <w:rPr>
          <w:sz w:val="26"/>
          <w:szCs w:val="26"/>
        </w:rPr>
        <w:t>o the extent that the above-referenced</w:t>
      </w:r>
      <w:r w:rsidR="00DA0430">
        <w:rPr>
          <w:sz w:val="26"/>
          <w:szCs w:val="26"/>
        </w:rPr>
        <w:t xml:space="preserve"> Orders have directed </w:t>
      </w:r>
      <w:r w:rsidR="007757C2">
        <w:rPr>
          <w:sz w:val="26"/>
          <w:szCs w:val="26"/>
        </w:rPr>
        <w:t xml:space="preserve">that </w:t>
      </w:r>
      <w:proofErr w:type="spellStart"/>
      <w:r w:rsidR="007757C2">
        <w:rPr>
          <w:sz w:val="26"/>
          <w:szCs w:val="26"/>
        </w:rPr>
        <w:t>collaboratives</w:t>
      </w:r>
      <w:proofErr w:type="spellEnd"/>
      <w:r w:rsidR="007757C2">
        <w:rPr>
          <w:sz w:val="26"/>
          <w:szCs w:val="26"/>
        </w:rPr>
        <w:t xml:space="preserve"> be developed as well as other </w:t>
      </w:r>
      <w:r w:rsidR="00DA0430">
        <w:rPr>
          <w:sz w:val="26"/>
          <w:szCs w:val="26"/>
        </w:rPr>
        <w:t xml:space="preserve">specific </w:t>
      </w:r>
      <w:r w:rsidR="00B60EB7">
        <w:rPr>
          <w:sz w:val="26"/>
          <w:szCs w:val="26"/>
        </w:rPr>
        <w:t xml:space="preserve">ROI </w:t>
      </w:r>
      <w:r w:rsidR="00DA0430">
        <w:rPr>
          <w:sz w:val="26"/>
          <w:szCs w:val="26"/>
        </w:rPr>
        <w:t xml:space="preserve">implementation dates, </w:t>
      </w:r>
      <w:r w:rsidR="007A2AF8">
        <w:rPr>
          <w:sz w:val="26"/>
          <w:szCs w:val="26"/>
        </w:rPr>
        <w:t>those schedules</w:t>
      </w:r>
      <w:r w:rsidR="001762A1">
        <w:rPr>
          <w:sz w:val="26"/>
          <w:szCs w:val="26"/>
        </w:rPr>
        <w:t xml:space="preserve"> are hereby held in abeyance, pending the outcome of ou</w:t>
      </w:r>
      <w:r>
        <w:rPr>
          <w:sz w:val="26"/>
          <w:szCs w:val="26"/>
        </w:rPr>
        <w:t>r reconsideration stated in this Tentative Order</w:t>
      </w:r>
      <w:r w:rsidR="00DA0430">
        <w:rPr>
          <w:sz w:val="26"/>
          <w:szCs w:val="26"/>
        </w:rPr>
        <w:t xml:space="preserve">.  </w:t>
      </w:r>
    </w:p>
    <w:p w:rsidR="005D1C22" w:rsidRPr="00CA43A5" w:rsidRDefault="0028052B" w:rsidP="005D6F8B">
      <w:pPr>
        <w:widowControl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A43A5" w:rsidRPr="00CA43A5" w:rsidRDefault="00CA43A5" w:rsidP="00614933">
      <w:pPr>
        <w:keepNext/>
        <w:keepLines/>
        <w:widowControl/>
        <w:spacing w:line="360" w:lineRule="auto"/>
        <w:jc w:val="center"/>
        <w:rPr>
          <w:b/>
          <w:sz w:val="26"/>
          <w:szCs w:val="26"/>
        </w:rPr>
      </w:pPr>
      <w:r w:rsidRPr="00CA43A5">
        <w:rPr>
          <w:b/>
          <w:sz w:val="26"/>
          <w:szCs w:val="26"/>
        </w:rPr>
        <w:t>Conclusion</w:t>
      </w:r>
    </w:p>
    <w:p w:rsidR="00CA43A5" w:rsidRPr="00CA43A5" w:rsidRDefault="00CA43A5" w:rsidP="00614933">
      <w:pPr>
        <w:keepNext/>
        <w:keepLines/>
        <w:widowControl/>
        <w:spacing w:line="360" w:lineRule="auto"/>
        <w:ind w:firstLine="1440"/>
        <w:rPr>
          <w:sz w:val="26"/>
          <w:szCs w:val="26"/>
        </w:rPr>
      </w:pPr>
    </w:p>
    <w:p w:rsidR="00CA43A5" w:rsidRPr="00CA43A5" w:rsidRDefault="00CA43A5" w:rsidP="000E35A1">
      <w:pPr>
        <w:keepNext/>
        <w:keepLines/>
        <w:widowControl/>
        <w:spacing w:line="360" w:lineRule="auto"/>
        <w:ind w:firstLine="720"/>
        <w:jc w:val="both"/>
        <w:rPr>
          <w:sz w:val="26"/>
          <w:szCs w:val="26"/>
        </w:rPr>
      </w:pPr>
      <w:r w:rsidRPr="00CA43A5">
        <w:rPr>
          <w:sz w:val="26"/>
          <w:szCs w:val="26"/>
        </w:rPr>
        <w:t>Based upon the foregoing discussion,</w:t>
      </w:r>
      <w:r w:rsidR="00B60EB7">
        <w:rPr>
          <w:sz w:val="26"/>
          <w:szCs w:val="26"/>
        </w:rPr>
        <w:t xml:space="preserve"> we are providing notice of our intent to reconsider our prior Orders in these proceedings and </w:t>
      </w:r>
      <w:r w:rsidR="001762A1">
        <w:rPr>
          <w:sz w:val="26"/>
          <w:szCs w:val="26"/>
        </w:rPr>
        <w:t xml:space="preserve">we hereby </w:t>
      </w:r>
      <w:r w:rsidR="00B60EB7">
        <w:rPr>
          <w:sz w:val="26"/>
          <w:szCs w:val="26"/>
        </w:rPr>
        <w:t>postpone the implementation of the Retail Opt-In Program</w:t>
      </w:r>
      <w:r w:rsidR="00614933">
        <w:rPr>
          <w:sz w:val="26"/>
          <w:szCs w:val="26"/>
        </w:rPr>
        <w:t>s</w:t>
      </w:r>
      <w:r w:rsidR="00DA3A0A">
        <w:rPr>
          <w:sz w:val="26"/>
          <w:szCs w:val="26"/>
        </w:rPr>
        <w:t xml:space="preserve"> as directed above</w:t>
      </w:r>
      <w:r w:rsidR="00B60EB7">
        <w:rPr>
          <w:sz w:val="26"/>
          <w:szCs w:val="26"/>
        </w:rPr>
        <w:t xml:space="preserve">.  We are also providing </w:t>
      </w:r>
      <w:r w:rsidR="007A2AF8">
        <w:rPr>
          <w:sz w:val="26"/>
          <w:szCs w:val="26"/>
        </w:rPr>
        <w:t>the Parties</w:t>
      </w:r>
      <w:r w:rsidR="00B60EB7">
        <w:rPr>
          <w:sz w:val="26"/>
          <w:szCs w:val="26"/>
        </w:rPr>
        <w:t xml:space="preserve"> in th</w:t>
      </w:r>
      <w:r w:rsidR="00614933">
        <w:rPr>
          <w:sz w:val="26"/>
          <w:szCs w:val="26"/>
        </w:rPr>
        <w:t>e</w:t>
      </w:r>
      <w:r w:rsidR="00B60EB7">
        <w:rPr>
          <w:sz w:val="26"/>
          <w:szCs w:val="26"/>
        </w:rPr>
        <w:t>se proceedings with the opportunity to provide written comments on this issue</w:t>
      </w:r>
      <w:r w:rsidRPr="00CA43A5">
        <w:rPr>
          <w:sz w:val="26"/>
          <w:szCs w:val="26"/>
        </w:rPr>
        <w:t xml:space="preserve">; </w:t>
      </w:r>
      <w:r w:rsidRPr="00CA43A5">
        <w:rPr>
          <w:b/>
          <w:sz w:val="26"/>
          <w:szCs w:val="26"/>
        </w:rPr>
        <w:t>THEREFORE,</w:t>
      </w:r>
      <w:r w:rsidRPr="00CA43A5">
        <w:rPr>
          <w:sz w:val="26"/>
          <w:szCs w:val="26"/>
        </w:rPr>
        <w:t xml:space="preserve"> </w:t>
      </w:r>
    </w:p>
    <w:p w:rsidR="00CA43A5" w:rsidRPr="00CA43A5" w:rsidRDefault="00CA43A5" w:rsidP="00ED79A0">
      <w:pPr>
        <w:widowControl/>
        <w:rPr>
          <w:sz w:val="26"/>
          <w:szCs w:val="26"/>
        </w:rPr>
      </w:pPr>
    </w:p>
    <w:p w:rsidR="00CA43A5" w:rsidRPr="00CA43A5" w:rsidRDefault="00CA43A5" w:rsidP="00ED79A0">
      <w:pPr>
        <w:widowControl/>
        <w:ind w:firstLine="1440"/>
        <w:rPr>
          <w:b/>
          <w:sz w:val="26"/>
          <w:szCs w:val="26"/>
        </w:rPr>
      </w:pPr>
      <w:r w:rsidRPr="00CA43A5">
        <w:rPr>
          <w:b/>
          <w:sz w:val="26"/>
          <w:szCs w:val="26"/>
        </w:rPr>
        <w:lastRenderedPageBreak/>
        <w:t>IT IS ORDERED:</w:t>
      </w:r>
    </w:p>
    <w:p w:rsidR="00CA43A5" w:rsidRPr="00CA43A5" w:rsidRDefault="00CA43A5" w:rsidP="00ED79A0">
      <w:pPr>
        <w:widowControl/>
        <w:rPr>
          <w:sz w:val="26"/>
          <w:szCs w:val="26"/>
        </w:rPr>
      </w:pPr>
    </w:p>
    <w:p w:rsidR="00614933" w:rsidRDefault="00DE5AC0" w:rsidP="00DA3A0A">
      <w:pPr>
        <w:keepNext/>
        <w:keepLines/>
        <w:tabs>
          <w:tab w:val="left" w:pos="0"/>
        </w:tabs>
        <w:spacing w:line="360" w:lineRule="auto"/>
        <w:jc w:val="both"/>
        <w:rPr>
          <w:sz w:val="26"/>
          <w:szCs w:val="24"/>
        </w:rPr>
      </w:pPr>
      <w:r w:rsidRPr="00DE5AC0">
        <w:rPr>
          <w:sz w:val="26"/>
          <w:szCs w:val="24"/>
        </w:rPr>
        <w:tab/>
      </w:r>
      <w:r w:rsidRPr="00DE5AC0">
        <w:rPr>
          <w:sz w:val="26"/>
          <w:szCs w:val="24"/>
        </w:rPr>
        <w:tab/>
        <w:t xml:space="preserve">1.  That, pursuant to Section 703(g) of the Public Utility Code, 66 Pa. C.S. § 703(g), the Commission hereby provides notice of its intention to reconsider the </w:t>
      </w:r>
      <w:r>
        <w:rPr>
          <w:sz w:val="26"/>
          <w:szCs w:val="24"/>
        </w:rPr>
        <w:t>Orders entered at Docket Numbers P-2012-2283641; P-2011-2273650; P-2011-2273668; P</w:t>
      </w:r>
      <w:r>
        <w:rPr>
          <w:sz w:val="26"/>
          <w:szCs w:val="24"/>
        </w:rPr>
        <w:noBreakHyphen/>
        <w:t>2011-2273669; P-2011-2273670; P-2012-2302074; and P-2012-</w:t>
      </w:r>
      <w:r w:rsidR="001762A1">
        <w:rPr>
          <w:sz w:val="26"/>
          <w:szCs w:val="24"/>
        </w:rPr>
        <w:t>2</w:t>
      </w:r>
      <w:r>
        <w:rPr>
          <w:sz w:val="26"/>
          <w:szCs w:val="24"/>
        </w:rPr>
        <w:t>301664</w:t>
      </w:r>
      <w:r w:rsidR="007909FE">
        <w:rPr>
          <w:sz w:val="26"/>
          <w:szCs w:val="24"/>
        </w:rPr>
        <w:t>,</w:t>
      </w:r>
      <w:r>
        <w:rPr>
          <w:sz w:val="26"/>
          <w:szCs w:val="24"/>
        </w:rPr>
        <w:t xml:space="preserve"> to the extent that those Orders directed the implementation of a Retail Opt-In Program.</w:t>
      </w:r>
    </w:p>
    <w:p w:rsidR="00614933" w:rsidRDefault="00614933" w:rsidP="00DE5AC0">
      <w:pPr>
        <w:keepNext/>
        <w:keepLines/>
        <w:tabs>
          <w:tab w:val="left" w:pos="0"/>
        </w:tabs>
        <w:spacing w:line="360" w:lineRule="auto"/>
        <w:rPr>
          <w:sz w:val="26"/>
          <w:szCs w:val="24"/>
        </w:rPr>
      </w:pPr>
    </w:p>
    <w:p w:rsidR="00DE5AC0" w:rsidRPr="00DE5AC0" w:rsidRDefault="00614933" w:rsidP="00DA3A0A">
      <w:pPr>
        <w:keepNext/>
        <w:keepLines/>
        <w:tabs>
          <w:tab w:val="left" w:pos="0"/>
        </w:tabs>
        <w:spacing w:line="360" w:lineRule="auto"/>
        <w:jc w:val="both"/>
        <w:rPr>
          <w:sz w:val="26"/>
          <w:szCs w:val="24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  <w:t>2.  That PECO Energy Company; Metropolitan Edison Company; Pennsylvania Electric Company; Pennsylvania Power Company; West Penn Power Company; PPL Electric Utilities Corporation; and Duquesne Light Company shall</w:t>
      </w:r>
      <w:r w:rsidR="00DA3A0A" w:rsidRPr="00DA3A0A">
        <w:rPr>
          <w:sz w:val="26"/>
          <w:szCs w:val="26"/>
        </w:rPr>
        <w:t xml:space="preserve"> </w:t>
      </w:r>
      <w:r w:rsidR="00DA3A0A">
        <w:rPr>
          <w:sz w:val="26"/>
          <w:szCs w:val="26"/>
        </w:rPr>
        <w:t>immediately postpone the implementation</w:t>
      </w:r>
      <w:r>
        <w:rPr>
          <w:sz w:val="26"/>
          <w:szCs w:val="24"/>
        </w:rPr>
        <w:t xml:space="preserve"> of their Retail Opt-In Programs as discussed in this Tentative Order pending the outcome of the Commission’s reconsideration of this issue. </w:t>
      </w:r>
      <w:r w:rsidR="00DE5AC0" w:rsidRPr="00DE5AC0">
        <w:rPr>
          <w:sz w:val="26"/>
          <w:szCs w:val="24"/>
        </w:rPr>
        <w:t xml:space="preserve">   </w:t>
      </w:r>
    </w:p>
    <w:p w:rsidR="001F67B0" w:rsidRDefault="001F67B0" w:rsidP="001F67B0">
      <w:pPr>
        <w:widowControl/>
        <w:spacing w:line="360" w:lineRule="auto"/>
        <w:ind w:firstLine="1440"/>
        <w:rPr>
          <w:sz w:val="26"/>
          <w:szCs w:val="26"/>
        </w:rPr>
      </w:pPr>
    </w:p>
    <w:p w:rsidR="00DE5AC0" w:rsidRDefault="00DE5AC0" w:rsidP="00DA3A0A">
      <w:pPr>
        <w:widowControl/>
        <w:tabs>
          <w:tab w:val="left" w:pos="-720"/>
        </w:tabs>
        <w:suppressAutoHyphens/>
        <w:spacing w:line="360" w:lineRule="auto"/>
        <w:jc w:val="both"/>
        <w:rPr>
          <w:sz w:val="26"/>
          <w:szCs w:val="24"/>
        </w:rPr>
      </w:pPr>
      <w:r w:rsidRPr="00DE5AC0">
        <w:rPr>
          <w:sz w:val="26"/>
          <w:szCs w:val="24"/>
        </w:rPr>
        <w:tab/>
      </w:r>
      <w:r w:rsidRPr="00DE5AC0">
        <w:rPr>
          <w:sz w:val="26"/>
          <w:szCs w:val="24"/>
        </w:rPr>
        <w:tab/>
      </w:r>
      <w:r w:rsidR="00AE1411">
        <w:rPr>
          <w:sz w:val="26"/>
          <w:szCs w:val="24"/>
        </w:rPr>
        <w:t>3</w:t>
      </w:r>
      <w:r w:rsidRPr="00DE5AC0">
        <w:rPr>
          <w:sz w:val="26"/>
          <w:szCs w:val="24"/>
        </w:rPr>
        <w:t xml:space="preserve">.  That this </w:t>
      </w:r>
      <w:r>
        <w:rPr>
          <w:sz w:val="26"/>
          <w:szCs w:val="24"/>
        </w:rPr>
        <w:t xml:space="preserve">Tentative Order </w:t>
      </w:r>
      <w:r w:rsidRPr="00DE5AC0">
        <w:rPr>
          <w:sz w:val="26"/>
          <w:szCs w:val="24"/>
        </w:rPr>
        <w:t xml:space="preserve">shall be served on all </w:t>
      </w:r>
      <w:r>
        <w:rPr>
          <w:sz w:val="26"/>
          <w:szCs w:val="24"/>
        </w:rPr>
        <w:t>Parties to the default service proceedings at the Dockets set forth in Ordering Paragraph Number 1, above.</w:t>
      </w:r>
    </w:p>
    <w:p w:rsidR="00DE5AC0" w:rsidRDefault="00DE5AC0" w:rsidP="00DE5AC0">
      <w:pPr>
        <w:widowControl/>
        <w:spacing w:line="360" w:lineRule="auto"/>
        <w:ind w:firstLine="1440"/>
        <w:rPr>
          <w:sz w:val="26"/>
          <w:szCs w:val="24"/>
        </w:rPr>
      </w:pPr>
    </w:p>
    <w:p w:rsidR="00DE5AC0" w:rsidRDefault="00AE1411" w:rsidP="00DA3A0A">
      <w:pPr>
        <w:widowControl/>
        <w:spacing w:line="360" w:lineRule="auto"/>
        <w:ind w:firstLine="1440"/>
        <w:jc w:val="both"/>
        <w:rPr>
          <w:sz w:val="26"/>
          <w:szCs w:val="24"/>
        </w:rPr>
      </w:pPr>
      <w:r>
        <w:rPr>
          <w:sz w:val="26"/>
          <w:szCs w:val="24"/>
        </w:rPr>
        <w:t>4</w:t>
      </w:r>
      <w:r w:rsidR="00DE5AC0" w:rsidRPr="00DE5AC0">
        <w:rPr>
          <w:sz w:val="26"/>
          <w:szCs w:val="24"/>
        </w:rPr>
        <w:t xml:space="preserve">.  That comments to this </w:t>
      </w:r>
      <w:r w:rsidR="00DE5AC0">
        <w:rPr>
          <w:sz w:val="26"/>
          <w:szCs w:val="24"/>
        </w:rPr>
        <w:t>Tentative Order</w:t>
      </w:r>
      <w:r w:rsidR="00DE5AC0" w:rsidRPr="00DE5AC0">
        <w:rPr>
          <w:sz w:val="26"/>
          <w:szCs w:val="24"/>
        </w:rPr>
        <w:t xml:space="preserve"> are due within </w:t>
      </w:r>
      <w:r w:rsidR="00DE5AC0">
        <w:rPr>
          <w:sz w:val="26"/>
          <w:szCs w:val="24"/>
        </w:rPr>
        <w:t>ten (10)</w:t>
      </w:r>
      <w:r w:rsidR="00DE5AC0" w:rsidRPr="00DE5AC0">
        <w:rPr>
          <w:sz w:val="26"/>
          <w:szCs w:val="24"/>
        </w:rPr>
        <w:t xml:space="preserve"> days of the entry date of this </w:t>
      </w:r>
      <w:r w:rsidR="007909FE">
        <w:rPr>
          <w:sz w:val="26"/>
          <w:szCs w:val="24"/>
        </w:rPr>
        <w:t>Tentative O</w:t>
      </w:r>
      <w:r w:rsidR="00DE5AC0" w:rsidRPr="00DE5AC0">
        <w:rPr>
          <w:sz w:val="26"/>
          <w:szCs w:val="24"/>
        </w:rPr>
        <w:t xml:space="preserve">rder.  Interested parties may </w:t>
      </w:r>
      <w:r w:rsidR="001762A1">
        <w:rPr>
          <w:sz w:val="26"/>
          <w:szCs w:val="24"/>
        </w:rPr>
        <w:t>file</w:t>
      </w:r>
      <w:r w:rsidR="008654BA">
        <w:rPr>
          <w:sz w:val="26"/>
          <w:szCs w:val="24"/>
        </w:rPr>
        <w:t xml:space="preserve"> written comments, </w:t>
      </w:r>
      <w:r w:rsidR="001762A1">
        <w:rPr>
          <w:sz w:val="26"/>
          <w:szCs w:val="24"/>
        </w:rPr>
        <w:t>with</w:t>
      </w:r>
      <w:r w:rsidR="00DE5AC0" w:rsidRPr="00DE5AC0">
        <w:rPr>
          <w:sz w:val="26"/>
          <w:szCs w:val="24"/>
        </w:rPr>
        <w:t xml:space="preserve"> the Secretary, Pennsylvania Public Utility Commission, </w:t>
      </w:r>
      <w:proofErr w:type="gramStart"/>
      <w:r w:rsidR="00DE5AC0" w:rsidRPr="00DE5AC0">
        <w:rPr>
          <w:sz w:val="26"/>
          <w:szCs w:val="24"/>
        </w:rPr>
        <w:t>P</w:t>
      </w:r>
      <w:proofErr w:type="gramEnd"/>
      <w:r w:rsidR="00DE5AC0" w:rsidRPr="00DE5AC0">
        <w:rPr>
          <w:sz w:val="26"/>
          <w:szCs w:val="24"/>
        </w:rPr>
        <w:t>.</w:t>
      </w:r>
      <w:r w:rsidR="005C7C11">
        <w:rPr>
          <w:sz w:val="26"/>
          <w:szCs w:val="24"/>
        </w:rPr>
        <w:t xml:space="preserve"> </w:t>
      </w:r>
      <w:r w:rsidR="00DE5AC0" w:rsidRPr="00DE5AC0">
        <w:rPr>
          <w:sz w:val="26"/>
          <w:szCs w:val="24"/>
        </w:rPr>
        <w:t>O. Box 3265, Harrisburg, PA  17105-3265.  Comments may also be filed electronically through the Commission</w:t>
      </w:r>
      <w:r w:rsidR="001762A1">
        <w:rPr>
          <w:sz w:val="26"/>
          <w:szCs w:val="24"/>
        </w:rPr>
        <w:t>’s</w:t>
      </w:r>
      <w:r w:rsidR="00DE5AC0" w:rsidRPr="00DE5AC0">
        <w:rPr>
          <w:sz w:val="26"/>
          <w:szCs w:val="24"/>
        </w:rPr>
        <w:t xml:space="preserve"> e-File System.</w:t>
      </w:r>
      <w:r w:rsidR="008654BA">
        <w:rPr>
          <w:sz w:val="26"/>
          <w:szCs w:val="24"/>
        </w:rPr>
        <w:t xml:space="preserve">  One copy of the comments should be served on the Commission’s Office of Special Assistants.</w:t>
      </w:r>
      <w:r w:rsidR="00DE5AC0" w:rsidRPr="00DE5AC0">
        <w:rPr>
          <w:sz w:val="26"/>
          <w:szCs w:val="24"/>
        </w:rPr>
        <w:t xml:space="preserve">  </w:t>
      </w:r>
    </w:p>
    <w:p w:rsidR="00760E28" w:rsidRDefault="00760E28" w:rsidP="00DE5AC0">
      <w:pPr>
        <w:widowControl/>
        <w:spacing w:line="360" w:lineRule="auto"/>
        <w:ind w:firstLine="1440"/>
        <w:rPr>
          <w:sz w:val="26"/>
          <w:szCs w:val="24"/>
        </w:rPr>
      </w:pPr>
    </w:p>
    <w:p w:rsidR="00760E28" w:rsidRDefault="00AE1411" w:rsidP="00DA3A0A">
      <w:pPr>
        <w:widowControl/>
        <w:spacing w:line="360" w:lineRule="auto"/>
        <w:ind w:firstLine="1440"/>
        <w:jc w:val="both"/>
        <w:rPr>
          <w:sz w:val="26"/>
          <w:szCs w:val="24"/>
        </w:rPr>
      </w:pPr>
      <w:r>
        <w:rPr>
          <w:sz w:val="26"/>
          <w:szCs w:val="24"/>
        </w:rPr>
        <w:t>5</w:t>
      </w:r>
      <w:r w:rsidR="00760E28">
        <w:rPr>
          <w:sz w:val="26"/>
          <w:szCs w:val="24"/>
        </w:rPr>
        <w:t>.  That a copy of this Tentative Order shall be posted on the Commission’s website.</w:t>
      </w:r>
    </w:p>
    <w:p w:rsidR="00760E28" w:rsidRDefault="00760E28" w:rsidP="00DA3A0A">
      <w:pPr>
        <w:widowControl/>
        <w:spacing w:line="360" w:lineRule="auto"/>
        <w:ind w:firstLine="1440"/>
        <w:jc w:val="both"/>
        <w:rPr>
          <w:sz w:val="26"/>
          <w:szCs w:val="24"/>
        </w:rPr>
      </w:pPr>
    </w:p>
    <w:p w:rsidR="00760E28" w:rsidRPr="00DE5AC0" w:rsidRDefault="00AE1411" w:rsidP="00DA3A0A">
      <w:pPr>
        <w:widowControl/>
        <w:spacing w:line="360" w:lineRule="auto"/>
        <w:ind w:firstLine="1440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>6</w:t>
      </w:r>
      <w:r w:rsidR="00760E28">
        <w:rPr>
          <w:sz w:val="26"/>
          <w:szCs w:val="24"/>
        </w:rPr>
        <w:t xml:space="preserve">.  That a </w:t>
      </w:r>
      <w:r w:rsidR="001762A1">
        <w:rPr>
          <w:sz w:val="26"/>
          <w:szCs w:val="24"/>
        </w:rPr>
        <w:t>F</w:t>
      </w:r>
      <w:r w:rsidR="00760E28">
        <w:rPr>
          <w:sz w:val="26"/>
          <w:szCs w:val="24"/>
        </w:rPr>
        <w:t xml:space="preserve">inal </w:t>
      </w:r>
      <w:r w:rsidR="001762A1">
        <w:rPr>
          <w:sz w:val="26"/>
          <w:szCs w:val="24"/>
        </w:rPr>
        <w:t>O</w:t>
      </w:r>
      <w:r w:rsidR="00760E28">
        <w:rPr>
          <w:sz w:val="26"/>
          <w:szCs w:val="24"/>
        </w:rPr>
        <w:t xml:space="preserve">rder on </w:t>
      </w:r>
      <w:r w:rsidR="001762A1">
        <w:rPr>
          <w:sz w:val="26"/>
          <w:szCs w:val="24"/>
        </w:rPr>
        <w:t>R</w:t>
      </w:r>
      <w:r w:rsidR="00760E28">
        <w:rPr>
          <w:sz w:val="26"/>
          <w:szCs w:val="24"/>
        </w:rPr>
        <w:t>econsideration shall be issued following the receipt and review of filed comments.</w:t>
      </w:r>
    </w:p>
    <w:p w:rsidR="00DE5AC0" w:rsidRDefault="00DE5AC0" w:rsidP="00DE5AC0">
      <w:pPr>
        <w:widowControl/>
        <w:tabs>
          <w:tab w:val="left" w:pos="-720"/>
        </w:tabs>
        <w:suppressAutoHyphens/>
        <w:spacing w:line="360" w:lineRule="auto"/>
        <w:rPr>
          <w:sz w:val="26"/>
          <w:szCs w:val="24"/>
        </w:rPr>
      </w:pPr>
    </w:p>
    <w:p w:rsidR="00DE5AC0" w:rsidRPr="00DE5AC0" w:rsidRDefault="00DE5AC0" w:rsidP="00DE5AC0">
      <w:pPr>
        <w:widowControl/>
        <w:tabs>
          <w:tab w:val="left" w:pos="-720"/>
        </w:tabs>
        <w:suppressAutoHyphens/>
        <w:spacing w:line="360" w:lineRule="auto"/>
        <w:rPr>
          <w:sz w:val="26"/>
          <w:szCs w:val="24"/>
        </w:rPr>
      </w:pPr>
      <w:r>
        <w:rPr>
          <w:sz w:val="26"/>
          <w:szCs w:val="24"/>
        </w:rPr>
        <w:tab/>
      </w:r>
    </w:p>
    <w:p w:rsidR="00DE5AC0" w:rsidRDefault="00DE5AC0" w:rsidP="001F67B0">
      <w:pPr>
        <w:widowControl/>
        <w:spacing w:line="360" w:lineRule="auto"/>
        <w:ind w:firstLine="1440"/>
        <w:rPr>
          <w:sz w:val="26"/>
          <w:szCs w:val="26"/>
        </w:rPr>
      </w:pPr>
    </w:p>
    <w:p w:rsidR="00CA43A5" w:rsidRPr="00CA43A5" w:rsidRDefault="00791062" w:rsidP="001F67B0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B1030A" wp14:editId="1BCE7412">
            <wp:simplePos x="0" y="0"/>
            <wp:positionH relativeFrom="column">
              <wp:posOffset>2857500</wp:posOffset>
            </wp:positionH>
            <wp:positionV relativeFrom="paragraph">
              <wp:posOffset>-4445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7B0">
        <w:rPr>
          <w:b/>
          <w:sz w:val="26"/>
          <w:szCs w:val="26"/>
        </w:rPr>
        <w:tab/>
      </w:r>
      <w:r w:rsidR="001F67B0">
        <w:rPr>
          <w:b/>
          <w:sz w:val="26"/>
          <w:szCs w:val="26"/>
        </w:rPr>
        <w:tab/>
      </w:r>
      <w:r w:rsidR="001F67B0">
        <w:rPr>
          <w:b/>
          <w:sz w:val="26"/>
          <w:szCs w:val="26"/>
        </w:rPr>
        <w:tab/>
      </w:r>
      <w:r w:rsidR="001F67B0">
        <w:rPr>
          <w:b/>
          <w:sz w:val="26"/>
          <w:szCs w:val="26"/>
        </w:rPr>
        <w:tab/>
      </w:r>
      <w:r w:rsidR="001F67B0">
        <w:rPr>
          <w:b/>
          <w:sz w:val="26"/>
          <w:szCs w:val="26"/>
        </w:rPr>
        <w:tab/>
      </w:r>
      <w:r w:rsidR="00CA43A5" w:rsidRPr="00CA43A5">
        <w:rPr>
          <w:b/>
          <w:sz w:val="26"/>
          <w:szCs w:val="26"/>
        </w:rPr>
        <w:t>BY THE COMMISSION,</w:t>
      </w: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  <w:bookmarkStart w:id="0" w:name="_GoBack"/>
      <w:bookmarkEnd w:id="0"/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</w:p>
    <w:p w:rsidR="00CA43A5" w:rsidRPr="00CA43A5" w:rsidRDefault="00564565" w:rsidP="00ED79A0">
      <w:pPr>
        <w:widowControl/>
        <w:tabs>
          <w:tab w:val="left" w:pos="-720"/>
        </w:tabs>
        <w:ind w:firstLine="5040"/>
        <w:rPr>
          <w:b/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A43A5" w:rsidRPr="00CA43A5" w:rsidRDefault="00CA43A5" w:rsidP="00ED79A0">
      <w:pPr>
        <w:widowControl/>
        <w:tabs>
          <w:tab w:val="left" w:pos="-720"/>
        </w:tabs>
        <w:ind w:firstLine="5040"/>
        <w:rPr>
          <w:sz w:val="26"/>
          <w:szCs w:val="26"/>
        </w:rPr>
      </w:pPr>
      <w:r w:rsidRPr="00CA43A5">
        <w:rPr>
          <w:sz w:val="26"/>
          <w:szCs w:val="26"/>
        </w:rPr>
        <w:t>Secretary</w:t>
      </w: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  <w:r w:rsidRPr="00CA43A5">
        <w:rPr>
          <w:sz w:val="26"/>
          <w:szCs w:val="26"/>
        </w:rPr>
        <w:t>(SEAL)</w:t>
      </w: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  <w:r w:rsidRPr="00CA43A5">
        <w:rPr>
          <w:sz w:val="26"/>
          <w:szCs w:val="26"/>
        </w:rPr>
        <w:t xml:space="preserve">ORDER ADOPTED: </w:t>
      </w:r>
      <w:r w:rsidR="00760E28">
        <w:rPr>
          <w:sz w:val="26"/>
          <w:szCs w:val="26"/>
        </w:rPr>
        <w:t>March 1</w:t>
      </w:r>
      <w:r w:rsidR="001F67B0">
        <w:rPr>
          <w:sz w:val="26"/>
          <w:szCs w:val="26"/>
        </w:rPr>
        <w:t>4, 2013</w:t>
      </w:r>
    </w:p>
    <w:p w:rsidR="00857172" w:rsidRDefault="00857172" w:rsidP="00ED79A0">
      <w:pPr>
        <w:widowControl/>
        <w:tabs>
          <w:tab w:val="left" w:pos="-720"/>
        </w:tabs>
        <w:rPr>
          <w:sz w:val="26"/>
          <w:szCs w:val="26"/>
        </w:rPr>
      </w:pPr>
    </w:p>
    <w:p w:rsidR="00CA43A5" w:rsidRPr="00CA43A5" w:rsidRDefault="00CA43A5" w:rsidP="00ED79A0">
      <w:pPr>
        <w:widowControl/>
        <w:tabs>
          <w:tab w:val="left" w:pos="-720"/>
        </w:tabs>
        <w:rPr>
          <w:sz w:val="26"/>
          <w:szCs w:val="26"/>
        </w:rPr>
      </w:pPr>
      <w:r w:rsidRPr="00CA43A5">
        <w:rPr>
          <w:sz w:val="26"/>
          <w:szCs w:val="26"/>
        </w:rPr>
        <w:t xml:space="preserve">ORDER ENTERED:  </w:t>
      </w:r>
      <w:r w:rsidR="00791062">
        <w:rPr>
          <w:sz w:val="26"/>
          <w:szCs w:val="26"/>
        </w:rPr>
        <w:t>March 14, 2013</w:t>
      </w:r>
    </w:p>
    <w:p w:rsidR="00344804" w:rsidRPr="00CA43A5" w:rsidRDefault="00344804" w:rsidP="00ED79A0">
      <w:pPr>
        <w:widowControl/>
        <w:ind w:right="360"/>
        <w:rPr>
          <w:sz w:val="26"/>
          <w:szCs w:val="26"/>
        </w:rPr>
      </w:pPr>
    </w:p>
    <w:sectPr w:rsidR="00344804" w:rsidRPr="00CA43A5" w:rsidSect="00162CD3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64" w:rsidRDefault="00E67C64" w:rsidP="004050B0">
      <w:r>
        <w:separator/>
      </w:r>
    </w:p>
  </w:endnote>
  <w:endnote w:type="continuationSeparator" w:id="0">
    <w:p w:rsidR="00E67C64" w:rsidRDefault="00E67C64" w:rsidP="004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992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3D19" w:rsidRDefault="008E3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0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D19" w:rsidRDefault="008E3D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9" w:rsidRDefault="008E3D19">
    <w:pPr>
      <w:pStyle w:val="Footer"/>
      <w:jc w:val="center"/>
    </w:pPr>
  </w:p>
  <w:p w:rsidR="008E3D19" w:rsidRDefault="008E3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64" w:rsidRDefault="00E67C64" w:rsidP="004050B0">
      <w:r>
        <w:separator/>
      </w:r>
    </w:p>
  </w:footnote>
  <w:footnote w:type="continuationSeparator" w:id="0">
    <w:p w:rsidR="00E67C64" w:rsidRDefault="00E67C64" w:rsidP="004050B0">
      <w:r>
        <w:continuationSeparator/>
      </w:r>
    </w:p>
  </w:footnote>
  <w:footnote w:id="1">
    <w:p w:rsidR="00DF4BEA" w:rsidRPr="00DF4BEA" w:rsidRDefault="00DF4BEA">
      <w:pPr>
        <w:pStyle w:val="FootnoteText"/>
        <w:rPr>
          <w:sz w:val="20"/>
          <w:szCs w:val="20"/>
        </w:rPr>
      </w:pPr>
      <w:r w:rsidRPr="00DF4BEA">
        <w:rPr>
          <w:rStyle w:val="FootnoteReference"/>
          <w:sz w:val="20"/>
          <w:szCs w:val="20"/>
        </w:rPr>
        <w:footnoteRef/>
      </w:r>
      <w:r w:rsidRPr="00DF4BEA">
        <w:rPr>
          <w:sz w:val="20"/>
          <w:szCs w:val="20"/>
        </w:rPr>
        <w:t xml:space="preserve"> </w:t>
      </w:r>
      <w:r w:rsidRPr="00DF4BEA">
        <w:rPr>
          <w:i/>
          <w:sz w:val="20"/>
          <w:szCs w:val="20"/>
        </w:rPr>
        <w:t>See</w:t>
      </w:r>
      <w:r w:rsidRPr="00DF4BEA">
        <w:rPr>
          <w:sz w:val="20"/>
          <w:szCs w:val="20"/>
        </w:rPr>
        <w:t xml:space="preserve">, </w:t>
      </w:r>
      <w:r w:rsidRPr="00DF4BEA">
        <w:rPr>
          <w:i/>
          <w:sz w:val="20"/>
          <w:szCs w:val="20"/>
        </w:rPr>
        <w:t>e.g.</w:t>
      </w:r>
      <w:r w:rsidRPr="00DF4BEA">
        <w:rPr>
          <w:sz w:val="20"/>
          <w:szCs w:val="20"/>
        </w:rPr>
        <w:t xml:space="preserve">, </w:t>
      </w:r>
      <w:r w:rsidRPr="00DF4BEA">
        <w:rPr>
          <w:i/>
          <w:sz w:val="20"/>
          <w:szCs w:val="20"/>
        </w:rPr>
        <w:t>Petition of PPL Electric Utilities Corporation for Approval of a Default Service Program and Procurement Plan</w:t>
      </w:r>
      <w:r w:rsidRPr="00DF4BEA">
        <w:rPr>
          <w:sz w:val="20"/>
          <w:szCs w:val="20"/>
        </w:rPr>
        <w:t>, Docket No. P-2012-2302074 (Order entered January 24, 2013) (</w:t>
      </w:r>
      <w:r w:rsidRPr="00DF4BEA">
        <w:rPr>
          <w:i/>
          <w:sz w:val="20"/>
          <w:szCs w:val="20"/>
        </w:rPr>
        <w:t>PPL DSP Order</w:t>
      </w:r>
      <w:r w:rsidRPr="00DF4BEA">
        <w:rPr>
          <w:sz w:val="20"/>
          <w:szCs w:val="20"/>
        </w:rPr>
        <w:t>) at 139-140.</w:t>
      </w:r>
    </w:p>
  </w:footnote>
  <w:footnote w:id="2">
    <w:p w:rsidR="00DF4BEA" w:rsidRPr="00DF4BEA" w:rsidRDefault="00DF4BEA">
      <w:pPr>
        <w:pStyle w:val="FootnoteText"/>
        <w:rPr>
          <w:sz w:val="20"/>
          <w:szCs w:val="20"/>
        </w:rPr>
      </w:pPr>
      <w:r w:rsidRPr="00DF4BEA">
        <w:rPr>
          <w:rStyle w:val="FootnoteReference"/>
          <w:sz w:val="20"/>
          <w:szCs w:val="20"/>
        </w:rPr>
        <w:footnoteRef/>
      </w:r>
      <w:r w:rsidRPr="00DF4BEA">
        <w:rPr>
          <w:sz w:val="20"/>
          <w:szCs w:val="20"/>
        </w:rPr>
        <w:t xml:space="preserve"> </w:t>
      </w:r>
      <w:proofErr w:type="gramStart"/>
      <w:r w:rsidRPr="00DF4BEA">
        <w:rPr>
          <w:i/>
          <w:sz w:val="20"/>
          <w:szCs w:val="20"/>
        </w:rPr>
        <w:t>See, e.g.,</w:t>
      </w:r>
      <w:r w:rsidRPr="00DF4BEA">
        <w:rPr>
          <w:sz w:val="20"/>
          <w:szCs w:val="20"/>
        </w:rPr>
        <w:t xml:space="preserve"> </w:t>
      </w:r>
      <w:r w:rsidRPr="00DF4BEA">
        <w:rPr>
          <w:i/>
          <w:sz w:val="20"/>
          <w:szCs w:val="20"/>
        </w:rPr>
        <w:t>PPL DSP Order</w:t>
      </w:r>
      <w:r w:rsidRPr="00DF4BEA">
        <w:rPr>
          <w:sz w:val="20"/>
          <w:szCs w:val="20"/>
        </w:rPr>
        <w:t xml:space="preserve"> at 170.</w:t>
      </w:r>
      <w:proofErr w:type="gramEnd"/>
      <w:r w:rsidRPr="00DF4BEA">
        <w:rPr>
          <w:sz w:val="20"/>
          <w:szCs w:val="20"/>
        </w:rPr>
        <w:t xml:space="preserve">  </w:t>
      </w:r>
    </w:p>
  </w:footnote>
  <w:footnote w:id="3">
    <w:p w:rsidR="00DF4BEA" w:rsidRPr="00DF4BEA" w:rsidRDefault="00DF4BEA">
      <w:pPr>
        <w:pStyle w:val="FootnoteText"/>
        <w:rPr>
          <w:sz w:val="20"/>
          <w:szCs w:val="20"/>
        </w:rPr>
      </w:pPr>
      <w:r w:rsidRPr="00DF4BEA">
        <w:rPr>
          <w:rStyle w:val="FootnoteReference"/>
          <w:sz w:val="20"/>
          <w:szCs w:val="20"/>
        </w:rPr>
        <w:footnoteRef/>
      </w:r>
      <w:r w:rsidRPr="00DF4BEA">
        <w:rPr>
          <w:sz w:val="20"/>
          <w:szCs w:val="20"/>
        </w:rPr>
        <w:t xml:space="preserve"> For example, PPL Electric Utilities Corporation was directed to implement its ROI Program no later than July 1, </w:t>
      </w:r>
      <w:proofErr w:type="gramStart"/>
      <w:r w:rsidRPr="00DF4BEA">
        <w:rPr>
          <w:sz w:val="20"/>
          <w:szCs w:val="20"/>
        </w:rPr>
        <w:t>2013,</w:t>
      </w:r>
      <w:proofErr w:type="gramEnd"/>
      <w:r w:rsidRPr="00DF4BEA">
        <w:rPr>
          <w:sz w:val="20"/>
          <w:szCs w:val="20"/>
        </w:rPr>
        <w:t xml:space="preserve"> and its Standard Offer Referral Program no later than August 1, 2013.</w:t>
      </w:r>
      <w:r w:rsidR="005C7C11">
        <w:rPr>
          <w:sz w:val="20"/>
          <w:szCs w:val="20"/>
        </w:rPr>
        <w:t xml:space="preserve"> </w:t>
      </w:r>
      <w:r w:rsidRPr="00DF4BEA">
        <w:rPr>
          <w:sz w:val="20"/>
          <w:szCs w:val="20"/>
        </w:rPr>
        <w:t xml:space="preserve"> </w:t>
      </w:r>
      <w:proofErr w:type="gramStart"/>
      <w:r w:rsidRPr="00DF4BEA">
        <w:rPr>
          <w:i/>
          <w:sz w:val="20"/>
          <w:szCs w:val="20"/>
        </w:rPr>
        <w:t>Id.</w:t>
      </w:r>
      <w:r w:rsidRPr="00DF4BEA">
        <w:rPr>
          <w:sz w:val="20"/>
          <w:szCs w:val="20"/>
        </w:rPr>
        <w:t xml:space="preserve"> at 178.</w:t>
      </w:r>
      <w:proofErr w:type="gramEnd"/>
      <w:r w:rsidRPr="00DF4BEA">
        <w:rPr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3AA2"/>
    <w:multiLevelType w:val="hybridMultilevel"/>
    <w:tmpl w:val="C7522CF8"/>
    <w:lvl w:ilvl="0" w:tplc="76E0F17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EC"/>
    <w:rsid w:val="00000D47"/>
    <w:rsid w:val="00001FC8"/>
    <w:rsid w:val="00006685"/>
    <w:rsid w:val="00006F35"/>
    <w:rsid w:val="00016D57"/>
    <w:rsid w:val="00017852"/>
    <w:rsid w:val="000207D4"/>
    <w:rsid w:val="00021E46"/>
    <w:rsid w:val="00022111"/>
    <w:rsid w:val="00022B74"/>
    <w:rsid w:val="0002524C"/>
    <w:rsid w:val="00025F3F"/>
    <w:rsid w:val="00026CD2"/>
    <w:rsid w:val="00040A8E"/>
    <w:rsid w:val="00040AEA"/>
    <w:rsid w:val="00047874"/>
    <w:rsid w:val="00047F4A"/>
    <w:rsid w:val="000523D1"/>
    <w:rsid w:val="00052B8F"/>
    <w:rsid w:val="00054612"/>
    <w:rsid w:val="0005572E"/>
    <w:rsid w:val="00056286"/>
    <w:rsid w:val="000612FD"/>
    <w:rsid w:val="000642AA"/>
    <w:rsid w:val="000649EC"/>
    <w:rsid w:val="00066EE5"/>
    <w:rsid w:val="00067260"/>
    <w:rsid w:val="00072808"/>
    <w:rsid w:val="00076F35"/>
    <w:rsid w:val="0008243C"/>
    <w:rsid w:val="00084573"/>
    <w:rsid w:val="00084AF9"/>
    <w:rsid w:val="000918D4"/>
    <w:rsid w:val="00093164"/>
    <w:rsid w:val="0009612D"/>
    <w:rsid w:val="00097504"/>
    <w:rsid w:val="000A2E0C"/>
    <w:rsid w:val="000A365D"/>
    <w:rsid w:val="000B216D"/>
    <w:rsid w:val="000B2755"/>
    <w:rsid w:val="000B4EAE"/>
    <w:rsid w:val="000B5238"/>
    <w:rsid w:val="000B607A"/>
    <w:rsid w:val="000B64DC"/>
    <w:rsid w:val="000B6B15"/>
    <w:rsid w:val="000C2AE3"/>
    <w:rsid w:val="000C709A"/>
    <w:rsid w:val="000E35A1"/>
    <w:rsid w:val="000F179E"/>
    <w:rsid w:val="000F4307"/>
    <w:rsid w:val="001003B6"/>
    <w:rsid w:val="0010158F"/>
    <w:rsid w:val="00101F51"/>
    <w:rsid w:val="001026CA"/>
    <w:rsid w:val="00102F01"/>
    <w:rsid w:val="00104D9B"/>
    <w:rsid w:val="00117CB2"/>
    <w:rsid w:val="00120B39"/>
    <w:rsid w:val="001238E5"/>
    <w:rsid w:val="00123A2E"/>
    <w:rsid w:val="00124071"/>
    <w:rsid w:val="001267D4"/>
    <w:rsid w:val="00135972"/>
    <w:rsid w:val="001360FC"/>
    <w:rsid w:val="001447A0"/>
    <w:rsid w:val="0014497F"/>
    <w:rsid w:val="00146DDD"/>
    <w:rsid w:val="00146E58"/>
    <w:rsid w:val="00147145"/>
    <w:rsid w:val="00150096"/>
    <w:rsid w:val="001508E4"/>
    <w:rsid w:val="0015380A"/>
    <w:rsid w:val="00154CB6"/>
    <w:rsid w:val="00162CD3"/>
    <w:rsid w:val="00164DA4"/>
    <w:rsid w:val="00166298"/>
    <w:rsid w:val="001663C8"/>
    <w:rsid w:val="00174D3D"/>
    <w:rsid w:val="001762A1"/>
    <w:rsid w:val="00181993"/>
    <w:rsid w:val="00182478"/>
    <w:rsid w:val="0018266E"/>
    <w:rsid w:val="00186A97"/>
    <w:rsid w:val="0019530E"/>
    <w:rsid w:val="00195F2E"/>
    <w:rsid w:val="001A4B31"/>
    <w:rsid w:val="001B1DB4"/>
    <w:rsid w:val="001C4978"/>
    <w:rsid w:val="001D0ED2"/>
    <w:rsid w:val="001E0B61"/>
    <w:rsid w:val="001E1276"/>
    <w:rsid w:val="001F285E"/>
    <w:rsid w:val="001F326E"/>
    <w:rsid w:val="001F67B0"/>
    <w:rsid w:val="00202524"/>
    <w:rsid w:val="00210736"/>
    <w:rsid w:val="00210F81"/>
    <w:rsid w:val="00211622"/>
    <w:rsid w:val="00214B3E"/>
    <w:rsid w:val="0022698E"/>
    <w:rsid w:val="00227912"/>
    <w:rsid w:val="002311EE"/>
    <w:rsid w:val="002370F5"/>
    <w:rsid w:val="002376D7"/>
    <w:rsid w:val="00240ACA"/>
    <w:rsid w:val="00240D7B"/>
    <w:rsid w:val="00241299"/>
    <w:rsid w:val="00251E07"/>
    <w:rsid w:val="00255462"/>
    <w:rsid w:val="00260957"/>
    <w:rsid w:val="00264646"/>
    <w:rsid w:val="0027232D"/>
    <w:rsid w:val="00274D0F"/>
    <w:rsid w:val="00277500"/>
    <w:rsid w:val="0028052B"/>
    <w:rsid w:val="00281A5F"/>
    <w:rsid w:val="00291F68"/>
    <w:rsid w:val="002A060A"/>
    <w:rsid w:val="002A4450"/>
    <w:rsid w:val="002A6750"/>
    <w:rsid w:val="002A6DD6"/>
    <w:rsid w:val="002B2296"/>
    <w:rsid w:val="002B4407"/>
    <w:rsid w:val="002B67B7"/>
    <w:rsid w:val="002C0429"/>
    <w:rsid w:val="002C194B"/>
    <w:rsid w:val="002C19E4"/>
    <w:rsid w:val="002C6CC4"/>
    <w:rsid w:val="002D13C4"/>
    <w:rsid w:val="002D275E"/>
    <w:rsid w:val="002D3C1A"/>
    <w:rsid w:val="002D6357"/>
    <w:rsid w:val="002D7584"/>
    <w:rsid w:val="002E3026"/>
    <w:rsid w:val="002E3F06"/>
    <w:rsid w:val="002E6FFA"/>
    <w:rsid w:val="002E7F8F"/>
    <w:rsid w:val="002F3F04"/>
    <w:rsid w:val="002F41BA"/>
    <w:rsid w:val="003018AA"/>
    <w:rsid w:val="00303B99"/>
    <w:rsid w:val="00304ECB"/>
    <w:rsid w:val="0030714F"/>
    <w:rsid w:val="003073E2"/>
    <w:rsid w:val="00307DDF"/>
    <w:rsid w:val="0031245B"/>
    <w:rsid w:val="00314A43"/>
    <w:rsid w:val="00322040"/>
    <w:rsid w:val="003240B8"/>
    <w:rsid w:val="00325422"/>
    <w:rsid w:val="00333FDA"/>
    <w:rsid w:val="003340DE"/>
    <w:rsid w:val="00340D19"/>
    <w:rsid w:val="00344804"/>
    <w:rsid w:val="003518C8"/>
    <w:rsid w:val="003533B5"/>
    <w:rsid w:val="003622CA"/>
    <w:rsid w:val="00363030"/>
    <w:rsid w:val="0036462C"/>
    <w:rsid w:val="00364A42"/>
    <w:rsid w:val="00364E33"/>
    <w:rsid w:val="00374F03"/>
    <w:rsid w:val="003755FB"/>
    <w:rsid w:val="0037577C"/>
    <w:rsid w:val="00380334"/>
    <w:rsid w:val="00385502"/>
    <w:rsid w:val="00391A43"/>
    <w:rsid w:val="003B0611"/>
    <w:rsid w:val="003B42D9"/>
    <w:rsid w:val="003C3140"/>
    <w:rsid w:val="003C3E02"/>
    <w:rsid w:val="003C3FE8"/>
    <w:rsid w:val="003C73F9"/>
    <w:rsid w:val="003D5F07"/>
    <w:rsid w:val="003D6AB5"/>
    <w:rsid w:val="003E3FF5"/>
    <w:rsid w:val="003E5354"/>
    <w:rsid w:val="003F51F4"/>
    <w:rsid w:val="003F52C6"/>
    <w:rsid w:val="003F558E"/>
    <w:rsid w:val="00403D6E"/>
    <w:rsid w:val="004050B0"/>
    <w:rsid w:val="00407AC0"/>
    <w:rsid w:val="00412E30"/>
    <w:rsid w:val="004170AF"/>
    <w:rsid w:val="00432BB7"/>
    <w:rsid w:val="004331E9"/>
    <w:rsid w:val="00433E8D"/>
    <w:rsid w:val="0043592C"/>
    <w:rsid w:val="004411B9"/>
    <w:rsid w:val="00441207"/>
    <w:rsid w:val="00441296"/>
    <w:rsid w:val="004422CA"/>
    <w:rsid w:val="00443807"/>
    <w:rsid w:val="004462F7"/>
    <w:rsid w:val="00457ABD"/>
    <w:rsid w:val="0046019D"/>
    <w:rsid w:val="00464536"/>
    <w:rsid w:val="0046514E"/>
    <w:rsid w:val="0046623C"/>
    <w:rsid w:val="00467739"/>
    <w:rsid w:val="00470D0C"/>
    <w:rsid w:val="00474E22"/>
    <w:rsid w:val="0047608F"/>
    <w:rsid w:val="00476554"/>
    <w:rsid w:val="004813D4"/>
    <w:rsid w:val="00484471"/>
    <w:rsid w:val="00491D91"/>
    <w:rsid w:val="0049580C"/>
    <w:rsid w:val="004967C6"/>
    <w:rsid w:val="0049768F"/>
    <w:rsid w:val="004A04E5"/>
    <w:rsid w:val="004A1495"/>
    <w:rsid w:val="004A2165"/>
    <w:rsid w:val="004A5F74"/>
    <w:rsid w:val="004B1052"/>
    <w:rsid w:val="004B6B14"/>
    <w:rsid w:val="004E47EC"/>
    <w:rsid w:val="004E514F"/>
    <w:rsid w:val="004E737F"/>
    <w:rsid w:val="004F03DE"/>
    <w:rsid w:val="004F22DA"/>
    <w:rsid w:val="00502165"/>
    <w:rsid w:val="00504834"/>
    <w:rsid w:val="00504C7A"/>
    <w:rsid w:val="00504CF9"/>
    <w:rsid w:val="00505AEE"/>
    <w:rsid w:val="0050632E"/>
    <w:rsid w:val="0050752D"/>
    <w:rsid w:val="00511EF3"/>
    <w:rsid w:val="00514507"/>
    <w:rsid w:val="00521350"/>
    <w:rsid w:val="00530043"/>
    <w:rsid w:val="005351B9"/>
    <w:rsid w:val="00536011"/>
    <w:rsid w:val="00537EB7"/>
    <w:rsid w:val="00543607"/>
    <w:rsid w:val="00550B79"/>
    <w:rsid w:val="0055150B"/>
    <w:rsid w:val="005532F9"/>
    <w:rsid w:val="0055440B"/>
    <w:rsid w:val="0055708D"/>
    <w:rsid w:val="00561CA6"/>
    <w:rsid w:val="00564565"/>
    <w:rsid w:val="005647BE"/>
    <w:rsid w:val="00566299"/>
    <w:rsid w:val="005725F6"/>
    <w:rsid w:val="00586817"/>
    <w:rsid w:val="00586D92"/>
    <w:rsid w:val="00587507"/>
    <w:rsid w:val="00596A0B"/>
    <w:rsid w:val="00596E05"/>
    <w:rsid w:val="00596F85"/>
    <w:rsid w:val="005970FA"/>
    <w:rsid w:val="005A0176"/>
    <w:rsid w:val="005A088E"/>
    <w:rsid w:val="005A2298"/>
    <w:rsid w:val="005A28C1"/>
    <w:rsid w:val="005A72FC"/>
    <w:rsid w:val="005B0388"/>
    <w:rsid w:val="005B109A"/>
    <w:rsid w:val="005C2FD5"/>
    <w:rsid w:val="005C5378"/>
    <w:rsid w:val="005C7C11"/>
    <w:rsid w:val="005D1C22"/>
    <w:rsid w:val="005D2AB9"/>
    <w:rsid w:val="005D34E2"/>
    <w:rsid w:val="005D496E"/>
    <w:rsid w:val="005D6D0C"/>
    <w:rsid w:val="005D6F8B"/>
    <w:rsid w:val="005D7C20"/>
    <w:rsid w:val="005E6960"/>
    <w:rsid w:val="005E7EB8"/>
    <w:rsid w:val="005F18D6"/>
    <w:rsid w:val="00603024"/>
    <w:rsid w:val="006116E3"/>
    <w:rsid w:val="00614933"/>
    <w:rsid w:val="00624400"/>
    <w:rsid w:val="00624E51"/>
    <w:rsid w:val="00626162"/>
    <w:rsid w:val="00634719"/>
    <w:rsid w:val="006454B8"/>
    <w:rsid w:val="006503E8"/>
    <w:rsid w:val="00654A4A"/>
    <w:rsid w:val="0065545A"/>
    <w:rsid w:val="006661CF"/>
    <w:rsid w:val="00670BFD"/>
    <w:rsid w:val="00671E4C"/>
    <w:rsid w:val="00673CAA"/>
    <w:rsid w:val="00674295"/>
    <w:rsid w:val="00674301"/>
    <w:rsid w:val="006818A8"/>
    <w:rsid w:val="00681A51"/>
    <w:rsid w:val="00681C0C"/>
    <w:rsid w:val="00682469"/>
    <w:rsid w:val="00683D97"/>
    <w:rsid w:val="00684FCA"/>
    <w:rsid w:val="00686B5C"/>
    <w:rsid w:val="00696997"/>
    <w:rsid w:val="006A6DDA"/>
    <w:rsid w:val="006A758C"/>
    <w:rsid w:val="006B117A"/>
    <w:rsid w:val="006C1EEC"/>
    <w:rsid w:val="006C3FEA"/>
    <w:rsid w:val="006C69E7"/>
    <w:rsid w:val="006D10AE"/>
    <w:rsid w:val="006D29F2"/>
    <w:rsid w:val="006D7CA2"/>
    <w:rsid w:val="006E065B"/>
    <w:rsid w:val="006E09D3"/>
    <w:rsid w:val="006E1E6C"/>
    <w:rsid w:val="006E5505"/>
    <w:rsid w:val="006F240A"/>
    <w:rsid w:val="006F2FB3"/>
    <w:rsid w:val="006F531B"/>
    <w:rsid w:val="006F62BC"/>
    <w:rsid w:val="00700055"/>
    <w:rsid w:val="00702493"/>
    <w:rsid w:val="00713914"/>
    <w:rsid w:val="00714F3B"/>
    <w:rsid w:val="007166F7"/>
    <w:rsid w:val="00716AEF"/>
    <w:rsid w:val="00717076"/>
    <w:rsid w:val="00717296"/>
    <w:rsid w:val="00727370"/>
    <w:rsid w:val="00735D9E"/>
    <w:rsid w:val="0074109C"/>
    <w:rsid w:val="00742335"/>
    <w:rsid w:val="00742842"/>
    <w:rsid w:val="00753376"/>
    <w:rsid w:val="007543B0"/>
    <w:rsid w:val="007568A9"/>
    <w:rsid w:val="00760E28"/>
    <w:rsid w:val="00761514"/>
    <w:rsid w:val="00763CE7"/>
    <w:rsid w:val="00772177"/>
    <w:rsid w:val="007757C2"/>
    <w:rsid w:val="00775C65"/>
    <w:rsid w:val="0077639A"/>
    <w:rsid w:val="0078100C"/>
    <w:rsid w:val="0078157F"/>
    <w:rsid w:val="007825FA"/>
    <w:rsid w:val="00786F48"/>
    <w:rsid w:val="0078772C"/>
    <w:rsid w:val="007878E4"/>
    <w:rsid w:val="007909FE"/>
    <w:rsid w:val="00791062"/>
    <w:rsid w:val="007963BD"/>
    <w:rsid w:val="007A2AF8"/>
    <w:rsid w:val="007A4783"/>
    <w:rsid w:val="007A4C9B"/>
    <w:rsid w:val="007A5191"/>
    <w:rsid w:val="007B0500"/>
    <w:rsid w:val="007B111B"/>
    <w:rsid w:val="007B3AE8"/>
    <w:rsid w:val="007B4418"/>
    <w:rsid w:val="007B5F62"/>
    <w:rsid w:val="007B66B3"/>
    <w:rsid w:val="007B7077"/>
    <w:rsid w:val="007C3003"/>
    <w:rsid w:val="007C6B60"/>
    <w:rsid w:val="007C6F85"/>
    <w:rsid w:val="007D3AA0"/>
    <w:rsid w:val="007D3FE2"/>
    <w:rsid w:val="007D5690"/>
    <w:rsid w:val="007D69FA"/>
    <w:rsid w:val="007E1600"/>
    <w:rsid w:val="00810603"/>
    <w:rsid w:val="0081186F"/>
    <w:rsid w:val="00814283"/>
    <w:rsid w:val="00820209"/>
    <w:rsid w:val="00820F35"/>
    <w:rsid w:val="00820FEC"/>
    <w:rsid w:val="0082393D"/>
    <w:rsid w:val="0083324D"/>
    <w:rsid w:val="00841733"/>
    <w:rsid w:val="008420B7"/>
    <w:rsid w:val="00844D38"/>
    <w:rsid w:val="00844D85"/>
    <w:rsid w:val="008524BE"/>
    <w:rsid w:val="00853BC2"/>
    <w:rsid w:val="00854278"/>
    <w:rsid w:val="00856063"/>
    <w:rsid w:val="00857172"/>
    <w:rsid w:val="0086236A"/>
    <w:rsid w:val="008654BA"/>
    <w:rsid w:val="0087035A"/>
    <w:rsid w:val="00870A34"/>
    <w:rsid w:val="0087347D"/>
    <w:rsid w:val="00882DAD"/>
    <w:rsid w:val="00885263"/>
    <w:rsid w:val="00892DA5"/>
    <w:rsid w:val="008949B1"/>
    <w:rsid w:val="0089713E"/>
    <w:rsid w:val="008A10F3"/>
    <w:rsid w:val="008A5C0F"/>
    <w:rsid w:val="008B1596"/>
    <w:rsid w:val="008C09C4"/>
    <w:rsid w:val="008C1F44"/>
    <w:rsid w:val="008C646F"/>
    <w:rsid w:val="008E3D19"/>
    <w:rsid w:val="008E3E4B"/>
    <w:rsid w:val="008E4EF9"/>
    <w:rsid w:val="008E6DFC"/>
    <w:rsid w:val="008E7710"/>
    <w:rsid w:val="00900D4D"/>
    <w:rsid w:val="00903F34"/>
    <w:rsid w:val="00905C0A"/>
    <w:rsid w:val="00910D5E"/>
    <w:rsid w:val="009122F8"/>
    <w:rsid w:val="00915520"/>
    <w:rsid w:val="009155F7"/>
    <w:rsid w:val="00921131"/>
    <w:rsid w:val="009247F5"/>
    <w:rsid w:val="00926AB2"/>
    <w:rsid w:val="009407FE"/>
    <w:rsid w:val="00942436"/>
    <w:rsid w:val="00952402"/>
    <w:rsid w:val="00957603"/>
    <w:rsid w:val="00957A1D"/>
    <w:rsid w:val="00957BC0"/>
    <w:rsid w:val="00961017"/>
    <w:rsid w:val="0096487B"/>
    <w:rsid w:val="009757D1"/>
    <w:rsid w:val="00980754"/>
    <w:rsid w:val="00981535"/>
    <w:rsid w:val="009825C8"/>
    <w:rsid w:val="0098409F"/>
    <w:rsid w:val="00984AAE"/>
    <w:rsid w:val="00985537"/>
    <w:rsid w:val="00991698"/>
    <w:rsid w:val="00991C17"/>
    <w:rsid w:val="00992D1E"/>
    <w:rsid w:val="00997EB2"/>
    <w:rsid w:val="009A06F5"/>
    <w:rsid w:val="009A0788"/>
    <w:rsid w:val="009A0E92"/>
    <w:rsid w:val="009A17EC"/>
    <w:rsid w:val="009B03DF"/>
    <w:rsid w:val="009B6AF0"/>
    <w:rsid w:val="009C292D"/>
    <w:rsid w:val="009C5F0C"/>
    <w:rsid w:val="009C67C0"/>
    <w:rsid w:val="009D1035"/>
    <w:rsid w:val="009D13D0"/>
    <w:rsid w:val="009D2068"/>
    <w:rsid w:val="009D7D33"/>
    <w:rsid w:val="009E4DD4"/>
    <w:rsid w:val="009E4E3F"/>
    <w:rsid w:val="009E698B"/>
    <w:rsid w:val="009F1547"/>
    <w:rsid w:val="009F4ABA"/>
    <w:rsid w:val="00A066AE"/>
    <w:rsid w:val="00A10DD9"/>
    <w:rsid w:val="00A12C6B"/>
    <w:rsid w:val="00A14117"/>
    <w:rsid w:val="00A149FA"/>
    <w:rsid w:val="00A17DF0"/>
    <w:rsid w:val="00A20F78"/>
    <w:rsid w:val="00A218F1"/>
    <w:rsid w:val="00A27DEE"/>
    <w:rsid w:val="00A31B93"/>
    <w:rsid w:val="00A375EF"/>
    <w:rsid w:val="00A528C2"/>
    <w:rsid w:val="00A54AFD"/>
    <w:rsid w:val="00A54E69"/>
    <w:rsid w:val="00A61B06"/>
    <w:rsid w:val="00A62113"/>
    <w:rsid w:val="00A64125"/>
    <w:rsid w:val="00A6759C"/>
    <w:rsid w:val="00A676F5"/>
    <w:rsid w:val="00A67923"/>
    <w:rsid w:val="00A7002B"/>
    <w:rsid w:val="00A713ED"/>
    <w:rsid w:val="00A714B8"/>
    <w:rsid w:val="00A725AF"/>
    <w:rsid w:val="00A74901"/>
    <w:rsid w:val="00A75733"/>
    <w:rsid w:val="00A76308"/>
    <w:rsid w:val="00A77C08"/>
    <w:rsid w:val="00A81527"/>
    <w:rsid w:val="00A82058"/>
    <w:rsid w:val="00A84AE7"/>
    <w:rsid w:val="00A869B0"/>
    <w:rsid w:val="00A9289F"/>
    <w:rsid w:val="00A92C1D"/>
    <w:rsid w:val="00AA0C77"/>
    <w:rsid w:val="00AA1D27"/>
    <w:rsid w:val="00AA204C"/>
    <w:rsid w:val="00AA2D57"/>
    <w:rsid w:val="00AA3941"/>
    <w:rsid w:val="00AA56D0"/>
    <w:rsid w:val="00AB0C9F"/>
    <w:rsid w:val="00AB143A"/>
    <w:rsid w:val="00AC003C"/>
    <w:rsid w:val="00AC0103"/>
    <w:rsid w:val="00AC1404"/>
    <w:rsid w:val="00AC6643"/>
    <w:rsid w:val="00AD039F"/>
    <w:rsid w:val="00AD3902"/>
    <w:rsid w:val="00AD6010"/>
    <w:rsid w:val="00AE1411"/>
    <w:rsid w:val="00AE33FF"/>
    <w:rsid w:val="00AF06D5"/>
    <w:rsid w:val="00AF09DD"/>
    <w:rsid w:val="00B02655"/>
    <w:rsid w:val="00B05102"/>
    <w:rsid w:val="00B07091"/>
    <w:rsid w:val="00B16A34"/>
    <w:rsid w:val="00B25453"/>
    <w:rsid w:val="00B31B9C"/>
    <w:rsid w:val="00B34D6C"/>
    <w:rsid w:val="00B4200B"/>
    <w:rsid w:val="00B5544F"/>
    <w:rsid w:val="00B55E5D"/>
    <w:rsid w:val="00B5761C"/>
    <w:rsid w:val="00B60A36"/>
    <w:rsid w:val="00B60EB7"/>
    <w:rsid w:val="00B66867"/>
    <w:rsid w:val="00B66994"/>
    <w:rsid w:val="00B71AFB"/>
    <w:rsid w:val="00B71F3A"/>
    <w:rsid w:val="00B73C97"/>
    <w:rsid w:val="00B76340"/>
    <w:rsid w:val="00B80C43"/>
    <w:rsid w:val="00B94786"/>
    <w:rsid w:val="00BA78B6"/>
    <w:rsid w:val="00BB0C3A"/>
    <w:rsid w:val="00BB26AD"/>
    <w:rsid w:val="00BB79BD"/>
    <w:rsid w:val="00BC7208"/>
    <w:rsid w:val="00BD0B48"/>
    <w:rsid w:val="00BD2A0A"/>
    <w:rsid w:val="00BD5D0F"/>
    <w:rsid w:val="00BD7C68"/>
    <w:rsid w:val="00BE1CBC"/>
    <w:rsid w:val="00BE29DC"/>
    <w:rsid w:val="00BF697A"/>
    <w:rsid w:val="00BF6ADB"/>
    <w:rsid w:val="00C03776"/>
    <w:rsid w:val="00C13821"/>
    <w:rsid w:val="00C14051"/>
    <w:rsid w:val="00C15F73"/>
    <w:rsid w:val="00C2037B"/>
    <w:rsid w:val="00C22FF7"/>
    <w:rsid w:val="00C27F76"/>
    <w:rsid w:val="00C30DA4"/>
    <w:rsid w:val="00C428CE"/>
    <w:rsid w:val="00C44719"/>
    <w:rsid w:val="00C50108"/>
    <w:rsid w:val="00C6572C"/>
    <w:rsid w:val="00C70CFF"/>
    <w:rsid w:val="00C71218"/>
    <w:rsid w:val="00C72583"/>
    <w:rsid w:val="00C75655"/>
    <w:rsid w:val="00C837C3"/>
    <w:rsid w:val="00C84497"/>
    <w:rsid w:val="00C868F6"/>
    <w:rsid w:val="00C9137C"/>
    <w:rsid w:val="00C91644"/>
    <w:rsid w:val="00C9663B"/>
    <w:rsid w:val="00CA43A5"/>
    <w:rsid w:val="00CA7C0B"/>
    <w:rsid w:val="00CB6E2B"/>
    <w:rsid w:val="00CB6FF7"/>
    <w:rsid w:val="00CB7302"/>
    <w:rsid w:val="00CC1E9F"/>
    <w:rsid w:val="00CC5896"/>
    <w:rsid w:val="00CD3C90"/>
    <w:rsid w:val="00CE0C35"/>
    <w:rsid w:val="00CE3810"/>
    <w:rsid w:val="00CE52B4"/>
    <w:rsid w:val="00CE5DCD"/>
    <w:rsid w:val="00CE701C"/>
    <w:rsid w:val="00CE7599"/>
    <w:rsid w:val="00CF414A"/>
    <w:rsid w:val="00CF4FF0"/>
    <w:rsid w:val="00CF5B47"/>
    <w:rsid w:val="00CF7E7C"/>
    <w:rsid w:val="00D104F9"/>
    <w:rsid w:val="00D14323"/>
    <w:rsid w:val="00D16008"/>
    <w:rsid w:val="00D166D4"/>
    <w:rsid w:val="00D30254"/>
    <w:rsid w:val="00D30C5B"/>
    <w:rsid w:val="00D33768"/>
    <w:rsid w:val="00D33D87"/>
    <w:rsid w:val="00D35077"/>
    <w:rsid w:val="00D35A6E"/>
    <w:rsid w:val="00D36DC4"/>
    <w:rsid w:val="00D408A8"/>
    <w:rsid w:val="00D46DAE"/>
    <w:rsid w:val="00D51C8F"/>
    <w:rsid w:val="00D5204B"/>
    <w:rsid w:val="00D54C10"/>
    <w:rsid w:val="00D55191"/>
    <w:rsid w:val="00D55CD0"/>
    <w:rsid w:val="00D56933"/>
    <w:rsid w:val="00D57544"/>
    <w:rsid w:val="00D578D3"/>
    <w:rsid w:val="00D57973"/>
    <w:rsid w:val="00D60CE2"/>
    <w:rsid w:val="00D612EC"/>
    <w:rsid w:val="00D6153E"/>
    <w:rsid w:val="00D623C4"/>
    <w:rsid w:val="00D722DF"/>
    <w:rsid w:val="00D84675"/>
    <w:rsid w:val="00D8526A"/>
    <w:rsid w:val="00D86252"/>
    <w:rsid w:val="00D917F3"/>
    <w:rsid w:val="00D97BAA"/>
    <w:rsid w:val="00DA0430"/>
    <w:rsid w:val="00DA3A0A"/>
    <w:rsid w:val="00DA3AF3"/>
    <w:rsid w:val="00DA5455"/>
    <w:rsid w:val="00DA5C2B"/>
    <w:rsid w:val="00DB5EFB"/>
    <w:rsid w:val="00DB6EF1"/>
    <w:rsid w:val="00DC19BB"/>
    <w:rsid w:val="00DC6404"/>
    <w:rsid w:val="00DD7FDF"/>
    <w:rsid w:val="00DE1703"/>
    <w:rsid w:val="00DE25AC"/>
    <w:rsid w:val="00DE326A"/>
    <w:rsid w:val="00DE5AC0"/>
    <w:rsid w:val="00DF1286"/>
    <w:rsid w:val="00DF2966"/>
    <w:rsid w:val="00DF4BEA"/>
    <w:rsid w:val="00DF568D"/>
    <w:rsid w:val="00E00CCB"/>
    <w:rsid w:val="00E042C7"/>
    <w:rsid w:val="00E0781A"/>
    <w:rsid w:val="00E11475"/>
    <w:rsid w:val="00E175A7"/>
    <w:rsid w:val="00E20168"/>
    <w:rsid w:val="00E20740"/>
    <w:rsid w:val="00E20E92"/>
    <w:rsid w:val="00E245DA"/>
    <w:rsid w:val="00E24645"/>
    <w:rsid w:val="00E31BCB"/>
    <w:rsid w:val="00E32963"/>
    <w:rsid w:val="00E337BC"/>
    <w:rsid w:val="00E350CD"/>
    <w:rsid w:val="00E372A9"/>
    <w:rsid w:val="00E37A1A"/>
    <w:rsid w:val="00E37B5A"/>
    <w:rsid w:val="00E4001B"/>
    <w:rsid w:val="00E51FDE"/>
    <w:rsid w:val="00E534B2"/>
    <w:rsid w:val="00E56B66"/>
    <w:rsid w:val="00E579AF"/>
    <w:rsid w:val="00E67C64"/>
    <w:rsid w:val="00E705B7"/>
    <w:rsid w:val="00E7086E"/>
    <w:rsid w:val="00E70ECC"/>
    <w:rsid w:val="00E71A89"/>
    <w:rsid w:val="00E72CD2"/>
    <w:rsid w:val="00E77197"/>
    <w:rsid w:val="00E80602"/>
    <w:rsid w:val="00E81B1A"/>
    <w:rsid w:val="00E84FB3"/>
    <w:rsid w:val="00E87037"/>
    <w:rsid w:val="00E90CA6"/>
    <w:rsid w:val="00EA0F03"/>
    <w:rsid w:val="00EA1EF9"/>
    <w:rsid w:val="00EA2CA0"/>
    <w:rsid w:val="00EA4B65"/>
    <w:rsid w:val="00EA7237"/>
    <w:rsid w:val="00EB0064"/>
    <w:rsid w:val="00EB055B"/>
    <w:rsid w:val="00EB112A"/>
    <w:rsid w:val="00EB2626"/>
    <w:rsid w:val="00EC1212"/>
    <w:rsid w:val="00EC1D3D"/>
    <w:rsid w:val="00EC3331"/>
    <w:rsid w:val="00EC5A98"/>
    <w:rsid w:val="00EC677E"/>
    <w:rsid w:val="00EC7E67"/>
    <w:rsid w:val="00ED5B5C"/>
    <w:rsid w:val="00ED70BD"/>
    <w:rsid w:val="00ED79A0"/>
    <w:rsid w:val="00EE0B3E"/>
    <w:rsid w:val="00EE37BB"/>
    <w:rsid w:val="00EF4099"/>
    <w:rsid w:val="00EF6BDC"/>
    <w:rsid w:val="00F01C4C"/>
    <w:rsid w:val="00F02786"/>
    <w:rsid w:val="00F0434F"/>
    <w:rsid w:val="00F0670F"/>
    <w:rsid w:val="00F07FA6"/>
    <w:rsid w:val="00F11BB3"/>
    <w:rsid w:val="00F13036"/>
    <w:rsid w:val="00F21C0E"/>
    <w:rsid w:val="00F21D1A"/>
    <w:rsid w:val="00F22865"/>
    <w:rsid w:val="00F24D75"/>
    <w:rsid w:val="00F261E3"/>
    <w:rsid w:val="00F34B2F"/>
    <w:rsid w:val="00F34F33"/>
    <w:rsid w:val="00F36D1F"/>
    <w:rsid w:val="00F3769E"/>
    <w:rsid w:val="00F40F06"/>
    <w:rsid w:val="00F42669"/>
    <w:rsid w:val="00F45B0D"/>
    <w:rsid w:val="00F4749B"/>
    <w:rsid w:val="00F514FB"/>
    <w:rsid w:val="00F54545"/>
    <w:rsid w:val="00F56CE9"/>
    <w:rsid w:val="00F61151"/>
    <w:rsid w:val="00F61FCA"/>
    <w:rsid w:val="00F64ECE"/>
    <w:rsid w:val="00F669AD"/>
    <w:rsid w:val="00F67B6E"/>
    <w:rsid w:val="00F77765"/>
    <w:rsid w:val="00F77EC3"/>
    <w:rsid w:val="00F85E98"/>
    <w:rsid w:val="00F90343"/>
    <w:rsid w:val="00F9643F"/>
    <w:rsid w:val="00FA2DFB"/>
    <w:rsid w:val="00FA7C8B"/>
    <w:rsid w:val="00FB0249"/>
    <w:rsid w:val="00FB793A"/>
    <w:rsid w:val="00FC178F"/>
    <w:rsid w:val="00FC5915"/>
    <w:rsid w:val="00FC5D6D"/>
    <w:rsid w:val="00FC6AB1"/>
    <w:rsid w:val="00FD069B"/>
    <w:rsid w:val="00FD6657"/>
    <w:rsid w:val="00FF1A54"/>
    <w:rsid w:val="00FF1D0C"/>
    <w:rsid w:val="00FF68A3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671E4C"/>
    <w:rPr>
      <w:vertAlign w:val="superscript"/>
    </w:rPr>
  </w:style>
  <w:style w:type="character" w:styleId="Hyperlink">
    <w:name w:val="Hyperlink"/>
    <w:basedOn w:val="DefaultParagraphFont"/>
    <w:rsid w:val="00154CB6"/>
    <w:rPr>
      <w:color w:val="0000FF"/>
      <w:u w:val="single"/>
    </w:rPr>
  </w:style>
  <w:style w:type="character" w:customStyle="1" w:styleId="term1">
    <w:name w:val="term1"/>
    <w:basedOn w:val="DefaultParagraphFont"/>
    <w:rsid w:val="00154CB6"/>
    <w:rPr>
      <w:b/>
      <w:bCs/>
    </w:rPr>
  </w:style>
  <w:style w:type="character" w:styleId="Emphasis">
    <w:name w:val="Emphasis"/>
    <w:basedOn w:val="DefaultParagraphFont"/>
    <w:qFormat/>
    <w:rsid w:val="00214B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2C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050B0"/>
    <w:pPr>
      <w:widowControl/>
      <w:autoSpaceDE w:val="0"/>
      <w:autoSpaceDN w:val="0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0B0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4050B0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4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2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4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E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EB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rsid w:val="00671E4C"/>
    <w:rPr>
      <w:vertAlign w:val="superscript"/>
    </w:rPr>
  </w:style>
  <w:style w:type="character" w:styleId="Hyperlink">
    <w:name w:val="Hyperlink"/>
    <w:basedOn w:val="DefaultParagraphFont"/>
    <w:rsid w:val="00154CB6"/>
    <w:rPr>
      <w:color w:val="0000FF"/>
      <w:u w:val="single"/>
    </w:rPr>
  </w:style>
  <w:style w:type="character" w:customStyle="1" w:styleId="term1">
    <w:name w:val="term1"/>
    <w:basedOn w:val="DefaultParagraphFont"/>
    <w:rsid w:val="00154CB6"/>
    <w:rPr>
      <w:b/>
      <w:bCs/>
    </w:rPr>
  </w:style>
  <w:style w:type="character" w:styleId="Emphasis">
    <w:name w:val="Emphasis"/>
    <w:basedOn w:val="DefaultParagraphFont"/>
    <w:qFormat/>
    <w:rsid w:val="00214B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2C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050B0"/>
    <w:pPr>
      <w:widowControl/>
      <w:autoSpaceDE w:val="0"/>
      <w:autoSpaceDN w:val="0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0B0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4050B0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4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52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4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7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E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EB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82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EAB3-94AC-484D-81E0-C7CE5C57D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jnase</dc:creator>
  <cp:lastModifiedBy>Miller, Sara</cp:lastModifiedBy>
  <cp:revision>3</cp:revision>
  <cp:lastPrinted>2013-03-13T16:30:00Z</cp:lastPrinted>
  <dcterms:created xsi:type="dcterms:W3CDTF">2013-03-13T15:15:00Z</dcterms:created>
  <dcterms:modified xsi:type="dcterms:W3CDTF">2013-03-13T16:31:00Z</dcterms:modified>
</cp:coreProperties>
</file>