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66241C" w:rsidRPr="003176BE" w:rsidRDefault="003C2748">
      <w:pPr>
        <w:tabs>
          <w:tab w:val="left" w:pos="-720"/>
        </w:tabs>
        <w:suppressAutoHyphens/>
        <w:jc w:val="both"/>
        <w:rPr>
          <w:rFonts w:ascii="Times New Roman" w:hAnsi="Times New Roman" w:cs="Times New Roman"/>
          <w:spacing w:val="-3"/>
        </w:rPr>
      </w:pPr>
      <w:r>
        <w:rPr>
          <w:rFonts w:ascii="Times New Roman" w:hAnsi="Times New Roman" w:cs="Times New Roman"/>
          <w:spacing w:val="-3"/>
        </w:rPr>
        <w:t>Ena Blackwood</w:t>
      </w:r>
      <w:r w:rsidR="00921CCB">
        <w:rPr>
          <w:rFonts w:ascii="Times New Roman" w:hAnsi="Times New Roman" w:cs="Times New Roman"/>
          <w:spacing w:val="-3"/>
        </w:rPr>
        <w:tab/>
      </w:r>
      <w:r w:rsidR="003372C6">
        <w:rPr>
          <w:rFonts w:ascii="Times New Roman" w:hAnsi="Times New Roman" w:cs="Times New Roman"/>
          <w:spacing w:val="-3"/>
        </w:rPr>
        <w:tab/>
      </w:r>
      <w:r w:rsidR="007870AE">
        <w:rPr>
          <w:rFonts w:ascii="Times New Roman" w:hAnsi="Times New Roman" w:cs="Times New Roman"/>
          <w:spacing w:val="-3"/>
        </w:rPr>
        <w:tab/>
      </w:r>
      <w:r w:rsidR="00742E76" w:rsidRPr="003176BE">
        <w:rPr>
          <w:rFonts w:ascii="Times New Roman" w:hAnsi="Times New Roman" w:cs="Times New Roman"/>
          <w:spacing w:val="-3"/>
        </w:rPr>
        <w:tab/>
      </w:r>
      <w:r w:rsidR="0066241C" w:rsidRPr="003176BE">
        <w:rPr>
          <w:rFonts w:ascii="Times New Roman" w:hAnsi="Times New Roman" w:cs="Times New Roman"/>
          <w:spacing w:val="-3"/>
        </w:rPr>
        <w:fldChar w:fldCharType="begin"/>
      </w:r>
      <w:r w:rsidR="0066241C" w:rsidRPr="003176BE">
        <w:rPr>
          <w:rFonts w:ascii="Times New Roman" w:hAnsi="Times New Roman" w:cs="Times New Roman"/>
          <w:spacing w:val="-3"/>
        </w:rPr>
        <w:instrText>fillin "Complainant's name" \d ""</w:instrText>
      </w:r>
      <w:r w:rsidR="0066241C" w:rsidRPr="003176BE">
        <w:rPr>
          <w:rFonts w:ascii="Times New Roman" w:hAnsi="Times New Roman" w:cs="Times New Roman"/>
          <w:spacing w:val="-3"/>
        </w:rPr>
        <w:fldChar w:fldCharType="end"/>
      </w:r>
      <w:r w:rsidR="0066241C" w:rsidRPr="003176BE">
        <w:rPr>
          <w:rFonts w:ascii="Times New Roman" w:hAnsi="Times New Roman" w:cs="Times New Roman"/>
          <w:spacing w:val="-3"/>
        </w:rPr>
        <w:t>:</w:t>
      </w:r>
    </w:p>
    <w:p w:rsidR="0066241C" w:rsidRPr="003176BE" w:rsidRDefault="0066241C" w:rsidP="00B72D65">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00B72D65" w:rsidRPr="003176BE">
        <w:rPr>
          <w:rFonts w:ascii="Times New Roman" w:hAnsi="Times New Roman" w:cs="Times New Roman"/>
          <w:spacing w:val="-3"/>
        </w:rPr>
        <w:tab/>
      </w:r>
      <w:r w:rsidR="00440B5A" w:rsidRPr="003176BE">
        <w:rPr>
          <w:rFonts w:ascii="Times New Roman" w:hAnsi="Times New Roman" w:cs="Times New Roman"/>
          <w:spacing w:val="-3"/>
        </w:rPr>
        <w:t>:</w:t>
      </w:r>
      <w:r w:rsidRPr="003176BE">
        <w:rPr>
          <w:rFonts w:ascii="Times New Roman" w:hAnsi="Times New Roman" w:cs="Times New Roman"/>
          <w:spacing w:val="-3"/>
        </w:rPr>
        <w:tab/>
      </w:r>
      <w:r w:rsidR="00440B5A" w:rsidRPr="003176BE">
        <w:rPr>
          <w:rFonts w:ascii="Times New Roman" w:hAnsi="Times New Roman" w:cs="Times New Roman"/>
          <w:spacing w:val="-3"/>
        </w:rPr>
        <w:tab/>
      </w:r>
    </w:p>
    <w:p w:rsidR="0066241C" w:rsidRPr="003176BE" w:rsidRDefault="009A271D">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0066241C" w:rsidRPr="003176BE">
        <w:rPr>
          <w:rFonts w:ascii="Times New Roman" w:hAnsi="Times New Roman" w:cs="Times New Roman"/>
          <w:spacing w:val="-3"/>
        </w:rPr>
        <w:t>v.</w:t>
      </w:r>
      <w:r w:rsidR="0066241C" w:rsidRPr="003176BE">
        <w:rPr>
          <w:rFonts w:ascii="Times New Roman" w:hAnsi="Times New Roman" w:cs="Times New Roman"/>
          <w:spacing w:val="-3"/>
        </w:rPr>
        <w:tab/>
      </w:r>
      <w:r w:rsidR="0066241C" w:rsidRPr="003176BE">
        <w:rPr>
          <w:rFonts w:ascii="Times New Roman" w:hAnsi="Times New Roman" w:cs="Times New Roman"/>
          <w:spacing w:val="-3"/>
        </w:rPr>
        <w:tab/>
      </w:r>
      <w:r w:rsidR="0066241C" w:rsidRPr="003176BE">
        <w:rPr>
          <w:rFonts w:ascii="Times New Roman" w:hAnsi="Times New Roman" w:cs="Times New Roman"/>
          <w:spacing w:val="-3"/>
        </w:rPr>
        <w:tab/>
      </w:r>
      <w:r w:rsidR="00B72D65" w:rsidRPr="003176BE">
        <w:rPr>
          <w:rFonts w:ascii="Times New Roman" w:hAnsi="Times New Roman" w:cs="Times New Roman"/>
          <w:spacing w:val="-3"/>
        </w:rPr>
        <w:tab/>
      </w:r>
      <w:r w:rsidR="00B72D65" w:rsidRPr="003176BE">
        <w:rPr>
          <w:rFonts w:ascii="Times New Roman" w:hAnsi="Times New Roman" w:cs="Times New Roman"/>
          <w:spacing w:val="-3"/>
        </w:rPr>
        <w:tab/>
      </w:r>
      <w:r w:rsidR="0066241C" w:rsidRPr="003176BE">
        <w:rPr>
          <w:rFonts w:ascii="Times New Roman" w:hAnsi="Times New Roman" w:cs="Times New Roman"/>
          <w:spacing w:val="-3"/>
        </w:rPr>
        <w:t>:</w:t>
      </w:r>
      <w:r w:rsidR="00897B60" w:rsidRPr="003176BE">
        <w:rPr>
          <w:rFonts w:ascii="Times New Roman" w:hAnsi="Times New Roman" w:cs="Times New Roman"/>
          <w:spacing w:val="-3"/>
        </w:rPr>
        <w:tab/>
      </w:r>
      <w:r w:rsidR="00E54BEE">
        <w:rPr>
          <w:rFonts w:ascii="Times New Roman" w:hAnsi="Times New Roman" w:cs="Times New Roman"/>
          <w:spacing w:val="-3"/>
        </w:rPr>
        <w:tab/>
      </w:r>
      <w:r w:rsidR="00D40513">
        <w:rPr>
          <w:rFonts w:ascii="Times New Roman" w:hAnsi="Times New Roman" w:cs="Times New Roman"/>
          <w:spacing w:val="-3"/>
        </w:rPr>
        <w:t>C-201</w:t>
      </w:r>
      <w:r w:rsidR="003C2748">
        <w:rPr>
          <w:rFonts w:ascii="Times New Roman" w:hAnsi="Times New Roman" w:cs="Times New Roman"/>
          <w:spacing w:val="-3"/>
        </w:rPr>
        <w:t>2-2333000</w:t>
      </w:r>
    </w:p>
    <w:p w:rsidR="006573C5" w:rsidRPr="003176BE" w:rsidRDefault="0066241C" w:rsidP="00EC7184">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6573C5" w:rsidRPr="003176BE">
        <w:rPr>
          <w:rFonts w:ascii="Times New Roman" w:hAnsi="Times New Roman" w:cs="Times New Roman"/>
          <w:spacing w:val="-3"/>
        </w:rPr>
        <w:t>:</w:t>
      </w:r>
    </w:p>
    <w:p w:rsidR="00066AF1" w:rsidRDefault="003C2748" w:rsidP="00924493">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Aqua Pennsylvania, </w:t>
      </w:r>
      <w:r w:rsidR="00921CCB">
        <w:rPr>
          <w:rFonts w:ascii="Times New Roman" w:hAnsi="Times New Roman" w:cs="Times New Roman"/>
          <w:spacing w:val="-3"/>
        </w:rPr>
        <w:t>Inc.</w:t>
      </w:r>
      <w:r w:rsidR="00921CCB">
        <w:rPr>
          <w:rFonts w:ascii="Times New Roman" w:hAnsi="Times New Roman" w:cs="Times New Roman"/>
          <w:spacing w:val="-3"/>
        </w:rPr>
        <w:tab/>
      </w:r>
      <w:r w:rsidR="00E077E2">
        <w:rPr>
          <w:rFonts w:ascii="Times New Roman" w:hAnsi="Times New Roman" w:cs="Times New Roman"/>
          <w:spacing w:val="-3"/>
        </w:rPr>
        <w:tab/>
      </w:r>
      <w:r w:rsidR="00D230E0">
        <w:rPr>
          <w:rFonts w:ascii="Times New Roman" w:hAnsi="Times New Roman" w:cs="Times New Roman"/>
          <w:spacing w:val="-3"/>
        </w:rPr>
        <w:tab/>
      </w:r>
      <w:r w:rsidR="00EC7184" w:rsidRPr="003176BE">
        <w:rPr>
          <w:rFonts w:ascii="Times New Roman" w:hAnsi="Times New Roman" w:cs="Times New Roman"/>
          <w:spacing w:val="-3"/>
        </w:rPr>
        <w:t>:</w:t>
      </w:r>
    </w:p>
    <w:p w:rsidR="00066AF1" w:rsidRDefault="00066AF1"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2B5128">
        <w:rPr>
          <w:rFonts w:ascii="Times New Roman" w:hAnsi="Times New Roman"/>
        </w:rPr>
        <w:t>Tuesday</w:t>
      </w:r>
      <w:r w:rsidR="00831689">
        <w:rPr>
          <w:rFonts w:ascii="Times New Roman" w:hAnsi="Times New Roman"/>
        </w:rPr>
        <w:t xml:space="preserve">, </w:t>
      </w:r>
      <w:r w:rsidR="002B5128">
        <w:rPr>
          <w:rFonts w:ascii="Times New Roman" w:hAnsi="Times New Roman"/>
        </w:rPr>
        <w:t xml:space="preserve">April </w:t>
      </w:r>
      <w:r w:rsidR="00AB2ED2">
        <w:rPr>
          <w:rFonts w:ascii="Times New Roman" w:hAnsi="Times New Roman"/>
        </w:rPr>
        <w:t>9</w:t>
      </w:r>
      <w:r w:rsidR="002B5128">
        <w:rPr>
          <w:rFonts w:ascii="Times New Roman" w:hAnsi="Times New Roman"/>
        </w:rPr>
        <w:t>, 2013</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 xml:space="preserve">I will dismiss your </w:t>
      </w:r>
      <w:proofErr w:type="gramStart"/>
      <w:r w:rsidRPr="003176BE">
        <w:rPr>
          <w:rFonts w:ascii="Times New Roman" w:hAnsi="Times New Roman" w:cs="Times New Roman"/>
          <w:b/>
        </w:rPr>
        <w:t>case</w:t>
      </w:r>
      <w:proofErr w:type="gramEnd"/>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adjustRightInd w:val="0"/>
        <w:spacing w:line="360" w:lineRule="auto"/>
        <w:ind w:firstLine="1440"/>
        <w:rPr>
          <w:rFonts w:ascii="Times New Roman" w:hAnsi="Times New Roman"/>
          <w:b/>
          <w:caps/>
        </w:rPr>
      </w:pPr>
      <w:r w:rsidRPr="003176BE">
        <w:rPr>
          <w:rFonts w:ascii="Times New Roman" w:hAnsi="Times New Roman"/>
          <w:caps/>
        </w:rPr>
        <w:t>7.</w:t>
      </w:r>
      <w:r w:rsidRPr="003176BE">
        <w:rPr>
          <w:rFonts w:ascii="Times New Roman" w:hAnsi="Times New Roman"/>
          <w:caps/>
        </w:rPr>
        <w:tab/>
      </w:r>
      <w:r w:rsidRPr="003176BE">
        <w:rPr>
          <w:rFonts w:ascii="Times New Roman" w:hAnsi="Times New Roman"/>
          <w:b/>
        </w:rPr>
        <w:t>The Customer is responsible for payment of current bills pending the resolution of this complaint.  Failure to make payments may result in the termination of utility service</w:t>
      </w:r>
      <w:r w:rsidRPr="003176BE">
        <w:rPr>
          <w:rFonts w:ascii="Times New Roman" w:hAnsi="Times New Roman"/>
          <w:b/>
          <w:caps/>
        </w:rPr>
        <w:t xml:space="preserve">.  </w:t>
      </w:r>
    </w:p>
    <w:p w:rsidR="00ED185B" w:rsidRPr="003176BE" w:rsidRDefault="00ED185B" w:rsidP="00ED185B">
      <w:pPr>
        <w:adjustRightInd w:val="0"/>
        <w:spacing w:line="360" w:lineRule="auto"/>
        <w:ind w:firstLine="1440"/>
        <w:rPr>
          <w:rFonts w:ascii="Times New Roman" w:hAnsi="Times New Roman"/>
        </w:rPr>
      </w:pPr>
    </w:p>
    <w:p w:rsidR="00ED185B" w:rsidRDefault="00ED185B" w:rsidP="00B66062">
      <w:pPr>
        <w:pStyle w:val="ParaTab1"/>
        <w:tabs>
          <w:tab w:val="num" w:pos="0"/>
          <w:tab w:val="left" w:pos="2070"/>
        </w:tabs>
        <w:spacing w:line="360" w:lineRule="auto"/>
        <w:rPr>
          <w:rFonts w:ascii="Times New Roman" w:hAnsi="Times New Roman" w:cs="Times New Roman"/>
          <w:b/>
          <w:spacing w:val="-3"/>
        </w:rPr>
      </w:pPr>
      <w:r w:rsidRPr="003176BE">
        <w:rPr>
          <w:rFonts w:ascii="Times New Roman" w:hAnsi="Times New Roman" w:cs="Times New Roman"/>
          <w:spacing w:val="-3"/>
        </w:rPr>
        <w:t>8.</w:t>
      </w:r>
      <w:r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D185B" w:rsidRPr="00EC3BC4">
        <w:rPr>
          <w:rFonts w:ascii="Times New Roman" w:hAnsi="Times New Roman" w:cs="Times New Roman"/>
          <w:spacing w:val="-3"/>
        </w:rPr>
        <w:t>9.</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2B5128">
        <w:rPr>
          <w:rFonts w:ascii="Times New Roman" w:hAnsi="Times New Roman" w:cs="Times New Roman"/>
          <w:spacing w:val="-3"/>
        </w:rPr>
        <w:t>s</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C3BC4" w:rsidP="002D13B6">
      <w:pPr>
        <w:spacing w:line="360" w:lineRule="auto"/>
        <w:ind w:firstLine="1440"/>
        <w:rPr>
          <w:rFonts w:ascii="Times New Roman" w:hAnsi="Times New Roman"/>
        </w:rPr>
      </w:pPr>
      <w:r w:rsidRPr="00EC3BC4">
        <w:rPr>
          <w:rFonts w:ascii="Times New Roman" w:hAnsi="Times New Roman" w:cs="Times New Roman"/>
          <w:spacing w:val="-3"/>
        </w:rPr>
        <w:t>10.</w:t>
      </w:r>
      <w:r w:rsidRPr="00EC3BC4">
        <w:rPr>
          <w:rFonts w:ascii="Times New Roman" w:hAnsi="Times New Roman" w:cs="Times New Roman"/>
          <w:spacing w:val="-3"/>
        </w:rPr>
        <w:tab/>
      </w:r>
      <w:r w:rsidRPr="00EC3BC4">
        <w:rPr>
          <w:rFonts w:ascii="Times New Roman" w:hAnsi="Times New Roman"/>
        </w:rPr>
        <w:t>If you, or anyone you plan to call as a witness on your behalf</w:t>
      </w:r>
      <w:r w:rsidR="00462DD3">
        <w:rPr>
          <w:rFonts w:ascii="Times New Roman" w:hAnsi="Times New Roman"/>
        </w:rPr>
        <w:t>,</w:t>
      </w:r>
      <w:r w:rsidRPr="00EC3BC4">
        <w:rPr>
          <w:rFonts w:ascii="Times New Roman" w:hAnsi="Times New Roman"/>
        </w:rPr>
        <w:t xml:space="preserve"> ha</w:t>
      </w:r>
      <w:r w:rsidR="00B66062">
        <w:rPr>
          <w:rFonts w:ascii="Times New Roman" w:hAnsi="Times New Roman"/>
        </w:rPr>
        <w:t>s</w:t>
      </w:r>
      <w:r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Pr="00EC3BC4">
        <w:rPr>
          <w:rFonts w:ascii="Times New Roman" w:hAnsi="Times New Roman"/>
        </w:rPr>
        <w:t xml:space="preserve"> an interpreter, please contact the </w:t>
      </w:r>
      <w:r w:rsidR="00B66062">
        <w:rPr>
          <w:rFonts w:ascii="Times New Roman" w:hAnsi="Times New Roman"/>
        </w:rPr>
        <w:t>s</w:t>
      </w:r>
      <w:r w:rsidRPr="00EC3BC4">
        <w:rPr>
          <w:rFonts w:ascii="Times New Roman" w:hAnsi="Times New Roman"/>
        </w:rPr>
        <w:t xml:space="preserve">cheduling </w:t>
      </w:r>
      <w:r w:rsidR="00B66062">
        <w:rPr>
          <w:rFonts w:ascii="Times New Roman" w:hAnsi="Times New Roman"/>
        </w:rPr>
        <w:t>o</w:t>
      </w:r>
      <w:r w:rsidRPr="00EC3BC4">
        <w:rPr>
          <w:rFonts w:ascii="Times New Roman" w:hAnsi="Times New Roman"/>
        </w:rPr>
        <w:t xml:space="preserve">ffice </w:t>
      </w:r>
      <w:r w:rsidR="00B66062">
        <w:rPr>
          <w:rFonts w:ascii="Times New Roman" w:hAnsi="Times New Roman"/>
        </w:rPr>
        <w:t>for the Office of Administrative Law Judge</w:t>
      </w:r>
      <w:r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Pr="00EC3BC4">
        <w:rPr>
          <w:rFonts w:ascii="Times New Roman" w:hAnsi="Times New Roman"/>
        </w:rPr>
        <w:t xml:space="preserve">at least ten (10) days before the </w:t>
      </w:r>
      <w:r w:rsidR="002D13B6">
        <w:rPr>
          <w:rFonts w:ascii="Times New Roman" w:hAnsi="Times New Roman"/>
        </w:rPr>
        <w:t>h</w:t>
      </w:r>
      <w:r w:rsidRPr="00EC3BC4">
        <w:rPr>
          <w:rFonts w:ascii="Times New Roman" w:hAnsi="Times New Roman"/>
        </w:rPr>
        <w:t>earing to make your request.</w:t>
      </w:r>
      <w:r w:rsidR="002D13B6">
        <w:rPr>
          <w:rFonts w:ascii="Times New Roman" w:hAnsi="Times New Roman"/>
        </w:rPr>
        <w:t xml:space="preserve">  The </w:t>
      </w:r>
      <w:r w:rsidRPr="00EC3BC4">
        <w:rPr>
          <w:rFonts w:ascii="Times New Roman" w:hAnsi="Times New Roman"/>
        </w:rPr>
        <w:t>AT&amp;T Relay Service number for persons who are deaf or hearing-impaired</w:t>
      </w:r>
      <w:r w:rsidR="002D13B6">
        <w:rPr>
          <w:rFonts w:ascii="Times New Roman" w:hAnsi="Times New Roman"/>
        </w:rPr>
        <w:t xml:space="preserve"> is </w:t>
      </w:r>
      <w:r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2B5128">
        <w:rPr>
          <w:rFonts w:ascii="Times New Roman" w:hAnsi="Times New Roman" w:cs="Times New Roman"/>
          <w:spacing w:val="-3"/>
          <w:u w:val="single"/>
        </w:rPr>
        <w:t xml:space="preserve">March </w:t>
      </w:r>
      <w:r w:rsidR="00306AF0">
        <w:rPr>
          <w:rFonts w:ascii="Times New Roman" w:hAnsi="Times New Roman" w:cs="Times New Roman"/>
          <w:spacing w:val="-3"/>
          <w:u w:val="single"/>
        </w:rPr>
        <w:t>18</w:t>
      </w:r>
      <w:r w:rsidR="002E62F6">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AB694C" w:rsidRDefault="00ED185B" w:rsidP="00ED185B">
      <w:pPr>
        <w:pStyle w:val="ParaTab1"/>
        <w:tabs>
          <w:tab w:val="clear" w:pos="-720"/>
          <w:tab w:val="left" w:pos="720"/>
          <w:tab w:val="left" w:pos="5040"/>
        </w:tabs>
        <w:ind w:firstLine="0"/>
        <w:rPr>
          <w:rFonts w:ascii="Times New Roman" w:hAnsi="Times New Roman"/>
        </w:rPr>
        <w:sectPr w:rsidR="00AB694C"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AB694C" w:rsidRPr="00AB694C" w:rsidRDefault="00AB694C" w:rsidP="00AB694C">
      <w:pPr>
        <w:autoSpaceDE/>
        <w:autoSpaceDN/>
        <w:rPr>
          <w:rFonts w:ascii="Microsoft Sans Serif" w:hAnsi="Microsoft Sans Serif" w:cs="Microsoft Sans Serif"/>
          <w:b/>
          <w:caps/>
          <w:u w:val="single"/>
        </w:rPr>
      </w:pPr>
      <w:r w:rsidRPr="00AB694C">
        <w:rPr>
          <w:rFonts w:ascii="Microsoft Sans Serif" w:hAnsi="Microsoft Sans Serif" w:cs="Microsoft Sans Serif"/>
          <w:b/>
          <w:caps/>
          <w:noProof/>
          <w:u w:val="single"/>
        </w:rPr>
        <w:lastRenderedPageBreak/>
        <w:t>C-2012-</w:t>
      </w:r>
      <w:proofErr w:type="gramStart"/>
      <w:r w:rsidRPr="00AB694C">
        <w:rPr>
          <w:rFonts w:ascii="Microsoft Sans Serif" w:hAnsi="Microsoft Sans Serif" w:cs="Microsoft Sans Serif"/>
          <w:b/>
          <w:caps/>
          <w:noProof/>
          <w:u w:val="single"/>
        </w:rPr>
        <w:t>2333000</w:t>
      </w:r>
      <w:r w:rsidRPr="00AB694C">
        <w:rPr>
          <w:rFonts w:ascii="Microsoft Sans Serif" w:hAnsi="Microsoft Sans Serif" w:cs="Microsoft Sans Serif"/>
          <w:b/>
          <w:caps/>
          <w:u w:val="single"/>
        </w:rPr>
        <w:t xml:space="preserve">  </w:t>
      </w:r>
      <w:r w:rsidRPr="00AB694C">
        <w:rPr>
          <w:rFonts w:ascii="Microsoft Sans Serif" w:hAnsi="Microsoft Sans Serif" w:cs="Microsoft Sans Serif"/>
          <w:b/>
          <w:caps/>
          <w:noProof/>
          <w:u w:val="single"/>
        </w:rPr>
        <w:t>Ena</w:t>
      </w:r>
      <w:proofErr w:type="gramEnd"/>
      <w:r w:rsidRPr="00AB694C">
        <w:rPr>
          <w:rFonts w:ascii="Microsoft Sans Serif" w:hAnsi="Microsoft Sans Serif" w:cs="Microsoft Sans Serif"/>
          <w:b/>
          <w:caps/>
          <w:noProof/>
          <w:u w:val="single"/>
        </w:rPr>
        <w:t xml:space="preserve"> Blackwood</w:t>
      </w:r>
      <w:r w:rsidRPr="00AB694C">
        <w:rPr>
          <w:rFonts w:ascii="Microsoft Sans Serif" w:hAnsi="Microsoft Sans Serif" w:cs="Microsoft Sans Serif"/>
          <w:b/>
          <w:caps/>
          <w:u w:val="single"/>
        </w:rPr>
        <w:t xml:space="preserve"> </w:t>
      </w:r>
      <w:r w:rsidRPr="00AB694C">
        <w:rPr>
          <w:rFonts w:ascii="Microsoft Sans Serif" w:hAnsi="Microsoft Sans Serif" w:cs="Microsoft Sans Serif"/>
          <w:b/>
          <w:smallCaps/>
          <w:u w:val="single"/>
        </w:rPr>
        <w:t>v</w:t>
      </w:r>
      <w:r w:rsidRPr="00AB694C">
        <w:rPr>
          <w:rFonts w:ascii="Microsoft Sans Serif" w:hAnsi="Microsoft Sans Serif" w:cs="Microsoft Sans Serif"/>
          <w:b/>
          <w:caps/>
          <w:u w:val="single"/>
        </w:rPr>
        <w:t xml:space="preserve">. </w:t>
      </w:r>
      <w:r w:rsidRPr="00AB694C">
        <w:rPr>
          <w:rFonts w:ascii="Microsoft Sans Serif" w:hAnsi="Microsoft Sans Serif" w:cs="Microsoft Sans Serif"/>
          <w:b/>
          <w:caps/>
          <w:noProof/>
          <w:u w:val="single"/>
        </w:rPr>
        <w:t>Aqua Pennsylvania, Inc.</w:t>
      </w:r>
    </w:p>
    <w:p w:rsidR="00AB694C" w:rsidRPr="00AB694C" w:rsidRDefault="00AB694C" w:rsidP="00AB694C">
      <w:pPr>
        <w:autoSpaceDE/>
        <w:autoSpaceDN/>
        <w:rPr>
          <w:rFonts w:ascii="Microsoft Sans Serif" w:hAnsi="Microsoft Sans Serif" w:cs="Microsoft Sans Serif"/>
          <w:caps/>
        </w:rPr>
      </w:pPr>
    </w:p>
    <w:p w:rsidR="00AB694C" w:rsidRPr="00AB694C" w:rsidRDefault="00AB694C" w:rsidP="00AB694C">
      <w:pPr>
        <w:autoSpaceDE/>
        <w:autoSpaceDN/>
        <w:rPr>
          <w:rFonts w:ascii="Microsoft Sans Serif" w:hAnsi="Microsoft Sans Serif" w:cs="Microsoft Sans Serif"/>
          <w:caps/>
        </w:rPr>
      </w:pPr>
    </w:p>
    <w:p w:rsidR="00AB694C" w:rsidRPr="00AB694C" w:rsidRDefault="00AB694C" w:rsidP="00AB694C">
      <w:pPr>
        <w:autoSpaceDE/>
        <w:autoSpaceDN/>
        <w:rPr>
          <w:rFonts w:ascii="Microsoft Sans Serif" w:hAnsi="Microsoft Sans Serif" w:cs="Microsoft Sans Serif"/>
          <w:caps/>
        </w:rPr>
      </w:pPr>
      <w:r w:rsidRPr="00AB694C">
        <w:rPr>
          <w:rFonts w:ascii="Microsoft Sans Serif" w:hAnsi="Microsoft Sans Serif" w:cs="Microsoft Sans Serif"/>
          <w:caps/>
          <w:noProof/>
        </w:rPr>
        <w:t>Ena</w:t>
      </w:r>
      <w:r w:rsidRPr="00AB694C">
        <w:rPr>
          <w:rFonts w:ascii="Microsoft Sans Serif" w:hAnsi="Microsoft Sans Serif" w:cs="Microsoft Sans Serif"/>
          <w:caps/>
        </w:rPr>
        <w:t xml:space="preserve"> </w:t>
      </w:r>
      <w:r w:rsidRPr="00AB694C">
        <w:rPr>
          <w:rFonts w:ascii="Microsoft Sans Serif" w:hAnsi="Microsoft Sans Serif" w:cs="Microsoft Sans Serif"/>
          <w:caps/>
          <w:noProof/>
        </w:rPr>
        <w:t>Blackwood</w:t>
      </w:r>
      <w:r w:rsidRPr="00AB694C">
        <w:rPr>
          <w:rFonts w:ascii="Microsoft Sans Serif" w:hAnsi="Microsoft Sans Serif" w:cs="Microsoft Sans Serif"/>
          <w:caps/>
        </w:rPr>
        <w:t xml:space="preserve"> </w:t>
      </w:r>
    </w:p>
    <w:p w:rsidR="00AB694C" w:rsidRPr="00AB694C" w:rsidRDefault="00AB694C" w:rsidP="00AB694C">
      <w:pPr>
        <w:autoSpaceDE/>
        <w:autoSpaceDN/>
        <w:rPr>
          <w:rFonts w:ascii="Microsoft Sans Serif" w:hAnsi="Microsoft Sans Serif" w:cs="Microsoft Sans Serif"/>
          <w:caps/>
        </w:rPr>
      </w:pPr>
      <w:r w:rsidRPr="00AB694C">
        <w:rPr>
          <w:rFonts w:ascii="Microsoft Sans Serif" w:hAnsi="Microsoft Sans Serif" w:cs="Microsoft Sans Serif"/>
          <w:caps/>
          <w:noProof/>
        </w:rPr>
        <w:t>24 New Street</w:t>
      </w:r>
    </w:p>
    <w:p w:rsidR="00AB694C" w:rsidRPr="00AB694C" w:rsidRDefault="00AB694C" w:rsidP="00AB694C">
      <w:pPr>
        <w:autoSpaceDE/>
        <w:autoSpaceDN/>
        <w:rPr>
          <w:rFonts w:ascii="Microsoft Sans Serif" w:hAnsi="Microsoft Sans Serif" w:cs="Microsoft Sans Serif"/>
          <w:caps/>
        </w:rPr>
      </w:pPr>
      <w:r w:rsidRPr="00AB694C">
        <w:rPr>
          <w:rFonts w:ascii="Microsoft Sans Serif" w:hAnsi="Microsoft Sans Serif" w:cs="Microsoft Sans Serif"/>
          <w:caps/>
          <w:noProof/>
        </w:rPr>
        <w:t>Upper Darby</w:t>
      </w:r>
      <w:r w:rsidRPr="00AB694C">
        <w:rPr>
          <w:rFonts w:ascii="Microsoft Sans Serif" w:hAnsi="Microsoft Sans Serif" w:cs="Microsoft Sans Serif"/>
          <w:caps/>
        </w:rPr>
        <w:t xml:space="preserve"> </w:t>
      </w:r>
      <w:r w:rsidRPr="00AB694C">
        <w:rPr>
          <w:rFonts w:ascii="Microsoft Sans Serif" w:hAnsi="Microsoft Sans Serif" w:cs="Microsoft Sans Serif"/>
          <w:caps/>
          <w:noProof/>
        </w:rPr>
        <w:t>PA</w:t>
      </w:r>
      <w:r w:rsidRPr="00AB694C">
        <w:rPr>
          <w:rFonts w:ascii="Microsoft Sans Serif" w:hAnsi="Microsoft Sans Serif" w:cs="Microsoft Sans Serif"/>
          <w:caps/>
        </w:rPr>
        <w:t xml:space="preserve">  </w:t>
      </w:r>
      <w:r w:rsidRPr="00AB694C">
        <w:rPr>
          <w:rFonts w:ascii="Microsoft Sans Serif" w:hAnsi="Microsoft Sans Serif" w:cs="Microsoft Sans Serif"/>
          <w:caps/>
          <w:noProof/>
        </w:rPr>
        <w:t>19082</w:t>
      </w:r>
    </w:p>
    <w:p w:rsidR="00AB694C" w:rsidRPr="00AB694C" w:rsidRDefault="00AB694C" w:rsidP="00AB694C">
      <w:pPr>
        <w:autoSpaceDE/>
        <w:autoSpaceDN/>
        <w:rPr>
          <w:rFonts w:ascii="Microsoft Sans Serif" w:hAnsi="Microsoft Sans Serif" w:cs="Microsoft Sans Serif"/>
          <w:b/>
          <w:caps/>
          <w:u w:val="single"/>
        </w:rPr>
      </w:pPr>
      <w:r w:rsidRPr="00AB694C">
        <w:rPr>
          <w:rFonts w:ascii="Microsoft Sans Serif" w:hAnsi="Microsoft Sans Serif" w:cs="Microsoft Sans Serif"/>
          <w:b/>
          <w:caps/>
          <w:noProof/>
        </w:rPr>
        <w:t>(610) 352-1907</w:t>
      </w:r>
      <w:r w:rsidRPr="00AB694C">
        <w:rPr>
          <w:rFonts w:ascii="Microsoft Sans Serif" w:hAnsi="Microsoft Sans Serif" w:cs="Microsoft Sans Serif"/>
          <w:b/>
          <w:caps/>
          <w:u w:val="single"/>
        </w:rPr>
        <w:t xml:space="preserve"> </w:t>
      </w:r>
    </w:p>
    <w:p w:rsidR="00AB694C" w:rsidRPr="00AB694C" w:rsidRDefault="00AB694C" w:rsidP="00AB694C">
      <w:pPr>
        <w:autoSpaceDE/>
        <w:autoSpaceDN/>
        <w:rPr>
          <w:rFonts w:ascii="Microsoft Sans Serif" w:hAnsi="Microsoft Sans Serif" w:cs="Microsoft Sans Serif"/>
          <w:caps/>
        </w:rPr>
      </w:pPr>
    </w:p>
    <w:p w:rsidR="00AB694C" w:rsidRPr="00AB694C" w:rsidRDefault="00AB694C" w:rsidP="00AB694C">
      <w:pPr>
        <w:autoSpaceDE/>
        <w:autoSpaceDN/>
        <w:rPr>
          <w:rFonts w:ascii="Microsoft Sans Serif" w:hAnsi="Microsoft Sans Serif" w:cs="Microsoft Sans Serif"/>
          <w:caps/>
        </w:rPr>
      </w:pPr>
    </w:p>
    <w:p w:rsidR="00AB694C" w:rsidRPr="00AB694C" w:rsidRDefault="00AB694C" w:rsidP="00AB694C">
      <w:pPr>
        <w:autoSpaceDE/>
        <w:autoSpaceDN/>
        <w:rPr>
          <w:rFonts w:ascii="Microsoft Sans Serif" w:hAnsi="Microsoft Sans Serif" w:cs="Microsoft Sans Serif"/>
          <w:caps/>
        </w:rPr>
      </w:pPr>
      <w:bookmarkStart w:id="0" w:name="_GoBack"/>
      <w:r w:rsidRPr="00AB694C">
        <w:rPr>
          <w:rFonts w:ascii="Microsoft Sans Serif" w:hAnsi="Microsoft Sans Serif" w:cs="Microsoft Sans Serif"/>
          <w:caps/>
          <w:noProof/>
        </w:rPr>
        <w:t>Mary M</w:t>
      </w:r>
      <w:r w:rsidRPr="00AB694C">
        <w:rPr>
          <w:rFonts w:ascii="Microsoft Sans Serif" w:hAnsi="Microsoft Sans Serif" w:cs="Microsoft Sans Serif"/>
          <w:caps/>
        </w:rPr>
        <w:t xml:space="preserve"> </w:t>
      </w:r>
      <w:r w:rsidRPr="00AB694C">
        <w:rPr>
          <w:rFonts w:ascii="Microsoft Sans Serif" w:hAnsi="Microsoft Sans Serif" w:cs="Microsoft Sans Serif"/>
          <w:caps/>
          <w:noProof/>
        </w:rPr>
        <w:t>Hopper</w:t>
      </w:r>
      <w:r w:rsidRPr="00AB694C">
        <w:rPr>
          <w:rFonts w:ascii="Microsoft Sans Serif" w:hAnsi="Microsoft Sans Serif" w:cs="Microsoft Sans Serif"/>
          <w:caps/>
        </w:rPr>
        <w:t xml:space="preserve"> </w:t>
      </w:r>
      <w:r w:rsidRPr="00AB694C">
        <w:rPr>
          <w:rFonts w:ascii="Microsoft Sans Serif" w:hAnsi="Microsoft Sans Serif" w:cs="Microsoft Sans Serif"/>
          <w:caps/>
          <w:noProof/>
        </w:rPr>
        <w:t>Esquire</w:t>
      </w:r>
    </w:p>
    <w:p w:rsidR="00AB694C" w:rsidRPr="00AB694C" w:rsidRDefault="00AB694C" w:rsidP="00AB694C">
      <w:pPr>
        <w:autoSpaceDE/>
        <w:autoSpaceDN/>
        <w:rPr>
          <w:rFonts w:ascii="Microsoft Sans Serif" w:hAnsi="Microsoft Sans Serif" w:cs="Microsoft Sans Serif"/>
          <w:caps/>
        </w:rPr>
      </w:pPr>
      <w:r w:rsidRPr="00AB694C">
        <w:rPr>
          <w:rFonts w:ascii="Microsoft Sans Serif" w:hAnsi="Microsoft Sans Serif" w:cs="Microsoft Sans Serif"/>
          <w:caps/>
          <w:noProof/>
        </w:rPr>
        <w:t>Aqua Pennsylvania Inc</w:t>
      </w:r>
    </w:p>
    <w:p w:rsidR="00AB694C" w:rsidRPr="00AB694C" w:rsidRDefault="00AB694C" w:rsidP="00AB694C">
      <w:pPr>
        <w:autoSpaceDE/>
        <w:autoSpaceDN/>
        <w:rPr>
          <w:rFonts w:ascii="Microsoft Sans Serif" w:hAnsi="Microsoft Sans Serif" w:cs="Microsoft Sans Serif"/>
          <w:caps/>
        </w:rPr>
      </w:pPr>
      <w:r w:rsidRPr="00AB694C">
        <w:rPr>
          <w:rFonts w:ascii="Microsoft Sans Serif" w:hAnsi="Microsoft Sans Serif" w:cs="Microsoft Sans Serif"/>
          <w:caps/>
          <w:noProof/>
        </w:rPr>
        <w:t>762 W Lancaster Avenue</w:t>
      </w:r>
    </w:p>
    <w:p w:rsidR="00AB694C" w:rsidRPr="00AB694C" w:rsidRDefault="00AB694C" w:rsidP="00AB694C">
      <w:pPr>
        <w:autoSpaceDE/>
        <w:autoSpaceDN/>
        <w:rPr>
          <w:rFonts w:ascii="Microsoft Sans Serif" w:hAnsi="Microsoft Sans Serif" w:cs="Microsoft Sans Serif"/>
          <w:caps/>
        </w:rPr>
      </w:pPr>
      <w:r w:rsidRPr="00AB694C">
        <w:rPr>
          <w:rFonts w:ascii="Microsoft Sans Serif" w:hAnsi="Microsoft Sans Serif" w:cs="Microsoft Sans Serif"/>
          <w:caps/>
          <w:noProof/>
        </w:rPr>
        <w:t>Bryn Mawr</w:t>
      </w:r>
      <w:r w:rsidRPr="00AB694C">
        <w:rPr>
          <w:rFonts w:ascii="Microsoft Sans Serif" w:hAnsi="Microsoft Sans Serif" w:cs="Microsoft Sans Serif"/>
          <w:caps/>
        </w:rPr>
        <w:t xml:space="preserve"> </w:t>
      </w:r>
      <w:r w:rsidRPr="00AB694C">
        <w:rPr>
          <w:rFonts w:ascii="Microsoft Sans Serif" w:hAnsi="Microsoft Sans Serif" w:cs="Microsoft Sans Serif"/>
          <w:caps/>
          <w:noProof/>
        </w:rPr>
        <w:t>PA</w:t>
      </w:r>
      <w:r w:rsidRPr="00AB694C">
        <w:rPr>
          <w:rFonts w:ascii="Microsoft Sans Serif" w:hAnsi="Microsoft Sans Serif" w:cs="Microsoft Sans Serif"/>
          <w:caps/>
        </w:rPr>
        <w:t xml:space="preserve">  </w:t>
      </w:r>
      <w:r w:rsidRPr="00AB694C">
        <w:rPr>
          <w:rFonts w:ascii="Microsoft Sans Serif" w:hAnsi="Microsoft Sans Serif" w:cs="Microsoft Sans Serif"/>
          <w:caps/>
          <w:noProof/>
        </w:rPr>
        <w:t>19010</w:t>
      </w:r>
    </w:p>
    <w:bookmarkEnd w:id="0"/>
    <w:p w:rsidR="00AB694C" w:rsidRPr="00AB694C" w:rsidRDefault="00AB694C" w:rsidP="00AB694C">
      <w:pPr>
        <w:autoSpaceDE/>
        <w:autoSpaceDN/>
        <w:rPr>
          <w:rFonts w:ascii="Microsoft Sans Serif" w:hAnsi="Microsoft Sans Serif" w:cs="Microsoft Sans Serif"/>
          <w:b/>
          <w:caps/>
        </w:rPr>
        <w:sectPr w:rsidR="00AB694C" w:rsidRPr="00AB694C" w:rsidSect="00F34837">
          <w:pgSz w:w="12240" w:h="15840" w:code="1"/>
          <w:pgMar w:top="1440" w:right="1440" w:bottom="1440" w:left="1440" w:header="720" w:footer="1440" w:gutter="0"/>
          <w:pgNumType w:start="1"/>
          <w:cols w:space="720"/>
          <w:noEndnote/>
          <w:titlePg/>
        </w:sectPr>
      </w:pPr>
      <w:r w:rsidRPr="00AB694C">
        <w:rPr>
          <w:rFonts w:ascii="Microsoft Sans Serif" w:hAnsi="Microsoft Sans Serif" w:cs="Microsoft Sans Serif"/>
          <w:b/>
          <w:caps/>
          <w:noProof/>
        </w:rPr>
        <w:t>(610) 645-1170</w:t>
      </w:r>
    </w:p>
    <w:p w:rsidR="00AB694C" w:rsidRPr="00AB694C" w:rsidRDefault="00AB694C" w:rsidP="00AB694C">
      <w:pPr>
        <w:autoSpaceDE/>
        <w:autoSpaceDN/>
        <w:rPr>
          <w:rFonts w:ascii="Microsoft Sans Serif" w:hAnsi="Microsoft Sans Serif" w:cs="Microsoft Sans Serif"/>
          <w:caps/>
        </w:rPr>
      </w:pPr>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rsidSect="00F3483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E8" w:rsidRDefault="006753E8">
      <w:pPr>
        <w:spacing w:line="20" w:lineRule="exact"/>
        <w:rPr>
          <w:sz w:val="20"/>
          <w:szCs w:val="20"/>
        </w:rPr>
      </w:pPr>
    </w:p>
  </w:endnote>
  <w:endnote w:type="continuationSeparator" w:id="0">
    <w:p w:rsidR="006753E8" w:rsidRDefault="006753E8">
      <w:pPr>
        <w:pStyle w:val="ParaTab1"/>
        <w:rPr>
          <w:sz w:val="20"/>
          <w:szCs w:val="20"/>
        </w:rPr>
      </w:pPr>
      <w:r>
        <w:rPr>
          <w:sz w:val="20"/>
          <w:szCs w:val="20"/>
        </w:rPr>
        <w:t xml:space="preserve"> </w:t>
      </w:r>
    </w:p>
  </w:endnote>
  <w:endnote w:type="continuationNotice" w:id="1">
    <w:p w:rsidR="006753E8" w:rsidRDefault="006753E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B694C">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E8" w:rsidRDefault="006753E8">
      <w:pPr>
        <w:pStyle w:val="ParaTab1"/>
        <w:rPr>
          <w:sz w:val="20"/>
          <w:szCs w:val="20"/>
        </w:rPr>
      </w:pPr>
      <w:r>
        <w:rPr>
          <w:sz w:val="20"/>
          <w:szCs w:val="20"/>
        </w:rPr>
        <w:separator/>
      </w:r>
    </w:p>
  </w:footnote>
  <w:footnote w:type="continuationSeparator" w:id="0">
    <w:p w:rsidR="006753E8" w:rsidRDefault="006753E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22F6"/>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06AF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4212"/>
    <w:rsid w:val="006078DF"/>
    <w:rsid w:val="00607D6C"/>
    <w:rsid w:val="00611DAB"/>
    <w:rsid w:val="00615756"/>
    <w:rsid w:val="00617F4A"/>
    <w:rsid w:val="0062111E"/>
    <w:rsid w:val="006256AA"/>
    <w:rsid w:val="00630848"/>
    <w:rsid w:val="0063148D"/>
    <w:rsid w:val="006349C0"/>
    <w:rsid w:val="006418C3"/>
    <w:rsid w:val="00645478"/>
    <w:rsid w:val="00646FCC"/>
    <w:rsid w:val="006479D7"/>
    <w:rsid w:val="006557AC"/>
    <w:rsid w:val="006573C5"/>
    <w:rsid w:val="006608FD"/>
    <w:rsid w:val="00660A20"/>
    <w:rsid w:val="0066241C"/>
    <w:rsid w:val="00662491"/>
    <w:rsid w:val="00663D74"/>
    <w:rsid w:val="00664278"/>
    <w:rsid w:val="006753E8"/>
    <w:rsid w:val="00675488"/>
    <w:rsid w:val="0067658B"/>
    <w:rsid w:val="006807F4"/>
    <w:rsid w:val="0068420E"/>
    <w:rsid w:val="00686575"/>
    <w:rsid w:val="006A3A50"/>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2ED2"/>
    <w:rsid w:val="00AB371F"/>
    <w:rsid w:val="00AB694C"/>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60D6"/>
    <w:rsid w:val="00B97556"/>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E7D"/>
    <w:rsid w:val="00DF0A2E"/>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7161D"/>
    <w:rsid w:val="00E7480E"/>
    <w:rsid w:val="00E76220"/>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2013-03-18T19:38:00Z</cp:lastPrinted>
  <dcterms:created xsi:type="dcterms:W3CDTF">2013-03-18T19:37:00Z</dcterms:created>
  <dcterms:modified xsi:type="dcterms:W3CDTF">2013-03-18T19:47:00Z</dcterms:modified>
</cp:coreProperties>
</file>