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1D" w:rsidRPr="004935E8" w:rsidRDefault="002E071D" w:rsidP="002E071D">
      <w:pPr>
        <w:jc w:val="center"/>
        <w:rPr>
          <w:b/>
        </w:rPr>
      </w:pPr>
      <w:bookmarkStart w:id="0" w:name="_GoBack"/>
      <w:bookmarkEnd w:id="0"/>
      <w:r w:rsidRPr="004935E8">
        <w:rPr>
          <w:b/>
        </w:rPr>
        <w:t>BEFORE THE</w:t>
      </w:r>
    </w:p>
    <w:p w:rsidR="002E071D" w:rsidRPr="004935E8" w:rsidRDefault="002E071D" w:rsidP="002E071D">
      <w:pPr>
        <w:jc w:val="center"/>
        <w:rPr>
          <w:b/>
        </w:rPr>
      </w:pPr>
      <w:r w:rsidRPr="004935E8">
        <w:rPr>
          <w:b/>
        </w:rPr>
        <w:t>PENNSYLVANIA PUBLIC UTILITY COMMISSION</w:t>
      </w:r>
    </w:p>
    <w:p w:rsidR="002E071D" w:rsidRPr="004935E8" w:rsidRDefault="002E071D" w:rsidP="002E071D">
      <w:pPr>
        <w:jc w:val="center"/>
        <w:rPr>
          <w:b/>
        </w:rPr>
      </w:pPr>
    </w:p>
    <w:p w:rsidR="002E071D" w:rsidRPr="004935E8" w:rsidRDefault="002E071D" w:rsidP="002E071D">
      <w:pPr>
        <w:jc w:val="center"/>
        <w:rPr>
          <w:b/>
        </w:rPr>
      </w:pPr>
    </w:p>
    <w:p w:rsidR="002E071D" w:rsidRPr="004935E8" w:rsidRDefault="002E071D" w:rsidP="002E071D">
      <w:pPr>
        <w:jc w:val="center"/>
        <w:rPr>
          <w:b/>
        </w:rPr>
      </w:pPr>
    </w:p>
    <w:p w:rsidR="002E071D" w:rsidRPr="004935E8" w:rsidRDefault="002E071D" w:rsidP="002E071D">
      <w:r w:rsidRPr="004935E8">
        <w:t>Duquesne Light Company’s Customer</w:t>
      </w:r>
      <w:r w:rsidRPr="004935E8">
        <w:tab/>
      </w:r>
      <w:r w:rsidRPr="004935E8">
        <w:tab/>
        <w:t>:</w:t>
      </w:r>
    </w:p>
    <w:p w:rsidR="002E071D" w:rsidRPr="004935E8" w:rsidRDefault="002E071D" w:rsidP="002E071D">
      <w:r w:rsidRPr="004935E8">
        <w:t>Education Surcharge for the Reconciliation</w:t>
      </w:r>
      <w:r w:rsidRPr="004935E8">
        <w:tab/>
      </w:r>
      <w:r w:rsidRPr="004935E8">
        <w:tab/>
        <w:t>:</w:t>
      </w:r>
      <w:r w:rsidRPr="004935E8">
        <w:tab/>
      </w:r>
      <w:r w:rsidRPr="004935E8">
        <w:tab/>
        <w:t>M-2013-2347304</w:t>
      </w:r>
    </w:p>
    <w:p w:rsidR="002E071D" w:rsidRPr="004935E8" w:rsidRDefault="002E071D" w:rsidP="002E071D">
      <w:r w:rsidRPr="004935E8">
        <w:t>Period of January 1, 2012 to December 31, 2012</w:t>
      </w:r>
      <w:r w:rsidRPr="004935E8">
        <w:tab/>
        <w:t>:</w:t>
      </w:r>
    </w:p>
    <w:p w:rsidR="002E071D" w:rsidRDefault="002E071D" w:rsidP="002E071D"/>
    <w:p w:rsidR="004935E8" w:rsidRPr="004935E8" w:rsidRDefault="004935E8" w:rsidP="002E071D"/>
    <w:p w:rsidR="002E071D" w:rsidRPr="004935E8" w:rsidRDefault="002E071D" w:rsidP="002E071D"/>
    <w:p w:rsidR="002E071D" w:rsidRPr="004935E8" w:rsidRDefault="002E071D" w:rsidP="002E071D">
      <w:pPr>
        <w:jc w:val="center"/>
        <w:rPr>
          <w:b/>
          <w:u w:val="single"/>
        </w:rPr>
      </w:pPr>
      <w:r w:rsidRPr="004935E8">
        <w:rPr>
          <w:b/>
          <w:u w:val="single"/>
        </w:rPr>
        <w:t>RECOMMENDED DECISION</w:t>
      </w:r>
    </w:p>
    <w:p w:rsidR="002E071D" w:rsidRPr="004935E8" w:rsidRDefault="002E071D" w:rsidP="002E071D">
      <w:pPr>
        <w:jc w:val="center"/>
        <w:rPr>
          <w:b/>
          <w:u w:val="single"/>
        </w:rPr>
      </w:pPr>
    </w:p>
    <w:p w:rsidR="002E071D" w:rsidRPr="004935E8" w:rsidRDefault="002E071D" w:rsidP="002E071D">
      <w:pPr>
        <w:jc w:val="center"/>
        <w:rPr>
          <w:b/>
          <w:u w:val="single"/>
        </w:rPr>
      </w:pPr>
    </w:p>
    <w:p w:rsidR="002E071D" w:rsidRPr="004935E8" w:rsidRDefault="002E071D" w:rsidP="002E071D">
      <w:pPr>
        <w:jc w:val="center"/>
      </w:pPr>
      <w:r w:rsidRPr="004935E8">
        <w:t>Before</w:t>
      </w:r>
    </w:p>
    <w:p w:rsidR="002E071D" w:rsidRPr="004935E8" w:rsidRDefault="002E071D" w:rsidP="002E071D">
      <w:pPr>
        <w:jc w:val="center"/>
      </w:pPr>
      <w:r w:rsidRPr="004935E8">
        <w:t>Susan D. Colwell</w:t>
      </w:r>
    </w:p>
    <w:p w:rsidR="002E071D" w:rsidRPr="004935E8" w:rsidRDefault="002E071D" w:rsidP="002E071D">
      <w:pPr>
        <w:jc w:val="center"/>
      </w:pPr>
      <w:r w:rsidRPr="004935E8">
        <w:t>Administrative Law Judge</w:t>
      </w:r>
    </w:p>
    <w:p w:rsidR="002E071D" w:rsidRPr="004935E8" w:rsidRDefault="002E071D" w:rsidP="002E071D">
      <w:pPr>
        <w:jc w:val="center"/>
      </w:pPr>
    </w:p>
    <w:p w:rsidR="002E071D" w:rsidRPr="004935E8" w:rsidRDefault="002E071D" w:rsidP="002E071D">
      <w:pPr>
        <w:jc w:val="center"/>
      </w:pPr>
    </w:p>
    <w:p w:rsidR="002E071D" w:rsidRPr="004935E8" w:rsidRDefault="002E071D" w:rsidP="002E071D">
      <w:pPr>
        <w:jc w:val="center"/>
        <w:rPr>
          <w:u w:val="single"/>
        </w:rPr>
      </w:pPr>
      <w:r w:rsidRPr="004935E8">
        <w:rPr>
          <w:u w:val="single"/>
        </w:rPr>
        <w:t>HISTORY OF THE PROCEEDING</w:t>
      </w:r>
    </w:p>
    <w:p w:rsidR="002E071D" w:rsidRPr="004935E8" w:rsidRDefault="002E071D" w:rsidP="002E071D">
      <w:pPr>
        <w:jc w:val="center"/>
        <w:rPr>
          <w:u w:val="single"/>
        </w:rPr>
      </w:pPr>
    </w:p>
    <w:p w:rsidR="002E071D" w:rsidRPr="004935E8" w:rsidRDefault="002E071D" w:rsidP="004935E8"/>
    <w:p w:rsidR="002E071D" w:rsidRPr="004935E8" w:rsidRDefault="008F38A1" w:rsidP="002E071D">
      <w:pPr>
        <w:spacing w:line="360" w:lineRule="auto"/>
      </w:pPr>
      <w:r>
        <w:tab/>
      </w:r>
      <w:r>
        <w:tab/>
        <w:t>On March 11, 2013</w:t>
      </w:r>
      <w:r w:rsidR="002E071D" w:rsidRPr="004935E8">
        <w:t>, a public hearing was held in Harrisburg to review the Customer Education Surcharge for the reconciliation period</w:t>
      </w:r>
      <w:r w:rsidR="004935E8">
        <w:t xml:space="preserve"> of January 1, 2012 to December 31, </w:t>
      </w:r>
      <w:r w:rsidR="00425123">
        <w:t>2012</w:t>
      </w:r>
      <w:r w:rsidR="002E071D" w:rsidRPr="004935E8">
        <w:t>, filed with the Pennsylvania Public Utility Commission by Duquesne Light Company (Duquesne).  The statement was filed pursuant to Section 1307(e) of the Public Utilit</w:t>
      </w:r>
      <w:r w:rsidR="00FA38DF">
        <w:t>y Code, 66 Pa. C.S. § 1307(e).</w:t>
      </w:r>
    </w:p>
    <w:p w:rsidR="002E071D" w:rsidRPr="004935E8" w:rsidRDefault="002E071D" w:rsidP="002E071D">
      <w:pPr>
        <w:spacing w:line="360" w:lineRule="auto"/>
      </w:pPr>
    </w:p>
    <w:p w:rsidR="002E071D" w:rsidRPr="004935E8" w:rsidRDefault="002E071D" w:rsidP="002E071D">
      <w:pPr>
        <w:spacing w:line="360" w:lineRule="auto"/>
      </w:pPr>
      <w:r w:rsidRPr="004935E8">
        <w:tab/>
      </w:r>
      <w:r w:rsidRPr="004935E8">
        <w:tab/>
        <w:t>The hearing was att</w:t>
      </w:r>
      <w:r w:rsidR="008E0C0A">
        <w:t>ended by the following counsel:</w:t>
      </w:r>
      <w:r w:rsidRPr="004935E8">
        <w:t xml:space="preserve"> Christopher T. Wright, Esq. for Duquesne; and Charles Daniel Shields, Esq. for </w:t>
      </w:r>
      <w:r w:rsidR="00647758">
        <w:t xml:space="preserve">the </w:t>
      </w:r>
      <w:r w:rsidRPr="004935E8">
        <w:t>Bureau of In</w:t>
      </w:r>
      <w:r w:rsidR="00C201B1">
        <w:t>vestigation &amp; Enforcement (I&amp;E).</w:t>
      </w:r>
    </w:p>
    <w:p w:rsidR="002E071D" w:rsidRPr="004935E8" w:rsidRDefault="002E071D" w:rsidP="002E071D">
      <w:pPr>
        <w:spacing w:line="360" w:lineRule="auto"/>
      </w:pPr>
    </w:p>
    <w:p w:rsidR="002E071D" w:rsidRPr="004935E8" w:rsidRDefault="002E071D" w:rsidP="002E071D">
      <w:pPr>
        <w:spacing w:line="360" w:lineRule="auto"/>
      </w:pPr>
      <w:r w:rsidRPr="004935E8">
        <w:tab/>
      </w:r>
      <w:r w:rsidRPr="004935E8">
        <w:tab/>
        <w:t>Duquesne presented one</w:t>
      </w:r>
      <w:r w:rsidR="00ED109C">
        <w:t xml:space="preserve"> Exhibit, and I&amp;E introduced two</w:t>
      </w:r>
      <w:r w:rsidRPr="004935E8">
        <w:t xml:space="preserve"> </w:t>
      </w:r>
      <w:r w:rsidR="00ED109C">
        <w:t>e</w:t>
      </w:r>
      <w:r w:rsidRPr="004935E8">
        <w:t>xhibit</w:t>
      </w:r>
      <w:r w:rsidR="00ED109C">
        <w:t>s</w:t>
      </w:r>
      <w:r w:rsidRPr="004935E8">
        <w:t>.  All three were admitted to the record.</w:t>
      </w:r>
    </w:p>
    <w:p w:rsidR="002E071D" w:rsidRPr="004935E8" w:rsidRDefault="002E071D" w:rsidP="002E071D">
      <w:pPr>
        <w:spacing w:line="360" w:lineRule="auto"/>
      </w:pPr>
    </w:p>
    <w:p w:rsidR="002E071D" w:rsidRPr="004935E8" w:rsidRDefault="002E071D" w:rsidP="002E071D">
      <w:pPr>
        <w:spacing w:line="360" w:lineRule="auto"/>
      </w:pPr>
      <w:r w:rsidRPr="004935E8">
        <w:tab/>
      </w:r>
      <w:r w:rsidRPr="004935E8">
        <w:tab/>
        <w:t>The hearing resulted in a transcript.  The record closed at the close of the hearing on March 11, 2013.  The matter is now ready for decision.</w:t>
      </w:r>
    </w:p>
    <w:p w:rsidR="002E071D" w:rsidRPr="004935E8" w:rsidRDefault="002E071D" w:rsidP="002E071D">
      <w:pPr>
        <w:spacing w:line="360" w:lineRule="auto"/>
        <w:jc w:val="center"/>
        <w:rPr>
          <w:u w:val="single"/>
        </w:rPr>
      </w:pPr>
      <w:r w:rsidRPr="004935E8">
        <w:br w:type="page"/>
      </w:r>
      <w:r w:rsidRPr="004935E8">
        <w:rPr>
          <w:u w:val="single"/>
        </w:rPr>
        <w:lastRenderedPageBreak/>
        <w:t>FINDINGS OF FACT</w:t>
      </w:r>
    </w:p>
    <w:p w:rsidR="002E071D" w:rsidRPr="004935E8" w:rsidRDefault="002E071D" w:rsidP="002E071D">
      <w:pPr>
        <w:spacing w:line="360" w:lineRule="auto"/>
        <w:jc w:val="center"/>
        <w:rPr>
          <w:u w:val="single"/>
        </w:rPr>
      </w:pPr>
    </w:p>
    <w:p w:rsidR="002E071D" w:rsidRPr="004935E8" w:rsidRDefault="002E071D" w:rsidP="002E071D">
      <w:pPr>
        <w:spacing w:line="360" w:lineRule="auto"/>
      </w:pPr>
      <w:r w:rsidRPr="004935E8">
        <w:tab/>
      </w:r>
      <w:r w:rsidRPr="004935E8">
        <w:tab/>
        <w:t>1.</w:t>
      </w:r>
      <w:r w:rsidRPr="004935E8">
        <w:tab/>
        <w:t xml:space="preserve">A public hearing was held on March 11, 2013, to review </w:t>
      </w:r>
      <w:r w:rsidR="00ED109C">
        <w:t xml:space="preserve">the </w:t>
      </w:r>
      <w:r w:rsidRPr="004935E8">
        <w:t>C</w:t>
      </w:r>
      <w:r w:rsidR="00647758">
        <w:t>u</w:t>
      </w:r>
      <w:r w:rsidRPr="004935E8">
        <w:t>s</w:t>
      </w:r>
      <w:r w:rsidR="00647758">
        <w:t>to</w:t>
      </w:r>
      <w:r w:rsidRPr="004935E8">
        <w:t>mer Education Surcharge Reconciliation Report filed by Duquesne with the Commission.</w:t>
      </w:r>
    </w:p>
    <w:p w:rsidR="002E071D" w:rsidRPr="004935E8" w:rsidRDefault="002E071D" w:rsidP="002E071D">
      <w:pPr>
        <w:spacing w:line="360" w:lineRule="auto"/>
      </w:pPr>
    </w:p>
    <w:p w:rsidR="002E071D" w:rsidRPr="004935E8" w:rsidRDefault="002E071D" w:rsidP="002E071D">
      <w:pPr>
        <w:spacing w:line="360" w:lineRule="auto"/>
      </w:pPr>
      <w:r w:rsidRPr="004935E8">
        <w:tab/>
      </w:r>
      <w:r w:rsidRPr="004935E8">
        <w:tab/>
        <w:t>2.</w:t>
      </w:r>
      <w:r w:rsidRPr="004935E8">
        <w:tab/>
        <w:t xml:space="preserve">Duquesne Exhibit 1 consists of four pages of schedules and the affidavit of William V. </w:t>
      </w:r>
      <w:proofErr w:type="spellStart"/>
      <w:r w:rsidRPr="004935E8">
        <w:t>Pfrommer</w:t>
      </w:r>
      <w:proofErr w:type="spellEnd"/>
      <w:r w:rsidRPr="004935E8">
        <w:t xml:space="preserve">, </w:t>
      </w:r>
      <w:r w:rsidR="00AF3B7B" w:rsidRPr="004935E8">
        <w:t>Senior Manager of Rates and Tariff Services for Duquesne Light.</w:t>
      </w:r>
    </w:p>
    <w:p w:rsidR="002E071D" w:rsidRPr="004935E8" w:rsidRDefault="002E071D" w:rsidP="002E071D">
      <w:pPr>
        <w:spacing w:line="360" w:lineRule="auto"/>
      </w:pPr>
    </w:p>
    <w:p w:rsidR="002E071D" w:rsidRPr="004935E8" w:rsidRDefault="002E071D" w:rsidP="002E071D">
      <w:pPr>
        <w:spacing w:line="360" w:lineRule="auto"/>
      </w:pPr>
      <w:r w:rsidRPr="004935E8">
        <w:tab/>
      </w:r>
      <w:r w:rsidRPr="004935E8">
        <w:tab/>
      </w:r>
      <w:r w:rsidR="00AF3B7B" w:rsidRPr="004935E8">
        <w:t>3</w:t>
      </w:r>
      <w:r w:rsidRPr="004935E8">
        <w:t>.</w:t>
      </w:r>
      <w:r w:rsidRPr="004935E8">
        <w:tab/>
        <w:t xml:space="preserve">Duquesne experienced an </w:t>
      </w:r>
      <w:proofErr w:type="spellStart"/>
      <w:r w:rsidR="00AF3B7B" w:rsidRPr="004935E8">
        <w:t>overc</w:t>
      </w:r>
      <w:r w:rsidRPr="004935E8">
        <w:t>ollection</w:t>
      </w:r>
      <w:proofErr w:type="spellEnd"/>
      <w:r w:rsidRPr="004935E8">
        <w:t xml:space="preserve"> for the </w:t>
      </w:r>
      <w:r w:rsidR="00AF3B7B" w:rsidRPr="004935E8">
        <w:t xml:space="preserve">year </w:t>
      </w:r>
      <w:r w:rsidRPr="004935E8">
        <w:t xml:space="preserve">ended </w:t>
      </w:r>
    </w:p>
    <w:p w:rsidR="002E071D" w:rsidRPr="004935E8" w:rsidRDefault="002E071D" w:rsidP="002E071D">
      <w:pPr>
        <w:spacing w:line="360" w:lineRule="auto"/>
      </w:pPr>
      <w:proofErr w:type="gramStart"/>
      <w:r w:rsidRPr="004935E8">
        <w:t>December 31, 201</w:t>
      </w:r>
      <w:r w:rsidR="00AF3B7B" w:rsidRPr="004935E8">
        <w:t>2</w:t>
      </w:r>
      <w:r w:rsidRPr="004935E8">
        <w:t xml:space="preserve"> of $</w:t>
      </w:r>
      <w:r w:rsidR="00AF3B7B" w:rsidRPr="004935E8">
        <w:t>117,417</w:t>
      </w:r>
      <w:r w:rsidR="00A43136">
        <w:t>.00.</w:t>
      </w:r>
      <w:proofErr w:type="gramEnd"/>
    </w:p>
    <w:p w:rsidR="00AF3B7B" w:rsidRPr="004935E8" w:rsidRDefault="00AF3B7B" w:rsidP="002E071D">
      <w:pPr>
        <w:spacing w:line="360" w:lineRule="auto"/>
      </w:pPr>
    </w:p>
    <w:p w:rsidR="002E071D" w:rsidRPr="004935E8" w:rsidRDefault="002E071D" w:rsidP="002E071D">
      <w:pPr>
        <w:spacing w:line="360" w:lineRule="auto"/>
      </w:pPr>
      <w:r w:rsidRPr="004935E8">
        <w:tab/>
      </w:r>
      <w:r w:rsidRPr="004935E8">
        <w:tab/>
      </w:r>
      <w:r w:rsidR="00AF3B7B" w:rsidRPr="004935E8">
        <w:t>4</w:t>
      </w:r>
      <w:r w:rsidRPr="004935E8">
        <w:t>.</w:t>
      </w:r>
      <w:r w:rsidRPr="004935E8">
        <w:tab/>
      </w:r>
      <w:r w:rsidR="00AF3B7B" w:rsidRPr="004935E8">
        <w:t>I&amp;E</w:t>
      </w:r>
      <w:r w:rsidRPr="004935E8">
        <w:t xml:space="preserve"> submitted an exhibit summarizi</w:t>
      </w:r>
      <w:r w:rsidR="0036643C">
        <w:t xml:space="preserve">ng the results of the Duquesne </w:t>
      </w:r>
      <w:r w:rsidRPr="004935E8">
        <w:t xml:space="preserve">reconciliation filing, which is </w:t>
      </w:r>
      <w:r w:rsidR="00C71C0D">
        <w:t>attached hereto as Appendix A.</w:t>
      </w:r>
    </w:p>
    <w:p w:rsidR="00AF3B7B" w:rsidRPr="004935E8" w:rsidRDefault="00AF3B7B" w:rsidP="002E071D">
      <w:pPr>
        <w:spacing w:line="360" w:lineRule="auto"/>
      </w:pPr>
    </w:p>
    <w:p w:rsidR="00AF3B7B" w:rsidRPr="004935E8" w:rsidRDefault="00AF3B7B" w:rsidP="002E071D">
      <w:pPr>
        <w:spacing w:line="360" w:lineRule="auto"/>
      </w:pPr>
      <w:r w:rsidRPr="004935E8">
        <w:tab/>
      </w:r>
      <w:r w:rsidRPr="004935E8">
        <w:tab/>
        <w:t>5.</w:t>
      </w:r>
      <w:r w:rsidRPr="004935E8">
        <w:tab/>
        <w:t>I&amp;E Position Statement states, in pertinent part:</w:t>
      </w:r>
    </w:p>
    <w:p w:rsidR="00AF3B7B" w:rsidRPr="004935E8" w:rsidRDefault="00AF3B7B" w:rsidP="002E071D">
      <w:pPr>
        <w:spacing w:line="360" w:lineRule="auto"/>
      </w:pPr>
    </w:p>
    <w:p w:rsidR="00AF3B7B" w:rsidRPr="004935E8" w:rsidRDefault="00AF3B7B" w:rsidP="00AF3B7B">
      <w:pPr>
        <w:ind w:left="1440" w:right="1440"/>
      </w:pPr>
      <w:r w:rsidRPr="004935E8">
        <w:tab/>
        <w:t>It is the I&amp;E position that any Commission acceptance of the presently submitted document(s) into the record by the utility for purposes of this proceeding is subject to further review and revision as may be found necessary as a result of subsequent Commission audit pursuant to the Public Utility Code or through some other formal proceeding; and does not constitute or otherwise represent Commission approval of either the accuracy of the reported figures or the reasonableness of the underlying transactions.</w:t>
      </w:r>
    </w:p>
    <w:p w:rsidR="00AF3B7B" w:rsidRPr="004935E8" w:rsidRDefault="00AF3B7B" w:rsidP="002E071D">
      <w:pPr>
        <w:spacing w:line="360" w:lineRule="auto"/>
      </w:pPr>
    </w:p>
    <w:p w:rsidR="002E071D" w:rsidRPr="004935E8" w:rsidRDefault="00AF3B7B" w:rsidP="002E071D">
      <w:pPr>
        <w:spacing w:line="360" w:lineRule="auto"/>
      </w:pPr>
      <w:r w:rsidRPr="004935E8">
        <w:tab/>
      </w:r>
      <w:r w:rsidRPr="004935E8">
        <w:tab/>
        <w:t>6.</w:t>
      </w:r>
      <w:r w:rsidRPr="004935E8">
        <w:tab/>
        <w:t>All three exhibits were admit</w:t>
      </w:r>
      <w:r w:rsidR="00FA036F">
        <w:t>ted without objection.</w:t>
      </w:r>
    </w:p>
    <w:p w:rsidR="00AF3B7B" w:rsidRPr="004935E8" w:rsidRDefault="00AF3B7B" w:rsidP="002E071D">
      <w:pPr>
        <w:spacing w:line="360" w:lineRule="auto"/>
      </w:pPr>
    </w:p>
    <w:p w:rsidR="002E071D" w:rsidRPr="004935E8" w:rsidRDefault="002E071D" w:rsidP="002E071D">
      <w:pPr>
        <w:spacing w:line="360" w:lineRule="auto"/>
        <w:jc w:val="center"/>
        <w:rPr>
          <w:u w:val="single"/>
        </w:rPr>
      </w:pPr>
      <w:r w:rsidRPr="004935E8">
        <w:rPr>
          <w:u w:val="single"/>
        </w:rPr>
        <w:t>DISCUSSION</w:t>
      </w:r>
    </w:p>
    <w:p w:rsidR="002E071D" w:rsidRPr="004935E8" w:rsidRDefault="002E071D" w:rsidP="002E071D">
      <w:pPr>
        <w:spacing w:line="360" w:lineRule="auto"/>
        <w:jc w:val="center"/>
        <w:rPr>
          <w:u w:val="single"/>
        </w:rPr>
      </w:pPr>
    </w:p>
    <w:p w:rsidR="002E071D" w:rsidRPr="004935E8" w:rsidRDefault="002E071D" w:rsidP="002E071D">
      <w:pPr>
        <w:spacing w:line="360" w:lineRule="auto"/>
      </w:pPr>
      <w:r w:rsidRPr="004935E8">
        <w:tab/>
      </w:r>
      <w:r w:rsidRPr="004935E8">
        <w:tab/>
        <w:t xml:space="preserve">The Commission held a public hearing on </w:t>
      </w:r>
      <w:r w:rsidR="00AF3B7B" w:rsidRPr="004935E8">
        <w:t>March 11, 2013</w:t>
      </w:r>
      <w:r w:rsidRPr="004935E8">
        <w:t xml:space="preserve">, in compliance with 66 Pa. C.S. § 1307(e).  The exhibits presented by Duquesne and I&amp;E were moved into evidence without objection.  Admission of the Duquesne exhibit is subject to the usual condition that the numbers contained in </w:t>
      </w:r>
      <w:r w:rsidR="00647758">
        <w:t xml:space="preserve">it </w:t>
      </w:r>
      <w:r w:rsidRPr="004935E8">
        <w:t>remain subject to audit, and that approval of the reconciliation statement does not constitute approval of either the accuracy of the reported figures or the reasonableness of the un</w:t>
      </w:r>
      <w:r w:rsidR="00B20603">
        <w:t>derlying transactions.</w:t>
      </w:r>
    </w:p>
    <w:p w:rsidR="002E071D" w:rsidRPr="004935E8" w:rsidRDefault="002E071D" w:rsidP="002E071D">
      <w:pPr>
        <w:spacing w:line="360" w:lineRule="auto"/>
      </w:pPr>
    </w:p>
    <w:p w:rsidR="002E071D" w:rsidRPr="004935E8" w:rsidRDefault="002E071D" w:rsidP="002E071D">
      <w:pPr>
        <w:spacing w:line="360" w:lineRule="auto"/>
        <w:jc w:val="center"/>
        <w:rPr>
          <w:u w:val="single"/>
        </w:rPr>
      </w:pPr>
      <w:r w:rsidRPr="004935E8">
        <w:rPr>
          <w:u w:val="single"/>
        </w:rPr>
        <w:t>CONCLUSIONS OF LAW</w:t>
      </w:r>
    </w:p>
    <w:p w:rsidR="002E071D" w:rsidRPr="004935E8" w:rsidRDefault="002E071D" w:rsidP="002E071D">
      <w:pPr>
        <w:spacing w:line="360" w:lineRule="auto"/>
        <w:jc w:val="center"/>
        <w:rPr>
          <w:u w:val="single"/>
        </w:rPr>
      </w:pPr>
    </w:p>
    <w:p w:rsidR="002E071D" w:rsidRPr="004935E8" w:rsidRDefault="002E071D" w:rsidP="002E071D">
      <w:pPr>
        <w:spacing w:line="360" w:lineRule="auto"/>
      </w:pPr>
      <w:r w:rsidRPr="004935E8">
        <w:tab/>
      </w:r>
      <w:r w:rsidRPr="004935E8">
        <w:tab/>
        <w:t>1.</w:t>
      </w:r>
      <w:r w:rsidRPr="004935E8">
        <w:tab/>
        <w:t xml:space="preserve">The Duquesne </w:t>
      </w:r>
      <w:r w:rsidR="00AF3B7B" w:rsidRPr="004935E8">
        <w:t>Customer Education Surcharge</w:t>
      </w:r>
      <w:r w:rsidRPr="004935E8">
        <w:t xml:space="preserve"> reconciliation filing, summarized in Appendix A, is deemed to be an adequate filin</w:t>
      </w:r>
      <w:r w:rsidR="00A723AC">
        <w:t>g within the meaning of Section </w:t>
      </w:r>
      <w:r w:rsidRPr="004935E8">
        <w:t>1307(e) of the Public Utility Code, 66 Pa. Code § 1307(e), subject to such further review and revision as may be found necessary by the Commission.</w:t>
      </w:r>
    </w:p>
    <w:p w:rsidR="002E071D" w:rsidRPr="004935E8" w:rsidRDefault="002E071D" w:rsidP="002E071D">
      <w:pPr>
        <w:spacing w:line="360" w:lineRule="auto"/>
      </w:pPr>
    </w:p>
    <w:p w:rsidR="002E071D" w:rsidRPr="004935E8" w:rsidRDefault="002E071D" w:rsidP="002E071D">
      <w:pPr>
        <w:spacing w:line="360" w:lineRule="auto"/>
      </w:pPr>
      <w:r w:rsidRPr="004935E8">
        <w:tab/>
      </w:r>
      <w:r w:rsidRPr="004935E8">
        <w:tab/>
        <w:t>2.</w:t>
      </w:r>
      <w:r w:rsidRPr="004935E8">
        <w:tab/>
        <w:t>Acceptance of the Statement deemed to be adequate is based on the unaudited data reported by the utility and does not constitute a final approval of the accuracy of those figures or of the reasonableness of the underlying transaction.</w:t>
      </w:r>
    </w:p>
    <w:p w:rsidR="002E071D" w:rsidRPr="004935E8" w:rsidRDefault="002E071D" w:rsidP="002E071D">
      <w:pPr>
        <w:spacing w:line="360" w:lineRule="auto"/>
      </w:pPr>
    </w:p>
    <w:p w:rsidR="002E071D" w:rsidRPr="004935E8" w:rsidRDefault="002E071D" w:rsidP="002E071D">
      <w:pPr>
        <w:spacing w:line="360" w:lineRule="auto"/>
      </w:pPr>
      <w:r w:rsidRPr="004935E8">
        <w:tab/>
      </w:r>
      <w:r w:rsidRPr="004935E8">
        <w:tab/>
        <w:t>3.</w:t>
      </w:r>
      <w:r w:rsidRPr="004935E8">
        <w:tab/>
        <w:t xml:space="preserve">The recovery of </w:t>
      </w:r>
      <w:proofErr w:type="spellStart"/>
      <w:r w:rsidRPr="004935E8">
        <w:t>undercollections</w:t>
      </w:r>
      <w:proofErr w:type="spellEnd"/>
      <w:r w:rsidRPr="004935E8">
        <w:t xml:space="preserve"> or the refund of </w:t>
      </w:r>
      <w:proofErr w:type="spellStart"/>
      <w:r w:rsidRPr="004935E8">
        <w:t>overcollections</w:t>
      </w:r>
      <w:proofErr w:type="spellEnd"/>
      <w:r w:rsidRPr="004935E8">
        <w:t xml:space="preserve"> for the utility whose filing is deemed to be adequate should be implemented based upon the operation of the automatic adjustment clauses as set forth in its tariff.</w:t>
      </w:r>
    </w:p>
    <w:p w:rsidR="002E071D" w:rsidRPr="004935E8" w:rsidRDefault="002E071D" w:rsidP="002E071D">
      <w:pPr>
        <w:spacing w:line="360" w:lineRule="auto"/>
      </w:pPr>
    </w:p>
    <w:p w:rsidR="002E071D" w:rsidRPr="004935E8" w:rsidRDefault="002E071D" w:rsidP="002E071D">
      <w:pPr>
        <w:spacing w:line="360" w:lineRule="auto"/>
        <w:jc w:val="center"/>
        <w:rPr>
          <w:u w:val="single"/>
        </w:rPr>
      </w:pPr>
      <w:r w:rsidRPr="004935E8">
        <w:rPr>
          <w:u w:val="single"/>
        </w:rPr>
        <w:t>ORDER</w:t>
      </w:r>
    </w:p>
    <w:p w:rsidR="002E071D" w:rsidRDefault="002E071D" w:rsidP="002E071D">
      <w:pPr>
        <w:spacing w:line="360" w:lineRule="auto"/>
        <w:jc w:val="center"/>
        <w:rPr>
          <w:u w:val="single"/>
        </w:rPr>
      </w:pPr>
    </w:p>
    <w:p w:rsidR="00504132" w:rsidRPr="004935E8" w:rsidRDefault="00504132" w:rsidP="002E071D">
      <w:pPr>
        <w:spacing w:line="360" w:lineRule="auto"/>
        <w:jc w:val="center"/>
        <w:rPr>
          <w:u w:val="single"/>
        </w:rPr>
      </w:pPr>
    </w:p>
    <w:p w:rsidR="002E071D" w:rsidRPr="004935E8" w:rsidRDefault="002E071D" w:rsidP="002E071D">
      <w:pPr>
        <w:spacing w:line="360" w:lineRule="auto"/>
      </w:pPr>
      <w:r w:rsidRPr="004935E8">
        <w:tab/>
      </w:r>
      <w:r w:rsidRPr="004935E8">
        <w:tab/>
        <w:t>THEREFORE,</w:t>
      </w:r>
    </w:p>
    <w:p w:rsidR="002E071D" w:rsidRPr="004935E8" w:rsidRDefault="002E071D" w:rsidP="002E071D">
      <w:pPr>
        <w:spacing w:line="360" w:lineRule="auto"/>
      </w:pPr>
    </w:p>
    <w:p w:rsidR="002E071D" w:rsidRPr="004935E8" w:rsidRDefault="002E071D" w:rsidP="002E071D">
      <w:pPr>
        <w:spacing w:line="360" w:lineRule="auto"/>
      </w:pPr>
      <w:r w:rsidRPr="004935E8">
        <w:tab/>
      </w:r>
      <w:r w:rsidRPr="004935E8">
        <w:tab/>
        <w:t>IT IS RECOMMENDED:</w:t>
      </w:r>
    </w:p>
    <w:p w:rsidR="002E071D" w:rsidRPr="004935E8" w:rsidRDefault="002E071D" w:rsidP="002E071D">
      <w:pPr>
        <w:spacing w:line="360" w:lineRule="auto"/>
      </w:pPr>
    </w:p>
    <w:p w:rsidR="002E071D" w:rsidRPr="004935E8" w:rsidRDefault="002E071D" w:rsidP="002E071D">
      <w:pPr>
        <w:spacing w:line="360" w:lineRule="auto"/>
      </w:pPr>
      <w:r w:rsidRPr="004935E8">
        <w:tab/>
      </w:r>
      <w:r w:rsidRPr="004935E8">
        <w:tab/>
        <w:t>1.</w:t>
      </w:r>
      <w:r w:rsidRPr="004935E8">
        <w:tab/>
        <w:t xml:space="preserve">That the Duquesne Light Company </w:t>
      </w:r>
      <w:r w:rsidR="00AF3B7B" w:rsidRPr="004935E8">
        <w:t>Customer Education Surc</w:t>
      </w:r>
      <w:r w:rsidRPr="004935E8">
        <w:t xml:space="preserve">harge Reconciliation for the </w:t>
      </w:r>
      <w:r w:rsidR="00781C21">
        <w:t>reconciliation period</w:t>
      </w:r>
      <w:r w:rsidRPr="004935E8">
        <w:t xml:space="preserve"> ended December 31, 201</w:t>
      </w:r>
      <w:r w:rsidR="00AF3B7B" w:rsidRPr="004935E8">
        <w:t>2</w:t>
      </w:r>
      <w:r w:rsidRPr="004935E8">
        <w:t>, as set forth in Appendix A of this Recommended Decision, be, and hereby is, accepted insofar as it is undisputed.</w:t>
      </w:r>
    </w:p>
    <w:p w:rsidR="002E071D" w:rsidRPr="004935E8" w:rsidRDefault="002E071D" w:rsidP="002E071D">
      <w:pPr>
        <w:spacing w:line="360" w:lineRule="auto"/>
      </w:pPr>
    </w:p>
    <w:p w:rsidR="002E071D" w:rsidRPr="004935E8" w:rsidRDefault="002E071D" w:rsidP="002E071D">
      <w:pPr>
        <w:spacing w:line="360" w:lineRule="auto"/>
      </w:pPr>
      <w:r w:rsidRPr="004935E8">
        <w:tab/>
      </w:r>
      <w:r w:rsidRPr="004935E8">
        <w:tab/>
        <w:t>2.</w:t>
      </w:r>
      <w:r w:rsidRPr="004935E8">
        <w:tab/>
        <w:t xml:space="preserve">That acceptance of the undisputed Duquesne Light Company </w:t>
      </w:r>
      <w:r w:rsidR="00AF3B7B" w:rsidRPr="004935E8">
        <w:t>Customer Education Surc</w:t>
      </w:r>
      <w:r w:rsidRPr="004935E8">
        <w:t>harge Reconciliation is expressly subject to such further review and revision as may be found necessary as a result of a subsequent Commission audit, or of some other proceeding.</w:t>
      </w:r>
    </w:p>
    <w:p w:rsidR="002E071D" w:rsidRPr="004935E8" w:rsidRDefault="002E071D" w:rsidP="002E071D">
      <w:pPr>
        <w:spacing w:line="360" w:lineRule="auto"/>
        <w:ind w:firstLine="1440"/>
      </w:pPr>
    </w:p>
    <w:p w:rsidR="002E071D" w:rsidRPr="004935E8" w:rsidRDefault="002E071D" w:rsidP="002E071D">
      <w:pPr>
        <w:spacing w:line="360" w:lineRule="auto"/>
        <w:ind w:firstLine="1440"/>
      </w:pPr>
      <w:r w:rsidRPr="004935E8">
        <w:t>3.</w:t>
      </w:r>
      <w:r w:rsidRPr="004935E8">
        <w:tab/>
        <w:t xml:space="preserve">That acceptance of the undisputed Duquesne Light Company </w:t>
      </w:r>
      <w:r w:rsidR="00AF3B7B" w:rsidRPr="004935E8">
        <w:t xml:space="preserve">Customer Education </w:t>
      </w:r>
      <w:r w:rsidRPr="004935E8">
        <w:t>Surcharge Reconciliation shall not constitute approval of either the accuracy of the reported figures or the reasonableness of the underlying transactions.</w:t>
      </w:r>
    </w:p>
    <w:p w:rsidR="002E071D" w:rsidRPr="004935E8" w:rsidRDefault="002E071D" w:rsidP="002E071D">
      <w:pPr>
        <w:spacing w:line="360" w:lineRule="auto"/>
      </w:pPr>
    </w:p>
    <w:p w:rsidR="002E071D" w:rsidRPr="004935E8" w:rsidRDefault="002E071D" w:rsidP="002E071D">
      <w:pPr>
        <w:spacing w:line="360" w:lineRule="auto"/>
      </w:pPr>
    </w:p>
    <w:p w:rsidR="002E071D" w:rsidRPr="004935E8" w:rsidRDefault="002E071D" w:rsidP="002E071D">
      <w:r w:rsidRPr="004935E8">
        <w:t>Date:</w:t>
      </w:r>
      <w:r w:rsidRPr="004935E8">
        <w:tab/>
      </w:r>
      <w:r w:rsidR="00AF3B7B" w:rsidRPr="004935E8">
        <w:rPr>
          <w:u w:val="single"/>
        </w:rPr>
        <w:t>March 11, 2013</w:t>
      </w:r>
      <w:r w:rsidRPr="004935E8">
        <w:tab/>
      </w:r>
      <w:r w:rsidRPr="004935E8">
        <w:tab/>
      </w:r>
      <w:r w:rsidRPr="004935E8">
        <w:tab/>
      </w:r>
      <w:r w:rsidRPr="004935E8">
        <w:tab/>
        <w:t>_</w:t>
      </w:r>
      <w:r w:rsidR="00ED109C">
        <w:rPr>
          <w:u w:val="single"/>
        </w:rPr>
        <w:t>/</w:t>
      </w:r>
      <w:r w:rsidR="00ED109C">
        <w:rPr>
          <w:rFonts w:ascii="Berlin Sans FB" w:hAnsi="Berlin Sans FB"/>
          <w:u w:val="single"/>
        </w:rPr>
        <w:t>s</w:t>
      </w:r>
      <w:r w:rsidR="00ED109C">
        <w:rPr>
          <w:u w:val="single"/>
        </w:rPr>
        <w:t>/</w:t>
      </w:r>
      <w:r w:rsidRPr="004935E8">
        <w:t>____________________________</w:t>
      </w:r>
    </w:p>
    <w:p w:rsidR="002E071D" w:rsidRPr="004935E8" w:rsidRDefault="002E071D" w:rsidP="002E071D">
      <w:r w:rsidRPr="004935E8">
        <w:tab/>
      </w:r>
      <w:r w:rsidRPr="004935E8">
        <w:tab/>
      </w:r>
      <w:r w:rsidRPr="004935E8">
        <w:tab/>
      </w:r>
      <w:r w:rsidRPr="004935E8">
        <w:tab/>
      </w:r>
      <w:r w:rsidRPr="004935E8">
        <w:tab/>
      </w:r>
      <w:r w:rsidRPr="004935E8">
        <w:tab/>
      </w:r>
      <w:r w:rsidRPr="004935E8">
        <w:tab/>
        <w:t>Susan D. Colwell</w:t>
      </w:r>
    </w:p>
    <w:p w:rsidR="00F41A22" w:rsidRPr="004935E8" w:rsidRDefault="002E071D" w:rsidP="002E071D">
      <w:pPr>
        <w:sectPr w:rsidR="00F41A22" w:rsidRPr="004935E8" w:rsidSect="00CC1367">
          <w:footerReference w:type="default" r:id="rId7"/>
          <w:pgSz w:w="12240" w:h="15840"/>
          <w:pgMar w:top="1440" w:right="1440" w:bottom="1440" w:left="1440" w:header="720" w:footer="720" w:gutter="0"/>
          <w:cols w:space="720"/>
          <w:titlePg/>
          <w:docGrid w:linePitch="360"/>
        </w:sectPr>
      </w:pPr>
      <w:r w:rsidRPr="004935E8">
        <w:tab/>
      </w:r>
      <w:r w:rsidRPr="004935E8">
        <w:tab/>
      </w:r>
      <w:r w:rsidRPr="004935E8">
        <w:tab/>
      </w:r>
      <w:r w:rsidRPr="004935E8">
        <w:tab/>
      </w:r>
      <w:r w:rsidRPr="004935E8">
        <w:tab/>
      </w:r>
      <w:r w:rsidRPr="004935E8">
        <w:tab/>
      </w:r>
      <w:r w:rsidRPr="004935E8">
        <w:tab/>
        <w:t>Administrative Law Judge</w:t>
      </w:r>
    </w:p>
    <w:p w:rsidR="00F41A22" w:rsidRDefault="00F41A22" w:rsidP="00F41A22">
      <w:pPr>
        <w:pStyle w:val="Style"/>
        <w:spacing w:line="424" w:lineRule="exact"/>
        <w:jc w:val="center"/>
        <w:rPr>
          <w:color w:val="000000"/>
          <w:w w:val="105"/>
          <w:sz w:val="35"/>
          <w:szCs w:val="35"/>
        </w:rPr>
      </w:pPr>
      <w:r>
        <w:rPr>
          <w:color w:val="000000"/>
          <w:w w:val="105"/>
          <w:sz w:val="35"/>
          <w:szCs w:val="35"/>
        </w:rPr>
        <w:t>Duquesne Light Company's Customer Education Surcharge for the reconciliation period of January 1</w:t>
      </w:r>
      <w:proofErr w:type="gramStart"/>
      <w:r>
        <w:rPr>
          <w:color w:val="000000"/>
          <w:w w:val="105"/>
          <w:sz w:val="35"/>
          <w:szCs w:val="35"/>
        </w:rPr>
        <w:t>,2012</w:t>
      </w:r>
      <w:proofErr w:type="gramEnd"/>
      <w:r>
        <w:rPr>
          <w:color w:val="000000"/>
          <w:w w:val="105"/>
          <w:sz w:val="35"/>
          <w:szCs w:val="35"/>
        </w:rPr>
        <w:t xml:space="preserve"> to December 31, 2012 </w:t>
      </w:r>
    </w:p>
    <w:p w:rsidR="00F41A22" w:rsidRDefault="00F41A22" w:rsidP="00F41A22">
      <w:pPr>
        <w:pStyle w:val="Style"/>
        <w:spacing w:before="367" w:line="324" w:lineRule="exact"/>
        <w:ind w:left="2102" w:right="942"/>
        <w:rPr>
          <w:color w:val="000000"/>
          <w:sz w:val="31"/>
          <w:szCs w:val="31"/>
        </w:rPr>
      </w:pPr>
      <w:r>
        <w:rPr>
          <w:color w:val="000000"/>
          <w:sz w:val="31"/>
          <w:szCs w:val="31"/>
        </w:rPr>
        <w:t xml:space="preserve">[Section 1307(e) Filing] </w:t>
      </w:r>
    </w:p>
    <w:p w:rsidR="00F41A22" w:rsidRDefault="00F41A22" w:rsidP="00F41A22">
      <w:pPr>
        <w:pStyle w:val="Style"/>
        <w:spacing w:before="266" w:line="360" w:lineRule="exact"/>
        <w:ind w:left="1475" w:right="942"/>
        <w:rPr>
          <w:color w:val="000000"/>
          <w:w w:val="105"/>
          <w:sz w:val="35"/>
          <w:szCs w:val="35"/>
        </w:rPr>
      </w:pPr>
      <w:r>
        <w:rPr>
          <w:color w:val="000000"/>
          <w:w w:val="105"/>
          <w:sz w:val="35"/>
          <w:szCs w:val="35"/>
        </w:rPr>
        <w:t xml:space="preserve">Docket No. M-2013-2347304 </w:t>
      </w:r>
    </w:p>
    <w:p w:rsidR="00F41A22" w:rsidRDefault="00F41A22" w:rsidP="00F41A22">
      <w:pPr>
        <w:pStyle w:val="Style"/>
        <w:spacing w:before="892" w:line="468" w:lineRule="exact"/>
        <w:ind w:left="792" w:right="798"/>
        <w:jc w:val="center"/>
        <w:rPr>
          <w:color w:val="000000"/>
          <w:sz w:val="39"/>
          <w:szCs w:val="39"/>
        </w:rPr>
      </w:pPr>
      <w:r>
        <w:rPr>
          <w:color w:val="000000"/>
          <w:sz w:val="39"/>
          <w:szCs w:val="39"/>
        </w:rPr>
        <w:t xml:space="preserve">BUREAU OF INVESTIGATION AND ENFORCEMENT ("I&amp;E") EXHIBIT NO.1 </w:t>
      </w:r>
    </w:p>
    <w:p w:rsidR="00F41A22" w:rsidRDefault="00F41A22" w:rsidP="00F41A22">
      <w:pPr>
        <w:pStyle w:val="Style"/>
        <w:spacing w:before="914" w:line="374" w:lineRule="exact"/>
        <w:ind w:left="1173" w:right="1186"/>
        <w:jc w:val="center"/>
        <w:rPr>
          <w:color w:val="000000"/>
          <w:sz w:val="31"/>
          <w:szCs w:val="31"/>
        </w:rPr>
      </w:pPr>
      <w:r>
        <w:rPr>
          <w:color w:val="000000"/>
          <w:sz w:val="31"/>
          <w:szCs w:val="31"/>
        </w:rPr>
        <w:t>Hearing of March 11,</w:t>
      </w:r>
      <w:r w:rsidR="00ED109C">
        <w:rPr>
          <w:color w:val="000000"/>
          <w:sz w:val="31"/>
          <w:szCs w:val="31"/>
        </w:rPr>
        <w:t xml:space="preserve"> </w:t>
      </w:r>
      <w:r>
        <w:rPr>
          <w:color w:val="000000"/>
          <w:sz w:val="31"/>
          <w:szCs w:val="31"/>
        </w:rPr>
        <w:t xml:space="preserve">2013, before Administrative Law Judge Susan D. Colwell </w:t>
      </w:r>
    </w:p>
    <w:p w:rsidR="00F41A22" w:rsidRDefault="00F41A22" w:rsidP="00F41A22">
      <w:pPr>
        <w:pStyle w:val="Style"/>
        <w:spacing w:before="2167" w:line="374" w:lineRule="exact"/>
        <w:ind w:left="1504" w:right="1525"/>
        <w:jc w:val="center"/>
        <w:rPr>
          <w:color w:val="000000"/>
          <w:sz w:val="31"/>
          <w:szCs w:val="31"/>
        </w:rPr>
      </w:pPr>
      <w:r>
        <w:rPr>
          <w:color w:val="000000"/>
          <w:sz w:val="31"/>
          <w:szCs w:val="31"/>
        </w:rPr>
        <w:t xml:space="preserve">Summary of Filed Statement and </w:t>
      </w:r>
    </w:p>
    <w:p w:rsidR="00F41A22" w:rsidRDefault="00F41A22" w:rsidP="00F41A22">
      <w:pPr>
        <w:pStyle w:val="Style"/>
        <w:spacing w:before="7" w:line="374" w:lineRule="exact"/>
        <w:ind w:left="907" w:right="942"/>
        <w:jc w:val="center"/>
        <w:rPr>
          <w:color w:val="000000"/>
          <w:sz w:val="31"/>
          <w:szCs w:val="31"/>
        </w:rPr>
      </w:pPr>
      <w:r>
        <w:rPr>
          <w:color w:val="000000"/>
          <w:sz w:val="31"/>
          <w:szCs w:val="31"/>
        </w:rPr>
        <w:t xml:space="preserve">Verification of Keith Mather, Auditor Bureau of Audits Pennsylvania Public Utility Commission </w:t>
      </w:r>
    </w:p>
    <w:p w:rsidR="00F41A22" w:rsidRDefault="00F41A22" w:rsidP="00F41A22">
      <w:pPr>
        <w:pStyle w:val="Style"/>
        <w:rPr>
          <w:sz w:val="31"/>
          <w:szCs w:val="31"/>
        </w:rPr>
        <w:sectPr w:rsidR="00F41A22" w:rsidSect="00F41A22">
          <w:pgSz w:w="12241" w:h="15842"/>
          <w:pgMar w:top="2491" w:right="2507" w:bottom="360" w:left="2448" w:header="720" w:footer="720" w:gutter="0"/>
          <w:cols w:space="720"/>
          <w:noEndnote/>
        </w:sectPr>
      </w:pPr>
    </w:p>
    <w:p w:rsidR="00F41A22" w:rsidRDefault="00F41A22" w:rsidP="00F41A22">
      <w:pPr>
        <w:pStyle w:val="Style"/>
        <w:spacing w:line="252" w:lineRule="exact"/>
        <w:ind w:left="7488"/>
        <w:jc w:val="right"/>
        <w:rPr>
          <w:rFonts w:ascii="Arial" w:hAnsi="Arial" w:cs="Arial"/>
          <w:color w:val="000000"/>
          <w:sz w:val="21"/>
          <w:szCs w:val="21"/>
        </w:rPr>
      </w:pPr>
      <w:r>
        <w:rPr>
          <w:rFonts w:ascii="Arial" w:hAnsi="Arial" w:cs="Arial"/>
          <w:color w:val="000000"/>
          <w:sz w:val="21"/>
          <w:szCs w:val="21"/>
        </w:rPr>
        <w:t xml:space="preserve">M-2013-2347304 I&amp;E Exhibit 1 </w:t>
      </w:r>
    </w:p>
    <w:p w:rsidR="00F41A22" w:rsidRDefault="00F41A22" w:rsidP="00F41A22">
      <w:pPr>
        <w:pStyle w:val="Style"/>
        <w:spacing w:before="770" w:line="223" w:lineRule="exact"/>
        <w:ind w:left="2570" w:right="842"/>
        <w:rPr>
          <w:rFonts w:ascii="Arial" w:hAnsi="Arial" w:cs="Arial"/>
          <w:b/>
          <w:bCs/>
          <w:color w:val="000000"/>
          <w:sz w:val="21"/>
          <w:szCs w:val="21"/>
        </w:rPr>
      </w:pPr>
      <w:r>
        <w:rPr>
          <w:rFonts w:ascii="Arial" w:hAnsi="Arial" w:cs="Arial"/>
          <w:b/>
          <w:bCs/>
          <w:color w:val="000000"/>
          <w:sz w:val="21"/>
          <w:szCs w:val="21"/>
        </w:rPr>
        <w:t xml:space="preserve">Summary of Duquesne Light Company's </w:t>
      </w:r>
    </w:p>
    <w:p w:rsidR="00F41A22" w:rsidRDefault="00F41A22" w:rsidP="00F41A22">
      <w:pPr>
        <w:pStyle w:val="Style"/>
        <w:spacing w:before="7" w:line="252" w:lineRule="exact"/>
        <w:ind w:left="1058" w:right="842"/>
        <w:jc w:val="center"/>
        <w:rPr>
          <w:rFonts w:ascii="Arial" w:hAnsi="Arial" w:cs="Arial"/>
          <w:b/>
          <w:bCs/>
          <w:color w:val="000000"/>
          <w:sz w:val="21"/>
          <w:szCs w:val="21"/>
        </w:rPr>
      </w:pPr>
      <w:r>
        <w:rPr>
          <w:rFonts w:ascii="Arial" w:hAnsi="Arial" w:cs="Arial"/>
          <w:b/>
          <w:bCs/>
          <w:color w:val="000000"/>
          <w:sz w:val="21"/>
          <w:szCs w:val="21"/>
        </w:rPr>
        <w:t>Consumer Education Surcharge (CES) Section 1307(e) Reconciliation For the Year Ended December 31</w:t>
      </w:r>
      <w:proofErr w:type="gramStart"/>
      <w:r>
        <w:rPr>
          <w:rFonts w:ascii="Arial" w:hAnsi="Arial" w:cs="Arial"/>
          <w:b/>
          <w:bCs/>
          <w:color w:val="000000"/>
          <w:sz w:val="21"/>
          <w:szCs w:val="21"/>
        </w:rPr>
        <w:t>,2012</w:t>
      </w:r>
      <w:proofErr w:type="gramEnd"/>
      <w:r>
        <w:rPr>
          <w:rFonts w:ascii="Arial" w:hAnsi="Arial" w:cs="Arial"/>
          <w:b/>
          <w:bCs/>
          <w:color w:val="000000"/>
          <w:sz w:val="21"/>
          <w:szCs w:val="21"/>
        </w:rPr>
        <w:t xml:space="preserve"> </w:t>
      </w:r>
    </w:p>
    <w:p w:rsidR="00F41A22" w:rsidRDefault="00F41A22" w:rsidP="00F41A22">
      <w:pPr>
        <w:pStyle w:val="Style"/>
        <w:spacing w:before="1094" w:line="1" w:lineRule="exact"/>
        <w:rPr>
          <w:rFonts w:ascii="Arial" w:hAnsi="Arial" w:cs="Arial"/>
          <w:sz w:val="21"/>
          <w:szCs w:val="21"/>
        </w:rPr>
      </w:pPr>
    </w:p>
    <w:tbl>
      <w:tblPr>
        <w:tblW w:w="0" w:type="auto"/>
        <w:tblInd w:w="964" w:type="dxa"/>
        <w:tblLayout w:type="fixed"/>
        <w:tblCellMar>
          <w:left w:w="0" w:type="dxa"/>
          <w:right w:w="0" w:type="dxa"/>
        </w:tblCellMar>
        <w:tblLook w:val="0000" w:firstRow="0" w:lastRow="0" w:firstColumn="0" w:lastColumn="0" w:noHBand="0" w:noVBand="0"/>
      </w:tblPr>
      <w:tblGrid>
        <w:gridCol w:w="2463"/>
        <w:gridCol w:w="1469"/>
        <w:gridCol w:w="374"/>
        <w:gridCol w:w="1202"/>
        <w:gridCol w:w="375"/>
        <w:gridCol w:w="1526"/>
      </w:tblGrid>
      <w:tr w:rsidR="00F41A22" w:rsidTr="0043636F">
        <w:trPr>
          <w:trHeight w:hRule="exact" w:val="208"/>
        </w:trPr>
        <w:tc>
          <w:tcPr>
            <w:tcW w:w="2463" w:type="dxa"/>
            <w:tcBorders>
              <w:top w:val="nil"/>
              <w:left w:val="nil"/>
              <w:bottom w:val="nil"/>
              <w:right w:val="nil"/>
            </w:tcBorders>
            <w:vAlign w:val="center"/>
          </w:tcPr>
          <w:p w:rsidR="00F41A22" w:rsidRDefault="00F41A22" w:rsidP="0043636F">
            <w:pPr>
              <w:pStyle w:val="Style"/>
              <w:jc w:val="center"/>
              <w:rPr>
                <w:rFonts w:ascii="Arial" w:hAnsi="Arial" w:cs="Arial"/>
                <w:sz w:val="21"/>
                <w:szCs w:val="21"/>
              </w:rPr>
            </w:pPr>
          </w:p>
        </w:tc>
        <w:tc>
          <w:tcPr>
            <w:tcW w:w="1469" w:type="dxa"/>
            <w:tcBorders>
              <w:top w:val="nil"/>
              <w:left w:val="nil"/>
              <w:bottom w:val="nil"/>
              <w:right w:val="nil"/>
            </w:tcBorders>
            <w:vAlign w:val="center"/>
          </w:tcPr>
          <w:p w:rsidR="00F41A22" w:rsidRDefault="00F41A22" w:rsidP="0043636F">
            <w:pPr>
              <w:pStyle w:val="Style"/>
              <w:ind w:left="583"/>
              <w:jc w:val="center"/>
              <w:rPr>
                <w:rFonts w:ascii="Arial" w:hAnsi="Arial" w:cs="Arial"/>
                <w:color w:val="000000"/>
                <w:sz w:val="21"/>
                <w:szCs w:val="21"/>
              </w:rPr>
            </w:pPr>
            <w:r>
              <w:rPr>
                <w:rFonts w:ascii="Arial" w:hAnsi="Arial" w:cs="Arial"/>
                <w:color w:val="000000"/>
                <w:sz w:val="21"/>
                <w:szCs w:val="21"/>
              </w:rPr>
              <w:t xml:space="preserve">Net </w:t>
            </w:r>
          </w:p>
        </w:tc>
        <w:tc>
          <w:tcPr>
            <w:tcW w:w="374"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1202"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375"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1526"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r>
      <w:tr w:rsidR="00F41A22" w:rsidTr="0043636F">
        <w:trPr>
          <w:trHeight w:hRule="exact" w:val="252"/>
        </w:trPr>
        <w:tc>
          <w:tcPr>
            <w:tcW w:w="2463" w:type="dxa"/>
            <w:tcBorders>
              <w:top w:val="nil"/>
              <w:left w:val="nil"/>
              <w:bottom w:val="nil"/>
              <w:right w:val="nil"/>
            </w:tcBorders>
            <w:vAlign w:val="center"/>
          </w:tcPr>
          <w:p w:rsidR="00F41A22" w:rsidRDefault="00F41A22" w:rsidP="0043636F">
            <w:pPr>
              <w:pStyle w:val="Style"/>
              <w:jc w:val="center"/>
              <w:rPr>
                <w:rFonts w:ascii="Arial" w:hAnsi="Arial" w:cs="Arial"/>
                <w:sz w:val="21"/>
                <w:szCs w:val="21"/>
              </w:rPr>
            </w:pPr>
          </w:p>
        </w:tc>
        <w:tc>
          <w:tcPr>
            <w:tcW w:w="1843" w:type="dxa"/>
            <w:gridSpan w:val="2"/>
            <w:tcBorders>
              <w:top w:val="nil"/>
              <w:left w:val="nil"/>
              <w:bottom w:val="nil"/>
              <w:right w:val="nil"/>
            </w:tcBorders>
            <w:vAlign w:val="center"/>
          </w:tcPr>
          <w:p w:rsidR="00F41A22" w:rsidRDefault="00F41A22" w:rsidP="0043636F">
            <w:pPr>
              <w:pStyle w:val="Style"/>
              <w:ind w:right="244"/>
              <w:jc w:val="right"/>
              <w:rPr>
                <w:rFonts w:ascii="Arial" w:hAnsi="Arial" w:cs="Arial"/>
                <w:color w:val="000000"/>
                <w:sz w:val="21"/>
                <w:szCs w:val="21"/>
              </w:rPr>
            </w:pPr>
            <w:r>
              <w:rPr>
                <w:rFonts w:ascii="Arial" w:hAnsi="Arial" w:cs="Arial"/>
                <w:color w:val="000000"/>
                <w:sz w:val="21"/>
                <w:szCs w:val="21"/>
              </w:rPr>
              <w:t xml:space="preserve">Consumer </w:t>
            </w:r>
          </w:p>
        </w:tc>
        <w:tc>
          <w:tcPr>
            <w:tcW w:w="1202"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375"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1526"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r>
      <w:tr w:rsidR="00F41A22" w:rsidTr="0043636F">
        <w:trPr>
          <w:trHeight w:hRule="exact" w:val="273"/>
        </w:trPr>
        <w:tc>
          <w:tcPr>
            <w:tcW w:w="2463" w:type="dxa"/>
            <w:tcBorders>
              <w:top w:val="nil"/>
              <w:left w:val="nil"/>
              <w:bottom w:val="nil"/>
              <w:right w:val="nil"/>
            </w:tcBorders>
            <w:vAlign w:val="center"/>
          </w:tcPr>
          <w:p w:rsidR="00F41A22" w:rsidRDefault="00F41A22" w:rsidP="0043636F">
            <w:pPr>
              <w:pStyle w:val="Style"/>
              <w:jc w:val="center"/>
              <w:rPr>
                <w:rFonts w:ascii="Arial" w:hAnsi="Arial" w:cs="Arial"/>
                <w:sz w:val="21"/>
                <w:szCs w:val="21"/>
              </w:rPr>
            </w:pPr>
          </w:p>
        </w:tc>
        <w:tc>
          <w:tcPr>
            <w:tcW w:w="1843" w:type="dxa"/>
            <w:gridSpan w:val="2"/>
            <w:tcBorders>
              <w:top w:val="nil"/>
              <w:left w:val="nil"/>
              <w:bottom w:val="nil"/>
              <w:right w:val="nil"/>
            </w:tcBorders>
            <w:vAlign w:val="center"/>
          </w:tcPr>
          <w:p w:rsidR="00F41A22" w:rsidRDefault="00F41A22" w:rsidP="0043636F">
            <w:pPr>
              <w:pStyle w:val="Style"/>
              <w:ind w:right="244"/>
              <w:jc w:val="right"/>
              <w:rPr>
                <w:rFonts w:ascii="Arial" w:hAnsi="Arial" w:cs="Arial"/>
                <w:color w:val="000000"/>
                <w:sz w:val="21"/>
                <w:szCs w:val="21"/>
              </w:rPr>
            </w:pPr>
            <w:r>
              <w:rPr>
                <w:rFonts w:ascii="Arial" w:hAnsi="Arial" w:cs="Arial"/>
                <w:color w:val="000000"/>
                <w:sz w:val="21"/>
                <w:szCs w:val="21"/>
              </w:rPr>
              <w:t xml:space="preserve">Education </w:t>
            </w:r>
          </w:p>
        </w:tc>
        <w:tc>
          <w:tcPr>
            <w:tcW w:w="1577" w:type="dxa"/>
            <w:gridSpan w:val="2"/>
            <w:tcBorders>
              <w:top w:val="nil"/>
              <w:left w:val="nil"/>
              <w:bottom w:val="nil"/>
              <w:right w:val="nil"/>
            </w:tcBorders>
            <w:vAlign w:val="center"/>
          </w:tcPr>
          <w:p w:rsidR="00F41A22" w:rsidRDefault="00F41A22" w:rsidP="0043636F">
            <w:pPr>
              <w:pStyle w:val="Style"/>
              <w:ind w:right="252"/>
              <w:jc w:val="right"/>
              <w:rPr>
                <w:rFonts w:ascii="Arial" w:hAnsi="Arial" w:cs="Arial"/>
                <w:color w:val="000000"/>
                <w:sz w:val="21"/>
                <w:szCs w:val="21"/>
              </w:rPr>
            </w:pPr>
            <w:r>
              <w:rPr>
                <w:rFonts w:ascii="Arial" w:hAnsi="Arial" w:cs="Arial"/>
                <w:color w:val="000000"/>
                <w:sz w:val="21"/>
                <w:szCs w:val="21"/>
              </w:rPr>
              <w:t xml:space="preserve">Surcharge </w:t>
            </w:r>
          </w:p>
        </w:tc>
        <w:tc>
          <w:tcPr>
            <w:tcW w:w="1526" w:type="dxa"/>
            <w:tcBorders>
              <w:top w:val="nil"/>
              <w:left w:val="nil"/>
              <w:bottom w:val="nil"/>
              <w:right w:val="nil"/>
            </w:tcBorders>
            <w:vAlign w:val="center"/>
          </w:tcPr>
          <w:p w:rsidR="00F41A22" w:rsidRDefault="00F41A22" w:rsidP="0043636F">
            <w:pPr>
              <w:pStyle w:val="Style"/>
              <w:ind w:right="417"/>
              <w:jc w:val="right"/>
              <w:rPr>
                <w:rFonts w:ascii="Arial" w:hAnsi="Arial" w:cs="Arial"/>
                <w:color w:val="000000"/>
                <w:sz w:val="21"/>
                <w:szCs w:val="21"/>
              </w:rPr>
            </w:pPr>
            <w:r>
              <w:rPr>
                <w:rFonts w:ascii="Arial" w:hAnsi="Arial" w:cs="Arial"/>
                <w:color w:val="000000"/>
                <w:sz w:val="21"/>
                <w:szCs w:val="21"/>
              </w:rPr>
              <w:t xml:space="preserve">Total </w:t>
            </w:r>
          </w:p>
        </w:tc>
      </w:tr>
      <w:tr w:rsidR="00F41A22" w:rsidTr="0043636F">
        <w:trPr>
          <w:trHeight w:hRule="exact" w:val="259"/>
        </w:trPr>
        <w:tc>
          <w:tcPr>
            <w:tcW w:w="2463" w:type="dxa"/>
            <w:tcBorders>
              <w:top w:val="nil"/>
              <w:left w:val="nil"/>
              <w:bottom w:val="nil"/>
              <w:right w:val="nil"/>
            </w:tcBorders>
            <w:vAlign w:val="center"/>
          </w:tcPr>
          <w:p w:rsidR="00F41A22" w:rsidRDefault="00F41A22" w:rsidP="0043636F">
            <w:pPr>
              <w:pStyle w:val="Style"/>
              <w:ind w:right="194"/>
              <w:jc w:val="center"/>
              <w:rPr>
                <w:rFonts w:ascii="Arial" w:hAnsi="Arial" w:cs="Arial"/>
                <w:color w:val="000000"/>
                <w:sz w:val="21"/>
                <w:szCs w:val="21"/>
              </w:rPr>
            </w:pPr>
            <w:r>
              <w:rPr>
                <w:rFonts w:ascii="Arial" w:hAnsi="Arial" w:cs="Arial"/>
                <w:color w:val="000000"/>
                <w:sz w:val="21"/>
                <w:szCs w:val="21"/>
              </w:rPr>
              <w:t xml:space="preserve">Customer </w:t>
            </w:r>
          </w:p>
        </w:tc>
        <w:tc>
          <w:tcPr>
            <w:tcW w:w="1469" w:type="dxa"/>
            <w:tcBorders>
              <w:top w:val="nil"/>
              <w:left w:val="nil"/>
              <w:bottom w:val="nil"/>
              <w:right w:val="nil"/>
            </w:tcBorders>
            <w:vAlign w:val="center"/>
          </w:tcPr>
          <w:p w:rsidR="00F41A22" w:rsidRDefault="00F41A22" w:rsidP="0043636F">
            <w:pPr>
              <w:pStyle w:val="Style"/>
              <w:ind w:left="583"/>
              <w:jc w:val="center"/>
              <w:rPr>
                <w:rFonts w:ascii="Arial" w:hAnsi="Arial" w:cs="Arial"/>
                <w:color w:val="000000"/>
                <w:sz w:val="21"/>
                <w:szCs w:val="21"/>
              </w:rPr>
            </w:pPr>
            <w:r>
              <w:rPr>
                <w:rFonts w:ascii="Arial" w:hAnsi="Arial" w:cs="Arial"/>
                <w:color w:val="000000"/>
                <w:sz w:val="21"/>
                <w:szCs w:val="21"/>
              </w:rPr>
              <w:t xml:space="preserve">Related </w:t>
            </w:r>
          </w:p>
        </w:tc>
        <w:tc>
          <w:tcPr>
            <w:tcW w:w="374"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1202" w:type="dxa"/>
            <w:tcBorders>
              <w:top w:val="nil"/>
              <w:left w:val="nil"/>
              <w:bottom w:val="nil"/>
              <w:right w:val="nil"/>
            </w:tcBorders>
            <w:vAlign w:val="center"/>
          </w:tcPr>
          <w:p w:rsidR="00F41A22" w:rsidRDefault="00F41A22" w:rsidP="0043636F">
            <w:pPr>
              <w:pStyle w:val="Style"/>
              <w:ind w:left="352"/>
              <w:jc w:val="center"/>
              <w:rPr>
                <w:rFonts w:ascii="Arial" w:hAnsi="Arial" w:cs="Arial"/>
                <w:color w:val="000000"/>
                <w:sz w:val="21"/>
                <w:szCs w:val="21"/>
              </w:rPr>
            </w:pPr>
            <w:r>
              <w:rPr>
                <w:rFonts w:ascii="Arial" w:hAnsi="Arial" w:cs="Arial"/>
                <w:color w:val="000000"/>
                <w:sz w:val="21"/>
                <w:szCs w:val="21"/>
              </w:rPr>
              <w:t xml:space="preserve">Related </w:t>
            </w:r>
          </w:p>
        </w:tc>
        <w:tc>
          <w:tcPr>
            <w:tcW w:w="375"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1526" w:type="dxa"/>
            <w:tcBorders>
              <w:top w:val="nil"/>
              <w:left w:val="nil"/>
              <w:bottom w:val="nil"/>
              <w:right w:val="nil"/>
            </w:tcBorders>
            <w:vAlign w:val="center"/>
          </w:tcPr>
          <w:p w:rsidR="00F41A22" w:rsidRDefault="00F41A22" w:rsidP="0043636F">
            <w:pPr>
              <w:pStyle w:val="Style"/>
              <w:jc w:val="right"/>
              <w:rPr>
                <w:rFonts w:ascii="Arial" w:hAnsi="Arial" w:cs="Arial"/>
                <w:color w:val="000000"/>
                <w:sz w:val="21"/>
                <w:szCs w:val="21"/>
              </w:rPr>
            </w:pPr>
            <w:r>
              <w:rPr>
                <w:rFonts w:ascii="Arial" w:hAnsi="Arial" w:cs="Arial"/>
                <w:color w:val="000000"/>
                <w:sz w:val="21"/>
                <w:szCs w:val="21"/>
              </w:rPr>
              <w:t xml:space="preserve">(Over)/Under </w:t>
            </w:r>
          </w:p>
        </w:tc>
      </w:tr>
      <w:tr w:rsidR="00F41A22" w:rsidTr="0043636F">
        <w:trPr>
          <w:trHeight w:hRule="exact" w:val="244"/>
        </w:trPr>
        <w:tc>
          <w:tcPr>
            <w:tcW w:w="2463" w:type="dxa"/>
            <w:tcBorders>
              <w:top w:val="nil"/>
              <w:left w:val="nil"/>
              <w:bottom w:val="nil"/>
              <w:right w:val="nil"/>
            </w:tcBorders>
            <w:vAlign w:val="center"/>
          </w:tcPr>
          <w:p w:rsidR="00F41A22" w:rsidRDefault="00F41A22" w:rsidP="0043636F">
            <w:pPr>
              <w:pStyle w:val="Style"/>
              <w:ind w:right="194"/>
              <w:jc w:val="center"/>
              <w:rPr>
                <w:rFonts w:ascii="Arial" w:hAnsi="Arial" w:cs="Arial"/>
                <w:color w:val="000000"/>
                <w:sz w:val="21"/>
                <w:szCs w:val="21"/>
                <w:u w:val="single"/>
              </w:rPr>
            </w:pPr>
            <w:r>
              <w:rPr>
                <w:rFonts w:ascii="Arial" w:hAnsi="Arial" w:cs="Arial"/>
                <w:color w:val="000000"/>
                <w:sz w:val="21"/>
                <w:szCs w:val="21"/>
                <w:u w:val="single"/>
              </w:rPr>
              <w:t>Class</w:t>
            </w:r>
          </w:p>
        </w:tc>
        <w:tc>
          <w:tcPr>
            <w:tcW w:w="1469" w:type="dxa"/>
            <w:tcBorders>
              <w:top w:val="nil"/>
              <w:left w:val="nil"/>
              <w:bottom w:val="single" w:sz="4" w:space="0" w:color="auto"/>
              <w:right w:val="nil"/>
            </w:tcBorders>
            <w:vAlign w:val="center"/>
          </w:tcPr>
          <w:p w:rsidR="00F41A22" w:rsidRDefault="00F41A22" w:rsidP="0043636F">
            <w:pPr>
              <w:pStyle w:val="Style"/>
              <w:ind w:left="583"/>
              <w:jc w:val="center"/>
              <w:rPr>
                <w:rFonts w:ascii="Arial" w:hAnsi="Arial" w:cs="Arial"/>
                <w:color w:val="000000"/>
                <w:sz w:val="21"/>
                <w:szCs w:val="21"/>
              </w:rPr>
            </w:pPr>
            <w:r>
              <w:rPr>
                <w:rFonts w:ascii="Arial" w:hAnsi="Arial" w:cs="Arial"/>
                <w:color w:val="000000"/>
                <w:sz w:val="21"/>
                <w:szCs w:val="21"/>
              </w:rPr>
              <w:t xml:space="preserve"> Revenue </w:t>
            </w:r>
          </w:p>
        </w:tc>
        <w:tc>
          <w:tcPr>
            <w:tcW w:w="374"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1202" w:type="dxa"/>
            <w:tcBorders>
              <w:top w:val="nil"/>
              <w:left w:val="nil"/>
              <w:bottom w:val="single" w:sz="4" w:space="0" w:color="auto"/>
              <w:right w:val="nil"/>
            </w:tcBorders>
            <w:vAlign w:val="center"/>
          </w:tcPr>
          <w:p w:rsidR="00F41A22" w:rsidRDefault="00F41A22" w:rsidP="0043636F">
            <w:pPr>
              <w:pStyle w:val="Style"/>
              <w:ind w:left="352"/>
              <w:jc w:val="center"/>
              <w:rPr>
                <w:rFonts w:ascii="Arial" w:hAnsi="Arial" w:cs="Arial"/>
                <w:color w:val="000000"/>
                <w:sz w:val="21"/>
                <w:szCs w:val="21"/>
              </w:rPr>
            </w:pPr>
            <w:r>
              <w:rPr>
                <w:rFonts w:ascii="Arial" w:hAnsi="Arial" w:cs="Arial"/>
                <w:color w:val="000000"/>
                <w:sz w:val="21"/>
                <w:szCs w:val="21"/>
              </w:rPr>
              <w:t xml:space="preserve">Expense </w:t>
            </w:r>
          </w:p>
        </w:tc>
        <w:tc>
          <w:tcPr>
            <w:tcW w:w="375"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1526" w:type="dxa"/>
            <w:tcBorders>
              <w:top w:val="nil"/>
              <w:left w:val="nil"/>
              <w:bottom w:val="single" w:sz="4" w:space="0" w:color="auto"/>
              <w:right w:val="nil"/>
            </w:tcBorders>
            <w:vAlign w:val="center"/>
          </w:tcPr>
          <w:p w:rsidR="00F41A22" w:rsidRDefault="00F41A22" w:rsidP="0043636F">
            <w:pPr>
              <w:pStyle w:val="Style"/>
              <w:ind w:right="100"/>
              <w:jc w:val="right"/>
              <w:rPr>
                <w:rFonts w:ascii="Arial" w:hAnsi="Arial" w:cs="Arial"/>
                <w:color w:val="000000"/>
                <w:sz w:val="21"/>
                <w:szCs w:val="21"/>
              </w:rPr>
            </w:pPr>
            <w:r>
              <w:rPr>
                <w:rFonts w:ascii="Arial" w:hAnsi="Arial" w:cs="Arial"/>
                <w:color w:val="000000"/>
                <w:sz w:val="21"/>
                <w:szCs w:val="21"/>
              </w:rPr>
              <w:t xml:space="preserve">Collection </w:t>
            </w:r>
          </w:p>
        </w:tc>
      </w:tr>
      <w:tr w:rsidR="00F41A22" w:rsidTr="0043636F">
        <w:trPr>
          <w:trHeight w:hRule="exact" w:val="381"/>
        </w:trPr>
        <w:tc>
          <w:tcPr>
            <w:tcW w:w="2463" w:type="dxa"/>
            <w:tcBorders>
              <w:top w:val="nil"/>
              <w:left w:val="nil"/>
              <w:bottom w:val="nil"/>
              <w:right w:val="nil"/>
            </w:tcBorders>
            <w:vAlign w:val="center"/>
          </w:tcPr>
          <w:p w:rsidR="00F41A22" w:rsidRDefault="00F41A22" w:rsidP="0043636F">
            <w:pPr>
              <w:pStyle w:val="Style"/>
              <w:jc w:val="center"/>
              <w:rPr>
                <w:rFonts w:ascii="Arial" w:hAnsi="Arial" w:cs="Arial"/>
                <w:sz w:val="21"/>
                <w:szCs w:val="21"/>
              </w:rPr>
            </w:pPr>
          </w:p>
        </w:tc>
        <w:tc>
          <w:tcPr>
            <w:tcW w:w="1469" w:type="dxa"/>
            <w:tcBorders>
              <w:top w:val="single" w:sz="4" w:space="0" w:color="auto"/>
              <w:left w:val="nil"/>
              <w:bottom w:val="nil"/>
              <w:right w:val="nil"/>
            </w:tcBorders>
            <w:vAlign w:val="center"/>
          </w:tcPr>
          <w:p w:rsidR="00F41A22" w:rsidRDefault="00F41A22" w:rsidP="0043636F">
            <w:pPr>
              <w:pStyle w:val="Style"/>
              <w:ind w:left="583"/>
              <w:jc w:val="center"/>
              <w:rPr>
                <w:rFonts w:ascii="Arial" w:hAnsi="Arial" w:cs="Arial"/>
                <w:color w:val="000000"/>
                <w:sz w:val="21"/>
                <w:szCs w:val="21"/>
              </w:rPr>
            </w:pPr>
            <w:r>
              <w:rPr>
                <w:rFonts w:ascii="Arial" w:hAnsi="Arial" w:cs="Arial"/>
                <w:color w:val="000000"/>
                <w:sz w:val="21"/>
                <w:szCs w:val="21"/>
              </w:rPr>
              <w:t xml:space="preserve">(1 ) </w:t>
            </w:r>
          </w:p>
        </w:tc>
        <w:tc>
          <w:tcPr>
            <w:tcW w:w="374"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1202" w:type="dxa"/>
            <w:tcBorders>
              <w:top w:val="single" w:sz="4" w:space="0" w:color="auto"/>
              <w:left w:val="nil"/>
              <w:bottom w:val="nil"/>
              <w:right w:val="nil"/>
            </w:tcBorders>
            <w:vAlign w:val="center"/>
          </w:tcPr>
          <w:p w:rsidR="00F41A22" w:rsidRDefault="00F41A22" w:rsidP="0043636F">
            <w:pPr>
              <w:pStyle w:val="Style"/>
              <w:ind w:left="352"/>
              <w:jc w:val="center"/>
              <w:rPr>
                <w:rFonts w:ascii="Arial" w:hAnsi="Arial" w:cs="Arial"/>
                <w:color w:val="000000"/>
                <w:sz w:val="21"/>
                <w:szCs w:val="21"/>
              </w:rPr>
            </w:pPr>
            <w:r>
              <w:rPr>
                <w:rFonts w:ascii="Arial" w:hAnsi="Arial" w:cs="Arial"/>
                <w:color w:val="000000"/>
                <w:sz w:val="21"/>
                <w:szCs w:val="21"/>
              </w:rPr>
              <w:t xml:space="preserve">(2) </w:t>
            </w:r>
          </w:p>
        </w:tc>
        <w:tc>
          <w:tcPr>
            <w:tcW w:w="375"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1526" w:type="dxa"/>
            <w:tcBorders>
              <w:top w:val="single" w:sz="4" w:space="0" w:color="auto"/>
              <w:left w:val="nil"/>
              <w:bottom w:val="nil"/>
              <w:right w:val="nil"/>
            </w:tcBorders>
            <w:vAlign w:val="center"/>
          </w:tcPr>
          <w:p w:rsidR="00F41A22" w:rsidRDefault="00F41A22" w:rsidP="0043636F">
            <w:pPr>
              <w:pStyle w:val="Style"/>
              <w:jc w:val="right"/>
              <w:rPr>
                <w:rFonts w:ascii="Arial" w:hAnsi="Arial" w:cs="Arial"/>
                <w:color w:val="000000"/>
                <w:sz w:val="21"/>
                <w:szCs w:val="21"/>
              </w:rPr>
            </w:pPr>
            <w:r>
              <w:rPr>
                <w:rFonts w:ascii="Arial" w:hAnsi="Arial" w:cs="Arial"/>
                <w:color w:val="000000"/>
                <w:sz w:val="21"/>
                <w:szCs w:val="21"/>
              </w:rPr>
              <w:t xml:space="preserve">(3) = (2) - (1) </w:t>
            </w:r>
          </w:p>
        </w:tc>
      </w:tr>
      <w:tr w:rsidR="00F41A22" w:rsidTr="0043636F">
        <w:trPr>
          <w:trHeight w:hRule="exact" w:val="504"/>
        </w:trPr>
        <w:tc>
          <w:tcPr>
            <w:tcW w:w="2463" w:type="dxa"/>
            <w:tcBorders>
              <w:top w:val="nil"/>
              <w:left w:val="nil"/>
              <w:bottom w:val="nil"/>
              <w:right w:val="nil"/>
            </w:tcBorders>
            <w:vAlign w:val="center"/>
          </w:tcPr>
          <w:p w:rsidR="00F41A22" w:rsidRDefault="00F41A22" w:rsidP="0043636F">
            <w:pPr>
              <w:pStyle w:val="Style"/>
              <w:rPr>
                <w:rFonts w:ascii="Arial" w:hAnsi="Arial" w:cs="Arial"/>
                <w:color w:val="000000"/>
                <w:sz w:val="21"/>
                <w:szCs w:val="21"/>
              </w:rPr>
            </w:pPr>
            <w:r>
              <w:rPr>
                <w:rFonts w:ascii="Arial" w:hAnsi="Arial" w:cs="Arial"/>
                <w:color w:val="000000"/>
                <w:sz w:val="21"/>
                <w:szCs w:val="21"/>
              </w:rPr>
              <w:t xml:space="preserve">Residential </w:t>
            </w:r>
          </w:p>
        </w:tc>
        <w:tc>
          <w:tcPr>
            <w:tcW w:w="1843" w:type="dxa"/>
            <w:gridSpan w:val="2"/>
            <w:tcBorders>
              <w:top w:val="nil"/>
              <w:left w:val="nil"/>
              <w:bottom w:val="nil"/>
              <w:right w:val="nil"/>
            </w:tcBorders>
            <w:vAlign w:val="center"/>
          </w:tcPr>
          <w:p w:rsidR="00F41A22" w:rsidRDefault="00F41A22" w:rsidP="0043636F">
            <w:pPr>
              <w:pStyle w:val="Style"/>
              <w:ind w:right="244"/>
              <w:jc w:val="right"/>
              <w:rPr>
                <w:rFonts w:ascii="Arial" w:hAnsi="Arial" w:cs="Arial"/>
                <w:color w:val="000000"/>
                <w:sz w:val="21"/>
                <w:szCs w:val="21"/>
              </w:rPr>
            </w:pPr>
            <w:r>
              <w:rPr>
                <w:rFonts w:ascii="Arial" w:hAnsi="Arial" w:cs="Arial"/>
                <w:color w:val="000000"/>
                <w:sz w:val="21"/>
                <w:szCs w:val="21"/>
              </w:rPr>
              <w:t xml:space="preserve">$1,289,837 </w:t>
            </w:r>
          </w:p>
        </w:tc>
        <w:tc>
          <w:tcPr>
            <w:tcW w:w="1577" w:type="dxa"/>
            <w:gridSpan w:val="2"/>
            <w:tcBorders>
              <w:top w:val="nil"/>
              <w:left w:val="nil"/>
              <w:bottom w:val="nil"/>
              <w:right w:val="nil"/>
            </w:tcBorders>
            <w:vAlign w:val="center"/>
          </w:tcPr>
          <w:p w:rsidR="00F41A22" w:rsidRDefault="00F41A22" w:rsidP="0043636F">
            <w:pPr>
              <w:pStyle w:val="Style"/>
              <w:ind w:right="252"/>
              <w:jc w:val="right"/>
              <w:rPr>
                <w:rFonts w:ascii="Arial" w:hAnsi="Arial" w:cs="Arial"/>
                <w:color w:val="000000"/>
                <w:sz w:val="21"/>
                <w:szCs w:val="21"/>
              </w:rPr>
            </w:pPr>
            <w:r>
              <w:rPr>
                <w:rFonts w:ascii="Arial" w:hAnsi="Arial" w:cs="Arial"/>
                <w:color w:val="000000"/>
                <w:sz w:val="21"/>
                <w:szCs w:val="21"/>
              </w:rPr>
              <w:t xml:space="preserve">$1,160,487 </w:t>
            </w:r>
          </w:p>
        </w:tc>
        <w:tc>
          <w:tcPr>
            <w:tcW w:w="1526" w:type="dxa"/>
            <w:tcBorders>
              <w:top w:val="nil"/>
              <w:left w:val="nil"/>
              <w:bottom w:val="nil"/>
              <w:right w:val="nil"/>
            </w:tcBorders>
            <w:vAlign w:val="center"/>
          </w:tcPr>
          <w:p w:rsidR="00F41A22" w:rsidRDefault="00F41A22" w:rsidP="0043636F">
            <w:pPr>
              <w:pStyle w:val="Style"/>
              <w:jc w:val="right"/>
              <w:rPr>
                <w:rFonts w:ascii="Arial" w:hAnsi="Arial" w:cs="Arial"/>
                <w:color w:val="000000"/>
                <w:sz w:val="21"/>
                <w:szCs w:val="21"/>
              </w:rPr>
            </w:pPr>
            <w:r>
              <w:rPr>
                <w:rFonts w:ascii="Arial" w:hAnsi="Arial" w:cs="Arial"/>
                <w:color w:val="000000"/>
                <w:sz w:val="21"/>
                <w:szCs w:val="21"/>
              </w:rPr>
              <w:t xml:space="preserve">$(129,351) </w:t>
            </w:r>
          </w:p>
        </w:tc>
      </w:tr>
      <w:tr w:rsidR="00F41A22" w:rsidTr="0043636F">
        <w:trPr>
          <w:trHeight w:hRule="exact" w:val="504"/>
        </w:trPr>
        <w:tc>
          <w:tcPr>
            <w:tcW w:w="2463" w:type="dxa"/>
            <w:tcBorders>
              <w:top w:val="nil"/>
              <w:left w:val="nil"/>
              <w:bottom w:val="nil"/>
              <w:right w:val="nil"/>
            </w:tcBorders>
            <w:vAlign w:val="center"/>
          </w:tcPr>
          <w:p w:rsidR="00F41A22" w:rsidRDefault="00F41A22" w:rsidP="0043636F">
            <w:pPr>
              <w:pStyle w:val="Style"/>
              <w:rPr>
                <w:rFonts w:ascii="Arial" w:hAnsi="Arial" w:cs="Arial"/>
                <w:color w:val="000000"/>
                <w:sz w:val="21"/>
                <w:szCs w:val="21"/>
              </w:rPr>
            </w:pPr>
            <w:r>
              <w:rPr>
                <w:rFonts w:ascii="Arial" w:hAnsi="Arial" w:cs="Arial"/>
                <w:color w:val="000000"/>
                <w:sz w:val="21"/>
                <w:szCs w:val="21"/>
              </w:rPr>
              <w:t xml:space="preserve">Small C&amp;I </w:t>
            </w:r>
            <w:r>
              <w:rPr>
                <w:rFonts w:ascii="Arial" w:hAnsi="Arial" w:cs="Arial"/>
                <w:color w:val="000000"/>
                <w:w w:val="107"/>
                <w:sz w:val="20"/>
                <w:szCs w:val="20"/>
              </w:rPr>
              <w:t xml:space="preserve">&lt; </w:t>
            </w:r>
            <w:r>
              <w:rPr>
                <w:rFonts w:ascii="Arial" w:hAnsi="Arial" w:cs="Arial"/>
                <w:color w:val="000000"/>
                <w:sz w:val="21"/>
                <w:szCs w:val="21"/>
              </w:rPr>
              <w:t xml:space="preserve">25kW </w:t>
            </w:r>
          </w:p>
        </w:tc>
        <w:tc>
          <w:tcPr>
            <w:tcW w:w="1843" w:type="dxa"/>
            <w:gridSpan w:val="2"/>
            <w:tcBorders>
              <w:top w:val="nil"/>
              <w:left w:val="nil"/>
              <w:bottom w:val="nil"/>
              <w:right w:val="nil"/>
            </w:tcBorders>
            <w:vAlign w:val="center"/>
          </w:tcPr>
          <w:p w:rsidR="00F41A22" w:rsidRDefault="00F41A22" w:rsidP="0043636F">
            <w:pPr>
              <w:pStyle w:val="Style"/>
              <w:ind w:right="244"/>
              <w:jc w:val="right"/>
              <w:rPr>
                <w:rFonts w:ascii="Arial" w:hAnsi="Arial" w:cs="Arial"/>
                <w:color w:val="000000"/>
                <w:sz w:val="21"/>
                <w:szCs w:val="21"/>
              </w:rPr>
            </w:pPr>
            <w:r>
              <w:rPr>
                <w:rFonts w:ascii="Arial" w:hAnsi="Arial" w:cs="Arial"/>
                <w:color w:val="000000"/>
                <w:sz w:val="21"/>
                <w:szCs w:val="21"/>
              </w:rPr>
              <w:t xml:space="preserve">69,956 </w:t>
            </w:r>
          </w:p>
        </w:tc>
        <w:tc>
          <w:tcPr>
            <w:tcW w:w="1577" w:type="dxa"/>
            <w:gridSpan w:val="2"/>
            <w:tcBorders>
              <w:top w:val="nil"/>
              <w:left w:val="nil"/>
              <w:bottom w:val="nil"/>
              <w:right w:val="nil"/>
            </w:tcBorders>
            <w:vAlign w:val="center"/>
          </w:tcPr>
          <w:p w:rsidR="00F41A22" w:rsidRDefault="00F41A22" w:rsidP="0043636F">
            <w:pPr>
              <w:pStyle w:val="Style"/>
              <w:ind w:right="252"/>
              <w:jc w:val="right"/>
              <w:rPr>
                <w:rFonts w:ascii="Arial" w:hAnsi="Arial" w:cs="Arial"/>
                <w:color w:val="000000"/>
                <w:sz w:val="21"/>
                <w:szCs w:val="21"/>
              </w:rPr>
            </w:pPr>
            <w:r>
              <w:rPr>
                <w:rFonts w:ascii="Arial" w:hAnsi="Arial" w:cs="Arial"/>
                <w:color w:val="000000"/>
                <w:sz w:val="21"/>
                <w:szCs w:val="21"/>
              </w:rPr>
              <w:t xml:space="preserve">86,279 </w:t>
            </w:r>
          </w:p>
        </w:tc>
        <w:tc>
          <w:tcPr>
            <w:tcW w:w="1526" w:type="dxa"/>
            <w:tcBorders>
              <w:top w:val="nil"/>
              <w:left w:val="nil"/>
              <w:bottom w:val="nil"/>
              <w:right w:val="nil"/>
            </w:tcBorders>
            <w:vAlign w:val="center"/>
          </w:tcPr>
          <w:p w:rsidR="00F41A22" w:rsidRDefault="00F41A22" w:rsidP="0043636F">
            <w:pPr>
              <w:pStyle w:val="Style"/>
              <w:ind w:right="100"/>
              <w:jc w:val="right"/>
              <w:rPr>
                <w:rFonts w:ascii="Arial" w:hAnsi="Arial" w:cs="Arial"/>
                <w:color w:val="000000"/>
                <w:sz w:val="21"/>
                <w:szCs w:val="21"/>
              </w:rPr>
            </w:pPr>
            <w:r>
              <w:rPr>
                <w:rFonts w:ascii="Arial" w:hAnsi="Arial" w:cs="Arial"/>
                <w:color w:val="000000"/>
                <w:sz w:val="21"/>
                <w:szCs w:val="21"/>
              </w:rPr>
              <w:t xml:space="preserve">16,323 </w:t>
            </w:r>
          </w:p>
        </w:tc>
      </w:tr>
      <w:tr w:rsidR="00F41A22" w:rsidTr="0043636F">
        <w:trPr>
          <w:trHeight w:hRule="exact" w:val="511"/>
        </w:trPr>
        <w:tc>
          <w:tcPr>
            <w:tcW w:w="2463" w:type="dxa"/>
            <w:tcBorders>
              <w:top w:val="nil"/>
              <w:left w:val="nil"/>
              <w:bottom w:val="nil"/>
              <w:right w:val="nil"/>
            </w:tcBorders>
            <w:vAlign w:val="center"/>
          </w:tcPr>
          <w:p w:rsidR="00F41A22" w:rsidRDefault="00F41A22" w:rsidP="0043636F">
            <w:pPr>
              <w:pStyle w:val="Style"/>
              <w:rPr>
                <w:rFonts w:ascii="Arial" w:hAnsi="Arial" w:cs="Arial"/>
                <w:color w:val="000000"/>
                <w:sz w:val="21"/>
                <w:szCs w:val="21"/>
              </w:rPr>
            </w:pPr>
            <w:r>
              <w:rPr>
                <w:rFonts w:ascii="Arial" w:hAnsi="Arial" w:cs="Arial"/>
                <w:color w:val="000000"/>
                <w:sz w:val="21"/>
                <w:szCs w:val="21"/>
              </w:rPr>
              <w:t xml:space="preserve">Medium C&amp;I&gt; 25kW </w:t>
            </w:r>
          </w:p>
        </w:tc>
        <w:tc>
          <w:tcPr>
            <w:tcW w:w="1843" w:type="dxa"/>
            <w:gridSpan w:val="2"/>
            <w:tcBorders>
              <w:top w:val="nil"/>
              <w:left w:val="nil"/>
              <w:bottom w:val="nil"/>
              <w:right w:val="nil"/>
            </w:tcBorders>
            <w:vAlign w:val="center"/>
          </w:tcPr>
          <w:p w:rsidR="00F41A22" w:rsidRDefault="00F41A22" w:rsidP="0043636F">
            <w:pPr>
              <w:pStyle w:val="Style"/>
              <w:ind w:right="244"/>
              <w:jc w:val="right"/>
              <w:rPr>
                <w:rFonts w:ascii="Arial" w:hAnsi="Arial" w:cs="Arial"/>
                <w:color w:val="000000"/>
                <w:sz w:val="21"/>
                <w:szCs w:val="21"/>
              </w:rPr>
            </w:pPr>
            <w:r>
              <w:rPr>
                <w:rFonts w:ascii="Arial" w:hAnsi="Arial" w:cs="Arial"/>
                <w:color w:val="000000"/>
                <w:sz w:val="21"/>
                <w:szCs w:val="21"/>
              </w:rPr>
              <w:t xml:space="preserve">11,263 </w:t>
            </w:r>
          </w:p>
        </w:tc>
        <w:tc>
          <w:tcPr>
            <w:tcW w:w="1577" w:type="dxa"/>
            <w:gridSpan w:val="2"/>
            <w:tcBorders>
              <w:top w:val="nil"/>
              <w:left w:val="nil"/>
              <w:bottom w:val="nil"/>
              <w:right w:val="nil"/>
            </w:tcBorders>
            <w:vAlign w:val="center"/>
          </w:tcPr>
          <w:p w:rsidR="00F41A22" w:rsidRDefault="00F41A22" w:rsidP="0043636F">
            <w:pPr>
              <w:pStyle w:val="Style"/>
              <w:ind w:right="252"/>
              <w:jc w:val="right"/>
              <w:rPr>
                <w:rFonts w:ascii="Arial" w:hAnsi="Arial" w:cs="Arial"/>
                <w:color w:val="000000"/>
                <w:sz w:val="21"/>
                <w:szCs w:val="21"/>
              </w:rPr>
            </w:pPr>
            <w:r>
              <w:rPr>
                <w:rFonts w:ascii="Arial" w:hAnsi="Arial" w:cs="Arial"/>
                <w:color w:val="000000"/>
                <w:sz w:val="21"/>
                <w:szCs w:val="21"/>
              </w:rPr>
              <w:t xml:space="preserve">8,376 </w:t>
            </w:r>
          </w:p>
        </w:tc>
        <w:tc>
          <w:tcPr>
            <w:tcW w:w="1526" w:type="dxa"/>
            <w:tcBorders>
              <w:top w:val="nil"/>
              <w:left w:val="nil"/>
              <w:bottom w:val="nil"/>
              <w:right w:val="nil"/>
            </w:tcBorders>
            <w:vAlign w:val="center"/>
          </w:tcPr>
          <w:p w:rsidR="00F41A22" w:rsidRDefault="00F41A22" w:rsidP="0043636F">
            <w:pPr>
              <w:pStyle w:val="Style"/>
              <w:jc w:val="right"/>
              <w:rPr>
                <w:rFonts w:ascii="Arial" w:hAnsi="Arial" w:cs="Arial"/>
                <w:color w:val="000000"/>
                <w:sz w:val="21"/>
                <w:szCs w:val="21"/>
              </w:rPr>
            </w:pPr>
            <w:r>
              <w:rPr>
                <w:rFonts w:ascii="Arial" w:hAnsi="Arial" w:cs="Arial"/>
                <w:color w:val="000000"/>
                <w:sz w:val="21"/>
                <w:szCs w:val="21"/>
              </w:rPr>
              <w:t xml:space="preserve">(2,887) </w:t>
            </w:r>
          </w:p>
        </w:tc>
      </w:tr>
      <w:tr w:rsidR="00F41A22" w:rsidTr="0043636F">
        <w:trPr>
          <w:trHeight w:hRule="exact" w:val="511"/>
        </w:trPr>
        <w:tc>
          <w:tcPr>
            <w:tcW w:w="2463" w:type="dxa"/>
            <w:tcBorders>
              <w:top w:val="nil"/>
              <w:left w:val="nil"/>
              <w:bottom w:val="nil"/>
              <w:right w:val="nil"/>
            </w:tcBorders>
            <w:vAlign w:val="center"/>
          </w:tcPr>
          <w:p w:rsidR="00F41A22" w:rsidRDefault="00F41A22" w:rsidP="0043636F">
            <w:pPr>
              <w:pStyle w:val="Style"/>
              <w:rPr>
                <w:rFonts w:ascii="Arial" w:hAnsi="Arial" w:cs="Arial"/>
                <w:color w:val="000000"/>
                <w:sz w:val="21"/>
                <w:szCs w:val="21"/>
              </w:rPr>
            </w:pPr>
            <w:r>
              <w:rPr>
                <w:rFonts w:ascii="Arial" w:hAnsi="Arial" w:cs="Arial"/>
                <w:color w:val="000000"/>
                <w:sz w:val="21"/>
                <w:szCs w:val="21"/>
              </w:rPr>
              <w:t xml:space="preserve">Large C&amp;I </w:t>
            </w:r>
          </w:p>
        </w:tc>
        <w:tc>
          <w:tcPr>
            <w:tcW w:w="1843" w:type="dxa"/>
            <w:gridSpan w:val="2"/>
            <w:tcBorders>
              <w:top w:val="nil"/>
              <w:left w:val="nil"/>
              <w:bottom w:val="nil"/>
              <w:right w:val="nil"/>
            </w:tcBorders>
            <w:vAlign w:val="center"/>
          </w:tcPr>
          <w:p w:rsidR="00F41A22" w:rsidRDefault="00F41A22" w:rsidP="0043636F">
            <w:pPr>
              <w:pStyle w:val="Style"/>
              <w:ind w:right="244"/>
              <w:jc w:val="right"/>
              <w:rPr>
                <w:rFonts w:ascii="Arial" w:hAnsi="Arial" w:cs="Arial"/>
                <w:color w:val="000000"/>
                <w:sz w:val="21"/>
                <w:szCs w:val="21"/>
              </w:rPr>
            </w:pPr>
            <w:r>
              <w:rPr>
                <w:rFonts w:ascii="Arial" w:hAnsi="Arial" w:cs="Arial"/>
                <w:color w:val="000000"/>
                <w:sz w:val="21"/>
                <w:szCs w:val="21"/>
              </w:rPr>
              <w:t xml:space="preserve">2,231 </w:t>
            </w:r>
          </w:p>
        </w:tc>
        <w:tc>
          <w:tcPr>
            <w:tcW w:w="1577" w:type="dxa"/>
            <w:gridSpan w:val="2"/>
            <w:tcBorders>
              <w:top w:val="nil"/>
              <w:left w:val="nil"/>
              <w:bottom w:val="nil"/>
              <w:right w:val="nil"/>
            </w:tcBorders>
            <w:vAlign w:val="center"/>
          </w:tcPr>
          <w:p w:rsidR="00F41A22" w:rsidRDefault="00F41A22" w:rsidP="0043636F">
            <w:pPr>
              <w:pStyle w:val="Style"/>
              <w:ind w:right="252"/>
              <w:jc w:val="right"/>
              <w:rPr>
                <w:rFonts w:ascii="Arial" w:hAnsi="Arial" w:cs="Arial"/>
                <w:color w:val="000000"/>
                <w:sz w:val="21"/>
                <w:szCs w:val="21"/>
              </w:rPr>
            </w:pPr>
            <w:r>
              <w:rPr>
                <w:rFonts w:ascii="Arial" w:hAnsi="Arial" w:cs="Arial"/>
                <w:color w:val="000000"/>
                <w:sz w:val="21"/>
                <w:szCs w:val="21"/>
              </w:rPr>
              <w:t xml:space="preserve">729 </w:t>
            </w:r>
          </w:p>
        </w:tc>
        <w:tc>
          <w:tcPr>
            <w:tcW w:w="1526" w:type="dxa"/>
            <w:tcBorders>
              <w:top w:val="nil"/>
              <w:left w:val="nil"/>
              <w:bottom w:val="nil"/>
              <w:right w:val="nil"/>
            </w:tcBorders>
            <w:vAlign w:val="center"/>
          </w:tcPr>
          <w:p w:rsidR="00F41A22" w:rsidRDefault="00F41A22" w:rsidP="0043636F">
            <w:pPr>
              <w:pStyle w:val="Style"/>
              <w:jc w:val="right"/>
              <w:rPr>
                <w:rFonts w:ascii="Arial" w:hAnsi="Arial" w:cs="Arial"/>
                <w:color w:val="000000"/>
                <w:sz w:val="21"/>
                <w:szCs w:val="21"/>
              </w:rPr>
            </w:pPr>
            <w:r>
              <w:rPr>
                <w:rFonts w:ascii="Arial" w:hAnsi="Arial" w:cs="Arial"/>
                <w:color w:val="000000"/>
                <w:sz w:val="21"/>
                <w:szCs w:val="21"/>
              </w:rPr>
              <w:t xml:space="preserve">(1,502) </w:t>
            </w:r>
          </w:p>
        </w:tc>
      </w:tr>
      <w:tr w:rsidR="00F41A22" w:rsidTr="0043636F">
        <w:trPr>
          <w:trHeight w:hRule="exact" w:val="540"/>
        </w:trPr>
        <w:tc>
          <w:tcPr>
            <w:tcW w:w="2463" w:type="dxa"/>
            <w:tcBorders>
              <w:top w:val="nil"/>
              <w:left w:val="nil"/>
              <w:bottom w:val="nil"/>
              <w:right w:val="nil"/>
            </w:tcBorders>
            <w:vAlign w:val="center"/>
          </w:tcPr>
          <w:p w:rsidR="00F41A22" w:rsidRDefault="00F41A22" w:rsidP="0043636F">
            <w:pPr>
              <w:pStyle w:val="Style"/>
              <w:rPr>
                <w:rFonts w:ascii="Arial" w:hAnsi="Arial" w:cs="Arial"/>
                <w:color w:val="000000"/>
                <w:sz w:val="21"/>
                <w:szCs w:val="21"/>
              </w:rPr>
            </w:pPr>
            <w:r>
              <w:rPr>
                <w:rFonts w:ascii="Arial" w:hAnsi="Arial" w:cs="Arial"/>
                <w:color w:val="000000"/>
                <w:sz w:val="21"/>
                <w:szCs w:val="21"/>
              </w:rPr>
              <w:t xml:space="preserve">Lighting </w:t>
            </w:r>
          </w:p>
        </w:tc>
        <w:tc>
          <w:tcPr>
            <w:tcW w:w="1469"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374" w:type="dxa"/>
            <w:tcBorders>
              <w:top w:val="nil"/>
              <w:left w:val="nil"/>
              <w:bottom w:val="nil"/>
              <w:right w:val="nil"/>
            </w:tcBorders>
            <w:vAlign w:val="center"/>
          </w:tcPr>
          <w:p w:rsidR="00F41A22" w:rsidRDefault="00F41A22" w:rsidP="0043636F">
            <w:pPr>
              <w:pStyle w:val="Style"/>
              <w:ind w:left="14"/>
              <w:rPr>
                <w:rFonts w:ascii="Arial" w:hAnsi="Arial" w:cs="Arial"/>
                <w:color w:val="000000"/>
                <w:sz w:val="21"/>
                <w:szCs w:val="21"/>
              </w:rPr>
            </w:pPr>
            <w:r>
              <w:rPr>
                <w:rFonts w:ascii="Arial" w:hAnsi="Arial" w:cs="Arial"/>
                <w:color w:val="000000"/>
                <w:sz w:val="21"/>
                <w:szCs w:val="21"/>
              </w:rPr>
              <w:t xml:space="preserve">0 </w:t>
            </w:r>
          </w:p>
        </w:tc>
        <w:tc>
          <w:tcPr>
            <w:tcW w:w="1202" w:type="dxa"/>
            <w:tcBorders>
              <w:top w:val="nil"/>
              <w:left w:val="nil"/>
              <w:bottom w:val="nil"/>
              <w:right w:val="nil"/>
            </w:tcBorders>
            <w:vAlign w:val="center"/>
          </w:tcPr>
          <w:p w:rsidR="00F41A22" w:rsidRDefault="00F41A22" w:rsidP="0043636F">
            <w:pPr>
              <w:pStyle w:val="Style"/>
              <w:jc w:val="center"/>
              <w:rPr>
                <w:rFonts w:ascii="Arial" w:hAnsi="Arial" w:cs="Arial"/>
                <w:color w:val="000000"/>
                <w:sz w:val="21"/>
                <w:szCs w:val="21"/>
              </w:rPr>
            </w:pPr>
          </w:p>
        </w:tc>
        <w:tc>
          <w:tcPr>
            <w:tcW w:w="375" w:type="dxa"/>
            <w:tcBorders>
              <w:top w:val="nil"/>
              <w:left w:val="nil"/>
              <w:bottom w:val="nil"/>
              <w:right w:val="nil"/>
            </w:tcBorders>
            <w:vAlign w:val="center"/>
          </w:tcPr>
          <w:p w:rsidR="00F41A22" w:rsidRDefault="00F41A22" w:rsidP="0043636F">
            <w:pPr>
              <w:pStyle w:val="Style"/>
              <w:ind w:left="14"/>
              <w:rPr>
                <w:rFonts w:ascii="Arial" w:hAnsi="Arial" w:cs="Arial"/>
                <w:color w:val="000000"/>
                <w:sz w:val="21"/>
                <w:szCs w:val="21"/>
              </w:rPr>
            </w:pPr>
            <w:r>
              <w:rPr>
                <w:rFonts w:ascii="Arial" w:hAnsi="Arial" w:cs="Arial"/>
                <w:color w:val="000000"/>
                <w:sz w:val="21"/>
                <w:szCs w:val="21"/>
              </w:rPr>
              <w:t xml:space="preserve">0 </w:t>
            </w:r>
          </w:p>
        </w:tc>
        <w:tc>
          <w:tcPr>
            <w:tcW w:w="1526" w:type="dxa"/>
            <w:tcBorders>
              <w:top w:val="nil"/>
              <w:left w:val="nil"/>
              <w:bottom w:val="nil"/>
              <w:right w:val="nil"/>
            </w:tcBorders>
            <w:vAlign w:val="center"/>
          </w:tcPr>
          <w:p w:rsidR="00F41A22" w:rsidRDefault="00F41A22" w:rsidP="0043636F">
            <w:pPr>
              <w:pStyle w:val="Style"/>
              <w:ind w:right="100"/>
              <w:jc w:val="right"/>
              <w:rPr>
                <w:rFonts w:ascii="Arial" w:hAnsi="Arial" w:cs="Arial"/>
                <w:color w:val="000000"/>
                <w:sz w:val="21"/>
                <w:szCs w:val="21"/>
              </w:rPr>
            </w:pPr>
            <w:r>
              <w:rPr>
                <w:rFonts w:ascii="Arial" w:hAnsi="Arial" w:cs="Arial"/>
                <w:color w:val="000000"/>
                <w:sz w:val="21"/>
                <w:szCs w:val="21"/>
              </w:rPr>
              <w:t xml:space="preserve">0 </w:t>
            </w:r>
          </w:p>
        </w:tc>
      </w:tr>
      <w:tr w:rsidR="00F41A22" w:rsidTr="0043636F">
        <w:trPr>
          <w:trHeight w:hRule="exact" w:val="360"/>
        </w:trPr>
        <w:tc>
          <w:tcPr>
            <w:tcW w:w="2463" w:type="dxa"/>
            <w:tcBorders>
              <w:top w:val="nil"/>
              <w:left w:val="nil"/>
              <w:bottom w:val="nil"/>
              <w:right w:val="nil"/>
            </w:tcBorders>
            <w:vAlign w:val="center"/>
          </w:tcPr>
          <w:p w:rsidR="00F41A22" w:rsidRDefault="00F41A22" w:rsidP="0043636F">
            <w:pPr>
              <w:pStyle w:val="Style"/>
              <w:rPr>
                <w:rFonts w:ascii="Arial" w:hAnsi="Arial" w:cs="Arial"/>
                <w:color w:val="000000"/>
                <w:sz w:val="21"/>
                <w:szCs w:val="21"/>
              </w:rPr>
            </w:pPr>
            <w:r>
              <w:rPr>
                <w:rFonts w:ascii="Arial" w:hAnsi="Arial" w:cs="Arial"/>
                <w:color w:val="000000"/>
                <w:sz w:val="21"/>
                <w:szCs w:val="21"/>
              </w:rPr>
              <w:t xml:space="preserve">Unmetered </w:t>
            </w:r>
          </w:p>
        </w:tc>
        <w:tc>
          <w:tcPr>
            <w:tcW w:w="1469" w:type="dxa"/>
            <w:tcBorders>
              <w:top w:val="nil"/>
              <w:left w:val="nil"/>
              <w:bottom w:val="single" w:sz="4" w:space="0" w:color="auto"/>
              <w:right w:val="nil"/>
            </w:tcBorders>
            <w:vAlign w:val="center"/>
          </w:tcPr>
          <w:p w:rsidR="00F41A22" w:rsidRDefault="00F41A22" w:rsidP="0043636F">
            <w:pPr>
              <w:pStyle w:val="Style"/>
              <w:jc w:val="center"/>
              <w:rPr>
                <w:rFonts w:ascii="Arial" w:hAnsi="Arial" w:cs="Arial"/>
                <w:color w:val="000000"/>
                <w:sz w:val="21"/>
                <w:szCs w:val="21"/>
              </w:rPr>
            </w:pPr>
          </w:p>
        </w:tc>
        <w:tc>
          <w:tcPr>
            <w:tcW w:w="374" w:type="dxa"/>
            <w:tcBorders>
              <w:top w:val="nil"/>
              <w:left w:val="nil"/>
              <w:bottom w:val="nil"/>
              <w:right w:val="nil"/>
            </w:tcBorders>
            <w:vAlign w:val="center"/>
          </w:tcPr>
          <w:p w:rsidR="00F41A22" w:rsidRDefault="00F41A22" w:rsidP="0043636F">
            <w:pPr>
              <w:pStyle w:val="Style"/>
              <w:ind w:left="14"/>
              <w:rPr>
                <w:rFonts w:ascii="Arial" w:hAnsi="Arial" w:cs="Arial"/>
                <w:color w:val="000000"/>
                <w:sz w:val="21"/>
                <w:szCs w:val="21"/>
              </w:rPr>
            </w:pPr>
            <w:r>
              <w:rPr>
                <w:rFonts w:ascii="Arial" w:hAnsi="Arial" w:cs="Arial"/>
                <w:color w:val="000000"/>
                <w:sz w:val="21"/>
                <w:szCs w:val="21"/>
              </w:rPr>
              <w:t xml:space="preserve">0 </w:t>
            </w:r>
          </w:p>
        </w:tc>
        <w:tc>
          <w:tcPr>
            <w:tcW w:w="1202" w:type="dxa"/>
            <w:tcBorders>
              <w:top w:val="nil"/>
              <w:left w:val="nil"/>
              <w:bottom w:val="single" w:sz="4" w:space="0" w:color="auto"/>
              <w:right w:val="nil"/>
            </w:tcBorders>
            <w:vAlign w:val="center"/>
          </w:tcPr>
          <w:p w:rsidR="00F41A22" w:rsidRDefault="00F41A22" w:rsidP="0043636F">
            <w:pPr>
              <w:pStyle w:val="Style"/>
              <w:jc w:val="center"/>
              <w:rPr>
                <w:rFonts w:ascii="Arial" w:hAnsi="Arial" w:cs="Arial"/>
                <w:color w:val="000000"/>
                <w:sz w:val="21"/>
                <w:szCs w:val="21"/>
              </w:rPr>
            </w:pPr>
          </w:p>
        </w:tc>
        <w:tc>
          <w:tcPr>
            <w:tcW w:w="375" w:type="dxa"/>
            <w:tcBorders>
              <w:top w:val="nil"/>
              <w:left w:val="nil"/>
              <w:bottom w:val="nil"/>
              <w:right w:val="nil"/>
            </w:tcBorders>
            <w:vAlign w:val="center"/>
          </w:tcPr>
          <w:p w:rsidR="00F41A22" w:rsidRDefault="00F41A22" w:rsidP="0043636F">
            <w:pPr>
              <w:pStyle w:val="Style"/>
              <w:ind w:left="14"/>
              <w:rPr>
                <w:rFonts w:ascii="Arial" w:hAnsi="Arial" w:cs="Arial"/>
                <w:color w:val="000000"/>
                <w:sz w:val="21"/>
                <w:szCs w:val="21"/>
              </w:rPr>
            </w:pPr>
            <w:r>
              <w:rPr>
                <w:rFonts w:ascii="Arial" w:hAnsi="Arial" w:cs="Arial"/>
                <w:color w:val="000000"/>
                <w:sz w:val="21"/>
                <w:szCs w:val="21"/>
              </w:rPr>
              <w:t xml:space="preserve">0 </w:t>
            </w:r>
          </w:p>
        </w:tc>
        <w:tc>
          <w:tcPr>
            <w:tcW w:w="1526" w:type="dxa"/>
            <w:tcBorders>
              <w:top w:val="nil"/>
              <w:left w:val="nil"/>
              <w:bottom w:val="single" w:sz="4" w:space="0" w:color="auto"/>
              <w:right w:val="nil"/>
            </w:tcBorders>
            <w:vAlign w:val="center"/>
          </w:tcPr>
          <w:p w:rsidR="00F41A22" w:rsidRDefault="00F41A22" w:rsidP="0043636F">
            <w:pPr>
              <w:pStyle w:val="Style"/>
              <w:ind w:right="100"/>
              <w:jc w:val="right"/>
              <w:rPr>
                <w:rFonts w:ascii="Arial" w:hAnsi="Arial" w:cs="Arial"/>
                <w:color w:val="000000"/>
                <w:sz w:val="21"/>
                <w:szCs w:val="21"/>
              </w:rPr>
            </w:pPr>
            <w:r>
              <w:rPr>
                <w:rFonts w:ascii="Arial" w:hAnsi="Arial" w:cs="Arial"/>
                <w:color w:val="000000"/>
                <w:sz w:val="21"/>
                <w:szCs w:val="21"/>
              </w:rPr>
              <w:t xml:space="preserve">0 </w:t>
            </w:r>
          </w:p>
        </w:tc>
      </w:tr>
      <w:tr w:rsidR="00F41A22" w:rsidTr="0043636F">
        <w:trPr>
          <w:trHeight w:hRule="exact" w:val="540"/>
        </w:trPr>
        <w:tc>
          <w:tcPr>
            <w:tcW w:w="2463" w:type="dxa"/>
            <w:tcBorders>
              <w:top w:val="nil"/>
              <w:left w:val="nil"/>
              <w:bottom w:val="nil"/>
              <w:right w:val="nil"/>
            </w:tcBorders>
            <w:vAlign w:val="center"/>
          </w:tcPr>
          <w:p w:rsidR="00F41A22" w:rsidRDefault="00F41A22" w:rsidP="0043636F">
            <w:pPr>
              <w:pStyle w:val="Style"/>
              <w:rPr>
                <w:rFonts w:ascii="Arial" w:hAnsi="Arial" w:cs="Arial"/>
                <w:color w:val="000000"/>
                <w:sz w:val="21"/>
                <w:szCs w:val="21"/>
              </w:rPr>
            </w:pPr>
            <w:r>
              <w:rPr>
                <w:rFonts w:ascii="Arial" w:hAnsi="Arial" w:cs="Arial"/>
                <w:color w:val="000000"/>
                <w:sz w:val="21"/>
                <w:szCs w:val="21"/>
              </w:rPr>
              <w:t xml:space="preserve">Total </w:t>
            </w:r>
          </w:p>
        </w:tc>
        <w:tc>
          <w:tcPr>
            <w:tcW w:w="1843" w:type="dxa"/>
            <w:gridSpan w:val="2"/>
            <w:tcBorders>
              <w:top w:val="single" w:sz="4" w:space="0" w:color="auto"/>
              <w:left w:val="nil"/>
              <w:bottom w:val="single" w:sz="4" w:space="0" w:color="auto"/>
              <w:right w:val="nil"/>
            </w:tcBorders>
            <w:vAlign w:val="center"/>
          </w:tcPr>
          <w:p w:rsidR="00F41A22" w:rsidRDefault="00F41A22" w:rsidP="0043636F">
            <w:pPr>
              <w:pStyle w:val="Style"/>
              <w:ind w:right="244"/>
              <w:jc w:val="right"/>
              <w:rPr>
                <w:rFonts w:ascii="Arial" w:hAnsi="Arial" w:cs="Arial"/>
                <w:color w:val="000000"/>
                <w:sz w:val="21"/>
                <w:szCs w:val="21"/>
              </w:rPr>
            </w:pPr>
            <w:r>
              <w:rPr>
                <w:rFonts w:ascii="Arial" w:hAnsi="Arial" w:cs="Arial"/>
                <w:color w:val="000000"/>
                <w:sz w:val="21"/>
                <w:szCs w:val="21"/>
              </w:rPr>
              <w:t xml:space="preserve">$1373288 </w:t>
            </w:r>
          </w:p>
        </w:tc>
        <w:tc>
          <w:tcPr>
            <w:tcW w:w="1577" w:type="dxa"/>
            <w:gridSpan w:val="2"/>
            <w:tcBorders>
              <w:top w:val="single" w:sz="4" w:space="0" w:color="auto"/>
              <w:left w:val="nil"/>
              <w:bottom w:val="single" w:sz="4" w:space="0" w:color="auto"/>
              <w:right w:val="nil"/>
            </w:tcBorders>
            <w:vAlign w:val="center"/>
          </w:tcPr>
          <w:p w:rsidR="00F41A22" w:rsidRDefault="00F41A22" w:rsidP="0043636F">
            <w:pPr>
              <w:pStyle w:val="Style"/>
              <w:ind w:right="252"/>
              <w:jc w:val="right"/>
              <w:rPr>
                <w:rFonts w:ascii="Arial" w:hAnsi="Arial" w:cs="Arial"/>
                <w:color w:val="000000"/>
                <w:sz w:val="21"/>
                <w:szCs w:val="21"/>
              </w:rPr>
            </w:pPr>
            <w:r>
              <w:rPr>
                <w:rFonts w:ascii="Arial" w:hAnsi="Arial" w:cs="Arial"/>
                <w:color w:val="000000"/>
                <w:sz w:val="21"/>
                <w:szCs w:val="21"/>
              </w:rPr>
              <w:t xml:space="preserve">$1 255871 </w:t>
            </w:r>
          </w:p>
        </w:tc>
        <w:tc>
          <w:tcPr>
            <w:tcW w:w="1526" w:type="dxa"/>
            <w:tcBorders>
              <w:top w:val="single" w:sz="4" w:space="0" w:color="auto"/>
              <w:left w:val="nil"/>
              <w:bottom w:val="single" w:sz="4" w:space="0" w:color="auto"/>
              <w:right w:val="nil"/>
            </w:tcBorders>
            <w:vAlign w:val="center"/>
          </w:tcPr>
          <w:p w:rsidR="00F41A22" w:rsidRDefault="00F41A22" w:rsidP="0043636F">
            <w:pPr>
              <w:pStyle w:val="Style"/>
              <w:jc w:val="right"/>
              <w:rPr>
                <w:rFonts w:ascii="Arial" w:hAnsi="Arial" w:cs="Arial"/>
                <w:color w:val="000000"/>
                <w:sz w:val="21"/>
                <w:szCs w:val="21"/>
              </w:rPr>
            </w:pPr>
            <w:r>
              <w:rPr>
                <w:rFonts w:ascii="Arial" w:hAnsi="Arial" w:cs="Arial"/>
                <w:color w:val="000000"/>
                <w:sz w:val="21"/>
                <w:szCs w:val="21"/>
              </w:rPr>
              <w:t xml:space="preserve">$(117417) </w:t>
            </w:r>
          </w:p>
        </w:tc>
      </w:tr>
    </w:tbl>
    <w:p w:rsidR="00F41A22" w:rsidRDefault="00F41A22" w:rsidP="00F41A22">
      <w:pPr>
        <w:pStyle w:val="Style"/>
        <w:spacing w:before="986" w:line="230" w:lineRule="exact"/>
        <w:ind w:right="856"/>
        <w:rPr>
          <w:rFonts w:ascii="Arial" w:hAnsi="Arial" w:cs="Arial"/>
          <w:color w:val="000000"/>
          <w:sz w:val="21"/>
          <w:szCs w:val="21"/>
        </w:rPr>
      </w:pPr>
      <w:r>
        <w:rPr>
          <w:rFonts w:ascii="Arial" w:hAnsi="Arial" w:cs="Arial"/>
          <w:color w:val="000000"/>
          <w:sz w:val="21"/>
          <w:szCs w:val="21"/>
        </w:rPr>
        <w:t xml:space="preserve">Arithmetic differences are due to rounding. </w:t>
      </w:r>
    </w:p>
    <w:p w:rsidR="00F41A22" w:rsidRDefault="00F41A22" w:rsidP="00F41A22">
      <w:pPr>
        <w:pStyle w:val="Style"/>
        <w:rPr>
          <w:rFonts w:ascii="Arial" w:hAnsi="Arial" w:cs="Arial"/>
          <w:sz w:val="21"/>
          <w:szCs w:val="21"/>
        </w:rPr>
        <w:sectPr w:rsidR="00F41A22">
          <w:pgSz w:w="12241" w:h="15842"/>
          <w:pgMar w:top="2188" w:right="1679" w:bottom="360" w:left="1418" w:header="720" w:footer="720" w:gutter="0"/>
          <w:cols w:space="720"/>
          <w:noEndnote/>
        </w:sectPr>
      </w:pPr>
    </w:p>
    <w:p w:rsidR="00F41A22" w:rsidRDefault="00F41A22" w:rsidP="00F41A22">
      <w:pPr>
        <w:pStyle w:val="Style"/>
        <w:spacing w:line="302" w:lineRule="exact"/>
        <w:ind w:left="2448" w:right="2425"/>
        <w:jc w:val="center"/>
        <w:rPr>
          <w:b/>
          <w:bCs/>
          <w:color w:val="000000"/>
        </w:rPr>
      </w:pPr>
      <w:r>
        <w:rPr>
          <w:b/>
          <w:bCs/>
          <w:color w:val="000000"/>
        </w:rPr>
        <w:t xml:space="preserve">Verification </w:t>
      </w:r>
      <w:r>
        <w:rPr>
          <w:color w:val="000000"/>
          <w:sz w:val="25"/>
          <w:szCs w:val="25"/>
        </w:rPr>
        <w:t xml:space="preserve">of Keith </w:t>
      </w:r>
      <w:r>
        <w:rPr>
          <w:b/>
          <w:bCs/>
          <w:color w:val="000000"/>
        </w:rPr>
        <w:t xml:space="preserve">Mather, Auditor Bureau of Audits Pennsylvania Public Utility Commission </w:t>
      </w:r>
    </w:p>
    <w:p w:rsidR="00F41A22" w:rsidRDefault="00F41A22" w:rsidP="00F41A22">
      <w:pPr>
        <w:pStyle w:val="Style"/>
        <w:spacing w:before="446" w:line="309" w:lineRule="exact"/>
        <w:ind w:left="15" w:firstLine="187"/>
        <w:rPr>
          <w:b/>
          <w:bCs/>
          <w:color w:val="000000"/>
        </w:rPr>
      </w:pPr>
      <w:r>
        <w:rPr>
          <w:color w:val="000000"/>
          <w:sz w:val="25"/>
          <w:szCs w:val="25"/>
        </w:rPr>
        <w:t xml:space="preserve">I hereby verify that the foregoing attached </w:t>
      </w:r>
      <w:proofErr w:type="gramStart"/>
      <w:r>
        <w:rPr>
          <w:color w:val="000000"/>
          <w:sz w:val="25"/>
          <w:szCs w:val="25"/>
        </w:rPr>
        <w:t>I&amp;E</w:t>
      </w:r>
      <w:proofErr w:type="gramEnd"/>
      <w:r>
        <w:rPr>
          <w:color w:val="000000"/>
          <w:sz w:val="25"/>
          <w:szCs w:val="25"/>
        </w:rPr>
        <w:t xml:space="preserve"> Exhibit No. I was prepared by me or under my supervision following my examination of the document(s) filed regarding </w:t>
      </w:r>
      <w:r>
        <w:rPr>
          <w:b/>
          <w:bCs/>
          <w:color w:val="000000"/>
        </w:rPr>
        <w:t>Duquesne Light Company's Customer Education Surcharge for the reconciliation period of January 1</w:t>
      </w:r>
      <w:proofErr w:type="gramStart"/>
      <w:r>
        <w:rPr>
          <w:b/>
          <w:bCs/>
          <w:color w:val="000000"/>
        </w:rPr>
        <w:t>,2012</w:t>
      </w:r>
      <w:proofErr w:type="gramEnd"/>
      <w:r>
        <w:rPr>
          <w:b/>
          <w:bCs/>
          <w:color w:val="000000"/>
        </w:rPr>
        <w:t xml:space="preserve"> to December 31, 2012. </w:t>
      </w:r>
      <w:r>
        <w:rPr>
          <w:color w:val="000000"/>
          <w:sz w:val="25"/>
          <w:szCs w:val="25"/>
        </w:rPr>
        <w:t xml:space="preserve">Said filing is docketed at </w:t>
      </w:r>
      <w:r>
        <w:rPr>
          <w:b/>
          <w:bCs/>
          <w:color w:val="000000"/>
        </w:rPr>
        <w:t xml:space="preserve">M-2013- 2347304. </w:t>
      </w:r>
    </w:p>
    <w:p w:rsidR="00F41A22" w:rsidRDefault="00F41A22" w:rsidP="00F41A22">
      <w:pPr>
        <w:pStyle w:val="Style"/>
        <w:spacing w:before="295" w:line="309" w:lineRule="exact"/>
        <w:ind w:left="8" w:right="194" w:firstLine="187"/>
        <w:rPr>
          <w:color w:val="000000"/>
          <w:sz w:val="25"/>
          <w:szCs w:val="25"/>
        </w:rPr>
      </w:pPr>
      <w:r>
        <w:rPr>
          <w:color w:val="000000"/>
          <w:sz w:val="25"/>
          <w:szCs w:val="25"/>
        </w:rPr>
        <w:t xml:space="preserve">The facts and figures depicted in </w:t>
      </w:r>
      <w:proofErr w:type="gramStart"/>
      <w:r>
        <w:rPr>
          <w:color w:val="000000"/>
          <w:sz w:val="25"/>
          <w:szCs w:val="25"/>
        </w:rPr>
        <w:t>I&amp;E</w:t>
      </w:r>
      <w:proofErr w:type="gramEnd"/>
      <w:r>
        <w:rPr>
          <w:color w:val="000000"/>
          <w:sz w:val="25"/>
          <w:szCs w:val="25"/>
        </w:rPr>
        <w:t xml:space="preserve"> Exhibit No. I </w:t>
      </w:r>
      <w:proofErr w:type="gramStart"/>
      <w:r>
        <w:rPr>
          <w:color w:val="000000"/>
          <w:sz w:val="25"/>
          <w:szCs w:val="25"/>
        </w:rPr>
        <w:t>are</w:t>
      </w:r>
      <w:proofErr w:type="gramEnd"/>
      <w:r>
        <w:rPr>
          <w:color w:val="000000"/>
          <w:sz w:val="25"/>
          <w:szCs w:val="25"/>
        </w:rPr>
        <w:t xml:space="preserve"> true and correct summaries of the information contained in said filed document(s). </w:t>
      </w:r>
    </w:p>
    <w:p w:rsidR="00F41A22" w:rsidRDefault="00F41A22" w:rsidP="00F41A22">
      <w:pPr>
        <w:pStyle w:val="Style"/>
        <w:spacing w:before="302" w:line="302" w:lineRule="exact"/>
        <w:ind w:left="15" w:right="294" w:firstLine="201"/>
        <w:jc w:val="both"/>
        <w:rPr>
          <w:color w:val="000000"/>
          <w:sz w:val="25"/>
          <w:szCs w:val="25"/>
        </w:rPr>
      </w:pPr>
      <w:r>
        <w:rPr>
          <w:color w:val="000000"/>
          <w:sz w:val="25"/>
          <w:szCs w:val="25"/>
        </w:rPr>
        <w:t xml:space="preserve">Said examination was conducted in the normal course of business while performing my duties as an Auditor with the Pennsylvania Public Utility Commission's Bureau of Audits. </w:t>
      </w:r>
    </w:p>
    <w:p w:rsidR="00F41A22" w:rsidRDefault="00F41A22" w:rsidP="00F41A22">
      <w:pPr>
        <w:pStyle w:val="Style"/>
        <w:spacing w:before="295" w:line="309" w:lineRule="exact"/>
        <w:ind w:left="15" w:right="482" w:firstLine="187"/>
        <w:rPr>
          <w:color w:val="000000"/>
          <w:sz w:val="25"/>
          <w:szCs w:val="25"/>
        </w:rPr>
      </w:pPr>
      <w:r>
        <w:rPr>
          <w:color w:val="000000"/>
          <w:sz w:val="25"/>
          <w:szCs w:val="25"/>
        </w:rPr>
        <w:t xml:space="preserve">I understand that the statements herein are made subject to the penalties of 18 Pa. C.S. §4904 (relating to unsworn falsification to authorities). </w:t>
      </w:r>
    </w:p>
    <w:p w:rsidR="00F41A22" w:rsidRDefault="00F41A22" w:rsidP="00F41A22">
      <w:pPr>
        <w:pStyle w:val="Style"/>
        <w:spacing w:before="266" w:line="309" w:lineRule="exact"/>
        <w:ind w:right="295" w:firstLine="187"/>
        <w:rPr>
          <w:color w:val="000000"/>
          <w:sz w:val="25"/>
          <w:szCs w:val="25"/>
        </w:rPr>
      </w:pPr>
      <w:r>
        <w:rPr>
          <w:color w:val="000000"/>
          <w:sz w:val="25"/>
          <w:szCs w:val="25"/>
        </w:rPr>
        <w:t>I further attest that I will be available to participate at the hearing on March 11</w:t>
      </w:r>
      <w:proofErr w:type="gramStart"/>
      <w:r>
        <w:rPr>
          <w:color w:val="000000"/>
          <w:sz w:val="25"/>
          <w:szCs w:val="25"/>
        </w:rPr>
        <w:t>,2013</w:t>
      </w:r>
      <w:proofErr w:type="gramEnd"/>
      <w:r>
        <w:rPr>
          <w:color w:val="000000"/>
          <w:sz w:val="25"/>
          <w:szCs w:val="25"/>
        </w:rPr>
        <w:t xml:space="preserve">, to present testimony and evidence in support of this representation, if necessary. </w:t>
      </w:r>
    </w:p>
    <w:p w:rsidR="00F41A22" w:rsidRDefault="00F41A22" w:rsidP="00F41A22">
      <w:pPr>
        <w:pStyle w:val="Style"/>
        <w:tabs>
          <w:tab w:val="left" w:pos="15"/>
          <w:tab w:val="left" w:pos="5192"/>
          <w:tab w:val="left" w:leader="underscore" w:pos="7870"/>
        </w:tabs>
        <w:spacing w:before="252" w:line="309" w:lineRule="exact"/>
        <w:ind w:right="496"/>
        <w:rPr>
          <w:color w:val="000000"/>
          <w:sz w:val="25"/>
          <w:szCs w:val="25"/>
        </w:rPr>
      </w:pPr>
      <w:r>
        <w:rPr>
          <w:sz w:val="25"/>
          <w:szCs w:val="25"/>
        </w:rPr>
        <w:tab/>
      </w:r>
      <w:proofErr w:type="gramStart"/>
      <w:r>
        <w:rPr>
          <w:color w:val="000000"/>
          <w:sz w:val="25"/>
          <w:szCs w:val="25"/>
        </w:rPr>
        <w:t xml:space="preserve">Signed in Harrisburg, Pennsylvania, this </w:t>
      </w:r>
      <w:r w:rsidRPr="00F41A22">
        <w:rPr>
          <w:color w:val="000000"/>
          <w:u w:val="single"/>
        </w:rPr>
        <w:t>5</w:t>
      </w:r>
      <w:r w:rsidRPr="00F41A22">
        <w:rPr>
          <w:color w:val="000000"/>
          <w:u w:val="single"/>
          <w:vertAlign w:val="superscript"/>
        </w:rPr>
        <w:t>th</w:t>
      </w:r>
      <w:r>
        <w:rPr>
          <w:color w:val="000000"/>
          <w:sz w:val="25"/>
          <w:szCs w:val="25"/>
        </w:rPr>
        <w:t xml:space="preserve"> day of </w:t>
      </w:r>
      <w:r w:rsidRPr="00F41A22">
        <w:rPr>
          <w:color w:val="000000"/>
          <w:u w:val="single"/>
        </w:rPr>
        <w:t>March</w:t>
      </w:r>
      <w:r>
        <w:rPr>
          <w:color w:val="000000"/>
          <w:sz w:val="25"/>
          <w:szCs w:val="25"/>
        </w:rPr>
        <w:t>, 2013.</w:t>
      </w:r>
      <w:proofErr w:type="gramEnd"/>
      <w:r>
        <w:rPr>
          <w:color w:val="000000"/>
          <w:sz w:val="25"/>
          <w:szCs w:val="25"/>
        </w:rPr>
        <w:t xml:space="preserve"> </w:t>
      </w:r>
    </w:p>
    <w:p w:rsidR="00F41A22" w:rsidRDefault="00F41A22" w:rsidP="00F41A22">
      <w:pPr>
        <w:pStyle w:val="Style"/>
        <w:spacing w:before="720" w:line="1" w:lineRule="exact"/>
        <w:rPr>
          <w:sz w:val="25"/>
          <w:szCs w:val="25"/>
        </w:rPr>
      </w:pPr>
    </w:p>
    <w:p w:rsidR="00F41A22" w:rsidRDefault="00F41A22" w:rsidP="00F41A22">
      <w:pPr>
        <w:pStyle w:val="Style"/>
        <w:ind w:left="4292"/>
        <w:rPr>
          <w:sz w:val="25"/>
          <w:szCs w:val="25"/>
        </w:rPr>
      </w:pPr>
      <w:r>
        <w:rPr>
          <w:noProof/>
          <w:sz w:val="25"/>
          <w:szCs w:val="25"/>
        </w:rPr>
        <w:drawing>
          <wp:inline distT="0" distB="0" distL="0" distR="0">
            <wp:extent cx="9525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pic:spPr>
                </pic:pic>
              </a:graphicData>
            </a:graphic>
          </wp:inline>
        </w:drawing>
      </w:r>
    </w:p>
    <w:p w:rsidR="00F41A22" w:rsidRDefault="00F41A22" w:rsidP="00F41A22">
      <w:pPr>
        <w:pStyle w:val="Style"/>
        <w:spacing w:before="172" w:line="309" w:lineRule="exact"/>
        <w:ind w:left="5335" w:right="2447"/>
        <w:jc w:val="center"/>
        <w:rPr>
          <w:b/>
          <w:bCs/>
          <w:color w:val="000000"/>
        </w:rPr>
      </w:pPr>
      <w:r>
        <w:rPr>
          <w:b/>
          <w:bCs/>
          <w:color w:val="000000"/>
        </w:rPr>
        <w:t xml:space="preserve">Keith Mather Auditor </w:t>
      </w:r>
    </w:p>
    <w:p w:rsidR="00F41A22" w:rsidRDefault="00F41A22" w:rsidP="00F41A22">
      <w:pPr>
        <w:pStyle w:val="Style"/>
      </w:pPr>
    </w:p>
    <w:p w:rsidR="002E071D" w:rsidRDefault="002E071D" w:rsidP="002E071D"/>
    <w:p w:rsidR="002E071D" w:rsidRDefault="002E071D" w:rsidP="002E071D"/>
    <w:p w:rsidR="00C04960" w:rsidRDefault="00C04960" w:rsidP="002E071D"/>
    <w:sectPr w:rsidR="00C04960" w:rsidSect="00CC136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AA0" w:rsidRDefault="00FC4AA0" w:rsidP="00AF3B7B">
      <w:r>
        <w:separator/>
      </w:r>
    </w:p>
  </w:endnote>
  <w:endnote w:type="continuationSeparator" w:id="0">
    <w:p w:rsidR="00FC4AA0" w:rsidRDefault="00FC4AA0" w:rsidP="00AF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80188816"/>
      <w:docPartObj>
        <w:docPartGallery w:val="Page Numbers (Bottom of Page)"/>
        <w:docPartUnique/>
      </w:docPartObj>
    </w:sdtPr>
    <w:sdtEndPr>
      <w:rPr>
        <w:noProof/>
      </w:rPr>
    </w:sdtEndPr>
    <w:sdtContent>
      <w:p w:rsidR="00CC1367" w:rsidRPr="00A723AC" w:rsidRDefault="00AF3B7B" w:rsidP="00A723AC">
        <w:pPr>
          <w:pStyle w:val="Footer"/>
          <w:jc w:val="center"/>
          <w:rPr>
            <w:sz w:val="20"/>
            <w:szCs w:val="20"/>
          </w:rPr>
        </w:pPr>
        <w:r w:rsidRPr="00A723AC">
          <w:rPr>
            <w:sz w:val="20"/>
            <w:szCs w:val="20"/>
          </w:rPr>
          <w:fldChar w:fldCharType="begin"/>
        </w:r>
        <w:r w:rsidRPr="00A723AC">
          <w:rPr>
            <w:sz w:val="20"/>
            <w:szCs w:val="20"/>
          </w:rPr>
          <w:instrText xml:space="preserve"> PAGE   \* MERGEFORMAT </w:instrText>
        </w:r>
        <w:r w:rsidRPr="00A723AC">
          <w:rPr>
            <w:sz w:val="20"/>
            <w:szCs w:val="20"/>
          </w:rPr>
          <w:fldChar w:fldCharType="separate"/>
        </w:r>
        <w:r w:rsidR="009A3A0D">
          <w:rPr>
            <w:noProof/>
            <w:sz w:val="20"/>
            <w:szCs w:val="20"/>
          </w:rPr>
          <w:t>6</w:t>
        </w:r>
        <w:r w:rsidRPr="00A723A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AA0" w:rsidRDefault="00FC4AA0" w:rsidP="00AF3B7B">
      <w:r>
        <w:separator/>
      </w:r>
    </w:p>
  </w:footnote>
  <w:footnote w:type="continuationSeparator" w:id="0">
    <w:p w:rsidR="00FC4AA0" w:rsidRDefault="00FC4AA0" w:rsidP="00AF3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1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8700E"/>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071D"/>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7CD"/>
    <w:rsid w:val="00354BD0"/>
    <w:rsid w:val="003550C3"/>
    <w:rsid w:val="00356988"/>
    <w:rsid w:val="003601E1"/>
    <w:rsid w:val="00360F5F"/>
    <w:rsid w:val="0036124A"/>
    <w:rsid w:val="0036153E"/>
    <w:rsid w:val="0036237C"/>
    <w:rsid w:val="003625F5"/>
    <w:rsid w:val="003643C9"/>
    <w:rsid w:val="003657F1"/>
    <w:rsid w:val="00365826"/>
    <w:rsid w:val="00365A2F"/>
    <w:rsid w:val="0036643C"/>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123"/>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5E8"/>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132"/>
    <w:rsid w:val="005046F9"/>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47758"/>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3CFD"/>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1C21"/>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0E61"/>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A6144"/>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0C0A"/>
    <w:rsid w:val="008E1BF6"/>
    <w:rsid w:val="008E44FF"/>
    <w:rsid w:val="008E5A58"/>
    <w:rsid w:val="008E5F96"/>
    <w:rsid w:val="008E6FB7"/>
    <w:rsid w:val="008E7557"/>
    <w:rsid w:val="008E7FE5"/>
    <w:rsid w:val="008F1874"/>
    <w:rsid w:val="008F25DF"/>
    <w:rsid w:val="008F29E0"/>
    <w:rsid w:val="008F38A1"/>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A0D"/>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4FB3"/>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0777"/>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136"/>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23AC"/>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4D3"/>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B7B"/>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60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6F3B"/>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01B1"/>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1C0D"/>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3F8D"/>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A96"/>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109C"/>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A22"/>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815"/>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36F"/>
    <w:rsid w:val="00FA0810"/>
    <w:rsid w:val="00FA14B5"/>
    <w:rsid w:val="00FA16BB"/>
    <w:rsid w:val="00FA2895"/>
    <w:rsid w:val="00FA29A4"/>
    <w:rsid w:val="00FA38DF"/>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4AA0"/>
    <w:rsid w:val="00FC65BE"/>
    <w:rsid w:val="00FC70C0"/>
    <w:rsid w:val="00FC7307"/>
    <w:rsid w:val="00FD1EEA"/>
    <w:rsid w:val="00FD30C0"/>
    <w:rsid w:val="00FD33CF"/>
    <w:rsid w:val="00FD36CA"/>
    <w:rsid w:val="00FD3B41"/>
    <w:rsid w:val="00FD4433"/>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1D"/>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071D"/>
    <w:pPr>
      <w:tabs>
        <w:tab w:val="center" w:pos="4680"/>
        <w:tab w:val="right" w:pos="9360"/>
      </w:tabs>
    </w:pPr>
  </w:style>
  <w:style w:type="character" w:customStyle="1" w:styleId="FooterChar">
    <w:name w:val="Footer Char"/>
    <w:basedOn w:val="DefaultParagraphFont"/>
    <w:link w:val="Footer"/>
    <w:uiPriority w:val="99"/>
    <w:rsid w:val="002E071D"/>
    <w:rPr>
      <w:rFonts w:eastAsia="Times New Roman"/>
    </w:rPr>
  </w:style>
  <w:style w:type="paragraph" w:styleId="Header">
    <w:name w:val="header"/>
    <w:basedOn w:val="Normal"/>
    <w:link w:val="HeaderChar"/>
    <w:uiPriority w:val="99"/>
    <w:unhideWhenUsed/>
    <w:rsid w:val="00AF3B7B"/>
    <w:pPr>
      <w:tabs>
        <w:tab w:val="center" w:pos="4680"/>
        <w:tab w:val="right" w:pos="9360"/>
      </w:tabs>
    </w:pPr>
  </w:style>
  <w:style w:type="character" w:customStyle="1" w:styleId="HeaderChar">
    <w:name w:val="Header Char"/>
    <w:basedOn w:val="DefaultParagraphFont"/>
    <w:link w:val="Header"/>
    <w:uiPriority w:val="99"/>
    <w:rsid w:val="00AF3B7B"/>
    <w:rPr>
      <w:rFonts w:eastAsia="Times New Roman"/>
    </w:rPr>
  </w:style>
  <w:style w:type="paragraph" w:customStyle="1" w:styleId="Style">
    <w:name w:val="Style"/>
    <w:rsid w:val="00F41A22"/>
    <w:pPr>
      <w:widowControl w:val="0"/>
      <w:autoSpaceDE w:val="0"/>
      <w:autoSpaceDN w:val="0"/>
      <w:adjustRightInd w:val="0"/>
      <w:spacing w:line="240" w:lineRule="auto"/>
      <w:jc w:val="left"/>
    </w:pPr>
    <w:rPr>
      <w:rFonts w:eastAsiaTheme="minorEastAsia"/>
    </w:rPr>
  </w:style>
  <w:style w:type="paragraph" w:styleId="BalloonText">
    <w:name w:val="Balloon Text"/>
    <w:basedOn w:val="Normal"/>
    <w:link w:val="BalloonTextChar"/>
    <w:uiPriority w:val="99"/>
    <w:semiHidden/>
    <w:unhideWhenUsed/>
    <w:rsid w:val="00F41A22"/>
    <w:rPr>
      <w:rFonts w:ascii="Tahoma" w:hAnsi="Tahoma" w:cs="Tahoma"/>
      <w:sz w:val="16"/>
      <w:szCs w:val="16"/>
    </w:rPr>
  </w:style>
  <w:style w:type="character" w:customStyle="1" w:styleId="BalloonTextChar">
    <w:name w:val="Balloon Text Char"/>
    <w:basedOn w:val="DefaultParagraphFont"/>
    <w:link w:val="BalloonText"/>
    <w:uiPriority w:val="99"/>
    <w:semiHidden/>
    <w:rsid w:val="00F41A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1D"/>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071D"/>
    <w:pPr>
      <w:tabs>
        <w:tab w:val="center" w:pos="4680"/>
        <w:tab w:val="right" w:pos="9360"/>
      </w:tabs>
    </w:pPr>
  </w:style>
  <w:style w:type="character" w:customStyle="1" w:styleId="FooterChar">
    <w:name w:val="Footer Char"/>
    <w:basedOn w:val="DefaultParagraphFont"/>
    <w:link w:val="Footer"/>
    <w:uiPriority w:val="99"/>
    <w:rsid w:val="002E071D"/>
    <w:rPr>
      <w:rFonts w:eastAsia="Times New Roman"/>
    </w:rPr>
  </w:style>
  <w:style w:type="paragraph" w:styleId="Header">
    <w:name w:val="header"/>
    <w:basedOn w:val="Normal"/>
    <w:link w:val="HeaderChar"/>
    <w:uiPriority w:val="99"/>
    <w:unhideWhenUsed/>
    <w:rsid w:val="00AF3B7B"/>
    <w:pPr>
      <w:tabs>
        <w:tab w:val="center" w:pos="4680"/>
        <w:tab w:val="right" w:pos="9360"/>
      </w:tabs>
    </w:pPr>
  </w:style>
  <w:style w:type="character" w:customStyle="1" w:styleId="HeaderChar">
    <w:name w:val="Header Char"/>
    <w:basedOn w:val="DefaultParagraphFont"/>
    <w:link w:val="Header"/>
    <w:uiPriority w:val="99"/>
    <w:rsid w:val="00AF3B7B"/>
    <w:rPr>
      <w:rFonts w:eastAsia="Times New Roman"/>
    </w:rPr>
  </w:style>
  <w:style w:type="paragraph" w:customStyle="1" w:styleId="Style">
    <w:name w:val="Style"/>
    <w:rsid w:val="00F41A22"/>
    <w:pPr>
      <w:widowControl w:val="0"/>
      <w:autoSpaceDE w:val="0"/>
      <w:autoSpaceDN w:val="0"/>
      <w:adjustRightInd w:val="0"/>
      <w:spacing w:line="240" w:lineRule="auto"/>
      <w:jc w:val="left"/>
    </w:pPr>
    <w:rPr>
      <w:rFonts w:eastAsiaTheme="minorEastAsia"/>
    </w:rPr>
  </w:style>
  <w:style w:type="paragraph" w:styleId="BalloonText">
    <w:name w:val="Balloon Text"/>
    <w:basedOn w:val="Normal"/>
    <w:link w:val="BalloonTextChar"/>
    <w:uiPriority w:val="99"/>
    <w:semiHidden/>
    <w:unhideWhenUsed/>
    <w:rsid w:val="00F41A22"/>
    <w:rPr>
      <w:rFonts w:ascii="Tahoma" w:hAnsi="Tahoma" w:cs="Tahoma"/>
      <w:sz w:val="16"/>
      <w:szCs w:val="16"/>
    </w:rPr>
  </w:style>
  <w:style w:type="character" w:customStyle="1" w:styleId="BalloonTextChar">
    <w:name w:val="Balloon Text Char"/>
    <w:basedOn w:val="DefaultParagraphFont"/>
    <w:link w:val="BalloonText"/>
    <w:uiPriority w:val="99"/>
    <w:semiHidden/>
    <w:rsid w:val="00F41A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2013-03-18T12:24:00Z</cp:lastPrinted>
  <dcterms:created xsi:type="dcterms:W3CDTF">2013-03-19T12:06:00Z</dcterms:created>
  <dcterms:modified xsi:type="dcterms:W3CDTF">2013-03-19T12:06:00Z</dcterms:modified>
</cp:coreProperties>
</file>