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E49" w:rsidRPr="00A23DD3" w:rsidRDefault="00335E49" w:rsidP="009321A2">
      <w:pPr>
        <w:spacing w:after="0" w:line="240" w:lineRule="auto"/>
        <w:jc w:val="center"/>
        <w:rPr>
          <w:b/>
        </w:rPr>
      </w:pPr>
      <w:r w:rsidRPr="00A23DD3">
        <w:rPr>
          <w:b/>
        </w:rPr>
        <w:t>BEFORE THE</w:t>
      </w:r>
    </w:p>
    <w:p w:rsidR="00335E49" w:rsidRDefault="00335E49" w:rsidP="009321A2">
      <w:pPr>
        <w:spacing w:after="0" w:line="240" w:lineRule="auto"/>
        <w:jc w:val="center"/>
        <w:rPr>
          <w:b/>
        </w:rPr>
      </w:pPr>
      <w:r w:rsidRPr="00A23DD3">
        <w:rPr>
          <w:b/>
        </w:rPr>
        <w:t>PENNSYLVANIA PUBLIC UTILITY COMMISSION</w:t>
      </w:r>
    </w:p>
    <w:p w:rsidR="00335E49" w:rsidRDefault="00335E49" w:rsidP="009321A2">
      <w:pPr>
        <w:spacing w:after="0" w:line="240" w:lineRule="auto"/>
        <w:jc w:val="center"/>
        <w:rPr>
          <w:b/>
        </w:rPr>
      </w:pPr>
    </w:p>
    <w:p w:rsidR="00335E49" w:rsidRDefault="00335E49" w:rsidP="009321A2">
      <w:pPr>
        <w:spacing w:after="0" w:line="240" w:lineRule="auto"/>
        <w:jc w:val="center"/>
        <w:rPr>
          <w:b/>
        </w:rPr>
      </w:pPr>
    </w:p>
    <w:p w:rsidR="00335E49" w:rsidRPr="00A23DD3" w:rsidRDefault="00335E49" w:rsidP="009321A2">
      <w:pPr>
        <w:spacing w:after="0" w:line="240" w:lineRule="auto"/>
        <w:jc w:val="center"/>
      </w:pPr>
    </w:p>
    <w:p w:rsidR="00335E49" w:rsidRDefault="00335E49" w:rsidP="009321A2">
      <w:pPr>
        <w:tabs>
          <w:tab w:val="left" w:pos="0"/>
        </w:tabs>
        <w:spacing w:after="0" w:line="240" w:lineRule="auto"/>
        <w:jc w:val="both"/>
        <w:rPr>
          <w:b/>
        </w:rPr>
      </w:pPr>
      <w:r>
        <w:t>William Towne</w:t>
      </w:r>
      <w:r>
        <w:tab/>
      </w:r>
      <w:r>
        <w:tab/>
      </w:r>
      <w:r>
        <w:tab/>
      </w:r>
      <w:r>
        <w:tab/>
      </w:r>
      <w:r>
        <w:tab/>
      </w:r>
      <w:r w:rsidRPr="00560DC5">
        <w:t>:</w:t>
      </w:r>
    </w:p>
    <w:p w:rsidR="00335E49" w:rsidRPr="00560DC5" w:rsidRDefault="00335E49" w:rsidP="009321A2">
      <w:pPr>
        <w:tabs>
          <w:tab w:val="left" w:pos="0"/>
        </w:tabs>
        <w:spacing w:after="0" w:line="240" w:lineRule="auto"/>
        <w:jc w:val="both"/>
      </w:pPr>
      <w:r>
        <w:rPr>
          <w:b/>
        </w:rPr>
        <w:tab/>
      </w:r>
      <w:r>
        <w:rPr>
          <w:b/>
        </w:rPr>
        <w:tab/>
      </w:r>
      <w:r>
        <w:rPr>
          <w:b/>
        </w:rPr>
        <w:tab/>
      </w:r>
      <w:r>
        <w:rPr>
          <w:b/>
        </w:rPr>
        <w:tab/>
      </w:r>
      <w:r>
        <w:rPr>
          <w:b/>
        </w:rPr>
        <w:tab/>
      </w:r>
      <w:r>
        <w:rPr>
          <w:b/>
        </w:rPr>
        <w:tab/>
      </w:r>
      <w:r>
        <w:rPr>
          <w:b/>
        </w:rPr>
        <w:tab/>
      </w:r>
      <w:r w:rsidRPr="00560DC5">
        <w:t>:</w:t>
      </w:r>
    </w:p>
    <w:p w:rsidR="00335E49" w:rsidRDefault="00335E49" w:rsidP="009321A2">
      <w:pPr>
        <w:tabs>
          <w:tab w:val="left" w:pos="0"/>
        </w:tabs>
        <w:spacing w:after="0" w:line="240" w:lineRule="auto"/>
        <w:jc w:val="both"/>
      </w:pPr>
      <w:r>
        <w:tab/>
        <w:t>v.</w:t>
      </w:r>
      <w:r>
        <w:tab/>
      </w:r>
      <w:r>
        <w:tab/>
      </w:r>
      <w:r>
        <w:tab/>
      </w:r>
      <w:r>
        <w:tab/>
      </w:r>
      <w:r>
        <w:tab/>
      </w:r>
      <w:r>
        <w:tab/>
      </w:r>
      <w:r w:rsidRPr="00560DC5">
        <w:t>:</w:t>
      </w:r>
      <w:r>
        <w:rPr>
          <w:b/>
        </w:rPr>
        <w:tab/>
      </w:r>
      <w:r>
        <w:rPr>
          <w:b/>
        </w:rPr>
        <w:tab/>
      </w:r>
      <w:r>
        <w:t>C-2012-2307991</w:t>
      </w:r>
    </w:p>
    <w:p w:rsidR="00335E49" w:rsidRDefault="00335E49" w:rsidP="009321A2">
      <w:pPr>
        <w:tabs>
          <w:tab w:val="left" w:pos="0"/>
        </w:tabs>
        <w:spacing w:after="0" w:line="240" w:lineRule="auto"/>
        <w:jc w:val="both"/>
      </w:pPr>
      <w:r>
        <w:tab/>
      </w:r>
      <w:r>
        <w:tab/>
      </w:r>
      <w:r>
        <w:tab/>
      </w:r>
      <w:r>
        <w:tab/>
      </w:r>
      <w:r>
        <w:tab/>
      </w:r>
      <w:r>
        <w:tab/>
      </w:r>
      <w:r>
        <w:tab/>
        <w:t>:</w:t>
      </w:r>
    </w:p>
    <w:p w:rsidR="00335E49" w:rsidRDefault="00335E49" w:rsidP="009321A2">
      <w:pPr>
        <w:tabs>
          <w:tab w:val="left" w:pos="0"/>
        </w:tabs>
        <w:spacing w:after="0" w:line="240" w:lineRule="auto"/>
        <w:jc w:val="both"/>
      </w:pPr>
      <w:r>
        <w:t>Great American Power, LLC</w:t>
      </w:r>
      <w:r>
        <w:tab/>
      </w:r>
      <w:r>
        <w:tab/>
      </w:r>
      <w:r>
        <w:tab/>
      </w:r>
      <w:r>
        <w:tab/>
      </w:r>
      <w:r w:rsidRPr="00560DC5">
        <w:t>:</w:t>
      </w:r>
    </w:p>
    <w:p w:rsidR="00335E49" w:rsidRDefault="00335E49" w:rsidP="009321A2">
      <w:pPr>
        <w:spacing w:after="0" w:line="240" w:lineRule="auto"/>
      </w:pPr>
    </w:p>
    <w:p w:rsidR="00335E49" w:rsidRDefault="00335E49" w:rsidP="009321A2">
      <w:pPr>
        <w:spacing w:after="0" w:line="240" w:lineRule="auto"/>
      </w:pPr>
    </w:p>
    <w:p w:rsidR="00335E49" w:rsidRPr="00A23DD3" w:rsidRDefault="00335E49" w:rsidP="009321A2">
      <w:pPr>
        <w:spacing w:after="0" w:line="240" w:lineRule="auto"/>
      </w:pPr>
    </w:p>
    <w:p w:rsidR="00690A29" w:rsidRPr="00335E49" w:rsidRDefault="00690A29" w:rsidP="009321A2">
      <w:pPr>
        <w:spacing w:after="0" w:line="240" w:lineRule="auto"/>
        <w:jc w:val="center"/>
        <w:rPr>
          <w:b/>
          <w:u w:val="single"/>
        </w:rPr>
      </w:pPr>
      <w:r w:rsidRPr="00335E49">
        <w:rPr>
          <w:b/>
          <w:u w:val="single"/>
        </w:rPr>
        <w:t>INITIAL DECISION</w:t>
      </w:r>
    </w:p>
    <w:p w:rsidR="00335E49" w:rsidRDefault="00335E49" w:rsidP="009321A2">
      <w:pPr>
        <w:spacing w:after="0" w:line="240" w:lineRule="auto"/>
        <w:jc w:val="center"/>
      </w:pPr>
    </w:p>
    <w:p w:rsidR="007B5CCD" w:rsidRDefault="007B5CCD" w:rsidP="009321A2">
      <w:pPr>
        <w:spacing w:after="0" w:line="240" w:lineRule="auto"/>
        <w:jc w:val="center"/>
      </w:pPr>
    </w:p>
    <w:p w:rsidR="00690A29" w:rsidRDefault="00690A29" w:rsidP="009321A2">
      <w:pPr>
        <w:spacing w:after="0" w:line="240" w:lineRule="auto"/>
        <w:jc w:val="center"/>
      </w:pPr>
      <w:r>
        <w:t>Before</w:t>
      </w:r>
    </w:p>
    <w:p w:rsidR="00690A29" w:rsidRDefault="00690A29" w:rsidP="009321A2">
      <w:pPr>
        <w:spacing w:after="0" w:line="240" w:lineRule="auto"/>
        <w:jc w:val="center"/>
      </w:pPr>
      <w:r>
        <w:t>Mary D. Long</w:t>
      </w:r>
    </w:p>
    <w:p w:rsidR="00690A29" w:rsidRDefault="00690A29" w:rsidP="009321A2">
      <w:pPr>
        <w:spacing w:after="0" w:line="240" w:lineRule="auto"/>
        <w:jc w:val="center"/>
      </w:pPr>
      <w:r>
        <w:t>Administrative Law Judge</w:t>
      </w:r>
    </w:p>
    <w:p w:rsidR="00690A29" w:rsidRDefault="00690A29" w:rsidP="009321A2">
      <w:pPr>
        <w:spacing w:after="0"/>
      </w:pPr>
    </w:p>
    <w:p w:rsidR="00690A29" w:rsidRDefault="00690A29" w:rsidP="009321A2">
      <w:pPr>
        <w:spacing w:after="0"/>
        <w:jc w:val="center"/>
        <w:rPr>
          <w:u w:val="single"/>
        </w:rPr>
      </w:pPr>
      <w:r w:rsidRPr="00335E49">
        <w:rPr>
          <w:u w:val="single"/>
        </w:rPr>
        <w:t>HISTORY OF PROCEEDINGS</w:t>
      </w:r>
    </w:p>
    <w:p w:rsidR="007B5CCD" w:rsidRPr="00335E49" w:rsidRDefault="007B5CCD" w:rsidP="009321A2">
      <w:pPr>
        <w:spacing w:after="0"/>
        <w:jc w:val="center"/>
        <w:rPr>
          <w:u w:val="single"/>
        </w:rPr>
      </w:pPr>
    </w:p>
    <w:p w:rsidR="00690A29" w:rsidRDefault="00690A29" w:rsidP="009321A2">
      <w:pPr>
        <w:spacing w:after="0"/>
        <w:ind w:firstLine="1440"/>
      </w:pPr>
      <w:r>
        <w:t>William Towne (Complainant) filed a formal complaint on May 29, 2012, generally complaining about aggressive telemarketing practices of electric suppliers, and specifically complaining about the tactics employed by Great American Power, LLC.  Great American Power filed an answer on June 25, 2012, denying that it engaged in any deceptive or aggressive marketing practices.</w:t>
      </w:r>
      <w:r w:rsidR="0041089C">
        <w:t xml:space="preserve">  After a full review of the record, the complaint is sustained in part and dismissed in part and a civil penalty is assessed.</w:t>
      </w:r>
    </w:p>
    <w:p w:rsidR="007B5CCD" w:rsidRDefault="007B5CCD" w:rsidP="009321A2">
      <w:pPr>
        <w:spacing w:after="0"/>
        <w:ind w:firstLine="1440"/>
      </w:pPr>
    </w:p>
    <w:p w:rsidR="0008419E" w:rsidRDefault="0008419E" w:rsidP="009321A2">
      <w:pPr>
        <w:spacing w:after="0"/>
        <w:ind w:firstLine="1440"/>
      </w:pPr>
      <w:r>
        <w:t xml:space="preserve">This matter was set for hearing on September 10, 2012 and assigned to me for disposition.  The parties engaged in discovery and settlement discussions.  In order to facilitate that process, the hearing was rescheduled for October 11, 2012.  The hearing was held on that day.  The Complainant appeared and testified on his own behalf.  He offered </w:t>
      </w:r>
      <w:r w:rsidR="00DB5F4C">
        <w:t xml:space="preserve">12 </w:t>
      </w:r>
      <w:r>
        <w:t>exhibits which were admitted into evidence.  Great American Power was represented by Chad Julius, Esquire.  Great American Power offered the testimony of one witness and offered</w:t>
      </w:r>
      <w:r w:rsidR="00DB5F4C">
        <w:t xml:space="preserve"> </w:t>
      </w:r>
      <w:r w:rsidR="00C918CB">
        <w:t xml:space="preserve">three </w:t>
      </w:r>
      <w:r>
        <w:t>exhibits which were admitted into evidence.  The hear</w:t>
      </w:r>
      <w:r w:rsidR="0095516B">
        <w:t>ing generated a transcript of 156 pages.  By order dated December 21, 2012,</w:t>
      </w:r>
      <w:r>
        <w:t xml:space="preserve"> the record was closed.</w:t>
      </w:r>
    </w:p>
    <w:p w:rsidR="00B2464E" w:rsidRDefault="00B2464E" w:rsidP="009321A2">
      <w:pPr>
        <w:spacing w:after="0"/>
        <w:ind w:firstLine="1440"/>
      </w:pPr>
      <w:r>
        <w:lastRenderedPageBreak/>
        <w:t>Following a thorough review of the record in this proceeding, I make the following:</w:t>
      </w:r>
    </w:p>
    <w:p w:rsidR="007B5CCD" w:rsidRDefault="007B5CCD" w:rsidP="009321A2">
      <w:pPr>
        <w:spacing w:after="0"/>
        <w:ind w:firstLine="1440"/>
      </w:pPr>
    </w:p>
    <w:p w:rsidR="00B2464E" w:rsidRDefault="00B2464E" w:rsidP="009321A2">
      <w:pPr>
        <w:spacing w:after="0"/>
        <w:jc w:val="center"/>
        <w:rPr>
          <w:u w:val="single"/>
        </w:rPr>
      </w:pPr>
      <w:r w:rsidRPr="00335E49">
        <w:rPr>
          <w:u w:val="single"/>
        </w:rPr>
        <w:t>FINDINGS OF FACT</w:t>
      </w:r>
    </w:p>
    <w:p w:rsidR="007B5CCD" w:rsidRPr="00335E49" w:rsidRDefault="007B5CCD" w:rsidP="009321A2">
      <w:pPr>
        <w:spacing w:after="0"/>
        <w:jc w:val="center"/>
        <w:rPr>
          <w:u w:val="single"/>
        </w:rPr>
      </w:pPr>
    </w:p>
    <w:p w:rsidR="00B2464E" w:rsidRDefault="008C4C60" w:rsidP="000606D1">
      <w:pPr>
        <w:pStyle w:val="ListParagraph"/>
        <w:ind w:left="0" w:firstLine="1440"/>
      </w:pPr>
      <w:r>
        <w:t xml:space="preserve"> </w:t>
      </w:r>
      <w:r w:rsidR="008206DE">
        <w:t xml:space="preserve">William Towne resides at 4243 Glen Lytle Road in Pittsburgh, Pennsylvania.  He receives residential electric service from Duquesne Light Company. </w:t>
      </w:r>
      <w:r w:rsidR="004B0466">
        <w:t xml:space="preserve"> </w:t>
      </w:r>
      <w:r w:rsidR="008206DE">
        <w:t>(N.T. 20)</w:t>
      </w:r>
    </w:p>
    <w:p w:rsidR="007B5CCD" w:rsidRDefault="007B5CCD" w:rsidP="000606D1">
      <w:pPr>
        <w:spacing w:after="0"/>
        <w:ind w:firstLine="1440"/>
      </w:pPr>
    </w:p>
    <w:p w:rsidR="008C4C60" w:rsidRDefault="008C4C60" w:rsidP="000606D1">
      <w:pPr>
        <w:pStyle w:val="ListParagraph"/>
        <w:ind w:left="0" w:firstLine="1440"/>
      </w:pPr>
      <w:r>
        <w:t>Mr. Towne</w:t>
      </w:r>
      <w:r w:rsidR="008206DE">
        <w:t xml:space="preserve"> (Complainant)</w:t>
      </w:r>
      <w:r>
        <w:t xml:space="preserve"> describes himself as supportive of electric supplier competition, but has chosen to remain a default service customer.</w:t>
      </w:r>
      <w:r w:rsidR="008206DE">
        <w:t xml:space="preserve">  However, he wishes to install solar pan</w:t>
      </w:r>
      <w:r w:rsidR="00171DE4">
        <w:t>e</w:t>
      </w:r>
      <w:r w:rsidR="008206DE">
        <w:t>l</w:t>
      </w:r>
      <w:r w:rsidR="00171DE4">
        <w:t>s</w:t>
      </w:r>
      <w:r w:rsidR="008206DE">
        <w:t xml:space="preserve"> for elect</w:t>
      </w:r>
      <w:r w:rsidR="00171DE4">
        <w:t>ricity generation</w:t>
      </w:r>
      <w:r w:rsidR="008206DE">
        <w:t xml:space="preserve">. </w:t>
      </w:r>
      <w:r>
        <w:t xml:space="preserve"> (N.T. 22</w:t>
      </w:r>
      <w:r w:rsidR="00171DE4">
        <w:t>, 100</w:t>
      </w:r>
      <w:r>
        <w:t>)</w:t>
      </w:r>
    </w:p>
    <w:p w:rsidR="00305E45" w:rsidRDefault="00305E45" w:rsidP="000606D1">
      <w:pPr>
        <w:spacing w:after="0"/>
        <w:ind w:firstLine="1440"/>
      </w:pPr>
    </w:p>
    <w:p w:rsidR="008C4C60" w:rsidRDefault="00A851E0" w:rsidP="000606D1">
      <w:pPr>
        <w:pStyle w:val="ListParagraph"/>
        <w:ind w:left="0" w:firstLine="1440"/>
      </w:pPr>
      <w:r>
        <w:t xml:space="preserve"> </w:t>
      </w:r>
      <w:r w:rsidR="008206DE">
        <w:t>Great American Power, LLC (GAP), is a licensed electric generation supplier in the electric distribution company service territories of Duquesne Light, PECO Energy Company, PPL Electric Utilities and Metropolitan Edison Company.</w:t>
      </w:r>
      <w:r w:rsidR="004B0466">
        <w:t xml:space="preserve">  </w:t>
      </w:r>
      <w:r w:rsidR="008206DE">
        <w:t>(N.T. 120; see also A</w:t>
      </w:r>
      <w:r w:rsidR="00DD6C92">
        <w:noBreakHyphen/>
      </w:r>
      <w:r w:rsidR="008206DE">
        <w:t>2010-2205475)</w:t>
      </w:r>
    </w:p>
    <w:p w:rsidR="00305E45" w:rsidRDefault="00305E45" w:rsidP="000606D1">
      <w:pPr>
        <w:spacing w:after="0"/>
        <w:ind w:firstLine="1440"/>
      </w:pPr>
    </w:p>
    <w:p w:rsidR="00073D15" w:rsidRDefault="00073D15" w:rsidP="000606D1">
      <w:pPr>
        <w:pStyle w:val="ListParagraph"/>
        <w:ind w:left="0" w:firstLine="1440"/>
      </w:pPr>
      <w:r>
        <w:t>GAP was granted permission to operate in the Duquesne Lig</w:t>
      </w:r>
      <w:r w:rsidR="00261DD6">
        <w:t>ht service territory in January</w:t>
      </w:r>
      <w:r>
        <w:t xml:space="preserve"> 2011.  </w:t>
      </w:r>
      <w:r w:rsidR="0018515B">
        <w:t>(N.T. 139; PUC Docket No. A-2010-2205475</w:t>
      </w:r>
      <w:r w:rsidR="00DD6C92">
        <w:t>)</w:t>
      </w:r>
    </w:p>
    <w:p w:rsidR="00305E45" w:rsidRDefault="00305E45" w:rsidP="000606D1">
      <w:pPr>
        <w:spacing w:after="0"/>
        <w:ind w:firstLine="1440"/>
      </w:pPr>
    </w:p>
    <w:p w:rsidR="00073D15" w:rsidRDefault="00073D15" w:rsidP="000606D1">
      <w:pPr>
        <w:pStyle w:val="ListParagraph"/>
        <w:ind w:left="0" w:firstLine="1440"/>
      </w:pPr>
      <w:r>
        <w:t>GAP owns no generation assets, but purchases electricity on the wholesale market and sells it to consumers.</w:t>
      </w:r>
      <w:r w:rsidR="004B0466">
        <w:t xml:space="preserve"> </w:t>
      </w:r>
      <w:r>
        <w:t xml:space="preserve"> (N.T. 120)</w:t>
      </w:r>
    </w:p>
    <w:p w:rsidR="00305E45" w:rsidRDefault="00305E45" w:rsidP="000606D1">
      <w:pPr>
        <w:spacing w:after="0"/>
        <w:ind w:firstLine="1440"/>
      </w:pPr>
    </w:p>
    <w:p w:rsidR="00073D15" w:rsidRDefault="00073D15" w:rsidP="000606D1">
      <w:pPr>
        <w:pStyle w:val="ListParagraph"/>
        <w:ind w:left="0" w:firstLine="1440"/>
      </w:pPr>
      <w:r>
        <w:t>GAP acquires new customers by using a third-party telemarketing firm.  Since March 2011, GAP has engaged in two major telemarketing campaigns in the Duquesne Light service territory.  (N.T. 120)</w:t>
      </w:r>
    </w:p>
    <w:p w:rsidR="00305E45" w:rsidRDefault="00305E45" w:rsidP="000606D1">
      <w:pPr>
        <w:spacing w:after="0"/>
        <w:ind w:firstLine="1440"/>
      </w:pPr>
    </w:p>
    <w:p w:rsidR="00073D15" w:rsidRDefault="00073D15" w:rsidP="000606D1">
      <w:pPr>
        <w:pStyle w:val="ListParagraph"/>
        <w:ind w:left="0" w:firstLine="1440"/>
      </w:pPr>
      <w:r>
        <w:t xml:space="preserve">At issue here was a campaign which began in late March/early April 2012.  The target of that campaign was to enroll 50 to 75 customers per day. </w:t>
      </w:r>
      <w:r w:rsidR="004B0466">
        <w:t xml:space="preserve"> </w:t>
      </w:r>
      <w:r>
        <w:t>(N.T. 121)</w:t>
      </w:r>
    </w:p>
    <w:p w:rsidR="00305E45" w:rsidRDefault="00305E45" w:rsidP="000606D1">
      <w:pPr>
        <w:spacing w:after="0"/>
        <w:ind w:firstLine="1440"/>
      </w:pPr>
    </w:p>
    <w:p w:rsidR="00305E45" w:rsidRDefault="00305E45" w:rsidP="000606D1">
      <w:pPr>
        <w:spacing w:after="0"/>
        <w:ind w:firstLine="1440"/>
      </w:pPr>
    </w:p>
    <w:p w:rsidR="00292F05" w:rsidRDefault="00292F05" w:rsidP="000606D1">
      <w:pPr>
        <w:pStyle w:val="ListParagraph"/>
        <w:ind w:left="0" w:firstLine="1440"/>
      </w:pPr>
      <w:r>
        <w:lastRenderedPageBreak/>
        <w:t>GAP enrolled 5,000 Duquesne Light customers in this campaign.  (N.T. 133)</w:t>
      </w:r>
    </w:p>
    <w:p w:rsidR="003F29E6" w:rsidRDefault="003F29E6" w:rsidP="000606D1">
      <w:pPr>
        <w:spacing w:after="0"/>
        <w:ind w:firstLine="1440"/>
      </w:pPr>
    </w:p>
    <w:p w:rsidR="00060249" w:rsidRDefault="00060249" w:rsidP="000606D1">
      <w:pPr>
        <w:pStyle w:val="ListParagraph"/>
        <w:ind w:left="0" w:firstLine="1440"/>
      </w:pPr>
      <w:r>
        <w:t>On March 10, 2012, the Complainant received a letter from Duquesne Light which provided instructions for withholding the Complainant’s address and usage information in the event that he did not wish to be contacted by electricity suppliers.  The Complainant followed the instructions and notified Duq</w:t>
      </w:r>
      <w:r w:rsidR="00292F05">
        <w:t>u</w:t>
      </w:r>
      <w:r>
        <w:t xml:space="preserve">esne Light that he did not want his information shared with third parties.  Duquesne Light received that request on March 14, 2012.  (N.T. 25; </w:t>
      </w:r>
      <w:proofErr w:type="spellStart"/>
      <w:r>
        <w:t>Exs</w:t>
      </w:r>
      <w:proofErr w:type="spellEnd"/>
      <w:r>
        <w:t>. C-3, C-4)</w:t>
      </w:r>
    </w:p>
    <w:p w:rsidR="003F29E6" w:rsidRDefault="003F29E6" w:rsidP="000606D1">
      <w:pPr>
        <w:spacing w:after="0"/>
        <w:ind w:firstLine="1440"/>
      </w:pPr>
    </w:p>
    <w:p w:rsidR="00292F05" w:rsidRDefault="00060249" w:rsidP="000606D1">
      <w:pPr>
        <w:pStyle w:val="ListParagraph"/>
        <w:ind w:left="0" w:firstLine="1440"/>
      </w:pPr>
      <w:r>
        <w:t xml:space="preserve">Nevertheless, on March 28, 2012, </w:t>
      </w:r>
      <w:r w:rsidR="00073D15">
        <w:t>GAP received an “eligible customer list” from Du</w:t>
      </w:r>
      <w:r>
        <w:t>quesne Light</w:t>
      </w:r>
      <w:r w:rsidR="00073D15">
        <w:t xml:space="preserve">.  This list included the Complainant’s name, address and usage information. </w:t>
      </w:r>
      <w:r w:rsidR="00292F05">
        <w:t xml:space="preserve"> (N.T. 121)</w:t>
      </w:r>
    </w:p>
    <w:p w:rsidR="003F29E6" w:rsidRDefault="003F29E6" w:rsidP="000606D1">
      <w:pPr>
        <w:spacing w:after="0"/>
        <w:ind w:firstLine="1440"/>
      </w:pPr>
    </w:p>
    <w:p w:rsidR="00073D15" w:rsidRDefault="00073D15" w:rsidP="000606D1">
      <w:pPr>
        <w:pStyle w:val="ListParagraph"/>
        <w:ind w:left="0" w:firstLine="1440"/>
      </w:pPr>
      <w:r>
        <w:t xml:space="preserve"> GAP </w:t>
      </w:r>
      <w:r w:rsidR="00292F05">
        <w:t>require</w:t>
      </w:r>
      <w:r w:rsidR="00C918CB">
        <w:t>d</w:t>
      </w:r>
      <w:r w:rsidR="00292F05">
        <w:t xml:space="preserve"> its telemarketing vendor to</w:t>
      </w:r>
      <w:r>
        <w:t xml:space="preserve"> engage a “lead broker” to acquire telephone numbers and match them to the addresses on the eligible customer list.</w:t>
      </w:r>
      <w:r w:rsidR="00FF4551">
        <w:t xml:space="preserve">  The lead broker is responsible for “scrubbing” the list for telephone numbers which are registered on either the Pennsylvania or the federal Do Not Call list.</w:t>
      </w:r>
      <w:r w:rsidR="004B0466">
        <w:t xml:space="preserve"> </w:t>
      </w:r>
      <w:r w:rsidR="00292F05">
        <w:t xml:space="preserve"> (N.T. 129</w:t>
      </w:r>
      <w:r>
        <w:t>)</w:t>
      </w:r>
    </w:p>
    <w:p w:rsidR="003F29E6" w:rsidRDefault="003F29E6" w:rsidP="000606D1">
      <w:pPr>
        <w:spacing w:after="0"/>
        <w:ind w:firstLine="1440"/>
      </w:pPr>
    </w:p>
    <w:p w:rsidR="00292F05" w:rsidRDefault="00FF4551" w:rsidP="000606D1">
      <w:pPr>
        <w:pStyle w:val="ListParagraph"/>
        <w:ind w:left="0" w:firstLine="1440"/>
      </w:pPr>
      <w:r>
        <w:t xml:space="preserve">GAP contracted </w:t>
      </w:r>
      <w:r w:rsidR="00292F05">
        <w:t>a call center</w:t>
      </w:r>
      <w:r>
        <w:t xml:space="preserve"> which hire</w:t>
      </w:r>
      <w:r w:rsidR="00292F05">
        <w:t>s</w:t>
      </w:r>
      <w:r>
        <w:t xml:space="preserve"> telemarketers to call customers on the eligible customer list in order to sell consumers electric supply provided by GAP. </w:t>
      </w:r>
      <w:r w:rsidR="00292F05">
        <w:t xml:space="preserve"> These call centers may subcontract to other telemarketing firms.</w:t>
      </w:r>
      <w:r w:rsidR="004B0466">
        <w:t xml:space="preserve"> </w:t>
      </w:r>
      <w:r w:rsidR="00292F05">
        <w:t xml:space="preserve"> (N.T. 130)</w:t>
      </w:r>
      <w:r>
        <w:t xml:space="preserve"> </w:t>
      </w:r>
    </w:p>
    <w:p w:rsidR="003F29E6" w:rsidRDefault="003F29E6" w:rsidP="000606D1">
      <w:pPr>
        <w:spacing w:after="0"/>
        <w:ind w:firstLine="1440"/>
      </w:pPr>
    </w:p>
    <w:p w:rsidR="00FF4551" w:rsidRDefault="00FF4551" w:rsidP="000606D1">
      <w:pPr>
        <w:pStyle w:val="ListParagraph"/>
        <w:ind w:left="0" w:firstLine="1440"/>
      </w:pPr>
      <w:r>
        <w:t xml:space="preserve">The call centers are not paid based upon the number of hours they spend calling customers. </w:t>
      </w:r>
      <w:r w:rsidR="00DD6C92">
        <w:t xml:space="preserve"> </w:t>
      </w:r>
      <w:r>
        <w:t>Rather they are paid based upon the number of new customers they register for GAP service.</w:t>
      </w:r>
      <w:r w:rsidR="004B0466">
        <w:t xml:space="preserve">  </w:t>
      </w:r>
      <w:r w:rsidR="00292F05">
        <w:t>(N.T. 132, 137)</w:t>
      </w:r>
    </w:p>
    <w:p w:rsidR="003F29E6" w:rsidRDefault="003F29E6" w:rsidP="000606D1">
      <w:pPr>
        <w:spacing w:after="0"/>
        <w:ind w:firstLine="1440"/>
      </w:pPr>
    </w:p>
    <w:p w:rsidR="00292F05" w:rsidRDefault="00292F05" w:rsidP="000606D1">
      <w:pPr>
        <w:pStyle w:val="ListParagraph"/>
        <w:ind w:left="0" w:firstLine="1440"/>
      </w:pPr>
      <w:r>
        <w:t>GAP requires the call centers to meet all federal and state laws and take responsibility for any fines that may be imposed for violations.  (N.T. 133, 137)</w:t>
      </w:r>
    </w:p>
    <w:p w:rsidR="003F29E6" w:rsidRDefault="003F29E6" w:rsidP="000606D1">
      <w:pPr>
        <w:spacing w:after="0"/>
        <w:ind w:firstLine="1440"/>
      </w:pPr>
    </w:p>
    <w:p w:rsidR="00060249" w:rsidRDefault="00FF4551" w:rsidP="000606D1">
      <w:pPr>
        <w:pStyle w:val="ListParagraph"/>
        <w:ind w:left="0" w:firstLine="1440"/>
      </w:pPr>
      <w:r>
        <w:lastRenderedPageBreak/>
        <w:t xml:space="preserve">The Complainant’s primary telephone number is on the federal Do Not Call list.  However, the Complainant consolidates his telephone contacts with a service called Google Voice.  The telephone number assigned to Google Voice was not on any Do Not Call list.  The Google Voice telephone number was provided to GAP </w:t>
      </w:r>
      <w:r w:rsidR="00292F05">
        <w:t>by its lead broker.</w:t>
      </w:r>
      <w:r w:rsidR="004B0466">
        <w:t xml:space="preserve"> </w:t>
      </w:r>
      <w:r w:rsidR="00292F05">
        <w:t xml:space="preserve"> (N.T. 25, 121</w:t>
      </w:r>
      <w:r>
        <w:t xml:space="preserve">) </w:t>
      </w:r>
    </w:p>
    <w:p w:rsidR="003F29E6" w:rsidRDefault="003F29E6" w:rsidP="000606D1">
      <w:pPr>
        <w:spacing w:after="0"/>
        <w:ind w:firstLine="1440"/>
      </w:pPr>
    </w:p>
    <w:p w:rsidR="00FF4551" w:rsidRDefault="00FF4551" w:rsidP="000606D1">
      <w:pPr>
        <w:pStyle w:val="ListParagraph"/>
        <w:ind w:left="0" w:firstLine="1440"/>
      </w:pPr>
      <w:r>
        <w:t>From May 18, 2012 until June 13, 2012, the Complainant received 14 phone calls from GAP</w:t>
      </w:r>
      <w:r w:rsidR="00AA315A">
        <w:t>.</w:t>
      </w:r>
      <w:r w:rsidR="004B0466">
        <w:t xml:space="preserve"> </w:t>
      </w:r>
      <w:r w:rsidR="00AA315A">
        <w:t xml:space="preserve"> (N.T. 30)</w:t>
      </w:r>
    </w:p>
    <w:p w:rsidR="003F29E6" w:rsidRDefault="003F29E6" w:rsidP="000606D1">
      <w:pPr>
        <w:spacing w:after="0"/>
        <w:ind w:firstLine="1440"/>
      </w:pPr>
    </w:p>
    <w:p w:rsidR="00B73668" w:rsidRDefault="00B73668" w:rsidP="000606D1">
      <w:pPr>
        <w:pStyle w:val="ListParagraph"/>
        <w:ind w:left="0" w:firstLine="1440"/>
      </w:pPr>
      <w:r>
        <w:t xml:space="preserve">On May 18, 2012, GAP telephoned the Complainant.  He asked </w:t>
      </w:r>
      <w:r w:rsidR="00DD6C92">
        <w:t>not to</w:t>
      </w:r>
      <w:r>
        <w:t xml:space="preserve"> be called again.</w:t>
      </w:r>
      <w:r w:rsidR="004B0466">
        <w:t xml:space="preserve"> </w:t>
      </w:r>
      <w:r>
        <w:t xml:space="preserve"> (N.T. 30</w:t>
      </w:r>
      <w:r w:rsidR="001B48A9">
        <w:t>, 105</w:t>
      </w:r>
      <w:r>
        <w:t>; Ex. C-6)</w:t>
      </w:r>
    </w:p>
    <w:p w:rsidR="003F29E6" w:rsidRDefault="003F29E6" w:rsidP="000606D1">
      <w:pPr>
        <w:spacing w:after="0"/>
        <w:ind w:firstLine="1440"/>
      </w:pPr>
    </w:p>
    <w:p w:rsidR="00B73668" w:rsidRDefault="00B73668" w:rsidP="000606D1">
      <w:pPr>
        <w:pStyle w:val="ListParagraph"/>
        <w:ind w:left="0" w:firstLine="1440"/>
      </w:pPr>
      <w:r>
        <w:t xml:space="preserve">GAP called the Complainant three times on May 22, 2012.  The first call was not answered.  The Complainant answered the second call and again asked GAP </w:t>
      </w:r>
      <w:r w:rsidR="00DD6C92">
        <w:t>not to</w:t>
      </w:r>
      <w:r>
        <w:t xml:space="preserve"> call him again.  However, GAP called a third time, but the call was not answered.</w:t>
      </w:r>
      <w:r w:rsidR="004B0466">
        <w:t xml:space="preserve"> </w:t>
      </w:r>
      <w:r>
        <w:t xml:space="preserve"> (N.T. 30; Ex. C-6)</w:t>
      </w:r>
    </w:p>
    <w:p w:rsidR="003F29E6" w:rsidRDefault="003F29E6" w:rsidP="000606D1">
      <w:pPr>
        <w:spacing w:after="0"/>
        <w:ind w:firstLine="1440"/>
      </w:pPr>
    </w:p>
    <w:p w:rsidR="00B73668" w:rsidRDefault="00B73668" w:rsidP="000606D1">
      <w:pPr>
        <w:pStyle w:val="ListParagraph"/>
        <w:ind w:left="0" w:firstLine="1440"/>
      </w:pPr>
      <w:r>
        <w:t>GAP called three times on May 23, 2012, but none of the calls were answered.</w:t>
      </w:r>
      <w:r w:rsidR="004B0466">
        <w:t xml:space="preserve"> </w:t>
      </w:r>
      <w:r>
        <w:t xml:space="preserve"> (Ex. C-6)</w:t>
      </w:r>
    </w:p>
    <w:p w:rsidR="003F29E6" w:rsidRDefault="003F29E6" w:rsidP="000606D1">
      <w:pPr>
        <w:spacing w:after="0"/>
        <w:ind w:firstLine="1440"/>
      </w:pPr>
    </w:p>
    <w:p w:rsidR="00B73668" w:rsidRDefault="00B73668" w:rsidP="000606D1">
      <w:pPr>
        <w:pStyle w:val="ListParagraph"/>
        <w:ind w:left="0" w:firstLine="1440"/>
      </w:pPr>
      <w:r>
        <w:t>GAP called four times on May 24, 2012.  Two calls were not answered.  The Complainant spoke to the GAP representative at 2:02 p.m. and told him that he did not want to sw</w:t>
      </w:r>
      <w:r w:rsidR="0017558E">
        <w:t>itch</w:t>
      </w:r>
      <w:r>
        <w:t xml:space="preserve">.  Nevertheless, GAP called the Complainant again at 5:38 p.m. </w:t>
      </w:r>
      <w:r w:rsidR="004B0466">
        <w:t xml:space="preserve"> </w:t>
      </w:r>
      <w:r>
        <w:t xml:space="preserve">The Complainant again told GAP that he did not want to be called and he </w:t>
      </w:r>
      <w:r w:rsidR="00C943B6">
        <w:t>did not want to switch.</w:t>
      </w:r>
      <w:r w:rsidR="004B0466">
        <w:t xml:space="preserve">  </w:t>
      </w:r>
      <w:r w:rsidR="00C943B6">
        <w:t>(N.T. 71-78</w:t>
      </w:r>
      <w:r>
        <w:t>; Ex. C-6)</w:t>
      </w:r>
    </w:p>
    <w:p w:rsidR="003F29E6" w:rsidRDefault="003F29E6" w:rsidP="000606D1">
      <w:pPr>
        <w:spacing w:after="0"/>
        <w:ind w:firstLine="1440"/>
      </w:pPr>
    </w:p>
    <w:p w:rsidR="00C943B6" w:rsidRDefault="00C943B6" w:rsidP="000606D1">
      <w:pPr>
        <w:pStyle w:val="ListParagraph"/>
        <w:ind w:left="0" w:firstLine="1440"/>
      </w:pPr>
      <w:r>
        <w:t xml:space="preserve">The Complainant spoke to “Kip” on the first answered call on May 24, 2012.  Kip identified himself as an account manager from Great American Power.  </w:t>
      </w:r>
      <w:r w:rsidR="00525403">
        <w:t xml:space="preserve">He also stated that “the reason for [the] call today is Duquesne Light authorized us to provide you with an immediate savings program where we are giving you 15 percent off your rate for the first billing cycle </w:t>
      </w:r>
      <w:r w:rsidR="000075C1">
        <w:t xml:space="preserve">. </w:t>
      </w:r>
      <w:r w:rsidR="00525403">
        <w:t xml:space="preserve">. . .” </w:t>
      </w:r>
      <w:r w:rsidR="00DD6C92">
        <w:t xml:space="preserve"> </w:t>
      </w:r>
      <w:r w:rsidR="00525403">
        <w:t>Kip also told the Complainant that “[t]his is a free enrollment program.”  Kip next told the Complainant that he had the Complainant’s address and account information and proceeded to verify it with him.  (N.T. 72)</w:t>
      </w:r>
    </w:p>
    <w:p w:rsidR="003F29E6" w:rsidRDefault="003F29E6" w:rsidP="008F0A3D">
      <w:pPr>
        <w:spacing w:after="0"/>
        <w:ind w:firstLine="1440"/>
      </w:pPr>
    </w:p>
    <w:p w:rsidR="00525403" w:rsidRDefault="00525403" w:rsidP="000606D1">
      <w:pPr>
        <w:pStyle w:val="ListParagraph"/>
        <w:ind w:left="0" w:firstLine="1440"/>
      </w:pPr>
      <w:r>
        <w:t>After verifying the Complainant’s account information, including his account number, Kip said, “Congratulations. You do qualify, and because you qualify, I just need to ask you some simple question</w:t>
      </w:r>
      <w:r w:rsidR="00DD6C92">
        <w:t>s</w:t>
      </w:r>
      <w:r>
        <w:t>.”  Kip proceeded to ask a few more questions about the Complainant’s account information.  (N.T. 73)</w:t>
      </w:r>
    </w:p>
    <w:p w:rsidR="003F29E6" w:rsidRDefault="003F29E6" w:rsidP="000606D1">
      <w:pPr>
        <w:spacing w:after="0"/>
        <w:ind w:firstLine="1440"/>
      </w:pPr>
    </w:p>
    <w:p w:rsidR="00525403" w:rsidRDefault="00525403" w:rsidP="000606D1">
      <w:pPr>
        <w:pStyle w:val="ListParagraph"/>
        <w:ind w:left="0" w:firstLine="1440"/>
      </w:pPr>
      <w:r>
        <w:t>Kip then explained that as a loyalty bonus the Complainant would receive “a rebate check valued at 15 percent of you</w:t>
      </w:r>
      <w:r w:rsidR="00DD6C92">
        <w:t>r</w:t>
      </w:r>
      <w:r>
        <w:t xml:space="preserve"> highest Great Americ</w:t>
      </w:r>
      <w:r w:rsidR="000075C1">
        <w:t xml:space="preserve">an Power supplier </w:t>
      </w:r>
      <w:proofErr w:type="gramStart"/>
      <w:r w:rsidR="000075C1">
        <w:t>charges</w:t>
      </w:r>
      <w:r w:rsidR="005D7425">
        <w:t> </w:t>
      </w:r>
      <w:r w:rsidR="000075C1">
        <w:t>.</w:t>
      </w:r>
      <w:proofErr w:type="gramEnd"/>
      <w:r w:rsidR="000075C1">
        <w:t xml:space="preserve"> . . .”  </w:t>
      </w:r>
      <w:r>
        <w:t>Then Kip told the Complainant that “the last thing we need to do to apply the savings to your account is just go through a quick taped verification .</w:t>
      </w:r>
      <w:r w:rsidR="000075C1">
        <w:t xml:space="preserve"> .</w:t>
      </w:r>
      <w:r>
        <w:t xml:space="preserve"> . .” </w:t>
      </w:r>
      <w:r w:rsidR="00BA630D">
        <w:t xml:space="preserve"> </w:t>
      </w:r>
      <w:r>
        <w:t>Kip instructed that the Complainant would be asked for his address and be asked to answer some yes/no questions.</w:t>
      </w:r>
      <w:r w:rsidR="004B0466">
        <w:t xml:space="preserve"> </w:t>
      </w:r>
      <w:r>
        <w:t xml:space="preserve"> (N.T. 73)</w:t>
      </w:r>
    </w:p>
    <w:p w:rsidR="003F29E6" w:rsidRDefault="003F29E6" w:rsidP="000606D1">
      <w:pPr>
        <w:spacing w:after="0"/>
        <w:ind w:firstLine="1440"/>
      </w:pPr>
    </w:p>
    <w:p w:rsidR="00525403" w:rsidRDefault="00525403" w:rsidP="000606D1">
      <w:pPr>
        <w:pStyle w:val="ListParagraph"/>
        <w:ind w:left="0" w:firstLine="1440"/>
      </w:pPr>
      <w:r>
        <w:t>The Complainant agreed to answer the questions.</w:t>
      </w:r>
      <w:r w:rsidR="004B0466">
        <w:t xml:space="preserve"> </w:t>
      </w:r>
      <w:r>
        <w:t xml:space="preserve"> (N.T. 73)</w:t>
      </w:r>
    </w:p>
    <w:p w:rsidR="003F29E6" w:rsidRDefault="003F29E6" w:rsidP="000606D1">
      <w:pPr>
        <w:spacing w:after="0"/>
        <w:ind w:firstLine="1440"/>
      </w:pPr>
    </w:p>
    <w:p w:rsidR="00525403" w:rsidRDefault="00525403" w:rsidP="000606D1">
      <w:pPr>
        <w:pStyle w:val="ListParagraph"/>
        <w:ind w:left="0" w:firstLine="1440"/>
      </w:pPr>
      <w:r>
        <w:t>The Complainant asked Kip if he was calling from Duquesne Light.  Kip explained that he was calling from</w:t>
      </w:r>
      <w:r w:rsidR="0017558E">
        <w:t xml:space="preserve"> Great American Power, “an approved supplier of Duquesne Light’s energy choice program.”</w:t>
      </w:r>
      <w:r w:rsidR="004B0466">
        <w:t xml:space="preserve"> </w:t>
      </w:r>
      <w:r w:rsidR="0017558E">
        <w:t xml:space="preserve"> (N.T. 74)</w:t>
      </w:r>
    </w:p>
    <w:p w:rsidR="003F29E6" w:rsidRDefault="003F29E6" w:rsidP="000606D1">
      <w:pPr>
        <w:spacing w:after="0"/>
        <w:ind w:firstLine="1440"/>
      </w:pPr>
    </w:p>
    <w:p w:rsidR="0017558E" w:rsidRDefault="0017558E" w:rsidP="000606D1">
      <w:pPr>
        <w:pStyle w:val="ListParagraph"/>
        <w:ind w:left="0" w:firstLine="1440"/>
      </w:pPr>
      <w:r>
        <w:t xml:space="preserve">The taped verification process began with “Thank you for enrolling with Great American Power as your electricity supplier.” </w:t>
      </w:r>
      <w:r w:rsidR="004B0466">
        <w:t xml:space="preserve"> </w:t>
      </w:r>
      <w:r>
        <w:t>(N.T. 74)</w:t>
      </w:r>
    </w:p>
    <w:p w:rsidR="003F29E6" w:rsidRDefault="003F29E6" w:rsidP="000606D1">
      <w:pPr>
        <w:spacing w:after="0"/>
        <w:ind w:firstLine="1440"/>
      </w:pPr>
    </w:p>
    <w:p w:rsidR="0017558E" w:rsidRDefault="0017558E" w:rsidP="000606D1">
      <w:pPr>
        <w:pStyle w:val="ListParagraph"/>
        <w:ind w:left="0" w:firstLine="1440"/>
      </w:pPr>
      <w:r>
        <w:t xml:space="preserve">The Complainant had not agreed to enroll with GAP.  </w:t>
      </w:r>
    </w:p>
    <w:p w:rsidR="003F29E6" w:rsidRDefault="003F29E6" w:rsidP="000606D1">
      <w:pPr>
        <w:spacing w:after="0"/>
        <w:ind w:firstLine="1440"/>
      </w:pPr>
    </w:p>
    <w:p w:rsidR="0017558E" w:rsidRDefault="0017558E" w:rsidP="000606D1">
      <w:pPr>
        <w:pStyle w:val="ListParagraph"/>
        <w:ind w:left="0" w:firstLine="1440"/>
      </w:pPr>
      <w:r>
        <w:t>The Complainant continued with the verification process which asked for his name and address and verification of his telephone number.  The taped verification closed with the statement that “You have now selected Great American Power as your supplier of generation and transmission service . . .</w:t>
      </w:r>
      <w:r w:rsidR="00BA630D">
        <w:t xml:space="preserve"> </w:t>
      </w:r>
      <w:r>
        <w:t>.”  (N.T. 76)</w:t>
      </w:r>
    </w:p>
    <w:p w:rsidR="003F29E6" w:rsidRDefault="003F29E6" w:rsidP="000606D1">
      <w:pPr>
        <w:spacing w:after="0"/>
        <w:ind w:firstLine="1440"/>
      </w:pPr>
    </w:p>
    <w:p w:rsidR="0017558E" w:rsidRDefault="0017558E" w:rsidP="000606D1">
      <w:pPr>
        <w:pStyle w:val="ListParagraph"/>
        <w:ind w:left="0" w:firstLine="1440"/>
      </w:pPr>
      <w:r>
        <w:t xml:space="preserve">The taped verification asked the Complainant to say “yes” if he understood the terms of the enrollment.  The Complainant answered “no” and Kip returned to the </w:t>
      </w:r>
      <w:r>
        <w:lastRenderedPageBreak/>
        <w:t>line.  The Complainant told Kip that he did not want to switch his power provider and the call ended.  (N.T. 76)</w:t>
      </w:r>
    </w:p>
    <w:p w:rsidR="003F29E6" w:rsidRDefault="003F29E6" w:rsidP="000606D1">
      <w:pPr>
        <w:spacing w:after="0"/>
        <w:ind w:firstLine="1440"/>
      </w:pPr>
    </w:p>
    <w:p w:rsidR="00A54941" w:rsidRDefault="00A54941" w:rsidP="000606D1">
      <w:pPr>
        <w:pStyle w:val="ListParagraph"/>
        <w:ind w:left="0" w:firstLine="1440"/>
      </w:pPr>
      <w:r>
        <w:t>A little over three hours later,</w:t>
      </w:r>
      <w:r w:rsidR="00292F05">
        <w:t xml:space="preserve"> on May 24, 2012,</w:t>
      </w:r>
      <w:r>
        <w:t xml:space="preserve"> GAP again called the Complainant.  This time he spoke to Nancy.  Nancy identified herself as calling from Great American Power and told the Complainant that he was “entitled” to a 15 percent saving</w:t>
      </w:r>
      <w:r w:rsidR="00BA630D">
        <w:t>s</w:t>
      </w:r>
      <w:r>
        <w:t xml:space="preserve"> on his electric bill.  She then explained that GAP was offering a lower price per kilowatt hour than he was receiving from Duquesne Light and also explained that after twelve months he would receive a “loyalty bonus” equal to “15 percent of your highest bill for that year.”</w:t>
      </w:r>
      <w:r w:rsidR="004B0466">
        <w:t xml:space="preserve"> </w:t>
      </w:r>
      <w:r>
        <w:t xml:space="preserve"> (N.T. 78, 79)</w:t>
      </w:r>
    </w:p>
    <w:p w:rsidR="003F29E6" w:rsidRDefault="003F29E6" w:rsidP="000606D1">
      <w:pPr>
        <w:spacing w:after="0"/>
        <w:ind w:firstLine="1440"/>
      </w:pPr>
    </w:p>
    <w:p w:rsidR="00723C4C" w:rsidRDefault="00723C4C" w:rsidP="000606D1">
      <w:pPr>
        <w:pStyle w:val="ListParagraph"/>
        <w:ind w:left="0" w:firstLine="1440"/>
      </w:pPr>
      <w:r>
        <w:t>The Complainant told Nancy that he did not want to switch his supplier.  He also told her that he had asked GAP not to call him at least twice.</w:t>
      </w:r>
      <w:r w:rsidR="004B0466">
        <w:t xml:space="preserve">  </w:t>
      </w:r>
      <w:r>
        <w:t>(N.T. 80)</w:t>
      </w:r>
    </w:p>
    <w:p w:rsidR="003F29E6" w:rsidRDefault="003F29E6" w:rsidP="000606D1">
      <w:pPr>
        <w:spacing w:after="0"/>
        <w:ind w:firstLine="1440"/>
      </w:pPr>
    </w:p>
    <w:p w:rsidR="00B73668" w:rsidRDefault="00B73668" w:rsidP="000606D1">
      <w:pPr>
        <w:pStyle w:val="ListParagraph"/>
        <w:ind w:left="0" w:firstLine="1440"/>
      </w:pPr>
      <w:r>
        <w:t>The Complainant filed his formal complaint with the Commission in which he complained that GAP was calling him excessively and using misleading telemarketing sales tactics.</w:t>
      </w:r>
      <w:r w:rsidR="00BA630D">
        <w:t xml:space="preserve"> </w:t>
      </w:r>
      <w:r>
        <w:t xml:space="preserve"> The complaint was served by the Commission on June 5, 2012.  (N.T. 30)</w:t>
      </w:r>
    </w:p>
    <w:p w:rsidR="003F29E6" w:rsidRDefault="003F29E6" w:rsidP="000606D1">
      <w:pPr>
        <w:spacing w:after="0"/>
        <w:ind w:firstLine="1440"/>
      </w:pPr>
    </w:p>
    <w:p w:rsidR="00B73668" w:rsidRDefault="00B73668" w:rsidP="000606D1">
      <w:pPr>
        <w:pStyle w:val="ListParagraph"/>
        <w:ind w:left="0" w:firstLine="1440"/>
      </w:pPr>
      <w:r>
        <w:t>However, GAP called the Complainant twice more on June 13, 2012.  The first call was unanswered.  However, the Complainant spoke to the GAP representative on the secon</w:t>
      </w:r>
      <w:r w:rsidR="002C342E">
        <w:t>d call</w:t>
      </w:r>
      <w:r w:rsidR="00B31BE8">
        <w:t>.</w:t>
      </w:r>
      <w:r w:rsidR="004B0466">
        <w:t xml:space="preserve"> </w:t>
      </w:r>
      <w:r w:rsidR="00B31BE8">
        <w:t xml:space="preserve"> (</w:t>
      </w:r>
      <w:r>
        <w:t>Ex. C-6)</w:t>
      </w:r>
    </w:p>
    <w:p w:rsidR="003F29E6" w:rsidRDefault="003F29E6" w:rsidP="000606D1">
      <w:pPr>
        <w:spacing w:after="0"/>
        <w:ind w:firstLine="1440"/>
      </w:pPr>
    </w:p>
    <w:p w:rsidR="00630DE5" w:rsidRDefault="00630DE5" w:rsidP="000606D1">
      <w:pPr>
        <w:pStyle w:val="ListParagraph"/>
        <w:ind w:left="0" w:firstLine="1440"/>
      </w:pPr>
      <w:r>
        <w:t xml:space="preserve"> The GAP representative was again Kip who told the Complainant that “Duquesne Light authorized us to provide you with an immediate savings program</w:t>
      </w:r>
      <w:r w:rsidR="00B310BD">
        <w:t xml:space="preserve"> where we are giving you 15 percent off your rate for the first month, and after that, you get to take advantage of guaranteed savings on your bill at a new lower variable rate for the following 11 months</w:t>
      </w:r>
      <w:r w:rsidR="00BA630D">
        <w:t xml:space="preserve">.” </w:t>
      </w:r>
      <w:r w:rsidR="00B310BD">
        <w:t xml:space="preserve"> (N.T. 82)</w:t>
      </w:r>
    </w:p>
    <w:p w:rsidR="003F29E6" w:rsidRDefault="003F29E6" w:rsidP="000606D1">
      <w:pPr>
        <w:spacing w:after="0"/>
        <w:ind w:firstLine="1440"/>
      </w:pPr>
    </w:p>
    <w:p w:rsidR="00B310BD" w:rsidRDefault="00B310BD" w:rsidP="000606D1">
      <w:pPr>
        <w:pStyle w:val="ListParagraph"/>
        <w:ind w:left="0" w:firstLine="1440"/>
      </w:pPr>
      <w:r>
        <w:t>After some conversation about how GAP got the Complainant’s telephone number, the Complainant asked to speak to Kip’s supervisor.  Kip promptly transferred the Complainant to Garrett who explained that GAP had gotten the Complainant’s telephone number from Duquesne Light.</w:t>
      </w:r>
      <w:r w:rsidR="004B0466">
        <w:t xml:space="preserve">  </w:t>
      </w:r>
      <w:r>
        <w:t>(N.T. 85)</w:t>
      </w:r>
    </w:p>
    <w:p w:rsidR="003F29E6" w:rsidRDefault="003F29E6" w:rsidP="000606D1">
      <w:pPr>
        <w:spacing w:after="0"/>
        <w:ind w:firstLine="1440"/>
      </w:pPr>
    </w:p>
    <w:p w:rsidR="00B310BD" w:rsidRDefault="00B310BD" w:rsidP="000606D1">
      <w:pPr>
        <w:pStyle w:val="ListParagraph"/>
        <w:ind w:left="0" w:firstLine="1440"/>
      </w:pPr>
      <w:r>
        <w:t>Garrett also assured the Complainant that GAP was offering a legitimate program and that if he enrolled he would receive a confirmation letter from Duquesne Light “verifying the fact that you are in the savings program.”</w:t>
      </w:r>
      <w:r w:rsidR="00397F26">
        <w:t xml:space="preserve">  Garrett also explained that once the Complainant received the paperwork</w:t>
      </w:r>
      <w:r w:rsidR="00F44DDE">
        <w:t>,</w:t>
      </w:r>
      <w:r w:rsidR="00397F26">
        <w:t xml:space="preserve"> if he decided that he wasn’t interested, </w:t>
      </w:r>
      <w:r w:rsidR="00BA630D">
        <w:t>then</w:t>
      </w:r>
      <w:r w:rsidR="00397F26">
        <w:t xml:space="preserve"> the program would be cancelled. </w:t>
      </w:r>
      <w:r w:rsidR="004B0466">
        <w:t xml:space="preserve"> </w:t>
      </w:r>
      <w:r w:rsidR="00397F26">
        <w:t>(N.T. 87)</w:t>
      </w:r>
    </w:p>
    <w:p w:rsidR="003F29E6" w:rsidRDefault="003F29E6" w:rsidP="000606D1">
      <w:pPr>
        <w:spacing w:after="0"/>
        <w:ind w:firstLine="1440"/>
      </w:pPr>
    </w:p>
    <w:p w:rsidR="00397F26" w:rsidRDefault="00397F26" w:rsidP="000606D1">
      <w:pPr>
        <w:pStyle w:val="ListParagraph"/>
        <w:ind w:left="0" w:firstLine="1440"/>
      </w:pPr>
      <w:r>
        <w:t xml:space="preserve">Garrett </w:t>
      </w:r>
      <w:r w:rsidR="00C918CB">
        <w:t>went</w:t>
      </w:r>
      <w:r>
        <w:t xml:space="preserve"> on to explain that Duquesne Light d</w:t>
      </w:r>
      <w:r w:rsidR="00C918CB">
        <w:t>id</w:t>
      </w:r>
      <w:r>
        <w:t xml:space="preserve"> not have enough resources to call all their customers and give them information about the savings that </w:t>
      </w:r>
      <w:r w:rsidR="00C918CB">
        <w:t>we</w:t>
      </w:r>
      <w:r>
        <w:t xml:space="preserve">re available to them: </w:t>
      </w:r>
      <w:r w:rsidR="00BA630D">
        <w:t xml:space="preserve"> </w:t>
      </w:r>
      <w:r>
        <w:t>“So, that’s basically what our job is, as being an approved supplier in their electric choice program, is to let you know that . . . you have an opportunity to save some money on your bills . . .</w:t>
      </w:r>
      <w:r w:rsidR="00D64665">
        <w:t xml:space="preserve"> </w:t>
      </w:r>
      <w:r>
        <w:t>.”</w:t>
      </w:r>
      <w:r w:rsidR="004B0466">
        <w:t xml:space="preserve">  </w:t>
      </w:r>
      <w:r>
        <w:t>(N.T. 89)</w:t>
      </w:r>
    </w:p>
    <w:p w:rsidR="003F29E6" w:rsidRDefault="003F29E6" w:rsidP="000606D1">
      <w:pPr>
        <w:spacing w:after="0"/>
        <w:ind w:firstLine="1440"/>
      </w:pPr>
    </w:p>
    <w:p w:rsidR="00292F05" w:rsidRDefault="00292F05" w:rsidP="000606D1">
      <w:pPr>
        <w:pStyle w:val="ListParagraph"/>
        <w:ind w:left="0" w:firstLine="1440"/>
      </w:pPr>
      <w:r>
        <w:t>One of GAP’s telemarketing vendors is responsible for engaging a project manager who has the duty to distribute the internal do-not-call list to other call centers engaged in the telemarketing campaign.  Originally, this list was only sent every couple of days.  It is now distributed every day.</w:t>
      </w:r>
      <w:r w:rsidR="004B0466">
        <w:t xml:space="preserve"> </w:t>
      </w:r>
      <w:r>
        <w:t xml:space="preserve"> (N.T. 130)</w:t>
      </w:r>
    </w:p>
    <w:p w:rsidR="003F29E6" w:rsidRDefault="003F29E6" w:rsidP="000606D1">
      <w:pPr>
        <w:spacing w:after="0"/>
        <w:ind w:firstLine="1440"/>
      </w:pPr>
    </w:p>
    <w:p w:rsidR="00397F26" w:rsidRDefault="00292F05" w:rsidP="000606D1">
      <w:pPr>
        <w:pStyle w:val="ListParagraph"/>
        <w:ind w:left="0" w:firstLine="1440"/>
      </w:pPr>
      <w:r>
        <w:t>GAP’s current procedure is to process do-not-call requests within 48 hours.</w:t>
      </w:r>
      <w:r w:rsidR="004B0466">
        <w:t xml:space="preserve">  </w:t>
      </w:r>
      <w:r>
        <w:t>(N.T. 127)</w:t>
      </w:r>
    </w:p>
    <w:p w:rsidR="003F29E6" w:rsidRDefault="003F29E6" w:rsidP="000606D1">
      <w:pPr>
        <w:spacing w:after="0"/>
        <w:ind w:firstLine="1440"/>
      </w:pPr>
    </w:p>
    <w:p w:rsidR="00A851E0" w:rsidRDefault="00A851E0" w:rsidP="000606D1">
      <w:pPr>
        <w:pStyle w:val="ListParagraph"/>
        <w:ind w:left="0" w:firstLine="1440"/>
      </w:pPr>
      <w:r>
        <w:t>When Mr. Towne attempted to call back numbers which were on the “Caller ID” to ask that GAP no longer call him, he reached messages informing him that the number was disconnected, or the number was for a different business entirely.</w:t>
      </w:r>
      <w:r w:rsidR="004B0466">
        <w:t xml:space="preserve"> </w:t>
      </w:r>
      <w:r>
        <w:t xml:space="preserve"> (N.T. 39)</w:t>
      </w:r>
    </w:p>
    <w:p w:rsidR="003F29E6" w:rsidRDefault="003F29E6" w:rsidP="000606D1">
      <w:pPr>
        <w:spacing w:after="0"/>
        <w:ind w:firstLine="1440"/>
      </w:pPr>
    </w:p>
    <w:p w:rsidR="00C943B6" w:rsidRDefault="00363EC9" w:rsidP="000606D1">
      <w:pPr>
        <w:pStyle w:val="ListParagraph"/>
        <w:ind w:left="0" w:firstLine="1440"/>
      </w:pPr>
      <w:r>
        <w:t xml:space="preserve"> </w:t>
      </w:r>
      <w:r w:rsidR="00292F05">
        <w:t>GAP’s oversight of the call centers during this campaign was to monitor agent</w:t>
      </w:r>
      <w:r w:rsidR="002D7763">
        <w:t>s</w:t>
      </w:r>
      <w:r w:rsidR="00292F05">
        <w:t xml:space="preserve"> three to four hours per month</w:t>
      </w:r>
      <w:r w:rsidR="00D16A0A">
        <w:t>.</w:t>
      </w:r>
      <w:r w:rsidR="004B0466">
        <w:t xml:space="preserve"> </w:t>
      </w:r>
      <w:r w:rsidR="00D16A0A">
        <w:t xml:space="preserve"> (N.T. 126, 133)</w:t>
      </w:r>
    </w:p>
    <w:p w:rsidR="003F29E6" w:rsidRDefault="003F29E6" w:rsidP="000606D1">
      <w:pPr>
        <w:spacing w:after="0"/>
        <w:ind w:firstLine="1440"/>
      </w:pPr>
    </w:p>
    <w:p w:rsidR="00363EC9" w:rsidRDefault="00D16A0A" w:rsidP="000606D1">
      <w:pPr>
        <w:pStyle w:val="ListParagraph"/>
        <w:ind w:left="0" w:firstLine="1440"/>
      </w:pPr>
      <w:r>
        <w:t xml:space="preserve">Federal and state </w:t>
      </w:r>
      <w:r w:rsidR="00237C46">
        <w:t>Do Not Call</w:t>
      </w:r>
      <w:r>
        <w:t xml:space="preserve"> lists are acquired by Ginger Lucas, the CEO of GAP, and distributed to GAP’s telemarketing vendors.</w:t>
      </w:r>
      <w:r w:rsidR="004B0466">
        <w:t xml:space="preserve"> </w:t>
      </w:r>
      <w:r>
        <w:t xml:space="preserve"> (N.T. 123-24)</w:t>
      </w:r>
      <w:r w:rsidR="00363EC9">
        <w:t xml:space="preserve">  </w:t>
      </w:r>
    </w:p>
    <w:p w:rsidR="00305E45" w:rsidRDefault="00305E45" w:rsidP="008F0A3D">
      <w:pPr>
        <w:spacing w:after="0"/>
        <w:ind w:left="360" w:firstLine="1440"/>
      </w:pPr>
    </w:p>
    <w:p w:rsidR="00640580" w:rsidRDefault="00640580" w:rsidP="003F29E6">
      <w:pPr>
        <w:spacing w:after="0"/>
        <w:jc w:val="center"/>
        <w:rPr>
          <w:u w:val="single"/>
        </w:rPr>
        <w:sectPr w:rsidR="00640580" w:rsidSect="005A12D3">
          <w:footerReference w:type="default" r:id="rId9"/>
          <w:footerReference w:type="first" r:id="rId10"/>
          <w:pgSz w:w="12240" w:h="15840" w:code="1"/>
          <w:pgMar w:top="1440" w:right="1440" w:bottom="1440" w:left="1440" w:header="720" w:footer="720" w:gutter="0"/>
          <w:cols w:space="720"/>
          <w:titlePg/>
          <w:docGrid w:linePitch="360"/>
        </w:sectPr>
      </w:pPr>
    </w:p>
    <w:p w:rsidR="00363EC9" w:rsidRDefault="00363EC9" w:rsidP="003F29E6">
      <w:pPr>
        <w:spacing w:after="0"/>
        <w:jc w:val="center"/>
        <w:rPr>
          <w:u w:val="single"/>
        </w:rPr>
      </w:pPr>
      <w:r w:rsidRPr="00305E45">
        <w:rPr>
          <w:u w:val="single"/>
        </w:rPr>
        <w:lastRenderedPageBreak/>
        <w:t>DISCUSSION</w:t>
      </w:r>
    </w:p>
    <w:p w:rsidR="00C918CB" w:rsidRDefault="00C918CB" w:rsidP="003F29E6">
      <w:pPr>
        <w:spacing w:after="0"/>
        <w:jc w:val="center"/>
        <w:rPr>
          <w:u w:val="single"/>
        </w:rPr>
        <w:sectPr w:rsidR="00C918CB" w:rsidSect="00D42713">
          <w:type w:val="continuous"/>
          <w:pgSz w:w="12240" w:h="15840" w:code="1"/>
          <w:pgMar w:top="1440" w:right="1440" w:bottom="1440" w:left="1440" w:header="720" w:footer="720" w:gutter="0"/>
          <w:cols w:space="720"/>
          <w:titlePg/>
          <w:docGrid w:linePitch="360"/>
        </w:sectPr>
      </w:pPr>
    </w:p>
    <w:p w:rsidR="00305E45" w:rsidRPr="00305E45" w:rsidRDefault="00305E45" w:rsidP="003F29E6">
      <w:pPr>
        <w:spacing w:after="0"/>
        <w:jc w:val="center"/>
        <w:rPr>
          <w:u w:val="single"/>
        </w:rPr>
      </w:pPr>
    </w:p>
    <w:p w:rsidR="00110A23" w:rsidRDefault="00363EC9" w:rsidP="005D7425">
      <w:pPr>
        <w:spacing w:after="0"/>
        <w:ind w:firstLine="1440"/>
        <w:rPr>
          <w:szCs w:val="24"/>
        </w:rPr>
      </w:pPr>
      <w:r>
        <w:rPr>
          <w:szCs w:val="24"/>
        </w:rPr>
        <w:t>As a licensed electric generation supplier (EGS), Great American Power is not a regulated public utility.</w:t>
      </w:r>
      <w:r>
        <w:rPr>
          <w:rStyle w:val="FootnoteReference"/>
          <w:szCs w:val="24"/>
        </w:rPr>
        <w:footnoteReference w:id="1"/>
      </w:r>
      <w:r>
        <w:rPr>
          <w:szCs w:val="24"/>
        </w:rPr>
        <w:t xml:space="preserve">   However, Section 2809 of the Public Utility Code does require an EGS to “confor</w:t>
      </w:r>
      <w:r w:rsidR="00A75101">
        <w:rPr>
          <w:szCs w:val="24"/>
        </w:rPr>
        <w:t>m to the provisions of [the Public Utility Code</w:t>
      </w:r>
      <w:r>
        <w:rPr>
          <w:szCs w:val="24"/>
        </w:rPr>
        <w:t>] and the lawful orders and regu</w:t>
      </w:r>
      <w:r w:rsidR="00BA630D">
        <w:rPr>
          <w:szCs w:val="24"/>
        </w:rPr>
        <w:t>lations of the commission . . . .</w:t>
      </w:r>
      <w:r>
        <w:rPr>
          <w:szCs w:val="24"/>
        </w:rPr>
        <w:t>”</w:t>
      </w:r>
      <w:r>
        <w:rPr>
          <w:rStyle w:val="FootnoteReference"/>
          <w:szCs w:val="24"/>
        </w:rPr>
        <w:footnoteReference w:id="2"/>
      </w:r>
      <w:r>
        <w:rPr>
          <w:szCs w:val="24"/>
        </w:rPr>
        <w:t xml:space="preserve">  </w:t>
      </w:r>
      <w:r w:rsidR="00A75101">
        <w:rPr>
          <w:szCs w:val="24"/>
        </w:rPr>
        <w:t xml:space="preserve">Accordingly, </w:t>
      </w:r>
      <w:r w:rsidR="00A75101" w:rsidRPr="00035CC2">
        <w:rPr>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00A75101" w:rsidRPr="00035CC2">
        <w:rPr>
          <w:rStyle w:val="FootnoteReference"/>
          <w:szCs w:val="24"/>
        </w:rPr>
        <w:footnoteReference w:id="3"/>
      </w:r>
      <w:r w:rsidR="00A75101" w:rsidRPr="00035CC2">
        <w:rPr>
          <w:szCs w:val="24"/>
        </w:rPr>
        <w:t xml:space="preserve">  </w:t>
      </w:r>
      <w:r w:rsidRPr="00035CC2">
        <w:rPr>
          <w:szCs w:val="24"/>
        </w:rPr>
        <w:t>A person seeking affirmative relief from the Commission has the burden of proof.</w:t>
      </w:r>
      <w:r w:rsidRPr="00035CC2">
        <w:rPr>
          <w:rStyle w:val="FootnoteReference"/>
          <w:szCs w:val="24"/>
        </w:rPr>
        <w:footnoteReference w:id="4"/>
      </w:r>
      <w:r w:rsidR="00A75101">
        <w:rPr>
          <w:szCs w:val="24"/>
        </w:rPr>
        <w:t xml:space="preserve">  Thus, Mr. Towne, as the complainant, bears the burden of proving that GAP’s actions are a violation of the Public Utility Code, or the Commission’s rules, regulations or orders.</w:t>
      </w:r>
      <w:r w:rsidR="00110A23">
        <w:rPr>
          <w:szCs w:val="24"/>
        </w:rPr>
        <w:t xml:space="preserve"> </w:t>
      </w:r>
    </w:p>
    <w:p w:rsidR="00305E45" w:rsidRDefault="00305E45" w:rsidP="005D7425">
      <w:pPr>
        <w:spacing w:after="0"/>
        <w:ind w:firstLine="1440"/>
        <w:rPr>
          <w:szCs w:val="24"/>
        </w:rPr>
      </w:pPr>
    </w:p>
    <w:p w:rsidR="00046B13" w:rsidRPr="005D7425" w:rsidRDefault="004D678F" w:rsidP="005D7425">
      <w:pPr>
        <w:spacing w:after="0"/>
        <w:rPr>
          <w:szCs w:val="24"/>
          <w:u w:val="single"/>
        </w:rPr>
      </w:pPr>
      <w:r w:rsidRPr="005D7425">
        <w:rPr>
          <w:szCs w:val="24"/>
          <w:u w:val="single"/>
        </w:rPr>
        <w:t>General Regulatory Background</w:t>
      </w:r>
    </w:p>
    <w:p w:rsidR="00305E45" w:rsidRPr="00270B7F" w:rsidRDefault="00305E45" w:rsidP="005D7425">
      <w:pPr>
        <w:spacing w:after="0"/>
        <w:rPr>
          <w:b/>
          <w:i/>
          <w:szCs w:val="24"/>
        </w:rPr>
      </w:pPr>
    </w:p>
    <w:p w:rsidR="004B6AD4" w:rsidRDefault="004B6AD4" w:rsidP="005D7425">
      <w:pPr>
        <w:spacing w:after="0"/>
        <w:ind w:firstLine="720"/>
        <w:rPr>
          <w:szCs w:val="24"/>
        </w:rPr>
      </w:pPr>
      <w:r>
        <w:rPr>
          <w:szCs w:val="24"/>
        </w:rPr>
        <w:tab/>
        <w:t>There is no doubt that the Commission is a strong proponent of competition among electric generation suppliers and the ability of consumers to shop for and choose their own electric generation supplier.  However, the Commissioners have also emphasized the importance of fair and honest sales and marketing practices in safeguarding consumers and preserving the integrity of the electric generation market.</w:t>
      </w:r>
      <w:r>
        <w:rPr>
          <w:rStyle w:val="FootnoteReference"/>
          <w:szCs w:val="24"/>
        </w:rPr>
        <w:footnoteReference w:id="5"/>
      </w:r>
      <w:r w:rsidR="006B25F6">
        <w:rPr>
          <w:szCs w:val="24"/>
        </w:rPr>
        <w:t xml:space="preserve">  Accordingly, Section 54.43</w:t>
      </w:r>
      <w:r w:rsidR="00DD019A">
        <w:rPr>
          <w:rStyle w:val="FootnoteReference"/>
          <w:szCs w:val="24"/>
        </w:rPr>
        <w:footnoteReference w:id="6"/>
      </w:r>
      <w:r w:rsidR="006B25F6">
        <w:rPr>
          <w:szCs w:val="24"/>
        </w:rPr>
        <w:t xml:space="preserve"> of the Commission’s regulations sets forth a code of conduct for EGS’s:</w:t>
      </w:r>
    </w:p>
    <w:p w:rsidR="006362AE" w:rsidRDefault="006362AE" w:rsidP="007B5CCD">
      <w:pPr>
        <w:spacing w:after="0" w:line="240" w:lineRule="auto"/>
        <w:ind w:left="1440" w:right="1440"/>
      </w:pPr>
      <w:bookmarkStart w:id="0" w:name="54.43."/>
    </w:p>
    <w:p w:rsidR="006B25F6" w:rsidRDefault="006B25F6" w:rsidP="007B5CCD">
      <w:pPr>
        <w:spacing w:after="0" w:line="240" w:lineRule="auto"/>
        <w:ind w:left="1440" w:right="1440"/>
      </w:pPr>
      <w:r>
        <w:lastRenderedPageBreak/>
        <w:t xml:space="preserve">To protect consumers of this Commonwealth, licensees shall adhere to the following principles in the provision of electric generation service: </w:t>
      </w:r>
    </w:p>
    <w:p w:rsidR="006362AE" w:rsidRDefault="006362AE" w:rsidP="007B5CCD">
      <w:pPr>
        <w:spacing w:after="0" w:line="240" w:lineRule="auto"/>
        <w:ind w:left="1440" w:right="1440"/>
      </w:pPr>
    </w:p>
    <w:p w:rsidR="006B25F6" w:rsidRDefault="006B25F6" w:rsidP="007B5CCD">
      <w:pPr>
        <w:spacing w:after="0" w:line="240" w:lineRule="auto"/>
        <w:ind w:left="1440" w:right="1440"/>
      </w:pPr>
      <w:r>
        <w:t xml:space="preserve">   (1)  A licensee shall provide accurate information about their electric generation services using plain language and common terms in communications with consumers. </w:t>
      </w:r>
      <w:r w:rsidR="002D7763">
        <w:t xml:space="preserve"> </w:t>
      </w:r>
      <w:r>
        <w:t xml:space="preserve">When new terms are used, the terms shall be defined again using plain language. Information shall be provided in a format that enables customers to compare the various electric generation services offered and the prices charged for each type of service. </w:t>
      </w:r>
    </w:p>
    <w:p w:rsidR="006362AE" w:rsidRDefault="006362AE" w:rsidP="007B5CCD">
      <w:pPr>
        <w:spacing w:after="0" w:line="240" w:lineRule="auto"/>
        <w:ind w:left="1440" w:right="1440"/>
      </w:pPr>
    </w:p>
    <w:p w:rsidR="006B25F6" w:rsidRDefault="006B25F6" w:rsidP="007B5CCD">
      <w:pPr>
        <w:spacing w:after="0" w:line="240" w:lineRule="auto"/>
        <w:ind w:left="1440" w:right="1440"/>
      </w:pPr>
      <w:r>
        <w:t xml:space="preserve"> (b)  A licensee shall respond to reasonable consumer requests for information regarding energy sources by percentage, and plant emissions of its electric generation supply. </w:t>
      </w:r>
    </w:p>
    <w:p w:rsidR="006362AE" w:rsidRDefault="006362AE" w:rsidP="007B5CCD">
      <w:pPr>
        <w:spacing w:after="0" w:line="240" w:lineRule="auto"/>
        <w:ind w:left="1440" w:right="1440"/>
      </w:pPr>
    </w:p>
    <w:p w:rsidR="006B25F6" w:rsidRDefault="006B25F6" w:rsidP="007B5CCD">
      <w:pPr>
        <w:spacing w:after="0" w:line="240" w:lineRule="auto"/>
        <w:ind w:left="1440" w:right="1440"/>
      </w:pPr>
      <w:r>
        <w:t xml:space="preserve"> (c)  A licensee shall provide notification of change in conditions of service, intent to cease operation as an electric generation supplier, explanation of denial of service, proper handling of deposits and proper handling of complaints in accordance with this title. </w:t>
      </w:r>
    </w:p>
    <w:p w:rsidR="006362AE" w:rsidRDefault="006362AE" w:rsidP="007B5CCD">
      <w:pPr>
        <w:spacing w:after="0" w:line="240" w:lineRule="auto"/>
        <w:ind w:left="1440" w:right="1440"/>
      </w:pPr>
    </w:p>
    <w:p w:rsidR="006B25F6" w:rsidRDefault="006B25F6" w:rsidP="007B5CCD">
      <w:pPr>
        <w:spacing w:after="0" w:line="240" w:lineRule="auto"/>
        <w:ind w:left="1440" w:right="1440"/>
      </w:pPr>
      <w:r>
        <w:t xml:space="preserve"> (d)  A licensee shall maintain the confidentiality of a consumer’s personal information including the name, address and telephone number, and historic payment information, and provide the right of access by the consumer to his own load and billing information. </w:t>
      </w:r>
    </w:p>
    <w:p w:rsidR="006362AE" w:rsidRDefault="006362AE" w:rsidP="007B5CCD">
      <w:pPr>
        <w:spacing w:after="0" w:line="240" w:lineRule="auto"/>
        <w:ind w:left="1440" w:right="1440"/>
      </w:pPr>
    </w:p>
    <w:p w:rsidR="006B25F6" w:rsidRDefault="006B25F6" w:rsidP="007B5CCD">
      <w:pPr>
        <w:spacing w:after="0" w:line="240" w:lineRule="auto"/>
        <w:ind w:left="1440" w:right="1440"/>
      </w:pPr>
      <w:r>
        <w:t xml:space="preserve"> (e)  A licensee may not discriminate in the provision of electricity as to availability and terms of service based on race, color, religion, national origin, sex, marital status, age, receipt of public assistance income, and exercise of rights under Subchapter IV of the Consumer Credit Protection Act (15 U.S.C.A. §§  1691—1691f), relating to Equal Credit Opportunity. </w:t>
      </w:r>
      <w:r w:rsidR="002D7763">
        <w:t xml:space="preserve"> </w:t>
      </w:r>
      <w:r>
        <w:t xml:space="preserve">See 12 CFR 202-1—202.14 (relating to equal credit opportunity Regulation B). </w:t>
      </w:r>
    </w:p>
    <w:p w:rsidR="006362AE" w:rsidRDefault="006362AE" w:rsidP="007B5CCD">
      <w:pPr>
        <w:spacing w:after="0" w:line="240" w:lineRule="auto"/>
        <w:ind w:left="1440" w:right="1440"/>
      </w:pPr>
    </w:p>
    <w:p w:rsidR="006B25F6" w:rsidRDefault="006B25F6" w:rsidP="007B5CCD">
      <w:pPr>
        <w:spacing w:after="0" w:line="240" w:lineRule="auto"/>
        <w:ind w:left="1440" w:right="1440"/>
      </w:pPr>
      <w:r>
        <w:t xml:space="preserve"> (f)  A licensee is responsible for any fraudulent deceptive or other unlawful marketing or billing acts performed by the licensee, its </w:t>
      </w:r>
      <w:proofErr w:type="spellStart"/>
      <w:r>
        <w:t>employes</w:t>
      </w:r>
      <w:proofErr w:type="spellEnd"/>
      <w:r>
        <w:t xml:space="preserve">, agents or representatives. </w:t>
      </w:r>
      <w:r w:rsidR="006362AE">
        <w:t xml:space="preserve"> </w:t>
      </w:r>
      <w:r>
        <w:t xml:space="preserve">Licensee shall inform consumers of state consumer protection laws that govern the cancellation or rescission of electric generation supply contracts. </w:t>
      </w:r>
      <w:r w:rsidR="006362AE">
        <w:t xml:space="preserve"> </w:t>
      </w:r>
      <w:proofErr w:type="gramStart"/>
      <w:r>
        <w:t>See section 7 of the Unfair Trade Practices and Consumer Protection Law (73 P. S. § 201-7).</w:t>
      </w:r>
      <w:proofErr w:type="gramEnd"/>
      <w:r>
        <w:t xml:space="preserve"> </w:t>
      </w:r>
    </w:p>
    <w:p w:rsidR="006362AE" w:rsidRDefault="006362AE" w:rsidP="007B5CCD">
      <w:pPr>
        <w:spacing w:after="0" w:line="240" w:lineRule="auto"/>
        <w:ind w:left="1440" w:right="1440"/>
      </w:pPr>
    </w:p>
    <w:p w:rsidR="006B25F6" w:rsidRDefault="006B25F6" w:rsidP="007B5CCD">
      <w:pPr>
        <w:spacing w:after="0" w:line="240" w:lineRule="auto"/>
        <w:ind w:left="1440" w:right="1440"/>
      </w:pPr>
      <w:r>
        <w:t> (g)  A licensee shall comply with relevant Commission regulations, orders and directives that may be adopted.</w:t>
      </w:r>
    </w:p>
    <w:bookmarkEnd w:id="0"/>
    <w:p w:rsidR="00305E45" w:rsidRDefault="00305E45" w:rsidP="007B5CCD">
      <w:pPr>
        <w:spacing w:after="0"/>
        <w:rPr>
          <w:szCs w:val="24"/>
        </w:rPr>
      </w:pPr>
    </w:p>
    <w:p w:rsidR="00C507A2" w:rsidRDefault="00270B7F" w:rsidP="007B5CCD">
      <w:pPr>
        <w:spacing w:after="0"/>
        <w:rPr>
          <w:szCs w:val="24"/>
        </w:rPr>
      </w:pPr>
      <w:r>
        <w:rPr>
          <w:szCs w:val="24"/>
        </w:rPr>
        <w:lastRenderedPageBreak/>
        <w:t>The Commission regulation also provides that an EGS license may be revoked or suspended for failing to comply with the code of conduct as embodie</w:t>
      </w:r>
      <w:r w:rsidR="002D7763">
        <w:rPr>
          <w:szCs w:val="24"/>
        </w:rPr>
        <w:t>d</w:t>
      </w:r>
      <w:r>
        <w:rPr>
          <w:szCs w:val="24"/>
        </w:rPr>
        <w:t xml:space="preserve"> in Section 54.43, but also specifically provides for enforcement action for “a violation of Pennsylvania consumer protection law.”</w:t>
      </w:r>
      <w:r>
        <w:rPr>
          <w:rStyle w:val="FootnoteReference"/>
          <w:szCs w:val="24"/>
        </w:rPr>
        <w:footnoteReference w:id="7"/>
      </w:r>
    </w:p>
    <w:p w:rsidR="00305E45" w:rsidRDefault="00305E45" w:rsidP="007B5CCD">
      <w:pPr>
        <w:spacing w:after="0"/>
        <w:rPr>
          <w:szCs w:val="24"/>
        </w:rPr>
      </w:pPr>
    </w:p>
    <w:p w:rsidR="006B25F6" w:rsidRDefault="00754F98" w:rsidP="007B5CCD">
      <w:pPr>
        <w:spacing w:after="0"/>
        <w:ind w:firstLine="1440"/>
        <w:rPr>
          <w:szCs w:val="24"/>
        </w:rPr>
      </w:pPr>
      <w:r>
        <w:rPr>
          <w:szCs w:val="24"/>
        </w:rPr>
        <w:t>The regulation does not define “Pennsylvania consumer protection law,” but guidance on its meaning may be derived from other Commission sources.</w:t>
      </w:r>
      <w:r w:rsidR="006362AE">
        <w:rPr>
          <w:szCs w:val="24"/>
        </w:rPr>
        <w:t xml:space="preserve"> </w:t>
      </w:r>
      <w:r>
        <w:rPr>
          <w:szCs w:val="24"/>
        </w:rPr>
        <w:t xml:space="preserve"> </w:t>
      </w:r>
      <w:proofErr w:type="gramStart"/>
      <w:r w:rsidR="009D6557" w:rsidRPr="00754F98">
        <w:rPr>
          <w:szCs w:val="24"/>
        </w:rPr>
        <w:t xml:space="preserve">Commission proceedings at </w:t>
      </w:r>
      <w:r w:rsidR="009D6557" w:rsidRPr="00754F98">
        <w:t>PUC Docket No.</w:t>
      </w:r>
      <w:proofErr w:type="gramEnd"/>
      <w:r w:rsidR="009D6557" w:rsidRPr="00754F98">
        <w:t xml:space="preserve"> L-2010-2208332 have detailed </w:t>
      </w:r>
      <w:r w:rsidR="00DA015C" w:rsidRPr="00754F98">
        <w:rPr>
          <w:szCs w:val="24"/>
        </w:rPr>
        <w:t>numerous proposed and tentative orders have been published, discussed and commented on by representatives of various stakeholders</w:t>
      </w:r>
      <w:r w:rsidR="00A67146" w:rsidRPr="00754F98">
        <w:rPr>
          <w:szCs w:val="24"/>
        </w:rPr>
        <w:t xml:space="preserve"> which signals to suppliers what</w:t>
      </w:r>
      <w:r w:rsidR="00AA39AC" w:rsidRPr="00754F98">
        <w:rPr>
          <w:szCs w:val="24"/>
        </w:rPr>
        <w:t xml:space="preserve"> types of </w:t>
      </w:r>
      <w:r w:rsidR="00A67146" w:rsidRPr="00754F98">
        <w:rPr>
          <w:szCs w:val="24"/>
        </w:rPr>
        <w:t>practices are likely to be frowned upon by the Commission</w:t>
      </w:r>
      <w:r w:rsidR="00DA015C" w:rsidRPr="00754F98">
        <w:rPr>
          <w:szCs w:val="24"/>
        </w:rPr>
        <w:t>.</w:t>
      </w:r>
      <w:r w:rsidR="00DA015C" w:rsidRPr="00754F98">
        <w:rPr>
          <w:rStyle w:val="FootnoteReference"/>
          <w:szCs w:val="24"/>
        </w:rPr>
        <w:footnoteReference w:id="8"/>
      </w:r>
      <w:r w:rsidR="00D902EB" w:rsidRPr="00754F98">
        <w:rPr>
          <w:szCs w:val="24"/>
        </w:rPr>
        <w:t xml:space="preserve"> </w:t>
      </w:r>
      <w:r>
        <w:rPr>
          <w:szCs w:val="24"/>
        </w:rPr>
        <w:t xml:space="preserve"> Additionally, the Commission requires suppliers to adhere to the </w:t>
      </w:r>
      <w:r>
        <w:rPr>
          <w:i/>
        </w:rPr>
        <w:t xml:space="preserve">Interim Guidelines on Marketing and Sales Practices for Electric Generation Suppliers and Natural Gas Suppliers, </w:t>
      </w:r>
      <w:r>
        <w:t xml:space="preserve">PUC Docket No. </w:t>
      </w:r>
      <w:proofErr w:type="gramStart"/>
      <w:r>
        <w:t>M-2010-2185981.</w:t>
      </w:r>
      <w:proofErr w:type="gramEnd"/>
      <w:r w:rsidR="00926A97">
        <w:rPr>
          <w:rStyle w:val="FootnoteReference"/>
        </w:rPr>
        <w:footnoteReference w:id="9"/>
      </w:r>
      <w:r>
        <w:t xml:space="preserve">  </w:t>
      </w:r>
      <w:r>
        <w:rPr>
          <w:szCs w:val="24"/>
        </w:rPr>
        <w:t>These proceedings specifically reference the Pennsylvania Unfair Trade Practice</w:t>
      </w:r>
      <w:r w:rsidR="00F0449C">
        <w:rPr>
          <w:szCs w:val="24"/>
        </w:rPr>
        <w:t>s</w:t>
      </w:r>
      <w:r>
        <w:rPr>
          <w:szCs w:val="24"/>
        </w:rPr>
        <w:t xml:space="preserve"> Act as well as federal and state telemarketing regulations, which are detailed below.  </w:t>
      </w:r>
      <w:r w:rsidR="001179B5">
        <w:rPr>
          <w:szCs w:val="24"/>
        </w:rPr>
        <w:t>The</w:t>
      </w:r>
      <w:r w:rsidR="00426A09">
        <w:rPr>
          <w:szCs w:val="24"/>
        </w:rPr>
        <w:t>se</w:t>
      </w:r>
      <w:r w:rsidR="001179B5">
        <w:rPr>
          <w:szCs w:val="24"/>
        </w:rPr>
        <w:t xml:space="preserve"> guidelines and the proposed regulations specifically address the use by an EGS of third-party marketing services for telemarketing sales such as those described by the Complainant. </w:t>
      </w:r>
      <w:r w:rsidR="006362AE">
        <w:rPr>
          <w:szCs w:val="24"/>
        </w:rPr>
        <w:t xml:space="preserve"> </w:t>
      </w:r>
      <w:r w:rsidR="001179B5">
        <w:rPr>
          <w:szCs w:val="24"/>
        </w:rPr>
        <w:t xml:space="preserve">Section 54.42(f) as well as the 2010 Interim Guidelines and </w:t>
      </w:r>
      <w:r w:rsidR="004F3C08">
        <w:rPr>
          <w:szCs w:val="24"/>
        </w:rPr>
        <w:t>2012 Rulemaking clearly provide that an EGS is respo</w:t>
      </w:r>
      <w:r w:rsidR="006362AE">
        <w:rPr>
          <w:szCs w:val="24"/>
        </w:rPr>
        <w:t xml:space="preserve">nsible for the actions of third </w:t>
      </w:r>
      <w:r w:rsidR="004F3C08">
        <w:rPr>
          <w:szCs w:val="24"/>
        </w:rPr>
        <w:t>parties retained for marketing to consumers.</w:t>
      </w:r>
    </w:p>
    <w:p w:rsidR="00305E45" w:rsidRDefault="00305E45" w:rsidP="007B5CCD">
      <w:pPr>
        <w:spacing w:after="0"/>
        <w:ind w:firstLine="1440"/>
        <w:rPr>
          <w:szCs w:val="24"/>
        </w:rPr>
      </w:pPr>
    </w:p>
    <w:p w:rsidR="00363EC9" w:rsidRDefault="00110A23" w:rsidP="007B5CCD">
      <w:pPr>
        <w:spacing w:after="0"/>
        <w:ind w:firstLine="1440"/>
        <w:rPr>
          <w:szCs w:val="24"/>
        </w:rPr>
      </w:pPr>
      <w:r>
        <w:rPr>
          <w:szCs w:val="24"/>
        </w:rPr>
        <w:t>As detailed in the Findings of Fact, the Complainant alleges that</w:t>
      </w:r>
      <w:r w:rsidR="006D1B27">
        <w:rPr>
          <w:szCs w:val="24"/>
        </w:rPr>
        <w:t xml:space="preserve"> the conduct of</w:t>
      </w:r>
      <w:r>
        <w:rPr>
          <w:szCs w:val="24"/>
        </w:rPr>
        <w:t xml:space="preserve"> GAP’s telemarketing campaign was a violation of telemarketing rules and that the sales pitches used by GAP’s representatives were deceptive and misleading</w:t>
      </w:r>
      <w:r w:rsidR="00270B7F">
        <w:rPr>
          <w:szCs w:val="24"/>
        </w:rPr>
        <w:t xml:space="preserve"> as defined by consumer protection laws</w:t>
      </w:r>
      <w:r>
        <w:rPr>
          <w:szCs w:val="24"/>
        </w:rPr>
        <w:t xml:space="preserve">.  GAP contends that the Complainant does not have standing to complain because he never actually enrolled as a customer of GAP and suffered no pecuniary harm and that the structure and content of GAP’s telemarketing campaign was in full compliance with all relevant rules and </w:t>
      </w:r>
      <w:r>
        <w:rPr>
          <w:szCs w:val="24"/>
        </w:rPr>
        <w:lastRenderedPageBreak/>
        <w:t>regulations.</w:t>
      </w:r>
      <w:r w:rsidR="00A75101">
        <w:rPr>
          <w:szCs w:val="24"/>
        </w:rPr>
        <w:t xml:space="preserve">  </w:t>
      </w:r>
      <w:r w:rsidR="004D678F">
        <w:rPr>
          <w:szCs w:val="24"/>
        </w:rPr>
        <w:t>With the general principles outlined above in mind, my consideration turns to the specific claims and specific regulatory violations alleged by the Complainant.</w:t>
      </w:r>
    </w:p>
    <w:p w:rsidR="00305E45" w:rsidRDefault="00305E45" w:rsidP="007B5CCD">
      <w:pPr>
        <w:spacing w:after="0"/>
        <w:ind w:firstLine="1440"/>
        <w:rPr>
          <w:szCs w:val="24"/>
        </w:rPr>
      </w:pPr>
    </w:p>
    <w:p w:rsidR="004D678F" w:rsidRPr="00AE0B7B" w:rsidRDefault="004D678F" w:rsidP="00AE0B7B">
      <w:pPr>
        <w:spacing w:after="0"/>
        <w:rPr>
          <w:szCs w:val="24"/>
          <w:u w:val="single"/>
        </w:rPr>
      </w:pPr>
      <w:r w:rsidRPr="00AE0B7B">
        <w:rPr>
          <w:szCs w:val="24"/>
          <w:u w:val="single"/>
        </w:rPr>
        <w:t>Standing</w:t>
      </w:r>
    </w:p>
    <w:p w:rsidR="00305E45" w:rsidRPr="005D7425" w:rsidRDefault="00305E45" w:rsidP="007B5CCD">
      <w:pPr>
        <w:spacing w:after="0"/>
        <w:ind w:firstLine="720"/>
        <w:rPr>
          <w:szCs w:val="24"/>
        </w:rPr>
      </w:pPr>
    </w:p>
    <w:p w:rsidR="00305E45" w:rsidRDefault="00C06887" w:rsidP="007B5CCD">
      <w:pPr>
        <w:spacing w:after="0"/>
        <w:ind w:firstLine="1440"/>
        <w:rPr>
          <w:szCs w:val="24"/>
        </w:rPr>
      </w:pPr>
      <w:r>
        <w:rPr>
          <w:szCs w:val="24"/>
        </w:rPr>
        <w:t xml:space="preserve">In its main brief, </w:t>
      </w:r>
      <w:r w:rsidR="004D678F">
        <w:rPr>
          <w:szCs w:val="24"/>
        </w:rPr>
        <w:t xml:space="preserve">GAP </w:t>
      </w:r>
      <w:r>
        <w:rPr>
          <w:szCs w:val="24"/>
        </w:rPr>
        <w:t xml:space="preserve">contends for the first time that the Complainant lacks standing pursuant to the Pennsylvania Unfair Trade Practices </w:t>
      </w:r>
      <w:r w:rsidR="00F0449C">
        <w:rPr>
          <w:szCs w:val="24"/>
        </w:rPr>
        <w:t>a</w:t>
      </w:r>
      <w:r w:rsidR="00CA183C">
        <w:rPr>
          <w:szCs w:val="24"/>
        </w:rPr>
        <w:t xml:space="preserve">nd </w:t>
      </w:r>
      <w:r w:rsidR="00171EE7">
        <w:rPr>
          <w:szCs w:val="24"/>
        </w:rPr>
        <w:t>Consumer Protection Law (</w:t>
      </w:r>
      <w:r w:rsidR="0089777C">
        <w:rPr>
          <w:szCs w:val="24"/>
        </w:rPr>
        <w:t>CPL</w:t>
      </w:r>
      <w:r>
        <w:rPr>
          <w:szCs w:val="24"/>
        </w:rPr>
        <w:t>)</w:t>
      </w:r>
      <w:r>
        <w:rPr>
          <w:rStyle w:val="FootnoteReference"/>
          <w:szCs w:val="24"/>
        </w:rPr>
        <w:footnoteReference w:id="10"/>
      </w:r>
      <w:r>
        <w:rPr>
          <w:szCs w:val="24"/>
        </w:rPr>
        <w:t xml:space="preserve"> because he has not suffered “an ascertainable loss of money or property.”</w:t>
      </w:r>
      <w:r>
        <w:rPr>
          <w:rStyle w:val="FootnoteReference"/>
          <w:szCs w:val="24"/>
        </w:rPr>
        <w:footnoteReference w:id="11"/>
      </w:r>
      <w:r>
        <w:rPr>
          <w:szCs w:val="24"/>
        </w:rPr>
        <w:t xml:space="preserve"> </w:t>
      </w:r>
      <w:r w:rsidR="00EB04CD">
        <w:rPr>
          <w:szCs w:val="24"/>
        </w:rPr>
        <w:t xml:space="preserve"> </w:t>
      </w:r>
      <w:r>
        <w:rPr>
          <w:szCs w:val="24"/>
        </w:rPr>
        <w:t xml:space="preserve">Specifically, GAP relies on Section 201-9.2 of </w:t>
      </w:r>
      <w:r w:rsidR="0089777C">
        <w:rPr>
          <w:szCs w:val="24"/>
        </w:rPr>
        <w:t>CPL</w:t>
      </w:r>
      <w:r>
        <w:rPr>
          <w:szCs w:val="24"/>
        </w:rPr>
        <w:t xml:space="preserve"> which defines a “private right of action” under that act.  This argument fails.  First, the Complainant’s complaint does not arise under </w:t>
      </w:r>
      <w:r w:rsidR="0089777C">
        <w:rPr>
          <w:szCs w:val="24"/>
        </w:rPr>
        <w:t>the CPL</w:t>
      </w:r>
      <w:r>
        <w:rPr>
          <w:szCs w:val="24"/>
        </w:rPr>
        <w:t xml:space="preserve">, but under Section 701 of the Public Utility Code.  Section 701 does not require that a complainant suffer pecuniary loss in order to maintain a cause of action. </w:t>
      </w:r>
    </w:p>
    <w:p w:rsidR="00C06887" w:rsidRDefault="00C06887" w:rsidP="007B5CCD">
      <w:pPr>
        <w:spacing w:after="0"/>
        <w:ind w:firstLine="1440"/>
        <w:rPr>
          <w:szCs w:val="24"/>
        </w:rPr>
      </w:pPr>
      <w:r>
        <w:rPr>
          <w:szCs w:val="24"/>
        </w:rPr>
        <w:t xml:space="preserve"> </w:t>
      </w:r>
    </w:p>
    <w:p w:rsidR="004D678F" w:rsidRDefault="00C06887" w:rsidP="007B5CCD">
      <w:pPr>
        <w:spacing w:after="0"/>
        <w:ind w:firstLine="1440"/>
        <w:rPr>
          <w:szCs w:val="24"/>
        </w:rPr>
      </w:pPr>
      <w:r>
        <w:rPr>
          <w:szCs w:val="24"/>
        </w:rPr>
        <w:t>Second, GAP did not raise the issue of standing either in its answer to the complaint or by preliminary objections.  Unlike standing in federal courts, standing in Pennsylvania is not a constitutional prerequisite to maintaining a cause of action.</w:t>
      </w:r>
      <w:r>
        <w:rPr>
          <w:rStyle w:val="FootnoteReference"/>
          <w:szCs w:val="24"/>
        </w:rPr>
        <w:footnoteReference w:id="12"/>
      </w:r>
      <w:r>
        <w:rPr>
          <w:szCs w:val="24"/>
        </w:rPr>
        <w:t xml:space="preserve">  Accordingly, it may be waived.</w:t>
      </w:r>
      <w:r>
        <w:rPr>
          <w:rStyle w:val="FootnoteReference"/>
          <w:szCs w:val="24"/>
        </w:rPr>
        <w:footnoteReference w:id="13"/>
      </w:r>
      <w:r>
        <w:rPr>
          <w:szCs w:val="24"/>
        </w:rPr>
        <w:t xml:space="preserve">  By failing to raise the issue of the Complainant’s standing to pursue the violations alleged in his complaint earlier in the proceedings, GAP has waived the issue as a defense.</w:t>
      </w:r>
      <w:r w:rsidR="00D35332">
        <w:rPr>
          <w:szCs w:val="24"/>
        </w:rPr>
        <w:t xml:space="preserve">  </w:t>
      </w:r>
    </w:p>
    <w:p w:rsidR="00305E45" w:rsidRDefault="00305E45" w:rsidP="007B5CCD">
      <w:pPr>
        <w:spacing w:after="0"/>
        <w:ind w:firstLine="1440"/>
        <w:rPr>
          <w:szCs w:val="24"/>
        </w:rPr>
      </w:pPr>
    </w:p>
    <w:p w:rsidR="00D35332" w:rsidRPr="00AE0B7B" w:rsidRDefault="00D35332" w:rsidP="00AE0B7B">
      <w:pPr>
        <w:spacing w:after="0"/>
        <w:rPr>
          <w:szCs w:val="24"/>
          <w:u w:val="single"/>
        </w:rPr>
      </w:pPr>
      <w:r w:rsidRPr="00AE0B7B">
        <w:rPr>
          <w:szCs w:val="24"/>
          <w:u w:val="single"/>
        </w:rPr>
        <w:t>GAP’s Alleged Violations of Consumer Protection Laws</w:t>
      </w:r>
    </w:p>
    <w:p w:rsidR="00305E45" w:rsidRPr="007017A4" w:rsidRDefault="00305E45" w:rsidP="007B5CCD">
      <w:pPr>
        <w:spacing w:after="0"/>
        <w:ind w:firstLine="720"/>
        <w:rPr>
          <w:b/>
          <w:i/>
          <w:szCs w:val="24"/>
        </w:rPr>
      </w:pPr>
    </w:p>
    <w:p w:rsidR="00D35332" w:rsidRDefault="007017A4" w:rsidP="00AE0B7B">
      <w:pPr>
        <w:spacing w:after="0"/>
        <w:ind w:firstLine="1440"/>
        <w:rPr>
          <w:szCs w:val="24"/>
        </w:rPr>
      </w:pPr>
      <w:r>
        <w:rPr>
          <w:szCs w:val="24"/>
        </w:rPr>
        <w:t xml:space="preserve">As described in the Findings of Fact, the complaints made by Mr. Towne arise from GAP’s conduct of what can only be described as a telemarketing blitzkrieg in the spring of </w:t>
      </w:r>
      <w:r>
        <w:rPr>
          <w:szCs w:val="24"/>
        </w:rPr>
        <w:lastRenderedPageBreak/>
        <w:t>201</w:t>
      </w:r>
      <w:r w:rsidR="00A0423E">
        <w:rPr>
          <w:szCs w:val="24"/>
        </w:rPr>
        <w:t>2</w:t>
      </w:r>
      <w:r>
        <w:rPr>
          <w:szCs w:val="24"/>
        </w:rPr>
        <w:t>.</w:t>
      </w:r>
      <w:r w:rsidR="00D15251">
        <w:rPr>
          <w:szCs w:val="24"/>
        </w:rPr>
        <w:t xml:space="preserve">  The record shows that GAP contacted the Complainant by telephone 14 times within a period of 26 days.</w:t>
      </w:r>
      <w:r>
        <w:rPr>
          <w:szCs w:val="24"/>
        </w:rPr>
        <w:t xml:space="preserve">  GAP en</w:t>
      </w:r>
      <w:r w:rsidR="00A0423E">
        <w:rPr>
          <w:szCs w:val="24"/>
        </w:rPr>
        <w:t>gaged the services of two third-</w:t>
      </w:r>
      <w:r>
        <w:rPr>
          <w:szCs w:val="24"/>
        </w:rPr>
        <w:t>party call centers and charged them with the objective of enrolling as many customers as possible in the Duquesne Light service territory within a relatively short period of time.  The call centers were not paid based on the number of hours spent contacting customers or the number of telemarketers they employed. Rather, they were paid based upon the number of customers who were enrolled in GAP’s electricity supply program.  The result of the structure of the campaign chosen by GAP was that the Complainant, and no doubt other consumers in the Duquesne Light service territory, were subjected to numerous phone calls by aggressive sales representatives using potentially misleading statements that at the very least created a substantial risk that the consumer would not understand who was calling and that they were enrolling in an electric supply agreement that they would later have to opt-out of</w:t>
      </w:r>
      <w:r w:rsidR="005D154C">
        <w:rPr>
          <w:szCs w:val="24"/>
        </w:rPr>
        <w:t xml:space="preserve"> </w:t>
      </w:r>
      <w:r w:rsidR="00D15251">
        <w:rPr>
          <w:szCs w:val="24"/>
        </w:rPr>
        <w:t xml:space="preserve">rather </w:t>
      </w:r>
      <w:r w:rsidR="004310A1">
        <w:rPr>
          <w:szCs w:val="24"/>
        </w:rPr>
        <w:t>tha</w:t>
      </w:r>
      <w:r w:rsidR="002D7763">
        <w:rPr>
          <w:szCs w:val="24"/>
        </w:rPr>
        <w:t>n</w:t>
      </w:r>
      <w:r w:rsidR="004310A1">
        <w:rPr>
          <w:szCs w:val="24"/>
        </w:rPr>
        <w:t xml:space="preserve"> affirmatively consenting to choose GAP as their independent electricity </w:t>
      </w:r>
      <w:r w:rsidR="00DE0D10">
        <w:rPr>
          <w:szCs w:val="24"/>
        </w:rPr>
        <w:t>supplier</w:t>
      </w:r>
      <w:r w:rsidR="004310A1">
        <w:rPr>
          <w:szCs w:val="24"/>
        </w:rPr>
        <w:t>.</w:t>
      </w:r>
      <w:r w:rsidR="00772079">
        <w:rPr>
          <w:szCs w:val="24"/>
        </w:rPr>
        <w:t xml:space="preserve">  While not all of GAP’s actions rise to the level of violations of consumer protection laws, GAP’s conduct and design of the marketing campaign at the very least raise serious concerns that may merit closer attention by the Commission in the future.</w:t>
      </w:r>
    </w:p>
    <w:p w:rsidR="00305E45" w:rsidRDefault="00305E45" w:rsidP="00AE0B7B">
      <w:pPr>
        <w:spacing w:after="0"/>
        <w:ind w:firstLine="1440"/>
        <w:rPr>
          <w:szCs w:val="24"/>
        </w:rPr>
      </w:pPr>
    </w:p>
    <w:p w:rsidR="00772079" w:rsidRPr="00305E45" w:rsidRDefault="00640580" w:rsidP="00AE0B7B">
      <w:pPr>
        <w:spacing w:after="0"/>
        <w:ind w:firstLine="720"/>
      </w:pPr>
      <w:r>
        <w:t>1.</w:t>
      </w:r>
      <w:r>
        <w:tab/>
      </w:r>
      <w:r w:rsidR="00772079" w:rsidRPr="00640580">
        <w:rPr>
          <w:u w:val="single"/>
        </w:rPr>
        <w:t>Release of Complainant’s Telephone Number and Account Information</w:t>
      </w:r>
    </w:p>
    <w:p w:rsidR="00305E45" w:rsidRPr="00305E45" w:rsidRDefault="00305E45" w:rsidP="00AE0B7B">
      <w:pPr>
        <w:spacing w:after="0"/>
        <w:ind w:left="2160"/>
      </w:pPr>
    </w:p>
    <w:p w:rsidR="0046714F" w:rsidRDefault="00772079" w:rsidP="00AE0B7B">
      <w:pPr>
        <w:spacing w:after="0"/>
        <w:ind w:firstLine="1440"/>
        <w:rPr>
          <w:szCs w:val="24"/>
        </w:rPr>
      </w:pPr>
      <w:r>
        <w:rPr>
          <w:szCs w:val="24"/>
        </w:rPr>
        <w:t>The Complainant first argues that GAP improperly acquired his account information from Duquesne Light because he had notified Duquesne Light that he did not want his account information or tel</w:t>
      </w:r>
      <w:r w:rsidR="003C5C77">
        <w:rPr>
          <w:szCs w:val="24"/>
        </w:rPr>
        <w:t xml:space="preserve">ephone number shared with third </w:t>
      </w:r>
      <w:r>
        <w:rPr>
          <w:szCs w:val="24"/>
        </w:rPr>
        <w:t xml:space="preserve">parties.  </w:t>
      </w:r>
    </w:p>
    <w:p w:rsidR="00305E45" w:rsidRDefault="00305E45" w:rsidP="009321A2">
      <w:pPr>
        <w:spacing w:after="0"/>
        <w:ind w:firstLine="1440"/>
        <w:rPr>
          <w:szCs w:val="24"/>
        </w:rPr>
      </w:pPr>
    </w:p>
    <w:p w:rsidR="00772079" w:rsidRDefault="00772079" w:rsidP="009321A2">
      <w:pPr>
        <w:spacing w:after="0"/>
        <w:ind w:firstLine="1440"/>
        <w:rPr>
          <w:szCs w:val="24"/>
        </w:rPr>
      </w:pPr>
      <w:r>
        <w:rPr>
          <w:szCs w:val="24"/>
        </w:rPr>
        <w:t>The Complainant admitted that his</w:t>
      </w:r>
      <w:r w:rsidR="0046714F">
        <w:rPr>
          <w:szCs w:val="24"/>
        </w:rPr>
        <w:t xml:space="preserve"> telephone number that he acquired from Google Voice was not registered on either the state or federal “Do Not Call” list.  However, he testified that he received a letter from Duquesne Light on March 10, 2012 which gave him the opportunity to remove his account information from the customer lists that Duquesne Light shared with third parties.  The Complainant promptly returned the registration to remove his name from the eligible customer list.  Duquesne Light notified him that they received his registration on March 14, 2012.</w:t>
      </w:r>
      <w:r w:rsidR="0046714F">
        <w:rPr>
          <w:rStyle w:val="FootnoteReference"/>
          <w:szCs w:val="24"/>
        </w:rPr>
        <w:footnoteReference w:id="14"/>
      </w:r>
    </w:p>
    <w:p w:rsidR="00305E45" w:rsidRDefault="00305E45" w:rsidP="009321A2">
      <w:pPr>
        <w:spacing w:after="0"/>
        <w:ind w:firstLine="1440"/>
        <w:rPr>
          <w:szCs w:val="24"/>
        </w:rPr>
      </w:pPr>
    </w:p>
    <w:p w:rsidR="0046714F" w:rsidRDefault="0046714F" w:rsidP="009321A2">
      <w:pPr>
        <w:spacing w:after="0"/>
        <w:ind w:firstLine="1440"/>
        <w:rPr>
          <w:szCs w:val="24"/>
        </w:rPr>
      </w:pPr>
      <w:r>
        <w:rPr>
          <w:szCs w:val="24"/>
        </w:rPr>
        <w:lastRenderedPageBreak/>
        <w:t>Ginger Lucas testified on behalf of GAP.  She testified that GAP received an elig</w:t>
      </w:r>
      <w:r w:rsidR="00866760">
        <w:rPr>
          <w:szCs w:val="24"/>
        </w:rPr>
        <w:t>i</w:t>
      </w:r>
      <w:r>
        <w:rPr>
          <w:szCs w:val="24"/>
        </w:rPr>
        <w:t>ble customer list from Duquesne Light which included the Complainant’s account information on March 28, 2012.  This list did not include the Complainant’s telephone number.  GAP retains the services of a “lead broker” to acquire the telephone numbers of the eligible customers from other sources and then match</w:t>
      </w:r>
      <w:r w:rsidR="00A0423E">
        <w:rPr>
          <w:szCs w:val="24"/>
        </w:rPr>
        <w:t>es</w:t>
      </w:r>
      <w:r>
        <w:rPr>
          <w:szCs w:val="24"/>
        </w:rPr>
        <w:t xml:space="preserve"> the telephone numbers to the customer’s name and account information.  The lead broker is also responsible for “scrubbing” any telephone numbers that are listed on the state and federal Do Not Call lists which are provided to the lead broker by GAP.</w:t>
      </w:r>
    </w:p>
    <w:p w:rsidR="00305E45" w:rsidRDefault="00305E45" w:rsidP="009321A2">
      <w:pPr>
        <w:spacing w:after="0"/>
        <w:ind w:firstLine="1440"/>
        <w:rPr>
          <w:szCs w:val="24"/>
        </w:rPr>
      </w:pPr>
    </w:p>
    <w:p w:rsidR="00866760" w:rsidRDefault="00866760" w:rsidP="009321A2">
      <w:pPr>
        <w:spacing w:after="0"/>
        <w:ind w:firstLine="1440"/>
        <w:rPr>
          <w:szCs w:val="24"/>
        </w:rPr>
      </w:pPr>
      <w:r>
        <w:rPr>
          <w:szCs w:val="24"/>
        </w:rPr>
        <w:t>There is not sufficient evidence to conclude that GAP improperly obtained the Complainant’s account information or telephone number.  Although the Complainant had clearly informed Duques</w:t>
      </w:r>
      <w:r w:rsidR="003A28E0">
        <w:rPr>
          <w:szCs w:val="24"/>
        </w:rPr>
        <w:t>n</w:t>
      </w:r>
      <w:r>
        <w:rPr>
          <w:szCs w:val="24"/>
        </w:rPr>
        <w:t>e Light that he did not want his account information shared with suppliers, Duquesne Light nevertheless released his account information to GAP</w:t>
      </w:r>
      <w:r w:rsidR="003A28E0">
        <w:rPr>
          <w:szCs w:val="24"/>
        </w:rPr>
        <w:t xml:space="preserve"> shortly thereafter.  GAP had no reason to believe that the eligible customer list was not “fresh” nor does there appear to be any requirement that the customer list be refreshed by Duquesne Light after it is released to a supplier to reflect new requests for privacy by its customers.  Further, the Complainant admits that he failed to register his Google Voice telephone number with any Do Not Call list.  Therefore, there is no violation of consumer protection laws or any Commission regulation concerning the privacy of customer information by GAP.</w:t>
      </w:r>
    </w:p>
    <w:p w:rsidR="00305E45" w:rsidRPr="00035CC2" w:rsidRDefault="00305E45" w:rsidP="009321A2">
      <w:pPr>
        <w:spacing w:after="0"/>
        <w:ind w:firstLine="1440"/>
        <w:rPr>
          <w:szCs w:val="24"/>
        </w:rPr>
      </w:pPr>
    </w:p>
    <w:p w:rsidR="004830C3" w:rsidRDefault="001E30C9" w:rsidP="009321A2">
      <w:pPr>
        <w:spacing w:after="0"/>
        <w:rPr>
          <w:i/>
        </w:rPr>
      </w:pPr>
      <w:r>
        <w:tab/>
      </w:r>
      <w:r w:rsidRPr="008B2068">
        <w:t>2</w:t>
      </w:r>
      <w:r w:rsidRPr="001E30C9">
        <w:rPr>
          <w:i/>
        </w:rPr>
        <w:t xml:space="preserve">. </w:t>
      </w:r>
      <w:r w:rsidR="008B2068">
        <w:tab/>
      </w:r>
      <w:r w:rsidR="008B2068" w:rsidRPr="003C5C77">
        <w:rPr>
          <w:u w:val="single"/>
        </w:rPr>
        <w:t>GAP Representing Themselves as Duquesne Light</w:t>
      </w:r>
    </w:p>
    <w:p w:rsidR="00305E45" w:rsidRDefault="00305E45" w:rsidP="009321A2">
      <w:pPr>
        <w:spacing w:after="0"/>
      </w:pPr>
    </w:p>
    <w:p w:rsidR="00E4302C" w:rsidRDefault="00E4302C" w:rsidP="009321A2">
      <w:pPr>
        <w:spacing w:after="0"/>
      </w:pPr>
      <w:r>
        <w:tab/>
      </w:r>
      <w:r w:rsidR="00171EE7">
        <w:tab/>
        <w:t xml:space="preserve">The Complainant contends that GAP violated consumer protection laws by deliberately misrepresenting their association with, endorsement by and contract with Duquesne Light.  GAP takes the position that its representatives clearly identified themselves as calling from GAP and not Duquesne Light.  I find that after reviewing the transcript that GAP representatives misstated the relationship between GAP and Duquesne Light.  Although they identified themselves as calling from GAP, their statements had a high potential to lead customers to believe that GAP had a special association or relationship with Duquesne Light and did not state that they are an independent supplier not endorsed or approved by </w:t>
      </w:r>
      <w:r w:rsidR="00DE0D10">
        <w:t>Duquesne</w:t>
      </w:r>
      <w:r w:rsidR="00171EE7">
        <w:t xml:space="preserve"> Light.</w:t>
      </w:r>
    </w:p>
    <w:p w:rsidR="00305E45" w:rsidRDefault="00305E45" w:rsidP="009321A2">
      <w:pPr>
        <w:spacing w:after="0"/>
      </w:pPr>
    </w:p>
    <w:p w:rsidR="00171EE7" w:rsidRDefault="00171EE7" w:rsidP="009321A2">
      <w:pPr>
        <w:spacing w:after="0"/>
        <w:ind w:firstLine="720"/>
      </w:pPr>
      <w:r>
        <w:lastRenderedPageBreak/>
        <w:tab/>
      </w:r>
      <w:r w:rsidR="00B97658">
        <w:t xml:space="preserve">Section 201-2(4) of </w:t>
      </w:r>
      <w:r w:rsidR="0089777C">
        <w:t xml:space="preserve">the Pennsylvania Unfair Trade Practices and Consumer Protection Law (CPL), </w:t>
      </w:r>
      <w:r w:rsidR="00B97658">
        <w:t xml:space="preserve">provides that it is an unfair or deceptive trade practice to cause </w:t>
      </w:r>
      <w:r w:rsidR="00356518">
        <w:t>“a likelihoo</w:t>
      </w:r>
      <w:r w:rsidR="00B97658">
        <w:t>d</w:t>
      </w:r>
      <w:r w:rsidR="00356518">
        <w:t xml:space="preserve"> of confusion or of misunderstanding as to the source, sponsorship, approval or certification of goods or services”</w:t>
      </w:r>
      <w:r w:rsidR="00356518">
        <w:rPr>
          <w:rStyle w:val="FootnoteReference"/>
        </w:rPr>
        <w:footnoteReference w:id="15"/>
      </w:r>
      <w:r w:rsidR="00356518">
        <w:t xml:space="preserve"> or to cause “a likelihood of confusion or of misunderstanding as to </w:t>
      </w:r>
      <w:r w:rsidR="00DE0D10">
        <w:t>affiliation</w:t>
      </w:r>
      <w:r w:rsidR="00356518">
        <w:t>, connection or association with, or certification by, another.”</w:t>
      </w:r>
      <w:r w:rsidR="00356518">
        <w:rPr>
          <w:rStyle w:val="FootnoteReference"/>
        </w:rPr>
        <w:footnoteReference w:id="16"/>
      </w:r>
      <w:r w:rsidR="008A1338">
        <w:t xml:space="preserve"> This concept of an unfair trade practice is echoed in the Commission’s 2010 Interim Guidelines at Section G.1, which requires the agents of an EGS to:</w:t>
      </w:r>
    </w:p>
    <w:p w:rsidR="00305E45" w:rsidRDefault="00305E45" w:rsidP="009175FF">
      <w:pPr>
        <w:spacing w:after="0" w:line="240" w:lineRule="auto"/>
      </w:pPr>
    </w:p>
    <w:p w:rsidR="008A1338" w:rsidRDefault="008A1338" w:rsidP="00F0449C">
      <w:pPr>
        <w:pStyle w:val="NormalIndent"/>
      </w:pPr>
      <w:r>
        <w:t>Identify the supplier that he or she represents as an independent energy supplier, and shall identify himself or herself as a representative of th</w:t>
      </w:r>
      <w:r w:rsidR="00DE0D10">
        <w:t>at specific supplier immediately</w:t>
      </w:r>
      <w:r>
        <w:t xml:space="preserve"> upon first contact with the potential customer.  The agent shall </w:t>
      </w:r>
      <w:r w:rsidR="00DE0D10">
        <w:t>also</w:t>
      </w:r>
      <w:r>
        <w:t xml:space="preserve"> make clear that he or she is not working for, and is independent of the loca</w:t>
      </w:r>
      <w:r w:rsidR="00F54550">
        <w:t>l</w:t>
      </w:r>
      <w:r>
        <w:t xml:space="preserve"> distribution company or another supplier.</w:t>
      </w:r>
    </w:p>
    <w:p w:rsidR="009175FF" w:rsidRDefault="009175FF" w:rsidP="00F0449C">
      <w:pPr>
        <w:pStyle w:val="NormalIndent"/>
      </w:pPr>
    </w:p>
    <w:p w:rsidR="009175FF" w:rsidRDefault="009175FF" w:rsidP="00F0449C">
      <w:pPr>
        <w:pStyle w:val="NormalIndent"/>
      </w:pPr>
    </w:p>
    <w:p w:rsidR="008A1338" w:rsidRDefault="008A1338" w:rsidP="009175FF">
      <w:pPr>
        <w:spacing w:after="0"/>
        <w:ind w:firstLine="1440"/>
      </w:pPr>
      <w:r>
        <w:t>The Commission further emphasized the importance of this guideline as it applies to telemarketers by codifying it in the 2012 Rulemaking:</w:t>
      </w:r>
    </w:p>
    <w:p w:rsidR="009175FF" w:rsidRDefault="009175FF" w:rsidP="00F0449C">
      <w:pPr>
        <w:pStyle w:val="NormalIndent"/>
      </w:pPr>
    </w:p>
    <w:p w:rsidR="008A1338" w:rsidRDefault="002F30B7" w:rsidP="00F0449C">
      <w:pPr>
        <w:pStyle w:val="NormalIndent"/>
      </w:pPr>
      <w:r>
        <w:t>An agent who contacts customers</w:t>
      </w:r>
      <w:r w:rsidR="00E73543">
        <w:t xml:space="preserve"> by telephone shall, after greeting the customer, immediately identify himself by name, identify the supplier the </w:t>
      </w:r>
      <w:r w:rsidR="009175FF">
        <w:t>a</w:t>
      </w:r>
      <w:r w:rsidR="00E73543">
        <w:t>gent represents and the reason for the telephone call.  The agent shall state that he is not working for and is independent of the local distribution company or another supplier.</w:t>
      </w:r>
      <w:r w:rsidR="003D0E1A">
        <w:rPr>
          <w:rStyle w:val="FootnoteReference"/>
        </w:rPr>
        <w:footnoteReference w:id="17"/>
      </w:r>
    </w:p>
    <w:p w:rsidR="00305E45" w:rsidRDefault="00305E45" w:rsidP="009321A2">
      <w:pPr>
        <w:spacing w:after="0"/>
        <w:ind w:firstLine="720"/>
      </w:pPr>
    </w:p>
    <w:p w:rsidR="00D46E4F" w:rsidRDefault="003D0E1A" w:rsidP="009321A2">
      <w:pPr>
        <w:spacing w:after="0"/>
        <w:ind w:firstLine="1440"/>
      </w:pPr>
      <w:r>
        <w:t xml:space="preserve">While GAP representatives clearly identified themselves as calling from GAP, as a whole they clearly created </w:t>
      </w:r>
      <w:proofErr w:type="gramStart"/>
      <w:r>
        <w:t>a likelihood</w:t>
      </w:r>
      <w:proofErr w:type="gramEnd"/>
      <w:r>
        <w:t xml:space="preserve"> of customer confusion by suggesting that they were “authorized” by Duq</w:t>
      </w:r>
      <w:r w:rsidR="00023875">
        <w:t>u</w:t>
      </w:r>
      <w:r>
        <w:t>esne Light to offer a “savings program”</w:t>
      </w:r>
      <w:r w:rsidR="00B17CBD">
        <w:t xml:space="preserve"> </w:t>
      </w:r>
      <w:r>
        <w:t xml:space="preserve">rather than stating that they were an independent supplier selling electricity generation.  The GAP representatives clearly told the Complainant that the reason for the sales call is “Duquesne Light authorized us to provide </w:t>
      </w:r>
      <w:r w:rsidR="00A0423E">
        <w:t xml:space="preserve">you </w:t>
      </w:r>
      <w:r>
        <w:t>with an immediate savings program.”</w:t>
      </w:r>
      <w:r>
        <w:rPr>
          <w:rStyle w:val="FootnoteReference"/>
        </w:rPr>
        <w:footnoteReference w:id="18"/>
      </w:r>
      <w:r>
        <w:t xml:space="preserve">  The sales representative then told the potential customer </w:t>
      </w:r>
      <w:r>
        <w:lastRenderedPageBreak/>
        <w:t>that he had the Complainant’s Duquesne Light account information</w:t>
      </w:r>
      <w:r w:rsidR="00F44DDE">
        <w:t>,</w:t>
      </w:r>
      <w:r>
        <w:t xml:space="preserve"> further suggesting that GAP was “authorized” by Duque</w:t>
      </w:r>
      <w:r w:rsidR="00023875">
        <w:t>sn</w:t>
      </w:r>
      <w:r>
        <w:t>e Light to “qualify” the customer for a “savings program.”</w:t>
      </w:r>
      <w:r>
        <w:rPr>
          <w:rStyle w:val="FootnoteReference"/>
        </w:rPr>
        <w:footnoteReference w:id="19"/>
      </w:r>
      <w:r w:rsidR="00131616">
        <w:t xml:space="preserve">  When asked if the represen</w:t>
      </w:r>
      <w:r>
        <w:t>tative was calling from Duquesne Light, the telemark</w:t>
      </w:r>
      <w:r w:rsidR="00D15E24">
        <w:t>et</w:t>
      </w:r>
      <w:r>
        <w:t xml:space="preserve">er replied that GAP was “an approved supplier of </w:t>
      </w:r>
      <w:r>
        <w:rPr>
          <w:i/>
        </w:rPr>
        <w:t xml:space="preserve">Duquesne Light’s </w:t>
      </w:r>
      <w:r>
        <w:t>energy choice program.”</w:t>
      </w:r>
      <w:r>
        <w:rPr>
          <w:rStyle w:val="FootnoteReference"/>
        </w:rPr>
        <w:footnoteReference w:id="20"/>
      </w:r>
      <w:r>
        <w:t xml:space="preserve">  </w:t>
      </w:r>
      <w:r w:rsidR="00DF0A02">
        <w:t xml:space="preserve">In a later conversation with a GAP supervisor, the supervisor suggested that GAP was acting on behalf of Duquesne Light because Duquesne Light did not have sufficient resources to call </w:t>
      </w:r>
      <w:r w:rsidR="009175FF">
        <w:t xml:space="preserve">all </w:t>
      </w:r>
      <w:r w:rsidR="00DF0A02">
        <w:t>of its customers itself to give them information about savings programs.</w:t>
      </w:r>
      <w:r w:rsidR="00DF0A02">
        <w:rPr>
          <w:rStyle w:val="FootnoteReference"/>
        </w:rPr>
        <w:footnoteReference w:id="21"/>
      </w:r>
      <w:r w:rsidR="00DF0A02">
        <w:t xml:space="preserve">  At no time did any of the GAP representatives explain to the Complainant that they were “not working for and [were] independent of the local distribution company.”</w:t>
      </w:r>
      <w:r w:rsidR="00DF0A02">
        <w:rPr>
          <w:rStyle w:val="FootnoteReference"/>
        </w:rPr>
        <w:footnoteReference w:id="22"/>
      </w:r>
      <w:r w:rsidR="00DF0A02">
        <w:t xml:space="preserve">  Rather, </w:t>
      </w:r>
      <w:r w:rsidR="004C643B">
        <w:t>armed with a customer’s Duquesne Light account information,</w:t>
      </w:r>
      <w:r w:rsidR="00CC1CEC">
        <w:rPr>
          <w:rStyle w:val="FootnoteReference"/>
        </w:rPr>
        <w:footnoteReference w:id="23"/>
      </w:r>
      <w:r w:rsidR="004C643B">
        <w:t xml:space="preserve"> </w:t>
      </w:r>
      <w:r w:rsidR="00DF0A02">
        <w:t>they led the potential customer to believe that GAP was acting on behalf of Duquesne Light to offer a savings program to qualified customers and that GAP was merely facilitating the process.</w:t>
      </w:r>
      <w:r w:rsidR="001B4F07">
        <w:t xml:space="preserve">  At no point was the Complainant informed that GAP was indep</w:t>
      </w:r>
      <w:r w:rsidR="005F5904">
        <w:t>en</w:t>
      </w:r>
      <w:r w:rsidR="001B4F07">
        <w:t>dent of Duquesne Light and th</w:t>
      </w:r>
      <w:r w:rsidR="00A0423E">
        <w:t>at</w:t>
      </w:r>
      <w:r w:rsidR="001B4F07">
        <w:t xml:space="preserve"> GAP was selling a service.  </w:t>
      </w:r>
    </w:p>
    <w:p w:rsidR="009175FF" w:rsidRDefault="009175FF" w:rsidP="009321A2">
      <w:pPr>
        <w:spacing w:after="0"/>
        <w:ind w:firstLine="1440"/>
      </w:pPr>
    </w:p>
    <w:p w:rsidR="00305E45" w:rsidRDefault="00D46E4F" w:rsidP="009175FF">
      <w:pPr>
        <w:spacing w:after="0"/>
        <w:ind w:firstLine="1440"/>
      </w:pPr>
      <w:r>
        <w:t xml:space="preserve">In totality, GAP’s sales pitch to potential customers caused a likelihood of confusion to potential customers and created a likelihood that a customer would believe that a relationship exists between GAP and Duquesne Light.  </w:t>
      </w:r>
      <w:r w:rsidR="00DB70EA">
        <w:t>Although the representative</w:t>
      </w:r>
      <w:r w:rsidR="00F54550">
        <w:t>s</w:t>
      </w:r>
      <w:r w:rsidR="00DB70EA">
        <w:t xml:space="preserve"> stated that they were calling from GAP, t</w:t>
      </w:r>
      <w:r w:rsidR="001B4F07">
        <w:t xml:space="preserve">he language </w:t>
      </w:r>
      <w:r w:rsidR="00457796">
        <w:t>used by the representatives mis</w:t>
      </w:r>
      <w:r w:rsidR="001B4F07">
        <w:t xml:space="preserve">states GAP’s affiliation with Duquesne Light and constitutes an unfair trade practice as defined by </w:t>
      </w:r>
      <w:r w:rsidR="0089777C">
        <w:t>the CPL</w:t>
      </w:r>
      <w:r w:rsidR="00B17CBD">
        <w:t xml:space="preserve"> and contravenes the Commission’s 2010 Interim Guidelines</w:t>
      </w:r>
      <w:r w:rsidR="001B4F07">
        <w:t>.</w:t>
      </w:r>
      <w:r w:rsidR="004F1F55">
        <w:rPr>
          <w:rStyle w:val="FootnoteReference"/>
        </w:rPr>
        <w:footnoteReference w:id="24"/>
      </w:r>
    </w:p>
    <w:p w:rsidR="00E73543" w:rsidRPr="008B2068" w:rsidRDefault="004F1F55" w:rsidP="007B5CCD">
      <w:pPr>
        <w:spacing w:after="0"/>
        <w:ind w:firstLine="720"/>
      </w:pPr>
      <w:r>
        <w:lastRenderedPageBreak/>
        <w:t xml:space="preserve">  </w:t>
      </w:r>
    </w:p>
    <w:p w:rsidR="004830C3" w:rsidRDefault="004830C3" w:rsidP="007B5CCD">
      <w:pPr>
        <w:spacing w:after="0"/>
      </w:pPr>
      <w:r>
        <w:tab/>
        <w:t>3.</w:t>
      </w:r>
      <w:r>
        <w:tab/>
      </w:r>
      <w:r w:rsidR="008B2068" w:rsidRPr="009175FF">
        <w:rPr>
          <w:u w:val="single"/>
        </w:rPr>
        <w:t xml:space="preserve">Do Not Call </w:t>
      </w:r>
      <w:r w:rsidR="009175FF">
        <w:rPr>
          <w:u w:val="single"/>
        </w:rPr>
        <w:t>V</w:t>
      </w:r>
      <w:r w:rsidR="008B2068" w:rsidRPr="009175FF">
        <w:rPr>
          <w:u w:val="single"/>
        </w:rPr>
        <w:t>iolations</w:t>
      </w:r>
      <w:r w:rsidR="008B2068">
        <w:t xml:space="preserve"> </w:t>
      </w:r>
    </w:p>
    <w:p w:rsidR="00305E45" w:rsidRDefault="00305E45" w:rsidP="007B5CCD">
      <w:pPr>
        <w:spacing w:after="0"/>
      </w:pPr>
    </w:p>
    <w:p w:rsidR="004F1F55" w:rsidRDefault="00196486" w:rsidP="009175FF">
      <w:pPr>
        <w:spacing w:after="0"/>
        <w:ind w:firstLine="1440"/>
      </w:pPr>
      <w:r>
        <w:t>The Complainant next complains that GAP continued to call him repeatedly after he asked them to stop calling him.  GAP counters that its procedure for processing do-not-call requests is reasonable and that the Complainant’s number was scrubbed from its calling lists within a reasonable period of time.  I find that given the intensity and structure of GAP’s telemarketing campaign, it did not have a reasonable procedure in place to remove telephone numbers from the customer list used by its agents in a timely manner.</w:t>
      </w:r>
    </w:p>
    <w:p w:rsidR="00305E45" w:rsidRDefault="00305E45" w:rsidP="007B5CCD">
      <w:pPr>
        <w:spacing w:after="0"/>
      </w:pPr>
    </w:p>
    <w:p w:rsidR="001E76ED" w:rsidRDefault="00196486" w:rsidP="009175FF">
      <w:pPr>
        <w:spacing w:after="0"/>
        <w:ind w:firstLine="1440"/>
      </w:pPr>
      <w:r>
        <w:t xml:space="preserve">GAP properly points out that there is no binding Pennsylvania authority regarding the amount of time a telemarketer has to place a person on its internal do-not-call lists.  Therefore GAP advocates guidance by the Federal Communications Commission which provides </w:t>
      </w:r>
      <w:proofErr w:type="gramStart"/>
      <w:r>
        <w:t>that</w:t>
      </w:r>
      <w:proofErr w:type="gramEnd"/>
      <w:r>
        <w:t xml:space="preserve"> 30</w:t>
      </w:r>
      <w:r w:rsidR="009175FF">
        <w:t xml:space="preserve"> </w:t>
      </w:r>
      <w:r>
        <w:t>days from the date of a request is reasonable.</w:t>
      </w:r>
      <w:r>
        <w:rPr>
          <w:rStyle w:val="FootnoteReference"/>
        </w:rPr>
        <w:footnoteReference w:id="25"/>
      </w:r>
      <w:r>
        <w:t xml:space="preserve"> </w:t>
      </w:r>
      <w:r w:rsidR="009175FF">
        <w:t xml:space="preserve"> </w:t>
      </w:r>
      <w:r w:rsidR="001E76ED">
        <w:t>The 2010 Interim Guidelines provide that an EGS must comply with the Telemarketer Registration Act</w:t>
      </w:r>
      <w:r w:rsidR="002D7763">
        <w:t>.</w:t>
      </w:r>
      <w:r w:rsidR="00774909">
        <w:rPr>
          <w:rStyle w:val="FootnoteReference"/>
        </w:rPr>
        <w:footnoteReference w:id="26"/>
      </w:r>
      <w:r w:rsidR="001E76ED">
        <w:t xml:space="preserve">  Section 2245 of the Telemarketer Registration Act,</w:t>
      </w:r>
      <w:r w:rsidR="001E76ED">
        <w:rPr>
          <w:rStyle w:val="FootnoteReference"/>
        </w:rPr>
        <w:footnoteReference w:id="27"/>
      </w:r>
      <w:r w:rsidR="001E76ED">
        <w:t xml:space="preserve"> provides that it is unlawful to </w:t>
      </w:r>
    </w:p>
    <w:p w:rsidR="00305E45" w:rsidRDefault="00305E45" w:rsidP="007B5CCD">
      <w:pPr>
        <w:spacing w:after="0"/>
      </w:pPr>
    </w:p>
    <w:p w:rsidR="002C5023" w:rsidRDefault="001E76ED" w:rsidP="00F0449C">
      <w:pPr>
        <w:pStyle w:val="NormalIndent"/>
      </w:pPr>
      <w:r>
        <w:t>[</w:t>
      </w:r>
      <w:proofErr w:type="gramStart"/>
      <w:r>
        <w:t>initiate</w:t>
      </w:r>
      <w:proofErr w:type="gramEnd"/>
      <w:r>
        <w:t xml:space="preserve">] an outbound telephone call to a person when that person previously has stated that he or she does not wish to receive an outbound telephone call made by or on </w:t>
      </w:r>
      <w:r w:rsidR="00DE0D10">
        <w:t>behalf</w:t>
      </w:r>
      <w:r>
        <w:t xml:space="preserve"> of the seller whose goods or services are being offered.  A seller or telemarketer will not be liable for violating the provisions of this paragraph if:</w:t>
      </w:r>
    </w:p>
    <w:p w:rsidR="0027462B" w:rsidRDefault="0027462B" w:rsidP="00F0449C">
      <w:pPr>
        <w:pStyle w:val="NormalIndent"/>
      </w:pPr>
    </w:p>
    <w:p w:rsidR="001E76ED" w:rsidRDefault="001E76ED" w:rsidP="0027462B">
      <w:pPr>
        <w:pStyle w:val="NormalIndent"/>
        <w:numPr>
          <w:ilvl w:val="0"/>
          <w:numId w:val="20"/>
        </w:numPr>
        <w:ind w:left="1440" w:firstLine="720"/>
      </w:pPr>
      <w:r>
        <w:t>he has establish</w:t>
      </w:r>
      <w:r w:rsidR="002D7763">
        <w:t>ed</w:t>
      </w:r>
      <w:r>
        <w:t xml:space="preserve"> and implemented written procedures to comply with this paragraph;</w:t>
      </w:r>
    </w:p>
    <w:p w:rsidR="00F54550" w:rsidRDefault="00F54550" w:rsidP="00F54550">
      <w:pPr>
        <w:pStyle w:val="NormalIndent"/>
        <w:ind w:left="2160"/>
      </w:pPr>
    </w:p>
    <w:p w:rsidR="00F54550" w:rsidRDefault="00F54550" w:rsidP="0027462B">
      <w:pPr>
        <w:pStyle w:val="NormalIndent"/>
        <w:numPr>
          <w:ilvl w:val="0"/>
          <w:numId w:val="20"/>
        </w:numPr>
        <w:ind w:left="1440" w:firstLine="720"/>
      </w:pPr>
      <w:r>
        <w:t xml:space="preserve">he has trained his personnel in the procedures; </w:t>
      </w:r>
    </w:p>
    <w:p w:rsidR="00F54550" w:rsidRDefault="00F54550" w:rsidP="00F54550">
      <w:pPr>
        <w:pStyle w:val="ListParagraph"/>
        <w:numPr>
          <w:ilvl w:val="0"/>
          <w:numId w:val="0"/>
        </w:numPr>
        <w:ind w:left="1440"/>
      </w:pPr>
    </w:p>
    <w:p w:rsidR="00F54550" w:rsidRDefault="00F54550" w:rsidP="0027462B">
      <w:pPr>
        <w:pStyle w:val="NormalIndent"/>
        <w:numPr>
          <w:ilvl w:val="0"/>
          <w:numId w:val="20"/>
        </w:numPr>
        <w:ind w:left="1440" w:firstLine="720"/>
      </w:pPr>
      <w:r>
        <w:t>The seller or the telemarketer acting on behalf of the seller has maintained and recorded lists of persons who may not be contacted; and</w:t>
      </w:r>
    </w:p>
    <w:p w:rsidR="0027462B" w:rsidRDefault="0027462B" w:rsidP="0027462B">
      <w:pPr>
        <w:pStyle w:val="NormalIndent"/>
        <w:ind w:firstLine="720"/>
      </w:pPr>
    </w:p>
    <w:p w:rsidR="001E76ED" w:rsidRDefault="00F54550" w:rsidP="0027462B">
      <w:pPr>
        <w:pStyle w:val="NormalIndent"/>
        <w:ind w:firstLine="720"/>
      </w:pPr>
      <w:r>
        <w:t xml:space="preserve"> </w:t>
      </w:r>
      <w:r w:rsidR="001E76ED">
        <w:t>(iv)</w:t>
      </w:r>
      <w:r w:rsidR="001E76ED">
        <w:tab/>
      </w:r>
      <w:proofErr w:type="gramStart"/>
      <w:r w:rsidR="001E76ED">
        <w:t>any</w:t>
      </w:r>
      <w:proofErr w:type="gramEnd"/>
      <w:r w:rsidR="001E76ED">
        <w:t xml:space="preserve"> subsequent call is the result of error.</w:t>
      </w:r>
      <w:r w:rsidR="001E76ED">
        <w:rPr>
          <w:rStyle w:val="FootnoteReference"/>
        </w:rPr>
        <w:footnoteReference w:id="28"/>
      </w:r>
    </w:p>
    <w:p w:rsidR="0027462B" w:rsidRDefault="0027462B" w:rsidP="006E550B">
      <w:pPr>
        <w:pStyle w:val="NormalIndent"/>
        <w:ind w:firstLine="720"/>
      </w:pPr>
    </w:p>
    <w:p w:rsidR="005F0CD2" w:rsidRDefault="005F0CD2" w:rsidP="006E550B">
      <w:pPr>
        <w:pStyle w:val="NormalIndent"/>
      </w:pPr>
    </w:p>
    <w:p w:rsidR="001E76ED" w:rsidRDefault="001E76ED" w:rsidP="007B5CCD">
      <w:pPr>
        <w:spacing w:after="0"/>
      </w:pPr>
      <w:r>
        <w:t>The Commission’s 2010 Interim Guidelines further provide that inclusion on an eligible customer list does not constitute consent by an individual to be contacted.</w:t>
      </w:r>
      <w:r>
        <w:rPr>
          <w:rStyle w:val="FootnoteReference"/>
        </w:rPr>
        <w:footnoteReference w:id="29"/>
      </w:r>
    </w:p>
    <w:p w:rsidR="009175FF" w:rsidRDefault="009175FF" w:rsidP="007B5CCD">
      <w:pPr>
        <w:spacing w:after="0"/>
      </w:pPr>
    </w:p>
    <w:p w:rsidR="00531E13" w:rsidRDefault="005F0CD2" w:rsidP="009175FF">
      <w:pPr>
        <w:spacing w:after="0"/>
        <w:ind w:firstLine="1440"/>
      </w:pPr>
      <w:r>
        <w:t xml:space="preserve">GAP produced very little evidence concerning its do-not-call policy. </w:t>
      </w:r>
      <w:r w:rsidR="00196486">
        <w:t xml:space="preserve"> </w:t>
      </w:r>
      <w:r w:rsidR="00531E13">
        <w:t>Ms. Lucas testified that GAP provides its call centers with the state and federal Do Not Call lists and expects the project managers of the call centers to scrub the lists.  She also testified that GAP endeavors to process do-not-call requests on its internal do-</w:t>
      </w:r>
      <w:r>
        <w:t xml:space="preserve">not-call list within 48 hours. </w:t>
      </w:r>
      <w:r w:rsidR="009175FF">
        <w:t xml:space="preserve"> </w:t>
      </w:r>
      <w:r>
        <w:t>GAP did not produce any writing which memorializes this policy nor did it explain its training procedures.  Rather, it is clear from the totality of the evidence that GAP</w:t>
      </w:r>
      <w:r w:rsidR="004369C1">
        <w:t xml:space="preserve"> delegates the responsibility for complying with do</w:t>
      </w:r>
      <w:r w:rsidR="00387C31">
        <w:t>-n</w:t>
      </w:r>
      <w:r w:rsidR="004369C1">
        <w:t>ot</w:t>
      </w:r>
      <w:r w:rsidR="00387C31">
        <w:t>-</w:t>
      </w:r>
      <w:r w:rsidR="004369C1">
        <w:t>call requests to the call center proje</w:t>
      </w:r>
      <w:r w:rsidR="00D2148B">
        <w:t>ct manager and takes very little responsibility for making sure that its policy directives are complied with.</w:t>
      </w:r>
    </w:p>
    <w:p w:rsidR="00305E45" w:rsidRDefault="00305E45" w:rsidP="007B5CCD">
      <w:pPr>
        <w:spacing w:after="0"/>
        <w:ind w:firstLine="720"/>
      </w:pPr>
    </w:p>
    <w:p w:rsidR="00D2148B" w:rsidRDefault="00531E13" w:rsidP="007B5CCD">
      <w:pPr>
        <w:spacing w:after="0"/>
        <w:ind w:firstLine="1440"/>
      </w:pPr>
      <w:r>
        <w:t xml:space="preserve">However, GAP clearly failed to even comply with its own internal procedure.  </w:t>
      </w:r>
      <w:r w:rsidR="001E4200">
        <w:t xml:space="preserve">The Complainant testified that where the Google Voice record noted a call that was one minute in duration, that he asked the GAP representative </w:t>
      </w:r>
      <w:r w:rsidR="008A134F">
        <w:t>not to</w:t>
      </w:r>
      <w:r w:rsidR="001E4200">
        <w:t xml:space="preserve"> call him.  His testimony is credible and GAP did not produce any evidence to refute his testimony.  These one minute calls occurred once on May 18, and twice on May 22.  Yet</w:t>
      </w:r>
      <w:r w:rsidR="00BB3A1D">
        <w:t xml:space="preserve"> GAP failed to act on any of these three requests by the Complainant to place him on their do-not-call list.  Indeed,</w:t>
      </w:r>
      <w:r w:rsidR="001E4200">
        <w:t xml:space="preserve"> no do-not-call request was processed </w:t>
      </w:r>
      <w:r w:rsidR="00BB3A1D">
        <w:t xml:space="preserve">by GAP </w:t>
      </w:r>
      <w:r w:rsidR="001E4200">
        <w:t>until the Complainant received a</w:t>
      </w:r>
      <w:r w:rsidR="00BB3A1D">
        <w:t>nother</w:t>
      </w:r>
      <w:r w:rsidR="001E4200">
        <w:t xml:space="preserve"> call on May 24 and asked not to be called.  For a reason that Ms. Lucas could not explain, the request was not processed in accordance with GAP’s 48-hour internal do-not-call policy and the Complainant was not scrubbed from GAP’s list until sometime after the Complainant was contacted again on June 13, 2012.</w:t>
      </w:r>
      <w:r w:rsidR="00D2148B">
        <w:t xml:space="preserve">  In view of GAP’s lack of oversight</w:t>
      </w:r>
      <w:r w:rsidR="00DE77F2">
        <w:t xml:space="preserve"> of the call center’s compliance with its do-not-call procedure</w:t>
      </w:r>
      <w:r w:rsidR="000F7E5E">
        <w:rPr>
          <w:rStyle w:val="FootnoteReference"/>
        </w:rPr>
        <w:footnoteReference w:id="30"/>
      </w:r>
      <w:r w:rsidR="00D2148B">
        <w:t xml:space="preserve"> and lack of evidence concerning GAP’s investigation of why the Complainant’s first </w:t>
      </w:r>
      <w:r w:rsidR="00D2148B">
        <w:lastRenderedPageBreak/>
        <w:t>three requests to not be called were not recorded or otherwise acted upon, there is no basis to conclude that GAP’s failure to stop calling him was a mistake.</w:t>
      </w:r>
    </w:p>
    <w:p w:rsidR="00305E45" w:rsidRDefault="00305E45" w:rsidP="007B5CCD">
      <w:pPr>
        <w:spacing w:after="0"/>
        <w:ind w:firstLine="1440"/>
      </w:pPr>
    </w:p>
    <w:p w:rsidR="00C66195" w:rsidRDefault="00C66195" w:rsidP="007B5CCD">
      <w:pPr>
        <w:spacing w:after="0"/>
        <w:ind w:firstLine="1440"/>
      </w:pPr>
      <w:r>
        <w:t>In sum, GAP designed a very intensive short-term telemarketing campaign executed by agents calling from multiple locations who were employed by multiple call centers.  According</w:t>
      </w:r>
      <w:r w:rsidR="00C96D89">
        <w:t>ly</w:t>
      </w:r>
      <w:r>
        <w:t>, GAP should have known that this design required a do-not-call protocol which would make provisions for these factors which would mitigate the risk of calling consumers who did not want to be contacted.  Yet it failed to do so.  Not only did GAP representatives continue to contact the Complainant after he asked them not to, but the same representative called him with the same pitch even after the Complainant told him that he was not interested in GAP’s product.</w:t>
      </w:r>
      <w:r w:rsidR="004B0E34">
        <w:t xml:space="preserve">  This is clearly the type of sales behavior that Section 2245 of the Telemarketer Registration Act was designed to prevent and constitutes a violation of the Commission’s 2010 Interim Guidelines which incorporate the requirements of that statute.</w:t>
      </w:r>
    </w:p>
    <w:p w:rsidR="00305E45" w:rsidRDefault="00305E45" w:rsidP="007B5CCD">
      <w:pPr>
        <w:spacing w:after="0"/>
        <w:ind w:firstLine="1440"/>
      </w:pPr>
    </w:p>
    <w:p w:rsidR="00305E45" w:rsidRDefault="004830C3" w:rsidP="007B5CCD">
      <w:pPr>
        <w:spacing w:after="0"/>
        <w:rPr>
          <w:i/>
        </w:rPr>
      </w:pPr>
      <w:r>
        <w:tab/>
      </w:r>
      <w:r w:rsidR="008B2068">
        <w:t>4.</w:t>
      </w:r>
      <w:r>
        <w:tab/>
      </w:r>
      <w:r w:rsidR="00235346" w:rsidRPr="008A134F">
        <w:rPr>
          <w:u w:val="single"/>
        </w:rPr>
        <w:t>Bad Caller ID</w:t>
      </w:r>
    </w:p>
    <w:p w:rsidR="00305E45" w:rsidRDefault="00305E45" w:rsidP="007B5CCD">
      <w:pPr>
        <w:spacing w:after="0"/>
      </w:pPr>
    </w:p>
    <w:p w:rsidR="00C52911" w:rsidRDefault="00C52911" w:rsidP="008A134F">
      <w:pPr>
        <w:spacing w:after="0"/>
        <w:ind w:firstLine="1440"/>
      </w:pPr>
      <w:r>
        <w:t>The Complainant next contends that GAP engaged in abusive telemarketing conduct because GAP failed to transmit a telephone number on “</w:t>
      </w:r>
      <w:r w:rsidR="00F0449C">
        <w:t>C</w:t>
      </w:r>
      <w:r>
        <w:t>aller ID” that could be called during normal business hours to request that telemarketing calls stop.</w:t>
      </w:r>
      <w:r w:rsidR="00494FB1">
        <w:t xml:space="preserve"> </w:t>
      </w:r>
    </w:p>
    <w:p w:rsidR="00305E45" w:rsidRDefault="00305E45" w:rsidP="007B5CCD">
      <w:pPr>
        <w:spacing w:after="0"/>
      </w:pPr>
    </w:p>
    <w:p w:rsidR="006265DF" w:rsidRDefault="00494FB1" w:rsidP="008A134F">
      <w:pPr>
        <w:spacing w:after="0"/>
        <w:ind w:firstLine="1440"/>
      </w:pPr>
      <w:r>
        <w:t>Google Voice recorded the numbers of incoming calls that were received by the Complainant from GAP.  The Complainant manually associated these telephone numbers with GAP as shown on Complainant’s Exhibit 6, and GAP admitted that these numbers were used by GAP in its telemarketing campaign.</w:t>
      </w:r>
      <w:r>
        <w:rPr>
          <w:rStyle w:val="FootnoteReference"/>
        </w:rPr>
        <w:footnoteReference w:id="31"/>
      </w:r>
      <w:r>
        <w:t xml:space="preserve">  The Complainant testified that when </w:t>
      </w:r>
      <w:r w:rsidR="008A134F">
        <w:t xml:space="preserve">he </w:t>
      </w:r>
      <w:r>
        <w:t xml:space="preserve">called these numbers, he got a message that the number had been disconnected or that he had reached a </w:t>
      </w:r>
    </w:p>
    <w:p w:rsidR="006265DF" w:rsidRDefault="006265DF">
      <w:pPr>
        <w:spacing w:line="276" w:lineRule="auto"/>
      </w:pPr>
      <w:r>
        <w:br w:type="page"/>
      </w:r>
    </w:p>
    <w:p w:rsidR="00494FB1" w:rsidRDefault="00494FB1" w:rsidP="006265DF">
      <w:pPr>
        <w:spacing w:after="0"/>
      </w:pPr>
      <w:proofErr w:type="gramStart"/>
      <w:r>
        <w:lastRenderedPageBreak/>
        <w:t>business</w:t>
      </w:r>
      <w:proofErr w:type="gramEnd"/>
      <w:r>
        <w:t xml:space="preserve"> that provides comparison quotes on auto insurance.</w:t>
      </w:r>
      <w:r>
        <w:rPr>
          <w:rStyle w:val="FootnoteReference"/>
        </w:rPr>
        <w:footnoteReference w:id="32"/>
      </w:r>
      <w:r w:rsidR="004F60DF">
        <w:t xml:space="preserve">  GAP offers no admissible evidence to refute the claims made by the Complainant.</w:t>
      </w:r>
      <w:r w:rsidR="004F60DF">
        <w:rPr>
          <w:rStyle w:val="FootnoteReference"/>
        </w:rPr>
        <w:footnoteReference w:id="33"/>
      </w:r>
    </w:p>
    <w:p w:rsidR="00305E45" w:rsidRDefault="00305E45" w:rsidP="007B5CCD">
      <w:pPr>
        <w:spacing w:after="0"/>
      </w:pPr>
    </w:p>
    <w:p w:rsidR="00A61997" w:rsidRDefault="00C700DF" w:rsidP="008A134F">
      <w:pPr>
        <w:spacing w:after="0"/>
        <w:ind w:firstLine="1440"/>
      </w:pPr>
      <w:r>
        <w:t>The Telemarketer Act provides that a telemarketer may not take any action to block the caller identification to the recipient of a telephone solicitation.</w:t>
      </w:r>
      <w:r>
        <w:rPr>
          <w:rStyle w:val="FootnoteReference"/>
        </w:rPr>
        <w:footnoteReference w:id="34"/>
      </w:r>
      <w:r>
        <w:t xml:space="preserve">  The Act also provides</w:t>
      </w:r>
      <w:r w:rsidR="008A134F">
        <w:t>:</w:t>
      </w:r>
    </w:p>
    <w:p w:rsidR="00305E45" w:rsidRDefault="00305E45" w:rsidP="008A134F">
      <w:pPr>
        <w:spacing w:after="0" w:line="240" w:lineRule="auto"/>
      </w:pPr>
    </w:p>
    <w:p w:rsidR="00C700DF" w:rsidRDefault="00C700DF" w:rsidP="00F0449C">
      <w:pPr>
        <w:pStyle w:val="NormalIndent"/>
      </w:pPr>
      <w:r>
        <w:t>No telemarketer shall fail to provide a residential or wireless telephone subscriber with the name of the caller, the name of the person or entity on whose behalf the call is being made and, upon request, a telephone number or address at which the person or entity may be contacted.</w:t>
      </w:r>
      <w:r>
        <w:rPr>
          <w:rStyle w:val="FootnoteReference"/>
        </w:rPr>
        <w:footnoteReference w:id="35"/>
      </w:r>
    </w:p>
    <w:p w:rsidR="008A134F" w:rsidRDefault="008A134F" w:rsidP="00F0449C">
      <w:pPr>
        <w:pStyle w:val="NormalIndent"/>
      </w:pPr>
    </w:p>
    <w:p w:rsidR="00305E45" w:rsidRDefault="00305E45" w:rsidP="00F0449C">
      <w:pPr>
        <w:pStyle w:val="NormalIndent"/>
      </w:pPr>
    </w:p>
    <w:p w:rsidR="00C700DF" w:rsidRDefault="00893F27" w:rsidP="007B5CCD">
      <w:pPr>
        <w:spacing w:after="0"/>
      </w:pPr>
      <w:r w:rsidRPr="000D6D45">
        <w:t>Further, the Commission’s 2010 Interim Guidelines explicitly adopt the federal Telemarketing Sales Rule,</w:t>
      </w:r>
      <w:r w:rsidR="00A13979" w:rsidRPr="000D6D45">
        <w:rPr>
          <w:rStyle w:val="FootnoteReference"/>
        </w:rPr>
        <w:footnoteReference w:id="36"/>
      </w:r>
      <w:r w:rsidRPr="000D6D45">
        <w:t xml:space="preserve"> which the Complainant cites in support of his complaint:</w:t>
      </w:r>
    </w:p>
    <w:p w:rsidR="008A134F" w:rsidRDefault="008A134F" w:rsidP="00F0449C">
      <w:pPr>
        <w:pStyle w:val="NormalIndent"/>
      </w:pPr>
    </w:p>
    <w:p w:rsidR="00893F27" w:rsidRPr="00893F27" w:rsidRDefault="00893F27" w:rsidP="00F0449C">
      <w:pPr>
        <w:pStyle w:val="NormalIndent"/>
      </w:pPr>
      <w:r w:rsidRPr="00893F27">
        <w:t>It is an abusive telemarketing act or practice and a violation of this Rule for any seller or telemarketer to engage in the following conduct:</w:t>
      </w:r>
    </w:p>
    <w:p w:rsidR="008A134F" w:rsidRDefault="008A134F" w:rsidP="00F0449C">
      <w:pPr>
        <w:pStyle w:val="NormalIndent"/>
      </w:pPr>
    </w:p>
    <w:p w:rsidR="00893F27" w:rsidRDefault="00893F27" w:rsidP="00F0449C">
      <w:pPr>
        <w:pStyle w:val="NormalIndent"/>
      </w:pPr>
      <w:r>
        <w:t xml:space="preserve">. . . </w:t>
      </w:r>
    </w:p>
    <w:p w:rsidR="008A134F" w:rsidRDefault="008A134F" w:rsidP="00F0449C">
      <w:pPr>
        <w:pStyle w:val="NormalIndent"/>
      </w:pPr>
    </w:p>
    <w:p w:rsidR="00893F27" w:rsidRDefault="00893F27" w:rsidP="00F0449C">
      <w:pPr>
        <w:pStyle w:val="NormalIndent"/>
      </w:pPr>
      <w:r w:rsidRPr="00893F27">
        <w:t xml:space="preserve">(8) Failing to transmit or cause to be transmitted the telephone number, and, when made available by the telemarketer's carrier, the name of the telemarketer, to any caller identification service in use by a recipient of a telemarketing call; provided that it shall not be a violation to substitute (for the name and phone number used in, or billed for, making the call) the name of the seller or charitable organization on behalf of which a telemarketing call is </w:t>
      </w:r>
      <w:r w:rsidRPr="00893F27">
        <w:lastRenderedPageBreak/>
        <w:t>placed, and the seller's or charitable organization's customer or donor service telephone number, which is answered during regular business hours.</w:t>
      </w:r>
      <w:r>
        <w:rPr>
          <w:rStyle w:val="FootnoteReference"/>
        </w:rPr>
        <w:footnoteReference w:id="37"/>
      </w:r>
    </w:p>
    <w:p w:rsidR="00305E45" w:rsidRPr="00893F27" w:rsidRDefault="00305E45" w:rsidP="00F0449C">
      <w:pPr>
        <w:pStyle w:val="NormalIndent"/>
      </w:pPr>
    </w:p>
    <w:p w:rsidR="00893F27" w:rsidRDefault="004155A7" w:rsidP="007B5CCD">
      <w:pPr>
        <w:spacing w:after="0"/>
      </w:pPr>
      <w:r>
        <w:t xml:space="preserve">The Complainant’s </w:t>
      </w:r>
      <w:r w:rsidR="00506A8C">
        <w:t xml:space="preserve">credible </w:t>
      </w:r>
      <w:r>
        <w:t xml:space="preserve">testimony is </w:t>
      </w:r>
      <w:proofErr w:type="spellStart"/>
      <w:r>
        <w:t>unrefuted</w:t>
      </w:r>
      <w:proofErr w:type="spellEnd"/>
      <w:r>
        <w:t xml:space="preserve"> that none of the telephone numbers transmitted to </w:t>
      </w:r>
      <w:r w:rsidR="00506A8C">
        <w:t xml:space="preserve">his </w:t>
      </w:r>
      <w:r>
        <w:t>Google Voice</w:t>
      </w:r>
      <w:r w:rsidR="00506A8C">
        <w:t xml:space="preserve"> account</w:t>
      </w:r>
      <w:r>
        <w:t xml:space="preserve"> could be used to contact GAP during business hours to request that GAP stop calling him.  GAP did not put any evidence into the record that its call center was not technologically capable of making GAP’s actual telephone number available in the caller identification transmitted to recipients o</w:t>
      </w:r>
      <w:r w:rsidR="00506A8C">
        <w:t xml:space="preserve">f telemarketing telephone calls or that GAP could otherwise be contacted by calling the transmitted numbers. </w:t>
      </w:r>
      <w:r w:rsidR="002D7763">
        <w:t xml:space="preserve"> </w:t>
      </w:r>
      <w:r w:rsidR="00506A8C">
        <w:t>Although in its memorandum GAP states that at the time of the campaign GAP could be reached at 234-542-5932,</w:t>
      </w:r>
      <w:r w:rsidR="004523A3">
        <w:t xml:space="preserve"> a number used by the call center to contact potential customers,</w:t>
      </w:r>
      <w:r w:rsidR="00506A8C">
        <w:t xml:space="preserve"> there is no testimony from GAP’s witness or other </w:t>
      </w:r>
      <w:r w:rsidR="006672F9">
        <w:t>admissible evidence</w:t>
      </w:r>
      <w:r w:rsidR="00506A8C">
        <w:t xml:space="preserve"> that supports that statement.</w:t>
      </w:r>
      <w:r w:rsidR="004523A3">
        <w:t xml:space="preserve"> </w:t>
      </w:r>
      <w:r w:rsidR="00506A8C">
        <w:t xml:space="preserve"> GAP is responsible for the actions of the call centers that it engaged to effectua</w:t>
      </w:r>
      <w:r w:rsidR="00CE60E0">
        <w:t>te its telemarketing campaign and therefore violated Telemarketing Sales Rule 310.4(8) by failing to transmit a valid telephone number as caller identification that could be used to contact GAP during regular business hours.  By failing to comply with the Telemarketing Sales Rule, GAP failed to conform to the Commission’s 2010 Interim Guidelines as required by its Commission-issued supplier’s license.</w:t>
      </w:r>
    </w:p>
    <w:p w:rsidR="00305E45" w:rsidRDefault="00305E45" w:rsidP="007B5CCD">
      <w:pPr>
        <w:spacing w:after="0"/>
      </w:pPr>
    </w:p>
    <w:p w:rsidR="008B2068" w:rsidRDefault="008B2068" w:rsidP="007B5CCD">
      <w:pPr>
        <w:spacing w:after="0"/>
      </w:pPr>
      <w:r>
        <w:tab/>
        <w:t>5.</w:t>
      </w:r>
      <w:r>
        <w:tab/>
      </w:r>
      <w:r w:rsidR="00235346" w:rsidRPr="008A134F">
        <w:rPr>
          <w:u w:val="single"/>
        </w:rPr>
        <w:t>Switching without Consent</w:t>
      </w:r>
      <w:r w:rsidR="00235346" w:rsidRPr="00235346">
        <w:t xml:space="preserve"> </w:t>
      </w:r>
    </w:p>
    <w:p w:rsidR="00305E45" w:rsidRDefault="00305E45" w:rsidP="007B5CCD">
      <w:pPr>
        <w:spacing w:after="0"/>
      </w:pPr>
    </w:p>
    <w:p w:rsidR="00223553" w:rsidRDefault="00223553" w:rsidP="007B5CCD">
      <w:pPr>
        <w:spacing w:after="0"/>
      </w:pPr>
      <w:r>
        <w:tab/>
      </w:r>
      <w:r w:rsidR="00602D07">
        <w:tab/>
      </w:r>
      <w:r>
        <w:t>The Complainant contends that GAP is also guilty of switching a consumer’s energy supplier without explicit informed consent and that GAP telemarketers provided misleading or false information about GAP’s rates.</w:t>
      </w:r>
      <w:r w:rsidR="000D247B">
        <w:t xml:space="preserve"> </w:t>
      </w:r>
      <w:r w:rsidR="008A134F">
        <w:t xml:space="preserve"> </w:t>
      </w:r>
      <w:r w:rsidR="000D247B">
        <w:t>GAP counters that the Complainant was never switched to GAP as his supplier and the GAP representatives clearly explained the enrollment process to him.</w:t>
      </w:r>
      <w:r w:rsidR="00C65FE6">
        <w:t xml:space="preserve">  GAP also denies that the information about rates that was provided to the Complainant was misleading or false.</w:t>
      </w:r>
    </w:p>
    <w:p w:rsidR="00305E45" w:rsidRDefault="00305E45" w:rsidP="007B5CCD">
      <w:pPr>
        <w:spacing w:after="0"/>
      </w:pPr>
    </w:p>
    <w:p w:rsidR="00602D07" w:rsidRDefault="00C65FE6" w:rsidP="007B5CCD">
      <w:pPr>
        <w:spacing w:after="0"/>
      </w:pPr>
      <w:r>
        <w:tab/>
      </w:r>
      <w:r w:rsidR="00602D07">
        <w:tab/>
      </w:r>
      <w:r>
        <w:t xml:space="preserve">The Commission has been very clear that switching customers without their consent, known as slamming, is a very serious violation of the Commission’s rules and </w:t>
      </w:r>
      <w:r>
        <w:lastRenderedPageBreak/>
        <w:t>regulations and will be dealt with harshly by the Commission.</w:t>
      </w:r>
      <w:r>
        <w:rPr>
          <w:rStyle w:val="FootnoteReference"/>
        </w:rPr>
        <w:footnoteReference w:id="38"/>
      </w:r>
      <w:r>
        <w:t xml:space="preserve">  </w:t>
      </w:r>
      <w:r w:rsidRPr="00602D07">
        <w:t>After reviewing the transcripts of the sales calls received by the Complainant</w:t>
      </w:r>
      <w:r w:rsidR="005164EE">
        <w:t>,</w:t>
      </w:r>
      <w:r w:rsidRPr="00602D07">
        <w:t xml:space="preserve"> I am constrained to agree with GAP, that it is not guilty of slamming</w:t>
      </w:r>
      <w:r w:rsidR="00602D07">
        <w:t xml:space="preserve"> because the Complainant was not actually switched.  He was able to stop the enrollment process before the conclusion of the sales call.  He was never sent a welcome packet, and never had to take affirmative action to cancel the enrolment after the call was concluded.</w:t>
      </w:r>
    </w:p>
    <w:p w:rsidR="00305E45" w:rsidRDefault="00305E45" w:rsidP="007B5CCD">
      <w:pPr>
        <w:spacing w:after="0"/>
      </w:pPr>
    </w:p>
    <w:p w:rsidR="00934355" w:rsidRDefault="00C65FE6" w:rsidP="007B5CCD">
      <w:pPr>
        <w:spacing w:after="0"/>
        <w:ind w:firstLine="1440"/>
      </w:pPr>
      <w:r w:rsidRPr="00602D07">
        <w:t>However, the tactics used by GAP</w:t>
      </w:r>
      <w:r w:rsidR="00E7200E">
        <w:t>’</w:t>
      </w:r>
      <w:r w:rsidRPr="00602D07">
        <w:t>s re</w:t>
      </w:r>
      <w:r>
        <w:t xml:space="preserve">presentatives in the course of the sales calls skate very close to misleading consumers and raise a great risk that a consumer less </w:t>
      </w:r>
      <w:r w:rsidR="00DE0D10">
        <w:t>savvy</w:t>
      </w:r>
      <w:r>
        <w:t xml:space="preserve"> than the Complainant could agree to enrollment with GAP without a complete understanding of what is happening.</w:t>
      </w:r>
      <w:r w:rsidR="008A134F">
        <w:t xml:space="preserve">  </w:t>
      </w:r>
      <w:r>
        <w:t>As the Complainant contends, the GAP representatives never explici</w:t>
      </w:r>
      <w:r w:rsidR="007239FF">
        <w:t>tl</w:t>
      </w:r>
      <w:r>
        <w:t>y ask</w:t>
      </w:r>
      <w:r w:rsidR="007239FF">
        <w:t>ed him</w:t>
      </w:r>
      <w:r>
        <w:t xml:space="preserve"> if </w:t>
      </w:r>
      <w:r w:rsidR="007239FF">
        <w:t>he wanted</w:t>
      </w:r>
      <w:r>
        <w:t xml:space="preserve"> to enroll in GAP’s supply program. </w:t>
      </w:r>
      <w:r w:rsidR="007239FF">
        <w:t xml:space="preserve"> Rather, the representative began</w:t>
      </w:r>
      <w:r>
        <w:t xml:space="preserve"> a taped “verification” process after explaining GAP’s rate program.</w:t>
      </w:r>
      <w:r>
        <w:rPr>
          <w:rStyle w:val="FootnoteReference"/>
        </w:rPr>
        <w:footnoteReference w:id="39"/>
      </w:r>
      <w:r>
        <w:t xml:space="preserve">  The verification process begins with the statement “Thank you for enrolling wi</w:t>
      </w:r>
      <w:r w:rsidR="008A134F">
        <w:t>th Great American Power . . .</w:t>
      </w:r>
      <w:r w:rsidR="002D7763">
        <w:t xml:space="preserve">” </w:t>
      </w:r>
      <w:r>
        <w:t>and closes with the statement that “You have now selected Great American Power</w:t>
      </w:r>
      <w:r w:rsidR="008A134F">
        <w:t xml:space="preserve"> as your supplier of </w:t>
      </w:r>
      <w:proofErr w:type="gramStart"/>
      <w:r w:rsidR="008A134F">
        <w:t>generation </w:t>
      </w:r>
      <w:r>
        <w:t>.</w:t>
      </w:r>
      <w:proofErr w:type="gramEnd"/>
      <w:r w:rsidR="008A134F">
        <w:t> . </w:t>
      </w:r>
      <w:r>
        <w:t>.</w:t>
      </w:r>
      <w:r w:rsidR="008A134F">
        <w:t> </w:t>
      </w:r>
      <w:r>
        <w:t>.”</w:t>
      </w:r>
      <w:r>
        <w:rPr>
          <w:rStyle w:val="FootnoteReference"/>
        </w:rPr>
        <w:footnoteReference w:id="40"/>
      </w:r>
      <w:r>
        <w:t xml:space="preserve">  At the conclusion of the taped verification process, it asks the consumer to say “yes” if they understand the terms of enrollment.  </w:t>
      </w:r>
      <w:r w:rsidR="00792C91">
        <w:t xml:space="preserve">By failing to explain to a consumer that the “verification” process is actually an </w:t>
      </w:r>
      <w:r w:rsidR="00792C91" w:rsidRPr="00EF4C77">
        <w:rPr>
          <w:b/>
          <w:i/>
        </w:rPr>
        <w:t>enrollment</w:t>
      </w:r>
      <w:r w:rsidR="00792C91">
        <w:t xml:space="preserve"> process, GAP puts a consumer into the position where </w:t>
      </w:r>
      <w:r w:rsidR="00602D07">
        <w:t>he may have</w:t>
      </w:r>
      <w:r w:rsidR="00792C91">
        <w:t xml:space="preserve"> to </w:t>
      </w:r>
      <w:r w:rsidR="00602D07">
        <w:t>“</w:t>
      </w:r>
      <w:r w:rsidR="00792C91">
        <w:t>opt-out</w:t>
      </w:r>
      <w:r w:rsidR="00602D07">
        <w:t>”</w:t>
      </w:r>
      <w:r w:rsidR="00792C91">
        <w:t xml:space="preserve"> of a supplier agreement with GAP, rather than specifically agreeing to </w:t>
      </w:r>
      <w:r w:rsidR="00934355">
        <w:t>“</w:t>
      </w:r>
      <w:r w:rsidR="00792C91">
        <w:t>opt-in</w:t>
      </w:r>
      <w:r w:rsidR="00934355">
        <w:t>”</w:t>
      </w:r>
      <w:r w:rsidR="00792C91">
        <w:t xml:space="preserve"> in the first place.</w:t>
      </w:r>
      <w:r w:rsidR="00047619">
        <w:rPr>
          <w:rStyle w:val="FootnoteReference"/>
        </w:rPr>
        <w:footnoteReference w:id="41"/>
      </w:r>
      <w:r w:rsidR="00EF4C77">
        <w:t xml:space="preserve">  GAP maintains that a consumer is never actually enrolled into the program until they receive written materi</w:t>
      </w:r>
      <w:r w:rsidR="005164EE">
        <w:t xml:space="preserve">als from GAP for review. </w:t>
      </w:r>
      <w:r w:rsidR="00E93334">
        <w:t xml:space="preserve"> </w:t>
      </w:r>
      <w:r w:rsidR="005164EE">
        <w:t>But</w:t>
      </w:r>
      <w:r w:rsidR="00EF4C77">
        <w:t xml:space="preserve">, like the verification process, a consumer must take affirmative action to opt-out </w:t>
      </w:r>
      <w:r w:rsidR="00EF4C77" w:rsidRPr="00EF4C77">
        <w:rPr>
          <w:i/>
        </w:rPr>
        <w:t xml:space="preserve">without ever </w:t>
      </w:r>
      <w:r w:rsidR="008D48A0">
        <w:rPr>
          <w:i/>
        </w:rPr>
        <w:t xml:space="preserve">explicitly </w:t>
      </w:r>
      <w:r w:rsidR="00EF4C77" w:rsidRPr="00EF4C77">
        <w:rPr>
          <w:i/>
        </w:rPr>
        <w:t>agreeing to opt-in</w:t>
      </w:r>
      <w:r w:rsidR="00EF4C77">
        <w:t>.  This can be confusing</w:t>
      </w:r>
      <w:r w:rsidR="00A0423E">
        <w:t xml:space="preserve"> to an individual who i</w:t>
      </w:r>
      <w:r w:rsidR="008D48A0">
        <w:t>s less alert tha</w:t>
      </w:r>
      <w:r w:rsidR="005164EE">
        <w:t>n</w:t>
      </w:r>
      <w:r w:rsidR="008D48A0">
        <w:t xml:space="preserve"> the Complainant</w:t>
      </w:r>
      <w:r w:rsidR="00EF4C77">
        <w:t>, particularly in view of the confusion created by GAP concerning its relationship with Duquesne Light which was discussed above.</w:t>
      </w:r>
      <w:r w:rsidR="005164EE">
        <w:t xml:space="preserve">  </w:t>
      </w:r>
      <w:r w:rsidR="00DE0D10">
        <w:t>Moreover</w:t>
      </w:r>
      <w:r w:rsidR="00934355">
        <w:t xml:space="preserve">, the Commission has stated that the </w:t>
      </w:r>
      <w:r w:rsidR="00934355">
        <w:lastRenderedPageBreak/>
        <w:t xml:space="preserve">waiting period when a customer receives written notification of a pending enrollment with a supplier is not intended to be a contract </w:t>
      </w:r>
      <w:r w:rsidR="00DE0D10">
        <w:t>rescission</w:t>
      </w:r>
      <w:r w:rsidR="00934355">
        <w:t xml:space="preserve"> period.  Rather, it is a built-in protection for consumers to cancel a switch in instances of slamming.</w:t>
      </w:r>
      <w:r w:rsidR="00934355">
        <w:rPr>
          <w:rStyle w:val="FootnoteReference"/>
        </w:rPr>
        <w:footnoteReference w:id="42"/>
      </w:r>
    </w:p>
    <w:p w:rsidR="00E93334" w:rsidRDefault="00E93334" w:rsidP="007B5CCD">
      <w:pPr>
        <w:spacing w:after="0"/>
        <w:ind w:firstLine="1440"/>
      </w:pPr>
    </w:p>
    <w:p w:rsidR="001169DA" w:rsidRDefault="001169DA" w:rsidP="007B5CCD">
      <w:pPr>
        <w:spacing w:after="0"/>
        <w:ind w:firstLine="720"/>
      </w:pPr>
      <w:r>
        <w:tab/>
        <w:t xml:space="preserve">GAP representatives were similarly murky in making the distinction between savings on a consumer’s entire bill versus savings on the generation portion of a consumer’s bill. </w:t>
      </w:r>
      <w:r w:rsidR="00095FB6">
        <w:t xml:space="preserve"> The Complainant contends that this failure to provide explicit information means that the customer </w:t>
      </w:r>
      <w:r w:rsidR="00DE0D10">
        <w:t>cannot</w:t>
      </w:r>
      <w:r w:rsidR="00095FB6">
        <w:t xml:space="preserve"> make informed consent before agreeing to switch to GAP as a supplier.</w:t>
      </w:r>
      <w:r w:rsidR="00E93334">
        <w:t xml:space="preserve"> </w:t>
      </w:r>
      <w:r>
        <w:t xml:space="preserve"> </w:t>
      </w:r>
      <w:r w:rsidR="00AE5F4F">
        <w:t>GAP’s representative Kip told the Complain</w:t>
      </w:r>
      <w:r w:rsidR="00CC495F">
        <w:t>an</w:t>
      </w:r>
      <w:r w:rsidR="00AE5F4F">
        <w:t>t that “we are giving you 15 percent off your rate for the first billing cycle” without specifying which portion of the rate that he was referring to.</w:t>
      </w:r>
      <w:r w:rsidR="00AE5F4F">
        <w:rPr>
          <w:rStyle w:val="FootnoteReference"/>
        </w:rPr>
        <w:footnoteReference w:id="43"/>
      </w:r>
      <w:r w:rsidR="00AE5F4F">
        <w:t xml:space="preserve">  However, later in the same conversation he specified that the loyalty bonus was “valued at 15 percent of your highest Great American Power supplier charges . . . .”</w:t>
      </w:r>
      <w:r w:rsidR="00AE5F4F">
        <w:rPr>
          <w:rStyle w:val="FootnoteReference"/>
        </w:rPr>
        <w:footnoteReference w:id="44"/>
      </w:r>
      <w:r w:rsidR="00AE5F4F">
        <w:t xml:space="preserve">  The verification process finally told the customer that the variable rate plan applied to the supplier rate.</w:t>
      </w:r>
      <w:r w:rsidR="00AE5F4F">
        <w:rPr>
          <w:rStyle w:val="FootnoteReference"/>
        </w:rPr>
        <w:footnoteReference w:id="45"/>
      </w:r>
      <w:r w:rsidR="00AE5F4F">
        <w:t xml:space="preserve">  In contrast, another representative</w:t>
      </w:r>
      <w:r w:rsidR="002D7763">
        <w:t>,</w:t>
      </w:r>
      <w:r w:rsidR="00AE5F4F">
        <w:t xml:space="preserve"> Nancy, did not specify that the savings only applied to the supply portion of a customer’s bill or that the 15 percent loyalty bonus was applied to Great American Power’s charges, and not a customer’s entire bill.</w:t>
      </w:r>
      <w:r w:rsidR="005164EE">
        <w:rPr>
          <w:rStyle w:val="FootnoteReference"/>
        </w:rPr>
        <w:footnoteReference w:id="46"/>
      </w:r>
    </w:p>
    <w:p w:rsidR="00305E45" w:rsidRDefault="00305E45" w:rsidP="007B5CCD">
      <w:pPr>
        <w:spacing w:after="0"/>
        <w:ind w:firstLine="720"/>
      </w:pPr>
    </w:p>
    <w:p w:rsidR="004650D2" w:rsidRDefault="004650D2" w:rsidP="007B5CCD">
      <w:pPr>
        <w:spacing w:after="0"/>
        <w:ind w:firstLine="720"/>
      </w:pPr>
      <w:r>
        <w:tab/>
        <w:t xml:space="preserve">While the language used by the sales representative is potentially confusing, I </w:t>
      </w:r>
      <w:r w:rsidR="00DE0D10">
        <w:t>cannot</w:t>
      </w:r>
      <w:r>
        <w:t xml:space="preserve"> say that as a matter of law there is insufficient information upon which a consumer can make an informed choice.  The retail choice market concept is premised upon a consumer’s understanding that their utility bill includes a distribution portion and a supply portion.  Although, as explained above, GAP was less than clear in drawing the distinction between its services as </w:t>
      </w:r>
      <w:r w:rsidR="00DE0D10">
        <w:t>an</w:t>
      </w:r>
      <w:r>
        <w:t xml:space="preserve"> independent supplier and the </w:t>
      </w:r>
      <w:r w:rsidR="005164EE">
        <w:t xml:space="preserve">services of the </w:t>
      </w:r>
      <w:r>
        <w:t xml:space="preserve">distribution company, Duquesne Light, on this record it appears that this </w:t>
      </w:r>
      <w:r w:rsidR="00A0423E">
        <w:t>C</w:t>
      </w:r>
      <w:r>
        <w:t xml:space="preserve">omplainant was not confused and was able to decline </w:t>
      </w:r>
      <w:r>
        <w:lastRenderedPageBreak/>
        <w:t>enrollment in the supply program.</w:t>
      </w:r>
      <w:r w:rsidR="00A23AB3">
        <w:t xml:space="preserve">  It may well be that further investigation by the Commission may be appropriate concerning other consumers who were contacted by GAP, but as to this Complainant, this portion of his complaint must be dismissed.</w:t>
      </w:r>
    </w:p>
    <w:p w:rsidR="00305E45" w:rsidRDefault="00305E45" w:rsidP="007B5CCD">
      <w:pPr>
        <w:spacing w:after="0"/>
        <w:ind w:firstLine="720"/>
      </w:pPr>
    </w:p>
    <w:p w:rsidR="008B2068" w:rsidRDefault="008B2068" w:rsidP="007B5CCD">
      <w:pPr>
        <w:spacing w:after="0"/>
        <w:rPr>
          <w:i/>
        </w:rPr>
      </w:pPr>
      <w:r>
        <w:tab/>
        <w:t>6.</w:t>
      </w:r>
      <w:r>
        <w:tab/>
      </w:r>
      <w:r w:rsidRPr="00CC495F">
        <w:rPr>
          <w:u w:val="single"/>
        </w:rPr>
        <w:t>Abandoned Calls</w:t>
      </w:r>
    </w:p>
    <w:p w:rsidR="00305E45" w:rsidRPr="007C39D5" w:rsidRDefault="00305E45" w:rsidP="007B5CCD">
      <w:pPr>
        <w:spacing w:after="0"/>
        <w:rPr>
          <w:i/>
        </w:rPr>
      </w:pPr>
    </w:p>
    <w:p w:rsidR="004830C3" w:rsidRDefault="00014D73" w:rsidP="007B5CCD">
      <w:pPr>
        <w:spacing w:after="0"/>
        <w:ind w:firstLine="720"/>
      </w:pPr>
      <w:r>
        <w:tab/>
        <w:t>The Complainant also argues that GAP violated consumer protection law by abandoning calls.  That is, as soon as the Complainant answer</w:t>
      </w:r>
      <w:r w:rsidR="00234C04">
        <w:t>ed</w:t>
      </w:r>
      <w:r>
        <w:t xml:space="preserve"> the telephone, the caller ha</w:t>
      </w:r>
      <w:r w:rsidR="00234C04">
        <w:t>d</w:t>
      </w:r>
      <w:r>
        <w:t xml:space="preserve"> just hung up.  As evidence, the Complainant points to several calls recorded on Google Voice that </w:t>
      </w:r>
      <w:proofErr w:type="gramStart"/>
      <w:r>
        <w:t>do</w:t>
      </w:r>
      <w:proofErr w:type="gramEnd"/>
      <w:r>
        <w:t xml:space="preserve"> not indicate a connection.  GAP contends that this evidence does not form a sufficient basis to conclude that it violated the Telemarketing Sales Rule which forbids “abandoned calls.”</w:t>
      </w:r>
    </w:p>
    <w:p w:rsidR="00CC495F" w:rsidRDefault="00CC495F" w:rsidP="007B5CCD">
      <w:pPr>
        <w:spacing w:after="0"/>
        <w:ind w:firstLine="720"/>
      </w:pPr>
    </w:p>
    <w:p w:rsidR="00A90126" w:rsidRDefault="00A90126" w:rsidP="007B5CCD">
      <w:pPr>
        <w:spacing w:after="0"/>
        <w:ind w:firstLine="720"/>
      </w:pPr>
      <w:r>
        <w:tab/>
        <w:t>The Telemarketing Sales Rule provides that abandoning any outbound telephone call is an</w:t>
      </w:r>
      <w:r w:rsidR="00CC495F">
        <w:t xml:space="preserve"> abusive telemarketing practice</w:t>
      </w:r>
      <w:r>
        <w:t>:</w:t>
      </w:r>
    </w:p>
    <w:p w:rsidR="00CC495F" w:rsidRDefault="00CC495F" w:rsidP="00F0449C">
      <w:pPr>
        <w:pStyle w:val="NormalIndent"/>
      </w:pPr>
    </w:p>
    <w:p w:rsidR="00A90126" w:rsidRDefault="00A90126" w:rsidP="00F0449C">
      <w:pPr>
        <w:pStyle w:val="NormalIndent"/>
      </w:pPr>
      <w:r>
        <w:t>An outbound telephone call is “abandoned” under this section if a person answers it and the telemarketer does not connect the call to a sales representative within two (2) seconds of the person’s completed greeting.</w:t>
      </w:r>
      <w:r>
        <w:rPr>
          <w:rStyle w:val="FootnoteReference"/>
        </w:rPr>
        <w:footnoteReference w:id="47"/>
      </w:r>
    </w:p>
    <w:p w:rsidR="00305E45" w:rsidRDefault="00305E45" w:rsidP="00F0449C">
      <w:pPr>
        <w:pStyle w:val="NormalIndent"/>
      </w:pPr>
    </w:p>
    <w:p w:rsidR="00A90126" w:rsidRDefault="00A90126" w:rsidP="007B5CCD">
      <w:pPr>
        <w:spacing w:after="0"/>
      </w:pPr>
      <w:r>
        <w:t>The Complainant contends that Complainant’s Exhibit 6 shows that over 50% of outbound calls by GAP were abandoned because the dialers “</w:t>
      </w:r>
      <w:r w:rsidR="00234C04">
        <w:t>don’t wait long enough” and didn’</w:t>
      </w:r>
      <w:r>
        <w:t>t leave a message, and that GAP has failed to maintain records to demonstrate otherwise.  In GAP’s view, the Complainant’s evidence shows that there is no handling time on the call and that therefore the Complainant did not answer.  Accordingly, these calls do not fall under the definition of an “abandoned call.”</w:t>
      </w:r>
    </w:p>
    <w:p w:rsidR="00305E45" w:rsidRDefault="00305E45" w:rsidP="007B5CCD">
      <w:pPr>
        <w:spacing w:after="0"/>
      </w:pPr>
    </w:p>
    <w:p w:rsidR="00855AE8" w:rsidRDefault="00855AE8" w:rsidP="007B5CCD">
      <w:pPr>
        <w:spacing w:after="0"/>
        <w:ind w:firstLine="720"/>
      </w:pPr>
      <w:r>
        <w:tab/>
        <w:t>I agree with GAP that there is no evidence that the Complainant ever answered the calls that do not indicate any handling time.  A predicate for an abandoned call is that a person answers</w:t>
      </w:r>
      <w:r w:rsidR="00234C04">
        <w:t xml:space="preserve"> the call</w:t>
      </w:r>
      <w:r>
        <w:t>.</w:t>
      </w:r>
      <w:r w:rsidR="00CC495F">
        <w:t xml:space="preserve"> </w:t>
      </w:r>
      <w:r>
        <w:t xml:space="preserve"> If there is no indication that a person answers, the call is not abandoned.</w:t>
      </w:r>
      <w:r w:rsidR="00CC495F">
        <w:t xml:space="preserve"> </w:t>
      </w:r>
      <w:r>
        <w:t xml:space="preserve"> Further, the Complainant testified that the calls with short durations were those where he spoke </w:t>
      </w:r>
      <w:r>
        <w:lastRenderedPageBreak/>
        <w:t xml:space="preserve">to a representative and requested to be placed on GAP’s do-not-call </w:t>
      </w:r>
      <w:proofErr w:type="gramStart"/>
      <w:r>
        <w:t>list,</w:t>
      </w:r>
      <w:proofErr w:type="gramEnd"/>
      <w:r>
        <w:t xml:space="preserve"> therefore those calls also do not fall within the definition of an abandoned call.</w:t>
      </w:r>
      <w:r>
        <w:rPr>
          <w:rStyle w:val="FootnoteReference"/>
        </w:rPr>
        <w:footnoteReference w:id="48"/>
      </w:r>
    </w:p>
    <w:p w:rsidR="00305E45" w:rsidRDefault="00305E45" w:rsidP="007B5CCD">
      <w:pPr>
        <w:spacing w:after="0"/>
        <w:ind w:firstLine="720"/>
      </w:pPr>
    </w:p>
    <w:p w:rsidR="004830C3" w:rsidRDefault="00FF6899" w:rsidP="007B5CCD">
      <w:pPr>
        <w:spacing w:after="0"/>
        <w:rPr>
          <w:i/>
        </w:rPr>
      </w:pPr>
      <w:r>
        <w:tab/>
        <w:t>7</w:t>
      </w:r>
      <w:r w:rsidR="00C1232D">
        <w:t>.</w:t>
      </w:r>
      <w:r w:rsidR="00C1232D">
        <w:tab/>
      </w:r>
      <w:r w:rsidR="00C1232D" w:rsidRPr="00CC495F">
        <w:rPr>
          <w:u w:val="single"/>
        </w:rPr>
        <w:t>Record Keeping</w:t>
      </w:r>
    </w:p>
    <w:p w:rsidR="00305E45" w:rsidRDefault="00305E45" w:rsidP="007B5CCD">
      <w:pPr>
        <w:spacing w:after="0"/>
      </w:pPr>
    </w:p>
    <w:p w:rsidR="00FF2666" w:rsidRDefault="000C7611" w:rsidP="007B5CCD">
      <w:pPr>
        <w:spacing w:after="0"/>
        <w:ind w:firstLine="1440"/>
      </w:pPr>
      <w:r>
        <w:t xml:space="preserve">The Complainant also contends that GAP violated certain recordkeeping requirements.  </w:t>
      </w:r>
      <w:r w:rsidR="00FF2666">
        <w:t>The Telemarketing Rule requires telemarketers to maintain certain</w:t>
      </w:r>
      <w:r w:rsidR="009109B3">
        <w:t xml:space="preserve"> types </w:t>
      </w:r>
      <w:proofErr w:type="gramStart"/>
      <w:r w:rsidR="009109B3">
        <w:t xml:space="preserve">of </w:t>
      </w:r>
      <w:r w:rsidR="00FF2666">
        <w:t xml:space="preserve"> records</w:t>
      </w:r>
      <w:proofErr w:type="gramEnd"/>
      <w:r w:rsidR="00FF2666">
        <w:t>:</w:t>
      </w:r>
    </w:p>
    <w:p w:rsidR="00305E45" w:rsidRDefault="00305E45" w:rsidP="007B5CCD">
      <w:pPr>
        <w:spacing w:after="0"/>
        <w:ind w:firstLine="1440"/>
      </w:pPr>
    </w:p>
    <w:p w:rsidR="00FF2666" w:rsidRDefault="00FF2666" w:rsidP="00F0449C">
      <w:pPr>
        <w:pStyle w:val="NormalIndent"/>
      </w:pPr>
      <w:r>
        <w:t xml:space="preserve"> § 310.5</w:t>
      </w:r>
      <w:r>
        <w:tab/>
        <w:t>Recordkeeping requirements.</w:t>
      </w:r>
    </w:p>
    <w:p w:rsidR="00CC495F" w:rsidRDefault="00CC495F" w:rsidP="00F0449C">
      <w:pPr>
        <w:pStyle w:val="NormalIndent"/>
      </w:pPr>
    </w:p>
    <w:p w:rsidR="00FF2666" w:rsidRDefault="00FF2666" w:rsidP="00F0449C">
      <w:pPr>
        <w:pStyle w:val="NormalIndent"/>
      </w:pPr>
      <w:r>
        <w:t>(a) Any seller or telemarketer shall keep, for a period of 24 months from the date the record is produced, the following records relating to its telemarketing activities:</w:t>
      </w:r>
    </w:p>
    <w:p w:rsidR="00FF2666" w:rsidRDefault="00FF2666" w:rsidP="00F0449C">
      <w:pPr>
        <w:pStyle w:val="NormalIndent"/>
      </w:pPr>
    </w:p>
    <w:p w:rsidR="00FF2666" w:rsidRDefault="00FF2666" w:rsidP="00F0449C">
      <w:pPr>
        <w:pStyle w:val="NormalIndent"/>
      </w:pPr>
      <w:r>
        <w:t>(1) All substantially different advertising, brochures, telemarketing scripts, and promotional materials;</w:t>
      </w:r>
    </w:p>
    <w:p w:rsidR="002A505A" w:rsidRDefault="002A505A" w:rsidP="00F0449C">
      <w:pPr>
        <w:pStyle w:val="NormalIndent"/>
      </w:pPr>
    </w:p>
    <w:p w:rsidR="00FF2666" w:rsidRDefault="00F00842" w:rsidP="00F0449C">
      <w:pPr>
        <w:pStyle w:val="NormalIndent"/>
      </w:pPr>
      <w:r>
        <w:t>…</w:t>
      </w:r>
    </w:p>
    <w:p w:rsidR="002A505A" w:rsidRDefault="002A505A" w:rsidP="00F0449C">
      <w:pPr>
        <w:pStyle w:val="NormalIndent"/>
      </w:pPr>
    </w:p>
    <w:p w:rsidR="002A505A" w:rsidRDefault="00FF2666" w:rsidP="00F0449C">
      <w:pPr>
        <w:pStyle w:val="NormalIndent"/>
      </w:pPr>
      <w:r>
        <w:t>(4) The name, any fictitious name used, the last known home address and telephone number, and the job title(s) for all current and former employees directly involved in telephone sales or solicitations; provided, however, that if the seller or telemarketer permits fictitious names to be used by employees, each fictitious name must be traceable to only one specific employee; and</w:t>
      </w:r>
    </w:p>
    <w:p w:rsidR="002A505A" w:rsidRDefault="002A505A" w:rsidP="00F0449C">
      <w:pPr>
        <w:pStyle w:val="NormalIndent"/>
      </w:pPr>
    </w:p>
    <w:p w:rsidR="00FF2666" w:rsidRDefault="00FF2666" w:rsidP="00F0449C">
      <w:pPr>
        <w:pStyle w:val="NormalIndent"/>
      </w:pPr>
      <w:r>
        <w:t>(5) All verifiable authorizations or records of express informed consent or express agreement required to be provided or received under this Rule.</w:t>
      </w:r>
    </w:p>
    <w:p w:rsidR="00FF2666" w:rsidRDefault="00FF2666" w:rsidP="00F0449C">
      <w:pPr>
        <w:pStyle w:val="NormalIndent"/>
      </w:pPr>
    </w:p>
    <w:p w:rsidR="00FF2666" w:rsidRDefault="00FF2666" w:rsidP="00F0449C">
      <w:pPr>
        <w:pStyle w:val="NormalIndent"/>
      </w:pPr>
      <w:r>
        <w:t>(b) A seller or telemarketer may keep the records required by §</w:t>
      </w:r>
      <w:r w:rsidR="002A505A">
        <w:t> </w:t>
      </w:r>
      <w:r>
        <w:t xml:space="preserve">310.5(a) in any form, and in the same manner, format, or place as they keep such records in the ordinary course of business. </w:t>
      </w:r>
      <w:r w:rsidR="002A505A">
        <w:t xml:space="preserve"> </w:t>
      </w:r>
      <w:r>
        <w:t>Failure to keep all records required by § 310.5(a) shall be a violation of this Rule.</w:t>
      </w:r>
    </w:p>
    <w:p w:rsidR="00FF2666" w:rsidRDefault="00FF2666" w:rsidP="00F0449C">
      <w:pPr>
        <w:pStyle w:val="NormalIndent"/>
      </w:pPr>
    </w:p>
    <w:p w:rsidR="00FF2666" w:rsidRDefault="00FF2666" w:rsidP="00F0449C">
      <w:pPr>
        <w:pStyle w:val="NormalIndent"/>
      </w:pPr>
      <w:r>
        <w:lastRenderedPageBreak/>
        <w:t xml:space="preserve">(c) The seller and the telemarketer calling on behalf of the seller may, by written agreement, allocate responsibility between themselves for the recordkeeping required by this Section. When a seller and telemarketer have entered into such an agreement, the terms of that agreement shall govern, and the seller or telemarketer, as the case may be, need not keep records that duplicate those of the other. </w:t>
      </w:r>
      <w:r w:rsidR="002A505A">
        <w:t xml:space="preserve"> </w:t>
      </w:r>
      <w:r>
        <w:t>If the agreement is unclear as to who must maintain any required record(s), or if no such agreement exists, the seller shall be responsible for complying with §§ 310.5(a</w:t>
      </w:r>
      <w:proofErr w:type="gramStart"/>
      <w:r>
        <w:t>)(</w:t>
      </w:r>
      <w:proofErr w:type="gramEnd"/>
      <w:r>
        <w:t>1)-(3) and (5); the telemarketer shall be responsible for complying with § 310.5(a)(4).</w:t>
      </w:r>
      <w:r w:rsidR="00A65273">
        <w:rPr>
          <w:rStyle w:val="FootnoteReference"/>
        </w:rPr>
        <w:footnoteReference w:id="49"/>
      </w:r>
    </w:p>
    <w:p w:rsidR="009C7A26" w:rsidRDefault="009C7A26" w:rsidP="00F0449C">
      <w:pPr>
        <w:pStyle w:val="NormalIndent"/>
      </w:pPr>
      <w:r>
        <w:t xml:space="preserve">. . . </w:t>
      </w:r>
    </w:p>
    <w:p w:rsidR="002A505A" w:rsidRDefault="002A505A" w:rsidP="007B5CCD">
      <w:pPr>
        <w:spacing w:after="0"/>
      </w:pPr>
    </w:p>
    <w:p w:rsidR="008B785F" w:rsidRDefault="009C7A26" w:rsidP="007B5CCD">
      <w:pPr>
        <w:spacing w:after="0"/>
      </w:pPr>
      <w:r>
        <w:t>The Complainant alleges that the sales script which was produced in discovery is substantially different than the script used by GAP’s representatives in the sales calls to the Complainant</w:t>
      </w:r>
      <w:r w:rsidR="0089111E">
        <w:t xml:space="preserve"> in violation of subsection (a</w:t>
      </w:r>
      <w:proofErr w:type="gramStart"/>
      <w:r w:rsidR="0089111E">
        <w:t>)(</w:t>
      </w:r>
      <w:proofErr w:type="gramEnd"/>
      <w:r w:rsidR="0089111E">
        <w:t>1)</w:t>
      </w:r>
      <w:r>
        <w:t>, that GAP did not know how many employees were used in the telemarketing campaign which contravenes subsection (a)(4)</w:t>
      </w:r>
      <w:r w:rsidR="00234C04">
        <w:t>,</w:t>
      </w:r>
      <w:r>
        <w:t xml:space="preserve"> and failed to keep records of informed consent as required by subsection (a)(5</w:t>
      </w:r>
      <w:r w:rsidR="00234C04">
        <w:t>).</w:t>
      </w:r>
    </w:p>
    <w:p w:rsidR="00305E45" w:rsidRDefault="00305E45" w:rsidP="007B5CCD">
      <w:pPr>
        <w:spacing w:after="0"/>
      </w:pPr>
    </w:p>
    <w:p w:rsidR="00C1232D" w:rsidRDefault="009109B3" w:rsidP="007B5CCD">
      <w:pPr>
        <w:spacing w:after="0"/>
        <w:ind w:firstLine="1440"/>
      </w:pPr>
      <w:r>
        <w:t xml:space="preserve">The evidence concerning the records that GAP </w:t>
      </w:r>
      <w:r w:rsidR="002A505A">
        <w:t xml:space="preserve">may </w:t>
      </w:r>
      <w:r>
        <w:t>or may not have maintained is sparse</w:t>
      </w:r>
      <w:r w:rsidR="00686A42">
        <w:t xml:space="preserve"> and not well developed by the Complainant</w:t>
      </w:r>
      <w:r>
        <w:t xml:space="preserve">.  The Complainant elicited no testimony concerning records at the hearing.  The Complainant did pose discovery on the subject of records, </w:t>
      </w:r>
      <w:r w:rsidR="00A5586D">
        <w:t>and</w:t>
      </w:r>
      <w:r>
        <w:t xml:space="preserve"> GAP answered that these records are maintained by the telemarketing contractor.</w:t>
      </w:r>
      <w:r w:rsidR="00A5586D">
        <w:rPr>
          <w:rStyle w:val="FootnoteReference"/>
        </w:rPr>
        <w:footnoteReference w:id="50"/>
      </w:r>
      <w:r>
        <w:t xml:space="preserve">  Section (c) of Section 310.5 does permit a supplier to </w:t>
      </w:r>
      <w:r w:rsidR="00234C04">
        <w:t>enter into an agreement with its</w:t>
      </w:r>
      <w:r>
        <w:t xml:space="preserve"> telemarketing subcontractor </w:t>
      </w:r>
      <w:r w:rsidR="00A0423E">
        <w:t>to</w:t>
      </w:r>
      <w:r>
        <w:t xml:space="preserve"> maintain the records required by the rule.  Ginger Lucas’ testimony certain</w:t>
      </w:r>
      <w:r w:rsidR="002A505A">
        <w:t>ly</w:t>
      </w:r>
      <w:r>
        <w:t xml:space="preserve"> supports the notion that GAP left this matter to the call center and she testified that </w:t>
      </w:r>
      <w:r w:rsidR="00A45938">
        <w:t>GAP’s agreement with the call centers requires them to be responsible for compliance with state and federal law</w:t>
      </w:r>
      <w:r>
        <w:t>.  The Complainant did not pursue this position further</w:t>
      </w:r>
      <w:r w:rsidR="00A5586D">
        <w:t xml:space="preserve"> or put additional evidence into the record</w:t>
      </w:r>
      <w:r>
        <w:t>.</w:t>
      </w:r>
      <w:r w:rsidR="00A5586D">
        <w:rPr>
          <w:rStyle w:val="FootnoteReference"/>
        </w:rPr>
        <w:footnoteReference w:id="51"/>
      </w:r>
      <w:r w:rsidR="00A5586D">
        <w:t xml:space="preserve">  As the party seeking affirmative relief from the Commission, he bears the initial burden of proof.  Reviewing the record, he did not sustain a </w:t>
      </w:r>
      <w:r w:rsidR="00A5586D" w:rsidRPr="00A45938">
        <w:rPr>
          <w:i/>
        </w:rPr>
        <w:lastRenderedPageBreak/>
        <w:t>prima facie</w:t>
      </w:r>
      <w:r w:rsidR="00A5586D">
        <w:t xml:space="preserve"> case that GAP failed to comply with Rule 310.5, therefore no burden shifted to GAP to either produce the records or produce the agreement with the subcontractor.  </w:t>
      </w:r>
      <w:r w:rsidR="00A45938">
        <w:t xml:space="preserve">It is not enough to simply lodge the allegation </w:t>
      </w:r>
      <w:r w:rsidR="00234C04">
        <w:t>in order t</w:t>
      </w:r>
      <w:r w:rsidR="00A45938">
        <w:t>o shift the burden of production to GAP.</w:t>
      </w:r>
      <w:r w:rsidR="00234C04">
        <w:rPr>
          <w:rStyle w:val="FootnoteReference"/>
        </w:rPr>
        <w:footnoteReference w:id="52"/>
      </w:r>
      <w:r w:rsidR="00A45938">
        <w:t xml:space="preserve">  </w:t>
      </w:r>
      <w:r w:rsidR="00A5586D">
        <w:t>Accordingly, this count of the complaint must be dismissed as well.</w:t>
      </w:r>
    </w:p>
    <w:p w:rsidR="00305E45" w:rsidRDefault="00305E45" w:rsidP="007B5CCD">
      <w:pPr>
        <w:spacing w:after="0"/>
        <w:ind w:firstLine="1440"/>
      </w:pPr>
    </w:p>
    <w:p w:rsidR="00C1232D" w:rsidRDefault="00C1232D" w:rsidP="007B5CCD">
      <w:pPr>
        <w:spacing w:after="0"/>
        <w:rPr>
          <w:i/>
        </w:rPr>
      </w:pPr>
      <w:r>
        <w:tab/>
        <w:t>9.</w:t>
      </w:r>
      <w:r>
        <w:tab/>
      </w:r>
      <w:r w:rsidRPr="002A505A">
        <w:rPr>
          <w:u w:val="single"/>
        </w:rPr>
        <w:t>Failure to Register</w:t>
      </w:r>
    </w:p>
    <w:p w:rsidR="00305E45" w:rsidRDefault="00305E45" w:rsidP="007B5CCD">
      <w:pPr>
        <w:spacing w:after="0"/>
      </w:pPr>
    </w:p>
    <w:p w:rsidR="00F35E9A" w:rsidRDefault="00FF3E0D" w:rsidP="007B5CCD">
      <w:pPr>
        <w:spacing w:after="0"/>
        <w:ind w:firstLine="1440"/>
      </w:pPr>
      <w:r>
        <w:t>The Complainant finally contends that GAP failed to prove that its telemarketing subcontractor was registered as required by the Telemarketer Registration Act.  The Complainant concedes that GAP itself was not required to register as a telemarketer.</w:t>
      </w:r>
      <w:r>
        <w:rPr>
          <w:rStyle w:val="FootnoteReference"/>
        </w:rPr>
        <w:footnoteReference w:id="53"/>
      </w:r>
      <w:r>
        <w:t xml:space="preserve">  Like the claim concerning recordkeeping, the Complainant failed to develop this argument factually at the hearing.  He did not sufficiently develop evidence which would shift the burden of production to GAP to demonstrate that the telemarketing firms used in its Duquesne Light service territory sales c</w:t>
      </w:r>
      <w:r w:rsidR="00C91956">
        <w:t>ampaign w</w:t>
      </w:r>
      <w:r w:rsidR="00A0423E">
        <w:t>ere</w:t>
      </w:r>
      <w:r w:rsidR="00C91956">
        <w:t xml:space="preserve"> </w:t>
      </w:r>
      <w:r>
        <w:t>registered.  Therefore, this claim must fail as well.</w:t>
      </w:r>
    </w:p>
    <w:p w:rsidR="00305E45" w:rsidRDefault="00305E45" w:rsidP="007B5CCD">
      <w:pPr>
        <w:spacing w:after="0"/>
        <w:ind w:firstLine="1440"/>
      </w:pPr>
    </w:p>
    <w:p w:rsidR="00F35E9A" w:rsidRPr="00AE0B7B" w:rsidRDefault="00F35E9A" w:rsidP="007B5CCD">
      <w:pPr>
        <w:spacing w:after="0"/>
        <w:rPr>
          <w:u w:val="single"/>
        </w:rPr>
      </w:pPr>
      <w:r w:rsidRPr="00AE0B7B">
        <w:rPr>
          <w:u w:val="single"/>
        </w:rPr>
        <w:t>Civil Penalty Assessment</w:t>
      </w:r>
    </w:p>
    <w:p w:rsidR="00305E45" w:rsidRDefault="00305E45" w:rsidP="007B5CCD">
      <w:pPr>
        <w:spacing w:after="0"/>
      </w:pPr>
    </w:p>
    <w:p w:rsidR="00F35E9A" w:rsidRDefault="00F35E9A" w:rsidP="007B5CCD">
      <w:pPr>
        <w:spacing w:after="0"/>
        <w:ind w:firstLine="1440"/>
      </w:pPr>
      <w:r>
        <w:t>The Complainant has explicitly requested that the Commission asse</w:t>
      </w:r>
      <w:r w:rsidR="00C91956">
        <w:t xml:space="preserve">ss a civil penalty on GAP and </w:t>
      </w:r>
      <w:r>
        <w:t>revoke its supplier’s license.</w:t>
      </w:r>
      <w:r w:rsidR="00750B24">
        <w:t xml:space="preserve"> </w:t>
      </w:r>
      <w:r w:rsidR="00E54DF2">
        <w:t xml:space="preserve"> </w:t>
      </w:r>
      <w:r w:rsidR="00B5165F">
        <w:t xml:space="preserve">The Complainant also requests that GAP and all partners, contractors and employees be permanently barred from operating as an electricity supplier and that the Commission refer this matter to other agencies if it lacks jurisdiction to enforce the regulations cited by the Complainant.  </w:t>
      </w:r>
    </w:p>
    <w:p w:rsidR="00305E45" w:rsidRDefault="00305E45" w:rsidP="007B5CCD">
      <w:pPr>
        <w:spacing w:after="0"/>
        <w:ind w:firstLine="1440"/>
      </w:pPr>
    </w:p>
    <w:p w:rsidR="00330595" w:rsidRPr="00B40636" w:rsidRDefault="00330595" w:rsidP="007B5CCD">
      <w:pPr>
        <w:spacing w:after="0"/>
        <w:ind w:firstLine="1440"/>
        <w:rPr>
          <w:rFonts w:cs="Times New Roman"/>
        </w:rPr>
      </w:pPr>
      <w:r w:rsidRPr="00B40636">
        <w:rPr>
          <w:rFonts w:cs="Times New Roman"/>
          <w:snapToGrid w:val="0"/>
        </w:rPr>
        <w:t xml:space="preserve">Section 3301 of the Public Utility Code provides that if any </w:t>
      </w:r>
      <w:r w:rsidR="00C91956">
        <w:rPr>
          <w:rFonts w:cs="Times New Roman"/>
          <w:snapToGrid w:val="0"/>
        </w:rPr>
        <w:t>regulated entity</w:t>
      </w:r>
      <w:r w:rsidRPr="00B40636">
        <w:rPr>
          <w:rFonts w:cs="Times New Roman"/>
          <w:snapToGrid w:val="0"/>
        </w:rPr>
        <w:t xml:space="preserve"> fails to comply with any Commission regulation it shall forfeit and pay to the Commonwealth a sum not exceeding $1,000.00</w:t>
      </w:r>
      <w:r>
        <w:rPr>
          <w:rFonts w:cs="Times New Roman"/>
          <w:snapToGrid w:val="0"/>
        </w:rPr>
        <w:t xml:space="preserve"> per day of violation.</w:t>
      </w:r>
      <w:r>
        <w:rPr>
          <w:rStyle w:val="FootnoteReference"/>
          <w:rFonts w:cs="Times New Roman"/>
          <w:snapToGrid w:val="0"/>
        </w:rPr>
        <w:footnoteReference w:id="54"/>
      </w:r>
      <w:r>
        <w:rPr>
          <w:rFonts w:cs="Times New Roman"/>
          <w:snapToGrid w:val="0"/>
        </w:rPr>
        <w:t xml:space="preserve">  To implement this section, t</w:t>
      </w:r>
      <w:r w:rsidRPr="00B40636">
        <w:rPr>
          <w:rFonts w:cs="Times New Roman"/>
          <w:snapToGrid w:val="0"/>
        </w:rPr>
        <w:t xml:space="preserve">he Commission has </w:t>
      </w:r>
      <w:r w:rsidRPr="00B40636">
        <w:rPr>
          <w:rFonts w:cs="Times New Roman"/>
          <w:snapToGrid w:val="0"/>
        </w:rPr>
        <w:lastRenderedPageBreak/>
        <w:t>adopted certain standards that must be applied when imposing a civil penalty for violations of Commission directives and regulations.</w:t>
      </w:r>
      <w:r>
        <w:rPr>
          <w:rStyle w:val="FootnoteReference"/>
          <w:rFonts w:cs="Times New Roman"/>
          <w:snapToGrid w:val="0"/>
        </w:rPr>
        <w:footnoteReference w:id="55"/>
      </w:r>
      <w:r w:rsidRPr="00B40636">
        <w:rPr>
          <w:rFonts w:cs="Times New Roman"/>
          <w:snapToGrid w:val="0"/>
        </w:rPr>
        <w:t xml:space="preserve">  </w:t>
      </w:r>
      <w:r w:rsidRPr="00B40636">
        <w:rPr>
          <w:rFonts w:cs="Times New Roman"/>
        </w:rPr>
        <w:t>Section 69.1201(a) of the Commission’s regulations states:</w:t>
      </w:r>
    </w:p>
    <w:p w:rsidR="00330595" w:rsidRDefault="00330595" w:rsidP="007B5CCD">
      <w:pPr>
        <w:spacing w:after="0" w:line="240" w:lineRule="auto"/>
        <w:ind w:left="1440" w:right="1440"/>
        <w:rPr>
          <w:rFonts w:cs="Times New Roman"/>
        </w:rPr>
      </w:pPr>
    </w:p>
    <w:p w:rsidR="00330595" w:rsidRPr="00B40636" w:rsidRDefault="00330595" w:rsidP="007B5CCD">
      <w:pPr>
        <w:spacing w:after="0" w:line="240" w:lineRule="auto"/>
        <w:ind w:left="1440" w:right="1440"/>
        <w:rPr>
          <w:rFonts w:cs="Times New Roman"/>
        </w:rPr>
      </w:pPr>
      <w:r w:rsidRPr="00B40636">
        <w:rPr>
          <w:rFonts w:cs="Times New Roman"/>
        </w:rPr>
        <w:t>The Commission will consider specific factors</w:t>
      </w:r>
      <w:r>
        <w:rPr>
          <w:rFonts w:cs="Times New Roman"/>
        </w:rPr>
        <w:t xml:space="preserve"> and standards</w:t>
      </w:r>
      <w:r w:rsidRPr="00B40636">
        <w:rPr>
          <w:rFonts w:cs="Times New Roman"/>
        </w:rPr>
        <w:t xml:space="preserve"> in evaluating litigated … cases involving violations of 66 </w:t>
      </w:r>
      <w:proofErr w:type="spellStart"/>
      <w:r w:rsidRPr="00B40636">
        <w:rPr>
          <w:rFonts w:cs="Times New Roman"/>
        </w:rPr>
        <w:t>Pa.C.S</w:t>
      </w:r>
      <w:proofErr w:type="spellEnd"/>
      <w:r w:rsidRPr="00B40636">
        <w:rPr>
          <w:rFonts w:cs="Times New Roman"/>
        </w:rPr>
        <w:t>. (</w:t>
      </w:r>
      <w:proofErr w:type="gramStart"/>
      <w:r w:rsidRPr="00B40636">
        <w:rPr>
          <w:rFonts w:cs="Times New Roman"/>
        </w:rPr>
        <w:t>relating</w:t>
      </w:r>
      <w:proofErr w:type="gramEnd"/>
      <w:r w:rsidRPr="00B40636">
        <w:rPr>
          <w:rFonts w:cs="Times New Roman"/>
        </w:rPr>
        <w:t xml:space="preserve"> to the Public Utility Code) and this title.  These factors and standards will be utilized by the Commission in determining if a fine for violating a Commission order, regulation or statute is appropriate.</w:t>
      </w:r>
      <w:r>
        <w:rPr>
          <w:rStyle w:val="FootnoteReference"/>
          <w:rFonts w:cs="Times New Roman"/>
        </w:rPr>
        <w:footnoteReference w:id="56"/>
      </w:r>
      <w:r w:rsidRPr="00B40636">
        <w:rPr>
          <w:rFonts w:cs="Times New Roman"/>
        </w:rPr>
        <w:t xml:space="preserve">  </w:t>
      </w:r>
    </w:p>
    <w:p w:rsidR="00330595" w:rsidRPr="00B40636" w:rsidRDefault="00330595" w:rsidP="007B5CCD">
      <w:pPr>
        <w:spacing w:after="0"/>
        <w:ind w:left="1440" w:right="1440"/>
        <w:rPr>
          <w:rFonts w:cs="Times New Roman"/>
        </w:rPr>
      </w:pPr>
    </w:p>
    <w:p w:rsidR="00330595" w:rsidRPr="00B40636" w:rsidRDefault="00330595" w:rsidP="007B5CCD">
      <w:pPr>
        <w:spacing w:after="0"/>
        <w:outlineLvl w:val="0"/>
        <w:rPr>
          <w:rFonts w:cs="Times New Roman"/>
        </w:rPr>
      </w:pPr>
      <w:r>
        <w:rPr>
          <w:rFonts w:cs="Times New Roman"/>
        </w:rPr>
        <w:t xml:space="preserve">These </w:t>
      </w:r>
      <w:r w:rsidRPr="00B40636">
        <w:rPr>
          <w:rFonts w:cs="Times New Roman"/>
        </w:rPr>
        <w:t>factors and standards to be considered</w:t>
      </w:r>
      <w:r>
        <w:rPr>
          <w:rFonts w:cs="Times New Roman"/>
        </w:rPr>
        <w:t xml:space="preserve"> are enumerated in subsection (c)</w:t>
      </w:r>
      <w:r w:rsidRPr="00B40636">
        <w:rPr>
          <w:rFonts w:cs="Times New Roman"/>
        </w:rPr>
        <w:t>:</w:t>
      </w:r>
    </w:p>
    <w:p w:rsidR="00330595" w:rsidRDefault="00330595" w:rsidP="007B5CCD">
      <w:pPr>
        <w:spacing w:after="0" w:line="240" w:lineRule="auto"/>
        <w:ind w:left="1440" w:right="1440"/>
        <w:rPr>
          <w:rFonts w:cs="Times New Roman"/>
        </w:rPr>
      </w:pPr>
    </w:p>
    <w:p w:rsidR="00330595" w:rsidRDefault="00330595" w:rsidP="007B5CCD">
      <w:pPr>
        <w:spacing w:after="0" w:line="240" w:lineRule="auto"/>
        <w:ind w:left="1440" w:right="1440"/>
        <w:rPr>
          <w:rFonts w:cs="Times New Roman"/>
        </w:rPr>
      </w:pPr>
      <w:r w:rsidRPr="00B40636">
        <w:rPr>
          <w:rFonts w:cs="Times New Roman"/>
        </w:rPr>
        <w:t>(1)</w:t>
      </w:r>
      <w:r w:rsidRPr="00B40636">
        <w:rPr>
          <w:rFonts w:cs="Times New Roman"/>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330595" w:rsidRPr="00B40636" w:rsidRDefault="00330595" w:rsidP="007B5CCD">
      <w:pPr>
        <w:spacing w:after="0" w:line="240" w:lineRule="auto"/>
        <w:ind w:left="1440" w:right="1440"/>
        <w:rPr>
          <w:rFonts w:cs="Times New Roman"/>
        </w:rPr>
      </w:pPr>
    </w:p>
    <w:p w:rsidR="00330595" w:rsidRDefault="00330595" w:rsidP="007B5CCD">
      <w:pPr>
        <w:spacing w:after="0" w:line="240" w:lineRule="auto"/>
        <w:ind w:left="1440" w:right="1440"/>
        <w:rPr>
          <w:rFonts w:cs="Times New Roman"/>
        </w:rPr>
      </w:pPr>
      <w:r w:rsidRPr="00B40636">
        <w:rPr>
          <w:rFonts w:cs="Times New Roman"/>
        </w:rPr>
        <w:t>(2)</w:t>
      </w:r>
      <w:r w:rsidRPr="00B40636">
        <w:rPr>
          <w:rFonts w:cs="Times New Roman"/>
        </w:rPr>
        <w:tab/>
        <w:t>Whether the resulting consequences of the conduct at issue were of a serious nature.  When consequences of a serious nature are involved, such as personal injury or property damage, the consequences may warrant a higher penalty.</w:t>
      </w:r>
    </w:p>
    <w:p w:rsidR="00330595" w:rsidRPr="00B40636" w:rsidRDefault="00330595" w:rsidP="007B5CCD">
      <w:pPr>
        <w:spacing w:after="0" w:line="240" w:lineRule="auto"/>
        <w:ind w:left="1440" w:right="1440"/>
        <w:rPr>
          <w:rFonts w:cs="Times New Roman"/>
        </w:rPr>
      </w:pPr>
    </w:p>
    <w:p w:rsidR="00330595" w:rsidRDefault="00330595" w:rsidP="007B5CCD">
      <w:pPr>
        <w:spacing w:after="0" w:line="240" w:lineRule="auto"/>
        <w:ind w:left="1440" w:right="1440"/>
        <w:rPr>
          <w:rFonts w:cs="Times New Roman"/>
        </w:rPr>
      </w:pPr>
      <w:r w:rsidRPr="00B40636">
        <w:rPr>
          <w:rFonts w:cs="Times New Roman"/>
        </w:rPr>
        <w:t>(3)</w:t>
      </w:r>
      <w:r w:rsidRPr="00B40636">
        <w:rPr>
          <w:rFonts w:cs="Times New Roman"/>
        </w:rPr>
        <w:tab/>
        <w:t>Whether the conduct at issue was deemed intentional or negligent.  This factor may only be considered in evaluating litigated cases.  When conduct has been deemed intentional, the conduct may result in a higher penalty.</w:t>
      </w:r>
    </w:p>
    <w:p w:rsidR="00330595" w:rsidRPr="00B40636" w:rsidRDefault="00330595" w:rsidP="007B5CCD">
      <w:pPr>
        <w:spacing w:after="0" w:line="240" w:lineRule="auto"/>
        <w:ind w:left="1440" w:right="1440"/>
        <w:rPr>
          <w:rFonts w:cs="Times New Roman"/>
        </w:rPr>
      </w:pPr>
    </w:p>
    <w:p w:rsidR="00330595" w:rsidRPr="00B40636" w:rsidRDefault="00330595" w:rsidP="007B5CCD">
      <w:pPr>
        <w:spacing w:after="0" w:line="240" w:lineRule="auto"/>
        <w:ind w:left="1440" w:right="1440"/>
        <w:rPr>
          <w:rFonts w:cs="Times New Roman"/>
        </w:rPr>
      </w:pPr>
      <w:r w:rsidRPr="00B40636">
        <w:rPr>
          <w:rFonts w:cs="Times New Roman"/>
        </w:rPr>
        <w:t>(4)</w:t>
      </w:r>
      <w:r w:rsidRPr="00B40636">
        <w:rPr>
          <w:rFonts w:cs="Times New Roman"/>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330595" w:rsidRPr="00B40636" w:rsidRDefault="00330595" w:rsidP="007B5CCD">
      <w:pPr>
        <w:spacing w:after="0" w:line="240" w:lineRule="auto"/>
        <w:ind w:left="1440" w:right="1440"/>
        <w:rPr>
          <w:rFonts w:cs="Times New Roman"/>
        </w:rPr>
      </w:pPr>
    </w:p>
    <w:p w:rsidR="00330595" w:rsidRDefault="00330595" w:rsidP="007B5CCD">
      <w:pPr>
        <w:spacing w:after="0" w:line="240" w:lineRule="auto"/>
        <w:ind w:left="1440" w:right="1440"/>
        <w:rPr>
          <w:rFonts w:cs="Times New Roman"/>
        </w:rPr>
      </w:pPr>
      <w:r w:rsidRPr="00B40636">
        <w:rPr>
          <w:rFonts w:cs="Times New Roman"/>
        </w:rPr>
        <w:t>(5)</w:t>
      </w:r>
      <w:r w:rsidRPr="00B40636">
        <w:rPr>
          <w:rFonts w:cs="Times New Roman"/>
        </w:rPr>
        <w:tab/>
        <w:t>The number of customers affected and the duration of the violation.</w:t>
      </w:r>
    </w:p>
    <w:p w:rsidR="00330595" w:rsidRPr="00B40636" w:rsidRDefault="00330595" w:rsidP="007B5CCD">
      <w:pPr>
        <w:spacing w:after="0" w:line="240" w:lineRule="auto"/>
        <w:ind w:left="1440" w:right="1440"/>
        <w:rPr>
          <w:rFonts w:cs="Times New Roman"/>
        </w:rPr>
      </w:pPr>
    </w:p>
    <w:p w:rsidR="00330595" w:rsidRDefault="00330595" w:rsidP="007B5CCD">
      <w:pPr>
        <w:spacing w:after="0" w:line="240" w:lineRule="auto"/>
        <w:ind w:left="1440" w:right="1440"/>
        <w:rPr>
          <w:rFonts w:cs="Times New Roman"/>
        </w:rPr>
      </w:pPr>
      <w:r w:rsidRPr="00B40636">
        <w:rPr>
          <w:rFonts w:cs="Times New Roman"/>
        </w:rPr>
        <w:t>(6)</w:t>
      </w:r>
      <w:r w:rsidRPr="00B40636">
        <w:rPr>
          <w:rFonts w:cs="Times New Roman"/>
        </w:rPr>
        <w:tab/>
        <w:t>The compliance history of the regulated entity which committed the violation.  An isolated incident from an otherwise compliant utility may result in a lower penalty, whereas frequent, recurrent violations by a utility may result in a higher penalty.</w:t>
      </w:r>
    </w:p>
    <w:p w:rsidR="00330595" w:rsidRPr="00B40636" w:rsidRDefault="00330595" w:rsidP="007B5CCD">
      <w:pPr>
        <w:spacing w:after="0" w:line="240" w:lineRule="auto"/>
        <w:ind w:left="1440" w:right="1440"/>
        <w:rPr>
          <w:rFonts w:cs="Times New Roman"/>
        </w:rPr>
      </w:pPr>
    </w:p>
    <w:p w:rsidR="00330595" w:rsidRDefault="00330595" w:rsidP="007B5CCD">
      <w:pPr>
        <w:spacing w:after="0" w:line="240" w:lineRule="auto"/>
        <w:ind w:left="1440" w:right="1440"/>
        <w:rPr>
          <w:rFonts w:cs="Times New Roman"/>
        </w:rPr>
      </w:pPr>
      <w:r w:rsidRPr="00B40636">
        <w:rPr>
          <w:rFonts w:cs="Times New Roman"/>
        </w:rPr>
        <w:t>(7)</w:t>
      </w:r>
      <w:r w:rsidRPr="00B40636">
        <w:rPr>
          <w:rFonts w:cs="Times New Roman"/>
        </w:rPr>
        <w:tab/>
        <w:t>Whether the regulated entity cooperated with the Commission’s investigation.  Facts establishing bad faith, active concealment of violations or attempts to interfere with Commission investigations may result in a higher penalty.</w:t>
      </w:r>
    </w:p>
    <w:p w:rsidR="00330595" w:rsidRPr="00B40636" w:rsidRDefault="00330595" w:rsidP="007B5CCD">
      <w:pPr>
        <w:spacing w:after="0" w:line="240" w:lineRule="auto"/>
        <w:ind w:left="1440" w:right="1440"/>
        <w:rPr>
          <w:rFonts w:cs="Times New Roman"/>
        </w:rPr>
      </w:pPr>
    </w:p>
    <w:p w:rsidR="00330595" w:rsidRDefault="00330595" w:rsidP="007B5CCD">
      <w:pPr>
        <w:spacing w:after="0" w:line="240" w:lineRule="auto"/>
        <w:ind w:left="1440" w:right="1440"/>
        <w:rPr>
          <w:rFonts w:cs="Times New Roman"/>
        </w:rPr>
      </w:pPr>
      <w:r w:rsidRPr="00B40636">
        <w:rPr>
          <w:rFonts w:cs="Times New Roman"/>
        </w:rPr>
        <w:t>(8)</w:t>
      </w:r>
      <w:r w:rsidRPr="00B40636">
        <w:rPr>
          <w:rFonts w:cs="Times New Roman"/>
        </w:rPr>
        <w:tab/>
        <w:t>The amount of the civil penalty or fine necessary to deter future violations.  The size of the utility may be considered to determine an appropriate penalty amount.</w:t>
      </w:r>
    </w:p>
    <w:p w:rsidR="00330595" w:rsidRPr="00B40636" w:rsidRDefault="00330595" w:rsidP="007B5CCD">
      <w:pPr>
        <w:spacing w:after="0" w:line="240" w:lineRule="auto"/>
        <w:ind w:left="1440" w:right="1440"/>
        <w:rPr>
          <w:rFonts w:cs="Times New Roman"/>
        </w:rPr>
      </w:pPr>
    </w:p>
    <w:p w:rsidR="00330595" w:rsidRDefault="00330595" w:rsidP="007B5CCD">
      <w:pPr>
        <w:spacing w:after="0" w:line="240" w:lineRule="auto"/>
        <w:ind w:left="1440" w:right="1440"/>
        <w:rPr>
          <w:rFonts w:cs="Times New Roman"/>
        </w:rPr>
      </w:pPr>
      <w:r w:rsidRPr="00B40636">
        <w:rPr>
          <w:rFonts w:cs="Times New Roman"/>
        </w:rPr>
        <w:t>(9)</w:t>
      </w:r>
      <w:r w:rsidRPr="00B40636">
        <w:rPr>
          <w:rFonts w:cs="Times New Roman"/>
        </w:rPr>
        <w:tab/>
        <w:t>Past Commission decision</w:t>
      </w:r>
      <w:r w:rsidR="00E54DF2">
        <w:rPr>
          <w:rFonts w:cs="Times New Roman"/>
        </w:rPr>
        <w:t>s</w:t>
      </w:r>
      <w:r w:rsidRPr="00B40636">
        <w:rPr>
          <w:rFonts w:cs="Times New Roman"/>
        </w:rPr>
        <w:t xml:space="preserve"> in similar situations.</w:t>
      </w:r>
    </w:p>
    <w:p w:rsidR="00330595" w:rsidRPr="00B40636" w:rsidRDefault="00330595" w:rsidP="007B5CCD">
      <w:pPr>
        <w:spacing w:after="0" w:line="240" w:lineRule="auto"/>
        <w:ind w:left="1440" w:right="1440"/>
        <w:rPr>
          <w:rFonts w:cs="Times New Roman"/>
        </w:rPr>
      </w:pPr>
    </w:p>
    <w:p w:rsidR="00330595" w:rsidRDefault="00330595" w:rsidP="007B5CCD">
      <w:pPr>
        <w:spacing w:after="0"/>
        <w:ind w:left="1440" w:right="1440"/>
        <w:rPr>
          <w:rFonts w:cs="Times New Roman"/>
        </w:rPr>
      </w:pPr>
      <w:r>
        <w:rPr>
          <w:rFonts w:cs="Times New Roman"/>
        </w:rPr>
        <w:t>(10)</w:t>
      </w:r>
      <w:r>
        <w:rPr>
          <w:rFonts w:cs="Times New Roman"/>
        </w:rPr>
        <w:tab/>
        <w:t>Other relevant factors.</w:t>
      </w:r>
      <w:r>
        <w:rPr>
          <w:rStyle w:val="FootnoteReference"/>
          <w:rFonts w:cs="Times New Roman"/>
        </w:rPr>
        <w:footnoteReference w:id="57"/>
      </w:r>
    </w:p>
    <w:p w:rsidR="00330595" w:rsidRDefault="00330595" w:rsidP="007B5CCD">
      <w:pPr>
        <w:spacing w:after="0"/>
        <w:rPr>
          <w:rFonts w:cs="Times New Roman"/>
        </w:rPr>
      </w:pPr>
    </w:p>
    <w:p w:rsidR="002D73C5" w:rsidRDefault="0035505B" w:rsidP="007B5CCD">
      <w:pPr>
        <w:spacing w:after="0"/>
        <w:ind w:firstLine="1440"/>
        <w:rPr>
          <w:rFonts w:cs="Times New Roman"/>
        </w:rPr>
      </w:pPr>
      <w:r>
        <w:rPr>
          <w:rFonts w:cs="Times New Roman"/>
        </w:rPr>
        <w:t>I agree with the Complainant that</w:t>
      </w:r>
      <w:r w:rsidR="009C6B08">
        <w:rPr>
          <w:rFonts w:cs="Times New Roman"/>
        </w:rPr>
        <w:t xml:space="preserve"> a civil penalty is appropriate</w:t>
      </w:r>
      <w:r w:rsidR="00CC2F0D">
        <w:rPr>
          <w:rFonts w:cs="Times New Roman"/>
        </w:rPr>
        <w:t xml:space="preserve">.  GAP violated the Commission’s 2010 Interim Guidelines </w:t>
      </w:r>
      <w:r w:rsidR="00160578">
        <w:rPr>
          <w:rFonts w:cs="Times New Roman"/>
        </w:rPr>
        <w:t xml:space="preserve">and </w:t>
      </w:r>
      <w:r w:rsidR="00C91956">
        <w:rPr>
          <w:rFonts w:cs="Times New Roman"/>
        </w:rPr>
        <w:t xml:space="preserve">several </w:t>
      </w:r>
      <w:r w:rsidR="00160578">
        <w:rPr>
          <w:rFonts w:cs="Times New Roman"/>
        </w:rPr>
        <w:t>Pennsylvania</w:t>
      </w:r>
      <w:r w:rsidR="00C91956">
        <w:rPr>
          <w:rFonts w:cs="Times New Roman"/>
        </w:rPr>
        <w:t xml:space="preserve"> and federal</w:t>
      </w:r>
      <w:r w:rsidR="00160578">
        <w:rPr>
          <w:rFonts w:cs="Times New Roman"/>
        </w:rPr>
        <w:t xml:space="preserve"> consumer protection laws by failing to clearly represent itself as a supplier independent from Duquesne Light, </w:t>
      </w:r>
      <w:r w:rsidR="00CC2F0D">
        <w:rPr>
          <w:rFonts w:cs="Times New Roman"/>
        </w:rPr>
        <w:t xml:space="preserve">by failing to </w:t>
      </w:r>
      <w:r w:rsidR="009C6B08">
        <w:rPr>
          <w:rFonts w:cs="Times New Roman"/>
        </w:rPr>
        <w:t>expeditiously place the Complainant’s contact information on its internal do</w:t>
      </w:r>
      <w:r w:rsidR="00A0423E">
        <w:rPr>
          <w:rFonts w:cs="Times New Roman"/>
        </w:rPr>
        <w:t>-</w:t>
      </w:r>
      <w:r w:rsidR="009C6B08">
        <w:rPr>
          <w:rFonts w:cs="Times New Roman"/>
        </w:rPr>
        <w:t>not</w:t>
      </w:r>
      <w:r w:rsidR="00A0423E">
        <w:rPr>
          <w:rFonts w:cs="Times New Roman"/>
        </w:rPr>
        <w:t>-</w:t>
      </w:r>
      <w:r w:rsidR="009C6B08">
        <w:rPr>
          <w:rFonts w:cs="Times New Roman"/>
        </w:rPr>
        <w:t xml:space="preserve">call list and </w:t>
      </w:r>
      <w:r w:rsidR="00C91956">
        <w:rPr>
          <w:rFonts w:cs="Times New Roman"/>
        </w:rPr>
        <w:t xml:space="preserve">by </w:t>
      </w:r>
      <w:r w:rsidR="00CC2F0D">
        <w:rPr>
          <w:rFonts w:cs="Times New Roman"/>
        </w:rPr>
        <w:t xml:space="preserve">failing to provide an accurate call-back telephone number on its caller ID.  </w:t>
      </w:r>
    </w:p>
    <w:p w:rsidR="007B5CCD" w:rsidRDefault="007B5CCD" w:rsidP="007B5CCD">
      <w:pPr>
        <w:spacing w:after="0"/>
        <w:ind w:firstLine="1440"/>
        <w:rPr>
          <w:rFonts w:cs="Times New Roman"/>
        </w:rPr>
      </w:pPr>
    </w:p>
    <w:p w:rsidR="00160578" w:rsidRDefault="00160578" w:rsidP="007B5CCD">
      <w:pPr>
        <w:spacing w:after="0"/>
        <w:ind w:firstLine="1440"/>
        <w:rPr>
          <w:rFonts w:cs="Times New Roman"/>
        </w:rPr>
      </w:pPr>
      <w:r>
        <w:rPr>
          <w:rFonts w:cs="Times New Roman"/>
        </w:rPr>
        <w:t>As discussed above, GAP representatives, while they identified themselves as calling from GAP, they clearly gave a strong impression that they were calling on behalf of Duquesne Light and not as an independent electricity supplier.  The language used improperly suggested a relationship with Duquesne Light rather than identifying GAP as an independent, unaffiliated entity.</w:t>
      </w:r>
    </w:p>
    <w:p w:rsidR="007B5CCD" w:rsidRDefault="007B5CCD" w:rsidP="007B5CCD">
      <w:pPr>
        <w:spacing w:after="0"/>
        <w:ind w:firstLine="1440"/>
        <w:rPr>
          <w:rFonts w:cs="Times New Roman"/>
        </w:rPr>
      </w:pPr>
    </w:p>
    <w:p w:rsidR="00CC2F0D" w:rsidRDefault="00160578" w:rsidP="007B5CCD">
      <w:pPr>
        <w:spacing w:after="0"/>
        <w:ind w:firstLine="1440"/>
        <w:rPr>
          <w:rFonts w:cs="Times New Roman"/>
        </w:rPr>
      </w:pPr>
      <w:r>
        <w:rPr>
          <w:rFonts w:cs="Times New Roman"/>
        </w:rPr>
        <w:t>Further, g</w:t>
      </w:r>
      <w:r w:rsidR="002D73C5">
        <w:rPr>
          <w:rFonts w:cs="Times New Roman"/>
        </w:rPr>
        <w:t>iven</w:t>
      </w:r>
      <w:r w:rsidR="00271B5F">
        <w:rPr>
          <w:rFonts w:cs="Times New Roman"/>
        </w:rPr>
        <w:t xml:space="preserve"> the design of this very intensive telemarketing campaign, GAP had a heightened responsibility </w:t>
      </w:r>
      <w:r w:rsidR="002D73C5">
        <w:rPr>
          <w:rFonts w:cs="Times New Roman"/>
        </w:rPr>
        <w:t xml:space="preserve">to supervise its representatives to ensure that consumers who did not wish to be contacted were not contacted again.  It is clear from this record that GAP did not have a sufficient protocol in place to manage its internal do-not-call list.  Similarly, by failing to provide a telephone number on its caller ID that would permit a consumer to contact GAP to </w:t>
      </w:r>
      <w:r w:rsidR="002D73C5">
        <w:rPr>
          <w:rFonts w:cs="Times New Roman"/>
        </w:rPr>
        <w:lastRenderedPageBreak/>
        <w:t>request placement on a do-not-call list</w:t>
      </w:r>
      <w:r w:rsidR="00E54DF2">
        <w:rPr>
          <w:rFonts w:cs="Times New Roman"/>
        </w:rPr>
        <w:t>, GAP</w:t>
      </w:r>
      <w:r w:rsidR="002D73C5">
        <w:rPr>
          <w:rFonts w:cs="Times New Roman"/>
        </w:rPr>
        <w:t xml:space="preserve"> failed to protect the privacy of those who did not wish to be contacted.  It is simply no excuse to lay responsibility for these procedures at the door of the telemarketing subcontractors and project managers when it is clear from the record that GAP did not adequately provide supervision or protocols to ensure compliance with these important telemarketing rules and regulations.</w:t>
      </w:r>
    </w:p>
    <w:p w:rsidR="007B5CCD" w:rsidRDefault="007B5CCD" w:rsidP="007B5CCD">
      <w:pPr>
        <w:spacing w:after="0"/>
        <w:ind w:firstLine="1440"/>
        <w:rPr>
          <w:rFonts w:cs="Times New Roman"/>
        </w:rPr>
      </w:pPr>
    </w:p>
    <w:p w:rsidR="007B5CCD" w:rsidRDefault="002D73C5" w:rsidP="009321A2">
      <w:pPr>
        <w:spacing w:after="0"/>
        <w:ind w:firstLine="1440"/>
        <w:rPr>
          <w:rFonts w:cs="Times New Roman"/>
        </w:rPr>
      </w:pPr>
      <w:r>
        <w:rPr>
          <w:rFonts w:cs="Times New Roman"/>
        </w:rPr>
        <w:t xml:space="preserve">In developing the rules of conduct for suppliers in the competitive retail market, the Commission has emphasized the importance of favorable customer opinion of interactions with the participants in the market.  Indeed, “customer opinion is </w:t>
      </w:r>
      <w:proofErr w:type="gramStart"/>
      <w:r>
        <w:rPr>
          <w:rFonts w:cs="Times New Roman"/>
        </w:rPr>
        <w:t>key</w:t>
      </w:r>
      <w:proofErr w:type="gramEnd"/>
      <w:r>
        <w:rPr>
          <w:rFonts w:cs="Times New Roman"/>
        </w:rPr>
        <w:t xml:space="preserve"> to the success of any retail market . . . .”</w:t>
      </w:r>
      <w:r>
        <w:rPr>
          <w:rStyle w:val="FootnoteReference"/>
          <w:rFonts w:cs="Times New Roman"/>
        </w:rPr>
        <w:footnoteReference w:id="58"/>
      </w:r>
      <w:r>
        <w:rPr>
          <w:rFonts w:cs="Times New Roman"/>
        </w:rPr>
        <w:t xml:space="preserve">  Accordingly, the type of nuisance behavior described by the Complainant in these proceedings negatively impacts not only the Complainant and other individual customers, but negatively impacts</w:t>
      </w:r>
      <w:r w:rsidR="00282166">
        <w:rPr>
          <w:rFonts w:cs="Times New Roman"/>
        </w:rPr>
        <w:t xml:space="preserve"> other market participants and</w:t>
      </w:r>
      <w:r>
        <w:rPr>
          <w:rFonts w:cs="Times New Roman"/>
        </w:rPr>
        <w:t xml:space="preserve"> the success of the retail market as a whole.  Therefore, the nature and consequences of these violations merit a higher penalty.</w:t>
      </w:r>
      <w:r>
        <w:rPr>
          <w:rStyle w:val="FootnoteReference"/>
          <w:rFonts w:cs="Times New Roman"/>
        </w:rPr>
        <w:footnoteReference w:id="59"/>
      </w:r>
      <w:r>
        <w:rPr>
          <w:rFonts w:cs="Times New Roman"/>
        </w:rPr>
        <w:t xml:space="preserve"> </w:t>
      </w:r>
    </w:p>
    <w:p w:rsidR="002D73C5" w:rsidRDefault="002D73C5" w:rsidP="009321A2">
      <w:pPr>
        <w:spacing w:after="0"/>
        <w:ind w:firstLine="1440"/>
        <w:rPr>
          <w:rFonts w:cs="Times New Roman"/>
        </w:rPr>
      </w:pPr>
      <w:r>
        <w:rPr>
          <w:rFonts w:cs="Times New Roman"/>
        </w:rPr>
        <w:t xml:space="preserve"> </w:t>
      </w:r>
    </w:p>
    <w:p w:rsidR="007B5CCD" w:rsidRDefault="00F62ED8" w:rsidP="009321A2">
      <w:pPr>
        <w:spacing w:after="0"/>
        <w:ind w:firstLine="1440"/>
        <w:rPr>
          <w:rFonts w:cs="Times New Roman"/>
        </w:rPr>
      </w:pPr>
      <w:r>
        <w:rPr>
          <w:rFonts w:cs="Times New Roman"/>
        </w:rPr>
        <w:t>This conduct is at least negligent.  The Commission’s regulations very plainly provide that a supplier is responsible for the conduct of its representatives.  As explained above, GAP’s monitoring of the call centers was minimal.  There is no evidence that GAP monitored for compliance with do-not-call regulations.  Rather, it designed a telemarketing campaign that virtually guaranteed that consumers who did not wish to be contacted would be contacted on multiple occasions even after requests to be place</w:t>
      </w:r>
      <w:r w:rsidR="00E54DF2">
        <w:rPr>
          <w:rFonts w:cs="Times New Roman"/>
        </w:rPr>
        <w:t>d</w:t>
      </w:r>
      <w:r>
        <w:rPr>
          <w:rFonts w:cs="Times New Roman"/>
        </w:rPr>
        <w:t xml:space="preserve"> on the do-not-call list and after declining GAP’s offer of services.  This factor merits a higher penalty.</w:t>
      </w:r>
      <w:r>
        <w:rPr>
          <w:rStyle w:val="FootnoteReference"/>
          <w:rFonts w:cs="Times New Roman"/>
        </w:rPr>
        <w:footnoteReference w:id="60"/>
      </w:r>
    </w:p>
    <w:p w:rsidR="00F62ED8" w:rsidRDefault="00F62ED8" w:rsidP="009321A2">
      <w:pPr>
        <w:spacing w:after="0"/>
        <w:ind w:firstLine="1440"/>
        <w:rPr>
          <w:rFonts w:cs="Times New Roman"/>
        </w:rPr>
      </w:pPr>
      <w:r>
        <w:rPr>
          <w:rFonts w:cs="Times New Roman"/>
        </w:rPr>
        <w:t xml:space="preserve"> </w:t>
      </w:r>
    </w:p>
    <w:p w:rsidR="00F62ED8" w:rsidRDefault="00F62ED8" w:rsidP="009321A2">
      <w:pPr>
        <w:spacing w:after="0"/>
        <w:ind w:firstLine="1440"/>
        <w:rPr>
          <w:rFonts w:cs="Times New Roman"/>
        </w:rPr>
      </w:pPr>
      <w:r>
        <w:rPr>
          <w:rFonts w:cs="Times New Roman"/>
        </w:rPr>
        <w:t>The fourth factor to be considered when assessing a civil penalty is the efforts made by the regulated entity to modify its internal practices and the involvement of top-level management in correcting the conduct.</w:t>
      </w:r>
      <w:r w:rsidR="00E67B30">
        <w:rPr>
          <w:rStyle w:val="FootnoteReference"/>
          <w:rFonts w:cs="Times New Roman"/>
        </w:rPr>
        <w:footnoteReference w:id="61"/>
      </w:r>
      <w:r>
        <w:rPr>
          <w:rFonts w:cs="Times New Roman"/>
        </w:rPr>
        <w:t xml:space="preserve">  Ginger Lucas</w:t>
      </w:r>
      <w:r w:rsidR="00A1780F">
        <w:rPr>
          <w:rFonts w:cs="Times New Roman"/>
        </w:rPr>
        <w:t xml:space="preserve">, the CEO of GAP, did not acknowledge in any way that her representatives misstated the relationship between GAP and Duquesne Light. </w:t>
      </w:r>
      <w:r w:rsidR="00A1780F">
        <w:rPr>
          <w:rFonts w:cs="Times New Roman"/>
        </w:rPr>
        <w:lastRenderedPageBreak/>
        <w:t xml:space="preserve">As to the do-not-call violations, she </w:t>
      </w:r>
      <w:r>
        <w:rPr>
          <w:rFonts w:cs="Times New Roman"/>
        </w:rPr>
        <w:t xml:space="preserve">testified that at some point during the telemarketing campaign at issue, GAP did create a policy of placing numbers on a do-not-call list within 48 hours of a request to not be contacted.  However, in the Complainant’s case, this policy was ineffective and Ms. Lucas did not have an explanation for why it was not applied to his request.  She did not provide any testimony or evidence concerning the training that the representatives received for placing consumers on the internal do-not-call list, and clearly the representatives who contacted the Complainant did not do so.  Therefore this factor too merits a higher penalty inasmuch as any efforts made by GAP were </w:t>
      </w:r>
      <w:r w:rsidR="00E67B30">
        <w:rPr>
          <w:rFonts w:cs="Times New Roman"/>
        </w:rPr>
        <w:t>not significant.</w:t>
      </w:r>
    </w:p>
    <w:p w:rsidR="007B5CCD" w:rsidRDefault="007B5CCD" w:rsidP="009321A2">
      <w:pPr>
        <w:spacing w:after="0"/>
        <w:ind w:firstLine="1440"/>
        <w:rPr>
          <w:rFonts w:cs="Times New Roman"/>
        </w:rPr>
      </w:pPr>
    </w:p>
    <w:p w:rsidR="00E67B30" w:rsidRDefault="00E67B30" w:rsidP="009321A2">
      <w:pPr>
        <w:spacing w:after="0"/>
        <w:ind w:firstLine="1440"/>
        <w:rPr>
          <w:rFonts w:cs="Times New Roman"/>
        </w:rPr>
      </w:pPr>
      <w:r>
        <w:rPr>
          <w:rFonts w:cs="Times New Roman"/>
        </w:rPr>
        <w:t>The next factor is the number of customers affected and the duration of the violation.</w:t>
      </w:r>
      <w:r>
        <w:rPr>
          <w:rStyle w:val="FootnoteReference"/>
          <w:rFonts w:cs="Times New Roman"/>
        </w:rPr>
        <w:footnoteReference w:id="62"/>
      </w:r>
      <w:r>
        <w:rPr>
          <w:rFonts w:cs="Times New Roman"/>
        </w:rPr>
        <w:t xml:space="preserve">  Here there is only evidence concerning the experience of one customer.  Although the course of the violation was within a relatively short period of time, the Complainant was contacted numerous times, often in the same day.   Therefore this factor also merits a higher penalty.</w:t>
      </w:r>
      <w:r w:rsidR="007B5CCD">
        <w:rPr>
          <w:rFonts w:cs="Times New Roman"/>
        </w:rPr>
        <w:br/>
      </w:r>
    </w:p>
    <w:p w:rsidR="00E67B30" w:rsidRDefault="00E67B30" w:rsidP="009321A2">
      <w:pPr>
        <w:spacing w:after="0"/>
        <w:ind w:firstLine="1440"/>
        <w:rPr>
          <w:rFonts w:cs="Times New Roman"/>
        </w:rPr>
      </w:pPr>
      <w:r>
        <w:rPr>
          <w:rFonts w:cs="Times New Roman"/>
        </w:rPr>
        <w:t>Deterrence is perhaps the most important factor for consideration in assessing this penalty.</w:t>
      </w:r>
      <w:r w:rsidR="00C560F8">
        <w:rPr>
          <w:rStyle w:val="FootnoteReference"/>
          <w:rFonts w:cs="Times New Roman"/>
        </w:rPr>
        <w:footnoteReference w:id="63"/>
      </w:r>
      <w:r>
        <w:rPr>
          <w:rFonts w:cs="Times New Roman"/>
        </w:rPr>
        <w:t xml:space="preserve">  Clearly, GAP did not take its obligation to comply with the Commission</w:t>
      </w:r>
      <w:r w:rsidR="00E7200E">
        <w:rPr>
          <w:rFonts w:cs="Times New Roman"/>
        </w:rPr>
        <w:t>’</w:t>
      </w:r>
      <w:r>
        <w:rPr>
          <w:rFonts w:cs="Times New Roman"/>
        </w:rPr>
        <w:t xml:space="preserve">s regulations and codes of conduct seriously in its design of this campaign and supervision of its telemarketing subcontractor.  Moreover, the penalty in this case may also serve </w:t>
      </w:r>
      <w:r w:rsidR="00C560F8">
        <w:rPr>
          <w:rFonts w:cs="Times New Roman"/>
        </w:rPr>
        <w:t>as a reminder to other suppliers who are designing intensive telemarketing campaigns.</w:t>
      </w:r>
      <w:r w:rsidR="00A1780F">
        <w:rPr>
          <w:rFonts w:cs="Times New Roman"/>
        </w:rPr>
        <w:t xml:space="preserve">  Therefore a substantial civil penalty is necessary in order to emphasize the importance of being educated and aware of the requirements of Commission guidelines and regulations and to deter not only this supplier, but other suppliers as well.</w:t>
      </w:r>
    </w:p>
    <w:p w:rsidR="007B5CCD" w:rsidRDefault="007B5CCD" w:rsidP="009321A2">
      <w:pPr>
        <w:spacing w:after="0"/>
        <w:ind w:firstLine="1440"/>
        <w:rPr>
          <w:rFonts w:cs="Times New Roman"/>
        </w:rPr>
      </w:pPr>
    </w:p>
    <w:p w:rsidR="00BA01DA" w:rsidRDefault="00BA01DA" w:rsidP="009321A2">
      <w:pPr>
        <w:spacing w:after="0"/>
        <w:ind w:firstLine="1440"/>
        <w:rPr>
          <w:rFonts w:cs="Times New Roman"/>
        </w:rPr>
      </w:pPr>
      <w:r>
        <w:rPr>
          <w:rFonts w:cs="Times New Roman"/>
        </w:rPr>
        <w:t>The civil penalty guidelines also permit consideration of “other relevant factors.”</w:t>
      </w:r>
      <w:r>
        <w:rPr>
          <w:rStyle w:val="FootnoteReference"/>
          <w:rFonts w:cs="Times New Roman"/>
        </w:rPr>
        <w:footnoteReference w:id="64"/>
      </w:r>
      <w:r>
        <w:rPr>
          <w:rFonts w:cs="Times New Roman"/>
        </w:rPr>
        <w:t xml:space="preserve">  The importance of compliance with the Commission’s regulations, guidelines and code of conduct for suppliers in our burgeoning retail market cannot be over emphasized.  When </w:t>
      </w:r>
      <w:r>
        <w:rPr>
          <w:rFonts w:cs="Times New Roman"/>
        </w:rPr>
        <w:lastRenderedPageBreak/>
        <w:t>designing sales campaigns, it is not enough for a supplier to simply contract with a telemarketing or other marketing enterprise and contract its responsibilities away.  The theme of GAP’s defense in this matter is that it contracts with the call centers and makes them responsible for compliance with regulations and to take responsibility for any violations of those regulations.</w:t>
      </w:r>
      <w:r>
        <w:rPr>
          <w:rStyle w:val="FootnoteReference"/>
          <w:rFonts w:cs="Times New Roman"/>
        </w:rPr>
        <w:footnoteReference w:id="65"/>
      </w:r>
      <w:r>
        <w:rPr>
          <w:rFonts w:cs="Times New Roman"/>
        </w:rPr>
        <w:t xml:space="preserve">  Although GAP acknowledges in its brief that the Commission’s regulation places responsibility for compliance on the supplier, this acknowledgement lacks sincerity in the face of the record developed in this case.</w:t>
      </w:r>
    </w:p>
    <w:p w:rsidR="007B5CCD" w:rsidRDefault="007B5CCD" w:rsidP="009321A2">
      <w:pPr>
        <w:spacing w:after="0"/>
        <w:ind w:firstLine="1440"/>
        <w:rPr>
          <w:rFonts w:cs="Times New Roman"/>
        </w:rPr>
      </w:pPr>
    </w:p>
    <w:p w:rsidR="00A1780F" w:rsidRDefault="00A1780F" w:rsidP="009321A2">
      <w:pPr>
        <w:spacing w:after="0"/>
        <w:ind w:firstLine="1440"/>
        <w:rPr>
          <w:rFonts w:cs="Times New Roman"/>
        </w:rPr>
      </w:pPr>
      <w:r>
        <w:rPr>
          <w:rFonts w:cs="Times New Roman"/>
        </w:rPr>
        <w:t>The remaining factors are not considerations in assessing the civil penalty in this case.  There is no evidence in the record concerning GAP’s compliance history</w:t>
      </w:r>
      <w:r>
        <w:rPr>
          <w:rStyle w:val="FootnoteReference"/>
          <w:rFonts w:cs="Times New Roman"/>
        </w:rPr>
        <w:footnoteReference w:id="66"/>
      </w:r>
      <w:r>
        <w:rPr>
          <w:rFonts w:cs="Times New Roman"/>
        </w:rPr>
        <w:t xml:space="preserve"> or past decisions of the Commission.</w:t>
      </w:r>
      <w:r>
        <w:rPr>
          <w:rStyle w:val="FootnoteReference"/>
          <w:rFonts w:cs="Times New Roman"/>
        </w:rPr>
        <w:footnoteReference w:id="67"/>
      </w:r>
      <w:r>
        <w:rPr>
          <w:rFonts w:cs="Times New Roman"/>
        </w:rPr>
        <w:t xml:space="preserve">  There is no Commission investigation in this case.</w:t>
      </w:r>
      <w:r>
        <w:rPr>
          <w:rStyle w:val="FootnoteReference"/>
          <w:rFonts w:cs="Times New Roman"/>
        </w:rPr>
        <w:footnoteReference w:id="68"/>
      </w:r>
      <w:r>
        <w:rPr>
          <w:rFonts w:cs="Times New Roman"/>
        </w:rPr>
        <w:t xml:space="preserve"> </w:t>
      </w:r>
    </w:p>
    <w:p w:rsidR="007B5CCD" w:rsidRDefault="007B5CCD" w:rsidP="009321A2">
      <w:pPr>
        <w:spacing w:after="0"/>
        <w:ind w:firstLine="1440"/>
        <w:rPr>
          <w:rFonts w:cs="Times New Roman"/>
        </w:rPr>
      </w:pPr>
    </w:p>
    <w:p w:rsidR="00EE2CC0" w:rsidRDefault="00EE2CC0" w:rsidP="009321A2">
      <w:pPr>
        <w:spacing w:after="0"/>
        <w:ind w:firstLine="1440"/>
        <w:rPr>
          <w:rFonts w:cs="Times New Roman"/>
        </w:rPr>
      </w:pPr>
      <w:r>
        <w:rPr>
          <w:rFonts w:cs="Times New Roman"/>
        </w:rPr>
        <w:t>After consideration of all these factors, a civil penalty in the amount of $5,000 is appropriate.  This penalty is sufficient to emphasize the importance of compliance with the Commission</w:t>
      </w:r>
      <w:r w:rsidR="00E7200E">
        <w:rPr>
          <w:rFonts w:cs="Times New Roman"/>
        </w:rPr>
        <w:t>’</w:t>
      </w:r>
      <w:r>
        <w:rPr>
          <w:rFonts w:cs="Times New Roman"/>
        </w:rPr>
        <w:t xml:space="preserve">s regulations and to put GAP and other suppliers on notice that when designing marketing campaigns it must pay careful attention to telemarketing and unfair trade practice rules and take proactive measures </w:t>
      </w:r>
      <w:r w:rsidR="00A1780F">
        <w:rPr>
          <w:rFonts w:cs="Times New Roman"/>
        </w:rPr>
        <w:t>to ensure that its contractors d</w:t>
      </w:r>
      <w:r>
        <w:rPr>
          <w:rFonts w:cs="Times New Roman"/>
        </w:rPr>
        <w:t xml:space="preserve">o the same. </w:t>
      </w:r>
    </w:p>
    <w:p w:rsidR="007B5CCD" w:rsidRDefault="007B5CCD" w:rsidP="009321A2">
      <w:pPr>
        <w:spacing w:after="0"/>
        <w:ind w:firstLine="1440"/>
        <w:rPr>
          <w:rFonts w:cs="Times New Roman"/>
        </w:rPr>
      </w:pPr>
    </w:p>
    <w:p w:rsidR="00EE2CC0" w:rsidRDefault="00EE2CC0" w:rsidP="009321A2">
      <w:pPr>
        <w:spacing w:after="0"/>
        <w:ind w:firstLine="1440"/>
        <w:rPr>
          <w:rFonts w:cs="Times New Roman"/>
        </w:rPr>
      </w:pPr>
      <w:r>
        <w:rPr>
          <w:rFonts w:cs="Times New Roman"/>
        </w:rPr>
        <w:t>Although the Commission’s regulations permit the Commission to suspend or revoke the license of a supplier who fails to comply with Commission rules or Pennsylvania consumer protection laws,</w:t>
      </w:r>
      <w:r>
        <w:rPr>
          <w:rStyle w:val="FootnoteReference"/>
          <w:rFonts w:cs="Times New Roman"/>
        </w:rPr>
        <w:footnoteReference w:id="69"/>
      </w:r>
      <w:r>
        <w:rPr>
          <w:rFonts w:cs="Times New Roman"/>
        </w:rPr>
        <w:t xml:space="preserve"> this drastic measure is not merited at this point.  However, GAP should be on notice that if further conduct which violates unfair trade practice laws comes to light</w:t>
      </w:r>
      <w:r w:rsidR="00A1780F">
        <w:rPr>
          <w:rFonts w:cs="Times New Roman"/>
        </w:rPr>
        <w:t>,</w:t>
      </w:r>
      <w:r>
        <w:rPr>
          <w:rFonts w:cs="Times New Roman"/>
        </w:rPr>
        <w:t xml:space="preserve"> the Commission may reconsider the status of its license to participate in Pennsylvania’s retail electricity market.</w:t>
      </w:r>
    </w:p>
    <w:p w:rsidR="007B5CCD" w:rsidRDefault="007B5CCD" w:rsidP="009321A2">
      <w:pPr>
        <w:spacing w:after="0"/>
        <w:ind w:firstLine="1440"/>
        <w:rPr>
          <w:rFonts w:cs="Times New Roman"/>
        </w:rPr>
      </w:pPr>
    </w:p>
    <w:p w:rsidR="00E84B00" w:rsidRDefault="00E84B00" w:rsidP="009321A2">
      <w:pPr>
        <w:spacing w:after="0"/>
        <w:jc w:val="center"/>
        <w:rPr>
          <w:rFonts w:cs="Times New Roman"/>
          <w:u w:val="single"/>
        </w:rPr>
      </w:pPr>
      <w:r w:rsidRPr="00605E99">
        <w:rPr>
          <w:rFonts w:cs="Times New Roman"/>
          <w:u w:val="single"/>
        </w:rPr>
        <w:lastRenderedPageBreak/>
        <w:t>CONCLUSIONS OF LAW</w:t>
      </w:r>
    </w:p>
    <w:p w:rsidR="007B5CCD" w:rsidRPr="00605E99" w:rsidRDefault="007B5CCD" w:rsidP="009321A2">
      <w:pPr>
        <w:spacing w:after="0"/>
        <w:jc w:val="center"/>
        <w:rPr>
          <w:rFonts w:cs="Times New Roman"/>
          <w:u w:val="single"/>
        </w:rPr>
      </w:pPr>
    </w:p>
    <w:p w:rsidR="00E84B00" w:rsidRDefault="00E84B00" w:rsidP="002864AC">
      <w:pPr>
        <w:pStyle w:val="ListParagraph"/>
        <w:numPr>
          <w:ilvl w:val="0"/>
          <w:numId w:val="17"/>
        </w:numPr>
        <w:ind w:left="0" w:firstLine="1440"/>
        <w:rPr>
          <w:rFonts w:cs="Times New Roman"/>
        </w:rPr>
      </w:pPr>
      <w:r w:rsidRPr="002864AC">
        <w:rPr>
          <w:rFonts w:cs="Times New Roman"/>
        </w:rPr>
        <w:t xml:space="preserve">The Commission has jurisdiction over the parties and subject matter of this dispute. </w:t>
      </w:r>
      <w:r w:rsidR="002864AC">
        <w:rPr>
          <w:rFonts w:cs="Times New Roman"/>
        </w:rPr>
        <w:t xml:space="preserve"> </w:t>
      </w:r>
      <w:r w:rsidRPr="002864AC">
        <w:rPr>
          <w:rFonts w:cs="Times New Roman"/>
        </w:rPr>
        <w:t>66 Pa. C.S. §§ 701, 2809.</w:t>
      </w:r>
    </w:p>
    <w:p w:rsidR="002864AC" w:rsidRPr="002864AC" w:rsidRDefault="002864AC" w:rsidP="002864AC">
      <w:pPr>
        <w:pStyle w:val="ListParagraph"/>
        <w:numPr>
          <w:ilvl w:val="0"/>
          <w:numId w:val="0"/>
        </w:numPr>
        <w:ind w:firstLine="1440"/>
        <w:rPr>
          <w:rFonts w:cs="Times New Roman"/>
        </w:rPr>
      </w:pPr>
    </w:p>
    <w:p w:rsidR="002864AC" w:rsidRDefault="002864AC" w:rsidP="002864AC">
      <w:pPr>
        <w:pStyle w:val="ListParagraph"/>
        <w:numPr>
          <w:ilvl w:val="0"/>
          <w:numId w:val="17"/>
        </w:numPr>
        <w:ind w:left="0" w:firstLine="1440"/>
        <w:rPr>
          <w:rFonts w:cs="Times New Roman"/>
        </w:rPr>
      </w:pPr>
      <w:r>
        <w:rPr>
          <w:rFonts w:cs="Times New Roman"/>
        </w:rPr>
        <w:t>The Complainant bears the burden of proof.  66 Pa. C.S.</w:t>
      </w:r>
      <w:r w:rsidR="00E54DF2">
        <w:rPr>
          <w:rFonts w:cs="Times New Roman"/>
        </w:rPr>
        <w:t xml:space="preserve"> </w:t>
      </w:r>
      <w:r w:rsidR="00E54DF2" w:rsidRPr="002864AC">
        <w:rPr>
          <w:rFonts w:cs="Times New Roman"/>
        </w:rPr>
        <w:t>§</w:t>
      </w:r>
      <w:r>
        <w:rPr>
          <w:rFonts w:cs="Times New Roman"/>
        </w:rPr>
        <w:t xml:space="preserve"> 332 (a).</w:t>
      </w:r>
    </w:p>
    <w:p w:rsidR="002864AC" w:rsidRDefault="002864AC" w:rsidP="002864AC">
      <w:pPr>
        <w:spacing w:after="0"/>
        <w:ind w:firstLine="1440"/>
        <w:rPr>
          <w:rFonts w:cs="Times New Roman"/>
        </w:rPr>
      </w:pPr>
    </w:p>
    <w:p w:rsidR="00E84B00" w:rsidRDefault="00E84B00" w:rsidP="002864AC">
      <w:pPr>
        <w:spacing w:after="0"/>
        <w:ind w:firstLine="1440"/>
        <w:rPr>
          <w:rFonts w:cs="Times New Roman"/>
        </w:rPr>
      </w:pPr>
      <w:r>
        <w:rPr>
          <w:rFonts w:cs="Times New Roman"/>
        </w:rPr>
        <w:t>3.</w:t>
      </w:r>
      <w:r>
        <w:rPr>
          <w:rFonts w:cs="Times New Roman"/>
        </w:rPr>
        <w:tab/>
      </w:r>
      <w:r w:rsidR="00C84667">
        <w:rPr>
          <w:rFonts w:cs="Times New Roman"/>
        </w:rPr>
        <w:t>GAP violated the Commission’s 2010 Interim Guidelines and Pennsylvania consumer protection laws by failing to clearly represent itself as a supplier independent from Duquesne Light, by failing to expeditiously place the Complainant’s contact information on its internal do</w:t>
      </w:r>
      <w:r w:rsidR="00387C31">
        <w:rPr>
          <w:rFonts w:cs="Times New Roman"/>
        </w:rPr>
        <w:t>-</w:t>
      </w:r>
      <w:r w:rsidR="00C84667">
        <w:rPr>
          <w:rFonts w:cs="Times New Roman"/>
        </w:rPr>
        <w:t>not</w:t>
      </w:r>
      <w:r w:rsidR="00387C31">
        <w:rPr>
          <w:rFonts w:cs="Times New Roman"/>
        </w:rPr>
        <w:t>-</w:t>
      </w:r>
      <w:r w:rsidR="00C84667">
        <w:rPr>
          <w:rFonts w:cs="Times New Roman"/>
        </w:rPr>
        <w:t xml:space="preserve">call list and </w:t>
      </w:r>
      <w:r w:rsidR="00F54550">
        <w:rPr>
          <w:rFonts w:cs="Times New Roman"/>
        </w:rPr>
        <w:t xml:space="preserve">by </w:t>
      </w:r>
      <w:r w:rsidR="00C84667">
        <w:rPr>
          <w:rFonts w:cs="Times New Roman"/>
        </w:rPr>
        <w:t xml:space="preserve">failing to provide an accurate call-back telephone number on its caller ID.  </w:t>
      </w:r>
      <w:proofErr w:type="gramStart"/>
      <w:r w:rsidR="00D35830">
        <w:rPr>
          <w:rFonts w:cs="Times New Roman"/>
        </w:rPr>
        <w:t>52 Pa. Code § 54.42.</w:t>
      </w:r>
      <w:proofErr w:type="gramEnd"/>
    </w:p>
    <w:p w:rsidR="007B5CCD" w:rsidRDefault="007B5CCD" w:rsidP="009321A2">
      <w:pPr>
        <w:spacing w:after="0"/>
        <w:ind w:firstLine="720"/>
        <w:rPr>
          <w:rFonts w:cs="Times New Roman"/>
        </w:rPr>
      </w:pPr>
    </w:p>
    <w:p w:rsidR="007B5CCD" w:rsidRDefault="007B5CCD" w:rsidP="009321A2">
      <w:pPr>
        <w:spacing w:after="0"/>
        <w:jc w:val="center"/>
        <w:rPr>
          <w:rFonts w:cs="Times New Roman"/>
          <w:u w:val="single"/>
        </w:rPr>
      </w:pPr>
    </w:p>
    <w:p w:rsidR="00E84B00" w:rsidRDefault="00E84B00" w:rsidP="002864AC">
      <w:pPr>
        <w:spacing w:line="276" w:lineRule="auto"/>
        <w:jc w:val="center"/>
        <w:rPr>
          <w:rFonts w:cs="Times New Roman"/>
          <w:u w:val="single"/>
        </w:rPr>
      </w:pPr>
      <w:r w:rsidRPr="00605E99">
        <w:rPr>
          <w:rFonts w:cs="Times New Roman"/>
          <w:u w:val="single"/>
        </w:rPr>
        <w:t>ORDER</w:t>
      </w:r>
    </w:p>
    <w:p w:rsidR="007B5CCD" w:rsidRPr="00605E99" w:rsidRDefault="007B5CCD" w:rsidP="009321A2">
      <w:pPr>
        <w:spacing w:after="0"/>
        <w:jc w:val="center"/>
        <w:rPr>
          <w:rFonts w:cs="Times New Roman"/>
          <w:u w:val="single"/>
        </w:rPr>
      </w:pPr>
    </w:p>
    <w:p w:rsidR="00E84B00" w:rsidRDefault="00E84B00" w:rsidP="009321A2">
      <w:pPr>
        <w:spacing w:after="0"/>
        <w:ind w:firstLine="1440"/>
        <w:rPr>
          <w:rFonts w:cs="Times New Roman"/>
        </w:rPr>
      </w:pPr>
      <w:r>
        <w:rPr>
          <w:rFonts w:cs="Times New Roman"/>
        </w:rPr>
        <w:t>THEREFORE,</w:t>
      </w:r>
    </w:p>
    <w:p w:rsidR="007B5CCD" w:rsidRDefault="007B5CCD" w:rsidP="009321A2">
      <w:pPr>
        <w:spacing w:after="0"/>
        <w:ind w:firstLine="1440"/>
        <w:rPr>
          <w:rFonts w:cs="Times New Roman"/>
        </w:rPr>
      </w:pPr>
    </w:p>
    <w:p w:rsidR="00E84B00" w:rsidRDefault="00E84B00" w:rsidP="009321A2">
      <w:pPr>
        <w:spacing w:after="0"/>
        <w:ind w:firstLine="1440"/>
        <w:rPr>
          <w:rFonts w:cs="Times New Roman"/>
        </w:rPr>
      </w:pPr>
      <w:r>
        <w:rPr>
          <w:rFonts w:cs="Times New Roman"/>
        </w:rPr>
        <w:t>IT IS ORDERED</w:t>
      </w:r>
      <w:r w:rsidR="007B5CCD">
        <w:rPr>
          <w:rFonts w:cs="Times New Roman"/>
        </w:rPr>
        <w:t>:</w:t>
      </w:r>
    </w:p>
    <w:p w:rsidR="007B5CCD" w:rsidRDefault="007B5CCD" w:rsidP="009321A2">
      <w:pPr>
        <w:spacing w:after="0"/>
        <w:ind w:firstLine="1440"/>
        <w:rPr>
          <w:rFonts w:cs="Times New Roman"/>
        </w:rPr>
      </w:pPr>
    </w:p>
    <w:p w:rsidR="00E84B00" w:rsidRDefault="00E84B00" w:rsidP="009321A2">
      <w:pPr>
        <w:spacing w:after="0"/>
        <w:ind w:firstLine="1440"/>
        <w:rPr>
          <w:rFonts w:cs="Times New Roman"/>
        </w:rPr>
      </w:pPr>
      <w:r>
        <w:rPr>
          <w:rFonts w:cs="Times New Roman"/>
        </w:rPr>
        <w:t>1.</w:t>
      </w:r>
      <w:r>
        <w:rPr>
          <w:rFonts w:cs="Times New Roman"/>
        </w:rPr>
        <w:tab/>
        <w:t xml:space="preserve">That the complaint of William Towne against Great American Power, LLC at PUC Docket No. C-2012-2307991, is </w:t>
      </w:r>
      <w:r w:rsidR="00D00348">
        <w:rPr>
          <w:rFonts w:cs="Times New Roman"/>
        </w:rPr>
        <w:t xml:space="preserve">sustained as to the violations pertaining to GAP’s failure to properly identify itself as an independent energy supplier, failing to promptly place </w:t>
      </w:r>
      <w:r w:rsidR="00E54DF2">
        <w:rPr>
          <w:rFonts w:cs="Times New Roman"/>
        </w:rPr>
        <w:t>Mr. </w:t>
      </w:r>
      <w:r w:rsidR="00D00348">
        <w:rPr>
          <w:rFonts w:cs="Times New Roman"/>
        </w:rPr>
        <w:t xml:space="preserve">Towne on a do-not-call list </w:t>
      </w:r>
      <w:r w:rsidR="00A0423E">
        <w:rPr>
          <w:rFonts w:cs="Times New Roman"/>
        </w:rPr>
        <w:t xml:space="preserve">and failing to provide a caller </w:t>
      </w:r>
      <w:r w:rsidR="00D00348">
        <w:rPr>
          <w:rFonts w:cs="Times New Roman"/>
        </w:rPr>
        <w:t>ID which permitted Mr. Towne to request placement on a do-not-call list.</w:t>
      </w:r>
    </w:p>
    <w:p w:rsidR="007B5CCD" w:rsidRDefault="007B5CCD" w:rsidP="009321A2">
      <w:pPr>
        <w:spacing w:after="0"/>
        <w:ind w:firstLine="1440"/>
        <w:rPr>
          <w:rFonts w:cs="Times New Roman"/>
        </w:rPr>
      </w:pPr>
    </w:p>
    <w:p w:rsidR="00D00348" w:rsidRDefault="00D00348" w:rsidP="009321A2">
      <w:pPr>
        <w:spacing w:after="0"/>
        <w:ind w:firstLine="1440"/>
        <w:rPr>
          <w:rFonts w:cs="Times New Roman"/>
        </w:rPr>
      </w:pPr>
      <w:r>
        <w:rPr>
          <w:rFonts w:cs="Times New Roman"/>
        </w:rPr>
        <w:t>2.</w:t>
      </w:r>
      <w:r>
        <w:rPr>
          <w:rFonts w:cs="Times New Roman"/>
        </w:rPr>
        <w:tab/>
        <w:t>That the complaint of William Towne against Great American Power, LLC at PUC Docket No. C-2012-</w:t>
      </w:r>
      <w:proofErr w:type="gramStart"/>
      <w:r>
        <w:rPr>
          <w:rFonts w:cs="Times New Roman"/>
        </w:rPr>
        <w:t>2307991,</w:t>
      </w:r>
      <w:proofErr w:type="gramEnd"/>
      <w:r>
        <w:rPr>
          <w:rFonts w:cs="Times New Roman"/>
        </w:rPr>
        <w:t xml:space="preserve"> is dismissed in all other respects.</w:t>
      </w:r>
    </w:p>
    <w:p w:rsidR="007B5CCD" w:rsidRDefault="007B5CCD" w:rsidP="009321A2">
      <w:pPr>
        <w:spacing w:after="0"/>
        <w:ind w:firstLine="1440"/>
        <w:rPr>
          <w:rFonts w:cs="Times New Roman"/>
        </w:rPr>
      </w:pPr>
    </w:p>
    <w:p w:rsidR="00D00348" w:rsidRDefault="00D00348" w:rsidP="009321A2">
      <w:pPr>
        <w:spacing w:after="0"/>
        <w:ind w:firstLine="1440"/>
      </w:pPr>
      <w:r w:rsidRPr="00D00348">
        <w:rPr>
          <w:rFonts w:cs="Times New Roman"/>
        </w:rPr>
        <w:t xml:space="preserve">3. </w:t>
      </w:r>
      <w:r w:rsidRPr="00D00348">
        <w:rPr>
          <w:rFonts w:cs="Times New Roman"/>
        </w:rPr>
        <w:tab/>
      </w:r>
      <w:r w:rsidR="00E54DF2">
        <w:t>That Great American Power, LLC</w:t>
      </w:r>
      <w:r>
        <w:t xml:space="preserve"> shall pay a civil penalty as set forth in the amount of $5,000 for the violations of the Public Utility Code and the Commission’s </w:t>
      </w:r>
      <w:r>
        <w:lastRenderedPageBreak/>
        <w:t>regulations by certified check or money order, within twenty (20) days after service of the Commission’s Order, forwarded and payable to:</w:t>
      </w:r>
    </w:p>
    <w:p w:rsidR="00D00348" w:rsidRDefault="00D00348" w:rsidP="009321A2">
      <w:pPr>
        <w:spacing w:after="0" w:line="240" w:lineRule="auto"/>
        <w:jc w:val="center"/>
      </w:pPr>
    </w:p>
    <w:p w:rsidR="00D00348" w:rsidRDefault="00D00348" w:rsidP="009321A2">
      <w:pPr>
        <w:spacing w:after="0" w:line="240" w:lineRule="auto"/>
        <w:ind w:left="2160" w:firstLine="720"/>
      </w:pPr>
      <w:r>
        <w:t>Pennsylvania Public Utility Commission</w:t>
      </w:r>
    </w:p>
    <w:p w:rsidR="00D00348" w:rsidRDefault="00D00348" w:rsidP="009321A2">
      <w:pPr>
        <w:spacing w:after="0" w:line="240" w:lineRule="auto"/>
        <w:ind w:left="2160" w:firstLine="720"/>
      </w:pPr>
      <w:r>
        <w:t>P.O. Box 3265</w:t>
      </w:r>
    </w:p>
    <w:p w:rsidR="00D00348" w:rsidRDefault="00D00348" w:rsidP="009321A2">
      <w:pPr>
        <w:spacing w:after="0" w:line="240" w:lineRule="auto"/>
        <w:ind w:left="2160" w:firstLine="720"/>
      </w:pPr>
      <w:r>
        <w:t>Harrisburg, PA  17105-3265</w:t>
      </w:r>
    </w:p>
    <w:p w:rsidR="00D00348" w:rsidRDefault="00D00348" w:rsidP="009321A2">
      <w:pPr>
        <w:spacing w:after="0" w:line="240" w:lineRule="auto"/>
      </w:pPr>
    </w:p>
    <w:p w:rsidR="00D00348" w:rsidRDefault="00D00348" w:rsidP="009321A2">
      <w:pPr>
        <w:spacing w:after="0" w:line="240" w:lineRule="auto"/>
      </w:pPr>
    </w:p>
    <w:p w:rsidR="00D00348" w:rsidRDefault="00D00348" w:rsidP="009321A2">
      <w:pPr>
        <w:spacing w:after="0"/>
        <w:ind w:firstLine="1440"/>
      </w:pPr>
      <w:r>
        <w:t>4.</w:t>
      </w:r>
      <w:r>
        <w:tab/>
        <w:t>That Great American Power</w:t>
      </w:r>
      <w:r w:rsidR="00E54DF2">
        <w:t>, LLC</w:t>
      </w:r>
      <w:r>
        <w:t xml:space="preserve"> shall cease and desist from further violations of the Public Utility Commission’s regulations.</w:t>
      </w:r>
    </w:p>
    <w:p w:rsidR="006F713C" w:rsidRDefault="006F713C" w:rsidP="006F713C">
      <w:pPr>
        <w:spacing w:after="0"/>
      </w:pPr>
    </w:p>
    <w:p w:rsidR="006F713C" w:rsidRDefault="006F713C" w:rsidP="006F713C">
      <w:pPr>
        <w:spacing w:after="0"/>
      </w:pPr>
    </w:p>
    <w:p w:rsidR="006F713C" w:rsidRPr="009E6175" w:rsidRDefault="006F713C" w:rsidP="006F713C">
      <w:pPr>
        <w:tabs>
          <w:tab w:val="left" w:pos="0"/>
        </w:tabs>
        <w:spacing w:after="0" w:line="240" w:lineRule="auto"/>
        <w:jc w:val="both"/>
        <w:rPr>
          <w:rFonts w:cs="Times New Roman"/>
          <w:szCs w:val="24"/>
          <w:u w:val="single"/>
        </w:rPr>
      </w:pPr>
      <w:r w:rsidRPr="009E6175">
        <w:rPr>
          <w:rFonts w:cs="Times New Roman"/>
          <w:szCs w:val="24"/>
        </w:rPr>
        <w:t xml:space="preserve">Date:  </w:t>
      </w:r>
      <w:r>
        <w:rPr>
          <w:rFonts w:cs="Times New Roman"/>
          <w:szCs w:val="24"/>
          <w:u w:val="single"/>
        </w:rPr>
        <w:t>March 14,</w:t>
      </w:r>
      <w:r w:rsidRPr="009E6175">
        <w:rPr>
          <w:rFonts w:cs="Times New Roman"/>
          <w:szCs w:val="24"/>
          <w:u w:val="single"/>
        </w:rPr>
        <w:t xml:space="preserve"> 2013</w:t>
      </w:r>
      <w:r w:rsidRPr="009E6175">
        <w:rPr>
          <w:rFonts w:cs="Times New Roman"/>
          <w:szCs w:val="24"/>
        </w:rPr>
        <w:tab/>
      </w:r>
      <w:r w:rsidRPr="009E6175">
        <w:rPr>
          <w:rFonts w:cs="Times New Roman"/>
          <w:szCs w:val="24"/>
        </w:rPr>
        <w:tab/>
      </w:r>
      <w:r>
        <w:rPr>
          <w:rFonts w:cs="Times New Roman"/>
          <w:szCs w:val="24"/>
        </w:rPr>
        <w:tab/>
      </w:r>
      <w:r w:rsidRPr="009E6175">
        <w:rPr>
          <w:rFonts w:cs="Times New Roman"/>
          <w:szCs w:val="24"/>
        </w:rPr>
        <w:tab/>
      </w:r>
      <w:r w:rsidRPr="009E6175">
        <w:rPr>
          <w:rFonts w:cs="Times New Roman"/>
          <w:szCs w:val="24"/>
          <w:u w:val="single"/>
        </w:rPr>
        <w:tab/>
      </w:r>
      <w:r w:rsidRPr="009E6175">
        <w:rPr>
          <w:rFonts w:cs="Times New Roman"/>
          <w:szCs w:val="24"/>
          <w:u w:val="single"/>
        </w:rPr>
        <w:tab/>
        <w:t>/s/</w:t>
      </w:r>
      <w:r w:rsidRPr="009E6175">
        <w:rPr>
          <w:rFonts w:cs="Times New Roman"/>
          <w:szCs w:val="24"/>
          <w:u w:val="single"/>
        </w:rPr>
        <w:tab/>
      </w:r>
      <w:r w:rsidRPr="009E6175">
        <w:rPr>
          <w:rFonts w:cs="Times New Roman"/>
          <w:szCs w:val="24"/>
          <w:u w:val="single"/>
        </w:rPr>
        <w:tab/>
      </w:r>
      <w:r w:rsidRPr="009E6175">
        <w:rPr>
          <w:rFonts w:cs="Times New Roman"/>
          <w:szCs w:val="24"/>
          <w:u w:val="single"/>
        </w:rPr>
        <w:tab/>
      </w:r>
    </w:p>
    <w:p w:rsidR="006F713C" w:rsidRPr="009E6175" w:rsidRDefault="006F713C" w:rsidP="006F713C">
      <w:pPr>
        <w:tabs>
          <w:tab w:val="left" w:pos="0"/>
        </w:tabs>
        <w:spacing w:after="0" w:line="240" w:lineRule="auto"/>
        <w:jc w:val="both"/>
        <w:rPr>
          <w:rFonts w:cs="Times New Roman"/>
          <w:szCs w:val="24"/>
        </w:rPr>
      </w:pPr>
      <w:r w:rsidRPr="009E6175">
        <w:rPr>
          <w:rFonts w:cs="Times New Roman"/>
          <w:szCs w:val="24"/>
        </w:rPr>
        <w:tab/>
      </w:r>
      <w:r w:rsidRPr="009E6175">
        <w:rPr>
          <w:rFonts w:cs="Times New Roman"/>
          <w:szCs w:val="24"/>
        </w:rPr>
        <w:tab/>
      </w:r>
      <w:r w:rsidRPr="009E6175">
        <w:rPr>
          <w:rFonts w:cs="Times New Roman"/>
          <w:szCs w:val="24"/>
        </w:rPr>
        <w:tab/>
      </w:r>
      <w:r w:rsidRPr="009E6175">
        <w:rPr>
          <w:rFonts w:cs="Times New Roman"/>
          <w:szCs w:val="24"/>
        </w:rPr>
        <w:tab/>
      </w:r>
      <w:r w:rsidRPr="009E6175">
        <w:rPr>
          <w:rFonts w:cs="Times New Roman"/>
          <w:szCs w:val="24"/>
        </w:rPr>
        <w:tab/>
      </w:r>
      <w:r w:rsidRPr="009E6175">
        <w:rPr>
          <w:rFonts w:cs="Times New Roman"/>
          <w:szCs w:val="24"/>
        </w:rPr>
        <w:tab/>
      </w:r>
      <w:r w:rsidRPr="009E6175">
        <w:rPr>
          <w:rFonts w:cs="Times New Roman"/>
          <w:szCs w:val="24"/>
        </w:rPr>
        <w:tab/>
        <w:t>Mary D. Long</w:t>
      </w:r>
    </w:p>
    <w:p w:rsidR="006F713C" w:rsidRDefault="006F713C" w:rsidP="006F713C">
      <w:pPr>
        <w:tabs>
          <w:tab w:val="left" w:pos="0"/>
        </w:tabs>
        <w:spacing w:after="0" w:line="240" w:lineRule="auto"/>
        <w:jc w:val="both"/>
        <w:rPr>
          <w:rFonts w:cs="Times New Roman"/>
          <w:szCs w:val="24"/>
        </w:rPr>
      </w:pPr>
      <w:r w:rsidRPr="009E6175">
        <w:rPr>
          <w:rFonts w:cs="Times New Roman"/>
          <w:szCs w:val="24"/>
        </w:rPr>
        <w:tab/>
      </w:r>
      <w:r w:rsidRPr="009E6175">
        <w:rPr>
          <w:rFonts w:cs="Times New Roman"/>
          <w:szCs w:val="24"/>
        </w:rPr>
        <w:tab/>
      </w:r>
      <w:r w:rsidRPr="009E6175">
        <w:rPr>
          <w:rFonts w:cs="Times New Roman"/>
          <w:szCs w:val="24"/>
        </w:rPr>
        <w:tab/>
      </w:r>
      <w:r w:rsidRPr="009E6175">
        <w:rPr>
          <w:rFonts w:cs="Times New Roman"/>
          <w:szCs w:val="24"/>
        </w:rPr>
        <w:tab/>
      </w:r>
      <w:r w:rsidRPr="009E6175">
        <w:rPr>
          <w:rFonts w:cs="Times New Roman"/>
          <w:szCs w:val="24"/>
        </w:rPr>
        <w:tab/>
      </w:r>
      <w:r w:rsidRPr="009E6175">
        <w:rPr>
          <w:rFonts w:cs="Times New Roman"/>
          <w:szCs w:val="24"/>
        </w:rPr>
        <w:tab/>
      </w:r>
      <w:r w:rsidRPr="009E6175">
        <w:rPr>
          <w:rFonts w:cs="Times New Roman"/>
          <w:szCs w:val="24"/>
        </w:rPr>
        <w:tab/>
        <w:t>Administrative Law Judge</w:t>
      </w:r>
    </w:p>
    <w:p w:rsidR="006F713C" w:rsidRDefault="006F713C" w:rsidP="006F713C">
      <w:pPr>
        <w:spacing w:after="0"/>
      </w:pPr>
    </w:p>
    <w:p w:rsidR="002864AC" w:rsidRDefault="002864AC" w:rsidP="009321A2">
      <w:pPr>
        <w:spacing w:after="0"/>
        <w:ind w:firstLine="1440"/>
      </w:pPr>
    </w:p>
    <w:p w:rsidR="002864AC" w:rsidRDefault="002864AC" w:rsidP="009321A2">
      <w:pPr>
        <w:spacing w:after="0"/>
        <w:ind w:firstLine="1440"/>
      </w:pPr>
    </w:p>
    <w:sectPr w:rsidR="002864AC" w:rsidSect="00D427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B0F" w:rsidRDefault="009F6B0F" w:rsidP="009457EF">
      <w:pPr>
        <w:spacing w:after="0" w:line="240" w:lineRule="auto"/>
      </w:pPr>
      <w:r>
        <w:separator/>
      </w:r>
    </w:p>
  </w:endnote>
  <w:endnote w:type="continuationSeparator" w:id="0">
    <w:p w:rsidR="009F6B0F" w:rsidRDefault="009F6B0F" w:rsidP="0094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988783"/>
      <w:docPartObj>
        <w:docPartGallery w:val="Page Numbers (Bottom of Page)"/>
        <w:docPartUnique/>
      </w:docPartObj>
    </w:sdtPr>
    <w:sdtEndPr>
      <w:rPr>
        <w:noProof/>
      </w:rPr>
    </w:sdtEndPr>
    <w:sdtContent>
      <w:p w:rsidR="005A12D3" w:rsidRDefault="005A12D3">
        <w:pPr>
          <w:pStyle w:val="Footer"/>
          <w:jc w:val="center"/>
        </w:pPr>
        <w:r w:rsidRPr="005A12D3">
          <w:rPr>
            <w:sz w:val="20"/>
            <w:szCs w:val="20"/>
          </w:rPr>
          <w:fldChar w:fldCharType="begin"/>
        </w:r>
        <w:r w:rsidRPr="005A12D3">
          <w:rPr>
            <w:sz w:val="20"/>
            <w:szCs w:val="20"/>
          </w:rPr>
          <w:instrText xml:space="preserve"> PAGE   \* MERGEFORMAT </w:instrText>
        </w:r>
        <w:r w:rsidRPr="005A12D3">
          <w:rPr>
            <w:sz w:val="20"/>
            <w:szCs w:val="20"/>
          </w:rPr>
          <w:fldChar w:fldCharType="separate"/>
        </w:r>
        <w:r w:rsidR="00F54550">
          <w:rPr>
            <w:noProof/>
            <w:sz w:val="20"/>
            <w:szCs w:val="20"/>
          </w:rPr>
          <w:t>33</w:t>
        </w:r>
        <w:r w:rsidRPr="005A12D3">
          <w:rPr>
            <w:noProof/>
            <w:sz w:val="20"/>
            <w:szCs w:val="20"/>
          </w:rPr>
          <w:fldChar w:fldCharType="end"/>
        </w:r>
      </w:p>
    </w:sdtContent>
  </w:sdt>
  <w:p w:rsidR="008B785F" w:rsidRDefault="008B78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50B" w:rsidRDefault="006E550B">
    <w:pPr>
      <w:pStyle w:val="Footer"/>
      <w:jc w:val="center"/>
    </w:pPr>
  </w:p>
  <w:p w:rsidR="00091383" w:rsidRDefault="00091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B0F" w:rsidRDefault="009F6B0F" w:rsidP="009457EF">
      <w:pPr>
        <w:spacing w:after="0" w:line="240" w:lineRule="auto"/>
      </w:pPr>
      <w:r>
        <w:separator/>
      </w:r>
    </w:p>
  </w:footnote>
  <w:footnote w:type="continuationSeparator" w:id="0">
    <w:p w:rsidR="009F6B0F" w:rsidRDefault="009F6B0F" w:rsidP="009457EF">
      <w:pPr>
        <w:spacing w:after="0" w:line="240" w:lineRule="auto"/>
      </w:pPr>
      <w:r>
        <w:continuationSeparator/>
      </w:r>
    </w:p>
  </w:footnote>
  <w:footnote w:id="1">
    <w:p w:rsidR="008B785F" w:rsidRDefault="008B785F" w:rsidP="007B5CCD">
      <w:pPr>
        <w:pStyle w:val="FootnoteText"/>
      </w:pPr>
      <w:r>
        <w:rPr>
          <w:rStyle w:val="FootnoteReference"/>
        </w:rPr>
        <w:footnoteRef/>
      </w:r>
      <w:r>
        <w:t xml:space="preserve">  </w:t>
      </w:r>
      <w:r>
        <w:tab/>
      </w:r>
      <w:proofErr w:type="gramStart"/>
      <w:r>
        <w:t xml:space="preserve">See </w:t>
      </w:r>
      <w:r w:rsidRPr="006362AE">
        <w:rPr>
          <w:i/>
        </w:rPr>
        <w:t>Delmarva Power &amp; Light Co. v. Pennsylvania Pub.</w:t>
      </w:r>
      <w:proofErr w:type="gramEnd"/>
      <w:r w:rsidRPr="006362AE">
        <w:rPr>
          <w:i/>
        </w:rPr>
        <w:t xml:space="preserve"> </w:t>
      </w:r>
      <w:proofErr w:type="gramStart"/>
      <w:r w:rsidRPr="006362AE">
        <w:rPr>
          <w:i/>
        </w:rPr>
        <w:t xml:space="preserve">Util. </w:t>
      </w:r>
      <w:proofErr w:type="spellStart"/>
      <w:r w:rsidRPr="006362AE">
        <w:rPr>
          <w:i/>
        </w:rPr>
        <w:t>Comm’n</w:t>
      </w:r>
      <w:proofErr w:type="spellEnd"/>
      <w:r>
        <w:t>, 870 A.2d 901 (Pa. 2005).</w:t>
      </w:r>
      <w:proofErr w:type="gramEnd"/>
    </w:p>
    <w:p w:rsidR="00305E45" w:rsidRPr="00363EC9" w:rsidRDefault="00305E45" w:rsidP="007B5CCD">
      <w:pPr>
        <w:pStyle w:val="FootnoteText"/>
      </w:pPr>
    </w:p>
  </w:footnote>
  <w:footnote w:id="2">
    <w:p w:rsidR="008B785F" w:rsidRDefault="008B785F" w:rsidP="007B5CCD">
      <w:pPr>
        <w:pStyle w:val="FootnoteText"/>
      </w:pPr>
      <w:r>
        <w:rPr>
          <w:rStyle w:val="FootnoteReference"/>
        </w:rPr>
        <w:footnoteRef/>
      </w:r>
      <w:r>
        <w:t xml:space="preserve">  </w:t>
      </w:r>
      <w:r>
        <w:tab/>
      </w:r>
      <w:proofErr w:type="gramStart"/>
      <w:r>
        <w:t>66 Pa. C.S. § 2809(b).</w:t>
      </w:r>
      <w:proofErr w:type="gramEnd"/>
    </w:p>
    <w:p w:rsidR="00305E45" w:rsidRDefault="00305E45" w:rsidP="007B5CCD">
      <w:pPr>
        <w:pStyle w:val="FootnoteText"/>
      </w:pPr>
    </w:p>
  </w:footnote>
  <w:footnote w:id="3">
    <w:p w:rsidR="008B785F" w:rsidRDefault="008B785F" w:rsidP="007B5CCD">
      <w:pPr>
        <w:pStyle w:val="FootnoteText"/>
      </w:pPr>
      <w:r w:rsidRPr="00C81B96">
        <w:rPr>
          <w:rStyle w:val="FootnoteReference"/>
        </w:rPr>
        <w:footnoteRef/>
      </w:r>
      <w:r w:rsidRPr="00C81B96">
        <w:t xml:space="preserve"> </w:t>
      </w:r>
      <w:r>
        <w:tab/>
      </w:r>
      <w:proofErr w:type="gramStart"/>
      <w:r w:rsidRPr="00C81B96">
        <w:t>66 Pa. C.S. §</w:t>
      </w:r>
      <w:r>
        <w:t xml:space="preserve"> </w:t>
      </w:r>
      <w:r w:rsidRPr="00C81B96">
        <w:t>701.</w:t>
      </w:r>
      <w:proofErr w:type="gramEnd"/>
    </w:p>
    <w:p w:rsidR="008B785F" w:rsidRPr="00C81B96" w:rsidRDefault="008B785F" w:rsidP="007B5CCD">
      <w:pPr>
        <w:pStyle w:val="FootnoteText"/>
      </w:pPr>
    </w:p>
  </w:footnote>
  <w:footnote w:id="4">
    <w:p w:rsidR="008B785F" w:rsidRDefault="008B785F" w:rsidP="007B5CCD">
      <w:pPr>
        <w:pStyle w:val="FootnoteText"/>
      </w:pPr>
      <w:r w:rsidRPr="00C81B96">
        <w:rPr>
          <w:rStyle w:val="FootnoteReference"/>
        </w:rPr>
        <w:footnoteRef/>
      </w:r>
      <w:r w:rsidRPr="00C81B96">
        <w:t xml:space="preserve"> </w:t>
      </w:r>
      <w:r>
        <w:tab/>
      </w:r>
      <w:proofErr w:type="gramStart"/>
      <w:r w:rsidRPr="00C81B96">
        <w:t>66 Pa. C.S. §</w:t>
      </w:r>
      <w:r>
        <w:t xml:space="preserve"> </w:t>
      </w:r>
      <w:r w:rsidRPr="00C81B96">
        <w:t>332(a).</w:t>
      </w:r>
      <w:proofErr w:type="gramEnd"/>
    </w:p>
    <w:p w:rsidR="008B785F" w:rsidRPr="00C81B96" w:rsidRDefault="008B785F" w:rsidP="007B5CCD">
      <w:pPr>
        <w:pStyle w:val="FootnoteText"/>
      </w:pPr>
    </w:p>
  </w:footnote>
  <w:footnote w:id="5">
    <w:p w:rsidR="008B785F" w:rsidRDefault="008B785F" w:rsidP="007B5CCD">
      <w:pPr>
        <w:pStyle w:val="FootnoteText"/>
      </w:pPr>
      <w:r>
        <w:rPr>
          <w:rStyle w:val="FootnoteReference"/>
        </w:rPr>
        <w:footnoteRef/>
      </w:r>
      <w:r>
        <w:t xml:space="preserve">  </w:t>
      </w:r>
      <w:r>
        <w:tab/>
      </w:r>
      <w:r>
        <w:rPr>
          <w:i/>
        </w:rPr>
        <w:t xml:space="preserve">E.g., Public Utility Commission v. </w:t>
      </w:r>
      <w:proofErr w:type="spellStart"/>
      <w:r>
        <w:rPr>
          <w:i/>
        </w:rPr>
        <w:t>MXEnergy</w:t>
      </w:r>
      <w:proofErr w:type="spellEnd"/>
      <w:r>
        <w:rPr>
          <w:i/>
        </w:rPr>
        <w:t xml:space="preserve"> Electric, Inc.</w:t>
      </w:r>
      <w:r>
        <w:t>, PUC Docket N</w:t>
      </w:r>
      <w:r w:rsidR="006362AE">
        <w:t>o</w:t>
      </w:r>
      <w:r>
        <w:t>. M-2012-2201861 (Opinion and Order entered May 3, 2012).</w:t>
      </w:r>
    </w:p>
    <w:p w:rsidR="00305E45" w:rsidRPr="00F85825" w:rsidRDefault="00305E45" w:rsidP="007B5CCD">
      <w:pPr>
        <w:pStyle w:val="FootnoteText"/>
        <w:rPr>
          <w:i/>
        </w:rPr>
      </w:pPr>
    </w:p>
  </w:footnote>
  <w:footnote w:id="6">
    <w:p w:rsidR="008B785F" w:rsidRDefault="008B785F" w:rsidP="007B5CCD">
      <w:pPr>
        <w:pStyle w:val="FootnoteText"/>
      </w:pPr>
      <w:r>
        <w:rPr>
          <w:rStyle w:val="FootnoteReference"/>
        </w:rPr>
        <w:footnoteRef/>
      </w:r>
      <w:r>
        <w:t xml:space="preserve">  </w:t>
      </w:r>
      <w:r>
        <w:tab/>
      </w:r>
      <w:proofErr w:type="gramStart"/>
      <w:r>
        <w:t>52 Pa. Code § 54.43.</w:t>
      </w:r>
      <w:proofErr w:type="gramEnd"/>
    </w:p>
    <w:p w:rsidR="00305E45" w:rsidRDefault="00305E45" w:rsidP="007B5CCD">
      <w:pPr>
        <w:pStyle w:val="FootnoteText"/>
      </w:pPr>
    </w:p>
  </w:footnote>
  <w:footnote w:id="7">
    <w:p w:rsidR="008B785F" w:rsidRDefault="008B785F" w:rsidP="007B5CCD">
      <w:pPr>
        <w:pStyle w:val="FootnoteText"/>
      </w:pPr>
      <w:r>
        <w:rPr>
          <w:rStyle w:val="FootnoteReference"/>
        </w:rPr>
        <w:footnoteRef/>
      </w:r>
      <w:r>
        <w:t xml:space="preserve">  </w:t>
      </w:r>
      <w:r>
        <w:tab/>
      </w:r>
      <w:proofErr w:type="gramStart"/>
      <w:r>
        <w:t>52 Pa. Code § 54.42.</w:t>
      </w:r>
      <w:proofErr w:type="gramEnd"/>
    </w:p>
    <w:p w:rsidR="00305E45" w:rsidRDefault="00305E45" w:rsidP="007B5CCD">
      <w:pPr>
        <w:pStyle w:val="FootnoteText"/>
      </w:pPr>
    </w:p>
  </w:footnote>
  <w:footnote w:id="8">
    <w:p w:rsidR="008B785F" w:rsidRDefault="008B785F" w:rsidP="007B5CCD">
      <w:pPr>
        <w:pStyle w:val="FootnoteText"/>
      </w:pPr>
      <w:r>
        <w:rPr>
          <w:rStyle w:val="FootnoteReference"/>
        </w:rPr>
        <w:footnoteRef/>
      </w:r>
      <w:r>
        <w:t xml:space="preserve">   </w:t>
      </w:r>
      <w:r>
        <w:tab/>
      </w:r>
      <w:r>
        <w:rPr>
          <w:i/>
        </w:rPr>
        <w:t>See</w:t>
      </w:r>
      <w:r>
        <w:t xml:space="preserve"> </w:t>
      </w:r>
      <w:r>
        <w:rPr>
          <w:i/>
        </w:rPr>
        <w:t>Rulemaking re: Marketing and Sales Practices for the Retail Residential Energy Market</w:t>
      </w:r>
      <w:r>
        <w:t xml:space="preserve">, PUC Docket No. L-2010-2208332 (Corrected Final Rulemaking Order entered October 24, 2012), </w:t>
      </w:r>
      <w:r>
        <w:rPr>
          <w:i/>
        </w:rPr>
        <w:t>reconsideration granted</w:t>
      </w:r>
      <w:r>
        <w:t xml:space="preserve">, Order entered November 19, 2012 (2012 Rulemaking).  </w:t>
      </w:r>
    </w:p>
    <w:p w:rsidR="00305E45" w:rsidRPr="00D154E0" w:rsidRDefault="00305E45" w:rsidP="007B5CCD">
      <w:pPr>
        <w:pStyle w:val="FootnoteText"/>
      </w:pPr>
    </w:p>
  </w:footnote>
  <w:footnote w:id="9">
    <w:p w:rsidR="008B785F" w:rsidRDefault="008B785F" w:rsidP="007B5CCD">
      <w:pPr>
        <w:pStyle w:val="FootnoteText"/>
      </w:pPr>
      <w:r>
        <w:rPr>
          <w:rStyle w:val="FootnoteReference"/>
        </w:rPr>
        <w:footnoteRef/>
      </w:r>
      <w:r>
        <w:t xml:space="preserve">  </w:t>
      </w:r>
      <w:r>
        <w:tab/>
        <w:t xml:space="preserve">See also </w:t>
      </w:r>
      <w:r w:rsidRPr="00EB04CD">
        <w:rPr>
          <w:i/>
        </w:rPr>
        <w:t>Interim Guidelines</w:t>
      </w:r>
      <w:r w:rsidR="00EB04CD" w:rsidRPr="00EB04CD">
        <w:rPr>
          <w:i/>
        </w:rPr>
        <w:t xml:space="preserve"> </w:t>
      </w:r>
      <w:r w:rsidRPr="00EB04CD">
        <w:rPr>
          <w:i/>
        </w:rPr>
        <w:t>on Marketing and Sales Practices for Electric Generation Suppliers and Natural Gas Suppliers</w:t>
      </w:r>
      <w:r>
        <w:t>, PUC Docket No. M-2010-2185981 (Final Order entered November 4, 2010)</w:t>
      </w:r>
      <w:r w:rsidR="00EB04CD">
        <w:t xml:space="preserve"> </w:t>
      </w:r>
      <w:r>
        <w:t>(2010 Interim Guidelines).</w:t>
      </w:r>
    </w:p>
    <w:p w:rsidR="00305E45" w:rsidRDefault="00305E45" w:rsidP="007B5CCD">
      <w:pPr>
        <w:pStyle w:val="FootnoteText"/>
      </w:pPr>
    </w:p>
  </w:footnote>
  <w:footnote w:id="10">
    <w:p w:rsidR="008B785F" w:rsidRDefault="008B785F" w:rsidP="007B5CCD">
      <w:pPr>
        <w:pStyle w:val="FootnoteText"/>
      </w:pPr>
      <w:r>
        <w:rPr>
          <w:rStyle w:val="FootnoteReference"/>
        </w:rPr>
        <w:footnoteRef/>
      </w:r>
      <w:r>
        <w:t xml:space="preserve">  </w:t>
      </w:r>
      <w:r w:rsidR="00305E45">
        <w:tab/>
      </w:r>
      <w:proofErr w:type="gramStart"/>
      <w:r>
        <w:t xml:space="preserve">Act of December 17, 1968, </w:t>
      </w:r>
      <w:r w:rsidR="00A0423E">
        <w:t xml:space="preserve">P.L. </w:t>
      </w:r>
      <w:r>
        <w:t xml:space="preserve">1224, </w:t>
      </w:r>
      <w:r w:rsidRPr="0089777C">
        <w:rPr>
          <w:i/>
        </w:rPr>
        <w:t>as reenacted and amended</w:t>
      </w:r>
      <w:r>
        <w:t xml:space="preserve">, </w:t>
      </w:r>
      <w:r w:rsidRPr="0089777C">
        <w:t>73</w:t>
      </w:r>
      <w:r>
        <w:t xml:space="preserve"> P.S. §§ 201-1-201-9.3.</w:t>
      </w:r>
      <w:proofErr w:type="gramEnd"/>
    </w:p>
    <w:p w:rsidR="00305E45" w:rsidRDefault="00305E45" w:rsidP="007B5CCD">
      <w:pPr>
        <w:pStyle w:val="FootnoteText"/>
      </w:pPr>
    </w:p>
  </w:footnote>
  <w:footnote w:id="11">
    <w:p w:rsidR="008B785F" w:rsidRDefault="008B785F" w:rsidP="007B5CCD">
      <w:pPr>
        <w:pStyle w:val="FootnoteText"/>
      </w:pPr>
      <w:r>
        <w:rPr>
          <w:rStyle w:val="FootnoteReference"/>
        </w:rPr>
        <w:footnoteRef/>
      </w:r>
      <w:r>
        <w:t xml:space="preserve">  </w:t>
      </w:r>
      <w:r>
        <w:tab/>
      </w:r>
      <w:proofErr w:type="gramStart"/>
      <w:r>
        <w:t>GAP Memorandum of Law at 5.</w:t>
      </w:r>
      <w:proofErr w:type="gramEnd"/>
    </w:p>
    <w:p w:rsidR="00305E45" w:rsidRDefault="00305E45" w:rsidP="007B5CCD">
      <w:pPr>
        <w:pStyle w:val="FootnoteText"/>
      </w:pPr>
    </w:p>
  </w:footnote>
  <w:footnote w:id="12">
    <w:p w:rsidR="008B785F" w:rsidRDefault="008B785F" w:rsidP="007B5CCD">
      <w:pPr>
        <w:pStyle w:val="FootnoteText"/>
      </w:pPr>
      <w:r>
        <w:rPr>
          <w:rStyle w:val="FootnoteReference"/>
        </w:rPr>
        <w:footnoteRef/>
      </w:r>
      <w:r>
        <w:t xml:space="preserve">  </w:t>
      </w:r>
      <w:r>
        <w:tab/>
      </w:r>
      <w:proofErr w:type="spellStart"/>
      <w:proofErr w:type="gramStart"/>
      <w:r>
        <w:rPr>
          <w:i/>
        </w:rPr>
        <w:t>Erfer</w:t>
      </w:r>
      <w:proofErr w:type="spellEnd"/>
      <w:r>
        <w:rPr>
          <w:i/>
        </w:rPr>
        <w:t xml:space="preserve"> v. Commonwealth</w:t>
      </w:r>
      <w:r>
        <w:t xml:space="preserve">, 794 A.2d 325 (Pa. 2002); </w:t>
      </w:r>
      <w:hyperlink r:id="rId1" w:tgtFrame="x" w:tooltip="Clicking this link retrieves the full text document in another window" w:history="1">
        <w:r w:rsidRPr="00C831EE">
          <w:rPr>
            <w:i/>
          </w:rPr>
          <w:t>In re Milton Hershey Sch</w:t>
        </w:r>
        <w:r w:rsidRPr="00503EF7">
          <w:t xml:space="preserve">., 867 A.2d 674, 683-684 (Pa. </w:t>
        </w:r>
        <w:proofErr w:type="spellStart"/>
        <w:r w:rsidRPr="00503EF7">
          <w:t>Commw</w:t>
        </w:r>
        <w:proofErr w:type="spellEnd"/>
        <w:r w:rsidRPr="00503EF7">
          <w:t>.</w:t>
        </w:r>
        <w:proofErr w:type="gramEnd"/>
        <w:r w:rsidRPr="00503EF7">
          <w:t xml:space="preserve"> </w:t>
        </w:r>
        <w:proofErr w:type="gramStart"/>
        <w:r w:rsidRPr="00503EF7">
          <w:t>Ct. 2005)</w:t>
        </w:r>
      </w:hyperlink>
      <w:r>
        <w:t>, reversed on other grounds, 911 A.2d 1258 (Pa. 2006).</w:t>
      </w:r>
      <w:proofErr w:type="gramEnd"/>
    </w:p>
    <w:p w:rsidR="00305E45" w:rsidRDefault="00305E45" w:rsidP="007B5CCD">
      <w:pPr>
        <w:pStyle w:val="FootnoteText"/>
      </w:pPr>
    </w:p>
  </w:footnote>
  <w:footnote w:id="13">
    <w:p w:rsidR="008B785F" w:rsidRDefault="008B785F" w:rsidP="007B5CCD">
      <w:pPr>
        <w:pStyle w:val="FootnoteText"/>
        <w:rPr>
          <w:rFonts w:ascii="Verdana" w:hAnsi="Verdana"/>
          <w:sz w:val="17"/>
          <w:szCs w:val="17"/>
        </w:rPr>
      </w:pPr>
      <w:r>
        <w:t xml:space="preserve"> </w:t>
      </w:r>
      <w:r>
        <w:rPr>
          <w:rStyle w:val="FootnoteReference"/>
        </w:rPr>
        <w:footnoteRef/>
      </w:r>
      <w:r>
        <w:t xml:space="preserve">  </w:t>
      </w:r>
      <w:r>
        <w:tab/>
      </w:r>
      <w:hyperlink r:id="rId2" w:tgtFrame="x" w:tooltip="Clicking this link retrieves the full text document in another window" w:history="1">
        <w:proofErr w:type="gramStart"/>
        <w:r w:rsidRPr="004A4791">
          <w:rPr>
            <w:i/>
          </w:rPr>
          <w:t>Thompson v. Zoning Hearing Bd.</w:t>
        </w:r>
        <w:r w:rsidRPr="004A4791">
          <w:t xml:space="preserve">, 963 A.2d 622, 625 (Pa. </w:t>
        </w:r>
        <w:proofErr w:type="spellStart"/>
        <w:r w:rsidRPr="004A4791">
          <w:t>Commw</w:t>
        </w:r>
        <w:proofErr w:type="spellEnd"/>
        <w:r w:rsidRPr="004A4791">
          <w:t>.</w:t>
        </w:r>
        <w:proofErr w:type="gramEnd"/>
        <w:r w:rsidRPr="004A4791">
          <w:t xml:space="preserve"> </w:t>
        </w:r>
        <w:proofErr w:type="gramStart"/>
        <w:r w:rsidRPr="004A4791">
          <w:t>Ct. 2009)</w:t>
        </w:r>
      </w:hyperlink>
      <w:r>
        <w:t>;</w:t>
      </w:r>
      <w:r w:rsidRPr="004A4791">
        <w:t xml:space="preserve"> </w:t>
      </w:r>
      <w:r w:rsidRPr="004A4791">
        <w:rPr>
          <w:i/>
        </w:rPr>
        <w:t>Bullock v. County of Lycoming</w:t>
      </w:r>
      <w:r w:rsidRPr="004A4791">
        <w:t xml:space="preserve">, 859 A.2d 518 (Pa. </w:t>
      </w:r>
      <w:proofErr w:type="spellStart"/>
      <w:r w:rsidRPr="004A4791">
        <w:t>Cmwlth</w:t>
      </w:r>
      <w:proofErr w:type="spellEnd"/>
      <w:r w:rsidRPr="004A4791">
        <w:t xml:space="preserve">. 2004); </w:t>
      </w:r>
      <w:r w:rsidRPr="004A4791">
        <w:rPr>
          <w:i/>
        </w:rPr>
        <w:t>Statewide Building Maintenance, Inc. v. Pennsylvania Convention Center Authority</w:t>
      </w:r>
      <w:r w:rsidRPr="004A4791">
        <w:t xml:space="preserve">, 544, 635 A.2d 691 (Pa. </w:t>
      </w:r>
      <w:proofErr w:type="spellStart"/>
      <w:r w:rsidRPr="004A4791">
        <w:t>Cmwlth</w:t>
      </w:r>
      <w:proofErr w:type="spellEnd"/>
      <w:r w:rsidRPr="004A4791">
        <w:t>. 1993).</w:t>
      </w:r>
      <w:proofErr w:type="gramEnd"/>
      <w:r>
        <w:rPr>
          <w:rFonts w:ascii="Verdana" w:hAnsi="Verdana"/>
          <w:sz w:val="17"/>
          <w:szCs w:val="17"/>
        </w:rPr>
        <w:t xml:space="preserve"> </w:t>
      </w:r>
    </w:p>
    <w:p w:rsidR="00305E45" w:rsidRPr="00E279EA" w:rsidRDefault="00305E45" w:rsidP="007B5CCD">
      <w:pPr>
        <w:pStyle w:val="FootnoteText"/>
        <w:rPr>
          <w:rFonts w:ascii="Verdana" w:hAnsi="Verdana"/>
          <w:sz w:val="17"/>
          <w:szCs w:val="17"/>
        </w:rPr>
      </w:pPr>
    </w:p>
  </w:footnote>
  <w:footnote w:id="14">
    <w:p w:rsidR="008B785F" w:rsidRDefault="008B785F" w:rsidP="007B5CCD">
      <w:pPr>
        <w:pStyle w:val="FootnoteText"/>
      </w:pPr>
      <w:r>
        <w:rPr>
          <w:rStyle w:val="FootnoteReference"/>
        </w:rPr>
        <w:footnoteRef/>
      </w:r>
      <w:r>
        <w:t xml:space="preserve">  </w:t>
      </w:r>
      <w:r>
        <w:tab/>
      </w:r>
      <w:proofErr w:type="gramStart"/>
      <w:r>
        <w:t>Complainant Ex. C-4.</w:t>
      </w:r>
      <w:proofErr w:type="gramEnd"/>
    </w:p>
  </w:footnote>
  <w:footnote w:id="15">
    <w:p w:rsidR="008B785F" w:rsidRDefault="008B785F" w:rsidP="007B5CCD">
      <w:pPr>
        <w:pStyle w:val="FootnoteText"/>
      </w:pPr>
      <w:r>
        <w:rPr>
          <w:rStyle w:val="FootnoteReference"/>
        </w:rPr>
        <w:footnoteRef/>
      </w:r>
      <w:r>
        <w:t xml:space="preserve">  </w:t>
      </w:r>
      <w:r>
        <w:tab/>
      </w:r>
      <w:r w:rsidRPr="0089777C">
        <w:t>73</w:t>
      </w:r>
      <w:r>
        <w:t xml:space="preserve"> P.S. § 201-2(4</w:t>
      </w:r>
      <w:proofErr w:type="gramStart"/>
      <w:r>
        <w:t>)(</w:t>
      </w:r>
      <w:proofErr w:type="gramEnd"/>
      <w:r>
        <w:t>ii).</w:t>
      </w:r>
    </w:p>
    <w:p w:rsidR="00305E45" w:rsidRDefault="00305E45" w:rsidP="007B5CCD">
      <w:pPr>
        <w:pStyle w:val="FootnoteText"/>
      </w:pPr>
    </w:p>
  </w:footnote>
  <w:footnote w:id="16">
    <w:p w:rsidR="008B785F" w:rsidRDefault="008B785F" w:rsidP="007B5CCD">
      <w:pPr>
        <w:pStyle w:val="FootnoteText"/>
      </w:pPr>
      <w:r>
        <w:rPr>
          <w:rStyle w:val="FootnoteReference"/>
        </w:rPr>
        <w:footnoteRef/>
      </w:r>
      <w:r>
        <w:t xml:space="preserve"> </w:t>
      </w:r>
      <w:r>
        <w:tab/>
        <w:t>73 P.S. § 201-2(4</w:t>
      </w:r>
      <w:proofErr w:type="gramStart"/>
      <w:r>
        <w:t>)(</w:t>
      </w:r>
      <w:proofErr w:type="gramEnd"/>
      <w:r>
        <w:t>iii).</w:t>
      </w:r>
    </w:p>
    <w:p w:rsidR="009175FF" w:rsidRDefault="009175FF" w:rsidP="007B5CCD">
      <w:pPr>
        <w:pStyle w:val="FootnoteText"/>
      </w:pPr>
    </w:p>
  </w:footnote>
  <w:footnote w:id="17">
    <w:p w:rsidR="008B785F" w:rsidRDefault="008B785F" w:rsidP="007B5CCD">
      <w:pPr>
        <w:pStyle w:val="FootnoteText"/>
      </w:pPr>
      <w:r>
        <w:rPr>
          <w:rStyle w:val="FootnoteReference"/>
        </w:rPr>
        <w:footnoteRef/>
      </w:r>
      <w:r>
        <w:t xml:space="preserve"> </w:t>
      </w:r>
      <w:r w:rsidR="00A0423E">
        <w:tab/>
      </w:r>
      <w:proofErr w:type="gramStart"/>
      <w:r w:rsidR="00A0423E">
        <w:t>2012 Rulemaking, Proposed Rule § 111.10(b).</w:t>
      </w:r>
      <w:proofErr w:type="gramEnd"/>
    </w:p>
    <w:p w:rsidR="009175FF" w:rsidRDefault="009175FF" w:rsidP="007B5CCD">
      <w:pPr>
        <w:pStyle w:val="FootnoteText"/>
      </w:pPr>
    </w:p>
  </w:footnote>
  <w:footnote w:id="18">
    <w:p w:rsidR="008B785F" w:rsidRDefault="008B785F" w:rsidP="007B5CCD">
      <w:pPr>
        <w:pStyle w:val="FootnoteText"/>
      </w:pPr>
      <w:r>
        <w:rPr>
          <w:rStyle w:val="FootnoteReference"/>
        </w:rPr>
        <w:footnoteRef/>
      </w:r>
      <w:r>
        <w:t xml:space="preserve">  </w:t>
      </w:r>
      <w:r>
        <w:tab/>
      </w:r>
      <w:proofErr w:type="gramStart"/>
      <w:r>
        <w:t>N.T. 72.</w:t>
      </w:r>
      <w:proofErr w:type="gramEnd"/>
    </w:p>
    <w:p w:rsidR="002D7763" w:rsidRDefault="002D7763" w:rsidP="007B5CCD">
      <w:pPr>
        <w:pStyle w:val="FootnoteText"/>
      </w:pPr>
    </w:p>
  </w:footnote>
  <w:footnote w:id="19">
    <w:p w:rsidR="008B785F" w:rsidRDefault="008B785F" w:rsidP="007B5CCD">
      <w:pPr>
        <w:pStyle w:val="FootnoteText"/>
      </w:pPr>
      <w:r>
        <w:rPr>
          <w:rStyle w:val="FootnoteReference"/>
        </w:rPr>
        <w:footnoteRef/>
      </w:r>
      <w:r>
        <w:t xml:space="preserve">  </w:t>
      </w:r>
      <w:r>
        <w:tab/>
      </w:r>
      <w:proofErr w:type="gramStart"/>
      <w:r>
        <w:t>N.T. 73.</w:t>
      </w:r>
      <w:proofErr w:type="gramEnd"/>
    </w:p>
    <w:p w:rsidR="009175FF" w:rsidRDefault="009175FF" w:rsidP="007B5CCD">
      <w:pPr>
        <w:pStyle w:val="FootnoteText"/>
      </w:pPr>
    </w:p>
  </w:footnote>
  <w:footnote w:id="20">
    <w:p w:rsidR="008B785F" w:rsidRDefault="008B785F" w:rsidP="007B5CCD">
      <w:pPr>
        <w:pStyle w:val="FootnoteText"/>
      </w:pPr>
      <w:r>
        <w:rPr>
          <w:rStyle w:val="FootnoteReference"/>
        </w:rPr>
        <w:footnoteRef/>
      </w:r>
      <w:r>
        <w:t xml:space="preserve">  </w:t>
      </w:r>
      <w:r>
        <w:tab/>
        <w:t>N.T. 74 (emphasis added).</w:t>
      </w:r>
    </w:p>
    <w:p w:rsidR="009175FF" w:rsidRDefault="009175FF" w:rsidP="007B5CCD">
      <w:pPr>
        <w:pStyle w:val="FootnoteText"/>
      </w:pPr>
    </w:p>
  </w:footnote>
  <w:footnote w:id="21">
    <w:p w:rsidR="008B785F" w:rsidRDefault="008B785F" w:rsidP="007B5CCD">
      <w:pPr>
        <w:pStyle w:val="FootnoteText"/>
      </w:pPr>
      <w:r>
        <w:rPr>
          <w:rStyle w:val="FootnoteReference"/>
        </w:rPr>
        <w:footnoteRef/>
      </w:r>
      <w:r>
        <w:t xml:space="preserve">  </w:t>
      </w:r>
      <w:r>
        <w:tab/>
      </w:r>
      <w:proofErr w:type="gramStart"/>
      <w:r>
        <w:t>N.T. 89.</w:t>
      </w:r>
      <w:proofErr w:type="gramEnd"/>
    </w:p>
    <w:p w:rsidR="009175FF" w:rsidRDefault="009175FF" w:rsidP="007B5CCD">
      <w:pPr>
        <w:pStyle w:val="FootnoteText"/>
      </w:pPr>
    </w:p>
  </w:footnote>
  <w:footnote w:id="22">
    <w:p w:rsidR="009175FF" w:rsidRDefault="008B785F" w:rsidP="007B5CCD">
      <w:pPr>
        <w:pStyle w:val="FootnoteText"/>
      </w:pPr>
      <w:r>
        <w:rPr>
          <w:rStyle w:val="FootnoteReference"/>
        </w:rPr>
        <w:footnoteRef/>
      </w:r>
      <w:r>
        <w:t xml:space="preserve"> </w:t>
      </w:r>
      <w:r w:rsidR="00A0423E">
        <w:tab/>
      </w:r>
      <w:proofErr w:type="gramStart"/>
      <w:r w:rsidR="00A0423E">
        <w:t>2010 Interim Guidelines, Section G.1.</w:t>
      </w:r>
      <w:proofErr w:type="gramEnd"/>
    </w:p>
    <w:p w:rsidR="008B785F" w:rsidRDefault="008B785F" w:rsidP="007B5CCD">
      <w:pPr>
        <w:pStyle w:val="FootnoteText"/>
      </w:pPr>
      <w:r>
        <w:t xml:space="preserve"> </w:t>
      </w:r>
      <w:r>
        <w:tab/>
      </w:r>
    </w:p>
  </w:footnote>
  <w:footnote w:id="23">
    <w:p w:rsidR="008B785F" w:rsidRDefault="008B785F" w:rsidP="007B5CCD">
      <w:pPr>
        <w:pStyle w:val="FootnoteText"/>
      </w:pPr>
      <w:r>
        <w:rPr>
          <w:rStyle w:val="FootnoteReference"/>
        </w:rPr>
        <w:footnoteRef/>
      </w:r>
      <w:r>
        <w:t xml:space="preserve">  </w:t>
      </w:r>
      <w:r>
        <w:tab/>
        <w:t>See 2010 Interim Guidelines at Section F.5 (“A supplier shall not use bills, company name, marketing materials or consumer education materials of . . . [a] distribution company . . . in any way that implies a relationship that does not exist.”</w:t>
      </w:r>
      <w:r w:rsidR="002D7763">
        <w:t>)</w:t>
      </w:r>
    </w:p>
    <w:p w:rsidR="009175FF" w:rsidRDefault="009175FF" w:rsidP="007B5CCD">
      <w:pPr>
        <w:pStyle w:val="FootnoteText"/>
      </w:pPr>
    </w:p>
  </w:footnote>
  <w:footnote w:id="24">
    <w:p w:rsidR="008B785F" w:rsidRDefault="008B785F" w:rsidP="007B5CCD">
      <w:pPr>
        <w:pStyle w:val="FootnoteText"/>
      </w:pPr>
      <w:r>
        <w:rPr>
          <w:rStyle w:val="FootnoteReference"/>
        </w:rPr>
        <w:footnoteRef/>
      </w:r>
      <w:r>
        <w:t xml:space="preserve">  </w:t>
      </w:r>
      <w:r>
        <w:tab/>
        <w:t xml:space="preserve">Although guided by the Commission’s 2012 Rulemaking in interpreting the meaning of what constitutes a common sense definition of a “fraudulent, deceptive or other unlawful marketing . . . act” and “a violation of Pennsylvania consumer protection law” under Sections 54.42 and 54.43, the proposed regulations in the 2012 Rulemaking are not yet final </w:t>
      </w:r>
      <w:r w:rsidR="00F54550">
        <w:t xml:space="preserve">and </w:t>
      </w:r>
      <w:r>
        <w:t xml:space="preserve">therefore do not form the basis of a violation of Sections 54.42 and 54.43 by GAP. </w:t>
      </w:r>
      <w:r w:rsidR="002D7763">
        <w:t xml:space="preserve"> </w:t>
      </w:r>
      <w:r>
        <w:rPr>
          <w:i/>
        </w:rPr>
        <w:t>See Bracken v. Champion Energy Services, LLC</w:t>
      </w:r>
      <w:r>
        <w:t>, PUC Docket No. C-2011-2256514 (Opinion and Order entered June 12, 2012).</w:t>
      </w:r>
    </w:p>
    <w:p w:rsidR="002D7763" w:rsidRPr="00993F36" w:rsidRDefault="002D7763" w:rsidP="007B5CCD">
      <w:pPr>
        <w:pStyle w:val="FootnoteText"/>
      </w:pPr>
    </w:p>
  </w:footnote>
  <w:footnote w:id="25">
    <w:p w:rsidR="008B785F" w:rsidRDefault="008B785F" w:rsidP="007B5CCD">
      <w:pPr>
        <w:pStyle w:val="FootnoteText"/>
      </w:pPr>
      <w:r>
        <w:rPr>
          <w:rStyle w:val="FootnoteReference"/>
        </w:rPr>
        <w:footnoteRef/>
      </w:r>
      <w:r>
        <w:t xml:space="preserve">  </w:t>
      </w:r>
      <w:r>
        <w:tab/>
        <w:t>GAP Memorandum of Law at 11 and the authority cited therein.</w:t>
      </w:r>
    </w:p>
    <w:p w:rsidR="009175FF" w:rsidRDefault="009175FF" w:rsidP="007B5CCD">
      <w:pPr>
        <w:pStyle w:val="FootnoteText"/>
      </w:pPr>
    </w:p>
  </w:footnote>
  <w:footnote w:id="26">
    <w:p w:rsidR="008B785F" w:rsidRDefault="008B785F" w:rsidP="007B5CCD">
      <w:pPr>
        <w:pStyle w:val="FootnoteText"/>
      </w:pPr>
      <w:r>
        <w:rPr>
          <w:rStyle w:val="FootnoteReference"/>
        </w:rPr>
        <w:footnoteRef/>
      </w:r>
      <w:r>
        <w:t xml:space="preserve"> </w:t>
      </w:r>
      <w:r>
        <w:tab/>
        <w:t xml:space="preserve">Act of December 4, 1996, P.L. 911, </w:t>
      </w:r>
      <w:r>
        <w:rPr>
          <w:i/>
        </w:rPr>
        <w:t>as amended</w:t>
      </w:r>
      <w:r>
        <w:t>, 73 P.S. §§ 2241-2249.</w:t>
      </w:r>
    </w:p>
    <w:p w:rsidR="009175FF" w:rsidRPr="00774909" w:rsidRDefault="009175FF" w:rsidP="007B5CCD">
      <w:pPr>
        <w:pStyle w:val="FootnoteText"/>
      </w:pPr>
    </w:p>
  </w:footnote>
  <w:footnote w:id="27">
    <w:p w:rsidR="008B785F" w:rsidRDefault="008B785F" w:rsidP="007B5CCD">
      <w:pPr>
        <w:pStyle w:val="FootnoteText"/>
      </w:pPr>
      <w:r>
        <w:rPr>
          <w:rStyle w:val="FootnoteReference"/>
        </w:rPr>
        <w:footnoteRef/>
      </w:r>
      <w:r>
        <w:t xml:space="preserve"> </w:t>
      </w:r>
      <w:r>
        <w:tab/>
        <w:t>Section I.</w:t>
      </w:r>
    </w:p>
    <w:p w:rsidR="009175FF" w:rsidRDefault="009175FF" w:rsidP="007B5CCD">
      <w:pPr>
        <w:pStyle w:val="FootnoteText"/>
      </w:pPr>
    </w:p>
  </w:footnote>
  <w:footnote w:id="28">
    <w:p w:rsidR="008B785F" w:rsidRDefault="008B785F" w:rsidP="007B5CCD">
      <w:pPr>
        <w:pStyle w:val="FootnoteText"/>
      </w:pPr>
      <w:r>
        <w:rPr>
          <w:rStyle w:val="FootnoteReference"/>
        </w:rPr>
        <w:footnoteRef/>
      </w:r>
      <w:r>
        <w:t xml:space="preserve"> </w:t>
      </w:r>
      <w:r>
        <w:tab/>
      </w:r>
      <w:proofErr w:type="gramStart"/>
      <w:r>
        <w:t>73 P.S. § 2245.</w:t>
      </w:r>
      <w:proofErr w:type="gramEnd"/>
    </w:p>
    <w:p w:rsidR="009175FF" w:rsidRDefault="009175FF" w:rsidP="007B5CCD">
      <w:pPr>
        <w:pStyle w:val="FootnoteText"/>
      </w:pPr>
    </w:p>
  </w:footnote>
  <w:footnote w:id="29">
    <w:p w:rsidR="008B785F" w:rsidRDefault="008B785F" w:rsidP="007B5CCD">
      <w:pPr>
        <w:pStyle w:val="FootnoteText"/>
      </w:pPr>
      <w:r>
        <w:rPr>
          <w:rStyle w:val="FootnoteReference"/>
        </w:rPr>
        <w:footnoteRef/>
      </w:r>
      <w:r>
        <w:t xml:space="preserve">  </w:t>
      </w:r>
      <w:r>
        <w:tab/>
      </w:r>
      <w:proofErr w:type="gramStart"/>
      <w:r>
        <w:t>2010 Interim Guidelines at Section I.</w:t>
      </w:r>
      <w:proofErr w:type="gramEnd"/>
    </w:p>
    <w:p w:rsidR="008A134F" w:rsidRDefault="008A134F" w:rsidP="007B5CCD">
      <w:pPr>
        <w:pStyle w:val="FootnoteText"/>
      </w:pPr>
    </w:p>
  </w:footnote>
  <w:footnote w:id="30">
    <w:p w:rsidR="002D7763" w:rsidRDefault="008B785F" w:rsidP="007B5CCD">
      <w:pPr>
        <w:pStyle w:val="FootnoteText"/>
      </w:pPr>
      <w:r>
        <w:rPr>
          <w:rStyle w:val="FootnoteReference"/>
        </w:rPr>
        <w:footnoteRef/>
      </w:r>
      <w:r>
        <w:t xml:space="preserve">  </w:t>
      </w:r>
      <w:r>
        <w:tab/>
        <w:t xml:space="preserve">Ginger Lucas did testify that GAP monitored three to four hours of calls per month, with a checklist of topics. </w:t>
      </w:r>
      <w:r w:rsidR="008A134F">
        <w:t xml:space="preserve"> </w:t>
      </w:r>
      <w:r>
        <w:t xml:space="preserve">There is no evidence that compliance with either the state and national </w:t>
      </w:r>
      <w:r w:rsidR="00237C46">
        <w:t>Do Not Call</w:t>
      </w:r>
      <w:r>
        <w:t xml:space="preserve"> lists or GAP’s internal do-not-call policy was part of that checklist.  </w:t>
      </w:r>
      <w:r>
        <w:t xml:space="preserve">See N.T. </w:t>
      </w:r>
      <w:r>
        <w:t>126.</w:t>
      </w:r>
      <w:bookmarkStart w:id="1" w:name="_GoBack"/>
      <w:bookmarkEnd w:id="1"/>
    </w:p>
  </w:footnote>
  <w:footnote w:id="31">
    <w:p w:rsidR="008B785F" w:rsidRDefault="008B785F" w:rsidP="007B5CCD">
      <w:pPr>
        <w:pStyle w:val="FootnoteText"/>
      </w:pPr>
      <w:r>
        <w:rPr>
          <w:rStyle w:val="FootnoteReference"/>
        </w:rPr>
        <w:footnoteRef/>
      </w:r>
      <w:r>
        <w:t xml:space="preserve">  </w:t>
      </w:r>
      <w:r>
        <w:tab/>
      </w:r>
      <w:proofErr w:type="gramStart"/>
      <w:r>
        <w:t>N.T. 104.</w:t>
      </w:r>
      <w:proofErr w:type="gramEnd"/>
    </w:p>
    <w:p w:rsidR="00305E45" w:rsidRDefault="00305E45" w:rsidP="007B5CCD">
      <w:pPr>
        <w:pStyle w:val="FootnoteText"/>
      </w:pPr>
    </w:p>
  </w:footnote>
  <w:footnote w:id="32">
    <w:p w:rsidR="008B785F" w:rsidRDefault="008B785F" w:rsidP="007B5CCD">
      <w:pPr>
        <w:pStyle w:val="FootnoteText"/>
      </w:pPr>
      <w:r>
        <w:rPr>
          <w:rStyle w:val="FootnoteReference"/>
        </w:rPr>
        <w:footnoteRef/>
      </w:r>
      <w:r>
        <w:t xml:space="preserve">  </w:t>
      </w:r>
      <w:r>
        <w:tab/>
      </w:r>
      <w:proofErr w:type="gramStart"/>
      <w:r>
        <w:t>N.T. 39.</w:t>
      </w:r>
      <w:proofErr w:type="gramEnd"/>
    </w:p>
    <w:p w:rsidR="00305E45" w:rsidRDefault="00305E45" w:rsidP="007B5CCD">
      <w:pPr>
        <w:pStyle w:val="FootnoteText"/>
      </w:pPr>
    </w:p>
  </w:footnote>
  <w:footnote w:id="33">
    <w:p w:rsidR="008B785F" w:rsidRDefault="008B785F" w:rsidP="007B5CCD">
      <w:pPr>
        <w:pStyle w:val="FootnoteText"/>
      </w:pPr>
      <w:r>
        <w:rPr>
          <w:rStyle w:val="FootnoteReference"/>
        </w:rPr>
        <w:footnoteRef/>
      </w:r>
      <w:r>
        <w:t xml:space="preserve">  </w:t>
      </w:r>
      <w:r>
        <w:tab/>
        <w:t>GAP suggests in its memorandum of law that I take judicial notice that by dialing 412-542-5932, a caller can leave a recorded message with GAP and that at the time of the marketing campaign GAP could be reached at 234-542-5932.</w:t>
      </w:r>
      <w:r w:rsidR="008A134F">
        <w:t xml:space="preserve"> </w:t>
      </w:r>
      <w:r>
        <w:t xml:space="preserve"> </w:t>
      </w:r>
      <w:proofErr w:type="gramStart"/>
      <w:r>
        <w:t>(GAP Memorandum of Law at 13).</w:t>
      </w:r>
      <w:proofErr w:type="gramEnd"/>
      <w:r>
        <w:t xml:space="preserve">  Neither of these facts is appropriate for judic</w:t>
      </w:r>
      <w:r w:rsidR="004B0E34">
        <w:t>ial notice</w:t>
      </w:r>
      <w:r>
        <w:t>.</w:t>
      </w:r>
      <w:r w:rsidR="00B052AE">
        <w:t xml:space="preserve">  </w:t>
      </w:r>
      <w:proofErr w:type="gramStart"/>
      <w:r w:rsidR="00B052AE">
        <w:t xml:space="preserve">Pa. R.E. 201; </w:t>
      </w:r>
      <w:proofErr w:type="spellStart"/>
      <w:r w:rsidR="00B052AE">
        <w:rPr>
          <w:i/>
        </w:rPr>
        <w:t>Kinley</w:t>
      </w:r>
      <w:proofErr w:type="spellEnd"/>
      <w:r w:rsidR="00B052AE">
        <w:rPr>
          <w:i/>
        </w:rPr>
        <w:t xml:space="preserve"> v. </w:t>
      </w:r>
      <w:proofErr w:type="spellStart"/>
      <w:r w:rsidR="00B052AE">
        <w:rPr>
          <w:i/>
        </w:rPr>
        <w:t>Bierly</w:t>
      </w:r>
      <w:proofErr w:type="spellEnd"/>
      <w:r w:rsidR="00B052AE">
        <w:t>, 876 A.2d 419 (Pa. Super. 2005).</w:t>
      </w:r>
      <w:proofErr w:type="gramEnd"/>
      <w:r>
        <w:t xml:space="preserve">  Moreover, Complainant’s Exhibit 6 does not show that the Complainant was ever called from 412-542-5932.</w:t>
      </w:r>
    </w:p>
    <w:p w:rsidR="00305E45" w:rsidRDefault="00305E45" w:rsidP="007B5CCD">
      <w:pPr>
        <w:pStyle w:val="FootnoteText"/>
      </w:pPr>
    </w:p>
  </w:footnote>
  <w:footnote w:id="34">
    <w:p w:rsidR="008B785F" w:rsidRDefault="008B785F" w:rsidP="007B5CCD">
      <w:pPr>
        <w:pStyle w:val="FootnoteText"/>
      </w:pPr>
      <w:r>
        <w:rPr>
          <w:rStyle w:val="FootnoteReference"/>
        </w:rPr>
        <w:footnoteRef/>
      </w:r>
      <w:r>
        <w:t xml:space="preserve">  </w:t>
      </w:r>
      <w:r>
        <w:tab/>
      </w:r>
      <w:proofErr w:type="gramStart"/>
      <w:r>
        <w:t>73 P.S. § 2245.1.</w:t>
      </w:r>
      <w:proofErr w:type="gramEnd"/>
    </w:p>
    <w:p w:rsidR="00305E45" w:rsidRDefault="00305E45" w:rsidP="007B5CCD">
      <w:pPr>
        <w:pStyle w:val="FootnoteText"/>
      </w:pPr>
    </w:p>
  </w:footnote>
  <w:footnote w:id="35">
    <w:p w:rsidR="008B785F" w:rsidRDefault="008B785F" w:rsidP="007B5CCD">
      <w:pPr>
        <w:pStyle w:val="FootnoteText"/>
      </w:pPr>
      <w:r>
        <w:rPr>
          <w:rStyle w:val="FootnoteReference"/>
        </w:rPr>
        <w:footnoteRef/>
      </w:r>
      <w:r>
        <w:t xml:space="preserve">  </w:t>
      </w:r>
      <w:r>
        <w:tab/>
      </w:r>
      <w:proofErr w:type="gramStart"/>
      <w:r>
        <w:t>73 P.S. § 2245.2(j).</w:t>
      </w:r>
      <w:proofErr w:type="gramEnd"/>
    </w:p>
    <w:p w:rsidR="00305E45" w:rsidRDefault="00305E45" w:rsidP="007B5CCD">
      <w:pPr>
        <w:pStyle w:val="FootnoteText"/>
      </w:pPr>
    </w:p>
  </w:footnote>
  <w:footnote w:id="36">
    <w:p w:rsidR="008B785F" w:rsidRDefault="008B785F" w:rsidP="007B5CCD">
      <w:pPr>
        <w:pStyle w:val="FootnoteText"/>
      </w:pPr>
      <w:r>
        <w:rPr>
          <w:rStyle w:val="FootnoteReference"/>
        </w:rPr>
        <w:footnoteRef/>
      </w:r>
      <w:r>
        <w:t xml:space="preserve">  </w:t>
      </w:r>
      <w:r>
        <w:tab/>
      </w:r>
      <w:proofErr w:type="gramStart"/>
      <w:r>
        <w:t>2010 Interim Guidelines, Section H.2.</w:t>
      </w:r>
      <w:proofErr w:type="gramEnd"/>
    </w:p>
    <w:p w:rsidR="00305E45" w:rsidRDefault="00305E45" w:rsidP="007B5CCD">
      <w:pPr>
        <w:pStyle w:val="FootnoteText"/>
      </w:pPr>
    </w:p>
  </w:footnote>
  <w:footnote w:id="37">
    <w:p w:rsidR="008B785F" w:rsidRDefault="008B785F" w:rsidP="007B5CCD">
      <w:pPr>
        <w:pStyle w:val="FootnoteText"/>
      </w:pPr>
      <w:r>
        <w:rPr>
          <w:rStyle w:val="FootnoteReference"/>
        </w:rPr>
        <w:footnoteRef/>
      </w:r>
      <w:r>
        <w:t xml:space="preserve">  </w:t>
      </w:r>
      <w:r>
        <w:tab/>
      </w:r>
      <w:proofErr w:type="gramStart"/>
      <w:r>
        <w:t>16 C.F.R. § 310.4(8)</w:t>
      </w:r>
      <w:r w:rsidR="008A134F">
        <w:t xml:space="preserve"> </w:t>
      </w:r>
      <w:r>
        <w:t>(2013).</w:t>
      </w:r>
      <w:proofErr w:type="gramEnd"/>
    </w:p>
    <w:p w:rsidR="00305E45" w:rsidRDefault="00305E45" w:rsidP="007B5CCD">
      <w:pPr>
        <w:pStyle w:val="FootnoteText"/>
      </w:pPr>
    </w:p>
  </w:footnote>
  <w:footnote w:id="38">
    <w:p w:rsidR="008B785F" w:rsidRDefault="008B785F" w:rsidP="007B5CCD">
      <w:pPr>
        <w:pStyle w:val="FootnoteText"/>
      </w:pPr>
      <w:r>
        <w:rPr>
          <w:rStyle w:val="FootnoteReference"/>
        </w:rPr>
        <w:footnoteRef/>
      </w:r>
      <w:r>
        <w:t xml:space="preserve"> </w:t>
      </w:r>
      <w:r>
        <w:tab/>
      </w:r>
      <w:r>
        <w:rPr>
          <w:i/>
        </w:rPr>
        <w:t xml:space="preserve">See, e.g., </w:t>
      </w:r>
      <w:r>
        <w:t xml:space="preserve">Joint Motion of Chairman </w:t>
      </w:r>
      <w:proofErr w:type="spellStart"/>
      <w:r>
        <w:t>Powelson</w:t>
      </w:r>
      <w:proofErr w:type="spellEnd"/>
      <w:r>
        <w:t xml:space="preserve"> and Commissioner Gardener, </w:t>
      </w:r>
      <w:r>
        <w:rPr>
          <w:i/>
        </w:rPr>
        <w:t xml:space="preserve">Public Utility Commission v. </w:t>
      </w:r>
      <w:proofErr w:type="spellStart"/>
      <w:r>
        <w:rPr>
          <w:i/>
        </w:rPr>
        <w:t>MXEnergy</w:t>
      </w:r>
      <w:proofErr w:type="spellEnd"/>
      <w:r>
        <w:rPr>
          <w:i/>
        </w:rPr>
        <w:t xml:space="preserve"> Electric, Inc.</w:t>
      </w:r>
      <w:r>
        <w:t>, PUC Docket N</w:t>
      </w:r>
      <w:r w:rsidR="008A134F">
        <w:t>o</w:t>
      </w:r>
      <w:r>
        <w:t xml:space="preserve">. M-2012-2201861 (Public Meeting </w:t>
      </w:r>
      <w:r w:rsidR="002D7763">
        <w:t xml:space="preserve">of </w:t>
      </w:r>
      <w:r>
        <w:t xml:space="preserve">March 29, 2012), and </w:t>
      </w:r>
      <w:r>
        <w:rPr>
          <w:i/>
        </w:rPr>
        <w:t xml:space="preserve">Public Utility Commission v. </w:t>
      </w:r>
      <w:proofErr w:type="spellStart"/>
      <w:r>
        <w:rPr>
          <w:i/>
        </w:rPr>
        <w:t>MXEnergy</w:t>
      </w:r>
      <w:proofErr w:type="spellEnd"/>
      <w:r>
        <w:rPr>
          <w:i/>
        </w:rPr>
        <w:t xml:space="preserve"> Electric, Inc.</w:t>
      </w:r>
      <w:r>
        <w:t>, PUC Docket N</w:t>
      </w:r>
      <w:r w:rsidR="008A134F">
        <w:t>o</w:t>
      </w:r>
      <w:r>
        <w:t>. M-2012-2201861 (Opinion and Order entered May 3, 2012).</w:t>
      </w:r>
    </w:p>
    <w:p w:rsidR="00CC495F" w:rsidRPr="006A529C" w:rsidRDefault="00CC495F" w:rsidP="007B5CCD">
      <w:pPr>
        <w:pStyle w:val="FootnoteText"/>
      </w:pPr>
    </w:p>
  </w:footnote>
  <w:footnote w:id="39">
    <w:p w:rsidR="008B785F" w:rsidRDefault="008B785F" w:rsidP="007B5CCD">
      <w:pPr>
        <w:pStyle w:val="FootnoteText"/>
      </w:pPr>
      <w:r>
        <w:rPr>
          <w:rStyle w:val="FootnoteReference"/>
        </w:rPr>
        <w:footnoteRef/>
      </w:r>
      <w:r>
        <w:t xml:space="preserve">  </w:t>
      </w:r>
      <w:r>
        <w:tab/>
      </w:r>
      <w:proofErr w:type="gramStart"/>
      <w:r w:rsidRPr="007239FF">
        <w:rPr>
          <w:i/>
        </w:rPr>
        <w:t>E.g</w:t>
      </w:r>
      <w:r>
        <w:t>., N.T. 73.</w:t>
      </w:r>
      <w:proofErr w:type="gramEnd"/>
    </w:p>
    <w:p w:rsidR="00305E45" w:rsidRDefault="00305E45" w:rsidP="007B5CCD">
      <w:pPr>
        <w:pStyle w:val="FootnoteText"/>
      </w:pPr>
    </w:p>
  </w:footnote>
  <w:footnote w:id="40">
    <w:p w:rsidR="008B785F" w:rsidRDefault="008B785F" w:rsidP="007B5CCD">
      <w:pPr>
        <w:pStyle w:val="FootnoteText"/>
      </w:pPr>
      <w:r>
        <w:rPr>
          <w:rStyle w:val="FootnoteReference"/>
        </w:rPr>
        <w:footnoteRef/>
      </w:r>
      <w:r>
        <w:t xml:space="preserve">  </w:t>
      </w:r>
      <w:r>
        <w:tab/>
        <w:t>N.T. 74-76.</w:t>
      </w:r>
    </w:p>
    <w:p w:rsidR="00305E45" w:rsidRDefault="00305E45" w:rsidP="007B5CCD">
      <w:pPr>
        <w:pStyle w:val="FootnoteText"/>
      </w:pPr>
    </w:p>
  </w:footnote>
  <w:footnote w:id="41">
    <w:p w:rsidR="008B785F" w:rsidRDefault="008B785F" w:rsidP="007B5CCD">
      <w:pPr>
        <w:pStyle w:val="FootnoteText"/>
      </w:pPr>
      <w:r>
        <w:rPr>
          <w:rStyle w:val="FootnoteReference"/>
        </w:rPr>
        <w:footnoteRef/>
      </w:r>
      <w:r>
        <w:t xml:space="preserve">  </w:t>
      </w:r>
      <w:r>
        <w:tab/>
        <w:t xml:space="preserve">The Complainant’s request to opt-out by answering “no” when asked if he understood the terms of enrollment was honored by GAP.  </w:t>
      </w:r>
      <w:proofErr w:type="gramStart"/>
      <w:r>
        <w:t>N.T. 76.</w:t>
      </w:r>
      <w:proofErr w:type="gramEnd"/>
    </w:p>
    <w:p w:rsidR="00305E45" w:rsidRDefault="00305E45" w:rsidP="007B5CCD">
      <w:pPr>
        <w:pStyle w:val="FootnoteText"/>
      </w:pPr>
    </w:p>
  </w:footnote>
  <w:footnote w:id="42">
    <w:p w:rsidR="008B785F" w:rsidRDefault="008B785F" w:rsidP="007B5CCD">
      <w:pPr>
        <w:pStyle w:val="FootnoteText"/>
      </w:pPr>
      <w:r>
        <w:rPr>
          <w:rStyle w:val="FootnoteReference"/>
        </w:rPr>
        <w:footnoteRef/>
      </w:r>
      <w:r>
        <w:t xml:space="preserve">  </w:t>
      </w:r>
      <w:r>
        <w:tab/>
      </w:r>
      <w:r w:rsidRPr="00E93334">
        <w:rPr>
          <w:i/>
        </w:rPr>
        <w:t>Interim Guidelines Regarding Standards for Changing a Customer’s Electricity Generation Supplier</w:t>
      </w:r>
      <w:r>
        <w:t xml:space="preserve">, PUC Docket No. M-2011-2270442 (Final Order </w:t>
      </w:r>
      <w:r w:rsidR="002D7763">
        <w:t xml:space="preserve">dated </w:t>
      </w:r>
      <w:r>
        <w:t>October 24, 2012).</w:t>
      </w:r>
    </w:p>
    <w:p w:rsidR="00CC495F" w:rsidRPr="00934355" w:rsidRDefault="00CC495F" w:rsidP="007B5CCD">
      <w:pPr>
        <w:pStyle w:val="FootnoteText"/>
      </w:pPr>
    </w:p>
  </w:footnote>
  <w:footnote w:id="43">
    <w:p w:rsidR="008B785F" w:rsidRDefault="008B785F" w:rsidP="007B5CCD">
      <w:pPr>
        <w:pStyle w:val="FootnoteText"/>
      </w:pPr>
      <w:r>
        <w:rPr>
          <w:rStyle w:val="FootnoteReference"/>
        </w:rPr>
        <w:footnoteRef/>
      </w:r>
      <w:r>
        <w:t xml:space="preserve">  </w:t>
      </w:r>
      <w:r>
        <w:tab/>
      </w:r>
      <w:proofErr w:type="gramStart"/>
      <w:r>
        <w:t>N.T. 71.</w:t>
      </w:r>
      <w:proofErr w:type="gramEnd"/>
    </w:p>
    <w:p w:rsidR="00305E45" w:rsidRDefault="00305E45" w:rsidP="007B5CCD">
      <w:pPr>
        <w:pStyle w:val="FootnoteText"/>
      </w:pPr>
    </w:p>
  </w:footnote>
  <w:footnote w:id="44">
    <w:p w:rsidR="008B785F" w:rsidRDefault="008B785F" w:rsidP="007B5CCD">
      <w:pPr>
        <w:pStyle w:val="FootnoteText"/>
      </w:pPr>
      <w:r>
        <w:rPr>
          <w:rStyle w:val="FootnoteReference"/>
        </w:rPr>
        <w:footnoteRef/>
      </w:r>
      <w:r>
        <w:t xml:space="preserve">  </w:t>
      </w:r>
      <w:r>
        <w:tab/>
      </w:r>
      <w:proofErr w:type="gramStart"/>
      <w:r>
        <w:t>N.T. 73.</w:t>
      </w:r>
      <w:proofErr w:type="gramEnd"/>
    </w:p>
    <w:p w:rsidR="00305E45" w:rsidRDefault="00305E45" w:rsidP="007B5CCD">
      <w:pPr>
        <w:pStyle w:val="FootnoteText"/>
      </w:pPr>
    </w:p>
  </w:footnote>
  <w:footnote w:id="45">
    <w:p w:rsidR="008B785F" w:rsidRDefault="008B785F" w:rsidP="007B5CCD">
      <w:pPr>
        <w:pStyle w:val="FootnoteText"/>
      </w:pPr>
      <w:r>
        <w:rPr>
          <w:rStyle w:val="FootnoteReference"/>
        </w:rPr>
        <w:footnoteRef/>
      </w:r>
      <w:r>
        <w:t xml:space="preserve">  </w:t>
      </w:r>
      <w:r>
        <w:tab/>
      </w:r>
      <w:proofErr w:type="gramStart"/>
      <w:r>
        <w:t>N.T. 76.</w:t>
      </w:r>
      <w:proofErr w:type="gramEnd"/>
    </w:p>
    <w:p w:rsidR="00305E45" w:rsidRDefault="00305E45" w:rsidP="007B5CCD">
      <w:pPr>
        <w:pStyle w:val="FootnoteText"/>
      </w:pPr>
    </w:p>
  </w:footnote>
  <w:footnote w:id="46">
    <w:p w:rsidR="005164EE" w:rsidRDefault="005164EE" w:rsidP="007B5CCD">
      <w:pPr>
        <w:pStyle w:val="FootnoteText"/>
      </w:pPr>
      <w:r>
        <w:rPr>
          <w:rStyle w:val="FootnoteReference"/>
        </w:rPr>
        <w:footnoteRef/>
      </w:r>
      <w:r>
        <w:t xml:space="preserve"> </w:t>
      </w:r>
      <w:r>
        <w:tab/>
        <w:t>A fair reading of Nancy’s sales pitch suggests she did not have a thorough understanding of what she was selling but likely was simply relying on a script.  See Complainant’s Ex. C-1 at Attachments B-D.</w:t>
      </w:r>
    </w:p>
  </w:footnote>
  <w:footnote w:id="47">
    <w:p w:rsidR="008B785F" w:rsidRDefault="008B785F" w:rsidP="007B5CCD">
      <w:pPr>
        <w:pStyle w:val="FootnoteText"/>
      </w:pPr>
      <w:r>
        <w:rPr>
          <w:rStyle w:val="FootnoteReference"/>
        </w:rPr>
        <w:footnoteRef/>
      </w:r>
      <w:r>
        <w:t xml:space="preserve">  </w:t>
      </w:r>
      <w:r>
        <w:tab/>
        <w:t>16 C.F.R. § 310.4(b</w:t>
      </w:r>
      <w:proofErr w:type="gramStart"/>
      <w:r>
        <w:t>)(</w:t>
      </w:r>
      <w:proofErr w:type="gramEnd"/>
      <w:r>
        <w:t>1)(iv).</w:t>
      </w:r>
    </w:p>
    <w:p w:rsidR="00305E45" w:rsidRDefault="00305E45" w:rsidP="007B5CCD">
      <w:pPr>
        <w:pStyle w:val="FootnoteText"/>
      </w:pPr>
    </w:p>
  </w:footnote>
  <w:footnote w:id="48">
    <w:p w:rsidR="008B785F" w:rsidRDefault="008B785F" w:rsidP="007B5CCD">
      <w:pPr>
        <w:pStyle w:val="FootnoteText"/>
      </w:pPr>
      <w:r>
        <w:rPr>
          <w:rStyle w:val="FootnoteReference"/>
        </w:rPr>
        <w:footnoteRef/>
      </w:r>
      <w:r>
        <w:t xml:space="preserve">  </w:t>
      </w:r>
      <w:r>
        <w:tab/>
        <w:t>The Complainant also points out that GAP did not produce any records that it tracks abandoned calls and admitted in discovery that it does not keep those records as required by the Telemarketing Sales Rule.  However, this bald statement is not sufficient to shift the burden of production to GAP.  It is the Complainant who bears the initial burden of proving the violations that he alleged.</w:t>
      </w:r>
    </w:p>
  </w:footnote>
  <w:footnote w:id="49">
    <w:p w:rsidR="008B785F" w:rsidRDefault="008B785F" w:rsidP="007B5CCD">
      <w:pPr>
        <w:pStyle w:val="FootnoteText"/>
      </w:pPr>
      <w:r>
        <w:rPr>
          <w:rStyle w:val="FootnoteReference"/>
        </w:rPr>
        <w:footnoteRef/>
      </w:r>
      <w:r>
        <w:t xml:space="preserve"> </w:t>
      </w:r>
      <w:r>
        <w:tab/>
      </w:r>
      <w:proofErr w:type="gramStart"/>
      <w:r>
        <w:t>16 C.F.R. § 310.5 (2013).</w:t>
      </w:r>
      <w:proofErr w:type="gramEnd"/>
    </w:p>
    <w:p w:rsidR="00305E45" w:rsidRDefault="00305E45" w:rsidP="007B5CCD">
      <w:pPr>
        <w:pStyle w:val="FootnoteText"/>
      </w:pPr>
    </w:p>
  </w:footnote>
  <w:footnote w:id="50">
    <w:p w:rsidR="008B785F" w:rsidRDefault="008B785F" w:rsidP="007B5CCD">
      <w:pPr>
        <w:pStyle w:val="FootnoteText"/>
      </w:pPr>
      <w:r>
        <w:rPr>
          <w:rStyle w:val="FootnoteReference"/>
        </w:rPr>
        <w:footnoteRef/>
      </w:r>
      <w:r>
        <w:t xml:space="preserve">  </w:t>
      </w:r>
      <w:r>
        <w:tab/>
      </w:r>
      <w:proofErr w:type="gramStart"/>
      <w:r>
        <w:t>Complainant Ex. C-1.</w:t>
      </w:r>
      <w:proofErr w:type="gramEnd"/>
    </w:p>
    <w:p w:rsidR="00305E45" w:rsidRDefault="00305E45" w:rsidP="007B5CCD">
      <w:pPr>
        <w:pStyle w:val="FootnoteText"/>
      </w:pPr>
    </w:p>
  </w:footnote>
  <w:footnote w:id="51">
    <w:p w:rsidR="008B785F" w:rsidRDefault="008B785F" w:rsidP="007B5CCD">
      <w:pPr>
        <w:pStyle w:val="FootnoteText"/>
      </w:pPr>
      <w:r>
        <w:rPr>
          <w:rStyle w:val="FootnoteReference"/>
        </w:rPr>
        <w:footnoteRef/>
      </w:r>
      <w:r>
        <w:t xml:space="preserve">  </w:t>
      </w:r>
      <w:r>
        <w:tab/>
        <w:t>The Complainant did file a general motion to compel answers to interrogatories.  I presided over a telephone conference on October 5, 2012, where the parties reported that they had exchanged the discovery requested.  The Complainant did not seek further information or file further motions.</w:t>
      </w:r>
    </w:p>
    <w:p w:rsidR="00B0335A" w:rsidRDefault="00B0335A" w:rsidP="007B5CCD">
      <w:pPr>
        <w:pStyle w:val="FootnoteText"/>
      </w:pPr>
    </w:p>
  </w:footnote>
  <w:footnote w:id="52">
    <w:p w:rsidR="00305E45" w:rsidRDefault="00234C04" w:rsidP="00305E45">
      <w:pPr>
        <w:autoSpaceDE w:val="0"/>
        <w:autoSpaceDN w:val="0"/>
        <w:adjustRightInd w:val="0"/>
        <w:spacing w:after="0" w:line="240" w:lineRule="auto"/>
        <w:ind w:firstLine="720"/>
        <w:rPr>
          <w:rFonts w:cs="Times New Roman"/>
          <w:sz w:val="20"/>
          <w:szCs w:val="20"/>
        </w:rPr>
      </w:pPr>
      <w:r w:rsidRPr="00305E45">
        <w:rPr>
          <w:rStyle w:val="FootnoteReference"/>
          <w:sz w:val="20"/>
          <w:szCs w:val="20"/>
        </w:rPr>
        <w:footnoteRef/>
      </w:r>
      <w:r w:rsidRPr="00305E45">
        <w:rPr>
          <w:sz w:val="20"/>
          <w:szCs w:val="20"/>
        </w:rPr>
        <w:t xml:space="preserve"> </w:t>
      </w:r>
      <w:r w:rsidRPr="00305E45">
        <w:rPr>
          <w:sz w:val="20"/>
          <w:szCs w:val="20"/>
        </w:rPr>
        <w:tab/>
        <w:t xml:space="preserve">Although the Complainant very ably represented himself in this matter, he chose to proceed without benefit of counsel.  By representing himself, he assumes the risk that his lack of expertise will prove his undoing.  </w:t>
      </w:r>
      <w:r w:rsidRPr="00305E45">
        <w:rPr>
          <w:rFonts w:cs="Times New Roman"/>
          <w:i/>
          <w:iCs/>
          <w:sz w:val="20"/>
          <w:szCs w:val="20"/>
        </w:rPr>
        <w:t>Barber v.</w:t>
      </w:r>
      <w:r w:rsidR="00E54DF2">
        <w:rPr>
          <w:rFonts w:cs="Times New Roman"/>
          <w:i/>
          <w:iCs/>
          <w:sz w:val="20"/>
          <w:szCs w:val="20"/>
        </w:rPr>
        <w:t xml:space="preserve"> </w:t>
      </w:r>
      <w:r w:rsidRPr="00305E45">
        <w:rPr>
          <w:rFonts w:cs="Times New Roman"/>
          <w:i/>
          <w:iCs/>
          <w:sz w:val="20"/>
          <w:szCs w:val="20"/>
        </w:rPr>
        <w:t>Tax Review Board</w:t>
      </w:r>
      <w:r w:rsidRPr="00305E45">
        <w:rPr>
          <w:rFonts w:cs="Times New Roman"/>
          <w:sz w:val="20"/>
          <w:szCs w:val="20"/>
        </w:rPr>
        <w:t xml:space="preserve">, 850 A.2d 866, 868 (Pa. </w:t>
      </w:r>
      <w:proofErr w:type="spellStart"/>
      <w:r w:rsidRPr="00305E45">
        <w:rPr>
          <w:rFonts w:cs="Times New Roman"/>
          <w:sz w:val="20"/>
          <w:szCs w:val="20"/>
        </w:rPr>
        <w:t>Cmwlth</w:t>
      </w:r>
      <w:proofErr w:type="spellEnd"/>
      <w:r w:rsidRPr="00305E45">
        <w:rPr>
          <w:rFonts w:cs="Times New Roman"/>
          <w:sz w:val="20"/>
          <w:szCs w:val="20"/>
        </w:rPr>
        <w:t>. 2004).</w:t>
      </w:r>
    </w:p>
    <w:p w:rsidR="00AE0B7B" w:rsidRPr="00305E45" w:rsidRDefault="00AE0B7B" w:rsidP="00305E45">
      <w:pPr>
        <w:autoSpaceDE w:val="0"/>
        <w:autoSpaceDN w:val="0"/>
        <w:adjustRightInd w:val="0"/>
        <w:spacing w:after="0" w:line="240" w:lineRule="auto"/>
        <w:ind w:firstLine="720"/>
        <w:rPr>
          <w:i/>
          <w:sz w:val="20"/>
          <w:szCs w:val="20"/>
        </w:rPr>
      </w:pPr>
    </w:p>
  </w:footnote>
  <w:footnote w:id="53">
    <w:p w:rsidR="008B785F" w:rsidRDefault="008B785F" w:rsidP="007B5CCD">
      <w:pPr>
        <w:pStyle w:val="FootnoteText"/>
      </w:pPr>
      <w:r w:rsidRPr="00305E45">
        <w:rPr>
          <w:rStyle w:val="FootnoteReference"/>
        </w:rPr>
        <w:footnoteRef/>
      </w:r>
      <w:r w:rsidRPr="00305E45">
        <w:t xml:space="preserve">  </w:t>
      </w:r>
      <w:r w:rsidRPr="00305E45">
        <w:tab/>
        <w:t>See 2010 Interim Guidelines at Section I.</w:t>
      </w:r>
    </w:p>
    <w:p w:rsidR="00305E45" w:rsidRPr="00305E45" w:rsidRDefault="00305E45" w:rsidP="007B5CCD">
      <w:pPr>
        <w:pStyle w:val="FootnoteText"/>
      </w:pPr>
    </w:p>
  </w:footnote>
  <w:footnote w:id="54">
    <w:p w:rsidR="008B785F" w:rsidRDefault="008B785F" w:rsidP="007B5CCD">
      <w:pPr>
        <w:pStyle w:val="FootnoteText"/>
        <w:rPr>
          <w:snapToGrid w:val="0"/>
        </w:rPr>
      </w:pPr>
      <w:r w:rsidRPr="00305E45">
        <w:rPr>
          <w:rStyle w:val="FootnoteReference"/>
        </w:rPr>
        <w:footnoteRef/>
      </w:r>
      <w:r w:rsidRPr="00305E45">
        <w:t xml:space="preserve"> </w:t>
      </w:r>
      <w:r w:rsidRPr="00305E45">
        <w:tab/>
      </w:r>
      <w:proofErr w:type="gramStart"/>
      <w:r w:rsidRPr="00305E45">
        <w:rPr>
          <w:snapToGrid w:val="0"/>
        </w:rPr>
        <w:t>66 Pa. C.S. § 3301.</w:t>
      </w:r>
      <w:proofErr w:type="gramEnd"/>
    </w:p>
    <w:p w:rsidR="00305E45" w:rsidRPr="00305E45" w:rsidRDefault="00305E45" w:rsidP="007B5CCD">
      <w:pPr>
        <w:pStyle w:val="FootnoteText"/>
      </w:pPr>
    </w:p>
  </w:footnote>
  <w:footnote w:id="55">
    <w:p w:rsidR="008B785F" w:rsidRDefault="008B785F" w:rsidP="007B5CCD">
      <w:pPr>
        <w:pStyle w:val="FootnoteText"/>
        <w:rPr>
          <w:snapToGrid w:val="0"/>
        </w:rPr>
      </w:pPr>
      <w:r w:rsidRPr="00305E45">
        <w:rPr>
          <w:rStyle w:val="FootnoteReference"/>
        </w:rPr>
        <w:footnoteRef/>
      </w:r>
      <w:r w:rsidRPr="00305E45">
        <w:t xml:space="preserve">  </w:t>
      </w:r>
      <w:r w:rsidRPr="00305E45">
        <w:tab/>
      </w:r>
      <w:r w:rsidRPr="00305E45">
        <w:rPr>
          <w:i/>
          <w:snapToGrid w:val="0"/>
        </w:rPr>
        <w:t>See</w:t>
      </w:r>
      <w:r w:rsidRPr="00305E45">
        <w:rPr>
          <w:snapToGrid w:val="0"/>
        </w:rPr>
        <w:t xml:space="preserve"> 52 Pa. Code § 69.1201; </w:t>
      </w:r>
      <w:r w:rsidRPr="00305E45">
        <w:rPr>
          <w:i/>
          <w:snapToGrid w:val="0"/>
        </w:rPr>
        <w:t xml:space="preserve">see also, </w:t>
      </w:r>
      <w:proofErr w:type="spellStart"/>
      <w:r w:rsidRPr="00305E45">
        <w:rPr>
          <w:i/>
          <w:snapToGrid w:val="0"/>
        </w:rPr>
        <w:t>Rosi</w:t>
      </w:r>
      <w:proofErr w:type="spellEnd"/>
      <w:r w:rsidRPr="00305E45">
        <w:rPr>
          <w:i/>
          <w:snapToGrid w:val="0"/>
        </w:rPr>
        <w:t xml:space="preserve"> v. Bell Atlantic-Pa., Inc. and Sprint Communica</w:t>
      </w:r>
      <w:r w:rsidRPr="00305E45">
        <w:rPr>
          <w:i/>
          <w:snapToGrid w:val="0"/>
        </w:rPr>
        <w:softHyphen/>
        <w:t>tions Company</w:t>
      </w:r>
      <w:r w:rsidRPr="00305E45">
        <w:rPr>
          <w:snapToGrid w:val="0"/>
        </w:rPr>
        <w:t>, Docket No. C</w:t>
      </w:r>
      <w:r w:rsidRPr="00305E45">
        <w:rPr>
          <w:snapToGrid w:val="0"/>
        </w:rPr>
        <w:noBreakHyphen/>
        <w:t>00992409 (Order entered February 10, 2000) (</w:t>
      </w:r>
      <w:proofErr w:type="spellStart"/>
      <w:r w:rsidRPr="00305E45">
        <w:rPr>
          <w:i/>
          <w:snapToGrid w:val="0"/>
        </w:rPr>
        <w:t>Rosi</w:t>
      </w:r>
      <w:proofErr w:type="spellEnd"/>
      <w:r w:rsidRPr="00305E45">
        <w:rPr>
          <w:snapToGrid w:val="0"/>
        </w:rPr>
        <w:t>).</w:t>
      </w:r>
    </w:p>
    <w:p w:rsidR="002A505A" w:rsidRPr="00305E45" w:rsidRDefault="002A505A" w:rsidP="007B5CCD">
      <w:pPr>
        <w:pStyle w:val="FootnoteText"/>
      </w:pPr>
    </w:p>
  </w:footnote>
  <w:footnote w:id="56">
    <w:p w:rsidR="008B785F" w:rsidRPr="00334C7C" w:rsidRDefault="008B785F" w:rsidP="007B5CCD">
      <w:pPr>
        <w:pStyle w:val="FootnoteText"/>
      </w:pPr>
      <w:r w:rsidRPr="00334C7C">
        <w:rPr>
          <w:rStyle w:val="FootnoteReference"/>
        </w:rPr>
        <w:footnoteRef/>
      </w:r>
      <w:r w:rsidRPr="00334C7C">
        <w:t xml:space="preserve"> </w:t>
      </w:r>
      <w:r w:rsidRPr="00334C7C">
        <w:tab/>
        <w:t xml:space="preserve"> </w:t>
      </w:r>
      <w:proofErr w:type="gramStart"/>
      <w:r w:rsidRPr="00334C7C">
        <w:t>52 Pa. Code § 69.1201(a).</w:t>
      </w:r>
      <w:proofErr w:type="gramEnd"/>
      <w:r w:rsidRPr="00334C7C">
        <w:t xml:space="preserve">  </w:t>
      </w:r>
    </w:p>
  </w:footnote>
  <w:footnote w:id="57">
    <w:p w:rsidR="008B785F" w:rsidRPr="00334C7C" w:rsidRDefault="008B785F" w:rsidP="007B5CCD">
      <w:pPr>
        <w:pStyle w:val="FootnoteText"/>
      </w:pPr>
      <w:r w:rsidRPr="00334C7C">
        <w:rPr>
          <w:rStyle w:val="FootnoteReference"/>
        </w:rPr>
        <w:footnoteRef/>
      </w:r>
      <w:r w:rsidRPr="00334C7C">
        <w:t xml:space="preserve">  </w:t>
      </w:r>
      <w:r w:rsidRPr="00334C7C">
        <w:tab/>
      </w:r>
      <w:proofErr w:type="gramStart"/>
      <w:r w:rsidRPr="00334C7C">
        <w:t>52 Pa. Code § 69.1201(c).</w:t>
      </w:r>
      <w:proofErr w:type="gramEnd"/>
    </w:p>
  </w:footnote>
  <w:footnote w:id="58">
    <w:p w:rsidR="008B785F" w:rsidRDefault="008B785F" w:rsidP="007B5CCD">
      <w:pPr>
        <w:pStyle w:val="FootnoteText"/>
      </w:pPr>
      <w:r>
        <w:rPr>
          <w:rStyle w:val="FootnoteReference"/>
        </w:rPr>
        <w:footnoteRef/>
      </w:r>
      <w:r>
        <w:t xml:space="preserve">   </w:t>
      </w:r>
      <w:r>
        <w:tab/>
      </w:r>
      <w:r w:rsidRPr="00E54DF2">
        <w:rPr>
          <w:i/>
        </w:rPr>
        <w:t>Interim Guidelines Regarding Standards for Changing a Customer’s Electricity Generation Supplier</w:t>
      </w:r>
      <w:r>
        <w:t>,</w:t>
      </w:r>
      <w:r w:rsidR="007B5CCD">
        <w:t xml:space="preserve"> </w:t>
      </w:r>
      <w:r>
        <w:t xml:space="preserve">PUC Docket No. M-2011-2270442 (Final Order </w:t>
      </w:r>
      <w:r w:rsidR="00E54DF2">
        <w:t xml:space="preserve">dated </w:t>
      </w:r>
      <w:r>
        <w:t>October 24, 2012).</w:t>
      </w:r>
    </w:p>
    <w:p w:rsidR="007B5CCD" w:rsidRDefault="007B5CCD" w:rsidP="007B5CCD">
      <w:pPr>
        <w:pStyle w:val="FootnoteText"/>
      </w:pPr>
    </w:p>
  </w:footnote>
  <w:footnote w:id="59">
    <w:p w:rsidR="008B785F" w:rsidRDefault="008B785F" w:rsidP="007B5CCD">
      <w:pPr>
        <w:pStyle w:val="FootnoteText"/>
      </w:pPr>
      <w:r>
        <w:rPr>
          <w:rStyle w:val="FootnoteReference"/>
        </w:rPr>
        <w:footnoteRef/>
      </w:r>
      <w:r>
        <w:t xml:space="preserve">  </w:t>
      </w:r>
      <w:r>
        <w:tab/>
        <w:t>Section 69.1201(c</w:t>
      </w:r>
      <w:proofErr w:type="gramStart"/>
      <w:r>
        <w:t>)(</w:t>
      </w:r>
      <w:proofErr w:type="gramEnd"/>
      <w:r>
        <w:t>1) and (c)(2).</w:t>
      </w:r>
    </w:p>
    <w:p w:rsidR="007B5CCD" w:rsidRDefault="007B5CCD" w:rsidP="007B5CCD">
      <w:pPr>
        <w:pStyle w:val="FootnoteText"/>
      </w:pPr>
    </w:p>
  </w:footnote>
  <w:footnote w:id="60">
    <w:p w:rsidR="008B785F" w:rsidRDefault="008B785F" w:rsidP="007B5CCD">
      <w:pPr>
        <w:pStyle w:val="FootnoteText"/>
      </w:pPr>
      <w:r>
        <w:rPr>
          <w:rStyle w:val="FootnoteReference"/>
        </w:rPr>
        <w:footnoteRef/>
      </w:r>
      <w:r>
        <w:t xml:space="preserve">  </w:t>
      </w:r>
      <w:r>
        <w:tab/>
        <w:t>Section 69.1201(c</w:t>
      </w:r>
      <w:proofErr w:type="gramStart"/>
      <w:r>
        <w:t>)(</w:t>
      </w:r>
      <w:proofErr w:type="gramEnd"/>
      <w:r>
        <w:t>3).</w:t>
      </w:r>
    </w:p>
    <w:p w:rsidR="007B5CCD" w:rsidRDefault="007B5CCD" w:rsidP="007B5CCD">
      <w:pPr>
        <w:pStyle w:val="FootnoteText"/>
      </w:pPr>
    </w:p>
  </w:footnote>
  <w:footnote w:id="61">
    <w:p w:rsidR="008B785F" w:rsidRDefault="008B785F" w:rsidP="007B5CCD">
      <w:pPr>
        <w:pStyle w:val="FootnoteText"/>
      </w:pPr>
      <w:r>
        <w:rPr>
          <w:rStyle w:val="FootnoteReference"/>
        </w:rPr>
        <w:footnoteRef/>
      </w:r>
      <w:r>
        <w:t xml:space="preserve">  </w:t>
      </w:r>
      <w:r>
        <w:tab/>
        <w:t>Section 69.1201(c</w:t>
      </w:r>
      <w:proofErr w:type="gramStart"/>
      <w:r>
        <w:t>)(</w:t>
      </w:r>
      <w:proofErr w:type="gramEnd"/>
      <w:r>
        <w:t>4).</w:t>
      </w:r>
    </w:p>
  </w:footnote>
  <w:footnote w:id="62">
    <w:p w:rsidR="008B785F" w:rsidRDefault="008B785F" w:rsidP="007B5CCD">
      <w:pPr>
        <w:pStyle w:val="FootnoteText"/>
      </w:pPr>
      <w:r w:rsidRPr="007B5CCD">
        <w:rPr>
          <w:rStyle w:val="FootnoteReference"/>
        </w:rPr>
        <w:footnoteRef/>
      </w:r>
      <w:r w:rsidRPr="007B5CCD">
        <w:t xml:space="preserve">  </w:t>
      </w:r>
      <w:r w:rsidRPr="007B5CCD">
        <w:tab/>
        <w:t>Section 69.1201(c</w:t>
      </w:r>
      <w:proofErr w:type="gramStart"/>
      <w:r w:rsidRPr="007B5CCD">
        <w:t>)(</w:t>
      </w:r>
      <w:proofErr w:type="gramEnd"/>
      <w:r w:rsidRPr="007B5CCD">
        <w:t>5).</w:t>
      </w:r>
    </w:p>
    <w:p w:rsidR="004B0466" w:rsidRPr="007B5CCD" w:rsidRDefault="004B0466" w:rsidP="007B5CCD">
      <w:pPr>
        <w:pStyle w:val="FootnoteText"/>
      </w:pPr>
    </w:p>
  </w:footnote>
  <w:footnote w:id="63">
    <w:p w:rsidR="008B785F" w:rsidRDefault="008B785F" w:rsidP="007B5CCD">
      <w:pPr>
        <w:pStyle w:val="FootnoteText"/>
      </w:pPr>
      <w:r w:rsidRPr="007B5CCD">
        <w:rPr>
          <w:rStyle w:val="FootnoteReference"/>
        </w:rPr>
        <w:footnoteRef/>
      </w:r>
      <w:r w:rsidRPr="007B5CCD">
        <w:t xml:space="preserve">  </w:t>
      </w:r>
      <w:r w:rsidRPr="007B5CCD">
        <w:tab/>
        <w:t>Section 69.1201(c</w:t>
      </w:r>
      <w:proofErr w:type="gramStart"/>
      <w:r w:rsidRPr="007B5CCD">
        <w:t>)(</w:t>
      </w:r>
      <w:proofErr w:type="gramEnd"/>
      <w:r w:rsidRPr="007B5CCD">
        <w:t>8).</w:t>
      </w:r>
    </w:p>
    <w:p w:rsidR="007B5CCD" w:rsidRPr="007B5CCD" w:rsidRDefault="007B5CCD" w:rsidP="007B5CCD">
      <w:pPr>
        <w:pStyle w:val="FootnoteText"/>
      </w:pPr>
    </w:p>
  </w:footnote>
  <w:footnote w:id="64">
    <w:p w:rsidR="008B785F" w:rsidRDefault="008B785F" w:rsidP="007B5CCD">
      <w:pPr>
        <w:pStyle w:val="FootnoteText"/>
      </w:pPr>
      <w:r w:rsidRPr="007B5CCD">
        <w:rPr>
          <w:rStyle w:val="FootnoteReference"/>
        </w:rPr>
        <w:footnoteRef/>
      </w:r>
      <w:r w:rsidRPr="007B5CCD">
        <w:t xml:space="preserve">  </w:t>
      </w:r>
      <w:r w:rsidRPr="007B5CCD">
        <w:tab/>
        <w:t>Section 69.1201(c</w:t>
      </w:r>
      <w:proofErr w:type="gramStart"/>
      <w:r w:rsidRPr="007B5CCD">
        <w:t>)(</w:t>
      </w:r>
      <w:proofErr w:type="gramEnd"/>
      <w:r w:rsidRPr="007B5CCD">
        <w:t>10).</w:t>
      </w:r>
    </w:p>
    <w:p w:rsidR="007B5CCD" w:rsidRPr="007B5CCD" w:rsidRDefault="007B5CCD" w:rsidP="007B5CCD">
      <w:pPr>
        <w:pStyle w:val="FootnoteText"/>
      </w:pPr>
    </w:p>
  </w:footnote>
  <w:footnote w:id="65">
    <w:p w:rsidR="008B785F" w:rsidRPr="007B5CCD" w:rsidRDefault="008B785F" w:rsidP="007B5CCD">
      <w:pPr>
        <w:pStyle w:val="FootnoteText"/>
      </w:pPr>
      <w:r w:rsidRPr="007B5CCD">
        <w:rPr>
          <w:rStyle w:val="FootnoteReference"/>
        </w:rPr>
        <w:footnoteRef/>
      </w:r>
      <w:r w:rsidRPr="007B5CCD">
        <w:t xml:space="preserve">  </w:t>
      </w:r>
      <w:r w:rsidRPr="007B5CCD">
        <w:tab/>
      </w:r>
      <w:proofErr w:type="gramStart"/>
      <w:r w:rsidRPr="007B5CCD">
        <w:t>N.T. 133, 137.</w:t>
      </w:r>
      <w:proofErr w:type="gramEnd"/>
    </w:p>
    <w:p w:rsidR="007B5CCD" w:rsidRPr="007B5CCD" w:rsidRDefault="007B5CCD" w:rsidP="007B5CCD">
      <w:pPr>
        <w:pStyle w:val="FootnoteText"/>
      </w:pPr>
    </w:p>
  </w:footnote>
  <w:footnote w:id="66">
    <w:p w:rsidR="00A1780F" w:rsidRDefault="00A1780F" w:rsidP="007B5CCD">
      <w:pPr>
        <w:pStyle w:val="FootnoteText"/>
      </w:pPr>
      <w:r w:rsidRPr="007B5CCD">
        <w:rPr>
          <w:rStyle w:val="FootnoteReference"/>
        </w:rPr>
        <w:footnoteRef/>
      </w:r>
      <w:r w:rsidRPr="007B5CCD">
        <w:t xml:space="preserve"> </w:t>
      </w:r>
      <w:r w:rsidRPr="007B5CCD">
        <w:tab/>
        <w:t>Section 69.1201(c</w:t>
      </w:r>
      <w:proofErr w:type="gramStart"/>
      <w:r w:rsidRPr="007B5CCD">
        <w:t>)(</w:t>
      </w:r>
      <w:proofErr w:type="gramEnd"/>
      <w:r w:rsidRPr="007B5CCD">
        <w:t>6).</w:t>
      </w:r>
    </w:p>
    <w:p w:rsidR="007B5CCD" w:rsidRPr="007B5CCD" w:rsidRDefault="007B5CCD" w:rsidP="007B5CCD">
      <w:pPr>
        <w:pStyle w:val="FootnoteText"/>
      </w:pPr>
    </w:p>
  </w:footnote>
  <w:footnote w:id="67">
    <w:p w:rsidR="00A1780F" w:rsidRDefault="00A1780F" w:rsidP="007B5CCD">
      <w:pPr>
        <w:pStyle w:val="FootnoteText"/>
      </w:pPr>
      <w:r w:rsidRPr="007B5CCD">
        <w:rPr>
          <w:rStyle w:val="FootnoteReference"/>
        </w:rPr>
        <w:footnoteRef/>
      </w:r>
      <w:r w:rsidRPr="007B5CCD">
        <w:t xml:space="preserve">  </w:t>
      </w:r>
      <w:r w:rsidRPr="007B5CCD">
        <w:tab/>
        <w:t>Section 69.1201(c</w:t>
      </w:r>
      <w:proofErr w:type="gramStart"/>
      <w:r w:rsidRPr="007B5CCD">
        <w:t>)(</w:t>
      </w:r>
      <w:proofErr w:type="gramEnd"/>
      <w:r w:rsidRPr="007B5CCD">
        <w:t>9).</w:t>
      </w:r>
    </w:p>
    <w:p w:rsidR="007B5CCD" w:rsidRPr="007B5CCD" w:rsidRDefault="007B5CCD" w:rsidP="007B5CCD">
      <w:pPr>
        <w:pStyle w:val="FootnoteText"/>
      </w:pPr>
    </w:p>
  </w:footnote>
  <w:footnote w:id="68">
    <w:p w:rsidR="00A1780F" w:rsidRDefault="00A1780F" w:rsidP="007B5CCD">
      <w:pPr>
        <w:pStyle w:val="FootnoteText"/>
      </w:pPr>
      <w:r w:rsidRPr="007B5CCD">
        <w:rPr>
          <w:rStyle w:val="FootnoteReference"/>
        </w:rPr>
        <w:footnoteRef/>
      </w:r>
      <w:r w:rsidRPr="007B5CCD">
        <w:t xml:space="preserve">  </w:t>
      </w:r>
      <w:r w:rsidRPr="007B5CCD">
        <w:tab/>
        <w:t>Section 69.1201(c</w:t>
      </w:r>
      <w:proofErr w:type="gramStart"/>
      <w:r w:rsidRPr="007B5CCD">
        <w:t>)(</w:t>
      </w:r>
      <w:proofErr w:type="gramEnd"/>
      <w:r w:rsidRPr="007B5CCD">
        <w:t>7).</w:t>
      </w:r>
    </w:p>
    <w:p w:rsidR="007B5CCD" w:rsidRPr="007B5CCD" w:rsidRDefault="007B5CCD" w:rsidP="007B5CCD">
      <w:pPr>
        <w:pStyle w:val="FootnoteText"/>
      </w:pPr>
    </w:p>
  </w:footnote>
  <w:footnote w:id="69">
    <w:p w:rsidR="008B785F" w:rsidRPr="007B5CCD" w:rsidRDefault="008B785F" w:rsidP="007B5CCD">
      <w:pPr>
        <w:pStyle w:val="FootnoteText"/>
      </w:pPr>
      <w:r w:rsidRPr="007B5CCD">
        <w:rPr>
          <w:rStyle w:val="FootnoteReference"/>
        </w:rPr>
        <w:footnoteRef/>
      </w:r>
      <w:r w:rsidRPr="007B5CCD">
        <w:t xml:space="preserve"> </w:t>
      </w:r>
      <w:r w:rsidRPr="007B5CCD">
        <w:tab/>
      </w:r>
      <w:proofErr w:type="gramStart"/>
      <w:r w:rsidRPr="007B5CCD">
        <w:t>52 Pa. Code § 54.42.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2A727E"/>
    <w:lvl w:ilvl="0">
      <w:start w:val="1"/>
      <w:numFmt w:val="decimal"/>
      <w:lvlText w:val="%1."/>
      <w:lvlJc w:val="left"/>
      <w:pPr>
        <w:tabs>
          <w:tab w:val="num" w:pos="1800"/>
        </w:tabs>
        <w:ind w:left="1800" w:hanging="360"/>
      </w:pPr>
    </w:lvl>
  </w:abstractNum>
  <w:abstractNum w:abstractNumId="1">
    <w:nsid w:val="FFFFFF7D"/>
    <w:multiLevelType w:val="singleLevel"/>
    <w:tmpl w:val="E1BA5D40"/>
    <w:lvl w:ilvl="0">
      <w:start w:val="1"/>
      <w:numFmt w:val="decimal"/>
      <w:lvlText w:val="%1."/>
      <w:lvlJc w:val="left"/>
      <w:pPr>
        <w:tabs>
          <w:tab w:val="num" w:pos="1440"/>
        </w:tabs>
        <w:ind w:left="1440" w:hanging="360"/>
      </w:pPr>
    </w:lvl>
  </w:abstractNum>
  <w:abstractNum w:abstractNumId="2">
    <w:nsid w:val="FFFFFF7E"/>
    <w:multiLevelType w:val="singleLevel"/>
    <w:tmpl w:val="9C0A9682"/>
    <w:lvl w:ilvl="0">
      <w:start w:val="1"/>
      <w:numFmt w:val="decimal"/>
      <w:lvlText w:val="%1."/>
      <w:lvlJc w:val="left"/>
      <w:pPr>
        <w:tabs>
          <w:tab w:val="num" w:pos="1080"/>
        </w:tabs>
        <w:ind w:left="1080" w:hanging="360"/>
      </w:pPr>
    </w:lvl>
  </w:abstractNum>
  <w:abstractNum w:abstractNumId="3">
    <w:nsid w:val="FFFFFF7F"/>
    <w:multiLevelType w:val="singleLevel"/>
    <w:tmpl w:val="B3925AF8"/>
    <w:lvl w:ilvl="0">
      <w:start w:val="1"/>
      <w:numFmt w:val="decimal"/>
      <w:lvlText w:val="%1."/>
      <w:lvlJc w:val="left"/>
      <w:pPr>
        <w:tabs>
          <w:tab w:val="num" w:pos="720"/>
        </w:tabs>
        <w:ind w:left="720" w:hanging="360"/>
      </w:pPr>
    </w:lvl>
  </w:abstractNum>
  <w:abstractNum w:abstractNumId="4">
    <w:nsid w:val="FFFFFF80"/>
    <w:multiLevelType w:val="singleLevel"/>
    <w:tmpl w:val="5A1654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D613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FBAC2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53E79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D6E95E"/>
    <w:lvl w:ilvl="0">
      <w:start w:val="1"/>
      <w:numFmt w:val="decimal"/>
      <w:lvlText w:val="%1."/>
      <w:lvlJc w:val="left"/>
      <w:pPr>
        <w:tabs>
          <w:tab w:val="num" w:pos="360"/>
        </w:tabs>
        <w:ind w:left="360" w:hanging="360"/>
      </w:pPr>
    </w:lvl>
  </w:abstractNum>
  <w:abstractNum w:abstractNumId="9">
    <w:nsid w:val="FFFFFF89"/>
    <w:multiLevelType w:val="singleLevel"/>
    <w:tmpl w:val="C8E0C930"/>
    <w:lvl w:ilvl="0">
      <w:start w:val="1"/>
      <w:numFmt w:val="bullet"/>
      <w:lvlText w:val=""/>
      <w:lvlJc w:val="left"/>
      <w:pPr>
        <w:tabs>
          <w:tab w:val="num" w:pos="360"/>
        </w:tabs>
        <w:ind w:left="360" w:hanging="360"/>
      </w:pPr>
      <w:rPr>
        <w:rFonts w:ascii="Symbol" w:hAnsi="Symbol" w:hint="default"/>
      </w:rPr>
    </w:lvl>
  </w:abstractNum>
  <w:abstractNum w:abstractNumId="10">
    <w:nsid w:val="031B437C"/>
    <w:multiLevelType w:val="hybridMultilevel"/>
    <w:tmpl w:val="63BA5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225AFE"/>
    <w:multiLevelType w:val="hybridMultilevel"/>
    <w:tmpl w:val="4DEA747A"/>
    <w:lvl w:ilvl="0" w:tplc="3BB8801C">
      <w:start w:val="1"/>
      <w:numFmt w:val="lowerRoman"/>
      <w:lvlText w:val="(%1)"/>
      <w:lvlJc w:val="left"/>
      <w:pPr>
        <w:ind w:left="315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FEF1760"/>
    <w:multiLevelType w:val="hybridMultilevel"/>
    <w:tmpl w:val="D4D228E4"/>
    <w:lvl w:ilvl="0" w:tplc="2E48FE6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46A7541"/>
    <w:multiLevelType w:val="hybridMultilevel"/>
    <w:tmpl w:val="CCA0AC06"/>
    <w:lvl w:ilvl="0" w:tplc="6A18728C">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1C400B"/>
    <w:multiLevelType w:val="hybridMultilevel"/>
    <w:tmpl w:val="E8DE11C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FA77DF"/>
    <w:multiLevelType w:val="hybridMultilevel"/>
    <w:tmpl w:val="8FAE897C"/>
    <w:lvl w:ilvl="0" w:tplc="E1AAEB3A">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685EC4"/>
    <w:multiLevelType w:val="hybridMultilevel"/>
    <w:tmpl w:val="56FA336A"/>
    <w:lvl w:ilvl="0" w:tplc="E8F817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6"/>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7"/>
  </w:num>
  <w:num w:numId="16">
    <w:abstractNumId w:val="15"/>
    <w:lvlOverride w:ilvl="0">
      <w:startOverride w:val="1"/>
    </w:lvlOverride>
  </w:num>
  <w:num w:numId="17">
    <w:abstractNumId w:val="12"/>
  </w:num>
  <w:num w:numId="18">
    <w:abstractNumId w:val="14"/>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A29"/>
    <w:rsid w:val="00004C37"/>
    <w:rsid w:val="000075C1"/>
    <w:rsid w:val="00013232"/>
    <w:rsid w:val="00014D73"/>
    <w:rsid w:val="00023875"/>
    <w:rsid w:val="00024C74"/>
    <w:rsid w:val="00046B13"/>
    <w:rsid w:val="00047619"/>
    <w:rsid w:val="00060249"/>
    <w:rsid w:val="000606D1"/>
    <w:rsid w:val="00070475"/>
    <w:rsid w:val="00073D15"/>
    <w:rsid w:val="0008419E"/>
    <w:rsid w:val="00091383"/>
    <w:rsid w:val="00095FB6"/>
    <w:rsid w:val="000A60EE"/>
    <w:rsid w:val="000B539E"/>
    <w:rsid w:val="000C7611"/>
    <w:rsid w:val="000D247B"/>
    <w:rsid w:val="000D6D45"/>
    <w:rsid w:val="000E666C"/>
    <w:rsid w:val="000E77AC"/>
    <w:rsid w:val="000F7E5E"/>
    <w:rsid w:val="00110A23"/>
    <w:rsid w:val="001169DA"/>
    <w:rsid w:val="001179B5"/>
    <w:rsid w:val="00131616"/>
    <w:rsid w:val="00160578"/>
    <w:rsid w:val="00171DE4"/>
    <w:rsid w:val="00171EE7"/>
    <w:rsid w:val="0017558E"/>
    <w:rsid w:val="0018515B"/>
    <w:rsid w:val="0018548F"/>
    <w:rsid w:val="00196486"/>
    <w:rsid w:val="001B38C1"/>
    <w:rsid w:val="001B48A9"/>
    <w:rsid w:val="001B4F07"/>
    <w:rsid w:val="001C2110"/>
    <w:rsid w:val="001E30C9"/>
    <w:rsid w:val="001E4200"/>
    <w:rsid w:val="001E76ED"/>
    <w:rsid w:val="002069DF"/>
    <w:rsid w:val="00214CC5"/>
    <w:rsid w:val="00223553"/>
    <w:rsid w:val="00234C04"/>
    <w:rsid w:val="00235346"/>
    <w:rsid w:val="00237C46"/>
    <w:rsid w:val="00261DD6"/>
    <w:rsid w:val="00270B7F"/>
    <w:rsid w:val="00271B5F"/>
    <w:rsid w:val="0027462B"/>
    <w:rsid w:val="00282166"/>
    <w:rsid w:val="002864AC"/>
    <w:rsid w:val="00292F05"/>
    <w:rsid w:val="002A505A"/>
    <w:rsid w:val="002C342E"/>
    <w:rsid w:val="002C5023"/>
    <w:rsid w:val="002D73C5"/>
    <w:rsid w:val="002D7763"/>
    <w:rsid w:val="002F30B7"/>
    <w:rsid w:val="00305E45"/>
    <w:rsid w:val="00330595"/>
    <w:rsid w:val="00335E49"/>
    <w:rsid w:val="0035505B"/>
    <w:rsid w:val="00356518"/>
    <w:rsid w:val="00361488"/>
    <w:rsid w:val="00363EC9"/>
    <w:rsid w:val="00383A7E"/>
    <w:rsid w:val="00387C31"/>
    <w:rsid w:val="00393C92"/>
    <w:rsid w:val="00397F26"/>
    <w:rsid w:val="003A28E0"/>
    <w:rsid w:val="003C1911"/>
    <w:rsid w:val="003C5C77"/>
    <w:rsid w:val="003D0E1A"/>
    <w:rsid w:val="003D3E00"/>
    <w:rsid w:val="003F29E6"/>
    <w:rsid w:val="0041089C"/>
    <w:rsid w:val="004155A7"/>
    <w:rsid w:val="00426A09"/>
    <w:rsid w:val="004310A1"/>
    <w:rsid w:val="004369C1"/>
    <w:rsid w:val="004523A3"/>
    <w:rsid w:val="00455612"/>
    <w:rsid w:val="00457796"/>
    <w:rsid w:val="004650D2"/>
    <w:rsid w:val="0046714F"/>
    <w:rsid w:val="004830C3"/>
    <w:rsid w:val="00494FB1"/>
    <w:rsid w:val="004B0466"/>
    <w:rsid w:val="004B0E34"/>
    <w:rsid w:val="004B6AD4"/>
    <w:rsid w:val="004C643B"/>
    <w:rsid w:val="004D523C"/>
    <w:rsid w:val="004D5B37"/>
    <w:rsid w:val="004D656A"/>
    <w:rsid w:val="004D678F"/>
    <w:rsid w:val="004F1F55"/>
    <w:rsid w:val="004F3C08"/>
    <w:rsid w:val="004F60DF"/>
    <w:rsid w:val="00506A8C"/>
    <w:rsid w:val="005164EE"/>
    <w:rsid w:val="00525403"/>
    <w:rsid w:val="00531E13"/>
    <w:rsid w:val="00534673"/>
    <w:rsid w:val="00546AB3"/>
    <w:rsid w:val="00590CB7"/>
    <w:rsid w:val="005A12D3"/>
    <w:rsid w:val="005B4C20"/>
    <w:rsid w:val="005D154C"/>
    <w:rsid w:val="005D7425"/>
    <w:rsid w:val="005D7F76"/>
    <w:rsid w:val="005F0CD2"/>
    <w:rsid w:val="005F5904"/>
    <w:rsid w:val="006027AF"/>
    <w:rsid w:val="00602D07"/>
    <w:rsid w:val="00605E99"/>
    <w:rsid w:val="006265DF"/>
    <w:rsid w:val="00630DE5"/>
    <w:rsid w:val="006362AE"/>
    <w:rsid w:val="00640580"/>
    <w:rsid w:val="006672F9"/>
    <w:rsid w:val="0068614B"/>
    <w:rsid w:val="00686A42"/>
    <w:rsid w:val="00690A29"/>
    <w:rsid w:val="006A529C"/>
    <w:rsid w:val="006B25F6"/>
    <w:rsid w:val="006D1B27"/>
    <w:rsid w:val="006E3A74"/>
    <w:rsid w:val="006E550B"/>
    <w:rsid w:val="006F713C"/>
    <w:rsid w:val="007017A4"/>
    <w:rsid w:val="007239FF"/>
    <w:rsid w:val="00723C4C"/>
    <w:rsid w:val="00745AAB"/>
    <w:rsid w:val="00750B24"/>
    <w:rsid w:val="00754F98"/>
    <w:rsid w:val="00772079"/>
    <w:rsid w:val="00774909"/>
    <w:rsid w:val="00784893"/>
    <w:rsid w:val="00792796"/>
    <w:rsid w:val="00792C91"/>
    <w:rsid w:val="00796710"/>
    <w:rsid w:val="007B5CCD"/>
    <w:rsid w:val="007C39D5"/>
    <w:rsid w:val="007C4B2D"/>
    <w:rsid w:val="008206DE"/>
    <w:rsid w:val="00840EED"/>
    <w:rsid w:val="008529D2"/>
    <w:rsid w:val="00855AE8"/>
    <w:rsid w:val="00866760"/>
    <w:rsid w:val="00890535"/>
    <w:rsid w:val="0089111E"/>
    <w:rsid w:val="00893F27"/>
    <w:rsid w:val="0089777C"/>
    <w:rsid w:val="008A1338"/>
    <w:rsid w:val="008A134F"/>
    <w:rsid w:val="008B2068"/>
    <w:rsid w:val="008B785F"/>
    <w:rsid w:val="008C4C60"/>
    <w:rsid w:val="008D48A0"/>
    <w:rsid w:val="008F0A3D"/>
    <w:rsid w:val="009109B3"/>
    <w:rsid w:val="009117FB"/>
    <w:rsid w:val="00913DDD"/>
    <w:rsid w:val="009175FF"/>
    <w:rsid w:val="00926A97"/>
    <w:rsid w:val="009321A2"/>
    <w:rsid w:val="00934355"/>
    <w:rsid w:val="00936043"/>
    <w:rsid w:val="009457EF"/>
    <w:rsid w:val="0095516B"/>
    <w:rsid w:val="00993F36"/>
    <w:rsid w:val="009C6B08"/>
    <w:rsid w:val="009C7A26"/>
    <w:rsid w:val="009D6557"/>
    <w:rsid w:val="009F1E18"/>
    <w:rsid w:val="009F6B0F"/>
    <w:rsid w:val="00A0423E"/>
    <w:rsid w:val="00A13979"/>
    <w:rsid w:val="00A1780F"/>
    <w:rsid w:val="00A23AB3"/>
    <w:rsid w:val="00A45938"/>
    <w:rsid w:val="00A54941"/>
    <w:rsid w:val="00A5586D"/>
    <w:rsid w:val="00A61997"/>
    <w:rsid w:val="00A65273"/>
    <w:rsid w:val="00A67146"/>
    <w:rsid w:val="00A75101"/>
    <w:rsid w:val="00A851E0"/>
    <w:rsid w:val="00A90126"/>
    <w:rsid w:val="00A91161"/>
    <w:rsid w:val="00AA315A"/>
    <w:rsid w:val="00AA39AC"/>
    <w:rsid w:val="00AB4C73"/>
    <w:rsid w:val="00AE0B7B"/>
    <w:rsid w:val="00AE5F4F"/>
    <w:rsid w:val="00AE6749"/>
    <w:rsid w:val="00AF57AD"/>
    <w:rsid w:val="00B0335A"/>
    <w:rsid w:val="00B052AE"/>
    <w:rsid w:val="00B17CBD"/>
    <w:rsid w:val="00B2464E"/>
    <w:rsid w:val="00B310BD"/>
    <w:rsid w:val="00B312DA"/>
    <w:rsid w:val="00B31BE8"/>
    <w:rsid w:val="00B328B4"/>
    <w:rsid w:val="00B5018F"/>
    <w:rsid w:val="00B5165F"/>
    <w:rsid w:val="00B56E69"/>
    <w:rsid w:val="00B73668"/>
    <w:rsid w:val="00B9072F"/>
    <w:rsid w:val="00B97658"/>
    <w:rsid w:val="00BA01DA"/>
    <w:rsid w:val="00BA630D"/>
    <w:rsid w:val="00BB3A1D"/>
    <w:rsid w:val="00BC403D"/>
    <w:rsid w:val="00BD53A4"/>
    <w:rsid w:val="00C06887"/>
    <w:rsid w:val="00C1232D"/>
    <w:rsid w:val="00C507A2"/>
    <w:rsid w:val="00C52911"/>
    <w:rsid w:val="00C560F8"/>
    <w:rsid w:val="00C632FB"/>
    <w:rsid w:val="00C65FE6"/>
    <w:rsid w:val="00C66195"/>
    <w:rsid w:val="00C700DF"/>
    <w:rsid w:val="00C84667"/>
    <w:rsid w:val="00C918CB"/>
    <w:rsid w:val="00C91956"/>
    <w:rsid w:val="00C943B6"/>
    <w:rsid w:val="00C96D89"/>
    <w:rsid w:val="00CA183C"/>
    <w:rsid w:val="00CC0B1F"/>
    <w:rsid w:val="00CC1CEC"/>
    <w:rsid w:val="00CC2F0D"/>
    <w:rsid w:val="00CC495F"/>
    <w:rsid w:val="00CE60E0"/>
    <w:rsid w:val="00D00348"/>
    <w:rsid w:val="00D15251"/>
    <w:rsid w:val="00D154E0"/>
    <w:rsid w:val="00D15E24"/>
    <w:rsid w:val="00D16A0A"/>
    <w:rsid w:val="00D2148B"/>
    <w:rsid w:val="00D32C6A"/>
    <w:rsid w:val="00D35332"/>
    <w:rsid w:val="00D35830"/>
    <w:rsid w:val="00D42713"/>
    <w:rsid w:val="00D43E15"/>
    <w:rsid w:val="00D46E4F"/>
    <w:rsid w:val="00D64665"/>
    <w:rsid w:val="00D81E81"/>
    <w:rsid w:val="00D902EB"/>
    <w:rsid w:val="00D9183A"/>
    <w:rsid w:val="00DA015C"/>
    <w:rsid w:val="00DB5F4C"/>
    <w:rsid w:val="00DB70EA"/>
    <w:rsid w:val="00DD019A"/>
    <w:rsid w:val="00DD5C37"/>
    <w:rsid w:val="00DD6C92"/>
    <w:rsid w:val="00DE0D10"/>
    <w:rsid w:val="00DE77F2"/>
    <w:rsid w:val="00DF0A02"/>
    <w:rsid w:val="00DF24FC"/>
    <w:rsid w:val="00DF7B58"/>
    <w:rsid w:val="00E01E59"/>
    <w:rsid w:val="00E279EA"/>
    <w:rsid w:val="00E3227B"/>
    <w:rsid w:val="00E42A8D"/>
    <w:rsid w:val="00E4302C"/>
    <w:rsid w:val="00E43E6E"/>
    <w:rsid w:val="00E5345B"/>
    <w:rsid w:val="00E54DF2"/>
    <w:rsid w:val="00E67B30"/>
    <w:rsid w:val="00E7200E"/>
    <w:rsid w:val="00E73543"/>
    <w:rsid w:val="00E84B00"/>
    <w:rsid w:val="00E86703"/>
    <w:rsid w:val="00E93334"/>
    <w:rsid w:val="00EA102E"/>
    <w:rsid w:val="00EB04CD"/>
    <w:rsid w:val="00EE2CC0"/>
    <w:rsid w:val="00EF4C77"/>
    <w:rsid w:val="00F00842"/>
    <w:rsid w:val="00F0449C"/>
    <w:rsid w:val="00F0635E"/>
    <w:rsid w:val="00F35E9A"/>
    <w:rsid w:val="00F37742"/>
    <w:rsid w:val="00F3788E"/>
    <w:rsid w:val="00F44DDE"/>
    <w:rsid w:val="00F54550"/>
    <w:rsid w:val="00F62ED8"/>
    <w:rsid w:val="00F85825"/>
    <w:rsid w:val="00FA63F9"/>
    <w:rsid w:val="00FB1E31"/>
    <w:rsid w:val="00FD6D9D"/>
    <w:rsid w:val="00FD726D"/>
    <w:rsid w:val="00FE135F"/>
    <w:rsid w:val="00FF2666"/>
    <w:rsid w:val="00FF3E0D"/>
    <w:rsid w:val="00FF4551"/>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864AC"/>
    <w:pPr>
      <w:numPr>
        <w:numId w:val="3"/>
      </w:numPr>
      <w:spacing w:after="0"/>
      <w:ind w:firstLine="720"/>
    </w:pPr>
  </w:style>
  <w:style w:type="paragraph" w:styleId="Header">
    <w:name w:val="header"/>
    <w:basedOn w:val="Normal"/>
    <w:link w:val="HeaderChar"/>
    <w:uiPriority w:val="99"/>
    <w:unhideWhenUsed/>
    <w:rsid w:val="0094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EF"/>
    <w:rPr>
      <w:rFonts w:ascii="Times New Roman" w:hAnsi="Times New Roman"/>
      <w:sz w:val="24"/>
    </w:rPr>
  </w:style>
  <w:style w:type="paragraph" w:styleId="Footer">
    <w:name w:val="footer"/>
    <w:basedOn w:val="Normal"/>
    <w:link w:val="FooterChar"/>
    <w:uiPriority w:val="99"/>
    <w:unhideWhenUsed/>
    <w:rsid w:val="0094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EF"/>
    <w:rPr>
      <w:rFonts w:ascii="Times New Roman" w:hAnsi="Times New Roman"/>
      <w:sz w:val="24"/>
    </w:rPr>
  </w:style>
  <w:style w:type="character" w:styleId="FootnoteReference">
    <w:name w:val="footnote reference"/>
    <w:basedOn w:val="DefaultParagraphFont"/>
    <w:uiPriority w:val="99"/>
    <w:unhideWhenUsed/>
    <w:rsid w:val="00363EC9"/>
    <w:rPr>
      <w:rFonts w:ascii="Times New Roman" w:hAnsi="Times New Roman"/>
      <w:vertAlign w:val="superscript"/>
    </w:rPr>
  </w:style>
  <w:style w:type="paragraph" w:styleId="FootnoteText">
    <w:name w:val="footnote text"/>
    <w:aliases w:val="Car"/>
    <w:basedOn w:val="Normal"/>
    <w:link w:val="FootnoteTextChar"/>
    <w:autoRedefine/>
    <w:uiPriority w:val="99"/>
    <w:unhideWhenUsed/>
    <w:qFormat/>
    <w:rsid w:val="007B5CCD"/>
    <w:pPr>
      <w:spacing w:after="0" w:line="240" w:lineRule="auto"/>
      <w:ind w:firstLine="720"/>
    </w:pPr>
    <w:rPr>
      <w:rFonts w:eastAsia="Times New Roman" w:cs="Times New Roman"/>
      <w:sz w:val="20"/>
      <w:szCs w:val="20"/>
    </w:rPr>
  </w:style>
  <w:style w:type="character" w:customStyle="1" w:styleId="FootnoteTextChar">
    <w:name w:val="Footnote Text Char"/>
    <w:aliases w:val="Car Char"/>
    <w:basedOn w:val="DefaultParagraphFont"/>
    <w:link w:val="FootnoteText"/>
    <w:uiPriority w:val="99"/>
    <w:rsid w:val="007B5CCD"/>
    <w:rPr>
      <w:rFonts w:ascii="Times New Roman" w:eastAsia="Times New Roman" w:hAnsi="Times New Roman" w:cs="Times New Roman"/>
      <w:sz w:val="20"/>
      <w:szCs w:val="20"/>
    </w:rPr>
  </w:style>
  <w:style w:type="paragraph" w:styleId="NormalIndent">
    <w:name w:val="Normal Indent"/>
    <w:basedOn w:val="Normal"/>
    <w:autoRedefine/>
    <w:uiPriority w:val="99"/>
    <w:unhideWhenUsed/>
    <w:qFormat/>
    <w:rsid w:val="00F0449C"/>
    <w:pPr>
      <w:spacing w:after="0" w:line="240" w:lineRule="auto"/>
      <w:ind w:left="1440" w:right="1440"/>
    </w:pPr>
  </w:style>
  <w:style w:type="paragraph" w:styleId="BalloonText">
    <w:name w:val="Balloon Text"/>
    <w:basedOn w:val="Normal"/>
    <w:link w:val="BalloonTextChar"/>
    <w:uiPriority w:val="99"/>
    <w:semiHidden/>
    <w:unhideWhenUsed/>
    <w:rsid w:val="00C66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1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864AC"/>
    <w:pPr>
      <w:numPr>
        <w:numId w:val="3"/>
      </w:numPr>
      <w:spacing w:after="0"/>
      <w:ind w:firstLine="720"/>
    </w:pPr>
  </w:style>
  <w:style w:type="paragraph" w:styleId="Header">
    <w:name w:val="header"/>
    <w:basedOn w:val="Normal"/>
    <w:link w:val="HeaderChar"/>
    <w:uiPriority w:val="99"/>
    <w:unhideWhenUsed/>
    <w:rsid w:val="0094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EF"/>
    <w:rPr>
      <w:rFonts w:ascii="Times New Roman" w:hAnsi="Times New Roman"/>
      <w:sz w:val="24"/>
    </w:rPr>
  </w:style>
  <w:style w:type="paragraph" w:styleId="Footer">
    <w:name w:val="footer"/>
    <w:basedOn w:val="Normal"/>
    <w:link w:val="FooterChar"/>
    <w:uiPriority w:val="99"/>
    <w:unhideWhenUsed/>
    <w:rsid w:val="0094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EF"/>
    <w:rPr>
      <w:rFonts w:ascii="Times New Roman" w:hAnsi="Times New Roman"/>
      <w:sz w:val="24"/>
    </w:rPr>
  </w:style>
  <w:style w:type="character" w:styleId="FootnoteReference">
    <w:name w:val="footnote reference"/>
    <w:basedOn w:val="DefaultParagraphFont"/>
    <w:uiPriority w:val="99"/>
    <w:unhideWhenUsed/>
    <w:rsid w:val="00363EC9"/>
    <w:rPr>
      <w:rFonts w:ascii="Times New Roman" w:hAnsi="Times New Roman"/>
      <w:vertAlign w:val="superscript"/>
    </w:rPr>
  </w:style>
  <w:style w:type="paragraph" w:styleId="FootnoteText">
    <w:name w:val="footnote text"/>
    <w:aliases w:val="Car"/>
    <w:basedOn w:val="Normal"/>
    <w:link w:val="FootnoteTextChar"/>
    <w:autoRedefine/>
    <w:uiPriority w:val="99"/>
    <w:unhideWhenUsed/>
    <w:qFormat/>
    <w:rsid w:val="007B5CCD"/>
    <w:pPr>
      <w:spacing w:after="0" w:line="240" w:lineRule="auto"/>
      <w:ind w:firstLine="720"/>
    </w:pPr>
    <w:rPr>
      <w:rFonts w:eastAsia="Times New Roman" w:cs="Times New Roman"/>
      <w:sz w:val="20"/>
      <w:szCs w:val="20"/>
    </w:rPr>
  </w:style>
  <w:style w:type="character" w:customStyle="1" w:styleId="FootnoteTextChar">
    <w:name w:val="Footnote Text Char"/>
    <w:aliases w:val="Car Char"/>
    <w:basedOn w:val="DefaultParagraphFont"/>
    <w:link w:val="FootnoteText"/>
    <w:uiPriority w:val="99"/>
    <w:rsid w:val="007B5CCD"/>
    <w:rPr>
      <w:rFonts w:ascii="Times New Roman" w:eastAsia="Times New Roman" w:hAnsi="Times New Roman" w:cs="Times New Roman"/>
      <w:sz w:val="20"/>
      <w:szCs w:val="20"/>
    </w:rPr>
  </w:style>
  <w:style w:type="paragraph" w:styleId="NormalIndent">
    <w:name w:val="Normal Indent"/>
    <w:basedOn w:val="Normal"/>
    <w:autoRedefine/>
    <w:uiPriority w:val="99"/>
    <w:unhideWhenUsed/>
    <w:qFormat/>
    <w:rsid w:val="00F0449C"/>
    <w:pPr>
      <w:spacing w:after="0" w:line="240" w:lineRule="auto"/>
      <w:ind w:left="1440" w:right="1440"/>
    </w:pPr>
  </w:style>
  <w:style w:type="paragraph" w:styleId="BalloonText">
    <w:name w:val="Balloon Text"/>
    <w:basedOn w:val="Normal"/>
    <w:link w:val="BalloonTextChar"/>
    <w:uiPriority w:val="99"/>
    <w:semiHidden/>
    <w:unhideWhenUsed/>
    <w:rsid w:val="00C66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1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lexis.com/research/xlink?app=00075&amp;view=full&amp;searchtype=le&amp;search=963+A.2d+622%2520at%2520625" TargetMode="External"/><Relationship Id="rId1" Type="http://schemas.openxmlformats.org/officeDocument/2006/relationships/hyperlink" Target="http://www.lexis.com/research/xlink?app=00075&amp;view=full&amp;searchtype=le&amp;search=867+A.2d+674%2520at%2520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EBB76-AC43-4137-9B1E-25F67B36A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8798</Words>
  <Characters>50149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bfaccenda</cp:lastModifiedBy>
  <cp:revision>6</cp:revision>
  <cp:lastPrinted>2013-03-19T18:36:00Z</cp:lastPrinted>
  <dcterms:created xsi:type="dcterms:W3CDTF">2013-03-14T18:02:00Z</dcterms:created>
  <dcterms:modified xsi:type="dcterms:W3CDTF">2013-03-19T18:41:00Z</dcterms:modified>
</cp:coreProperties>
</file>