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3A1F2B" w:rsidRDefault="00303D99">
      <w:pPr>
        <w:jc w:val="center"/>
        <w:rPr>
          <w:b/>
          <w:bCs/>
          <w:sz w:val="24"/>
          <w:szCs w:val="24"/>
        </w:rPr>
      </w:pPr>
      <w:r w:rsidRPr="003A1F2B">
        <w:rPr>
          <w:b/>
          <w:bCs/>
          <w:sz w:val="24"/>
          <w:szCs w:val="24"/>
        </w:rPr>
        <w:t>BEFORE THE</w:t>
      </w:r>
    </w:p>
    <w:p w:rsidR="00303D99" w:rsidRPr="003A1F2B" w:rsidRDefault="00303D99">
      <w:pPr>
        <w:jc w:val="center"/>
        <w:rPr>
          <w:b/>
          <w:bCs/>
          <w:sz w:val="24"/>
          <w:szCs w:val="24"/>
        </w:rPr>
      </w:pPr>
      <w:r w:rsidRPr="003A1F2B">
        <w:rPr>
          <w:b/>
          <w:bCs/>
          <w:sz w:val="24"/>
          <w:szCs w:val="24"/>
        </w:rPr>
        <w:t>PENNSYLVANIA PUBLIC UTILITY</w:t>
      </w:r>
      <w:r w:rsidR="00042D7B" w:rsidRPr="003A1F2B">
        <w:rPr>
          <w:b/>
          <w:bCs/>
          <w:sz w:val="24"/>
          <w:szCs w:val="24"/>
        </w:rPr>
        <w:t xml:space="preserve"> COMMISSION</w:t>
      </w:r>
    </w:p>
    <w:p w:rsidR="00303D99" w:rsidRDefault="00303D99" w:rsidP="003A1F2B">
      <w:pPr>
        <w:ind w:firstLine="1440"/>
        <w:rPr>
          <w:sz w:val="24"/>
          <w:szCs w:val="24"/>
        </w:rPr>
      </w:pPr>
    </w:p>
    <w:p w:rsidR="003A1F2B" w:rsidRDefault="003A1F2B" w:rsidP="003A1F2B">
      <w:pPr>
        <w:ind w:firstLine="1440"/>
        <w:rPr>
          <w:sz w:val="24"/>
          <w:szCs w:val="24"/>
        </w:rPr>
      </w:pPr>
    </w:p>
    <w:p w:rsidR="003A1F2B" w:rsidRPr="003A1F2B" w:rsidRDefault="003A1F2B" w:rsidP="003A1F2B">
      <w:pPr>
        <w:ind w:firstLine="1440"/>
        <w:rPr>
          <w:sz w:val="24"/>
          <w:szCs w:val="24"/>
        </w:rPr>
      </w:pPr>
    </w:p>
    <w:p w:rsidR="00303D99" w:rsidRPr="003A1F2B" w:rsidRDefault="004D3972">
      <w:pPr>
        <w:jc w:val="both"/>
        <w:rPr>
          <w:sz w:val="24"/>
          <w:szCs w:val="24"/>
        </w:rPr>
      </w:pPr>
      <w:r w:rsidRPr="003A1F2B">
        <w:rPr>
          <w:sz w:val="24"/>
          <w:szCs w:val="24"/>
        </w:rPr>
        <w:t>Richard Dowling</w:t>
      </w:r>
      <w:r w:rsidRPr="003A1F2B">
        <w:rPr>
          <w:sz w:val="24"/>
          <w:szCs w:val="24"/>
        </w:rPr>
        <w:tab/>
      </w:r>
      <w:r w:rsidRPr="003A1F2B">
        <w:rPr>
          <w:sz w:val="24"/>
          <w:szCs w:val="24"/>
        </w:rPr>
        <w:tab/>
      </w:r>
      <w:r w:rsidRPr="003A1F2B">
        <w:rPr>
          <w:sz w:val="24"/>
          <w:szCs w:val="24"/>
        </w:rPr>
        <w:tab/>
      </w:r>
      <w:r w:rsidR="009F470A" w:rsidRPr="003A1F2B">
        <w:rPr>
          <w:sz w:val="24"/>
          <w:szCs w:val="24"/>
        </w:rPr>
        <w:tab/>
      </w:r>
      <w:proofErr w:type="gramStart"/>
      <w:r w:rsidR="00303D99" w:rsidRPr="003A1F2B">
        <w:rPr>
          <w:sz w:val="24"/>
          <w:szCs w:val="24"/>
        </w:rPr>
        <w:tab/>
        <w:t>:</w:t>
      </w:r>
      <w:r w:rsidR="00B446A3"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proofErr w:type="gramEnd"/>
      <w:r w:rsidR="009F470A" w:rsidRPr="003A1F2B">
        <w:rPr>
          <w:sz w:val="24"/>
          <w:szCs w:val="24"/>
        </w:rPr>
        <w:tab/>
      </w:r>
      <w:r w:rsidR="00303D99" w:rsidRPr="003A1F2B">
        <w:rPr>
          <w:sz w:val="24"/>
          <w:szCs w:val="24"/>
        </w:rPr>
        <w:t>:</w:t>
      </w:r>
    </w:p>
    <w:p w:rsidR="009F470A" w:rsidRPr="003A1F2B" w:rsidRDefault="00303D99" w:rsidP="009F470A">
      <w:pPr>
        <w:jc w:val="both"/>
        <w:rPr>
          <w:sz w:val="24"/>
          <w:szCs w:val="24"/>
        </w:rPr>
      </w:pPr>
      <w:r w:rsidRPr="003A1F2B">
        <w:rPr>
          <w:sz w:val="24"/>
          <w:szCs w:val="24"/>
        </w:rPr>
        <w:tab/>
      </w:r>
      <w:r w:rsidRPr="003A1F2B">
        <w:rPr>
          <w:sz w:val="24"/>
          <w:szCs w:val="24"/>
        </w:rPr>
        <w:tab/>
        <w:t>v.</w:t>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w:t>
      </w:r>
      <w:r w:rsidR="009F470A" w:rsidRPr="003A1F2B">
        <w:rPr>
          <w:sz w:val="24"/>
          <w:szCs w:val="24"/>
        </w:rPr>
        <w:t xml:space="preserve"> </w:t>
      </w:r>
      <w:r w:rsidR="009F470A" w:rsidRPr="003A1F2B">
        <w:rPr>
          <w:sz w:val="24"/>
          <w:szCs w:val="24"/>
        </w:rPr>
        <w:tab/>
      </w:r>
      <w:r w:rsidR="003A1F2B">
        <w:rPr>
          <w:sz w:val="24"/>
          <w:szCs w:val="24"/>
        </w:rPr>
        <w:tab/>
      </w:r>
      <w:r w:rsidR="009F470A" w:rsidRPr="003A1F2B">
        <w:rPr>
          <w:sz w:val="24"/>
          <w:szCs w:val="24"/>
        </w:rPr>
        <w:t>C-201</w:t>
      </w:r>
      <w:r w:rsidR="004D3972" w:rsidRPr="003A1F2B">
        <w:rPr>
          <w:sz w:val="24"/>
          <w:szCs w:val="24"/>
        </w:rPr>
        <w:t>3</w:t>
      </w:r>
      <w:r w:rsidR="009F470A" w:rsidRPr="003A1F2B">
        <w:rPr>
          <w:sz w:val="24"/>
          <w:szCs w:val="24"/>
        </w:rPr>
        <w:t>-2</w:t>
      </w:r>
      <w:r w:rsidR="004D3972" w:rsidRPr="003A1F2B">
        <w:rPr>
          <w:sz w:val="24"/>
          <w:szCs w:val="24"/>
        </w:rPr>
        <w:t>343057</w:t>
      </w:r>
    </w:p>
    <w:p w:rsidR="00303D99" w:rsidRPr="003A1F2B" w:rsidRDefault="009F470A">
      <w:pPr>
        <w:jc w:val="both"/>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303D99" w:rsidRPr="003A1F2B">
        <w:rPr>
          <w:sz w:val="24"/>
          <w:szCs w:val="24"/>
        </w:rPr>
        <w:t>:</w:t>
      </w:r>
    </w:p>
    <w:p w:rsidR="00303D99" w:rsidRPr="003A1F2B" w:rsidRDefault="004D3972">
      <w:pPr>
        <w:jc w:val="both"/>
        <w:rPr>
          <w:sz w:val="24"/>
          <w:szCs w:val="24"/>
        </w:rPr>
      </w:pPr>
      <w:r w:rsidRPr="003A1F2B">
        <w:rPr>
          <w:sz w:val="24"/>
          <w:szCs w:val="24"/>
        </w:rPr>
        <w:t>Metropolitan Edison Company</w:t>
      </w:r>
      <w:r w:rsidR="00042D7B" w:rsidRPr="003A1F2B">
        <w:rPr>
          <w:sz w:val="24"/>
          <w:szCs w:val="24"/>
        </w:rPr>
        <w:tab/>
      </w:r>
      <w:r w:rsidR="00042D7B" w:rsidRPr="003A1F2B">
        <w:rPr>
          <w:sz w:val="24"/>
          <w:szCs w:val="24"/>
        </w:rPr>
        <w:tab/>
      </w:r>
      <w:r w:rsidR="00303D99" w:rsidRPr="003A1F2B">
        <w:rPr>
          <w:sz w:val="24"/>
          <w:szCs w:val="24"/>
        </w:rPr>
        <w:tab/>
        <w:t>:</w:t>
      </w:r>
    </w:p>
    <w:p w:rsidR="00303D99" w:rsidRPr="003A1F2B" w:rsidRDefault="00303D99" w:rsidP="005B3991">
      <w:pPr>
        <w:ind w:firstLine="1440"/>
        <w:rPr>
          <w:sz w:val="24"/>
          <w:szCs w:val="24"/>
        </w:rPr>
      </w:pPr>
    </w:p>
    <w:p w:rsidR="00303D99" w:rsidRDefault="00303D99" w:rsidP="005B3991">
      <w:pPr>
        <w:ind w:firstLine="1440"/>
        <w:rPr>
          <w:sz w:val="24"/>
          <w:szCs w:val="24"/>
        </w:rPr>
      </w:pPr>
    </w:p>
    <w:p w:rsidR="005B3991" w:rsidRPr="003A1F2B" w:rsidRDefault="005B3991" w:rsidP="005B3991">
      <w:pPr>
        <w:ind w:firstLine="1440"/>
        <w:rPr>
          <w:sz w:val="24"/>
          <w:szCs w:val="24"/>
        </w:rPr>
      </w:pPr>
    </w:p>
    <w:p w:rsidR="002856F0" w:rsidRDefault="002856F0">
      <w:pPr>
        <w:jc w:val="center"/>
        <w:rPr>
          <w:b/>
          <w:bCs/>
          <w:sz w:val="24"/>
          <w:szCs w:val="24"/>
          <w:u w:val="single"/>
        </w:rPr>
      </w:pPr>
      <w:r>
        <w:rPr>
          <w:b/>
          <w:bCs/>
          <w:sz w:val="24"/>
          <w:szCs w:val="24"/>
          <w:u w:val="single"/>
        </w:rPr>
        <w:t>ORDER GRANTING IN PART AND DENYING IN PART</w:t>
      </w:r>
    </w:p>
    <w:p w:rsidR="00303D99" w:rsidRPr="003A1F2B" w:rsidRDefault="00187230">
      <w:pPr>
        <w:jc w:val="center"/>
        <w:rPr>
          <w:b/>
          <w:bCs/>
          <w:sz w:val="24"/>
          <w:szCs w:val="24"/>
          <w:u w:val="single"/>
        </w:rPr>
      </w:pPr>
      <w:r w:rsidRPr="003A1F2B">
        <w:rPr>
          <w:b/>
          <w:bCs/>
          <w:sz w:val="24"/>
          <w:szCs w:val="24"/>
          <w:u w:val="single"/>
        </w:rPr>
        <w:t>PRELIMINARY OBJECTIONS</w:t>
      </w:r>
    </w:p>
    <w:p w:rsidR="00187230" w:rsidRPr="003A1F2B" w:rsidRDefault="00187230">
      <w:pPr>
        <w:jc w:val="center"/>
        <w:rPr>
          <w:b/>
          <w:bCs/>
          <w:sz w:val="24"/>
          <w:szCs w:val="24"/>
          <w:u w:val="single"/>
        </w:rPr>
      </w:pPr>
    </w:p>
    <w:p w:rsidR="00B446A3" w:rsidRPr="003A1F2B" w:rsidRDefault="00B446A3">
      <w:pPr>
        <w:jc w:val="center"/>
        <w:rPr>
          <w:b/>
          <w:bCs/>
          <w:sz w:val="24"/>
          <w:szCs w:val="24"/>
          <w:u w:val="single"/>
        </w:rPr>
      </w:pPr>
    </w:p>
    <w:p w:rsidR="00303D99" w:rsidRPr="003A1F2B" w:rsidRDefault="00303D99">
      <w:pPr>
        <w:jc w:val="center"/>
        <w:rPr>
          <w:sz w:val="24"/>
          <w:szCs w:val="24"/>
        </w:rPr>
      </w:pPr>
      <w:r w:rsidRPr="003A1F2B">
        <w:rPr>
          <w:sz w:val="24"/>
          <w:szCs w:val="24"/>
        </w:rPr>
        <w:t>Before</w:t>
      </w:r>
    </w:p>
    <w:p w:rsidR="00303D99" w:rsidRPr="003A1F2B" w:rsidRDefault="00042D7B">
      <w:pPr>
        <w:jc w:val="center"/>
        <w:rPr>
          <w:sz w:val="24"/>
          <w:szCs w:val="24"/>
        </w:rPr>
      </w:pPr>
      <w:r w:rsidRPr="003A1F2B">
        <w:rPr>
          <w:sz w:val="24"/>
          <w:szCs w:val="24"/>
        </w:rPr>
        <w:t>Elizabeth Barnes</w:t>
      </w:r>
    </w:p>
    <w:p w:rsidR="00303D99" w:rsidRPr="003A1F2B" w:rsidRDefault="00303D99">
      <w:pPr>
        <w:jc w:val="center"/>
        <w:rPr>
          <w:sz w:val="24"/>
          <w:szCs w:val="24"/>
        </w:rPr>
      </w:pPr>
      <w:r w:rsidRPr="003A1F2B">
        <w:rPr>
          <w:sz w:val="24"/>
          <w:szCs w:val="24"/>
        </w:rPr>
        <w:t>Administrative Law Judge</w:t>
      </w:r>
    </w:p>
    <w:p w:rsidR="00303D99" w:rsidRDefault="00303D99" w:rsidP="005B3991">
      <w:pPr>
        <w:ind w:firstLine="1440"/>
        <w:rPr>
          <w:sz w:val="24"/>
          <w:szCs w:val="24"/>
        </w:rPr>
      </w:pPr>
    </w:p>
    <w:p w:rsidR="005B3991" w:rsidRPr="003A1F2B" w:rsidRDefault="005B3991" w:rsidP="005B3991">
      <w:pPr>
        <w:ind w:firstLine="1440"/>
        <w:rPr>
          <w:sz w:val="24"/>
          <w:szCs w:val="24"/>
        </w:rPr>
      </w:pPr>
    </w:p>
    <w:p w:rsidR="00303D99" w:rsidRPr="003A1F2B" w:rsidRDefault="00B446A3" w:rsidP="00DC38FC">
      <w:pPr>
        <w:jc w:val="center"/>
        <w:rPr>
          <w:sz w:val="24"/>
          <w:szCs w:val="24"/>
          <w:u w:val="single"/>
        </w:rPr>
      </w:pPr>
      <w:r w:rsidRPr="003A1F2B">
        <w:rPr>
          <w:sz w:val="24"/>
          <w:szCs w:val="24"/>
          <w:u w:val="single"/>
        </w:rPr>
        <w:t>HISTORY OF THE PROCEEDING</w:t>
      </w:r>
    </w:p>
    <w:p w:rsidR="00303D99" w:rsidRPr="003A1F2B" w:rsidRDefault="00303D99" w:rsidP="005B3991">
      <w:pPr>
        <w:ind w:firstLine="1440"/>
        <w:rPr>
          <w:sz w:val="24"/>
          <w:szCs w:val="24"/>
          <w:u w:val="single"/>
        </w:rPr>
      </w:pPr>
    </w:p>
    <w:p w:rsidR="00DC38FC" w:rsidRPr="003A1F2B" w:rsidRDefault="00DC38FC" w:rsidP="005B3991">
      <w:pPr>
        <w:ind w:firstLine="1440"/>
        <w:rPr>
          <w:sz w:val="24"/>
          <w:szCs w:val="24"/>
          <w:u w:val="single"/>
        </w:rPr>
      </w:pPr>
    </w:p>
    <w:p w:rsidR="00303D99" w:rsidRPr="003A1F2B" w:rsidRDefault="00303D99" w:rsidP="00DC38FC">
      <w:pPr>
        <w:spacing w:line="360" w:lineRule="auto"/>
        <w:ind w:firstLine="1440"/>
        <w:rPr>
          <w:sz w:val="24"/>
          <w:szCs w:val="24"/>
        </w:rPr>
      </w:pPr>
      <w:r w:rsidRPr="003A1F2B">
        <w:rPr>
          <w:sz w:val="24"/>
          <w:szCs w:val="24"/>
        </w:rPr>
        <w:t xml:space="preserve">On </w:t>
      </w:r>
      <w:r w:rsidR="004D3972" w:rsidRPr="003A1F2B">
        <w:rPr>
          <w:sz w:val="24"/>
          <w:szCs w:val="24"/>
        </w:rPr>
        <w:t>December 31</w:t>
      </w:r>
      <w:r w:rsidR="009F470A" w:rsidRPr="003A1F2B">
        <w:rPr>
          <w:sz w:val="24"/>
          <w:szCs w:val="24"/>
        </w:rPr>
        <w:t>, 201</w:t>
      </w:r>
      <w:r w:rsidR="004D3972" w:rsidRPr="003A1F2B">
        <w:rPr>
          <w:sz w:val="24"/>
          <w:szCs w:val="24"/>
        </w:rPr>
        <w:t>2</w:t>
      </w:r>
      <w:r w:rsidRPr="003A1F2B">
        <w:rPr>
          <w:sz w:val="24"/>
          <w:szCs w:val="24"/>
        </w:rPr>
        <w:t xml:space="preserve">, </w:t>
      </w:r>
      <w:r w:rsidR="004D3972" w:rsidRPr="003A1F2B">
        <w:rPr>
          <w:sz w:val="24"/>
          <w:szCs w:val="24"/>
        </w:rPr>
        <w:t>Richard Dowling</w:t>
      </w:r>
      <w:r w:rsidRPr="003A1F2B">
        <w:rPr>
          <w:sz w:val="24"/>
          <w:szCs w:val="24"/>
        </w:rPr>
        <w:t xml:space="preserve"> (</w:t>
      </w:r>
      <w:r w:rsidR="00042D7B" w:rsidRPr="003A1F2B">
        <w:rPr>
          <w:sz w:val="24"/>
          <w:szCs w:val="24"/>
        </w:rPr>
        <w:t>C</w:t>
      </w:r>
      <w:r w:rsidRPr="003A1F2B">
        <w:rPr>
          <w:sz w:val="24"/>
          <w:szCs w:val="24"/>
        </w:rPr>
        <w:t>omplainant),</w:t>
      </w:r>
      <w:r w:rsidR="00042D7B" w:rsidRPr="003A1F2B">
        <w:rPr>
          <w:sz w:val="24"/>
          <w:szCs w:val="24"/>
        </w:rPr>
        <w:t xml:space="preserve"> </w:t>
      </w:r>
      <w:r w:rsidR="00042D7B" w:rsidRPr="003A1F2B">
        <w:rPr>
          <w:i/>
          <w:sz w:val="24"/>
          <w:szCs w:val="24"/>
        </w:rPr>
        <w:t>pro se</w:t>
      </w:r>
      <w:r w:rsidRPr="003A1F2B">
        <w:rPr>
          <w:sz w:val="24"/>
          <w:szCs w:val="24"/>
        </w:rPr>
        <w:t xml:space="preserve"> filed a formal Complaint (Complaint) against</w:t>
      </w:r>
      <w:r w:rsidR="004D3972" w:rsidRPr="003A1F2B">
        <w:rPr>
          <w:sz w:val="24"/>
          <w:szCs w:val="24"/>
        </w:rPr>
        <w:t xml:space="preserve"> Metropolitan Edison Company (Met-Ed)</w:t>
      </w:r>
      <w:r w:rsidRPr="003A1F2B">
        <w:rPr>
          <w:sz w:val="24"/>
          <w:szCs w:val="24"/>
        </w:rPr>
        <w:t>, (</w:t>
      </w:r>
      <w:r w:rsidR="00042D7B" w:rsidRPr="003A1F2B">
        <w:rPr>
          <w:sz w:val="24"/>
          <w:szCs w:val="24"/>
        </w:rPr>
        <w:t>R</w:t>
      </w:r>
      <w:r w:rsidRPr="003A1F2B">
        <w:rPr>
          <w:sz w:val="24"/>
          <w:szCs w:val="24"/>
        </w:rPr>
        <w:t>espondent), with the Pennsylvania Public Utility Commission (Commission)</w:t>
      </w:r>
      <w:r w:rsidR="00042D7B" w:rsidRPr="003A1F2B">
        <w:rPr>
          <w:sz w:val="24"/>
          <w:szCs w:val="24"/>
        </w:rPr>
        <w:t xml:space="preserve"> at Docket No. </w:t>
      </w:r>
      <w:proofErr w:type="gramStart"/>
      <w:r w:rsidR="00042D7B" w:rsidRPr="003A1F2B">
        <w:rPr>
          <w:sz w:val="24"/>
          <w:szCs w:val="24"/>
        </w:rPr>
        <w:t>C-201</w:t>
      </w:r>
      <w:r w:rsidR="004D3972" w:rsidRPr="003A1F2B">
        <w:rPr>
          <w:sz w:val="24"/>
          <w:szCs w:val="24"/>
        </w:rPr>
        <w:t>3</w:t>
      </w:r>
      <w:r w:rsidR="00042D7B" w:rsidRPr="003A1F2B">
        <w:rPr>
          <w:sz w:val="24"/>
          <w:szCs w:val="24"/>
        </w:rPr>
        <w:t>-</w:t>
      </w:r>
      <w:r w:rsidR="004D3972" w:rsidRPr="003A1F2B">
        <w:rPr>
          <w:sz w:val="24"/>
          <w:szCs w:val="24"/>
        </w:rPr>
        <w:t>234</w:t>
      </w:r>
      <w:r w:rsidR="002856F0">
        <w:rPr>
          <w:sz w:val="24"/>
          <w:szCs w:val="24"/>
        </w:rPr>
        <w:t>3</w:t>
      </w:r>
      <w:r w:rsidR="004D3972" w:rsidRPr="003A1F2B">
        <w:rPr>
          <w:sz w:val="24"/>
          <w:szCs w:val="24"/>
        </w:rPr>
        <w:t>057</w:t>
      </w:r>
      <w:r w:rsidR="00DC38FC" w:rsidRPr="003A1F2B">
        <w:rPr>
          <w:sz w:val="24"/>
          <w:szCs w:val="24"/>
        </w:rPr>
        <w:t>.</w:t>
      </w:r>
      <w:proofErr w:type="gramEnd"/>
    </w:p>
    <w:p w:rsidR="00906B96" w:rsidRPr="003A1F2B" w:rsidRDefault="00906B96" w:rsidP="00DC38FC">
      <w:pPr>
        <w:spacing w:line="360" w:lineRule="auto"/>
        <w:ind w:firstLine="1440"/>
        <w:rPr>
          <w:sz w:val="24"/>
          <w:szCs w:val="24"/>
        </w:rPr>
      </w:pPr>
    </w:p>
    <w:p w:rsidR="00D37FC8" w:rsidRPr="003A1F2B" w:rsidRDefault="00303D99" w:rsidP="004D3972">
      <w:pPr>
        <w:spacing w:line="360" w:lineRule="auto"/>
        <w:ind w:firstLine="1440"/>
        <w:rPr>
          <w:sz w:val="24"/>
          <w:szCs w:val="24"/>
        </w:rPr>
      </w:pPr>
      <w:r w:rsidRPr="003A1F2B">
        <w:rPr>
          <w:sz w:val="24"/>
          <w:szCs w:val="24"/>
        </w:rPr>
        <w:t>Complain</w:t>
      </w:r>
      <w:r w:rsidR="00906B96" w:rsidRPr="003A1F2B">
        <w:rPr>
          <w:sz w:val="24"/>
          <w:szCs w:val="24"/>
        </w:rPr>
        <w:t>an</w:t>
      </w:r>
      <w:r w:rsidRPr="003A1F2B">
        <w:rPr>
          <w:sz w:val="24"/>
          <w:szCs w:val="24"/>
        </w:rPr>
        <w:t xml:space="preserve">t seeks </w:t>
      </w:r>
      <w:r w:rsidR="00906B96" w:rsidRPr="003A1F2B">
        <w:rPr>
          <w:sz w:val="24"/>
          <w:szCs w:val="24"/>
        </w:rPr>
        <w:t xml:space="preserve">monetary damages </w:t>
      </w:r>
      <w:r w:rsidR="00070759" w:rsidRPr="003A1F2B">
        <w:rPr>
          <w:sz w:val="24"/>
          <w:szCs w:val="24"/>
        </w:rPr>
        <w:t xml:space="preserve">resulting </w:t>
      </w:r>
      <w:r w:rsidR="009308EE" w:rsidRPr="003A1F2B">
        <w:rPr>
          <w:sz w:val="24"/>
          <w:szCs w:val="24"/>
        </w:rPr>
        <w:t xml:space="preserve">from </w:t>
      </w:r>
      <w:r w:rsidR="005B3991">
        <w:rPr>
          <w:sz w:val="24"/>
          <w:szCs w:val="24"/>
        </w:rPr>
        <w:t>a power surge on September 25, </w:t>
      </w:r>
      <w:r w:rsidR="004D3972" w:rsidRPr="003A1F2B">
        <w:rPr>
          <w:sz w:val="24"/>
          <w:szCs w:val="24"/>
        </w:rPr>
        <w:t xml:space="preserve">2012, which allegedly destroyed his computer causing him to purchase a new computer.  Complainant requests Respondent </w:t>
      </w:r>
      <w:r w:rsidR="002856F0">
        <w:rPr>
          <w:sz w:val="24"/>
          <w:szCs w:val="24"/>
        </w:rPr>
        <w:t>reimburse him the cost of</w:t>
      </w:r>
      <w:r w:rsidR="004D3972" w:rsidRPr="003A1F2B">
        <w:rPr>
          <w:sz w:val="24"/>
          <w:szCs w:val="24"/>
        </w:rPr>
        <w:t xml:space="preserve"> his new computer.</w:t>
      </w:r>
    </w:p>
    <w:p w:rsidR="00D37FC8" w:rsidRPr="003A1F2B" w:rsidRDefault="00D37FC8">
      <w:pPr>
        <w:spacing w:line="360" w:lineRule="auto"/>
        <w:ind w:firstLine="1440"/>
        <w:rPr>
          <w:sz w:val="24"/>
          <w:szCs w:val="24"/>
        </w:rPr>
      </w:pPr>
    </w:p>
    <w:p w:rsidR="00EB3B49" w:rsidRPr="003A1F2B" w:rsidRDefault="00303D99" w:rsidP="00EB3B49">
      <w:pPr>
        <w:spacing w:line="360" w:lineRule="auto"/>
        <w:ind w:firstLine="1440"/>
        <w:rPr>
          <w:sz w:val="24"/>
          <w:szCs w:val="24"/>
        </w:rPr>
      </w:pPr>
      <w:r w:rsidRPr="003A1F2B">
        <w:rPr>
          <w:sz w:val="24"/>
          <w:szCs w:val="24"/>
        </w:rPr>
        <w:t xml:space="preserve">On </w:t>
      </w:r>
      <w:r w:rsidR="004D3972" w:rsidRPr="003A1F2B">
        <w:rPr>
          <w:sz w:val="24"/>
          <w:szCs w:val="24"/>
        </w:rPr>
        <w:t>February 4, 2013</w:t>
      </w:r>
      <w:r w:rsidR="00D37FC8" w:rsidRPr="003A1F2B">
        <w:rPr>
          <w:sz w:val="24"/>
          <w:szCs w:val="24"/>
        </w:rPr>
        <w:t>, Respondent</w:t>
      </w:r>
      <w:r w:rsidRPr="003A1F2B">
        <w:rPr>
          <w:sz w:val="24"/>
          <w:szCs w:val="24"/>
        </w:rPr>
        <w:t xml:space="preserve"> </w:t>
      </w:r>
      <w:r w:rsidR="00C401B1" w:rsidRPr="003A1F2B">
        <w:rPr>
          <w:sz w:val="24"/>
          <w:szCs w:val="24"/>
        </w:rPr>
        <w:t xml:space="preserve">timely </w:t>
      </w:r>
      <w:r w:rsidRPr="003A1F2B">
        <w:rPr>
          <w:sz w:val="24"/>
          <w:szCs w:val="24"/>
        </w:rPr>
        <w:t xml:space="preserve">filed and served an Answer and New Matter (Answer) and </w:t>
      </w:r>
      <w:r w:rsidR="0057507A" w:rsidRPr="003A1F2B">
        <w:rPr>
          <w:sz w:val="24"/>
          <w:szCs w:val="24"/>
        </w:rPr>
        <w:t>Preliminary Objection</w:t>
      </w:r>
      <w:r w:rsidR="00906F34" w:rsidRPr="003A1F2B">
        <w:rPr>
          <w:sz w:val="24"/>
          <w:szCs w:val="24"/>
        </w:rPr>
        <w:t>s</w:t>
      </w:r>
      <w:r w:rsidRPr="003A1F2B">
        <w:rPr>
          <w:sz w:val="24"/>
          <w:szCs w:val="24"/>
        </w:rPr>
        <w:t>.  The Answer admitted and denied various material facts in the Complaint.</w:t>
      </w:r>
      <w:r w:rsidR="0057507A" w:rsidRPr="003A1F2B">
        <w:rPr>
          <w:sz w:val="24"/>
          <w:szCs w:val="24"/>
        </w:rPr>
        <w:t xml:space="preserve">  </w:t>
      </w:r>
      <w:r w:rsidR="004D3972" w:rsidRPr="003A1F2B">
        <w:rPr>
          <w:sz w:val="24"/>
          <w:szCs w:val="24"/>
        </w:rPr>
        <w:t>Met-Ed denied knowing whether or not a power surge destroyed Complainant’s computer.  In its New Matter, Respondent avers that Complainant’s service location was impacted by a power outage on September 25, 2012, that was caused by the Pennsylvania Department of Transportation (</w:t>
      </w:r>
      <w:proofErr w:type="spellStart"/>
      <w:r w:rsidR="004D3972" w:rsidRPr="003A1F2B">
        <w:rPr>
          <w:sz w:val="24"/>
          <w:szCs w:val="24"/>
        </w:rPr>
        <w:t>PennDOT</w:t>
      </w:r>
      <w:proofErr w:type="spellEnd"/>
      <w:r w:rsidR="004D3972" w:rsidRPr="003A1F2B">
        <w:rPr>
          <w:sz w:val="24"/>
          <w:szCs w:val="24"/>
        </w:rPr>
        <w:t xml:space="preserve">) cutting down trees in the vicinity of the </w:t>
      </w:r>
      <w:r w:rsidR="004D3972" w:rsidRPr="003A1F2B">
        <w:rPr>
          <w:sz w:val="24"/>
          <w:szCs w:val="24"/>
        </w:rPr>
        <w:lastRenderedPageBreak/>
        <w:t>service location and accidentally dropp</w:t>
      </w:r>
      <w:r w:rsidR="009B78A4" w:rsidRPr="003A1F2B">
        <w:rPr>
          <w:sz w:val="24"/>
          <w:szCs w:val="24"/>
        </w:rPr>
        <w:t>ing</w:t>
      </w:r>
      <w:r w:rsidR="004D3972" w:rsidRPr="003A1F2B">
        <w:rPr>
          <w:sz w:val="24"/>
          <w:szCs w:val="24"/>
        </w:rPr>
        <w:t xml:space="preserve"> a tree across Met-Ed’s three phase electric lines, which burned down all phases and the neutral.  Met-Ed claims it efficiently and safely repaired the condition and restored electric service to all impacted customers, including Complainant</w:t>
      </w:r>
      <w:r w:rsidR="00EB3B49" w:rsidRPr="003A1F2B">
        <w:rPr>
          <w:sz w:val="24"/>
          <w:szCs w:val="24"/>
        </w:rPr>
        <w:t>.</w:t>
      </w:r>
    </w:p>
    <w:p w:rsidR="00C401B1" w:rsidRPr="003A1F2B" w:rsidRDefault="00C401B1" w:rsidP="00EB3B49">
      <w:pPr>
        <w:spacing w:line="360" w:lineRule="auto"/>
        <w:ind w:firstLine="1440"/>
        <w:rPr>
          <w:sz w:val="24"/>
          <w:szCs w:val="24"/>
        </w:rPr>
      </w:pPr>
    </w:p>
    <w:p w:rsidR="00C401B1" w:rsidRPr="003A1F2B" w:rsidRDefault="00C401B1" w:rsidP="00C401B1">
      <w:pPr>
        <w:spacing w:line="360" w:lineRule="auto"/>
        <w:ind w:firstLine="1440"/>
        <w:rPr>
          <w:sz w:val="24"/>
          <w:szCs w:val="24"/>
        </w:rPr>
      </w:pPr>
      <w:r w:rsidRPr="003A1F2B">
        <w:rPr>
          <w:sz w:val="24"/>
          <w:szCs w:val="24"/>
        </w:rPr>
        <w:t xml:space="preserve">In accordance with the Commission’s Rules of Administrative Practice and Procedure, </w:t>
      </w:r>
      <w:r w:rsidR="009E0982" w:rsidRPr="003A1F2B">
        <w:rPr>
          <w:sz w:val="24"/>
          <w:szCs w:val="24"/>
        </w:rPr>
        <w:t>C</w:t>
      </w:r>
      <w:r w:rsidRPr="003A1F2B">
        <w:rPr>
          <w:sz w:val="24"/>
          <w:szCs w:val="24"/>
        </w:rPr>
        <w:t xml:space="preserve">omplainant’s answer to </w:t>
      </w:r>
      <w:r w:rsidR="00EB3B49" w:rsidRPr="003A1F2B">
        <w:rPr>
          <w:sz w:val="24"/>
          <w:szCs w:val="24"/>
        </w:rPr>
        <w:t>Respondent</w:t>
      </w:r>
      <w:r w:rsidRPr="003A1F2B">
        <w:rPr>
          <w:sz w:val="24"/>
          <w:szCs w:val="24"/>
        </w:rPr>
        <w:t xml:space="preserve">’s Answer </w:t>
      </w:r>
      <w:r w:rsidR="00BA2EB6" w:rsidRPr="003A1F2B">
        <w:rPr>
          <w:sz w:val="24"/>
          <w:szCs w:val="24"/>
        </w:rPr>
        <w:t xml:space="preserve">is past due.  </w:t>
      </w:r>
      <w:r w:rsidR="00AB507F">
        <w:rPr>
          <w:sz w:val="24"/>
          <w:szCs w:val="24"/>
        </w:rPr>
        <w:t xml:space="preserve">52 </w:t>
      </w:r>
      <w:proofErr w:type="spellStart"/>
      <w:r w:rsidR="00AB507F">
        <w:rPr>
          <w:sz w:val="24"/>
          <w:szCs w:val="24"/>
        </w:rPr>
        <w:t>Pa.Code</w:t>
      </w:r>
      <w:proofErr w:type="spellEnd"/>
      <w:r w:rsidR="00AB507F">
        <w:rPr>
          <w:sz w:val="24"/>
          <w:szCs w:val="24"/>
        </w:rPr>
        <w:t xml:space="preserve"> §§1.12(a), </w:t>
      </w:r>
      <w:r w:rsidRPr="003A1F2B">
        <w:rPr>
          <w:sz w:val="24"/>
          <w:szCs w:val="24"/>
        </w:rPr>
        <w:t>1.56(a</w:t>
      </w:r>
      <w:proofErr w:type="gramStart"/>
      <w:r w:rsidRPr="003A1F2B">
        <w:rPr>
          <w:sz w:val="24"/>
          <w:szCs w:val="24"/>
        </w:rPr>
        <w:t>)(</w:t>
      </w:r>
      <w:proofErr w:type="gramEnd"/>
      <w:r w:rsidRPr="003A1F2B">
        <w:rPr>
          <w:sz w:val="24"/>
          <w:szCs w:val="24"/>
        </w:rPr>
        <w:t xml:space="preserve">1) and (b), 5.101(d).  To date, no Answer has been received by the Commission.  Therefore, the New Matter is deemed admitted.  </w:t>
      </w:r>
      <w:r w:rsidR="00EB3B49" w:rsidRPr="003A1F2B">
        <w:rPr>
          <w:sz w:val="24"/>
          <w:szCs w:val="24"/>
        </w:rPr>
        <w:t>Met Ed</w:t>
      </w:r>
      <w:r w:rsidRPr="003A1F2B">
        <w:rPr>
          <w:sz w:val="24"/>
          <w:szCs w:val="24"/>
        </w:rPr>
        <w:t>’s Preliminary Objections are ripe for a decision.</w:t>
      </w:r>
    </w:p>
    <w:p w:rsidR="00D94420" w:rsidRPr="003A1F2B" w:rsidRDefault="00D94420" w:rsidP="00D94420">
      <w:pPr>
        <w:spacing w:line="360" w:lineRule="auto"/>
        <w:jc w:val="center"/>
        <w:rPr>
          <w:sz w:val="24"/>
          <w:szCs w:val="24"/>
          <w:u w:val="single"/>
        </w:rPr>
      </w:pPr>
    </w:p>
    <w:p w:rsidR="00D94420" w:rsidRPr="003A1F2B" w:rsidRDefault="00F94253" w:rsidP="00D94420">
      <w:pPr>
        <w:spacing w:line="360" w:lineRule="auto"/>
        <w:jc w:val="center"/>
        <w:rPr>
          <w:sz w:val="24"/>
          <w:szCs w:val="24"/>
          <w:u w:val="single"/>
        </w:rPr>
      </w:pPr>
      <w:r w:rsidRPr="003A1F2B">
        <w:rPr>
          <w:sz w:val="24"/>
          <w:szCs w:val="24"/>
          <w:u w:val="single"/>
        </w:rPr>
        <w:t>FINDINGS OF FACT</w:t>
      </w:r>
    </w:p>
    <w:p w:rsidR="00D94420" w:rsidRPr="003A1F2B" w:rsidRDefault="00D94420" w:rsidP="00D94420">
      <w:pPr>
        <w:spacing w:line="360" w:lineRule="auto"/>
        <w:ind w:firstLine="1440"/>
        <w:rPr>
          <w:sz w:val="24"/>
          <w:szCs w:val="24"/>
        </w:rPr>
      </w:pPr>
    </w:p>
    <w:p w:rsidR="002C24EB" w:rsidRPr="003A1F2B" w:rsidRDefault="00D94420" w:rsidP="002C24EB">
      <w:pPr>
        <w:spacing w:line="360" w:lineRule="auto"/>
        <w:ind w:firstLine="1440"/>
        <w:rPr>
          <w:sz w:val="24"/>
          <w:szCs w:val="24"/>
        </w:rPr>
      </w:pPr>
      <w:r w:rsidRPr="003A1F2B">
        <w:rPr>
          <w:sz w:val="24"/>
          <w:szCs w:val="24"/>
        </w:rPr>
        <w:t>1.</w:t>
      </w:r>
      <w:r w:rsidRPr="003A1F2B">
        <w:rPr>
          <w:sz w:val="24"/>
          <w:szCs w:val="24"/>
        </w:rPr>
        <w:tab/>
        <w:t>Complainant</w:t>
      </w:r>
      <w:r w:rsidR="002C24EB" w:rsidRPr="003A1F2B">
        <w:rPr>
          <w:sz w:val="24"/>
          <w:szCs w:val="24"/>
        </w:rPr>
        <w:t xml:space="preserve"> is </w:t>
      </w:r>
      <w:r w:rsidR="00EB3B49" w:rsidRPr="003A1F2B">
        <w:rPr>
          <w:sz w:val="24"/>
          <w:szCs w:val="24"/>
        </w:rPr>
        <w:t>Richard Dowling</w:t>
      </w:r>
      <w:r w:rsidR="002C24EB" w:rsidRPr="003A1F2B">
        <w:rPr>
          <w:sz w:val="24"/>
          <w:szCs w:val="24"/>
        </w:rPr>
        <w:t>.</w:t>
      </w:r>
    </w:p>
    <w:p w:rsidR="002C24EB" w:rsidRPr="003A1F2B" w:rsidRDefault="002C24EB" w:rsidP="002C24EB">
      <w:pPr>
        <w:spacing w:line="360" w:lineRule="auto"/>
        <w:ind w:firstLine="1440"/>
        <w:rPr>
          <w:sz w:val="24"/>
          <w:szCs w:val="24"/>
        </w:rPr>
      </w:pPr>
    </w:p>
    <w:p w:rsidR="00122A73" w:rsidRPr="003A1F2B" w:rsidRDefault="002C24EB" w:rsidP="002C24EB">
      <w:pPr>
        <w:spacing w:line="360" w:lineRule="auto"/>
        <w:ind w:firstLine="1440"/>
        <w:rPr>
          <w:sz w:val="24"/>
          <w:szCs w:val="24"/>
        </w:rPr>
      </w:pPr>
      <w:r w:rsidRPr="003A1F2B">
        <w:rPr>
          <w:sz w:val="24"/>
          <w:szCs w:val="24"/>
        </w:rPr>
        <w:t>2.</w:t>
      </w:r>
      <w:r w:rsidRPr="003A1F2B">
        <w:rPr>
          <w:sz w:val="24"/>
          <w:szCs w:val="24"/>
        </w:rPr>
        <w:tab/>
        <w:t xml:space="preserve">Respondent is </w:t>
      </w:r>
      <w:r w:rsidR="00EB3B49" w:rsidRPr="003A1F2B">
        <w:rPr>
          <w:sz w:val="24"/>
          <w:szCs w:val="24"/>
        </w:rPr>
        <w:t>Metropolitan Edison Company</w:t>
      </w:r>
      <w:r w:rsidRPr="003A1F2B">
        <w:rPr>
          <w:sz w:val="24"/>
          <w:szCs w:val="24"/>
        </w:rPr>
        <w:t>, an electric distribution company.</w:t>
      </w:r>
    </w:p>
    <w:p w:rsidR="00D94420" w:rsidRPr="003A1F2B" w:rsidRDefault="00D94420" w:rsidP="00D94420">
      <w:pPr>
        <w:spacing w:line="360" w:lineRule="auto"/>
        <w:ind w:firstLine="1440"/>
        <w:rPr>
          <w:sz w:val="24"/>
          <w:szCs w:val="24"/>
        </w:rPr>
      </w:pPr>
    </w:p>
    <w:p w:rsidR="00D94420" w:rsidRPr="003A1F2B" w:rsidRDefault="002C24EB" w:rsidP="00D94420">
      <w:pPr>
        <w:spacing w:line="360" w:lineRule="auto"/>
        <w:ind w:firstLine="1440"/>
        <w:rPr>
          <w:sz w:val="24"/>
          <w:szCs w:val="24"/>
        </w:rPr>
      </w:pPr>
      <w:r w:rsidRPr="003A1F2B">
        <w:rPr>
          <w:sz w:val="24"/>
          <w:szCs w:val="24"/>
        </w:rPr>
        <w:t>3</w:t>
      </w:r>
      <w:r w:rsidR="00D94420" w:rsidRPr="003A1F2B">
        <w:rPr>
          <w:sz w:val="24"/>
          <w:szCs w:val="24"/>
        </w:rPr>
        <w:t>.</w:t>
      </w:r>
      <w:r w:rsidR="00D94420" w:rsidRPr="003A1F2B">
        <w:rPr>
          <w:sz w:val="24"/>
          <w:szCs w:val="24"/>
        </w:rPr>
        <w:tab/>
        <w:t xml:space="preserve">On </w:t>
      </w:r>
      <w:r w:rsidR="00EB3B49" w:rsidRPr="003A1F2B">
        <w:rPr>
          <w:sz w:val="24"/>
          <w:szCs w:val="24"/>
        </w:rPr>
        <w:t>December 31, 2012</w:t>
      </w:r>
      <w:r w:rsidR="00D94420" w:rsidRPr="003A1F2B">
        <w:rPr>
          <w:sz w:val="24"/>
          <w:szCs w:val="24"/>
        </w:rPr>
        <w:t xml:space="preserve">, Complainant filed a formal Complaint against </w:t>
      </w:r>
      <w:r w:rsidR="00EB3B49" w:rsidRPr="003A1F2B">
        <w:rPr>
          <w:sz w:val="24"/>
          <w:szCs w:val="24"/>
        </w:rPr>
        <w:t>Met-Ed</w:t>
      </w:r>
      <w:r w:rsidR="00D94420" w:rsidRPr="003A1F2B">
        <w:rPr>
          <w:sz w:val="24"/>
          <w:szCs w:val="24"/>
        </w:rPr>
        <w:t>.</w:t>
      </w:r>
    </w:p>
    <w:p w:rsidR="00D94420" w:rsidRPr="003A1F2B" w:rsidRDefault="00D94420" w:rsidP="00D94420">
      <w:pPr>
        <w:spacing w:line="360" w:lineRule="auto"/>
        <w:ind w:firstLine="1440"/>
        <w:rPr>
          <w:sz w:val="24"/>
          <w:szCs w:val="24"/>
        </w:rPr>
      </w:pPr>
    </w:p>
    <w:p w:rsidR="00D94420" w:rsidRPr="003A1F2B" w:rsidRDefault="002C24EB" w:rsidP="00D94420">
      <w:pPr>
        <w:spacing w:line="360" w:lineRule="auto"/>
        <w:ind w:firstLine="1440"/>
        <w:rPr>
          <w:sz w:val="24"/>
          <w:szCs w:val="24"/>
        </w:rPr>
      </w:pPr>
      <w:r w:rsidRPr="003A1F2B">
        <w:rPr>
          <w:sz w:val="24"/>
          <w:szCs w:val="24"/>
        </w:rPr>
        <w:t>4</w:t>
      </w:r>
      <w:r w:rsidR="00D94420" w:rsidRPr="003A1F2B">
        <w:rPr>
          <w:sz w:val="24"/>
          <w:szCs w:val="24"/>
        </w:rPr>
        <w:t>.</w:t>
      </w:r>
      <w:r w:rsidR="00D94420" w:rsidRPr="003A1F2B">
        <w:rPr>
          <w:sz w:val="24"/>
          <w:szCs w:val="24"/>
        </w:rPr>
        <w:tab/>
        <w:t xml:space="preserve">A timely Answer and New Matter and Preliminary Objections were filed by </w:t>
      </w:r>
      <w:r w:rsidR="00EB3B49" w:rsidRPr="003A1F2B">
        <w:rPr>
          <w:sz w:val="24"/>
          <w:szCs w:val="24"/>
        </w:rPr>
        <w:t>Met-Ed</w:t>
      </w:r>
      <w:r w:rsidR="00D94420" w:rsidRPr="003A1F2B">
        <w:rPr>
          <w:sz w:val="24"/>
          <w:szCs w:val="24"/>
        </w:rPr>
        <w:t xml:space="preserve"> on </w:t>
      </w:r>
      <w:r w:rsidR="00EB3B49" w:rsidRPr="003A1F2B">
        <w:rPr>
          <w:sz w:val="24"/>
          <w:szCs w:val="24"/>
        </w:rPr>
        <w:t>February 4, 2013</w:t>
      </w:r>
      <w:r w:rsidR="00D94420" w:rsidRPr="003A1F2B">
        <w:rPr>
          <w:sz w:val="24"/>
          <w:szCs w:val="24"/>
        </w:rPr>
        <w:t>.</w:t>
      </w:r>
    </w:p>
    <w:p w:rsidR="00D94420" w:rsidRPr="003A1F2B" w:rsidRDefault="00D94420" w:rsidP="00D94420">
      <w:pPr>
        <w:spacing w:line="360" w:lineRule="auto"/>
        <w:ind w:firstLine="1440"/>
        <w:rPr>
          <w:sz w:val="24"/>
          <w:szCs w:val="24"/>
        </w:rPr>
      </w:pPr>
    </w:p>
    <w:p w:rsidR="00D94420" w:rsidRPr="003A1F2B" w:rsidRDefault="002C24EB" w:rsidP="00D94420">
      <w:pPr>
        <w:spacing w:line="360" w:lineRule="auto"/>
        <w:ind w:firstLine="1440"/>
        <w:rPr>
          <w:sz w:val="24"/>
          <w:szCs w:val="24"/>
        </w:rPr>
      </w:pPr>
      <w:r w:rsidRPr="003A1F2B">
        <w:rPr>
          <w:sz w:val="24"/>
          <w:szCs w:val="24"/>
        </w:rPr>
        <w:t>5</w:t>
      </w:r>
      <w:r w:rsidR="00D94420" w:rsidRPr="003A1F2B">
        <w:rPr>
          <w:sz w:val="24"/>
          <w:szCs w:val="24"/>
        </w:rPr>
        <w:t>.</w:t>
      </w:r>
      <w:r w:rsidR="00D94420" w:rsidRPr="003A1F2B">
        <w:rPr>
          <w:sz w:val="24"/>
          <w:szCs w:val="24"/>
        </w:rPr>
        <w:tab/>
        <w:t>Complainant did not file an Answer to New Matter or to the Preliminary Objections.</w:t>
      </w:r>
    </w:p>
    <w:p w:rsidR="002C24EB" w:rsidRPr="003A1F2B" w:rsidRDefault="002C24EB" w:rsidP="00321918">
      <w:pPr>
        <w:tabs>
          <w:tab w:val="left" w:pos="-1440"/>
          <w:tab w:val="left" w:pos="-720"/>
        </w:tabs>
        <w:suppressAutoHyphens/>
        <w:spacing w:line="360" w:lineRule="auto"/>
        <w:rPr>
          <w:sz w:val="24"/>
          <w:szCs w:val="24"/>
        </w:rPr>
      </w:pPr>
    </w:p>
    <w:p w:rsidR="00A82FC1" w:rsidRPr="003A1F2B" w:rsidRDefault="000441FB" w:rsidP="000441FB">
      <w:pPr>
        <w:tabs>
          <w:tab w:val="left" w:pos="-1440"/>
          <w:tab w:val="left" w:pos="-720"/>
        </w:tabs>
        <w:suppressAutoHyphens/>
        <w:spacing w:line="360" w:lineRule="auto"/>
        <w:ind w:firstLine="1440"/>
        <w:rPr>
          <w:sz w:val="24"/>
          <w:szCs w:val="24"/>
          <w:u w:val="single"/>
        </w:rPr>
      </w:pPr>
      <w:r w:rsidRPr="003A1F2B">
        <w:rPr>
          <w:sz w:val="24"/>
          <w:szCs w:val="24"/>
        </w:rPr>
        <w:tab/>
      </w:r>
      <w:r w:rsidRPr="003A1F2B">
        <w:rPr>
          <w:sz w:val="24"/>
          <w:szCs w:val="24"/>
        </w:rPr>
        <w:tab/>
      </w:r>
      <w:r w:rsidRPr="003A1F2B">
        <w:rPr>
          <w:sz w:val="24"/>
          <w:szCs w:val="24"/>
        </w:rPr>
        <w:tab/>
      </w:r>
      <w:r w:rsidR="00A82FC1" w:rsidRPr="003A1F2B">
        <w:rPr>
          <w:sz w:val="24"/>
          <w:szCs w:val="24"/>
          <w:u w:val="single"/>
        </w:rPr>
        <w:t>DISCUSSION</w:t>
      </w:r>
    </w:p>
    <w:p w:rsidR="00A82FC1" w:rsidRPr="003A1F2B" w:rsidRDefault="00A82FC1" w:rsidP="00A82FC1">
      <w:pPr>
        <w:tabs>
          <w:tab w:val="left" w:pos="-1440"/>
          <w:tab w:val="left" w:pos="-720"/>
        </w:tabs>
        <w:suppressAutoHyphens/>
        <w:spacing w:line="360" w:lineRule="auto"/>
        <w:ind w:firstLine="1440"/>
        <w:rPr>
          <w:sz w:val="24"/>
          <w:szCs w:val="24"/>
        </w:rPr>
      </w:pPr>
    </w:p>
    <w:p w:rsidR="00A82FC1" w:rsidRDefault="00A82FC1" w:rsidP="00A82FC1">
      <w:pPr>
        <w:tabs>
          <w:tab w:val="left" w:pos="-1440"/>
          <w:tab w:val="left" w:pos="-720"/>
        </w:tabs>
        <w:suppressAutoHyphens/>
        <w:spacing w:line="360" w:lineRule="auto"/>
        <w:ind w:firstLine="1440"/>
        <w:rPr>
          <w:sz w:val="24"/>
          <w:szCs w:val="24"/>
        </w:rPr>
      </w:pPr>
      <w:r w:rsidRPr="003A1F2B">
        <w:rPr>
          <w:sz w:val="24"/>
          <w:szCs w:val="24"/>
        </w:rPr>
        <w:t xml:space="preserve">Commission preliminary motion practice is comparable to Pennsylvania civil practice respecting the filing of preliminary objections.  </w:t>
      </w:r>
      <w:r w:rsidRPr="003A1F2B">
        <w:rPr>
          <w:i/>
          <w:sz w:val="24"/>
          <w:szCs w:val="24"/>
        </w:rPr>
        <w:t xml:space="preserve">Equitable Small Transportation </w:t>
      </w:r>
      <w:proofErr w:type="spellStart"/>
      <w:r w:rsidRPr="003A1F2B">
        <w:rPr>
          <w:i/>
          <w:sz w:val="24"/>
          <w:szCs w:val="24"/>
        </w:rPr>
        <w:lastRenderedPageBreak/>
        <w:t>Intervenors</w:t>
      </w:r>
      <w:proofErr w:type="spellEnd"/>
      <w:r w:rsidRPr="003A1F2B">
        <w:rPr>
          <w:i/>
          <w:sz w:val="24"/>
          <w:szCs w:val="24"/>
        </w:rPr>
        <w:t xml:space="preserve"> v. Equitable Gas Company, </w:t>
      </w:r>
      <w:r w:rsidR="005344E8" w:rsidRPr="003A1F2B">
        <w:rPr>
          <w:sz w:val="24"/>
          <w:szCs w:val="24"/>
        </w:rPr>
        <w:t xml:space="preserve">1994 Pa. PUC LEXIS </w:t>
      </w:r>
      <w:r w:rsidR="00E72798">
        <w:rPr>
          <w:sz w:val="24"/>
          <w:szCs w:val="24"/>
        </w:rPr>
        <w:t xml:space="preserve">69, Docket No. </w:t>
      </w:r>
      <w:proofErr w:type="gramStart"/>
      <w:r w:rsidR="00E72798">
        <w:rPr>
          <w:sz w:val="24"/>
          <w:szCs w:val="24"/>
        </w:rPr>
        <w:t>C-00935435 (July 18, </w:t>
      </w:r>
      <w:r w:rsidR="005344E8" w:rsidRPr="003A1F2B">
        <w:rPr>
          <w:sz w:val="24"/>
          <w:szCs w:val="24"/>
        </w:rPr>
        <w:t>1994).</w:t>
      </w:r>
      <w:proofErr w:type="gramEnd"/>
    </w:p>
    <w:p w:rsidR="008A5BB2" w:rsidRPr="003A1F2B" w:rsidRDefault="008A5BB2" w:rsidP="00A82FC1">
      <w:pPr>
        <w:tabs>
          <w:tab w:val="left" w:pos="-1440"/>
          <w:tab w:val="left" w:pos="-720"/>
        </w:tabs>
        <w:suppressAutoHyphens/>
        <w:spacing w:line="360" w:lineRule="auto"/>
        <w:ind w:firstLine="1440"/>
        <w:rPr>
          <w:sz w:val="24"/>
          <w:szCs w:val="24"/>
        </w:rPr>
      </w:pPr>
    </w:p>
    <w:p w:rsidR="005344E8" w:rsidRPr="003A1F2B" w:rsidRDefault="005344E8" w:rsidP="00A82FC1">
      <w:pPr>
        <w:tabs>
          <w:tab w:val="left" w:pos="-1440"/>
          <w:tab w:val="left" w:pos="-720"/>
        </w:tabs>
        <w:suppressAutoHyphens/>
        <w:spacing w:line="360" w:lineRule="auto"/>
        <w:ind w:firstLine="1440"/>
        <w:rPr>
          <w:sz w:val="24"/>
          <w:szCs w:val="24"/>
        </w:rPr>
      </w:pPr>
      <w:r w:rsidRPr="003A1F2B">
        <w:rPr>
          <w:sz w:val="24"/>
          <w:szCs w:val="24"/>
        </w:rPr>
        <w:t>The Commission’s regulations provide in pertinent part:</w:t>
      </w:r>
    </w:p>
    <w:p w:rsidR="005344E8" w:rsidRPr="003A1F2B" w:rsidRDefault="005344E8" w:rsidP="00A82FC1">
      <w:pPr>
        <w:tabs>
          <w:tab w:val="left" w:pos="-1440"/>
          <w:tab w:val="left" w:pos="-720"/>
        </w:tabs>
        <w:suppressAutoHyphens/>
        <w:spacing w:line="360" w:lineRule="auto"/>
        <w:ind w:firstLine="1440"/>
        <w:rPr>
          <w:sz w:val="24"/>
          <w:szCs w:val="24"/>
        </w:rPr>
      </w:pPr>
    </w:p>
    <w:p w:rsidR="005344E8" w:rsidRPr="003A1F2B" w:rsidRDefault="000441FB" w:rsidP="000441FB">
      <w:pPr>
        <w:tabs>
          <w:tab w:val="left" w:pos="-1440"/>
          <w:tab w:val="left" w:pos="-720"/>
        </w:tabs>
        <w:suppressAutoHyphens/>
        <w:ind w:left="720" w:right="720"/>
        <w:rPr>
          <w:sz w:val="24"/>
          <w:szCs w:val="24"/>
        </w:rPr>
      </w:pPr>
      <w:r w:rsidRPr="003A1F2B">
        <w:rPr>
          <w:sz w:val="24"/>
          <w:szCs w:val="24"/>
        </w:rPr>
        <w:tab/>
      </w:r>
      <w:r w:rsidR="005344E8" w:rsidRPr="003A1F2B">
        <w:rPr>
          <w:sz w:val="24"/>
          <w:szCs w:val="24"/>
        </w:rPr>
        <w:t>(a)</w:t>
      </w:r>
      <w:r w:rsidR="005344E8" w:rsidRPr="003A1F2B">
        <w:rPr>
          <w:sz w:val="24"/>
          <w:szCs w:val="24"/>
        </w:rPr>
        <w:tab/>
        <w:t xml:space="preserve">A preliminary motion is available to participants.  The </w:t>
      </w:r>
      <w:r w:rsidR="005344E8" w:rsidRPr="003A1F2B">
        <w:rPr>
          <w:sz w:val="24"/>
          <w:szCs w:val="24"/>
        </w:rPr>
        <w:tab/>
      </w:r>
      <w:r w:rsidR="005344E8" w:rsidRPr="003A1F2B">
        <w:rPr>
          <w:sz w:val="24"/>
          <w:szCs w:val="24"/>
        </w:rPr>
        <w:tab/>
      </w:r>
      <w:r w:rsidR="005344E8" w:rsidRPr="003A1F2B">
        <w:rPr>
          <w:sz w:val="24"/>
          <w:szCs w:val="24"/>
        </w:rPr>
        <w:tab/>
        <w:t xml:space="preserve">preliminary motion shall state specifically the grounds relied upon, </w:t>
      </w:r>
      <w:r w:rsidR="005344E8" w:rsidRPr="003A1F2B">
        <w:rPr>
          <w:sz w:val="24"/>
          <w:szCs w:val="24"/>
        </w:rPr>
        <w:tab/>
      </w:r>
      <w:r w:rsidR="005344E8" w:rsidRPr="003A1F2B">
        <w:rPr>
          <w:sz w:val="24"/>
          <w:szCs w:val="24"/>
        </w:rPr>
        <w:tab/>
        <w:t>the standing of the party and shall be limited to the following:</w:t>
      </w:r>
    </w:p>
    <w:p w:rsidR="008548A8" w:rsidRPr="003A1F2B" w:rsidRDefault="005344E8" w:rsidP="005344E8">
      <w:pPr>
        <w:tabs>
          <w:tab w:val="left" w:pos="-1440"/>
          <w:tab w:val="left" w:pos="-720"/>
        </w:tabs>
        <w:suppressAutoHyphens/>
        <w:ind w:left="720" w:right="720" w:firstLine="1440"/>
        <w:rPr>
          <w:sz w:val="24"/>
          <w:szCs w:val="24"/>
        </w:rPr>
      </w:pPr>
      <w:r w:rsidRPr="003A1F2B">
        <w:rPr>
          <w:sz w:val="24"/>
          <w:szCs w:val="24"/>
        </w:rPr>
        <w:tab/>
      </w:r>
    </w:p>
    <w:p w:rsidR="005344E8" w:rsidRPr="003A1F2B" w:rsidRDefault="005344E8" w:rsidP="005344E8">
      <w:pPr>
        <w:tabs>
          <w:tab w:val="left" w:pos="-1440"/>
          <w:tab w:val="left" w:pos="-720"/>
        </w:tabs>
        <w:suppressAutoHyphens/>
        <w:ind w:left="720" w:right="720" w:firstLine="1440"/>
        <w:rPr>
          <w:sz w:val="24"/>
          <w:szCs w:val="24"/>
        </w:rPr>
      </w:pPr>
      <w:r w:rsidRPr="003A1F2B">
        <w:rPr>
          <w:sz w:val="24"/>
          <w:szCs w:val="24"/>
        </w:rPr>
        <w:t xml:space="preserve">(1) </w:t>
      </w:r>
      <w:r w:rsidRPr="003A1F2B">
        <w:rPr>
          <w:sz w:val="24"/>
          <w:szCs w:val="24"/>
        </w:rPr>
        <w:tab/>
        <w:t xml:space="preserve">A motion questioning the jurisdiction of the </w:t>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Commission.</w:t>
      </w:r>
    </w:p>
    <w:p w:rsidR="005344E8" w:rsidRPr="003A1F2B" w:rsidRDefault="005344E8" w:rsidP="005344E8">
      <w:pPr>
        <w:tabs>
          <w:tab w:val="left" w:pos="-1440"/>
          <w:tab w:val="left" w:pos="-720"/>
        </w:tabs>
        <w:suppressAutoHyphens/>
        <w:ind w:left="720" w:right="720" w:firstLine="1440"/>
        <w:rPr>
          <w:sz w:val="24"/>
          <w:szCs w:val="24"/>
        </w:rPr>
      </w:pPr>
    </w:p>
    <w:p w:rsidR="00AE09CB" w:rsidRPr="003A1F2B" w:rsidRDefault="000441FB" w:rsidP="00AE09CB">
      <w:pPr>
        <w:ind w:left="1440" w:right="1440"/>
        <w:rPr>
          <w:sz w:val="24"/>
          <w:szCs w:val="24"/>
        </w:rPr>
      </w:pPr>
      <w:r w:rsidRPr="003A1F2B">
        <w:rPr>
          <w:sz w:val="24"/>
          <w:szCs w:val="24"/>
        </w:rPr>
        <w:tab/>
      </w:r>
      <w:r w:rsidR="00A02C92" w:rsidRPr="003A1F2B">
        <w:rPr>
          <w:sz w:val="24"/>
          <w:szCs w:val="24"/>
        </w:rPr>
        <w:t>(3</w:t>
      </w:r>
      <w:r w:rsidR="00AE09CB" w:rsidRPr="003A1F2B">
        <w:rPr>
          <w:sz w:val="24"/>
          <w:szCs w:val="24"/>
        </w:rPr>
        <w:t>)</w:t>
      </w:r>
      <w:r w:rsidR="00AE09CB" w:rsidRPr="003A1F2B">
        <w:rPr>
          <w:sz w:val="24"/>
          <w:szCs w:val="24"/>
        </w:rPr>
        <w:tab/>
        <w:t>Insufficient specificity of a pleading.</w:t>
      </w:r>
    </w:p>
    <w:p w:rsidR="00AE09CB" w:rsidRPr="003A1F2B" w:rsidRDefault="00AE09CB" w:rsidP="005344E8">
      <w:pPr>
        <w:tabs>
          <w:tab w:val="left" w:pos="-1440"/>
          <w:tab w:val="left" w:pos="-720"/>
        </w:tabs>
        <w:suppressAutoHyphens/>
        <w:ind w:left="720" w:right="720" w:firstLine="1440"/>
        <w:rPr>
          <w:sz w:val="24"/>
          <w:szCs w:val="24"/>
        </w:rPr>
      </w:pPr>
    </w:p>
    <w:p w:rsidR="00AE09CB" w:rsidRPr="003A1F2B" w:rsidRDefault="00A02C92" w:rsidP="005344E8">
      <w:pPr>
        <w:tabs>
          <w:tab w:val="left" w:pos="-1440"/>
          <w:tab w:val="left" w:pos="-720"/>
        </w:tabs>
        <w:suppressAutoHyphens/>
        <w:ind w:left="720" w:right="720" w:firstLine="1440"/>
        <w:rPr>
          <w:sz w:val="24"/>
          <w:szCs w:val="24"/>
        </w:rPr>
      </w:pPr>
      <w:r w:rsidRPr="003A1F2B">
        <w:rPr>
          <w:sz w:val="24"/>
          <w:szCs w:val="24"/>
        </w:rPr>
        <w:t>(4</w:t>
      </w:r>
      <w:r w:rsidR="00AE09CB" w:rsidRPr="003A1F2B">
        <w:rPr>
          <w:sz w:val="24"/>
          <w:szCs w:val="24"/>
        </w:rPr>
        <w:t>)</w:t>
      </w:r>
      <w:r w:rsidR="00AE09CB" w:rsidRPr="003A1F2B">
        <w:rPr>
          <w:sz w:val="24"/>
          <w:szCs w:val="24"/>
        </w:rPr>
        <w:tab/>
        <w:t>Legal insufficiency of a pleading.</w:t>
      </w:r>
    </w:p>
    <w:p w:rsidR="00AE09CB" w:rsidRPr="003A1F2B" w:rsidRDefault="00AE09CB" w:rsidP="005344E8">
      <w:pPr>
        <w:tabs>
          <w:tab w:val="left" w:pos="-1440"/>
          <w:tab w:val="left" w:pos="-720"/>
        </w:tabs>
        <w:suppressAutoHyphens/>
        <w:ind w:left="720" w:right="720" w:firstLine="1440"/>
        <w:rPr>
          <w:sz w:val="24"/>
          <w:szCs w:val="24"/>
        </w:rPr>
      </w:pPr>
    </w:p>
    <w:p w:rsidR="005344E8" w:rsidRPr="003A1F2B" w:rsidRDefault="005344E8" w:rsidP="00A82FC1">
      <w:pPr>
        <w:tabs>
          <w:tab w:val="left" w:pos="-1440"/>
          <w:tab w:val="left" w:pos="-720"/>
        </w:tabs>
        <w:suppressAutoHyphens/>
        <w:spacing w:line="360" w:lineRule="auto"/>
        <w:ind w:firstLine="1440"/>
        <w:rPr>
          <w:sz w:val="24"/>
          <w:szCs w:val="24"/>
        </w:rPr>
      </w:pPr>
      <w:r w:rsidRPr="003A1F2B">
        <w:rPr>
          <w:sz w:val="24"/>
          <w:szCs w:val="24"/>
        </w:rPr>
        <w:t xml:space="preserve">52 </w:t>
      </w:r>
      <w:proofErr w:type="spellStart"/>
      <w:r w:rsidRPr="003A1F2B">
        <w:rPr>
          <w:sz w:val="24"/>
          <w:szCs w:val="24"/>
        </w:rPr>
        <w:t>Pa.Code</w:t>
      </w:r>
      <w:proofErr w:type="spellEnd"/>
      <w:r w:rsidRPr="003A1F2B">
        <w:rPr>
          <w:sz w:val="24"/>
          <w:szCs w:val="24"/>
        </w:rPr>
        <w:t xml:space="preserve"> § 5.101(a</w:t>
      </w:r>
      <w:proofErr w:type="gramStart"/>
      <w:r w:rsidRPr="003A1F2B">
        <w:rPr>
          <w:sz w:val="24"/>
          <w:szCs w:val="24"/>
        </w:rPr>
        <w:t>)(</w:t>
      </w:r>
      <w:proofErr w:type="gramEnd"/>
      <w:r w:rsidRPr="003A1F2B">
        <w:rPr>
          <w:sz w:val="24"/>
          <w:szCs w:val="24"/>
        </w:rPr>
        <w:t>1)</w:t>
      </w:r>
      <w:r w:rsidR="00AE09CB" w:rsidRPr="003A1F2B">
        <w:rPr>
          <w:sz w:val="24"/>
          <w:szCs w:val="24"/>
        </w:rPr>
        <w:t>;</w:t>
      </w:r>
      <w:r w:rsidR="00B90BED" w:rsidRPr="003A1F2B">
        <w:rPr>
          <w:sz w:val="24"/>
          <w:szCs w:val="24"/>
        </w:rPr>
        <w:t xml:space="preserve">(3) and </w:t>
      </w:r>
      <w:r w:rsidR="00AE09CB" w:rsidRPr="003A1F2B">
        <w:rPr>
          <w:sz w:val="24"/>
          <w:szCs w:val="24"/>
        </w:rPr>
        <w:t>(4)</w:t>
      </w:r>
      <w:r w:rsidRPr="003A1F2B">
        <w:rPr>
          <w:sz w:val="24"/>
          <w:szCs w:val="24"/>
        </w:rPr>
        <w:t>.</w:t>
      </w:r>
    </w:p>
    <w:p w:rsidR="005344E8" w:rsidRPr="003A1F2B" w:rsidRDefault="005344E8" w:rsidP="00A82FC1">
      <w:pPr>
        <w:tabs>
          <w:tab w:val="left" w:pos="-1440"/>
          <w:tab w:val="left" w:pos="-720"/>
        </w:tabs>
        <w:suppressAutoHyphens/>
        <w:spacing w:line="360" w:lineRule="auto"/>
        <w:ind w:firstLine="1440"/>
        <w:rPr>
          <w:sz w:val="24"/>
          <w:szCs w:val="24"/>
        </w:rPr>
      </w:pPr>
    </w:p>
    <w:p w:rsidR="000C374F" w:rsidRPr="003A1F2B" w:rsidRDefault="008548A8" w:rsidP="00C401B1">
      <w:pPr>
        <w:tabs>
          <w:tab w:val="left" w:pos="-1440"/>
          <w:tab w:val="left" w:pos="-720"/>
        </w:tabs>
        <w:suppressAutoHyphens/>
        <w:spacing w:line="360" w:lineRule="auto"/>
        <w:ind w:firstLine="1440"/>
        <w:rPr>
          <w:sz w:val="24"/>
          <w:szCs w:val="24"/>
        </w:rPr>
      </w:pPr>
      <w:r w:rsidRPr="003A1F2B">
        <w:rPr>
          <w:sz w:val="24"/>
          <w:szCs w:val="24"/>
        </w:rPr>
        <w:t xml:space="preserve">The Commission must act within, and cannot exceed its jurisdiction.  </w:t>
      </w:r>
      <w:proofErr w:type="gramStart"/>
      <w:r w:rsidRPr="003A1F2B">
        <w:rPr>
          <w:i/>
          <w:sz w:val="24"/>
          <w:szCs w:val="24"/>
        </w:rPr>
        <w:t xml:space="preserve">City of Pittsburgh v. PUC, </w:t>
      </w:r>
      <w:r w:rsidRPr="003A1F2B">
        <w:rPr>
          <w:sz w:val="24"/>
          <w:szCs w:val="24"/>
        </w:rPr>
        <w:t>157 Pa. Super 595, 43 A.2d 348 (1945).</w:t>
      </w:r>
      <w:proofErr w:type="gramEnd"/>
      <w:r w:rsidRPr="003A1F2B">
        <w:rPr>
          <w:sz w:val="24"/>
          <w:szCs w:val="24"/>
        </w:rPr>
        <w:t xml:space="preserve">  Jurisdiction may not be conferred by the parties where none exists.  </w:t>
      </w:r>
      <w:proofErr w:type="gramStart"/>
      <w:r w:rsidRPr="003A1F2B">
        <w:rPr>
          <w:i/>
          <w:sz w:val="24"/>
          <w:szCs w:val="24"/>
        </w:rPr>
        <w:t xml:space="preserve">Roberts v. </w:t>
      </w:r>
      <w:proofErr w:type="spellStart"/>
      <w:r w:rsidRPr="003A1F2B">
        <w:rPr>
          <w:i/>
          <w:sz w:val="24"/>
          <w:szCs w:val="24"/>
        </w:rPr>
        <w:t>Martorano</w:t>
      </w:r>
      <w:proofErr w:type="spellEnd"/>
      <w:r w:rsidRPr="003A1F2B">
        <w:rPr>
          <w:i/>
          <w:sz w:val="24"/>
          <w:szCs w:val="24"/>
        </w:rPr>
        <w:t xml:space="preserve">, </w:t>
      </w:r>
      <w:r w:rsidRPr="003A1F2B">
        <w:rPr>
          <w:sz w:val="24"/>
          <w:szCs w:val="24"/>
        </w:rPr>
        <w:t>427 Pa. 581, 235 A.2d 602(1967).</w:t>
      </w:r>
      <w:proofErr w:type="gramEnd"/>
      <w:r w:rsidRPr="003A1F2B">
        <w:rPr>
          <w:sz w:val="24"/>
          <w:szCs w:val="24"/>
        </w:rPr>
        <w:t xml:space="preserve">  </w:t>
      </w:r>
      <w:r w:rsidR="00862109" w:rsidRPr="003A1F2B">
        <w:rPr>
          <w:sz w:val="24"/>
          <w:szCs w:val="24"/>
        </w:rPr>
        <w:t>This Commission has discretion to “dismiss any complaint without a hearing if, in its opinion, a hearing is not necessary in the public interest.”  66 Pa. C.S. §703(b</w:t>
      </w:r>
      <w:proofErr w:type="gramStart"/>
      <w:r w:rsidR="00862109" w:rsidRPr="003A1F2B">
        <w:rPr>
          <w:sz w:val="24"/>
          <w:szCs w:val="24"/>
        </w:rPr>
        <w:t>)(</w:t>
      </w:r>
      <w:proofErr w:type="gramEnd"/>
      <w:r w:rsidR="00862109" w:rsidRPr="003A1F2B">
        <w:rPr>
          <w:sz w:val="24"/>
          <w:szCs w:val="24"/>
        </w:rPr>
        <w:t>, 52 Pa. Code §5.21(d).  A hearing is necessary on</w:t>
      </w:r>
      <w:r w:rsidR="001B155A" w:rsidRPr="003A1F2B">
        <w:rPr>
          <w:sz w:val="24"/>
          <w:szCs w:val="24"/>
        </w:rPr>
        <w:t xml:space="preserve">ly to resolve disputed questions of fact, and when the question </w:t>
      </w:r>
      <w:r w:rsidR="000C374F" w:rsidRPr="003A1F2B">
        <w:rPr>
          <w:sz w:val="24"/>
          <w:szCs w:val="24"/>
        </w:rPr>
        <w:t>presented</w:t>
      </w:r>
      <w:r w:rsidR="001B155A" w:rsidRPr="003A1F2B">
        <w:rPr>
          <w:sz w:val="24"/>
          <w:szCs w:val="24"/>
        </w:rPr>
        <w:t xml:space="preserve"> is one of law, the Commission need not hold a hearing  </w:t>
      </w:r>
      <w:r w:rsidR="001B155A" w:rsidRPr="003A1F2B">
        <w:rPr>
          <w:i/>
          <w:sz w:val="24"/>
          <w:szCs w:val="24"/>
        </w:rPr>
        <w:t xml:space="preserve">Lehigh Valley Power Comm. V. PUC, </w:t>
      </w:r>
      <w:r w:rsidR="008A5BB2">
        <w:rPr>
          <w:sz w:val="24"/>
          <w:szCs w:val="24"/>
        </w:rPr>
        <w:t xml:space="preserve">128 </w:t>
      </w:r>
      <w:proofErr w:type="spellStart"/>
      <w:r w:rsidR="008A5BB2">
        <w:rPr>
          <w:sz w:val="24"/>
          <w:szCs w:val="24"/>
        </w:rPr>
        <w:t>Pa.Cmwlth</w:t>
      </w:r>
      <w:proofErr w:type="spellEnd"/>
      <w:r w:rsidR="008A5BB2">
        <w:rPr>
          <w:sz w:val="24"/>
          <w:szCs w:val="24"/>
        </w:rPr>
        <w:t>. </w:t>
      </w:r>
      <w:proofErr w:type="gramStart"/>
      <w:r w:rsidR="001B155A" w:rsidRPr="003A1F2B">
        <w:rPr>
          <w:sz w:val="24"/>
          <w:szCs w:val="24"/>
        </w:rPr>
        <w:t xml:space="preserve">259, 563 A.2d 548 (1989), </w:t>
      </w:r>
      <w:proofErr w:type="spellStart"/>
      <w:r w:rsidR="001B155A" w:rsidRPr="003A1F2B">
        <w:rPr>
          <w:i/>
          <w:sz w:val="24"/>
          <w:szCs w:val="24"/>
        </w:rPr>
        <w:t>Edan</w:t>
      </w:r>
      <w:proofErr w:type="spellEnd"/>
      <w:r w:rsidR="001B155A" w:rsidRPr="003A1F2B">
        <w:rPr>
          <w:i/>
          <w:sz w:val="24"/>
          <w:szCs w:val="24"/>
        </w:rPr>
        <w:t xml:space="preserve"> Transportation Corp. v. PUC, </w:t>
      </w:r>
      <w:r w:rsidR="003A087F">
        <w:rPr>
          <w:sz w:val="24"/>
          <w:szCs w:val="24"/>
        </w:rPr>
        <w:t xml:space="preserve">154 </w:t>
      </w:r>
      <w:proofErr w:type="spellStart"/>
      <w:r w:rsidR="003A087F">
        <w:rPr>
          <w:sz w:val="24"/>
          <w:szCs w:val="24"/>
        </w:rPr>
        <w:t>Pa.Cmwlth</w:t>
      </w:r>
      <w:proofErr w:type="spellEnd"/>
      <w:r w:rsidR="003A087F">
        <w:rPr>
          <w:sz w:val="24"/>
          <w:szCs w:val="24"/>
        </w:rPr>
        <w:t>.</w:t>
      </w:r>
      <w:proofErr w:type="gramEnd"/>
      <w:r w:rsidR="003A087F">
        <w:rPr>
          <w:sz w:val="24"/>
          <w:szCs w:val="24"/>
        </w:rPr>
        <w:t> </w:t>
      </w:r>
      <w:proofErr w:type="gramStart"/>
      <w:r w:rsidR="003A087F">
        <w:rPr>
          <w:sz w:val="24"/>
          <w:szCs w:val="24"/>
        </w:rPr>
        <w:t>21, </w:t>
      </w:r>
      <w:r w:rsidR="001B155A" w:rsidRPr="003A1F2B">
        <w:rPr>
          <w:sz w:val="24"/>
          <w:szCs w:val="24"/>
        </w:rPr>
        <w:t>623 A.2d 6 (1993).</w:t>
      </w:r>
      <w:proofErr w:type="gramEnd"/>
    </w:p>
    <w:p w:rsidR="000C374F" w:rsidRPr="003A1F2B" w:rsidRDefault="000C374F" w:rsidP="00C401B1">
      <w:pPr>
        <w:tabs>
          <w:tab w:val="left" w:pos="-1440"/>
          <w:tab w:val="left" w:pos="-720"/>
        </w:tabs>
        <w:suppressAutoHyphens/>
        <w:spacing w:line="360" w:lineRule="auto"/>
        <w:ind w:firstLine="1440"/>
        <w:rPr>
          <w:sz w:val="24"/>
          <w:szCs w:val="24"/>
        </w:rPr>
      </w:pPr>
    </w:p>
    <w:p w:rsidR="0093532C" w:rsidRPr="003A1F2B" w:rsidRDefault="0093532C" w:rsidP="00C401B1">
      <w:pPr>
        <w:tabs>
          <w:tab w:val="left" w:pos="-1440"/>
          <w:tab w:val="left" w:pos="-720"/>
        </w:tabs>
        <w:suppressAutoHyphens/>
        <w:spacing w:line="360" w:lineRule="auto"/>
        <w:ind w:firstLine="1440"/>
        <w:rPr>
          <w:sz w:val="24"/>
          <w:szCs w:val="24"/>
        </w:rPr>
      </w:pPr>
      <w:r w:rsidRPr="003A1F2B">
        <w:rPr>
          <w:sz w:val="24"/>
          <w:szCs w:val="24"/>
        </w:rPr>
        <w:t xml:space="preserve">Preliminary objections in civil practice requesting dismissal of a pleading will be granted only where the right to relief is clearly warranted and free from doubt.  </w:t>
      </w:r>
      <w:proofErr w:type="gramStart"/>
      <w:r w:rsidRPr="003A1F2B">
        <w:rPr>
          <w:i/>
          <w:sz w:val="24"/>
          <w:szCs w:val="24"/>
        </w:rPr>
        <w:t xml:space="preserve">Interstate </w:t>
      </w:r>
      <w:proofErr w:type="spellStart"/>
      <w:r w:rsidRPr="003A1F2B">
        <w:rPr>
          <w:i/>
          <w:sz w:val="24"/>
          <w:szCs w:val="24"/>
        </w:rPr>
        <w:t>Traveller</w:t>
      </w:r>
      <w:proofErr w:type="spellEnd"/>
      <w:r w:rsidRPr="003A1F2B">
        <w:rPr>
          <w:i/>
          <w:sz w:val="24"/>
          <w:szCs w:val="24"/>
        </w:rPr>
        <w:t xml:space="preserve"> Services, Inc. v. Pa. Dept. of Environment Resources,</w:t>
      </w:r>
      <w:r w:rsidRPr="003A1F2B">
        <w:rPr>
          <w:sz w:val="24"/>
          <w:szCs w:val="24"/>
        </w:rPr>
        <w:t xml:space="preserve"> 406 A.2d 1020 (Pa. 1979); </w:t>
      </w:r>
      <w:r w:rsidRPr="003A1F2B">
        <w:rPr>
          <w:i/>
          <w:sz w:val="24"/>
          <w:szCs w:val="24"/>
        </w:rPr>
        <w:t xml:space="preserve">Rivera v. Philadelphia Theological Seminary of St. Charles </w:t>
      </w:r>
      <w:proofErr w:type="spellStart"/>
      <w:r w:rsidRPr="003A1F2B">
        <w:rPr>
          <w:i/>
          <w:sz w:val="24"/>
          <w:szCs w:val="24"/>
        </w:rPr>
        <w:t>Borromeo</w:t>
      </w:r>
      <w:proofErr w:type="spellEnd"/>
      <w:r w:rsidR="001D56D9" w:rsidRPr="003A1F2B">
        <w:rPr>
          <w:i/>
          <w:sz w:val="24"/>
          <w:szCs w:val="24"/>
        </w:rPr>
        <w:t>, Inc.</w:t>
      </w:r>
      <w:r w:rsidR="00651D34">
        <w:rPr>
          <w:sz w:val="24"/>
          <w:szCs w:val="24"/>
        </w:rPr>
        <w:t>, 595 A.2d 172 (Pa. Super </w:t>
      </w:r>
      <w:r w:rsidR="001D56D9" w:rsidRPr="003A1F2B">
        <w:rPr>
          <w:sz w:val="24"/>
          <w:szCs w:val="24"/>
        </w:rPr>
        <w:t>1991).</w:t>
      </w:r>
      <w:proofErr w:type="gramEnd"/>
      <w:r w:rsidR="001D56D9" w:rsidRPr="003A1F2B">
        <w:rPr>
          <w:sz w:val="24"/>
          <w:szCs w:val="24"/>
        </w:rPr>
        <w:t xml:space="preserve">  The Commission follows this standard.  </w:t>
      </w:r>
      <w:proofErr w:type="gramStart"/>
      <w:r w:rsidR="00C10E88" w:rsidRPr="003A1F2B">
        <w:rPr>
          <w:i/>
          <w:sz w:val="24"/>
          <w:szCs w:val="24"/>
        </w:rPr>
        <w:t>Montague v. Philadelphia Electric Company,</w:t>
      </w:r>
      <w:r w:rsidR="00C10E88" w:rsidRPr="003A1F2B">
        <w:rPr>
          <w:sz w:val="24"/>
          <w:szCs w:val="24"/>
        </w:rPr>
        <w:t xml:space="preserve"> 66 </w:t>
      </w:r>
      <w:proofErr w:type="spellStart"/>
      <w:r w:rsidR="00C10E88" w:rsidRPr="003A1F2B">
        <w:rPr>
          <w:sz w:val="24"/>
          <w:szCs w:val="24"/>
        </w:rPr>
        <w:t>Pa.PUC</w:t>
      </w:r>
      <w:proofErr w:type="spellEnd"/>
      <w:r w:rsidR="00C10E88" w:rsidRPr="003A1F2B">
        <w:rPr>
          <w:sz w:val="24"/>
          <w:szCs w:val="24"/>
        </w:rPr>
        <w:t xml:space="preserve"> 24 (1988).</w:t>
      </w:r>
      <w:proofErr w:type="gramEnd"/>
    </w:p>
    <w:p w:rsidR="00C10E88" w:rsidRPr="003A1F2B" w:rsidRDefault="00C10E88" w:rsidP="00C401B1">
      <w:pPr>
        <w:tabs>
          <w:tab w:val="left" w:pos="-1440"/>
          <w:tab w:val="left" w:pos="-720"/>
        </w:tabs>
        <w:suppressAutoHyphens/>
        <w:spacing w:line="360" w:lineRule="auto"/>
        <w:ind w:firstLine="1440"/>
        <w:rPr>
          <w:sz w:val="24"/>
          <w:szCs w:val="24"/>
        </w:rPr>
      </w:pPr>
    </w:p>
    <w:p w:rsidR="00C10E88" w:rsidRPr="003A1F2B" w:rsidRDefault="00C10E88" w:rsidP="00C401B1">
      <w:pPr>
        <w:tabs>
          <w:tab w:val="left" w:pos="-1440"/>
          <w:tab w:val="left" w:pos="-720"/>
        </w:tabs>
        <w:suppressAutoHyphens/>
        <w:spacing w:line="360" w:lineRule="auto"/>
        <w:ind w:firstLine="1440"/>
        <w:rPr>
          <w:sz w:val="24"/>
          <w:szCs w:val="24"/>
        </w:rPr>
      </w:pPr>
      <w:r w:rsidRPr="003A1F2B">
        <w:rPr>
          <w:sz w:val="24"/>
          <w:szCs w:val="24"/>
        </w:rPr>
        <w:lastRenderedPageBreak/>
        <w:t xml:space="preserve">The Commission must view the complaint in the light most favorable to Complainant and should dismiss the complaint only if it appears that the Complainant would not be entitled to relief under any circumstances as a matter of law.  </w:t>
      </w:r>
      <w:r w:rsidRPr="003A1F2B">
        <w:rPr>
          <w:i/>
          <w:sz w:val="24"/>
          <w:szCs w:val="24"/>
        </w:rPr>
        <w:t xml:space="preserve">Equitable Small Transportation </w:t>
      </w:r>
      <w:proofErr w:type="spellStart"/>
      <w:r w:rsidRPr="003A1F2B">
        <w:rPr>
          <w:i/>
          <w:sz w:val="24"/>
          <w:szCs w:val="24"/>
        </w:rPr>
        <w:t>Intervenors</w:t>
      </w:r>
      <w:proofErr w:type="spellEnd"/>
      <w:r w:rsidRPr="003A1F2B">
        <w:rPr>
          <w:i/>
          <w:sz w:val="24"/>
          <w:szCs w:val="24"/>
        </w:rPr>
        <w:t xml:space="preserve"> v. Equitable Gas Company, </w:t>
      </w:r>
      <w:r w:rsidRPr="003A1F2B">
        <w:rPr>
          <w:sz w:val="24"/>
          <w:szCs w:val="24"/>
        </w:rPr>
        <w:t xml:space="preserve">1994 Pa PUC LEXIS 69, Docket No. </w:t>
      </w:r>
      <w:proofErr w:type="gramStart"/>
      <w:r w:rsidRPr="003A1F2B">
        <w:rPr>
          <w:sz w:val="24"/>
          <w:szCs w:val="24"/>
        </w:rPr>
        <w:t>C-00935435 (1994).</w:t>
      </w:r>
      <w:proofErr w:type="gramEnd"/>
    </w:p>
    <w:p w:rsidR="00C10E88" w:rsidRPr="003A1F2B" w:rsidRDefault="00C10E88" w:rsidP="00C401B1">
      <w:pPr>
        <w:tabs>
          <w:tab w:val="left" w:pos="-1440"/>
          <w:tab w:val="left" w:pos="-720"/>
        </w:tabs>
        <w:suppressAutoHyphens/>
        <w:spacing w:line="360" w:lineRule="auto"/>
        <w:ind w:firstLine="1440"/>
        <w:rPr>
          <w:sz w:val="24"/>
          <w:szCs w:val="24"/>
        </w:rPr>
      </w:pPr>
    </w:p>
    <w:p w:rsidR="007511C7" w:rsidRPr="003A1F2B" w:rsidRDefault="000C374F" w:rsidP="00C401B1">
      <w:pPr>
        <w:tabs>
          <w:tab w:val="left" w:pos="-1440"/>
          <w:tab w:val="left" w:pos="-720"/>
        </w:tabs>
        <w:suppressAutoHyphens/>
        <w:spacing w:line="360" w:lineRule="auto"/>
        <w:ind w:firstLine="1440"/>
        <w:rPr>
          <w:sz w:val="24"/>
          <w:szCs w:val="24"/>
        </w:rPr>
      </w:pPr>
      <w:r w:rsidRPr="003A1F2B">
        <w:rPr>
          <w:sz w:val="24"/>
          <w:szCs w:val="24"/>
        </w:rPr>
        <w:t>To the extent that Complainant is seeking c</w:t>
      </w:r>
      <w:r w:rsidR="00EB3B49" w:rsidRPr="003A1F2B">
        <w:rPr>
          <w:sz w:val="24"/>
          <w:szCs w:val="24"/>
        </w:rPr>
        <w:t xml:space="preserve">ompensatory damages because a power surge on September 25, 2012, destroyed his </w:t>
      </w:r>
      <w:proofErr w:type="gramStart"/>
      <w:r w:rsidR="00EB3B49" w:rsidRPr="003A1F2B">
        <w:rPr>
          <w:sz w:val="24"/>
          <w:szCs w:val="24"/>
        </w:rPr>
        <w:t>computer,</w:t>
      </w:r>
      <w:proofErr w:type="gramEnd"/>
      <w:r w:rsidR="00EB3B49" w:rsidRPr="003A1F2B">
        <w:rPr>
          <w:sz w:val="24"/>
          <w:szCs w:val="24"/>
        </w:rPr>
        <w:t xml:space="preserve"> </w:t>
      </w:r>
      <w:r w:rsidRPr="003A1F2B">
        <w:rPr>
          <w:sz w:val="24"/>
          <w:szCs w:val="24"/>
        </w:rPr>
        <w:t xml:space="preserve">this Commission lacks </w:t>
      </w:r>
      <w:r w:rsidR="002856F0">
        <w:rPr>
          <w:sz w:val="24"/>
          <w:szCs w:val="24"/>
        </w:rPr>
        <w:t>authority</w:t>
      </w:r>
      <w:r w:rsidRPr="003A1F2B">
        <w:rPr>
          <w:sz w:val="24"/>
          <w:szCs w:val="24"/>
        </w:rPr>
        <w:t xml:space="preserve"> to award compensatory damages. </w:t>
      </w:r>
      <w:r w:rsidR="00295C99" w:rsidRPr="003A1F2B">
        <w:rPr>
          <w:sz w:val="24"/>
          <w:szCs w:val="24"/>
        </w:rPr>
        <w:t xml:space="preserve"> </w:t>
      </w:r>
      <w:r w:rsidR="00295C99" w:rsidRPr="003A1F2B">
        <w:rPr>
          <w:i/>
          <w:sz w:val="24"/>
          <w:szCs w:val="24"/>
        </w:rPr>
        <w:t>See Feingold v. Bell of Pennsylvania,</w:t>
      </w:r>
      <w:r w:rsidR="00295C99" w:rsidRPr="003A1F2B">
        <w:rPr>
          <w:sz w:val="24"/>
          <w:szCs w:val="24"/>
        </w:rPr>
        <w:t xml:space="preserve"> 477 Pa. 1, </w:t>
      </w:r>
      <w:proofErr w:type="gramStart"/>
      <w:r w:rsidR="00295C99" w:rsidRPr="003A1F2B">
        <w:rPr>
          <w:sz w:val="24"/>
          <w:szCs w:val="24"/>
        </w:rPr>
        <w:t>383 A.2d 791</w:t>
      </w:r>
      <w:proofErr w:type="gramEnd"/>
      <w:r w:rsidR="00295C99" w:rsidRPr="003A1F2B">
        <w:rPr>
          <w:sz w:val="24"/>
          <w:szCs w:val="24"/>
        </w:rPr>
        <w:t xml:space="preserve"> (1977).  52 Pa. Code §5.101(a</w:t>
      </w:r>
      <w:proofErr w:type="gramStart"/>
      <w:r w:rsidR="00295C99" w:rsidRPr="003A1F2B">
        <w:rPr>
          <w:sz w:val="24"/>
          <w:szCs w:val="24"/>
        </w:rPr>
        <w:t>)(</w:t>
      </w:r>
      <w:proofErr w:type="gramEnd"/>
      <w:r w:rsidR="00295C99" w:rsidRPr="003A1F2B">
        <w:rPr>
          <w:sz w:val="24"/>
          <w:szCs w:val="24"/>
        </w:rPr>
        <w:t>4).</w:t>
      </w:r>
      <w:r w:rsidR="002856F0">
        <w:rPr>
          <w:sz w:val="24"/>
          <w:szCs w:val="24"/>
        </w:rPr>
        <w:t xml:space="preserve">  </w:t>
      </w:r>
      <w:r w:rsidR="00E7031B" w:rsidRPr="003A1F2B">
        <w:rPr>
          <w:sz w:val="24"/>
          <w:szCs w:val="24"/>
        </w:rPr>
        <w:t xml:space="preserve">Although this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sidR="00E7031B" w:rsidRPr="003A1F2B">
        <w:rPr>
          <w:i/>
          <w:sz w:val="24"/>
          <w:szCs w:val="24"/>
        </w:rPr>
        <w:t xml:space="preserve">See In Re: </w:t>
      </w:r>
      <w:proofErr w:type="spellStart"/>
      <w:r w:rsidR="00E7031B" w:rsidRPr="003A1F2B">
        <w:rPr>
          <w:i/>
          <w:sz w:val="24"/>
          <w:szCs w:val="24"/>
        </w:rPr>
        <w:t>Melograne</w:t>
      </w:r>
      <w:proofErr w:type="spellEnd"/>
      <w:r w:rsidR="00E7031B" w:rsidRPr="003A1F2B">
        <w:rPr>
          <w:i/>
          <w:sz w:val="24"/>
          <w:szCs w:val="24"/>
        </w:rPr>
        <w:t xml:space="preserve">, </w:t>
      </w:r>
      <w:proofErr w:type="gramStart"/>
      <w:r w:rsidR="00E7031B" w:rsidRPr="003A1F2B">
        <w:rPr>
          <w:sz w:val="24"/>
          <w:szCs w:val="24"/>
        </w:rPr>
        <w:t>812 A.2d 1164</w:t>
      </w:r>
      <w:proofErr w:type="gramEnd"/>
      <w:r w:rsidR="00E7031B" w:rsidRPr="003A1F2B">
        <w:rPr>
          <w:sz w:val="24"/>
          <w:szCs w:val="24"/>
        </w:rPr>
        <w:t xml:space="preserve"> (Pa. 2002); </w:t>
      </w:r>
      <w:proofErr w:type="spellStart"/>
      <w:r w:rsidR="00E7031B" w:rsidRPr="003A1F2B">
        <w:rPr>
          <w:i/>
          <w:sz w:val="24"/>
          <w:szCs w:val="24"/>
        </w:rPr>
        <w:t>Terminato</w:t>
      </w:r>
      <w:proofErr w:type="spellEnd"/>
      <w:r w:rsidR="00E7031B" w:rsidRPr="003A1F2B">
        <w:rPr>
          <w:i/>
          <w:sz w:val="24"/>
          <w:szCs w:val="24"/>
        </w:rPr>
        <w:t xml:space="preserve"> v. Pa. National Insurance Company, </w:t>
      </w:r>
      <w:r w:rsidR="00E7031B" w:rsidRPr="003A1F2B">
        <w:rPr>
          <w:sz w:val="24"/>
          <w:szCs w:val="24"/>
        </w:rPr>
        <w:t>645 A. 2d 1287 (Pa. 1994).</w:t>
      </w:r>
      <w:r w:rsidR="002856F0">
        <w:rPr>
          <w:sz w:val="24"/>
          <w:szCs w:val="24"/>
        </w:rPr>
        <w:t xml:space="preserve">  Therefore, the preliminary objections shall be granted </w:t>
      </w:r>
      <w:r w:rsidR="009845EB">
        <w:rPr>
          <w:sz w:val="24"/>
          <w:szCs w:val="24"/>
        </w:rPr>
        <w:t>in part.  Specifically,</w:t>
      </w:r>
      <w:r w:rsidR="002856F0">
        <w:rPr>
          <w:sz w:val="24"/>
          <w:szCs w:val="24"/>
        </w:rPr>
        <w:t xml:space="preserve"> the claim for compensatory damages shall be stricken as impertinent matter.</w:t>
      </w:r>
    </w:p>
    <w:p w:rsidR="009B78A4" w:rsidRPr="003A1F2B" w:rsidRDefault="009B78A4" w:rsidP="00C401B1">
      <w:pPr>
        <w:tabs>
          <w:tab w:val="left" w:pos="-1440"/>
          <w:tab w:val="left" w:pos="-720"/>
        </w:tabs>
        <w:suppressAutoHyphens/>
        <w:spacing w:line="360" w:lineRule="auto"/>
        <w:ind w:firstLine="1440"/>
        <w:rPr>
          <w:sz w:val="24"/>
          <w:szCs w:val="24"/>
        </w:rPr>
      </w:pPr>
    </w:p>
    <w:p w:rsidR="002856F0" w:rsidRDefault="009845EB" w:rsidP="00C401B1">
      <w:pPr>
        <w:tabs>
          <w:tab w:val="left" w:pos="-1440"/>
          <w:tab w:val="left" w:pos="-720"/>
        </w:tabs>
        <w:suppressAutoHyphens/>
        <w:spacing w:line="360" w:lineRule="auto"/>
        <w:ind w:firstLine="1440"/>
        <w:rPr>
          <w:sz w:val="24"/>
          <w:szCs w:val="24"/>
        </w:rPr>
      </w:pPr>
      <w:r>
        <w:rPr>
          <w:sz w:val="24"/>
          <w:szCs w:val="24"/>
        </w:rPr>
        <w:t>Complainant state</w:t>
      </w:r>
      <w:r w:rsidR="00D15512">
        <w:rPr>
          <w:sz w:val="24"/>
          <w:szCs w:val="24"/>
        </w:rPr>
        <w:t>d</w:t>
      </w:r>
      <w:r>
        <w:rPr>
          <w:sz w:val="24"/>
          <w:szCs w:val="24"/>
        </w:rPr>
        <w:t xml:space="preserve"> that a power surge on September 25, 2010 destroyed his computer.  In reviewing preliminary objections, only the facts in the complaint may be presumed to be true in order to determine whether recovery is possible.  This averment of a power surge caused by Respondent, </w:t>
      </w:r>
      <w:r w:rsidR="002856F0">
        <w:rPr>
          <w:sz w:val="24"/>
          <w:szCs w:val="24"/>
        </w:rPr>
        <w:t>if proven true, could constitute unreasonable service in violation of the Public Utility Code or Commission regulations.</w:t>
      </w:r>
      <w:r>
        <w:rPr>
          <w:sz w:val="24"/>
          <w:szCs w:val="24"/>
        </w:rPr>
        <w:t xml:space="preserve">  </w:t>
      </w:r>
      <w:r w:rsidR="00D15512">
        <w:rPr>
          <w:sz w:val="24"/>
          <w:szCs w:val="24"/>
        </w:rPr>
        <w:t xml:space="preserve">Specifically, </w:t>
      </w:r>
      <w:r>
        <w:rPr>
          <w:sz w:val="24"/>
          <w:szCs w:val="24"/>
        </w:rPr>
        <w:t xml:space="preserve">66 Pa. C.S. §1501 </w:t>
      </w:r>
      <w:r w:rsidR="00D15512">
        <w:rPr>
          <w:sz w:val="24"/>
          <w:szCs w:val="24"/>
        </w:rPr>
        <w:t xml:space="preserve">provides in pertinent part that </w:t>
      </w:r>
      <w:r>
        <w:rPr>
          <w:sz w:val="24"/>
          <w:szCs w:val="24"/>
        </w:rPr>
        <w:t xml:space="preserve">public utilities </w:t>
      </w:r>
      <w:r w:rsidR="00D15512">
        <w:rPr>
          <w:sz w:val="24"/>
          <w:szCs w:val="24"/>
        </w:rPr>
        <w:t xml:space="preserve">have a duty </w:t>
      </w:r>
      <w:r>
        <w:rPr>
          <w:sz w:val="24"/>
          <w:szCs w:val="24"/>
        </w:rPr>
        <w:t xml:space="preserve">to furnish and maintain adequate, efficient, safe and reasonable service and facilities, and to make all such repairs, changes alterations, substitutions, extensions and improvements in or to such service and facilities as are necessary or proper for the accommodation, convenience, and safety of its patrons, employees, and the public.  </w:t>
      </w:r>
      <w:r w:rsidR="002856F0">
        <w:rPr>
          <w:sz w:val="24"/>
          <w:szCs w:val="24"/>
        </w:rPr>
        <w:t xml:space="preserve"> </w:t>
      </w:r>
      <w:r w:rsidR="00D15512">
        <w:rPr>
          <w:sz w:val="24"/>
          <w:szCs w:val="24"/>
        </w:rPr>
        <w:t xml:space="preserve">Violation of Section </w:t>
      </w:r>
      <w:proofErr w:type="gramStart"/>
      <w:r w:rsidR="00D15512">
        <w:rPr>
          <w:sz w:val="24"/>
          <w:szCs w:val="24"/>
        </w:rPr>
        <w:t>1501,</w:t>
      </w:r>
      <w:proofErr w:type="gramEnd"/>
      <w:r w:rsidR="00D15512">
        <w:rPr>
          <w:sz w:val="24"/>
          <w:szCs w:val="24"/>
        </w:rPr>
        <w:t xml:space="preserve"> could result in a </w:t>
      </w:r>
      <w:r w:rsidR="002856F0">
        <w:rPr>
          <w:sz w:val="24"/>
          <w:szCs w:val="24"/>
        </w:rPr>
        <w:t xml:space="preserve">civil penalty </w:t>
      </w:r>
      <w:r w:rsidR="00D15512">
        <w:rPr>
          <w:sz w:val="24"/>
          <w:szCs w:val="24"/>
        </w:rPr>
        <w:t xml:space="preserve">against Respondent </w:t>
      </w:r>
      <w:r w:rsidR="002856F0">
        <w:rPr>
          <w:sz w:val="24"/>
          <w:szCs w:val="24"/>
        </w:rPr>
        <w:t xml:space="preserve">pursuant to 66 </w:t>
      </w:r>
      <w:proofErr w:type="spellStart"/>
      <w:r w:rsidR="002856F0">
        <w:rPr>
          <w:sz w:val="24"/>
          <w:szCs w:val="24"/>
        </w:rPr>
        <w:t>Pa.C.S</w:t>
      </w:r>
      <w:proofErr w:type="spellEnd"/>
      <w:r w:rsidR="002856F0">
        <w:rPr>
          <w:sz w:val="24"/>
          <w:szCs w:val="24"/>
        </w:rPr>
        <w:t xml:space="preserve">. §3301.  </w:t>
      </w:r>
    </w:p>
    <w:p w:rsidR="00D15512" w:rsidRDefault="00D15512" w:rsidP="00C401B1">
      <w:pPr>
        <w:tabs>
          <w:tab w:val="left" w:pos="-1440"/>
          <w:tab w:val="left" w:pos="-720"/>
        </w:tabs>
        <w:suppressAutoHyphens/>
        <w:spacing w:line="360" w:lineRule="auto"/>
        <w:ind w:firstLine="1440"/>
        <w:rPr>
          <w:sz w:val="24"/>
          <w:szCs w:val="24"/>
        </w:rPr>
      </w:pPr>
    </w:p>
    <w:p w:rsidR="00D15512" w:rsidRDefault="00D15512" w:rsidP="00C401B1">
      <w:pPr>
        <w:tabs>
          <w:tab w:val="left" w:pos="-1440"/>
          <w:tab w:val="left" w:pos="-720"/>
        </w:tabs>
        <w:suppressAutoHyphens/>
        <w:spacing w:line="360" w:lineRule="auto"/>
        <w:ind w:firstLine="1440"/>
        <w:rPr>
          <w:sz w:val="24"/>
          <w:szCs w:val="24"/>
        </w:rPr>
      </w:pPr>
      <w:r>
        <w:rPr>
          <w:sz w:val="24"/>
          <w:szCs w:val="24"/>
        </w:rPr>
        <w:t xml:space="preserve">However, Complainant is advised that the burden of proving Respondent violated the Public Utility Code or Commission regulation or Order is on the Complainant at a hearing.  Complainant will not be awarded compensation even if he proves his case and any civil penalty assessed against Respondent will be added to the Commonwealth’s General Fund and will not be </w:t>
      </w:r>
      <w:r>
        <w:rPr>
          <w:sz w:val="24"/>
          <w:szCs w:val="24"/>
        </w:rPr>
        <w:lastRenderedPageBreak/>
        <w:t>awarded to Complainant pursuant to 33 Pa. C.S. § 3301.  Therefore, the Preliminary Objections are granted insofar as they seek to bar testimony regarding monetary damages, and denied insofar as they seek dismissal of the complaint entirely.</w:t>
      </w:r>
    </w:p>
    <w:p w:rsidR="002856F0" w:rsidRDefault="002856F0" w:rsidP="00C401B1">
      <w:pPr>
        <w:tabs>
          <w:tab w:val="left" w:pos="-1440"/>
          <w:tab w:val="left" w:pos="-720"/>
        </w:tabs>
        <w:suppressAutoHyphens/>
        <w:spacing w:line="360" w:lineRule="auto"/>
        <w:ind w:firstLine="1440"/>
        <w:rPr>
          <w:sz w:val="24"/>
          <w:szCs w:val="24"/>
        </w:rPr>
      </w:pPr>
    </w:p>
    <w:p w:rsidR="00303D99" w:rsidRPr="003A1F2B" w:rsidRDefault="008E53AB">
      <w:pPr>
        <w:spacing w:line="360" w:lineRule="auto"/>
        <w:jc w:val="center"/>
        <w:rPr>
          <w:sz w:val="24"/>
          <w:szCs w:val="24"/>
        </w:rPr>
      </w:pPr>
      <w:r w:rsidRPr="003A1F2B">
        <w:rPr>
          <w:sz w:val="24"/>
          <w:szCs w:val="24"/>
          <w:u w:val="single"/>
        </w:rPr>
        <w:t>CONCLUSION OF LAW</w:t>
      </w:r>
    </w:p>
    <w:p w:rsidR="00326CCF" w:rsidRPr="003A1F2B" w:rsidRDefault="00326CCF">
      <w:pPr>
        <w:spacing w:line="360" w:lineRule="auto"/>
        <w:ind w:firstLine="1440"/>
        <w:rPr>
          <w:sz w:val="24"/>
          <w:szCs w:val="24"/>
        </w:rPr>
      </w:pPr>
    </w:p>
    <w:p w:rsidR="00303D99" w:rsidRPr="003A1F2B" w:rsidRDefault="00303D99">
      <w:pPr>
        <w:spacing w:line="360" w:lineRule="auto"/>
        <w:ind w:firstLine="1440"/>
        <w:rPr>
          <w:sz w:val="24"/>
          <w:szCs w:val="24"/>
        </w:rPr>
      </w:pPr>
      <w:r w:rsidRPr="003A1F2B">
        <w:rPr>
          <w:sz w:val="24"/>
          <w:szCs w:val="24"/>
        </w:rPr>
        <w:t>1.</w:t>
      </w:r>
      <w:r w:rsidRPr="003A1F2B">
        <w:rPr>
          <w:sz w:val="24"/>
          <w:szCs w:val="24"/>
        </w:rPr>
        <w:tab/>
      </w:r>
      <w:r w:rsidR="004E7477" w:rsidRPr="003A1F2B">
        <w:rPr>
          <w:sz w:val="24"/>
          <w:szCs w:val="24"/>
        </w:rPr>
        <w:t>The Commission has no subject matter jurisdiction over whether Complainant is entitled to any compensatory damages from Respondent</w:t>
      </w:r>
      <w:r w:rsidR="00EB3B49" w:rsidRPr="003A1F2B">
        <w:rPr>
          <w:sz w:val="24"/>
          <w:szCs w:val="24"/>
        </w:rPr>
        <w:t>.</w:t>
      </w:r>
      <w:r w:rsidR="004E7477" w:rsidRPr="003A1F2B">
        <w:rPr>
          <w:sz w:val="24"/>
          <w:szCs w:val="24"/>
        </w:rPr>
        <w:t xml:space="preserve">  </w:t>
      </w:r>
      <w:r w:rsidR="004E0670" w:rsidRPr="003A1F2B">
        <w:rPr>
          <w:sz w:val="24"/>
          <w:szCs w:val="24"/>
        </w:rPr>
        <w:t xml:space="preserve">52 </w:t>
      </w:r>
      <w:proofErr w:type="spellStart"/>
      <w:r w:rsidR="004E0670" w:rsidRPr="003A1F2B">
        <w:rPr>
          <w:sz w:val="24"/>
          <w:szCs w:val="24"/>
        </w:rPr>
        <w:t>Pa.Code</w:t>
      </w:r>
      <w:proofErr w:type="spellEnd"/>
      <w:r w:rsidR="004E0670" w:rsidRPr="003A1F2B">
        <w:rPr>
          <w:sz w:val="24"/>
          <w:szCs w:val="24"/>
        </w:rPr>
        <w:t xml:space="preserve"> §5.101(a</w:t>
      </w:r>
      <w:proofErr w:type="gramStart"/>
      <w:r w:rsidR="004E0670" w:rsidRPr="003A1F2B">
        <w:rPr>
          <w:sz w:val="24"/>
          <w:szCs w:val="24"/>
        </w:rPr>
        <w:t>)(</w:t>
      </w:r>
      <w:proofErr w:type="gramEnd"/>
      <w:r w:rsidR="004E0670" w:rsidRPr="003A1F2B">
        <w:rPr>
          <w:sz w:val="24"/>
          <w:szCs w:val="24"/>
        </w:rPr>
        <w:t>1).</w:t>
      </w:r>
    </w:p>
    <w:p w:rsidR="00303D99" w:rsidRPr="003A1F2B" w:rsidRDefault="00303D99">
      <w:pPr>
        <w:spacing w:line="360" w:lineRule="auto"/>
        <w:ind w:firstLine="1440"/>
        <w:rPr>
          <w:sz w:val="24"/>
          <w:szCs w:val="24"/>
        </w:rPr>
      </w:pPr>
    </w:p>
    <w:p w:rsidR="00D15512" w:rsidRDefault="004E0670">
      <w:pPr>
        <w:spacing w:line="360" w:lineRule="auto"/>
        <w:ind w:firstLine="1440"/>
        <w:rPr>
          <w:sz w:val="24"/>
          <w:szCs w:val="24"/>
        </w:rPr>
      </w:pPr>
      <w:r w:rsidRPr="003A1F2B">
        <w:rPr>
          <w:sz w:val="24"/>
          <w:szCs w:val="24"/>
        </w:rPr>
        <w:t>2</w:t>
      </w:r>
      <w:r w:rsidR="00303D99" w:rsidRPr="003A1F2B">
        <w:rPr>
          <w:sz w:val="24"/>
          <w:szCs w:val="24"/>
        </w:rPr>
        <w:t>.</w:t>
      </w:r>
      <w:r w:rsidR="00303D99" w:rsidRPr="003A1F2B">
        <w:rPr>
          <w:sz w:val="24"/>
          <w:szCs w:val="24"/>
        </w:rPr>
        <w:tab/>
      </w:r>
      <w:r w:rsidR="00D15512">
        <w:rPr>
          <w:sz w:val="24"/>
          <w:szCs w:val="24"/>
        </w:rPr>
        <w:t>The Commission has jurisdiction over the subject matter of this case regarding a claim of unreasonable service.</w:t>
      </w:r>
    </w:p>
    <w:p w:rsidR="00D15512" w:rsidRDefault="00D15512">
      <w:pPr>
        <w:spacing w:line="360" w:lineRule="auto"/>
        <w:ind w:firstLine="1440"/>
        <w:rPr>
          <w:sz w:val="24"/>
          <w:szCs w:val="24"/>
        </w:rPr>
      </w:pPr>
    </w:p>
    <w:p w:rsidR="00FC2C9F" w:rsidRPr="00D15512" w:rsidRDefault="00D15512" w:rsidP="00D15512">
      <w:pPr>
        <w:spacing w:line="360" w:lineRule="auto"/>
        <w:ind w:firstLine="1440"/>
        <w:rPr>
          <w:sz w:val="24"/>
          <w:szCs w:val="24"/>
        </w:rPr>
      </w:pPr>
      <w:r>
        <w:rPr>
          <w:sz w:val="24"/>
          <w:szCs w:val="24"/>
        </w:rPr>
        <w:t>3.</w:t>
      </w:r>
      <w:r>
        <w:rPr>
          <w:sz w:val="24"/>
          <w:szCs w:val="24"/>
        </w:rPr>
        <w:tab/>
        <w:t xml:space="preserve">Commission preliminary objection practice is similar to Pennsylvania civil practice.  </w:t>
      </w:r>
      <w:r>
        <w:rPr>
          <w:i/>
          <w:sz w:val="24"/>
          <w:szCs w:val="24"/>
        </w:rPr>
        <w:t xml:space="preserve">Equitable Small Transportation Interveners v. Equitable Gas Company, </w:t>
      </w:r>
      <w:r>
        <w:rPr>
          <w:sz w:val="24"/>
          <w:szCs w:val="24"/>
        </w:rPr>
        <w:t xml:space="preserve">1994 Pa. PUC LEXIS 69, PUC Docket No. </w:t>
      </w:r>
      <w:proofErr w:type="gramStart"/>
      <w:r>
        <w:rPr>
          <w:sz w:val="24"/>
          <w:szCs w:val="24"/>
        </w:rPr>
        <w:t>C-000935435 (July 18, 1994).</w:t>
      </w:r>
      <w:proofErr w:type="gramEnd"/>
    </w:p>
    <w:p w:rsidR="0075731D" w:rsidRPr="003A1F2B" w:rsidRDefault="0075731D">
      <w:pPr>
        <w:spacing w:line="360" w:lineRule="auto"/>
        <w:ind w:firstLine="1440"/>
        <w:rPr>
          <w:sz w:val="24"/>
          <w:szCs w:val="24"/>
        </w:rPr>
      </w:pPr>
    </w:p>
    <w:p w:rsidR="00303D99" w:rsidRPr="003A1F2B" w:rsidRDefault="00497F46">
      <w:pPr>
        <w:spacing w:line="360" w:lineRule="auto"/>
        <w:jc w:val="center"/>
        <w:rPr>
          <w:bCs/>
          <w:sz w:val="24"/>
          <w:szCs w:val="24"/>
          <w:u w:val="single"/>
        </w:rPr>
      </w:pPr>
      <w:r w:rsidRPr="003A1F2B">
        <w:rPr>
          <w:bCs/>
          <w:sz w:val="24"/>
          <w:szCs w:val="24"/>
          <w:u w:val="single"/>
        </w:rPr>
        <w:t>O</w:t>
      </w:r>
      <w:r w:rsidR="00AF00AB" w:rsidRPr="003A1F2B">
        <w:rPr>
          <w:bCs/>
          <w:sz w:val="24"/>
          <w:szCs w:val="24"/>
          <w:u w:val="single"/>
        </w:rPr>
        <w:t>RDER</w:t>
      </w:r>
    </w:p>
    <w:p w:rsidR="00303D99" w:rsidRPr="003A1F2B" w:rsidRDefault="00303D99">
      <w:pPr>
        <w:spacing w:line="360" w:lineRule="auto"/>
        <w:ind w:firstLine="1440"/>
        <w:rPr>
          <w:sz w:val="24"/>
          <w:szCs w:val="24"/>
          <w:u w:val="single"/>
        </w:rPr>
      </w:pPr>
    </w:p>
    <w:p w:rsidR="00303D99" w:rsidRPr="003A1F2B" w:rsidRDefault="00303D99">
      <w:pPr>
        <w:spacing w:line="360" w:lineRule="auto"/>
        <w:ind w:firstLine="1440"/>
        <w:rPr>
          <w:sz w:val="24"/>
          <w:szCs w:val="24"/>
          <w:u w:val="single"/>
        </w:rPr>
      </w:pPr>
    </w:p>
    <w:p w:rsidR="00303D99" w:rsidRPr="003A1F2B" w:rsidRDefault="00303D99">
      <w:pPr>
        <w:spacing w:line="360" w:lineRule="auto"/>
        <w:ind w:firstLine="1440"/>
        <w:rPr>
          <w:sz w:val="24"/>
          <w:szCs w:val="24"/>
        </w:rPr>
      </w:pPr>
      <w:r w:rsidRPr="003A1F2B">
        <w:rPr>
          <w:bCs/>
          <w:sz w:val="24"/>
          <w:szCs w:val="24"/>
        </w:rPr>
        <w:t>THEREFORE,</w:t>
      </w:r>
    </w:p>
    <w:p w:rsidR="00303D99" w:rsidRPr="003A1F2B" w:rsidRDefault="00303D99">
      <w:pPr>
        <w:spacing w:line="360" w:lineRule="auto"/>
        <w:ind w:firstLine="1440"/>
        <w:rPr>
          <w:sz w:val="24"/>
          <w:szCs w:val="24"/>
        </w:rPr>
      </w:pPr>
    </w:p>
    <w:p w:rsidR="00303D99" w:rsidRPr="003A1F2B" w:rsidRDefault="00303D99">
      <w:pPr>
        <w:spacing w:line="360" w:lineRule="auto"/>
        <w:ind w:firstLine="1440"/>
        <w:rPr>
          <w:bCs/>
          <w:sz w:val="24"/>
          <w:szCs w:val="24"/>
        </w:rPr>
      </w:pPr>
      <w:r w:rsidRPr="003A1F2B">
        <w:rPr>
          <w:bCs/>
          <w:sz w:val="24"/>
          <w:szCs w:val="24"/>
        </w:rPr>
        <w:t>IT IS ORDERED:</w:t>
      </w:r>
    </w:p>
    <w:p w:rsidR="00303D99" w:rsidRPr="003A1F2B" w:rsidRDefault="00303D99">
      <w:pPr>
        <w:spacing w:line="360" w:lineRule="auto"/>
        <w:ind w:firstLine="1440"/>
        <w:rPr>
          <w:sz w:val="24"/>
          <w:szCs w:val="24"/>
        </w:rPr>
      </w:pPr>
    </w:p>
    <w:p w:rsidR="00927C1A" w:rsidRPr="003A1F2B" w:rsidRDefault="00303D99">
      <w:pPr>
        <w:spacing w:line="360" w:lineRule="auto"/>
        <w:ind w:firstLine="1440"/>
        <w:rPr>
          <w:sz w:val="24"/>
          <w:szCs w:val="24"/>
        </w:rPr>
      </w:pPr>
      <w:r w:rsidRPr="003A1F2B">
        <w:rPr>
          <w:sz w:val="24"/>
          <w:szCs w:val="24"/>
        </w:rPr>
        <w:t>1.</w:t>
      </w:r>
      <w:r w:rsidRPr="003A1F2B">
        <w:rPr>
          <w:sz w:val="24"/>
          <w:szCs w:val="24"/>
        </w:rPr>
        <w:tab/>
        <w:t>That</w:t>
      </w:r>
      <w:r w:rsidR="00927C1A" w:rsidRPr="003A1F2B">
        <w:rPr>
          <w:sz w:val="24"/>
          <w:szCs w:val="24"/>
        </w:rPr>
        <w:t xml:space="preserve"> </w:t>
      </w:r>
      <w:r w:rsidR="00EB3B49" w:rsidRPr="003A1F2B">
        <w:rPr>
          <w:sz w:val="24"/>
          <w:szCs w:val="24"/>
        </w:rPr>
        <w:t>Metropolitan Edison</w:t>
      </w:r>
      <w:r w:rsidR="00927C1A" w:rsidRPr="003A1F2B">
        <w:rPr>
          <w:sz w:val="24"/>
          <w:szCs w:val="24"/>
        </w:rPr>
        <w:t xml:space="preserve"> Company’s Preliminary Objections are hereby </w:t>
      </w:r>
      <w:r w:rsidR="009845EB">
        <w:rPr>
          <w:sz w:val="24"/>
          <w:szCs w:val="24"/>
        </w:rPr>
        <w:t>granted in part and denied in part</w:t>
      </w:r>
      <w:r w:rsidR="00F61E3E">
        <w:rPr>
          <w:sz w:val="24"/>
          <w:szCs w:val="24"/>
        </w:rPr>
        <w:t>.</w:t>
      </w:r>
    </w:p>
    <w:p w:rsidR="00927C1A" w:rsidRPr="003A1F2B" w:rsidRDefault="00927C1A">
      <w:pPr>
        <w:spacing w:line="360" w:lineRule="auto"/>
        <w:ind w:firstLine="1440"/>
        <w:rPr>
          <w:sz w:val="24"/>
          <w:szCs w:val="24"/>
        </w:rPr>
      </w:pPr>
    </w:p>
    <w:p w:rsidR="009845EB" w:rsidRDefault="00303D99">
      <w:pPr>
        <w:spacing w:line="360" w:lineRule="auto"/>
        <w:ind w:firstLine="1440"/>
        <w:rPr>
          <w:sz w:val="24"/>
          <w:szCs w:val="24"/>
        </w:rPr>
      </w:pPr>
      <w:r w:rsidRPr="003A1F2B">
        <w:rPr>
          <w:sz w:val="24"/>
          <w:szCs w:val="24"/>
        </w:rPr>
        <w:t>2.</w:t>
      </w:r>
      <w:r w:rsidRPr="003A1F2B">
        <w:rPr>
          <w:sz w:val="24"/>
          <w:szCs w:val="24"/>
        </w:rPr>
        <w:tab/>
        <w:t xml:space="preserve">That </w:t>
      </w:r>
      <w:r w:rsidR="009845EB">
        <w:rPr>
          <w:sz w:val="24"/>
          <w:szCs w:val="24"/>
        </w:rPr>
        <w:t xml:space="preserve">the request for relief in the form of monetary damages as set forth in the complaint of Richard Dowling filed at Docket No. C-2013-2343057 is stricken.  </w:t>
      </w:r>
    </w:p>
    <w:p w:rsidR="009845EB" w:rsidRDefault="009845EB">
      <w:pPr>
        <w:spacing w:line="360" w:lineRule="auto"/>
        <w:ind w:firstLine="1440"/>
        <w:rPr>
          <w:sz w:val="24"/>
          <w:szCs w:val="24"/>
        </w:rPr>
      </w:pPr>
    </w:p>
    <w:p w:rsidR="00303D99" w:rsidRPr="003A1F2B" w:rsidRDefault="009845EB">
      <w:pPr>
        <w:spacing w:line="360" w:lineRule="auto"/>
        <w:ind w:firstLine="1440"/>
        <w:rPr>
          <w:sz w:val="24"/>
          <w:szCs w:val="24"/>
        </w:rPr>
      </w:pPr>
      <w:r>
        <w:rPr>
          <w:sz w:val="24"/>
          <w:szCs w:val="24"/>
        </w:rPr>
        <w:lastRenderedPageBreak/>
        <w:t>3.</w:t>
      </w:r>
      <w:r>
        <w:rPr>
          <w:sz w:val="24"/>
          <w:szCs w:val="24"/>
        </w:rPr>
        <w:tab/>
        <w:t xml:space="preserve">That </w:t>
      </w:r>
      <w:r w:rsidR="00303D99" w:rsidRPr="003A1F2B">
        <w:rPr>
          <w:sz w:val="24"/>
          <w:szCs w:val="24"/>
        </w:rPr>
        <w:t xml:space="preserve">the </w:t>
      </w:r>
      <w:r w:rsidR="00D15512">
        <w:rPr>
          <w:sz w:val="24"/>
          <w:szCs w:val="24"/>
        </w:rPr>
        <w:t>c</w:t>
      </w:r>
      <w:r w:rsidR="00303D99" w:rsidRPr="003A1F2B">
        <w:rPr>
          <w:sz w:val="24"/>
          <w:szCs w:val="24"/>
        </w:rPr>
        <w:t xml:space="preserve">omplaint filed by </w:t>
      </w:r>
      <w:r w:rsidR="00EB3B49" w:rsidRPr="003A1F2B">
        <w:rPr>
          <w:sz w:val="24"/>
          <w:szCs w:val="24"/>
        </w:rPr>
        <w:t>Richard Dowling</w:t>
      </w:r>
      <w:r w:rsidR="00927C1A" w:rsidRPr="003A1F2B">
        <w:rPr>
          <w:sz w:val="24"/>
          <w:szCs w:val="24"/>
        </w:rPr>
        <w:t xml:space="preserve"> </w:t>
      </w:r>
      <w:r w:rsidR="00303D99" w:rsidRPr="003A1F2B">
        <w:rPr>
          <w:sz w:val="24"/>
          <w:szCs w:val="24"/>
        </w:rPr>
        <w:t xml:space="preserve">against </w:t>
      </w:r>
      <w:r w:rsidR="00EB3B49" w:rsidRPr="003A1F2B">
        <w:rPr>
          <w:sz w:val="24"/>
          <w:szCs w:val="24"/>
        </w:rPr>
        <w:t>Metropolitan Edison</w:t>
      </w:r>
      <w:r w:rsidR="00303D99" w:rsidRPr="003A1F2B">
        <w:rPr>
          <w:sz w:val="24"/>
          <w:szCs w:val="24"/>
        </w:rPr>
        <w:t xml:space="preserve"> Company docketed as Docket Number C-</w:t>
      </w:r>
      <w:r w:rsidR="00927C1A" w:rsidRPr="003A1F2B">
        <w:rPr>
          <w:sz w:val="24"/>
          <w:szCs w:val="24"/>
        </w:rPr>
        <w:t>201</w:t>
      </w:r>
      <w:r w:rsidR="00EB3B49" w:rsidRPr="003A1F2B">
        <w:rPr>
          <w:sz w:val="24"/>
          <w:szCs w:val="24"/>
        </w:rPr>
        <w:t>3-2343057</w:t>
      </w:r>
      <w:r w:rsidR="00303D99" w:rsidRPr="003A1F2B">
        <w:rPr>
          <w:sz w:val="24"/>
          <w:szCs w:val="24"/>
        </w:rPr>
        <w:t xml:space="preserve"> </w:t>
      </w:r>
      <w:r>
        <w:rPr>
          <w:sz w:val="24"/>
          <w:szCs w:val="24"/>
        </w:rPr>
        <w:t>shall be scheduled for a hearing</w:t>
      </w:r>
      <w:r w:rsidR="00303D99" w:rsidRPr="003A1F2B">
        <w:rPr>
          <w:sz w:val="24"/>
          <w:szCs w:val="24"/>
        </w:rPr>
        <w:t>.</w:t>
      </w:r>
    </w:p>
    <w:p w:rsidR="00303D99" w:rsidRPr="003A1F2B" w:rsidRDefault="00303D99">
      <w:pPr>
        <w:spacing w:line="360" w:lineRule="auto"/>
        <w:ind w:firstLine="1440"/>
        <w:rPr>
          <w:sz w:val="24"/>
          <w:szCs w:val="24"/>
        </w:rPr>
      </w:pPr>
    </w:p>
    <w:p w:rsidR="00303D99" w:rsidRPr="003A1F2B" w:rsidRDefault="008E53AB" w:rsidP="008E53AB">
      <w:pPr>
        <w:spacing w:line="360" w:lineRule="auto"/>
        <w:rPr>
          <w:sz w:val="24"/>
          <w:szCs w:val="24"/>
        </w:rPr>
      </w:pPr>
      <w:r w:rsidRPr="003A1F2B">
        <w:rPr>
          <w:sz w:val="24"/>
          <w:szCs w:val="24"/>
        </w:rPr>
        <w:tab/>
      </w:r>
      <w:r w:rsidRPr="003A1F2B">
        <w:rPr>
          <w:sz w:val="24"/>
          <w:szCs w:val="24"/>
        </w:rPr>
        <w:tab/>
      </w:r>
    </w:p>
    <w:p w:rsidR="00A9235D" w:rsidRPr="003A1F2B" w:rsidRDefault="00AF00AB">
      <w:pPr>
        <w:rPr>
          <w:sz w:val="24"/>
          <w:szCs w:val="24"/>
        </w:rPr>
      </w:pPr>
      <w:r w:rsidRPr="003A1F2B">
        <w:rPr>
          <w:sz w:val="24"/>
          <w:szCs w:val="24"/>
        </w:rPr>
        <w:t xml:space="preserve">Date:  </w:t>
      </w:r>
      <w:r w:rsidR="00EB3B49" w:rsidRPr="003A1F2B">
        <w:rPr>
          <w:sz w:val="24"/>
          <w:szCs w:val="24"/>
          <w:u w:val="single"/>
        </w:rPr>
        <w:t>March 2</w:t>
      </w:r>
      <w:r w:rsidR="009845EB">
        <w:rPr>
          <w:sz w:val="24"/>
          <w:szCs w:val="24"/>
          <w:u w:val="single"/>
        </w:rPr>
        <w:t>1</w:t>
      </w:r>
      <w:r w:rsidRPr="003A1F2B">
        <w:rPr>
          <w:sz w:val="24"/>
          <w:szCs w:val="24"/>
          <w:u w:val="single"/>
        </w:rPr>
        <w:t>, 201</w:t>
      </w:r>
      <w:r w:rsidR="00EB3B49" w:rsidRPr="003A1F2B">
        <w:rPr>
          <w:sz w:val="24"/>
          <w:szCs w:val="24"/>
          <w:u w:val="single"/>
        </w:rPr>
        <w:t>3</w:t>
      </w:r>
      <w:r w:rsidR="00A9235D" w:rsidRPr="003A1F2B">
        <w:rPr>
          <w:sz w:val="24"/>
          <w:szCs w:val="24"/>
          <w:u w:val="single"/>
        </w:rPr>
        <w:t xml:space="preserve">  </w:t>
      </w:r>
      <w:r w:rsidRPr="003A1F2B">
        <w:rPr>
          <w:sz w:val="24"/>
          <w:szCs w:val="24"/>
        </w:rPr>
        <w:tab/>
      </w:r>
      <w:r w:rsidRPr="003A1F2B">
        <w:rPr>
          <w:sz w:val="24"/>
          <w:szCs w:val="24"/>
        </w:rPr>
        <w:tab/>
      </w:r>
      <w:r w:rsidR="00303D99" w:rsidRPr="003A1F2B">
        <w:rPr>
          <w:sz w:val="24"/>
          <w:szCs w:val="24"/>
        </w:rPr>
        <w:tab/>
      </w:r>
      <w:r w:rsidR="00303D99" w:rsidRPr="003A1F2B">
        <w:rPr>
          <w:sz w:val="24"/>
          <w:szCs w:val="24"/>
        </w:rPr>
        <w:tab/>
      </w:r>
      <w:r w:rsidR="00B75715">
        <w:rPr>
          <w:sz w:val="24"/>
          <w:szCs w:val="24"/>
        </w:rPr>
        <w:t>____________________________</w:t>
      </w:r>
    </w:p>
    <w:p w:rsidR="00303D99" w:rsidRPr="003A1F2B" w:rsidRDefault="00303D99">
      <w:pPr>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927C1A" w:rsidRPr="003A1F2B">
        <w:rPr>
          <w:sz w:val="24"/>
          <w:szCs w:val="24"/>
        </w:rPr>
        <w:t>Elizabeth Barnes</w:t>
      </w:r>
    </w:p>
    <w:p w:rsidR="00A669D0" w:rsidRDefault="00303D99">
      <w:pPr>
        <w:rPr>
          <w:sz w:val="24"/>
          <w:szCs w:val="24"/>
        </w:rPr>
        <w:sectPr w:rsidR="00A669D0" w:rsidSect="005C28DE">
          <w:footerReference w:type="default" r:id="rId8"/>
          <w:pgSz w:w="12240" w:h="15840"/>
          <w:pgMar w:top="1440" w:right="1440" w:bottom="1440" w:left="1440" w:header="720" w:footer="720" w:gutter="0"/>
          <w:cols w:space="720"/>
          <w:titlePg/>
        </w:sect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Administrative Law Judge</w:t>
      </w:r>
    </w:p>
    <w:p w:rsidR="00A669D0" w:rsidRDefault="00A669D0" w:rsidP="00A669D0">
      <w:pPr>
        <w:contextualSpacing/>
        <w:rPr>
          <w:rFonts w:ascii="Microsoft Sans Serif"/>
          <w:sz w:val="24"/>
        </w:rPr>
      </w:pPr>
      <w:r>
        <w:rPr>
          <w:rFonts w:ascii="Microsoft Sans Serif"/>
          <w:b/>
          <w:sz w:val="24"/>
          <w:u w:val="single"/>
        </w:rPr>
        <w:lastRenderedPageBreak/>
        <w:t>C-2013-2343057 - RICHARD DOWLING v. METROPOLITAN EDISON COMPANY</w:t>
      </w:r>
      <w:r>
        <w:rPr>
          <w:rFonts w:ascii="Microsoft Sans Serif"/>
          <w:b/>
          <w:sz w:val="24"/>
          <w:u w:val="single"/>
        </w:rPr>
        <w:cr/>
      </w:r>
      <w:r>
        <w:rPr>
          <w:rFonts w:ascii="Microsoft Sans Serif"/>
          <w:b/>
          <w:sz w:val="24"/>
          <w:u w:val="single"/>
        </w:rPr>
        <w:cr/>
      </w:r>
      <w:r>
        <w:rPr>
          <w:rFonts w:ascii="Microsoft Sans Serif"/>
          <w:sz w:val="24"/>
        </w:rPr>
        <w:t>ALAN MICHAEL SELTZER ESQUIRE</w:t>
      </w:r>
      <w:r>
        <w:rPr>
          <w:rFonts w:ascii="Microsoft Sans Serif"/>
          <w:sz w:val="24"/>
        </w:rPr>
        <w:cr/>
        <w:t>BUCHANAN INGERSOLL AND ROONEY PC</w:t>
      </w:r>
      <w:r>
        <w:rPr>
          <w:rFonts w:ascii="Microsoft Sans Serif"/>
          <w:sz w:val="24"/>
        </w:rPr>
        <w:cr/>
        <w:t xml:space="preserve">409 NORTH SECOND </w:t>
      </w:r>
      <w:proofErr w:type="gramStart"/>
      <w:r>
        <w:rPr>
          <w:rFonts w:ascii="Microsoft Sans Serif"/>
          <w:sz w:val="24"/>
        </w:rPr>
        <w:t>STREET</w:t>
      </w:r>
      <w:proofErr w:type="gramEnd"/>
      <w:r>
        <w:rPr>
          <w:rFonts w:ascii="Microsoft Sans Serif"/>
          <w:sz w:val="24"/>
        </w:rPr>
        <w:cr/>
        <w:t>SUITE 500</w:t>
      </w:r>
      <w:r>
        <w:rPr>
          <w:rFonts w:ascii="Microsoft Sans Serif"/>
          <w:sz w:val="24"/>
        </w:rPr>
        <w:cr/>
        <w:t>HARRISBURG PA  17101-1357</w:t>
      </w:r>
      <w:r>
        <w:rPr>
          <w:rFonts w:ascii="Microsoft Sans Serif"/>
          <w:sz w:val="24"/>
        </w:rPr>
        <w:cr/>
        <w:t>610-372-4761</w:t>
      </w:r>
    </w:p>
    <w:p w:rsidR="00A669D0" w:rsidRDefault="00A669D0" w:rsidP="00A669D0">
      <w:pPr>
        <w:contextualSpacing/>
        <w:rPr>
          <w:rFonts w:ascii="Microsoft Sans Serif"/>
          <w:sz w:val="24"/>
        </w:rPr>
      </w:pPr>
      <w:r w:rsidRPr="00455AC4">
        <w:rPr>
          <w:rFonts w:ascii="Microsoft Sans Serif"/>
          <w:b/>
          <w:i/>
          <w:sz w:val="24"/>
        </w:rPr>
        <w:t xml:space="preserve">E </w:t>
      </w:r>
      <w:r w:rsidRPr="00455AC4">
        <w:rPr>
          <w:rFonts w:ascii="Microsoft Sans Serif"/>
          <w:b/>
          <w:i/>
          <w:sz w:val="24"/>
        </w:rPr>
        <w:t>–</w:t>
      </w:r>
      <w:r w:rsidRPr="00455AC4">
        <w:rPr>
          <w:rFonts w:ascii="Microsoft Sans Serif"/>
          <w:b/>
          <w:i/>
          <w:sz w:val="24"/>
        </w:rPr>
        <w:t xml:space="preserve"> Serve</w:t>
      </w:r>
      <w:r>
        <w:rPr>
          <w:rFonts w:ascii="Microsoft Sans Serif"/>
          <w:sz w:val="24"/>
        </w:rPr>
        <w:cr/>
      </w:r>
      <w:r>
        <w:rPr>
          <w:rFonts w:ascii="Microsoft Sans Serif"/>
          <w:sz w:val="24"/>
        </w:rPr>
        <w:cr/>
        <w:t>BRADLEY A BINGAMAN ESQUIRE</w:t>
      </w:r>
      <w:r>
        <w:rPr>
          <w:rFonts w:ascii="Microsoft Sans Serif"/>
          <w:sz w:val="24"/>
        </w:rPr>
        <w:cr/>
        <w:t>FIRSTENERGY</w:t>
      </w:r>
      <w:r>
        <w:rPr>
          <w:rFonts w:ascii="Microsoft Sans Serif"/>
          <w:sz w:val="24"/>
        </w:rPr>
        <w:cr/>
        <w:t>76 SOUTH MAIN STREET</w:t>
      </w:r>
      <w:r>
        <w:rPr>
          <w:rFonts w:ascii="Microsoft Sans Serif"/>
          <w:sz w:val="24"/>
        </w:rPr>
        <w:cr/>
        <w:t>AKRON OH  44308-1890</w:t>
      </w:r>
      <w:r>
        <w:rPr>
          <w:rFonts w:ascii="Microsoft Sans Serif"/>
          <w:sz w:val="24"/>
        </w:rPr>
        <w:cr/>
        <w:t>330-384-5947</w:t>
      </w:r>
    </w:p>
    <w:p w:rsidR="00A669D0" w:rsidRDefault="00A669D0" w:rsidP="00A669D0">
      <w:pPr>
        <w:contextualSpacing/>
        <w:rPr>
          <w:rFonts w:ascii="Microsoft Sans Serif"/>
          <w:sz w:val="24"/>
        </w:rPr>
      </w:pPr>
      <w:r w:rsidRPr="00455AC4">
        <w:rPr>
          <w:rFonts w:ascii="Microsoft Sans Serif"/>
          <w:b/>
          <w:i/>
          <w:sz w:val="24"/>
        </w:rPr>
        <w:t xml:space="preserve">E </w:t>
      </w:r>
      <w:r w:rsidRPr="00455AC4">
        <w:rPr>
          <w:rFonts w:ascii="Microsoft Sans Serif"/>
          <w:b/>
          <w:i/>
          <w:sz w:val="24"/>
        </w:rPr>
        <w:t>–</w:t>
      </w:r>
      <w:r w:rsidRPr="00455AC4">
        <w:rPr>
          <w:rFonts w:ascii="Microsoft Sans Serif"/>
          <w:b/>
          <w:i/>
          <w:sz w:val="24"/>
        </w:rPr>
        <w:t xml:space="preserve"> Serve</w:t>
      </w:r>
      <w:r>
        <w:rPr>
          <w:rFonts w:ascii="Microsoft Sans Serif"/>
          <w:sz w:val="24"/>
        </w:rPr>
        <w:cr/>
      </w:r>
      <w:r>
        <w:rPr>
          <w:rFonts w:ascii="Microsoft Sans Serif"/>
          <w:sz w:val="24"/>
        </w:rPr>
        <w:cr/>
      </w:r>
      <w:bookmarkStart w:id="0" w:name="_GoBack"/>
      <w:r>
        <w:rPr>
          <w:rFonts w:ascii="Microsoft Sans Serif"/>
          <w:sz w:val="24"/>
        </w:rPr>
        <w:t>RICHARD DOWLING</w:t>
      </w:r>
      <w:r>
        <w:rPr>
          <w:rFonts w:ascii="Microsoft Sans Serif"/>
          <w:sz w:val="24"/>
        </w:rPr>
        <w:cr/>
        <w:t>PO BOX 547</w:t>
      </w:r>
      <w:r>
        <w:rPr>
          <w:rFonts w:ascii="Microsoft Sans Serif"/>
          <w:sz w:val="24"/>
        </w:rPr>
        <w:cr/>
        <w:t>DELAWARE WATER GAP PA  18327</w:t>
      </w:r>
      <w:bookmarkEnd w:id="0"/>
      <w:r>
        <w:rPr>
          <w:rFonts w:ascii="Microsoft Sans Serif"/>
          <w:sz w:val="24"/>
        </w:rPr>
        <w:cr/>
        <w:t>570-421-3016</w:t>
      </w:r>
      <w:r>
        <w:rPr>
          <w:rFonts w:ascii="Microsoft Sans Serif"/>
          <w:sz w:val="24"/>
        </w:rPr>
        <w:cr/>
      </w:r>
      <w:r>
        <w:rPr>
          <w:rFonts w:ascii="Microsoft Sans Serif"/>
          <w:sz w:val="24"/>
        </w:rPr>
        <w:cr/>
        <w:t>PATRICK MALONE ESQUIRE</w:t>
      </w:r>
      <w:r>
        <w:rPr>
          <w:rFonts w:ascii="Microsoft Sans Serif"/>
          <w:sz w:val="24"/>
        </w:rPr>
        <w:cr/>
        <w:t>BUCHANAN INGERSOLL AND ROONEY PC</w:t>
      </w:r>
      <w:r>
        <w:rPr>
          <w:rFonts w:ascii="Microsoft Sans Serif"/>
          <w:sz w:val="24"/>
        </w:rPr>
        <w:cr/>
        <w:t>ONE OXFORD CENTRE</w:t>
      </w:r>
      <w:r>
        <w:rPr>
          <w:rFonts w:ascii="Microsoft Sans Serif"/>
          <w:sz w:val="24"/>
        </w:rPr>
        <w:cr/>
        <w:t xml:space="preserve">301 GRANT STREET 16TH </w:t>
      </w:r>
      <w:proofErr w:type="gramStart"/>
      <w:r>
        <w:rPr>
          <w:rFonts w:ascii="Microsoft Sans Serif"/>
          <w:sz w:val="24"/>
        </w:rPr>
        <w:t>FLOOR</w:t>
      </w:r>
      <w:proofErr w:type="gramEnd"/>
      <w:r>
        <w:rPr>
          <w:rFonts w:ascii="Microsoft Sans Serif"/>
          <w:sz w:val="24"/>
        </w:rPr>
        <w:cr/>
        <w:t>PITTSBURGH PA  15219</w:t>
      </w:r>
      <w:r>
        <w:rPr>
          <w:rFonts w:ascii="Microsoft Sans Serif"/>
          <w:sz w:val="24"/>
        </w:rPr>
        <w:cr/>
        <w:t>412.562.1314</w:t>
      </w:r>
    </w:p>
    <w:p w:rsidR="00A669D0" w:rsidRPr="00455AC4" w:rsidRDefault="00A669D0" w:rsidP="00A669D0">
      <w:pPr>
        <w:contextualSpacing/>
        <w:rPr>
          <w:b/>
          <w:i/>
        </w:rPr>
      </w:pPr>
      <w:r w:rsidRPr="00455AC4">
        <w:rPr>
          <w:rFonts w:ascii="Microsoft Sans Serif"/>
          <w:b/>
          <w:i/>
          <w:sz w:val="24"/>
        </w:rPr>
        <w:t xml:space="preserve">E </w:t>
      </w:r>
      <w:r w:rsidRPr="00455AC4">
        <w:rPr>
          <w:rFonts w:ascii="Microsoft Sans Serif"/>
          <w:b/>
          <w:i/>
          <w:sz w:val="24"/>
        </w:rPr>
        <w:t>–</w:t>
      </w:r>
      <w:r w:rsidRPr="00455AC4">
        <w:rPr>
          <w:rFonts w:ascii="Microsoft Sans Serif"/>
          <w:b/>
          <w:i/>
          <w:sz w:val="24"/>
        </w:rPr>
        <w:t xml:space="preserve"> Serve</w:t>
      </w:r>
      <w:r w:rsidRPr="00455AC4">
        <w:rPr>
          <w:rFonts w:ascii="Microsoft Sans Serif"/>
          <w:b/>
          <w:i/>
          <w:sz w:val="24"/>
        </w:rPr>
        <w:cr/>
      </w:r>
    </w:p>
    <w:p w:rsidR="00A669D0" w:rsidRDefault="00A669D0" w:rsidP="00A669D0">
      <w:pPr>
        <w:contextualSpacing/>
      </w:pPr>
    </w:p>
    <w:p w:rsidR="00303D99" w:rsidRPr="003A1F2B" w:rsidRDefault="00303D99">
      <w:pPr>
        <w:rPr>
          <w:sz w:val="24"/>
          <w:szCs w:val="24"/>
          <w:u w:val="single"/>
        </w:rPr>
      </w:pPr>
    </w:p>
    <w:sectPr w:rsidR="00303D99" w:rsidRPr="003A1F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774" w:rsidRDefault="00A24774">
      <w:r>
        <w:separator/>
      </w:r>
    </w:p>
  </w:endnote>
  <w:endnote w:type="continuationSeparator" w:id="0">
    <w:p w:rsidR="00A24774" w:rsidRDefault="00A2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A669D0">
      <w:rPr>
        <w:rStyle w:val="PageNumber"/>
        <w:noProof/>
        <w:sz w:val="20"/>
        <w:szCs w:val="20"/>
      </w:rPr>
      <w:t>6</w:t>
    </w:r>
    <w:r w:rsidRPr="00B446A3">
      <w:rPr>
        <w:rStyle w:val="PageNumber"/>
        <w:sz w:val="20"/>
        <w:szCs w:val="20"/>
      </w:rPr>
      <w:fldChar w:fldCharType="end"/>
    </w:r>
  </w:p>
  <w:p w:rsidR="00303D99" w:rsidRDefault="00303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D0" w:rsidRDefault="00A66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774" w:rsidRDefault="00A24774">
      <w:r>
        <w:separator/>
      </w:r>
    </w:p>
  </w:footnote>
  <w:footnote w:type="continuationSeparator" w:id="0">
    <w:p w:rsidR="00A24774" w:rsidRDefault="00A24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37F84"/>
    <w:rsid w:val="00042D7B"/>
    <w:rsid w:val="000441FB"/>
    <w:rsid w:val="00070759"/>
    <w:rsid w:val="0008195A"/>
    <w:rsid w:val="000B4265"/>
    <w:rsid w:val="000B43D6"/>
    <w:rsid w:val="000C374F"/>
    <w:rsid w:val="000D4264"/>
    <w:rsid w:val="000D7569"/>
    <w:rsid w:val="001144F6"/>
    <w:rsid w:val="00122A73"/>
    <w:rsid w:val="00123231"/>
    <w:rsid w:val="00161E0D"/>
    <w:rsid w:val="00187230"/>
    <w:rsid w:val="001B155A"/>
    <w:rsid w:val="001C0D7E"/>
    <w:rsid w:val="001D56D9"/>
    <w:rsid w:val="001F24D6"/>
    <w:rsid w:val="001F56E5"/>
    <w:rsid w:val="002220FC"/>
    <w:rsid w:val="002856F0"/>
    <w:rsid w:val="0029358C"/>
    <w:rsid w:val="00295C99"/>
    <w:rsid w:val="002A5A01"/>
    <w:rsid w:val="002C24EB"/>
    <w:rsid w:val="00303D99"/>
    <w:rsid w:val="00321918"/>
    <w:rsid w:val="00324E83"/>
    <w:rsid w:val="00326CCF"/>
    <w:rsid w:val="00347F0F"/>
    <w:rsid w:val="00380F0E"/>
    <w:rsid w:val="003A087F"/>
    <w:rsid w:val="003A1F2B"/>
    <w:rsid w:val="00411B25"/>
    <w:rsid w:val="00474823"/>
    <w:rsid w:val="00481A75"/>
    <w:rsid w:val="00491988"/>
    <w:rsid w:val="004957C0"/>
    <w:rsid w:val="00497F46"/>
    <w:rsid w:val="004A5EDA"/>
    <w:rsid w:val="004B56FF"/>
    <w:rsid w:val="004C00DF"/>
    <w:rsid w:val="004C3319"/>
    <w:rsid w:val="004D3972"/>
    <w:rsid w:val="004D7DC2"/>
    <w:rsid w:val="004E0670"/>
    <w:rsid w:val="004E27B6"/>
    <w:rsid w:val="004E7477"/>
    <w:rsid w:val="004F53DA"/>
    <w:rsid w:val="00532303"/>
    <w:rsid w:val="005344E8"/>
    <w:rsid w:val="0054043D"/>
    <w:rsid w:val="00546CD2"/>
    <w:rsid w:val="0057507A"/>
    <w:rsid w:val="005B3991"/>
    <w:rsid w:val="005C1F58"/>
    <w:rsid w:val="005C28DE"/>
    <w:rsid w:val="00636FE2"/>
    <w:rsid w:val="00651D34"/>
    <w:rsid w:val="00726B1B"/>
    <w:rsid w:val="007511C7"/>
    <w:rsid w:val="0075731D"/>
    <w:rsid w:val="00793BB9"/>
    <w:rsid w:val="007A5D0C"/>
    <w:rsid w:val="007F166B"/>
    <w:rsid w:val="007F27A1"/>
    <w:rsid w:val="008548A8"/>
    <w:rsid w:val="00862109"/>
    <w:rsid w:val="008762D9"/>
    <w:rsid w:val="00880FA8"/>
    <w:rsid w:val="008A5BB2"/>
    <w:rsid w:val="008C5DC0"/>
    <w:rsid w:val="008E53AB"/>
    <w:rsid w:val="00906B96"/>
    <w:rsid w:val="00906F34"/>
    <w:rsid w:val="009109D7"/>
    <w:rsid w:val="0092091F"/>
    <w:rsid w:val="00923824"/>
    <w:rsid w:val="00927C1A"/>
    <w:rsid w:val="00930409"/>
    <w:rsid w:val="009308EE"/>
    <w:rsid w:val="0093532C"/>
    <w:rsid w:val="00935895"/>
    <w:rsid w:val="009845EB"/>
    <w:rsid w:val="00997853"/>
    <w:rsid w:val="009B78A4"/>
    <w:rsid w:val="009D2A5F"/>
    <w:rsid w:val="009E0982"/>
    <w:rsid w:val="009F0AE6"/>
    <w:rsid w:val="009F470A"/>
    <w:rsid w:val="00A02C92"/>
    <w:rsid w:val="00A0356D"/>
    <w:rsid w:val="00A12048"/>
    <w:rsid w:val="00A24774"/>
    <w:rsid w:val="00A576AB"/>
    <w:rsid w:val="00A6322D"/>
    <w:rsid w:val="00A669D0"/>
    <w:rsid w:val="00A82FC1"/>
    <w:rsid w:val="00A9235D"/>
    <w:rsid w:val="00AB507F"/>
    <w:rsid w:val="00AE09CB"/>
    <w:rsid w:val="00AF00AB"/>
    <w:rsid w:val="00B22B46"/>
    <w:rsid w:val="00B40106"/>
    <w:rsid w:val="00B446A3"/>
    <w:rsid w:val="00B6388B"/>
    <w:rsid w:val="00B75715"/>
    <w:rsid w:val="00B76C72"/>
    <w:rsid w:val="00B846BD"/>
    <w:rsid w:val="00B90BED"/>
    <w:rsid w:val="00B95978"/>
    <w:rsid w:val="00BA2EB6"/>
    <w:rsid w:val="00BA5B80"/>
    <w:rsid w:val="00BE1F66"/>
    <w:rsid w:val="00C10E88"/>
    <w:rsid w:val="00C2547B"/>
    <w:rsid w:val="00C401B1"/>
    <w:rsid w:val="00C5138D"/>
    <w:rsid w:val="00C8377B"/>
    <w:rsid w:val="00CA49E4"/>
    <w:rsid w:val="00D0776F"/>
    <w:rsid w:val="00D15512"/>
    <w:rsid w:val="00D37681"/>
    <w:rsid w:val="00D37FC8"/>
    <w:rsid w:val="00D434EA"/>
    <w:rsid w:val="00D624B7"/>
    <w:rsid w:val="00D94420"/>
    <w:rsid w:val="00DA5CD4"/>
    <w:rsid w:val="00DB7B71"/>
    <w:rsid w:val="00DC38FC"/>
    <w:rsid w:val="00DE27A8"/>
    <w:rsid w:val="00E67772"/>
    <w:rsid w:val="00E7031B"/>
    <w:rsid w:val="00E72798"/>
    <w:rsid w:val="00E769BB"/>
    <w:rsid w:val="00EB3B49"/>
    <w:rsid w:val="00EB4D26"/>
    <w:rsid w:val="00EF7316"/>
    <w:rsid w:val="00F2377F"/>
    <w:rsid w:val="00F4542D"/>
    <w:rsid w:val="00F52492"/>
    <w:rsid w:val="00F61E3E"/>
    <w:rsid w:val="00F8731A"/>
    <w:rsid w:val="00F90D60"/>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383D6-675C-4B4A-8CA1-25D89EA6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Leonard, Allyson</cp:lastModifiedBy>
  <cp:revision>3</cp:revision>
  <cp:lastPrinted>2013-03-22T17:09:00Z</cp:lastPrinted>
  <dcterms:created xsi:type="dcterms:W3CDTF">2013-03-22T17:06:00Z</dcterms:created>
  <dcterms:modified xsi:type="dcterms:W3CDTF">2013-03-22T17:16:00Z</dcterms:modified>
</cp:coreProperties>
</file>