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1303A1" w:rsidRDefault="00D91F34" w:rsidP="00773D87">
      <w:pPr>
        <w:pStyle w:val="c2"/>
        <w:widowControl/>
        <w:outlineLvl w:val="0"/>
        <w:rPr>
          <w:b/>
          <w:sz w:val="28"/>
          <w:szCs w:val="28"/>
        </w:rPr>
      </w:pPr>
      <w:r w:rsidRPr="001303A1">
        <w:rPr>
          <w:b/>
          <w:sz w:val="28"/>
          <w:szCs w:val="28"/>
        </w:rPr>
        <w:t>PENNSYLVANIA</w:t>
      </w:r>
    </w:p>
    <w:p w:rsidR="00D91F34" w:rsidRPr="001303A1" w:rsidRDefault="00D91F34" w:rsidP="00773D87">
      <w:pPr>
        <w:pStyle w:val="c2"/>
        <w:widowControl/>
        <w:outlineLvl w:val="0"/>
        <w:rPr>
          <w:b/>
          <w:sz w:val="28"/>
          <w:szCs w:val="28"/>
        </w:rPr>
      </w:pPr>
      <w:r w:rsidRPr="001303A1">
        <w:rPr>
          <w:b/>
          <w:sz w:val="28"/>
          <w:szCs w:val="28"/>
        </w:rPr>
        <w:t>PUBLIC UTILITY COMMISSION</w:t>
      </w:r>
    </w:p>
    <w:p w:rsidR="00D91F34" w:rsidRPr="001303A1" w:rsidRDefault="00D91F34" w:rsidP="00773D87">
      <w:pPr>
        <w:pStyle w:val="c2"/>
        <w:widowControl/>
        <w:outlineLvl w:val="0"/>
        <w:rPr>
          <w:b/>
          <w:sz w:val="28"/>
          <w:szCs w:val="28"/>
        </w:rPr>
      </w:pPr>
      <w:r w:rsidRPr="001303A1">
        <w:rPr>
          <w:b/>
          <w:sz w:val="28"/>
          <w:szCs w:val="28"/>
        </w:rPr>
        <w:t>Harrisburg, PA 17105-3265</w:t>
      </w:r>
    </w:p>
    <w:p w:rsidR="00A666BE" w:rsidRDefault="00A666BE" w:rsidP="00773D87">
      <w:pPr>
        <w:pStyle w:val="p3"/>
        <w:widowControl/>
        <w:tabs>
          <w:tab w:val="clear" w:pos="4960"/>
          <w:tab w:val="left" w:pos="4320"/>
        </w:tabs>
        <w:rPr>
          <w:sz w:val="28"/>
          <w:szCs w:val="28"/>
        </w:rPr>
      </w:pPr>
    </w:p>
    <w:p w:rsidR="006C560D" w:rsidRPr="00062E21" w:rsidRDefault="006C560D" w:rsidP="00773D8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861974">
        <w:rPr>
          <w:sz w:val="26"/>
          <w:szCs w:val="26"/>
        </w:rPr>
        <w:t>April</w:t>
      </w:r>
      <w:r w:rsidRPr="00062E21">
        <w:rPr>
          <w:sz w:val="26"/>
          <w:szCs w:val="26"/>
        </w:rPr>
        <w:t xml:space="preserve"> 4, 2013</w:t>
      </w:r>
    </w:p>
    <w:p w:rsidR="006C560D" w:rsidRPr="00062E21" w:rsidRDefault="006C560D" w:rsidP="00773D87">
      <w:pPr>
        <w:pStyle w:val="p4"/>
        <w:widowControl/>
        <w:spacing w:line="360" w:lineRule="auto"/>
        <w:rPr>
          <w:sz w:val="26"/>
          <w:szCs w:val="26"/>
        </w:rPr>
      </w:pPr>
    </w:p>
    <w:p w:rsidR="006C560D" w:rsidRPr="00062E21" w:rsidRDefault="006C560D" w:rsidP="00773D87">
      <w:pPr>
        <w:pStyle w:val="p4"/>
        <w:widowControl/>
        <w:rPr>
          <w:sz w:val="26"/>
          <w:szCs w:val="26"/>
        </w:rPr>
      </w:pPr>
      <w:r w:rsidRPr="00062E21">
        <w:rPr>
          <w:sz w:val="26"/>
          <w:szCs w:val="26"/>
        </w:rPr>
        <w:t>Commissioners Present:</w:t>
      </w:r>
    </w:p>
    <w:p w:rsidR="006C560D" w:rsidRPr="00062E21" w:rsidRDefault="006C560D" w:rsidP="00773D87">
      <w:pPr>
        <w:widowControl/>
        <w:tabs>
          <w:tab w:val="left" w:pos="204"/>
        </w:tabs>
        <w:rPr>
          <w:sz w:val="26"/>
          <w:szCs w:val="26"/>
        </w:rPr>
      </w:pPr>
    </w:p>
    <w:p w:rsidR="006C560D" w:rsidRPr="00062E21" w:rsidRDefault="006C560D" w:rsidP="00773D87">
      <w:pPr>
        <w:pStyle w:val="p5"/>
        <w:widowControl/>
        <w:tabs>
          <w:tab w:val="clear" w:pos="391"/>
        </w:tabs>
        <w:ind w:left="720"/>
        <w:rPr>
          <w:sz w:val="26"/>
          <w:szCs w:val="26"/>
        </w:rPr>
      </w:pPr>
      <w:r w:rsidRPr="00062E21">
        <w:rPr>
          <w:sz w:val="26"/>
          <w:szCs w:val="26"/>
        </w:rPr>
        <w:t>Robert F. Powelson, Chairman</w:t>
      </w:r>
    </w:p>
    <w:p w:rsidR="006C560D" w:rsidRPr="00062E21" w:rsidRDefault="006C560D" w:rsidP="00773D87">
      <w:pPr>
        <w:pStyle w:val="p5"/>
        <w:widowControl/>
        <w:tabs>
          <w:tab w:val="clear" w:pos="391"/>
        </w:tabs>
        <w:ind w:left="720"/>
        <w:rPr>
          <w:sz w:val="26"/>
          <w:szCs w:val="26"/>
        </w:rPr>
      </w:pPr>
      <w:r w:rsidRPr="00062E21">
        <w:rPr>
          <w:sz w:val="26"/>
          <w:szCs w:val="26"/>
        </w:rPr>
        <w:t>John F. Coleman, Jr., Vice Chairman</w:t>
      </w:r>
    </w:p>
    <w:p w:rsidR="006C560D" w:rsidRPr="00062E21" w:rsidRDefault="006C560D" w:rsidP="00773D87">
      <w:pPr>
        <w:pStyle w:val="p5"/>
        <w:widowControl/>
        <w:tabs>
          <w:tab w:val="clear" w:pos="391"/>
        </w:tabs>
        <w:ind w:left="720"/>
        <w:rPr>
          <w:sz w:val="26"/>
          <w:szCs w:val="26"/>
        </w:rPr>
      </w:pPr>
      <w:r w:rsidRPr="00062E21">
        <w:rPr>
          <w:sz w:val="26"/>
          <w:szCs w:val="26"/>
        </w:rPr>
        <w:t>Wayne E. Gardner</w:t>
      </w:r>
    </w:p>
    <w:p w:rsidR="006C560D" w:rsidRPr="00062E21" w:rsidRDefault="006C560D" w:rsidP="00773D87">
      <w:pPr>
        <w:pStyle w:val="p5"/>
        <w:widowControl/>
        <w:tabs>
          <w:tab w:val="clear" w:pos="391"/>
        </w:tabs>
        <w:ind w:left="720"/>
        <w:rPr>
          <w:sz w:val="26"/>
          <w:szCs w:val="26"/>
        </w:rPr>
      </w:pPr>
      <w:r w:rsidRPr="00062E21">
        <w:rPr>
          <w:sz w:val="26"/>
          <w:szCs w:val="26"/>
        </w:rPr>
        <w:t>James H. Cawley</w:t>
      </w:r>
    </w:p>
    <w:p w:rsidR="006C560D" w:rsidRPr="00062E21" w:rsidRDefault="006C560D" w:rsidP="00773D87">
      <w:pPr>
        <w:pStyle w:val="p5"/>
        <w:widowControl/>
        <w:tabs>
          <w:tab w:val="clear" w:pos="391"/>
        </w:tabs>
        <w:ind w:left="720"/>
        <w:rPr>
          <w:sz w:val="26"/>
          <w:szCs w:val="26"/>
        </w:rPr>
      </w:pPr>
      <w:r w:rsidRPr="00062E21">
        <w:rPr>
          <w:sz w:val="26"/>
          <w:szCs w:val="26"/>
        </w:rPr>
        <w:t>Pamela A. Witmer</w:t>
      </w:r>
    </w:p>
    <w:p w:rsidR="006C560D" w:rsidRPr="007C0BCF"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C560D" w:rsidRPr="007C0BCF" w:rsidTr="006C560D">
        <w:trPr>
          <w:trHeight w:val="1053"/>
        </w:trPr>
        <w:tc>
          <w:tcPr>
            <w:tcW w:w="6030" w:type="dxa"/>
          </w:tcPr>
          <w:p w:rsidR="006C560D" w:rsidRPr="007C0BCF" w:rsidRDefault="00E02B28" w:rsidP="00773D87">
            <w:pPr>
              <w:widowControl/>
              <w:autoSpaceDE/>
              <w:autoSpaceDN/>
              <w:adjustRightInd/>
              <w:rPr>
                <w:color w:val="0D0D0D" w:themeColor="text1" w:themeTint="F2"/>
                <w:sz w:val="26"/>
                <w:szCs w:val="26"/>
              </w:rPr>
            </w:pPr>
            <w:r>
              <w:rPr>
                <w:color w:val="0D0D0D" w:themeColor="text1" w:themeTint="F2"/>
                <w:sz w:val="26"/>
                <w:szCs w:val="26"/>
              </w:rPr>
              <w:t>Petition of Philadelphia Gas Works</w:t>
            </w:r>
            <w:r w:rsidR="006C560D" w:rsidRPr="007C0BCF">
              <w:rPr>
                <w:color w:val="0D0D0D" w:themeColor="text1" w:themeTint="F2"/>
                <w:sz w:val="26"/>
                <w:szCs w:val="26"/>
              </w:rPr>
              <w:t xml:space="preserve"> for</w:t>
            </w:r>
            <w:r>
              <w:rPr>
                <w:color w:val="0D0D0D" w:themeColor="text1" w:themeTint="F2"/>
                <w:sz w:val="26"/>
                <w:szCs w:val="26"/>
              </w:rPr>
              <w:t xml:space="preserve"> Approval</w:t>
            </w:r>
            <w:r w:rsidR="00086E71">
              <w:rPr>
                <w:color w:val="0D0D0D" w:themeColor="text1" w:themeTint="F2"/>
                <w:sz w:val="26"/>
                <w:szCs w:val="26"/>
              </w:rPr>
              <w:t xml:space="preserve"> </w:t>
            </w:r>
          </w:p>
          <w:p w:rsidR="006C560D" w:rsidRPr="007C0BCF" w:rsidRDefault="006C560D" w:rsidP="00773D8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of its Long-Term Infrastructure Improvement Plan </w:t>
            </w:r>
          </w:p>
          <w:p w:rsidR="006C560D" w:rsidRPr="007C0BCF" w:rsidRDefault="006C560D" w:rsidP="00773D87">
            <w:pPr>
              <w:pStyle w:val="p4"/>
              <w:widowControl/>
              <w:tabs>
                <w:tab w:val="clear" w:pos="204"/>
                <w:tab w:val="left" w:pos="0"/>
              </w:tabs>
              <w:outlineLvl w:val="0"/>
              <w:rPr>
                <w:color w:val="0D0D0D" w:themeColor="text1" w:themeTint="F2"/>
                <w:sz w:val="26"/>
                <w:szCs w:val="26"/>
              </w:rPr>
            </w:pPr>
          </w:p>
          <w:p w:rsidR="006C560D" w:rsidRPr="007C0BCF" w:rsidRDefault="00E02B28" w:rsidP="00773D87">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Petition of Philadelphia Gas Works</w:t>
            </w:r>
            <w:r w:rsidR="006C560D" w:rsidRPr="007C0BCF">
              <w:rPr>
                <w:color w:val="0D0D0D" w:themeColor="text1" w:themeTint="F2"/>
                <w:sz w:val="26"/>
                <w:szCs w:val="26"/>
              </w:rPr>
              <w:t xml:space="preserve"> for</w:t>
            </w:r>
            <w:r>
              <w:rPr>
                <w:color w:val="0D0D0D" w:themeColor="text1" w:themeTint="F2"/>
                <w:sz w:val="26"/>
                <w:szCs w:val="26"/>
              </w:rPr>
              <w:t xml:space="preserve"> Approval</w:t>
            </w:r>
            <w:r w:rsidR="00086E71">
              <w:rPr>
                <w:color w:val="0D0D0D" w:themeColor="text1" w:themeTint="F2"/>
                <w:sz w:val="26"/>
                <w:szCs w:val="26"/>
              </w:rPr>
              <w:t xml:space="preserve"> </w:t>
            </w:r>
          </w:p>
          <w:p w:rsidR="006C560D" w:rsidRPr="007C0BCF" w:rsidRDefault="006C560D" w:rsidP="00773D8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of a Distribution System Improvement Charge</w:t>
            </w:r>
          </w:p>
        </w:tc>
        <w:tc>
          <w:tcPr>
            <w:tcW w:w="3897" w:type="dxa"/>
          </w:tcPr>
          <w:p w:rsidR="006C560D" w:rsidRPr="007C0BCF" w:rsidRDefault="006C560D" w:rsidP="00773D87">
            <w:pPr>
              <w:widowControl/>
              <w:autoSpaceDE/>
              <w:autoSpaceDN/>
              <w:adjustRightInd/>
              <w:spacing w:line="360" w:lineRule="auto"/>
              <w:rPr>
                <w:color w:val="0D0D0D" w:themeColor="text1" w:themeTint="F2"/>
                <w:kern w:val="1"/>
                <w:sz w:val="26"/>
                <w:szCs w:val="26"/>
              </w:rPr>
            </w:pPr>
            <w:r w:rsidRPr="007C0BCF">
              <w:rPr>
                <w:color w:val="0D0D0D" w:themeColor="text1" w:themeTint="F2"/>
                <w:sz w:val="26"/>
                <w:szCs w:val="20"/>
              </w:rPr>
              <w:t xml:space="preserve">        Docket Number</w:t>
            </w:r>
            <w:r w:rsidR="00086E71">
              <w:rPr>
                <w:color w:val="0D0D0D" w:themeColor="text1" w:themeTint="F2"/>
                <w:sz w:val="26"/>
                <w:szCs w:val="20"/>
              </w:rPr>
              <w:t>s</w:t>
            </w:r>
            <w:r w:rsidRPr="007C0BCF">
              <w:rPr>
                <w:color w:val="0D0D0D" w:themeColor="text1" w:themeTint="F2"/>
                <w:sz w:val="26"/>
                <w:szCs w:val="20"/>
              </w:rPr>
              <w:t>:</w:t>
            </w:r>
          </w:p>
          <w:p w:rsidR="006C560D" w:rsidRPr="007C0BCF" w:rsidRDefault="006C560D" w:rsidP="00773D87">
            <w:pPr>
              <w:widowControl/>
              <w:autoSpaceDE/>
              <w:autoSpaceDN/>
              <w:adjustRightInd/>
              <w:rPr>
                <w:color w:val="0D0D0D" w:themeColor="text1" w:themeTint="F2"/>
                <w:sz w:val="26"/>
                <w:szCs w:val="26"/>
              </w:rPr>
            </w:pPr>
            <w:r w:rsidRPr="007C0BCF">
              <w:rPr>
                <w:color w:val="0D0D0D" w:themeColor="text1" w:themeTint="F2"/>
                <w:kern w:val="1"/>
                <w:sz w:val="26"/>
                <w:szCs w:val="26"/>
              </w:rPr>
              <w:t xml:space="preserve">        </w:t>
            </w:r>
            <w:r w:rsidR="00E02B28">
              <w:rPr>
                <w:color w:val="0D0D0D" w:themeColor="text1" w:themeTint="F2"/>
                <w:sz w:val="26"/>
                <w:szCs w:val="26"/>
              </w:rPr>
              <w:t>P-2012-2337737</w:t>
            </w:r>
          </w:p>
          <w:p w:rsidR="006C560D" w:rsidRPr="007C0BCF" w:rsidRDefault="006C560D" w:rsidP="00773D87">
            <w:pPr>
              <w:widowControl/>
              <w:autoSpaceDE/>
              <w:autoSpaceDN/>
              <w:adjustRightInd/>
              <w:rPr>
                <w:color w:val="0D0D0D" w:themeColor="text1" w:themeTint="F2"/>
                <w:sz w:val="26"/>
                <w:szCs w:val="26"/>
              </w:rPr>
            </w:pPr>
          </w:p>
          <w:p w:rsidR="006C560D" w:rsidRPr="007C0BCF" w:rsidRDefault="006C560D" w:rsidP="00773D87">
            <w:pPr>
              <w:widowControl/>
              <w:autoSpaceDE/>
              <w:autoSpaceDN/>
              <w:adjustRightInd/>
              <w:rPr>
                <w:color w:val="0D0D0D" w:themeColor="text1" w:themeTint="F2"/>
                <w:sz w:val="26"/>
                <w:szCs w:val="26"/>
              </w:rPr>
            </w:pPr>
          </w:p>
          <w:p w:rsidR="006C560D" w:rsidRPr="007C0BCF" w:rsidRDefault="006C560D" w:rsidP="00773D87">
            <w:pPr>
              <w:widowControl/>
              <w:autoSpaceDE/>
              <w:autoSpaceDN/>
              <w:adjustRightInd/>
              <w:rPr>
                <w:color w:val="0D0D0D" w:themeColor="text1" w:themeTint="F2"/>
                <w:sz w:val="26"/>
                <w:szCs w:val="26"/>
              </w:rPr>
            </w:pPr>
            <w:r w:rsidRPr="007C0BCF">
              <w:rPr>
                <w:color w:val="0D0D0D" w:themeColor="text1" w:themeTint="F2"/>
                <w:kern w:val="1"/>
                <w:sz w:val="26"/>
                <w:szCs w:val="26"/>
              </w:rPr>
              <w:t xml:space="preserve">        </w:t>
            </w:r>
            <w:r w:rsidR="00E02B28">
              <w:rPr>
                <w:color w:val="0D0D0D" w:themeColor="text1" w:themeTint="F2"/>
                <w:sz w:val="26"/>
                <w:szCs w:val="26"/>
              </w:rPr>
              <w:t>P-2012-2337737</w:t>
            </w:r>
          </w:p>
          <w:p w:rsidR="006C560D" w:rsidRPr="007C0BCF" w:rsidRDefault="00086E71" w:rsidP="00773D87">
            <w:pPr>
              <w:widowControl/>
              <w:autoSpaceDE/>
              <w:autoSpaceDN/>
              <w:adjustRightInd/>
              <w:rPr>
                <w:color w:val="0D0D0D" w:themeColor="text1" w:themeTint="F2"/>
                <w:sz w:val="26"/>
                <w:szCs w:val="26"/>
              </w:rPr>
            </w:pPr>
            <w:r>
              <w:rPr>
                <w:color w:val="0D0D0D" w:themeColor="text1" w:themeTint="F2"/>
                <w:sz w:val="26"/>
                <w:szCs w:val="26"/>
              </w:rPr>
              <w:t xml:space="preserve">        C-2013-2346939</w:t>
            </w:r>
          </w:p>
          <w:p w:rsidR="006C560D" w:rsidRPr="007C0BCF" w:rsidRDefault="006C560D" w:rsidP="00773D87">
            <w:pPr>
              <w:widowControl/>
              <w:autoSpaceDE/>
              <w:autoSpaceDN/>
              <w:adjustRightInd/>
              <w:rPr>
                <w:color w:val="0D0D0D" w:themeColor="text1" w:themeTint="F2"/>
                <w:kern w:val="1"/>
                <w:sz w:val="26"/>
                <w:szCs w:val="26"/>
              </w:rPr>
            </w:pPr>
          </w:p>
        </w:tc>
      </w:tr>
    </w:tbl>
    <w:p w:rsidR="007F07C7" w:rsidRDefault="007F07C7" w:rsidP="00773D87">
      <w:pPr>
        <w:pStyle w:val="c2"/>
        <w:widowControl/>
        <w:tabs>
          <w:tab w:val="left" w:pos="204"/>
        </w:tabs>
        <w:spacing w:line="360" w:lineRule="auto"/>
        <w:jc w:val="left"/>
        <w:outlineLvl w:val="0"/>
        <w:rPr>
          <w:b/>
          <w:sz w:val="26"/>
          <w:szCs w:val="26"/>
        </w:rPr>
      </w:pPr>
    </w:p>
    <w:p w:rsidR="00D91F34" w:rsidRDefault="00F25BC8" w:rsidP="00773D87">
      <w:pPr>
        <w:pStyle w:val="c2"/>
        <w:widowControl/>
        <w:tabs>
          <w:tab w:val="left" w:pos="204"/>
        </w:tabs>
        <w:spacing w:line="360" w:lineRule="auto"/>
        <w:outlineLvl w:val="0"/>
        <w:rPr>
          <w:b/>
          <w:sz w:val="26"/>
          <w:szCs w:val="26"/>
        </w:rPr>
      </w:pPr>
      <w:r>
        <w:rPr>
          <w:b/>
          <w:sz w:val="26"/>
          <w:szCs w:val="26"/>
        </w:rPr>
        <w:t xml:space="preserve">OPINION AND </w:t>
      </w:r>
      <w:r w:rsidR="00D91F34" w:rsidRPr="002B3E34">
        <w:rPr>
          <w:b/>
          <w:sz w:val="26"/>
          <w:szCs w:val="26"/>
        </w:rPr>
        <w:t>ORDER</w:t>
      </w:r>
    </w:p>
    <w:p w:rsidR="007F07C7" w:rsidRPr="002B3E34" w:rsidRDefault="007F07C7" w:rsidP="00773D87">
      <w:pPr>
        <w:pStyle w:val="c2"/>
        <w:widowControl/>
        <w:tabs>
          <w:tab w:val="left" w:pos="204"/>
        </w:tabs>
        <w:spacing w:line="360" w:lineRule="auto"/>
        <w:outlineLvl w:val="0"/>
        <w:rPr>
          <w:b/>
          <w:sz w:val="26"/>
          <w:szCs w:val="26"/>
        </w:rPr>
      </w:pPr>
    </w:p>
    <w:p w:rsidR="00D91F34" w:rsidRPr="002B3E34" w:rsidRDefault="001303A1" w:rsidP="00773D87">
      <w:pPr>
        <w:pStyle w:val="p4"/>
        <w:widowControl/>
        <w:spacing w:line="360" w:lineRule="auto"/>
        <w:rPr>
          <w:b/>
          <w:sz w:val="26"/>
          <w:szCs w:val="26"/>
        </w:rPr>
      </w:pPr>
      <w:r w:rsidRPr="002B3E34">
        <w:rPr>
          <w:b/>
          <w:sz w:val="26"/>
          <w:szCs w:val="26"/>
        </w:rPr>
        <w:t>BY THE COMMI</w:t>
      </w:r>
      <w:r w:rsidR="00D91F34" w:rsidRPr="002B3E34">
        <w:rPr>
          <w:b/>
          <w:sz w:val="26"/>
          <w:szCs w:val="26"/>
        </w:rPr>
        <w:t>SSION:</w:t>
      </w:r>
    </w:p>
    <w:p w:rsidR="00D91F34" w:rsidRPr="002B3E34" w:rsidRDefault="00D91F34" w:rsidP="00773D87">
      <w:pPr>
        <w:widowControl/>
        <w:tabs>
          <w:tab w:val="left" w:pos="204"/>
        </w:tabs>
        <w:spacing w:line="360" w:lineRule="auto"/>
        <w:rPr>
          <w:sz w:val="26"/>
          <w:szCs w:val="26"/>
        </w:rPr>
      </w:pPr>
    </w:p>
    <w:p w:rsidR="00A251DE" w:rsidRDefault="00A251DE" w:rsidP="00773D87">
      <w:pPr>
        <w:pStyle w:val="p2"/>
        <w:widowControl/>
        <w:spacing w:line="360" w:lineRule="auto"/>
        <w:ind w:firstLine="1440"/>
        <w:rPr>
          <w:sz w:val="26"/>
          <w:szCs w:val="26"/>
        </w:rPr>
      </w:pPr>
      <w:r w:rsidRPr="00062E21">
        <w:rPr>
          <w:sz w:val="26"/>
          <w:szCs w:val="26"/>
        </w:rPr>
        <w:t>Before the Commission for consideration are the Petitions for approval of the Long-Term Infrastructure Improvement Plan (LTIIP) and the Distribution System I</w:t>
      </w:r>
      <w:r w:rsidR="005A584D">
        <w:rPr>
          <w:sz w:val="26"/>
          <w:szCs w:val="26"/>
        </w:rPr>
        <w:t>mprovement Charge (DSIC) of</w:t>
      </w:r>
      <w:r w:rsidR="005A584D" w:rsidRPr="005A584D">
        <w:rPr>
          <w:sz w:val="26"/>
          <w:szCs w:val="26"/>
        </w:rPr>
        <w:t xml:space="preserve"> </w:t>
      </w:r>
      <w:r w:rsidR="005A584D">
        <w:rPr>
          <w:sz w:val="26"/>
          <w:szCs w:val="26"/>
        </w:rPr>
        <w:t>Philadelphia Gas Works (PGW).</w:t>
      </w:r>
      <w:r w:rsidRPr="00062E21">
        <w:rPr>
          <w:sz w:val="26"/>
          <w:szCs w:val="26"/>
        </w:rPr>
        <w:t xml:space="preserve">  </w:t>
      </w:r>
    </w:p>
    <w:p w:rsidR="00A251DE" w:rsidRDefault="00A251DE" w:rsidP="00773D87">
      <w:pPr>
        <w:pStyle w:val="p2"/>
        <w:widowControl/>
        <w:spacing w:line="360" w:lineRule="auto"/>
        <w:ind w:firstLine="1440"/>
        <w:rPr>
          <w:sz w:val="26"/>
          <w:szCs w:val="26"/>
        </w:rPr>
      </w:pPr>
    </w:p>
    <w:p w:rsidR="00A251DE" w:rsidRPr="00C33314" w:rsidRDefault="00A251DE" w:rsidP="00773D87">
      <w:pPr>
        <w:pStyle w:val="p2"/>
        <w:widowControl/>
        <w:spacing w:line="360" w:lineRule="auto"/>
        <w:ind w:firstLine="0"/>
        <w:jc w:val="center"/>
        <w:rPr>
          <w:b/>
          <w:sz w:val="26"/>
          <w:szCs w:val="26"/>
        </w:rPr>
      </w:pPr>
      <w:r w:rsidRPr="00C33314">
        <w:rPr>
          <w:b/>
          <w:sz w:val="26"/>
          <w:szCs w:val="26"/>
        </w:rPr>
        <w:t>HISTORY</w:t>
      </w:r>
      <w:r>
        <w:rPr>
          <w:b/>
          <w:sz w:val="26"/>
          <w:szCs w:val="26"/>
        </w:rPr>
        <w:t xml:space="preserve"> OF THE PROCEEDING</w:t>
      </w:r>
    </w:p>
    <w:p w:rsidR="005A584D" w:rsidRDefault="005A584D" w:rsidP="00773D87">
      <w:pPr>
        <w:pStyle w:val="p2"/>
        <w:widowControl/>
        <w:spacing w:line="360" w:lineRule="auto"/>
        <w:ind w:firstLine="1440"/>
        <w:rPr>
          <w:sz w:val="26"/>
          <w:szCs w:val="26"/>
        </w:rPr>
      </w:pPr>
    </w:p>
    <w:p w:rsidR="00474D21" w:rsidRDefault="00474D21" w:rsidP="00773D87">
      <w:pPr>
        <w:pStyle w:val="p2"/>
        <w:widowControl/>
        <w:spacing w:line="360" w:lineRule="auto"/>
        <w:ind w:firstLine="1440"/>
        <w:rPr>
          <w:sz w:val="26"/>
          <w:szCs w:val="26"/>
        </w:rPr>
      </w:pPr>
      <w:r>
        <w:rPr>
          <w:sz w:val="26"/>
          <w:szCs w:val="26"/>
        </w:rPr>
        <w:t xml:space="preserve">PGW is owned by the City of Philadelphia and is the largest municipally owned gas utility in the country.  PGW is in the business of selling and distributing </w:t>
      </w:r>
      <w:r>
        <w:rPr>
          <w:sz w:val="26"/>
          <w:szCs w:val="26"/>
        </w:rPr>
        <w:lastRenderedPageBreak/>
        <w:t>natural gas to retail customers within the Commonwealth of Pennsylvania, and is therefore a “</w:t>
      </w:r>
      <w:r w:rsidR="00461BAE">
        <w:rPr>
          <w:sz w:val="26"/>
          <w:szCs w:val="26"/>
        </w:rPr>
        <w:t>city natural gas distribution operation</w:t>
      </w:r>
      <w:r>
        <w:rPr>
          <w:sz w:val="26"/>
          <w:szCs w:val="26"/>
        </w:rPr>
        <w:t xml:space="preserve">” </w:t>
      </w:r>
      <w:r w:rsidR="00461BAE">
        <w:rPr>
          <w:sz w:val="26"/>
          <w:szCs w:val="26"/>
        </w:rPr>
        <w:t xml:space="preserve">(CNGDO) </w:t>
      </w:r>
      <w:r>
        <w:rPr>
          <w:sz w:val="26"/>
          <w:szCs w:val="26"/>
        </w:rPr>
        <w:t xml:space="preserve">within the meaning of Section 102 of the Public Utility Code,  66 Pa. C.S. </w:t>
      </w:r>
      <w:r w:rsidRPr="002B3E34">
        <w:rPr>
          <w:iCs/>
          <w:sz w:val="26"/>
          <w:szCs w:val="26"/>
        </w:rPr>
        <w:t>§§</w:t>
      </w:r>
      <w:r>
        <w:rPr>
          <w:sz w:val="26"/>
          <w:szCs w:val="26"/>
        </w:rPr>
        <w:t xml:space="preserve"> 102, subject to the regulatory jurisdiction of the Commission.  </w:t>
      </w:r>
      <w:r w:rsidR="00461BAE" w:rsidRPr="00461BAE">
        <w:rPr>
          <w:i/>
          <w:sz w:val="26"/>
          <w:szCs w:val="26"/>
        </w:rPr>
        <w:t>See also</w:t>
      </w:r>
      <w:r w:rsidR="00461BAE">
        <w:rPr>
          <w:sz w:val="26"/>
          <w:szCs w:val="26"/>
        </w:rPr>
        <w:t xml:space="preserve"> 66 Pa. C.S. </w:t>
      </w:r>
      <w:r w:rsidR="00461BAE" w:rsidRPr="002B3E34">
        <w:rPr>
          <w:iCs/>
          <w:sz w:val="26"/>
          <w:szCs w:val="26"/>
        </w:rPr>
        <w:t>§</w:t>
      </w:r>
      <w:r w:rsidR="00461BAE">
        <w:rPr>
          <w:iCs/>
          <w:sz w:val="26"/>
          <w:szCs w:val="26"/>
        </w:rPr>
        <w:t xml:space="preserve"> 2212, relating to city natural gas distribution operations. </w:t>
      </w:r>
      <w:r w:rsidR="00461BAE">
        <w:rPr>
          <w:sz w:val="26"/>
          <w:szCs w:val="26"/>
        </w:rPr>
        <w:t xml:space="preserve"> </w:t>
      </w:r>
      <w:r>
        <w:rPr>
          <w:sz w:val="26"/>
          <w:szCs w:val="26"/>
        </w:rPr>
        <w:t>PGW manages a distribution system of approximately 6,000 miles of gas mains and service lines</w:t>
      </w:r>
      <w:r w:rsidR="00F73DF5">
        <w:rPr>
          <w:rStyle w:val="FootnoteReference"/>
          <w:sz w:val="26"/>
          <w:szCs w:val="26"/>
        </w:rPr>
        <w:footnoteReference w:id="1"/>
      </w:r>
      <w:r>
        <w:rPr>
          <w:sz w:val="26"/>
          <w:szCs w:val="26"/>
        </w:rPr>
        <w:t xml:space="preserve"> supplying approximately 500,000 customers.</w:t>
      </w:r>
    </w:p>
    <w:p w:rsidR="00474D21" w:rsidRDefault="00474D21" w:rsidP="00773D87">
      <w:pPr>
        <w:pStyle w:val="p2"/>
        <w:widowControl/>
        <w:spacing w:line="360" w:lineRule="auto"/>
        <w:ind w:firstLine="1440"/>
        <w:rPr>
          <w:sz w:val="26"/>
          <w:szCs w:val="26"/>
        </w:rPr>
      </w:pPr>
    </w:p>
    <w:p w:rsidR="005419E9" w:rsidRDefault="00E040F0" w:rsidP="00773D87">
      <w:pPr>
        <w:pStyle w:val="p2"/>
        <w:widowControl/>
        <w:spacing w:line="360" w:lineRule="auto"/>
        <w:ind w:firstLine="1440"/>
        <w:rPr>
          <w:sz w:val="26"/>
          <w:szCs w:val="26"/>
        </w:rPr>
      </w:pPr>
      <w:r>
        <w:rPr>
          <w:sz w:val="26"/>
          <w:szCs w:val="26"/>
        </w:rPr>
        <w:t xml:space="preserve">The LTIIP </w:t>
      </w:r>
      <w:r w:rsidR="008959A6">
        <w:rPr>
          <w:sz w:val="26"/>
          <w:szCs w:val="26"/>
        </w:rPr>
        <w:t xml:space="preserve">Petition </w:t>
      </w:r>
      <w:r>
        <w:rPr>
          <w:sz w:val="26"/>
          <w:szCs w:val="26"/>
        </w:rPr>
        <w:t xml:space="preserve">was filed on </w:t>
      </w:r>
      <w:r w:rsidR="00781885">
        <w:rPr>
          <w:sz w:val="26"/>
          <w:szCs w:val="26"/>
        </w:rPr>
        <w:t>December 3</w:t>
      </w:r>
      <w:r>
        <w:rPr>
          <w:sz w:val="26"/>
          <w:szCs w:val="26"/>
        </w:rPr>
        <w:t xml:space="preserve">, 2012, </w:t>
      </w:r>
      <w:r w:rsidR="008E2785" w:rsidRPr="008E2785">
        <w:rPr>
          <w:sz w:val="26"/>
          <w:szCs w:val="26"/>
        </w:rPr>
        <w:t xml:space="preserve">and the DSIC </w:t>
      </w:r>
      <w:r w:rsidR="008959A6">
        <w:rPr>
          <w:sz w:val="26"/>
          <w:szCs w:val="26"/>
        </w:rPr>
        <w:t xml:space="preserve">Petition </w:t>
      </w:r>
      <w:r w:rsidR="008E2785" w:rsidRPr="008E2785">
        <w:rPr>
          <w:sz w:val="26"/>
          <w:szCs w:val="26"/>
        </w:rPr>
        <w:t xml:space="preserve">was filed on January </w:t>
      </w:r>
      <w:r w:rsidR="008E2785">
        <w:rPr>
          <w:sz w:val="26"/>
          <w:szCs w:val="26"/>
        </w:rPr>
        <w:t>18</w:t>
      </w:r>
      <w:r w:rsidR="005419E9">
        <w:rPr>
          <w:sz w:val="26"/>
          <w:szCs w:val="26"/>
        </w:rPr>
        <w:t>, 2013.</w:t>
      </w:r>
      <w:r>
        <w:rPr>
          <w:sz w:val="26"/>
          <w:szCs w:val="26"/>
        </w:rPr>
        <w:t xml:space="preserve"> </w:t>
      </w:r>
      <w:r w:rsidR="005419E9">
        <w:rPr>
          <w:sz w:val="26"/>
          <w:szCs w:val="26"/>
        </w:rPr>
        <w:t xml:space="preserve"> </w:t>
      </w:r>
      <w:r w:rsidR="005419E9" w:rsidRPr="00062E21">
        <w:rPr>
          <w:sz w:val="26"/>
          <w:szCs w:val="26"/>
        </w:rPr>
        <w:t>Copies of the LTIIP Petition were served on the statutory advocates as well as the active</w:t>
      </w:r>
      <w:r w:rsidR="005419E9">
        <w:rPr>
          <w:sz w:val="26"/>
          <w:szCs w:val="26"/>
        </w:rPr>
        <w:t xml:space="preserve"> parties in PGW’s most recent</w:t>
      </w:r>
      <w:r w:rsidR="005419E9" w:rsidRPr="00062E21">
        <w:rPr>
          <w:sz w:val="26"/>
          <w:szCs w:val="26"/>
        </w:rPr>
        <w:t xml:space="preserve"> base rate case proceeding, docketed at R</w:t>
      </w:r>
      <w:r w:rsidR="005419E9">
        <w:rPr>
          <w:sz w:val="26"/>
          <w:szCs w:val="26"/>
        </w:rPr>
        <w:noBreakHyphen/>
        <w:t>2009</w:t>
      </w:r>
      <w:r w:rsidR="005419E9">
        <w:rPr>
          <w:sz w:val="26"/>
          <w:szCs w:val="26"/>
        </w:rPr>
        <w:noBreakHyphen/>
        <w:t xml:space="preserve">2139884, </w:t>
      </w:r>
      <w:r w:rsidR="005419E9" w:rsidRPr="00062E21">
        <w:rPr>
          <w:sz w:val="26"/>
          <w:szCs w:val="26"/>
        </w:rPr>
        <w:t xml:space="preserve">in accordance with </w:t>
      </w:r>
      <w:r w:rsidR="005419E9" w:rsidRPr="00DC108A">
        <w:rPr>
          <w:i/>
          <w:sz w:val="26"/>
          <w:szCs w:val="26"/>
        </w:rPr>
        <w:t>Implementation of Act 11 of 2012</w:t>
      </w:r>
      <w:r w:rsidR="005419E9">
        <w:rPr>
          <w:sz w:val="26"/>
          <w:szCs w:val="26"/>
        </w:rPr>
        <w:t>,</w:t>
      </w:r>
      <w:r w:rsidR="005419E9" w:rsidRPr="00062E21">
        <w:rPr>
          <w:sz w:val="26"/>
          <w:szCs w:val="26"/>
        </w:rPr>
        <w:t xml:space="preserve"> Docket No. M</w:t>
      </w:r>
      <w:r w:rsidR="005419E9">
        <w:rPr>
          <w:sz w:val="26"/>
          <w:szCs w:val="26"/>
        </w:rPr>
        <w:noBreakHyphen/>
      </w:r>
      <w:r w:rsidR="005419E9" w:rsidRPr="00062E21">
        <w:rPr>
          <w:sz w:val="26"/>
          <w:szCs w:val="26"/>
        </w:rPr>
        <w:t xml:space="preserve">2012-2293611 </w:t>
      </w:r>
      <w:r w:rsidR="005419E9">
        <w:rPr>
          <w:sz w:val="26"/>
          <w:szCs w:val="26"/>
        </w:rPr>
        <w:t>(</w:t>
      </w:r>
      <w:r w:rsidR="005419E9" w:rsidRPr="00062E21">
        <w:rPr>
          <w:sz w:val="26"/>
          <w:szCs w:val="26"/>
        </w:rPr>
        <w:t>August 2, 2012</w:t>
      </w:r>
      <w:r w:rsidR="005419E9">
        <w:rPr>
          <w:sz w:val="26"/>
          <w:szCs w:val="26"/>
        </w:rPr>
        <w:t>) (</w:t>
      </w:r>
      <w:r w:rsidR="005419E9" w:rsidRPr="00062E21">
        <w:rPr>
          <w:sz w:val="26"/>
          <w:szCs w:val="26"/>
        </w:rPr>
        <w:t>Final Implementation Order</w:t>
      </w:r>
      <w:r w:rsidR="005419E9">
        <w:rPr>
          <w:sz w:val="26"/>
          <w:szCs w:val="26"/>
        </w:rPr>
        <w:t xml:space="preserve">).  PGW’s </w:t>
      </w:r>
      <w:r w:rsidR="005419E9" w:rsidRPr="00062E21">
        <w:rPr>
          <w:sz w:val="26"/>
          <w:szCs w:val="26"/>
        </w:rPr>
        <w:t>DSIC Petition incl</w:t>
      </w:r>
      <w:r w:rsidR="005419E9">
        <w:rPr>
          <w:sz w:val="26"/>
          <w:szCs w:val="26"/>
        </w:rPr>
        <w:t>udes proposed Supplement No. 58</w:t>
      </w:r>
      <w:r w:rsidR="005419E9" w:rsidRPr="00062E21">
        <w:rPr>
          <w:sz w:val="26"/>
          <w:szCs w:val="26"/>
        </w:rPr>
        <w:t xml:space="preserve"> </w:t>
      </w:r>
      <w:r w:rsidR="005419E9">
        <w:rPr>
          <w:sz w:val="26"/>
          <w:szCs w:val="26"/>
        </w:rPr>
        <w:t>to Tariff Gas – Pa. P.U.C. No. 2</w:t>
      </w:r>
      <w:r w:rsidR="005419E9" w:rsidRPr="00062E21">
        <w:rPr>
          <w:sz w:val="26"/>
          <w:szCs w:val="26"/>
        </w:rPr>
        <w:t xml:space="preserve"> to introduce</w:t>
      </w:r>
      <w:r w:rsidR="005419E9">
        <w:rPr>
          <w:sz w:val="26"/>
          <w:szCs w:val="26"/>
        </w:rPr>
        <w:t xml:space="preserve"> the DSIC Rider into the PGW</w:t>
      </w:r>
      <w:r w:rsidR="005419E9" w:rsidRPr="00062E21">
        <w:rPr>
          <w:sz w:val="26"/>
          <w:szCs w:val="26"/>
        </w:rPr>
        <w:t xml:space="preserve"> tariff w</w:t>
      </w:r>
      <w:r w:rsidR="005419E9">
        <w:rPr>
          <w:sz w:val="26"/>
          <w:szCs w:val="26"/>
        </w:rPr>
        <w:t>ith an effective date of March 1</w:t>
      </w:r>
      <w:r w:rsidR="005419E9" w:rsidRPr="00062E21">
        <w:rPr>
          <w:sz w:val="26"/>
          <w:szCs w:val="26"/>
        </w:rPr>
        <w:t xml:space="preserve">, 2013.  The filing was made pursuant to 66 Pa. C.S. </w:t>
      </w:r>
      <w:r w:rsidR="005419E9" w:rsidRPr="00062E21">
        <w:rPr>
          <w:bCs/>
          <w:sz w:val="26"/>
          <w:szCs w:val="26"/>
        </w:rPr>
        <w:t xml:space="preserve">§ 1353 and </w:t>
      </w:r>
      <w:r w:rsidR="005419E9">
        <w:rPr>
          <w:bCs/>
          <w:sz w:val="26"/>
          <w:szCs w:val="26"/>
        </w:rPr>
        <w:t xml:space="preserve">the </w:t>
      </w:r>
      <w:r w:rsidR="005419E9" w:rsidRPr="00062E21">
        <w:rPr>
          <w:sz w:val="26"/>
          <w:szCs w:val="26"/>
        </w:rPr>
        <w:t>Final Implementation Order.</w:t>
      </w:r>
    </w:p>
    <w:p w:rsidR="005419E9" w:rsidRDefault="005419E9" w:rsidP="00773D87">
      <w:pPr>
        <w:pStyle w:val="p2"/>
        <w:widowControl/>
        <w:spacing w:line="360" w:lineRule="auto"/>
        <w:ind w:firstLine="1440"/>
        <w:rPr>
          <w:sz w:val="26"/>
          <w:szCs w:val="26"/>
        </w:rPr>
      </w:pPr>
    </w:p>
    <w:p w:rsidR="00A5589D" w:rsidRPr="00330D75" w:rsidRDefault="00A5589D" w:rsidP="00773D87">
      <w:pPr>
        <w:pStyle w:val="p7"/>
        <w:widowControl/>
        <w:tabs>
          <w:tab w:val="clear" w:pos="782"/>
          <w:tab w:val="clear" w:pos="1133"/>
          <w:tab w:val="left" w:pos="720"/>
          <w:tab w:val="left" w:pos="1440"/>
        </w:tabs>
        <w:spacing w:line="360" w:lineRule="auto"/>
        <w:ind w:left="0" w:firstLine="1440"/>
        <w:rPr>
          <w:color w:val="0D0D0D" w:themeColor="text1" w:themeTint="F2"/>
          <w:sz w:val="26"/>
          <w:szCs w:val="26"/>
        </w:rPr>
      </w:pPr>
      <w:r>
        <w:rPr>
          <w:sz w:val="26"/>
          <w:szCs w:val="26"/>
        </w:rPr>
        <w:t>Philadelphia Industrial and Co</w:t>
      </w:r>
      <w:r w:rsidR="00E422C5">
        <w:rPr>
          <w:sz w:val="26"/>
          <w:szCs w:val="26"/>
        </w:rPr>
        <w:t>mmercial Gas Users Group (PICGUG</w:t>
      </w:r>
      <w:r>
        <w:rPr>
          <w:sz w:val="26"/>
          <w:szCs w:val="26"/>
        </w:rPr>
        <w:t xml:space="preserve">) </w:t>
      </w:r>
      <w:r>
        <w:rPr>
          <w:color w:val="0D0D0D" w:themeColor="text1" w:themeTint="F2"/>
          <w:sz w:val="26"/>
          <w:szCs w:val="26"/>
        </w:rPr>
        <w:t>filed comments on December 21, 2012.  PICGUG</w:t>
      </w:r>
      <w:r w:rsidR="00E422C5">
        <w:rPr>
          <w:color w:val="0D0D0D" w:themeColor="text1" w:themeTint="F2"/>
          <w:sz w:val="26"/>
          <w:szCs w:val="26"/>
        </w:rPr>
        <w:t xml:space="preserve"> did not object to PGW</w:t>
      </w:r>
      <w:r w:rsidRPr="00330D75">
        <w:rPr>
          <w:color w:val="0D0D0D" w:themeColor="text1" w:themeTint="F2"/>
          <w:sz w:val="26"/>
          <w:szCs w:val="26"/>
        </w:rPr>
        <w:t xml:space="preserve">’s proposed LTIIP at this time.  </w:t>
      </w:r>
      <w:r>
        <w:rPr>
          <w:sz w:val="26"/>
          <w:szCs w:val="26"/>
        </w:rPr>
        <w:t xml:space="preserve">However, PICGUG indicated in its comments that if the Commission finds that PGW’s proposal to fund the accelerated main replacement program on a “pay as you go” basis should be addressed in this proceeding, PICGUG would request that the LTIIP be referred to the Office of Administrative Law Judge </w:t>
      </w:r>
      <w:r w:rsidR="008959A6">
        <w:rPr>
          <w:sz w:val="26"/>
          <w:szCs w:val="26"/>
        </w:rPr>
        <w:t xml:space="preserve">(OALJ) </w:t>
      </w:r>
      <w:r>
        <w:rPr>
          <w:sz w:val="26"/>
          <w:szCs w:val="26"/>
        </w:rPr>
        <w:t>for a full evidentiary hearing on the merits.  In addition, PICG</w:t>
      </w:r>
      <w:r w:rsidR="00E422C5">
        <w:rPr>
          <w:sz w:val="26"/>
          <w:szCs w:val="26"/>
        </w:rPr>
        <w:t>UG</w:t>
      </w:r>
      <w:r>
        <w:rPr>
          <w:sz w:val="26"/>
          <w:szCs w:val="26"/>
        </w:rPr>
        <w:t xml:space="preserve"> calls for a thorough review of the scope of investment for the LTIIP to ensure that the completed capital improvements remain reasonabl</w:t>
      </w:r>
      <w:r w:rsidR="00B43978">
        <w:rPr>
          <w:sz w:val="26"/>
          <w:szCs w:val="26"/>
        </w:rPr>
        <w:t>y</w:t>
      </w:r>
      <w:r>
        <w:rPr>
          <w:sz w:val="26"/>
          <w:szCs w:val="26"/>
        </w:rPr>
        <w:t xml:space="preserve"> consistent with projections outlined in the LTIIP and limited to DSIC-eligible assets. </w:t>
      </w:r>
      <w:r w:rsidR="00BB48F2">
        <w:rPr>
          <w:color w:val="0D0D0D" w:themeColor="text1" w:themeTint="F2"/>
          <w:sz w:val="26"/>
          <w:szCs w:val="26"/>
        </w:rPr>
        <w:t xml:space="preserve"> On February 7, 2013, PICGUG</w:t>
      </w:r>
      <w:r w:rsidRPr="00330D75">
        <w:rPr>
          <w:color w:val="0D0D0D" w:themeColor="text1" w:themeTint="F2"/>
          <w:sz w:val="26"/>
          <w:szCs w:val="26"/>
        </w:rPr>
        <w:t xml:space="preserve"> filed a Petition to Intervene and Answer.</w:t>
      </w:r>
      <w:r w:rsidR="00086E71">
        <w:rPr>
          <w:color w:val="0D0D0D" w:themeColor="text1" w:themeTint="F2"/>
          <w:sz w:val="26"/>
          <w:szCs w:val="26"/>
        </w:rPr>
        <w:t xml:space="preserve">  PICGUG requested that the Commission deny PGW’s expedited effective date of </w:t>
      </w:r>
      <w:r w:rsidR="00086E71">
        <w:rPr>
          <w:color w:val="0D0D0D" w:themeColor="text1" w:themeTint="F2"/>
          <w:sz w:val="26"/>
          <w:szCs w:val="26"/>
        </w:rPr>
        <w:lastRenderedPageBreak/>
        <w:t>March</w:t>
      </w:r>
      <w:r w:rsidR="008959A6">
        <w:rPr>
          <w:color w:val="0D0D0D" w:themeColor="text1" w:themeTint="F2"/>
          <w:sz w:val="26"/>
          <w:szCs w:val="26"/>
        </w:rPr>
        <w:t> </w:t>
      </w:r>
      <w:r w:rsidR="00086E71">
        <w:rPr>
          <w:color w:val="0D0D0D" w:themeColor="text1" w:themeTint="F2"/>
          <w:sz w:val="26"/>
          <w:szCs w:val="26"/>
        </w:rPr>
        <w:t xml:space="preserve">1, 2013 and </w:t>
      </w:r>
      <w:r w:rsidR="0083630E">
        <w:rPr>
          <w:color w:val="0D0D0D" w:themeColor="text1" w:themeTint="F2"/>
          <w:sz w:val="26"/>
          <w:szCs w:val="26"/>
        </w:rPr>
        <w:t>requested evidentiary hearings to investigate PGW’s cost recovery methodology.</w:t>
      </w:r>
    </w:p>
    <w:p w:rsidR="000D09A1" w:rsidRDefault="000D09A1" w:rsidP="00773D87">
      <w:pPr>
        <w:pStyle w:val="p2"/>
        <w:widowControl/>
        <w:spacing w:line="360" w:lineRule="auto"/>
        <w:ind w:firstLine="1440"/>
        <w:rPr>
          <w:sz w:val="26"/>
          <w:szCs w:val="26"/>
        </w:rPr>
      </w:pPr>
    </w:p>
    <w:p w:rsidR="001F37FA" w:rsidRDefault="001F37FA" w:rsidP="00773D87">
      <w:pPr>
        <w:pStyle w:val="p2"/>
        <w:widowControl/>
        <w:spacing w:line="360" w:lineRule="auto"/>
        <w:ind w:firstLine="1440"/>
        <w:rPr>
          <w:sz w:val="26"/>
          <w:szCs w:val="26"/>
        </w:rPr>
      </w:pPr>
      <w:r w:rsidRPr="00330D75">
        <w:rPr>
          <w:color w:val="0D0D0D" w:themeColor="text1" w:themeTint="F2"/>
          <w:sz w:val="26"/>
          <w:szCs w:val="26"/>
        </w:rPr>
        <w:t xml:space="preserve">The Office of Consumer Advocate (OCA) filed comments </w:t>
      </w:r>
      <w:r>
        <w:rPr>
          <w:color w:val="0D0D0D" w:themeColor="text1" w:themeTint="F2"/>
          <w:sz w:val="26"/>
          <w:szCs w:val="26"/>
        </w:rPr>
        <w:t>on December</w:t>
      </w:r>
      <w:r w:rsidRPr="00330D75">
        <w:rPr>
          <w:color w:val="0D0D0D" w:themeColor="text1" w:themeTint="F2"/>
          <w:sz w:val="26"/>
          <w:szCs w:val="26"/>
        </w:rPr>
        <w:t> </w:t>
      </w:r>
      <w:r>
        <w:rPr>
          <w:color w:val="0D0D0D" w:themeColor="text1" w:themeTint="F2"/>
          <w:sz w:val="26"/>
          <w:szCs w:val="26"/>
        </w:rPr>
        <w:t>24, 2012</w:t>
      </w:r>
      <w:r w:rsidRPr="00330D75">
        <w:rPr>
          <w:color w:val="0D0D0D" w:themeColor="text1" w:themeTint="F2"/>
          <w:sz w:val="26"/>
          <w:szCs w:val="26"/>
        </w:rPr>
        <w:t xml:space="preserve">, but did not initially request hearings.  </w:t>
      </w:r>
      <w:r w:rsidRPr="006A1F53">
        <w:rPr>
          <w:sz w:val="26"/>
          <w:szCs w:val="26"/>
        </w:rPr>
        <w:t xml:space="preserve">On </w:t>
      </w:r>
      <w:r>
        <w:rPr>
          <w:sz w:val="26"/>
          <w:szCs w:val="26"/>
        </w:rPr>
        <w:t>Febr</w:t>
      </w:r>
      <w:r w:rsidRPr="006A1F53">
        <w:rPr>
          <w:sz w:val="26"/>
          <w:szCs w:val="26"/>
        </w:rPr>
        <w:t xml:space="preserve">uary </w:t>
      </w:r>
      <w:r>
        <w:rPr>
          <w:sz w:val="26"/>
          <w:szCs w:val="26"/>
        </w:rPr>
        <w:t>7</w:t>
      </w:r>
      <w:r w:rsidRPr="006A1F53">
        <w:rPr>
          <w:sz w:val="26"/>
          <w:szCs w:val="26"/>
        </w:rPr>
        <w:t xml:space="preserve">, 2013 OCA filed a Notice of Intervention, a Formal Complaint and Public Statement, and an Answer to </w:t>
      </w:r>
      <w:r>
        <w:rPr>
          <w:sz w:val="26"/>
          <w:szCs w:val="26"/>
        </w:rPr>
        <w:t>PGW</w:t>
      </w:r>
      <w:r w:rsidRPr="006A1F53">
        <w:rPr>
          <w:sz w:val="26"/>
          <w:szCs w:val="26"/>
        </w:rPr>
        <w:t xml:space="preserve">’s DSIC Petition.  In its Answer to the </w:t>
      </w:r>
      <w:r>
        <w:rPr>
          <w:sz w:val="26"/>
          <w:szCs w:val="26"/>
        </w:rPr>
        <w:t>PGW</w:t>
      </w:r>
      <w:r w:rsidRPr="006A1F53">
        <w:rPr>
          <w:sz w:val="26"/>
          <w:szCs w:val="26"/>
        </w:rPr>
        <w:t xml:space="preserve"> DSIC Petition, OCA states that the Commission should deny </w:t>
      </w:r>
      <w:r>
        <w:rPr>
          <w:sz w:val="26"/>
          <w:szCs w:val="26"/>
        </w:rPr>
        <w:t>PGW</w:t>
      </w:r>
      <w:r w:rsidRPr="006A1F53">
        <w:rPr>
          <w:sz w:val="26"/>
          <w:szCs w:val="26"/>
        </w:rPr>
        <w:t xml:space="preserve">’s Petition as filed, suspend proposed Tariff Supplement No. </w:t>
      </w:r>
      <w:r>
        <w:rPr>
          <w:sz w:val="26"/>
          <w:szCs w:val="26"/>
        </w:rPr>
        <w:t>58</w:t>
      </w:r>
      <w:r w:rsidRPr="006A1F53">
        <w:rPr>
          <w:sz w:val="26"/>
          <w:szCs w:val="26"/>
        </w:rPr>
        <w:t xml:space="preserve"> to Tariff Gas – Pa. P.U.C. No. </w:t>
      </w:r>
      <w:r>
        <w:rPr>
          <w:sz w:val="26"/>
          <w:szCs w:val="26"/>
        </w:rPr>
        <w:t>2</w:t>
      </w:r>
      <w:r w:rsidRPr="006A1F53">
        <w:rPr>
          <w:sz w:val="26"/>
          <w:szCs w:val="26"/>
        </w:rPr>
        <w:t xml:space="preserve"> and order a full hearing and investigation</w:t>
      </w:r>
      <w:r w:rsidR="00552081">
        <w:rPr>
          <w:sz w:val="26"/>
          <w:szCs w:val="26"/>
        </w:rPr>
        <w:t>. (OCA Answer at</w:t>
      </w:r>
      <w:r w:rsidRPr="006A1F53">
        <w:rPr>
          <w:sz w:val="26"/>
          <w:szCs w:val="26"/>
        </w:rPr>
        <w:t xml:space="preserve"> 1).</w:t>
      </w:r>
    </w:p>
    <w:p w:rsidR="006A1F53" w:rsidRPr="006A1F53" w:rsidRDefault="006A1F53" w:rsidP="00773D87">
      <w:pPr>
        <w:pStyle w:val="p2"/>
        <w:widowControl/>
        <w:spacing w:line="360" w:lineRule="auto"/>
        <w:ind w:firstLine="0"/>
        <w:rPr>
          <w:sz w:val="26"/>
          <w:szCs w:val="26"/>
        </w:rPr>
      </w:pPr>
    </w:p>
    <w:p w:rsidR="001F37FA" w:rsidRDefault="006A1F53" w:rsidP="00773D87">
      <w:pPr>
        <w:pStyle w:val="p2"/>
        <w:widowControl/>
        <w:spacing w:line="360" w:lineRule="auto"/>
        <w:ind w:firstLine="1440"/>
        <w:rPr>
          <w:sz w:val="26"/>
          <w:szCs w:val="26"/>
        </w:rPr>
      </w:pPr>
      <w:r w:rsidRPr="006A1F53">
        <w:rPr>
          <w:sz w:val="26"/>
          <w:szCs w:val="26"/>
        </w:rPr>
        <w:t xml:space="preserve">On </w:t>
      </w:r>
      <w:r w:rsidR="007A175F">
        <w:rPr>
          <w:sz w:val="26"/>
          <w:szCs w:val="26"/>
        </w:rPr>
        <w:t>Febr</w:t>
      </w:r>
      <w:r w:rsidR="007A175F" w:rsidRPr="006A1F53">
        <w:rPr>
          <w:sz w:val="26"/>
          <w:szCs w:val="26"/>
        </w:rPr>
        <w:t xml:space="preserve">uary </w:t>
      </w:r>
      <w:r w:rsidR="007A175F">
        <w:rPr>
          <w:sz w:val="26"/>
          <w:szCs w:val="26"/>
        </w:rPr>
        <w:t>7</w:t>
      </w:r>
      <w:r w:rsidRPr="006A1F53">
        <w:rPr>
          <w:sz w:val="26"/>
          <w:szCs w:val="26"/>
        </w:rPr>
        <w:t xml:space="preserve">, 2013 the Office of Small Business Advocate (OSBA) filed a Notice of Intervention and an Answer.  </w:t>
      </w:r>
      <w:r w:rsidR="00086E71" w:rsidRPr="00330D75">
        <w:rPr>
          <w:sz w:val="26"/>
          <w:szCs w:val="26"/>
        </w:rPr>
        <w:t>OSBA requested hearings and such relief as may be necessary or appropria</w:t>
      </w:r>
      <w:r w:rsidR="00086E71">
        <w:rPr>
          <w:sz w:val="26"/>
          <w:szCs w:val="26"/>
        </w:rPr>
        <w:t xml:space="preserve">te. </w:t>
      </w:r>
      <w:r w:rsidR="00086E71" w:rsidRPr="00330D75">
        <w:rPr>
          <w:sz w:val="26"/>
          <w:szCs w:val="26"/>
        </w:rPr>
        <w:t xml:space="preserve"> </w:t>
      </w:r>
    </w:p>
    <w:p w:rsidR="001F37FA" w:rsidRDefault="001F37FA" w:rsidP="00773D87">
      <w:pPr>
        <w:pStyle w:val="p2"/>
        <w:widowControl/>
        <w:spacing w:line="360" w:lineRule="auto"/>
        <w:ind w:firstLine="1440"/>
        <w:rPr>
          <w:sz w:val="26"/>
          <w:szCs w:val="26"/>
        </w:rPr>
      </w:pPr>
    </w:p>
    <w:p w:rsidR="006A1F53" w:rsidRDefault="00B10E6E" w:rsidP="00773D87">
      <w:pPr>
        <w:pStyle w:val="p2"/>
        <w:widowControl/>
        <w:spacing w:line="360" w:lineRule="auto"/>
        <w:ind w:firstLine="1440"/>
        <w:rPr>
          <w:sz w:val="26"/>
          <w:szCs w:val="26"/>
        </w:rPr>
      </w:pPr>
      <w:r>
        <w:rPr>
          <w:sz w:val="26"/>
          <w:szCs w:val="26"/>
        </w:rPr>
        <w:t>On February 7, 2013,</w:t>
      </w:r>
      <w:r w:rsidR="006A1F53" w:rsidRPr="006A1F53">
        <w:rPr>
          <w:sz w:val="26"/>
          <w:szCs w:val="26"/>
        </w:rPr>
        <w:t xml:space="preserve"> </w:t>
      </w:r>
      <w:r w:rsidR="007A175F">
        <w:rPr>
          <w:sz w:val="26"/>
          <w:szCs w:val="26"/>
        </w:rPr>
        <w:t>the Bureau of Investigation and Enforcement (I&amp;E)</w:t>
      </w:r>
      <w:r w:rsidR="006A1F53" w:rsidRPr="006A1F53">
        <w:rPr>
          <w:sz w:val="26"/>
          <w:szCs w:val="26"/>
        </w:rPr>
        <w:t xml:space="preserve"> filed a</w:t>
      </w:r>
      <w:r w:rsidR="007A175F">
        <w:rPr>
          <w:sz w:val="26"/>
          <w:szCs w:val="26"/>
        </w:rPr>
        <w:t>n Answer</w:t>
      </w:r>
      <w:r w:rsidR="006A1F53" w:rsidRPr="006A1F53">
        <w:rPr>
          <w:sz w:val="26"/>
          <w:szCs w:val="26"/>
        </w:rPr>
        <w:t xml:space="preserve">.  </w:t>
      </w:r>
      <w:r>
        <w:rPr>
          <w:sz w:val="26"/>
          <w:szCs w:val="26"/>
        </w:rPr>
        <w:t>In its Answer</w:t>
      </w:r>
      <w:r w:rsidR="007563ED" w:rsidRPr="007563ED">
        <w:rPr>
          <w:sz w:val="26"/>
          <w:szCs w:val="26"/>
        </w:rPr>
        <w:t xml:space="preserve"> </w:t>
      </w:r>
      <w:r w:rsidR="007563ED">
        <w:rPr>
          <w:sz w:val="26"/>
          <w:szCs w:val="26"/>
        </w:rPr>
        <w:t xml:space="preserve">I&amp;E </w:t>
      </w:r>
      <w:r>
        <w:rPr>
          <w:sz w:val="26"/>
          <w:szCs w:val="26"/>
        </w:rPr>
        <w:t>supported PGW’s DSIC Petition stating that: “The pay as you go funding is well suited for a utility such as PGW that is regulated utilizing the cash flow methodology.”  I&amp;E Answer at 2.</w:t>
      </w:r>
    </w:p>
    <w:p w:rsidR="00765982" w:rsidRDefault="00765982" w:rsidP="00773D87">
      <w:pPr>
        <w:pStyle w:val="p2"/>
        <w:widowControl/>
        <w:spacing w:line="360" w:lineRule="auto"/>
        <w:ind w:firstLine="1440"/>
        <w:rPr>
          <w:sz w:val="26"/>
          <w:szCs w:val="26"/>
        </w:rPr>
      </w:pPr>
    </w:p>
    <w:p w:rsidR="00765982" w:rsidRPr="00330D75" w:rsidRDefault="00765982" w:rsidP="00773D87">
      <w:pPr>
        <w:pStyle w:val="p2"/>
        <w:widowControl/>
        <w:spacing w:line="360" w:lineRule="auto"/>
        <w:ind w:firstLine="1440"/>
        <w:rPr>
          <w:sz w:val="26"/>
          <w:szCs w:val="26"/>
        </w:rPr>
      </w:pPr>
      <w:r>
        <w:rPr>
          <w:sz w:val="26"/>
          <w:szCs w:val="26"/>
        </w:rPr>
        <w:t>PGW</w:t>
      </w:r>
      <w:r w:rsidR="00537A25">
        <w:rPr>
          <w:sz w:val="26"/>
          <w:szCs w:val="26"/>
        </w:rPr>
        <w:t xml:space="preserve"> filed an Answer on February 19</w:t>
      </w:r>
      <w:r w:rsidRPr="00330D75">
        <w:rPr>
          <w:sz w:val="26"/>
          <w:szCs w:val="26"/>
        </w:rPr>
        <w:t>, 2013, in respo</w:t>
      </w:r>
      <w:r w:rsidR="00537A25">
        <w:rPr>
          <w:sz w:val="26"/>
          <w:szCs w:val="26"/>
        </w:rPr>
        <w:t>nse to the OCA’s Formal Complaint to PGW’s DSIC P</w:t>
      </w:r>
      <w:r w:rsidRPr="00330D75">
        <w:rPr>
          <w:sz w:val="26"/>
          <w:szCs w:val="26"/>
        </w:rPr>
        <w:t>etition</w:t>
      </w:r>
      <w:r w:rsidR="00537A25">
        <w:rPr>
          <w:sz w:val="26"/>
          <w:szCs w:val="26"/>
        </w:rPr>
        <w:t xml:space="preserve">.  </w:t>
      </w:r>
    </w:p>
    <w:p w:rsidR="00765982" w:rsidRPr="00330D75" w:rsidRDefault="00765982" w:rsidP="00773D87">
      <w:pPr>
        <w:pStyle w:val="p2"/>
        <w:widowControl/>
        <w:spacing w:line="360" w:lineRule="auto"/>
        <w:ind w:firstLine="0"/>
        <w:rPr>
          <w:sz w:val="26"/>
          <w:szCs w:val="26"/>
        </w:rPr>
      </w:pPr>
    </w:p>
    <w:p w:rsidR="00765982" w:rsidRDefault="00765982" w:rsidP="00773D87">
      <w:pPr>
        <w:pStyle w:val="p2"/>
        <w:widowControl/>
        <w:spacing w:line="360" w:lineRule="auto"/>
        <w:ind w:firstLine="1440"/>
        <w:rPr>
          <w:sz w:val="26"/>
          <w:szCs w:val="26"/>
        </w:rPr>
      </w:pPr>
      <w:r w:rsidRPr="00330D75">
        <w:rPr>
          <w:sz w:val="26"/>
          <w:szCs w:val="26"/>
        </w:rPr>
        <w:tab/>
        <w:t>No objections</w:t>
      </w:r>
      <w:r w:rsidRPr="00062E21">
        <w:rPr>
          <w:sz w:val="26"/>
          <w:szCs w:val="26"/>
        </w:rPr>
        <w:t xml:space="preserve"> or comments were received from federal, state or local governmental agencies</w:t>
      </w:r>
      <w:r>
        <w:rPr>
          <w:sz w:val="26"/>
          <w:szCs w:val="26"/>
        </w:rPr>
        <w:t>.</w:t>
      </w:r>
    </w:p>
    <w:p w:rsidR="00CD3342" w:rsidRPr="00042915" w:rsidRDefault="00CD3342" w:rsidP="00773D87">
      <w:pPr>
        <w:pStyle w:val="p2"/>
        <w:widowControl/>
        <w:spacing w:line="360" w:lineRule="auto"/>
        <w:ind w:firstLine="0"/>
        <w:rPr>
          <w:sz w:val="26"/>
          <w:szCs w:val="26"/>
        </w:rPr>
      </w:pPr>
    </w:p>
    <w:p w:rsidR="00E040F0" w:rsidRDefault="00FB317A" w:rsidP="00F73DF5">
      <w:pPr>
        <w:pStyle w:val="p2"/>
        <w:keepNext/>
        <w:widowControl/>
        <w:spacing w:line="360" w:lineRule="auto"/>
        <w:ind w:firstLine="0"/>
        <w:jc w:val="center"/>
        <w:rPr>
          <w:b/>
          <w:sz w:val="26"/>
          <w:szCs w:val="26"/>
        </w:rPr>
      </w:pPr>
      <w:r>
        <w:rPr>
          <w:b/>
          <w:sz w:val="26"/>
          <w:szCs w:val="26"/>
        </w:rPr>
        <w:lastRenderedPageBreak/>
        <w:t>BACKGROUND</w:t>
      </w:r>
    </w:p>
    <w:p w:rsidR="00E040F0" w:rsidRDefault="00E040F0" w:rsidP="00F73DF5">
      <w:pPr>
        <w:pStyle w:val="p2"/>
        <w:keepNext/>
        <w:widowControl/>
        <w:ind w:firstLine="0"/>
        <w:jc w:val="center"/>
        <w:rPr>
          <w:b/>
          <w:sz w:val="26"/>
          <w:szCs w:val="26"/>
        </w:rPr>
      </w:pPr>
    </w:p>
    <w:p w:rsidR="004A3F09" w:rsidRDefault="00583191" w:rsidP="00773D87">
      <w:pPr>
        <w:pStyle w:val="p2"/>
        <w:widowControl/>
        <w:spacing w:line="360" w:lineRule="auto"/>
        <w:ind w:firstLine="1440"/>
        <w:rPr>
          <w:sz w:val="26"/>
          <w:szCs w:val="26"/>
        </w:rPr>
      </w:pPr>
      <w:r w:rsidRPr="00883D7C">
        <w:rPr>
          <w:sz w:val="26"/>
          <w:szCs w:val="26"/>
        </w:rPr>
        <w:t>On February 14, 2012,</w:t>
      </w:r>
      <w:r>
        <w:rPr>
          <w:b/>
          <w:sz w:val="26"/>
          <w:szCs w:val="26"/>
        </w:rPr>
        <w:t xml:space="preserve"> </w:t>
      </w:r>
      <w:r w:rsidR="00883D7C" w:rsidRPr="00883D7C">
        <w:rPr>
          <w:sz w:val="26"/>
          <w:szCs w:val="26"/>
        </w:rPr>
        <w:t>Governor Corbet</w:t>
      </w:r>
      <w:r w:rsidR="00883D7C">
        <w:rPr>
          <w:sz w:val="26"/>
          <w:szCs w:val="26"/>
        </w:rPr>
        <w:t>t</w:t>
      </w:r>
      <w:r w:rsidR="00883D7C" w:rsidRPr="00883D7C">
        <w:rPr>
          <w:sz w:val="26"/>
          <w:szCs w:val="26"/>
        </w:rPr>
        <w:t xml:space="preserve"> signed into law</w:t>
      </w:r>
      <w:r w:rsidR="00883D7C">
        <w:rPr>
          <w:b/>
          <w:sz w:val="26"/>
          <w:szCs w:val="26"/>
        </w:rPr>
        <w:t xml:space="preserve"> </w:t>
      </w:r>
      <w:r w:rsidR="003608C2">
        <w:rPr>
          <w:sz w:val="26"/>
          <w:szCs w:val="26"/>
        </w:rPr>
        <w:t xml:space="preserve">Act 11 </w:t>
      </w:r>
      <w:r w:rsidR="00883D7C">
        <w:rPr>
          <w:sz w:val="26"/>
          <w:szCs w:val="26"/>
        </w:rPr>
        <w:t xml:space="preserve">of 2012, </w:t>
      </w:r>
      <w:r w:rsidR="00E00C08">
        <w:rPr>
          <w:sz w:val="26"/>
          <w:szCs w:val="26"/>
        </w:rPr>
        <w:t>(Act 11),</w:t>
      </w:r>
      <w:r w:rsidR="00E00C08" w:rsidRPr="00062E21">
        <w:rPr>
          <w:rStyle w:val="FootnoteReference"/>
          <w:sz w:val="26"/>
          <w:szCs w:val="26"/>
        </w:rPr>
        <w:footnoteReference w:id="2"/>
      </w:r>
      <w:r w:rsidR="00E00C08" w:rsidRPr="00062E21">
        <w:rPr>
          <w:sz w:val="26"/>
          <w:szCs w:val="26"/>
        </w:rPr>
        <w:t xml:space="preserve"> </w:t>
      </w:r>
      <w:r w:rsidR="00883D7C">
        <w:rPr>
          <w:sz w:val="26"/>
          <w:szCs w:val="26"/>
        </w:rPr>
        <w:t xml:space="preserve">which amends Chapters 3, 13 and 33 </w:t>
      </w:r>
      <w:r w:rsidR="00883D7C" w:rsidRPr="00562D21">
        <w:rPr>
          <w:sz w:val="26"/>
          <w:szCs w:val="26"/>
        </w:rPr>
        <w:t>of Title 66.</w:t>
      </w:r>
      <w:r w:rsidR="00883D7C">
        <w:rPr>
          <w:sz w:val="26"/>
          <w:szCs w:val="26"/>
        </w:rPr>
        <w:t xml:space="preserve">  Act 11</w:t>
      </w:r>
      <w:r w:rsidR="00E00C08">
        <w:rPr>
          <w:sz w:val="26"/>
          <w:szCs w:val="26"/>
        </w:rPr>
        <w:t xml:space="preserve">, </w:t>
      </w:r>
      <w:r w:rsidR="00E00C08" w:rsidRPr="00E00C08">
        <w:rPr>
          <w:i/>
          <w:sz w:val="26"/>
          <w:szCs w:val="26"/>
        </w:rPr>
        <w:t>inter alia</w:t>
      </w:r>
      <w:r w:rsidR="00E00C08">
        <w:rPr>
          <w:sz w:val="26"/>
          <w:szCs w:val="26"/>
        </w:rPr>
        <w:t>,</w:t>
      </w:r>
      <w:r w:rsidR="00883D7C">
        <w:rPr>
          <w:sz w:val="26"/>
          <w:szCs w:val="26"/>
        </w:rPr>
        <w:t xml:space="preserve"> provides </w:t>
      </w:r>
      <w:r w:rsidR="003608C2">
        <w:rPr>
          <w:sz w:val="26"/>
          <w:szCs w:val="26"/>
        </w:rPr>
        <w:t xml:space="preserve">utilities with the ability to implement a </w:t>
      </w:r>
      <w:r>
        <w:rPr>
          <w:sz w:val="26"/>
          <w:szCs w:val="26"/>
        </w:rPr>
        <w:t>Distribution System Improvement Charge</w:t>
      </w:r>
      <w:r w:rsidR="008226AA">
        <w:rPr>
          <w:sz w:val="26"/>
          <w:szCs w:val="26"/>
        </w:rPr>
        <w:t xml:space="preserve"> (</w:t>
      </w:r>
      <w:r w:rsidR="003608C2">
        <w:rPr>
          <w:sz w:val="26"/>
          <w:szCs w:val="26"/>
        </w:rPr>
        <w:t>DSIC</w:t>
      </w:r>
      <w:r>
        <w:rPr>
          <w:sz w:val="26"/>
          <w:szCs w:val="26"/>
        </w:rPr>
        <w:t>)</w:t>
      </w:r>
      <w:r w:rsidR="003608C2">
        <w:rPr>
          <w:sz w:val="26"/>
          <w:szCs w:val="26"/>
        </w:rPr>
        <w:t xml:space="preserve"> to recover reasonable and prudent costs incurred to repair, improve or replace certain eligible distribution property that is part of the utility’s distribution system.  The eligible property for the utilities is defined in 66 Pa. C.S. </w:t>
      </w:r>
      <w:r w:rsidR="003608C2" w:rsidRPr="002B3E34">
        <w:rPr>
          <w:iCs/>
          <w:sz w:val="26"/>
          <w:szCs w:val="26"/>
        </w:rPr>
        <w:t>§</w:t>
      </w:r>
      <w:r w:rsidR="003608C2">
        <w:rPr>
          <w:sz w:val="26"/>
          <w:szCs w:val="26"/>
        </w:rPr>
        <w:t xml:space="preserve">1351.  </w:t>
      </w:r>
      <w:r w:rsidR="00FA79D8">
        <w:rPr>
          <w:sz w:val="26"/>
          <w:szCs w:val="26"/>
        </w:rPr>
        <w:t>Act 11 states that</w:t>
      </w:r>
      <w:r w:rsidR="003608C2">
        <w:rPr>
          <w:sz w:val="26"/>
          <w:szCs w:val="26"/>
        </w:rPr>
        <w:t xml:space="preserve"> a</w:t>
      </w:r>
      <w:r w:rsidR="00FA79D8">
        <w:rPr>
          <w:sz w:val="26"/>
          <w:szCs w:val="26"/>
        </w:rPr>
        <w:t>s a</w:t>
      </w:r>
      <w:r w:rsidR="003608C2">
        <w:rPr>
          <w:sz w:val="26"/>
          <w:szCs w:val="26"/>
        </w:rPr>
        <w:t xml:space="preserve"> precondition to the implementation of a DSIC, a utility must file a LTIIP with the Commission that is consistent with 66 Pa. C.S. </w:t>
      </w:r>
      <w:r w:rsidR="003608C2" w:rsidRPr="002B3E34">
        <w:rPr>
          <w:iCs/>
          <w:sz w:val="26"/>
          <w:szCs w:val="26"/>
        </w:rPr>
        <w:t>§</w:t>
      </w:r>
      <w:r w:rsidR="003608C2">
        <w:rPr>
          <w:sz w:val="26"/>
          <w:szCs w:val="26"/>
        </w:rPr>
        <w:t xml:space="preserve">1352.  </w:t>
      </w:r>
    </w:p>
    <w:p w:rsidR="004A3F09" w:rsidRDefault="004A3F09" w:rsidP="00773D87">
      <w:pPr>
        <w:pStyle w:val="p2"/>
        <w:widowControl/>
        <w:spacing w:line="360" w:lineRule="auto"/>
        <w:ind w:firstLine="0"/>
        <w:rPr>
          <w:sz w:val="26"/>
          <w:szCs w:val="26"/>
        </w:rPr>
      </w:pPr>
    </w:p>
    <w:p w:rsidR="00F15FD8" w:rsidRDefault="004A3F09" w:rsidP="00773D87">
      <w:pPr>
        <w:pStyle w:val="p2"/>
        <w:widowControl/>
        <w:spacing w:line="360" w:lineRule="auto"/>
        <w:ind w:firstLine="1440"/>
        <w:rPr>
          <w:sz w:val="26"/>
          <w:szCs w:val="26"/>
        </w:rPr>
      </w:pPr>
      <w:r>
        <w:rPr>
          <w:sz w:val="26"/>
          <w:szCs w:val="26"/>
        </w:rPr>
        <w:tab/>
        <w:t>On April 5, 2012, the Commission held a working group meeting for discussion and feedback from stakeholders regarding its implementation of Act 11.  On May 10, 2</w:t>
      </w:r>
      <w:r w:rsidR="00367B6A">
        <w:rPr>
          <w:sz w:val="26"/>
          <w:szCs w:val="26"/>
        </w:rPr>
        <w:t>012, the Commission issued a T</w:t>
      </w:r>
      <w:r>
        <w:rPr>
          <w:sz w:val="26"/>
          <w:szCs w:val="26"/>
        </w:rPr>
        <w:t xml:space="preserve">entative Implementation Order addressing and incorporating input from the stakeholder meeting.  </w:t>
      </w:r>
      <w:r w:rsidR="003608C2">
        <w:rPr>
          <w:sz w:val="26"/>
          <w:szCs w:val="26"/>
        </w:rPr>
        <w:t xml:space="preserve">On August 2, 2012, the Commission issued the </w:t>
      </w:r>
      <w:r w:rsidR="008055CF">
        <w:rPr>
          <w:sz w:val="26"/>
          <w:szCs w:val="26"/>
        </w:rPr>
        <w:t xml:space="preserve">Final </w:t>
      </w:r>
      <w:r w:rsidR="003608C2">
        <w:rPr>
          <w:sz w:val="26"/>
          <w:szCs w:val="26"/>
        </w:rPr>
        <w:t>Implementation Order</w:t>
      </w:r>
      <w:r w:rsidR="00583191">
        <w:rPr>
          <w:sz w:val="26"/>
          <w:szCs w:val="26"/>
        </w:rPr>
        <w:t>, at Docket Number M-2012-2293611,</w:t>
      </w:r>
      <w:r w:rsidR="003608C2">
        <w:rPr>
          <w:sz w:val="26"/>
          <w:szCs w:val="26"/>
        </w:rPr>
        <w:t xml:space="preserve"> establishing procedures and guidelines necessary to implement Act 11.  </w:t>
      </w:r>
    </w:p>
    <w:p w:rsidR="00F15FD8" w:rsidRDefault="00F15FD8" w:rsidP="00773D87">
      <w:pPr>
        <w:pStyle w:val="p2"/>
        <w:widowControl/>
        <w:spacing w:line="360" w:lineRule="auto"/>
        <w:ind w:firstLine="1440"/>
        <w:rPr>
          <w:sz w:val="26"/>
          <w:szCs w:val="26"/>
        </w:rPr>
      </w:pPr>
    </w:p>
    <w:p w:rsidR="003608C2" w:rsidRDefault="003608C2" w:rsidP="00773D87">
      <w:pPr>
        <w:pStyle w:val="p2"/>
        <w:widowControl/>
        <w:spacing w:line="360" w:lineRule="auto"/>
        <w:ind w:firstLine="1440"/>
        <w:rPr>
          <w:sz w:val="26"/>
          <w:szCs w:val="26"/>
        </w:rPr>
      </w:pPr>
      <w:r>
        <w:rPr>
          <w:sz w:val="26"/>
          <w:szCs w:val="26"/>
        </w:rPr>
        <w:t xml:space="preserve">The </w:t>
      </w:r>
      <w:r w:rsidR="008055CF">
        <w:rPr>
          <w:sz w:val="26"/>
          <w:szCs w:val="26"/>
        </w:rPr>
        <w:t xml:space="preserve">Final </w:t>
      </w:r>
      <w:r>
        <w:rPr>
          <w:sz w:val="26"/>
          <w:szCs w:val="26"/>
        </w:rPr>
        <w:t xml:space="preserve">Implementation Order adopts the requirements established in </w:t>
      </w:r>
      <w:r w:rsidR="004A3F09">
        <w:rPr>
          <w:sz w:val="26"/>
          <w:szCs w:val="26"/>
        </w:rPr>
        <w:t xml:space="preserve">66 Pa. C.S. </w:t>
      </w:r>
      <w:r w:rsidR="004A3F09" w:rsidRPr="002B3E34">
        <w:rPr>
          <w:iCs/>
          <w:sz w:val="26"/>
          <w:szCs w:val="26"/>
        </w:rPr>
        <w:t>§</w:t>
      </w:r>
      <w:r>
        <w:rPr>
          <w:sz w:val="26"/>
          <w:szCs w:val="26"/>
        </w:rPr>
        <w:t xml:space="preserve"> 1352, provides additional standards that each LTIIP must meet, and gives guidance to utilities for meeting the Commission’s standards.  The </w:t>
      </w:r>
      <w:r w:rsidR="005C64D9">
        <w:rPr>
          <w:sz w:val="26"/>
          <w:szCs w:val="26"/>
        </w:rPr>
        <w:t xml:space="preserve">Final </w:t>
      </w:r>
      <w:r>
        <w:rPr>
          <w:sz w:val="26"/>
          <w:szCs w:val="26"/>
        </w:rPr>
        <w:t xml:space="preserve">Implementation Order of Act 11 requires the inclusion of the following seven elements in the LTIIP:   </w:t>
      </w:r>
    </w:p>
    <w:p w:rsidR="003608C2" w:rsidRDefault="003608C2" w:rsidP="00773D87">
      <w:pPr>
        <w:pStyle w:val="p2"/>
        <w:widowControl/>
        <w:spacing w:line="360" w:lineRule="auto"/>
        <w:ind w:firstLine="0"/>
        <w:rPr>
          <w:sz w:val="26"/>
          <w:szCs w:val="26"/>
        </w:rPr>
      </w:pPr>
    </w:p>
    <w:p w:rsidR="00D91F34" w:rsidRPr="002B3E34" w:rsidRDefault="00B8620E" w:rsidP="0005141B">
      <w:pPr>
        <w:pStyle w:val="p7"/>
        <w:widowControl/>
        <w:numPr>
          <w:ilvl w:val="0"/>
          <w:numId w:val="11"/>
        </w:numPr>
        <w:tabs>
          <w:tab w:val="clear" w:pos="782"/>
          <w:tab w:val="clear" w:pos="1133"/>
          <w:tab w:val="left" w:pos="720"/>
          <w:tab w:val="left" w:pos="1260"/>
          <w:tab w:val="left" w:pos="1440"/>
        </w:tabs>
        <w:spacing w:line="360" w:lineRule="auto"/>
        <w:ind w:left="1260" w:hanging="540"/>
        <w:jc w:val="both"/>
        <w:rPr>
          <w:sz w:val="26"/>
          <w:szCs w:val="26"/>
        </w:rPr>
      </w:pPr>
      <w:r>
        <w:rPr>
          <w:sz w:val="26"/>
          <w:szCs w:val="26"/>
        </w:rPr>
        <w:t>Types and age of eligible property</w:t>
      </w:r>
      <w:r w:rsidR="00096728">
        <w:rPr>
          <w:sz w:val="26"/>
          <w:szCs w:val="26"/>
        </w:rPr>
        <w:t>;</w:t>
      </w:r>
    </w:p>
    <w:p w:rsidR="00B8620E" w:rsidRDefault="00B8620E" w:rsidP="0005141B">
      <w:pPr>
        <w:pStyle w:val="p7"/>
        <w:widowControl/>
        <w:numPr>
          <w:ilvl w:val="0"/>
          <w:numId w:val="11"/>
        </w:numPr>
        <w:tabs>
          <w:tab w:val="clear" w:pos="782"/>
          <w:tab w:val="clear" w:pos="1133"/>
          <w:tab w:val="left" w:pos="720"/>
          <w:tab w:val="left" w:pos="1260"/>
          <w:tab w:val="left" w:pos="1440"/>
        </w:tabs>
        <w:spacing w:line="360" w:lineRule="auto"/>
        <w:ind w:left="1260" w:hanging="540"/>
        <w:jc w:val="both"/>
        <w:rPr>
          <w:sz w:val="26"/>
          <w:szCs w:val="26"/>
        </w:rPr>
      </w:pPr>
      <w:r>
        <w:rPr>
          <w:sz w:val="26"/>
          <w:szCs w:val="26"/>
        </w:rPr>
        <w:t>Schedule for its planned repair and replacement</w:t>
      </w:r>
      <w:r w:rsidR="00096728">
        <w:rPr>
          <w:sz w:val="26"/>
          <w:szCs w:val="26"/>
        </w:rPr>
        <w:t>;</w:t>
      </w:r>
    </w:p>
    <w:p w:rsidR="00D91F34" w:rsidRDefault="00B8620E" w:rsidP="0005141B">
      <w:pPr>
        <w:pStyle w:val="p7"/>
        <w:widowControl/>
        <w:numPr>
          <w:ilvl w:val="0"/>
          <w:numId w:val="11"/>
        </w:numPr>
        <w:tabs>
          <w:tab w:val="clear" w:pos="782"/>
          <w:tab w:val="clear" w:pos="1133"/>
          <w:tab w:val="left" w:pos="720"/>
          <w:tab w:val="left" w:pos="1260"/>
          <w:tab w:val="left" w:pos="1350"/>
          <w:tab w:val="left" w:pos="1440"/>
          <w:tab w:val="left" w:pos="1530"/>
        </w:tabs>
        <w:spacing w:line="360" w:lineRule="auto"/>
        <w:ind w:left="1260" w:hanging="540"/>
        <w:jc w:val="both"/>
        <w:rPr>
          <w:sz w:val="26"/>
          <w:szCs w:val="26"/>
        </w:rPr>
      </w:pPr>
      <w:r>
        <w:rPr>
          <w:sz w:val="26"/>
          <w:szCs w:val="26"/>
        </w:rPr>
        <w:t>Location of the eligible property</w:t>
      </w:r>
      <w:r w:rsidR="00096728">
        <w:rPr>
          <w:sz w:val="26"/>
          <w:szCs w:val="26"/>
        </w:rPr>
        <w:t>;</w:t>
      </w:r>
    </w:p>
    <w:p w:rsidR="00B8620E" w:rsidRDefault="00B8620E" w:rsidP="0005141B">
      <w:pPr>
        <w:pStyle w:val="p7"/>
        <w:widowControl/>
        <w:numPr>
          <w:ilvl w:val="0"/>
          <w:numId w:val="11"/>
        </w:numPr>
        <w:tabs>
          <w:tab w:val="clear" w:pos="782"/>
          <w:tab w:val="clear" w:pos="1133"/>
          <w:tab w:val="left" w:pos="720"/>
          <w:tab w:val="left" w:pos="1260"/>
          <w:tab w:val="left" w:pos="1350"/>
          <w:tab w:val="left" w:pos="1440"/>
          <w:tab w:val="left" w:pos="1530"/>
        </w:tabs>
        <w:spacing w:line="360" w:lineRule="auto"/>
        <w:ind w:left="1260" w:hanging="540"/>
        <w:jc w:val="both"/>
        <w:rPr>
          <w:sz w:val="26"/>
          <w:szCs w:val="26"/>
        </w:rPr>
      </w:pPr>
      <w:r>
        <w:rPr>
          <w:sz w:val="26"/>
          <w:szCs w:val="26"/>
        </w:rPr>
        <w:t>Reasonable estimates of the quantity of property to be improved</w:t>
      </w:r>
      <w:r w:rsidR="00096728">
        <w:rPr>
          <w:sz w:val="26"/>
          <w:szCs w:val="26"/>
        </w:rPr>
        <w:t>;</w:t>
      </w:r>
    </w:p>
    <w:p w:rsidR="00B8620E" w:rsidRDefault="00B8620E" w:rsidP="0005141B">
      <w:pPr>
        <w:pStyle w:val="p7"/>
        <w:widowControl/>
        <w:numPr>
          <w:ilvl w:val="0"/>
          <w:numId w:val="11"/>
        </w:numPr>
        <w:tabs>
          <w:tab w:val="clear" w:pos="782"/>
          <w:tab w:val="clear" w:pos="1133"/>
          <w:tab w:val="left" w:pos="720"/>
          <w:tab w:val="left" w:pos="1260"/>
          <w:tab w:val="left" w:pos="1440"/>
          <w:tab w:val="left" w:pos="1530"/>
        </w:tabs>
        <w:spacing w:line="360" w:lineRule="auto"/>
        <w:ind w:left="1260" w:hanging="540"/>
        <w:rPr>
          <w:sz w:val="26"/>
          <w:szCs w:val="26"/>
        </w:rPr>
      </w:pPr>
      <w:r>
        <w:rPr>
          <w:sz w:val="26"/>
          <w:szCs w:val="26"/>
        </w:rPr>
        <w:lastRenderedPageBreak/>
        <w:t xml:space="preserve">Projected annual expenditures and measures to ensure that </w:t>
      </w:r>
      <w:r w:rsidR="003A0129">
        <w:rPr>
          <w:sz w:val="26"/>
          <w:szCs w:val="26"/>
        </w:rPr>
        <w:t xml:space="preserve">the </w:t>
      </w:r>
      <w:r>
        <w:rPr>
          <w:sz w:val="26"/>
          <w:szCs w:val="26"/>
        </w:rPr>
        <w:t>plan is cost effective</w:t>
      </w:r>
      <w:r w:rsidR="00096728">
        <w:rPr>
          <w:sz w:val="26"/>
          <w:szCs w:val="26"/>
        </w:rPr>
        <w:t>;</w:t>
      </w:r>
    </w:p>
    <w:p w:rsidR="00B8620E" w:rsidRDefault="00B8620E" w:rsidP="0005141B">
      <w:pPr>
        <w:pStyle w:val="p7"/>
        <w:widowControl/>
        <w:numPr>
          <w:ilvl w:val="0"/>
          <w:numId w:val="11"/>
        </w:numPr>
        <w:tabs>
          <w:tab w:val="clear" w:pos="782"/>
          <w:tab w:val="clear" w:pos="1133"/>
          <w:tab w:val="left" w:pos="720"/>
          <w:tab w:val="left" w:pos="1260"/>
          <w:tab w:val="left" w:pos="1440"/>
          <w:tab w:val="left" w:pos="1530"/>
        </w:tabs>
        <w:spacing w:line="360" w:lineRule="auto"/>
        <w:ind w:left="1260" w:hanging="540"/>
        <w:rPr>
          <w:sz w:val="26"/>
          <w:szCs w:val="26"/>
        </w:rPr>
      </w:pPr>
      <w:r>
        <w:rPr>
          <w:sz w:val="26"/>
          <w:szCs w:val="26"/>
        </w:rPr>
        <w:t>Manner in which replacement of aging infrast</w:t>
      </w:r>
      <w:r w:rsidR="00605278">
        <w:rPr>
          <w:sz w:val="26"/>
          <w:szCs w:val="26"/>
        </w:rPr>
        <w:t>ructure will be accelerated and</w:t>
      </w:r>
      <w:r>
        <w:rPr>
          <w:sz w:val="26"/>
          <w:szCs w:val="26"/>
        </w:rPr>
        <w:t xml:space="preserve"> how repair</w:t>
      </w:r>
      <w:r w:rsidR="003A0129">
        <w:rPr>
          <w:sz w:val="26"/>
          <w:szCs w:val="26"/>
        </w:rPr>
        <w:t>,</w:t>
      </w:r>
      <w:r>
        <w:rPr>
          <w:sz w:val="26"/>
          <w:szCs w:val="26"/>
        </w:rPr>
        <w:t xml:space="preserve"> improvement or replacement will maintain safe and reliable service</w:t>
      </w:r>
      <w:r w:rsidR="00096728">
        <w:rPr>
          <w:sz w:val="26"/>
          <w:szCs w:val="26"/>
        </w:rPr>
        <w:t>; and</w:t>
      </w:r>
    </w:p>
    <w:p w:rsidR="00F15FD8" w:rsidRDefault="00BF2677" w:rsidP="0005141B">
      <w:pPr>
        <w:pStyle w:val="p7"/>
        <w:widowControl/>
        <w:numPr>
          <w:ilvl w:val="0"/>
          <w:numId w:val="11"/>
        </w:numPr>
        <w:tabs>
          <w:tab w:val="clear" w:pos="782"/>
          <w:tab w:val="clear" w:pos="1133"/>
          <w:tab w:val="left" w:pos="720"/>
          <w:tab w:val="left" w:pos="1260"/>
          <w:tab w:val="left" w:pos="1440"/>
          <w:tab w:val="left" w:pos="1530"/>
        </w:tabs>
        <w:spacing w:line="360" w:lineRule="auto"/>
        <w:ind w:left="1260" w:hanging="540"/>
        <w:rPr>
          <w:sz w:val="26"/>
          <w:szCs w:val="26"/>
        </w:rPr>
      </w:pPr>
      <w:r>
        <w:rPr>
          <w:sz w:val="26"/>
          <w:szCs w:val="26"/>
        </w:rPr>
        <w:t>A workforce management and training program</w:t>
      </w:r>
      <w:r w:rsidR="00096728">
        <w:rPr>
          <w:sz w:val="26"/>
          <w:szCs w:val="26"/>
        </w:rPr>
        <w:t>.</w:t>
      </w:r>
    </w:p>
    <w:p w:rsidR="001E4732" w:rsidRPr="0077455C" w:rsidRDefault="001E4732" w:rsidP="00773D87">
      <w:pPr>
        <w:pStyle w:val="p7"/>
        <w:widowControl/>
        <w:tabs>
          <w:tab w:val="clear" w:pos="782"/>
          <w:tab w:val="clear" w:pos="1133"/>
          <w:tab w:val="left" w:pos="720"/>
          <w:tab w:val="left" w:pos="1440"/>
          <w:tab w:val="left" w:pos="1530"/>
        </w:tabs>
        <w:spacing w:line="360" w:lineRule="auto"/>
        <w:ind w:left="1350" w:firstLine="0"/>
        <w:rPr>
          <w:sz w:val="26"/>
          <w:szCs w:val="26"/>
        </w:rPr>
      </w:pPr>
    </w:p>
    <w:p w:rsidR="00317589" w:rsidRPr="00317589" w:rsidRDefault="0077455C" w:rsidP="00773D87">
      <w:pPr>
        <w:pStyle w:val="p2"/>
        <w:widowControl/>
        <w:spacing w:line="360" w:lineRule="auto"/>
        <w:ind w:firstLine="0"/>
        <w:jc w:val="center"/>
        <w:rPr>
          <w:b/>
          <w:sz w:val="26"/>
          <w:szCs w:val="26"/>
        </w:rPr>
      </w:pPr>
      <w:r>
        <w:rPr>
          <w:b/>
          <w:sz w:val="26"/>
          <w:szCs w:val="26"/>
        </w:rPr>
        <w:t>PGW’S LTIIP PETITION</w:t>
      </w:r>
    </w:p>
    <w:p w:rsidR="00317589" w:rsidRPr="00317589" w:rsidRDefault="00317589" w:rsidP="00773D87">
      <w:pPr>
        <w:pStyle w:val="p2"/>
        <w:widowControl/>
        <w:spacing w:line="360" w:lineRule="auto"/>
        <w:ind w:firstLine="0"/>
        <w:rPr>
          <w:b/>
          <w:sz w:val="26"/>
          <w:szCs w:val="26"/>
        </w:rPr>
      </w:pPr>
    </w:p>
    <w:p w:rsidR="00317589" w:rsidRPr="00317589" w:rsidRDefault="0077455C" w:rsidP="00773D87">
      <w:pPr>
        <w:pStyle w:val="p2"/>
        <w:widowControl/>
        <w:spacing w:line="360" w:lineRule="auto"/>
        <w:ind w:firstLine="0"/>
        <w:rPr>
          <w:b/>
          <w:sz w:val="26"/>
          <w:szCs w:val="26"/>
        </w:rPr>
      </w:pPr>
      <w:r>
        <w:rPr>
          <w:b/>
          <w:sz w:val="26"/>
          <w:szCs w:val="26"/>
        </w:rPr>
        <w:t>PGW’s Petition</w:t>
      </w:r>
    </w:p>
    <w:p w:rsidR="00317589" w:rsidRDefault="00317589" w:rsidP="00773D87">
      <w:pPr>
        <w:pStyle w:val="p2"/>
        <w:widowControl/>
        <w:spacing w:line="360" w:lineRule="auto"/>
        <w:ind w:firstLine="0"/>
        <w:rPr>
          <w:sz w:val="26"/>
          <w:szCs w:val="26"/>
        </w:rPr>
      </w:pPr>
    </w:p>
    <w:p w:rsidR="0077455C" w:rsidRDefault="0077455C" w:rsidP="00773D87">
      <w:pPr>
        <w:pStyle w:val="p2"/>
        <w:widowControl/>
        <w:spacing w:line="360" w:lineRule="auto"/>
        <w:ind w:firstLine="1440"/>
        <w:rPr>
          <w:sz w:val="26"/>
          <w:szCs w:val="26"/>
        </w:rPr>
      </w:pPr>
      <w:r>
        <w:rPr>
          <w:sz w:val="26"/>
          <w:szCs w:val="26"/>
        </w:rPr>
        <w:tab/>
      </w:r>
      <w:r w:rsidR="002B1C70">
        <w:rPr>
          <w:sz w:val="26"/>
          <w:szCs w:val="26"/>
        </w:rPr>
        <w:t xml:space="preserve">PGW’s LTIIP is a five year plan.  </w:t>
      </w:r>
      <w:r>
        <w:rPr>
          <w:sz w:val="26"/>
          <w:szCs w:val="26"/>
        </w:rPr>
        <w:t>PGW has removed or replaced with plastic and protected coated steel approximately 250 miles of cast iron main and 150,000 steel service lines over the last 15</w:t>
      </w:r>
      <w:r w:rsidR="00541752">
        <w:rPr>
          <w:sz w:val="26"/>
          <w:szCs w:val="26"/>
        </w:rPr>
        <w:t> </w:t>
      </w:r>
      <w:r>
        <w:rPr>
          <w:sz w:val="26"/>
          <w:szCs w:val="26"/>
        </w:rPr>
        <w:t xml:space="preserve">years (based on 2011 and 1996 Annual DOT Gas Distribution System Reports).  PGW avers that their primary objective for its LTIIP will continue to be improvement of safety and reliability of its infrastructure through the reduction of its cast iron main inventory and, after all cast iron main is removed from service, the removal of PGW’s unprotected coated steel and ductile iron main.  PGW’s LTIIP is focused on the specific goal of accelerated cast iron main replacement.  PGW’s distribution system does not contain any bare steel mains.  </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 xml:space="preserve">PGW has identified categories of cast iron main that would be most suitable for replacement based on PGW’s risk management analysis programs including the following:  </w:t>
      </w:r>
    </w:p>
    <w:p w:rsidR="0077455C" w:rsidRDefault="0077455C" w:rsidP="00773D87">
      <w:pPr>
        <w:pStyle w:val="p2"/>
        <w:widowControl/>
        <w:numPr>
          <w:ilvl w:val="0"/>
          <w:numId w:val="21"/>
        </w:numPr>
        <w:spacing w:line="360" w:lineRule="auto"/>
        <w:ind w:left="1440"/>
        <w:rPr>
          <w:sz w:val="26"/>
          <w:szCs w:val="26"/>
        </w:rPr>
      </w:pPr>
      <w:r>
        <w:rPr>
          <w:sz w:val="26"/>
          <w:szCs w:val="26"/>
        </w:rPr>
        <w:t>Distribution Integrity Management Program (DIMP)</w:t>
      </w:r>
    </w:p>
    <w:p w:rsidR="0077455C" w:rsidRDefault="0077455C" w:rsidP="00773D87">
      <w:pPr>
        <w:pStyle w:val="p2"/>
        <w:widowControl/>
        <w:numPr>
          <w:ilvl w:val="0"/>
          <w:numId w:val="21"/>
        </w:numPr>
        <w:spacing w:line="360" w:lineRule="auto"/>
        <w:ind w:left="1440"/>
        <w:rPr>
          <w:sz w:val="26"/>
          <w:szCs w:val="26"/>
        </w:rPr>
      </w:pPr>
      <w:r>
        <w:rPr>
          <w:sz w:val="26"/>
          <w:szCs w:val="26"/>
        </w:rPr>
        <w:t>2008 Advantica Benchmarking Analysis, Risk Analysis and Model, Replacement Analysis and Computerized Main Prioritization and Ranking Program including the Advantica Main Replacement Prioritization Model</w:t>
      </w:r>
    </w:p>
    <w:p w:rsidR="0077455C" w:rsidRDefault="0077455C" w:rsidP="00773D87">
      <w:pPr>
        <w:pStyle w:val="p2"/>
        <w:widowControl/>
        <w:numPr>
          <w:ilvl w:val="0"/>
          <w:numId w:val="21"/>
        </w:numPr>
        <w:spacing w:line="360" w:lineRule="auto"/>
        <w:ind w:left="1440"/>
        <w:rPr>
          <w:sz w:val="26"/>
          <w:szCs w:val="26"/>
        </w:rPr>
      </w:pPr>
      <w:r>
        <w:rPr>
          <w:sz w:val="26"/>
          <w:szCs w:val="26"/>
        </w:rPr>
        <w:lastRenderedPageBreak/>
        <w:t>2012 GL Noble Denton 12-inch 10-35 psig Cast Iron Mains Benchmarking Study</w:t>
      </w:r>
    </w:p>
    <w:p w:rsidR="0077455C" w:rsidRDefault="0077455C" w:rsidP="00773D87">
      <w:pPr>
        <w:pStyle w:val="p2"/>
        <w:widowControl/>
        <w:numPr>
          <w:ilvl w:val="0"/>
          <w:numId w:val="21"/>
        </w:numPr>
        <w:spacing w:line="360" w:lineRule="auto"/>
        <w:ind w:left="1440"/>
        <w:rPr>
          <w:sz w:val="26"/>
          <w:szCs w:val="26"/>
        </w:rPr>
      </w:pPr>
      <w:r>
        <w:rPr>
          <w:sz w:val="26"/>
          <w:szCs w:val="26"/>
        </w:rPr>
        <w:t>Field Observations and System Performance Analysis</w:t>
      </w:r>
    </w:p>
    <w:p w:rsidR="0077455C" w:rsidRDefault="0077455C" w:rsidP="00773D87">
      <w:pPr>
        <w:pStyle w:val="p2"/>
        <w:widowControl/>
        <w:spacing w:line="360" w:lineRule="auto"/>
        <w:ind w:left="2160" w:firstLine="0"/>
        <w:rPr>
          <w:sz w:val="26"/>
          <w:szCs w:val="26"/>
        </w:rPr>
      </w:pPr>
    </w:p>
    <w:p w:rsidR="00541752" w:rsidRDefault="0077455C" w:rsidP="00773D87">
      <w:pPr>
        <w:pStyle w:val="p2"/>
        <w:widowControl/>
        <w:spacing w:line="360" w:lineRule="auto"/>
        <w:rPr>
          <w:sz w:val="26"/>
          <w:szCs w:val="26"/>
        </w:rPr>
      </w:pPr>
      <w:r>
        <w:rPr>
          <w:sz w:val="26"/>
          <w:szCs w:val="26"/>
        </w:rPr>
        <w:t xml:space="preserve">Based on the DIMP and the main replacement prioritization model and benchmarking analyses/studies, PGW has identified the following property </w:t>
      </w:r>
      <w:r w:rsidR="00331EA4">
        <w:rPr>
          <w:sz w:val="26"/>
          <w:szCs w:val="26"/>
        </w:rPr>
        <w:t>in its LTIIP for replacement</w:t>
      </w:r>
      <w:r w:rsidR="00331EA4">
        <w:rPr>
          <w:rStyle w:val="FootnoteReference"/>
          <w:sz w:val="26"/>
          <w:szCs w:val="26"/>
        </w:rPr>
        <w:footnoteReference w:id="3"/>
      </w:r>
      <w:r w:rsidR="00331EA4">
        <w:rPr>
          <w:sz w:val="26"/>
          <w:szCs w:val="26"/>
        </w:rPr>
        <w:t>:</w:t>
      </w:r>
    </w:p>
    <w:p w:rsidR="0077455C" w:rsidRDefault="0077455C" w:rsidP="00773D87">
      <w:pPr>
        <w:pStyle w:val="p2"/>
        <w:widowControl/>
        <w:numPr>
          <w:ilvl w:val="0"/>
          <w:numId w:val="20"/>
        </w:numPr>
        <w:spacing w:line="360" w:lineRule="auto"/>
        <w:rPr>
          <w:sz w:val="26"/>
          <w:szCs w:val="26"/>
        </w:rPr>
      </w:pPr>
      <w:r>
        <w:rPr>
          <w:sz w:val="26"/>
          <w:szCs w:val="26"/>
        </w:rPr>
        <w:t xml:space="preserve">12 inch and smaller high pressure main </w:t>
      </w:r>
      <w:r w:rsidR="00331EA4">
        <w:rPr>
          <w:sz w:val="26"/>
          <w:szCs w:val="26"/>
        </w:rPr>
        <w:t>(High Pressure [HP] or 10-35 psig)</w:t>
      </w:r>
    </w:p>
    <w:p w:rsidR="0077455C" w:rsidRDefault="0077455C" w:rsidP="00773D87">
      <w:pPr>
        <w:pStyle w:val="p2"/>
        <w:widowControl/>
        <w:numPr>
          <w:ilvl w:val="0"/>
          <w:numId w:val="20"/>
        </w:numPr>
        <w:spacing w:line="360" w:lineRule="auto"/>
        <w:rPr>
          <w:sz w:val="26"/>
          <w:szCs w:val="26"/>
        </w:rPr>
      </w:pPr>
      <w:r>
        <w:rPr>
          <w:sz w:val="26"/>
          <w:szCs w:val="26"/>
        </w:rPr>
        <w:t>30 inch high pressure main (HP or 10-35 psig)</w:t>
      </w:r>
    </w:p>
    <w:p w:rsidR="0077455C" w:rsidRDefault="0077455C" w:rsidP="00773D87">
      <w:pPr>
        <w:pStyle w:val="p2"/>
        <w:widowControl/>
        <w:numPr>
          <w:ilvl w:val="0"/>
          <w:numId w:val="20"/>
        </w:numPr>
        <w:spacing w:line="360" w:lineRule="auto"/>
        <w:rPr>
          <w:sz w:val="26"/>
          <w:szCs w:val="26"/>
        </w:rPr>
      </w:pPr>
      <w:r>
        <w:rPr>
          <w:sz w:val="26"/>
          <w:szCs w:val="26"/>
        </w:rPr>
        <w:t>8 inch and smaller low to intermediate pressure main (LP/IP or 4.5 inches WC to 5 psig)</w:t>
      </w:r>
    </w:p>
    <w:p w:rsidR="0077455C" w:rsidRDefault="0077455C" w:rsidP="00773D87">
      <w:pPr>
        <w:pStyle w:val="p2"/>
        <w:widowControl/>
        <w:spacing w:line="360" w:lineRule="auto"/>
        <w:rPr>
          <w:sz w:val="26"/>
          <w:szCs w:val="26"/>
        </w:rPr>
      </w:pPr>
    </w:p>
    <w:p w:rsidR="0077455C" w:rsidRDefault="0077455C" w:rsidP="00773D87">
      <w:pPr>
        <w:pStyle w:val="p2"/>
        <w:widowControl/>
        <w:spacing w:line="360" w:lineRule="auto"/>
        <w:rPr>
          <w:sz w:val="26"/>
          <w:szCs w:val="26"/>
        </w:rPr>
      </w:pPr>
      <w:r>
        <w:rPr>
          <w:sz w:val="26"/>
          <w:szCs w:val="26"/>
        </w:rPr>
        <w:t>PGW will give greater priority to the removal of 12 inch and smaller HP mains (due to recent incidents with 12 inch main</w:t>
      </w:r>
      <w:r w:rsidR="00B43978">
        <w:rPr>
          <w:sz w:val="26"/>
          <w:szCs w:val="26"/>
        </w:rPr>
        <w:t>s</w:t>
      </w:r>
      <w:r>
        <w:rPr>
          <w:sz w:val="26"/>
          <w:szCs w:val="26"/>
        </w:rPr>
        <w:t xml:space="preserve"> on PGW’s and UGI’s distribution systems) and 30 inch HP mains (due to PGW’s recent discovery of localized corrosion on a section of 30 inch HP main)</w:t>
      </w:r>
      <w:r w:rsidR="00331EA4">
        <w:rPr>
          <w:sz w:val="26"/>
          <w:szCs w:val="26"/>
        </w:rPr>
        <w:t>.</w:t>
      </w:r>
      <w:r>
        <w:rPr>
          <w:sz w:val="26"/>
          <w:szCs w:val="26"/>
        </w:rPr>
        <w:t xml:space="preserve"> </w:t>
      </w:r>
      <w:r w:rsidR="00331EA4">
        <w:rPr>
          <w:sz w:val="26"/>
          <w:szCs w:val="26"/>
        </w:rPr>
        <w:t xml:space="preserve"> </w:t>
      </w:r>
      <w:r>
        <w:rPr>
          <w:sz w:val="26"/>
          <w:szCs w:val="26"/>
        </w:rPr>
        <w:t xml:space="preserve">Currently PGW is removing cast iron main from inventory at a rate of 18 miles per year for all sizes.  If PGW’s proposed LTIIP is approved, PGW will remove cast iron main from inventory at a rate of approximately 25 miles per year.  </w:t>
      </w:r>
    </w:p>
    <w:p w:rsidR="0077455C" w:rsidRDefault="0077455C" w:rsidP="00773D87">
      <w:pPr>
        <w:pStyle w:val="p2"/>
        <w:widowControl/>
        <w:spacing w:line="360" w:lineRule="auto"/>
        <w:rPr>
          <w:sz w:val="26"/>
          <w:szCs w:val="26"/>
        </w:rPr>
      </w:pPr>
    </w:p>
    <w:p w:rsidR="0077455C" w:rsidRDefault="0077455C" w:rsidP="00773D87">
      <w:pPr>
        <w:pStyle w:val="p2"/>
        <w:widowControl/>
        <w:spacing w:line="360" w:lineRule="auto"/>
        <w:rPr>
          <w:sz w:val="26"/>
          <w:szCs w:val="26"/>
        </w:rPr>
      </w:pPr>
      <w:r>
        <w:rPr>
          <w:sz w:val="26"/>
          <w:szCs w:val="26"/>
        </w:rPr>
        <w:t xml:space="preserve">PGW addressed the seven elements (1) types and age of eligible property, (2) schedule for its planned repair and replacement, (3) location of the eligible property, (4) reasonable estimates of the quantity of property to be improved, (5) projected annual expenditures and measures to ensure that the plan is cost effective, (6) manner is which replacement of aging infrastructure will be accelerated and how repair, improvement or replacement will maintain safe and reliable service, and (7) a workforce management and </w:t>
      </w:r>
      <w:r>
        <w:rPr>
          <w:sz w:val="26"/>
          <w:szCs w:val="26"/>
        </w:rPr>
        <w:lastRenderedPageBreak/>
        <w:t>training program as required in the Final Implementation Order of Act 11 as discussed below.</w:t>
      </w:r>
    </w:p>
    <w:p w:rsidR="0077455C" w:rsidRDefault="0077455C" w:rsidP="00773D87">
      <w:pPr>
        <w:pStyle w:val="p2"/>
        <w:widowControl/>
        <w:spacing w:line="360" w:lineRule="auto"/>
        <w:ind w:firstLine="0"/>
        <w:jc w:val="center"/>
        <w:rPr>
          <w:b/>
          <w:sz w:val="26"/>
          <w:szCs w:val="26"/>
        </w:rPr>
      </w:pPr>
    </w:p>
    <w:p w:rsidR="0077455C" w:rsidRDefault="00135912" w:rsidP="00135912">
      <w:pPr>
        <w:pStyle w:val="p2"/>
        <w:widowControl/>
        <w:spacing w:line="360" w:lineRule="auto"/>
        <w:ind w:left="720" w:firstLine="0"/>
        <w:rPr>
          <w:b/>
          <w:sz w:val="26"/>
          <w:szCs w:val="26"/>
        </w:rPr>
      </w:pPr>
      <w:r>
        <w:rPr>
          <w:b/>
          <w:sz w:val="26"/>
          <w:szCs w:val="26"/>
        </w:rPr>
        <w:t xml:space="preserve">(1) </w:t>
      </w:r>
      <w:r w:rsidR="0077455C">
        <w:rPr>
          <w:b/>
          <w:sz w:val="26"/>
          <w:szCs w:val="26"/>
        </w:rPr>
        <w:t>TYPES AND AGE OF ELIGIBLE PROPERTY</w:t>
      </w:r>
    </w:p>
    <w:p w:rsidR="0077455C" w:rsidRDefault="0077455C" w:rsidP="00773D87">
      <w:pPr>
        <w:pStyle w:val="p2"/>
        <w:widowControl/>
        <w:tabs>
          <w:tab w:val="left" w:pos="720"/>
        </w:tabs>
        <w:spacing w:line="360" w:lineRule="auto"/>
        <w:ind w:firstLine="0"/>
        <w:rPr>
          <w:b/>
          <w:sz w:val="26"/>
          <w:szCs w:val="26"/>
        </w:rPr>
      </w:pPr>
    </w:p>
    <w:p w:rsidR="0077455C" w:rsidRDefault="0077455C" w:rsidP="00773D87">
      <w:pPr>
        <w:pStyle w:val="p2"/>
        <w:widowControl/>
        <w:tabs>
          <w:tab w:val="left" w:pos="720"/>
        </w:tabs>
        <w:spacing w:line="360" w:lineRule="auto"/>
        <w:ind w:firstLine="0"/>
        <w:rPr>
          <w:b/>
          <w:sz w:val="26"/>
          <w:szCs w:val="26"/>
        </w:rPr>
      </w:pPr>
      <w:r>
        <w:rPr>
          <w:b/>
          <w:sz w:val="26"/>
          <w:szCs w:val="26"/>
        </w:rPr>
        <w:t>PGW</w:t>
      </w:r>
      <w:r w:rsidR="00B3173B">
        <w:rPr>
          <w:b/>
          <w:sz w:val="26"/>
          <w:szCs w:val="26"/>
        </w:rPr>
        <w:t>’s</w:t>
      </w:r>
      <w:r>
        <w:rPr>
          <w:b/>
          <w:sz w:val="26"/>
          <w:szCs w:val="26"/>
        </w:rPr>
        <w:t xml:space="preserve"> P</w:t>
      </w:r>
      <w:r w:rsidR="00B3173B">
        <w:rPr>
          <w:b/>
          <w:sz w:val="26"/>
          <w:szCs w:val="26"/>
        </w:rPr>
        <w:t>eti</w:t>
      </w:r>
      <w:r>
        <w:rPr>
          <w:b/>
          <w:sz w:val="26"/>
          <w:szCs w:val="26"/>
        </w:rPr>
        <w:t>tion</w:t>
      </w:r>
    </w:p>
    <w:p w:rsidR="0077455C" w:rsidRDefault="0077455C" w:rsidP="00773D87">
      <w:pPr>
        <w:pStyle w:val="p2"/>
        <w:widowControl/>
        <w:tabs>
          <w:tab w:val="left" w:pos="720"/>
        </w:tabs>
        <w:spacing w:line="360" w:lineRule="auto"/>
        <w:ind w:firstLine="0"/>
        <w:rPr>
          <w:b/>
          <w:sz w:val="26"/>
          <w:szCs w:val="26"/>
        </w:rPr>
      </w:pPr>
    </w:p>
    <w:p w:rsidR="0077455C" w:rsidRDefault="0077455C" w:rsidP="00773D87">
      <w:pPr>
        <w:pStyle w:val="p2"/>
        <w:widowControl/>
        <w:spacing w:line="360" w:lineRule="auto"/>
        <w:ind w:firstLine="1440"/>
        <w:rPr>
          <w:sz w:val="26"/>
          <w:szCs w:val="26"/>
        </w:rPr>
      </w:pPr>
      <w:r>
        <w:rPr>
          <w:b/>
          <w:sz w:val="26"/>
          <w:szCs w:val="26"/>
        </w:rPr>
        <w:tab/>
      </w:r>
      <w:r>
        <w:rPr>
          <w:sz w:val="26"/>
          <w:szCs w:val="26"/>
        </w:rPr>
        <w:t>PGW’s DIMP identifies the threats to its distribution system, evaluates these threats, ranks the related risks and lists strategies to mitigate those risks.  The Advantica Benchmarking Analysis has enabled PGW to compare and validate its main replacement pro</w:t>
      </w:r>
      <w:r w:rsidR="00EA1719">
        <w:rPr>
          <w:sz w:val="26"/>
          <w:szCs w:val="26"/>
        </w:rPr>
        <w:t xml:space="preserve">gram with similarly-situated </w:t>
      </w:r>
      <w:r>
        <w:rPr>
          <w:sz w:val="26"/>
          <w:szCs w:val="26"/>
        </w:rPr>
        <w:t>C</w:t>
      </w:r>
      <w:r w:rsidR="00EA1719">
        <w:rPr>
          <w:sz w:val="26"/>
          <w:szCs w:val="26"/>
        </w:rPr>
        <w:t>NGDO</w:t>
      </w:r>
      <w:r>
        <w:rPr>
          <w:sz w:val="26"/>
          <w:szCs w:val="26"/>
        </w:rPr>
        <w:t>s</w:t>
      </w:r>
      <w:r w:rsidR="00EA1719">
        <w:rPr>
          <w:sz w:val="26"/>
          <w:szCs w:val="26"/>
        </w:rPr>
        <w:t xml:space="preserve"> and natural gas distribution companies (NGDCs)</w:t>
      </w:r>
      <w:r>
        <w:rPr>
          <w:sz w:val="26"/>
          <w:szCs w:val="26"/>
        </w:rPr>
        <w:t xml:space="preserve">.  The Advantica Main Replacement Prioritization Model enables PGW to identify the specific segments of pipe that should receive replacement priority.  PGW utilized the results of the GL Noble Denton Benchmarking Study to provide the Company with replacement strategies for 12 inch high pressure mains.  </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All of the property proposed to be replaced is characterized as piping, couplings</w:t>
      </w:r>
      <w:r w:rsidR="00541752">
        <w:rPr>
          <w:sz w:val="26"/>
          <w:szCs w:val="26"/>
        </w:rPr>
        <w:t>,</w:t>
      </w:r>
      <w:r>
        <w:rPr>
          <w:sz w:val="26"/>
          <w:szCs w:val="26"/>
        </w:rPr>
        <w:t xml:space="preserve"> and valves</w:t>
      </w:r>
      <w:r w:rsidR="00541752">
        <w:rPr>
          <w:sz w:val="26"/>
          <w:szCs w:val="26"/>
        </w:rPr>
        <w:t xml:space="preserve">. </w:t>
      </w:r>
      <w:r>
        <w:rPr>
          <w:sz w:val="26"/>
          <w:szCs w:val="26"/>
        </w:rPr>
        <w:t xml:space="preserve"> PGW asserts </w:t>
      </w:r>
      <w:r w:rsidR="00236F9D">
        <w:rPr>
          <w:sz w:val="26"/>
          <w:szCs w:val="26"/>
        </w:rPr>
        <w:t xml:space="preserve">that </w:t>
      </w:r>
      <w:r w:rsidR="00541752">
        <w:rPr>
          <w:sz w:val="26"/>
          <w:szCs w:val="26"/>
        </w:rPr>
        <w:t xml:space="preserve">these items </w:t>
      </w:r>
      <w:r>
        <w:rPr>
          <w:sz w:val="26"/>
          <w:szCs w:val="26"/>
        </w:rPr>
        <w:t>are DSIC</w:t>
      </w:r>
      <w:r w:rsidR="00541752">
        <w:rPr>
          <w:sz w:val="26"/>
          <w:szCs w:val="26"/>
        </w:rPr>
        <w:t>-</w:t>
      </w:r>
      <w:r>
        <w:rPr>
          <w:sz w:val="26"/>
          <w:szCs w:val="26"/>
        </w:rPr>
        <w:t>eligible under Act 11.  PGW also plans to replace the unprotected bare and unprotected coated steel service lines and meter sets associate</w:t>
      </w:r>
      <w:r w:rsidR="00541752">
        <w:rPr>
          <w:sz w:val="26"/>
          <w:szCs w:val="26"/>
        </w:rPr>
        <w:t>d</w:t>
      </w:r>
      <w:r>
        <w:rPr>
          <w:sz w:val="26"/>
          <w:szCs w:val="26"/>
        </w:rPr>
        <w:t xml:space="preserve"> with these cast iron mains, and the related eligible property includes gas service lines, fitting</w:t>
      </w:r>
      <w:r w:rsidR="00B3173B">
        <w:rPr>
          <w:sz w:val="26"/>
          <w:szCs w:val="26"/>
        </w:rPr>
        <w:t>s</w:t>
      </w:r>
      <w:r>
        <w:rPr>
          <w:sz w:val="26"/>
          <w:szCs w:val="26"/>
        </w:rPr>
        <w:t xml:space="preserve">, valves, risers, meter bars and meters with attached AMR devices.  </w:t>
      </w:r>
      <w:r w:rsidR="00B87C4C">
        <w:rPr>
          <w:sz w:val="26"/>
          <w:szCs w:val="26"/>
        </w:rPr>
        <w:t>Also included in the LTIIP is the proposal to abandon two regulator stations and to replace 2,400 feet of 12 inch steel main with 2,400 feet of 20 inch steel main</w:t>
      </w:r>
      <w:r>
        <w:rPr>
          <w:sz w:val="26"/>
          <w:szCs w:val="26"/>
        </w:rPr>
        <w:t xml:space="preserve">.  </w:t>
      </w:r>
    </w:p>
    <w:p w:rsidR="0077455C" w:rsidRDefault="0077455C" w:rsidP="00773D87">
      <w:pPr>
        <w:pStyle w:val="p2"/>
        <w:widowControl/>
        <w:spacing w:line="360" w:lineRule="auto"/>
        <w:ind w:firstLine="0"/>
        <w:rPr>
          <w:sz w:val="26"/>
          <w:szCs w:val="26"/>
        </w:rPr>
      </w:pPr>
    </w:p>
    <w:p w:rsidR="0077455C" w:rsidRDefault="0077455C" w:rsidP="00773D87">
      <w:pPr>
        <w:pStyle w:val="p2"/>
        <w:widowControl/>
        <w:spacing w:line="360" w:lineRule="auto"/>
        <w:ind w:firstLine="1440"/>
        <w:rPr>
          <w:sz w:val="26"/>
          <w:szCs w:val="26"/>
        </w:rPr>
      </w:pPr>
      <w:r>
        <w:rPr>
          <w:sz w:val="26"/>
          <w:szCs w:val="26"/>
        </w:rPr>
        <w:tab/>
        <w:t xml:space="preserve">PGW’s distribution system contains approximately 3,000 miles of mains </w:t>
      </w:r>
      <w:r w:rsidR="00B6215A">
        <w:rPr>
          <w:sz w:val="26"/>
          <w:szCs w:val="26"/>
        </w:rPr>
        <w:t xml:space="preserve">as well as </w:t>
      </w:r>
      <w:r w:rsidR="00C34D64">
        <w:rPr>
          <w:sz w:val="26"/>
          <w:szCs w:val="26"/>
        </w:rPr>
        <w:t>approximately</w:t>
      </w:r>
      <w:r>
        <w:rPr>
          <w:sz w:val="26"/>
          <w:szCs w:val="26"/>
        </w:rPr>
        <w:t xml:space="preserve"> </w:t>
      </w:r>
      <w:r w:rsidR="00B87C4C">
        <w:rPr>
          <w:sz w:val="26"/>
          <w:szCs w:val="26"/>
        </w:rPr>
        <w:t>46</w:t>
      </w:r>
      <w:r w:rsidR="00B03746">
        <w:rPr>
          <w:sz w:val="26"/>
          <w:szCs w:val="26"/>
        </w:rPr>
        <w:t>6</w:t>
      </w:r>
      <w:r>
        <w:rPr>
          <w:sz w:val="26"/>
          <w:szCs w:val="26"/>
        </w:rPr>
        <w:t xml:space="preserve">,000 </w:t>
      </w:r>
      <w:r w:rsidR="00786E4A">
        <w:rPr>
          <w:sz w:val="26"/>
          <w:szCs w:val="26"/>
        </w:rPr>
        <w:t>service lines.</w:t>
      </w:r>
      <w:r w:rsidR="00B87C4C">
        <w:rPr>
          <w:rStyle w:val="FootnoteReference"/>
          <w:sz w:val="26"/>
          <w:szCs w:val="26"/>
        </w:rPr>
        <w:footnoteReference w:id="4"/>
      </w:r>
      <w:r>
        <w:rPr>
          <w:sz w:val="26"/>
          <w:szCs w:val="26"/>
        </w:rPr>
        <w:t xml:space="preserve">  The total mileage by age range for the </w:t>
      </w:r>
      <w:r>
        <w:rPr>
          <w:sz w:val="26"/>
          <w:szCs w:val="26"/>
        </w:rPr>
        <w:lastRenderedPageBreak/>
        <w:t>three cast iron main categories that PGW plans to replace during the LTIIP is summarized below:</w:t>
      </w:r>
    </w:p>
    <w:p w:rsidR="0077455C" w:rsidRDefault="0077455C" w:rsidP="00773D87">
      <w:pPr>
        <w:pStyle w:val="p2"/>
        <w:widowControl/>
        <w:spacing w:line="360" w:lineRule="auto"/>
        <w:ind w:firstLine="0"/>
        <w:rPr>
          <w:sz w:val="26"/>
          <w:szCs w:val="26"/>
        </w:rPr>
      </w:pPr>
    </w:p>
    <w:p w:rsidR="0077455C" w:rsidRPr="005070BD" w:rsidRDefault="0077455C" w:rsidP="00773D87">
      <w:pPr>
        <w:pStyle w:val="p2"/>
        <w:widowControl/>
        <w:spacing w:line="360" w:lineRule="auto"/>
        <w:ind w:firstLine="0"/>
        <w:jc w:val="center"/>
        <w:rPr>
          <w:b/>
          <w:sz w:val="26"/>
          <w:szCs w:val="26"/>
        </w:rPr>
      </w:pPr>
      <w:r w:rsidRPr="005070BD">
        <w:rPr>
          <w:b/>
          <w:sz w:val="26"/>
          <w:szCs w:val="26"/>
        </w:rPr>
        <w:t>Table 1 – Mileage by Age Range of Cast Iron Mains to Be Replaced</w:t>
      </w:r>
    </w:p>
    <w:p w:rsidR="0077455C" w:rsidRDefault="0077455C" w:rsidP="00773D87">
      <w:pPr>
        <w:pStyle w:val="p2"/>
        <w:widowControl/>
        <w:spacing w:line="360" w:lineRule="auto"/>
        <w:ind w:firstLine="0"/>
        <w:rPr>
          <w:sz w:val="26"/>
          <w:szCs w:val="26"/>
        </w:rPr>
      </w:pPr>
    </w:p>
    <w:tbl>
      <w:tblPr>
        <w:tblW w:w="7916" w:type="dxa"/>
        <w:jc w:val="center"/>
        <w:tblInd w:w="-1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10"/>
        <w:gridCol w:w="1710"/>
        <w:gridCol w:w="2970"/>
      </w:tblGrid>
      <w:tr w:rsidR="0077455C" w:rsidRPr="0081396F" w:rsidTr="0081396F">
        <w:trPr>
          <w:trHeight w:val="144"/>
          <w:jc w:val="center"/>
        </w:trPr>
        <w:tc>
          <w:tcPr>
            <w:tcW w:w="1526" w:type="dxa"/>
            <w:shd w:val="clear" w:color="auto" w:fill="auto"/>
          </w:tcPr>
          <w:p w:rsidR="0077455C" w:rsidRPr="0081396F" w:rsidRDefault="0077455C" w:rsidP="00773D87">
            <w:pPr>
              <w:pStyle w:val="p2"/>
              <w:widowControl/>
              <w:ind w:firstLine="0"/>
              <w:rPr>
                <w:rFonts w:ascii="Arial" w:hAnsi="Arial"/>
                <w:b/>
              </w:rPr>
            </w:pPr>
            <w:r w:rsidRPr="0081396F">
              <w:rPr>
                <w:rFonts w:ascii="Arial" w:hAnsi="Arial"/>
                <w:b/>
              </w:rPr>
              <w:t>Year Range</w:t>
            </w:r>
          </w:p>
        </w:tc>
        <w:tc>
          <w:tcPr>
            <w:tcW w:w="1710" w:type="dxa"/>
            <w:shd w:val="clear" w:color="auto" w:fill="auto"/>
          </w:tcPr>
          <w:p w:rsidR="0077455C" w:rsidRPr="0081396F" w:rsidRDefault="0077455C" w:rsidP="00773D87">
            <w:pPr>
              <w:pStyle w:val="p2"/>
              <w:widowControl/>
              <w:ind w:firstLine="0"/>
              <w:rPr>
                <w:rFonts w:ascii="Arial" w:hAnsi="Arial"/>
                <w:b/>
              </w:rPr>
            </w:pPr>
            <w:r w:rsidRPr="0081396F">
              <w:rPr>
                <w:rFonts w:ascii="Arial" w:hAnsi="Arial"/>
                <w:b/>
              </w:rPr>
              <w:t>12” Cast Iron (10</w:t>
            </w:r>
            <w:r w:rsidR="00C5058D" w:rsidRPr="0081396F">
              <w:rPr>
                <w:rFonts w:ascii="Arial" w:hAnsi="Arial"/>
                <w:b/>
              </w:rPr>
              <w:noBreakHyphen/>
            </w:r>
            <w:r w:rsidRPr="0081396F">
              <w:rPr>
                <w:rFonts w:ascii="Arial" w:hAnsi="Arial"/>
                <w:b/>
              </w:rPr>
              <w:t>35 psig)</w:t>
            </w:r>
          </w:p>
        </w:tc>
        <w:tc>
          <w:tcPr>
            <w:tcW w:w="1710" w:type="dxa"/>
            <w:shd w:val="clear" w:color="auto" w:fill="auto"/>
          </w:tcPr>
          <w:p w:rsidR="0077455C" w:rsidRPr="0081396F" w:rsidRDefault="0077455C" w:rsidP="00773D87">
            <w:pPr>
              <w:pStyle w:val="p2"/>
              <w:widowControl/>
              <w:ind w:firstLine="0"/>
              <w:rPr>
                <w:rFonts w:ascii="Arial" w:hAnsi="Arial"/>
                <w:b/>
              </w:rPr>
            </w:pPr>
            <w:r w:rsidRPr="0081396F">
              <w:rPr>
                <w:rFonts w:ascii="Arial" w:hAnsi="Arial"/>
                <w:b/>
              </w:rPr>
              <w:t>30” Cast Iron (10-35 psig)</w:t>
            </w:r>
          </w:p>
        </w:tc>
        <w:tc>
          <w:tcPr>
            <w:tcW w:w="2970" w:type="dxa"/>
            <w:shd w:val="clear" w:color="auto" w:fill="auto"/>
          </w:tcPr>
          <w:p w:rsidR="0081396F" w:rsidRDefault="0077455C" w:rsidP="00773D87">
            <w:pPr>
              <w:pStyle w:val="p2"/>
              <w:widowControl/>
              <w:ind w:firstLine="0"/>
              <w:rPr>
                <w:rFonts w:ascii="Arial" w:hAnsi="Arial"/>
                <w:b/>
              </w:rPr>
            </w:pPr>
            <w:r w:rsidRPr="0081396F">
              <w:rPr>
                <w:rFonts w:ascii="Arial" w:hAnsi="Arial"/>
                <w:b/>
              </w:rPr>
              <w:t xml:space="preserve">8” </w:t>
            </w:r>
            <w:r w:rsidR="0081396F">
              <w:rPr>
                <w:rFonts w:ascii="Arial" w:hAnsi="Arial"/>
                <w:b/>
              </w:rPr>
              <w:t xml:space="preserve">&amp; </w:t>
            </w:r>
            <w:r w:rsidRPr="0081396F">
              <w:rPr>
                <w:rFonts w:ascii="Arial" w:hAnsi="Arial"/>
                <w:b/>
              </w:rPr>
              <w:t>Smaller Cast Iron</w:t>
            </w:r>
          </w:p>
          <w:p w:rsidR="0077455C" w:rsidRPr="0081396F" w:rsidRDefault="0077455C" w:rsidP="00773D87">
            <w:pPr>
              <w:pStyle w:val="p2"/>
              <w:widowControl/>
              <w:ind w:firstLine="0"/>
              <w:rPr>
                <w:rFonts w:ascii="Arial" w:hAnsi="Arial"/>
                <w:b/>
              </w:rPr>
            </w:pPr>
            <w:r w:rsidRPr="0081396F">
              <w:rPr>
                <w:rFonts w:ascii="Arial" w:hAnsi="Arial"/>
                <w:b/>
              </w:rPr>
              <w:t>(4.5</w:t>
            </w:r>
            <w:r w:rsidR="00C5058D" w:rsidRPr="0081396F">
              <w:rPr>
                <w:rFonts w:ascii="Arial" w:hAnsi="Arial"/>
                <w:b/>
              </w:rPr>
              <w:t> </w:t>
            </w:r>
            <w:r w:rsidRPr="0081396F">
              <w:rPr>
                <w:rFonts w:ascii="Arial" w:hAnsi="Arial"/>
                <w:b/>
              </w:rPr>
              <w:t>inches WC - 5 psig)</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1971-2010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0.00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0.00</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0.00</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1961-1970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0.08</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0.37</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11.01</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1951-1960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4.52</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0.28</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136.85</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1941-1950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4.82</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4.48</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152.59</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1931-1940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0.61</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3.08</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76.02</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1921-1930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8.40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0.38</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235.03</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1911-1920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0.34</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1.24</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139.06</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1900-1910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0.74</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1.02</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219.91</w:t>
            </w:r>
          </w:p>
        </w:tc>
      </w:tr>
      <w:tr w:rsidR="0077455C" w:rsidRPr="0081396F" w:rsidTr="0081396F">
        <w:trPr>
          <w:jc w:val="center"/>
        </w:trPr>
        <w:tc>
          <w:tcPr>
            <w:tcW w:w="1526" w:type="dxa"/>
            <w:shd w:val="clear" w:color="auto" w:fill="auto"/>
          </w:tcPr>
          <w:p w:rsidR="0077455C" w:rsidRPr="0081396F" w:rsidRDefault="0077455C" w:rsidP="00773D87">
            <w:pPr>
              <w:pStyle w:val="p2"/>
              <w:widowControl/>
              <w:ind w:firstLine="0"/>
              <w:rPr>
                <w:rFonts w:ascii="Arial" w:hAnsi="Arial"/>
              </w:rPr>
            </w:pPr>
            <w:r w:rsidRPr="0081396F">
              <w:rPr>
                <w:rFonts w:ascii="Arial" w:hAnsi="Arial"/>
              </w:rPr>
              <w:t>Pre 1900</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2.61</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5.28</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249.41</w:t>
            </w:r>
          </w:p>
        </w:tc>
      </w:tr>
      <w:tr w:rsidR="0077455C" w:rsidRPr="0081396F" w:rsidTr="0081396F">
        <w:trPr>
          <w:jc w:val="center"/>
        </w:trPr>
        <w:tc>
          <w:tcPr>
            <w:tcW w:w="1526" w:type="dxa"/>
            <w:shd w:val="clear" w:color="auto" w:fill="auto"/>
          </w:tcPr>
          <w:p w:rsidR="0077455C" w:rsidRPr="00773D87" w:rsidRDefault="0077455C" w:rsidP="00773D87">
            <w:pPr>
              <w:pStyle w:val="p2"/>
              <w:widowControl/>
              <w:ind w:firstLine="0"/>
              <w:rPr>
                <w:rFonts w:ascii="Arial" w:hAnsi="Arial"/>
                <w:b/>
              </w:rPr>
            </w:pPr>
            <w:r w:rsidRPr="00773D87">
              <w:rPr>
                <w:rFonts w:ascii="Arial" w:hAnsi="Arial"/>
                <w:b/>
              </w:rPr>
              <w:t>Total</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22.12</w:t>
            </w:r>
          </w:p>
        </w:tc>
        <w:tc>
          <w:tcPr>
            <w:tcW w:w="171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16.13</w:t>
            </w:r>
          </w:p>
        </w:tc>
        <w:tc>
          <w:tcPr>
            <w:tcW w:w="2970" w:type="dxa"/>
            <w:shd w:val="clear" w:color="auto" w:fill="auto"/>
          </w:tcPr>
          <w:p w:rsidR="0077455C" w:rsidRPr="0081396F" w:rsidRDefault="0077455C" w:rsidP="00773D87">
            <w:pPr>
              <w:pStyle w:val="p2"/>
              <w:widowControl/>
              <w:ind w:firstLine="0"/>
              <w:jc w:val="center"/>
              <w:rPr>
                <w:rFonts w:ascii="Arial" w:hAnsi="Arial"/>
              </w:rPr>
            </w:pPr>
            <w:r w:rsidRPr="0081396F">
              <w:rPr>
                <w:rFonts w:ascii="Arial" w:hAnsi="Arial"/>
              </w:rPr>
              <w:t>1219.88</w:t>
            </w:r>
          </w:p>
        </w:tc>
      </w:tr>
    </w:tbl>
    <w:p w:rsidR="0077455C" w:rsidRPr="0081396F" w:rsidRDefault="0077455C" w:rsidP="00773D87">
      <w:pPr>
        <w:pStyle w:val="p2"/>
        <w:widowControl/>
        <w:spacing w:line="360" w:lineRule="auto"/>
        <w:ind w:firstLine="0"/>
      </w:pPr>
    </w:p>
    <w:p w:rsidR="00794FB9" w:rsidRDefault="00794FB9" w:rsidP="00794FB9">
      <w:pPr>
        <w:pStyle w:val="p2"/>
        <w:widowControl/>
        <w:spacing w:line="360" w:lineRule="auto"/>
        <w:ind w:firstLine="0"/>
      </w:pPr>
    </w:p>
    <w:p w:rsidR="00794FB9" w:rsidRPr="00794FB9" w:rsidRDefault="00794FB9" w:rsidP="00794FB9">
      <w:pPr>
        <w:pStyle w:val="p2"/>
        <w:widowControl/>
        <w:spacing w:line="360" w:lineRule="auto"/>
        <w:ind w:firstLine="0"/>
        <w:rPr>
          <w:sz w:val="26"/>
          <w:szCs w:val="26"/>
        </w:rPr>
      </w:pPr>
      <w:r>
        <w:tab/>
      </w:r>
      <w:r w:rsidRPr="00794FB9">
        <w:rPr>
          <w:sz w:val="26"/>
          <w:szCs w:val="26"/>
        </w:rPr>
        <w:t xml:space="preserve">We note that PGW’s Petition in this matter provides an overview of how the proposed LTIIP fits within PGW’s “five phase” internal infrastructure replacement plan.  Under this long term “five phase” plan, PGW will give greater priority to the removal of 12 inch and smaller HP mains (due to recent incidents with 12 inch mains on PGW’s and UGI’s distribution systems) and 30 inch HP mains (due to PGW’s recent discovery of localized corrosion on a section of 30 inch HP main), removing these entire categories of main from PGW’s system by 2023.  PGW will remove all low and intermediate-pressure cast iron mains within 50 years.  PGW’s distribution system contains no bare steel mains.  PGW will also review all cast iron inventory for any high pressure mains that are between 12 inches and 30 inches and that are redundant or under-utilized.  PGW has targeted several abandonment projects for pipe inventory in this range.  </w:t>
      </w:r>
    </w:p>
    <w:p w:rsidR="00794FB9" w:rsidRPr="00794FB9" w:rsidRDefault="00794FB9" w:rsidP="00794FB9">
      <w:pPr>
        <w:pStyle w:val="p2"/>
        <w:widowControl/>
        <w:spacing w:line="360" w:lineRule="auto"/>
        <w:ind w:firstLine="0"/>
        <w:rPr>
          <w:sz w:val="26"/>
          <w:szCs w:val="26"/>
        </w:rPr>
      </w:pPr>
    </w:p>
    <w:p w:rsidR="00794FB9" w:rsidRPr="00794FB9" w:rsidRDefault="00794FB9" w:rsidP="00794FB9">
      <w:pPr>
        <w:pStyle w:val="p2"/>
        <w:keepNext/>
        <w:widowControl/>
        <w:spacing w:line="360" w:lineRule="auto"/>
        <w:ind w:firstLine="0"/>
        <w:rPr>
          <w:b/>
          <w:sz w:val="26"/>
          <w:szCs w:val="26"/>
        </w:rPr>
      </w:pPr>
      <w:r>
        <w:rPr>
          <w:sz w:val="26"/>
          <w:szCs w:val="26"/>
        </w:rPr>
        <w:lastRenderedPageBreak/>
        <w:tab/>
      </w:r>
      <w:r w:rsidRPr="00794FB9">
        <w:rPr>
          <w:sz w:val="26"/>
          <w:szCs w:val="26"/>
        </w:rPr>
        <w:t xml:space="preserve">We acknowledge that the Proposed LTIIP is a part of the first phase of that “five phase” plan. </w:t>
      </w:r>
      <w:r w:rsidR="004D722F">
        <w:rPr>
          <w:sz w:val="26"/>
          <w:szCs w:val="26"/>
        </w:rPr>
        <w:t xml:space="preserve"> </w:t>
      </w:r>
      <w:r w:rsidRPr="00794FB9">
        <w:rPr>
          <w:sz w:val="26"/>
          <w:szCs w:val="26"/>
        </w:rPr>
        <w:t>At this time, the Commission takes no position with regard to that “five phase</w:t>
      </w:r>
      <w:r w:rsidR="006615C5">
        <w:rPr>
          <w:sz w:val="26"/>
          <w:szCs w:val="26"/>
        </w:rPr>
        <w:t>”</w:t>
      </w:r>
      <w:r w:rsidRPr="00794FB9">
        <w:rPr>
          <w:sz w:val="26"/>
          <w:szCs w:val="26"/>
        </w:rPr>
        <w:t xml:space="preserve"> approach</w:t>
      </w:r>
      <w:r w:rsidR="005E2411">
        <w:rPr>
          <w:sz w:val="26"/>
          <w:szCs w:val="26"/>
        </w:rPr>
        <w:t xml:space="preserve">. </w:t>
      </w:r>
      <w:r w:rsidRPr="00794FB9">
        <w:rPr>
          <w:sz w:val="26"/>
          <w:szCs w:val="26"/>
        </w:rPr>
        <w:t xml:space="preserve"> Future infrastructure replacement will be considered by the Commission as future or modified LTIIPs are filed pursuant to Act 11. </w:t>
      </w:r>
      <w:r w:rsidR="004D722F">
        <w:rPr>
          <w:sz w:val="26"/>
          <w:szCs w:val="26"/>
        </w:rPr>
        <w:t xml:space="preserve"> </w:t>
      </w:r>
      <w:r w:rsidRPr="00794FB9">
        <w:rPr>
          <w:sz w:val="26"/>
          <w:szCs w:val="26"/>
        </w:rPr>
        <w:t>Replacement of PGW’s infrastructure will also be subject to section 1501 of the Public Utility Code, 66 Pa.C.S. 1501</w:t>
      </w:r>
      <w:r w:rsidRPr="00794FB9">
        <w:rPr>
          <w:rStyle w:val="FootnoteReference"/>
          <w:sz w:val="26"/>
          <w:szCs w:val="26"/>
        </w:rPr>
        <w:footnoteReference w:id="5"/>
      </w:r>
      <w:r w:rsidRPr="00794FB9">
        <w:rPr>
          <w:sz w:val="26"/>
          <w:szCs w:val="26"/>
        </w:rPr>
        <w:t>.</w:t>
      </w:r>
    </w:p>
    <w:p w:rsidR="00794FB9" w:rsidRPr="00794FB9" w:rsidRDefault="00794FB9" w:rsidP="00F939FA">
      <w:pPr>
        <w:pStyle w:val="p2"/>
        <w:keepNext/>
        <w:widowControl/>
        <w:spacing w:line="360" w:lineRule="auto"/>
        <w:ind w:firstLine="0"/>
        <w:rPr>
          <w:b/>
          <w:sz w:val="26"/>
          <w:szCs w:val="26"/>
        </w:rPr>
      </w:pPr>
    </w:p>
    <w:p w:rsidR="0077455C" w:rsidRDefault="0077455C" w:rsidP="00F939FA">
      <w:pPr>
        <w:pStyle w:val="p2"/>
        <w:keepNext/>
        <w:widowControl/>
        <w:spacing w:line="360" w:lineRule="auto"/>
        <w:ind w:firstLine="0"/>
        <w:rPr>
          <w:b/>
          <w:sz w:val="26"/>
          <w:szCs w:val="26"/>
        </w:rPr>
      </w:pPr>
      <w:r w:rsidRPr="00576090">
        <w:rPr>
          <w:b/>
          <w:sz w:val="26"/>
          <w:szCs w:val="26"/>
        </w:rPr>
        <w:t>Comments</w:t>
      </w:r>
    </w:p>
    <w:p w:rsidR="0077455C" w:rsidRPr="00576090" w:rsidRDefault="0077455C" w:rsidP="00F939FA">
      <w:pPr>
        <w:pStyle w:val="p2"/>
        <w:keepNext/>
        <w:widowControl/>
        <w:spacing w:line="360" w:lineRule="auto"/>
        <w:ind w:firstLine="720"/>
        <w:rPr>
          <w:b/>
          <w:sz w:val="26"/>
          <w:szCs w:val="26"/>
        </w:rPr>
      </w:pPr>
    </w:p>
    <w:p w:rsidR="0077455C" w:rsidRDefault="0077455C" w:rsidP="00773D87">
      <w:pPr>
        <w:pStyle w:val="p7"/>
        <w:widowControl/>
        <w:tabs>
          <w:tab w:val="clear" w:pos="782"/>
          <w:tab w:val="clear" w:pos="1133"/>
          <w:tab w:val="left" w:pos="720"/>
          <w:tab w:val="left" w:pos="1440"/>
        </w:tabs>
        <w:spacing w:line="360" w:lineRule="auto"/>
        <w:ind w:left="0" w:firstLine="1440"/>
        <w:rPr>
          <w:sz w:val="26"/>
          <w:szCs w:val="26"/>
        </w:rPr>
      </w:pPr>
      <w:r>
        <w:rPr>
          <w:sz w:val="26"/>
          <w:szCs w:val="26"/>
        </w:rPr>
        <w:t xml:space="preserve">In its </w:t>
      </w:r>
      <w:r w:rsidR="009450B4">
        <w:rPr>
          <w:sz w:val="26"/>
          <w:szCs w:val="26"/>
        </w:rPr>
        <w:t>C</w:t>
      </w:r>
      <w:r>
        <w:rPr>
          <w:sz w:val="26"/>
          <w:szCs w:val="26"/>
        </w:rPr>
        <w:t>omments, OCA commends PGW for its efforts in providing a significant level of detail in the LTIIP.</w:t>
      </w:r>
      <w:r w:rsidR="00C5058D">
        <w:rPr>
          <w:sz w:val="26"/>
          <w:szCs w:val="26"/>
        </w:rPr>
        <w:t xml:space="preserve">  </w:t>
      </w:r>
      <w:r>
        <w:rPr>
          <w:sz w:val="26"/>
          <w:szCs w:val="26"/>
        </w:rPr>
        <w:t>OCA further states that certain additional information may be needed to properly evaluate whether PGW’s LTIIP meets all the requirements of Act 11 and the Final Implementation Order.  In regard to DSIC eligible property, OCA submits that going forward, PGW should provide additional information to the Commission for each main project that is not a “like-for-like” pipe diameter replacement, specifically the results of system network analysis before and after the segment installation to confirm the projects are DSIC eligible.</w:t>
      </w:r>
    </w:p>
    <w:p w:rsidR="0077455C" w:rsidRPr="002B3E34" w:rsidRDefault="0077455C" w:rsidP="00773D87">
      <w:pPr>
        <w:pStyle w:val="p7"/>
        <w:widowControl/>
        <w:tabs>
          <w:tab w:val="clear" w:pos="782"/>
          <w:tab w:val="clear" w:pos="1133"/>
          <w:tab w:val="left" w:pos="720"/>
          <w:tab w:val="left" w:pos="1440"/>
        </w:tabs>
        <w:spacing w:line="360" w:lineRule="auto"/>
        <w:ind w:left="0" w:firstLine="0"/>
        <w:jc w:val="both"/>
        <w:rPr>
          <w:sz w:val="26"/>
          <w:szCs w:val="26"/>
        </w:rPr>
      </w:pPr>
    </w:p>
    <w:p w:rsidR="0077455C"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C266ED">
        <w:rPr>
          <w:b/>
          <w:sz w:val="26"/>
          <w:szCs w:val="26"/>
        </w:rPr>
        <w:t>Resolution</w:t>
      </w:r>
    </w:p>
    <w:p w:rsidR="0077455C" w:rsidRDefault="0077455C" w:rsidP="00773D87">
      <w:pPr>
        <w:pStyle w:val="p2"/>
        <w:keepNext/>
        <w:widowControl/>
        <w:tabs>
          <w:tab w:val="left" w:pos="720"/>
        </w:tabs>
        <w:spacing w:line="360" w:lineRule="auto"/>
        <w:ind w:firstLine="720"/>
        <w:rPr>
          <w:b/>
          <w:sz w:val="26"/>
          <w:szCs w:val="26"/>
        </w:rPr>
      </w:pPr>
    </w:p>
    <w:p w:rsidR="0077455C" w:rsidRDefault="0077455C" w:rsidP="00773D87">
      <w:pPr>
        <w:pStyle w:val="p2"/>
        <w:widowControl/>
        <w:tabs>
          <w:tab w:val="left" w:pos="720"/>
        </w:tabs>
        <w:spacing w:line="360" w:lineRule="auto"/>
        <w:ind w:firstLine="1440"/>
        <w:rPr>
          <w:sz w:val="26"/>
          <w:szCs w:val="26"/>
        </w:rPr>
      </w:pPr>
      <w:r>
        <w:rPr>
          <w:sz w:val="26"/>
          <w:szCs w:val="26"/>
        </w:rPr>
        <w:t xml:space="preserve">The Commission acknowledges OCA’s concerns regarding main projects that are not “like-for-like” replacements.  However, we believe that there are sufficient consumer protection mechanisms in place at the Commission to address OCA’s concerns. </w:t>
      </w:r>
      <w:r w:rsidRPr="001D7B3F">
        <w:rPr>
          <w:sz w:val="26"/>
          <w:szCs w:val="26"/>
        </w:rPr>
        <w:t xml:space="preserve">As </w:t>
      </w:r>
      <w:r>
        <w:rPr>
          <w:sz w:val="26"/>
          <w:szCs w:val="26"/>
        </w:rPr>
        <w:t xml:space="preserve">referenced in the Final Implementation Order, Section 1356 </w:t>
      </w:r>
      <w:r w:rsidR="009450B4">
        <w:rPr>
          <w:sz w:val="26"/>
          <w:szCs w:val="26"/>
        </w:rPr>
        <w:t xml:space="preserve">of the Code, 66 Pa. C.S. §1356, requires that a utility </w:t>
      </w:r>
      <w:r>
        <w:rPr>
          <w:sz w:val="26"/>
          <w:szCs w:val="26"/>
        </w:rPr>
        <w:t xml:space="preserve">with an approved DSIC file an Annual Asset Optimization Plan (AAO Plan).  The elements of the AAO Plan include (1) a description of all eligible </w:t>
      </w:r>
      <w:r>
        <w:rPr>
          <w:sz w:val="26"/>
          <w:szCs w:val="26"/>
        </w:rPr>
        <w:lastRenderedPageBreak/>
        <w:t xml:space="preserve">property repaired, improved and replaced in the preceding 12 months and (2) a detailed description of all facilities to be improved in the upcoming 12 months.  Also, the AAO Plan is expected to demonstrate compliance in meeting the LTIIP and to identify a utility’s near-term construction projects that will be funded by the DSIC, consistent with the LTIIP.  The Commission’s Bureau of Audits also conducts periodic review of DSIC related projects.  Therefore, the Commission </w:t>
      </w:r>
      <w:r w:rsidR="00C5058D">
        <w:rPr>
          <w:sz w:val="26"/>
          <w:szCs w:val="26"/>
        </w:rPr>
        <w:t xml:space="preserve">concludes </w:t>
      </w:r>
      <w:r>
        <w:rPr>
          <w:sz w:val="26"/>
          <w:szCs w:val="26"/>
        </w:rPr>
        <w:t>that OCA’s concern will be addressed through the AAO Plan review and through other Commission reviews of DSIC-related projects.</w:t>
      </w:r>
      <w:r w:rsidR="00C5058D">
        <w:rPr>
          <w:sz w:val="26"/>
          <w:szCs w:val="26"/>
        </w:rPr>
        <w:t xml:space="preserve">  Accordingly, we will not specifically require PGW to submit results of system network analysis before and after the segment installation to confirm DSIC </w:t>
      </w:r>
      <w:r w:rsidR="00B3173B">
        <w:rPr>
          <w:sz w:val="26"/>
          <w:szCs w:val="26"/>
        </w:rPr>
        <w:t>eligibility of related projects.</w:t>
      </w:r>
    </w:p>
    <w:p w:rsidR="0077455C" w:rsidRPr="001D7B3F" w:rsidRDefault="0077455C" w:rsidP="00773D87">
      <w:pPr>
        <w:pStyle w:val="p2"/>
        <w:widowControl/>
        <w:tabs>
          <w:tab w:val="left" w:pos="720"/>
        </w:tabs>
        <w:spacing w:line="360" w:lineRule="auto"/>
        <w:ind w:firstLine="720"/>
        <w:rPr>
          <w:sz w:val="26"/>
          <w:szCs w:val="26"/>
        </w:rPr>
      </w:pPr>
    </w:p>
    <w:p w:rsidR="0077455C" w:rsidRDefault="0077455C" w:rsidP="00773D87">
      <w:pPr>
        <w:pStyle w:val="p2"/>
        <w:widowControl/>
        <w:spacing w:line="360" w:lineRule="auto"/>
        <w:ind w:firstLine="1440"/>
        <w:rPr>
          <w:sz w:val="26"/>
          <w:szCs w:val="26"/>
        </w:rPr>
      </w:pPr>
      <w:r>
        <w:rPr>
          <w:sz w:val="26"/>
          <w:szCs w:val="26"/>
        </w:rPr>
        <w:tab/>
        <w:t>Upon review of PGW’s LTIIP and all supplemental information filed, the Commission finds that the types and ages of eligible property requirements of element one of the Final Implementation Order ha</w:t>
      </w:r>
      <w:r w:rsidR="00C5058D">
        <w:rPr>
          <w:sz w:val="26"/>
          <w:szCs w:val="26"/>
        </w:rPr>
        <w:t>ve</w:t>
      </w:r>
      <w:r>
        <w:rPr>
          <w:sz w:val="26"/>
          <w:szCs w:val="26"/>
        </w:rPr>
        <w:t xml:space="preserve"> been fulfilled.  The Commission acknowledges the level of detail contained within the LTIIP for item one conforms to Commission requirements and is presented in a manner that allows for complete and efficient review of, and reference to, these materials.   </w:t>
      </w:r>
    </w:p>
    <w:p w:rsidR="009450B4" w:rsidRPr="009450B4" w:rsidRDefault="009450B4" w:rsidP="00773D87">
      <w:pPr>
        <w:pStyle w:val="p2"/>
        <w:widowControl/>
        <w:spacing w:line="360" w:lineRule="auto"/>
        <w:ind w:firstLine="1440"/>
        <w:rPr>
          <w:sz w:val="26"/>
          <w:szCs w:val="26"/>
        </w:rPr>
      </w:pPr>
    </w:p>
    <w:p w:rsidR="009450B4" w:rsidRPr="009450B4" w:rsidRDefault="009450B4" w:rsidP="009450B4">
      <w:pPr>
        <w:pStyle w:val="p2"/>
        <w:widowControl/>
        <w:spacing w:line="360" w:lineRule="auto"/>
        <w:ind w:firstLine="1440"/>
        <w:rPr>
          <w:sz w:val="26"/>
          <w:szCs w:val="26"/>
        </w:rPr>
      </w:pPr>
      <w:r w:rsidRPr="009450B4">
        <w:rPr>
          <w:sz w:val="26"/>
          <w:szCs w:val="26"/>
        </w:rPr>
        <w:t>Though this Commission takes no position with regard to that “five phase</w:t>
      </w:r>
      <w:r w:rsidR="007607D8">
        <w:rPr>
          <w:sz w:val="26"/>
          <w:szCs w:val="26"/>
        </w:rPr>
        <w:t>”</w:t>
      </w:r>
      <w:r w:rsidRPr="009450B4">
        <w:rPr>
          <w:sz w:val="26"/>
          <w:szCs w:val="26"/>
        </w:rPr>
        <w:t xml:space="preserve"> approach, we will, however, require PGW to provide a quarterly report to the Commission to help track the adequacy of the Plan with regard to maintaining safety and reliability resulting from these investments.  These metrics will provide future information about the viability of PGW’s longer term replacement goals, which, in turn, will provide insights as to whether subsequent modifications of PGW</w:t>
      </w:r>
      <w:r w:rsidR="007607D8">
        <w:rPr>
          <w:sz w:val="26"/>
          <w:szCs w:val="26"/>
        </w:rPr>
        <w:t>’</w:t>
      </w:r>
      <w:r w:rsidRPr="009450B4">
        <w:rPr>
          <w:sz w:val="26"/>
          <w:szCs w:val="26"/>
        </w:rPr>
        <w:t>s current LTIIP are needed, and also inform the design of subsequent LTIIPs.  PGW is to provide month end balances resulting for both the number of Class 1 through 7 leaks, as well as the average age of identified leaks for each class.</w:t>
      </w:r>
      <w:r w:rsidRPr="009450B4">
        <w:rPr>
          <w:rStyle w:val="FootnoteReference"/>
          <w:sz w:val="26"/>
          <w:szCs w:val="26"/>
        </w:rPr>
        <w:footnoteReference w:id="6"/>
      </w:r>
      <w:r w:rsidRPr="009450B4">
        <w:rPr>
          <w:sz w:val="26"/>
          <w:szCs w:val="26"/>
        </w:rPr>
        <w:t xml:space="preserve">  This information shall be filed with the </w:t>
      </w:r>
      <w:r w:rsidRPr="009450B4">
        <w:rPr>
          <w:sz w:val="26"/>
          <w:szCs w:val="26"/>
        </w:rPr>
        <w:lastRenderedPageBreak/>
        <w:t xml:space="preserve">Commission Secretary, under this docket number, as soon as possible, but in no event later than 30 days following the end of each calendar quarter.  A copy of the report shall simultaneously be delivered electronically to the Commission’s Manager of the Gas Safety Division. </w:t>
      </w:r>
    </w:p>
    <w:p w:rsidR="009450B4" w:rsidRDefault="009450B4" w:rsidP="009450B4">
      <w:pPr>
        <w:pStyle w:val="p2"/>
        <w:widowControl/>
        <w:spacing w:line="360" w:lineRule="auto"/>
        <w:ind w:firstLine="1440"/>
        <w:rPr>
          <w:sz w:val="26"/>
          <w:szCs w:val="26"/>
        </w:rPr>
      </w:pPr>
    </w:p>
    <w:p w:rsidR="0077455C" w:rsidRPr="002372D6" w:rsidRDefault="00135912" w:rsidP="009450B4">
      <w:pPr>
        <w:pStyle w:val="p7"/>
        <w:keepNext/>
        <w:widowControl/>
        <w:tabs>
          <w:tab w:val="clear" w:pos="1133"/>
          <w:tab w:val="left" w:pos="720"/>
          <w:tab w:val="left" w:pos="1350"/>
          <w:tab w:val="left" w:pos="1440"/>
        </w:tabs>
        <w:spacing w:line="360" w:lineRule="auto"/>
        <w:ind w:left="720" w:firstLine="0"/>
        <w:rPr>
          <w:b/>
          <w:sz w:val="26"/>
          <w:szCs w:val="26"/>
        </w:rPr>
      </w:pPr>
      <w:r>
        <w:rPr>
          <w:b/>
          <w:sz w:val="26"/>
          <w:szCs w:val="26"/>
        </w:rPr>
        <w:t xml:space="preserve">(2) </w:t>
      </w:r>
      <w:r w:rsidR="0077455C" w:rsidRPr="002372D6">
        <w:rPr>
          <w:b/>
          <w:sz w:val="26"/>
          <w:szCs w:val="26"/>
        </w:rPr>
        <w:t>SCHEDULE FOR PLANNED REPAIR AND REPLACEMENT OF ELIGIBLE PROPERTY</w:t>
      </w:r>
    </w:p>
    <w:p w:rsidR="0077455C" w:rsidRDefault="0077455C" w:rsidP="009450B4">
      <w:pPr>
        <w:pStyle w:val="p7"/>
        <w:keepNext/>
        <w:widowControl/>
        <w:tabs>
          <w:tab w:val="clear" w:pos="1133"/>
          <w:tab w:val="left" w:pos="720"/>
          <w:tab w:val="left" w:pos="1350"/>
          <w:tab w:val="left" w:pos="1440"/>
        </w:tabs>
        <w:spacing w:line="360" w:lineRule="auto"/>
        <w:jc w:val="both"/>
        <w:rPr>
          <w:sz w:val="26"/>
          <w:szCs w:val="26"/>
        </w:rPr>
      </w:pPr>
    </w:p>
    <w:p w:rsidR="0077455C" w:rsidRPr="008A049C" w:rsidRDefault="00B3173B" w:rsidP="009450B4">
      <w:pPr>
        <w:pStyle w:val="p7"/>
        <w:keepNext/>
        <w:widowControl/>
        <w:tabs>
          <w:tab w:val="clear" w:pos="1133"/>
          <w:tab w:val="left" w:pos="720"/>
          <w:tab w:val="left" w:pos="1350"/>
          <w:tab w:val="left" w:pos="1440"/>
        </w:tabs>
        <w:spacing w:line="360" w:lineRule="auto"/>
        <w:ind w:left="0" w:firstLine="0"/>
        <w:jc w:val="both"/>
        <w:rPr>
          <w:b/>
          <w:sz w:val="26"/>
          <w:szCs w:val="26"/>
        </w:rPr>
      </w:pPr>
      <w:r>
        <w:rPr>
          <w:b/>
          <w:sz w:val="26"/>
          <w:szCs w:val="26"/>
        </w:rPr>
        <w:t>PGW’s Petition</w:t>
      </w:r>
      <w:r w:rsidR="0077455C" w:rsidRPr="008A049C">
        <w:rPr>
          <w:b/>
          <w:sz w:val="26"/>
          <w:szCs w:val="26"/>
        </w:rPr>
        <w:t xml:space="preserve"> </w:t>
      </w:r>
    </w:p>
    <w:p w:rsidR="0077455C" w:rsidRDefault="0077455C" w:rsidP="009450B4">
      <w:pPr>
        <w:pStyle w:val="p7"/>
        <w:keepNext/>
        <w:widowControl/>
        <w:tabs>
          <w:tab w:val="clear" w:pos="1133"/>
          <w:tab w:val="left" w:pos="720"/>
          <w:tab w:val="left" w:pos="1350"/>
          <w:tab w:val="left" w:pos="1440"/>
        </w:tabs>
        <w:spacing w:line="360" w:lineRule="auto"/>
        <w:jc w:val="both"/>
        <w:rPr>
          <w:sz w:val="26"/>
          <w:szCs w:val="26"/>
        </w:rPr>
      </w:pPr>
    </w:p>
    <w:p w:rsidR="0077455C" w:rsidRDefault="0077455C" w:rsidP="009450B4">
      <w:pPr>
        <w:pStyle w:val="p7"/>
        <w:widowControl/>
        <w:tabs>
          <w:tab w:val="clear" w:pos="782"/>
          <w:tab w:val="clear" w:pos="1133"/>
        </w:tabs>
        <w:spacing w:line="360" w:lineRule="auto"/>
        <w:ind w:left="0" w:firstLine="1440"/>
        <w:rPr>
          <w:sz w:val="26"/>
          <w:szCs w:val="26"/>
        </w:rPr>
      </w:pPr>
      <w:r>
        <w:rPr>
          <w:sz w:val="26"/>
          <w:szCs w:val="26"/>
        </w:rPr>
        <w:t>PGW’s accelerated replacement program</w:t>
      </w:r>
      <w:r w:rsidR="0081396F">
        <w:rPr>
          <w:sz w:val="26"/>
          <w:szCs w:val="26"/>
        </w:rPr>
        <w:t>,</w:t>
      </w:r>
      <w:r>
        <w:rPr>
          <w:sz w:val="26"/>
          <w:szCs w:val="26"/>
        </w:rPr>
        <w:t xml:space="preserve"> beginning with PGW’s 2013 fiscal year,</w:t>
      </w:r>
      <w:r w:rsidR="00C009E0">
        <w:rPr>
          <w:sz w:val="26"/>
          <w:szCs w:val="26"/>
        </w:rPr>
        <w:t xml:space="preserve"> is detailed in Table 2 below.</w:t>
      </w:r>
      <w:r>
        <w:rPr>
          <w:sz w:val="26"/>
          <w:szCs w:val="26"/>
        </w:rPr>
        <w:t xml:space="preserve"> </w:t>
      </w:r>
    </w:p>
    <w:p w:rsidR="0077455C" w:rsidRDefault="0077455C" w:rsidP="00773D87">
      <w:pPr>
        <w:pStyle w:val="p7"/>
        <w:widowControl/>
        <w:tabs>
          <w:tab w:val="clear" w:pos="1133"/>
          <w:tab w:val="left" w:pos="720"/>
          <w:tab w:val="left" w:pos="1350"/>
          <w:tab w:val="left" w:pos="1440"/>
        </w:tabs>
        <w:spacing w:line="360" w:lineRule="auto"/>
        <w:ind w:left="346" w:hanging="346"/>
        <w:rPr>
          <w:sz w:val="26"/>
          <w:szCs w:val="26"/>
        </w:rPr>
      </w:pPr>
    </w:p>
    <w:p w:rsidR="0077455C" w:rsidRPr="00C80888" w:rsidRDefault="0077455C" w:rsidP="00773D87">
      <w:pPr>
        <w:pStyle w:val="p7"/>
        <w:keepNext/>
        <w:widowControl/>
        <w:tabs>
          <w:tab w:val="clear" w:pos="1133"/>
          <w:tab w:val="left" w:pos="720"/>
          <w:tab w:val="left" w:pos="1350"/>
          <w:tab w:val="left" w:pos="1440"/>
        </w:tabs>
        <w:spacing w:line="360" w:lineRule="auto"/>
        <w:ind w:left="0" w:firstLine="0"/>
        <w:jc w:val="both"/>
        <w:rPr>
          <w:b/>
          <w:sz w:val="26"/>
          <w:szCs w:val="26"/>
        </w:rPr>
      </w:pPr>
      <w:r w:rsidRPr="00C80888">
        <w:rPr>
          <w:b/>
          <w:sz w:val="26"/>
          <w:szCs w:val="26"/>
        </w:rPr>
        <w:t>Comments</w:t>
      </w:r>
    </w:p>
    <w:p w:rsidR="0077455C" w:rsidRDefault="0077455C" w:rsidP="00773D87">
      <w:pPr>
        <w:pStyle w:val="p7"/>
        <w:keepNext/>
        <w:widowControl/>
        <w:tabs>
          <w:tab w:val="clear" w:pos="1133"/>
          <w:tab w:val="left" w:pos="720"/>
          <w:tab w:val="left" w:pos="1350"/>
          <w:tab w:val="left" w:pos="1440"/>
        </w:tabs>
        <w:spacing w:line="360" w:lineRule="auto"/>
        <w:jc w:val="both"/>
        <w:rPr>
          <w:sz w:val="26"/>
          <w:szCs w:val="26"/>
        </w:rPr>
      </w:pPr>
    </w:p>
    <w:p w:rsidR="0077455C" w:rsidRDefault="0077455C" w:rsidP="00773D87">
      <w:pPr>
        <w:pStyle w:val="p7"/>
        <w:widowControl/>
        <w:tabs>
          <w:tab w:val="clear" w:pos="1133"/>
          <w:tab w:val="left" w:pos="720"/>
          <w:tab w:val="left" w:pos="1350"/>
          <w:tab w:val="left" w:pos="1440"/>
        </w:tabs>
        <w:spacing w:line="360" w:lineRule="auto"/>
        <w:ind w:left="0" w:firstLine="1440"/>
        <w:rPr>
          <w:sz w:val="26"/>
          <w:szCs w:val="26"/>
        </w:rPr>
      </w:pPr>
      <w:r>
        <w:rPr>
          <w:sz w:val="26"/>
          <w:szCs w:val="26"/>
        </w:rPr>
        <w:t>No comments were received regarding the schedule for planned repair and replacement of eligible property.</w:t>
      </w:r>
    </w:p>
    <w:p w:rsidR="0077455C" w:rsidRDefault="0077455C" w:rsidP="00773D87">
      <w:pPr>
        <w:pStyle w:val="p7"/>
        <w:widowControl/>
        <w:tabs>
          <w:tab w:val="clear" w:pos="1133"/>
          <w:tab w:val="left" w:pos="720"/>
          <w:tab w:val="left" w:pos="1350"/>
          <w:tab w:val="left" w:pos="1440"/>
        </w:tabs>
        <w:spacing w:line="360" w:lineRule="auto"/>
        <w:jc w:val="both"/>
        <w:rPr>
          <w:sz w:val="26"/>
          <w:szCs w:val="26"/>
        </w:rPr>
      </w:pPr>
    </w:p>
    <w:p w:rsidR="0077455C" w:rsidRDefault="0077455C" w:rsidP="00773D87">
      <w:pPr>
        <w:pStyle w:val="p7"/>
        <w:widowControl/>
        <w:tabs>
          <w:tab w:val="clear" w:pos="1133"/>
          <w:tab w:val="left" w:pos="720"/>
          <w:tab w:val="left" w:pos="1350"/>
          <w:tab w:val="left" w:pos="1440"/>
        </w:tabs>
        <w:spacing w:line="360" w:lineRule="auto"/>
        <w:ind w:left="0" w:firstLine="0"/>
        <w:jc w:val="both"/>
        <w:rPr>
          <w:b/>
          <w:sz w:val="26"/>
          <w:szCs w:val="26"/>
        </w:rPr>
      </w:pPr>
      <w:r w:rsidRPr="002372D6">
        <w:rPr>
          <w:b/>
          <w:sz w:val="26"/>
          <w:szCs w:val="26"/>
        </w:rPr>
        <w:t>Resolution</w:t>
      </w:r>
    </w:p>
    <w:p w:rsidR="0077455C" w:rsidRPr="002372D6" w:rsidRDefault="0077455C" w:rsidP="00773D87">
      <w:pPr>
        <w:pStyle w:val="p7"/>
        <w:widowControl/>
        <w:tabs>
          <w:tab w:val="clear" w:pos="1133"/>
          <w:tab w:val="left" w:pos="720"/>
          <w:tab w:val="left" w:pos="1350"/>
          <w:tab w:val="left" w:pos="1440"/>
        </w:tabs>
        <w:spacing w:line="360" w:lineRule="auto"/>
        <w:jc w:val="both"/>
        <w:rPr>
          <w:b/>
          <w:sz w:val="26"/>
          <w:szCs w:val="26"/>
        </w:rPr>
      </w:pPr>
    </w:p>
    <w:p w:rsidR="0077455C" w:rsidRDefault="0077455C" w:rsidP="00773D87">
      <w:pPr>
        <w:pStyle w:val="p2"/>
        <w:widowControl/>
        <w:spacing w:line="360" w:lineRule="auto"/>
        <w:ind w:firstLine="1440"/>
        <w:rPr>
          <w:sz w:val="26"/>
          <w:szCs w:val="26"/>
        </w:rPr>
      </w:pPr>
      <w:r>
        <w:rPr>
          <w:sz w:val="26"/>
          <w:szCs w:val="26"/>
        </w:rPr>
        <w:tab/>
        <w:t>Upon review of PGW’s LTIIP and all supplemental information filed, the Commission finds that the schedule for planned repair and replacement of eligible property requirements of element two of the Final Implementation Order</w:t>
      </w:r>
      <w:r w:rsidR="00773D87">
        <w:rPr>
          <w:sz w:val="26"/>
          <w:szCs w:val="26"/>
        </w:rPr>
        <w:t xml:space="preserve"> </w:t>
      </w:r>
      <w:r>
        <w:rPr>
          <w:sz w:val="26"/>
          <w:szCs w:val="26"/>
        </w:rPr>
        <w:t xml:space="preserve">has been fulfilled.  The Commission acknowledges the level of detail contained within the LTIIP for item two conforms to Commission requirements and is presented in a manner that allows for complete and efficient review of, and reference to, these materials.   </w:t>
      </w:r>
    </w:p>
    <w:p w:rsidR="0077455C" w:rsidRDefault="0077455C" w:rsidP="00773D87">
      <w:pPr>
        <w:pStyle w:val="p7"/>
        <w:widowControl/>
        <w:tabs>
          <w:tab w:val="clear" w:pos="1133"/>
          <w:tab w:val="left" w:pos="720"/>
          <w:tab w:val="left" w:pos="1350"/>
          <w:tab w:val="left" w:pos="1440"/>
        </w:tabs>
        <w:spacing w:line="360" w:lineRule="auto"/>
        <w:ind w:left="0" w:firstLine="0"/>
        <w:jc w:val="both"/>
        <w:rPr>
          <w:sz w:val="26"/>
          <w:szCs w:val="26"/>
        </w:rPr>
      </w:pPr>
    </w:p>
    <w:p w:rsidR="0077455C" w:rsidRPr="00B350F2" w:rsidRDefault="00135912" w:rsidP="00F939FA">
      <w:pPr>
        <w:pStyle w:val="p7"/>
        <w:keepNext/>
        <w:widowControl/>
        <w:tabs>
          <w:tab w:val="clear" w:pos="1133"/>
          <w:tab w:val="left" w:pos="720"/>
          <w:tab w:val="left" w:pos="1350"/>
          <w:tab w:val="left" w:pos="1440"/>
          <w:tab w:val="left" w:pos="1530"/>
        </w:tabs>
        <w:spacing w:line="360" w:lineRule="auto"/>
        <w:ind w:left="720" w:firstLine="0"/>
        <w:rPr>
          <w:b/>
          <w:sz w:val="26"/>
          <w:szCs w:val="26"/>
        </w:rPr>
      </w:pPr>
      <w:r>
        <w:rPr>
          <w:b/>
          <w:sz w:val="26"/>
          <w:szCs w:val="26"/>
        </w:rPr>
        <w:lastRenderedPageBreak/>
        <w:t xml:space="preserve">(3) </w:t>
      </w:r>
      <w:r w:rsidR="0077455C" w:rsidRPr="00B350F2">
        <w:rPr>
          <w:b/>
          <w:sz w:val="26"/>
          <w:szCs w:val="26"/>
        </w:rPr>
        <w:t>LOCATION OF THE ELIGIBLE PROPERTY</w:t>
      </w:r>
    </w:p>
    <w:p w:rsidR="0077455C" w:rsidRDefault="0077455C" w:rsidP="00F939FA">
      <w:pPr>
        <w:pStyle w:val="p7"/>
        <w:keepNext/>
        <w:widowControl/>
        <w:tabs>
          <w:tab w:val="clear" w:pos="1133"/>
          <w:tab w:val="left" w:pos="720"/>
          <w:tab w:val="left" w:pos="1350"/>
          <w:tab w:val="left" w:pos="1440"/>
          <w:tab w:val="left" w:pos="1530"/>
        </w:tabs>
        <w:spacing w:line="360" w:lineRule="auto"/>
        <w:jc w:val="both"/>
        <w:rPr>
          <w:sz w:val="26"/>
          <w:szCs w:val="26"/>
        </w:rPr>
      </w:pPr>
    </w:p>
    <w:p w:rsidR="0077455C" w:rsidRPr="00B350F2" w:rsidRDefault="00B3173B"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r>
        <w:rPr>
          <w:b/>
          <w:sz w:val="26"/>
          <w:szCs w:val="26"/>
        </w:rPr>
        <w:t>PGW’s Petition</w:t>
      </w:r>
      <w:r w:rsidR="0077455C" w:rsidRPr="00B350F2">
        <w:rPr>
          <w:b/>
          <w:sz w:val="26"/>
          <w:szCs w:val="26"/>
        </w:rPr>
        <w:t xml:space="preserve"> </w:t>
      </w:r>
    </w:p>
    <w:p w:rsidR="0077455C" w:rsidRPr="00B350F2" w:rsidRDefault="0077455C" w:rsidP="00F939FA">
      <w:pPr>
        <w:pStyle w:val="p7"/>
        <w:keepNext/>
        <w:widowControl/>
        <w:tabs>
          <w:tab w:val="clear" w:pos="1133"/>
          <w:tab w:val="left" w:pos="720"/>
          <w:tab w:val="left" w:pos="1350"/>
          <w:tab w:val="left" w:pos="1440"/>
          <w:tab w:val="left" w:pos="1530"/>
        </w:tabs>
        <w:spacing w:line="360" w:lineRule="auto"/>
        <w:ind w:left="0" w:firstLine="0"/>
        <w:rPr>
          <w:b/>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Eligible property is located throughout the City of Philadelphia as follows:</w:t>
      </w:r>
    </w:p>
    <w:p w:rsidR="0077455C"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rsidR="0077455C" w:rsidRDefault="0077455C" w:rsidP="00773D87">
      <w:pPr>
        <w:pStyle w:val="p7"/>
        <w:widowControl/>
        <w:numPr>
          <w:ilvl w:val="0"/>
          <w:numId w:val="27"/>
        </w:numPr>
        <w:tabs>
          <w:tab w:val="clear" w:pos="1133"/>
          <w:tab w:val="left" w:pos="720"/>
          <w:tab w:val="left" w:pos="1350"/>
          <w:tab w:val="left" w:pos="1440"/>
          <w:tab w:val="left" w:pos="1530"/>
        </w:tabs>
        <w:spacing w:line="360" w:lineRule="auto"/>
        <w:ind w:left="1800"/>
        <w:rPr>
          <w:sz w:val="26"/>
          <w:szCs w:val="26"/>
        </w:rPr>
      </w:pPr>
      <w:r>
        <w:rPr>
          <w:sz w:val="26"/>
          <w:szCs w:val="26"/>
        </w:rPr>
        <w:t xml:space="preserve">Approximately 22 miles of 12 inch and smaller HP cast iron main (10 to 35 psig) composed of 752 individual sections of main of similar size, pressure and age, varying in length from 1 foot to 2,000 feet in length. </w:t>
      </w:r>
    </w:p>
    <w:p w:rsidR="0077455C" w:rsidRDefault="0077455C" w:rsidP="00773D87">
      <w:pPr>
        <w:pStyle w:val="p7"/>
        <w:widowControl/>
        <w:numPr>
          <w:ilvl w:val="0"/>
          <w:numId w:val="27"/>
        </w:numPr>
        <w:tabs>
          <w:tab w:val="clear" w:pos="1133"/>
          <w:tab w:val="left" w:pos="720"/>
          <w:tab w:val="left" w:pos="1350"/>
          <w:tab w:val="left" w:pos="1440"/>
          <w:tab w:val="left" w:pos="1530"/>
        </w:tabs>
        <w:spacing w:line="360" w:lineRule="auto"/>
        <w:ind w:left="1800"/>
        <w:rPr>
          <w:sz w:val="26"/>
          <w:szCs w:val="26"/>
        </w:rPr>
      </w:pPr>
      <w:r>
        <w:rPr>
          <w:sz w:val="26"/>
          <w:szCs w:val="26"/>
        </w:rPr>
        <w:t>Approximately 16 miles of 30 inch HP cast iron main (10 to 35 psig) composed of 545 individual sections of main of similar size, pressure and age, varying in length from 1 foot to 1,900 feet.</w:t>
      </w:r>
    </w:p>
    <w:p w:rsidR="0077455C" w:rsidRDefault="0077455C" w:rsidP="00773D87">
      <w:pPr>
        <w:pStyle w:val="p7"/>
        <w:widowControl/>
        <w:numPr>
          <w:ilvl w:val="0"/>
          <w:numId w:val="27"/>
        </w:numPr>
        <w:tabs>
          <w:tab w:val="clear" w:pos="1133"/>
          <w:tab w:val="left" w:pos="720"/>
          <w:tab w:val="left" w:pos="1350"/>
          <w:tab w:val="left" w:pos="1440"/>
          <w:tab w:val="left" w:pos="1530"/>
        </w:tabs>
        <w:spacing w:line="360" w:lineRule="auto"/>
        <w:ind w:left="1800"/>
        <w:rPr>
          <w:sz w:val="26"/>
          <w:szCs w:val="26"/>
        </w:rPr>
      </w:pPr>
      <w:r w:rsidRPr="003D5935">
        <w:rPr>
          <w:sz w:val="26"/>
          <w:szCs w:val="26"/>
        </w:rPr>
        <w:t>Approximately 1,220 miles of 8 inch and smaller LP/IP cast iron main (4.5 inches WC to 5 psig) composed of 72,500 individual sections of main of similar size, pressure and age, varying in length from 1 foot to 2,000 feet</w:t>
      </w:r>
      <w:r w:rsidR="00773D87">
        <w:rPr>
          <w:sz w:val="26"/>
          <w:szCs w:val="26"/>
        </w:rPr>
        <w:t>.</w:t>
      </w:r>
    </w:p>
    <w:p w:rsidR="0077455C"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rsidR="0077455C" w:rsidRPr="00C80888"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C80888">
        <w:rPr>
          <w:b/>
          <w:sz w:val="26"/>
          <w:szCs w:val="26"/>
        </w:rPr>
        <w:t>Comments</w:t>
      </w:r>
    </w:p>
    <w:p w:rsidR="0077455C" w:rsidRDefault="0077455C" w:rsidP="00773D87">
      <w:pPr>
        <w:pStyle w:val="p7"/>
        <w:widowControl/>
        <w:tabs>
          <w:tab w:val="clear" w:pos="1133"/>
          <w:tab w:val="left" w:pos="720"/>
          <w:tab w:val="left" w:pos="1350"/>
          <w:tab w:val="left" w:pos="1440"/>
          <w:tab w:val="left" w:pos="1530"/>
        </w:tabs>
        <w:spacing w:line="360" w:lineRule="auto"/>
        <w:ind w:left="346" w:hanging="346"/>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No comments were received regarding the location of eligible property.</w:t>
      </w:r>
    </w:p>
    <w:p w:rsidR="0077455C" w:rsidRPr="003D5935" w:rsidRDefault="0077455C" w:rsidP="00773D87">
      <w:pPr>
        <w:pStyle w:val="p7"/>
        <w:widowControl/>
        <w:tabs>
          <w:tab w:val="clear" w:pos="1133"/>
          <w:tab w:val="left" w:pos="720"/>
          <w:tab w:val="left" w:pos="1350"/>
          <w:tab w:val="left" w:pos="1440"/>
          <w:tab w:val="left" w:pos="1530"/>
        </w:tabs>
        <w:spacing w:line="360" w:lineRule="auto"/>
        <w:ind w:left="0"/>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346" w:hanging="346"/>
        <w:rPr>
          <w:b/>
          <w:sz w:val="26"/>
          <w:szCs w:val="26"/>
        </w:rPr>
      </w:pPr>
      <w:r w:rsidRPr="002372D6">
        <w:rPr>
          <w:b/>
          <w:sz w:val="26"/>
          <w:szCs w:val="26"/>
        </w:rPr>
        <w:t>Resolution</w:t>
      </w:r>
    </w:p>
    <w:p w:rsidR="0077455C" w:rsidRPr="002372D6" w:rsidRDefault="0077455C" w:rsidP="00773D87">
      <w:pPr>
        <w:pStyle w:val="p7"/>
        <w:widowControl/>
        <w:tabs>
          <w:tab w:val="clear" w:pos="1133"/>
          <w:tab w:val="left" w:pos="720"/>
          <w:tab w:val="left" w:pos="1350"/>
          <w:tab w:val="left" w:pos="1440"/>
          <w:tab w:val="left" w:pos="1530"/>
        </w:tabs>
        <w:spacing w:line="360" w:lineRule="auto"/>
        <w:ind w:left="0"/>
        <w:rPr>
          <w:b/>
          <w:sz w:val="26"/>
          <w:szCs w:val="26"/>
        </w:rPr>
      </w:pPr>
    </w:p>
    <w:p w:rsidR="0077455C" w:rsidRDefault="0077455C" w:rsidP="00773D87">
      <w:pPr>
        <w:pStyle w:val="p2"/>
        <w:widowControl/>
        <w:spacing w:line="360" w:lineRule="auto"/>
        <w:ind w:firstLine="1440"/>
        <w:rPr>
          <w:sz w:val="26"/>
          <w:szCs w:val="26"/>
        </w:rPr>
      </w:pPr>
      <w:r>
        <w:rPr>
          <w:sz w:val="26"/>
          <w:szCs w:val="26"/>
        </w:rPr>
        <w:tab/>
        <w:t>Upon review of PGW’s LTIIP and all supplemental information filed, the Commission finds that the location of eligible property requirements of element three of the Final Implementation</w:t>
      </w:r>
      <w:r w:rsidR="00236F9D">
        <w:rPr>
          <w:sz w:val="26"/>
          <w:szCs w:val="26"/>
        </w:rPr>
        <w:t xml:space="preserve"> Order</w:t>
      </w:r>
      <w:r>
        <w:rPr>
          <w:sz w:val="26"/>
          <w:szCs w:val="26"/>
        </w:rPr>
        <w:t xml:space="preserve"> has been fulfilled.  The Commission acknowledges the level of detail contained within the LTIIP for item three conforms to Commission requirements and is presented in a manner that allows for complete and efficient review of, and reference to, these materials.   </w:t>
      </w:r>
    </w:p>
    <w:p w:rsidR="0077455C" w:rsidRDefault="0077455C" w:rsidP="00773D87">
      <w:pPr>
        <w:pStyle w:val="p7"/>
        <w:widowControl/>
        <w:tabs>
          <w:tab w:val="clear" w:pos="1133"/>
          <w:tab w:val="left" w:pos="720"/>
          <w:tab w:val="left" w:pos="1350"/>
          <w:tab w:val="left" w:pos="1440"/>
          <w:tab w:val="left" w:pos="1530"/>
        </w:tabs>
        <w:spacing w:line="360" w:lineRule="auto"/>
        <w:jc w:val="both"/>
        <w:rPr>
          <w:sz w:val="26"/>
          <w:szCs w:val="26"/>
        </w:rPr>
      </w:pPr>
    </w:p>
    <w:p w:rsidR="0077455C" w:rsidRDefault="00135912" w:rsidP="00135912">
      <w:pPr>
        <w:pStyle w:val="p2"/>
        <w:widowControl/>
        <w:ind w:left="720" w:firstLine="0"/>
        <w:rPr>
          <w:b/>
          <w:sz w:val="26"/>
          <w:szCs w:val="26"/>
        </w:rPr>
      </w:pPr>
      <w:r>
        <w:rPr>
          <w:b/>
          <w:sz w:val="26"/>
          <w:szCs w:val="26"/>
        </w:rPr>
        <w:t xml:space="preserve">(4) </w:t>
      </w:r>
      <w:r w:rsidR="0077455C" w:rsidRPr="00C71C0F">
        <w:rPr>
          <w:b/>
          <w:sz w:val="26"/>
          <w:szCs w:val="26"/>
        </w:rPr>
        <w:t xml:space="preserve">REASONABLE ESTIMATES OF THE QUANTITY OF PROPERTY TO BE IMPROVED </w:t>
      </w:r>
      <w:r w:rsidR="00773D87">
        <w:rPr>
          <w:b/>
          <w:sz w:val="26"/>
          <w:szCs w:val="26"/>
        </w:rPr>
        <w:t>and</w:t>
      </w:r>
    </w:p>
    <w:p w:rsidR="00914376" w:rsidRPr="00C71C0F" w:rsidRDefault="00914376" w:rsidP="00135912">
      <w:pPr>
        <w:pStyle w:val="p2"/>
        <w:widowControl/>
        <w:ind w:left="720" w:firstLine="0"/>
        <w:rPr>
          <w:b/>
          <w:sz w:val="26"/>
          <w:szCs w:val="26"/>
        </w:rPr>
      </w:pPr>
    </w:p>
    <w:p w:rsidR="0077455C" w:rsidRPr="00C71C0F" w:rsidRDefault="00135912" w:rsidP="00135912">
      <w:pPr>
        <w:pStyle w:val="p2"/>
        <w:widowControl/>
        <w:ind w:left="720" w:firstLine="0"/>
        <w:rPr>
          <w:b/>
          <w:sz w:val="26"/>
          <w:szCs w:val="26"/>
        </w:rPr>
      </w:pPr>
      <w:r>
        <w:rPr>
          <w:b/>
          <w:sz w:val="26"/>
          <w:szCs w:val="26"/>
        </w:rPr>
        <w:t xml:space="preserve">(5) </w:t>
      </w:r>
      <w:r w:rsidR="0077455C" w:rsidRPr="00C71C0F">
        <w:rPr>
          <w:b/>
          <w:sz w:val="26"/>
          <w:szCs w:val="26"/>
        </w:rPr>
        <w:t>PROJECTED ANNUAL EXPENDITURES AND MEASURES TO ENSURE THAT THE PLAN IS COST EFFECTIVE</w:t>
      </w:r>
    </w:p>
    <w:p w:rsidR="00135912" w:rsidRDefault="00135912" w:rsidP="00773D87">
      <w:pPr>
        <w:pStyle w:val="p7"/>
        <w:widowControl/>
        <w:tabs>
          <w:tab w:val="clear" w:pos="1133"/>
          <w:tab w:val="left" w:pos="720"/>
          <w:tab w:val="left" w:pos="1350"/>
          <w:tab w:val="left" w:pos="1440"/>
          <w:tab w:val="left" w:pos="1530"/>
        </w:tabs>
        <w:spacing w:line="360" w:lineRule="auto"/>
        <w:ind w:left="0" w:firstLine="0"/>
        <w:rPr>
          <w:b/>
          <w:sz w:val="26"/>
          <w:szCs w:val="26"/>
        </w:rPr>
      </w:pPr>
    </w:p>
    <w:p w:rsidR="0077455C" w:rsidRPr="00C80888" w:rsidRDefault="00B3173B" w:rsidP="00773D87">
      <w:pPr>
        <w:pStyle w:val="p7"/>
        <w:widowControl/>
        <w:tabs>
          <w:tab w:val="clear" w:pos="1133"/>
          <w:tab w:val="left" w:pos="720"/>
          <w:tab w:val="left" w:pos="1350"/>
          <w:tab w:val="left" w:pos="1440"/>
          <w:tab w:val="left" w:pos="1530"/>
        </w:tabs>
        <w:spacing w:line="360" w:lineRule="auto"/>
        <w:ind w:left="0" w:firstLine="0"/>
        <w:rPr>
          <w:b/>
          <w:sz w:val="26"/>
          <w:szCs w:val="26"/>
        </w:rPr>
      </w:pPr>
      <w:r>
        <w:rPr>
          <w:b/>
          <w:sz w:val="26"/>
          <w:szCs w:val="26"/>
        </w:rPr>
        <w:t>PGW’s Petition</w:t>
      </w:r>
      <w:r w:rsidR="0077455C" w:rsidRPr="00C80888">
        <w:rPr>
          <w:b/>
          <w:sz w:val="26"/>
          <w:szCs w:val="26"/>
        </w:rPr>
        <w:t xml:space="preserve"> </w:t>
      </w:r>
    </w:p>
    <w:p w:rsidR="0077455C"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PGW’s current baseline main replacement program removes 18 miles of cast iron main annually and will seek recovery, via the DSIC, for expenditures abo</w:t>
      </w:r>
      <w:r w:rsidR="0042070C">
        <w:rPr>
          <w:sz w:val="26"/>
          <w:szCs w:val="26"/>
        </w:rPr>
        <w:t>ve</w:t>
      </w:r>
      <w:r>
        <w:rPr>
          <w:sz w:val="26"/>
          <w:szCs w:val="26"/>
        </w:rPr>
        <w:t xml:space="preserve"> the cost of the base line program on a pay as you go basis in its DSIC petition.  PGW plans to seek recovery of $22 million annually via a DSIC surcharge for the first five years of its program and plans to spend a corresponding $22 million annually for its accelerated main replacement program.  That is the amount permitted under the 5% consumer protection cap on DSIC revenue recovery based on distribution revenues (non-gas revenues) from PGW’s recent base rate case.  </w:t>
      </w:r>
    </w:p>
    <w:p w:rsidR="0077455C"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rsidR="0077455C" w:rsidRDefault="0077455C" w:rsidP="00914376">
      <w:pPr>
        <w:pStyle w:val="p7"/>
        <w:keepNext/>
        <w:widowControl/>
        <w:tabs>
          <w:tab w:val="clear" w:pos="1133"/>
          <w:tab w:val="left" w:pos="720"/>
          <w:tab w:val="left" w:pos="1350"/>
          <w:tab w:val="left" w:pos="1440"/>
          <w:tab w:val="left" w:pos="1530"/>
        </w:tabs>
        <w:spacing w:line="360" w:lineRule="auto"/>
        <w:ind w:left="0" w:firstLine="0"/>
        <w:jc w:val="center"/>
        <w:rPr>
          <w:b/>
          <w:sz w:val="26"/>
          <w:szCs w:val="26"/>
        </w:rPr>
      </w:pPr>
      <w:r w:rsidRPr="005070BD">
        <w:rPr>
          <w:b/>
          <w:sz w:val="26"/>
          <w:szCs w:val="26"/>
        </w:rPr>
        <w:lastRenderedPageBreak/>
        <w:t xml:space="preserve">Table </w:t>
      </w:r>
      <w:r w:rsidR="00C009E0">
        <w:rPr>
          <w:b/>
          <w:sz w:val="26"/>
          <w:szCs w:val="26"/>
        </w:rPr>
        <w:t>2</w:t>
      </w:r>
      <w:r w:rsidRPr="005070BD">
        <w:rPr>
          <w:b/>
          <w:sz w:val="26"/>
          <w:szCs w:val="26"/>
        </w:rPr>
        <w:t xml:space="preserve"> – Quantity of Property to Be Removed and Annual Expenditures</w:t>
      </w:r>
    </w:p>
    <w:p w:rsidR="0077455C" w:rsidRDefault="0077455C" w:rsidP="00F73DF5">
      <w:pPr>
        <w:pStyle w:val="p7"/>
        <w:keepNext/>
        <w:widowControl/>
        <w:tabs>
          <w:tab w:val="clear" w:pos="1133"/>
          <w:tab w:val="left" w:pos="720"/>
          <w:tab w:val="left" w:pos="1350"/>
          <w:tab w:val="left" w:pos="1440"/>
          <w:tab w:val="left" w:pos="1530"/>
        </w:tabs>
        <w:spacing w:line="360" w:lineRule="auto"/>
        <w:ind w:left="720" w:firstLine="0"/>
        <w:jc w:val="both"/>
        <w:rPr>
          <w:b/>
          <w:sz w:val="26"/>
          <w:szCs w:val="26"/>
        </w:rPr>
      </w:pPr>
    </w:p>
    <w:p w:rsidR="0077455C" w:rsidRPr="005070BD" w:rsidRDefault="0077455C" w:rsidP="00914376">
      <w:pPr>
        <w:pStyle w:val="p7"/>
        <w:widowControl/>
        <w:tabs>
          <w:tab w:val="clear" w:pos="1133"/>
          <w:tab w:val="left" w:pos="720"/>
          <w:tab w:val="left" w:pos="1350"/>
          <w:tab w:val="left" w:pos="1440"/>
          <w:tab w:val="left" w:pos="1530"/>
        </w:tabs>
        <w:spacing w:line="360" w:lineRule="auto"/>
        <w:ind w:left="0" w:firstLine="0"/>
        <w:jc w:val="center"/>
        <w:rPr>
          <w:b/>
          <w:sz w:val="26"/>
          <w:szCs w:val="26"/>
        </w:rPr>
      </w:pPr>
      <w:r>
        <w:rPr>
          <w:noProof/>
        </w:rPr>
        <w:drawing>
          <wp:inline distT="0" distB="0" distL="0" distR="0" wp14:anchorId="33BB44CE" wp14:editId="324B5CCB">
            <wp:extent cx="5815173" cy="45103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5173" cy="4510355"/>
                    </a:xfrm>
                    <a:prstGeom prst="rect">
                      <a:avLst/>
                    </a:prstGeom>
                    <a:noFill/>
                    <a:ln>
                      <a:noFill/>
                    </a:ln>
                  </pic:spPr>
                </pic:pic>
              </a:graphicData>
            </a:graphic>
          </wp:inline>
        </w:drawing>
      </w:r>
    </w:p>
    <w:p w:rsidR="0077455C" w:rsidRDefault="0077455C" w:rsidP="00773D87">
      <w:pPr>
        <w:pStyle w:val="p7"/>
        <w:widowControl/>
        <w:tabs>
          <w:tab w:val="clear" w:pos="1133"/>
          <w:tab w:val="left" w:pos="720"/>
          <w:tab w:val="left" w:pos="1350"/>
          <w:tab w:val="left" w:pos="1440"/>
          <w:tab w:val="left" w:pos="1530"/>
        </w:tabs>
        <w:spacing w:line="360" w:lineRule="auto"/>
        <w:ind w:left="720" w:firstLine="0"/>
        <w:jc w:val="both"/>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PGW is taking the following measures to ensure that the LTIIP is cost effective:  (1) PGW is proposing to fund the accelerated program on a pay</w:t>
      </w:r>
      <w:r w:rsidR="00F73DF5">
        <w:rPr>
          <w:sz w:val="26"/>
          <w:szCs w:val="26"/>
        </w:rPr>
        <w:t xml:space="preserve"> as you </w:t>
      </w:r>
      <w:r>
        <w:rPr>
          <w:sz w:val="26"/>
          <w:szCs w:val="26"/>
        </w:rPr>
        <w:t>go basis to avoid the issuance of long term debt, (2) PGW’s Main Prioritization Model reduces future breakage repair costs as detailed in Section 6 below, and (3) PGW will use a competitive bidding process and will be seeking new contractors for main installation to create a larger bidding pool and more competitive bid prices as detailed further in Section</w:t>
      </w:r>
      <w:r w:rsidR="0005141B">
        <w:rPr>
          <w:sz w:val="26"/>
          <w:szCs w:val="26"/>
        </w:rPr>
        <w:t> </w:t>
      </w:r>
      <w:r>
        <w:rPr>
          <w:sz w:val="26"/>
          <w:szCs w:val="26"/>
        </w:rPr>
        <w:t>7</w:t>
      </w:r>
      <w:r w:rsidR="00BD1DB7">
        <w:rPr>
          <w:sz w:val="26"/>
          <w:szCs w:val="26"/>
        </w:rPr>
        <w:t>, workforce management and training program,</w:t>
      </w:r>
      <w:r>
        <w:rPr>
          <w:sz w:val="26"/>
          <w:szCs w:val="26"/>
        </w:rPr>
        <w:t xml:space="preserve"> below.</w:t>
      </w:r>
    </w:p>
    <w:p w:rsidR="0077455C" w:rsidRDefault="0077455C" w:rsidP="00236F9D">
      <w:pPr>
        <w:pStyle w:val="p7"/>
        <w:widowControl/>
        <w:tabs>
          <w:tab w:val="clear" w:pos="782"/>
          <w:tab w:val="clear" w:pos="1133"/>
        </w:tabs>
        <w:spacing w:line="360" w:lineRule="auto"/>
        <w:ind w:left="0"/>
        <w:rPr>
          <w:sz w:val="26"/>
          <w:szCs w:val="26"/>
        </w:rPr>
      </w:pPr>
    </w:p>
    <w:p w:rsidR="0077455C" w:rsidRPr="00C80888" w:rsidRDefault="0077455C" w:rsidP="00773D87">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C80888">
        <w:rPr>
          <w:b/>
          <w:sz w:val="26"/>
          <w:szCs w:val="26"/>
        </w:rPr>
        <w:lastRenderedPageBreak/>
        <w:t>Comments</w:t>
      </w:r>
    </w:p>
    <w:p w:rsidR="0077455C" w:rsidRDefault="0077455C" w:rsidP="00773D87">
      <w:pPr>
        <w:pStyle w:val="p7"/>
        <w:keepNext/>
        <w:widowControl/>
        <w:tabs>
          <w:tab w:val="clear" w:pos="1133"/>
          <w:tab w:val="left" w:pos="720"/>
          <w:tab w:val="left" w:pos="1350"/>
          <w:tab w:val="left" w:pos="1440"/>
          <w:tab w:val="left" w:pos="1530"/>
        </w:tabs>
        <w:spacing w:line="360" w:lineRule="auto"/>
        <w:ind w:left="0"/>
        <w:rPr>
          <w:sz w:val="26"/>
          <w:szCs w:val="26"/>
        </w:rPr>
      </w:pPr>
    </w:p>
    <w:p w:rsidR="0077455C" w:rsidRDefault="0077455C" w:rsidP="00006037">
      <w:pPr>
        <w:pStyle w:val="p7"/>
        <w:widowControl/>
        <w:tabs>
          <w:tab w:val="clear" w:pos="782"/>
          <w:tab w:val="clear" w:pos="1133"/>
          <w:tab w:val="left" w:pos="720"/>
          <w:tab w:val="left" w:pos="1440"/>
        </w:tabs>
        <w:spacing w:line="360" w:lineRule="auto"/>
        <w:ind w:left="0" w:firstLine="1440"/>
        <w:rPr>
          <w:sz w:val="26"/>
          <w:szCs w:val="26"/>
        </w:rPr>
      </w:pPr>
      <w:r>
        <w:rPr>
          <w:sz w:val="26"/>
          <w:szCs w:val="26"/>
        </w:rPr>
        <w:t>OCA states that certain additional information may be needed to properly evaluate whether PGW’s LTIIP meets all the requirements of Act 11 and the Final Implementation Order.  In regard to cost-effectiveness, OCA submits that PGW should provide additional information</w:t>
      </w:r>
      <w:r w:rsidR="00881438">
        <w:rPr>
          <w:sz w:val="26"/>
          <w:szCs w:val="26"/>
        </w:rPr>
        <w:t xml:space="preserve"> on</w:t>
      </w:r>
      <w:r>
        <w:rPr>
          <w:sz w:val="26"/>
          <w:szCs w:val="26"/>
        </w:rPr>
        <w:t xml:space="preserve"> several issues.  PGW’s LTIIP proposes to replace customer service lines associated with the cast iron mains being replaced.  OCA recommends that the Commission direct PGW to clarify whether the mains and service</w:t>
      </w:r>
      <w:r w:rsidR="00B6215A">
        <w:rPr>
          <w:sz w:val="26"/>
          <w:szCs w:val="26"/>
        </w:rPr>
        <w:t xml:space="preserve"> line</w:t>
      </w:r>
      <w:r>
        <w:rPr>
          <w:sz w:val="26"/>
          <w:szCs w:val="26"/>
        </w:rPr>
        <w:t xml:space="preserve">s will be replaced in conjunction with each other and whether it proposed to install all needed gate boxes and valves for shut offs when it replaces the mains.  </w:t>
      </w:r>
      <w:r w:rsidR="00236F9D">
        <w:rPr>
          <w:sz w:val="26"/>
          <w:szCs w:val="26"/>
        </w:rPr>
        <w:t>O</w:t>
      </w:r>
      <w:r>
        <w:rPr>
          <w:sz w:val="26"/>
          <w:szCs w:val="26"/>
        </w:rPr>
        <w:t xml:space="preserve">CA further recommends that PGW provide a calculation of avoided costs attributable to replacing </w:t>
      </w:r>
      <w:r w:rsidR="0042070C">
        <w:rPr>
          <w:sz w:val="26"/>
          <w:szCs w:val="26"/>
        </w:rPr>
        <w:t xml:space="preserve">PGW’s proposed replacement levels </w:t>
      </w:r>
      <w:r>
        <w:rPr>
          <w:sz w:val="26"/>
          <w:szCs w:val="26"/>
        </w:rPr>
        <w:t xml:space="preserve">of cast iron pipe annually.  </w:t>
      </w: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rsidR="0077455C" w:rsidRDefault="0077455C" w:rsidP="0000603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 xml:space="preserve">In its comments, PICGUG states that it does not object to the LTIIP at this time, but submits that the scope of investment projected for the LTIIP demands the highest degree of scrutiny by the </w:t>
      </w:r>
      <w:r w:rsidR="00881438">
        <w:rPr>
          <w:sz w:val="26"/>
          <w:szCs w:val="26"/>
        </w:rPr>
        <w:t xml:space="preserve">Commission </w:t>
      </w:r>
      <w:r>
        <w:rPr>
          <w:sz w:val="26"/>
          <w:szCs w:val="26"/>
        </w:rPr>
        <w:t>to ensure that the completed capita</w:t>
      </w:r>
      <w:r w:rsidR="00A345A0">
        <w:rPr>
          <w:sz w:val="26"/>
          <w:szCs w:val="26"/>
        </w:rPr>
        <w:t>l improvements remain reasonably</w:t>
      </w:r>
      <w:r>
        <w:rPr>
          <w:sz w:val="26"/>
          <w:szCs w:val="26"/>
        </w:rPr>
        <w:t xml:space="preserve"> consistent with projections outlined in the LTIIP and limited to eligible assets.  PICGUG states that the Commission should conduct ongoing reviews of any method applied by PGW to measure cost-effectiveness and should ensure that the proposed improvements will maintain safe, reliable, and reasonable service.  PICGUG states that the Commission must ensure that only eligible equipment are included in the LTIIP and the DSIC.  </w:t>
      </w:r>
    </w:p>
    <w:p w:rsidR="0077455C"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rsidR="0077455C" w:rsidRDefault="0077455C" w:rsidP="006C3310">
      <w:pPr>
        <w:pStyle w:val="p7"/>
        <w:keepNext/>
        <w:widowControl/>
        <w:tabs>
          <w:tab w:val="clear" w:pos="1133"/>
          <w:tab w:val="left" w:pos="720"/>
          <w:tab w:val="left" w:pos="1350"/>
          <w:tab w:val="left" w:pos="1440"/>
          <w:tab w:val="left" w:pos="1530"/>
        </w:tabs>
        <w:spacing w:line="360" w:lineRule="auto"/>
        <w:ind w:left="346" w:hanging="346"/>
        <w:rPr>
          <w:b/>
          <w:sz w:val="26"/>
          <w:szCs w:val="26"/>
        </w:rPr>
      </w:pPr>
      <w:r w:rsidRPr="002372D6">
        <w:rPr>
          <w:b/>
          <w:sz w:val="26"/>
          <w:szCs w:val="26"/>
        </w:rPr>
        <w:t>Resolution</w:t>
      </w:r>
    </w:p>
    <w:p w:rsidR="0077455C" w:rsidRDefault="0077455C" w:rsidP="006C3310">
      <w:pPr>
        <w:pStyle w:val="p7"/>
        <w:keepNext/>
        <w:widowControl/>
        <w:tabs>
          <w:tab w:val="clear" w:pos="1133"/>
          <w:tab w:val="left" w:pos="720"/>
          <w:tab w:val="left" w:pos="1350"/>
          <w:tab w:val="left" w:pos="1440"/>
          <w:tab w:val="left" w:pos="1530"/>
        </w:tabs>
        <w:spacing w:line="360" w:lineRule="auto"/>
        <w:ind w:left="0"/>
        <w:rPr>
          <w:b/>
          <w:sz w:val="26"/>
          <w:szCs w:val="26"/>
        </w:rPr>
      </w:pPr>
    </w:p>
    <w:p w:rsidR="0077455C" w:rsidRPr="00F9086B"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sidRPr="00F9086B">
        <w:rPr>
          <w:sz w:val="26"/>
          <w:szCs w:val="26"/>
        </w:rPr>
        <w:t xml:space="preserve">In response to Commission Staff data request TUS-P-13, </w:t>
      </w:r>
      <w:r w:rsidR="00881438">
        <w:rPr>
          <w:sz w:val="26"/>
          <w:szCs w:val="26"/>
        </w:rPr>
        <w:t xml:space="preserve">requesting </w:t>
      </w:r>
      <w:r w:rsidRPr="00F9086B">
        <w:rPr>
          <w:sz w:val="26"/>
          <w:szCs w:val="26"/>
        </w:rPr>
        <w:t>clarification whether mains and service</w:t>
      </w:r>
      <w:r w:rsidR="00881438">
        <w:rPr>
          <w:sz w:val="26"/>
          <w:szCs w:val="26"/>
        </w:rPr>
        <w:t xml:space="preserve"> line</w:t>
      </w:r>
      <w:r w:rsidRPr="00F9086B">
        <w:rPr>
          <w:sz w:val="26"/>
          <w:szCs w:val="26"/>
        </w:rPr>
        <w:t>s will be replaced in conjunction with one another, PGW states that PGW will replace all service</w:t>
      </w:r>
      <w:r w:rsidR="00881438">
        <w:rPr>
          <w:sz w:val="26"/>
          <w:szCs w:val="26"/>
        </w:rPr>
        <w:t xml:space="preserve"> line</w:t>
      </w:r>
      <w:r w:rsidRPr="00F9086B">
        <w:rPr>
          <w:sz w:val="26"/>
          <w:szCs w:val="26"/>
        </w:rPr>
        <w:t xml:space="preserve">s that are not plastic or protected coated steel in conjunction with PGW’s main replacement program.  </w:t>
      </w:r>
    </w:p>
    <w:p w:rsidR="0077455C" w:rsidRPr="00F9086B"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rsidR="0077455C" w:rsidRPr="00F9086B"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sidRPr="00F9086B">
        <w:rPr>
          <w:sz w:val="26"/>
          <w:szCs w:val="26"/>
        </w:rPr>
        <w:t>In response to Commission Staff data request TUS-P-14, request</w:t>
      </w:r>
      <w:r w:rsidR="00881438">
        <w:rPr>
          <w:sz w:val="26"/>
          <w:szCs w:val="26"/>
        </w:rPr>
        <w:t>ing</w:t>
      </w:r>
      <w:r w:rsidRPr="00F9086B">
        <w:rPr>
          <w:sz w:val="26"/>
          <w:szCs w:val="26"/>
        </w:rPr>
        <w:t xml:space="preserve"> clarification whether PGW proposes to install all needed gate boxes and valves for shut offs during the proposed main replacements and service </w:t>
      </w:r>
      <w:r w:rsidR="00F73DF5">
        <w:rPr>
          <w:sz w:val="26"/>
          <w:szCs w:val="26"/>
        </w:rPr>
        <w:t xml:space="preserve">line </w:t>
      </w:r>
      <w:r w:rsidRPr="00F9086B">
        <w:rPr>
          <w:sz w:val="26"/>
          <w:szCs w:val="26"/>
        </w:rPr>
        <w:t>tie overs, PGW states that all required valves and boxes for service lines are installed during main replacement work.</w:t>
      </w:r>
    </w:p>
    <w:p w:rsidR="0077455C" w:rsidRPr="00F9086B"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rsidR="0077455C" w:rsidRPr="00F9086B"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sidRPr="00F9086B">
        <w:rPr>
          <w:sz w:val="26"/>
          <w:szCs w:val="26"/>
        </w:rPr>
        <w:t>In response to Commission Staff data request TUS-P-17, request</w:t>
      </w:r>
      <w:r w:rsidR="00881438">
        <w:rPr>
          <w:sz w:val="26"/>
          <w:szCs w:val="26"/>
        </w:rPr>
        <w:t>ing</w:t>
      </w:r>
      <w:r w:rsidRPr="00F9086B">
        <w:rPr>
          <w:sz w:val="26"/>
          <w:szCs w:val="26"/>
        </w:rPr>
        <w:t xml:space="preserve"> a calculation of avoided costs attributable to replacing 25 miles of cast iron pipe per year, PGW provided a conservative estimate that for every 25 miles of main that PGW replaces, a total of 15 main repairs would be avoided annually.  At an estimated repair value of $2,500 per repair on main 8” and smaller, the savings associated with these avoided repairs is </w:t>
      </w:r>
      <w:r w:rsidR="00881438">
        <w:rPr>
          <w:sz w:val="26"/>
          <w:szCs w:val="26"/>
        </w:rPr>
        <w:t xml:space="preserve">approximately </w:t>
      </w:r>
      <w:r w:rsidRPr="00F9086B">
        <w:rPr>
          <w:sz w:val="26"/>
          <w:szCs w:val="26"/>
        </w:rPr>
        <w:t>$37,500 annually.  PGW stated that it is difficult to calculate normative annual avoided costs because the nature of main breaks and joint leaks is dynamic and many leaks occur due to varying weather conditions.</w:t>
      </w: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b/>
          <w:sz w:val="26"/>
          <w:szCs w:val="26"/>
        </w:rPr>
      </w:pPr>
    </w:p>
    <w:p w:rsidR="00354CD1"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sidRPr="00607D1C">
        <w:rPr>
          <w:sz w:val="26"/>
          <w:szCs w:val="26"/>
        </w:rPr>
        <w:t>The Commission</w:t>
      </w:r>
      <w:r>
        <w:rPr>
          <w:sz w:val="26"/>
          <w:szCs w:val="26"/>
        </w:rPr>
        <w:t xml:space="preserve"> has reviewed PICGUG’s comments and agrees</w:t>
      </w:r>
      <w:r w:rsidR="00597F51">
        <w:rPr>
          <w:sz w:val="26"/>
          <w:szCs w:val="26"/>
        </w:rPr>
        <w:t xml:space="preserve"> that</w:t>
      </w:r>
      <w:r>
        <w:rPr>
          <w:sz w:val="26"/>
          <w:szCs w:val="26"/>
        </w:rPr>
        <w:t xml:space="preserve"> it is necessary to continually measure cost-effectiveness of the LTIIP and </w:t>
      </w:r>
      <w:r w:rsidR="00B12897">
        <w:rPr>
          <w:sz w:val="26"/>
          <w:szCs w:val="26"/>
        </w:rPr>
        <w:t>to make sure that the property for which recovery is sought in the DSIC mechanism is consistent with the LTIIP</w:t>
      </w:r>
      <w:r w:rsidR="00354CD1">
        <w:rPr>
          <w:sz w:val="26"/>
          <w:szCs w:val="26"/>
        </w:rPr>
        <w:t xml:space="preserve"> and is DSIC</w:t>
      </w:r>
      <w:r w:rsidR="006C3310">
        <w:rPr>
          <w:sz w:val="26"/>
          <w:szCs w:val="26"/>
        </w:rPr>
        <w:t>-</w:t>
      </w:r>
      <w:r w:rsidR="00354CD1">
        <w:rPr>
          <w:sz w:val="26"/>
          <w:szCs w:val="26"/>
        </w:rPr>
        <w:t>eligible.  However, that does not mean that inclusion of some arguably non-DSIC eligible property as part of the utility’s infrastructure improvement plan</w:t>
      </w:r>
      <w:r w:rsidR="00AF169F">
        <w:rPr>
          <w:sz w:val="26"/>
          <w:szCs w:val="26"/>
        </w:rPr>
        <w:t xml:space="preserve"> is a reason to withhold approval</w:t>
      </w:r>
      <w:r w:rsidR="00354CD1">
        <w:rPr>
          <w:sz w:val="26"/>
          <w:szCs w:val="26"/>
        </w:rPr>
        <w:t xml:space="preserve"> of the proposed LTIIP.  </w:t>
      </w:r>
    </w:p>
    <w:p w:rsidR="00354CD1" w:rsidRDefault="00354CD1"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rsidR="0077455C" w:rsidRDefault="00354CD1"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In any event, a</w:t>
      </w:r>
      <w:r w:rsidR="0077455C">
        <w:rPr>
          <w:sz w:val="26"/>
          <w:szCs w:val="26"/>
        </w:rPr>
        <w:t>s stated in the Final Implementation Order, a Commission approved LTIIP is subject to periodic review</w:t>
      </w:r>
      <w:r w:rsidR="009E1470">
        <w:rPr>
          <w:sz w:val="26"/>
          <w:szCs w:val="26"/>
        </w:rPr>
        <w:t xml:space="preserve"> by</w:t>
      </w:r>
      <w:r w:rsidR="0077455C">
        <w:rPr>
          <w:sz w:val="26"/>
          <w:szCs w:val="26"/>
        </w:rPr>
        <w:t xml:space="preserve"> the Commission</w:t>
      </w:r>
      <w:r w:rsidR="00881438">
        <w:rPr>
          <w:sz w:val="26"/>
          <w:szCs w:val="26"/>
        </w:rPr>
        <w:t>,</w:t>
      </w:r>
      <w:r w:rsidR="0077455C">
        <w:rPr>
          <w:sz w:val="26"/>
          <w:szCs w:val="26"/>
        </w:rPr>
        <w:t xml:space="preserve"> </w:t>
      </w:r>
      <w:r w:rsidR="00881438">
        <w:rPr>
          <w:sz w:val="26"/>
          <w:szCs w:val="26"/>
        </w:rPr>
        <w:t>and t</w:t>
      </w:r>
      <w:r w:rsidR="0077455C">
        <w:rPr>
          <w:sz w:val="26"/>
          <w:szCs w:val="26"/>
        </w:rPr>
        <w:t xml:space="preserve">he process for the periodic review of approved LTIIPs </w:t>
      </w:r>
      <w:r w:rsidR="006768E1">
        <w:rPr>
          <w:sz w:val="26"/>
          <w:szCs w:val="26"/>
        </w:rPr>
        <w:t xml:space="preserve">is being </w:t>
      </w:r>
      <w:r w:rsidR="0077455C">
        <w:rPr>
          <w:sz w:val="26"/>
          <w:szCs w:val="26"/>
        </w:rPr>
        <w:t>addressed in a rulemaking at L</w:t>
      </w:r>
      <w:r w:rsidR="009E1470">
        <w:rPr>
          <w:sz w:val="26"/>
          <w:szCs w:val="26"/>
        </w:rPr>
        <w:noBreakHyphen/>
      </w:r>
      <w:r w:rsidR="0077455C">
        <w:rPr>
          <w:sz w:val="26"/>
          <w:szCs w:val="26"/>
        </w:rPr>
        <w:t>2012</w:t>
      </w:r>
      <w:r w:rsidR="009E1470">
        <w:rPr>
          <w:sz w:val="26"/>
          <w:szCs w:val="26"/>
        </w:rPr>
        <w:noBreakHyphen/>
      </w:r>
      <w:r w:rsidR="0077455C">
        <w:rPr>
          <w:sz w:val="26"/>
          <w:szCs w:val="26"/>
        </w:rPr>
        <w:t xml:space="preserve">2317274.  The Commission has issued </w:t>
      </w:r>
      <w:r w:rsidR="006768E1">
        <w:rPr>
          <w:sz w:val="26"/>
          <w:szCs w:val="26"/>
        </w:rPr>
        <w:t>that</w:t>
      </w:r>
      <w:r w:rsidR="0077455C">
        <w:rPr>
          <w:sz w:val="26"/>
          <w:szCs w:val="26"/>
        </w:rPr>
        <w:t xml:space="preserve"> proposed rulemaking </w:t>
      </w:r>
      <w:r w:rsidR="006768E1">
        <w:rPr>
          <w:sz w:val="26"/>
          <w:szCs w:val="26"/>
        </w:rPr>
        <w:t xml:space="preserve">to </w:t>
      </w:r>
      <w:r w:rsidR="0077455C">
        <w:rPr>
          <w:sz w:val="26"/>
          <w:szCs w:val="26"/>
        </w:rPr>
        <w:t xml:space="preserve">provide a comprehensive process for the ongoing review of approved LTIIPs and </w:t>
      </w:r>
      <w:r w:rsidR="006768E1">
        <w:rPr>
          <w:sz w:val="26"/>
          <w:szCs w:val="26"/>
        </w:rPr>
        <w:t xml:space="preserve">to </w:t>
      </w:r>
      <w:r w:rsidR="0077455C">
        <w:rPr>
          <w:sz w:val="26"/>
          <w:szCs w:val="26"/>
        </w:rPr>
        <w:t xml:space="preserve">ensure that </w:t>
      </w:r>
      <w:r w:rsidR="006768E1">
        <w:rPr>
          <w:sz w:val="26"/>
          <w:szCs w:val="26"/>
        </w:rPr>
        <w:t xml:space="preserve">all utilities </w:t>
      </w:r>
      <w:r w:rsidR="0077455C">
        <w:rPr>
          <w:sz w:val="26"/>
          <w:szCs w:val="26"/>
        </w:rPr>
        <w:t>remain in compliance with their respective LTIIP</w:t>
      </w:r>
      <w:r w:rsidR="006768E1">
        <w:rPr>
          <w:sz w:val="26"/>
          <w:szCs w:val="26"/>
        </w:rPr>
        <w:t>s</w:t>
      </w:r>
      <w:r w:rsidR="0077455C">
        <w:rPr>
          <w:sz w:val="26"/>
          <w:szCs w:val="26"/>
        </w:rPr>
        <w:t xml:space="preserve">.  </w:t>
      </w:r>
    </w:p>
    <w:p w:rsidR="0077455C" w:rsidRPr="00607D1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p>
    <w:p w:rsidR="0077455C" w:rsidRDefault="0077455C" w:rsidP="00773D87">
      <w:pPr>
        <w:pStyle w:val="p2"/>
        <w:widowControl/>
        <w:spacing w:line="360" w:lineRule="auto"/>
        <w:ind w:firstLine="1440"/>
        <w:rPr>
          <w:sz w:val="26"/>
          <w:szCs w:val="26"/>
        </w:rPr>
      </w:pPr>
      <w:r>
        <w:rPr>
          <w:sz w:val="26"/>
          <w:szCs w:val="26"/>
        </w:rPr>
        <w:lastRenderedPageBreak/>
        <w:tab/>
        <w:t xml:space="preserve">Upon review of PGW’s LTIIP and all supplemental information filed, the Commission finds that the reasonable estimates of the quantity of property to be improved and the projected annual expenditures and measures to ensure that the plan is cost effective requirements of element four and five of the Final Implementation Order of Act 11 has been fulfilled.  The Commission acknowledges the level of detail contained within the LTIIP for item four and five conforms to Commission requirements and is presented in a manner that allows for complete and efficient review of, and reference to, these materials.   </w:t>
      </w:r>
    </w:p>
    <w:p w:rsidR="0077455C" w:rsidRDefault="0077455C" w:rsidP="00773D87">
      <w:pPr>
        <w:pStyle w:val="p7"/>
        <w:widowControl/>
        <w:tabs>
          <w:tab w:val="clear" w:pos="1133"/>
          <w:tab w:val="left" w:pos="720"/>
          <w:tab w:val="left" w:pos="1350"/>
          <w:tab w:val="left" w:pos="1440"/>
          <w:tab w:val="left" w:pos="1530"/>
        </w:tabs>
        <w:spacing w:line="360" w:lineRule="auto"/>
        <w:ind w:left="0" w:firstLine="0"/>
        <w:rPr>
          <w:sz w:val="26"/>
          <w:szCs w:val="26"/>
        </w:rPr>
      </w:pPr>
    </w:p>
    <w:p w:rsidR="0077455C" w:rsidRDefault="00135912" w:rsidP="00135912">
      <w:pPr>
        <w:pStyle w:val="p2"/>
        <w:widowControl/>
        <w:ind w:left="720" w:firstLine="0"/>
        <w:rPr>
          <w:b/>
          <w:sz w:val="26"/>
          <w:szCs w:val="26"/>
        </w:rPr>
      </w:pPr>
      <w:r>
        <w:rPr>
          <w:b/>
          <w:sz w:val="26"/>
          <w:szCs w:val="26"/>
        </w:rPr>
        <w:t xml:space="preserve">(6) </w:t>
      </w:r>
      <w:r w:rsidR="0077455C">
        <w:rPr>
          <w:b/>
          <w:sz w:val="26"/>
          <w:szCs w:val="26"/>
        </w:rPr>
        <w:t>ACCELERATED</w:t>
      </w:r>
      <w:r w:rsidR="00F37ED8">
        <w:rPr>
          <w:b/>
          <w:sz w:val="26"/>
          <w:szCs w:val="26"/>
        </w:rPr>
        <w:t xml:space="preserve"> </w:t>
      </w:r>
      <w:r w:rsidR="0077455C">
        <w:rPr>
          <w:b/>
          <w:sz w:val="26"/>
          <w:szCs w:val="26"/>
        </w:rPr>
        <w:t xml:space="preserve">REPLACEMENT </w:t>
      </w:r>
      <w:r w:rsidR="00F37ED8">
        <w:rPr>
          <w:b/>
          <w:sz w:val="26"/>
          <w:szCs w:val="26"/>
        </w:rPr>
        <w:t>AND</w:t>
      </w:r>
      <w:r w:rsidR="0077455C">
        <w:rPr>
          <w:b/>
          <w:sz w:val="26"/>
          <w:szCs w:val="26"/>
        </w:rPr>
        <w:t xml:space="preserve"> MAINTAIN</w:t>
      </w:r>
      <w:r w:rsidR="00F37ED8">
        <w:rPr>
          <w:b/>
          <w:sz w:val="26"/>
          <w:szCs w:val="26"/>
        </w:rPr>
        <w:t>ING</w:t>
      </w:r>
      <w:r w:rsidR="0077455C">
        <w:rPr>
          <w:b/>
          <w:sz w:val="26"/>
          <w:szCs w:val="26"/>
        </w:rPr>
        <w:t xml:space="preserve"> SAFE AND RELIABLE SERVICE</w:t>
      </w:r>
    </w:p>
    <w:p w:rsidR="0077455C" w:rsidRPr="000F5E3D" w:rsidRDefault="0077455C" w:rsidP="00773D87">
      <w:pPr>
        <w:pStyle w:val="p2"/>
        <w:widowControl/>
        <w:spacing w:line="360" w:lineRule="auto"/>
        <w:ind w:firstLine="0"/>
        <w:jc w:val="center"/>
        <w:rPr>
          <w:sz w:val="26"/>
          <w:szCs w:val="26"/>
        </w:rPr>
      </w:pPr>
    </w:p>
    <w:p w:rsidR="0077455C" w:rsidRPr="008A049C" w:rsidRDefault="00B3173B" w:rsidP="00773D87">
      <w:pPr>
        <w:pStyle w:val="p2"/>
        <w:widowControl/>
        <w:tabs>
          <w:tab w:val="left" w:pos="720"/>
          <w:tab w:val="left" w:pos="810"/>
        </w:tabs>
        <w:spacing w:line="360" w:lineRule="auto"/>
        <w:ind w:firstLine="0"/>
        <w:rPr>
          <w:b/>
          <w:sz w:val="26"/>
          <w:szCs w:val="26"/>
        </w:rPr>
      </w:pPr>
      <w:r>
        <w:rPr>
          <w:b/>
          <w:sz w:val="26"/>
          <w:szCs w:val="26"/>
        </w:rPr>
        <w:t>PGW’s Petition</w:t>
      </w:r>
      <w:r w:rsidR="0077455C" w:rsidRPr="008A049C">
        <w:rPr>
          <w:b/>
          <w:sz w:val="26"/>
          <w:szCs w:val="26"/>
        </w:rPr>
        <w:t xml:space="preserve"> </w:t>
      </w:r>
    </w:p>
    <w:p w:rsidR="0077455C" w:rsidRDefault="0077455C" w:rsidP="00773D87">
      <w:pPr>
        <w:pStyle w:val="p2"/>
        <w:widowControl/>
        <w:tabs>
          <w:tab w:val="left" w:pos="720"/>
        </w:tabs>
        <w:spacing w:line="360" w:lineRule="auto"/>
        <w:ind w:firstLine="0"/>
        <w:rPr>
          <w:b/>
          <w:sz w:val="26"/>
          <w:szCs w:val="26"/>
        </w:rPr>
      </w:pPr>
    </w:p>
    <w:p w:rsidR="0077455C" w:rsidRPr="00CA5232" w:rsidRDefault="0077455C" w:rsidP="00773D87">
      <w:pPr>
        <w:pStyle w:val="p2"/>
        <w:widowControl/>
        <w:tabs>
          <w:tab w:val="left" w:pos="720"/>
        </w:tabs>
        <w:spacing w:line="360" w:lineRule="auto"/>
        <w:ind w:firstLine="1440"/>
        <w:rPr>
          <w:sz w:val="26"/>
          <w:szCs w:val="26"/>
        </w:rPr>
      </w:pPr>
      <w:r>
        <w:rPr>
          <w:b/>
          <w:sz w:val="26"/>
          <w:szCs w:val="26"/>
        </w:rPr>
        <w:tab/>
      </w:r>
      <w:r w:rsidRPr="00CA5232">
        <w:rPr>
          <w:sz w:val="26"/>
          <w:szCs w:val="26"/>
        </w:rPr>
        <w:t>PGW proposes to accelerate its replacement of 8 inch and smaller cast iron main inventory (totaling 1,200 miles) by 17 years, and accelerating the replacement of all 12 inch</w:t>
      </w:r>
      <w:r>
        <w:rPr>
          <w:sz w:val="26"/>
          <w:szCs w:val="26"/>
        </w:rPr>
        <w:t xml:space="preserve"> </w:t>
      </w:r>
      <w:r w:rsidRPr="00CA5232">
        <w:rPr>
          <w:sz w:val="26"/>
          <w:szCs w:val="26"/>
        </w:rPr>
        <w:t xml:space="preserve">and 30 inch high pressure cast iron main by more than 60 years.  </w:t>
      </w:r>
      <w:r>
        <w:rPr>
          <w:sz w:val="26"/>
          <w:szCs w:val="26"/>
        </w:rPr>
        <w:t xml:space="preserve">Without the LTIIP, PGW removes 18 miles of cast iron main as part of its baseline main replacement program. </w:t>
      </w:r>
    </w:p>
    <w:p w:rsidR="0077455C" w:rsidRDefault="0077455C" w:rsidP="00773D87">
      <w:pPr>
        <w:pStyle w:val="p2"/>
        <w:widowControl/>
        <w:tabs>
          <w:tab w:val="left" w:pos="720"/>
        </w:tabs>
        <w:spacing w:line="360" w:lineRule="auto"/>
        <w:ind w:firstLine="1440"/>
        <w:rPr>
          <w:b/>
          <w:sz w:val="26"/>
          <w:szCs w:val="26"/>
        </w:rPr>
      </w:pPr>
      <w:r w:rsidRPr="00CA5232">
        <w:rPr>
          <w:sz w:val="26"/>
          <w:szCs w:val="26"/>
        </w:rPr>
        <w:t xml:space="preserve"> </w:t>
      </w:r>
    </w:p>
    <w:p w:rsidR="0077455C" w:rsidRDefault="0077455C" w:rsidP="00773D87">
      <w:pPr>
        <w:pStyle w:val="p2"/>
        <w:widowControl/>
        <w:spacing w:line="360" w:lineRule="auto"/>
        <w:ind w:firstLine="1440"/>
        <w:rPr>
          <w:sz w:val="26"/>
          <w:szCs w:val="26"/>
        </w:rPr>
      </w:pPr>
      <w:r>
        <w:rPr>
          <w:sz w:val="26"/>
          <w:szCs w:val="26"/>
        </w:rPr>
        <w:tab/>
        <w:t xml:space="preserve">Regarding how the repairs, improvements or replacements detailed in the LTIIP will maintain safe and reliable service, PGW engaged Advantica in 2008 and GL Noble Denton in 2012 to prepare benchmarking analyses and studies comparing PGW’s replacement programs to seven other similar (centered around an inner city) utilities.  PGW’s proposed accelerated 25 mile replacement program would rank second highest of the eight companies studied.  As part of the 2008 effort, PGW also implemented Advantica’s Main Replacement Prioritization (MRP) model to assess the risk factors of PGW’s 8 inch and smaller cast iron distribution system and prioritizes which pipe segments should be replaced.  PGW is now implementing the same MRP model for a </w:t>
      </w:r>
      <w:r>
        <w:rPr>
          <w:sz w:val="26"/>
          <w:szCs w:val="26"/>
        </w:rPr>
        <w:lastRenderedPageBreak/>
        <w:t xml:space="preserve">more focused review of its 12 inch and smaller high pressure cast iron main replacement program as part of the 2012 GL Noble Denton effort.  The MRP model was developed based on 20 years of failure data and 10 years of gas leakage data from over one million cast iron and ductile iron pipe segments in the UK.  The MRP model is now used by all UK network gas companies and more than 10 US natural gas distribution companies including several with large city centers similar to PGW.  The Advantica MRP model uses risk scores to help PGW reduce serious incidents, reduce breakage repairs and reduce future breakage repair costs.  </w:t>
      </w:r>
    </w:p>
    <w:p w:rsidR="0077455C" w:rsidRDefault="0077455C" w:rsidP="00773D87">
      <w:pPr>
        <w:pStyle w:val="p2"/>
        <w:widowControl/>
        <w:spacing w:line="360" w:lineRule="auto"/>
        <w:ind w:firstLine="0"/>
        <w:rPr>
          <w:sz w:val="26"/>
          <w:szCs w:val="26"/>
        </w:rPr>
      </w:pPr>
    </w:p>
    <w:p w:rsidR="0077455C" w:rsidRDefault="0077455C" w:rsidP="00773D87">
      <w:pPr>
        <w:pStyle w:val="p2"/>
        <w:widowControl/>
        <w:spacing w:line="360" w:lineRule="auto"/>
        <w:ind w:firstLine="1440"/>
        <w:rPr>
          <w:sz w:val="26"/>
          <w:szCs w:val="26"/>
        </w:rPr>
      </w:pPr>
      <w:r>
        <w:rPr>
          <w:sz w:val="26"/>
          <w:szCs w:val="26"/>
        </w:rPr>
        <w:tab/>
      </w:r>
      <w:r w:rsidR="00BD1DB7">
        <w:rPr>
          <w:sz w:val="26"/>
          <w:szCs w:val="26"/>
        </w:rPr>
        <w:t xml:space="preserve">PGW’s </w:t>
      </w:r>
      <w:r>
        <w:rPr>
          <w:sz w:val="26"/>
          <w:szCs w:val="26"/>
        </w:rPr>
        <w:t xml:space="preserve">2012 GL Noble Denton study included </w:t>
      </w:r>
      <w:r w:rsidR="00BD1DB7">
        <w:rPr>
          <w:sz w:val="26"/>
          <w:szCs w:val="26"/>
        </w:rPr>
        <w:t xml:space="preserve">PGW and eight other </w:t>
      </w:r>
      <w:r>
        <w:rPr>
          <w:sz w:val="26"/>
          <w:szCs w:val="26"/>
        </w:rPr>
        <w:t xml:space="preserve">distribution utilities to determine the best course of action for replacement of large diameter cast iron mains.  The study concluded that replacing 2 miles of 12 inch high pressure cast iron main per year provides the proper balance of risk reduction for </w:t>
      </w:r>
      <w:r w:rsidR="00BD1DB7">
        <w:rPr>
          <w:sz w:val="26"/>
          <w:szCs w:val="26"/>
        </w:rPr>
        <w:t>PGW</w:t>
      </w:r>
      <w:r>
        <w:rPr>
          <w:sz w:val="26"/>
          <w:szCs w:val="26"/>
        </w:rPr>
        <w:t>.  PGW’s accelerated pipe replacement program will remove an average of 2 miles annually of larger sized high pressure mains until all of its 12 inch high pressure mains are completely replaced.</w:t>
      </w:r>
      <w:r w:rsidR="00BD1DB7">
        <w:rPr>
          <w:sz w:val="26"/>
          <w:szCs w:val="26"/>
        </w:rPr>
        <w:t xml:space="preserve">  (LTIIP Petition at 18.) </w:t>
      </w:r>
    </w:p>
    <w:p w:rsidR="0077455C" w:rsidRDefault="0077455C" w:rsidP="00773D87">
      <w:pPr>
        <w:pStyle w:val="p2"/>
        <w:widowControl/>
        <w:spacing w:line="360" w:lineRule="auto"/>
        <w:ind w:firstLine="0"/>
        <w:rPr>
          <w:sz w:val="26"/>
          <w:szCs w:val="26"/>
        </w:rPr>
      </w:pPr>
    </w:p>
    <w:p w:rsidR="0077455C" w:rsidRDefault="0077455C" w:rsidP="00773D87">
      <w:pPr>
        <w:pStyle w:val="p2"/>
        <w:widowControl/>
        <w:spacing w:line="360" w:lineRule="auto"/>
        <w:ind w:firstLine="1440"/>
        <w:rPr>
          <w:sz w:val="26"/>
          <w:szCs w:val="26"/>
        </w:rPr>
      </w:pPr>
      <w:r>
        <w:rPr>
          <w:sz w:val="26"/>
          <w:szCs w:val="26"/>
        </w:rPr>
        <w:tab/>
        <w:t>PGW relied on its current DIMP plan, prepared pursuant to 49 CFR §</w:t>
      </w:r>
      <w:r w:rsidR="006768E1">
        <w:rPr>
          <w:sz w:val="26"/>
          <w:szCs w:val="26"/>
        </w:rPr>
        <w:t> </w:t>
      </w:r>
      <w:r>
        <w:rPr>
          <w:sz w:val="26"/>
          <w:szCs w:val="26"/>
        </w:rPr>
        <w:t xml:space="preserve">192.1107 and last updated on October 16, 2012, when it developed its main replacement program.  The DIMP plan was reviewed by Commission staff </w:t>
      </w:r>
      <w:r w:rsidR="006768E1">
        <w:rPr>
          <w:sz w:val="26"/>
          <w:szCs w:val="26"/>
        </w:rPr>
        <w:t xml:space="preserve">herein only </w:t>
      </w:r>
      <w:r>
        <w:rPr>
          <w:sz w:val="26"/>
          <w:szCs w:val="26"/>
        </w:rPr>
        <w:t xml:space="preserve">to determine if it is consistent with the LTIIP.  The DIMP plan will undergo further Commission review by the Commission’s Gas Safety Division.  </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 xml:space="preserve">PGW also uses field observations to enhance </w:t>
      </w:r>
      <w:r w:rsidR="006768E1">
        <w:rPr>
          <w:sz w:val="26"/>
          <w:szCs w:val="26"/>
        </w:rPr>
        <w:t xml:space="preserve">its </w:t>
      </w:r>
      <w:r>
        <w:rPr>
          <w:sz w:val="26"/>
          <w:szCs w:val="26"/>
        </w:rPr>
        <w:t>pipe replacement program as needed.  When PGW recently exposed a section of its 30 inch HP main, localized corrosion was discovered.  As a result, PGW has included replacement of 30 inch high pressure main in the LTIIP.</w:t>
      </w:r>
    </w:p>
    <w:p w:rsidR="0077455C" w:rsidRDefault="0077455C" w:rsidP="00773D87">
      <w:pPr>
        <w:pStyle w:val="p2"/>
        <w:widowControl/>
        <w:spacing w:line="360" w:lineRule="auto"/>
        <w:ind w:firstLine="0"/>
        <w:rPr>
          <w:sz w:val="26"/>
          <w:szCs w:val="26"/>
        </w:rPr>
      </w:pPr>
      <w:r>
        <w:rPr>
          <w:sz w:val="26"/>
          <w:szCs w:val="26"/>
        </w:rPr>
        <w:t xml:space="preserve"> </w:t>
      </w:r>
    </w:p>
    <w:p w:rsidR="0077455C" w:rsidRDefault="0077455C" w:rsidP="00773D87">
      <w:pPr>
        <w:pStyle w:val="p2"/>
        <w:widowControl/>
        <w:spacing w:line="360" w:lineRule="auto"/>
        <w:ind w:firstLine="1440"/>
        <w:rPr>
          <w:sz w:val="26"/>
          <w:szCs w:val="26"/>
        </w:rPr>
      </w:pPr>
      <w:r>
        <w:rPr>
          <w:sz w:val="26"/>
          <w:szCs w:val="26"/>
        </w:rPr>
        <w:lastRenderedPageBreak/>
        <w:tab/>
        <w:t>PGW has identified several large segments of redundant and under-utilized main that can be removed from service.  Specifically, several segments of 20 inch and 12 inch main can be removed from service and abandoned.  PGW will also monitor its cast iron main inventory for opportunities to remove/abandon any high pressure main that is between 12 inches and 30 inches.</w:t>
      </w:r>
    </w:p>
    <w:p w:rsidR="0077455C" w:rsidRDefault="0077455C" w:rsidP="00773D87">
      <w:pPr>
        <w:pStyle w:val="p2"/>
        <w:widowControl/>
        <w:spacing w:line="360" w:lineRule="auto"/>
        <w:ind w:firstLine="0"/>
        <w:rPr>
          <w:sz w:val="26"/>
          <w:szCs w:val="26"/>
        </w:rPr>
      </w:pPr>
    </w:p>
    <w:p w:rsidR="0077455C" w:rsidRDefault="0077455C" w:rsidP="00F254AA">
      <w:pPr>
        <w:pStyle w:val="p2"/>
        <w:keepNext/>
        <w:widowControl/>
        <w:tabs>
          <w:tab w:val="left" w:pos="720"/>
        </w:tabs>
        <w:spacing w:line="360" w:lineRule="auto"/>
        <w:ind w:firstLine="0"/>
        <w:rPr>
          <w:b/>
          <w:sz w:val="26"/>
          <w:szCs w:val="26"/>
        </w:rPr>
      </w:pPr>
      <w:r w:rsidRPr="009C5F76">
        <w:rPr>
          <w:b/>
          <w:sz w:val="26"/>
          <w:szCs w:val="26"/>
        </w:rPr>
        <w:t>Comments</w:t>
      </w:r>
    </w:p>
    <w:p w:rsidR="0077455C" w:rsidRPr="009C5F76" w:rsidRDefault="0077455C" w:rsidP="00F254AA">
      <w:pPr>
        <w:pStyle w:val="p2"/>
        <w:keepNext/>
        <w:widowControl/>
        <w:tabs>
          <w:tab w:val="left" w:pos="720"/>
        </w:tabs>
        <w:spacing w:line="360" w:lineRule="auto"/>
        <w:ind w:firstLine="0"/>
        <w:rPr>
          <w:b/>
          <w:sz w:val="26"/>
          <w:szCs w:val="26"/>
        </w:rPr>
      </w:pPr>
    </w:p>
    <w:p w:rsidR="0077455C" w:rsidRDefault="001F6097" w:rsidP="00F254AA">
      <w:pPr>
        <w:pStyle w:val="p2"/>
        <w:keepNext/>
        <w:widowControl/>
        <w:tabs>
          <w:tab w:val="left" w:pos="720"/>
        </w:tabs>
        <w:spacing w:line="360" w:lineRule="auto"/>
        <w:ind w:firstLine="1440"/>
        <w:rPr>
          <w:sz w:val="26"/>
          <w:szCs w:val="26"/>
        </w:rPr>
      </w:pPr>
      <w:r>
        <w:rPr>
          <w:sz w:val="26"/>
          <w:szCs w:val="26"/>
        </w:rPr>
        <w:tab/>
      </w:r>
      <w:r w:rsidR="0077455C">
        <w:rPr>
          <w:sz w:val="26"/>
          <w:szCs w:val="26"/>
        </w:rPr>
        <w:t xml:space="preserve">OCA’s comments state that the Commission must determine if PGW will accelerate infrastructure repair and replacement in a cost effective manner.  OCA states that certain additional information may be needed to properly evaluate whether PGW’s LTIIP meets all the requirements of Act 11 and the Final Implementation Order.  </w:t>
      </w:r>
    </w:p>
    <w:p w:rsidR="0077455C" w:rsidRDefault="0077455C" w:rsidP="00773D87">
      <w:pPr>
        <w:pStyle w:val="p2"/>
        <w:widowControl/>
        <w:tabs>
          <w:tab w:val="left" w:pos="720"/>
        </w:tabs>
        <w:spacing w:line="360" w:lineRule="auto"/>
        <w:ind w:firstLine="1440"/>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OCA suggests that PGW should inform the Commission how it plans to replace service lines and other appurtenances in conjunction with main replacement to ensure the most cost –effective and timely deployment.  PGW has a significant population of bare steel service</w:t>
      </w:r>
      <w:r w:rsidR="00F254AA">
        <w:rPr>
          <w:sz w:val="26"/>
          <w:szCs w:val="26"/>
        </w:rPr>
        <w:t xml:space="preserve"> line</w:t>
      </w:r>
      <w:r>
        <w:rPr>
          <w:sz w:val="26"/>
          <w:szCs w:val="26"/>
        </w:rPr>
        <w:t>s (</w:t>
      </w:r>
      <w:r w:rsidR="00F254AA" w:rsidRPr="00F254AA">
        <w:rPr>
          <w:i/>
          <w:sz w:val="26"/>
          <w:szCs w:val="26"/>
        </w:rPr>
        <w:t>i.e.</w:t>
      </w:r>
      <w:r w:rsidR="00F254AA">
        <w:rPr>
          <w:sz w:val="26"/>
          <w:szCs w:val="26"/>
        </w:rPr>
        <w:t xml:space="preserve">, </w:t>
      </w:r>
      <w:r>
        <w:rPr>
          <w:sz w:val="26"/>
          <w:szCs w:val="26"/>
        </w:rPr>
        <w:t>Company</w:t>
      </w:r>
      <w:r w:rsidR="00584403">
        <w:rPr>
          <w:sz w:val="26"/>
          <w:szCs w:val="26"/>
        </w:rPr>
        <w:t>-</w:t>
      </w:r>
      <w:r>
        <w:rPr>
          <w:sz w:val="26"/>
          <w:szCs w:val="26"/>
        </w:rPr>
        <w:t xml:space="preserve">owned service lines).  PGW has not provided any information on the expected incidental reduction in bare steel service lines due to the acceleration of the smaller diameter cast iron main replacements.  </w:t>
      </w:r>
    </w:p>
    <w:p w:rsidR="0077455C" w:rsidRDefault="0077455C" w:rsidP="00773D87">
      <w:pPr>
        <w:pStyle w:val="p7"/>
        <w:widowControl/>
        <w:tabs>
          <w:tab w:val="clear" w:pos="1133"/>
          <w:tab w:val="left" w:pos="720"/>
          <w:tab w:val="left" w:pos="1350"/>
          <w:tab w:val="left" w:pos="1440"/>
          <w:tab w:val="left" w:pos="1530"/>
        </w:tabs>
        <w:spacing w:line="360" w:lineRule="auto"/>
        <w:ind w:left="346" w:hanging="346"/>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 xml:space="preserve">OCA believes it may be helpful to the Commission to have basic performance information for PGW’s system, such as leak rates per 1,000 </w:t>
      </w:r>
      <w:r w:rsidR="00837837">
        <w:rPr>
          <w:sz w:val="26"/>
          <w:szCs w:val="26"/>
        </w:rPr>
        <w:t xml:space="preserve">services </w:t>
      </w:r>
      <w:r>
        <w:rPr>
          <w:sz w:val="26"/>
          <w:szCs w:val="26"/>
        </w:rPr>
        <w:t>by material type or leaks per mile of main by pipe material type.  This information is available in the DOT 7100 reports.  OCA suggests that PGW submit copies of these reports for the last five years to the Commission.</w:t>
      </w:r>
    </w:p>
    <w:p w:rsidR="0077455C" w:rsidRDefault="0077455C" w:rsidP="00773D87">
      <w:pPr>
        <w:pStyle w:val="p7"/>
        <w:widowControl/>
        <w:tabs>
          <w:tab w:val="clear" w:pos="1133"/>
          <w:tab w:val="left" w:pos="720"/>
          <w:tab w:val="left" w:pos="1350"/>
          <w:tab w:val="left" w:pos="1440"/>
          <w:tab w:val="left" w:pos="1530"/>
        </w:tabs>
        <w:spacing w:line="360" w:lineRule="auto"/>
        <w:ind w:left="346" w:hanging="346"/>
        <w:rPr>
          <w:sz w:val="26"/>
          <w:szCs w:val="26"/>
        </w:rPr>
      </w:pPr>
    </w:p>
    <w:p w:rsidR="0077455C" w:rsidRDefault="0077455C" w:rsidP="00773D87">
      <w:pPr>
        <w:pStyle w:val="p7"/>
        <w:widowControl/>
        <w:tabs>
          <w:tab w:val="clear" w:pos="1133"/>
          <w:tab w:val="left" w:pos="720"/>
          <w:tab w:val="left" w:pos="1350"/>
          <w:tab w:val="left" w:pos="1440"/>
          <w:tab w:val="left" w:pos="1530"/>
        </w:tabs>
        <w:spacing w:line="360" w:lineRule="auto"/>
        <w:ind w:left="0" w:firstLine="1440"/>
        <w:rPr>
          <w:sz w:val="26"/>
          <w:szCs w:val="26"/>
        </w:rPr>
      </w:pPr>
      <w:r>
        <w:rPr>
          <w:sz w:val="26"/>
          <w:szCs w:val="26"/>
        </w:rPr>
        <w:t>OCA avers that PGW should provide further support for including the 30</w:t>
      </w:r>
      <w:r w:rsidR="00B6215A">
        <w:rPr>
          <w:sz w:val="26"/>
          <w:szCs w:val="26"/>
        </w:rPr>
        <w:t> </w:t>
      </w:r>
      <w:r>
        <w:rPr>
          <w:sz w:val="26"/>
          <w:szCs w:val="26"/>
        </w:rPr>
        <w:t xml:space="preserve">inch cast iron main segments without known active corrosion in the LTIIP.  With regard to abandonments, OCA suggests that PGW clarify how the Company will make </w:t>
      </w:r>
      <w:r>
        <w:rPr>
          <w:sz w:val="26"/>
          <w:szCs w:val="26"/>
        </w:rPr>
        <w:lastRenderedPageBreak/>
        <w:t>the determination that it is appropriate to abandon a particular main, and how the company will provide for any existing customers receiving service from those mains.</w:t>
      </w:r>
    </w:p>
    <w:p w:rsidR="0077455C" w:rsidRDefault="0077455C" w:rsidP="00773D87">
      <w:pPr>
        <w:pStyle w:val="p2"/>
        <w:widowControl/>
        <w:tabs>
          <w:tab w:val="left" w:pos="720"/>
        </w:tabs>
        <w:spacing w:line="360" w:lineRule="auto"/>
        <w:ind w:firstLine="0"/>
        <w:rPr>
          <w:sz w:val="26"/>
          <w:szCs w:val="26"/>
        </w:rPr>
      </w:pPr>
    </w:p>
    <w:p w:rsidR="0077455C" w:rsidRDefault="0077455C" w:rsidP="00F254AA">
      <w:pPr>
        <w:pStyle w:val="p2"/>
        <w:keepNext/>
        <w:widowControl/>
        <w:tabs>
          <w:tab w:val="left" w:pos="720"/>
        </w:tabs>
        <w:spacing w:line="360" w:lineRule="auto"/>
        <w:ind w:firstLine="0"/>
        <w:rPr>
          <w:b/>
          <w:sz w:val="26"/>
          <w:szCs w:val="26"/>
        </w:rPr>
      </w:pPr>
      <w:r w:rsidRPr="000F5E3D">
        <w:rPr>
          <w:b/>
          <w:sz w:val="26"/>
          <w:szCs w:val="26"/>
        </w:rPr>
        <w:t>Resolution</w:t>
      </w:r>
    </w:p>
    <w:p w:rsidR="0077455C" w:rsidRDefault="0077455C" w:rsidP="00F254AA">
      <w:pPr>
        <w:pStyle w:val="p2"/>
        <w:keepNext/>
        <w:widowControl/>
        <w:spacing w:line="360" w:lineRule="auto"/>
        <w:ind w:firstLine="0"/>
        <w:rPr>
          <w:sz w:val="26"/>
          <w:szCs w:val="26"/>
        </w:rPr>
      </w:pPr>
      <w:r>
        <w:rPr>
          <w:sz w:val="26"/>
          <w:szCs w:val="26"/>
        </w:rPr>
        <w:tab/>
      </w:r>
    </w:p>
    <w:p w:rsidR="0077455C" w:rsidRDefault="0077455C" w:rsidP="00773D87">
      <w:pPr>
        <w:pStyle w:val="p2"/>
        <w:widowControl/>
        <w:spacing w:line="360" w:lineRule="auto"/>
        <w:ind w:firstLine="1440"/>
        <w:rPr>
          <w:sz w:val="26"/>
          <w:szCs w:val="26"/>
        </w:rPr>
      </w:pPr>
      <w:r>
        <w:rPr>
          <w:sz w:val="26"/>
          <w:szCs w:val="26"/>
        </w:rPr>
        <w:t>In response to Commission Staff data request TUS-P-11, request</w:t>
      </w:r>
      <w:r w:rsidR="00584403">
        <w:rPr>
          <w:sz w:val="26"/>
          <w:szCs w:val="26"/>
        </w:rPr>
        <w:t>ing</w:t>
      </w:r>
      <w:r>
        <w:rPr>
          <w:sz w:val="26"/>
          <w:szCs w:val="26"/>
        </w:rPr>
        <w:t xml:space="preserve"> additional information on the expected incidental reduction in bare steel services due to the acceleration of the smaller diameter cast iron main replacements, PGW explained that PGW’s service inventory is comprised of 72% plastic or protected coated steel services, therefore, most services will not require replacement.  PGW estimates that the replacement of three miles of small diameter cast iron main through the LTIIP would yield an expected incidental reduction in bare steel services of approximately 225 per year. </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In response to Commission Staff data request TUS-P-12, request</w:t>
      </w:r>
      <w:r w:rsidR="00584403">
        <w:rPr>
          <w:sz w:val="26"/>
          <w:szCs w:val="26"/>
        </w:rPr>
        <w:t>ing</w:t>
      </w:r>
      <w:r>
        <w:rPr>
          <w:sz w:val="26"/>
          <w:szCs w:val="26"/>
        </w:rPr>
        <w:t xml:space="preserve"> PGW’s DOT 7100 reports for the last five years, PGW provided the 2007 – 2011annual DOT 7100 reports.  The DOT 7100 reports provide number of leaks repaired annually by cause of leak not by type of pipe material.  </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In response to Commission Staff data request TUS-P-15, request</w:t>
      </w:r>
      <w:r w:rsidR="00584403">
        <w:rPr>
          <w:sz w:val="26"/>
          <w:szCs w:val="26"/>
        </w:rPr>
        <w:t>ing</w:t>
      </w:r>
      <w:r>
        <w:rPr>
          <w:sz w:val="26"/>
          <w:szCs w:val="26"/>
        </w:rPr>
        <w:t xml:space="preserve"> additional information to support including 30” cast iron main in its accelerated replacement plan for segments where there is no know active corrosion, PGW asserts that the 30” cast iron main section found to have localized corrosive conditions shares the same installation and construction practices with 60% of PGW’s entire 30” main inventory and that it is highly likely that the localized corrosive conditions exists on all of the main sharing the same installation and construction characteristics.  PGW’s network analysis studies have determined that the majority of the 30” pipe can be replaced with 20” pipe thereby generating cost savings.  </w:t>
      </w:r>
    </w:p>
    <w:p w:rsidR="0077455C" w:rsidRDefault="0077455C" w:rsidP="00773D87">
      <w:pPr>
        <w:pStyle w:val="p2"/>
        <w:widowControl/>
        <w:spacing w:line="360" w:lineRule="auto"/>
        <w:ind w:firstLine="0"/>
        <w:rPr>
          <w:sz w:val="26"/>
          <w:szCs w:val="26"/>
        </w:rPr>
      </w:pPr>
    </w:p>
    <w:p w:rsidR="0077455C" w:rsidRDefault="0077455C" w:rsidP="00773D87">
      <w:pPr>
        <w:pStyle w:val="p2"/>
        <w:widowControl/>
        <w:spacing w:line="360" w:lineRule="auto"/>
        <w:ind w:firstLine="1440"/>
        <w:rPr>
          <w:sz w:val="26"/>
          <w:szCs w:val="26"/>
        </w:rPr>
      </w:pPr>
      <w:r>
        <w:rPr>
          <w:sz w:val="26"/>
          <w:szCs w:val="26"/>
        </w:rPr>
        <w:lastRenderedPageBreak/>
        <w:tab/>
        <w:t>In response to Commission Staff data request TUS-P-16, request</w:t>
      </w:r>
      <w:r w:rsidR="00584403">
        <w:rPr>
          <w:sz w:val="26"/>
          <w:szCs w:val="26"/>
        </w:rPr>
        <w:t>ing</w:t>
      </w:r>
      <w:r>
        <w:rPr>
          <w:sz w:val="26"/>
          <w:szCs w:val="26"/>
        </w:rPr>
        <w:t xml:space="preserve"> additional information regarding how PGW will determine that any high pressure mains are redundant or underutilized and how PGW will provide for any existing customers receiving service from mains that are targeted for abandonment, PGW asserts that network analysis studies are performed to ensure adequate service is maintained to existing customers and provides consideration for any foreseeable future expansion.  PGW’s Distribution Department Network Systems group utilizes the SynerGEE Gas 4.4.2 by GL Noble Denton program to simulate various flow and pressure scenarios to assure that potential abandonment or replacement work will not affect current customers or system integrity.</w:t>
      </w:r>
    </w:p>
    <w:p w:rsidR="0077455C" w:rsidRDefault="0077455C" w:rsidP="00773D87">
      <w:pPr>
        <w:pStyle w:val="p2"/>
        <w:widowControl/>
        <w:spacing w:line="360" w:lineRule="auto"/>
        <w:ind w:firstLine="1440"/>
        <w:rPr>
          <w:sz w:val="26"/>
          <w:szCs w:val="26"/>
        </w:rPr>
      </w:pPr>
    </w:p>
    <w:p w:rsidR="0077455C" w:rsidRDefault="0077455C" w:rsidP="00773D87">
      <w:pPr>
        <w:pStyle w:val="p7"/>
        <w:widowControl/>
        <w:tabs>
          <w:tab w:val="clear" w:pos="782"/>
          <w:tab w:val="clear" w:pos="1133"/>
          <w:tab w:val="left" w:pos="720"/>
          <w:tab w:val="left" w:pos="1440"/>
        </w:tabs>
        <w:spacing w:line="360" w:lineRule="auto"/>
        <w:ind w:left="0" w:firstLine="1440"/>
        <w:rPr>
          <w:sz w:val="26"/>
          <w:szCs w:val="26"/>
        </w:rPr>
      </w:pPr>
      <w:r>
        <w:rPr>
          <w:sz w:val="26"/>
          <w:szCs w:val="26"/>
        </w:rPr>
        <w:t>Upon review of the LTIIP</w:t>
      </w:r>
      <w:r w:rsidR="00006A83">
        <w:rPr>
          <w:sz w:val="26"/>
          <w:szCs w:val="26"/>
        </w:rPr>
        <w:t xml:space="preserve"> and supplemental information</w:t>
      </w:r>
      <w:r>
        <w:rPr>
          <w:sz w:val="26"/>
          <w:szCs w:val="26"/>
        </w:rPr>
        <w:t xml:space="preserve">, the Commission finds that the manner in which replacement of aging infrastructure will be accelerated and how repair, improvement or replacement will maintain safe and reliable service requirements of the Final Implementation Order, have been fulfilled.  PGW is clearly planning to accelerate its infrastructure replacement over the timeframe of the LTIIP and has demonstrated that completion of the planned projects of the LTIIP will maintain safe and reliable service.  </w:t>
      </w:r>
    </w:p>
    <w:p w:rsidR="0077455C" w:rsidRDefault="0077455C" w:rsidP="00773D87">
      <w:pPr>
        <w:pStyle w:val="p2"/>
        <w:widowControl/>
        <w:spacing w:line="360" w:lineRule="auto"/>
        <w:ind w:firstLine="0"/>
        <w:rPr>
          <w:sz w:val="26"/>
          <w:szCs w:val="26"/>
        </w:rPr>
      </w:pPr>
    </w:p>
    <w:p w:rsidR="0077455C" w:rsidRPr="00445EDA" w:rsidRDefault="00135912" w:rsidP="00597F51">
      <w:pPr>
        <w:pStyle w:val="p2"/>
        <w:keepNext/>
        <w:widowControl/>
        <w:spacing w:line="360" w:lineRule="auto"/>
        <w:ind w:left="720" w:firstLine="0"/>
        <w:rPr>
          <w:b/>
          <w:sz w:val="26"/>
          <w:szCs w:val="26"/>
        </w:rPr>
      </w:pPr>
      <w:r>
        <w:rPr>
          <w:b/>
          <w:sz w:val="26"/>
          <w:szCs w:val="26"/>
        </w:rPr>
        <w:t xml:space="preserve">(7) </w:t>
      </w:r>
      <w:r w:rsidR="0077455C" w:rsidRPr="00445EDA">
        <w:rPr>
          <w:b/>
          <w:sz w:val="26"/>
          <w:szCs w:val="26"/>
        </w:rPr>
        <w:t>WORKFORCE MANAGEMENT AND TRAINING PROGRAM</w:t>
      </w:r>
    </w:p>
    <w:p w:rsidR="0077455C" w:rsidRDefault="0077455C" w:rsidP="00597F51">
      <w:pPr>
        <w:pStyle w:val="p2"/>
        <w:keepNext/>
        <w:widowControl/>
        <w:spacing w:line="360" w:lineRule="auto"/>
        <w:ind w:firstLine="0"/>
        <w:rPr>
          <w:sz w:val="26"/>
          <w:szCs w:val="26"/>
        </w:rPr>
      </w:pPr>
    </w:p>
    <w:p w:rsidR="0077455C" w:rsidRPr="00445EDA" w:rsidRDefault="00B3173B" w:rsidP="00914376">
      <w:pPr>
        <w:pStyle w:val="p2"/>
        <w:keepNext/>
        <w:widowControl/>
        <w:tabs>
          <w:tab w:val="left" w:pos="720"/>
          <w:tab w:val="left" w:pos="810"/>
        </w:tabs>
        <w:spacing w:line="360" w:lineRule="auto"/>
        <w:ind w:firstLine="0"/>
        <w:rPr>
          <w:b/>
          <w:sz w:val="26"/>
          <w:szCs w:val="26"/>
        </w:rPr>
      </w:pPr>
      <w:r>
        <w:rPr>
          <w:b/>
          <w:sz w:val="26"/>
          <w:szCs w:val="26"/>
        </w:rPr>
        <w:t>PGW’s Petition</w:t>
      </w:r>
      <w:r w:rsidR="0077455C" w:rsidRPr="00445EDA">
        <w:rPr>
          <w:b/>
          <w:sz w:val="26"/>
          <w:szCs w:val="26"/>
        </w:rPr>
        <w:t xml:space="preserve"> </w:t>
      </w:r>
    </w:p>
    <w:p w:rsidR="0077455C" w:rsidRPr="00445EDA" w:rsidRDefault="0077455C" w:rsidP="00597F51">
      <w:pPr>
        <w:pStyle w:val="p2"/>
        <w:keepNext/>
        <w:widowControl/>
        <w:tabs>
          <w:tab w:val="left" w:pos="720"/>
        </w:tabs>
        <w:spacing w:line="360" w:lineRule="auto"/>
        <w:ind w:firstLine="0"/>
        <w:rPr>
          <w:b/>
          <w:sz w:val="26"/>
          <w:szCs w:val="26"/>
        </w:rPr>
      </w:pPr>
    </w:p>
    <w:p w:rsidR="0077455C" w:rsidRDefault="0077455C" w:rsidP="00773D87">
      <w:pPr>
        <w:pStyle w:val="p2"/>
        <w:widowControl/>
        <w:spacing w:line="360" w:lineRule="auto"/>
        <w:ind w:firstLine="1440"/>
        <w:rPr>
          <w:sz w:val="26"/>
          <w:szCs w:val="26"/>
        </w:rPr>
      </w:pPr>
      <w:r>
        <w:rPr>
          <w:b/>
          <w:sz w:val="26"/>
          <w:szCs w:val="26"/>
        </w:rPr>
        <w:tab/>
      </w:r>
      <w:r w:rsidRPr="00A06107">
        <w:rPr>
          <w:sz w:val="26"/>
          <w:szCs w:val="26"/>
        </w:rPr>
        <w:t>The Final Implementation Order</w:t>
      </w:r>
      <w:r>
        <w:rPr>
          <w:sz w:val="26"/>
          <w:szCs w:val="26"/>
        </w:rPr>
        <w:t xml:space="preserve"> requires utilities to include within its LTIIP a workforce management and training plan designed to ensure that the utility will have access to a qualified workforce to perform work in a cost-effective, safe and reliable manner.</w:t>
      </w:r>
    </w:p>
    <w:p w:rsidR="0077455C" w:rsidRDefault="0077455C"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lastRenderedPageBreak/>
        <w:tab/>
        <w:t xml:space="preserve">For PGW’s workforce, the Company provided a description of a rigorous formal training and evaluation process administered for all qualified workers, as set forth in US Department of Transportation, Office of Pipeline Safety Regulation Title 49 CFR 192 Subpart N, via PGW’s Natural Gas Pipeline System Operator Qualification Plan </w:t>
      </w:r>
      <w:r w:rsidR="00F37ED8">
        <w:rPr>
          <w:sz w:val="26"/>
          <w:szCs w:val="26"/>
        </w:rPr>
        <w:t xml:space="preserve">(effective April 26, 2001).    </w:t>
      </w:r>
    </w:p>
    <w:p w:rsidR="00F37ED8" w:rsidRDefault="00F37ED8" w:rsidP="00773D87">
      <w:pPr>
        <w:pStyle w:val="p2"/>
        <w:widowControl/>
        <w:spacing w:line="360" w:lineRule="auto"/>
        <w:ind w:firstLine="1440"/>
        <w:rPr>
          <w:sz w:val="26"/>
          <w:szCs w:val="26"/>
        </w:rPr>
      </w:pPr>
    </w:p>
    <w:p w:rsidR="0077455C" w:rsidRDefault="0077455C" w:rsidP="00773D87">
      <w:pPr>
        <w:pStyle w:val="p2"/>
        <w:widowControl/>
        <w:spacing w:line="360" w:lineRule="auto"/>
        <w:ind w:firstLine="1440"/>
        <w:rPr>
          <w:sz w:val="26"/>
          <w:szCs w:val="26"/>
        </w:rPr>
      </w:pPr>
      <w:r>
        <w:rPr>
          <w:sz w:val="26"/>
          <w:szCs w:val="26"/>
        </w:rPr>
        <w:tab/>
        <w:t>PGW has a dedicated Training Section which provides classroom training as well as simulated and/or actual field training each time a PGW employee is promoted to a new position.  Every employee is tested on their ability to perform every assigned task within an associated job title.  PGW also instituted annual training classes for all field and management personnel that cover such tasks as proper trench shoring techniques, leak investigation and migration practices, damage prevention methodologies, proper use of gas detection instruments, plastic pipe fusion qualifications, steel pipe welding qualifications and proper respirator use.  PGW Training Section staff tests and qualifies outside contractor workforce in plastic pipe fusion and steel welding practices and has established procedures to qualify contractors for live gas work.</w:t>
      </w:r>
    </w:p>
    <w:p w:rsidR="0077455C" w:rsidRDefault="0077455C" w:rsidP="00773D87">
      <w:pPr>
        <w:pStyle w:val="p2"/>
        <w:widowControl/>
        <w:spacing w:line="360" w:lineRule="auto"/>
        <w:ind w:firstLine="0"/>
        <w:rPr>
          <w:sz w:val="26"/>
          <w:szCs w:val="26"/>
        </w:rPr>
      </w:pPr>
    </w:p>
    <w:p w:rsidR="0077455C" w:rsidRPr="001414CA" w:rsidRDefault="0077455C" w:rsidP="00597F51">
      <w:pPr>
        <w:pStyle w:val="p2"/>
        <w:keepNext/>
        <w:widowControl/>
        <w:tabs>
          <w:tab w:val="left" w:pos="720"/>
        </w:tabs>
        <w:spacing w:line="360" w:lineRule="auto"/>
        <w:ind w:firstLine="0"/>
        <w:rPr>
          <w:b/>
          <w:sz w:val="26"/>
          <w:szCs w:val="26"/>
        </w:rPr>
      </w:pPr>
      <w:r w:rsidRPr="001414CA">
        <w:rPr>
          <w:b/>
          <w:sz w:val="26"/>
          <w:szCs w:val="26"/>
        </w:rPr>
        <w:t>Comments</w:t>
      </w:r>
    </w:p>
    <w:p w:rsidR="0077455C" w:rsidRDefault="0077455C" w:rsidP="00597F51">
      <w:pPr>
        <w:pStyle w:val="p2"/>
        <w:keepNext/>
        <w:widowControl/>
        <w:spacing w:line="360" w:lineRule="auto"/>
        <w:ind w:firstLine="0"/>
        <w:rPr>
          <w:sz w:val="26"/>
          <w:szCs w:val="26"/>
        </w:rPr>
      </w:pPr>
    </w:p>
    <w:p w:rsidR="0077455C" w:rsidRDefault="0077455C" w:rsidP="00006A83">
      <w:pPr>
        <w:pStyle w:val="p7"/>
        <w:widowControl/>
        <w:tabs>
          <w:tab w:val="clear" w:pos="782"/>
          <w:tab w:val="clear" w:pos="1133"/>
          <w:tab w:val="left" w:pos="0"/>
          <w:tab w:val="left" w:pos="720"/>
        </w:tabs>
        <w:spacing w:line="360" w:lineRule="auto"/>
        <w:ind w:left="0" w:firstLine="1440"/>
        <w:rPr>
          <w:sz w:val="26"/>
          <w:szCs w:val="26"/>
        </w:rPr>
      </w:pPr>
      <w:r>
        <w:rPr>
          <w:sz w:val="26"/>
          <w:szCs w:val="26"/>
        </w:rPr>
        <w:t>No comments were received regarding the workforce management and</w:t>
      </w:r>
      <w:r w:rsidR="00006A83">
        <w:rPr>
          <w:sz w:val="26"/>
          <w:szCs w:val="26"/>
        </w:rPr>
        <w:t xml:space="preserve"> </w:t>
      </w:r>
      <w:r>
        <w:rPr>
          <w:sz w:val="26"/>
          <w:szCs w:val="26"/>
        </w:rPr>
        <w:t>training program.</w:t>
      </w:r>
    </w:p>
    <w:p w:rsidR="0077455C" w:rsidRDefault="0077455C" w:rsidP="00773D87">
      <w:pPr>
        <w:pStyle w:val="p2"/>
        <w:widowControl/>
        <w:spacing w:line="360" w:lineRule="auto"/>
        <w:ind w:firstLine="0"/>
        <w:rPr>
          <w:sz w:val="26"/>
          <w:szCs w:val="26"/>
        </w:rPr>
      </w:pPr>
    </w:p>
    <w:p w:rsidR="0077455C" w:rsidRDefault="0077455C" w:rsidP="00F939FA">
      <w:pPr>
        <w:pStyle w:val="p2"/>
        <w:keepNext/>
        <w:widowControl/>
        <w:tabs>
          <w:tab w:val="left" w:pos="720"/>
        </w:tabs>
        <w:spacing w:line="360" w:lineRule="auto"/>
        <w:ind w:firstLine="0"/>
        <w:rPr>
          <w:b/>
          <w:sz w:val="26"/>
          <w:szCs w:val="26"/>
        </w:rPr>
      </w:pPr>
      <w:r w:rsidRPr="000F5E3D">
        <w:rPr>
          <w:b/>
          <w:sz w:val="26"/>
          <w:szCs w:val="26"/>
        </w:rPr>
        <w:t>Resolution</w:t>
      </w:r>
    </w:p>
    <w:p w:rsidR="0077455C" w:rsidRDefault="0077455C" w:rsidP="00F939FA">
      <w:pPr>
        <w:pStyle w:val="p2"/>
        <w:keepNext/>
        <w:widowControl/>
        <w:spacing w:line="360" w:lineRule="auto"/>
        <w:ind w:firstLine="0"/>
        <w:rPr>
          <w:sz w:val="26"/>
          <w:szCs w:val="26"/>
        </w:rPr>
      </w:pPr>
    </w:p>
    <w:p w:rsidR="0077455C" w:rsidRDefault="0077455C" w:rsidP="00773D87">
      <w:pPr>
        <w:pStyle w:val="p7"/>
        <w:widowControl/>
        <w:tabs>
          <w:tab w:val="clear" w:pos="782"/>
          <w:tab w:val="clear" w:pos="1133"/>
          <w:tab w:val="left" w:pos="0"/>
          <w:tab w:val="left" w:pos="720"/>
        </w:tabs>
        <w:spacing w:line="360" w:lineRule="auto"/>
        <w:ind w:left="0" w:firstLine="1440"/>
        <w:rPr>
          <w:sz w:val="26"/>
          <w:szCs w:val="26"/>
        </w:rPr>
      </w:pPr>
      <w:r>
        <w:rPr>
          <w:sz w:val="26"/>
          <w:szCs w:val="26"/>
        </w:rPr>
        <w:t>Upon review of the LTIIP, the Commission finds that the</w:t>
      </w:r>
      <w:r w:rsidRPr="009E6781">
        <w:rPr>
          <w:sz w:val="26"/>
          <w:szCs w:val="26"/>
        </w:rPr>
        <w:t xml:space="preserve"> </w:t>
      </w:r>
      <w:r>
        <w:rPr>
          <w:sz w:val="26"/>
          <w:szCs w:val="26"/>
        </w:rPr>
        <w:t>workforce management and training program requirements of the Final Implem</w:t>
      </w:r>
      <w:r w:rsidR="00E441C9">
        <w:rPr>
          <w:sz w:val="26"/>
          <w:szCs w:val="26"/>
        </w:rPr>
        <w:t>entation Order have been address</w:t>
      </w:r>
      <w:r>
        <w:rPr>
          <w:sz w:val="26"/>
          <w:szCs w:val="26"/>
        </w:rPr>
        <w:t xml:space="preserve">ed.  </w:t>
      </w:r>
    </w:p>
    <w:p w:rsidR="00E441C9" w:rsidRDefault="00E441C9" w:rsidP="00773D87">
      <w:pPr>
        <w:pStyle w:val="p7"/>
        <w:widowControl/>
        <w:tabs>
          <w:tab w:val="clear" w:pos="782"/>
          <w:tab w:val="clear" w:pos="1133"/>
          <w:tab w:val="left" w:pos="0"/>
          <w:tab w:val="left" w:pos="720"/>
        </w:tabs>
        <w:spacing w:line="360" w:lineRule="auto"/>
        <w:ind w:left="0" w:firstLine="1440"/>
        <w:rPr>
          <w:sz w:val="26"/>
          <w:szCs w:val="26"/>
        </w:rPr>
      </w:pPr>
    </w:p>
    <w:p w:rsidR="00E441C9" w:rsidRDefault="00E441C9" w:rsidP="00773D87">
      <w:pPr>
        <w:pStyle w:val="p7"/>
        <w:widowControl/>
        <w:tabs>
          <w:tab w:val="clear" w:pos="782"/>
          <w:tab w:val="clear" w:pos="1133"/>
          <w:tab w:val="left" w:pos="0"/>
          <w:tab w:val="left" w:pos="720"/>
        </w:tabs>
        <w:spacing w:line="360" w:lineRule="auto"/>
        <w:ind w:left="0" w:firstLine="1440"/>
        <w:rPr>
          <w:sz w:val="26"/>
          <w:szCs w:val="26"/>
        </w:rPr>
      </w:pPr>
      <w:r w:rsidRPr="00E441C9">
        <w:rPr>
          <w:sz w:val="26"/>
          <w:szCs w:val="26"/>
        </w:rPr>
        <w:lastRenderedPageBreak/>
        <w:t xml:space="preserve">As part </w:t>
      </w:r>
      <w:r>
        <w:rPr>
          <w:sz w:val="26"/>
          <w:szCs w:val="26"/>
        </w:rPr>
        <w:t xml:space="preserve">of the </w:t>
      </w:r>
      <w:r w:rsidRPr="00E441C9">
        <w:rPr>
          <w:sz w:val="26"/>
          <w:szCs w:val="26"/>
        </w:rPr>
        <w:t>planning for DSIC projects, a utility may experience the need for increased workforce, internal and contractor.  Utilities should be able to identify the projected number of jobs (or full-time equivalents) that are expected to be created through specific replacement projects.  When a utility submits its information on the eligible projects, it should supply the number of anticipated new jobs to be created by those projects.  When the DSIC funds are audited for annual reconciliation, the utility should be able to provide actual numbers for the jobs created due to specific replacement projects.</w:t>
      </w:r>
    </w:p>
    <w:p w:rsidR="0077455C" w:rsidRDefault="0077455C" w:rsidP="00773D87">
      <w:pPr>
        <w:pStyle w:val="p2"/>
        <w:widowControl/>
        <w:spacing w:line="360" w:lineRule="auto"/>
        <w:ind w:firstLine="0"/>
        <w:rPr>
          <w:sz w:val="26"/>
          <w:szCs w:val="26"/>
        </w:rPr>
      </w:pPr>
    </w:p>
    <w:p w:rsidR="0077455C" w:rsidRPr="002678A1" w:rsidRDefault="00F37ED8" w:rsidP="00F254AA">
      <w:pPr>
        <w:pStyle w:val="p2"/>
        <w:keepNext/>
        <w:widowControl/>
        <w:spacing w:line="360" w:lineRule="auto"/>
        <w:ind w:firstLine="0"/>
        <w:jc w:val="center"/>
        <w:rPr>
          <w:b/>
          <w:sz w:val="26"/>
          <w:szCs w:val="26"/>
        </w:rPr>
      </w:pPr>
      <w:r>
        <w:rPr>
          <w:b/>
          <w:sz w:val="26"/>
          <w:szCs w:val="26"/>
        </w:rPr>
        <w:t>LTIIP SUMMARY</w:t>
      </w:r>
    </w:p>
    <w:p w:rsidR="0077455C" w:rsidRDefault="0077455C" w:rsidP="00F254AA">
      <w:pPr>
        <w:pStyle w:val="p2"/>
        <w:keepNext/>
        <w:widowControl/>
        <w:spacing w:line="360" w:lineRule="auto"/>
        <w:ind w:firstLine="1440"/>
        <w:rPr>
          <w:sz w:val="26"/>
          <w:szCs w:val="26"/>
        </w:rPr>
      </w:pPr>
      <w:r>
        <w:rPr>
          <w:sz w:val="26"/>
          <w:szCs w:val="26"/>
        </w:rPr>
        <w:tab/>
      </w:r>
    </w:p>
    <w:p w:rsidR="00F37ED8" w:rsidRDefault="0077455C" w:rsidP="00006A83">
      <w:pPr>
        <w:widowControl/>
        <w:spacing w:line="360" w:lineRule="auto"/>
        <w:ind w:firstLine="1440"/>
        <w:rPr>
          <w:sz w:val="26"/>
          <w:szCs w:val="26"/>
        </w:rPr>
      </w:pPr>
      <w:r>
        <w:rPr>
          <w:sz w:val="26"/>
          <w:szCs w:val="26"/>
        </w:rPr>
        <w:t xml:space="preserve">The Commission has reviewed each of the seven required elements of PGW’s Petition for Approval of its LTIIP individually and has taken into account the Comments received on this Petition.  </w:t>
      </w:r>
      <w:r w:rsidR="00006A83">
        <w:rPr>
          <w:sz w:val="26"/>
          <w:szCs w:val="26"/>
        </w:rPr>
        <w:t xml:space="preserve">Accordingly, </w:t>
      </w:r>
      <w:r w:rsidR="008E37BC">
        <w:rPr>
          <w:sz w:val="26"/>
          <w:szCs w:val="26"/>
        </w:rPr>
        <w:t>PGW</w:t>
      </w:r>
      <w:r w:rsidR="00006A83">
        <w:rPr>
          <w:sz w:val="26"/>
          <w:szCs w:val="26"/>
        </w:rPr>
        <w:t>’s LTIIP is approved.</w:t>
      </w:r>
    </w:p>
    <w:p w:rsidR="0077455C" w:rsidRDefault="0077455C" w:rsidP="00773D87">
      <w:pPr>
        <w:pStyle w:val="p2"/>
        <w:widowControl/>
        <w:spacing w:line="360" w:lineRule="auto"/>
        <w:ind w:firstLine="0"/>
        <w:rPr>
          <w:sz w:val="26"/>
          <w:szCs w:val="26"/>
        </w:rPr>
      </w:pPr>
    </w:p>
    <w:p w:rsidR="00013B7C" w:rsidRPr="00062E21" w:rsidRDefault="00376BDE" w:rsidP="00773D87">
      <w:pPr>
        <w:pStyle w:val="p2"/>
        <w:widowControl/>
        <w:spacing w:line="360" w:lineRule="auto"/>
        <w:ind w:firstLine="0"/>
        <w:jc w:val="center"/>
        <w:rPr>
          <w:b/>
          <w:sz w:val="26"/>
          <w:szCs w:val="26"/>
        </w:rPr>
      </w:pPr>
      <w:r>
        <w:rPr>
          <w:b/>
          <w:sz w:val="26"/>
          <w:szCs w:val="26"/>
        </w:rPr>
        <w:t>PGW</w:t>
      </w:r>
      <w:r w:rsidR="00013B7C" w:rsidRPr="00062E21">
        <w:rPr>
          <w:b/>
          <w:sz w:val="26"/>
          <w:szCs w:val="26"/>
        </w:rPr>
        <w:t xml:space="preserve">’S </w:t>
      </w:r>
      <w:r w:rsidR="00006A83">
        <w:rPr>
          <w:b/>
          <w:sz w:val="26"/>
          <w:szCs w:val="26"/>
        </w:rPr>
        <w:t xml:space="preserve">DSIC </w:t>
      </w:r>
      <w:r>
        <w:rPr>
          <w:b/>
          <w:sz w:val="26"/>
          <w:szCs w:val="26"/>
        </w:rPr>
        <w:t>PETITION</w:t>
      </w:r>
    </w:p>
    <w:p w:rsidR="00013B7C" w:rsidRPr="00062E21" w:rsidRDefault="00013B7C" w:rsidP="00773D87">
      <w:pPr>
        <w:pStyle w:val="p7"/>
        <w:widowControl/>
        <w:tabs>
          <w:tab w:val="clear" w:pos="782"/>
          <w:tab w:val="clear" w:pos="1133"/>
          <w:tab w:val="left" w:pos="0"/>
          <w:tab w:val="left" w:pos="720"/>
        </w:tabs>
        <w:spacing w:line="360" w:lineRule="auto"/>
        <w:ind w:left="0" w:firstLine="0"/>
        <w:rPr>
          <w:sz w:val="26"/>
          <w:szCs w:val="26"/>
        </w:rPr>
      </w:pPr>
    </w:p>
    <w:p w:rsidR="00376BDE" w:rsidRPr="00062E21" w:rsidRDefault="00376BDE" w:rsidP="00773D87">
      <w:pPr>
        <w:widowControl/>
        <w:tabs>
          <w:tab w:val="left" w:pos="720"/>
        </w:tabs>
        <w:spacing w:line="360" w:lineRule="auto"/>
        <w:ind w:firstLine="1440"/>
        <w:rPr>
          <w:bCs/>
          <w:sz w:val="26"/>
          <w:szCs w:val="26"/>
        </w:rPr>
      </w:pPr>
      <w:r w:rsidRPr="00062E21">
        <w:rPr>
          <w:sz w:val="26"/>
          <w:szCs w:val="26"/>
        </w:rPr>
        <w:t>Section</w:t>
      </w:r>
      <w:r w:rsidRPr="00062E21">
        <w:rPr>
          <w:bCs/>
          <w:sz w:val="26"/>
          <w:szCs w:val="26"/>
        </w:rPr>
        <w:t xml:space="preserve"> 1353</w:t>
      </w:r>
      <w:r w:rsidR="00911697">
        <w:rPr>
          <w:bCs/>
          <w:sz w:val="26"/>
          <w:szCs w:val="26"/>
        </w:rPr>
        <w:t xml:space="preserve"> of the</w:t>
      </w:r>
      <w:r w:rsidRPr="00062E21">
        <w:rPr>
          <w:bCs/>
          <w:sz w:val="26"/>
          <w:szCs w:val="26"/>
        </w:rPr>
        <w:t xml:space="preserve"> </w:t>
      </w:r>
      <w:r w:rsidR="00911697">
        <w:rPr>
          <w:bCs/>
          <w:sz w:val="26"/>
          <w:szCs w:val="26"/>
        </w:rPr>
        <w:t xml:space="preserve">Public Utility Code </w:t>
      </w:r>
      <w:r w:rsidRPr="00062E21">
        <w:rPr>
          <w:bCs/>
          <w:sz w:val="26"/>
          <w:szCs w:val="26"/>
        </w:rPr>
        <w:t>requires</w:t>
      </w:r>
      <w:r w:rsidR="004F3CE9">
        <w:rPr>
          <w:bCs/>
          <w:sz w:val="26"/>
          <w:szCs w:val="26"/>
        </w:rPr>
        <w:t xml:space="preserve"> public</w:t>
      </w:r>
      <w:r w:rsidRPr="00062E21">
        <w:rPr>
          <w:bCs/>
          <w:sz w:val="26"/>
          <w:szCs w:val="26"/>
        </w:rPr>
        <w:t xml:space="preserve"> utilities</w:t>
      </w:r>
      <w:r w:rsidR="004F3CE9">
        <w:rPr>
          <w:bCs/>
          <w:sz w:val="26"/>
          <w:szCs w:val="26"/>
        </w:rPr>
        <w:t xml:space="preserve"> and CNGDOs</w:t>
      </w:r>
      <w:r w:rsidRPr="00062E21">
        <w:rPr>
          <w:bCs/>
          <w:sz w:val="26"/>
          <w:szCs w:val="26"/>
        </w:rPr>
        <w:t xml:space="preserve"> seeking approval of a DSIC</w:t>
      </w:r>
      <w:r w:rsidR="004F3CE9">
        <w:rPr>
          <w:bCs/>
          <w:sz w:val="26"/>
          <w:szCs w:val="26"/>
        </w:rPr>
        <w:t xml:space="preserve"> to file a petition</w:t>
      </w:r>
      <w:r w:rsidRPr="00062E21">
        <w:rPr>
          <w:bCs/>
          <w:sz w:val="26"/>
          <w:szCs w:val="26"/>
        </w:rPr>
        <w:t xml:space="preserve"> that includes the following:</w:t>
      </w:r>
    </w:p>
    <w:p w:rsidR="00376BDE" w:rsidRPr="00062E21" w:rsidRDefault="00376BDE" w:rsidP="00773D87">
      <w:pPr>
        <w:widowControl/>
        <w:tabs>
          <w:tab w:val="left" w:pos="720"/>
        </w:tabs>
        <w:spacing w:line="360" w:lineRule="auto"/>
        <w:ind w:firstLine="720"/>
        <w:rPr>
          <w:bCs/>
          <w:sz w:val="26"/>
          <w:szCs w:val="26"/>
        </w:rPr>
      </w:pPr>
    </w:p>
    <w:p w:rsidR="00376BDE" w:rsidRPr="00062E21" w:rsidRDefault="00376BDE" w:rsidP="00881438">
      <w:pPr>
        <w:pStyle w:val="ListParagraph"/>
        <w:widowControl/>
        <w:numPr>
          <w:ilvl w:val="0"/>
          <w:numId w:val="23"/>
        </w:numPr>
        <w:tabs>
          <w:tab w:val="left" w:pos="720"/>
        </w:tabs>
        <w:autoSpaceDE/>
        <w:autoSpaceDN/>
        <w:adjustRightInd/>
        <w:spacing w:line="360" w:lineRule="auto"/>
        <w:contextualSpacing/>
        <w:rPr>
          <w:bCs/>
          <w:sz w:val="26"/>
          <w:szCs w:val="26"/>
        </w:rPr>
      </w:pPr>
      <w:r w:rsidRPr="00062E21">
        <w:rPr>
          <w:bCs/>
          <w:sz w:val="26"/>
          <w:szCs w:val="26"/>
        </w:rPr>
        <w:t>An initial tariff that complies with the Model Tariff adopted by the Commission, which includes:</w:t>
      </w:r>
    </w:p>
    <w:p w:rsidR="00376BDE" w:rsidRDefault="00376BDE" w:rsidP="00881438">
      <w:pPr>
        <w:pStyle w:val="ListParagraph"/>
        <w:widowControl/>
        <w:numPr>
          <w:ilvl w:val="1"/>
          <w:numId w:val="23"/>
        </w:numPr>
        <w:tabs>
          <w:tab w:val="left" w:pos="720"/>
        </w:tabs>
        <w:autoSpaceDE/>
        <w:autoSpaceDN/>
        <w:adjustRightInd/>
        <w:spacing w:line="360" w:lineRule="auto"/>
        <w:contextualSpacing/>
        <w:rPr>
          <w:bCs/>
          <w:sz w:val="26"/>
          <w:szCs w:val="26"/>
        </w:rPr>
      </w:pPr>
      <w:r w:rsidRPr="00062E21">
        <w:rPr>
          <w:bCs/>
          <w:sz w:val="26"/>
          <w:szCs w:val="26"/>
        </w:rPr>
        <w:t>A description of eligible property;</w:t>
      </w:r>
    </w:p>
    <w:p w:rsidR="00376BDE" w:rsidRPr="00062E21" w:rsidRDefault="00376BDE" w:rsidP="00881438">
      <w:pPr>
        <w:pStyle w:val="ListParagraph"/>
        <w:widowControl/>
        <w:numPr>
          <w:ilvl w:val="1"/>
          <w:numId w:val="23"/>
        </w:numPr>
        <w:tabs>
          <w:tab w:val="left" w:pos="720"/>
        </w:tabs>
        <w:autoSpaceDE/>
        <w:autoSpaceDN/>
        <w:adjustRightInd/>
        <w:spacing w:line="360" w:lineRule="auto"/>
        <w:contextualSpacing/>
        <w:rPr>
          <w:bCs/>
          <w:sz w:val="26"/>
          <w:szCs w:val="26"/>
        </w:rPr>
      </w:pPr>
      <w:r w:rsidRPr="00062E21">
        <w:rPr>
          <w:bCs/>
          <w:sz w:val="26"/>
          <w:szCs w:val="26"/>
        </w:rPr>
        <w:t>The effective date of the DSIC</w:t>
      </w:r>
      <w:r>
        <w:rPr>
          <w:bCs/>
          <w:sz w:val="26"/>
          <w:szCs w:val="26"/>
        </w:rPr>
        <w:t>;</w:t>
      </w:r>
    </w:p>
    <w:p w:rsidR="00376BDE" w:rsidRPr="00062E21" w:rsidRDefault="00376BDE" w:rsidP="00006A83">
      <w:pPr>
        <w:pStyle w:val="ListParagraph"/>
        <w:widowControl/>
        <w:numPr>
          <w:ilvl w:val="1"/>
          <w:numId w:val="23"/>
        </w:numPr>
        <w:tabs>
          <w:tab w:val="left" w:pos="720"/>
        </w:tabs>
        <w:autoSpaceDE/>
        <w:autoSpaceDN/>
        <w:adjustRightInd/>
        <w:spacing w:line="360" w:lineRule="auto"/>
        <w:contextualSpacing/>
        <w:rPr>
          <w:bCs/>
          <w:sz w:val="26"/>
          <w:szCs w:val="26"/>
        </w:rPr>
      </w:pPr>
      <w:r w:rsidRPr="00062E21">
        <w:rPr>
          <w:bCs/>
          <w:sz w:val="26"/>
          <w:szCs w:val="26"/>
        </w:rPr>
        <w:t>Computation of the DSIC;</w:t>
      </w:r>
    </w:p>
    <w:p w:rsidR="00376BDE" w:rsidRPr="00062E21" w:rsidRDefault="00376BDE">
      <w:pPr>
        <w:pStyle w:val="ListParagraph"/>
        <w:widowControl/>
        <w:numPr>
          <w:ilvl w:val="1"/>
          <w:numId w:val="23"/>
        </w:numPr>
        <w:tabs>
          <w:tab w:val="left" w:pos="720"/>
        </w:tabs>
        <w:autoSpaceDE/>
        <w:autoSpaceDN/>
        <w:adjustRightInd/>
        <w:spacing w:line="360" w:lineRule="auto"/>
        <w:contextualSpacing/>
        <w:rPr>
          <w:bCs/>
          <w:sz w:val="26"/>
          <w:szCs w:val="26"/>
        </w:rPr>
      </w:pPr>
      <w:r w:rsidRPr="00062E21">
        <w:rPr>
          <w:bCs/>
          <w:sz w:val="26"/>
          <w:szCs w:val="26"/>
        </w:rPr>
        <w:t xml:space="preserve">The method for quarterly updates of the DSIC; </w:t>
      </w:r>
      <w:r>
        <w:rPr>
          <w:bCs/>
          <w:sz w:val="26"/>
          <w:szCs w:val="26"/>
        </w:rPr>
        <w:t>and</w:t>
      </w:r>
    </w:p>
    <w:p w:rsidR="00376BDE" w:rsidRPr="00B32F8D" w:rsidRDefault="00376BDE">
      <w:pPr>
        <w:pStyle w:val="ListParagraph"/>
        <w:widowControl/>
        <w:numPr>
          <w:ilvl w:val="1"/>
          <w:numId w:val="23"/>
        </w:numPr>
        <w:tabs>
          <w:tab w:val="left" w:pos="720"/>
        </w:tabs>
        <w:autoSpaceDE/>
        <w:autoSpaceDN/>
        <w:adjustRightInd/>
        <w:spacing w:line="360" w:lineRule="auto"/>
        <w:contextualSpacing/>
        <w:rPr>
          <w:bCs/>
          <w:sz w:val="26"/>
          <w:szCs w:val="26"/>
        </w:rPr>
      </w:pPr>
      <w:r w:rsidRPr="00B32F8D">
        <w:rPr>
          <w:bCs/>
          <w:sz w:val="26"/>
          <w:szCs w:val="26"/>
        </w:rPr>
        <w:t>A description of consumer protections.</w:t>
      </w:r>
    </w:p>
    <w:p w:rsidR="00376BDE" w:rsidRPr="00062E21" w:rsidRDefault="00376BDE">
      <w:pPr>
        <w:pStyle w:val="ListParagraph"/>
        <w:widowControl/>
        <w:numPr>
          <w:ilvl w:val="0"/>
          <w:numId w:val="23"/>
        </w:numPr>
        <w:tabs>
          <w:tab w:val="left" w:pos="720"/>
        </w:tabs>
        <w:autoSpaceDE/>
        <w:autoSpaceDN/>
        <w:adjustRightInd/>
        <w:spacing w:line="360" w:lineRule="auto"/>
        <w:contextualSpacing/>
        <w:rPr>
          <w:bCs/>
          <w:sz w:val="26"/>
          <w:szCs w:val="26"/>
        </w:rPr>
      </w:pPr>
      <w:r w:rsidRPr="00062E21">
        <w:rPr>
          <w:bCs/>
          <w:sz w:val="26"/>
          <w:szCs w:val="26"/>
        </w:rPr>
        <w:t>Testimony, affidavits, exhibits, and other supporting evidence demonstrating that the DSIC is in the public interest;</w:t>
      </w:r>
    </w:p>
    <w:p w:rsidR="00376BDE" w:rsidRPr="00062E21" w:rsidRDefault="00376BDE">
      <w:pPr>
        <w:pStyle w:val="ListParagraph"/>
        <w:widowControl/>
        <w:numPr>
          <w:ilvl w:val="0"/>
          <w:numId w:val="23"/>
        </w:numPr>
        <w:tabs>
          <w:tab w:val="left" w:pos="720"/>
        </w:tabs>
        <w:autoSpaceDE/>
        <w:autoSpaceDN/>
        <w:adjustRightInd/>
        <w:spacing w:line="360" w:lineRule="auto"/>
        <w:contextualSpacing/>
        <w:rPr>
          <w:bCs/>
          <w:sz w:val="26"/>
          <w:szCs w:val="26"/>
        </w:rPr>
      </w:pPr>
      <w:r w:rsidRPr="00062E21">
        <w:rPr>
          <w:bCs/>
          <w:sz w:val="26"/>
          <w:szCs w:val="26"/>
        </w:rPr>
        <w:lastRenderedPageBreak/>
        <w:t xml:space="preserve">A Long Term Infrastructure Improvement Plan (LTIIP) as described in Section 1352, </w:t>
      </w:r>
      <w:r w:rsidRPr="00062E21">
        <w:rPr>
          <w:sz w:val="26"/>
          <w:szCs w:val="26"/>
        </w:rPr>
        <w:t xml:space="preserve">66 Pa. C.S. </w:t>
      </w:r>
      <w:r w:rsidRPr="00062E21">
        <w:rPr>
          <w:bCs/>
          <w:sz w:val="26"/>
          <w:szCs w:val="26"/>
        </w:rPr>
        <w:t xml:space="preserve">§ 1352; </w:t>
      </w:r>
    </w:p>
    <w:p w:rsidR="00376BDE" w:rsidRDefault="00376BDE">
      <w:pPr>
        <w:pStyle w:val="ListParagraph"/>
        <w:widowControl/>
        <w:numPr>
          <w:ilvl w:val="0"/>
          <w:numId w:val="23"/>
        </w:numPr>
        <w:tabs>
          <w:tab w:val="left" w:pos="720"/>
        </w:tabs>
        <w:autoSpaceDE/>
        <w:autoSpaceDN/>
        <w:adjustRightInd/>
        <w:spacing w:line="360" w:lineRule="auto"/>
        <w:contextualSpacing/>
        <w:rPr>
          <w:bCs/>
          <w:sz w:val="26"/>
          <w:szCs w:val="26"/>
        </w:rPr>
      </w:pPr>
      <w:r w:rsidRPr="00062E21">
        <w:rPr>
          <w:bCs/>
          <w:sz w:val="26"/>
          <w:szCs w:val="26"/>
        </w:rPr>
        <w:t>Certification that a base rate case has been filed within five years prior to the filing of the DSIC petition</w:t>
      </w:r>
      <w:r>
        <w:rPr>
          <w:bCs/>
          <w:sz w:val="26"/>
          <w:szCs w:val="26"/>
        </w:rPr>
        <w:t xml:space="preserve">; </w:t>
      </w:r>
      <w:r w:rsidRPr="00062E21">
        <w:rPr>
          <w:bCs/>
          <w:sz w:val="26"/>
          <w:szCs w:val="26"/>
        </w:rPr>
        <w:t>and</w:t>
      </w:r>
    </w:p>
    <w:p w:rsidR="00376BDE" w:rsidRPr="00062E21" w:rsidRDefault="00376BDE">
      <w:pPr>
        <w:pStyle w:val="ListParagraph"/>
        <w:widowControl/>
        <w:numPr>
          <w:ilvl w:val="0"/>
          <w:numId w:val="23"/>
        </w:numPr>
        <w:tabs>
          <w:tab w:val="left" w:pos="720"/>
        </w:tabs>
        <w:autoSpaceDE/>
        <w:autoSpaceDN/>
        <w:adjustRightInd/>
        <w:spacing w:line="360" w:lineRule="auto"/>
        <w:contextualSpacing/>
        <w:rPr>
          <w:bCs/>
          <w:sz w:val="26"/>
          <w:szCs w:val="26"/>
        </w:rPr>
      </w:pPr>
      <w:r>
        <w:rPr>
          <w:bCs/>
          <w:sz w:val="26"/>
          <w:szCs w:val="26"/>
        </w:rPr>
        <w:t>Other information required by the Commission.</w:t>
      </w:r>
    </w:p>
    <w:p w:rsidR="007C65DF" w:rsidRPr="00062E21" w:rsidRDefault="007C65DF">
      <w:pPr>
        <w:widowControl/>
        <w:tabs>
          <w:tab w:val="left" w:pos="720"/>
        </w:tabs>
        <w:spacing w:line="360" w:lineRule="auto"/>
        <w:rPr>
          <w:bCs/>
          <w:sz w:val="26"/>
          <w:szCs w:val="26"/>
        </w:rPr>
      </w:pPr>
    </w:p>
    <w:p w:rsidR="00376BDE" w:rsidRDefault="00135912" w:rsidP="00135912">
      <w:pPr>
        <w:keepNext/>
        <w:widowControl/>
        <w:tabs>
          <w:tab w:val="left" w:pos="720"/>
        </w:tabs>
        <w:spacing w:line="360" w:lineRule="auto"/>
        <w:rPr>
          <w:b/>
          <w:bCs/>
          <w:sz w:val="26"/>
          <w:szCs w:val="26"/>
        </w:rPr>
      </w:pPr>
      <w:r>
        <w:rPr>
          <w:b/>
          <w:bCs/>
          <w:sz w:val="26"/>
          <w:szCs w:val="26"/>
        </w:rPr>
        <w:tab/>
      </w:r>
      <w:r w:rsidR="00376BDE" w:rsidRPr="000E3234">
        <w:rPr>
          <w:b/>
          <w:bCs/>
          <w:sz w:val="26"/>
          <w:szCs w:val="26"/>
        </w:rPr>
        <w:t>(1) Tariff Filing</w:t>
      </w:r>
    </w:p>
    <w:p w:rsidR="00013B7C" w:rsidRPr="00062E21" w:rsidRDefault="00013B7C" w:rsidP="00135912">
      <w:pPr>
        <w:keepNext/>
        <w:widowControl/>
        <w:tabs>
          <w:tab w:val="left" w:pos="720"/>
        </w:tabs>
        <w:spacing w:line="360" w:lineRule="auto"/>
        <w:rPr>
          <w:b/>
          <w:bCs/>
          <w:sz w:val="26"/>
          <w:szCs w:val="26"/>
          <w:u w:val="single"/>
        </w:rPr>
      </w:pPr>
    </w:p>
    <w:p w:rsidR="00013B7C" w:rsidRDefault="00013B7C" w:rsidP="00773D87">
      <w:pPr>
        <w:widowControl/>
        <w:spacing w:line="360" w:lineRule="auto"/>
        <w:ind w:firstLine="1440"/>
        <w:rPr>
          <w:sz w:val="26"/>
          <w:szCs w:val="26"/>
        </w:rPr>
      </w:pPr>
      <w:r w:rsidRPr="00062E21">
        <w:rPr>
          <w:sz w:val="26"/>
          <w:szCs w:val="26"/>
        </w:rPr>
        <w:t xml:space="preserve">Section 1353 requires utilities to file an initial tariff that complies with the Model Tariff adopted by the Commission.  </w:t>
      </w:r>
      <w:r w:rsidR="006A1BFF">
        <w:rPr>
          <w:sz w:val="26"/>
          <w:szCs w:val="26"/>
        </w:rPr>
        <w:t>PGW</w:t>
      </w:r>
      <w:r w:rsidRPr="00062E21">
        <w:rPr>
          <w:sz w:val="26"/>
          <w:szCs w:val="26"/>
        </w:rPr>
        <w:t xml:space="preserve">’s proposed Supplement No. </w:t>
      </w:r>
      <w:r w:rsidR="00045FA6">
        <w:rPr>
          <w:sz w:val="26"/>
          <w:szCs w:val="26"/>
        </w:rPr>
        <w:t>58</w:t>
      </w:r>
      <w:r w:rsidRPr="00062E21">
        <w:rPr>
          <w:sz w:val="26"/>
          <w:szCs w:val="26"/>
        </w:rPr>
        <w:t xml:space="preserve"> to Tariff Gas – Pa. P.U.C. No. </w:t>
      </w:r>
      <w:r w:rsidR="00045FA6">
        <w:rPr>
          <w:sz w:val="26"/>
          <w:szCs w:val="26"/>
        </w:rPr>
        <w:t>2</w:t>
      </w:r>
      <w:r w:rsidRPr="00062E21">
        <w:rPr>
          <w:sz w:val="26"/>
          <w:szCs w:val="26"/>
        </w:rPr>
        <w:t xml:space="preserve"> (Supplement No. </w:t>
      </w:r>
      <w:r w:rsidR="00045FA6">
        <w:rPr>
          <w:sz w:val="26"/>
          <w:szCs w:val="26"/>
        </w:rPr>
        <w:t>58</w:t>
      </w:r>
      <w:r w:rsidRPr="00062E21">
        <w:rPr>
          <w:sz w:val="26"/>
          <w:szCs w:val="26"/>
        </w:rPr>
        <w:t xml:space="preserve">) reflects </w:t>
      </w:r>
      <w:r w:rsidR="006A1BFF">
        <w:rPr>
          <w:sz w:val="26"/>
          <w:szCs w:val="26"/>
        </w:rPr>
        <w:t xml:space="preserve">some of </w:t>
      </w:r>
      <w:r w:rsidRPr="00062E21">
        <w:rPr>
          <w:sz w:val="26"/>
          <w:szCs w:val="26"/>
        </w:rPr>
        <w:t xml:space="preserve">the language </w:t>
      </w:r>
      <w:r w:rsidR="006A1BFF">
        <w:rPr>
          <w:sz w:val="26"/>
          <w:szCs w:val="26"/>
        </w:rPr>
        <w:t>in</w:t>
      </w:r>
      <w:r w:rsidRPr="00062E21">
        <w:rPr>
          <w:sz w:val="26"/>
          <w:szCs w:val="26"/>
        </w:rPr>
        <w:t xml:space="preserve"> the Model Tariff</w:t>
      </w:r>
      <w:r w:rsidR="006A1BFF">
        <w:rPr>
          <w:sz w:val="26"/>
          <w:szCs w:val="26"/>
        </w:rPr>
        <w:t xml:space="preserve">, but suffers from </w:t>
      </w:r>
      <w:r w:rsidR="0087763C">
        <w:rPr>
          <w:sz w:val="26"/>
          <w:szCs w:val="26"/>
        </w:rPr>
        <w:t>a number of</w:t>
      </w:r>
      <w:r w:rsidR="006A1BFF">
        <w:rPr>
          <w:sz w:val="26"/>
          <w:szCs w:val="26"/>
        </w:rPr>
        <w:t xml:space="preserve"> deficiencies</w:t>
      </w:r>
      <w:r w:rsidRPr="00062E21">
        <w:rPr>
          <w:sz w:val="26"/>
          <w:szCs w:val="26"/>
        </w:rPr>
        <w:t>.</w:t>
      </w:r>
    </w:p>
    <w:p w:rsidR="00013B7C" w:rsidRPr="00062E21" w:rsidRDefault="00013B7C" w:rsidP="00773D87">
      <w:pPr>
        <w:widowControl/>
        <w:spacing w:line="360" w:lineRule="auto"/>
        <w:ind w:firstLine="1440"/>
        <w:rPr>
          <w:sz w:val="26"/>
          <w:szCs w:val="26"/>
        </w:rPr>
      </w:pPr>
    </w:p>
    <w:p w:rsidR="00013B7C" w:rsidRPr="00062E21" w:rsidRDefault="007C65DF" w:rsidP="00773D87">
      <w:pPr>
        <w:widowControl/>
        <w:spacing w:line="360" w:lineRule="auto"/>
        <w:rPr>
          <w:b/>
          <w:sz w:val="26"/>
          <w:szCs w:val="26"/>
        </w:rPr>
      </w:pPr>
      <w:r w:rsidRPr="007C65DF">
        <w:rPr>
          <w:b/>
          <w:sz w:val="26"/>
          <w:szCs w:val="26"/>
        </w:rPr>
        <w:tab/>
      </w:r>
      <w:r w:rsidRPr="007C65DF">
        <w:rPr>
          <w:b/>
          <w:sz w:val="26"/>
          <w:szCs w:val="26"/>
        </w:rPr>
        <w:tab/>
        <w:t>(a) Eligible Property</w:t>
      </w:r>
    </w:p>
    <w:p w:rsidR="00013B7C" w:rsidRPr="00062E21" w:rsidRDefault="00013B7C" w:rsidP="00773D87">
      <w:pPr>
        <w:widowControl/>
        <w:spacing w:line="360" w:lineRule="auto"/>
        <w:jc w:val="center"/>
        <w:rPr>
          <w:sz w:val="26"/>
          <w:szCs w:val="26"/>
        </w:rPr>
      </w:pPr>
    </w:p>
    <w:p w:rsidR="00013B7C" w:rsidRPr="00062E21" w:rsidRDefault="007C65DF" w:rsidP="00773D87">
      <w:pPr>
        <w:widowControl/>
        <w:spacing w:line="360" w:lineRule="auto"/>
        <w:rPr>
          <w:b/>
          <w:sz w:val="26"/>
          <w:szCs w:val="26"/>
        </w:rPr>
      </w:pPr>
      <w:r>
        <w:rPr>
          <w:b/>
          <w:sz w:val="26"/>
          <w:szCs w:val="26"/>
        </w:rPr>
        <w:t>PGW’s Petition</w:t>
      </w:r>
    </w:p>
    <w:p w:rsidR="00013B7C" w:rsidRPr="00062E21" w:rsidRDefault="00013B7C" w:rsidP="00773D87">
      <w:pPr>
        <w:widowControl/>
        <w:spacing w:line="360" w:lineRule="auto"/>
        <w:rPr>
          <w:sz w:val="26"/>
          <w:szCs w:val="26"/>
        </w:rPr>
      </w:pPr>
    </w:p>
    <w:p w:rsidR="00013B7C" w:rsidRPr="00062E21" w:rsidRDefault="002E27E2" w:rsidP="00773D87">
      <w:pPr>
        <w:widowControl/>
        <w:spacing w:line="360" w:lineRule="auto"/>
        <w:ind w:firstLine="1440"/>
        <w:rPr>
          <w:sz w:val="26"/>
          <w:szCs w:val="26"/>
        </w:rPr>
      </w:pPr>
      <w:r>
        <w:rPr>
          <w:sz w:val="26"/>
          <w:szCs w:val="26"/>
        </w:rPr>
        <w:t xml:space="preserve">PGW </w:t>
      </w:r>
      <w:r w:rsidR="003A76D3">
        <w:rPr>
          <w:sz w:val="26"/>
          <w:szCs w:val="26"/>
        </w:rPr>
        <w:t>proposes to</w:t>
      </w:r>
      <w:r w:rsidR="00013B7C" w:rsidRPr="00062E21">
        <w:rPr>
          <w:sz w:val="26"/>
          <w:szCs w:val="26"/>
        </w:rPr>
        <w:t xml:space="preserve"> include the same eligible property in </w:t>
      </w:r>
      <w:r w:rsidR="00911697">
        <w:rPr>
          <w:sz w:val="26"/>
          <w:szCs w:val="26"/>
        </w:rPr>
        <w:t>its</w:t>
      </w:r>
      <w:r w:rsidR="00013B7C" w:rsidRPr="00062E21">
        <w:rPr>
          <w:sz w:val="26"/>
          <w:szCs w:val="26"/>
        </w:rPr>
        <w:t xml:space="preserve"> DSIC as in </w:t>
      </w:r>
      <w:r w:rsidR="00911697">
        <w:rPr>
          <w:sz w:val="26"/>
          <w:szCs w:val="26"/>
        </w:rPr>
        <w:t>its</w:t>
      </w:r>
      <w:r w:rsidR="00013B7C" w:rsidRPr="00062E21">
        <w:rPr>
          <w:sz w:val="26"/>
          <w:szCs w:val="26"/>
        </w:rPr>
        <w:t xml:space="preserve"> LTIIP, including piping, couplings, gas service lines, valves, excess flow valves, risers, meter bars, meters, unreimbursed costs related to highway relocation projects, and other related capitalized costs.  </w:t>
      </w:r>
    </w:p>
    <w:p w:rsidR="00013B7C" w:rsidRPr="00062E21" w:rsidRDefault="00013B7C" w:rsidP="00773D87">
      <w:pPr>
        <w:widowControl/>
        <w:spacing w:line="360" w:lineRule="auto"/>
        <w:ind w:firstLine="1440"/>
        <w:rPr>
          <w:sz w:val="26"/>
          <w:szCs w:val="26"/>
        </w:rPr>
      </w:pPr>
    </w:p>
    <w:p w:rsidR="00013B7C" w:rsidRPr="009549C2" w:rsidRDefault="00013B7C" w:rsidP="00F254AA">
      <w:pPr>
        <w:keepNext/>
        <w:widowControl/>
        <w:spacing w:line="360" w:lineRule="auto"/>
        <w:rPr>
          <w:b/>
          <w:sz w:val="26"/>
          <w:szCs w:val="26"/>
        </w:rPr>
      </w:pPr>
      <w:r w:rsidRPr="009549C2">
        <w:rPr>
          <w:b/>
          <w:sz w:val="26"/>
          <w:szCs w:val="26"/>
        </w:rPr>
        <w:t>Comments</w:t>
      </w:r>
    </w:p>
    <w:p w:rsidR="00013B7C" w:rsidRPr="009549C2" w:rsidRDefault="00013B7C" w:rsidP="00F254AA">
      <w:pPr>
        <w:keepNext/>
        <w:widowControl/>
        <w:spacing w:line="360" w:lineRule="auto"/>
        <w:ind w:firstLine="1440"/>
        <w:rPr>
          <w:sz w:val="26"/>
          <w:szCs w:val="26"/>
        </w:rPr>
      </w:pPr>
    </w:p>
    <w:p w:rsidR="00E90DB3" w:rsidRPr="009549C2" w:rsidRDefault="00E90DB3" w:rsidP="00E90DB3">
      <w:pPr>
        <w:widowControl/>
        <w:spacing w:line="360" w:lineRule="auto"/>
        <w:ind w:firstLine="1440"/>
        <w:rPr>
          <w:sz w:val="26"/>
          <w:szCs w:val="26"/>
        </w:rPr>
      </w:pPr>
      <w:r w:rsidRPr="009549C2">
        <w:rPr>
          <w:sz w:val="26"/>
          <w:szCs w:val="26"/>
        </w:rPr>
        <w:t xml:space="preserve">OCA questions PGW’s proposals to annualize DSIC-eligible costs and notes that this could allow the recovery of costs associated with plant not yet used and useful.  OCA Answer, pp. 3 and 4.  Additionally, OCA questions whether PGW’s proposal to recover the costs of eligible property placed in service in November 2012 in a </w:t>
      </w:r>
      <w:r w:rsidRPr="009549C2">
        <w:rPr>
          <w:sz w:val="26"/>
          <w:szCs w:val="26"/>
        </w:rPr>
        <w:lastRenderedPageBreak/>
        <w:t>DSIC charge established March 1, 2013, may violate Section 1357 and the prohibition against retroactive ratemaking.  OCA Answer, p. 4.</w:t>
      </w:r>
    </w:p>
    <w:p w:rsidR="00E90DB3" w:rsidRPr="009549C2" w:rsidRDefault="00E90DB3" w:rsidP="009549C2">
      <w:pPr>
        <w:widowControl/>
        <w:spacing w:line="360" w:lineRule="auto"/>
        <w:ind w:firstLine="1440"/>
        <w:rPr>
          <w:sz w:val="26"/>
          <w:szCs w:val="26"/>
        </w:rPr>
      </w:pPr>
    </w:p>
    <w:p w:rsidR="00013B7C" w:rsidRPr="00062E21" w:rsidRDefault="00013B7C" w:rsidP="0039749A">
      <w:pPr>
        <w:keepNext/>
        <w:widowControl/>
        <w:spacing w:line="360" w:lineRule="auto"/>
        <w:rPr>
          <w:b/>
          <w:sz w:val="26"/>
          <w:szCs w:val="26"/>
        </w:rPr>
      </w:pPr>
      <w:r w:rsidRPr="009549C2">
        <w:rPr>
          <w:b/>
          <w:sz w:val="26"/>
          <w:szCs w:val="26"/>
        </w:rPr>
        <w:t>Resolution</w:t>
      </w:r>
    </w:p>
    <w:p w:rsidR="00013B7C" w:rsidRPr="00062E21" w:rsidRDefault="00013B7C" w:rsidP="0039749A">
      <w:pPr>
        <w:keepNext/>
        <w:widowControl/>
        <w:spacing w:line="360" w:lineRule="auto"/>
        <w:rPr>
          <w:sz w:val="26"/>
          <w:szCs w:val="26"/>
        </w:rPr>
      </w:pPr>
    </w:p>
    <w:p w:rsidR="00F8245F" w:rsidRDefault="00E90DB3" w:rsidP="0039749A">
      <w:pPr>
        <w:widowControl/>
        <w:spacing w:line="360" w:lineRule="auto"/>
        <w:ind w:firstLine="1440"/>
        <w:rPr>
          <w:color w:val="000000"/>
          <w:sz w:val="26"/>
          <w:szCs w:val="26"/>
        </w:rPr>
      </w:pPr>
      <w:r w:rsidRPr="00062E21">
        <w:rPr>
          <w:sz w:val="26"/>
          <w:szCs w:val="26"/>
        </w:rPr>
        <w:t>Eligible property for C</w:t>
      </w:r>
      <w:r w:rsidR="00EA1719">
        <w:rPr>
          <w:sz w:val="26"/>
          <w:szCs w:val="26"/>
        </w:rPr>
        <w:t>NGDO</w:t>
      </w:r>
      <w:r w:rsidRPr="00062E21">
        <w:rPr>
          <w:sz w:val="26"/>
          <w:szCs w:val="26"/>
        </w:rPr>
        <w:t>s is defined in Section 1352, 66 Pa. C.S. §</w:t>
      </w:r>
      <w:r w:rsidR="00A37C35">
        <w:rPr>
          <w:sz w:val="26"/>
          <w:szCs w:val="26"/>
        </w:rPr>
        <w:t> </w:t>
      </w:r>
      <w:r w:rsidRPr="00062E21">
        <w:rPr>
          <w:sz w:val="26"/>
          <w:szCs w:val="26"/>
        </w:rPr>
        <w:t xml:space="preserve">1351(2). </w:t>
      </w:r>
      <w:r>
        <w:rPr>
          <w:sz w:val="26"/>
          <w:szCs w:val="26"/>
        </w:rPr>
        <w:t xml:space="preserve"> </w:t>
      </w:r>
      <w:r w:rsidR="00B41702" w:rsidRPr="0039749A">
        <w:rPr>
          <w:sz w:val="26"/>
          <w:szCs w:val="26"/>
        </w:rPr>
        <w:t>Eligible plant as described by PGW’s tariff is in conformance with Act 11 and the Model Tariff</w:t>
      </w:r>
      <w:r w:rsidR="00013B7C" w:rsidRPr="0039749A">
        <w:rPr>
          <w:sz w:val="26"/>
          <w:szCs w:val="26"/>
        </w:rPr>
        <w:t xml:space="preserve">.  </w:t>
      </w:r>
      <w:r w:rsidR="00983D63">
        <w:rPr>
          <w:sz w:val="26"/>
          <w:szCs w:val="26"/>
        </w:rPr>
        <w:t>As we noted in Columbia’s LTIIP and DSIC proceeding,</w:t>
      </w:r>
      <w:r>
        <w:rPr>
          <w:rStyle w:val="FootnoteReference"/>
          <w:sz w:val="26"/>
          <w:szCs w:val="26"/>
        </w:rPr>
        <w:footnoteReference w:id="7"/>
      </w:r>
      <w:r w:rsidR="00983D63">
        <w:rPr>
          <w:sz w:val="26"/>
          <w:szCs w:val="26"/>
        </w:rPr>
        <w:t xml:space="preserve"> inclusion of </w:t>
      </w:r>
      <w:r w:rsidR="00983D63">
        <w:rPr>
          <w:color w:val="000000"/>
        </w:rPr>
        <w:t xml:space="preserve">some </w:t>
      </w:r>
      <w:r w:rsidR="00983D63">
        <w:rPr>
          <w:i/>
          <w:color w:val="000000"/>
        </w:rPr>
        <w:t>arguably</w:t>
      </w:r>
      <w:r w:rsidR="00983D63">
        <w:rPr>
          <w:color w:val="000000"/>
        </w:rPr>
        <w:t xml:space="preserve"> non-DSIC eligible property in a LTIIP is not a reason to disapprove the LTIIP.  </w:t>
      </w:r>
      <w:r w:rsidR="006708C1">
        <w:rPr>
          <w:color w:val="000000"/>
          <w:sz w:val="26"/>
          <w:szCs w:val="26"/>
        </w:rPr>
        <w:t xml:space="preserve"> </w:t>
      </w:r>
    </w:p>
    <w:p w:rsidR="00F8245F" w:rsidRDefault="00F8245F" w:rsidP="0039749A">
      <w:pPr>
        <w:widowControl/>
        <w:spacing w:line="360" w:lineRule="auto"/>
        <w:ind w:firstLine="1440"/>
        <w:rPr>
          <w:color w:val="000000"/>
          <w:sz w:val="26"/>
          <w:szCs w:val="26"/>
        </w:rPr>
      </w:pPr>
    </w:p>
    <w:p w:rsidR="00013B7C" w:rsidRPr="0039749A" w:rsidRDefault="00E90DB3" w:rsidP="0039749A">
      <w:pPr>
        <w:widowControl/>
        <w:spacing w:line="360" w:lineRule="auto"/>
        <w:ind w:firstLine="1440"/>
        <w:rPr>
          <w:sz w:val="26"/>
          <w:szCs w:val="26"/>
        </w:rPr>
      </w:pPr>
      <w:r>
        <w:rPr>
          <w:sz w:val="26"/>
          <w:szCs w:val="26"/>
        </w:rPr>
        <w:t xml:space="preserve">To the extent that the comments regarding eligible property relate to the calculation of the DSIC, they will be addressed in the discussion of </w:t>
      </w:r>
      <w:r w:rsidR="00A25484">
        <w:rPr>
          <w:sz w:val="26"/>
          <w:szCs w:val="26"/>
        </w:rPr>
        <w:t>c</w:t>
      </w:r>
      <w:r>
        <w:rPr>
          <w:sz w:val="26"/>
          <w:szCs w:val="26"/>
        </w:rPr>
        <w:t xml:space="preserve">omputation of the DSIC, below. </w:t>
      </w:r>
      <w:r w:rsidR="00B41702" w:rsidRPr="009549C2">
        <w:rPr>
          <w:sz w:val="26"/>
          <w:szCs w:val="26"/>
        </w:rPr>
        <w:t xml:space="preserve"> </w:t>
      </w:r>
      <w:r w:rsidR="00F254AA" w:rsidRPr="009549C2">
        <w:rPr>
          <w:i/>
          <w:sz w:val="26"/>
          <w:szCs w:val="26"/>
        </w:rPr>
        <w:t xml:space="preserve">See </w:t>
      </w:r>
      <w:r w:rsidR="00A25484">
        <w:rPr>
          <w:sz w:val="26"/>
          <w:szCs w:val="26"/>
        </w:rPr>
        <w:t>Section (1)(c), Co</w:t>
      </w:r>
      <w:r w:rsidR="00B41702" w:rsidRPr="009549C2">
        <w:rPr>
          <w:sz w:val="26"/>
          <w:szCs w:val="26"/>
        </w:rPr>
        <w:t>mputation of the DSIC section</w:t>
      </w:r>
      <w:r w:rsidR="00F254AA" w:rsidRPr="009549C2">
        <w:rPr>
          <w:sz w:val="26"/>
          <w:szCs w:val="26"/>
        </w:rPr>
        <w:t xml:space="preserve"> below</w:t>
      </w:r>
      <w:r w:rsidR="00B41702" w:rsidRPr="009549C2">
        <w:rPr>
          <w:sz w:val="26"/>
          <w:szCs w:val="26"/>
        </w:rPr>
        <w:t>.</w:t>
      </w:r>
    </w:p>
    <w:p w:rsidR="002F2EA4" w:rsidRPr="0039749A" w:rsidRDefault="002F2EA4" w:rsidP="0039749A">
      <w:pPr>
        <w:widowControl/>
        <w:spacing w:line="360" w:lineRule="auto"/>
        <w:jc w:val="center"/>
        <w:rPr>
          <w:b/>
          <w:sz w:val="26"/>
          <w:szCs w:val="26"/>
        </w:rPr>
      </w:pPr>
    </w:p>
    <w:p w:rsidR="00013B7C" w:rsidRDefault="007C65DF" w:rsidP="00F254AA">
      <w:pPr>
        <w:keepNext/>
        <w:widowControl/>
        <w:spacing w:line="360" w:lineRule="auto"/>
        <w:rPr>
          <w:b/>
          <w:sz w:val="26"/>
          <w:szCs w:val="26"/>
        </w:rPr>
      </w:pPr>
      <w:r>
        <w:rPr>
          <w:b/>
          <w:sz w:val="26"/>
          <w:szCs w:val="26"/>
        </w:rPr>
        <w:tab/>
      </w:r>
      <w:r>
        <w:rPr>
          <w:b/>
          <w:sz w:val="26"/>
          <w:szCs w:val="26"/>
        </w:rPr>
        <w:tab/>
        <w:t>(b</w:t>
      </w:r>
      <w:r w:rsidRPr="007C65DF">
        <w:rPr>
          <w:b/>
          <w:sz w:val="26"/>
          <w:szCs w:val="26"/>
        </w:rPr>
        <w:t xml:space="preserve">) </w:t>
      </w:r>
      <w:r w:rsidR="00013B7C" w:rsidRPr="00062E21">
        <w:rPr>
          <w:b/>
          <w:sz w:val="26"/>
          <w:szCs w:val="26"/>
        </w:rPr>
        <w:t>Effective Date</w:t>
      </w:r>
    </w:p>
    <w:p w:rsidR="00013B7C" w:rsidRPr="00062E21" w:rsidRDefault="00013B7C" w:rsidP="00F254AA">
      <w:pPr>
        <w:keepNext/>
        <w:widowControl/>
        <w:spacing w:line="360" w:lineRule="auto"/>
        <w:jc w:val="center"/>
        <w:rPr>
          <w:b/>
          <w:sz w:val="26"/>
          <w:szCs w:val="26"/>
        </w:rPr>
      </w:pPr>
    </w:p>
    <w:p w:rsidR="00013B7C" w:rsidRPr="00062E21" w:rsidRDefault="00F919D7" w:rsidP="00F254AA">
      <w:pPr>
        <w:keepNext/>
        <w:widowControl/>
        <w:spacing w:line="360" w:lineRule="auto"/>
        <w:rPr>
          <w:b/>
          <w:sz w:val="26"/>
          <w:szCs w:val="26"/>
        </w:rPr>
      </w:pPr>
      <w:r>
        <w:rPr>
          <w:b/>
          <w:sz w:val="26"/>
          <w:szCs w:val="26"/>
        </w:rPr>
        <w:t>PGW’s Petition</w:t>
      </w:r>
      <w:r w:rsidRPr="00062E21">
        <w:rPr>
          <w:b/>
          <w:sz w:val="26"/>
          <w:szCs w:val="26"/>
        </w:rPr>
        <w:t xml:space="preserve"> </w:t>
      </w:r>
    </w:p>
    <w:p w:rsidR="00013B7C" w:rsidRPr="00062E21" w:rsidRDefault="00013B7C" w:rsidP="00F254AA">
      <w:pPr>
        <w:keepNext/>
        <w:widowControl/>
        <w:spacing w:line="360" w:lineRule="auto"/>
        <w:rPr>
          <w:sz w:val="26"/>
          <w:szCs w:val="26"/>
        </w:rPr>
      </w:pPr>
    </w:p>
    <w:p w:rsidR="00013B7C" w:rsidRPr="00062E21" w:rsidRDefault="007B2C7B" w:rsidP="00773D87">
      <w:pPr>
        <w:widowControl/>
        <w:spacing w:line="360" w:lineRule="auto"/>
        <w:ind w:firstLine="1440"/>
        <w:rPr>
          <w:sz w:val="26"/>
          <w:szCs w:val="26"/>
        </w:rPr>
      </w:pPr>
      <w:r>
        <w:rPr>
          <w:sz w:val="26"/>
          <w:szCs w:val="26"/>
        </w:rPr>
        <w:t>PGW</w:t>
      </w:r>
      <w:r w:rsidR="00013B7C" w:rsidRPr="00062E21">
        <w:rPr>
          <w:sz w:val="26"/>
          <w:szCs w:val="26"/>
        </w:rPr>
        <w:t xml:space="preserve">’s proposed Supplement No. </w:t>
      </w:r>
      <w:r w:rsidR="00153ADE">
        <w:rPr>
          <w:sz w:val="26"/>
          <w:szCs w:val="26"/>
        </w:rPr>
        <w:t>58</w:t>
      </w:r>
      <w:r w:rsidR="00013B7C" w:rsidRPr="00062E21">
        <w:rPr>
          <w:sz w:val="26"/>
          <w:szCs w:val="26"/>
        </w:rPr>
        <w:t xml:space="preserve"> has an issued date of January </w:t>
      </w:r>
      <w:r w:rsidR="00153ADE">
        <w:rPr>
          <w:sz w:val="26"/>
          <w:szCs w:val="26"/>
        </w:rPr>
        <w:t>18</w:t>
      </w:r>
      <w:r w:rsidR="00013B7C" w:rsidRPr="00062E21">
        <w:rPr>
          <w:sz w:val="26"/>
          <w:szCs w:val="26"/>
        </w:rPr>
        <w:t>, 2013</w:t>
      </w:r>
      <w:r w:rsidR="006535AD">
        <w:rPr>
          <w:sz w:val="26"/>
          <w:szCs w:val="26"/>
        </w:rPr>
        <w:t>,</w:t>
      </w:r>
      <w:r w:rsidR="00013B7C" w:rsidRPr="00062E21">
        <w:rPr>
          <w:sz w:val="26"/>
          <w:szCs w:val="26"/>
        </w:rPr>
        <w:t xml:space="preserve"> and an effective date of March </w:t>
      </w:r>
      <w:r w:rsidR="00153ADE">
        <w:rPr>
          <w:sz w:val="26"/>
          <w:szCs w:val="26"/>
        </w:rPr>
        <w:t>1</w:t>
      </w:r>
      <w:r w:rsidR="00013B7C" w:rsidRPr="00062E21">
        <w:rPr>
          <w:sz w:val="26"/>
          <w:szCs w:val="26"/>
        </w:rPr>
        <w:t xml:space="preserve">, 2013.  </w:t>
      </w:r>
      <w:r w:rsidR="00153ADE">
        <w:rPr>
          <w:sz w:val="26"/>
          <w:szCs w:val="26"/>
        </w:rPr>
        <w:t xml:space="preserve">PGW </w:t>
      </w:r>
      <w:r w:rsidR="006535AD">
        <w:rPr>
          <w:sz w:val="26"/>
          <w:szCs w:val="26"/>
        </w:rPr>
        <w:t xml:space="preserve">is, thus, </w:t>
      </w:r>
      <w:r w:rsidR="00153ADE">
        <w:rPr>
          <w:sz w:val="26"/>
          <w:szCs w:val="26"/>
        </w:rPr>
        <w:t>request</w:t>
      </w:r>
      <w:r w:rsidR="006535AD">
        <w:rPr>
          <w:sz w:val="26"/>
          <w:szCs w:val="26"/>
        </w:rPr>
        <w:t>ing</w:t>
      </w:r>
      <w:r w:rsidR="00153ADE">
        <w:rPr>
          <w:sz w:val="26"/>
          <w:szCs w:val="26"/>
        </w:rPr>
        <w:t xml:space="preserve"> that the Commission approve PGW’s </w:t>
      </w:r>
      <w:r w:rsidR="00E946E9">
        <w:rPr>
          <w:sz w:val="26"/>
          <w:szCs w:val="26"/>
        </w:rPr>
        <w:t xml:space="preserve">initial </w:t>
      </w:r>
      <w:r w:rsidR="00153ADE">
        <w:rPr>
          <w:sz w:val="26"/>
          <w:szCs w:val="26"/>
        </w:rPr>
        <w:t xml:space="preserve">DSIC </w:t>
      </w:r>
      <w:r w:rsidR="009E3014">
        <w:rPr>
          <w:sz w:val="26"/>
          <w:szCs w:val="26"/>
        </w:rPr>
        <w:t>on less than 60 day</w:t>
      </w:r>
      <w:r w:rsidR="008E37BC">
        <w:rPr>
          <w:sz w:val="26"/>
          <w:szCs w:val="26"/>
        </w:rPr>
        <w:t>s’</w:t>
      </w:r>
      <w:r w:rsidR="009E3014">
        <w:rPr>
          <w:sz w:val="26"/>
          <w:szCs w:val="26"/>
        </w:rPr>
        <w:t xml:space="preserve"> notice.  PGW Petition</w:t>
      </w:r>
      <w:r w:rsidR="00013B7C" w:rsidRPr="00062E21">
        <w:rPr>
          <w:sz w:val="26"/>
          <w:szCs w:val="26"/>
        </w:rPr>
        <w:t xml:space="preserve"> </w:t>
      </w:r>
      <w:r w:rsidR="007C65DF">
        <w:rPr>
          <w:sz w:val="26"/>
          <w:szCs w:val="26"/>
        </w:rPr>
        <w:t xml:space="preserve">at </w:t>
      </w:r>
      <w:r w:rsidR="009E3014">
        <w:rPr>
          <w:sz w:val="26"/>
          <w:szCs w:val="26"/>
        </w:rPr>
        <w:t>8</w:t>
      </w:r>
      <w:r w:rsidR="000A2D1E">
        <w:rPr>
          <w:sz w:val="26"/>
          <w:szCs w:val="26"/>
        </w:rPr>
        <w:t>.</w:t>
      </w:r>
    </w:p>
    <w:p w:rsidR="00013B7C" w:rsidRPr="00062E21" w:rsidRDefault="00013B7C" w:rsidP="00773D87">
      <w:pPr>
        <w:widowControl/>
        <w:spacing w:line="360" w:lineRule="auto"/>
        <w:ind w:firstLine="1440"/>
        <w:rPr>
          <w:sz w:val="26"/>
          <w:szCs w:val="26"/>
        </w:rPr>
      </w:pPr>
    </w:p>
    <w:p w:rsidR="00013B7C" w:rsidRPr="00062E21" w:rsidRDefault="00013B7C" w:rsidP="00F254AA">
      <w:pPr>
        <w:keepNext/>
        <w:widowControl/>
        <w:spacing w:line="360" w:lineRule="auto"/>
        <w:rPr>
          <w:b/>
          <w:sz w:val="26"/>
          <w:szCs w:val="26"/>
        </w:rPr>
      </w:pPr>
      <w:r w:rsidRPr="00062E21">
        <w:rPr>
          <w:b/>
          <w:sz w:val="26"/>
          <w:szCs w:val="26"/>
        </w:rPr>
        <w:lastRenderedPageBreak/>
        <w:t>Comments</w:t>
      </w:r>
    </w:p>
    <w:p w:rsidR="00013B7C" w:rsidRPr="00062E21" w:rsidRDefault="00013B7C" w:rsidP="00F254AA">
      <w:pPr>
        <w:keepNext/>
        <w:widowControl/>
        <w:spacing w:line="360" w:lineRule="auto"/>
        <w:ind w:firstLine="1440"/>
        <w:rPr>
          <w:sz w:val="26"/>
          <w:szCs w:val="26"/>
        </w:rPr>
      </w:pPr>
    </w:p>
    <w:p w:rsidR="00013B7C" w:rsidRPr="00062E21" w:rsidRDefault="00013B7C" w:rsidP="00773D87">
      <w:pPr>
        <w:widowControl/>
        <w:spacing w:line="360" w:lineRule="auto"/>
        <w:ind w:firstLine="1440"/>
        <w:rPr>
          <w:sz w:val="26"/>
          <w:szCs w:val="26"/>
        </w:rPr>
      </w:pPr>
      <w:r w:rsidRPr="00062E21">
        <w:rPr>
          <w:sz w:val="26"/>
          <w:szCs w:val="26"/>
        </w:rPr>
        <w:t xml:space="preserve">OCA, OSBA and </w:t>
      </w:r>
      <w:r w:rsidR="000A2D1E">
        <w:rPr>
          <w:sz w:val="26"/>
          <w:szCs w:val="26"/>
        </w:rPr>
        <w:t>P</w:t>
      </w:r>
      <w:r w:rsidRPr="00062E21">
        <w:rPr>
          <w:sz w:val="26"/>
          <w:szCs w:val="26"/>
        </w:rPr>
        <w:t>I</w:t>
      </w:r>
      <w:r w:rsidR="000A2D1E">
        <w:rPr>
          <w:sz w:val="26"/>
          <w:szCs w:val="26"/>
        </w:rPr>
        <w:t>CGUG</w:t>
      </w:r>
      <w:r w:rsidRPr="00062E21">
        <w:rPr>
          <w:sz w:val="26"/>
          <w:szCs w:val="26"/>
        </w:rPr>
        <w:t xml:space="preserve"> have filed to intervene and have requested evidentiary hearings before an Administrative Law Judge.  </w:t>
      </w:r>
      <w:r w:rsidR="000A2D1E">
        <w:rPr>
          <w:sz w:val="26"/>
          <w:szCs w:val="26"/>
        </w:rPr>
        <w:t xml:space="preserve">OCA has stated that the </w:t>
      </w:r>
      <w:r w:rsidR="006535AD">
        <w:rPr>
          <w:sz w:val="26"/>
          <w:szCs w:val="26"/>
        </w:rPr>
        <w:t xml:space="preserve">DSIC </w:t>
      </w:r>
      <w:r w:rsidR="000A2D1E">
        <w:rPr>
          <w:sz w:val="26"/>
          <w:szCs w:val="26"/>
        </w:rPr>
        <w:t>Petition should be denied as filed.</w:t>
      </w:r>
      <w:r w:rsidR="006535AD">
        <w:rPr>
          <w:sz w:val="26"/>
          <w:szCs w:val="26"/>
        </w:rPr>
        <w:t xml:space="preserve"> </w:t>
      </w:r>
      <w:r w:rsidR="000A2D1E">
        <w:rPr>
          <w:sz w:val="26"/>
          <w:szCs w:val="26"/>
        </w:rPr>
        <w:t xml:space="preserve"> OCA Answer</w:t>
      </w:r>
      <w:r w:rsidR="006535AD">
        <w:rPr>
          <w:sz w:val="26"/>
          <w:szCs w:val="26"/>
        </w:rPr>
        <w:t>,</w:t>
      </w:r>
      <w:r w:rsidR="000A2D1E">
        <w:rPr>
          <w:sz w:val="26"/>
          <w:szCs w:val="26"/>
        </w:rPr>
        <w:t xml:space="preserve"> p.1.  </w:t>
      </w:r>
      <w:r w:rsidR="00AA4660">
        <w:rPr>
          <w:sz w:val="26"/>
          <w:szCs w:val="26"/>
        </w:rPr>
        <w:t>OCA also questions PGW’s need to coordinate the DSIC quarterly adjustment schedule with PGW’s Gas Cost Rate (GCR) schedule and its fiscal year</w:t>
      </w:r>
      <w:r w:rsidR="00077670">
        <w:rPr>
          <w:sz w:val="26"/>
          <w:szCs w:val="26"/>
        </w:rPr>
        <w:t>.</w:t>
      </w:r>
      <w:r w:rsidR="006535AD">
        <w:rPr>
          <w:sz w:val="26"/>
          <w:szCs w:val="26"/>
        </w:rPr>
        <w:t xml:space="preserve"> </w:t>
      </w:r>
      <w:r w:rsidR="00077670">
        <w:rPr>
          <w:sz w:val="26"/>
          <w:szCs w:val="26"/>
        </w:rPr>
        <w:t xml:space="preserve"> OCA Answer p. 5.</w:t>
      </w:r>
      <w:r w:rsidR="00AA4660">
        <w:rPr>
          <w:sz w:val="26"/>
          <w:szCs w:val="26"/>
        </w:rPr>
        <w:t xml:space="preserve"> </w:t>
      </w:r>
      <w:r w:rsidRPr="00062E21">
        <w:rPr>
          <w:sz w:val="26"/>
          <w:szCs w:val="26"/>
        </w:rPr>
        <w:t xml:space="preserve"> </w:t>
      </w:r>
      <w:r w:rsidR="00DD477A">
        <w:rPr>
          <w:sz w:val="26"/>
          <w:szCs w:val="26"/>
        </w:rPr>
        <w:t xml:space="preserve">PICGUG notes that the Commission cannot complete an investigation of the proposed </w:t>
      </w:r>
      <w:r w:rsidR="00077670">
        <w:rPr>
          <w:sz w:val="26"/>
          <w:szCs w:val="26"/>
        </w:rPr>
        <w:t xml:space="preserve">DSIC prior to the requested March 1, 2013 effective date. </w:t>
      </w:r>
      <w:r w:rsidR="006535AD">
        <w:rPr>
          <w:sz w:val="26"/>
          <w:szCs w:val="26"/>
        </w:rPr>
        <w:t xml:space="preserve"> </w:t>
      </w:r>
      <w:r w:rsidR="00077670">
        <w:rPr>
          <w:sz w:val="26"/>
          <w:szCs w:val="26"/>
        </w:rPr>
        <w:t>PICGUG Answer</w:t>
      </w:r>
      <w:r w:rsidR="006535AD">
        <w:rPr>
          <w:sz w:val="26"/>
          <w:szCs w:val="26"/>
        </w:rPr>
        <w:t>,</w:t>
      </w:r>
      <w:r w:rsidR="00077670">
        <w:rPr>
          <w:sz w:val="26"/>
          <w:szCs w:val="26"/>
        </w:rPr>
        <w:t xml:space="preserve"> p. 4.</w:t>
      </w:r>
    </w:p>
    <w:p w:rsidR="00013B7C" w:rsidRPr="00062E21" w:rsidRDefault="00013B7C" w:rsidP="00773D87">
      <w:pPr>
        <w:widowControl/>
        <w:spacing w:line="360" w:lineRule="auto"/>
        <w:ind w:firstLine="1440"/>
        <w:rPr>
          <w:sz w:val="26"/>
          <w:szCs w:val="26"/>
        </w:rPr>
      </w:pPr>
    </w:p>
    <w:p w:rsidR="00013B7C" w:rsidRPr="00062E21" w:rsidRDefault="00013B7C" w:rsidP="00773D87">
      <w:pPr>
        <w:widowControl/>
        <w:spacing w:line="360" w:lineRule="auto"/>
        <w:rPr>
          <w:b/>
          <w:sz w:val="26"/>
          <w:szCs w:val="26"/>
        </w:rPr>
      </w:pPr>
      <w:r w:rsidRPr="00062E21">
        <w:rPr>
          <w:b/>
          <w:sz w:val="26"/>
          <w:szCs w:val="26"/>
        </w:rPr>
        <w:t>Resolution</w:t>
      </w:r>
    </w:p>
    <w:p w:rsidR="00013B7C" w:rsidRPr="00062E21" w:rsidRDefault="00013B7C" w:rsidP="00773D87">
      <w:pPr>
        <w:widowControl/>
        <w:spacing w:line="360" w:lineRule="auto"/>
        <w:rPr>
          <w:sz w:val="26"/>
          <w:szCs w:val="26"/>
        </w:rPr>
      </w:pPr>
    </w:p>
    <w:p w:rsidR="00013B7C" w:rsidRDefault="006535AD" w:rsidP="00773D87">
      <w:pPr>
        <w:widowControl/>
        <w:spacing w:line="360" w:lineRule="auto"/>
        <w:ind w:firstLine="1440"/>
        <w:rPr>
          <w:sz w:val="26"/>
          <w:szCs w:val="26"/>
        </w:rPr>
      </w:pPr>
      <w:r>
        <w:rPr>
          <w:sz w:val="26"/>
          <w:szCs w:val="26"/>
        </w:rPr>
        <w:t>Consistent with our analysis regarding the totality of PGW’s DSIC Petition</w:t>
      </w:r>
      <w:r w:rsidR="00A25484">
        <w:rPr>
          <w:sz w:val="26"/>
          <w:szCs w:val="26"/>
        </w:rPr>
        <w:t xml:space="preserve"> and proposed DSIC tariff</w:t>
      </w:r>
      <w:r>
        <w:rPr>
          <w:sz w:val="26"/>
          <w:szCs w:val="26"/>
        </w:rPr>
        <w:t>, w</w:t>
      </w:r>
      <w:r w:rsidR="007C65DF">
        <w:rPr>
          <w:sz w:val="26"/>
          <w:szCs w:val="26"/>
        </w:rPr>
        <w:t xml:space="preserve">e agree with </w:t>
      </w:r>
      <w:r w:rsidR="007C65DF" w:rsidRPr="00062E21">
        <w:rPr>
          <w:sz w:val="26"/>
          <w:szCs w:val="26"/>
        </w:rPr>
        <w:t>OCA, OSBA</w:t>
      </w:r>
      <w:r w:rsidR="00A25484">
        <w:rPr>
          <w:sz w:val="26"/>
          <w:szCs w:val="26"/>
        </w:rPr>
        <w:t>,</w:t>
      </w:r>
      <w:r w:rsidR="007C65DF" w:rsidRPr="00062E21">
        <w:rPr>
          <w:sz w:val="26"/>
          <w:szCs w:val="26"/>
        </w:rPr>
        <w:t xml:space="preserve"> and </w:t>
      </w:r>
      <w:r w:rsidR="007C65DF">
        <w:rPr>
          <w:sz w:val="26"/>
          <w:szCs w:val="26"/>
        </w:rPr>
        <w:t>P</w:t>
      </w:r>
      <w:r w:rsidR="007C65DF" w:rsidRPr="00062E21">
        <w:rPr>
          <w:sz w:val="26"/>
          <w:szCs w:val="26"/>
        </w:rPr>
        <w:t>I</w:t>
      </w:r>
      <w:r w:rsidR="007C65DF">
        <w:rPr>
          <w:sz w:val="26"/>
          <w:szCs w:val="26"/>
        </w:rPr>
        <w:t>CGU</w:t>
      </w:r>
      <w:r w:rsidR="005C17C4">
        <w:rPr>
          <w:sz w:val="26"/>
          <w:szCs w:val="26"/>
        </w:rPr>
        <w:t>G</w:t>
      </w:r>
      <w:r w:rsidR="007C65DF">
        <w:rPr>
          <w:sz w:val="26"/>
          <w:szCs w:val="26"/>
        </w:rPr>
        <w:t xml:space="preserve"> </w:t>
      </w:r>
      <w:r>
        <w:rPr>
          <w:sz w:val="26"/>
          <w:szCs w:val="26"/>
        </w:rPr>
        <w:t xml:space="preserve">that PGW’s DSIC Petition </w:t>
      </w:r>
      <w:r w:rsidR="0067771D">
        <w:rPr>
          <w:sz w:val="26"/>
          <w:szCs w:val="26"/>
        </w:rPr>
        <w:t xml:space="preserve">and </w:t>
      </w:r>
      <w:r w:rsidR="003050F6">
        <w:rPr>
          <w:sz w:val="26"/>
          <w:szCs w:val="26"/>
        </w:rPr>
        <w:t xml:space="preserve">proposed </w:t>
      </w:r>
      <w:r w:rsidR="0067771D">
        <w:rPr>
          <w:sz w:val="26"/>
          <w:szCs w:val="26"/>
        </w:rPr>
        <w:t xml:space="preserve">DSIC tariff have raised issues that preclude approval </w:t>
      </w:r>
      <w:r w:rsidR="00A25484">
        <w:rPr>
          <w:sz w:val="26"/>
          <w:szCs w:val="26"/>
        </w:rPr>
        <w:t xml:space="preserve">of the tariff at this time.  </w:t>
      </w:r>
      <w:r>
        <w:rPr>
          <w:sz w:val="26"/>
          <w:szCs w:val="26"/>
        </w:rPr>
        <w:t>Accordingly, we shall not approve the requested effective date for PGW</w:t>
      </w:r>
      <w:r w:rsidRPr="00062E21">
        <w:rPr>
          <w:sz w:val="26"/>
          <w:szCs w:val="26"/>
        </w:rPr>
        <w:t xml:space="preserve">’s proposed Supplement No. </w:t>
      </w:r>
      <w:r>
        <w:rPr>
          <w:sz w:val="26"/>
          <w:szCs w:val="26"/>
        </w:rPr>
        <w:t>58</w:t>
      </w:r>
      <w:r w:rsidR="00606F24">
        <w:rPr>
          <w:sz w:val="26"/>
          <w:szCs w:val="26"/>
        </w:rPr>
        <w:t xml:space="preserve"> at this time</w:t>
      </w:r>
      <w:r>
        <w:rPr>
          <w:sz w:val="26"/>
          <w:szCs w:val="26"/>
        </w:rPr>
        <w:t>.</w:t>
      </w:r>
    </w:p>
    <w:p w:rsidR="008E37BC" w:rsidRDefault="008E37BC" w:rsidP="00773D87">
      <w:pPr>
        <w:widowControl/>
        <w:spacing w:line="360" w:lineRule="auto"/>
        <w:ind w:firstLine="1440"/>
        <w:rPr>
          <w:sz w:val="26"/>
          <w:szCs w:val="26"/>
        </w:rPr>
      </w:pPr>
    </w:p>
    <w:p w:rsidR="00E946E9" w:rsidRPr="00E946E9" w:rsidRDefault="00E946E9" w:rsidP="00E946E9">
      <w:pPr>
        <w:widowControl/>
        <w:spacing w:line="360" w:lineRule="auto"/>
        <w:ind w:firstLine="1440"/>
        <w:rPr>
          <w:sz w:val="26"/>
          <w:szCs w:val="26"/>
        </w:rPr>
      </w:pPr>
      <w:r w:rsidRPr="00E946E9">
        <w:rPr>
          <w:sz w:val="26"/>
          <w:szCs w:val="26"/>
        </w:rPr>
        <w:t>PGW requested an approval on less than 60 days’ notice and requested a March 1, 2013 effective date to coordinate with its GCR schedule and fiscal year.  We have required the initial tariffs to be filed on 60 days’ notice with the proviso that subsequent quarterly changes could be filed on 10 days’ notice.  Further, the March 1, 2013 effective date appears to be inconsistent with Act 11.</w:t>
      </w:r>
    </w:p>
    <w:p w:rsidR="00E946E9" w:rsidRPr="00E946E9" w:rsidRDefault="00E946E9" w:rsidP="00E946E9">
      <w:pPr>
        <w:widowControl/>
        <w:spacing w:line="360" w:lineRule="auto"/>
        <w:ind w:firstLine="1440"/>
        <w:rPr>
          <w:sz w:val="26"/>
          <w:szCs w:val="26"/>
        </w:rPr>
      </w:pPr>
    </w:p>
    <w:p w:rsidR="00E946E9" w:rsidRPr="00E946E9" w:rsidRDefault="00E946E9" w:rsidP="00E946E9">
      <w:pPr>
        <w:widowControl/>
        <w:spacing w:line="360" w:lineRule="auto"/>
        <w:ind w:firstLine="1440"/>
        <w:rPr>
          <w:sz w:val="26"/>
          <w:szCs w:val="26"/>
        </w:rPr>
      </w:pPr>
      <w:r w:rsidRPr="00E946E9">
        <w:rPr>
          <w:sz w:val="26"/>
          <w:szCs w:val="26"/>
        </w:rPr>
        <w:t xml:space="preserve">Act 11 requires reconciliations “over a one year period or quarterly period commencing </w:t>
      </w:r>
      <w:r w:rsidRPr="00E946E9">
        <w:rPr>
          <w:b/>
          <w:bCs/>
          <w:sz w:val="26"/>
          <w:szCs w:val="26"/>
        </w:rPr>
        <w:t>April 1</w:t>
      </w:r>
      <w:r w:rsidRPr="00E946E9">
        <w:rPr>
          <w:sz w:val="26"/>
          <w:szCs w:val="26"/>
        </w:rPr>
        <w:t xml:space="preserve"> of each year.”  66 Pa. C.S. §1358(e)(2).  This provision appears to lock in an April 1, July 1, October 1, January 1 effective date schedule for DSIC tariffs, which equates to filing dates not later than March 22, June 21, September 21, and </w:t>
      </w:r>
      <w:r w:rsidRPr="00E946E9">
        <w:rPr>
          <w:sz w:val="26"/>
          <w:szCs w:val="26"/>
        </w:rPr>
        <w:lastRenderedPageBreak/>
        <w:t>December 22.</w:t>
      </w:r>
      <w:r>
        <w:rPr>
          <w:sz w:val="26"/>
          <w:szCs w:val="26"/>
        </w:rPr>
        <w:t xml:space="preserve"> </w:t>
      </w:r>
      <w:r w:rsidRPr="00E946E9">
        <w:rPr>
          <w:sz w:val="26"/>
          <w:szCs w:val="26"/>
        </w:rPr>
        <w:t xml:space="preserve"> Thus, the next available effective date would appear to be July 1, 2013, with a filing date not later than June 21, 2013.  </w:t>
      </w:r>
    </w:p>
    <w:p w:rsidR="00E946E9" w:rsidRPr="00E946E9" w:rsidRDefault="00E946E9" w:rsidP="00E946E9">
      <w:pPr>
        <w:widowControl/>
        <w:spacing w:line="360" w:lineRule="auto"/>
        <w:ind w:firstLine="1440"/>
        <w:rPr>
          <w:sz w:val="26"/>
          <w:szCs w:val="26"/>
        </w:rPr>
      </w:pPr>
    </w:p>
    <w:p w:rsidR="00E946E9" w:rsidRPr="00E946E9" w:rsidRDefault="00E946E9" w:rsidP="00E946E9">
      <w:pPr>
        <w:widowControl/>
        <w:spacing w:line="360" w:lineRule="auto"/>
        <w:ind w:firstLine="1440"/>
        <w:rPr>
          <w:sz w:val="26"/>
          <w:szCs w:val="26"/>
        </w:rPr>
      </w:pPr>
      <w:r w:rsidRPr="00E946E9">
        <w:rPr>
          <w:sz w:val="26"/>
          <w:szCs w:val="26"/>
        </w:rPr>
        <w:t>Section 2212(c) of the Public Utility Code, however, allows the Commission, upon PGW’s request, as a CNGDO, to "suspend or waive" certain provisions of Title 66, including Chapter 13, if deemed reasonable and appropriate.  66 Pa. C.S. § 2212(c).  Based on the present record, we do not find that PGW has met the burden of Section 2212(c) with its pending DSIC Petition, and thus we cannot approve a deviation from the tariff effective date provisions, the filing schedule, or the notice period at this time.  Our finding herein is without prejudice for PGW to provide further support for its request, consistent with Section 2212(c).</w:t>
      </w:r>
    </w:p>
    <w:p w:rsidR="008E37BC" w:rsidRPr="00062E21" w:rsidRDefault="008E37BC" w:rsidP="00773D87">
      <w:pPr>
        <w:widowControl/>
        <w:spacing w:line="360" w:lineRule="auto"/>
        <w:ind w:firstLine="1440"/>
        <w:rPr>
          <w:sz w:val="26"/>
          <w:szCs w:val="26"/>
        </w:rPr>
      </w:pPr>
    </w:p>
    <w:p w:rsidR="00013B7C" w:rsidRPr="00062E21" w:rsidRDefault="00F919D7" w:rsidP="00D75FCA">
      <w:pPr>
        <w:keepNext/>
        <w:widowControl/>
        <w:spacing w:line="360" w:lineRule="auto"/>
        <w:rPr>
          <w:b/>
          <w:sz w:val="26"/>
          <w:szCs w:val="26"/>
        </w:rPr>
      </w:pPr>
      <w:r w:rsidRPr="00F919D7">
        <w:rPr>
          <w:b/>
          <w:sz w:val="26"/>
          <w:szCs w:val="26"/>
        </w:rPr>
        <w:tab/>
      </w:r>
      <w:r w:rsidRPr="00F919D7">
        <w:rPr>
          <w:b/>
          <w:sz w:val="26"/>
          <w:szCs w:val="26"/>
        </w:rPr>
        <w:tab/>
        <w:t>(c) Computation of the DSIC</w:t>
      </w:r>
    </w:p>
    <w:p w:rsidR="00013B7C" w:rsidRPr="00062E21" w:rsidRDefault="00013B7C" w:rsidP="00D75FCA">
      <w:pPr>
        <w:keepNext/>
        <w:widowControl/>
        <w:spacing w:line="360" w:lineRule="auto"/>
        <w:rPr>
          <w:sz w:val="26"/>
          <w:szCs w:val="26"/>
        </w:rPr>
      </w:pPr>
    </w:p>
    <w:p w:rsidR="00013B7C" w:rsidRPr="00062E21" w:rsidRDefault="00F919D7" w:rsidP="00D75FCA">
      <w:pPr>
        <w:keepNext/>
        <w:widowControl/>
        <w:spacing w:line="360" w:lineRule="auto"/>
        <w:rPr>
          <w:b/>
          <w:sz w:val="26"/>
          <w:szCs w:val="26"/>
        </w:rPr>
      </w:pPr>
      <w:r>
        <w:rPr>
          <w:b/>
          <w:sz w:val="26"/>
          <w:szCs w:val="26"/>
        </w:rPr>
        <w:t>PGW’s Petition</w:t>
      </w:r>
      <w:r w:rsidRPr="00062E21">
        <w:rPr>
          <w:b/>
          <w:sz w:val="26"/>
          <w:szCs w:val="26"/>
        </w:rPr>
        <w:t xml:space="preserve"> </w:t>
      </w:r>
    </w:p>
    <w:p w:rsidR="00013B7C" w:rsidRPr="00062E21" w:rsidRDefault="00013B7C" w:rsidP="00D75FCA">
      <w:pPr>
        <w:keepNext/>
        <w:widowControl/>
        <w:spacing w:line="360" w:lineRule="auto"/>
        <w:rPr>
          <w:sz w:val="26"/>
          <w:szCs w:val="26"/>
        </w:rPr>
      </w:pPr>
    </w:p>
    <w:p w:rsidR="00F8245F" w:rsidRDefault="00F8245F" w:rsidP="00F8245F">
      <w:pPr>
        <w:widowControl/>
        <w:spacing w:line="360" w:lineRule="auto"/>
        <w:ind w:firstLine="1440"/>
        <w:rPr>
          <w:sz w:val="26"/>
          <w:szCs w:val="26"/>
        </w:rPr>
      </w:pPr>
      <w:r w:rsidRPr="00F8245F">
        <w:rPr>
          <w:sz w:val="26"/>
          <w:szCs w:val="26"/>
        </w:rPr>
        <w:t xml:space="preserve">PGW </w:t>
      </w:r>
      <w:r>
        <w:rPr>
          <w:sz w:val="26"/>
          <w:szCs w:val="26"/>
        </w:rPr>
        <w:t xml:space="preserve">proposed </w:t>
      </w:r>
      <w:r w:rsidRPr="00F8245F">
        <w:rPr>
          <w:sz w:val="26"/>
          <w:szCs w:val="26"/>
        </w:rPr>
        <w:t>to invest $22 million annually in eligible improvements over a 12-month period.  However, PGW provides no quarterly data as to what has been placed in service in over the required three-month period.  The testimony of PGW Witness Dybalski states that “…the initial DSIC will be determined based on the March</w:t>
      </w:r>
      <w:r>
        <w:rPr>
          <w:sz w:val="26"/>
          <w:szCs w:val="26"/>
        </w:rPr>
        <w:t> </w:t>
      </w:r>
      <w:r w:rsidRPr="00F8245F">
        <w:rPr>
          <w:sz w:val="26"/>
          <w:szCs w:val="26"/>
        </w:rPr>
        <w:t>1, 2013 to August 31, 2013 time period for revenues or billing, but the cost recovery will be based on DSIC eligible property placed in service between November 1, 2012 to August 31, 2013.”  Dybalski Testimony, p. 11.</w:t>
      </w:r>
    </w:p>
    <w:p w:rsidR="00F8245F" w:rsidRDefault="00F8245F" w:rsidP="00F8245F">
      <w:pPr>
        <w:widowControl/>
        <w:spacing w:line="360" w:lineRule="auto"/>
        <w:ind w:firstLine="1440"/>
        <w:rPr>
          <w:sz w:val="26"/>
          <w:szCs w:val="26"/>
        </w:rPr>
      </w:pPr>
    </w:p>
    <w:p w:rsidR="00013B7C" w:rsidRDefault="00013B7C" w:rsidP="00773D87">
      <w:pPr>
        <w:widowControl/>
        <w:spacing w:line="360" w:lineRule="auto"/>
        <w:ind w:firstLine="1440"/>
        <w:rPr>
          <w:sz w:val="26"/>
          <w:szCs w:val="26"/>
        </w:rPr>
      </w:pPr>
      <w:r w:rsidRPr="00062E21">
        <w:rPr>
          <w:sz w:val="26"/>
          <w:szCs w:val="26"/>
        </w:rPr>
        <w:t xml:space="preserve">With Supplement No. </w:t>
      </w:r>
      <w:r w:rsidR="00595D1C">
        <w:rPr>
          <w:sz w:val="26"/>
          <w:szCs w:val="26"/>
        </w:rPr>
        <w:t>58</w:t>
      </w:r>
      <w:r w:rsidRPr="00062E21">
        <w:rPr>
          <w:sz w:val="26"/>
          <w:szCs w:val="26"/>
        </w:rPr>
        <w:t xml:space="preserve">, </w:t>
      </w:r>
      <w:r w:rsidR="00595D1C">
        <w:rPr>
          <w:sz w:val="26"/>
          <w:szCs w:val="26"/>
        </w:rPr>
        <w:t xml:space="preserve">PGW is proposing </w:t>
      </w:r>
      <w:r w:rsidRPr="00062E21">
        <w:rPr>
          <w:sz w:val="26"/>
          <w:szCs w:val="26"/>
        </w:rPr>
        <w:t xml:space="preserve">a DSIC </w:t>
      </w:r>
      <w:r w:rsidR="00595D1C">
        <w:rPr>
          <w:sz w:val="26"/>
          <w:szCs w:val="26"/>
        </w:rPr>
        <w:t>based on a volumetric charge by rate class.  Additionally</w:t>
      </w:r>
      <w:r w:rsidRPr="00062E21">
        <w:rPr>
          <w:sz w:val="26"/>
          <w:szCs w:val="26"/>
        </w:rPr>
        <w:t>,</w:t>
      </w:r>
      <w:r w:rsidR="00595D1C">
        <w:rPr>
          <w:sz w:val="26"/>
          <w:szCs w:val="26"/>
        </w:rPr>
        <w:t xml:space="preserve"> PGW is proposing to recover its cost on an annualized basis rather than based on the cost for plant placed in service for each quarter</w:t>
      </w:r>
      <w:r w:rsidRPr="00062E21">
        <w:rPr>
          <w:sz w:val="26"/>
          <w:szCs w:val="26"/>
        </w:rPr>
        <w:t xml:space="preserve">.  </w:t>
      </w:r>
      <w:r w:rsidR="00595D1C">
        <w:rPr>
          <w:sz w:val="26"/>
          <w:szCs w:val="26"/>
        </w:rPr>
        <w:t>As such, PGW attempts to recover the $22 million of DSIC eligible property proposed in its LTIIP</w:t>
      </w:r>
      <w:r w:rsidR="00AD5027">
        <w:rPr>
          <w:sz w:val="26"/>
          <w:szCs w:val="26"/>
        </w:rPr>
        <w:t xml:space="preserve"> divided by its projected annual distribution revenues.  PGW then takes the additional step </w:t>
      </w:r>
      <w:r w:rsidR="00AD5027">
        <w:rPr>
          <w:sz w:val="26"/>
          <w:szCs w:val="26"/>
        </w:rPr>
        <w:lastRenderedPageBreak/>
        <w:t xml:space="preserve">of calculating the DSIC surcharge on a volumetric (per Ccf or per Mcf) basis by customer class.  </w:t>
      </w:r>
      <w:r w:rsidRPr="00062E21">
        <w:rPr>
          <w:sz w:val="26"/>
          <w:szCs w:val="26"/>
        </w:rPr>
        <w:t xml:space="preserve">The formula </w:t>
      </w:r>
      <w:r w:rsidR="00AD5027">
        <w:rPr>
          <w:sz w:val="26"/>
          <w:szCs w:val="26"/>
        </w:rPr>
        <w:t xml:space="preserve">used by PGW </w:t>
      </w:r>
      <w:r w:rsidRPr="00062E21">
        <w:rPr>
          <w:sz w:val="26"/>
          <w:szCs w:val="26"/>
        </w:rPr>
        <w:t>for calculation of the DSIC is as follows:</w:t>
      </w:r>
    </w:p>
    <w:p w:rsidR="00013B7C" w:rsidRPr="00062E21" w:rsidRDefault="00013B7C" w:rsidP="00773D87">
      <w:pPr>
        <w:widowControl/>
        <w:spacing w:line="360" w:lineRule="auto"/>
        <w:ind w:firstLine="1440"/>
        <w:rPr>
          <w:sz w:val="26"/>
          <w:szCs w:val="26"/>
        </w:rPr>
      </w:pPr>
    </w:p>
    <w:p w:rsidR="00013B7C" w:rsidRPr="00062E21" w:rsidRDefault="00013B7C" w:rsidP="00773D87">
      <w:pPr>
        <w:widowControl/>
        <w:ind w:left="144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062E21">
        <w:rPr>
          <w:sz w:val="26"/>
          <w:szCs w:val="26"/>
          <w:u w:val="single"/>
        </w:rPr>
        <w:t>DSI +e</w:t>
      </w:r>
    </w:p>
    <w:p w:rsidR="00013B7C" w:rsidRPr="00062E21" w:rsidRDefault="00AD5027" w:rsidP="00773D87">
      <w:pPr>
        <w:widowControl/>
        <w:ind w:left="2160" w:firstLine="720"/>
        <w:rPr>
          <w:sz w:val="26"/>
          <w:szCs w:val="26"/>
        </w:rPr>
      </w:pPr>
      <w:r>
        <w:rPr>
          <w:sz w:val="26"/>
          <w:szCs w:val="26"/>
        </w:rPr>
        <w:t xml:space="preserve"> </w:t>
      </w:r>
      <w:r w:rsidR="00013B7C" w:rsidRPr="00062E21">
        <w:rPr>
          <w:sz w:val="26"/>
          <w:szCs w:val="26"/>
        </w:rPr>
        <w:t xml:space="preserve">  P</w:t>
      </w:r>
      <w:r>
        <w:rPr>
          <w:sz w:val="26"/>
          <w:szCs w:val="26"/>
        </w:rPr>
        <w:t>SV</w:t>
      </w:r>
    </w:p>
    <w:p w:rsidR="00013B7C" w:rsidRPr="00062E21" w:rsidRDefault="00013B7C" w:rsidP="00773D87">
      <w:pPr>
        <w:widowControl/>
        <w:ind w:left="1440"/>
        <w:rPr>
          <w:sz w:val="26"/>
          <w:szCs w:val="26"/>
        </w:rPr>
      </w:pPr>
    </w:p>
    <w:p w:rsidR="00013B7C" w:rsidRPr="00062E21" w:rsidRDefault="00013B7C" w:rsidP="00773D87">
      <w:pPr>
        <w:widowControl/>
        <w:ind w:left="1440"/>
        <w:rPr>
          <w:sz w:val="26"/>
          <w:szCs w:val="26"/>
        </w:rPr>
      </w:pPr>
      <w:r w:rsidRPr="00062E21">
        <w:rPr>
          <w:sz w:val="26"/>
          <w:szCs w:val="26"/>
        </w:rPr>
        <w:t>Where:</w:t>
      </w:r>
    </w:p>
    <w:p w:rsidR="00013B7C" w:rsidRPr="00062E21" w:rsidRDefault="00013B7C" w:rsidP="00773D87">
      <w:pPr>
        <w:widowControl/>
        <w:tabs>
          <w:tab w:val="left" w:pos="-1440"/>
        </w:tabs>
        <w:ind w:left="2880" w:hanging="1440"/>
        <w:rPr>
          <w:sz w:val="26"/>
          <w:szCs w:val="26"/>
        </w:rPr>
      </w:pPr>
    </w:p>
    <w:p w:rsidR="00013B7C" w:rsidRPr="00062E21" w:rsidRDefault="00013B7C" w:rsidP="00773D87">
      <w:pPr>
        <w:widowControl/>
        <w:tabs>
          <w:tab w:val="left" w:pos="-1440"/>
        </w:tabs>
        <w:ind w:left="2880" w:hanging="1440"/>
        <w:rPr>
          <w:sz w:val="26"/>
          <w:szCs w:val="26"/>
        </w:rPr>
      </w:pPr>
      <w:r w:rsidRPr="00062E21">
        <w:rPr>
          <w:sz w:val="26"/>
          <w:szCs w:val="26"/>
        </w:rPr>
        <w:t>DSI            =</w:t>
      </w:r>
      <w:r w:rsidRPr="00062E21">
        <w:rPr>
          <w:sz w:val="26"/>
          <w:szCs w:val="26"/>
        </w:rPr>
        <w:tab/>
      </w:r>
      <w:r w:rsidR="00AD5027">
        <w:rPr>
          <w:sz w:val="26"/>
          <w:szCs w:val="26"/>
        </w:rPr>
        <w:t>Recoverable</w:t>
      </w:r>
      <w:r w:rsidRPr="00062E21">
        <w:rPr>
          <w:sz w:val="26"/>
          <w:szCs w:val="26"/>
        </w:rPr>
        <w:t xml:space="preserve"> cost</w:t>
      </w:r>
      <w:r w:rsidR="00AD5027">
        <w:rPr>
          <w:sz w:val="26"/>
          <w:szCs w:val="26"/>
        </w:rPr>
        <w:t>s (defined in Section B, Eligible Property</w:t>
      </w:r>
      <w:r w:rsidR="0087763C">
        <w:rPr>
          <w:sz w:val="26"/>
          <w:szCs w:val="26"/>
        </w:rPr>
        <w:t>)</w:t>
      </w:r>
      <w:r w:rsidRPr="00062E21">
        <w:rPr>
          <w:sz w:val="26"/>
          <w:szCs w:val="26"/>
        </w:rPr>
        <w:t>.</w:t>
      </w:r>
    </w:p>
    <w:p w:rsidR="00013B7C" w:rsidRPr="00062E21" w:rsidRDefault="00013B7C" w:rsidP="00773D87">
      <w:pPr>
        <w:widowControl/>
        <w:tabs>
          <w:tab w:val="left" w:pos="-1440"/>
          <w:tab w:val="left" w:pos="2340"/>
        </w:tabs>
        <w:ind w:left="2880" w:hanging="1440"/>
        <w:rPr>
          <w:sz w:val="26"/>
          <w:szCs w:val="26"/>
        </w:rPr>
      </w:pPr>
      <w:r w:rsidRPr="00062E21">
        <w:rPr>
          <w:sz w:val="26"/>
          <w:szCs w:val="26"/>
        </w:rPr>
        <w:t>e                =</w:t>
      </w:r>
      <w:r w:rsidRPr="00062E21">
        <w:rPr>
          <w:sz w:val="26"/>
          <w:szCs w:val="26"/>
        </w:rPr>
        <w:tab/>
        <w:t>Amount calculated under the annual reconciliation feature or Commission audit.</w:t>
      </w:r>
    </w:p>
    <w:p w:rsidR="00013B7C" w:rsidRPr="00062E21" w:rsidRDefault="00013B7C" w:rsidP="00773D87">
      <w:pPr>
        <w:widowControl/>
        <w:tabs>
          <w:tab w:val="left" w:pos="-1440"/>
          <w:tab w:val="left" w:pos="2700"/>
        </w:tabs>
        <w:ind w:left="2880" w:hanging="1440"/>
        <w:rPr>
          <w:sz w:val="26"/>
          <w:szCs w:val="26"/>
        </w:rPr>
      </w:pPr>
      <w:r w:rsidRPr="00062E21">
        <w:rPr>
          <w:sz w:val="26"/>
          <w:szCs w:val="26"/>
        </w:rPr>
        <w:t>P</w:t>
      </w:r>
      <w:r w:rsidR="00AD5027">
        <w:rPr>
          <w:sz w:val="26"/>
          <w:szCs w:val="26"/>
        </w:rPr>
        <w:t>SV</w:t>
      </w:r>
      <w:r w:rsidRPr="00062E21">
        <w:rPr>
          <w:sz w:val="26"/>
          <w:szCs w:val="26"/>
        </w:rPr>
        <w:t xml:space="preserve">          =</w:t>
      </w:r>
      <w:r w:rsidRPr="00062E21">
        <w:rPr>
          <w:sz w:val="26"/>
          <w:szCs w:val="26"/>
        </w:rPr>
        <w:tab/>
        <w:t xml:space="preserve">Projected </w:t>
      </w:r>
      <w:r w:rsidR="00AD5027">
        <w:rPr>
          <w:sz w:val="26"/>
          <w:szCs w:val="26"/>
        </w:rPr>
        <w:t>sales volumes for distribution services for the annual</w:t>
      </w:r>
      <w:r w:rsidRPr="00062E21">
        <w:rPr>
          <w:sz w:val="26"/>
          <w:szCs w:val="26"/>
        </w:rPr>
        <w:t xml:space="preserve"> period</w:t>
      </w:r>
      <w:r w:rsidR="00AD5027">
        <w:rPr>
          <w:sz w:val="26"/>
          <w:szCs w:val="26"/>
        </w:rPr>
        <w:t xml:space="preserve"> during which the charge will be collected</w:t>
      </w:r>
      <w:r w:rsidRPr="00062E21">
        <w:rPr>
          <w:sz w:val="26"/>
          <w:szCs w:val="26"/>
        </w:rPr>
        <w:t xml:space="preserve">.  </w:t>
      </w:r>
    </w:p>
    <w:p w:rsidR="00013B7C" w:rsidRPr="00062E21" w:rsidRDefault="00013B7C" w:rsidP="00773D87">
      <w:pPr>
        <w:widowControl/>
        <w:tabs>
          <w:tab w:val="left" w:pos="-1440"/>
          <w:tab w:val="left" w:pos="2700"/>
        </w:tabs>
        <w:spacing w:line="360" w:lineRule="auto"/>
        <w:ind w:left="2880" w:hanging="1440"/>
        <w:rPr>
          <w:sz w:val="26"/>
          <w:szCs w:val="26"/>
        </w:rPr>
      </w:pPr>
    </w:p>
    <w:p w:rsidR="00013B7C" w:rsidRPr="00062E21" w:rsidRDefault="00013B7C" w:rsidP="00773D87">
      <w:pPr>
        <w:widowControl/>
        <w:spacing w:line="360" w:lineRule="auto"/>
        <w:rPr>
          <w:b/>
          <w:sz w:val="26"/>
          <w:szCs w:val="26"/>
        </w:rPr>
      </w:pPr>
      <w:r w:rsidRPr="00062E21">
        <w:rPr>
          <w:b/>
          <w:sz w:val="26"/>
          <w:szCs w:val="26"/>
        </w:rPr>
        <w:t xml:space="preserve">Comments </w:t>
      </w:r>
    </w:p>
    <w:p w:rsidR="00013B7C" w:rsidRPr="00062E21" w:rsidRDefault="00013B7C" w:rsidP="00773D87">
      <w:pPr>
        <w:widowControl/>
        <w:spacing w:line="360" w:lineRule="auto"/>
        <w:ind w:firstLine="1440"/>
        <w:rPr>
          <w:sz w:val="26"/>
          <w:szCs w:val="26"/>
        </w:rPr>
      </w:pPr>
    </w:p>
    <w:p w:rsidR="00E90DB3" w:rsidRPr="00062E21" w:rsidRDefault="00E90DB3" w:rsidP="00E90DB3">
      <w:pPr>
        <w:widowControl/>
        <w:spacing w:line="360" w:lineRule="auto"/>
        <w:ind w:firstLine="1440"/>
        <w:rPr>
          <w:sz w:val="26"/>
          <w:szCs w:val="26"/>
        </w:rPr>
      </w:pPr>
      <w:r w:rsidRPr="008E300D">
        <w:rPr>
          <w:sz w:val="26"/>
          <w:szCs w:val="26"/>
        </w:rPr>
        <w:t>OCA is concerned that PGW proposes to recover an annualized amount of DSIC-eligible cost rather than recovering the cost of eligible property that has been placed in service during the prior three-month period</w:t>
      </w:r>
      <w:r w:rsidR="00F8245F">
        <w:rPr>
          <w:sz w:val="26"/>
          <w:szCs w:val="26"/>
        </w:rPr>
        <w:t xml:space="preserve">. </w:t>
      </w:r>
      <w:r w:rsidRPr="008E300D">
        <w:rPr>
          <w:sz w:val="26"/>
          <w:szCs w:val="26"/>
        </w:rPr>
        <w:t xml:space="preserve"> OCA opines that this may violate Section 1357. </w:t>
      </w:r>
      <w:r w:rsidR="00006037">
        <w:rPr>
          <w:sz w:val="26"/>
          <w:szCs w:val="26"/>
        </w:rPr>
        <w:t xml:space="preserve"> </w:t>
      </w:r>
      <w:r w:rsidRPr="008E300D">
        <w:rPr>
          <w:sz w:val="26"/>
          <w:szCs w:val="26"/>
        </w:rPr>
        <w:t>OCA notes that PGW’s proposal would allow the recovery of costs associated with future plans and, therefore, is not consistent with Act 11 or the longstanding principle that plant must be used and useful prior recovery in rates.  OCA Answer, pp. 3 and 4.  Additionally, OCA expresses concerns that PGW’s proposal to recover the costs of eligible property placed in service in November 2012 in a DSIC charge established March 1, 2013, may violate Section 1357 and the prohibition against retroactive ratemaking.  OCA Answer, p. 4.</w:t>
      </w:r>
    </w:p>
    <w:p w:rsidR="00E90DB3" w:rsidRPr="00062E21" w:rsidRDefault="00E90DB3" w:rsidP="00E90DB3">
      <w:pPr>
        <w:widowControl/>
        <w:spacing w:line="360" w:lineRule="auto"/>
        <w:ind w:firstLine="1440"/>
        <w:rPr>
          <w:sz w:val="26"/>
          <w:szCs w:val="26"/>
        </w:rPr>
      </w:pPr>
    </w:p>
    <w:p w:rsidR="00013B7C" w:rsidRPr="00062E21" w:rsidRDefault="00013B7C" w:rsidP="00773D87">
      <w:pPr>
        <w:widowControl/>
        <w:spacing w:line="360" w:lineRule="auto"/>
        <w:ind w:firstLine="1440"/>
        <w:rPr>
          <w:sz w:val="26"/>
          <w:szCs w:val="26"/>
        </w:rPr>
      </w:pPr>
      <w:r w:rsidRPr="00062E21">
        <w:rPr>
          <w:sz w:val="26"/>
          <w:szCs w:val="26"/>
        </w:rPr>
        <w:t xml:space="preserve">OCA </w:t>
      </w:r>
      <w:r w:rsidR="00BA5FA6">
        <w:rPr>
          <w:sz w:val="26"/>
          <w:szCs w:val="26"/>
        </w:rPr>
        <w:t>submit</w:t>
      </w:r>
      <w:r w:rsidRPr="00062E21">
        <w:rPr>
          <w:sz w:val="26"/>
          <w:szCs w:val="26"/>
        </w:rPr>
        <w:t xml:space="preserve">s that </w:t>
      </w:r>
      <w:r w:rsidR="00BA5FA6">
        <w:rPr>
          <w:sz w:val="26"/>
          <w:szCs w:val="26"/>
        </w:rPr>
        <w:t>PGW</w:t>
      </w:r>
      <w:r w:rsidRPr="00062E21">
        <w:rPr>
          <w:sz w:val="26"/>
          <w:szCs w:val="26"/>
        </w:rPr>
        <w:t>’s DSIC calculation is incorrect because:</w:t>
      </w:r>
      <w:r w:rsidR="006535AD">
        <w:rPr>
          <w:sz w:val="26"/>
          <w:szCs w:val="26"/>
        </w:rPr>
        <w:t xml:space="preserve"> </w:t>
      </w:r>
      <w:r w:rsidRPr="00062E21">
        <w:rPr>
          <w:sz w:val="26"/>
          <w:szCs w:val="26"/>
        </w:rPr>
        <w:t xml:space="preserve"> 1)</w:t>
      </w:r>
      <w:r w:rsidR="008E300D">
        <w:rPr>
          <w:sz w:val="26"/>
          <w:szCs w:val="26"/>
        </w:rPr>
        <w:t> </w:t>
      </w:r>
      <w:r w:rsidR="00BA5FA6">
        <w:rPr>
          <w:sz w:val="26"/>
          <w:szCs w:val="26"/>
        </w:rPr>
        <w:t>PGW’s proposed method to recover an annualized amount of DSIC</w:t>
      </w:r>
      <w:r w:rsidR="005C17C4">
        <w:rPr>
          <w:sz w:val="26"/>
          <w:szCs w:val="26"/>
        </w:rPr>
        <w:t>-</w:t>
      </w:r>
      <w:r w:rsidR="00BA5FA6">
        <w:rPr>
          <w:sz w:val="26"/>
          <w:szCs w:val="26"/>
        </w:rPr>
        <w:t>eligible cost</w:t>
      </w:r>
      <w:r w:rsidR="000701DF">
        <w:rPr>
          <w:sz w:val="26"/>
          <w:szCs w:val="26"/>
        </w:rPr>
        <w:t xml:space="preserve"> rather than recovering the cost of eligible property that has been placed in service during the prior three-month period may violate Section 1357 and the used and useful requirement for rate recovery; 2) PGW’s proposal to recover the costs of eligible property placed in </w:t>
      </w:r>
      <w:r w:rsidR="000701DF">
        <w:rPr>
          <w:sz w:val="26"/>
          <w:szCs w:val="26"/>
        </w:rPr>
        <w:lastRenderedPageBreak/>
        <w:t xml:space="preserve">service in November 2012 in a DSIC charge established March 1, 2013 may violate Section 1357 and the prohibition against retroactive ratemaking; 3) PGW’s proposal to express the surcharge as a volumetric charge per Ccf carried to five decimal places is not consistent with the statutory requirement that the DSIC rate be expressed as a percentage;  </w:t>
      </w:r>
      <w:r w:rsidRPr="00062E21">
        <w:rPr>
          <w:sz w:val="26"/>
          <w:szCs w:val="26"/>
        </w:rPr>
        <w:t xml:space="preserve">and </w:t>
      </w:r>
      <w:r w:rsidR="00380D26">
        <w:rPr>
          <w:sz w:val="26"/>
          <w:szCs w:val="26"/>
        </w:rPr>
        <w:t>4) PGW’s proposed tariff is not consistent with the Model Tariff</w:t>
      </w:r>
      <w:r w:rsidRPr="00062E21">
        <w:rPr>
          <w:sz w:val="26"/>
          <w:szCs w:val="26"/>
        </w:rPr>
        <w:t>.</w:t>
      </w:r>
    </w:p>
    <w:p w:rsidR="00013B7C" w:rsidRDefault="00013B7C" w:rsidP="00773D87">
      <w:pPr>
        <w:widowControl/>
        <w:spacing w:line="360" w:lineRule="auto"/>
        <w:ind w:firstLine="1440"/>
        <w:rPr>
          <w:sz w:val="26"/>
          <w:szCs w:val="26"/>
        </w:rPr>
      </w:pPr>
    </w:p>
    <w:p w:rsidR="0075367A" w:rsidRDefault="0075367A" w:rsidP="00773D87">
      <w:pPr>
        <w:widowControl/>
        <w:spacing w:line="360" w:lineRule="auto"/>
        <w:ind w:firstLine="1440"/>
        <w:rPr>
          <w:sz w:val="26"/>
          <w:szCs w:val="26"/>
        </w:rPr>
      </w:pPr>
      <w:r>
        <w:rPr>
          <w:sz w:val="26"/>
          <w:szCs w:val="26"/>
        </w:rPr>
        <w:t>PICGUG also expressed concern over PGW’s calculations based on annualized costs rather than actual costs for plant placed in service each quarter, which they note fails to comply with the Implementation Order.  PICGUG Answer at 6.</w:t>
      </w:r>
    </w:p>
    <w:p w:rsidR="0075367A" w:rsidRPr="00062E21" w:rsidRDefault="0075367A" w:rsidP="00773D87">
      <w:pPr>
        <w:widowControl/>
        <w:spacing w:line="360" w:lineRule="auto"/>
        <w:ind w:firstLine="1440"/>
        <w:rPr>
          <w:sz w:val="26"/>
          <w:szCs w:val="26"/>
        </w:rPr>
      </w:pPr>
    </w:p>
    <w:p w:rsidR="00013B7C" w:rsidRPr="00062E21" w:rsidRDefault="00013B7C" w:rsidP="00F254AA">
      <w:pPr>
        <w:keepNext/>
        <w:widowControl/>
        <w:spacing w:line="360" w:lineRule="auto"/>
        <w:rPr>
          <w:b/>
          <w:sz w:val="26"/>
          <w:szCs w:val="26"/>
        </w:rPr>
      </w:pPr>
      <w:r w:rsidRPr="00062E21">
        <w:rPr>
          <w:b/>
          <w:sz w:val="26"/>
          <w:szCs w:val="26"/>
        </w:rPr>
        <w:t>Resolution</w:t>
      </w:r>
    </w:p>
    <w:p w:rsidR="00013B7C" w:rsidRPr="00062E21" w:rsidRDefault="00013B7C" w:rsidP="00F254AA">
      <w:pPr>
        <w:keepNext/>
        <w:widowControl/>
        <w:spacing w:line="360" w:lineRule="auto"/>
        <w:rPr>
          <w:sz w:val="26"/>
          <w:szCs w:val="26"/>
        </w:rPr>
      </w:pPr>
    </w:p>
    <w:p w:rsidR="00F8245F" w:rsidRPr="008E300D" w:rsidRDefault="00F8245F" w:rsidP="00773D87">
      <w:pPr>
        <w:widowControl/>
        <w:spacing w:line="360" w:lineRule="auto"/>
        <w:ind w:firstLine="1440"/>
        <w:rPr>
          <w:sz w:val="26"/>
          <w:szCs w:val="26"/>
        </w:rPr>
      </w:pPr>
      <w:r w:rsidRPr="008E300D">
        <w:rPr>
          <w:sz w:val="26"/>
          <w:szCs w:val="26"/>
        </w:rPr>
        <w:t>PGW has not provided information regarding actual property placed in service for the three-month period ending one month prior to the requested effective date of the tariff as required by Section 1357 of Act 11 but instead proposes to recover an annualized amount of DSIC-eligible cost.  Further, PGW proposes to base its initial DSIC recovery of plant placed in service between November 1, 2012, and August 31, 2013</w:t>
      </w:r>
      <w:r w:rsidR="008E300D" w:rsidRPr="009549C2">
        <w:rPr>
          <w:sz w:val="26"/>
          <w:szCs w:val="26"/>
        </w:rPr>
        <w:t xml:space="preserve">.  Section 1357, Computation of charge, provides that the initial DSIC shall be calculated to recover the fixed cost of eligible property that has been placed in service during the three-month period ending one month prior to the effective date of the DSIC. </w:t>
      </w:r>
      <w:r w:rsidR="008E300D" w:rsidRPr="008E300D">
        <w:rPr>
          <w:sz w:val="26"/>
          <w:szCs w:val="26"/>
        </w:rPr>
        <w:t xml:space="preserve"> 66. Pa. C.S. § 1357(a)(1)(ii).  Thus, both these calculations </w:t>
      </w:r>
      <w:r w:rsidRPr="008E300D">
        <w:rPr>
          <w:sz w:val="26"/>
          <w:szCs w:val="26"/>
        </w:rPr>
        <w:t xml:space="preserve">appear to be inconsistent with the statutory standard, and, therefore, this approach </w:t>
      </w:r>
      <w:r w:rsidR="008E300D" w:rsidRPr="008E300D">
        <w:rPr>
          <w:sz w:val="26"/>
          <w:szCs w:val="26"/>
        </w:rPr>
        <w:t>will not be approved at this time.</w:t>
      </w:r>
      <w:r w:rsidRPr="008E300D">
        <w:rPr>
          <w:sz w:val="26"/>
          <w:szCs w:val="26"/>
        </w:rPr>
        <w:t xml:space="preserve">  </w:t>
      </w:r>
      <w:r w:rsidR="008E300D">
        <w:rPr>
          <w:sz w:val="26"/>
          <w:szCs w:val="26"/>
        </w:rPr>
        <w:t>Further, Act 11 requires that the DSIC rate be expressed as a percentage.</w:t>
      </w:r>
    </w:p>
    <w:p w:rsidR="00F8245F" w:rsidRPr="009549C2" w:rsidRDefault="00F8245F" w:rsidP="00773D87">
      <w:pPr>
        <w:widowControl/>
        <w:spacing w:line="360" w:lineRule="auto"/>
        <w:ind w:firstLine="1440"/>
        <w:rPr>
          <w:sz w:val="26"/>
          <w:szCs w:val="26"/>
        </w:rPr>
      </w:pPr>
    </w:p>
    <w:p w:rsidR="00013B7C" w:rsidRPr="00062E21" w:rsidRDefault="0021537D" w:rsidP="00773D87">
      <w:pPr>
        <w:widowControl/>
        <w:spacing w:line="360" w:lineRule="auto"/>
        <w:ind w:firstLine="1440"/>
        <w:rPr>
          <w:sz w:val="26"/>
          <w:szCs w:val="26"/>
        </w:rPr>
      </w:pPr>
      <w:r w:rsidRPr="009549C2">
        <w:rPr>
          <w:sz w:val="26"/>
          <w:szCs w:val="26"/>
        </w:rPr>
        <w:t xml:space="preserve">Upon review, </w:t>
      </w:r>
      <w:r w:rsidR="00293009" w:rsidRPr="009549C2">
        <w:rPr>
          <w:sz w:val="26"/>
          <w:szCs w:val="26"/>
        </w:rPr>
        <w:t xml:space="preserve">PGW’s DSIC calculations </w:t>
      </w:r>
      <w:r w:rsidR="0067771D" w:rsidRPr="009549C2">
        <w:rPr>
          <w:sz w:val="26"/>
          <w:szCs w:val="26"/>
        </w:rPr>
        <w:t xml:space="preserve">appear to be </w:t>
      </w:r>
      <w:r w:rsidR="0067771D" w:rsidRPr="008E300D">
        <w:rPr>
          <w:sz w:val="26"/>
          <w:szCs w:val="26"/>
        </w:rPr>
        <w:t>in</w:t>
      </w:r>
      <w:r w:rsidR="00293009">
        <w:rPr>
          <w:sz w:val="26"/>
          <w:szCs w:val="26"/>
        </w:rPr>
        <w:t xml:space="preserve">consistent with </w:t>
      </w:r>
      <w:r w:rsidR="008E300D">
        <w:rPr>
          <w:sz w:val="26"/>
          <w:szCs w:val="26"/>
        </w:rPr>
        <w:t xml:space="preserve">the Final Implementation Order and </w:t>
      </w:r>
      <w:r w:rsidR="00293009">
        <w:rPr>
          <w:sz w:val="26"/>
          <w:szCs w:val="26"/>
        </w:rPr>
        <w:t xml:space="preserve">the Model Tariff and do not </w:t>
      </w:r>
      <w:r w:rsidR="0067771D">
        <w:rPr>
          <w:sz w:val="26"/>
          <w:szCs w:val="26"/>
        </w:rPr>
        <w:t xml:space="preserve">appear to </w:t>
      </w:r>
      <w:r w:rsidR="00293009">
        <w:rPr>
          <w:sz w:val="26"/>
          <w:szCs w:val="26"/>
        </w:rPr>
        <w:t xml:space="preserve">conform to the </w:t>
      </w:r>
      <w:r w:rsidR="00F919D7">
        <w:rPr>
          <w:sz w:val="26"/>
          <w:szCs w:val="26"/>
        </w:rPr>
        <w:t xml:space="preserve">filing </w:t>
      </w:r>
      <w:r w:rsidR="00293009">
        <w:rPr>
          <w:sz w:val="26"/>
          <w:szCs w:val="26"/>
        </w:rPr>
        <w:t xml:space="preserve">requirements as provided by Act 11.  </w:t>
      </w:r>
      <w:r w:rsidR="00A37C35">
        <w:rPr>
          <w:sz w:val="26"/>
          <w:szCs w:val="26"/>
        </w:rPr>
        <w:t xml:space="preserve">Accordingly, we shall not approve the </w:t>
      </w:r>
      <w:r w:rsidR="00606F24">
        <w:rPr>
          <w:sz w:val="26"/>
          <w:szCs w:val="26"/>
        </w:rPr>
        <w:t>proposed calculation method at this time.</w:t>
      </w:r>
    </w:p>
    <w:p w:rsidR="00013B7C" w:rsidRPr="00062E21" w:rsidRDefault="00013B7C" w:rsidP="00773D87">
      <w:pPr>
        <w:widowControl/>
        <w:spacing w:line="360" w:lineRule="auto"/>
        <w:ind w:firstLine="1440"/>
        <w:rPr>
          <w:sz w:val="26"/>
          <w:szCs w:val="26"/>
        </w:rPr>
      </w:pPr>
    </w:p>
    <w:p w:rsidR="00013B7C" w:rsidRPr="00062E21" w:rsidRDefault="00F919D7" w:rsidP="00F939FA">
      <w:pPr>
        <w:keepNext/>
        <w:widowControl/>
        <w:spacing w:line="360" w:lineRule="auto"/>
        <w:ind w:firstLine="1440"/>
        <w:rPr>
          <w:b/>
          <w:sz w:val="26"/>
          <w:szCs w:val="26"/>
        </w:rPr>
      </w:pPr>
      <w:r w:rsidRPr="00F919D7">
        <w:rPr>
          <w:b/>
          <w:sz w:val="26"/>
          <w:szCs w:val="26"/>
        </w:rPr>
        <w:lastRenderedPageBreak/>
        <w:t>(d)</w:t>
      </w:r>
      <w:r>
        <w:rPr>
          <w:b/>
          <w:sz w:val="26"/>
          <w:szCs w:val="26"/>
        </w:rPr>
        <w:t xml:space="preserve"> </w:t>
      </w:r>
      <w:r w:rsidR="00013B7C" w:rsidRPr="00062E21">
        <w:rPr>
          <w:b/>
          <w:sz w:val="26"/>
          <w:szCs w:val="26"/>
        </w:rPr>
        <w:t>Quarterly Updates</w:t>
      </w:r>
    </w:p>
    <w:p w:rsidR="00013B7C" w:rsidRPr="00062E21" w:rsidRDefault="00013B7C" w:rsidP="00F939FA">
      <w:pPr>
        <w:keepNext/>
        <w:widowControl/>
        <w:spacing w:line="360" w:lineRule="auto"/>
        <w:jc w:val="center"/>
        <w:rPr>
          <w:b/>
          <w:sz w:val="26"/>
          <w:szCs w:val="26"/>
        </w:rPr>
      </w:pPr>
    </w:p>
    <w:p w:rsidR="00013B7C" w:rsidRPr="00062E21" w:rsidRDefault="00F919D7" w:rsidP="00F939FA">
      <w:pPr>
        <w:keepNext/>
        <w:widowControl/>
        <w:spacing w:line="360" w:lineRule="auto"/>
        <w:rPr>
          <w:b/>
          <w:sz w:val="26"/>
          <w:szCs w:val="26"/>
        </w:rPr>
      </w:pPr>
      <w:r>
        <w:rPr>
          <w:b/>
          <w:sz w:val="26"/>
          <w:szCs w:val="26"/>
        </w:rPr>
        <w:t>PGW’s Petition</w:t>
      </w:r>
      <w:r w:rsidRPr="00062E21">
        <w:rPr>
          <w:b/>
          <w:sz w:val="26"/>
          <w:szCs w:val="26"/>
        </w:rPr>
        <w:t xml:space="preserve"> </w:t>
      </w:r>
    </w:p>
    <w:p w:rsidR="00013B7C" w:rsidRPr="00062E21" w:rsidRDefault="00013B7C" w:rsidP="00F939FA">
      <w:pPr>
        <w:keepNext/>
        <w:widowControl/>
        <w:spacing w:line="360" w:lineRule="auto"/>
        <w:rPr>
          <w:sz w:val="26"/>
          <w:szCs w:val="26"/>
        </w:rPr>
      </w:pPr>
    </w:p>
    <w:p w:rsidR="00013B7C" w:rsidRPr="00062E21" w:rsidRDefault="00013B7C" w:rsidP="00773D87">
      <w:pPr>
        <w:widowControl/>
        <w:spacing w:line="360" w:lineRule="auto"/>
        <w:ind w:firstLine="1440"/>
        <w:rPr>
          <w:sz w:val="26"/>
          <w:szCs w:val="26"/>
        </w:rPr>
      </w:pPr>
      <w:r w:rsidRPr="00062E21">
        <w:rPr>
          <w:sz w:val="26"/>
          <w:szCs w:val="26"/>
        </w:rPr>
        <w:t xml:space="preserve">A utility’s DSIC is subject to quarterly updates to reflect eligible plant additions placed in service during the three-month period ending one month prior to the effective date of any DSIC update.  Proposed Supplement No. </w:t>
      </w:r>
      <w:r w:rsidR="000F3BEC">
        <w:rPr>
          <w:sz w:val="26"/>
          <w:szCs w:val="26"/>
        </w:rPr>
        <w:t>58</w:t>
      </w:r>
      <w:r w:rsidRPr="00062E21">
        <w:rPr>
          <w:sz w:val="26"/>
          <w:szCs w:val="26"/>
        </w:rPr>
        <w:t xml:space="preserve"> includes the effective dates of </w:t>
      </w:r>
      <w:r w:rsidR="000F3BEC">
        <w:rPr>
          <w:sz w:val="26"/>
          <w:szCs w:val="26"/>
        </w:rPr>
        <w:t>PGW</w:t>
      </w:r>
      <w:r w:rsidRPr="00062E21">
        <w:rPr>
          <w:sz w:val="26"/>
          <w:szCs w:val="26"/>
        </w:rPr>
        <w:t xml:space="preserve">’s proposed DSIC updates.  </w:t>
      </w:r>
      <w:r w:rsidR="003E2848">
        <w:rPr>
          <w:sz w:val="26"/>
          <w:szCs w:val="26"/>
        </w:rPr>
        <w:t>Supplement No. 58 stated that quarterly updates would be filed with the Commission, I&amp;E, OCA and OSBA “at least one (1) day prior to the effective date”.</w:t>
      </w:r>
    </w:p>
    <w:p w:rsidR="00013B7C" w:rsidRPr="00062E21" w:rsidRDefault="00013B7C" w:rsidP="00773D87">
      <w:pPr>
        <w:widowControl/>
        <w:spacing w:line="360" w:lineRule="auto"/>
        <w:rPr>
          <w:sz w:val="26"/>
          <w:szCs w:val="26"/>
        </w:rPr>
      </w:pPr>
    </w:p>
    <w:p w:rsidR="00013B7C" w:rsidRPr="00062E21" w:rsidRDefault="00013B7C" w:rsidP="00D75FCA">
      <w:pPr>
        <w:keepNext/>
        <w:widowControl/>
        <w:spacing w:line="360" w:lineRule="auto"/>
        <w:rPr>
          <w:b/>
          <w:sz w:val="26"/>
          <w:szCs w:val="26"/>
        </w:rPr>
      </w:pPr>
      <w:r w:rsidRPr="00062E21">
        <w:rPr>
          <w:b/>
          <w:sz w:val="26"/>
          <w:szCs w:val="26"/>
        </w:rPr>
        <w:t>Comments</w:t>
      </w:r>
    </w:p>
    <w:p w:rsidR="00013B7C" w:rsidRPr="00062E21" w:rsidRDefault="00013B7C" w:rsidP="00D75FCA">
      <w:pPr>
        <w:keepNext/>
        <w:widowControl/>
        <w:spacing w:line="360" w:lineRule="auto"/>
        <w:rPr>
          <w:sz w:val="26"/>
          <w:szCs w:val="26"/>
        </w:rPr>
      </w:pPr>
      <w:r w:rsidRPr="00062E21">
        <w:rPr>
          <w:sz w:val="26"/>
          <w:szCs w:val="26"/>
        </w:rPr>
        <w:t xml:space="preserve"> </w:t>
      </w:r>
    </w:p>
    <w:p w:rsidR="00013B7C" w:rsidRPr="00062E21" w:rsidRDefault="003E2848" w:rsidP="00773D87">
      <w:pPr>
        <w:widowControl/>
        <w:spacing w:line="360" w:lineRule="auto"/>
        <w:ind w:firstLine="1440"/>
        <w:rPr>
          <w:sz w:val="26"/>
          <w:szCs w:val="26"/>
        </w:rPr>
      </w:pPr>
      <w:r>
        <w:rPr>
          <w:sz w:val="26"/>
          <w:szCs w:val="26"/>
        </w:rPr>
        <w:t xml:space="preserve">OCA </w:t>
      </w:r>
      <w:r w:rsidR="00430166">
        <w:rPr>
          <w:sz w:val="26"/>
          <w:szCs w:val="26"/>
        </w:rPr>
        <w:t>i</w:t>
      </w:r>
      <w:r>
        <w:rPr>
          <w:sz w:val="26"/>
          <w:szCs w:val="26"/>
        </w:rPr>
        <w:t>s concern</w:t>
      </w:r>
      <w:r w:rsidR="00430166">
        <w:rPr>
          <w:sz w:val="26"/>
          <w:szCs w:val="26"/>
        </w:rPr>
        <w:t>ed</w:t>
      </w:r>
      <w:r>
        <w:rPr>
          <w:sz w:val="26"/>
          <w:szCs w:val="26"/>
        </w:rPr>
        <w:t xml:space="preserve"> with PGW’s tariff providing that PGW will file supporting data for each quarterly update with only one day notice prior to the effective date of the update</w:t>
      </w:r>
      <w:r w:rsidR="00013B7C" w:rsidRPr="00062E21">
        <w:rPr>
          <w:sz w:val="26"/>
          <w:szCs w:val="26"/>
        </w:rPr>
        <w:t xml:space="preserve">.  </w:t>
      </w:r>
      <w:r w:rsidR="002B73E6">
        <w:rPr>
          <w:sz w:val="26"/>
          <w:szCs w:val="26"/>
        </w:rPr>
        <w:t>OCA states that Section 1357(d)(3) requires utility’s file and serve this information “at least ten days prior to the effective date of the update.” 66</w:t>
      </w:r>
      <w:r w:rsidR="002B73E6" w:rsidRPr="002B73E6">
        <w:rPr>
          <w:sz w:val="26"/>
          <w:szCs w:val="26"/>
        </w:rPr>
        <w:t xml:space="preserve"> Pa. C.S. §</w:t>
      </w:r>
      <w:r w:rsidR="00430166">
        <w:rPr>
          <w:sz w:val="26"/>
          <w:szCs w:val="26"/>
        </w:rPr>
        <w:t> </w:t>
      </w:r>
      <w:r w:rsidR="002B73E6" w:rsidRPr="002B73E6">
        <w:rPr>
          <w:sz w:val="26"/>
          <w:szCs w:val="26"/>
        </w:rPr>
        <w:t>1357(</w:t>
      </w:r>
      <w:r w:rsidR="002B73E6">
        <w:rPr>
          <w:sz w:val="26"/>
          <w:szCs w:val="26"/>
        </w:rPr>
        <w:t>d</w:t>
      </w:r>
      <w:r w:rsidR="002B73E6" w:rsidRPr="002B73E6">
        <w:rPr>
          <w:sz w:val="26"/>
          <w:szCs w:val="26"/>
        </w:rPr>
        <w:t>)(</w:t>
      </w:r>
      <w:r w:rsidR="002B73E6">
        <w:rPr>
          <w:sz w:val="26"/>
          <w:szCs w:val="26"/>
        </w:rPr>
        <w:t>3</w:t>
      </w:r>
      <w:r w:rsidR="002B73E6" w:rsidRPr="002B73E6">
        <w:rPr>
          <w:sz w:val="26"/>
          <w:szCs w:val="26"/>
        </w:rPr>
        <w:t>)</w:t>
      </w:r>
      <w:r w:rsidR="002B73E6">
        <w:rPr>
          <w:sz w:val="26"/>
          <w:szCs w:val="26"/>
        </w:rPr>
        <w:t xml:space="preserve">.  OCA </w:t>
      </w:r>
      <w:r w:rsidR="00430166">
        <w:rPr>
          <w:sz w:val="26"/>
          <w:szCs w:val="26"/>
        </w:rPr>
        <w:t>asserts</w:t>
      </w:r>
      <w:r w:rsidR="002B73E6">
        <w:rPr>
          <w:sz w:val="26"/>
          <w:szCs w:val="26"/>
        </w:rPr>
        <w:t xml:space="preserve"> that one day’s notice is unreasonable and inconsistent with statutory requirements. </w:t>
      </w:r>
      <w:r w:rsidR="00F254AA">
        <w:rPr>
          <w:sz w:val="26"/>
          <w:szCs w:val="26"/>
        </w:rPr>
        <w:t xml:space="preserve"> </w:t>
      </w:r>
      <w:r w:rsidR="002B73E6">
        <w:rPr>
          <w:sz w:val="26"/>
          <w:szCs w:val="26"/>
        </w:rPr>
        <w:t xml:space="preserve">OCA Answer at 4.  </w:t>
      </w:r>
    </w:p>
    <w:p w:rsidR="00013B7C" w:rsidRPr="00062E21" w:rsidRDefault="00013B7C" w:rsidP="00773D87">
      <w:pPr>
        <w:widowControl/>
        <w:spacing w:line="360" w:lineRule="auto"/>
        <w:rPr>
          <w:sz w:val="26"/>
          <w:szCs w:val="26"/>
        </w:rPr>
      </w:pPr>
    </w:p>
    <w:p w:rsidR="00013B7C" w:rsidRPr="00062E21" w:rsidRDefault="00013B7C" w:rsidP="00F254AA">
      <w:pPr>
        <w:keepNext/>
        <w:widowControl/>
        <w:spacing w:line="360" w:lineRule="auto"/>
        <w:rPr>
          <w:b/>
          <w:sz w:val="26"/>
          <w:szCs w:val="26"/>
        </w:rPr>
      </w:pPr>
      <w:r w:rsidRPr="00062E21">
        <w:rPr>
          <w:b/>
          <w:sz w:val="26"/>
          <w:szCs w:val="26"/>
        </w:rPr>
        <w:t>Resolution</w:t>
      </w:r>
    </w:p>
    <w:p w:rsidR="00013B7C" w:rsidRPr="00062E21" w:rsidRDefault="00013B7C" w:rsidP="00F254AA">
      <w:pPr>
        <w:keepNext/>
        <w:widowControl/>
        <w:spacing w:line="360" w:lineRule="auto"/>
        <w:ind w:firstLine="1440"/>
        <w:rPr>
          <w:sz w:val="26"/>
          <w:szCs w:val="26"/>
        </w:rPr>
      </w:pPr>
    </w:p>
    <w:p w:rsidR="0067771D" w:rsidRDefault="00013B7C" w:rsidP="00773D87">
      <w:pPr>
        <w:widowControl/>
        <w:spacing w:line="360" w:lineRule="auto"/>
        <w:ind w:firstLine="1440"/>
        <w:rPr>
          <w:sz w:val="26"/>
          <w:szCs w:val="26"/>
        </w:rPr>
      </w:pPr>
      <w:r w:rsidRPr="00062E21">
        <w:rPr>
          <w:sz w:val="26"/>
          <w:szCs w:val="26"/>
        </w:rPr>
        <w:t>In accordance with 66 Pa. C.S. § 1358(e)(2), t</w:t>
      </w:r>
      <w:r w:rsidRPr="00062E21">
        <w:rPr>
          <w:bCs/>
          <w:sz w:val="26"/>
          <w:szCs w:val="26"/>
        </w:rPr>
        <w:t xml:space="preserve">he revenue received under the </w:t>
      </w:r>
      <w:r w:rsidR="00430166">
        <w:rPr>
          <w:bCs/>
          <w:sz w:val="26"/>
          <w:szCs w:val="26"/>
        </w:rPr>
        <w:t xml:space="preserve">DSIC </w:t>
      </w:r>
      <w:r w:rsidRPr="00062E21">
        <w:rPr>
          <w:bCs/>
          <w:sz w:val="26"/>
          <w:szCs w:val="26"/>
        </w:rPr>
        <w:t>for the reconciliation period shall be compared to the utility</w:t>
      </w:r>
      <w:r w:rsidR="00430166">
        <w:rPr>
          <w:bCs/>
          <w:sz w:val="26"/>
          <w:szCs w:val="26"/>
        </w:rPr>
        <w:t>’</w:t>
      </w:r>
      <w:r w:rsidRPr="00062E21">
        <w:rPr>
          <w:bCs/>
          <w:sz w:val="26"/>
          <w:szCs w:val="26"/>
        </w:rPr>
        <w:t>s eligible costs for that period.</w:t>
      </w:r>
      <w:r w:rsidR="00430166">
        <w:rPr>
          <w:bCs/>
          <w:sz w:val="26"/>
          <w:szCs w:val="26"/>
        </w:rPr>
        <w:t xml:space="preserve"> </w:t>
      </w:r>
      <w:r w:rsidRPr="00062E21">
        <w:rPr>
          <w:bCs/>
          <w:sz w:val="26"/>
          <w:szCs w:val="26"/>
        </w:rPr>
        <w:t xml:space="preserve"> The difference between revenue and costs shall be recouped or refunded, as appropriate, in accordance with </w:t>
      </w:r>
      <w:r w:rsidR="0021537D">
        <w:rPr>
          <w:bCs/>
          <w:sz w:val="26"/>
          <w:szCs w:val="26"/>
        </w:rPr>
        <w:t xml:space="preserve">66 Pa. C.S. § </w:t>
      </w:r>
      <w:r w:rsidRPr="00062E21">
        <w:rPr>
          <w:bCs/>
          <w:sz w:val="26"/>
          <w:szCs w:val="26"/>
        </w:rPr>
        <w:t>1307(e), over a one-year period or quarterly period commencing April 1 of each year.</w:t>
      </w:r>
      <w:r w:rsidRPr="00062E21">
        <w:rPr>
          <w:sz w:val="26"/>
          <w:szCs w:val="26"/>
        </w:rPr>
        <w:t xml:space="preserve">  </w:t>
      </w:r>
      <w:r w:rsidR="0067771D">
        <w:rPr>
          <w:sz w:val="26"/>
          <w:szCs w:val="26"/>
        </w:rPr>
        <w:t xml:space="preserve">Further, Section 1357(d)(3) and the Commission’s Model Tariff clearly state that quarterly updates are required ten days prior to the effective date of the update.  </w:t>
      </w:r>
    </w:p>
    <w:p w:rsidR="0067771D" w:rsidRDefault="0067771D" w:rsidP="00773D87">
      <w:pPr>
        <w:widowControl/>
        <w:spacing w:line="360" w:lineRule="auto"/>
        <w:ind w:firstLine="1440"/>
        <w:rPr>
          <w:sz w:val="26"/>
          <w:szCs w:val="26"/>
        </w:rPr>
      </w:pPr>
    </w:p>
    <w:p w:rsidR="00013B7C" w:rsidRDefault="00606F24" w:rsidP="00773D87">
      <w:pPr>
        <w:widowControl/>
        <w:spacing w:line="360" w:lineRule="auto"/>
        <w:ind w:firstLine="1440"/>
        <w:rPr>
          <w:sz w:val="26"/>
          <w:szCs w:val="26"/>
        </w:rPr>
      </w:pPr>
      <w:r w:rsidRPr="009549C2">
        <w:rPr>
          <w:sz w:val="26"/>
          <w:szCs w:val="26"/>
        </w:rPr>
        <w:t>Upon review, PG</w:t>
      </w:r>
      <w:r w:rsidR="003A76D3">
        <w:rPr>
          <w:sz w:val="26"/>
          <w:szCs w:val="26"/>
        </w:rPr>
        <w:t>W’s</w:t>
      </w:r>
      <w:r>
        <w:rPr>
          <w:sz w:val="26"/>
          <w:szCs w:val="26"/>
        </w:rPr>
        <w:t xml:space="preserve"> proposal regarding quarterly revisions </w:t>
      </w:r>
      <w:r w:rsidRPr="009549C2">
        <w:rPr>
          <w:sz w:val="26"/>
          <w:szCs w:val="26"/>
        </w:rPr>
        <w:t>appear</w:t>
      </w:r>
      <w:r>
        <w:rPr>
          <w:sz w:val="26"/>
          <w:szCs w:val="26"/>
        </w:rPr>
        <w:t>s</w:t>
      </w:r>
      <w:r w:rsidRPr="009549C2">
        <w:rPr>
          <w:sz w:val="26"/>
          <w:szCs w:val="26"/>
        </w:rPr>
        <w:t xml:space="preserve"> to be </w:t>
      </w:r>
      <w:r w:rsidRPr="008E300D">
        <w:rPr>
          <w:sz w:val="26"/>
          <w:szCs w:val="26"/>
        </w:rPr>
        <w:t>in</w:t>
      </w:r>
      <w:r>
        <w:rPr>
          <w:sz w:val="26"/>
          <w:szCs w:val="26"/>
        </w:rPr>
        <w:t xml:space="preserve">consistent with the Final Implementation Order and the Model Tariff and does not appear to conform to the filing requirements as provided by Act 11.  </w:t>
      </w:r>
      <w:r w:rsidR="00430166">
        <w:rPr>
          <w:sz w:val="26"/>
          <w:szCs w:val="26"/>
        </w:rPr>
        <w:t xml:space="preserve">Accordingly, </w:t>
      </w:r>
      <w:r>
        <w:rPr>
          <w:sz w:val="26"/>
          <w:szCs w:val="26"/>
        </w:rPr>
        <w:t xml:space="preserve">we shall not approve the proposed quarterly revisions provisions at this time.  </w:t>
      </w:r>
    </w:p>
    <w:p w:rsidR="002E2DF0" w:rsidRPr="00062E21" w:rsidRDefault="002E2DF0" w:rsidP="00773D87">
      <w:pPr>
        <w:widowControl/>
        <w:spacing w:line="360" w:lineRule="auto"/>
        <w:ind w:firstLine="1440"/>
        <w:rPr>
          <w:sz w:val="26"/>
          <w:szCs w:val="26"/>
        </w:rPr>
      </w:pPr>
    </w:p>
    <w:p w:rsidR="00013B7C" w:rsidRPr="00062E21" w:rsidRDefault="00BB6728" w:rsidP="00D75FCA">
      <w:pPr>
        <w:keepNext/>
        <w:widowControl/>
        <w:spacing w:line="360" w:lineRule="auto"/>
        <w:ind w:firstLine="1440"/>
        <w:rPr>
          <w:b/>
          <w:sz w:val="26"/>
          <w:szCs w:val="26"/>
        </w:rPr>
      </w:pPr>
      <w:r>
        <w:rPr>
          <w:b/>
          <w:sz w:val="26"/>
          <w:szCs w:val="26"/>
        </w:rPr>
        <w:t xml:space="preserve">(e) </w:t>
      </w:r>
      <w:r w:rsidR="00013B7C" w:rsidRPr="00062E21">
        <w:rPr>
          <w:b/>
          <w:sz w:val="26"/>
          <w:szCs w:val="26"/>
        </w:rPr>
        <w:t>Consumer Protections</w:t>
      </w:r>
    </w:p>
    <w:p w:rsidR="00013B7C" w:rsidRPr="00062E21" w:rsidRDefault="00013B7C" w:rsidP="00D75FCA">
      <w:pPr>
        <w:keepNext/>
        <w:widowControl/>
        <w:spacing w:line="360" w:lineRule="auto"/>
        <w:rPr>
          <w:sz w:val="26"/>
          <w:szCs w:val="26"/>
        </w:rPr>
      </w:pPr>
    </w:p>
    <w:p w:rsidR="00013B7C" w:rsidRPr="00062E21" w:rsidRDefault="00F919D7" w:rsidP="00D75FCA">
      <w:pPr>
        <w:keepNext/>
        <w:widowControl/>
        <w:spacing w:line="360" w:lineRule="auto"/>
        <w:rPr>
          <w:b/>
          <w:sz w:val="26"/>
          <w:szCs w:val="26"/>
        </w:rPr>
      </w:pPr>
      <w:r>
        <w:rPr>
          <w:b/>
          <w:sz w:val="26"/>
          <w:szCs w:val="26"/>
        </w:rPr>
        <w:t>PGW’s Petition</w:t>
      </w:r>
      <w:r w:rsidRPr="00062E21">
        <w:rPr>
          <w:b/>
          <w:sz w:val="26"/>
          <w:szCs w:val="26"/>
        </w:rPr>
        <w:t xml:space="preserve"> </w:t>
      </w:r>
    </w:p>
    <w:p w:rsidR="00013B7C" w:rsidRPr="00062E21" w:rsidRDefault="00013B7C" w:rsidP="00D75FCA">
      <w:pPr>
        <w:keepNext/>
        <w:widowControl/>
        <w:spacing w:line="360" w:lineRule="auto"/>
        <w:rPr>
          <w:sz w:val="26"/>
          <w:szCs w:val="26"/>
        </w:rPr>
      </w:pPr>
    </w:p>
    <w:p w:rsidR="00013B7C" w:rsidRPr="00062E21" w:rsidRDefault="00013B7C" w:rsidP="00773D87">
      <w:pPr>
        <w:widowControl/>
        <w:spacing w:line="360" w:lineRule="auto"/>
        <w:ind w:firstLine="1440"/>
        <w:rPr>
          <w:sz w:val="26"/>
          <w:szCs w:val="26"/>
        </w:rPr>
      </w:pPr>
      <w:r w:rsidRPr="00062E21">
        <w:rPr>
          <w:sz w:val="26"/>
          <w:szCs w:val="26"/>
        </w:rPr>
        <w:t xml:space="preserve">In accordance with the Model Tariff and consistent with 66 Pa. C.S. § 1358, </w:t>
      </w:r>
      <w:r w:rsidR="00BB6728">
        <w:rPr>
          <w:sz w:val="26"/>
          <w:szCs w:val="26"/>
        </w:rPr>
        <w:t>PGW</w:t>
      </w:r>
      <w:r w:rsidRPr="00062E21">
        <w:rPr>
          <w:sz w:val="26"/>
          <w:szCs w:val="26"/>
        </w:rPr>
        <w:t xml:space="preserve">’s proposed Supplement No. </w:t>
      </w:r>
      <w:r w:rsidR="00BB6728">
        <w:rPr>
          <w:sz w:val="26"/>
          <w:szCs w:val="26"/>
        </w:rPr>
        <w:t>58</w:t>
      </w:r>
      <w:r w:rsidRPr="00062E21">
        <w:rPr>
          <w:sz w:val="26"/>
          <w:szCs w:val="26"/>
        </w:rPr>
        <w:t xml:space="preserve"> also includes the following customer safeguards:</w:t>
      </w:r>
    </w:p>
    <w:p w:rsidR="00013B7C" w:rsidRPr="00062E21" w:rsidRDefault="00013B7C" w:rsidP="00773D87">
      <w:pPr>
        <w:pStyle w:val="ListParagraph"/>
        <w:widowControl/>
        <w:numPr>
          <w:ilvl w:val="0"/>
          <w:numId w:val="24"/>
        </w:numPr>
        <w:autoSpaceDE/>
        <w:autoSpaceDN/>
        <w:adjustRightInd/>
        <w:spacing w:line="360" w:lineRule="auto"/>
        <w:contextualSpacing/>
        <w:rPr>
          <w:sz w:val="26"/>
          <w:szCs w:val="26"/>
        </w:rPr>
      </w:pPr>
      <w:r w:rsidRPr="00062E21">
        <w:rPr>
          <w:sz w:val="26"/>
          <w:szCs w:val="26"/>
        </w:rPr>
        <w:t xml:space="preserve">A 5.0% cap on the total amount of revenue that can be collected by </w:t>
      </w:r>
      <w:r w:rsidR="00BB6728">
        <w:rPr>
          <w:sz w:val="26"/>
          <w:szCs w:val="26"/>
        </w:rPr>
        <w:t>PGW</w:t>
      </w:r>
      <w:r w:rsidRPr="00062E21">
        <w:rPr>
          <w:sz w:val="26"/>
          <w:szCs w:val="26"/>
        </w:rPr>
        <w:t xml:space="preserve"> as determined on an annualized basis;</w:t>
      </w:r>
    </w:p>
    <w:p w:rsidR="00013B7C" w:rsidRPr="00062E21" w:rsidRDefault="00013B7C" w:rsidP="00773D87">
      <w:pPr>
        <w:pStyle w:val="ListParagraph"/>
        <w:widowControl/>
        <w:numPr>
          <w:ilvl w:val="0"/>
          <w:numId w:val="24"/>
        </w:numPr>
        <w:autoSpaceDE/>
        <w:autoSpaceDN/>
        <w:adjustRightInd/>
        <w:spacing w:line="360" w:lineRule="auto"/>
        <w:contextualSpacing/>
        <w:rPr>
          <w:sz w:val="26"/>
          <w:szCs w:val="26"/>
        </w:rPr>
      </w:pPr>
      <w:r w:rsidRPr="00062E21">
        <w:rPr>
          <w:sz w:val="26"/>
          <w:szCs w:val="26"/>
        </w:rPr>
        <w:t xml:space="preserve">Annual reconciliations performed by </w:t>
      </w:r>
      <w:r w:rsidR="00BB6728">
        <w:rPr>
          <w:sz w:val="26"/>
          <w:szCs w:val="26"/>
        </w:rPr>
        <w:t>PGW</w:t>
      </w:r>
      <w:r w:rsidRPr="00062E21">
        <w:rPr>
          <w:sz w:val="26"/>
          <w:szCs w:val="26"/>
        </w:rPr>
        <w:t>;</w:t>
      </w:r>
    </w:p>
    <w:p w:rsidR="00013B7C" w:rsidRPr="00062E21" w:rsidRDefault="00013B7C" w:rsidP="00773D87">
      <w:pPr>
        <w:pStyle w:val="ListParagraph"/>
        <w:widowControl/>
        <w:numPr>
          <w:ilvl w:val="0"/>
          <w:numId w:val="24"/>
        </w:numPr>
        <w:autoSpaceDE/>
        <w:autoSpaceDN/>
        <w:adjustRightInd/>
        <w:spacing w:line="360" w:lineRule="auto"/>
        <w:contextualSpacing/>
        <w:rPr>
          <w:sz w:val="26"/>
          <w:szCs w:val="26"/>
        </w:rPr>
      </w:pPr>
      <w:r w:rsidRPr="00062E21">
        <w:rPr>
          <w:sz w:val="26"/>
          <w:szCs w:val="26"/>
        </w:rPr>
        <w:t>Audits conducted by the Commission;</w:t>
      </w:r>
    </w:p>
    <w:p w:rsidR="00013B7C" w:rsidRPr="00062E21" w:rsidRDefault="00013B7C" w:rsidP="00881438">
      <w:pPr>
        <w:pStyle w:val="ListParagraph"/>
        <w:widowControl/>
        <w:numPr>
          <w:ilvl w:val="0"/>
          <w:numId w:val="24"/>
        </w:numPr>
        <w:autoSpaceDE/>
        <w:autoSpaceDN/>
        <w:adjustRightInd/>
        <w:spacing w:line="360" w:lineRule="auto"/>
        <w:contextualSpacing/>
        <w:rPr>
          <w:sz w:val="26"/>
          <w:szCs w:val="26"/>
        </w:rPr>
      </w:pPr>
      <w:r w:rsidRPr="00062E21">
        <w:rPr>
          <w:sz w:val="26"/>
          <w:szCs w:val="26"/>
        </w:rPr>
        <w:t>Customer notice of any changes in the DSIC;</w:t>
      </w:r>
      <w:r w:rsidR="00BB6728">
        <w:rPr>
          <w:sz w:val="26"/>
          <w:szCs w:val="26"/>
        </w:rPr>
        <w:t xml:space="preserve"> </w:t>
      </w:r>
      <w:r w:rsidR="00BB6728" w:rsidRPr="00062E21">
        <w:rPr>
          <w:sz w:val="26"/>
          <w:szCs w:val="26"/>
        </w:rPr>
        <w:t>and</w:t>
      </w:r>
    </w:p>
    <w:p w:rsidR="00013B7C" w:rsidRPr="00062E21" w:rsidRDefault="00013B7C" w:rsidP="00881438">
      <w:pPr>
        <w:pStyle w:val="ListParagraph"/>
        <w:widowControl/>
        <w:numPr>
          <w:ilvl w:val="0"/>
          <w:numId w:val="24"/>
        </w:numPr>
        <w:autoSpaceDE/>
        <w:autoSpaceDN/>
        <w:adjustRightInd/>
        <w:spacing w:line="360" w:lineRule="auto"/>
        <w:contextualSpacing/>
        <w:rPr>
          <w:sz w:val="26"/>
          <w:szCs w:val="26"/>
        </w:rPr>
      </w:pPr>
      <w:r w:rsidRPr="00062E21">
        <w:rPr>
          <w:sz w:val="26"/>
          <w:szCs w:val="26"/>
        </w:rPr>
        <w:t xml:space="preserve">A reset of the DSIC to zero as of the effective date of new base rates that include the DSIC-eligible plant; </w:t>
      </w:r>
    </w:p>
    <w:p w:rsidR="00013B7C" w:rsidRPr="00062E21" w:rsidRDefault="00013B7C" w:rsidP="00773D87">
      <w:pPr>
        <w:widowControl/>
        <w:spacing w:line="360" w:lineRule="auto"/>
        <w:rPr>
          <w:sz w:val="26"/>
          <w:szCs w:val="26"/>
        </w:rPr>
      </w:pPr>
    </w:p>
    <w:p w:rsidR="00013B7C" w:rsidRDefault="00013B7C" w:rsidP="00773D87">
      <w:pPr>
        <w:widowControl/>
        <w:spacing w:line="360" w:lineRule="auto"/>
        <w:ind w:firstLine="1440"/>
        <w:rPr>
          <w:sz w:val="26"/>
          <w:szCs w:val="26"/>
        </w:rPr>
      </w:pPr>
      <w:r w:rsidRPr="00062E21">
        <w:rPr>
          <w:sz w:val="26"/>
          <w:szCs w:val="26"/>
        </w:rPr>
        <w:t xml:space="preserve">As a customer safeguard, the Model Tariff states that the DSIC shall be applied equally to all customer classes.  </w:t>
      </w:r>
      <w:r w:rsidR="00BB6728">
        <w:rPr>
          <w:sz w:val="26"/>
          <w:szCs w:val="26"/>
        </w:rPr>
        <w:t>PGW did not include</w:t>
      </w:r>
      <w:r w:rsidRPr="00062E21">
        <w:rPr>
          <w:sz w:val="26"/>
          <w:szCs w:val="26"/>
        </w:rPr>
        <w:t xml:space="preserve"> a provision that specifies that </w:t>
      </w:r>
      <w:r w:rsidR="00BB6728">
        <w:rPr>
          <w:sz w:val="26"/>
          <w:szCs w:val="26"/>
        </w:rPr>
        <w:t>PGW</w:t>
      </w:r>
      <w:r w:rsidRPr="00062E21">
        <w:rPr>
          <w:sz w:val="26"/>
          <w:szCs w:val="26"/>
        </w:rPr>
        <w:t xml:space="preserve"> </w:t>
      </w:r>
      <w:r w:rsidR="00BB6728">
        <w:rPr>
          <w:sz w:val="26"/>
          <w:szCs w:val="26"/>
        </w:rPr>
        <w:t xml:space="preserve">will </w:t>
      </w:r>
      <w:r w:rsidRPr="00062E21">
        <w:rPr>
          <w:sz w:val="26"/>
          <w:szCs w:val="26"/>
        </w:rPr>
        <w:t>reduce or eliminate the Rider DSIC to any customer with competitive alternatives or potential competitive alternatives and customers having negotiated contracts</w:t>
      </w:r>
      <w:r w:rsidR="00BB6728">
        <w:rPr>
          <w:sz w:val="26"/>
          <w:szCs w:val="26"/>
        </w:rPr>
        <w:t xml:space="preserve">.  </w:t>
      </w:r>
    </w:p>
    <w:p w:rsidR="0054293C" w:rsidRDefault="0054293C" w:rsidP="00773D87">
      <w:pPr>
        <w:widowControl/>
        <w:spacing w:line="360" w:lineRule="auto"/>
        <w:ind w:firstLine="1440"/>
        <w:rPr>
          <w:sz w:val="26"/>
          <w:szCs w:val="26"/>
        </w:rPr>
      </w:pPr>
    </w:p>
    <w:p w:rsidR="0054293C" w:rsidRPr="00062E21" w:rsidRDefault="003E2848" w:rsidP="00773D87">
      <w:pPr>
        <w:widowControl/>
        <w:spacing w:line="360" w:lineRule="auto"/>
        <w:ind w:firstLine="1440"/>
        <w:rPr>
          <w:sz w:val="26"/>
          <w:szCs w:val="26"/>
        </w:rPr>
      </w:pPr>
      <w:r>
        <w:rPr>
          <w:sz w:val="26"/>
          <w:szCs w:val="26"/>
        </w:rPr>
        <w:lastRenderedPageBreak/>
        <w:t>PGW’s proposed tariff state</w:t>
      </w:r>
      <w:r w:rsidR="00430166">
        <w:rPr>
          <w:sz w:val="26"/>
          <w:szCs w:val="26"/>
        </w:rPr>
        <w:t>s</w:t>
      </w:r>
      <w:r>
        <w:rPr>
          <w:sz w:val="26"/>
          <w:szCs w:val="26"/>
        </w:rPr>
        <w:t xml:space="preserve"> that the DSIC is subject to annual reconciliation based on a reconciliation period consisting of the twelve months ending August 31 of each year.</w:t>
      </w:r>
    </w:p>
    <w:p w:rsidR="00013B7C" w:rsidRPr="00062E21" w:rsidRDefault="00013B7C" w:rsidP="00773D87">
      <w:pPr>
        <w:widowControl/>
        <w:spacing w:line="360" w:lineRule="auto"/>
        <w:ind w:firstLine="1440"/>
        <w:rPr>
          <w:sz w:val="26"/>
          <w:szCs w:val="26"/>
        </w:rPr>
      </w:pPr>
    </w:p>
    <w:p w:rsidR="00013B7C" w:rsidRPr="00062E21" w:rsidRDefault="00013B7C" w:rsidP="00D75FCA">
      <w:pPr>
        <w:keepNext/>
        <w:widowControl/>
        <w:spacing w:line="360" w:lineRule="auto"/>
        <w:rPr>
          <w:b/>
          <w:sz w:val="26"/>
          <w:szCs w:val="26"/>
        </w:rPr>
      </w:pPr>
      <w:r w:rsidRPr="00062E21">
        <w:rPr>
          <w:b/>
          <w:sz w:val="26"/>
          <w:szCs w:val="26"/>
        </w:rPr>
        <w:t>Comments</w:t>
      </w:r>
    </w:p>
    <w:p w:rsidR="00013B7C" w:rsidRPr="00062E21" w:rsidRDefault="00013B7C" w:rsidP="00D75FCA">
      <w:pPr>
        <w:keepNext/>
        <w:widowControl/>
        <w:spacing w:line="360" w:lineRule="auto"/>
        <w:ind w:firstLine="1440"/>
        <w:rPr>
          <w:sz w:val="26"/>
          <w:szCs w:val="26"/>
        </w:rPr>
      </w:pPr>
    </w:p>
    <w:p w:rsidR="00013B7C" w:rsidRPr="00062E21" w:rsidRDefault="00A8343F" w:rsidP="00773D87">
      <w:pPr>
        <w:widowControl/>
        <w:spacing w:line="360" w:lineRule="auto"/>
        <w:ind w:firstLine="1440"/>
        <w:rPr>
          <w:sz w:val="26"/>
          <w:szCs w:val="26"/>
        </w:rPr>
      </w:pPr>
      <w:r>
        <w:rPr>
          <w:sz w:val="26"/>
          <w:szCs w:val="26"/>
        </w:rPr>
        <w:t xml:space="preserve">OCA </w:t>
      </w:r>
      <w:r w:rsidR="00430166">
        <w:rPr>
          <w:sz w:val="26"/>
          <w:szCs w:val="26"/>
        </w:rPr>
        <w:t xml:space="preserve">is </w:t>
      </w:r>
      <w:r>
        <w:rPr>
          <w:sz w:val="26"/>
          <w:szCs w:val="26"/>
        </w:rPr>
        <w:t>concern</w:t>
      </w:r>
      <w:r w:rsidR="00430166">
        <w:rPr>
          <w:sz w:val="26"/>
          <w:szCs w:val="26"/>
        </w:rPr>
        <w:t>ed</w:t>
      </w:r>
      <w:r>
        <w:rPr>
          <w:sz w:val="26"/>
          <w:szCs w:val="26"/>
        </w:rPr>
        <w:t xml:space="preserve"> that the volumetric rates proposed by PGW “obscures the connection between the DSIC rate and the statutory 5% bill limitation.” </w:t>
      </w:r>
      <w:r w:rsidR="00430166">
        <w:rPr>
          <w:sz w:val="26"/>
          <w:szCs w:val="26"/>
        </w:rPr>
        <w:t xml:space="preserve"> </w:t>
      </w:r>
      <w:r>
        <w:rPr>
          <w:sz w:val="26"/>
          <w:szCs w:val="26"/>
        </w:rPr>
        <w:t xml:space="preserve">OCA Answer at 4.  </w:t>
      </w:r>
    </w:p>
    <w:p w:rsidR="00013B7C" w:rsidRPr="00062E21" w:rsidRDefault="00013B7C" w:rsidP="00773D87">
      <w:pPr>
        <w:widowControl/>
        <w:spacing w:line="360" w:lineRule="auto"/>
        <w:rPr>
          <w:sz w:val="26"/>
          <w:szCs w:val="26"/>
        </w:rPr>
      </w:pPr>
    </w:p>
    <w:p w:rsidR="00013B7C" w:rsidRPr="00062E21" w:rsidRDefault="00013B7C" w:rsidP="00773D87">
      <w:pPr>
        <w:widowControl/>
        <w:spacing w:line="360" w:lineRule="auto"/>
        <w:rPr>
          <w:b/>
          <w:sz w:val="26"/>
          <w:szCs w:val="26"/>
        </w:rPr>
      </w:pPr>
      <w:r w:rsidRPr="00062E21">
        <w:rPr>
          <w:b/>
          <w:sz w:val="26"/>
          <w:szCs w:val="26"/>
        </w:rPr>
        <w:t>Resolution</w:t>
      </w:r>
    </w:p>
    <w:p w:rsidR="00013B7C" w:rsidRPr="00062E21" w:rsidRDefault="00013B7C" w:rsidP="00773D87">
      <w:pPr>
        <w:widowControl/>
        <w:spacing w:line="360" w:lineRule="auto"/>
        <w:rPr>
          <w:sz w:val="26"/>
          <w:szCs w:val="26"/>
        </w:rPr>
      </w:pPr>
    </w:p>
    <w:p w:rsidR="00CB6A5F" w:rsidRDefault="00F41D0C" w:rsidP="00A25484">
      <w:pPr>
        <w:widowControl/>
        <w:spacing w:line="360" w:lineRule="auto"/>
        <w:ind w:firstLine="1440"/>
        <w:rPr>
          <w:sz w:val="26"/>
          <w:szCs w:val="26"/>
        </w:rPr>
      </w:pPr>
      <w:r w:rsidRPr="00F41D0C">
        <w:rPr>
          <w:sz w:val="26"/>
          <w:szCs w:val="26"/>
        </w:rPr>
        <w:t xml:space="preserve">In accordance with 66 Pa. C.S. § 1358(e)(2), the revenue received under the </w:t>
      </w:r>
      <w:r w:rsidR="0067771D">
        <w:rPr>
          <w:sz w:val="26"/>
          <w:szCs w:val="26"/>
        </w:rPr>
        <w:t>DSIC</w:t>
      </w:r>
      <w:r w:rsidRPr="00F41D0C">
        <w:rPr>
          <w:sz w:val="26"/>
          <w:szCs w:val="26"/>
        </w:rPr>
        <w:t xml:space="preserve"> for the reconciliation period shall be compared to the utility's eligible costs for that period. </w:t>
      </w:r>
      <w:r w:rsidR="00430166">
        <w:rPr>
          <w:sz w:val="26"/>
          <w:szCs w:val="26"/>
        </w:rPr>
        <w:t xml:space="preserve"> </w:t>
      </w:r>
      <w:r w:rsidRPr="00F41D0C">
        <w:rPr>
          <w:sz w:val="26"/>
          <w:szCs w:val="26"/>
        </w:rPr>
        <w:t>The difference between revenue and costs shall be recouped or refunded, as appropriate, in accordance with section 1307(e), over a one-year period or quarterly period commencing April 1 of each year.  Based on the statute mandating over/under collections be refunded commencing April 1 of each year</w:t>
      </w:r>
      <w:r>
        <w:rPr>
          <w:sz w:val="26"/>
          <w:szCs w:val="26"/>
        </w:rPr>
        <w:t>, PGW should update its DSIC tariff to reflect the April 1 date.</w:t>
      </w:r>
      <w:r w:rsidR="0067771D">
        <w:rPr>
          <w:sz w:val="26"/>
          <w:szCs w:val="26"/>
        </w:rPr>
        <w:t xml:space="preserve">  </w:t>
      </w:r>
      <w:r w:rsidR="00430166">
        <w:rPr>
          <w:sz w:val="26"/>
          <w:szCs w:val="26"/>
        </w:rPr>
        <w:t xml:space="preserve">Further, PGW’s failure to </w:t>
      </w:r>
      <w:r w:rsidR="0067771D">
        <w:rPr>
          <w:sz w:val="26"/>
          <w:szCs w:val="26"/>
        </w:rPr>
        <w:t xml:space="preserve">include </w:t>
      </w:r>
      <w:r w:rsidR="0054293C">
        <w:rPr>
          <w:sz w:val="26"/>
          <w:szCs w:val="26"/>
        </w:rPr>
        <w:t>a provision which excludes customers with competitive alternatives or negotiated rates</w:t>
      </w:r>
      <w:r w:rsidR="0021537D">
        <w:rPr>
          <w:sz w:val="26"/>
          <w:szCs w:val="26"/>
        </w:rPr>
        <w:t xml:space="preserve"> appears to be</w:t>
      </w:r>
      <w:r w:rsidR="0054293C" w:rsidRPr="00062E21">
        <w:rPr>
          <w:sz w:val="26"/>
          <w:szCs w:val="26"/>
        </w:rPr>
        <w:t xml:space="preserve"> </w:t>
      </w:r>
      <w:r w:rsidR="0054293C">
        <w:rPr>
          <w:sz w:val="26"/>
          <w:szCs w:val="26"/>
        </w:rPr>
        <w:t>in</w:t>
      </w:r>
      <w:r w:rsidR="0054293C" w:rsidRPr="00062E21">
        <w:rPr>
          <w:sz w:val="26"/>
          <w:szCs w:val="26"/>
        </w:rPr>
        <w:t xml:space="preserve">consistent with the Final Implementation Order.  </w:t>
      </w:r>
    </w:p>
    <w:p w:rsidR="00606F24" w:rsidRDefault="00606F24" w:rsidP="00A25484">
      <w:pPr>
        <w:widowControl/>
        <w:spacing w:line="360" w:lineRule="auto"/>
        <w:ind w:firstLine="1440"/>
        <w:rPr>
          <w:sz w:val="26"/>
          <w:szCs w:val="26"/>
        </w:rPr>
      </w:pPr>
    </w:p>
    <w:p w:rsidR="00606F24" w:rsidRDefault="00606F24" w:rsidP="00A25484">
      <w:pPr>
        <w:widowControl/>
        <w:spacing w:line="360" w:lineRule="auto"/>
        <w:ind w:firstLine="1440"/>
        <w:rPr>
          <w:sz w:val="26"/>
          <w:szCs w:val="26"/>
        </w:rPr>
      </w:pPr>
      <w:r w:rsidRPr="009549C2">
        <w:rPr>
          <w:sz w:val="26"/>
          <w:szCs w:val="26"/>
        </w:rPr>
        <w:t xml:space="preserve">Upon review, PGW’s </w:t>
      </w:r>
      <w:r>
        <w:rPr>
          <w:sz w:val="26"/>
          <w:szCs w:val="26"/>
        </w:rPr>
        <w:t xml:space="preserve">proposed provisions regarding customer protections </w:t>
      </w:r>
      <w:r w:rsidRPr="009549C2">
        <w:rPr>
          <w:sz w:val="26"/>
          <w:szCs w:val="26"/>
        </w:rPr>
        <w:t xml:space="preserve">appear to be </w:t>
      </w:r>
      <w:r w:rsidRPr="008E300D">
        <w:rPr>
          <w:sz w:val="26"/>
          <w:szCs w:val="26"/>
        </w:rPr>
        <w:t>in</w:t>
      </w:r>
      <w:r>
        <w:rPr>
          <w:sz w:val="26"/>
          <w:szCs w:val="26"/>
        </w:rPr>
        <w:t xml:space="preserve">consistent with the Final Implementation Order and the Model Tariff and do not appear to conform to the filing requirements as provided by Act 11.  Accordingly, we shall not approve the proposed customer protections provisions at this time.  </w:t>
      </w:r>
    </w:p>
    <w:p w:rsidR="00013B7C" w:rsidRPr="00062E21" w:rsidRDefault="00013B7C" w:rsidP="00773D87">
      <w:pPr>
        <w:widowControl/>
        <w:spacing w:line="360" w:lineRule="auto"/>
        <w:rPr>
          <w:sz w:val="26"/>
          <w:szCs w:val="26"/>
        </w:rPr>
      </w:pPr>
    </w:p>
    <w:p w:rsidR="00013B7C" w:rsidRPr="00D570FD" w:rsidRDefault="00D570FD" w:rsidP="00A25484">
      <w:pPr>
        <w:keepNext/>
        <w:widowControl/>
        <w:spacing w:line="360" w:lineRule="auto"/>
        <w:rPr>
          <w:b/>
          <w:sz w:val="26"/>
          <w:szCs w:val="26"/>
        </w:rPr>
      </w:pPr>
      <w:r w:rsidRPr="00D570FD">
        <w:rPr>
          <w:b/>
          <w:sz w:val="26"/>
          <w:szCs w:val="26"/>
        </w:rPr>
        <w:lastRenderedPageBreak/>
        <w:tab/>
        <w:t xml:space="preserve">(2) </w:t>
      </w:r>
      <w:r w:rsidR="00013B7C" w:rsidRPr="00D570FD">
        <w:rPr>
          <w:b/>
          <w:sz w:val="26"/>
          <w:szCs w:val="26"/>
        </w:rPr>
        <w:t>Public Interest Considerations</w:t>
      </w:r>
    </w:p>
    <w:p w:rsidR="00013B7C" w:rsidRDefault="00013B7C" w:rsidP="00A25484">
      <w:pPr>
        <w:keepNext/>
        <w:widowControl/>
        <w:spacing w:line="360" w:lineRule="auto"/>
        <w:rPr>
          <w:sz w:val="26"/>
          <w:szCs w:val="26"/>
        </w:rPr>
      </w:pPr>
    </w:p>
    <w:p w:rsidR="00430166" w:rsidRPr="006B6152" w:rsidRDefault="00430166" w:rsidP="00A25484">
      <w:pPr>
        <w:keepNext/>
        <w:widowControl/>
        <w:spacing w:line="360" w:lineRule="auto"/>
        <w:rPr>
          <w:b/>
          <w:sz w:val="26"/>
          <w:szCs w:val="26"/>
        </w:rPr>
      </w:pPr>
      <w:r w:rsidRPr="006B6152">
        <w:rPr>
          <w:b/>
          <w:sz w:val="26"/>
          <w:szCs w:val="26"/>
        </w:rPr>
        <w:t>PGW Petition</w:t>
      </w:r>
    </w:p>
    <w:p w:rsidR="00430166" w:rsidRPr="00062E21" w:rsidRDefault="00430166" w:rsidP="00A25484">
      <w:pPr>
        <w:keepNext/>
        <w:widowControl/>
        <w:spacing w:line="360" w:lineRule="auto"/>
        <w:rPr>
          <w:sz w:val="26"/>
          <w:szCs w:val="26"/>
        </w:rPr>
      </w:pPr>
    </w:p>
    <w:p w:rsidR="00F74BD2" w:rsidRDefault="00430166" w:rsidP="00773D87">
      <w:pPr>
        <w:widowControl/>
        <w:spacing w:line="360" w:lineRule="auto"/>
        <w:ind w:firstLine="1440"/>
        <w:rPr>
          <w:sz w:val="26"/>
          <w:szCs w:val="26"/>
        </w:rPr>
      </w:pPr>
      <w:r>
        <w:rPr>
          <w:sz w:val="26"/>
          <w:szCs w:val="26"/>
        </w:rPr>
        <w:t>PGW Witness</w:t>
      </w:r>
      <w:r w:rsidR="00F74BD2" w:rsidRPr="00F74BD2">
        <w:rPr>
          <w:sz w:val="26"/>
          <w:szCs w:val="26"/>
        </w:rPr>
        <w:t xml:space="preserve"> Moser explain</w:t>
      </w:r>
      <w:r>
        <w:rPr>
          <w:sz w:val="26"/>
          <w:szCs w:val="26"/>
        </w:rPr>
        <w:t>ed</w:t>
      </w:r>
      <w:r w:rsidR="00F74BD2" w:rsidRPr="00F74BD2">
        <w:rPr>
          <w:sz w:val="26"/>
          <w:szCs w:val="26"/>
        </w:rPr>
        <w:t xml:space="preserve"> the connection between PGW’s LTIIP and DSIC.  Additionally, </w:t>
      </w:r>
      <w:r>
        <w:rPr>
          <w:sz w:val="26"/>
          <w:szCs w:val="26"/>
        </w:rPr>
        <w:t>W</w:t>
      </w:r>
      <w:r w:rsidR="00F74BD2" w:rsidRPr="00F74BD2">
        <w:rPr>
          <w:sz w:val="26"/>
          <w:szCs w:val="26"/>
        </w:rPr>
        <w:t>itness Moser explain</w:t>
      </w:r>
      <w:r>
        <w:rPr>
          <w:sz w:val="26"/>
          <w:szCs w:val="26"/>
        </w:rPr>
        <w:t>ed</w:t>
      </w:r>
      <w:r w:rsidR="00F74BD2" w:rsidRPr="00F74BD2">
        <w:rPr>
          <w:sz w:val="26"/>
          <w:szCs w:val="26"/>
        </w:rPr>
        <w:t xml:space="preserve"> PGW’s LTIIP and how PGW’s accelerated main replacement program is in the public interest</w:t>
      </w:r>
      <w:r w:rsidR="005C17C4">
        <w:rPr>
          <w:sz w:val="26"/>
          <w:szCs w:val="26"/>
        </w:rPr>
        <w:t>,</w:t>
      </w:r>
      <w:r w:rsidR="00F74BD2" w:rsidRPr="00F74BD2">
        <w:rPr>
          <w:sz w:val="26"/>
          <w:szCs w:val="26"/>
        </w:rPr>
        <w:t xml:space="preserve"> is cost-effective and will ensure and maintain adequate, safe and reliable service.  </w:t>
      </w:r>
    </w:p>
    <w:p w:rsidR="00F74BD2" w:rsidRDefault="00F74BD2" w:rsidP="00773D87">
      <w:pPr>
        <w:widowControl/>
        <w:spacing w:line="360" w:lineRule="auto"/>
        <w:ind w:firstLine="1440"/>
        <w:rPr>
          <w:sz w:val="26"/>
          <w:szCs w:val="26"/>
        </w:rPr>
      </w:pPr>
    </w:p>
    <w:p w:rsidR="00430166" w:rsidRPr="006B6152" w:rsidRDefault="00430166" w:rsidP="00F254AA">
      <w:pPr>
        <w:widowControl/>
        <w:spacing w:line="360" w:lineRule="auto"/>
        <w:rPr>
          <w:b/>
          <w:sz w:val="26"/>
          <w:szCs w:val="26"/>
        </w:rPr>
      </w:pPr>
      <w:r w:rsidRPr="006B6152">
        <w:rPr>
          <w:b/>
          <w:sz w:val="26"/>
          <w:szCs w:val="26"/>
        </w:rPr>
        <w:t>Comments</w:t>
      </w:r>
    </w:p>
    <w:p w:rsidR="00430166" w:rsidRDefault="00430166" w:rsidP="00773D87">
      <w:pPr>
        <w:widowControl/>
        <w:spacing w:line="360" w:lineRule="auto"/>
        <w:ind w:firstLine="1440"/>
        <w:rPr>
          <w:sz w:val="26"/>
          <w:szCs w:val="26"/>
        </w:rPr>
      </w:pPr>
    </w:p>
    <w:p w:rsidR="00013B7C" w:rsidRPr="00062E21" w:rsidRDefault="00013B7C" w:rsidP="00773D87">
      <w:pPr>
        <w:widowControl/>
        <w:spacing w:line="360" w:lineRule="auto"/>
        <w:ind w:firstLine="1440"/>
        <w:rPr>
          <w:bCs/>
          <w:sz w:val="26"/>
          <w:szCs w:val="26"/>
        </w:rPr>
      </w:pPr>
      <w:r w:rsidRPr="00062E21">
        <w:rPr>
          <w:bCs/>
          <w:sz w:val="26"/>
          <w:szCs w:val="26"/>
        </w:rPr>
        <w:t>No comments were received regarding the s</w:t>
      </w:r>
      <w:r w:rsidR="00E422C5">
        <w:rPr>
          <w:bCs/>
          <w:sz w:val="26"/>
          <w:szCs w:val="26"/>
        </w:rPr>
        <w:t>upporting evidence that PGW</w:t>
      </w:r>
      <w:r w:rsidRPr="00062E21">
        <w:rPr>
          <w:bCs/>
          <w:sz w:val="26"/>
          <w:szCs w:val="26"/>
        </w:rPr>
        <w:t xml:space="preserve">’s DSIC is in the public interest.  </w:t>
      </w:r>
    </w:p>
    <w:p w:rsidR="00013B7C" w:rsidRPr="00062E21" w:rsidRDefault="00013B7C" w:rsidP="00773D87">
      <w:pPr>
        <w:widowControl/>
        <w:spacing w:line="360" w:lineRule="auto"/>
        <w:ind w:firstLine="1440"/>
        <w:rPr>
          <w:bCs/>
          <w:sz w:val="26"/>
          <w:szCs w:val="26"/>
        </w:rPr>
      </w:pPr>
    </w:p>
    <w:p w:rsidR="00430166" w:rsidRPr="006B6152" w:rsidRDefault="00430166" w:rsidP="00014BCA">
      <w:pPr>
        <w:widowControl/>
        <w:spacing w:line="360" w:lineRule="auto"/>
        <w:rPr>
          <w:b/>
          <w:sz w:val="26"/>
          <w:szCs w:val="26"/>
        </w:rPr>
      </w:pPr>
      <w:r w:rsidRPr="006B6152">
        <w:rPr>
          <w:b/>
          <w:sz w:val="26"/>
          <w:szCs w:val="26"/>
        </w:rPr>
        <w:t xml:space="preserve">Resolution </w:t>
      </w:r>
    </w:p>
    <w:p w:rsidR="00430166" w:rsidRDefault="00430166" w:rsidP="00773D87">
      <w:pPr>
        <w:widowControl/>
        <w:spacing w:line="360" w:lineRule="auto"/>
        <w:ind w:firstLine="1440"/>
        <w:rPr>
          <w:sz w:val="26"/>
          <w:szCs w:val="26"/>
        </w:rPr>
      </w:pPr>
    </w:p>
    <w:p w:rsidR="00A25484" w:rsidRDefault="00BB533A" w:rsidP="00773D87">
      <w:pPr>
        <w:widowControl/>
        <w:spacing w:line="360" w:lineRule="auto"/>
        <w:ind w:firstLine="1440"/>
        <w:rPr>
          <w:sz w:val="26"/>
          <w:szCs w:val="26"/>
        </w:rPr>
      </w:pPr>
      <w:r w:rsidRPr="00BB533A">
        <w:rPr>
          <w:sz w:val="26"/>
          <w:szCs w:val="26"/>
        </w:rPr>
        <w:t>Section 1353 requires testimony, affidavits, exhibits, and other supporting evidence to be submitted demonstrating that the DSIC is in the public interest.  PGW submitted direct testimony of PGW’s Executive Vice President and Acting Chief Operating Officer and exhibits demonstrating how the proposed DSIC supports accelerated infrastructure improvement and is in the public interest.</w:t>
      </w:r>
      <w:r w:rsidR="00430166">
        <w:rPr>
          <w:sz w:val="26"/>
          <w:szCs w:val="26"/>
        </w:rPr>
        <w:t xml:space="preserve">  </w:t>
      </w:r>
    </w:p>
    <w:p w:rsidR="00A25484" w:rsidRDefault="00A25484" w:rsidP="00773D87">
      <w:pPr>
        <w:widowControl/>
        <w:spacing w:line="360" w:lineRule="auto"/>
        <w:ind w:firstLine="1440"/>
        <w:rPr>
          <w:sz w:val="26"/>
          <w:szCs w:val="26"/>
        </w:rPr>
      </w:pPr>
    </w:p>
    <w:p w:rsidR="00BB533A" w:rsidRDefault="00430166" w:rsidP="00773D87">
      <w:pPr>
        <w:widowControl/>
        <w:spacing w:line="360" w:lineRule="auto"/>
        <w:ind w:firstLine="1440"/>
        <w:rPr>
          <w:sz w:val="26"/>
          <w:szCs w:val="26"/>
        </w:rPr>
      </w:pPr>
      <w:r>
        <w:rPr>
          <w:sz w:val="26"/>
          <w:szCs w:val="26"/>
        </w:rPr>
        <w:t xml:space="preserve">Accordingly, while we find that PGW’s </w:t>
      </w:r>
      <w:r w:rsidR="0042070C">
        <w:rPr>
          <w:sz w:val="26"/>
          <w:szCs w:val="26"/>
        </w:rPr>
        <w:t xml:space="preserve">proposed </w:t>
      </w:r>
      <w:r>
        <w:rPr>
          <w:sz w:val="26"/>
          <w:szCs w:val="26"/>
        </w:rPr>
        <w:t xml:space="preserve">DSIC is </w:t>
      </w:r>
      <w:r w:rsidR="0021537D">
        <w:rPr>
          <w:sz w:val="26"/>
          <w:szCs w:val="26"/>
        </w:rPr>
        <w:t>not presently in compliance with the statute and our Model Tariff</w:t>
      </w:r>
      <w:r>
        <w:rPr>
          <w:sz w:val="26"/>
          <w:szCs w:val="26"/>
        </w:rPr>
        <w:t>, we are persuaded that a properly formulated DSIC would be in the public’s interest and would support accelerated infrastructure improvement.</w:t>
      </w:r>
    </w:p>
    <w:p w:rsidR="00013B7C" w:rsidRPr="00062E21" w:rsidRDefault="00013B7C" w:rsidP="00773D87">
      <w:pPr>
        <w:widowControl/>
        <w:spacing w:line="360" w:lineRule="auto"/>
        <w:rPr>
          <w:bCs/>
          <w:sz w:val="26"/>
          <w:szCs w:val="26"/>
        </w:rPr>
      </w:pPr>
    </w:p>
    <w:p w:rsidR="00013B7C" w:rsidRPr="00062E21" w:rsidRDefault="00147BB9" w:rsidP="00606F24">
      <w:pPr>
        <w:keepNext/>
        <w:widowControl/>
        <w:spacing w:line="360" w:lineRule="auto"/>
        <w:ind w:firstLine="720"/>
        <w:rPr>
          <w:b/>
          <w:bCs/>
          <w:sz w:val="26"/>
          <w:szCs w:val="26"/>
          <w:u w:val="single"/>
        </w:rPr>
      </w:pPr>
      <w:r>
        <w:rPr>
          <w:b/>
          <w:bCs/>
          <w:sz w:val="26"/>
          <w:szCs w:val="26"/>
          <w:u w:val="single"/>
        </w:rPr>
        <w:lastRenderedPageBreak/>
        <w:t xml:space="preserve">(3) </w:t>
      </w:r>
      <w:r w:rsidR="00013B7C" w:rsidRPr="00062E21">
        <w:rPr>
          <w:b/>
          <w:bCs/>
          <w:sz w:val="26"/>
          <w:szCs w:val="26"/>
          <w:u w:val="single"/>
        </w:rPr>
        <w:t>Long Term Infrastructure Improvement Plan</w:t>
      </w:r>
    </w:p>
    <w:p w:rsidR="00013B7C" w:rsidRPr="00062E21" w:rsidRDefault="00013B7C" w:rsidP="00A25484">
      <w:pPr>
        <w:keepNext/>
        <w:widowControl/>
        <w:spacing w:line="360" w:lineRule="auto"/>
        <w:rPr>
          <w:bCs/>
          <w:sz w:val="26"/>
          <w:szCs w:val="26"/>
        </w:rPr>
      </w:pPr>
    </w:p>
    <w:p w:rsidR="00013B7C" w:rsidRPr="00062E21" w:rsidRDefault="00013B7C" w:rsidP="00773D87">
      <w:pPr>
        <w:widowControl/>
        <w:spacing w:line="360" w:lineRule="auto"/>
        <w:ind w:firstLine="1440"/>
        <w:rPr>
          <w:bCs/>
          <w:sz w:val="26"/>
          <w:szCs w:val="26"/>
        </w:rPr>
      </w:pPr>
      <w:r w:rsidRPr="00062E21">
        <w:rPr>
          <w:sz w:val="26"/>
          <w:szCs w:val="26"/>
        </w:rPr>
        <w:t>Section 1353 requires that the utility have an approved</w:t>
      </w:r>
      <w:r w:rsidRPr="00062E21">
        <w:rPr>
          <w:bCs/>
          <w:sz w:val="26"/>
          <w:szCs w:val="26"/>
        </w:rPr>
        <w:t xml:space="preserve"> Long Term Infrastructure Imp</w:t>
      </w:r>
      <w:r w:rsidR="00140A11">
        <w:rPr>
          <w:bCs/>
          <w:sz w:val="26"/>
          <w:szCs w:val="26"/>
        </w:rPr>
        <w:t>rovement Plan (LTIIP).  PGW</w:t>
      </w:r>
      <w:r w:rsidRPr="00062E21">
        <w:rPr>
          <w:bCs/>
          <w:sz w:val="26"/>
          <w:szCs w:val="26"/>
        </w:rPr>
        <w:t xml:space="preserve"> filed a LTIIP w</w:t>
      </w:r>
      <w:r w:rsidR="002E7742">
        <w:rPr>
          <w:bCs/>
          <w:sz w:val="26"/>
          <w:szCs w:val="26"/>
        </w:rPr>
        <w:t>ith the Commission on December 3</w:t>
      </w:r>
      <w:r w:rsidRPr="00062E21">
        <w:rPr>
          <w:bCs/>
          <w:sz w:val="26"/>
          <w:szCs w:val="26"/>
        </w:rPr>
        <w:t>, 2012, which is recommended for approva</w:t>
      </w:r>
      <w:r w:rsidR="00140A11">
        <w:rPr>
          <w:bCs/>
          <w:sz w:val="26"/>
          <w:szCs w:val="26"/>
        </w:rPr>
        <w:t>l</w:t>
      </w:r>
      <w:r w:rsidR="00135912">
        <w:rPr>
          <w:bCs/>
          <w:sz w:val="26"/>
          <w:szCs w:val="26"/>
        </w:rPr>
        <w:t xml:space="preserve"> in this order above</w:t>
      </w:r>
      <w:r w:rsidRPr="00062E21">
        <w:rPr>
          <w:bCs/>
          <w:sz w:val="26"/>
          <w:szCs w:val="26"/>
        </w:rPr>
        <w:t xml:space="preserve">. </w:t>
      </w:r>
      <w:r w:rsidR="00135912">
        <w:rPr>
          <w:bCs/>
          <w:sz w:val="26"/>
          <w:szCs w:val="26"/>
        </w:rPr>
        <w:t xml:space="preserve">  </w:t>
      </w:r>
    </w:p>
    <w:p w:rsidR="00013B7C" w:rsidRPr="00062E21" w:rsidRDefault="00013B7C" w:rsidP="00773D87">
      <w:pPr>
        <w:widowControl/>
        <w:spacing w:line="360" w:lineRule="auto"/>
        <w:rPr>
          <w:bCs/>
          <w:sz w:val="26"/>
          <w:szCs w:val="26"/>
        </w:rPr>
      </w:pPr>
    </w:p>
    <w:p w:rsidR="00013B7C" w:rsidRPr="00062E21" w:rsidRDefault="00147BB9" w:rsidP="00135912">
      <w:pPr>
        <w:widowControl/>
        <w:spacing w:line="360" w:lineRule="auto"/>
        <w:ind w:firstLine="720"/>
        <w:rPr>
          <w:b/>
          <w:bCs/>
          <w:sz w:val="26"/>
          <w:szCs w:val="26"/>
          <w:u w:val="single"/>
        </w:rPr>
      </w:pPr>
      <w:r>
        <w:rPr>
          <w:b/>
          <w:bCs/>
          <w:sz w:val="26"/>
          <w:szCs w:val="26"/>
          <w:u w:val="single"/>
        </w:rPr>
        <w:t xml:space="preserve">(4) </w:t>
      </w:r>
      <w:r w:rsidR="00013B7C" w:rsidRPr="00062E21">
        <w:rPr>
          <w:b/>
          <w:bCs/>
          <w:sz w:val="26"/>
          <w:szCs w:val="26"/>
          <w:u w:val="single"/>
        </w:rPr>
        <w:t>Base Rate Case</w:t>
      </w:r>
    </w:p>
    <w:p w:rsidR="00013B7C" w:rsidRPr="00062E21" w:rsidRDefault="00013B7C" w:rsidP="00773D87">
      <w:pPr>
        <w:widowControl/>
        <w:spacing w:line="360" w:lineRule="auto"/>
        <w:rPr>
          <w:bCs/>
          <w:sz w:val="26"/>
          <w:szCs w:val="26"/>
        </w:rPr>
      </w:pPr>
    </w:p>
    <w:p w:rsidR="00013B7C" w:rsidRPr="00062E21" w:rsidRDefault="00013B7C" w:rsidP="00773D87">
      <w:pPr>
        <w:widowControl/>
        <w:spacing w:line="360" w:lineRule="auto"/>
        <w:ind w:firstLine="1440"/>
        <w:rPr>
          <w:sz w:val="26"/>
          <w:szCs w:val="26"/>
        </w:rPr>
      </w:pPr>
      <w:r w:rsidRPr="00062E21">
        <w:rPr>
          <w:sz w:val="26"/>
          <w:szCs w:val="26"/>
        </w:rPr>
        <w:t>Section 1353(b)(4) requires a utility to certify that it has filed a base rate case within the five years prior to the date</w:t>
      </w:r>
      <w:r w:rsidR="002E7742">
        <w:rPr>
          <w:sz w:val="26"/>
          <w:szCs w:val="26"/>
        </w:rPr>
        <w:t xml:space="preserve"> of its DSIC petition.  PGW</w:t>
      </w:r>
      <w:r w:rsidRPr="00062E21">
        <w:rPr>
          <w:sz w:val="26"/>
          <w:szCs w:val="26"/>
        </w:rPr>
        <w:t xml:space="preserve"> has provided the required certification that its last base</w:t>
      </w:r>
      <w:r w:rsidR="002E7742">
        <w:rPr>
          <w:sz w:val="26"/>
          <w:szCs w:val="26"/>
        </w:rPr>
        <w:t xml:space="preserve"> rate case, under which PGW</w:t>
      </w:r>
      <w:r w:rsidRPr="00062E21">
        <w:rPr>
          <w:sz w:val="26"/>
          <w:szCs w:val="26"/>
        </w:rPr>
        <w:t xml:space="preserve">’s current base rates were established, was </w:t>
      </w:r>
      <w:r w:rsidR="00014A54">
        <w:rPr>
          <w:sz w:val="26"/>
          <w:szCs w:val="26"/>
        </w:rPr>
        <w:t xml:space="preserve">filed on </w:t>
      </w:r>
      <w:r w:rsidR="00474D21">
        <w:rPr>
          <w:sz w:val="26"/>
          <w:szCs w:val="26"/>
        </w:rPr>
        <w:t xml:space="preserve">November 3, </w:t>
      </w:r>
      <w:r w:rsidR="00014A54">
        <w:rPr>
          <w:sz w:val="26"/>
          <w:szCs w:val="26"/>
        </w:rPr>
        <w:t>2009 and went into effect September 1, 2010</w:t>
      </w:r>
      <w:r w:rsidRPr="00062E21">
        <w:rPr>
          <w:sz w:val="26"/>
          <w:szCs w:val="26"/>
        </w:rPr>
        <w:t>.</w:t>
      </w:r>
      <w:r w:rsidRPr="00062E21">
        <w:rPr>
          <w:rStyle w:val="FootnoteReference"/>
          <w:sz w:val="26"/>
          <w:szCs w:val="26"/>
        </w:rPr>
        <w:footnoteReference w:id="8"/>
      </w:r>
      <w:r w:rsidRPr="00062E21">
        <w:rPr>
          <w:sz w:val="26"/>
          <w:szCs w:val="26"/>
        </w:rPr>
        <w:t>.</w:t>
      </w:r>
    </w:p>
    <w:p w:rsidR="00013B7C" w:rsidRPr="00062E21" w:rsidRDefault="00013B7C" w:rsidP="00773D87">
      <w:pPr>
        <w:widowControl/>
        <w:spacing w:line="360" w:lineRule="auto"/>
        <w:rPr>
          <w:bCs/>
          <w:sz w:val="26"/>
          <w:szCs w:val="26"/>
        </w:rPr>
      </w:pPr>
    </w:p>
    <w:p w:rsidR="00147BB9" w:rsidRPr="00C908B6" w:rsidRDefault="00147BB9" w:rsidP="00773D87">
      <w:pPr>
        <w:widowControl/>
        <w:tabs>
          <w:tab w:val="left" w:pos="720"/>
        </w:tabs>
        <w:autoSpaceDE/>
        <w:autoSpaceDN/>
        <w:adjustRightInd/>
        <w:spacing w:line="360" w:lineRule="auto"/>
        <w:contextualSpacing/>
        <w:rPr>
          <w:b/>
          <w:bCs/>
          <w:sz w:val="26"/>
          <w:szCs w:val="26"/>
        </w:rPr>
      </w:pPr>
      <w:r>
        <w:rPr>
          <w:b/>
          <w:bCs/>
          <w:sz w:val="26"/>
          <w:szCs w:val="26"/>
        </w:rPr>
        <w:tab/>
      </w:r>
      <w:r w:rsidRPr="00C908B6">
        <w:rPr>
          <w:b/>
          <w:bCs/>
          <w:sz w:val="26"/>
          <w:szCs w:val="26"/>
        </w:rPr>
        <w:t xml:space="preserve">(5) </w:t>
      </w:r>
      <w:r>
        <w:rPr>
          <w:b/>
          <w:bCs/>
          <w:sz w:val="26"/>
          <w:szCs w:val="26"/>
        </w:rPr>
        <w:t>O</w:t>
      </w:r>
      <w:r w:rsidRPr="00C908B6">
        <w:rPr>
          <w:b/>
          <w:bCs/>
          <w:sz w:val="26"/>
          <w:szCs w:val="26"/>
        </w:rPr>
        <w:t xml:space="preserve">ther </w:t>
      </w:r>
      <w:r>
        <w:rPr>
          <w:b/>
          <w:bCs/>
          <w:sz w:val="26"/>
          <w:szCs w:val="26"/>
        </w:rPr>
        <w:t>I</w:t>
      </w:r>
      <w:r w:rsidRPr="00C908B6">
        <w:rPr>
          <w:b/>
          <w:bCs/>
          <w:sz w:val="26"/>
          <w:szCs w:val="26"/>
        </w:rPr>
        <w:t xml:space="preserve">nformation </w:t>
      </w:r>
      <w:r>
        <w:rPr>
          <w:b/>
          <w:bCs/>
          <w:sz w:val="26"/>
          <w:szCs w:val="26"/>
        </w:rPr>
        <w:t>R</w:t>
      </w:r>
      <w:r w:rsidRPr="00C908B6">
        <w:rPr>
          <w:b/>
          <w:bCs/>
          <w:sz w:val="26"/>
          <w:szCs w:val="26"/>
        </w:rPr>
        <w:t>equired by the Commission</w:t>
      </w:r>
    </w:p>
    <w:p w:rsidR="00147BB9" w:rsidRDefault="00147BB9" w:rsidP="00773D87">
      <w:pPr>
        <w:widowControl/>
        <w:spacing w:line="360" w:lineRule="auto"/>
        <w:rPr>
          <w:b/>
          <w:sz w:val="26"/>
          <w:szCs w:val="26"/>
          <w:u w:val="single"/>
        </w:rPr>
      </w:pPr>
    </w:p>
    <w:p w:rsidR="00013B7C" w:rsidRPr="00147BB9" w:rsidRDefault="00147BB9" w:rsidP="00881438">
      <w:pPr>
        <w:widowControl/>
        <w:spacing w:line="360" w:lineRule="auto"/>
        <w:rPr>
          <w:b/>
          <w:sz w:val="26"/>
          <w:szCs w:val="26"/>
        </w:rPr>
      </w:pPr>
      <w:r w:rsidRPr="00BF5BD3">
        <w:rPr>
          <w:b/>
          <w:sz w:val="26"/>
          <w:szCs w:val="26"/>
        </w:rPr>
        <w:t>Section 1354 - Customer Notice</w:t>
      </w:r>
    </w:p>
    <w:p w:rsidR="00013B7C" w:rsidRPr="00062E21" w:rsidRDefault="00013B7C" w:rsidP="00773D87">
      <w:pPr>
        <w:widowControl/>
        <w:spacing w:line="360" w:lineRule="auto"/>
        <w:rPr>
          <w:sz w:val="26"/>
          <w:szCs w:val="26"/>
        </w:rPr>
      </w:pPr>
    </w:p>
    <w:p w:rsidR="00014BCA" w:rsidRDefault="00013B7C" w:rsidP="00773D87">
      <w:pPr>
        <w:widowControl/>
        <w:spacing w:line="360" w:lineRule="auto"/>
        <w:ind w:firstLine="1440"/>
        <w:rPr>
          <w:sz w:val="26"/>
          <w:szCs w:val="26"/>
        </w:rPr>
      </w:pPr>
      <w:r w:rsidRPr="00062E21">
        <w:rPr>
          <w:sz w:val="26"/>
          <w:szCs w:val="26"/>
        </w:rPr>
        <w:t>Pursuant to 66 Pa. C.S. § 1354 a utility is required to provide customer notice of (1) submission of the DSIC petition, (2) the Commission’s disposition of the DSIC petition, (3) any quarterly changes to the DSIC rate, and (4) any other information requi</w:t>
      </w:r>
      <w:r w:rsidR="00210BF3">
        <w:rPr>
          <w:sz w:val="26"/>
          <w:szCs w:val="26"/>
        </w:rPr>
        <w:t>red by the Commission.  PGW states</w:t>
      </w:r>
      <w:r w:rsidRPr="00062E21">
        <w:rPr>
          <w:sz w:val="26"/>
          <w:szCs w:val="26"/>
        </w:rPr>
        <w:t xml:space="preserve"> that it will provide customer notice of the proposed DSIC and quarterly updates through bill inserts, consistent with Act 11 and the Final Implementation Order.  Testimony submitted with the </w:t>
      </w:r>
      <w:r w:rsidR="00BB3B12">
        <w:rPr>
          <w:sz w:val="26"/>
          <w:szCs w:val="26"/>
        </w:rPr>
        <w:t xml:space="preserve">DSIC </w:t>
      </w:r>
      <w:r w:rsidRPr="00062E21">
        <w:rPr>
          <w:sz w:val="26"/>
          <w:szCs w:val="26"/>
        </w:rPr>
        <w:t>Petition states that</w:t>
      </w:r>
      <w:r w:rsidR="00014BCA">
        <w:rPr>
          <w:sz w:val="26"/>
          <w:szCs w:val="26"/>
        </w:rPr>
        <w:t>:</w:t>
      </w:r>
    </w:p>
    <w:p w:rsidR="00014BCA" w:rsidRDefault="00014BCA" w:rsidP="00773D87">
      <w:pPr>
        <w:widowControl/>
        <w:spacing w:line="360" w:lineRule="auto"/>
        <w:ind w:firstLine="1440"/>
        <w:rPr>
          <w:sz w:val="26"/>
          <w:szCs w:val="26"/>
        </w:rPr>
      </w:pPr>
    </w:p>
    <w:p w:rsidR="00014BCA" w:rsidRDefault="00BB3B12" w:rsidP="006B6152">
      <w:pPr>
        <w:widowControl/>
        <w:ind w:left="1440" w:right="720"/>
        <w:rPr>
          <w:sz w:val="26"/>
          <w:szCs w:val="26"/>
        </w:rPr>
      </w:pPr>
      <w:r>
        <w:rPr>
          <w:sz w:val="26"/>
          <w:szCs w:val="26"/>
        </w:rPr>
        <w:t xml:space="preserve">PGW will comply with the statutory notice requirement under Section 1354 of Act 11 by </w:t>
      </w:r>
      <w:r w:rsidR="00013B7C" w:rsidRPr="00062E21">
        <w:rPr>
          <w:sz w:val="26"/>
          <w:szCs w:val="26"/>
        </w:rPr>
        <w:t xml:space="preserve">including a bill insert </w:t>
      </w:r>
      <w:r>
        <w:rPr>
          <w:sz w:val="26"/>
          <w:szCs w:val="26"/>
        </w:rPr>
        <w:t xml:space="preserve">upon the submission to the Commission of the proposed DSIC and initial </w:t>
      </w:r>
      <w:r>
        <w:rPr>
          <w:sz w:val="26"/>
          <w:szCs w:val="26"/>
        </w:rPr>
        <w:lastRenderedPageBreak/>
        <w:t>DSIC tariff.  Customers will be given notice again when the Commission issues its Final Order on the DSIC filing</w:t>
      </w:r>
      <w:r w:rsidR="00013B7C" w:rsidRPr="00062E21">
        <w:rPr>
          <w:sz w:val="26"/>
          <w:szCs w:val="26"/>
        </w:rPr>
        <w:t xml:space="preserve">. </w:t>
      </w:r>
    </w:p>
    <w:p w:rsidR="00014BCA" w:rsidRDefault="00014BCA" w:rsidP="006B6152">
      <w:pPr>
        <w:widowControl/>
        <w:spacing w:line="360" w:lineRule="auto"/>
        <w:ind w:left="1440"/>
        <w:rPr>
          <w:sz w:val="26"/>
          <w:szCs w:val="26"/>
        </w:rPr>
      </w:pPr>
    </w:p>
    <w:p w:rsidR="00013B7C" w:rsidRPr="00062E21" w:rsidRDefault="00BB3B12" w:rsidP="006B6152">
      <w:pPr>
        <w:widowControl/>
        <w:spacing w:line="360" w:lineRule="auto"/>
        <w:ind w:left="1440" w:hanging="1440"/>
        <w:rPr>
          <w:sz w:val="26"/>
          <w:szCs w:val="26"/>
        </w:rPr>
      </w:pPr>
      <w:r>
        <w:rPr>
          <w:sz w:val="26"/>
          <w:szCs w:val="26"/>
        </w:rPr>
        <w:t>PGW Statement 1 at 11-12.</w:t>
      </w:r>
      <w:r w:rsidR="00013B7C" w:rsidRPr="00062E21">
        <w:rPr>
          <w:sz w:val="26"/>
          <w:szCs w:val="26"/>
        </w:rPr>
        <w:t xml:space="preserve"> </w:t>
      </w:r>
    </w:p>
    <w:p w:rsidR="00013B7C" w:rsidRPr="00062E21" w:rsidRDefault="00013B7C" w:rsidP="00773D87">
      <w:pPr>
        <w:widowControl/>
        <w:spacing w:line="360" w:lineRule="auto"/>
        <w:ind w:firstLine="1440"/>
        <w:rPr>
          <w:sz w:val="26"/>
          <w:szCs w:val="26"/>
        </w:rPr>
      </w:pPr>
    </w:p>
    <w:p w:rsidR="00013B7C" w:rsidRPr="00062E21" w:rsidRDefault="00013B7C" w:rsidP="00773D87">
      <w:pPr>
        <w:widowControl/>
        <w:spacing w:line="360" w:lineRule="auto"/>
        <w:ind w:firstLine="1440"/>
        <w:rPr>
          <w:sz w:val="26"/>
          <w:szCs w:val="26"/>
        </w:rPr>
      </w:pPr>
      <w:r w:rsidRPr="00062E21">
        <w:rPr>
          <w:sz w:val="26"/>
          <w:szCs w:val="26"/>
        </w:rPr>
        <w:t xml:space="preserve">The Commission </w:t>
      </w:r>
      <w:r w:rsidR="00014BCA">
        <w:rPr>
          <w:sz w:val="26"/>
          <w:szCs w:val="26"/>
        </w:rPr>
        <w:t xml:space="preserve">finds </w:t>
      </w:r>
      <w:r w:rsidRPr="00062E21">
        <w:rPr>
          <w:sz w:val="26"/>
          <w:szCs w:val="26"/>
        </w:rPr>
        <w:t>that this is consistent with the notice requirements set forth in the Model Tariff, Act 11 and the Final Implementation Order.</w:t>
      </w:r>
    </w:p>
    <w:p w:rsidR="00481ED1" w:rsidRDefault="00481ED1" w:rsidP="00773D87">
      <w:pPr>
        <w:widowControl/>
        <w:spacing w:line="360" w:lineRule="auto"/>
        <w:rPr>
          <w:b/>
          <w:sz w:val="26"/>
          <w:szCs w:val="26"/>
        </w:rPr>
      </w:pPr>
    </w:p>
    <w:p w:rsidR="00481ED1" w:rsidRPr="00BF5BD3" w:rsidRDefault="00481ED1" w:rsidP="00D75FCA">
      <w:pPr>
        <w:keepNext/>
        <w:widowControl/>
        <w:spacing w:line="360" w:lineRule="auto"/>
        <w:rPr>
          <w:b/>
          <w:sz w:val="26"/>
          <w:szCs w:val="26"/>
        </w:rPr>
      </w:pPr>
      <w:r w:rsidRPr="00BF5BD3">
        <w:rPr>
          <w:b/>
          <w:sz w:val="26"/>
          <w:szCs w:val="26"/>
        </w:rPr>
        <w:t>Bills Rendered or Service Rendered</w:t>
      </w:r>
    </w:p>
    <w:p w:rsidR="00481ED1" w:rsidRPr="00062E21" w:rsidRDefault="00481ED1" w:rsidP="00D75FCA">
      <w:pPr>
        <w:keepNext/>
        <w:widowControl/>
        <w:spacing w:line="360" w:lineRule="auto"/>
        <w:rPr>
          <w:sz w:val="26"/>
          <w:szCs w:val="26"/>
        </w:rPr>
      </w:pPr>
    </w:p>
    <w:p w:rsidR="00481ED1" w:rsidRPr="00062E21" w:rsidRDefault="00481ED1" w:rsidP="00D75FCA">
      <w:pPr>
        <w:keepLines/>
        <w:widowControl/>
        <w:spacing w:line="360" w:lineRule="auto"/>
        <w:ind w:firstLine="1440"/>
        <w:rPr>
          <w:sz w:val="26"/>
          <w:szCs w:val="26"/>
        </w:rPr>
      </w:pPr>
      <w:r w:rsidRPr="00062E21">
        <w:rPr>
          <w:sz w:val="26"/>
          <w:szCs w:val="26"/>
        </w:rPr>
        <w:t>The Final Implementation Order directed utilities to bill customers for the DSIC on a bills rendered basis versus a service rendered basis</w:t>
      </w:r>
      <w:r w:rsidRPr="00062E21">
        <w:rPr>
          <w:rStyle w:val="FootnoteReference"/>
          <w:sz w:val="26"/>
          <w:szCs w:val="26"/>
        </w:rPr>
        <w:footnoteReference w:id="9"/>
      </w:r>
      <w:r w:rsidRPr="00062E21">
        <w:rPr>
          <w:sz w:val="26"/>
          <w:szCs w:val="26"/>
        </w:rPr>
        <w:t>, based on current practice and procedure for water companies</w:t>
      </w:r>
      <w:r>
        <w:rPr>
          <w:sz w:val="26"/>
          <w:szCs w:val="26"/>
        </w:rPr>
        <w:t xml:space="preserve">. </w:t>
      </w:r>
      <w:r w:rsidRPr="00062E21">
        <w:rPr>
          <w:sz w:val="26"/>
          <w:szCs w:val="26"/>
        </w:rPr>
        <w:t xml:space="preserve"> </w:t>
      </w:r>
      <w:r w:rsidRPr="00062E21">
        <w:rPr>
          <w:i/>
          <w:sz w:val="26"/>
          <w:szCs w:val="26"/>
        </w:rPr>
        <w:t>See</w:t>
      </w:r>
      <w:r>
        <w:rPr>
          <w:sz w:val="26"/>
          <w:szCs w:val="26"/>
        </w:rPr>
        <w:t xml:space="preserve"> 66 Pa. C. S. § 1358.  PGW’s proposed tariff specified </w:t>
      </w:r>
      <w:r w:rsidRPr="00062E21">
        <w:rPr>
          <w:sz w:val="26"/>
          <w:szCs w:val="26"/>
        </w:rPr>
        <w:t>th</w:t>
      </w:r>
      <w:r>
        <w:rPr>
          <w:sz w:val="26"/>
          <w:szCs w:val="26"/>
        </w:rPr>
        <w:t>at</w:t>
      </w:r>
      <w:r w:rsidRPr="00062E21">
        <w:rPr>
          <w:sz w:val="26"/>
          <w:szCs w:val="26"/>
        </w:rPr>
        <w:t xml:space="preserve"> billing for the DSIC would be on a bills</w:t>
      </w:r>
      <w:r>
        <w:rPr>
          <w:sz w:val="26"/>
          <w:szCs w:val="26"/>
        </w:rPr>
        <w:t xml:space="preserve"> rendered </w:t>
      </w:r>
      <w:r w:rsidRPr="00062E21">
        <w:rPr>
          <w:sz w:val="26"/>
          <w:szCs w:val="26"/>
        </w:rPr>
        <w:t xml:space="preserve">basis.  </w:t>
      </w:r>
    </w:p>
    <w:p w:rsidR="00481ED1" w:rsidRPr="00062E21" w:rsidRDefault="00481ED1" w:rsidP="00881438">
      <w:pPr>
        <w:widowControl/>
        <w:spacing w:line="360" w:lineRule="auto"/>
        <w:rPr>
          <w:bCs/>
          <w:sz w:val="26"/>
          <w:szCs w:val="26"/>
        </w:rPr>
      </w:pPr>
    </w:p>
    <w:p w:rsidR="00481ED1" w:rsidRPr="00BF5BD3" w:rsidRDefault="00481ED1" w:rsidP="00881438">
      <w:pPr>
        <w:widowControl/>
        <w:spacing w:line="360" w:lineRule="auto"/>
        <w:rPr>
          <w:b/>
          <w:bCs/>
          <w:sz w:val="26"/>
          <w:szCs w:val="26"/>
        </w:rPr>
      </w:pPr>
      <w:r w:rsidRPr="00BF5BD3">
        <w:rPr>
          <w:b/>
          <w:bCs/>
          <w:sz w:val="26"/>
          <w:szCs w:val="26"/>
        </w:rPr>
        <w:t>Section 1355 – Commission Review</w:t>
      </w:r>
    </w:p>
    <w:p w:rsidR="00481ED1" w:rsidRPr="00062E21" w:rsidRDefault="00481ED1" w:rsidP="00006A83">
      <w:pPr>
        <w:widowControl/>
        <w:spacing w:line="360" w:lineRule="auto"/>
        <w:rPr>
          <w:b/>
          <w:bCs/>
          <w:sz w:val="26"/>
          <w:szCs w:val="26"/>
          <w:u w:val="single"/>
        </w:rPr>
      </w:pPr>
    </w:p>
    <w:p w:rsidR="00481ED1" w:rsidRPr="00062E21" w:rsidRDefault="00481ED1" w:rsidP="00911697">
      <w:pPr>
        <w:widowControl/>
        <w:spacing w:line="360" w:lineRule="auto"/>
        <w:ind w:firstLine="1440"/>
        <w:rPr>
          <w:sz w:val="26"/>
          <w:szCs w:val="26"/>
        </w:rPr>
      </w:pPr>
      <w:r w:rsidRPr="00062E21">
        <w:rPr>
          <w:sz w:val="26"/>
          <w:szCs w:val="26"/>
        </w:rPr>
        <w:t>Section 1355</w:t>
      </w:r>
      <w:r>
        <w:rPr>
          <w:sz w:val="26"/>
          <w:szCs w:val="26"/>
        </w:rPr>
        <w:t xml:space="preserve"> provides that </w:t>
      </w:r>
      <w:r w:rsidRPr="00062E21">
        <w:rPr>
          <w:sz w:val="26"/>
          <w:szCs w:val="26"/>
        </w:rPr>
        <w:t xml:space="preserve">the Commission shall, after notice and opportunity to be heard, approve, modify or reject a utility’s proposed DSIC and initial tariff.  </w:t>
      </w:r>
      <w:r w:rsidR="009D579D">
        <w:rPr>
          <w:sz w:val="26"/>
          <w:szCs w:val="26"/>
        </w:rPr>
        <w:t xml:space="preserve">We have </w:t>
      </w:r>
      <w:r w:rsidR="00BB533A">
        <w:rPr>
          <w:sz w:val="26"/>
          <w:szCs w:val="26"/>
        </w:rPr>
        <w:t>reviewed PGW</w:t>
      </w:r>
      <w:r w:rsidRPr="00062E21">
        <w:rPr>
          <w:sz w:val="26"/>
          <w:szCs w:val="26"/>
        </w:rPr>
        <w:t>’s proposed DSIC and pr</w:t>
      </w:r>
      <w:r>
        <w:rPr>
          <w:sz w:val="26"/>
          <w:szCs w:val="26"/>
        </w:rPr>
        <w:t>oposed tariff Supplement No. 58</w:t>
      </w:r>
      <w:r w:rsidRPr="00062E21">
        <w:rPr>
          <w:sz w:val="26"/>
          <w:szCs w:val="26"/>
        </w:rPr>
        <w:t xml:space="preserve"> and determined that</w:t>
      </w:r>
      <w:r w:rsidR="0021537D">
        <w:rPr>
          <w:sz w:val="26"/>
          <w:szCs w:val="26"/>
        </w:rPr>
        <w:t xml:space="preserve"> </w:t>
      </w:r>
      <w:r w:rsidR="0042070C">
        <w:rPr>
          <w:sz w:val="26"/>
          <w:szCs w:val="26"/>
        </w:rPr>
        <w:t xml:space="preserve">it </w:t>
      </w:r>
      <w:r w:rsidR="0021537D">
        <w:rPr>
          <w:sz w:val="26"/>
          <w:szCs w:val="26"/>
        </w:rPr>
        <w:t>is not presently in compliance with the statute and our Model Tariff</w:t>
      </w:r>
      <w:r w:rsidRPr="00062E21">
        <w:rPr>
          <w:sz w:val="26"/>
          <w:szCs w:val="26"/>
        </w:rPr>
        <w:t xml:space="preserve"> </w:t>
      </w:r>
      <w:r>
        <w:rPr>
          <w:sz w:val="26"/>
          <w:szCs w:val="26"/>
        </w:rPr>
        <w:t>and</w:t>
      </w:r>
      <w:r w:rsidR="0021537D">
        <w:rPr>
          <w:sz w:val="26"/>
          <w:szCs w:val="26"/>
        </w:rPr>
        <w:t>,</w:t>
      </w:r>
      <w:r w:rsidR="006708C1">
        <w:rPr>
          <w:sz w:val="26"/>
          <w:szCs w:val="26"/>
        </w:rPr>
        <w:t xml:space="preserve"> </w:t>
      </w:r>
      <w:r w:rsidR="0021537D">
        <w:rPr>
          <w:sz w:val="26"/>
          <w:szCs w:val="26"/>
        </w:rPr>
        <w:t>accordingly,</w:t>
      </w:r>
      <w:r>
        <w:rPr>
          <w:sz w:val="26"/>
          <w:szCs w:val="26"/>
        </w:rPr>
        <w:t xml:space="preserve"> should be </w:t>
      </w:r>
      <w:r w:rsidR="009D579D">
        <w:rPr>
          <w:sz w:val="26"/>
          <w:szCs w:val="26"/>
        </w:rPr>
        <w:t xml:space="preserve">referred </w:t>
      </w:r>
      <w:r>
        <w:rPr>
          <w:sz w:val="26"/>
          <w:szCs w:val="26"/>
        </w:rPr>
        <w:t xml:space="preserve">to the OALJ for </w:t>
      </w:r>
      <w:r w:rsidR="00C23ECE">
        <w:rPr>
          <w:sz w:val="26"/>
          <w:szCs w:val="26"/>
        </w:rPr>
        <w:t>hearing</w:t>
      </w:r>
      <w:r w:rsidR="0021537D">
        <w:rPr>
          <w:sz w:val="26"/>
          <w:szCs w:val="26"/>
        </w:rPr>
        <w:t xml:space="preserve"> and decision</w:t>
      </w:r>
      <w:r w:rsidRPr="00062E21">
        <w:rPr>
          <w:sz w:val="26"/>
          <w:szCs w:val="26"/>
        </w:rPr>
        <w:t xml:space="preserve">. </w:t>
      </w:r>
    </w:p>
    <w:p w:rsidR="00481ED1" w:rsidRDefault="00481ED1" w:rsidP="00430166">
      <w:pPr>
        <w:widowControl/>
        <w:spacing w:line="360" w:lineRule="auto"/>
        <w:ind w:firstLine="1440"/>
        <w:rPr>
          <w:sz w:val="26"/>
          <w:szCs w:val="26"/>
        </w:rPr>
      </w:pPr>
    </w:p>
    <w:p w:rsidR="00481ED1" w:rsidRPr="00062E21" w:rsidRDefault="00481ED1" w:rsidP="006B6152">
      <w:pPr>
        <w:pStyle w:val="p2"/>
        <w:keepNext/>
        <w:widowControl/>
        <w:tabs>
          <w:tab w:val="left" w:pos="720"/>
        </w:tabs>
        <w:spacing w:line="360" w:lineRule="auto"/>
        <w:ind w:firstLine="0"/>
        <w:jc w:val="center"/>
        <w:rPr>
          <w:b/>
          <w:sz w:val="26"/>
          <w:szCs w:val="26"/>
        </w:rPr>
      </w:pPr>
      <w:r>
        <w:rPr>
          <w:b/>
          <w:sz w:val="26"/>
          <w:szCs w:val="26"/>
        </w:rPr>
        <w:t>DSIC SUMMARY</w:t>
      </w:r>
    </w:p>
    <w:p w:rsidR="00013B7C" w:rsidRPr="00062E21" w:rsidRDefault="00013B7C" w:rsidP="006B6152">
      <w:pPr>
        <w:keepNext/>
        <w:widowControl/>
        <w:spacing w:line="360" w:lineRule="auto"/>
        <w:ind w:firstLine="1440"/>
        <w:rPr>
          <w:sz w:val="26"/>
          <w:szCs w:val="26"/>
        </w:rPr>
      </w:pPr>
    </w:p>
    <w:p w:rsidR="00606F24" w:rsidRDefault="006708C1" w:rsidP="009C14FF">
      <w:pPr>
        <w:widowControl/>
        <w:spacing w:line="360" w:lineRule="auto"/>
        <w:ind w:firstLine="1440"/>
        <w:rPr>
          <w:sz w:val="26"/>
          <w:szCs w:val="26"/>
        </w:rPr>
      </w:pPr>
      <w:r>
        <w:rPr>
          <w:sz w:val="26"/>
          <w:szCs w:val="26"/>
        </w:rPr>
        <w:t xml:space="preserve">Having determined that a properly formulated DSIC would be in the public’s interest and would support accelerated infrastructure improvement in the PGW </w:t>
      </w:r>
      <w:r>
        <w:rPr>
          <w:sz w:val="26"/>
          <w:szCs w:val="26"/>
        </w:rPr>
        <w:lastRenderedPageBreak/>
        <w:t>system, w</w:t>
      </w:r>
      <w:r w:rsidR="00014BCA">
        <w:rPr>
          <w:sz w:val="26"/>
          <w:szCs w:val="26"/>
        </w:rPr>
        <w:t xml:space="preserve">e </w:t>
      </w:r>
      <w:r w:rsidR="00606F24">
        <w:rPr>
          <w:sz w:val="26"/>
          <w:szCs w:val="26"/>
        </w:rPr>
        <w:t xml:space="preserve">shall approve the DSIC Petition in part and deny it in part, consistent with this Order.  </w:t>
      </w:r>
    </w:p>
    <w:p w:rsidR="009278BB" w:rsidRDefault="009278BB" w:rsidP="009C14FF">
      <w:pPr>
        <w:widowControl/>
        <w:spacing w:line="360" w:lineRule="auto"/>
        <w:ind w:firstLine="1440"/>
        <w:rPr>
          <w:sz w:val="26"/>
          <w:szCs w:val="26"/>
        </w:rPr>
      </w:pPr>
    </w:p>
    <w:p w:rsidR="009C14FF" w:rsidRDefault="009C14FF" w:rsidP="009C14FF">
      <w:pPr>
        <w:widowControl/>
        <w:spacing w:line="360" w:lineRule="auto"/>
        <w:ind w:firstLine="1440"/>
        <w:rPr>
          <w:sz w:val="26"/>
          <w:szCs w:val="26"/>
        </w:rPr>
      </w:pPr>
      <w:r>
        <w:rPr>
          <w:sz w:val="26"/>
          <w:szCs w:val="26"/>
        </w:rPr>
        <w:t>We</w:t>
      </w:r>
      <w:r w:rsidR="006708C1">
        <w:rPr>
          <w:sz w:val="26"/>
          <w:szCs w:val="26"/>
        </w:rPr>
        <w:t xml:space="preserve"> </w:t>
      </w:r>
      <w:r w:rsidR="00014BCA">
        <w:rPr>
          <w:sz w:val="26"/>
          <w:szCs w:val="26"/>
        </w:rPr>
        <w:t xml:space="preserve">find </w:t>
      </w:r>
      <w:r w:rsidR="00BB533A" w:rsidRPr="00062E21">
        <w:rPr>
          <w:sz w:val="26"/>
          <w:szCs w:val="26"/>
        </w:rPr>
        <w:t xml:space="preserve">that </w:t>
      </w:r>
      <w:r w:rsidR="0021537D">
        <w:rPr>
          <w:sz w:val="26"/>
          <w:szCs w:val="26"/>
        </w:rPr>
        <w:t xml:space="preserve">PGW’s proposed DSIC tariff </w:t>
      </w:r>
      <w:r w:rsidR="009549C2">
        <w:rPr>
          <w:sz w:val="26"/>
          <w:szCs w:val="26"/>
        </w:rPr>
        <w:t xml:space="preserve">does not appear to be </w:t>
      </w:r>
      <w:r w:rsidR="0021537D">
        <w:rPr>
          <w:sz w:val="26"/>
          <w:szCs w:val="26"/>
        </w:rPr>
        <w:t xml:space="preserve">in compliance with </w:t>
      </w:r>
      <w:r>
        <w:rPr>
          <w:sz w:val="26"/>
          <w:szCs w:val="26"/>
        </w:rPr>
        <w:t>Act 11</w:t>
      </w:r>
      <w:r w:rsidR="00632033">
        <w:rPr>
          <w:sz w:val="26"/>
          <w:szCs w:val="26"/>
        </w:rPr>
        <w:t>, the Final Implementation Order,</w:t>
      </w:r>
      <w:r w:rsidR="0021537D">
        <w:rPr>
          <w:sz w:val="26"/>
          <w:szCs w:val="26"/>
        </w:rPr>
        <w:t xml:space="preserve"> and our Model Tariff</w:t>
      </w:r>
      <w:r>
        <w:rPr>
          <w:sz w:val="26"/>
          <w:szCs w:val="26"/>
        </w:rPr>
        <w:t>,</w:t>
      </w:r>
      <w:r w:rsidR="0021537D">
        <w:rPr>
          <w:sz w:val="26"/>
          <w:szCs w:val="26"/>
        </w:rPr>
        <w:t xml:space="preserve"> and, therefore, </w:t>
      </w:r>
      <w:r>
        <w:rPr>
          <w:sz w:val="26"/>
          <w:szCs w:val="26"/>
        </w:rPr>
        <w:t xml:space="preserve">the proposed DSIC tariff </w:t>
      </w:r>
      <w:r w:rsidR="0021537D">
        <w:rPr>
          <w:sz w:val="26"/>
          <w:szCs w:val="26"/>
        </w:rPr>
        <w:t xml:space="preserve">cannot be approved at this time.  </w:t>
      </w:r>
      <w:r w:rsidR="009278BB">
        <w:rPr>
          <w:sz w:val="26"/>
          <w:szCs w:val="26"/>
        </w:rPr>
        <w:t>The issues of concern are summarized as follows:</w:t>
      </w:r>
    </w:p>
    <w:p w:rsidR="009C14FF" w:rsidRDefault="009C14FF" w:rsidP="009C14FF">
      <w:pPr>
        <w:widowControl/>
        <w:spacing w:line="360" w:lineRule="auto"/>
        <w:ind w:firstLine="1440"/>
        <w:rPr>
          <w:sz w:val="26"/>
          <w:szCs w:val="26"/>
        </w:rPr>
      </w:pPr>
    </w:p>
    <w:p w:rsidR="009278BB" w:rsidRPr="006A64A9" w:rsidRDefault="009278BB" w:rsidP="009278BB">
      <w:pPr>
        <w:widowControl/>
        <w:spacing w:line="360" w:lineRule="auto"/>
        <w:ind w:left="1440" w:hanging="720"/>
      </w:pPr>
      <w:r>
        <w:t>1)</w:t>
      </w:r>
      <w:r>
        <w:tab/>
      </w:r>
      <w:r w:rsidRPr="006A64A9">
        <w:t xml:space="preserve">PGW’s proposed method to recover an annualized amount of DSIC eligible cost rather than recovering the cost of eligible property that has been placed in service during the prior three-month period </w:t>
      </w:r>
      <w:r>
        <w:t xml:space="preserve">appears to </w:t>
      </w:r>
      <w:r w:rsidRPr="006A64A9">
        <w:t>violate Se</w:t>
      </w:r>
      <w:r>
        <w:t>ction 1357</w:t>
      </w:r>
      <w:r w:rsidRPr="006A64A9">
        <w:t>;</w:t>
      </w:r>
    </w:p>
    <w:p w:rsidR="009278BB" w:rsidRPr="006A64A9" w:rsidRDefault="009278BB" w:rsidP="009278BB">
      <w:pPr>
        <w:widowControl/>
        <w:spacing w:line="360" w:lineRule="auto"/>
        <w:ind w:left="1440" w:hanging="720"/>
      </w:pPr>
      <w:r>
        <w:t>2)</w:t>
      </w:r>
      <w:r>
        <w:tab/>
      </w:r>
      <w:r w:rsidRPr="006A64A9">
        <w:t xml:space="preserve">PGW’s proposal to recover the costs of eligible property placed in service in November 2012 in a DSIC charge established March 1, 2013 </w:t>
      </w:r>
      <w:r>
        <w:t xml:space="preserve">appears to </w:t>
      </w:r>
      <w:r w:rsidRPr="006A64A9">
        <w:t>violate</w:t>
      </w:r>
      <w:r>
        <w:t xml:space="preserve"> Section 1357</w:t>
      </w:r>
      <w:r w:rsidRPr="006A64A9">
        <w:t>;</w:t>
      </w:r>
    </w:p>
    <w:p w:rsidR="006220E7" w:rsidRDefault="009278BB" w:rsidP="009278BB">
      <w:pPr>
        <w:widowControl/>
        <w:spacing w:line="360" w:lineRule="auto"/>
        <w:ind w:left="1440" w:hanging="720"/>
      </w:pPr>
      <w:r>
        <w:t>3)</w:t>
      </w:r>
      <w:r>
        <w:tab/>
      </w:r>
      <w:r w:rsidRPr="006A64A9">
        <w:t xml:space="preserve">PGW’s proposal to express the surcharge as a volumetric charge per Ccf carried to five decimal places </w:t>
      </w:r>
      <w:r>
        <w:t>does not appear to be</w:t>
      </w:r>
      <w:r w:rsidRPr="006A64A9">
        <w:t xml:space="preserve"> consistent with the statutory requirement that the DSIC rate</w:t>
      </w:r>
      <w:r>
        <w:t xml:space="preserve"> b</w:t>
      </w:r>
      <w:r w:rsidR="006220E7">
        <w:t>e expressed as a percentage;</w:t>
      </w:r>
    </w:p>
    <w:p w:rsidR="006220E7" w:rsidRDefault="009278BB" w:rsidP="006220E7">
      <w:pPr>
        <w:widowControl/>
        <w:spacing w:line="360" w:lineRule="auto"/>
        <w:ind w:left="1440" w:hanging="720"/>
        <w:rPr>
          <w:sz w:val="26"/>
          <w:szCs w:val="26"/>
        </w:rPr>
      </w:pPr>
      <w:r>
        <w:t>4)</w:t>
      </w:r>
      <w:r>
        <w:tab/>
        <w:t>PGW’s proposals regarding quarterly updates and customer protections do not appear to be</w:t>
      </w:r>
      <w:r w:rsidRPr="006A64A9">
        <w:t xml:space="preserve"> consistent with the Model </w:t>
      </w:r>
      <w:r w:rsidRPr="009549C2">
        <w:rPr>
          <w:sz w:val="26"/>
          <w:szCs w:val="26"/>
        </w:rPr>
        <w:t>Tariff</w:t>
      </w:r>
      <w:r w:rsidR="006220E7">
        <w:rPr>
          <w:sz w:val="26"/>
          <w:szCs w:val="26"/>
        </w:rPr>
        <w:t>; and</w:t>
      </w:r>
    </w:p>
    <w:p w:rsidR="006220E7" w:rsidRDefault="006220E7" w:rsidP="006220E7">
      <w:pPr>
        <w:widowControl/>
        <w:spacing w:line="360" w:lineRule="auto"/>
        <w:ind w:left="1440" w:hanging="720"/>
        <w:rPr>
          <w:sz w:val="26"/>
          <w:szCs w:val="26"/>
        </w:rPr>
      </w:pPr>
      <w:r>
        <w:t>5)</w:t>
      </w:r>
      <w:r>
        <w:tab/>
        <w:t>PGW’s proposal regarding the filing schedule and effective date of its DSIC tariff do not appear to conform to Section 1358 (e)(2), and whether PGW has met the requirements for a Section 2212(c) waiver or suspension.</w:t>
      </w:r>
    </w:p>
    <w:p w:rsidR="006220E7" w:rsidRPr="009549C2" w:rsidRDefault="006220E7" w:rsidP="006220E7">
      <w:pPr>
        <w:widowControl/>
        <w:spacing w:line="360" w:lineRule="auto"/>
        <w:ind w:left="1440" w:hanging="720"/>
        <w:rPr>
          <w:sz w:val="26"/>
          <w:szCs w:val="26"/>
        </w:rPr>
      </w:pPr>
    </w:p>
    <w:p w:rsidR="009278BB" w:rsidRDefault="009278BB" w:rsidP="009C14FF">
      <w:pPr>
        <w:widowControl/>
        <w:spacing w:line="360" w:lineRule="auto"/>
        <w:ind w:firstLine="1440"/>
        <w:rPr>
          <w:sz w:val="26"/>
          <w:szCs w:val="26"/>
        </w:rPr>
      </w:pPr>
    </w:p>
    <w:p w:rsidR="009C14FF" w:rsidRDefault="006708C1" w:rsidP="009C14FF">
      <w:pPr>
        <w:widowControl/>
        <w:spacing w:line="360" w:lineRule="auto"/>
        <w:ind w:firstLine="1440"/>
        <w:rPr>
          <w:sz w:val="26"/>
          <w:szCs w:val="26"/>
        </w:rPr>
      </w:pPr>
      <w:r>
        <w:rPr>
          <w:sz w:val="26"/>
          <w:szCs w:val="26"/>
        </w:rPr>
        <w:t xml:space="preserve">PGW </w:t>
      </w:r>
      <w:r w:rsidR="009C14FF">
        <w:rPr>
          <w:sz w:val="26"/>
          <w:szCs w:val="26"/>
        </w:rPr>
        <w:t>shall have ten (10) days to file a revised proposed tariff</w:t>
      </w:r>
      <w:r w:rsidR="006220E7">
        <w:rPr>
          <w:sz w:val="26"/>
          <w:szCs w:val="26"/>
        </w:rPr>
        <w:t xml:space="preserve"> or further support for its proposals</w:t>
      </w:r>
      <w:r w:rsidR="009C14FF">
        <w:rPr>
          <w:sz w:val="26"/>
          <w:szCs w:val="26"/>
        </w:rPr>
        <w:t>.  The parties shall have ten (10) days to comment on the revised tariff</w:t>
      </w:r>
      <w:r w:rsidR="006220E7">
        <w:rPr>
          <w:sz w:val="26"/>
          <w:szCs w:val="26"/>
        </w:rPr>
        <w:t xml:space="preserve"> or further support</w:t>
      </w:r>
      <w:r w:rsidR="009C14FF">
        <w:rPr>
          <w:sz w:val="26"/>
          <w:szCs w:val="26"/>
        </w:rPr>
        <w:t xml:space="preserve">, after which we will consider </w:t>
      </w:r>
      <w:r w:rsidR="006220E7">
        <w:rPr>
          <w:sz w:val="26"/>
          <w:szCs w:val="26"/>
        </w:rPr>
        <w:t>any proposed</w:t>
      </w:r>
      <w:r w:rsidR="009C14FF">
        <w:rPr>
          <w:sz w:val="26"/>
          <w:szCs w:val="26"/>
        </w:rPr>
        <w:t xml:space="preserve"> tariff </w:t>
      </w:r>
      <w:r w:rsidR="006220E7">
        <w:rPr>
          <w:sz w:val="26"/>
          <w:szCs w:val="26"/>
        </w:rPr>
        <w:t xml:space="preserve">revisions </w:t>
      </w:r>
      <w:r w:rsidR="009C14FF">
        <w:rPr>
          <w:sz w:val="26"/>
          <w:szCs w:val="26"/>
        </w:rPr>
        <w:t xml:space="preserve">and the </w:t>
      </w:r>
      <w:r w:rsidR="006220E7">
        <w:rPr>
          <w:sz w:val="26"/>
          <w:szCs w:val="26"/>
        </w:rPr>
        <w:t xml:space="preserve">further </w:t>
      </w:r>
      <w:r w:rsidR="009C14FF">
        <w:rPr>
          <w:sz w:val="26"/>
          <w:szCs w:val="26"/>
        </w:rPr>
        <w:t>comments</w:t>
      </w:r>
      <w:r w:rsidR="006220E7">
        <w:rPr>
          <w:sz w:val="26"/>
          <w:szCs w:val="26"/>
        </w:rPr>
        <w:t xml:space="preserve"> of PGW and the other parties</w:t>
      </w:r>
      <w:r w:rsidR="009C14FF">
        <w:rPr>
          <w:sz w:val="26"/>
          <w:szCs w:val="26"/>
        </w:rPr>
        <w:t xml:space="preserve">.  </w:t>
      </w:r>
    </w:p>
    <w:p w:rsidR="009C14FF" w:rsidRDefault="009C14FF" w:rsidP="009C14FF">
      <w:pPr>
        <w:widowControl/>
        <w:spacing w:line="360" w:lineRule="auto"/>
        <w:ind w:firstLine="1440"/>
        <w:rPr>
          <w:sz w:val="26"/>
          <w:szCs w:val="26"/>
        </w:rPr>
      </w:pPr>
    </w:p>
    <w:p w:rsidR="009549C2" w:rsidRPr="009549C2" w:rsidRDefault="009C14FF" w:rsidP="009278BB">
      <w:pPr>
        <w:widowControl/>
        <w:spacing w:line="360" w:lineRule="auto"/>
        <w:ind w:firstLine="1440"/>
        <w:rPr>
          <w:color w:val="000000"/>
          <w:sz w:val="26"/>
          <w:szCs w:val="26"/>
        </w:rPr>
      </w:pPr>
      <w:r>
        <w:rPr>
          <w:sz w:val="26"/>
          <w:szCs w:val="26"/>
        </w:rPr>
        <w:lastRenderedPageBreak/>
        <w:t>If</w:t>
      </w:r>
      <w:r w:rsidR="009278BB">
        <w:rPr>
          <w:sz w:val="26"/>
          <w:szCs w:val="26"/>
        </w:rPr>
        <w:t>, upon our further review,</w:t>
      </w:r>
      <w:r>
        <w:rPr>
          <w:sz w:val="26"/>
          <w:szCs w:val="26"/>
        </w:rPr>
        <w:t xml:space="preserve"> the revised </w:t>
      </w:r>
      <w:r w:rsidR="00D13E0F">
        <w:rPr>
          <w:sz w:val="26"/>
          <w:szCs w:val="26"/>
        </w:rPr>
        <w:t xml:space="preserve">proposed </w:t>
      </w:r>
      <w:r>
        <w:rPr>
          <w:sz w:val="26"/>
          <w:szCs w:val="26"/>
        </w:rPr>
        <w:t xml:space="preserve">tariff does not appear to conform to Act 11, the Final Implementation Order, and the Model Tariff, the contested aspects will be </w:t>
      </w:r>
      <w:r w:rsidR="0003286B">
        <w:rPr>
          <w:sz w:val="26"/>
          <w:szCs w:val="26"/>
        </w:rPr>
        <w:t xml:space="preserve">referred to </w:t>
      </w:r>
      <w:r>
        <w:rPr>
          <w:sz w:val="26"/>
          <w:szCs w:val="26"/>
        </w:rPr>
        <w:t xml:space="preserve">the </w:t>
      </w:r>
      <w:r w:rsidR="0003286B">
        <w:rPr>
          <w:sz w:val="26"/>
          <w:szCs w:val="26"/>
        </w:rPr>
        <w:t>OALJ for hearing and decision</w:t>
      </w:r>
      <w:r w:rsidR="006708C1">
        <w:rPr>
          <w:sz w:val="26"/>
          <w:szCs w:val="26"/>
        </w:rPr>
        <w:t xml:space="preserve">.  </w:t>
      </w:r>
      <w:r w:rsidR="009278BB">
        <w:rPr>
          <w:sz w:val="26"/>
          <w:szCs w:val="26"/>
        </w:rPr>
        <w:t xml:space="preserve">The Commission may, if appropriate, allow the revised proposed DSIC tariff to become effective subject to investigation, refund, and recoupment.  </w:t>
      </w:r>
    </w:p>
    <w:p w:rsidR="00013B7C" w:rsidRPr="009549C2" w:rsidRDefault="00013B7C" w:rsidP="00773D87">
      <w:pPr>
        <w:widowControl/>
        <w:spacing w:line="360" w:lineRule="auto"/>
        <w:ind w:firstLine="1440"/>
        <w:rPr>
          <w:sz w:val="26"/>
          <w:szCs w:val="26"/>
        </w:rPr>
      </w:pPr>
    </w:p>
    <w:p w:rsidR="00002AFC" w:rsidRPr="002678A1" w:rsidRDefault="002678A1" w:rsidP="00632033">
      <w:pPr>
        <w:pStyle w:val="p2"/>
        <w:keepNext/>
        <w:widowControl/>
        <w:spacing w:line="360" w:lineRule="auto"/>
        <w:ind w:firstLine="0"/>
        <w:jc w:val="center"/>
        <w:rPr>
          <w:b/>
          <w:sz w:val="26"/>
          <w:szCs w:val="26"/>
        </w:rPr>
      </w:pPr>
      <w:r w:rsidRPr="002678A1">
        <w:rPr>
          <w:b/>
          <w:sz w:val="26"/>
          <w:szCs w:val="26"/>
        </w:rPr>
        <w:t>C</w:t>
      </w:r>
      <w:r>
        <w:rPr>
          <w:b/>
          <w:sz w:val="26"/>
          <w:szCs w:val="26"/>
        </w:rPr>
        <w:t>ONCLUSION</w:t>
      </w:r>
    </w:p>
    <w:p w:rsidR="001871B6" w:rsidRDefault="001871B6" w:rsidP="00632033">
      <w:pPr>
        <w:pStyle w:val="p2"/>
        <w:keepNext/>
        <w:widowControl/>
        <w:spacing w:line="360" w:lineRule="auto"/>
        <w:ind w:firstLine="0"/>
        <w:rPr>
          <w:sz w:val="26"/>
          <w:szCs w:val="26"/>
        </w:rPr>
      </w:pPr>
      <w:r>
        <w:rPr>
          <w:sz w:val="26"/>
          <w:szCs w:val="26"/>
        </w:rPr>
        <w:tab/>
      </w:r>
    </w:p>
    <w:p w:rsidR="00CA053A" w:rsidRPr="00CA053A" w:rsidRDefault="00CA053A" w:rsidP="00773D87">
      <w:pPr>
        <w:pStyle w:val="p2"/>
        <w:widowControl/>
        <w:spacing w:line="360" w:lineRule="auto"/>
        <w:rPr>
          <w:sz w:val="26"/>
          <w:szCs w:val="26"/>
        </w:rPr>
      </w:pPr>
      <w:r w:rsidRPr="00CA053A">
        <w:rPr>
          <w:sz w:val="26"/>
          <w:szCs w:val="26"/>
        </w:rPr>
        <w:t xml:space="preserve">Upon review, the Commission finds that </w:t>
      </w:r>
      <w:r w:rsidR="009C14FF">
        <w:rPr>
          <w:sz w:val="26"/>
          <w:szCs w:val="26"/>
        </w:rPr>
        <w:t xml:space="preserve">PGW’s LTIIP </w:t>
      </w:r>
      <w:r w:rsidRPr="00CA053A">
        <w:rPr>
          <w:sz w:val="26"/>
          <w:szCs w:val="26"/>
        </w:rPr>
        <w:t>and manner in which it was filed conforms to the requirements of Act 11 and our Final Implementation Order</w:t>
      </w:r>
      <w:r w:rsidR="009C14FF">
        <w:rPr>
          <w:sz w:val="26"/>
          <w:szCs w:val="26"/>
        </w:rPr>
        <w:t xml:space="preserve"> and the LTIIP Petition should be granted</w:t>
      </w:r>
      <w:r w:rsidRPr="00CA053A">
        <w:rPr>
          <w:sz w:val="26"/>
          <w:szCs w:val="26"/>
        </w:rPr>
        <w:t xml:space="preserve">.  </w:t>
      </w:r>
    </w:p>
    <w:p w:rsidR="00CA053A" w:rsidRPr="00CA053A" w:rsidRDefault="00CA053A" w:rsidP="00773D87">
      <w:pPr>
        <w:pStyle w:val="p2"/>
        <w:widowControl/>
        <w:spacing w:line="360" w:lineRule="auto"/>
        <w:rPr>
          <w:sz w:val="26"/>
          <w:szCs w:val="26"/>
        </w:rPr>
      </w:pPr>
    </w:p>
    <w:p w:rsidR="00CA053A" w:rsidRPr="00C15E44" w:rsidRDefault="009C14FF" w:rsidP="0026228D">
      <w:pPr>
        <w:pStyle w:val="p2"/>
        <w:widowControl/>
        <w:spacing w:line="360" w:lineRule="auto"/>
        <w:rPr>
          <w:sz w:val="26"/>
          <w:szCs w:val="26"/>
        </w:rPr>
      </w:pPr>
      <w:r>
        <w:rPr>
          <w:sz w:val="26"/>
          <w:szCs w:val="26"/>
        </w:rPr>
        <w:t xml:space="preserve">The Commission also finds that PGW’s DSIC Petition should be granted in part as to PGW using a DSIC mechanism but denied in part as to the implementation of a DSIC pursuant to the proposed tariff.  </w:t>
      </w:r>
      <w:r w:rsidR="00D13E0F">
        <w:rPr>
          <w:sz w:val="26"/>
          <w:szCs w:val="26"/>
        </w:rPr>
        <w:t>B</w:t>
      </w:r>
      <w:r w:rsidR="0003286B">
        <w:rPr>
          <w:sz w:val="26"/>
          <w:szCs w:val="26"/>
        </w:rPr>
        <w:t xml:space="preserve">ecause PGW’s Petition for </w:t>
      </w:r>
      <w:r w:rsidR="005C17C4">
        <w:rPr>
          <w:sz w:val="26"/>
          <w:szCs w:val="26"/>
        </w:rPr>
        <w:t xml:space="preserve">a </w:t>
      </w:r>
      <w:r w:rsidR="0003286B">
        <w:rPr>
          <w:sz w:val="26"/>
          <w:szCs w:val="26"/>
        </w:rPr>
        <w:t>DSIC and the associated proposed DSIC tariff provisions appear to be inconsistent with the statute,</w:t>
      </w:r>
      <w:r w:rsidR="00632033">
        <w:rPr>
          <w:sz w:val="26"/>
          <w:szCs w:val="26"/>
        </w:rPr>
        <w:t xml:space="preserve"> the Final Implementation Order, and the Model Tariff,</w:t>
      </w:r>
      <w:r w:rsidR="0003286B">
        <w:rPr>
          <w:sz w:val="26"/>
          <w:szCs w:val="26"/>
        </w:rPr>
        <w:t xml:space="preserve"> </w:t>
      </w:r>
      <w:r w:rsidR="00D13E0F">
        <w:rPr>
          <w:sz w:val="26"/>
          <w:szCs w:val="26"/>
        </w:rPr>
        <w:t xml:space="preserve">PGW shall file within ten (10) days of the entry of this Order </w:t>
      </w:r>
      <w:r w:rsidR="00632033">
        <w:rPr>
          <w:sz w:val="26"/>
          <w:szCs w:val="26"/>
        </w:rPr>
        <w:t xml:space="preserve">a </w:t>
      </w:r>
      <w:r w:rsidR="00D13E0F">
        <w:rPr>
          <w:sz w:val="26"/>
          <w:szCs w:val="26"/>
        </w:rPr>
        <w:t xml:space="preserve">revised </w:t>
      </w:r>
      <w:r w:rsidR="009C562F">
        <w:rPr>
          <w:sz w:val="26"/>
          <w:szCs w:val="26"/>
        </w:rPr>
        <w:t xml:space="preserve">proposed </w:t>
      </w:r>
      <w:r w:rsidR="00632033">
        <w:rPr>
          <w:sz w:val="26"/>
          <w:szCs w:val="26"/>
        </w:rPr>
        <w:t>DSIC tariff addressing the inconsistencies and deficiencies noted herein</w:t>
      </w:r>
      <w:r w:rsidR="00D13E0F">
        <w:rPr>
          <w:sz w:val="26"/>
          <w:szCs w:val="26"/>
        </w:rPr>
        <w:t>.  The Parties shall have ten (10)</w:t>
      </w:r>
      <w:r w:rsidR="005C17C4">
        <w:rPr>
          <w:sz w:val="26"/>
          <w:szCs w:val="26"/>
        </w:rPr>
        <w:t xml:space="preserve"> days</w:t>
      </w:r>
      <w:r w:rsidR="00D13E0F">
        <w:rPr>
          <w:sz w:val="26"/>
          <w:szCs w:val="26"/>
        </w:rPr>
        <w:t xml:space="preserve"> to comment on the revised proposed tariff.  If the revised proposed tariff does not appear to conform to Act 11, the Final Implementation Order, and the Model Tariff, the contested aspects of the DSIC Petition and proposed DSIC tariff </w:t>
      </w:r>
      <w:r w:rsidR="0003286B">
        <w:rPr>
          <w:sz w:val="26"/>
          <w:szCs w:val="26"/>
        </w:rPr>
        <w:t xml:space="preserve">shall be referred to </w:t>
      </w:r>
      <w:r w:rsidR="00632033">
        <w:rPr>
          <w:sz w:val="26"/>
          <w:szCs w:val="26"/>
        </w:rPr>
        <w:t xml:space="preserve">the </w:t>
      </w:r>
      <w:r w:rsidR="0003286B">
        <w:rPr>
          <w:sz w:val="26"/>
          <w:szCs w:val="26"/>
        </w:rPr>
        <w:t>OALJ for hearing and decision</w:t>
      </w:r>
      <w:r w:rsidR="009278BB">
        <w:rPr>
          <w:sz w:val="26"/>
          <w:szCs w:val="26"/>
        </w:rPr>
        <w:t>.  The Commission may, if appropriate, allow the revised proposed DSIC tariff to become effective subject to investigation, refund, and recoupment</w:t>
      </w:r>
      <w:r w:rsidR="00CA053A" w:rsidRPr="00CA053A">
        <w:rPr>
          <w:sz w:val="26"/>
          <w:szCs w:val="26"/>
        </w:rPr>
        <w:t xml:space="preserve">; </w:t>
      </w:r>
      <w:r w:rsidR="00CA053A" w:rsidRPr="00906A22">
        <w:rPr>
          <w:b/>
          <w:sz w:val="26"/>
          <w:szCs w:val="26"/>
        </w:rPr>
        <w:t>THEREFORE,</w:t>
      </w:r>
    </w:p>
    <w:p w:rsidR="00CA053A" w:rsidRDefault="00CA053A" w:rsidP="00773D87">
      <w:pPr>
        <w:pStyle w:val="p2"/>
        <w:widowControl/>
        <w:spacing w:line="360" w:lineRule="auto"/>
        <w:rPr>
          <w:b/>
          <w:sz w:val="26"/>
          <w:szCs w:val="26"/>
        </w:rPr>
      </w:pPr>
    </w:p>
    <w:p w:rsidR="00CA053A" w:rsidRPr="00CA053A" w:rsidRDefault="00CA053A" w:rsidP="00F939FA">
      <w:pPr>
        <w:pStyle w:val="p2"/>
        <w:keepNext/>
        <w:widowControl/>
        <w:spacing w:line="360" w:lineRule="auto"/>
        <w:ind w:firstLine="1440"/>
        <w:rPr>
          <w:sz w:val="26"/>
          <w:szCs w:val="26"/>
        </w:rPr>
      </w:pPr>
      <w:r w:rsidRPr="00906A22">
        <w:rPr>
          <w:b/>
          <w:sz w:val="26"/>
          <w:szCs w:val="26"/>
        </w:rPr>
        <w:lastRenderedPageBreak/>
        <w:t>IT IS ORDERED:</w:t>
      </w:r>
    </w:p>
    <w:p w:rsidR="00CA053A" w:rsidRPr="00CA053A" w:rsidRDefault="00CA053A" w:rsidP="00F939FA">
      <w:pPr>
        <w:pStyle w:val="p2"/>
        <w:keepNext/>
        <w:widowControl/>
        <w:spacing w:line="360" w:lineRule="auto"/>
        <w:ind w:firstLine="1440"/>
        <w:rPr>
          <w:sz w:val="26"/>
          <w:szCs w:val="26"/>
        </w:rPr>
      </w:pPr>
    </w:p>
    <w:p w:rsidR="00CA053A" w:rsidRPr="00CA053A" w:rsidRDefault="00CA053A" w:rsidP="00BD1DB7">
      <w:pPr>
        <w:pStyle w:val="p2"/>
        <w:widowControl/>
        <w:spacing w:line="360" w:lineRule="auto"/>
        <w:rPr>
          <w:sz w:val="26"/>
          <w:szCs w:val="26"/>
        </w:rPr>
      </w:pPr>
      <w:r w:rsidRPr="00CA053A">
        <w:rPr>
          <w:sz w:val="26"/>
          <w:szCs w:val="26"/>
        </w:rPr>
        <w:t>1.</w:t>
      </w:r>
      <w:r w:rsidRPr="00CA053A">
        <w:rPr>
          <w:sz w:val="26"/>
          <w:szCs w:val="26"/>
        </w:rPr>
        <w:tab/>
        <w:t xml:space="preserve">That the Petition for </w:t>
      </w:r>
      <w:r w:rsidR="00D13E0F">
        <w:rPr>
          <w:sz w:val="26"/>
          <w:szCs w:val="26"/>
        </w:rPr>
        <w:t>A</w:t>
      </w:r>
      <w:r w:rsidRPr="00CA053A">
        <w:rPr>
          <w:sz w:val="26"/>
          <w:szCs w:val="26"/>
        </w:rPr>
        <w:t>pproval of a Long-Term Infrastructure Improvement Plan (LTIIP) filed</w:t>
      </w:r>
      <w:r w:rsidR="00906A22">
        <w:rPr>
          <w:sz w:val="26"/>
          <w:szCs w:val="26"/>
        </w:rPr>
        <w:t xml:space="preserve"> by Philadelphia Gas Works</w:t>
      </w:r>
      <w:r w:rsidRPr="00CA053A">
        <w:rPr>
          <w:sz w:val="26"/>
          <w:szCs w:val="26"/>
        </w:rPr>
        <w:t xml:space="preserve"> is approved, consistent with this Order.</w:t>
      </w:r>
    </w:p>
    <w:p w:rsidR="00CA053A" w:rsidRPr="00CA053A" w:rsidRDefault="00CA053A" w:rsidP="00BD1DB7">
      <w:pPr>
        <w:pStyle w:val="p2"/>
        <w:widowControl/>
        <w:spacing w:line="360" w:lineRule="auto"/>
        <w:rPr>
          <w:sz w:val="26"/>
          <w:szCs w:val="26"/>
        </w:rPr>
      </w:pPr>
    </w:p>
    <w:p w:rsidR="00D13E0F" w:rsidRPr="00CA053A" w:rsidRDefault="003050F6" w:rsidP="00D13E0F">
      <w:pPr>
        <w:pStyle w:val="p2"/>
        <w:widowControl/>
        <w:spacing w:line="360" w:lineRule="auto"/>
        <w:rPr>
          <w:sz w:val="26"/>
          <w:szCs w:val="26"/>
        </w:rPr>
      </w:pPr>
      <w:r>
        <w:rPr>
          <w:sz w:val="26"/>
          <w:szCs w:val="26"/>
        </w:rPr>
        <w:t>2</w:t>
      </w:r>
      <w:r w:rsidR="009549C2">
        <w:rPr>
          <w:sz w:val="26"/>
          <w:szCs w:val="26"/>
        </w:rPr>
        <w:t>.</w:t>
      </w:r>
      <w:r w:rsidR="009549C2">
        <w:rPr>
          <w:sz w:val="26"/>
          <w:szCs w:val="26"/>
        </w:rPr>
        <w:tab/>
      </w:r>
      <w:r w:rsidR="00D13E0F" w:rsidRPr="00CA053A">
        <w:rPr>
          <w:sz w:val="26"/>
          <w:szCs w:val="26"/>
        </w:rPr>
        <w:t xml:space="preserve">That the Petition for </w:t>
      </w:r>
      <w:r w:rsidR="00D13E0F">
        <w:rPr>
          <w:sz w:val="26"/>
          <w:szCs w:val="26"/>
        </w:rPr>
        <w:t>A</w:t>
      </w:r>
      <w:r w:rsidR="00D13E0F" w:rsidRPr="00CA053A">
        <w:rPr>
          <w:sz w:val="26"/>
          <w:szCs w:val="26"/>
        </w:rPr>
        <w:t xml:space="preserve">pproval of a </w:t>
      </w:r>
      <w:r w:rsidR="00D13E0F">
        <w:rPr>
          <w:sz w:val="26"/>
          <w:szCs w:val="26"/>
        </w:rPr>
        <w:t>Distribution System Improvement Charge</w:t>
      </w:r>
      <w:r w:rsidR="00D13E0F" w:rsidRPr="00CA053A">
        <w:rPr>
          <w:sz w:val="26"/>
          <w:szCs w:val="26"/>
        </w:rPr>
        <w:t xml:space="preserve"> (</w:t>
      </w:r>
      <w:r w:rsidR="00D13E0F">
        <w:rPr>
          <w:sz w:val="26"/>
          <w:szCs w:val="26"/>
        </w:rPr>
        <w:t>DSIC</w:t>
      </w:r>
      <w:r w:rsidR="00D13E0F" w:rsidRPr="00CA053A">
        <w:rPr>
          <w:sz w:val="26"/>
          <w:szCs w:val="26"/>
        </w:rPr>
        <w:t>) filed</w:t>
      </w:r>
      <w:r w:rsidR="00D13E0F">
        <w:rPr>
          <w:sz w:val="26"/>
          <w:szCs w:val="26"/>
        </w:rPr>
        <w:t xml:space="preserve"> by Philadelphia Gas Works</w:t>
      </w:r>
      <w:r w:rsidR="00D13E0F" w:rsidRPr="00CA053A">
        <w:rPr>
          <w:sz w:val="26"/>
          <w:szCs w:val="26"/>
        </w:rPr>
        <w:t xml:space="preserve"> is approved</w:t>
      </w:r>
      <w:r w:rsidR="00D13E0F">
        <w:rPr>
          <w:sz w:val="26"/>
          <w:szCs w:val="26"/>
        </w:rPr>
        <w:t xml:space="preserve"> in part and denied in part</w:t>
      </w:r>
      <w:r w:rsidR="00D13E0F" w:rsidRPr="00CA053A">
        <w:rPr>
          <w:sz w:val="26"/>
          <w:szCs w:val="26"/>
        </w:rPr>
        <w:t>, consistent with this Order.</w:t>
      </w:r>
    </w:p>
    <w:p w:rsidR="00D13E0F" w:rsidRDefault="00D13E0F" w:rsidP="00D73D61">
      <w:pPr>
        <w:pStyle w:val="p2"/>
        <w:widowControl/>
        <w:spacing w:line="360" w:lineRule="auto"/>
        <w:ind w:firstLine="1440"/>
        <w:rPr>
          <w:sz w:val="26"/>
          <w:szCs w:val="26"/>
        </w:rPr>
      </w:pPr>
    </w:p>
    <w:p w:rsidR="00D73D61" w:rsidRDefault="00D13E0F" w:rsidP="00D73D61">
      <w:pPr>
        <w:pStyle w:val="p2"/>
        <w:widowControl/>
        <w:spacing w:line="360" w:lineRule="auto"/>
        <w:ind w:firstLine="1440"/>
        <w:rPr>
          <w:sz w:val="26"/>
          <w:szCs w:val="26"/>
        </w:rPr>
      </w:pPr>
      <w:r>
        <w:rPr>
          <w:sz w:val="26"/>
          <w:szCs w:val="26"/>
        </w:rPr>
        <w:t>3.</w:t>
      </w:r>
      <w:r>
        <w:rPr>
          <w:sz w:val="26"/>
          <w:szCs w:val="26"/>
        </w:rPr>
        <w:tab/>
      </w:r>
      <w:r w:rsidR="009549C2">
        <w:rPr>
          <w:sz w:val="26"/>
          <w:szCs w:val="26"/>
        </w:rPr>
        <w:t xml:space="preserve">That Philadelphia Gas Works </w:t>
      </w:r>
      <w:r>
        <w:rPr>
          <w:sz w:val="26"/>
          <w:szCs w:val="26"/>
        </w:rPr>
        <w:t xml:space="preserve">shall </w:t>
      </w:r>
      <w:r w:rsidR="009549C2">
        <w:rPr>
          <w:sz w:val="26"/>
          <w:szCs w:val="26"/>
        </w:rPr>
        <w:t xml:space="preserve">file a </w:t>
      </w:r>
      <w:r w:rsidR="00D73D61">
        <w:rPr>
          <w:sz w:val="26"/>
          <w:szCs w:val="26"/>
        </w:rPr>
        <w:t xml:space="preserve">revised </w:t>
      </w:r>
      <w:r w:rsidR="009549C2">
        <w:rPr>
          <w:sz w:val="26"/>
          <w:szCs w:val="26"/>
        </w:rPr>
        <w:t>proposed DSIC tariff addressing the inconsistencies noted herein within ten (10) days of entry of this Order</w:t>
      </w:r>
      <w:r w:rsidR="00D73D61">
        <w:rPr>
          <w:sz w:val="26"/>
          <w:szCs w:val="26"/>
        </w:rPr>
        <w:t xml:space="preserve">, with a ten (10) </w:t>
      </w:r>
      <w:r w:rsidR="00837837">
        <w:rPr>
          <w:sz w:val="26"/>
          <w:szCs w:val="26"/>
        </w:rPr>
        <w:t xml:space="preserve">day </w:t>
      </w:r>
      <w:r w:rsidR="00D73D61">
        <w:rPr>
          <w:sz w:val="26"/>
          <w:szCs w:val="26"/>
        </w:rPr>
        <w:t>comment period</w:t>
      </w:r>
      <w:r w:rsidR="00B64D4C">
        <w:rPr>
          <w:sz w:val="26"/>
          <w:szCs w:val="26"/>
        </w:rPr>
        <w:t xml:space="preserve"> to follow</w:t>
      </w:r>
      <w:r w:rsidR="00D73D61">
        <w:rPr>
          <w:sz w:val="26"/>
          <w:szCs w:val="26"/>
        </w:rPr>
        <w:t xml:space="preserve">.  </w:t>
      </w:r>
    </w:p>
    <w:p w:rsidR="00C15E44" w:rsidRDefault="00C15E44" w:rsidP="00D73D61">
      <w:pPr>
        <w:pStyle w:val="p2"/>
        <w:widowControl/>
        <w:spacing w:line="360" w:lineRule="auto"/>
        <w:ind w:firstLine="1440"/>
        <w:rPr>
          <w:sz w:val="26"/>
          <w:szCs w:val="26"/>
        </w:rPr>
      </w:pPr>
    </w:p>
    <w:p w:rsidR="00C15E44" w:rsidRPr="00CA053A" w:rsidRDefault="00C15E44" w:rsidP="00C15E44">
      <w:pPr>
        <w:pStyle w:val="p2"/>
        <w:widowControl/>
        <w:spacing w:line="360" w:lineRule="auto"/>
        <w:rPr>
          <w:sz w:val="26"/>
          <w:szCs w:val="26"/>
        </w:rPr>
      </w:pPr>
      <w:r>
        <w:rPr>
          <w:sz w:val="26"/>
          <w:szCs w:val="26"/>
        </w:rPr>
        <w:t>4.</w:t>
      </w:r>
      <w:r>
        <w:rPr>
          <w:sz w:val="26"/>
          <w:szCs w:val="26"/>
        </w:rPr>
        <w:tab/>
        <w:t xml:space="preserve">That Philadelphia Gas Works shall file a quarterly report with the Commission providing information on reliability and safety as described in this Order no later than 30 days following each calendar quarter.  An electronic copy of this report shall be provided simultaneously to the Commission’s Manager of the Gas Safety Division.  </w:t>
      </w:r>
    </w:p>
    <w:p w:rsidR="00E441C9" w:rsidRDefault="00E441C9" w:rsidP="00D73D61">
      <w:pPr>
        <w:pStyle w:val="p2"/>
        <w:widowControl/>
        <w:spacing w:line="360" w:lineRule="auto"/>
        <w:ind w:firstLine="1440"/>
        <w:rPr>
          <w:sz w:val="26"/>
          <w:szCs w:val="26"/>
        </w:rPr>
      </w:pPr>
    </w:p>
    <w:p w:rsidR="00E441C9" w:rsidRDefault="00C15E44" w:rsidP="00D73D61">
      <w:pPr>
        <w:pStyle w:val="p2"/>
        <w:widowControl/>
        <w:spacing w:line="360" w:lineRule="auto"/>
        <w:ind w:firstLine="1440"/>
        <w:rPr>
          <w:sz w:val="26"/>
          <w:szCs w:val="26"/>
        </w:rPr>
      </w:pPr>
      <w:r>
        <w:rPr>
          <w:sz w:val="26"/>
          <w:szCs w:val="26"/>
        </w:rPr>
        <w:t>5</w:t>
      </w:r>
      <w:r w:rsidR="00E441C9">
        <w:rPr>
          <w:sz w:val="26"/>
          <w:szCs w:val="26"/>
        </w:rPr>
        <w:t>.</w:t>
      </w:r>
      <w:r w:rsidR="00E441C9">
        <w:rPr>
          <w:sz w:val="26"/>
          <w:szCs w:val="26"/>
        </w:rPr>
        <w:tab/>
      </w:r>
      <w:r w:rsidR="00E441C9" w:rsidRPr="00E441C9">
        <w:rPr>
          <w:sz w:val="26"/>
          <w:szCs w:val="26"/>
        </w:rPr>
        <w:t>That PGW provide the estimated number of anticipate</w:t>
      </w:r>
      <w:r w:rsidR="00721F53">
        <w:rPr>
          <w:sz w:val="26"/>
          <w:szCs w:val="26"/>
        </w:rPr>
        <w:t>d</w:t>
      </w:r>
      <w:r w:rsidR="00E441C9" w:rsidRPr="00E441C9">
        <w:rPr>
          <w:sz w:val="26"/>
          <w:szCs w:val="26"/>
        </w:rPr>
        <w:t xml:space="preserve"> new jobs to be created for specific replacement projects with its revised DSIC tariff and to track such employment in order to have actual numbers of jobs created when the DSIC fund information is submitted for annual audit and reconciliation.</w:t>
      </w:r>
    </w:p>
    <w:p w:rsidR="00D73D61" w:rsidRDefault="00D73D61" w:rsidP="00B12DB4">
      <w:pPr>
        <w:pStyle w:val="p2"/>
        <w:keepLines/>
        <w:widowControl/>
        <w:spacing w:line="360" w:lineRule="auto"/>
        <w:ind w:firstLine="1440"/>
        <w:rPr>
          <w:sz w:val="26"/>
          <w:szCs w:val="26"/>
        </w:rPr>
      </w:pPr>
    </w:p>
    <w:p w:rsidR="00906A22" w:rsidRDefault="00C15E44" w:rsidP="00B12DB4">
      <w:pPr>
        <w:pStyle w:val="p2"/>
        <w:keepLines/>
        <w:widowControl/>
        <w:spacing w:line="360" w:lineRule="auto"/>
        <w:ind w:firstLine="1440"/>
        <w:rPr>
          <w:sz w:val="26"/>
          <w:szCs w:val="26"/>
        </w:rPr>
      </w:pPr>
      <w:r>
        <w:rPr>
          <w:sz w:val="26"/>
          <w:szCs w:val="26"/>
        </w:rPr>
        <w:lastRenderedPageBreak/>
        <w:t>6</w:t>
      </w:r>
      <w:r w:rsidR="00D73D61">
        <w:rPr>
          <w:sz w:val="26"/>
          <w:szCs w:val="26"/>
        </w:rPr>
        <w:t>.</w:t>
      </w:r>
      <w:r w:rsidR="00D73D61">
        <w:rPr>
          <w:sz w:val="26"/>
          <w:szCs w:val="26"/>
        </w:rPr>
        <w:tab/>
        <w:t xml:space="preserve">That </w:t>
      </w:r>
      <w:r w:rsidR="00B64D4C">
        <w:rPr>
          <w:sz w:val="26"/>
          <w:szCs w:val="26"/>
        </w:rPr>
        <w:t xml:space="preserve">if, upon review, </w:t>
      </w:r>
      <w:r w:rsidR="00D73D61">
        <w:rPr>
          <w:sz w:val="26"/>
          <w:szCs w:val="26"/>
        </w:rPr>
        <w:t>the revised proposed DSIC tariff does not appear to conform to Act 11, the Final Implementation Order, and the Model Tariff, the contested aspects of the DSIC Petition and proposed DSIC tariff shall be referred to the Office of the Administrative Law Judge for hearing and decision.</w:t>
      </w:r>
      <w:r w:rsidR="00D73D61" w:rsidDel="00D73D61">
        <w:rPr>
          <w:sz w:val="26"/>
          <w:szCs w:val="26"/>
        </w:rPr>
        <w:t xml:space="preserve"> </w:t>
      </w:r>
      <w:r w:rsidR="00D73D61">
        <w:rPr>
          <w:sz w:val="26"/>
          <w:szCs w:val="26"/>
        </w:rPr>
        <w:t xml:space="preserve"> </w:t>
      </w:r>
      <w:r w:rsidR="00B64D4C">
        <w:rPr>
          <w:sz w:val="26"/>
          <w:szCs w:val="26"/>
        </w:rPr>
        <w:t xml:space="preserve">The Commission may, if appropriate, allow the revised proposed DSIC tariff to become effective subject to investigation, refund, and recoupment. </w:t>
      </w:r>
    </w:p>
    <w:p w:rsidR="00B64D4C" w:rsidRPr="00CA053A" w:rsidRDefault="00B64D4C" w:rsidP="00B12DB4">
      <w:pPr>
        <w:pStyle w:val="p2"/>
        <w:keepLines/>
        <w:widowControl/>
        <w:spacing w:line="360" w:lineRule="auto"/>
        <w:ind w:firstLine="1440"/>
        <w:rPr>
          <w:sz w:val="26"/>
          <w:szCs w:val="26"/>
        </w:rPr>
      </w:pPr>
    </w:p>
    <w:p w:rsidR="0026228D" w:rsidRDefault="0026228D" w:rsidP="00B12DB4">
      <w:pPr>
        <w:pStyle w:val="p3"/>
        <w:keepLines/>
        <w:widowControl/>
        <w:spacing w:line="360" w:lineRule="auto"/>
        <w:ind w:left="5119"/>
        <w:rPr>
          <w:b/>
          <w:bCs/>
          <w:sz w:val="26"/>
          <w:szCs w:val="26"/>
        </w:rPr>
      </w:pPr>
    </w:p>
    <w:p w:rsidR="00906A22" w:rsidRPr="00062E21" w:rsidRDefault="00667303" w:rsidP="0026228D">
      <w:pPr>
        <w:pStyle w:val="p3"/>
        <w:keepLines/>
        <w:widowControl/>
        <w:spacing w:line="360" w:lineRule="auto"/>
        <w:ind w:left="5112"/>
        <w:rPr>
          <w:b/>
          <w:bCs/>
          <w:sz w:val="26"/>
          <w:szCs w:val="26"/>
        </w:rPr>
      </w:pPr>
      <w:r>
        <w:rPr>
          <w:noProof/>
        </w:rPr>
        <w:drawing>
          <wp:anchor distT="0" distB="0" distL="114300" distR="114300" simplePos="0" relativeHeight="251658240" behindDoc="1" locked="0" layoutInCell="1" allowOverlap="1" wp14:anchorId="684A8557" wp14:editId="0DEA45FC">
            <wp:simplePos x="0" y="0"/>
            <wp:positionH relativeFrom="column">
              <wp:posOffset>2947670</wp:posOffset>
            </wp:positionH>
            <wp:positionV relativeFrom="paragraph">
              <wp:posOffset>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6A22" w:rsidRPr="00062E21">
        <w:rPr>
          <w:b/>
          <w:bCs/>
          <w:sz w:val="26"/>
          <w:szCs w:val="26"/>
        </w:rPr>
        <w:t>BY THE COMMISSION,</w:t>
      </w:r>
    </w:p>
    <w:p w:rsidR="00906A22" w:rsidRPr="00062E21" w:rsidRDefault="00906A22" w:rsidP="00B12DB4">
      <w:pPr>
        <w:keepLines/>
        <w:widowControl/>
        <w:tabs>
          <w:tab w:val="left" w:pos="5119"/>
        </w:tabs>
        <w:spacing w:line="360" w:lineRule="auto"/>
        <w:rPr>
          <w:bCs/>
          <w:sz w:val="26"/>
          <w:szCs w:val="26"/>
        </w:rPr>
      </w:pPr>
    </w:p>
    <w:p w:rsidR="00906A22" w:rsidRPr="00062E21" w:rsidRDefault="00906A22" w:rsidP="00B12DB4">
      <w:pPr>
        <w:keepLines/>
        <w:widowControl/>
        <w:tabs>
          <w:tab w:val="left" w:pos="5119"/>
        </w:tabs>
        <w:spacing w:line="360" w:lineRule="auto"/>
        <w:rPr>
          <w:bCs/>
          <w:sz w:val="26"/>
          <w:szCs w:val="26"/>
        </w:rPr>
      </w:pPr>
    </w:p>
    <w:p w:rsidR="00906A22" w:rsidRPr="00062E21" w:rsidRDefault="00906A22" w:rsidP="00B12DB4">
      <w:pPr>
        <w:pStyle w:val="p4"/>
        <w:keepLines/>
        <w:widowControl/>
        <w:ind w:left="5130"/>
        <w:rPr>
          <w:sz w:val="26"/>
          <w:szCs w:val="26"/>
        </w:rPr>
      </w:pPr>
      <w:r w:rsidRPr="00062E21">
        <w:rPr>
          <w:sz w:val="26"/>
          <w:szCs w:val="26"/>
        </w:rPr>
        <w:tab/>
        <w:t>Rosemary Chiavetta</w:t>
      </w:r>
    </w:p>
    <w:p w:rsidR="00906A22" w:rsidRPr="00062E21" w:rsidRDefault="00906A22" w:rsidP="00B12DB4">
      <w:pPr>
        <w:pStyle w:val="p4"/>
        <w:keepLines/>
        <w:widowControl/>
        <w:ind w:left="5130"/>
        <w:rPr>
          <w:sz w:val="26"/>
          <w:szCs w:val="26"/>
        </w:rPr>
      </w:pPr>
      <w:r w:rsidRPr="00062E21">
        <w:rPr>
          <w:sz w:val="26"/>
          <w:szCs w:val="26"/>
        </w:rPr>
        <w:tab/>
        <w:t>Secretary</w:t>
      </w:r>
    </w:p>
    <w:p w:rsidR="00906A22" w:rsidRPr="00062E21" w:rsidRDefault="00906A22" w:rsidP="00B12DB4">
      <w:pPr>
        <w:pStyle w:val="p4"/>
        <w:keepLines/>
        <w:widowControl/>
        <w:ind w:left="5126"/>
        <w:outlineLvl w:val="0"/>
        <w:rPr>
          <w:sz w:val="26"/>
          <w:szCs w:val="26"/>
        </w:rPr>
      </w:pPr>
    </w:p>
    <w:p w:rsidR="00906A22" w:rsidRDefault="00906A22" w:rsidP="00B12DB4">
      <w:pPr>
        <w:pStyle w:val="p1"/>
        <w:keepLines/>
        <w:widowControl/>
        <w:spacing w:line="360" w:lineRule="auto"/>
        <w:ind w:hanging="1054"/>
        <w:rPr>
          <w:sz w:val="26"/>
          <w:szCs w:val="26"/>
        </w:rPr>
      </w:pPr>
    </w:p>
    <w:p w:rsidR="00906A22" w:rsidRDefault="00906A22" w:rsidP="00B12DB4">
      <w:pPr>
        <w:pStyle w:val="p1"/>
        <w:keepLines/>
        <w:widowControl/>
        <w:spacing w:line="360" w:lineRule="auto"/>
        <w:ind w:hanging="1054"/>
        <w:rPr>
          <w:sz w:val="26"/>
          <w:szCs w:val="26"/>
        </w:rPr>
      </w:pPr>
      <w:r w:rsidRPr="00062E21">
        <w:rPr>
          <w:sz w:val="26"/>
          <w:szCs w:val="26"/>
        </w:rPr>
        <w:t>(SEAL)</w:t>
      </w:r>
    </w:p>
    <w:p w:rsidR="00906A22" w:rsidRPr="00062E21" w:rsidRDefault="00906A22" w:rsidP="00B12DB4">
      <w:pPr>
        <w:pStyle w:val="p1"/>
        <w:keepLines/>
        <w:widowControl/>
        <w:spacing w:line="360" w:lineRule="auto"/>
        <w:ind w:hanging="1054"/>
        <w:outlineLvl w:val="0"/>
        <w:rPr>
          <w:sz w:val="26"/>
          <w:szCs w:val="26"/>
        </w:rPr>
      </w:pPr>
      <w:r w:rsidRPr="00062E21">
        <w:rPr>
          <w:sz w:val="26"/>
          <w:szCs w:val="26"/>
        </w:rPr>
        <w:t xml:space="preserve">ORDER ADOPTED: </w:t>
      </w:r>
      <w:r w:rsidR="00861974">
        <w:rPr>
          <w:sz w:val="26"/>
          <w:szCs w:val="26"/>
        </w:rPr>
        <w:t>April</w:t>
      </w:r>
      <w:r w:rsidRPr="00062E21">
        <w:rPr>
          <w:sz w:val="26"/>
          <w:szCs w:val="26"/>
        </w:rPr>
        <w:t xml:space="preserve"> 4, 2013</w:t>
      </w:r>
    </w:p>
    <w:p w:rsidR="005E766A" w:rsidRPr="005E766A" w:rsidRDefault="00906A22" w:rsidP="00B12DB4">
      <w:pPr>
        <w:pStyle w:val="p1"/>
        <w:keepLines/>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Pr>
          <w:sz w:val="26"/>
          <w:szCs w:val="26"/>
        </w:rPr>
        <w:t xml:space="preserve">  </w:t>
      </w:r>
      <w:r w:rsidR="00667303">
        <w:rPr>
          <w:sz w:val="26"/>
          <w:szCs w:val="26"/>
        </w:rPr>
        <w:t>April 4, 2013</w:t>
      </w:r>
      <w:bookmarkStart w:id="0" w:name="_GoBack"/>
      <w:bookmarkEnd w:id="0"/>
    </w:p>
    <w:sectPr w:rsidR="005E766A" w:rsidRPr="005E766A" w:rsidSect="00C3609D">
      <w:footerReference w:type="even" r:id="rId11"/>
      <w:footerReference w:type="default" r:id="rId12"/>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CF" w:rsidRDefault="007C6ECF">
      <w:r>
        <w:separator/>
      </w:r>
    </w:p>
  </w:endnote>
  <w:endnote w:type="continuationSeparator" w:id="0">
    <w:p w:rsidR="007C6ECF" w:rsidRDefault="007C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B" w:rsidRDefault="00B3173B"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73B" w:rsidRDefault="00B317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3B" w:rsidRDefault="00B3173B"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303">
      <w:rPr>
        <w:rStyle w:val="PageNumber"/>
        <w:noProof/>
      </w:rPr>
      <w:t>39</w:t>
    </w:r>
    <w:r>
      <w:rPr>
        <w:rStyle w:val="PageNumber"/>
      </w:rPr>
      <w:fldChar w:fldCharType="end"/>
    </w:r>
  </w:p>
  <w:p w:rsidR="00B3173B" w:rsidRDefault="00B317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CF" w:rsidRDefault="007C6ECF">
      <w:r>
        <w:separator/>
      </w:r>
    </w:p>
  </w:footnote>
  <w:footnote w:type="continuationSeparator" w:id="0">
    <w:p w:rsidR="007C6ECF" w:rsidRDefault="007C6ECF">
      <w:r>
        <w:continuationSeparator/>
      </w:r>
    </w:p>
  </w:footnote>
  <w:footnote w:id="1">
    <w:p w:rsidR="00B3173B" w:rsidRPr="00F73DF5" w:rsidRDefault="00B3173B">
      <w:pPr>
        <w:pStyle w:val="FootnoteText"/>
        <w:rPr>
          <w:sz w:val="22"/>
          <w:szCs w:val="22"/>
        </w:rPr>
      </w:pPr>
      <w:r w:rsidRPr="00F73DF5">
        <w:rPr>
          <w:rStyle w:val="FootnoteReference"/>
          <w:sz w:val="22"/>
          <w:szCs w:val="22"/>
        </w:rPr>
        <w:footnoteRef/>
      </w:r>
      <w:r w:rsidRPr="00F73DF5">
        <w:rPr>
          <w:sz w:val="22"/>
          <w:szCs w:val="22"/>
        </w:rPr>
        <w:t xml:space="preserve">  </w:t>
      </w:r>
      <w:r>
        <w:rPr>
          <w:sz w:val="22"/>
          <w:szCs w:val="22"/>
        </w:rPr>
        <w:t>PGW owns and operates all the service lines from the mains to the meters.  There are no customer-owned service lines in the PGW territory.  Service lines are also referred to as services.</w:t>
      </w:r>
    </w:p>
  </w:footnote>
  <w:footnote w:id="2">
    <w:p w:rsidR="00B3173B" w:rsidRPr="00541752" w:rsidRDefault="00B3173B" w:rsidP="00E00C08">
      <w:pPr>
        <w:pStyle w:val="FootnoteText"/>
        <w:spacing w:after="120"/>
        <w:rPr>
          <w:sz w:val="22"/>
          <w:szCs w:val="22"/>
        </w:rPr>
      </w:pPr>
      <w:r w:rsidRPr="00541752">
        <w:rPr>
          <w:rStyle w:val="FootnoteReference"/>
          <w:sz w:val="22"/>
          <w:szCs w:val="22"/>
        </w:rPr>
        <w:footnoteRef/>
      </w:r>
      <w:r w:rsidRPr="00541752">
        <w:rPr>
          <w:sz w:val="22"/>
          <w:szCs w:val="22"/>
        </w:rPr>
        <w:t xml:space="preserve">  </w:t>
      </w:r>
      <w:hyperlink r:id="rId1" w:history="1">
        <w:r w:rsidRPr="00541752">
          <w:rPr>
            <w:rStyle w:val="Hyperlink"/>
            <w:sz w:val="22"/>
            <w:szCs w:val="22"/>
          </w:rPr>
          <w:t>http://www.legis.state.pa.us/WU01/LI/LI/US/HTM/2012/0/0011..HTM</w:t>
        </w:r>
      </w:hyperlink>
      <w:r w:rsidRPr="00541752">
        <w:rPr>
          <w:sz w:val="22"/>
          <w:szCs w:val="22"/>
        </w:rPr>
        <w:t>.</w:t>
      </w:r>
    </w:p>
  </w:footnote>
  <w:footnote w:id="3">
    <w:p w:rsidR="00331EA4" w:rsidRPr="00541752" w:rsidRDefault="00331EA4" w:rsidP="00331EA4">
      <w:pPr>
        <w:pStyle w:val="FootnoteText"/>
        <w:rPr>
          <w:sz w:val="22"/>
          <w:szCs w:val="22"/>
        </w:rPr>
      </w:pPr>
      <w:r w:rsidRPr="00541752">
        <w:rPr>
          <w:rStyle w:val="FootnoteReference"/>
          <w:sz w:val="22"/>
          <w:szCs w:val="22"/>
        </w:rPr>
        <w:footnoteRef/>
      </w:r>
      <w:r w:rsidRPr="00541752">
        <w:rPr>
          <w:sz w:val="22"/>
          <w:szCs w:val="22"/>
        </w:rPr>
        <w:t xml:space="preserve"> </w:t>
      </w:r>
      <w:r>
        <w:rPr>
          <w:sz w:val="22"/>
          <w:szCs w:val="22"/>
        </w:rPr>
        <w:t xml:space="preserve"> </w:t>
      </w:r>
      <w:r w:rsidRPr="00541752">
        <w:rPr>
          <w:sz w:val="22"/>
          <w:szCs w:val="22"/>
        </w:rPr>
        <w:t>The unit “psig” means pounds/square inch gauge – a pressure measurement relative to atmospheric pressure.  The unit “inches WC” means inches of water column and is used for low pressure measurements.</w:t>
      </w:r>
    </w:p>
  </w:footnote>
  <w:footnote w:id="4">
    <w:p w:rsidR="00B3173B" w:rsidRPr="00B87C4C" w:rsidRDefault="00B3173B">
      <w:pPr>
        <w:pStyle w:val="FootnoteText"/>
        <w:rPr>
          <w:sz w:val="22"/>
          <w:szCs w:val="22"/>
        </w:rPr>
      </w:pPr>
      <w:r w:rsidRPr="00B87C4C">
        <w:rPr>
          <w:rStyle w:val="FootnoteReference"/>
          <w:sz w:val="22"/>
          <w:szCs w:val="22"/>
        </w:rPr>
        <w:footnoteRef/>
      </w:r>
      <w:r w:rsidRPr="00B87C4C">
        <w:rPr>
          <w:sz w:val="22"/>
          <w:szCs w:val="22"/>
        </w:rPr>
        <w:t xml:space="preserve">  This information was taken from the </w:t>
      </w:r>
      <w:r>
        <w:rPr>
          <w:sz w:val="22"/>
          <w:szCs w:val="22"/>
        </w:rPr>
        <w:t xml:space="preserve">PGW’s annual </w:t>
      </w:r>
      <w:r w:rsidRPr="00B87C4C">
        <w:rPr>
          <w:sz w:val="22"/>
          <w:szCs w:val="22"/>
        </w:rPr>
        <w:t xml:space="preserve">DOT </w:t>
      </w:r>
      <w:r>
        <w:rPr>
          <w:sz w:val="22"/>
          <w:szCs w:val="22"/>
        </w:rPr>
        <w:t>report for 2011.</w:t>
      </w:r>
    </w:p>
  </w:footnote>
  <w:footnote w:id="5">
    <w:p w:rsidR="00794FB9" w:rsidRPr="00794FB9" w:rsidRDefault="00794FB9" w:rsidP="00794FB9">
      <w:pPr>
        <w:pStyle w:val="FootnoteText"/>
        <w:rPr>
          <w:sz w:val="22"/>
          <w:szCs w:val="22"/>
        </w:rPr>
      </w:pPr>
      <w:r w:rsidRPr="00794FB9">
        <w:rPr>
          <w:rStyle w:val="FootnoteReference"/>
          <w:sz w:val="22"/>
          <w:szCs w:val="22"/>
        </w:rPr>
        <w:footnoteRef/>
      </w:r>
      <w:r w:rsidRPr="00794FB9">
        <w:rPr>
          <w:sz w:val="22"/>
          <w:szCs w:val="22"/>
        </w:rPr>
        <w:t xml:space="preserve"> Review of PGWs replacement of infrastructure will also be the subject of the review of its Distribution Integrity Management Program (DIMP) which identifies the threats to its distribution system, evaluates these threats, ranks the related risks and lists strategies to mitigate those risks.</w:t>
      </w:r>
    </w:p>
  </w:footnote>
  <w:footnote w:id="6">
    <w:p w:rsidR="009450B4" w:rsidRDefault="009450B4" w:rsidP="009450B4">
      <w:pPr>
        <w:pStyle w:val="FootnoteText"/>
      </w:pPr>
      <w:r>
        <w:rPr>
          <w:rStyle w:val="FootnoteReference"/>
        </w:rPr>
        <w:footnoteRef/>
      </w:r>
      <w:r>
        <w:t xml:space="preserve"> Each report will have month end balances for each month in the previous quarter.  Leak duration is measured from time of identification to the time of leak repair, by class.</w:t>
      </w:r>
    </w:p>
  </w:footnote>
  <w:footnote w:id="7">
    <w:p w:rsidR="00B3173B" w:rsidRPr="00F8245F" w:rsidRDefault="00B3173B" w:rsidP="009549C2">
      <w:pPr>
        <w:pStyle w:val="p4"/>
        <w:widowControl/>
        <w:tabs>
          <w:tab w:val="clear" w:pos="204"/>
          <w:tab w:val="left" w:pos="0"/>
        </w:tabs>
        <w:outlineLvl w:val="0"/>
        <w:rPr>
          <w:sz w:val="22"/>
          <w:szCs w:val="22"/>
        </w:rPr>
      </w:pPr>
      <w:r w:rsidRPr="00F8245F">
        <w:rPr>
          <w:rStyle w:val="FootnoteReference"/>
          <w:sz w:val="22"/>
          <w:szCs w:val="22"/>
        </w:rPr>
        <w:footnoteRef/>
      </w:r>
      <w:r w:rsidRPr="00F8245F">
        <w:rPr>
          <w:sz w:val="22"/>
          <w:szCs w:val="22"/>
        </w:rPr>
        <w:t xml:space="preserve">  </w:t>
      </w:r>
      <w:r w:rsidRPr="00F8245F">
        <w:rPr>
          <w:i/>
          <w:color w:val="0D0D0D" w:themeColor="text1" w:themeTint="F2"/>
          <w:sz w:val="22"/>
          <w:szCs w:val="22"/>
        </w:rPr>
        <w:t>Petition of Columbia Gas of Pennsylvania, Inc. for Approval of its L</w:t>
      </w:r>
      <w:r>
        <w:rPr>
          <w:i/>
          <w:color w:val="0D0D0D" w:themeColor="text1" w:themeTint="F2"/>
          <w:sz w:val="22"/>
          <w:szCs w:val="22"/>
        </w:rPr>
        <w:t>TIIP</w:t>
      </w:r>
      <w:r w:rsidRPr="00F8245F">
        <w:rPr>
          <w:i/>
          <w:color w:val="0D0D0D" w:themeColor="text1" w:themeTint="F2"/>
          <w:sz w:val="22"/>
          <w:szCs w:val="22"/>
        </w:rPr>
        <w:t xml:space="preserve"> &amp; Petition of Columbia Gas of Pennsylvania, Inc. for Approval of a D</w:t>
      </w:r>
      <w:r>
        <w:rPr>
          <w:i/>
          <w:color w:val="0D0D0D" w:themeColor="text1" w:themeTint="F2"/>
          <w:sz w:val="22"/>
          <w:szCs w:val="22"/>
        </w:rPr>
        <w:t>SIC</w:t>
      </w:r>
      <w:r w:rsidRPr="00F8245F">
        <w:rPr>
          <w:i/>
          <w:color w:val="0D0D0D" w:themeColor="text1" w:themeTint="F2"/>
          <w:sz w:val="22"/>
          <w:szCs w:val="22"/>
        </w:rPr>
        <w:t>, P-2012-2338282</w:t>
      </w:r>
      <w:r>
        <w:rPr>
          <w:color w:val="0D0D0D" w:themeColor="text1" w:themeTint="F2"/>
          <w:sz w:val="22"/>
          <w:szCs w:val="22"/>
        </w:rPr>
        <w:t xml:space="preserve"> (March 14</w:t>
      </w:r>
      <w:r w:rsidRPr="00F8245F">
        <w:rPr>
          <w:color w:val="0D0D0D" w:themeColor="text1" w:themeTint="F2"/>
          <w:sz w:val="22"/>
          <w:szCs w:val="22"/>
        </w:rPr>
        <w:t>, 2013).</w:t>
      </w:r>
    </w:p>
  </w:footnote>
  <w:footnote w:id="8">
    <w:p w:rsidR="00B3173B" w:rsidRPr="00541752" w:rsidRDefault="00B3173B" w:rsidP="00013B7C">
      <w:pPr>
        <w:pStyle w:val="FootnoteText"/>
        <w:rPr>
          <w:sz w:val="22"/>
          <w:szCs w:val="22"/>
        </w:rPr>
      </w:pPr>
      <w:r w:rsidRPr="00541752">
        <w:rPr>
          <w:rStyle w:val="FootnoteReference"/>
          <w:sz w:val="22"/>
          <w:szCs w:val="22"/>
        </w:rPr>
        <w:footnoteRef/>
      </w:r>
      <w:r w:rsidRPr="00541752">
        <w:rPr>
          <w:sz w:val="22"/>
          <w:szCs w:val="22"/>
        </w:rPr>
        <w:t xml:space="preserve">  Order entered July 29, 2010 at Docket No. R-2009-2139884.  </w:t>
      </w:r>
    </w:p>
  </w:footnote>
  <w:footnote w:id="9">
    <w:p w:rsidR="00B3173B" w:rsidRPr="00541752" w:rsidRDefault="00B3173B" w:rsidP="00481ED1">
      <w:pPr>
        <w:pStyle w:val="FootnoteText"/>
        <w:rPr>
          <w:sz w:val="22"/>
          <w:szCs w:val="22"/>
        </w:rPr>
      </w:pPr>
      <w:r w:rsidRPr="00541752">
        <w:rPr>
          <w:rStyle w:val="FootnoteReference"/>
          <w:sz w:val="22"/>
          <w:szCs w:val="22"/>
        </w:rPr>
        <w:footnoteRef/>
      </w:r>
      <w:r w:rsidRPr="00541752">
        <w:rPr>
          <w:sz w:val="22"/>
          <w:szCs w:val="22"/>
        </w:rPr>
        <w:t xml:space="preserve">  Bills calculated under the “bills rendered” basis are computed based on the effective rate at the time of the bill.  Bills calculated under the “service-rendered” basis are prorated based on service rendered before and after a tariff rate change.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2">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3">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7">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8">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9">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18">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1">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28">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27"/>
  </w:num>
  <w:num w:numId="3">
    <w:abstractNumId w:val="2"/>
  </w:num>
  <w:num w:numId="4">
    <w:abstractNumId w:val="9"/>
  </w:num>
  <w:num w:numId="5">
    <w:abstractNumId w:val="6"/>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0"/>
  </w:num>
  <w:num w:numId="10">
    <w:abstractNumId w:val="4"/>
  </w:num>
  <w:num w:numId="11">
    <w:abstractNumId w:val="22"/>
  </w:num>
  <w:num w:numId="12">
    <w:abstractNumId w:val="16"/>
  </w:num>
  <w:num w:numId="13">
    <w:abstractNumId w:val="8"/>
  </w:num>
  <w:num w:numId="14">
    <w:abstractNumId w:val="20"/>
  </w:num>
  <w:num w:numId="15">
    <w:abstractNumId w:val="19"/>
  </w:num>
  <w:num w:numId="16">
    <w:abstractNumId w:val="5"/>
  </w:num>
  <w:num w:numId="17">
    <w:abstractNumId w:val="11"/>
  </w:num>
  <w:num w:numId="18">
    <w:abstractNumId w:val="13"/>
  </w:num>
  <w:num w:numId="19">
    <w:abstractNumId w:val="26"/>
  </w:num>
  <w:num w:numId="20">
    <w:abstractNumId w:val="25"/>
  </w:num>
  <w:num w:numId="21">
    <w:abstractNumId w:val="24"/>
  </w:num>
  <w:num w:numId="22">
    <w:abstractNumId w:val="21"/>
  </w:num>
  <w:num w:numId="23">
    <w:abstractNumId w:val="10"/>
  </w:num>
  <w:num w:numId="24">
    <w:abstractNumId w:val="12"/>
  </w:num>
  <w:num w:numId="25">
    <w:abstractNumId w:val="3"/>
  </w:num>
  <w:num w:numId="26">
    <w:abstractNumId w:val="23"/>
  </w:num>
  <w:num w:numId="27">
    <w:abstractNumId w:val="15"/>
  </w:num>
  <w:num w:numId="28">
    <w:abstractNumId w:val="14"/>
  </w:num>
  <w:num w:numId="29">
    <w:abstractNumId w:val="18"/>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1E82"/>
    <w:rsid w:val="00002AFC"/>
    <w:rsid w:val="00003918"/>
    <w:rsid w:val="00006037"/>
    <w:rsid w:val="00006A83"/>
    <w:rsid w:val="00006C68"/>
    <w:rsid w:val="00007CE4"/>
    <w:rsid w:val="00007E6E"/>
    <w:rsid w:val="00010BA9"/>
    <w:rsid w:val="00011618"/>
    <w:rsid w:val="000126E6"/>
    <w:rsid w:val="000135A8"/>
    <w:rsid w:val="00013B7C"/>
    <w:rsid w:val="00014232"/>
    <w:rsid w:val="00014A54"/>
    <w:rsid w:val="00014BCA"/>
    <w:rsid w:val="00015C34"/>
    <w:rsid w:val="0001600A"/>
    <w:rsid w:val="000224A8"/>
    <w:rsid w:val="00022D58"/>
    <w:rsid w:val="00023786"/>
    <w:rsid w:val="0002577D"/>
    <w:rsid w:val="00025CE7"/>
    <w:rsid w:val="000300FC"/>
    <w:rsid w:val="000307F7"/>
    <w:rsid w:val="00030B5C"/>
    <w:rsid w:val="00031D59"/>
    <w:rsid w:val="0003286B"/>
    <w:rsid w:val="00034D98"/>
    <w:rsid w:val="000352F7"/>
    <w:rsid w:val="0003776F"/>
    <w:rsid w:val="00040238"/>
    <w:rsid w:val="00042915"/>
    <w:rsid w:val="00042B3E"/>
    <w:rsid w:val="000433F6"/>
    <w:rsid w:val="00043710"/>
    <w:rsid w:val="00044222"/>
    <w:rsid w:val="00045FA6"/>
    <w:rsid w:val="00047893"/>
    <w:rsid w:val="00047F44"/>
    <w:rsid w:val="0005014D"/>
    <w:rsid w:val="000506FF"/>
    <w:rsid w:val="000507D0"/>
    <w:rsid w:val="0005141B"/>
    <w:rsid w:val="00051D78"/>
    <w:rsid w:val="00051DC4"/>
    <w:rsid w:val="00051EF5"/>
    <w:rsid w:val="00052D94"/>
    <w:rsid w:val="000538E9"/>
    <w:rsid w:val="00056414"/>
    <w:rsid w:val="00056B84"/>
    <w:rsid w:val="00057656"/>
    <w:rsid w:val="00060580"/>
    <w:rsid w:val="000612D5"/>
    <w:rsid w:val="00061E14"/>
    <w:rsid w:val="0006307D"/>
    <w:rsid w:val="00063F64"/>
    <w:rsid w:val="00064B17"/>
    <w:rsid w:val="00064B8F"/>
    <w:rsid w:val="00064C8B"/>
    <w:rsid w:val="00064D01"/>
    <w:rsid w:val="00066B0C"/>
    <w:rsid w:val="00066CE3"/>
    <w:rsid w:val="000672F9"/>
    <w:rsid w:val="00067314"/>
    <w:rsid w:val="00067F30"/>
    <w:rsid w:val="000701DF"/>
    <w:rsid w:val="00071DD1"/>
    <w:rsid w:val="00074F36"/>
    <w:rsid w:val="000752AB"/>
    <w:rsid w:val="00077046"/>
    <w:rsid w:val="00077670"/>
    <w:rsid w:val="00081E5A"/>
    <w:rsid w:val="00083000"/>
    <w:rsid w:val="00084151"/>
    <w:rsid w:val="00085F29"/>
    <w:rsid w:val="000861C0"/>
    <w:rsid w:val="00086950"/>
    <w:rsid w:val="00086E71"/>
    <w:rsid w:val="00091C48"/>
    <w:rsid w:val="00092DCA"/>
    <w:rsid w:val="00094B8C"/>
    <w:rsid w:val="00096608"/>
    <w:rsid w:val="00096728"/>
    <w:rsid w:val="00096965"/>
    <w:rsid w:val="00096BE8"/>
    <w:rsid w:val="00096F52"/>
    <w:rsid w:val="000A0817"/>
    <w:rsid w:val="000A1A09"/>
    <w:rsid w:val="000A2D1E"/>
    <w:rsid w:val="000A443C"/>
    <w:rsid w:val="000A4AF8"/>
    <w:rsid w:val="000A4F8F"/>
    <w:rsid w:val="000A59E5"/>
    <w:rsid w:val="000A7E13"/>
    <w:rsid w:val="000B1589"/>
    <w:rsid w:val="000B2021"/>
    <w:rsid w:val="000B275D"/>
    <w:rsid w:val="000B2AAE"/>
    <w:rsid w:val="000B2E85"/>
    <w:rsid w:val="000B32B3"/>
    <w:rsid w:val="000B3797"/>
    <w:rsid w:val="000B3C32"/>
    <w:rsid w:val="000B455E"/>
    <w:rsid w:val="000B6632"/>
    <w:rsid w:val="000B6731"/>
    <w:rsid w:val="000C02DF"/>
    <w:rsid w:val="000C0E4B"/>
    <w:rsid w:val="000C3415"/>
    <w:rsid w:val="000C37B5"/>
    <w:rsid w:val="000C4495"/>
    <w:rsid w:val="000C6069"/>
    <w:rsid w:val="000C63F8"/>
    <w:rsid w:val="000C78D7"/>
    <w:rsid w:val="000D09A1"/>
    <w:rsid w:val="000D0D34"/>
    <w:rsid w:val="000D3D30"/>
    <w:rsid w:val="000D5267"/>
    <w:rsid w:val="000D65CE"/>
    <w:rsid w:val="000E0D52"/>
    <w:rsid w:val="000E1005"/>
    <w:rsid w:val="000E2808"/>
    <w:rsid w:val="000E3639"/>
    <w:rsid w:val="000E4460"/>
    <w:rsid w:val="000E4D1B"/>
    <w:rsid w:val="000E569C"/>
    <w:rsid w:val="000E73A5"/>
    <w:rsid w:val="000E7515"/>
    <w:rsid w:val="000F0E18"/>
    <w:rsid w:val="000F2AE1"/>
    <w:rsid w:val="000F3BEC"/>
    <w:rsid w:val="000F49C4"/>
    <w:rsid w:val="000F5E3D"/>
    <w:rsid w:val="000F6B05"/>
    <w:rsid w:val="000F7A83"/>
    <w:rsid w:val="001013E1"/>
    <w:rsid w:val="00101493"/>
    <w:rsid w:val="001046E7"/>
    <w:rsid w:val="0010559E"/>
    <w:rsid w:val="00106645"/>
    <w:rsid w:val="0011066C"/>
    <w:rsid w:val="00110689"/>
    <w:rsid w:val="0011079C"/>
    <w:rsid w:val="0011159F"/>
    <w:rsid w:val="0011254C"/>
    <w:rsid w:val="00115A7D"/>
    <w:rsid w:val="00117195"/>
    <w:rsid w:val="001202B5"/>
    <w:rsid w:val="00121D63"/>
    <w:rsid w:val="00124317"/>
    <w:rsid w:val="0012516E"/>
    <w:rsid w:val="00125234"/>
    <w:rsid w:val="00126ABE"/>
    <w:rsid w:val="00126D2A"/>
    <w:rsid w:val="00127A27"/>
    <w:rsid w:val="001303A1"/>
    <w:rsid w:val="0013395B"/>
    <w:rsid w:val="00135912"/>
    <w:rsid w:val="001365B6"/>
    <w:rsid w:val="00140A11"/>
    <w:rsid w:val="001414CA"/>
    <w:rsid w:val="00143E69"/>
    <w:rsid w:val="00144489"/>
    <w:rsid w:val="00146BB7"/>
    <w:rsid w:val="00147BB9"/>
    <w:rsid w:val="00152A7D"/>
    <w:rsid w:val="00153ADE"/>
    <w:rsid w:val="001541F1"/>
    <w:rsid w:val="001552C3"/>
    <w:rsid w:val="00156F52"/>
    <w:rsid w:val="00163B04"/>
    <w:rsid w:val="00164352"/>
    <w:rsid w:val="00164BAB"/>
    <w:rsid w:val="00165F87"/>
    <w:rsid w:val="001669B4"/>
    <w:rsid w:val="00173542"/>
    <w:rsid w:val="00173637"/>
    <w:rsid w:val="001736D6"/>
    <w:rsid w:val="00173AA7"/>
    <w:rsid w:val="00174523"/>
    <w:rsid w:val="00174685"/>
    <w:rsid w:val="00174796"/>
    <w:rsid w:val="00174DC7"/>
    <w:rsid w:val="0017598B"/>
    <w:rsid w:val="00175B38"/>
    <w:rsid w:val="0017755B"/>
    <w:rsid w:val="00177F0F"/>
    <w:rsid w:val="0018150D"/>
    <w:rsid w:val="0018179E"/>
    <w:rsid w:val="00184DDB"/>
    <w:rsid w:val="00186077"/>
    <w:rsid w:val="001871B6"/>
    <w:rsid w:val="0018726F"/>
    <w:rsid w:val="00187BEB"/>
    <w:rsid w:val="00191719"/>
    <w:rsid w:val="00191CBC"/>
    <w:rsid w:val="001921A8"/>
    <w:rsid w:val="00193B12"/>
    <w:rsid w:val="0019427D"/>
    <w:rsid w:val="001942AD"/>
    <w:rsid w:val="001946B8"/>
    <w:rsid w:val="00194B44"/>
    <w:rsid w:val="00194B7D"/>
    <w:rsid w:val="00195D7E"/>
    <w:rsid w:val="00196D7E"/>
    <w:rsid w:val="0019791C"/>
    <w:rsid w:val="001A0061"/>
    <w:rsid w:val="001A1123"/>
    <w:rsid w:val="001A1CA6"/>
    <w:rsid w:val="001A2D51"/>
    <w:rsid w:val="001A32DA"/>
    <w:rsid w:val="001A45BB"/>
    <w:rsid w:val="001A685D"/>
    <w:rsid w:val="001A72D1"/>
    <w:rsid w:val="001A7544"/>
    <w:rsid w:val="001B09AA"/>
    <w:rsid w:val="001B0CBA"/>
    <w:rsid w:val="001B3FF8"/>
    <w:rsid w:val="001B4406"/>
    <w:rsid w:val="001B4F2B"/>
    <w:rsid w:val="001B507B"/>
    <w:rsid w:val="001B5220"/>
    <w:rsid w:val="001B62FD"/>
    <w:rsid w:val="001B6508"/>
    <w:rsid w:val="001B66E9"/>
    <w:rsid w:val="001B7A8D"/>
    <w:rsid w:val="001C0AE6"/>
    <w:rsid w:val="001C51F0"/>
    <w:rsid w:val="001C5794"/>
    <w:rsid w:val="001D1754"/>
    <w:rsid w:val="001D2604"/>
    <w:rsid w:val="001D3BA8"/>
    <w:rsid w:val="001D4686"/>
    <w:rsid w:val="001D7605"/>
    <w:rsid w:val="001D78AF"/>
    <w:rsid w:val="001E240F"/>
    <w:rsid w:val="001E2859"/>
    <w:rsid w:val="001E4732"/>
    <w:rsid w:val="001E4B2C"/>
    <w:rsid w:val="001E5010"/>
    <w:rsid w:val="001E631F"/>
    <w:rsid w:val="001E682A"/>
    <w:rsid w:val="001F2409"/>
    <w:rsid w:val="001F2D8B"/>
    <w:rsid w:val="001F3106"/>
    <w:rsid w:val="001F37FA"/>
    <w:rsid w:val="001F3C46"/>
    <w:rsid w:val="001F5D75"/>
    <w:rsid w:val="001F6097"/>
    <w:rsid w:val="00200B10"/>
    <w:rsid w:val="002030D4"/>
    <w:rsid w:val="00204EAE"/>
    <w:rsid w:val="00204EDA"/>
    <w:rsid w:val="00206C03"/>
    <w:rsid w:val="0021082B"/>
    <w:rsid w:val="00210BF3"/>
    <w:rsid w:val="00211560"/>
    <w:rsid w:val="00211FAC"/>
    <w:rsid w:val="00213925"/>
    <w:rsid w:val="00214184"/>
    <w:rsid w:val="002145E1"/>
    <w:rsid w:val="002151F5"/>
    <w:rsid w:val="0021537D"/>
    <w:rsid w:val="002156B6"/>
    <w:rsid w:val="00216D05"/>
    <w:rsid w:val="00217F3F"/>
    <w:rsid w:val="0022007A"/>
    <w:rsid w:val="002216DA"/>
    <w:rsid w:val="00221B8F"/>
    <w:rsid w:val="00222153"/>
    <w:rsid w:val="002239A4"/>
    <w:rsid w:val="00224ADE"/>
    <w:rsid w:val="00224AF9"/>
    <w:rsid w:val="00225AD3"/>
    <w:rsid w:val="00225E55"/>
    <w:rsid w:val="0022633E"/>
    <w:rsid w:val="0022673D"/>
    <w:rsid w:val="002267E9"/>
    <w:rsid w:val="00233DC2"/>
    <w:rsid w:val="00234942"/>
    <w:rsid w:val="00234AA2"/>
    <w:rsid w:val="002352F0"/>
    <w:rsid w:val="00236F9D"/>
    <w:rsid w:val="00237164"/>
    <w:rsid w:val="002372D6"/>
    <w:rsid w:val="002374A2"/>
    <w:rsid w:val="00237FF1"/>
    <w:rsid w:val="002438FE"/>
    <w:rsid w:val="002442F2"/>
    <w:rsid w:val="00244F9D"/>
    <w:rsid w:val="00246583"/>
    <w:rsid w:val="00247361"/>
    <w:rsid w:val="0025022C"/>
    <w:rsid w:val="00251027"/>
    <w:rsid w:val="00251BA0"/>
    <w:rsid w:val="00251FC4"/>
    <w:rsid w:val="00253311"/>
    <w:rsid w:val="00260327"/>
    <w:rsid w:val="0026228D"/>
    <w:rsid w:val="002625D8"/>
    <w:rsid w:val="00262BA1"/>
    <w:rsid w:val="00262F96"/>
    <w:rsid w:val="0026388B"/>
    <w:rsid w:val="00265BD2"/>
    <w:rsid w:val="00266FD4"/>
    <w:rsid w:val="002672F8"/>
    <w:rsid w:val="0026742F"/>
    <w:rsid w:val="002678A1"/>
    <w:rsid w:val="002700F5"/>
    <w:rsid w:val="0027265B"/>
    <w:rsid w:val="00273A7F"/>
    <w:rsid w:val="00280E89"/>
    <w:rsid w:val="0028150B"/>
    <w:rsid w:val="0028332B"/>
    <w:rsid w:val="002837ED"/>
    <w:rsid w:val="002877BA"/>
    <w:rsid w:val="00287854"/>
    <w:rsid w:val="002912EF"/>
    <w:rsid w:val="002918DD"/>
    <w:rsid w:val="00291AC6"/>
    <w:rsid w:val="00292C43"/>
    <w:rsid w:val="00292DE0"/>
    <w:rsid w:val="00293009"/>
    <w:rsid w:val="00293EB9"/>
    <w:rsid w:val="00296196"/>
    <w:rsid w:val="002A0D0B"/>
    <w:rsid w:val="002A1280"/>
    <w:rsid w:val="002A1A2E"/>
    <w:rsid w:val="002A2AEC"/>
    <w:rsid w:val="002A3C76"/>
    <w:rsid w:val="002A48E0"/>
    <w:rsid w:val="002A498A"/>
    <w:rsid w:val="002A5630"/>
    <w:rsid w:val="002A60F1"/>
    <w:rsid w:val="002A666D"/>
    <w:rsid w:val="002B03C9"/>
    <w:rsid w:val="002B1C70"/>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6550"/>
    <w:rsid w:val="002C6643"/>
    <w:rsid w:val="002C6A97"/>
    <w:rsid w:val="002D0497"/>
    <w:rsid w:val="002D09FD"/>
    <w:rsid w:val="002D2ACB"/>
    <w:rsid w:val="002D58DD"/>
    <w:rsid w:val="002D6AEB"/>
    <w:rsid w:val="002D6E61"/>
    <w:rsid w:val="002D7169"/>
    <w:rsid w:val="002D79F5"/>
    <w:rsid w:val="002E1BD5"/>
    <w:rsid w:val="002E21EA"/>
    <w:rsid w:val="002E23D6"/>
    <w:rsid w:val="002E24F7"/>
    <w:rsid w:val="002E2683"/>
    <w:rsid w:val="002E27E2"/>
    <w:rsid w:val="002E2B8F"/>
    <w:rsid w:val="002E2DF0"/>
    <w:rsid w:val="002E33D2"/>
    <w:rsid w:val="002E7742"/>
    <w:rsid w:val="002F1815"/>
    <w:rsid w:val="002F26CE"/>
    <w:rsid w:val="002F2EA4"/>
    <w:rsid w:val="002F3B7D"/>
    <w:rsid w:val="002F405B"/>
    <w:rsid w:val="002F5108"/>
    <w:rsid w:val="002F53AA"/>
    <w:rsid w:val="002F7274"/>
    <w:rsid w:val="002F7854"/>
    <w:rsid w:val="0030031B"/>
    <w:rsid w:val="003013B0"/>
    <w:rsid w:val="0030248B"/>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58F6"/>
    <w:rsid w:val="003271AA"/>
    <w:rsid w:val="003272A6"/>
    <w:rsid w:val="00330D0E"/>
    <w:rsid w:val="00330D19"/>
    <w:rsid w:val="00330F60"/>
    <w:rsid w:val="00331EA4"/>
    <w:rsid w:val="00332177"/>
    <w:rsid w:val="00332470"/>
    <w:rsid w:val="00334CF9"/>
    <w:rsid w:val="003361F4"/>
    <w:rsid w:val="00337E47"/>
    <w:rsid w:val="00340845"/>
    <w:rsid w:val="00341BAF"/>
    <w:rsid w:val="0034366D"/>
    <w:rsid w:val="00343BDF"/>
    <w:rsid w:val="00345E4C"/>
    <w:rsid w:val="003505F8"/>
    <w:rsid w:val="00351902"/>
    <w:rsid w:val="003522D6"/>
    <w:rsid w:val="00353FFE"/>
    <w:rsid w:val="003546E3"/>
    <w:rsid w:val="00354CD1"/>
    <w:rsid w:val="00356DC3"/>
    <w:rsid w:val="00360408"/>
    <w:rsid w:val="003608C2"/>
    <w:rsid w:val="00361E1D"/>
    <w:rsid w:val="00361F9D"/>
    <w:rsid w:val="00363235"/>
    <w:rsid w:val="00363719"/>
    <w:rsid w:val="0036458B"/>
    <w:rsid w:val="00365781"/>
    <w:rsid w:val="00365FDB"/>
    <w:rsid w:val="003665BD"/>
    <w:rsid w:val="003674BD"/>
    <w:rsid w:val="00367B6A"/>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D4"/>
    <w:rsid w:val="0039749A"/>
    <w:rsid w:val="0039795F"/>
    <w:rsid w:val="00397D81"/>
    <w:rsid w:val="003A00B5"/>
    <w:rsid w:val="003A0129"/>
    <w:rsid w:val="003A16E1"/>
    <w:rsid w:val="003A2C8F"/>
    <w:rsid w:val="003A3745"/>
    <w:rsid w:val="003A4C3D"/>
    <w:rsid w:val="003A5521"/>
    <w:rsid w:val="003A5FA3"/>
    <w:rsid w:val="003A637C"/>
    <w:rsid w:val="003A685C"/>
    <w:rsid w:val="003A74B5"/>
    <w:rsid w:val="003A76D3"/>
    <w:rsid w:val="003B00C0"/>
    <w:rsid w:val="003B0A1F"/>
    <w:rsid w:val="003B0ED9"/>
    <w:rsid w:val="003B1773"/>
    <w:rsid w:val="003B1F02"/>
    <w:rsid w:val="003B304C"/>
    <w:rsid w:val="003B443C"/>
    <w:rsid w:val="003B6354"/>
    <w:rsid w:val="003C290E"/>
    <w:rsid w:val="003C4521"/>
    <w:rsid w:val="003C4EA5"/>
    <w:rsid w:val="003C623E"/>
    <w:rsid w:val="003C63A1"/>
    <w:rsid w:val="003C7B76"/>
    <w:rsid w:val="003D2E7E"/>
    <w:rsid w:val="003D3C6F"/>
    <w:rsid w:val="003D55F5"/>
    <w:rsid w:val="003D613B"/>
    <w:rsid w:val="003D666E"/>
    <w:rsid w:val="003D7C02"/>
    <w:rsid w:val="003E0579"/>
    <w:rsid w:val="003E2848"/>
    <w:rsid w:val="003E5244"/>
    <w:rsid w:val="003E65F7"/>
    <w:rsid w:val="003E6F5D"/>
    <w:rsid w:val="003F01C3"/>
    <w:rsid w:val="003F21E6"/>
    <w:rsid w:val="003F2E82"/>
    <w:rsid w:val="003F3AC3"/>
    <w:rsid w:val="003F49A9"/>
    <w:rsid w:val="003F4D49"/>
    <w:rsid w:val="003F4D69"/>
    <w:rsid w:val="003F5248"/>
    <w:rsid w:val="003F537B"/>
    <w:rsid w:val="003F5419"/>
    <w:rsid w:val="003F7184"/>
    <w:rsid w:val="003F76D1"/>
    <w:rsid w:val="003F7BAD"/>
    <w:rsid w:val="004002FC"/>
    <w:rsid w:val="00400AF3"/>
    <w:rsid w:val="00402939"/>
    <w:rsid w:val="00404E1F"/>
    <w:rsid w:val="0040690C"/>
    <w:rsid w:val="004070A4"/>
    <w:rsid w:val="004100B8"/>
    <w:rsid w:val="00410EA4"/>
    <w:rsid w:val="004116CA"/>
    <w:rsid w:val="004127E3"/>
    <w:rsid w:val="00413D73"/>
    <w:rsid w:val="00414248"/>
    <w:rsid w:val="00414881"/>
    <w:rsid w:val="004159CC"/>
    <w:rsid w:val="0041670B"/>
    <w:rsid w:val="0042070C"/>
    <w:rsid w:val="004224CC"/>
    <w:rsid w:val="00423EA7"/>
    <w:rsid w:val="00426798"/>
    <w:rsid w:val="00427530"/>
    <w:rsid w:val="00430166"/>
    <w:rsid w:val="00430386"/>
    <w:rsid w:val="00433B07"/>
    <w:rsid w:val="00433D4B"/>
    <w:rsid w:val="00435210"/>
    <w:rsid w:val="00435218"/>
    <w:rsid w:val="00435A4E"/>
    <w:rsid w:val="00436358"/>
    <w:rsid w:val="0044050E"/>
    <w:rsid w:val="0044120F"/>
    <w:rsid w:val="0044214C"/>
    <w:rsid w:val="00444BFB"/>
    <w:rsid w:val="00445700"/>
    <w:rsid w:val="004467B4"/>
    <w:rsid w:val="00447CB7"/>
    <w:rsid w:val="0045001E"/>
    <w:rsid w:val="004507A8"/>
    <w:rsid w:val="00452221"/>
    <w:rsid w:val="00453ACC"/>
    <w:rsid w:val="0045504C"/>
    <w:rsid w:val="0045592E"/>
    <w:rsid w:val="00455F55"/>
    <w:rsid w:val="00456003"/>
    <w:rsid w:val="0045656E"/>
    <w:rsid w:val="0046057E"/>
    <w:rsid w:val="00460653"/>
    <w:rsid w:val="00460BEF"/>
    <w:rsid w:val="00461BAE"/>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F3E"/>
    <w:rsid w:val="0048104D"/>
    <w:rsid w:val="004812A3"/>
    <w:rsid w:val="00481D22"/>
    <w:rsid w:val="00481ED1"/>
    <w:rsid w:val="004828FC"/>
    <w:rsid w:val="0048332F"/>
    <w:rsid w:val="004855F0"/>
    <w:rsid w:val="0048659B"/>
    <w:rsid w:val="004900D8"/>
    <w:rsid w:val="00490C99"/>
    <w:rsid w:val="00492151"/>
    <w:rsid w:val="004A2455"/>
    <w:rsid w:val="004A3F09"/>
    <w:rsid w:val="004A443A"/>
    <w:rsid w:val="004A7E7F"/>
    <w:rsid w:val="004B09AB"/>
    <w:rsid w:val="004B2405"/>
    <w:rsid w:val="004B289D"/>
    <w:rsid w:val="004B2BAB"/>
    <w:rsid w:val="004B3073"/>
    <w:rsid w:val="004B313C"/>
    <w:rsid w:val="004B398D"/>
    <w:rsid w:val="004B49C3"/>
    <w:rsid w:val="004B5A16"/>
    <w:rsid w:val="004C054C"/>
    <w:rsid w:val="004C0C95"/>
    <w:rsid w:val="004C13B6"/>
    <w:rsid w:val="004C18B7"/>
    <w:rsid w:val="004C2474"/>
    <w:rsid w:val="004C328D"/>
    <w:rsid w:val="004C5A9A"/>
    <w:rsid w:val="004D0399"/>
    <w:rsid w:val="004D116A"/>
    <w:rsid w:val="004D2598"/>
    <w:rsid w:val="004D3379"/>
    <w:rsid w:val="004D63C6"/>
    <w:rsid w:val="004D6C11"/>
    <w:rsid w:val="004D6FA0"/>
    <w:rsid w:val="004D722F"/>
    <w:rsid w:val="004E4BD6"/>
    <w:rsid w:val="004E703A"/>
    <w:rsid w:val="004E7476"/>
    <w:rsid w:val="004E7C4F"/>
    <w:rsid w:val="004F31F2"/>
    <w:rsid w:val="004F3CE9"/>
    <w:rsid w:val="004F4AE2"/>
    <w:rsid w:val="004F5FAD"/>
    <w:rsid w:val="004F682E"/>
    <w:rsid w:val="004F7EDD"/>
    <w:rsid w:val="005004FE"/>
    <w:rsid w:val="005007DF"/>
    <w:rsid w:val="00502A16"/>
    <w:rsid w:val="00502E0D"/>
    <w:rsid w:val="005030A8"/>
    <w:rsid w:val="00503113"/>
    <w:rsid w:val="00503AAA"/>
    <w:rsid w:val="005048C7"/>
    <w:rsid w:val="0051089E"/>
    <w:rsid w:val="00511449"/>
    <w:rsid w:val="00514D6C"/>
    <w:rsid w:val="005152EF"/>
    <w:rsid w:val="00516390"/>
    <w:rsid w:val="00516709"/>
    <w:rsid w:val="00517304"/>
    <w:rsid w:val="00517518"/>
    <w:rsid w:val="00521309"/>
    <w:rsid w:val="005236E0"/>
    <w:rsid w:val="0052664E"/>
    <w:rsid w:val="00527F5A"/>
    <w:rsid w:val="00530279"/>
    <w:rsid w:val="0053130E"/>
    <w:rsid w:val="0053246E"/>
    <w:rsid w:val="00532515"/>
    <w:rsid w:val="00532EEF"/>
    <w:rsid w:val="005333A5"/>
    <w:rsid w:val="005334DD"/>
    <w:rsid w:val="005359CB"/>
    <w:rsid w:val="005366F5"/>
    <w:rsid w:val="00536ED0"/>
    <w:rsid w:val="0053778E"/>
    <w:rsid w:val="00537A25"/>
    <w:rsid w:val="00537D4B"/>
    <w:rsid w:val="0054035A"/>
    <w:rsid w:val="00540D81"/>
    <w:rsid w:val="00541752"/>
    <w:rsid w:val="005419E9"/>
    <w:rsid w:val="0054293C"/>
    <w:rsid w:val="00543830"/>
    <w:rsid w:val="0054435F"/>
    <w:rsid w:val="00545B82"/>
    <w:rsid w:val="00551169"/>
    <w:rsid w:val="00552081"/>
    <w:rsid w:val="00552283"/>
    <w:rsid w:val="00552B18"/>
    <w:rsid w:val="00552E5E"/>
    <w:rsid w:val="0056082B"/>
    <w:rsid w:val="00561910"/>
    <w:rsid w:val="00561F59"/>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BE1"/>
    <w:rsid w:val="00574DE8"/>
    <w:rsid w:val="0057542E"/>
    <w:rsid w:val="00576090"/>
    <w:rsid w:val="00583191"/>
    <w:rsid w:val="00584403"/>
    <w:rsid w:val="00585E84"/>
    <w:rsid w:val="00585F8E"/>
    <w:rsid w:val="00586031"/>
    <w:rsid w:val="0058730E"/>
    <w:rsid w:val="005878E1"/>
    <w:rsid w:val="00587A9C"/>
    <w:rsid w:val="00587ADC"/>
    <w:rsid w:val="00587C7D"/>
    <w:rsid w:val="00590013"/>
    <w:rsid w:val="005917FD"/>
    <w:rsid w:val="005921EE"/>
    <w:rsid w:val="00595415"/>
    <w:rsid w:val="00595D1C"/>
    <w:rsid w:val="00596F29"/>
    <w:rsid w:val="00597F51"/>
    <w:rsid w:val="005A11C7"/>
    <w:rsid w:val="005A2071"/>
    <w:rsid w:val="005A2A34"/>
    <w:rsid w:val="005A3559"/>
    <w:rsid w:val="005A412E"/>
    <w:rsid w:val="005A4886"/>
    <w:rsid w:val="005A4D78"/>
    <w:rsid w:val="005A584D"/>
    <w:rsid w:val="005A6D02"/>
    <w:rsid w:val="005A6E44"/>
    <w:rsid w:val="005B185E"/>
    <w:rsid w:val="005B1B4F"/>
    <w:rsid w:val="005B3497"/>
    <w:rsid w:val="005B370D"/>
    <w:rsid w:val="005B4F12"/>
    <w:rsid w:val="005B572F"/>
    <w:rsid w:val="005B7FE0"/>
    <w:rsid w:val="005C0905"/>
    <w:rsid w:val="005C15A0"/>
    <w:rsid w:val="005C15E8"/>
    <w:rsid w:val="005C17C4"/>
    <w:rsid w:val="005C2845"/>
    <w:rsid w:val="005C2F50"/>
    <w:rsid w:val="005C38B1"/>
    <w:rsid w:val="005C39FD"/>
    <w:rsid w:val="005C4FE9"/>
    <w:rsid w:val="005C64D9"/>
    <w:rsid w:val="005C70CD"/>
    <w:rsid w:val="005C7327"/>
    <w:rsid w:val="005D14BA"/>
    <w:rsid w:val="005D1A56"/>
    <w:rsid w:val="005D2312"/>
    <w:rsid w:val="005D2A9E"/>
    <w:rsid w:val="005D6542"/>
    <w:rsid w:val="005D6B3E"/>
    <w:rsid w:val="005D7CE6"/>
    <w:rsid w:val="005E1797"/>
    <w:rsid w:val="005E2411"/>
    <w:rsid w:val="005E38AD"/>
    <w:rsid w:val="005E48A1"/>
    <w:rsid w:val="005E4BDA"/>
    <w:rsid w:val="005E5BE8"/>
    <w:rsid w:val="005E5DBE"/>
    <w:rsid w:val="005E62F6"/>
    <w:rsid w:val="005E766A"/>
    <w:rsid w:val="005E7AB2"/>
    <w:rsid w:val="005E7B1F"/>
    <w:rsid w:val="005E7D37"/>
    <w:rsid w:val="005F09BD"/>
    <w:rsid w:val="005F1058"/>
    <w:rsid w:val="005F153C"/>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5278"/>
    <w:rsid w:val="00605FE1"/>
    <w:rsid w:val="00606F24"/>
    <w:rsid w:val="006104DD"/>
    <w:rsid w:val="00612694"/>
    <w:rsid w:val="00613F51"/>
    <w:rsid w:val="006144CE"/>
    <w:rsid w:val="00615F79"/>
    <w:rsid w:val="0062040D"/>
    <w:rsid w:val="006212E1"/>
    <w:rsid w:val="006217C1"/>
    <w:rsid w:val="006220E7"/>
    <w:rsid w:val="0062392C"/>
    <w:rsid w:val="00623F50"/>
    <w:rsid w:val="00625951"/>
    <w:rsid w:val="006259A4"/>
    <w:rsid w:val="00627017"/>
    <w:rsid w:val="00632033"/>
    <w:rsid w:val="00632397"/>
    <w:rsid w:val="00633108"/>
    <w:rsid w:val="00634DC4"/>
    <w:rsid w:val="0063564C"/>
    <w:rsid w:val="00637635"/>
    <w:rsid w:val="00640EE8"/>
    <w:rsid w:val="006414EA"/>
    <w:rsid w:val="00644256"/>
    <w:rsid w:val="00645FC2"/>
    <w:rsid w:val="006475E0"/>
    <w:rsid w:val="00652362"/>
    <w:rsid w:val="006535AD"/>
    <w:rsid w:val="006537BA"/>
    <w:rsid w:val="0065448C"/>
    <w:rsid w:val="006557FC"/>
    <w:rsid w:val="0065580E"/>
    <w:rsid w:val="0066120D"/>
    <w:rsid w:val="006615C5"/>
    <w:rsid w:val="00661EBC"/>
    <w:rsid w:val="00662B85"/>
    <w:rsid w:val="00663C7F"/>
    <w:rsid w:val="00664174"/>
    <w:rsid w:val="0066452E"/>
    <w:rsid w:val="006659BE"/>
    <w:rsid w:val="006664D3"/>
    <w:rsid w:val="006665A5"/>
    <w:rsid w:val="00666CFD"/>
    <w:rsid w:val="00667303"/>
    <w:rsid w:val="00670330"/>
    <w:rsid w:val="006705CA"/>
    <w:rsid w:val="006708C1"/>
    <w:rsid w:val="00672443"/>
    <w:rsid w:val="006730ED"/>
    <w:rsid w:val="00673764"/>
    <w:rsid w:val="0067420B"/>
    <w:rsid w:val="006744A4"/>
    <w:rsid w:val="006755CE"/>
    <w:rsid w:val="006768E1"/>
    <w:rsid w:val="0067771D"/>
    <w:rsid w:val="00681DE4"/>
    <w:rsid w:val="00682D90"/>
    <w:rsid w:val="00683CB2"/>
    <w:rsid w:val="0069151C"/>
    <w:rsid w:val="00691551"/>
    <w:rsid w:val="006920D5"/>
    <w:rsid w:val="006924B6"/>
    <w:rsid w:val="006936C1"/>
    <w:rsid w:val="00695715"/>
    <w:rsid w:val="00696520"/>
    <w:rsid w:val="0069668C"/>
    <w:rsid w:val="006A1BFF"/>
    <w:rsid w:val="006A1F53"/>
    <w:rsid w:val="006A1FB1"/>
    <w:rsid w:val="006A2064"/>
    <w:rsid w:val="006A2683"/>
    <w:rsid w:val="006A2C30"/>
    <w:rsid w:val="006A3DC2"/>
    <w:rsid w:val="006A5BD5"/>
    <w:rsid w:val="006A5F2A"/>
    <w:rsid w:val="006A64A9"/>
    <w:rsid w:val="006A72DE"/>
    <w:rsid w:val="006A7DC9"/>
    <w:rsid w:val="006B0185"/>
    <w:rsid w:val="006B04C2"/>
    <w:rsid w:val="006B31C5"/>
    <w:rsid w:val="006B3475"/>
    <w:rsid w:val="006B44A5"/>
    <w:rsid w:val="006B5B19"/>
    <w:rsid w:val="006B6152"/>
    <w:rsid w:val="006B7782"/>
    <w:rsid w:val="006C0CB3"/>
    <w:rsid w:val="006C1A6B"/>
    <w:rsid w:val="006C3310"/>
    <w:rsid w:val="006C5124"/>
    <w:rsid w:val="006C560D"/>
    <w:rsid w:val="006C5E5E"/>
    <w:rsid w:val="006C6391"/>
    <w:rsid w:val="006C7491"/>
    <w:rsid w:val="006D087C"/>
    <w:rsid w:val="006D2CE4"/>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6B48"/>
    <w:rsid w:val="00711F4D"/>
    <w:rsid w:val="0071268F"/>
    <w:rsid w:val="00717301"/>
    <w:rsid w:val="00721179"/>
    <w:rsid w:val="007212A4"/>
    <w:rsid w:val="00721F53"/>
    <w:rsid w:val="00724CF9"/>
    <w:rsid w:val="00724D9A"/>
    <w:rsid w:val="0072592A"/>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81C"/>
    <w:rsid w:val="0075185C"/>
    <w:rsid w:val="00751BC8"/>
    <w:rsid w:val="0075367A"/>
    <w:rsid w:val="00753821"/>
    <w:rsid w:val="007540C5"/>
    <w:rsid w:val="0075572C"/>
    <w:rsid w:val="007563ED"/>
    <w:rsid w:val="007569ED"/>
    <w:rsid w:val="00757034"/>
    <w:rsid w:val="007607D8"/>
    <w:rsid w:val="00760AA2"/>
    <w:rsid w:val="00760E0A"/>
    <w:rsid w:val="00761B8B"/>
    <w:rsid w:val="007633AE"/>
    <w:rsid w:val="007638D1"/>
    <w:rsid w:val="0076446F"/>
    <w:rsid w:val="0076554F"/>
    <w:rsid w:val="007657D2"/>
    <w:rsid w:val="007658FE"/>
    <w:rsid w:val="00765982"/>
    <w:rsid w:val="00765C0F"/>
    <w:rsid w:val="00766B68"/>
    <w:rsid w:val="0077022C"/>
    <w:rsid w:val="00772110"/>
    <w:rsid w:val="007722DB"/>
    <w:rsid w:val="0077243E"/>
    <w:rsid w:val="00773D87"/>
    <w:rsid w:val="007742B8"/>
    <w:rsid w:val="0077455C"/>
    <w:rsid w:val="007748ED"/>
    <w:rsid w:val="00775DD7"/>
    <w:rsid w:val="00781885"/>
    <w:rsid w:val="00782F51"/>
    <w:rsid w:val="00783537"/>
    <w:rsid w:val="007844D1"/>
    <w:rsid w:val="00784A79"/>
    <w:rsid w:val="00786256"/>
    <w:rsid w:val="00786E4A"/>
    <w:rsid w:val="007912A0"/>
    <w:rsid w:val="00792C49"/>
    <w:rsid w:val="007935CE"/>
    <w:rsid w:val="00793BC5"/>
    <w:rsid w:val="00793DBC"/>
    <w:rsid w:val="007944FC"/>
    <w:rsid w:val="00794FB9"/>
    <w:rsid w:val="00795C62"/>
    <w:rsid w:val="0079689F"/>
    <w:rsid w:val="00796D9F"/>
    <w:rsid w:val="0079711E"/>
    <w:rsid w:val="007A0307"/>
    <w:rsid w:val="007A0551"/>
    <w:rsid w:val="007A0F05"/>
    <w:rsid w:val="007A106D"/>
    <w:rsid w:val="007A175F"/>
    <w:rsid w:val="007A1E73"/>
    <w:rsid w:val="007A261F"/>
    <w:rsid w:val="007A5D3E"/>
    <w:rsid w:val="007A6D59"/>
    <w:rsid w:val="007A76F5"/>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5993"/>
    <w:rsid w:val="007C65DF"/>
    <w:rsid w:val="007C6ECF"/>
    <w:rsid w:val="007C766F"/>
    <w:rsid w:val="007D0B6D"/>
    <w:rsid w:val="007D0F7F"/>
    <w:rsid w:val="007D1CF9"/>
    <w:rsid w:val="007D1E0D"/>
    <w:rsid w:val="007D25BF"/>
    <w:rsid w:val="007D3E6F"/>
    <w:rsid w:val="007D425E"/>
    <w:rsid w:val="007D60D1"/>
    <w:rsid w:val="007D6D35"/>
    <w:rsid w:val="007D7368"/>
    <w:rsid w:val="007E3017"/>
    <w:rsid w:val="007E3039"/>
    <w:rsid w:val="007E3AF2"/>
    <w:rsid w:val="007E46C5"/>
    <w:rsid w:val="007E4858"/>
    <w:rsid w:val="007E5FE2"/>
    <w:rsid w:val="007E685A"/>
    <w:rsid w:val="007E6A06"/>
    <w:rsid w:val="007F07C7"/>
    <w:rsid w:val="007F32FF"/>
    <w:rsid w:val="007F3A69"/>
    <w:rsid w:val="007F52A3"/>
    <w:rsid w:val="007F5A7B"/>
    <w:rsid w:val="007F7183"/>
    <w:rsid w:val="007F72BA"/>
    <w:rsid w:val="00803A5F"/>
    <w:rsid w:val="0080411B"/>
    <w:rsid w:val="00804F5F"/>
    <w:rsid w:val="008055CF"/>
    <w:rsid w:val="00807F67"/>
    <w:rsid w:val="00810AE1"/>
    <w:rsid w:val="008119AA"/>
    <w:rsid w:val="00812B87"/>
    <w:rsid w:val="0081396F"/>
    <w:rsid w:val="008147F8"/>
    <w:rsid w:val="00814B6D"/>
    <w:rsid w:val="0081551A"/>
    <w:rsid w:val="008177BA"/>
    <w:rsid w:val="00817A38"/>
    <w:rsid w:val="0082122C"/>
    <w:rsid w:val="00821A34"/>
    <w:rsid w:val="008226AA"/>
    <w:rsid w:val="0082347C"/>
    <w:rsid w:val="00823774"/>
    <w:rsid w:val="0082455F"/>
    <w:rsid w:val="00824663"/>
    <w:rsid w:val="008251E7"/>
    <w:rsid w:val="0083095C"/>
    <w:rsid w:val="00830BCE"/>
    <w:rsid w:val="00831D51"/>
    <w:rsid w:val="008324BE"/>
    <w:rsid w:val="008337EE"/>
    <w:rsid w:val="0083630E"/>
    <w:rsid w:val="008363A5"/>
    <w:rsid w:val="00837585"/>
    <w:rsid w:val="00837837"/>
    <w:rsid w:val="0084169A"/>
    <w:rsid w:val="00843DD1"/>
    <w:rsid w:val="00844640"/>
    <w:rsid w:val="00844793"/>
    <w:rsid w:val="00847B88"/>
    <w:rsid w:val="00847E62"/>
    <w:rsid w:val="00851091"/>
    <w:rsid w:val="008513D1"/>
    <w:rsid w:val="008519E4"/>
    <w:rsid w:val="00853A9D"/>
    <w:rsid w:val="00854B82"/>
    <w:rsid w:val="00854D56"/>
    <w:rsid w:val="00855D61"/>
    <w:rsid w:val="008612CD"/>
    <w:rsid w:val="00861974"/>
    <w:rsid w:val="008622FC"/>
    <w:rsid w:val="00862C74"/>
    <w:rsid w:val="00862ED7"/>
    <w:rsid w:val="008631E5"/>
    <w:rsid w:val="00864007"/>
    <w:rsid w:val="00865859"/>
    <w:rsid w:val="00866678"/>
    <w:rsid w:val="00867680"/>
    <w:rsid w:val="00867C67"/>
    <w:rsid w:val="00867D4E"/>
    <w:rsid w:val="008708DA"/>
    <w:rsid w:val="0087223F"/>
    <w:rsid w:val="00872B42"/>
    <w:rsid w:val="00873177"/>
    <w:rsid w:val="00873680"/>
    <w:rsid w:val="0087489F"/>
    <w:rsid w:val="00875505"/>
    <w:rsid w:val="00876263"/>
    <w:rsid w:val="0087763C"/>
    <w:rsid w:val="00877FAE"/>
    <w:rsid w:val="00880825"/>
    <w:rsid w:val="0088138A"/>
    <w:rsid w:val="00881438"/>
    <w:rsid w:val="00881AFA"/>
    <w:rsid w:val="00883D7C"/>
    <w:rsid w:val="00885167"/>
    <w:rsid w:val="008852EB"/>
    <w:rsid w:val="00885CF2"/>
    <w:rsid w:val="008869E0"/>
    <w:rsid w:val="00886BCC"/>
    <w:rsid w:val="00886FA8"/>
    <w:rsid w:val="008902F4"/>
    <w:rsid w:val="00892226"/>
    <w:rsid w:val="00892959"/>
    <w:rsid w:val="00893F41"/>
    <w:rsid w:val="008959A6"/>
    <w:rsid w:val="0089620D"/>
    <w:rsid w:val="008963C3"/>
    <w:rsid w:val="00897505"/>
    <w:rsid w:val="008A081B"/>
    <w:rsid w:val="008A100C"/>
    <w:rsid w:val="008A1742"/>
    <w:rsid w:val="008A320B"/>
    <w:rsid w:val="008A3A96"/>
    <w:rsid w:val="008A5BF4"/>
    <w:rsid w:val="008A7843"/>
    <w:rsid w:val="008B0158"/>
    <w:rsid w:val="008B16C8"/>
    <w:rsid w:val="008B271E"/>
    <w:rsid w:val="008B2D49"/>
    <w:rsid w:val="008B6314"/>
    <w:rsid w:val="008B6B2F"/>
    <w:rsid w:val="008C0012"/>
    <w:rsid w:val="008C0CEE"/>
    <w:rsid w:val="008C1075"/>
    <w:rsid w:val="008C6863"/>
    <w:rsid w:val="008D0511"/>
    <w:rsid w:val="008D1F31"/>
    <w:rsid w:val="008D32DC"/>
    <w:rsid w:val="008D377E"/>
    <w:rsid w:val="008D3AB2"/>
    <w:rsid w:val="008D52A6"/>
    <w:rsid w:val="008D540B"/>
    <w:rsid w:val="008D599C"/>
    <w:rsid w:val="008D61F6"/>
    <w:rsid w:val="008D64B9"/>
    <w:rsid w:val="008D6FED"/>
    <w:rsid w:val="008E022C"/>
    <w:rsid w:val="008E2785"/>
    <w:rsid w:val="008E300D"/>
    <w:rsid w:val="008E37BC"/>
    <w:rsid w:val="008E3887"/>
    <w:rsid w:val="008E4247"/>
    <w:rsid w:val="008E61BE"/>
    <w:rsid w:val="008E64E4"/>
    <w:rsid w:val="008E6D55"/>
    <w:rsid w:val="008F0A1E"/>
    <w:rsid w:val="008F0C3B"/>
    <w:rsid w:val="008F1C57"/>
    <w:rsid w:val="008F21C9"/>
    <w:rsid w:val="008F28A6"/>
    <w:rsid w:val="008F50BF"/>
    <w:rsid w:val="008F5264"/>
    <w:rsid w:val="008F53A5"/>
    <w:rsid w:val="008F5CC3"/>
    <w:rsid w:val="008F6D56"/>
    <w:rsid w:val="0090017F"/>
    <w:rsid w:val="00906324"/>
    <w:rsid w:val="00906A22"/>
    <w:rsid w:val="009106F7"/>
    <w:rsid w:val="0091082E"/>
    <w:rsid w:val="00910E97"/>
    <w:rsid w:val="00911697"/>
    <w:rsid w:val="00911D85"/>
    <w:rsid w:val="00912B23"/>
    <w:rsid w:val="0091357E"/>
    <w:rsid w:val="00914376"/>
    <w:rsid w:val="0091444E"/>
    <w:rsid w:val="00914451"/>
    <w:rsid w:val="009159BB"/>
    <w:rsid w:val="00917679"/>
    <w:rsid w:val="00921303"/>
    <w:rsid w:val="009221AC"/>
    <w:rsid w:val="0092225D"/>
    <w:rsid w:val="00922F7F"/>
    <w:rsid w:val="00925773"/>
    <w:rsid w:val="00927109"/>
    <w:rsid w:val="00927554"/>
    <w:rsid w:val="009278BB"/>
    <w:rsid w:val="009279D7"/>
    <w:rsid w:val="00930B17"/>
    <w:rsid w:val="00931FFA"/>
    <w:rsid w:val="00932C1D"/>
    <w:rsid w:val="00932F45"/>
    <w:rsid w:val="009361AF"/>
    <w:rsid w:val="0093661C"/>
    <w:rsid w:val="00936C43"/>
    <w:rsid w:val="00941594"/>
    <w:rsid w:val="00941D93"/>
    <w:rsid w:val="00941EDA"/>
    <w:rsid w:val="00941FB9"/>
    <w:rsid w:val="00942ECA"/>
    <w:rsid w:val="0094395A"/>
    <w:rsid w:val="009450B4"/>
    <w:rsid w:val="009452B5"/>
    <w:rsid w:val="0094549B"/>
    <w:rsid w:val="009459C8"/>
    <w:rsid w:val="00947651"/>
    <w:rsid w:val="009503F5"/>
    <w:rsid w:val="00951C85"/>
    <w:rsid w:val="009527F7"/>
    <w:rsid w:val="00953DD9"/>
    <w:rsid w:val="00954862"/>
    <w:rsid w:val="009549C2"/>
    <w:rsid w:val="00954A3C"/>
    <w:rsid w:val="009607E6"/>
    <w:rsid w:val="00961484"/>
    <w:rsid w:val="009625EB"/>
    <w:rsid w:val="009647E3"/>
    <w:rsid w:val="009648A0"/>
    <w:rsid w:val="00965628"/>
    <w:rsid w:val="00965767"/>
    <w:rsid w:val="00971B4C"/>
    <w:rsid w:val="00972B4E"/>
    <w:rsid w:val="00973682"/>
    <w:rsid w:val="009744CE"/>
    <w:rsid w:val="009746C6"/>
    <w:rsid w:val="00974CE9"/>
    <w:rsid w:val="009752DF"/>
    <w:rsid w:val="00975F75"/>
    <w:rsid w:val="0097644B"/>
    <w:rsid w:val="00976B06"/>
    <w:rsid w:val="00980C10"/>
    <w:rsid w:val="0098149C"/>
    <w:rsid w:val="009815A5"/>
    <w:rsid w:val="00983D63"/>
    <w:rsid w:val="00984878"/>
    <w:rsid w:val="009852B6"/>
    <w:rsid w:val="009874B8"/>
    <w:rsid w:val="009874BB"/>
    <w:rsid w:val="0099049A"/>
    <w:rsid w:val="0099081A"/>
    <w:rsid w:val="00990CC3"/>
    <w:rsid w:val="00991B7E"/>
    <w:rsid w:val="00991D2F"/>
    <w:rsid w:val="00993BC4"/>
    <w:rsid w:val="0099487F"/>
    <w:rsid w:val="00994C8A"/>
    <w:rsid w:val="009957A4"/>
    <w:rsid w:val="00995C82"/>
    <w:rsid w:val="00996E95"/>
    <w:rsid w:val="0099744E"/>
    <w:rsid w:val="00997FDF"/>
    <w:rsid w:val="009A1354"/>
    <w:rsid w:val="009A349A"/>
    <w:rsid w:val="009A3E4F"/>
    <w:rsid w:val="009A4C9C"/>
    <w:rsid w:val="009A6A74"/>
    <w:rsid w:val="009B0379"/>
    <w:rsid w:val="009B0C73"/>
    <w:rsid w:val="009B1E94"/>
    <w:rsid w:val="009B5672"/>
    <w:rsid w:val="009B746F"/>
    <w:rsid w:val="009C103D"/>
    <w:rsid w:val="009C14FF"/>
    <w:rsid w:val="009C1BA3"/>
    <w:rsid w:val="009C2537"/>
    <w:rsid w:val="009C3442"/>
    <w:rsid w:val="009C4DFB"/>
    <w:rsid w:val="009C562F"/>
    <w:rsid w:val="009C5F76"/>
    <w:rsid w:val="009C748B"/>
    <w:rsid w:val="009C7CBB"/>
    <w:rsid w:val="009D259C"/>
    <w:rsid w:val="009D2689"/>
    <w:rsid w:val="009D2F2D"/>
    <w:rsid w:val="009D3AF4"/>
    <w:rsid w:val="009D4179"/>
    <w:rsid w:val="009D5195"/>
    <w:rsid w:val="009D579D"/>
    <w:rsid w:val="009D6533"/>
    <w:rsid w:val="009E0125"/>
    <w:rsid w:val="009E0FEB"/>
    <w:rsid w:val="009E1470"/>
    <w:rsid w:val="009E3014"/>
    <w:rsid w:val="009E6781"/>
    <w:rsid w:val="009F0C7E"/>
    <w:rsid w:val="009F0F4B"/>
    <w:rsid w:val="009F2A3B"/>
    <w:rsid w:val="009F2B33"/>
    <w:rsid w:val="009F57C5"/>
    <w:rsid w:val="009F68DE"/>
    <w:rsid w:val="00A007FA"/>
    <w:rsid w:val="00A03346"/>
    <w:rsid w:val="00A038A1"/>
    <w:rsid w:val="00A041AA"/>
    <w:rsid w:val="00A047E5"/>
    <w:rsid w:val="00A0570C"/>
    <w:rsid w:val="00A059AE"/>
    <w:rsid w:val="00A06107"/>
    <w:rsid w:val="00A07276"/>
    <w:rsid w:val="00A102D9"/>
    <w:rsid w:val="00A107CC"/>
    <w:rsid w:val="00A12EED"/>
    <w:rsid w:val="00A13B0F"/>
    <w:rsid w:val="00A14A9A"/>
    <w:rsid w:val="00A14E1D"/>
    <w:rsid w:val="00A15F27"/>
    <w:rsid w:val="00A1631B"/>
    <w:rsid w:val="00A165A3"/>
    <w:rsid w:val="00A174B5"/>
    <w:rsid w:val="00A20952"/>
    <w:rsid w:val="00A21617"/>
    <w:rsid w:val="00A22B8B"/>
    <w:rsid w:val="00A251B7"/>
    <w:rsid w:val="00A251DE"/>
    <w:rsid w:val="00A25484"/>
    <w:rsid w:val="00A25E3C"/>
    <w:rsid w:val="00A271BD"/>
    <w:rsid w:val="00A27E9B"/>
    <w:rsid w:val="00A3131C"/>
    <w:rsid w:val="00A33495"/>
    <w:rsid w:val="00A345A0"/>
    <w:rsid w:val="00A36A7A"/>
    <w:rsid w:val="00A37C35"/>
    <w:rsid w:val="00A37E4D"/>
    <w:rsid w:val="00A41059"/>
    <w:rsid w:val="00A41275"/>
    <w:rsid w:val="00A41C60"/>
    <w:rsid w:val="00A43182"/>
    <w:rsid w:val="00A43298"/>
    <w:rsid w:val="00A46F84"/>
    <w:rsid w:val="00A470DB"/>
    <w:rsid w:val="00A47B44"/>
    <w:rsid w:val="00A53C8D"/>
    <w:rsid w:val="00A54D42"/>
    <w:rsid w:val="00A5515A"/>
    <w:rsid w:val="00A5589D"/>
    <w:rsid w:val="00A55B34"/>
    <w:rsid w:val="00A57446"/>
    <w:rsid w:val="00A5746B"/>
    <w:rsid w:val="00A6173F"/>
    <w:rsid w:val="00A61C54"/>
    <w:rsid w:val="00A61D64"/>
    <w:rsid w:val="00A62F0C"/>
    <w:rsid w:val="00A632DB"/>
    <w:rsid w:val="00A64077"/>
    <w:rsid w:val="00A662B5"/>
    <w:rsid w:val="00A666BE"/>
    <w:rsid w:val="00A7105A"/>
    <w:rsid w:val="00A71230"/>
    <w:rsid w:val="00A71A0E"/>
    <w:rsid w:val="00A729A4"/>
    <w:rsid w:val="00A73C46"/>
    <w:rsid w:val="00A73E71"/>
    <w:rsid w:val="00A764E3"/>
    <w:rsid w:val="00A76E40"/>
    <w:rsid w:val="00A8070F"/>
    <w:rsid w:val="00A80953"/>
    <w:rsid w:val="00A811D4"/>
    <w:rsid w:val="00A8343F"/>
    <w:rsid w:val="00A8376F"/>
    <w:rsid w:val="00A845D3"/>
    <w:rsid w:val="00A86315"/>
    <w:rsid w:val="00A8756F"/>
    <w:rsid w:val="00A91ACF"/>
    <w:rsid w:val="00A92B01"/>
    <w:rsid w:val="00A9433C"/>
    <w:rsid w:val="00A958A4"/>
    <w:rsid w:val="00A96009"/>
    <w:rsid w:val="00A9606A"/>
    <w:rsid w:val="00A97911"/>
    <w:rsid w:val="00AA097A"/>
    <w:rsid w:val="00AA12AC"/>
    <w:rsid w:val="00AA15BC"/>
    <w:rsid w:val="00AA188C"/>
    <w:rsid w:val="00AA18BA"/>
    <w:rsid w:val="00AA3B28"/>
    <w:rsid w:val="00AA4660"/>
    <w:rsid w:val="00AA480B"/>
    <w:rsid w:val="00AA4D21"/>
    <w:rsid w:val="00AA4DEB"/>
    <w:rsid w:val="00AA69EA"/>
    <w:rsid w:val="00AA6E45"/>
    <w:rsid w:val="00AB0E0D"/>
    <w:rsid w:val="00AB198A"/>
    <w:rsid w:val="00AB46E4"/>
    <w:rsid w:val="00AB66B6"/>
    <w:rsid w:val="00AC04BE"/>
    <w:rsid w:val="00AC1040"/>
    <w:rsid w:val="00AC2669"/>
    <w:rsid w:val="00AC2AC0"/>
    <w:rsid w:val="00AC2CD0"/>
    <w:rsid w:val="00AC3A9B"/>
    <w:rsid w:val="00AC4CFE"/>
    <w:rsid w:val="00AC4E06"/>
    <w:rsid w:val="00AC5228"/>
    <w:rsid w:val="00AC5439"/>
    <w:rsid w:val="00AC5997"/>
    <w:rsid w:val="00AC7CE6"/>
    <w:rsid w:val="00AD130C"/>
    <w:rsid w:val="00AD22E2"/>
    <w:rsid w:val="00AD2485"/>
    <w:rsid w:val="00AD34BA"/>
    <w:rsid w:val="00AD5027"/>
    <w:rsid w:val="00AD713D"/>
    <w:rsid w:val="00AE0ECE"/>
    <w:rsid w:val="00AE1F68"/>
    <w:rsid w:val="00AE6090"/>
    <w:rsid w:val="00AE7375"/>
    <w:rsid w:val="00AF169F"/>
    <w:rsid w:val="00AF220A"/>
    <w:rsid w:val="00AF3990"/>
    <w:rsid w:val="00AF404B"/>
    <w:rsid w:val="00B0013A"/>
    <w:rsid w:val="00B0133D"/>
    <w:rsid w:val="00B01B3D"/>
    <w:rsid w:val="00B03746"/>
    <w:rsid w:val="00B04946"/>
    <w:rsid w:val="00B052F8"/>
    <w:rsid w:val="00B05D0F"/>
    <w:rsid w:val="00B0615C"/>
    <w:rsid w:val="00B070A5"/>
    <w:rsid w:val="00B1071D"/>
    <w:rsid w:val="00B10E6E"/>
    <w:rsid w:val="00B12897"/>
    <w:rsid w:val="00B12DB4"/>
    <w:rsid w:val="00B1469A"/>
    <w:rsid w:val="00B14EEE"/>
    <w:rsid w:val="00B166CD"/>
    <w:rsid w:val="00B20310"/>
    <w:rsid w:val="00B204F6"/>
    <w:rsid w:val="00B20E2D"/>
    <w:rsid w:val="00B20EB4"/>
    <w:rsid w:val="00B20FB5"/>
    <w:rsid w:val="00B23054"/>
    <w:rsid w:val="00B243BA"/>
    <w:rsid w:val="00B24911"/>
    <w:rsid w:val="00B25310"/>
    <w:rsid w:val="00B26994"/>
    <w:rsid w:val="00B315F6"/>
    <w:rsid w:val="00B3173B"/>
    <w:rsid w:val="00B31E84"/>
    <w:rsid w:val="00B32C77"/>
    <w:rsid w:val="00B3360E"/>
    <w:rsid w:val="00B350FE"/>
    <w:rsid w:val="00B35BC5"/>
    <w:rsid w:val="00B401A9"/>
    <w:rsid w:val="00B4065E"/>
    <w:rsid w:val="00B41702"/>
    <w:rsid w:val="00B41DEA"/>
    <w:rsid w:val="00B42418"/>
    <w:rsid w:val="00B427C9"/>
    <w:rsid w:val="00B43978"/>
    <w:rsid w:val="00B43F10"/>
    <w:rsid w:val="00B46BD3"/>
    <w:rsid w:val="00B47710"/>
    <w:rsid w:val="00B479DE"/>
    <w:rsid w:val="00B52789"/>
    <w:rsid w:val="00B52B8B"/>
    <w:rsid w:val="00B52FDE"/>
    <w:rsid w:val="00B53543"/>
    <w:rsid w:val="00B548EA"/>
    <w:rsid w:val="00B55F3C"/>
    <w:rsid w:val="00B573FD"/>
    <w:rsid w:val="00B574CE"/>
    <w:rsid w:val="00B575D9"/>
    <w:rsid w:val="00B607A9"/>
    <w:rsid w:val="00B608BA"/>
    <w:rsid w:val="00B61C6B"/>
    <w:rsid w:val="00B6215A"/>
    <w:rsid w:val="00B64D4C"/>
    <w:rsid w:val="00B65C05"/>
    <w:rsid w:val="00B66655"/>
    <w:rsid w:val="00B70CB8"/>
    <w:rsid w:val="00B723E9"/>
    <w:rsid w:val="00B7267A"/>
    <w:rsid w:val="00B727A0"/>
    <w:rsid w:val="00B739FE"/>
    <w:rsid w:val="00B74936"/>
    <w:rsid w:val="00B75AE4"/>
    <w:rsid w:val="00B7721F"/>
    <w:rsid w:val="00B80D9B"/>
    <w:rsid w:val="00B81381"/>
    <w:rsid w:val="00B81C77"/>
    <w:rsid w:val="00B826C1"/>
    <w:rsid w:val="00B82957"/>
    <w:rsid w:val="00B82F3E"/>
    <w:rsid w:val="00B835C9"/>
    <w:rsid w:val="00B84735"/>
    <w:rsid w:val="00B85336"/>
    <w:rsid w:val="00B85E25"/>
    <w:rsid w:val="00B8620E"/>
    <w:rsid w:val="00B8642E"/>
    <w:rsid w:val="00B864EC"/>
    <w:rsid w:val="00B869C9"/>
    <w:rsid w:val="00B87979"/>
    <w:rsid w:val="00B87C4C"/>
    <w:rsid w:val="00B90D45"/>
    <w:rsid w:val="00B90D59"/>
    <w:rsid w:val="00B9216A"/>
    <w:rsid w:val="00B93E90"/>
    <w:rsid w:val="00B94146"/>
    <w:rsid w:val="00B97068"/>
    <w:rsid w:val="00B971C5"/>
    <w:rsid w:val="00B97A0A"/>
    <w:rsid w:val="00BA02BB"/>
    <w:rsid w:val="00BA05EA"/>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728"/>
    <w:rsid w:val="00BC0213"/>
    <w:rsid w:val="00BC0283"/>
    <w:rsid w:val="00BC17F5"/>
    <w:rsid w:val="00BC1C9D"/>
    <w:rsid w:val="00BC36C6"/>
    <w:rsid w:val="00BC5590"/>
    <w:rsid w:val="00BC675C"/>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2B7B"/>
    <w:rsid w:val="00BF3ABC"/>
    <w:rsid w:val="00BF471B"/>
    <w:rsid w:val="00BF58A4"/>
    <w:rsid w:val="00BF5EC9"/>
    <w:rsid w:val="00BF60E5"/>
    <w:rsid w:val="00C00109"/>
    <w:rsid w:val="00C009E0"/>
    <w:rsid w:val="00C01115"/>
    <w:rsid w:val="00C0180C"/>
    <w:rsid w:val="00C034AE"/>
    <w:rsid w:val="00C03966"/>
    <w:rsid w:val="00C04C57"/>
    <w:rsid w:val="00C06088"/>
    <w:rsid w:val="00C062AD"/>
    <w:rsid w:val="00C102F8"/>
    <w:rsid w:val="00C13C08"/>
    <w:rsid w:val="00C13FA9"/>
    <w:rsid w:val="00C1522F"/>
    <w:rsid w:val="00C15BE6"/>
    <w:rsid w:val="00C15E44"/>
    <w:rsid w:val="00C1721F"/>
    <w:rsid w:val="00C17816"/>
    <w:rsid w:val="00C17EEC"/>
    <w:rsid w:val="00C20626"/>
    <w:rsid w:val="00C20C7A"/>
    <w:rsid w:val="00C23ECE"/>
    <w:rsid w:val="00C266ED"/>
    <w:rsid w:val="00C26CF1"/>
    <w:rsid w:val="00C26D76"/>
    <w:rsid w:val="00C2761D"/>
    <w:rsid w:val="00C276B6"/>
    <w:rsid w:val="00C27B32"/>
    <w:rsid w:val="00C27CB3"/>
    <w:rsid w:val="00C32049"/>
    <w:rsid w:val="00C322B7"/>
    <w:rsid w:val="00C34D64"/>
    <w:rsid w:val="00C3609D"/>
    <w:rsid w:val="00C373F2"/>
    <w:rsid w:val="00C42E98"/>
    <w:rsid w:val="00C47109"/>
    <w:rsid w:val="00C473A7"/>
    <w:rsid w:val="00C5023E"/>
    <w:rsid w:val="00C5058D"/>
    <w:rsid w:val="00C50E0E"/>
    <w:rsid w:val="00C52A8C"/>
    <w:rsid w:val="00C52E3B"/>
    <w:rsid w:val="00C53D7E"/>
    <w:rsid w:val="00C54A05"/>
    <w:rsid w:val="00C607A6"/>
    <w:rsid w:val="00C6351F"/>
    <w:rsid w:val="00C67A40"/>
    <w:rsid w:val="00C700B4"/>
    <w:rsid w:val="00C728B1"/>
    <w:rsid w:val="00C73973"/>
    <w:rsid w:val="00C73C9B"/>
    <w:rsid w:val="00C745DA"/>
    <w:rsid w:val="00C751F2"/>
    <w:rsid w:val="00C75552"/>
    <w:rsid w:val="00C775DE"/>
    <w:rsid w:val="00C81286"/>
    <w:rsid w:val="00C8512F"/>
    <w:rsid w:val="00C929FF"/>
    <w:rsid w:val="00C92F55"/>
    <w:rsid w:val="00C97026"/>
    <w:rsid w:val="00C97FC7"/>
    <w:rsid w:val="00CA053A"/>
    <w:rsid w:val="00CA073D"/>
    <w:rsid w:val="00CA09B1"/>
    <w:rsid w:val="00CA1F2A"/>
    <w:rsid w:val="00CA2531"/>
    <w:rsid w:val="00CA2AA6"/>
    <w:rsid w:val="00CA2CF7"/>
    <w:rsid w:val="00CA391D"/>
    <w:rsid w:val="00CA4686"/>
    <w:rsid w:val="00CA4EAE"/>
    <w:rsid w:val="00CB010A"/>
    <w:rsid w:val="00CB125B"/>
    <w:rsid w:val="00CB2E60"/>
    <w:rsid w:val="00CB45C7"/>
    <w:rsid w:val="00CB56D8"/>
    <w:rsid w:val="00CB5DDD"/>
    <w:rsid w:val="00CB6A5F"/>
    <w:rsid w:val="00CB7923"/>
    <w:rsid w:val="00CC0239"/>
    <w:rsid w:val="00CC1632"/>
    <w:rsid w:val="00CC18F4"/>
    <w:rsid w:val="00CC192B"/>
    <w:rsid w:val="00CC392D"/>
    <w:rsid w:val="00CC3DFF"/>
    <w:rsid w:val="00CC45D7"/>
    <w:rsid w:val="00CC476D"/>
    <w:rsid w:val="00CC4BDE"/>
    <w:rsid w:val="00CC594F"/>
    <w:rsid w:val="00CC59DA"/>
    <w:rsid w:val="00CC654C"/>
    <w:rsid w:val="00CC68F5"/>
    <w:rsid w:val="00CC6B2F"/>
    <w:rsid w:val="00CD03AF"/>
    <w:rsid w:val="00CD0AE2"/>
    <w:rsid w:val="00CD180E"/>
    <w:rsid w:val="00CD2678"/>
    <w:rsid w:val="00CD2B8A"/>
    <w:rsid w:val="00CD3342"/>
    <w:rsid w:val="00CD7D26"/>
    <w:rsid w:val="00CE205D"/>
    <w:rsid w:val="00CE2793"/>
    <w:rsid w:val="00CE3553"/>
    <w:rsid w:val="00CE4330"/>
    <w:rsid w:val="00CE6362"/>
    <w:rsid w:val="00CE640E"/>
    <w:rsid w:val="00CE6523"/>
    <w:rsid w:val="00CE6EE3"/>
    <w:rsid w:val="00CE7836"/>
    <w:rsid w:val="00CF086F"/>
    <w:rsid w:val="00CF19AD"/>
    <w:rsid w:val="00CF24F1"/>
    <w:rsid w:val="00CF2F8F"/>
    <w:rsid w:val="00CF301E"/>
    <w:rsid w:val="00CF36E3"/>
    <w:rsid w:val="00CF5E7B"/>
    <w:rsid w:val="00CF6C55"/>
    <w:rsid w:val="00D0230B"/>
    <w:rsid w:val="00D027B2"/>
    <w:rsid w:val="00D03D65"/>
    <w:rsid w:val="00D05043"/>
    <w:rsid w:val="00D050C0"/>
    <w:rsid w:val="00D05274"/>
    <w:rsid w:val="00D05CEE"/>
    <w:rsid w:val="00D06C5E"/>
    <w:rsid w:val="00D06CBC"/>
    <w:rsid w:val="00D079CB"/>
    <w:rsid w:val="00D10772"/>
    <w:rsid w:val="00D108F2"/>
    <w:rsid w:val="00D110B2"/>
    <w:rsid w:val="00D1167B"/>
    <w:rsid w:val="00D126A3"/>
    <w:rsid w:val="00D1283B"/>
    <w:rsid w:val="00D12F62"/>
    <w:rsid w:val="00D13E0F"/>
    <w:rsid w:val="00D14101"/>
    <w:rsid w:val="00D1427B"/>
    <w:rsid w:val="00D172B7"/>
    <w:rsid w:val="00D17AFA"/>
    <w:rsid w:val="00D20270"/>
    <w:rsid w:val="00D2084F"/>
    <w:rsid w:val="00D22793"/>
    <w:rsid w:val="00D22B21"/>
    <w:rsid w:val="00D2331A"/>
    <w:rsid w:val="00D23933"/>
    <w:rsid w:val="00D25050"/>
    <w:rsid w:val="00D2551B"/>
    <w:rsid w:val="00D25DE5"/>
    <w:rsid w:val="00D26D1C"/>
    <w:rsid w:val="00D3001C"/>
    <w:rsid w:val="00D310C9"/>
    <w:rsid w:val="00D328E2"/>
    <w:rsid w:val="00D33AF6"/>
    <w:rsid w:val="00D33BC7"/>
    <w:rsid w:val="00D33D6B"/>
    <w:rsid w:val="00D36671"/>
    <w:rsid w:val="00D36B4F"/>
    <w:rsid w:val="00D3788E"/>
    <w:rsid w:val="00D415AE"/>
    <w:rsid w:val="00D426C6"/>
    <w:rsid w:val="00D4326F"/>
    <w:rsid w:val="00D472A6"/>
    <w:rsid w:val="00D50BE0"/>
    <w:rsid w:val="00D50FC3"/>
    <w:rsid w:val="00D5236C"/>
    <w:rsid w:val="00D53937"/>
    <w:rsid w:val="00D53CEA"/>
    <w:rsid w:val="00D54D22"/>
    <w:rsid w:val="00D567F0"/>
    <w:rsid w:val="00D56844"/>
    <w:rsid w:val="00D56CF6"/>
    <w:rsid w:val="00D570FD"/>
    <w:rsid w:val="00D577D1"/>
    <w:rsid w:val="00D57F9B"/>
    <w:rsid w:val="00D6047F"/>
    <w:rsid w:val="00D612F2"/>
    <w:rsid w:val="00D63173"/>
    <w:rsid w:val="00D64608"/>
    <w:rsid w:val="00D64C12"/>
    <w:rsid w:val="00D67133"/>
    <w:rsid w:val="00D70103"/>
    <w:rsid w:val="00D704D0"/>
    <w:rsid w:val="00D71D7B"/>
    <w:rsid w:val="00D72888"/>
    <w:rsid w:val="00D72D38"/>
    <w:rsid w:val="00D739E2"/>
    <w:rsid w:val="00D73D61"/>
    <w:rsid w:val="00D7472A"/>
    <w:rsid w:val="00D75147"/>
    <w:rsid w:val="00D75FCA"/>
    <w:rsid w:val="00D77BBF"/>
    <w:rsid w:val="00D80D59"/>
    <w:rsid w:val="00D81055"/>
    <w:rsid w:val="00D81460"/>
    <w:rsid w:val="00D8343B"/>
    <w:rsid w:val="00D840DC"/>
    <w:rsid w:val="00D8539B"/>
    <w:rsid w:val="00D85941"/>
    <w:rsid w:val="00D87D11"/>
    <w:rsid w:val="00D90121"/>
    <w:rsid w:val="00D91F34"/>
    <w:rsid w:val="00D9257C"/>
    <w:rsid w:val="00D9291B"/>
    <w:rsid w:val="00D93433"/>
    <w:rsid w:val="00D96A7F"/>
    <w:rsid w:val="00DA02FA"/>
    <w:rsid w:val="00DA089B"/>
    <w:rsid w:val="00DA0FE8"/>
    <w:rsid w:val="00DA1E44"/>
    <w:rsid w:val="00DA1FC0"/>
    <w:rsid w:val="00DA20C1"/>
    <w:rsid w:val="00DA21D0"/>
    <w:rsid w:val="00DA2B8B"/>
    <w:rsid w:val="00DA4F95"/>
    <w:rsid w:val="00DA7D92"/>
    <w:rsid w:val="00DB0160"/>
    <w:rsid w:val="00DB0519"/>
    <w:rsid w:val="00DB229B"/>
    <w:rsid w:val="00DB344E"/>
    <w:rsid w:val="00DB3495"/>
    <w:rsid w:val="00DB3B07"/>
    <w:rsid w:val="00DB3EFD"/>
    <w:rsid w:val="00DB4207"/>
    <w:rsid w:val="00DB6220"/>
    <w:rsid w:val="00DB76D2"/>
    <w:rsid w:val="00DB7916"/>
    <w:rsid w:val="00DC3EE4"/>
    <w:rsid w:val="00DC7CE8"/>
    <w:rsid w:val="00DC7CEE"/>
    <w:rsid w:val="00DD1837"/>
    <w:rsid w:val="00DD3B9F"/>
    <w:rsid w:val="00DD477A"/>
    <w:rsid w:val="00DD51E3"/>
    <w:rsid w:val="00DD79B5"/>
    <w:rsid w:val="00DE4B48"/>
    <w:rsid w:val="00DE4DBE"/>
    <w:rsid w:val="00DE4E3B"/>
    <w:rsid w:val="00DE4F41"/>
    <w:rsid w:val="00DE51B1"/>
    <w:rsid w:val="00DE5BAB"/>
    <w:rsid w:val="00DE6954"/>
    <w:rsid w:val="00DE79D5"/>
    <w:rsid w:val="00DF2B90"/>
    <w:rsid w:val="00DF3677"/>
    <w:rsid w:val="00DF4201"/>
    <w:rsid w:val="00DF55C7"/>
    <w:rsid w:val="00DF66D3"/>
    <w:rsid w:val="00DF72C6"/>
    <w:rsid w:val="00E00294"/>
    <w:rsid w:val="00E00C08"/>
    <w:rsid w:val="00E02045"/>
    <w:rsid w:val="00E02B28"/>
    <w:rsid w:val="00E040F0"/>
    <w:rsid w:val="00E064E1"/>
    <w:rsid w:val="00E079F9"/>
    <w:rsid w:val="00E10685"/>
    <w:rsid w:val="00E11A27"/>
    <w:rsid w:val="00E12B1E"/>
    <w:rsid w:val="00E134A3"/>
    <w:rsid w:val="00E14090"/>
    <w:rsid w:val="00E15496"/>
    <w:rsid w:val="00E16E26"/>
    <w:rsid w:val="00E1794E"/>
    <w:rsid w:val="00E20802"/>
    <w:rsid w:val="00E224C0"/>
    <w:rsid w:val="00E22696"/>
    <w:rsid w:val="00E233B0"/>
    <w:rsid w:val="00E23C39"/>
    <w:rsid w:val="00E24746"/>
    <w:rsid w:val="00E26CA1"/>
    <w:rsid w:val="00E27536"/>
    <w:rsid w:val="00E32C25"/>
    <w:rsid w:val="00E34AD5"/>
    <w:rsid w:val="00E36007"/>
    <w:rsid w:val="00E3776C"/>
    <w:rsid w:val="00E401A7"/>
    <w:rsid w:val="00E422C5"/>
    <w:rsid w:val="00E43365"/>
    <w:rsid w:val="00E4392B"/>
    <w:rsid w:val="00E43BBC"/>
    <w:rsid w:val="00E441C9"/>
    <w:rsid w:val="00E45462"/>
    <w:rsid w:val="00E45545"/>
    <w:rsid w:val="00E4784B"/>
    <w:rsid w:val="00E51146"/>
    <w:rsid w:val="00E51ECC"/>
    <w:rsid w:val="00E52717"/>
    <w:rsid w:val="00E52872"/>
    <w:rsid w:val="00E5667E"/>
    <w:rsid w:val="00E56B59"/>
    <w:rsid w:val="00E578A0"/>
    <w:rsid w:val="00E6194F"/>
    <w:rsid w:val="00E65062"/>
    <w:rsid w:val="00E654E4"/>
    <w:rsid w:val="00E6632E"/>
    <w:rsid w:val="00E66EB5"/>
    <w:rsid w:val="00E67C8E"/>
    <w:rsid w:val="00E7241C"/>
    <w:rsid w:val="00E7276D"/>
    <w:rsid w:val="00E72A43"/>
    <w:rsid w:val="00E7365D"/>
    <w:rsid w:val="00E76D45"/>
    <w:rsid w:val="00E8046A"/>
    <w:rsid w:val="00E806B6"/>
    <w:rsid w:val="00E80742"/>
    <w:rsid w:val="00E81214"/>
    <w:rsid w:val="00E82CBF"/>
    <w:rsid w:val="00E85623"/>
    <w:rsid w:val="00E878E9"/>
    <w:rsid w:val="00E9051E"/>
    <w:rsid w:val="00E90DB3"/>
    <w:rsid w:val="00E92C5F"/>
    <w:rsid w:val="00E94337"/>
    <w:rsid w:val="00E946E9"/>
    <w:rsid w:val="00E9585B"/>
    <w:rsid w:val="00E971A0"/>
    <w:rsid w:val="00E9745C"/>
    <w:rsid w:val="00E97D23"/>
    <w:rsid w:val="00EA1719"/>
    <w:rsid w:val="00EA192D"/>
    <w:rsid w:val="00EA2E19"/>
    <w:rsid w:val="00EA345D"/>
    <w:rsid w:val="00EA44CC"/>
    <w:rsid w:val="00EA5421"/>
    <w:rsid w:val="00EA5CE8"/>
    <w:rsid w:val="00EA5D91"/>
    <w:rsid w:val="00EA772B"/>
    <w:rsid w:val="00EB2387"/>
    <w:rsid w:val="00EB37FE"/>
    <w:rsid w:val="00EB385D"/>
    <w:rsid w:val="00EB4539"/>
    <w:rsid w:val="00EB5100"/>
    <w:rsid w:val="00EB6513"/>
    <w:rsid w:val="00EB6DC7"/>
    <w:rsid w:val="00EB7112"/>
    <w:rsid w:val="00EB7D93"/>
    <w:rsid w:val="00EC01C4"/>
    <w:rsid w:val="00EC32E6"/>
    <w:rsid w:val="00EC3333"/>
    <w:rsid w:val="00EC500B"/>
    <w:rsid w:val="00ED3861"/>
    <w:rsid w:val="00ED4010"/>
    <w:rsid w:val="00ED54FE"/>
    <w:rsid w:val="00ED566C"/>
    <w:rsid w:val="00ED7054"/>
    <w:rsid w:val="00EE06F8"/>
    <w:rsid w:val="00EE3E8E"/>
    <w:rsid w:val="00EE48EE"/>
    <w:rsid w:val="00EE4BB8"/>
    <w:rsid w:val="00EE51C7"/>
    <w:rsid w:val="00EE576B"/>
    <w:rsid w:val="00EE7451"/>
    <w:rsid w:val="00EE7BD5"/>
    <w:rsid w:val="00EE7E5D"/>
    <w:rsid w:val="00EE7F86"/>
    <w:rsid w:val="00EF0760"/>
    <w:rsid w:val="00EF1415"/>
    <w:rsid w:val="00EF1775"/>
    <w:rsid w:val="00EF1B73"/>
    <w:rsid w:val="00EF5727"/>
    <w:rsid w:val="00EF5D2D"/>
    <w:rsid w:val="00EF60DF"/>
    <w:rsid w:val="00EF65DB"/>
    <w:rsid w:val="00EF6F88"/>
    <w:rsid w:val="00EF71CA"/>
    <w:rsid w:val="00EF75ED"/>
    <w:rsid w:val="00F007AA"/>
    <w:rsid w:val="00F0283C"/>
    <w:rsid w:val="00F0544A"/>
    <w:rsid w:val="00F05770"/>
    <w:rsid w:val="00F05B10"/>
    <w:rsid w:val="00F05F9A"/>
    <w:rsid w:val="00F07898"/>
    <w:rsid w:val="00F10315"/>
    <w:rsid w:val="00F1104F"/>
    <w:rsid w:val="00F12E73"/>
    <w:rsid w:val="00F152B6"/>
    <w:rsid w:val="00F1530C"/>
    <w:rsid w:val="00F15FD8"/>
    <w:rsid w:val="00F16A9C"/>
    <w:rsid w:val="00F177CD"/>
    <w:rsid w:val="00F2017B"/>
    <w:rsid w:val="00F202DE"/>
    <w:rsid w:val="00F207BE"/>
    <w:rsid w:val="00F22C91"/>
    <w:rsid w:val="00F254AA"/>
    <w:rsid w:val="00F25BC8"/>
    <w:rsid w:val="00F25D8C"/>
    <w:rsid w:val="00F270E9"/>
    <w:rsid w:val="00F30D2A"/>
    <w:rsid w:val="00F30F8F"/>
    <w:rsid w:val="00F312DC"/>
    <w:rsid w:val="00F32B26"/>
    <w:rsid w:val="00F334C5"/>
    <w:rsid w:val="00F33EF7"/>
    <w:rsid w:val="00F34744"/>
    <w:rsid w:val="00F35535"/>
    <w:rsid w:val="00F3586B"/>
    <w:rsid w:val="00F368E1"/>
    <w:rsid w:val="00F379E7"/>
    <w:rsid w:val="00F37BA5"/>
    <w:rsid w:val="00F37ED8"/>
    <w:rsid w:val="00F4013D"/>
    <w:rsid w:val="00F40317"/>
    <w:rsid w:val="00F40F2C"/>
    <w:rsid w:val="00F41A3E"/>
    <w:rsid w:val="00F41D0C"/>
    <w:rsid w:val="00F41FF7"/>
    <w:rsid w:val="00F42AE2"/>
    <w:rsid w:val="00F43B67"/>
    <w:rsid w:val="00F44353"/>
    <w:rsid w:val="00F47667"/>
    <w:rsid w:val="00F47E24"/>
    <w:rsid w:val="00F5052A"/>
    <w:rsid w:val="00F50B84"/>
    <w:rsid w:val="00F5180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1FE1"/>
    <w:rsid w:val="00F73DF5"/>
    <w:rsid w:val="00F742E1"/>
    <w:rsid w:val="00F74BD2"/>
    <w:rsid w:val="00F74CC1"/>
    <w:rsid w:val="00F74E12"/>
    <w:rsid w:val="00F76080"/>
    <w:rsid w:val="00F80671"/>
    <w:rsid w:val="00F8092C"/>
    <w:rsid w:val="00F81211"/>
    <w:rsid w:val="00F8245F"/>
    <w:rsid w:val="00F8291D"/>
    <w:rsid w:val="00F839B8"/>
    <w:rsid w:val="00F84A9F"/>
    <w:rsid w:val="00F87EE2"/>
    <w:rsid w:val="00F9102E"/>
    <w:rsid w:val="00F9149E"/>
    <w:rsid w:val="00F915C9"/>
    <w:rsid w:val="00F919D7"/>
    <w:rsid w:val="00F92AC8"/>
    <w:rsid w:val="00F92D48"/>
    <w:rsid w:val="00F92E2A"/>
    <w:rsid w:val="00F93095"/>
    <w:rsid w:val="00F931ED"/>
    <w:rsid w:val="00F939FA"/>
    <w:rsid w:val="00F94228"/>
    <w:rsid w:val="00F9635B"/>
    <w:rsid w:val="00F966CC"/>
    <w:rsid w:val="00F96E5E"/>
    <w:rsid w:val="00F97574"/>
    <w:rsid w:val="00F975FE"/>
    <w:rsid w:val="00FA02F8"/>
    <w:rsid w:val="00FA3471"/>
    <w:rsid w:val="00FA697D"/>
    <w:rsid w:val="00FA77F3"/>
    <w:rsid w:val="00FA79D8"/>
    <w:rsid w:val="00FB0E60"/>
    <w:rsid w:val="00FB22D0"/>
    <w:rsid w:val="00FB317A"/>
    <w:rsid w:val="00FB4266"/>
    <w:rsid w:val="00FB4282"/>
    <w:rsid w:val="00FB643B"/>
    <w:rsid w:val="00FB6731"/>
    <w:rsid w:val="00FB6D09"/>
    <w:rsid w:val="00FC1413"/>
    <w:rsid w:val="00FC192D"/>
    <w:rsid w:val="00FC4645"/>
    <w:rsid w:val="00FC57A8"/>
    <w:rsid w:val="00FC5ED9"/>
    <w:rsid w:val="00FC6765"/>
    <w:rsid w:val="00FC723A"/>
    <w:rsid w:val="00FD0204"/>
    <w:rsid w:val="00FD0840"/>
    <w:rsid w:val="00FD48B6"/>
    <w:rsid w:val="00FD4A49"/>
    <w:rsid w:val="00FD6384"/>
    <w:rsid w:val="00FD71CF"/>
    <w:rsid w:val="00FE09F2"/>
    <w:rsid w:val="00FE0B94"/>
    <w:rsid w:val="00FE0DFF"/>
    <w:rsid w:val="00FE13AD"/>
    <w:rsid w:val="00FE1FA6"/>
    <w:rsid w:val="00FE1FB9"/>
    <w:rsid w:val="00FE26F1"/>
    <w:rsid w:val="00FE2C3F"/>
    <w:rsid w:val="00FE4560"/>
    <w:rsid w:val="00FE5038"/>
    <w:rsid w:val="00FE77EB"/>
    <w:rsid w:val="00FE7FAB"/>
    <w:rsid w:val="00FF038E"/>
    <w:rsid w:val="00FF1A74"/>
    <w:rsid w:val="00FF2C26"/>
    <w:rsid w:val="00FF2EDD"/>
    <w:rsid w:val="00FF31F8"/>
    <w:rsid w:val="00FF3BE8"/>
    <w:rsid w:val="00FF5822"/>
    <w:rsid w:val="00FF5889"/>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EndnoteText">
    <w:name w:val="endnote text"/>
    <w:basedOn w:val="Normal"/>
    <w:link w:val="EndnoteTextChar"/>
    <w:rsid w:val="00794FB9"/>
    <w:rPr>
      <w:sz w:val="20"/>
      <w:szCs w:val="20"/>
    </w:rPr>
  </w:style>
  <w:style w:type="character" w:customStyle="1" w:styleId="EndnoteTextChar">
    <w:name w:val="Endnote Text Char"/>
    <w:basedOn w:val="DefaultParagraphFont"/>
    <w:link w:val="EndnoteText"/>
    <w:rsid w:val="00794FB9"/>
  </w:style>
  <w:style w:type="character" w:styleId="EndnoteReference">
    <w:name w:val="endnote reference"/>
    <w:basedOn w:val="DefaultParagraphFont"/>
    <w:rsid w:val="00794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1003625078">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B67C-7210-4EBA-8BBE-7A462674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8555</Words>
  <Characters>48769</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57210</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4</cp:revision>
  <cp:lastPrinted>2013-04-04T15:27:00Z</cp:lastPrinted>
  <dcterms:created xsi:type="dcterms:W3CDTF">2013-04-03T19:40:00Z</dcterms:created>
  <dcterms:modified xsi:type="dcterms:W3CDTF">2013-04-04T15:27:00Z</dcterms:modified>
</cp:coreProperties>
</file>