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ED79A0">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ED79A0">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ED79A0">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ED79A0">
      <w:pPr>
        <w:widowControl/>
        <w:tabs>
          <w:tab w:val="left" w:pos="-720"/>
        </w:tabs>
        <w:suppressAutoHyphens/>
        <w:rPr>
          <w:sz w:val="26"/>
          <w:szCs w:val="26"/>
        </w:rPr>
      </w:pPr>
    </w:p>
    <w:p w:rsidR="00F514FB" w:rsidRPr="00F514FB" w:rsidRDefault="00F514FB" w:rsidP="00ED79A0">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ED79A0">
            <w:pPr>
              <w:widowControl/>
              <w:rPr>
                <w:sz w:val="26"/>
                <w:szCs w:val="26"/>
              </w:rPr>
            </w:pPr>
          </w:p>
        </w:tc>
        <w:tc>
          <w:tcPr>
            <w:tcW w:w="4428" w:type="dxa"/>
          </w:tcPr>
          <w:p w:rsidR="00F514FB" w:rsidRPr="00F514FB" w:rsidRDefault="00F514FB" w:rsidP="00ED79A0">
            <w:pPr>
              <w:widowControl/>
              <w:jc w:val="right"/>
              <w:rPr>
                <w:sz w:val="26"/>
                <w:szCs w:val="26"/>
              </w:rPr>
            </w:pPr>
            <w:r w:rsidRPr="00F514FB">
              <w:rPr>
                <w:sz w:val="26"/>
                <w:szCs w:val="26"/>
              </w:rPr>
              <w:t>Public Meeting held</w:t>
            </w:r>
            <w:r w:rsidR="001A4B31">
              <w:rPr>
                <w:sz w:val="26"/>
                <w:szCs w:val="26"/>
              </w:rPr>
              <w:t xml:space="preserve"> </w:t>
            </w:r>
            <w:r w:rsidR="00DE74A1">
              <w:rPr>
                <w:sz w:val="26"/>
                <w:szCs w:val="26"/>
              </w:rPr>
              <w:t xml:space="preserve">April </w:t>
            </w:r>
            <w:r w:rsidR="001A4B31">
              <w:rPr>
                <w:sz w:val="26"/>
                <w:szCs w:val="26"/>
              </w:rPr>
              <w:t>4, 2013</w:t>
            </w:r>
          </w:p>
          <w:p w:rsidR="00F514FB" w:rsidRPr="00F514FB" w:rsidRDefault="00F514FB" w:rsidP="00ED79A0">
            <w:pPr>
              <w:widowControl/>
              <w:jc w:val="right"/>
              <w:rPr>
                <w:sz w:val="26"/>
                <w:szCs w:val="26"/>
              </w:rPr>
            </w:pPr>
          </w:p>
          <w:p w:rsidR="00F514FB" w:rsidRPr="00F514FB" w:rsidRDefault="00F514FB" w:rsidP="00ED79A0">
            <w:pPr>
              <w:widowControl/>
              <w:jc w:val="right"/>
              <w:rPr>
                <w:sz w:val="26"/>
                <w:szCs w:val="26"/>
              </w:rPr>
            </w:pPr>
          </w:p>
        </w:tc>
      </w:tr>
      <w:tr w:rsidR="00F514FB" w:rsidRPr="00F514FB" w:rsidTr="00EC5A98">
        <w:trPr>
          <w:trHeight w:val="2556"/>
        </w:trPr>
        <w:tc>
          <w:tcPr>
            <w:tcW w:w="5058" w:type="dxa"/>
          </w:tcPr>
          <w:p w:rsidR="00F514FB" w:rsidRPr="00F514FB" w:rsidRDefault="00F514FB" w:rsidP="00ED79A0">
            <w:pPr>
              <w:widowControl/>
              <w:rPr>
                <w:sz w:val="26"/>
                <w:szCs w:val="26"/>
              </w:rPr>
            </w:pPr>
            <w:r w:rsidRPr="00F514FB">
              <w:rPr>
                <w:sz w:val="26"/>
                <w:szCs w:val="26"/>
              </w:rPr>
              <w:t>Commissioners Present:</w:t>
            </w:r>
          </w:p>
          <w:p w:rsidR="00F514FB" w:rsidRPr="00F514FB" w:rsidRDefault="00F514FB" w:rsidP="00ED79A0">
            <w:pPr>
              <w:widowControl/>
              <w:rPr>
                <w:sz w:val="26"/>
                <w:szCs w:val="26"/>
              </w:rPr>
            </w:pPr>
          </w:p>
          <w:p w:rsidR="00F514FB" w:rsidRPr="00F514FB" w:rsidRDefault="00F514FB" w:rsidP="00ED79A0">
            <w:pPr>
              <w:widowControl/>
              <w:tabs>
                <w:tab w:val="left" w:pos="705"/>
              </w:tabs>
              <w:ind w:firstLine="720"/>
              <w:rPr>
                <w:sz w:val="26"/>
                <w:szCs w:val="26"/>
              </w:rPr>
            </w:pPr>
            <w:r w:rsidRPr="00F514FB">
              <w:rPr>
                <w:sz w:val="26"/>
                <w:szCs w:val="26"/>
              </w:rPr>
              <w:t>Robert F. Powelson, Chairman</w:t>
            </w:r>
          </w:p>
          <w:p w:rsidR="00F514FB" w:rsidRPr="00F514FB" w:rsidRDefault="00F514FB" w:rsidP="00ED79A0">
            <w:pPr>
              <w:widowControl/>
              <w:tabs>
                <w:tab w:val="left" w:pos="705"/>
              </w:tabs>
              <w:ind w:firstLine="720"/>
              <w:rPr>
                <w:sz w:val="26"/>
                <w:szCs w:val="26"/>
              </w:rPr>
            </w:pPr>
            <w:r w:rsidRPr="00F514FB">
              <w:rPr>
                <w:sz w:val="26"/>
                <w:szCs w:val="26"/>
              </w:rPr>
              <w:t>John F. Coleman, Jr., Vice Chairman</w:t>
            </w:r>
          </w:p>
          <w:p w:rsidR="00F514FB" w:rsidRPr="00F514FB" w:rsidRDefault="00F514FB" w:rsidP="00ED79A0">
            <w:pPr>
              <w:widowControl/>
              <w:tabs>
                <w:tab w:val="left" w:pos="705"/>
              </w:tabs>
              <w:ind w:firstLine="720"/>
              <w:rPr>
                <w:sz w:val="26"/>
                <w:szCs w:val="26"/>
              </w:rPr>
            </w:pPr>
            <w:r w:rsidRPr="00F514FB">
              <w:rPr>
                <w:sz w:val="26"/>
                <w:szCs w:val="26"/>
              </w:rPr>
              <w:t>Wayne E. Gardner</w:t>
            </w:r>
          </w:p>
          <w:p w:rsidR="00F514FB" w:rsidRPr="00F514FB" w:rsidRDefault="00F514FB" w:rsidP="00ED79A0">
            <w:pPr>
              <w:widowControl/>
              <w:tabs>
                <w:tab w:val="left" w:pos="705"/>
              </w:tabs>
              <w:ind w:firstLine="720"/>
              <w:rPr>
                <w:sz w:val="26"/>
                <w:szCs w:val="26"/>
              </w:rPr>
            </w:pPr>
            <w:r w:rsidRPr="00F514FB">
              <w:rPr>
                <w:sz w:val="26"/>
                <w:szCs w:val="26"/>
              </w:rPr>
              <w:t>James H. Cawley</w:t>
            </w:r>
          </w:p>
          <w:p w:rsidR="00F514FB" w:rsidRPr="00F514FB" w:rsidRDefault="00F514FB" w:rsidP="00ED79A0">
            <w:pPr>
              <w:widowControl/>
              <w:tabs>
                <w:tab w:val="left" w:pos="705"/>
              </w:tabs>
              <w:ind w:firstLine="720"/>
              <w:rPr>
                <w:sz w:val="26"/>
                <w:szCs w:val="26"/>
              </w:rPr>
            </w:pPr>
            <w:r w:rsidRPr="00F514FB">
              <w:rPr>
                <w:sz w:val="26"/>
                <w:szCs w:val="26"/>
              </w:rPr>
              <w:t>Pamela A. Witmer</w:t>
            </w:r>
          </w:p>
          <w:p w:rsidR="00F514FB" w:rsidRPr="00F514FB" w:rsidRDefault="00F514FB" w:rsidP="00ED79A0">
            <w:pPr>
              <w:widowControl/>
              <w:rPr>
                <w:sz w:val="26"/>
                <w:szCs w:val="26"/>
              </w:rPr>
            </w:pPr>
          </w:p>
          <w:p w:rsidR="00F514FB" w:rsidRPr="00F514FB" w:rsidRDefault="00F514FB" w:rsidP="00ED79A0">
            <w:pPr>
              <w:widowControl/>
              <w:rPr>
                <w:sz w:val="26"/>
                <w:szCs w:val="26"/>
              </w:rPr>
            </w:pPr>
          </w:p>
        </w:tc>
        <w:tc>
          <w:tcPr>
            <w:tcW w:w="4428" w:type="dxa"/>
          </w:tcPr>
          <w:p w:rsidR="00F514FB" w:rsidRPr="00F514FB" w:rsidRDefault="00F514FB" w:rsidP="00ED79A0">
            <w:pPr>
              <w:widowControl/>
              <w:jc w:val="right"/>
              <w:rPr>
                <w:sz w:val="26"/>
                <w:szCs w:val="26"/>
              </w:rPr>
            </w:pPr>
          </w:p>
          <w:p w:rsidR="00F514FB" w:rsidRPr="00F514FB" w:rsidRDefault="00F514FB" w:rsidP="00ED79A0">
            <w:pPr>
              <w:widowControl/>
              <w:jc w:val="right"/>
              <w:rPr>
                <w:sz w:val="26"/>
                <w:szCs w:val="26"/>
              </w:rPr>
            </w:pPr>
          </w:p>
        </w:tc>
      </w:tr>
      <w:tr w:rsidR="00F514FB" w:rsidRPr="00F514FB" w:rsidTr="00DE25AC">
        <w:tc>
          <w:tcPr>
            <w:tcW w:w="5058" w:type="dxa"/>
          </w:tcPr>
          <w:p w:rsidR="00EC5A98" w:rsidRPr="00F514FB" w:rsidRDefault="00EC5A98" w:rsidP="00E304F2">
            <w:pPr>
              <w:widowControl/>
              <w:rPr>
                <w:sz w:val="26"/>
                <w:szCs w:val="26"/>
              </w:rPr>
            </w:pPr>
            <w:r>
              <w:rPr>
                <w:sz w:val="26"/>
                <w:szCs w:val="26"/>
              </w:rPr>
              <w:t>Petition of PECO Energy Company for</w:t>
            </w:r>
            <w:r w:rsidR="00E304F2">
              <w:rPr>
                <w:sz w:val="26"/>
                <w:szCs w:val="26"/>
              </w:rPr>
              <w:t xml:space="preserve"> </w:t>
            </w:r>
            <w:r>
              <w:rPr>
                <w:sz w:val="26"/>
                <w:szCs w:val="26"/>
              </w:rPr>
              <w:t>Approval of its Default Service Program</w:t>
            </w:r>
            <w:r w:rsidR="00543607">
              <w:rPr>
                <w:sz w:val="26"/>
                <w:szCs w:val="26"/>
              </w:rPr>
              <w:t xml:space="preserve"> II</w:t>
            </w:r>
          </w:p>
        </w:tc>
        <w:tc>
          <w:tcPr>
            <w:tcW w:w="4428" w:type="dxa"/>
          </w:tcPr>
          <w:p w:rsidR="004462CD" w:rsidRPr="00F514FB" w:rsidRDefault="004462CD" w:rsidP="004462CD">
            <w:pPr>
              <w:widowControl/>
              <w:jc w:val="right"/>
              <w:rPr>
                <w:sz w:val="26"/>
                <w:szCs w:val="26"/>
              </w:rPr>
            </w:pPr>
            <w:r>
              <w:rPr>
                <w:sz w:val="26"/>
                <w:szCs w:val="26"/>
              </w:rPr>
              <w:t>P-2012-2283641</w:t>
            </w:r>
          </w:p>
        </w:tc>
      </w:tr>
      <w:tr w:rsidR="00F514FB" w:rsidRPr="00F514FB" w:rsidTr="00DE25AC">
        <w:tc>
          <w:tcPr>
            <w:tcW w:w="5058" w:type="dxa"/>
          </w:tcPr>
          <w:p w:rsidR="00F514FB" w:rsidRPr="00F514FB" w:rsidRDefault="00F514FB" w:rsidP="00ED79A0">
            <w:pPr>
              <w:widowControl/>
              <w:ind w:firstLine="1440"/>
              <w:rPr>
                <w:sz w:val="26"/>
                <w:szCs w:val="26"/>
              </w:rPr>
            </w:pPr>
          </w:p>
        </w:tc>
        <w:tc>
          <w:tcPr>
            <w:tcW w:w="4428" w:type="dxa"/>
          </w:tcPr>
          <w:p w:rsidR="00F514FB" w:rsidRPr="00F514FB" w:rsidRDefault="00F514FB" w:rsidP="00ED79A0">
            <w:pPr>
              <w:widowControl/>
              <w:rPr>
                <w:sz w:val="26"/>
                <w:szCs w:val="26"/>
              </w:rPr>
            </w:pPr>
          </w:p>
        </w:tc>
      </w:tr>
      <w:tr w:rsidR="00F514FB" w:rsidRPr="00F514FB" w:rsidTr="004050B0">
        <w:tc>
          <w:tcPr>
            <w:tcW w:w="5058" w:type="dxa"/>
          </w:tcPr>
          <w:p w:rsidR="00EC5A98" w:rsidRDefault="00EC5A98" w:rsidP="00EC5A98">
            <w:pPr>
              <w:widowControl/>
              <w:rPr>
                <w:sz w:val="26"/>
                <w:szCs w:val="26"/>
              </w:rPr>
            </w:pPr>
            <w:r>
              <w:rPr>
                <w:sz w:val="26"/>
                <w:szCs w:val="26"/>
              </w:rPr>
              <w:t>Joint Petition of Metropolitan Edison      Company, Pennsylvania Electric Company,</w:t>
            </w:r>
          </w:p>
          <w:p w:rsidR="00EC5A98" w:rsidRDefault="00EC5A98" w:rsidP="00EC5A98">
            <w:pPr>
              <w:widowControl/>
              <w:rPr>
                <w:sz w:val="26"/>
                <w:szCs w:val="26"/>
              </w:rPr>
            </w:pPr>
            <w:r>
              <w:rPr>
                <w:sz w:val="26"/>
                <w:szCs w:val="26"/>
              </w:rPr>
              <w:t>Pennsylvania Power Company and</w:t>
            </w:r>
          </w:p>
          <w:p w:rsidR="00EC5A98" w:rsidRDefault="00EC5A98" w:rsidP="00EC5A98">
            <w:pPr>
              <w:widowControl/>
              <w:rPr>
                <w:sz w:val="26"/>
                <w:szCs w:val="26"/>
              </w:rPr>
            </w:pPr>
            <w:r>
              <w:rPr>
                <w:sz w:val="26"/>
                <w:szCs w:val="26"/>
              </w:rPr>
              <w:t>West Penn Power Company for Approval of</w:t>
            </w:r>
          </w:p>
          <w:p w:rsidR="00EC5A98" w:rsidRDefault="00EC5A98" w:rsidP="00EC5A98">
            <w:pPr>
              <w:widowControl/>
              <w:rPr>
                <w:sz w:val="26"/>
                <w:szCs w:val="26"/>
              </w:rPr>
            </w:pPr>
            <w:r>
              <w:rPr>
                <w:sz w:val="26"/>
                <w:szCs w:val="26"/>
              </w:rPr>
              <w:t>Their Default Service Programs</w:t>
            </w:r>
          </w:p>
          <w:p w:rsidR="00F45B0D" w:rsidRDefault="00F45B0D" w:rsidP="00EC5A98">
            <w:pPr>
              <w:widowControl/>
              <w:rPr>
                <w:sz w:val="26"/>
                <w:szCs w:val="26"/>
              </w:rPr>
            </w:pPr>
          </w:p>
          <w:p w:rsidR="00F45B0D" w:rsidRDefault="00543607" w:rsidP="00EC5A98">
            <w:pPr>
              <w:widowControl/>
              <w:rPr>
                <w:sz w:val="26"/>
                <w:szCs w:val="26"/>
              </w:rPr>
            </w:pPr>
            <w:r>
              <w:rPr>
                <w:sz w:val="26"/>
                <w:szCs w:val="26"/>
              </w:rPr>
              <w:t>Petition of PPL Electric Utilities Corporation</w:t>
            </w:r>
          </w:p>
          <w:p w:rsidR="00543607" w:rsidRDefault="00543607" w:rsidP="00EC5A98">
            <w:pPr>
              <w:widowControl/>
              <w:rPr>
                <w:sz w:val="26"/>
                <w:szCs w:val="26"/>
              </w:rPr>
            </w:pPr>
            <w:r>
              <w:rPr>
                <w:sz w:val="26"/>
                <w:szCs w:val="26"/>
              </w:rPr>
              <w:t>for Approval of a Default Service Program</w:t>
            </w:r>
          </w:p>
          <w:p w:rsidR="00543607" w:rsidRDefault="00543607" w:rsidP="00EC5A98">
            <w:pPr>
              <w:widowControl/>
              <w:rPr>
                <w:sz w:val="26"/>
                <w:szCs w:val="26"/>
              </w:rPr>
            </w:pPr>
            <w:r>
              <w:rPr>
                <w:sz w:val="26"/>
                <w:szCs w:val="26"/>
              </w:rPr>
              <w:t>and Procurement Plan</w:t>
            </w:r>
          </w:p>
          <w:p w:rsidR="00543607" w:rsidRDefault="00543607" w:rsidP="00EC5A98">
            <w:pPr>
              <w:widowControl/>
              <w:rPr>
                <w:sz w:val="26"/>
                <w:szCs w:val="26"/>
              </w:rPr>
            </w:pPr>
          </w:p>
          <w:p w:rsidR="00543607" w:rsidRDefault="00543607" w:rsidP="00EC5A98">
            <w:pPr>
              <w:widowControl/>
              <w:rPr>
                <w:sz w:val="26"/>
                <w:szCs w:val="26"/>
              </w:rPr>
            </w:pPr>
            <w:r>
              <w:rPr>
                <w:sz w:val="26"/>
                <w:szCs w:val="26"/>
              </w:rPr>
              <w:t>Petition of Duquesne Light Company</w:t>
            </w:r>
          </w:p>
          <w:p w:rsidR="00543607" w:rsidRDefault="00543607" w:rsidP="00EC5A98">
            <w:pPr>
              <w:widowControl/>
              <w:rPr>
                <w:sz w:val="26"/>
                <w:szCs w:val="26"/>
              </w:rPr>
            </w:pPr>
            <w:r>
              <w:rPr>
                <w:sz w:val="26"/>
                <w:szCs w:val="26"/>
              </w:rPr>
              <w:t>For Approval of a Default Service Program</w:t>
            </w:r>
          </w:p>
          <w:p w:rsidR="00543607" w:rsidRDefault="00543607" w:rsidP="00EC5A98">
            <w:pPr>
              <w:widowControl/>
              <w:rPr>
                <w:sz w:val="26"/>
                <w:szCs w:val="26"/>
              </w:rPr>
            </w:pPr>
            <w:r>
              <w:rPr>
                <w:sz w:val="26"/>
                <w:szCs w:val="26"/>
              </w:rPr>
              <w:t>And Procurement Plan for the Period</w:t>
            </w:r>
          </w:p>
          <w:p w:rsidR="00543607" w:rsidRDefault="00543607" w:rsidP="00EC5A98">
            <w:pPr>
              <w:widowControl/>
              <w:rPr>
                <w:sz w:val="26"/>
                <w:szCs w:val="26"/>
              </w:rPr>
            </w:pPr>
            <w:r>
              <w:rPr>
                <w:sz w:val="26"/>
                <w:szCs w:val="26"/>
              </w:rPr>
              <w:t>June 1, 2013 through May 31, 2015</w:t>
            </w:r>
          </w:p>
          <w:p w:rsidR="00543607" w:rsidRDefault="00543607" w:rsidP="00EC5A98">
            <w:pPr>
              <w:widowControl/>
              <w:rPr>
                <w:sz w:val="26"/>
                <w:szCs w:val="26"/>
              </w:rPr>
            </w:pPr>
          </w:p>
          <w:p w:rsidR="00543607" w:rsidRPr="00F514FB" w:rsidRDefault="00543607" w:rsidP="00EC5A98">
            <w:pPr>
              <w:widowControl/>
              <w:rPr>
                <w:sz w:val="26"/>
                <w:szCs w:val="26"/>
              </w:rPr>
            </w:pPr>
          </w:p>
        </w:tc>
        <w:tc>
          <w:tcPr>
            <w:tcW w:w="4428" w:type="dxa"/>
          </w:tcPr>
          <w:p w:rsidR="00EC5A98" w:rsidRDefault="00EC5A98" w:rsidP="000A356E">
            <w:pPr>
              <w:widowControl/>
              <w:ind w:right="-90"/>
              <w:jc w:val="right"/>
              <w:rPr>
                <w:sz w:val="26"/>
                <w:szCs w:val="26"/>
              </w:rPr>
            </w:pPr>
            <w:r>
              <w:rPr>
                <w:sz w:val="26"/>
                <w:szCs w:val="26"/>
              </w:rPr>
              <w:t xml:space="preserve">                                      P-2011-2273650</w:t>
            </w:r>
          </w:p>
          <w:p w:rsidR="00EC5A98" w:rsidRDefault="00FC178F" w:rsidP="000A356E">
            <w:pPr>
              <w:tabs>
                <w:tab w:val="left" w:pos="2502"/>
              </w:tabs>
              <w:ind w:right="-90"/>
              <w:jc w:val="right"/>
              <w:rPr>
                <w:sz w:val="26"/>
                <w:szCs w:val="26"/>
              </w:rPr>
            </w:pPr>
            <w:r>
              <w:rPr>
                <w:sz w:val="26"/>
                <w:szCs w:val="26"/>
              </w:rPr>
              <w:t xml:space="preserve">                                      </w:t>
            </w:r>
            <w:r w:rsidR="00EC5A98">
              <w:rPr>
                <w:sz w:val="26"/>
                <w:szCs w:val="26"/>
              </w:rPr>
              <w:t>P-2011-2273668</w:t>
            </w:r>
          </w:p>
          <w:p w:rsidR="00EC5A98" w:rsidRDefault="00EC5A98" w:rsidP="000A356E">
            <w:pPr>
              <w:ind w:right="-90"/>
              <w:jc w:val="right"/>
              <w:rPr>
                <w:sz w:val="26"/>
                <w:szCs w:val="26"/>
              </w:rPr>
            </w:pPr>
            <w:r>
              <w:rPr>
                <w:sz w:val="26"/>
                <w:szCs w:val="26"/>
              </w:rPr>
              <w:t xml:space="preserve">                          </w:t>
            </w:r>
            <w:r w:rsidR="00FC178F">
              <w:rPr>
                <w:sz w:val="26"/>
                <w:szCs w:val="26"/>
              </w:rPr>
              <w:t xml:space="preserve">            </w:t>
            </w:r>
            <w:r>
              <w:rPr>
                <w:sz w:val="26"/>
                <w:szCs w:val="26"/>
              </w:rPr>
              <w:t>P-2011-2273669</w:t>
            </w:r>
          </w:p>
          <w:p w:rsidR="00543607" w:rsidRDefault="00EC5A98" w:rsidP="000A356E">
            <w:pPr>
              <w:ind w:right="-90"/>
              <w:jc w:val="right"/>
              <w:rPr>
                <w:sz w:val="26"/>
                <w:szCs w:val="26"/>
              </w:rPr>
            </w:pPr>
            <w:r>
              <w:rPr>
                <w:sz w:val="26"/>
                <w:szCs w:val="26"/>
              </w:rPr>
              <w:t xml:space="preserve">         </w:t>
            </w:r>
            <w:r w:rsidR="00FC178F">
              <w:rPr>
                <w:sz w:val="26"/>
                <w:szCs w:val="26"/>
              </w:rPr>
              <w:t xml:space="preserve">                             </w:t>
            </w:r>
            <w:r>
              <w:rPr>
                <w:sz w:val="26"/>
                <w:szCs w:val="26"/>
              </w:rPr>
              <w:t>P-2011-2273670</w:t>
            </w:r>
          </w:p>
          <w:p w:rsidR="00543607" w:rsidRPr="00543607" w:rsidRDefault="00543607" w:rsidP="000A356E">
            <w:pPr>
              <w:jc w:val="right"/>
              <w:rPr>
                <w:sz w:val="26"/>
                <w:szCs w:val="26"/>
              </w:rPr>
            </w:pPr>
          </w:p>
          <w:p w:rsidR="00543607" w:rsidRDefault="00543607" w:rsidP="000A356E">
            <w:pPr>
              <w:jc w:val="right"/>
              <w:rPr>
                <w:sz w:val="26"/>
                <w:szCs w:val="26"/>
              </w:rPr>
            </w:pPr>
          </w:p>
          <w:p w:rsidR="00543607" w:rsidRDefault="00543607" w:rsidP="000A356E">
            <w:pPr>
              <w:ind w:right="-90"/>
              <w:jc w:val="right"/>
              <w:rPr>
                <w:sz w:val="26"/>
                <w:szCs w:val="26"/>
              </w:rPr>
            </w:pPr>
            <w:r>
              <w:rPr>
                <w:sz w:val="26"/>
                <w:szCs w:val="26"/>
              </w:rPr>
              <w:t xml:space="preserve">       </w:t>
            </w:r>
            <w:r w:rsidR="00FC178F">
              <w:rPr>
                <w:sz w:val="26"/>
                <w:szCs w:val="26"/>
              </w:rPr>
              <w:t xml:space="preserve">                               </w:t>
            </w:r>
            <w:r>
              <w:rPr>
                <w:sz w:val="26"/>
                <w:szCs w:val="26"/>
              </w:rPr>
              <w:t xml:space="preserve">P-2012-2302074 </w:t>
            </w:r>
          </w:p>
          <w:p w:rsidR="00543607" w:rsidRPr="00543607" w:rsidRDefault="00543607" w:rsidP="000A356E">
            <w:pPr>
              <w:jc w:val="right"/>
              <w:rPr>
                <w:sz w:val="26"/>
                <w:szCs w:val="26"/>
              </w:rPr>
            </w:pPr>
          </w:p>
          <w:p w:rsidR="00543607" w:rsidRPr="00543607" w:rsidRDefault="00543607" w:rsidP="000A356E">
            <w:pPr>
              <w:jc w:val="right"/>
              <w:rPr>
                <w:sz w:val="26"/>
                <w:szCs w:val="26"/>
              </w:rPr>
            </w:pPr>
          </w:p>
          <w:p w:rsidR="00543607" w:rsidRDefault="00543607" w:rsidP="000A356E">
            <w:pPr>
              <w:jc w:val="right"/>
              <w:rPr>
                <w:sz w:val="26"/>
                <w:szCs w:val="26"/>
              </w:rPr>
            </w:pPr>
          </w:p>
          <w:p w:rsidR="00F514FB" w:rsidRPr="00543607" w:rsidRDefault="00FC178F" w:rsidP="000A356E">
            <w:pPr>
              <w:tabs>
                <w:tab w:val="left" w:pos="2661"/>
              </w:tabs>
              <w:ind w:right="-90"/>
              <w:jc w:val="right"/>
              <w:rPr>
                <w:sz w:val="26"/>
                <w:szCs w:val="26"/>
              </w:rPr>
            </w:pPr>
            <w:r>
              <w:rPr>
                <w:sz w:val="26"/>
                <w:szCs w:val="26"/>
              </w:rPr>
              <w:t xml:space="preserve">                                       </w:t>
            </w:r>
            <w:r w:rsidR="00543607">
              <w:rPr>
                <w:sz w:val="26"/>
                <w:szCs w:val="26"/>
              </w:rPr>
              <w:t>P-2012-</w:t>
            </w:r>
            <w:r w:rsidR="00614933">
              <w:rPr>
                <w:sz w:val="26"/>
                <w:szCs w:val="26"/>
              </w:rPr>
              <w:t>2</w:t>
            </w:r>
            <w:r w:rsidR="00543607">
              <w:rPr>
                <w:sz w:val="26"/>
                <w:szCs w:val="26"/>
              </w:rPr>
              <w:t>301664</w:t>
            </w:r>
          </w:p>
        </w:tc>
      </w:tr>
    </w:tbl>
    <w:p w:rsidR="00F514FB" w:rsidRPr="00F514FB" w:rsidRDefault="00F514FB" w:rsidP="00ED79A0">
      <w:pPr>
        <w:widowControl/>
        <w:rPr>
          <w:sz w:val="26"/>
          <w:szCs w:val="26"/>
        </w:rPr>
      </w:pPr>
    </w:p>
    <w:p w:rsidR="00F514FB" w:rsidRPr="00F514FB" w:rsidRDefault="00F514FB" w:rsidP="00ED79A0">
      <w:pPr>
        <w:widowControl/>
        <w:rPr>
          <w:sz w:val="26"/>
          <w:szCs w:val="26"/>
        </w:rPr>
      </w:pPr>
    </w:p>
    <w:p w:rsidR="00F514FB" w:rsidRPr="00F514FB" w:rsidRDefault="00DE74A1" w:rsidP="00BB0C3A">
      <w:pPr>
        <w:widowControl/>
        <w:jc w:val="center"/>
        <w:rPr>
          <w:b/>
          <w:sz w:val="26"/>
          <w:szCs w:val="26"/>
        </w:rPr>
      </w:pPr>
      <w:r>
        <w:rPr>
          <w:b/>
          <w:sz w:val="26"/>
          <w:szCs w:val="26"/>
        </w:rPr>
        <w:t xml:space="preserve">FINAL </w:t>
      </w:r>
      <w:r w:rsidR="00F514FB" w:rsidRPr="00F514FB">
        <w:rPr>
          <w:b/>
          <w:sz w:val="26"/>
          <w:szCs w:val="26"/>
        </w:rPr>
        <w:t>ORDER</w:t>
      </w:r>
      <w:r w:rsidR="00BB0C3A">
        <w:rPr>
          <w:b/>
          <w:sz w:val="26"/>
          <w:szCs w:val="26"/>
        </w:rPr>
        <w:t xml:space="preserve"> ON RECONSIDERATION</w:t>
      </w:r>
    </w:p>
    <w:p w:rsidR="00F514FB" w:rsidRPr="00F514FB" w:rsidRDefault="00F514FB" w:rsidP="00BB0C3A">
      <w:pPr>
        <w:widowControl/>
        <w:jc w:val="center"/>
        <w:rPr>
          <w:b/>
          <w:sz w:val="26"/>
          <w:szCs w:val="26"/>
        </w:rPr>
      </w:pPr>
    </w:p>
    <w:p w:rsidR="00F514FB" w:rsidRPr="00F514FB" w:rsidRDefault="00F514FB" w:rsidP="00BB0C3A">
      <w:pPr>
        <w:widowControl/>
        <w:jc w:val="center"/>
        <w:rPr>
          <w:b/>
          <w:sz w:val="26"/>
          <w:szCs w:val="26"/>
        </w:rPr>
      </w:pPr>
    </w:p>
    <w:p w:rsidR="00F514FB" w:rsidRPr="00F514FB" w:rsidRDefault="00F514FB" w:rsidP="00BE4415">
      <w:pPr>
        <w:keepNext/>
        <w:keepLines/>
        <w:widowControl/>
        <w:rPr>
          <w:b/>
          <w:sz w:val="26"/>
          <w:szCs w:val="26"/>
        </w:rPr>
      </w:pPr>
      <w:r w:rsidRPr="00F514FB">
        <w:rPr>
          <w:b/>
          <w:sz w:val="26"/>
          <w:szCs w:val="26"/>
        </w:rPr>
        <w:lastRenderedPageBreak/>
        <w:t>BY THE COMMISSION:</w:t>
      </w:r>
    </w:p>
    <w:p w:rsidR="00F514FB" w:rsidRPr="00F514FB" w:rsidRDefault="00F514FB" w:rsidP="00BE4415">
      <w:pPr>
        <w:keepNext/>
        <w:keepLines/>
        <w:widowControl/>
        <w:rPr>
          <w:sz w:val="26"/>
          <w:szCs w:val="26"/>
        </w:rPr>
      </w:pPr>
    </w:p>
    <w:p w:rsidR="00F514FB" w:rsidRPr="00F514FB" w:rsidRDefault="00F514FB" w:rsidP="00BE4415">
      <w:pPr>
        <w:keepNext/>
        <w:keepLines/>
        <w:widowControl/>
        <w:rPr>
          <w:sz w:val="26"/>
          <w:szCs w:val="26"/>
        </w:rPr>
      </w:pPr>
    </w:p>
    <w:p w:rsidR="00251E07" w:rsidRDefault="005D6F8B" w:rsidP="00BE4415">
      <w:pPr>
        <w:keepNext/>
        <w:keepLines/>
        <w:widowControl/>
        <w:spacing w:line="360" w:lineRule="auto"/>
        <w:rPr>
          <w:sz w:val="26"/>
          <w:szCs w:val="26"/>
        </w:rPr>
      </w:pPr>
      <w:r>
        <w:rPr>
          <w:sz w:val="26"/>
          <w:szCs w:val="26"/>
        </w:rPr>
        <w:tab/>
      </w:r>
      <w:r w:rsidR="000A356E">
        <w:rPr>
          <w:sz w:val="26"/>
          <w:szCs w:val="26"/>
        </w:rPr>
        <w:tab/>
      </w:r>
      <w:r w:rsidR="00BE4415">
        <w:rPr>
          <w:sz w:val="26"/>
          <w:szCs w:val="26"/>
        </w:rPr>
        <w:t>By Tentative Order entered March 14, 2013 (Tentative Order), the Public Utility Commission (Commission) provided notice of its intent to reconsider the issue of the implementation of Retail Opt-In (ROI) Programs in each of the above-captioned default service proceedings.</w:t>
      </w:r>
      <w:r w:rsidR="00BE4415">
        <w:rPr>
          <w:rStyle w:val="FootnoteReference"/>
          <w:sz w:val="26"/>
          <w:szCs w:val="26"/>
        </w:rPr>
        <w:footnoteReference w:id="1"/>
      </w:r>
      <w:r w:rsidR="00BE4415">
        <w:rPr>
          <w:sz w:val="26"/>
          <w:szCs w:val="26"/>
        </w:rPr>
        <w:t xml:space="preserve">  We noted that i</w:t>
      </w:r>
      <w:r w:rsidR="00F90343">
        <w:rPr>
          <w:sz w:val="26"/>
          <w:szCs w:val="26"/>
        </w:rPr>
        <w:t xml:space="preserve">n each of these proceedings, the Commission directed the </w:t>
      </w:r>
      <w:r w:rsidR="00BB0C3A">
        <w:rPr>
          <w:sz w:val="26"/>
          <w:szCs w:val="26"/>
        </w:rPr>
        <w:t xml:space="preserve">petitioning </w:t>
      </w:r>
      <w:r w:rsidR="00F90343">
        <w:rPr>
          <w:sz w:val="26"/>
          <w:szCs w:val="26"/>
        </w:rPr>
        <w:t xml:space="preserve">electric distribution company (EDC) to implement a ROI </w:t>
      </w:r>
      <w:r w:rsidR="00537EB7">
        <w:rPr>
          <w:sz w:val="26"/>
          <w:szCs w:val="26"/>
        </w:rPr>
        <w:t xml:space="preserve">Program </w:t>
      </w:r>
      <w:r w:rsidR="00F90343">
        <w:rPr>
          <w:sz w:val="26"/>
          <w:szCs w:val="26"/>
        </w:rPr>
        <w:t xml:space="preserve">for residential and small </w:t>
      </w:r>
      <w:r w:rsidR="005D1C22">
        <w:rPr>
          <w:sz w:val="26"/>
          <w:szCs w:val="26"/>
        </w:rPr>
        <w:t>commercial and industrial</w:t>
      </w:r>
      <w:r w:rsidR="00F90343">
        <w:rPr>
          <w:sz w:val="26"/>
          <w:szCs w:val="26"/>
        </w:rPr>
        <w:t xml:space="preserve"> customers.  The ROI </w:t>
      </w:r>
      <w:r w:rsidR="00DF4BEA">
        <w:rPr>
          <w:sz w:val="26"/>
          <w:szCs w:val="26"/>
        </w:rPr>
        <w:t xml:space="preserve">Program </w:t>
      </w:r>
      <w:r w:rsidR="00F90343">
        <w:rPr>
          <w:sz w:val="26"/>
          <w:szCs w:val="26"/>
        </w:rPr>
        <w:t>was required to provide a four-month discount from the EDC’s price to compare</w:t>
      </w:r>
      <w:r w:rsidR="00BB0C3A">
        <w:rPr>
          <w:sz w:val="26"/>
          <w:szCs w:val="26"/>
        </w:rPr>
        <w:t xml:space="preserve"> (PTC)</w:t>
      </w:r>
      <w:r w:rsidR="00F90343">
        <w:rPr>
          <w:sz w:val="26"/>
          <w:szCs w:val="26"/>
        </w:rPr>
        <w:t>, followed by an eight-month fixed price offer by participating electric generation suppliers</w:t>
      </w:r>
      <w:r w:rsidR="00251E07">
        <w:rPr>
          <w:sz w:val="26"/>
          <w:szCs w:val="26"/>
        </w:rPr>
        <w:t>.  Customers who remained in the program for the first four months would receive a fifty dollar bonus.  There would be no penalty for leaving the ROI</w:t>
      </w:r>
      <w:r w:rsidR="00DF4BEA">
        <w:rPr>
          <w:sz w:val="26"/>
          <w:szCs w:val="26"/>
        </w:rPr>
        <w:t xml:space="preserve"> Program</w:t>
      </w:r>
      <w:r w:rsidR="00251E07">
        <w:rPr>
          <w:sz w:val="26"/>
          <w:szCs w:val="26"/>
        </w:rPr>
        <w:t xml:space="preserve"> at any time.</w:t>
      </w:r>
      <w:r w:rsidR="00BE4415">
        <w:rPr>
          <w:sz w:val="26"/>
          <w:szCs w:val="26"/>
        </w:rPr>
        <w:t xml:space="preserve">  Tentative Order at </w:t>
      </w:r>
      <w:r w:rsidR="00F83ECE">
        <w:rPr>
          <w:sz w:val="26"/>
          <w:szCs w:val="26"/>
        </w:rPr>
        <w:t>2</w:t>
      </w:r>
      <w:r w:rsidR="00BE4415">
        <w:rPr>
          <w:sz w:val="26"/>
          <w:szCs w:val="26"/>
        </w:rPr>
        <w:t>.</w:t>
      </w:r>
      <w:r w:rsidR="00251E07">
        <w:rPr>
          <w:sz w:val="26"/>
          <w:szCs w:val="26"/>
        </w:rPr>
        <w:t xml:space="preserve">  </w:t>
      </w:r>
    </w:p>
    <w:p w:rsidR="005D6F8B" w:rsidRDefault="005D6F8B" w:rsidP="00BE4415">
      <w:pPr>
        <w:keepNext/>
        <w:keepLines/>
        <w:widowControl/>
        <w:spacing w:line="360" w:lineRule="auto"/>
        <w:rPr>
          <w:sz w:val="26"/>
          <w:szCs w:val="26"/>
        </w:rPr>
      </w:pPr>
    </w:p>
    <w:p w:rsidR="005D6F8B" w:rsidRDefault="005D6F8B" w:rsidP="00BE4415">
      <w:pPr>
        <w:widowControl/>
        <w:spacing w:line="360" w:lineRule="auto"/>
        <w:rPr>
          <w:sz w:val="26"/>
          <w:szCs w:val="26"/>
        </w:rPr>
      </w:pPr>
      <w:r>
        <w:rPr>
          <w:sz w:val="26"/>
          <w:szCs w:val="26"/>
        </w:rPr>
        <w:tab/>
      </w:r>
      <w:r w:rsidR="000A356E">
        <w:rPr>
          <w:sz w:val="26"/>
          <w:szCs w:val="26"/>
        </w:rPr>
        <w:tab/>
      </w:r>
      <w:r w:rsidR="00BE4415">
        <w:rPr>
          <w:sz w:val="26"/>
          <w:szCs w:val="26"/>
        </w:rPr>
        <w:t>We also noted that, i</w:t>
      </w:r>
      <w:r w:rsidR="00251E07">
        <w:rPr>
          <w:sz w:val="26"/>
          <w:szCs w:val="26"/>
        </w:rPr>
        <w:t xml:space="preserve">n addition to the </w:t>
      </w:r>
      <w:r w:rsidR="00BB0C3A">
        <w:rPr>
          <w:sz w:val="26"/>
          <w:szCs w:val="26"/>
        </w:rPr>
        <w:t xml:space="preserve">directed </w:t>
      </w:r>
      <w:r w:rsidR="00251E07">
        <w:rPr>
          <w:sz w:val="26"/>
          <w:szCs w:val="26"/>
        </w:rPr>
        <w:t>ROI</w:t>
      </w:r>
      <w:r w:rsidR="00D56933">
        <w:rPr>
          <w:sz w:val="26"/>
          <w:szCs w:val="26"/>
        </w:rPr>
        <w:t xml:space="preserve"> </w:t>
      </w:r>
      <w:r w:rsidR="00DF4BEA">
        <w:rPr>
          <w:sz w:val="26"/>
          <w:szCs w:val="26"/>
        </w:rPr>
        <w:t>P</w:t>
      </w:r>
      <w:r w:rsidR="00D56933">
        <w:rPr>
          <w:sz w:val="26"/>
          <w:szCs w:val="26"/>
        </w:rPr>
        <w:t>rogram</w:t>
      </w:r>
      <w:r w:rsidR="00251E07">
        <w:rPr>
          <w:sz w:val="26"/>
          <w:szCs w:val="26"/>
        </w:rPr>
        <w:t xml:space="preserve">, we directed each of the </w:t>
      </w:r>
      <w:r w:rsidR="00BB0C3A">
        <w:rPr>
          <w:sz w:val="26"/>
          <w:szCs w:val="26"/>
        </w:rPr>
        <w:t xml:space="preserve">affected </w:t>
      </w:r>
      <w:r w:rsidR="00251E07">
        <w:rPr>
          <w:sz w:val="26"/>
          <w:szCs w:val="26"/>
        </w:rPr>
        <w:t xml:space="preserve">EDCs to implement a </w:t>
      </w:r>
      <w:r w:rsidR="00BB0C3A">
        <w:rPr>
          <w:sz w:val="26"/>
          <w:szCs w:val="26"/>
        </w:rPr>
        <w:t xml:space="preserve">Standard Offer Referral Program </w:t>
      </w:r>
      <w:r w:rsidR="005D1C22">
        <w:rPr>
          <w:sz w:val="26"/>
          <w:szCs w:val="26"/>
        </w:rPr>
        <w:t xml:space="preserve">for residential and small commercial and industrial customers.  The Standard Offer Referral Program also provided a discount from the EDC’s PTC for a twelve-month term.  In each of these proceedings, the EDC was directed </w:t>
      </w:r>
      <w:r w:rsidR="007A4C9B">
        <w:rPr>
          <w:sz w:val="26"/>
          <w:szCs w:val="26"/>
        </w:rPr>
        <w:t xml:space="preserve">to stagger </w:t>
      </w:r>
      <w:r w:rsidR="005D1C22">
        <w:rPr>
          <w:sz w:val="26"/>
          <w:szCs w:val="26"/>
        </w:rPr>
        <w:t>implement</w:t>
      </w:r>
      <w:r w:rsidR="007A4C9B">
        <w:rPr>
          <w:sz w:val="26"/>
          <w:szCs w:val="26"/>
        </w:rPr>
        <w:t>ation of</w:t>
      </w:r>
      <w:r w:rsidR="005D1C22">
        <w:rPr>
          <w:sz w:val="26"/>
          <w:szCs w:val="26"/>
        </w:rPr>
        <w:t xml:space="preserve"> the ROI and the Standard Offer Program</w:t>
      </w:r>
      <w:r w:rsidR="007A4C9B">
        <w:rPr>
          <w:sz w:val="26"/>
          <w:szCs w:val="26"/>
        </w:rPr>
        <w:t>s</w:t>
      </w:r>
      <w:r w:rsidR="005D1C22">
        <w:rPr>
          <w:sz w:val="26"/>
          <w:szCs w:val="26"/>
        </w:rPr>
        <w:t xml:space="preserve"> </w:t>
      </w:r>
      <w:r w:rsidR="00BB0C3A">
        <w:rPr>
          <w:sz w:val="26"/>
          <w:szCs w:val="26"/>
        </w:rPr>
        <w:t>on or before specific date</w:t>
      </w:r>
      <w:r w:rsidR="001003B6">
        <w:rPr>
          <w:sz w:val="26"/>
          <w:szCs w:val="26"/>
        </w:rPr>
        <w:t>s</w:t>
      </w:r>
      <w:r w:rsidR="00BB0C3A">
        <w:rPr>
          <w:sz w:val="26"/>
          <w:szCs w:val="26"/>
        </w:rPr>
        <w:t xml:space="preserve">, </w:t>
      </w:r>
      <w:r w:rsidR="007A4C9B">
        <w:rPr>
          <w:sz w:val="26"/>
          <w:szCs w:val="26"/>
        </w:rPr>
        <w:t>approximately</w:t>
      </w:r>
      <w:r w:rsidR="001003B6">
        <w:rPr>
          <w:sz w:val="26"/>
          <w:szCs w:val="26"/>
        </w:rPr>
        <w:t xml:space="preserve"> one month apart</w:t>
      </w:r>
      <w:r w:rsidR="005D1C22">
        <w:rPr>
          <w:sz w:val="26"/>
          <w:szCs w:val="26"/>
        </w:rPr>
        <w:t>.</w:t>
      </w:r>
      <w:r w:rsidR="00BE4415">
        <w:rPr>
          <w:sz w:val="26"/>
          <w:szCs w:val="26"/>
        </w:rPr>
        <w:t xml:space="preserve">  Tentative Order at </w:t>
      </w:r>
      <w:r w:rsidR="00F83ECE">
        <w:rPr>
          <w:sz w:val="26"/>
          <w:szCs w:val="26"/>
        </w:rPr>
        <w:t>2</w:t>
      </w:r>
      <w:r w:rsidR="00BE4415">
        <w:rPr>
          <w:sz w:val="26"/>
          <w:szCs w:val="26"/>
        </w:rPr>
        <w:t>.</w:t>
      </w:r>
      <w:r w:rsidR="005D1C22">
        <w:rPr>
          <w:sz w:val="26"/>
          <w:szCs w:val="26"/>
        </w:rPr>
        <w:t xml:space="preserve">  </w:t>
      </w:r>
    </w:p>
    <w:p w:rsidR="005D6F8B" w:rsidRDefault="005D6F8B" w:rsidP="00BE4415">
      <w:pPr>
        <w:widowControl/>
        <w:spacing w:line="360" w:lineRule="auto"/>
        <w:rPr>
          <w:sz w:val="26"/>
          <w:szCs w:val="26"/>
        </w:rPr>
      </w:pPr>
    </w:p>
    <w:p w:rsidR="00BE4415" w:rsidRDefault="005D6F8B" w:rsidP="00BE4415">
      <w:pPr>
        <w:widowControl/>
        <w:spacing w:line="360" w:lineRule="auto"/>
        <w:rPr>
          <w:sz w:val="26"/>
          <w:szCs w:val="26"/>
        </w:rPr>
      </w:pPr>
      <w:r>
        <w:rPr>
          <w:sz w:val="26"/>
          <w:szCs w:val="26"/>
        </w:rPr>
        <w:tab/>
      </w:r>
      <w:r w:rsidR="000A356E">
        <w:rPr>
          <w:sz w:val="26"/>
          <w:szCs w:val="26"/>
        </w:rPr>
        <w:tab/>
      </w:r>
      <w:r w:rsidR="00BE4415">
        <w:rPr>
          <w:sz w:val="26"/>
          <w:szCs w:val="26"/>
        </w:rPr>
        <w:t xml:space="preserve">After describing the ROI and Standard Offer Programs, we expressed our concern regarding the implementation timelines of the two programs for each EDC and the potential for customer confusion about the two programs.  We stated:  </w:t>
      </w:r>
    </w:p>
    <w:p w:rsidR="000A356E" w:rsidRDefault="000A356E" w:rsidP="00BE4415">
      <w:pPr>
        <w:widowControl/>
        <w:spacing w:line="360" w:lineRule="auto"/>
        <w:rPr>
          <w:sz w:val="26"/>
          <w:szCs w:val="26"/>
        </w:rPr>
      </w:pPr>
    </w:p>
    <w:p w:rsidR="0028052B" w:rsidRDefault="0028052B" w:rsidP="00BE4415">
      <w:pPr>
        <w:widowControl/>
        <w:ind w:left="1440" w:right="1440"/>
        <w:rPr>
          <w:sz w:val="26"/>
          <w:szCs w:val="26"/>
        </w:rPr>
      </w:pPr>
      <w:r>
        <w:rPr>
          <w:sz w:val="26"/>
          <w:szCs w:val="26"/>
        </w:rPr>
        <w:lastRenderedPageBreak/>
        <w:t xml:space="preserve">The ROI </w:t>
      </w:r>
      <w:r w:rsidR="00EA4B65">
        <w:rPr>
          <w:sz w:val="26"/>
          <w:szCs w:val="26"/>
        </w:rPr>
        <w:t>Program</w:t>
      </w:r>
      <w:r>
        <w:rPr>
          <w:sz w:val="26"/>
          <w:szCs w:val="26"/>
        </w:rPr>
        <w:t xml:space="preserve"> discussed in each of these proceedings is expected to provide residential and small commercial and industrial customers with appropriate incentives to participat</w:t>
      </w:r>
      <w:r w:rsidR="00304ECB">
        <w:rPr>
          <w:sz w:val="26"/>
          <w:szCs w:val="26"/>
        </w:rPr>
        <w:t>e</w:t>
      </w:r>
      <w:r>
        <w:rPr>
          <w:sz w:val="26"/>
          <w:szCs w:val="26"/>
        </w:rPr>
        <w:t xml:space="preserve"> in Pennsylvania’s retail electricity market and provide a positive shopping experienc</w:t>
      </w:r>
      <w:r w:rsidR="005D6F8B">
        <w:rPr>
          <w:sz w:val="26"/>
          <w:szCs w:val="26"/>
        </w:rPr>
        <w:t xml:space="preserve">e.  The Standard Offer </w:t>
      </w:r>
      <w:r>
        <w:rPr>
          <w:sz w:val="26"/>
          <w:szCs w:val="26"/>
        </w:rPr>
        <w:t xml:space="preserve">Referral Program was designed with the same objective, although that program’s structure is </w:t>
      </w:r>
      <w:r w:rsidR="00614933">
        <w:rPr>
          <w:sz w:val="26"/>
          <w:szCs w:val="26"/>
        </w:rPr>
        <w:t>somewhat</w:t>
      </w:r>
      <w:r>
        <w:rPr>
          <w:sz w:val="26"/>
          <w:szCs w:val="26"/>
        </w:rPr>
        <w:t xml:space="preserve"> different.  </w:t>
      </w:r>
      <w:r w:rsidR="007757C2">
        <w:rPr>
          <w:sz w:val="26"/>
          <w:szCs w:val="26"/>
        </w:rPr>
        <w:t>W</w:t>
      </w:r>
      <w:r>
        <w:rPr>
          <w:sz w:val="26"/>
          <w:szCs w:val="26"/>
        </w:rPr>
        <w:t xml:space="preserve">e are concerned that implementation of the ROI </w:t>
      </w:r>
      <w:r w:rsidR="007A4C9B">
        <w:rPr>
          <w:sz w:val="26"/>
          <w:szCs w:val="26"/>
        </w:rPr>
        <w:t xml:space="preserve">Program </w:t>
      </w:r>
      <w:r w:rsidR="00614933">
        <w:rPr>
          <w:sz w:val="26"/>
          <w:szCs w:val="26"/>
        </w:rPr>
        <w:t xml:space="preserve">so close in time to the implementation of </w:t>
      </w:r>
      <w:r>
        <w:rPr>
          <w:sz w:val="26"/>
          <w:szCs w:val="26"/>
        </w:rPr>
        <w:t>the Standard Offer Referral Program may result in confusion for customers</w:t>
      </w:r>
      <w:r w:rsidR="00304ECB">
        <w:rPr>
          <w:sz w:val="26"/>
          <w:szCs w:val="26"/>
        </w:rPr>
        <w:t>.</w:t>
      </w:r>
      <w:r>
        <w:rPr>
          <w:sz w:val="26"/>
          <w:szCs w:val="26"/>
        </w:rPr>
        <w:t xml:space="preserve"> </w:t>
      </w:r>
      <w:r w:rsidR="00304ECB">
        <w:rPr>
          <w:sz w:val="26"/>
          <w:szCs w:val="26"/>
        </w:rPr>
        <w:t xml:space="preserve">  </w:t>
      </w:r>
    </w:p>
    <w:p w:rsidR="00F83ECE" w:rsidRDefault="00F83ECE" w:rsidP="00F83ECE">
      <w:pPr>
        <w:widowControl/>
        <w:spacing w:line="360" w:lineRule="auto"/>
        <w:rPr>
          <w:sz w:val="26"/>
          <w:szCs w:val="26"/>
        </w:rPr>
      </w:pPr>
    </w:p>
    <w:p w:rsidR="00F83ECE" w:rsidRDefault="00F83ECE" w:rsidP="00F83ECE">
      <w:pPr>
        <w:widowControl/>
        <w:spacing w:line="360" w:lineRule="auto"/>
        <w:rPr>
          <w:sz w:val="26"/>
          <w:szCs w:val="26"/>
        </w:rPr>
      </w:pPr>
      <w:r>
        <w:rPr>
          <w:sz w:val="26"/>
          <w:szCs w:val="26"/>
        </w:rPr>
        <w:t>Tentative Order at 2-3.</w:t>
      </w:r>
    </w:p>
    <w:p w:rsidR="0028052B" w:rsidRDefault="0028052B" w:rsidP="00BE4415">
      <w:pPr>
        <w:widowControl/>
        <w:spacing w:line="360" w:lineRule="auto"/>
        <w:rPr>
          <w:sz w:val="26"/>
          <w:szCs w:val="26"/>
        </w:rPr>
      </w:pPr>
    </w:p>
    <w:p w:rsidR="0028052B" w:rsidRDefault="005D6F8B" w:rsidP="00BE4415">
      <w:pPr>
        <w:widowControl/>
        <w:spacing w:line="360" w:lineRule="auto"/>
        <w:rPr>
          <w:sz w:val="26"/>
          <w:szCs w:val="24"/>
        </w:rPr>
      </w:pPr>
      <w:r>
        <w:rPr>
          <w:sz w:val="26"/>
          <w:szCs w:val="26"/>
        </w:rPr>
        <w:tab/>
      </w:r>
      <w:r w:rsidR="000A356E">
        <w:rPr>
          <w:sz w:val="26"/>
          <w:szCs w:val="26"/>
        </w:rPr>
        <w:tab/>
      </w:r>
      <w:r w:rsidR="0028052B">
        <w:rPr>
          <w:sz w:val="26"/>
          <w:szCs w:val="26"/>
        </w:rPr>
        <w:t>Based on the foregoing concerns</w:t>
      </w:r>
      <w:r>
        <w:rPr>
          <w:sz w:val="26"/>
          <w:szCs w:val="26"/>
        </w:rPr>
        <w:t xml:space="preserve">, we </w:t>
      </w:r>
      <w:r w:rsidR="00F83ECE">
        <w:rPr>
          <w:sz w:val="26"/>
          <w:szCs w:val="26"/>
        </w:rPr>
        <w:t xml:space="preserve">proposed to </w:t>
      </w:r>
      <w:r>
        <w:rPr>
          <w:sz w:val="26"/>
          <w:szCs w:val="26"/>
        </w:rPr>
        <w:t xml:space="preserve">postpone </w:t>
      </w:r>
      <w:r w:rsidR="0028052B">
        <w:rPr>
          <w:sz w:val="26"/>
          <w:szCs w:val="26"/>
        </w:rPr>
        <w:t xml:space="preserve">implementation of the ROI </w:t>
      </w:r>
      <w:r>
        <w:rPr>
          <w:sz w:val="26"/>
          <w:szCs w:val="26"/>
        </w:rPr>
        <w:t xml:space="preserve">Program </w:t>
      </w:r>
      <w:r w:rsidR="0028052B">
        <w:rPr>
          <w:sz w:val="26"/>
          <w:szCs w:val="26"/>
        </w:rPr>
        <w:t xml:space="preserve">in each of the </w:t>
      </w:r>
      <w:r w:rsidR="00B60EB7">
        <w:rPr>
          <w:sz w:val="26"/>
          <w:szCs w:val="26"/>
        </w:rPr>
        <w:t xml:space="preserve">affected </w:t>
      </w:r>
      <w:r w:rsidR="0028052B">
        <w:rPr>
          <w:sz w:val="26"/>
          <w:szCs w:val="26"/>
        </w:rPr>
        <w:t xml:space="preserve">EDC service territories </w:t>
      </w:r>
      <w:r w:rsidR="00F83ECE">
        <w:rPr>
          <w:sz w:val="26"/>
          <w:szCs w:val="26"/>
        </w:rPr>
        <w:t xml:space="preserve">and </w:t>
      </w:r>
      <w:r w:rsidR="0028052B">
        <w:rPr>
          <w:sz w:val="26"/>
          <w:szCs w:val="26"/>
        </w:rPr>
        <w:t xml:space="preserve">to permit the Standard Offer Customer Referral Program to move forward on its own.  </w:t>
      </w:r>
      <w:r w:rsidR="00F83ECE">
        <w:rPr>
          <w:sz w:val="26"/>
          <w:szCs w:val="26"/>
        </w:rPr>
        <w:t xml:space="preserve">We stated that we would </w:t>
      </w:r>
      <w:r>
        <w:rPr>
          <w:sz w:val="26"/>
          <w:szCs w:val="24"/>
        </w:rPr>
        <w:t>revisit the ROI Program</w:t>
      </w:r>
      <w:r w:rsidR="00380334" w:rsidRPr="005D6F8B">
        <w:rPr>
          <w:sz w:val="26"/>
          <w:szCs w:val="24"/>
        </w:rPr>
        <w:t xml:space="preserve"> after we had the opportunity to consider the </w:t>
      </w:r>
      <w:r>
        <w:rPr>
          <w:sz w:val="26"/>
          <w:szCs w:val="24"/>
        </w:rPr>
        <w:t xml:space="preserve">ongoing </w:t>
      </w:r>
      <w:r w:rsidR="00380334" w:rsidRPr="005D6F8B">
        <w:rPr>
          <w:sz w:val="26"/>
          <w:szCs w:val="24"/>
        </w:rPr>
        <w:t>results of the Standard Offer</w:t>
      </w:r>
      <w:r>
        <w:rPr>
          <w:sz w:val="26"/>
          <w:szCs w:val="24"/>
        </w:rPr>
        <w:t xml:space="preserve"> Referral</w:t>
      </w:r>
      <w:r w:rsidR="00380334" w:rsidRPr="005D6F8B">
        <w:rPr>
          <w:sz w:val="26"/>
          <w:szCs w:val="24"/>
        </w:rPr>
        <w:t xml:space="preserve"> Program.  </w:t>
      </w:r>
      <w:r w:rsidR="00F83ECE">
        <w:rPr>
          <w:sz w:val="26"/>
          <w:szCs w:val="24"/>
        </w:rPr>
        <w:t xml:space="preserve">We also directed the affected EDCs to postpone the implementation of their ROI Programs pending the outcome of this reconsideration proceeding.  </w:t>
      </w:r>
      <w:r w:rsidR="008E3182">
        <w:rPr>
          <w:sz w:val="26"/>
          <w:szCs w:val="24"/>
        </w:rPr>
        <w:t xml:space="preserve">The Tentative Order was served on all Parties in the above-captioned default service proceedings and posted on the Commission’s website.  </w:t>
      </w:r>
      <w:r w:rsidR="00F83ECE">
        <w:rPr>
          <w:sz w:val="26"/>
          <w:szCs w:val="24"/>
        </w:rPr>
        <w:t>Tentative Order at 3</w:t>
      </w:r>
      <w:r w:rsidR="008E3182">
        <w:rPr>
          <w:sz w:val="26"/>
          <w:szCs w:val="24"/>
        </w:rPr>
        <w:t>; Ordering Paragraphs 3 and 5</w:t>
      </w:r>
      <w:r w:rsidR="00F83ECE">
        <w:rPr>
          <w:sz w:val="26"/>
          <w:szCs w:val="24"/>
        </w:rPr>
        <w:t xml:space="preserve">.  </w:t>
      </w:r>
    </w:p>
    <w:p w:rsidR="00F83ECE" w:rsidRDefault="00F83ECE" w:rsidP="00BE4415">
      <w:pPr>
        <w:widowControl/>
        <w:spacing w:line="360" w:lineRule="auto"/>
        <w:rPr>
          <w:sz w:val="26"/>
          <w:szCs w:val="24"/>
        </w:rPr>
      </w:pPr>
    </w:p>
    <w:p w:rsidR="00F83ECE" w:rsidRDefault="00F83ECE" w:rsidP="00BE4415">
      <w:pPr>
        <w:widowControl/>
        <w:spacing w:line="360" w:lineRule="auto"/>
        <w:rPr>
          <w:sz w:val="26"/>
          <w:szCs w:val="24"/>
        </w:rPr>
      </w:pPr>
      <w:r>
        <w:rPr>
          <w:sz w:val="26"/>
          <w:szCs w:val="24"/>
        </w:rPr>
        <w:tab/>
      </w:r>
      <w:r w:rsidR="000A356E">
        <w:rPr>
          <w:sz w:val="26"/>
          <w:szCs w:val="24"/>
        </w:rPr>
        <w:tab/>
      </w:r>
      <w:r>
        <w:rPr>
          <w:sz w:val="26"/>
          <w:szCs w:val="24"/>
        </w:rPr>
        <w:t xml:space="preserve">In order to provide an opportunity to be heard, we sought comments on our proposed postponement of the ROI Programs.  Comments were timely filed by the following Parties:  the Office of Consumer Advocate (OCA); the Coalition for Affordable Utility Services and Energy Efficiency in Pennsylvania (CAUSE-PA); PECO Energy Company (PECO); Duquesne Light Company (Duquesne); Metropolitan Edison Company, Pennsylvania Electric Company, Pennsylvania Power Company and West Penn Power (collectively, the FirstEnergy Companies); PPL Electric Utilities Corporation (PPL); Direct Energy Services, LLC (Direct); Interstate Gas Supply, Inc. and Dominion </w:t>
      </w:r>
      <w:r>
        <w:rPr>
          <w:sz w:val="26"/>
          <w:szCs w:val="24"/>
        </w:rPr>
        <w:lastRenderedPageBreak/>
        <w:t>Retail, Inc. (</w:t>
      </w:r>
      <w:r w:rsidR="008E3182">
        <w:rPr>
          <w:sz w:val="26"/>
          <w:szCs w:val="24"/>
        </w:rPr>
        <w:t xml:space="preserve">jointly, Dominion Retail); the Retail Energy Supply Association (RESA); </w:t>
      </w:r>
      <w:r w:rsidR="000A356E">
        <w:rPr>
          <w:sz w:val="26"/>
          <w:szCs w:val="24"/>
        </w:rPr>
        <w:t xml:space="preserve">and </w:t>
      </w:r>
      <w:r w:rsidR="008E3182">
        <w:rPr>
          <w:sz w:val="26"/>
          <w:szCs w:val="24"/>
        </w:rPr>
        <w:t>the Pennsylvania Energy Marketer’s Coalition (PEMC).</w:t>
      </w:r>
    </w:p>
    <w:p w:rsidR="000A356E" w:rsidRDefault="000A356E" w:rsidP="00BE4415">
      <w:pPr>
        <w:widowControl/>
        <w:spacing w:line="360" w:lineRule="auto"/>
        <w:rPr>
          <w:sz w:val="26"/>
          <w:szCs w:val="24"/>
        </w:rPr>
      </w:pPr>
    </w:p>
    <w:p w:rsidR="00F8532C" w:rsidRDefault="00FE1CC4" w:rsidP="00BE4415">
      <w:pPr>
        <w:widowControl/>
        <w:spacing w:line="360" w:lineRule="auto"/>
        <w:rPr>
          <w:sz w:val="26"/>
          <w:szCs w:val="24"/>
        </w:rPr>
      </w:pPr>
      <w:r>
        <w:rPr>
          <w:sz w:val="26"/>
          <w:szCs w:val="24"/>
        </w:rPr>
        <w:tab/>
      </w:r>
      <w:r w:rsidR="000A356E">
        <w:rPr>
          <w:sz w:val="26"/>
          <w:szCs w:val="24"/>
        </w:rPr>
        <w:tab/>
      </w:r>
      <w:r w:rsidR="004E64C0">
        <w:rPr>
          <w:sz w:val="26"/>
          <w:szCs w:val="24"/>
        </w:rPr>
        <w:t xml:space="preserve">Most of the </w:t>
      </w:r>
      <w:r>
        <w:rPr>
          <w:sz w:val="26"/>
          <w:szCs w:val="24"/>
        </w:rPr>
        <w:t xml:space="preserve">Parties filing comments either supported the proposed postponement of the ROI Programs or stated they had no objection to the postponement.  The OCA pointed out that it had raised concerns </w:t>
      </w:r>
      <w:r w:rsidR="00F8532C">
        <w:rPr>
          <w:sz w:val="26"/>
          <w:szCs w:val="24"/>
        </w:rPr>
        <w:t xml:space="preserve">about the potential for customer confusion during the litigation phase of these proceedings.  The OCA stated:  </w:t>
      </w:r>
    </w:p>
    <w:p w:rsidR="000A356E" w:rsidRDefault="000A356E" w:rsidP="00BE4415">
      <w:pPr>
        <w:widowControl/>
        <w:spacing w:line="360" w:lineRule="auto"/>
        <w:rPr>
          <w:sz w:val="26"/>
          <w:szCs w:val="24"/>
        </w:rPr>
      </w:pPr>
    </w:p>
    <w:p w:rsidR="00FE1CC4" w:rsidRDefault="00F8532C" w:rsidP="00F8532C">
      <w:pPr>
        <w:widowControl/>
        <w:ind w:left="1440" w:right="1440"/>
        <w:rPr>
          <w:sz w:val="26"/>
          <w:szCs w:val="26"/>
        </w:rPr>
      </w:pPr>
      <w:r>
        <w:rPr>
          <w:sz w:val="26"/>
          <w:szCs w:val="24"/>
        </w:rPr>
        <w:t xml:space="preserve">While there are other differences between the programs [ROI and Standard Offer Referral Programs], such as the $50 bonus provided under </w:t>
      </w:r>
      <w:r w:rsidR="003911CD">
        <w:rPr>
          <w:sz w:val="26"/>
          <w:szCs w:val="24"/>
        </w:rPr>
        <w:t>the ROI</w:t>
      </w:r>
      <w:r>
        <w:rPr>
          <w:sz w:val="26"/>
          <w:szCs w:val="24"/>
        </w:rPr>
        <w:t xml:space="preserve"> program, the potential exists for significant customer confusion and adverse comparisons between the programs.  The OCA agrees with the Commission that suspending implementation of the ROI and revisiting the program after having the opportunity to consider the results of the Standard Offer Program is reasonable.</w:t>
      </w:r>
    </w:p>
    <w:p w:rsidR="00F8532C" w:rsidRDefault="00F8532C" w:rsidP="00BE4415">
      <w:pPr>
        <w:widowControl/>
        <w:spacing w:line="360" w:lineRule="auto"/>
        <w:rPr>
          <w:sz w:val="26"/>
          <w:szCs w:val="26"/>
        </w:rPr>
      </w:pPr>
    </w:p>
    <w:p w:rsidR="00DA0430" w:rsidRDefault="00F8532C" w:rsidP="00BE4415">
      <w:pPr>
        <w:widowControl/>
        <w:spacing w:line="360" w:lineRule="auto"/>
        <w:rPr>
          <w:sz w:val="26"/>
          <w:szCs w:val="26"/>
        </w:rPr>
      </w:pPr>
      <w:r>
        <w:rPr>
          <w:sz w:val="26"/>
          <w:szCs w:val="26"/>
        </w:rPr>
        <w:t xml:space="preserve">OCA Comments at 2 </w:t>
      </w:r>
      <w:r w:rsidR="009E4315">
        <w:rPr>
          <w:sz w:val="26"/>
          <w:szCs w:val="26"/>
        </w:rPr>
        <w:t>(</w:t>
      </w:r>
      <w:r w:rsidRPr="00980FB5">
        <w:rPr>
          <w:sz w:val="26"/>
          <w:szCs w:val="26"/>
        </w:rPr>
        <w:t>footnote omitted</w:t>
      </w:r>
      <w:r w:rsidR="009E4315">
        <w:rPr>
          <w:sz w:val="26"/>
          <w:szCs w:val="26"/>
        </w:rPr>
        <w:t>)</w:t>
      </w:r>
      <w:r>
        <w:rPr>
          <w:sz w:val="26"/>
          <w:szCs w:val="26"/>
        </w:rPr>
        <w:t>.</w:t>
      </w:r>
    </w:p>
    <w:p w:rsidR="00F8532C" w:rsidRDefault="00F8532C" w:rsidP="00BE4415">
      <w:pPr>
        <w:widowControl/>
        <w:spacing w:line="360" w:lineRule="auto"/>
        <w:rPr>
          <w:sz w:val="26"/>
          <w:szCs w:val="26"/>
        </w:rPr>
      </w:pPr>
    </w:p>
    <w:p w:rsidR="00F8532C" w:rsidRDefault="00F8532C" w:rsidP="00BE4415">
      <w:pPr>
        <w:widowControl/>
        <w:spacing w:line="360" w:lineRule="auto"/>
        <w:rPr>
          <w:sz w:val="26"/>
          <w:szCs w:val="26"/>
        </w:rPr>
      </w:pPr>
      <w:r>
        <w:rPr>
          <w:sz w:val="26"/>
          <w:szCs w:val="26"/>
        </w:rPr>
        <w:tab/>
      </w:r>
      <w:r w:rsidR="000A356E">
        <w:rPr>
          <w:sz w:val="26"/>
          <w:szCs w:val="26"/>
        </w:rPr>
        <w:tab/>
      </w:r>
      <w:r>
        <w:rPr>
          <w:sz w:val="26"/>
          <w:szCs w:val="26"/>
        </w:rPr>
        <w:t>CAUSE-PA also supports postponement of the ROI Program.  CAUSE-PA quoted the testimony of its Witness</w:t>
      </w:r>
      <w:r w:rsidR="005C5FC0">
        <w:rPr>
          <w:sz w:val="26"/>
          <w:szCs w:val="26"/>
        </w:rPr>
        <w:t>,</w:t>
      </w:r>
      <w:r>
        <w:rPr>
          <w:sz w:val="26"/>
          <w:szCs w:val="26"/>
        </w:rPr>
        <w:t xml:space="preserve"> Carol J. Biedrzycki</w:t>
      </w:r>
      <w:r w:rsidR="005C5FC0">
        <w:rPr>
          <w:sz w:val="26"/>
          <w:szCs w:val="26"/>
        </w:rPr>
        <w:t>,</w:t>
      </w:r>
      <w:r>
        <w:rPr>
          <w:sz w:val="26"/>
          <w:szCs w:val="26"/>
        </w:rPr>
        <w:t xml:space="preserve"> presented in the FirstEnergy Companies’ default service proceeding:</w:t>
      </w:r>
    </w:p>
    <w:p w:rsidR="000A356E" w:rsidRDefault="000A356E" w:rsidP="00BE4415">
      <w:pPr>
        <w:widowControl/>
        <w:spacing w:line="360" w:lineRule="auto"/>
        <w:rPr>
          <w:sz w:val="26"/>
          <w:szCs w:val="26"/>
        </w:rPr>
      </w:pPr>
    </w:p>
    <w:p w:rsidR="00F8532C" w:rsidRDefault="00F8532C" w:rsidP="00F8532C">
      <w:pPr>
        <w:widowControl/>
        <w:ind w:left="1440" w:right="1440"/>
        <w:rPr>
          <w:sz w:val="26"/>
          <w:szCs w:val="26"/>
        </w:rPr>
      </w:pPr>
      <w:r>
        <w:rPr>
          <w:sz w:val="26"/>
          <w:szCs w:val="26"/>
        </w:rPr>
        <w:t>Introducing the Customer Referral Program on the heels of the Opt-in Aggregation Program may lead to customer confusion and may have the unintended consequence of turning customers off to the shopping experience.  It is likely that many customers will not appreciate a distinction between the Opt-in Aggregation Program and the Customer Referral Program.</w:t>
      </w:r>
    </w:p>
    <w:p w:rsidR="00F8532C" w:rsidRDefault="00F8532C" w:rsidP="00F8532C">
      <w:pPr>
        <w:widowControl/>
        <w:spacing w:line="360" w:lineRule="auto"/>
        <w:rPr>
          <w:sz w:val="26"/>
          <w:szCs w:val="26"/>
        </w:rPr>
      </w:pPr>
    </w:p>
    <w:p w:rsidR="00F8532C" w:rsidRDefault="009E4315" w:rsidP="00F8532C">
      <w:pPr>
        <w:widowControl/>
        <w:spacing w:line="360" w:lineRule="auto"/>
        <w:rPr>
          <w:sz w:val="26"/>
          <w:szCs w:val="26"/>
        </w:rPr>
      </w:pPr>
      <w:r>
        <w:rPr>
          <w:sz w:val="26"/>
          <w:szCs w:val="26"/>
        </w:rPr>
        <w:t>CAUSE-PA Comments at 1-2</w:t>
      </w:r>
      <w:r w:rsidR="00F8532C">
        <w:rPr>
          <w:sz w:val="26"/>
          <w:szCs w:val="26"/>
        </w:rPr>
        <w:t xml:space="preserve"> </w:t>
      </w:r>
      <w:r>
        <w:rPr>
          <w:sz w:val="26"/>
          <w:szCs w:val="26"/>
        </w:rPr>
        <w:t>(</w:t>
      </w:r>
      <w:r w:rsidR="00F8532C">
        <w:rPr>
          <w:sz w:val="26"/>
          <w:szCs w:val="26"/>
        </w:rPr>
        <w:t>footnote omitted</w:t>
      </w:r>
      <w:r>
        <w:rPr>
          <w:sz w:val="26"/>
          <w:szCs w:val="26"/>
        </w:rPr>
        <w:t>)</w:t>
      </w:r>
      <w:r w:rsidR="00F8532C">
        <w:rPr>
          <w:sz w:val="26"/>
          <w:szCs w:val="26"/>
        </w:rPr>
        <w:t>.</w:t>
      </w:r>
    </w:p>
    <w:p w:rsidR="005C5FC0" w:rsidRDefault="005C5FC0" w:rsidP="00F8532C">
      <w:pPr>
        <w:widowControl/>
        <w:spacing w:line="360" w:lineRule="auto"/>
        <w:rPr>
          <w:sz w:val="26"/>
          <w:szCs w:val="26"/>
        </w:rPr>
      </w:pPr>
    </w:p>
    <w:p w:rsidR="005C5FC0" w:rsidRDefault="005C5FC0" w:rsidP="00F8532C">
      <w:pPr>
        <w:widowControl/>
        <w:spacing w:line="360" w:lineRule="auto"/>
        <w:rPr>
          <w:sz w:val="26"/>
          <w:szCs w:val="26"/>
        </w:rPr>
      </w:pPr>
      <w:r>
        <w:rPr>
          <w:sz w:val="26"/>
          <w:szCs w:val="26"/>
        </w:rPr>
        <w:lastRenderedPageBreak/>
        <w:tab/>
      </w:r>
      <w:r w:rsidR="000A356E">
        <w:rPr>
          <w:sz w:val="26"/>
          <w:szCs w:val="26"/>
        </w:rPr>
        <w:tab/>
      </w:r>
      <w:r>
        <w:rPr>
          <w:sz w:val="26"/>
          <w:szCs w:val="26"/>
        </w:rPr>
        <w:t>The affected EDCs did not oppose the Commission’s proposed postponement of the ROI Program.  The FirstEnergy Companies Comments at 1; Duquesne Light Comments at 2; PECO Comments at 1.  PPL supports the Commission’s proposed postponement and states its concerns regarding the potential for customer confusion.  PPL supports permitting the Standard Offer Referral Program to move forward on its own which may provide the Commission with the opportunity to evaluate the effectiveness of that program before implementing th</w:t>
      </w:r>
      <w:r w:rsidR="000A356E">
        <w:rPr>
          <w:sz w:val="26"/>
          <w:szCs w:val="26"/>
        </w:rPr>
        <w:t>e ROI Program.  PPL Comments at </w:t>
      </w:r>
      <w:r>
        <w:rPr>
          <w:sz w:val="26"/>
          <w:szCs w:val="26"/>
        </w:rPr>
        <w:t>3-4.</w:t>
      </w:r>
    </w:p>
    <w:p w:rsidR="004E64C0" w:rsidRDefault="004E64C0" w:rsidP="00F8532C">
      <w:pPr>
        <w:widowControl/>
        <w:spacing w:line="360" w:lineRule="auto"/>
        <w:rPr>
          <w:sz w:val="26"/>
          <w:szCs w:val="26"/>
        </w:rPr>
      </w:pPr>
    </w:p>
    <w:p w:rsidR="004E64C0" w:rsidRDefault="004E64C0" w:rsidP="00F8532C">
      <w:pPr>
        <w:widowControl/>
        <w:spacing w:line="360" w:lineRule="auto"/>
        <w:rPr>
          <w:sz w:val="26"/>
          <w:szCs w:val="26"/>
        </w:rPr>
      </w:pPr>
      <w:r>
        <w:rPr>
          <w:sz w:val="26"/>
          <w:szCs w:val="26"/>
        </w:rPr>
        <w:tab/>
      </w:r>
      <w:r w:rsidR="000A356E">
        <w:rPr>
          <w:sz w:val="26"/>
          <w:szCs w:val="26"/>
        </w:rPr>
        <w:tab/>
      </w:r>
      <w:r>
        <w:rPr>
          <w:sz w:val="26"/>
          <w:szCs w:val="26"/>
        </w:rPr>
        <w:t xml:space="preserve">Direct, Dominion Retail, RESA and PEMC all suggested that the ROI Program should not be postponed.  Direct expressed the concern that the ROI Program provided substantial savings for customers and, if that Program was delayed, those potential savings would be lost.  Direct Comments at 1.  Direct also argued that the structures of the ROI and the Standard Offer Customer Referral Programs were sufficiently different, and targeted to different types of customer enrollments, that customer confusion would not be a substantial issue.  </w:t>
      </w:r>
      <w:r w:rsidRPr="004E64C0">
        <w:rPr>
          <w:i/>
          <w:sz w:val="26"/>
          <w:szCs w:val="26"/>
        </w:rPr>
        <w:t>Id</w:t>
      </w:r>
      <w:r>
        <w:rPr>
          <w:sz w:val="26"/>
          <w:szCs w:val="26"/>
        </w:rPr>
        <w:t xml:space="preserve">. at 4-5.  </w:t>
      </w:r>
    </w:p>
    <w:p w:rsidR="004E64C0" w:rsidRDefault="004E64C0" w:rsidP="00F8532C">
      <w:pPr>
        <w:widowControl/>
        <w:spacing w:line="360" w:lineRule="auto"/>
        <w:rPr>
          <w:sz w:val="26"/>
          <w:szCs w:val="26"/>
        </w:rPr>
      </w:pPr>
    </w:p>
    <w:p w:rsidR="004E64C0" w:rsidRDefault="004E64C0" w:rsidP="00F8532C">
      <w:pPr>
        <w:widowControl/>
        <w:spacing w:line="360" w:lineRule="auto"/>
        <w:rPr>
          <w:sz w:val="26"/>
          <w:szCs w:val="26"/>
        </w:rPr>
      </w:pPr>
      <w:r>
        <w:rPr>
          <w:sz w:val="26"/>
          <w:szCs w:val="26"/>
        </w:rPr>
        <w:tab/>
      </w:r>
      <w:r w:rsidR="000A356E">
        <w:rPr>
          <w:sz w:val="26"/>
          <w:szCs w:val="26"/>
        </w:rPr>
        <w:tab/>
      </w:r>
      <w:r>
        <w:rPr>
          <w:sz w:val="26"/>
          <w:szCs w:val="26"/>
        </w:rPr>
        <w:t>Rather than postpone the ROI Program, Direct suggested that modifications to the ROI Program could be made that would eliminate customer confusion.  Direct commented that the ROI Program could be</w:t>
      </w:r>
      <w:r w:rsidR="000A356E">
        <w:rPr>
          <w:sz w:val="26"/>
          <w:szCs w:val="26"/>
        </w:rPr>
        <w:t xml:space="preserve"> altered to more closely mirror</w:t>
      </w:r>
      <w:r>
        <w:rPr>
          <w:sz w:val="26"/>
          <w:szCs w:val="26"/>
        </w:rPr>
        <w:t xml:space="preserve"> the Standard Offer Customer Referral Program, thereby eliminating confusion and the potential for different customer experiences </w:t>
      </w:r>
      <w:r w:rsidR="009C7368">
        <w:rPr>
          <w:sz w:val="26"/>
          <w:szCs w:val="26"/>
        </w:rPr>
        <w:t>with</w:t>
      </w:r>
      <w:r>
        <w:rPr>
          <w:sz w:val="26"/>
          <w:szCs w:val="26"/>
        </w:rPr>
        <w:t xml:space="preserve"> the two Programs.  Direct Comments at 5-6.</w:t>
      </w:r>
    </w:p>
    <w:p w:rsidR="004E64C0" w:rsidRDefault="004E64C0" w:rsidP="00F8532C">
      <w:pPr>
        <w:widowControl/>
        <w:spacing w:line="360" w:lineRule="auto"/>
        <w:rPr>
          <w:sz w:val="26"/>
          <w:szCs w:val="26"/>
        </w:rPr>
      </w:pPr>
    </w:p>
    <w:p w:rsidR="004E64C0" w:rsidRDefault="004E64C0" w:rsidP="00F8532C">
      <w:pPr>
        <w:widowControl/>
        <w:spacing w:line="360" w:lineRule="auto"/>
        <w:rPr>
          <w:sz w:val="26"/>
          <w:szCs w:val="26"/>
        </w:rPr>
      </w:pPr>
      <w:r>
        <w:rPr>
          <w:sz w:val="26"/>
          <w:szCs w:val="26"/>
        </w:rPr>
        <w:tab/>
      </w:r>
      <w:r w:rsidR="000A356E">
        <w:rPr>
          <w:sz w:val="26"/>
          <w:szCs w:val="26"/>
        </w:rPr>
        <w:tab/>
      </w:r>
      <w:r w:rsidR="00560DB4">
        <w:rPr>
          <w:sz w:val="26"/>
          <w:szCs w:val="26"/>
        </w:rPr>
        <w:t>Dominion Retail and</w:t>
      </w:r>
      <w:r>
        <w:rPr>
          <w:sz w:val="26"/>
          <w:szCs w:val="26"/>
        </w:rPr>
        <w:t xml:space="preserve"> RESA </w:t>
      </w:r>
      <w:r w:rsidR="00560DB4">
        <w:rPr>
          <w:sz w:val="26"/>
          <w:szCs w:val="26"/>
        </w:rPr>
        <w:t>also</w:t>
      </w:r>
      <w:r>
        <w:rPr>
          <w:sz w:val="26"/>
          <w:szCs w:val="26"/>
        </w:rPr>
        <w:t xml:space="preserve"> proposed modifications to the ROI Program similar to those suggested by Direct in order to minimize or eliminate the potential for customer confusion.  </w:t>
      </w:r>
      <w:r w:rsidR="00560DB4">
        <w:rPr>
          <w:sz w:val="26"/>
          <w:szCs w:val="26"/>
        </w:rPr>
        <w:t xml:space="preserve">Dominion Retail observed that due to the ongoing nature of the Standard Offer Customer Referral Programs, those programs may need to be delayed in order to permit the ROI Program to move forward.  Dominion Retail Comments at 4.  Alternatively, Dominion Retail suggests that any delay in the </w:t>
      </w:r>
      <w:r w:rsidR="00560DB4">
        <w:rPr>
          <w:sz w:val="26"/>
          <w:szCs w:val="26"/>
        </w:rPr>
        <w:lastRenderedPageBreak/>
        <w:t xml:space="preserve">implementation of the ROI Programs could be used to enhance those programs by changing the discount and term of the discount offered to customers.  </w:t>
      </w:r>
      <w:r w:rsidR="00560DB4" w:rsidRPr="00560DB4">
        <w:rPr>
          <w:i/>
          <w:sz w:val="26"/>
          <w:szCs w:val="26"/>
        </w:rPr>
        <w:t>Id</w:t>
      </w:r>
      <w:r w:rsidR="00560DB4">
        <w:rPr>
          <w:sz w:val="26"/>
          <w:szCs w:val="26"/>
        </w:rPr>
        <w:t>. at 5-6.  RESA also suggests that modification of the ROI Program’s term and price offerings could resolve concerns over customer confusion.  RESA Comments at 8-9.  PEMC expresses the concern that postponement of the ROI Programs would represent a “retrenchment” of the Commission’s ongoing desire to foster a more vibrant and robust competitive retail market.  PEMC urges that we retain the ROI Programs in each of the default service plans.  PEMC Comments 3-4.</w:t>
      </w:r>
    </w:p>
    <w:p w:rsidR="00560DB4" w:rsidRDefault="00560DB4" w:rsidP="00F8532C">
      <w:pPr>
        <w:widowControl/>
        <w:spacing w:line="360" w:lineRule="auto"/>
        <w:rPr>
          <w:sz w:val="26"/>
          <w:szCs w:val="26"/>
        </w:rPr>
      </w:pPr>
    </w:p>
    <w:p w:rsidR="005C5FC0" w:rsidRDefault="00560DB4" w:rsidP="00F8532C">
      <w:pPr>
        <w:widowControl/>
        <w:spacing w:line="360" w:lineRule="auto"/>
        <w:rPr>
          <w:sz w:val="26"/>
          <w:szCs w:val="26"/>
        </w:rPr>
      </w:pPr>
      <w:r>
        <w:rPr>
          <w:sz w:val="26"/>
          <w:szCs w:val="26"/>
        </w:rPr>
        <w:tab/>
      </w:r>
      <w:r w:rsidR="000A356E">
        <w:rPr>
          <w:sz w:val="26"/>
          <w:szCs w:val="26"/>
        </w:rPr>
        <w:tab/>
      </w:r>
      <w:r>
        <w:rPr>
          <w:sz w:val="26"/>
          <w:szCs w:val="26"/>
        </w:rPr>
        <w:t xml:space="preserve">At this point in time, we agree with those Parties who have suggested that postponement of the ROI Programs is the better approach as we implement the Standard Offer Customer Referral Program and move forward with additional market improvement efforts.  </w:t>
      </w:r>
      <w:r w:rsidR="0055482A">
        <w:rPr>
          <w:sz w:val="26"/>
          <w:szCs w:val="26"/>
        </w:rPr>
        <w:t>From the onset of the Retail Market Investigation, this Commission has been focused not only on improving market conditions to attract additional service providers and enhanced products for consumers, but primarily on improving the market experience for Pennsylvania electric consumers.  While we are very sensitive to the comments and suggestions offered by Direct, RESA, Dominion Retail and PEMC, our overriding concern remains that the residential and small business customers be provided with a simple and convenient shopping experience.  We find that the simultaneous implementation of both the ROI and Standard Offer Customer Referral Programs present</w:t>
      </w:r>
      <w:r w:rsidR="00BD2FA5">
        <w:rPr>
          <w:sz w:val="26"/>
          <w:szCs w:val="26"/>
        </w:rPr>
        <w:t>s</w:t>
      </w:r>
      <w:r w:rsidR="0055482A">
        <w:rPr>
          <w:sz w:val="26"/>
          <w:szCs w:val="26"/>
        </w:rPr>
        <w:t xml:space="preserve"> concerns </w:t>
      </w:r>
      <w:r w:rsidR="000A356E">
        <w:rPr>
          <w:sz w:val="26"/>
          <w:szCs w:val="26"/>
        </w:rPr>
        <w:t xml:space="preserve">about customer confusion as well as </w:t>
      </w:r>
      <w:r w:rsidR="0055482A">
        <w:rPr>
          <w:sz w:val="26"/>
          <w:szCs w:val="26"/>
        </w:rPr>
        <w:t>EDC implementation.  The suggestions for program modification are intriguing, but they do not resolve the</w:t>
      </w:r>
      <w:r w:rsidR="00BD2FA5">
        <w:rPr>
          <w:sz w:val="26"/>
          <w:szCs w:val="26"/>
        </w:rPr>
        <w:t>se</w:t>
      </w:r>
      <w:r w:rsidR="0055482A">
        <w:rPr>
          <w:sz w:val="26"/>
          <w:szCs w:val="26"/>
        </w:rPr>
        <w:t xml:space="preserve"> concern</w:t>
      </w:r>
      <w:r w:rsidR="00BD2FA5">
        <w:rPr>
          <w:sz w:val="26"/>
          <w:szCs w:val="26"/>
        </w:rPr>
        <w:t>s.</w:t>
      </w:r>
      <w:r w:rsidR="0055482A">
        <w:rPr>
          <w:sz w:val="26"/>
          <w:szCs w:val="26"/>
        </w:rPr>
        <w:t xml:space="preserve"> </w:t>
      </w:r>
    </w:p>
    <w:p w:rsidR="0055766C" w:rsidRDefault="0055766C" w:rsidP="00F8532C">
      <w:pPr>
        <w:widowControl/>
        <w:spacing w:line="360" w:lineRule="auto"/>
        <w:rPr>
          <w:sz w:val="26"/>
          <w:szCs w:val="26"/>
        </w:rPr>
      </w:pPr>
    </w:p>
    <w:p w:rsidR="0055766C" w:rsidRDefault="0055766C" w:rsidP="00F8532C">
      <w:pPr>
        <w:widowControl/>
        <w:spacing w:line="360" w:lineRule="auto"/>
        <w:rPr>
          <w:sz w:val="26"/>
          <w:szCs w:val="26"/>
        </w:rPr>
      </w:pPr>
      <w:r>
        <w:rPr>
          <w:sz w:val="26"/>
          <w:szCs w:val="26"/>
        </w:rPr>
        <w:tab/>
      </w:r>
      <w:r w:rsidR="000A356E">
        <w:rPr>
          <w:sz w:val="26"/>
          <w:szCs w:val="26"/>
        </w:rPr>
        <w:tab/>
      </w:r>
      <w:r>
        <w:rPr>
          <w:sz w:val="26"/>
          <w:szCs w:val="26"/>
        </w:rPr>
        <w:t xml:space="preserve">Based on the foregoing discussion, we will direct the affected EDCs to postpone implementation of the ROI Programs as set forth in their default service plans.  </w:t>
      </w:r>
      <w:r w:rsidR="000B78E4">
        <w:rPr>
          <w:sz w:val="26"/>
          <w:szCs w:val="26"/>
        </w:rPr>
        <w:t xml:space="preserve">By this Order, we modify all schedules and directions relating to the ROI Programs so that any previously directed actions are stopped.  When we revisit the potential for ROI Programs at a future date, we will take into consideration the suggested modifications </w:t>
      </w:r>
      <w:r w:rsidR="000B78E4">
        <w:rPr>
          <w:sz w:val="26"/>
          <w:szCs w:val="26"/>
        </w:rPr>
        <w:lastRenderedPageBreak/>
        <w:t>presented here.  We will also ensure that any implementation schedule will address the timing concerns expressed by the EDCs in their Comments filed in this proceeding.</w:t>
      </w:r>
    </w:p>
    <w:p w:rsidR="005C5FC0" w:rsidRDefault="005C5FC0" w:rsidP="00F8532C">
      <w:pPr>
        <w:widowControl/>
        <w:spacing w:line="360" w:lineRule="auto"/>
        <w:rPr>
          <w:sz w:val="26"/>
          <w:szCs w:val="26"/>
        </w:rPr>
      </w:pPr>
      <w:r>
        <w:rPr>
          <w:sz w:val="26"/>
          <w:szCs w:val="26"/>
        </w:rPr>
        <w:tab/>
      </w:r>
    </w:p>
    <w:p w:rsidR="00CA43A5" w:rsidRPr="00CA43A5" w:rsidRDefault="0028052B" w:rsidP="000A356E">
      <w:pPr>
        <w:widowControl/>
        <w:spacing w:line="360" w:lineRule="auto"/>
        <w:rPr>
          <w:b/>
          <w:sz w:val="26"/>
          <w:szCs w:val="26"/>
        </w:rPr>
      </w:pPr>
      <w:r>
        <w:rPr>
          <w:sz w:val="26"/>
          <w:szCs w:val="26"/>
        </w:rPr>
        <w:t xml:space="preserve"> </w:t>
      </w:r>
      <w:r w:rsidR="00CA43A5" w:rsidRPr="00CA43A5">
        <w:rPr>
          <w:b/>
          <w:sz w:val="26"/>
          <w:szCs w:val="26"/>
        </w:rPr>
        <w:t>Conclusion</w:t>
      </w:r>
      <w:r w:rsidR="000B78E4">
        <w:rPr>
          <w:rStyle w:val="FootnoteReference"/>
          <w:b/>
          <w:sz w:val="26"/>
          <w:szCs w:val="26"/>
        </w:rPr>
        <w:footnoteReference w:id="2"/>
      </w:r>
    </w:p>
    <w:p w:rsidR="00CA43A5" w:rsidRPr="00CA43A5" w:rsidRDefault="00CA43A5" w:rsidP="00BE4415">
      <w:pPr>
        <w:keepNext/>
        <w:keepLines/>
        <w:widowControl/>
        <w:spacing w:line="360" w:lineRule="auto"/>
        <w:ind w:firstLine="1440"/>
        <w:rPr>
          <w:sz w:val="26"/>
          <w:szCs w:val="26"/>
        </w:rPr>
      </w:pPr>
    </w:p>
    <w:p w:rsidR="00CA43A5" w:rsidRPr="00CA43A5" w:rsidRDefault="00CA43A5" w:rsidP="000A356E">
      <w:pPr>
        <w:keepNext/>
        <w:keepLines/>
        <w:widowControl/>
        <w:spacing w:line="360" w:lineRule="auto"/>
        <w:ind w:firstLine="1440"/>
        <w:rPr>
          <w:sz w:val="26"/>
          <w:szCs w:val="26"/>
        </w:rPr>
      </w:pPr>
      <w:r w:rsidRPr="00CA43A5">
        <w:rPr>
          <w:sz w:val="26"/>
          <w:szCs w:val="26"/>
        </w:rPr>
        <w:t>Based upon the foregoing discussion,</w:t>
      </w:r>
      <w:r w:rsidR="00B60EB7">
        <w:rPr>
          <w:sz w:val="26"/>
          <w:szCs w:val="26"/>
        </w:rPr>
        <w:t xml:space="preserve"> we </w:t>
      </w:r>
      <w:r w:rsidR="00DB1FB8">
        <w:rPr>
          <w:sz w:val="26"/>
          <w:szCs w:val="26"/>
        </w:rPr>
        <w:t xml:space="preserve">have </w:t>
      </w:r>
      <w:r w:rsidR="00B60EB7">
        <w:rPr>
          <w:sz w:val="26"/>
          <w:szCs w:val="26"/>
        </w:rPr>
        <w:t>reconsider</w:t>
      </w:r>
      <w:r w:rsidR="00DB1FB8">
        <w:rPr>
          <w:sz w:val="26"/>
          <w:szCs w:val="26"/>
        </w:rPr>
        <w:t>ed</w:t>
      </w:r>
      <w:r w:rsidR="00B60EB7">
        <w:rPr>
          <w:sz w:val="26"/>
          <w:szCs w:val="26"/>
        </w:rPr>
        <w:t xml:space="preserve"> our prior Orders in these proceedings and </w:t>
      </w:r>
      <w:r w:rsidR="001762A1">
        <w:rPr>
          <w:sz w:val="26"/>
          <w:szCs w:val="26"/>
        </w:rPr>
        <w:t xml:space="preserve">we hereby </w:t>
      </w:r>
      <w:r w:rsidR="00B60EB7">
        <w:rPr>
          <w:sz w:val="26"/>
          <w:szCs w:val="26"/>
        </w:rPr>
        <w:t>postpone the implementation of the Retail Opt-In Program</w:t>
      </w:r>
      <w:r w:rsidR="00614933">
        <w:rPr>
          <w:sz w:val="26"/>
          <w:szCs w:val="26"/>
        </w:rPr>
        <w:t>s</w:t>
      </w:r>
      <w:r w:rsidR="00DA3A0A">
        <w:rPr>
          <w:sz w:val="26"/>
          <w:szCs w:val="26"/>
        </w:rPr>
        <w:t xml:space="preserve"> as </w:t>
      </w:r>
      <w:r w:rsidR="00DB1FB8">
        <w:rPr>
          <w:sz w:val="26"/>
          <w:szCs w:val="26"/>
        </w:rPr>
        <w:t>discussed</w:t>
      </w:r>
      <w:r w:rsidR="00DA3A0A">
        <w:rPr>
          <w:sz w:val="26"/>
          <w:szCs w:val="26"/>
        </w:rPr>
        <w:t xml:space="preserve"> above</w:t>
      </w:r>
      <w:r w:rsidR="00B60EB7">
        <w:rPr>
          <w:sz w:val="26"/>
          <w:szCs w:val="26"/>
        </w:rPr>
        <w:t xml:space="preserve">.  </w:t>
      </w:r>
      <w:r w:rsidR="00DB1FB8">
        <w:rPr>
          <w:sz w:val="26"/>
          <w:szCs w:val="26"/>
        </w:rPr>
        <w:t>The affected EDCs are directed to stop all actions relating to the Retail Opt-In Programs and are relieved from all directed implementation deadlines and working groups involving the Retail Opt-In Programs previously directed</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BE4415">
      <w:pPr>
        <w:widowControl/>
        <w:rPr>
          <w:sz w:val="26"/>
          <w:szCs w:val="26"/>
        </w:rPr>
      </w:pPr>
    </w:p>
    <w:p w:rsidR="00A61061" w:rsidRDefault="00CA43A5" w:rsidP="00A61061">
      <w:pPr>
        <w:widowControl/>
        <w:ind w:firstLine="1440"/>
        <w:rPr>
          <w:b/>
          <w:sz w:val="26"/>
          <w:szCs w:val="26"/>
        </w:rPr>
      </w:pPr>
      <w:r w:rsidRPr="00CA43A5">
        <w:rPr>
          <w:b/>
          <w:sz w:val="26"/>
          <w:szCs w:val="26"/>
        </w:rPr>
        <w:t>IT IS ORDERED:</w:t>
      </w:r>
    </w:p>
    <w:p w:rsidR="00A61061" w:rsidRDefault="00A61061" w:rsidP="00A61061">
      <w:pPr>
        <w:widowControl/>
        <w:ind w:firstLine="1440"/>
        <w:rPr>
          <w:b/>
          <w:sz w:val="26"/>
          <w:szCs w:val="26"/>
        </w:rPr>
      </w:pPr>
    </w:p>
    <w:p w:rsidR="00A61061" w:rsidRDefault="00DE5AC0" w:rsidP="00A61061">
      <w:pPr>
        <w:widowControl/>
        <w:spacing w:line="360" w:lineRule="auto"/>
        <w:ind w:firstLine="1440"/>
        <w:rPr>
          <w:sz w:val="26"/>
          <w:szCs w:val="24"/>
        </w:rPr>
      </w:pPr>
      <w:r w:rsidRPr="00DE5AC0">
        <w:rPr>
          <w:sz w:val="26"/>
          <w:szCs w:val="24"/>
        </w:rPr>
        <w:t xml:space="preserve">1.  </w:t>
      </w:r>
      <w:r w:rsidR="000A356E">
        <w:rPr>
          <w:sz w:val="26"/>
          <w:szCs w:val="24"/>
        </w:rPr>
        <w:tab/>
      </w:r>
      <w:r w:rsidRPr="00DE5AC0">
        <w:rPr>
          <w:sz w:val="26"/>
          <w:szCs w:val="24"/>
        </w:rPr>
        <w:t xml:space="preserve">That, pursuant to Section 703(g) of the Public Utility Code, 66 Pa. C.S. § 703(g), the Commission hereby </w:t>
      </w:r>
      <w:r w:rsidR="00DB1FB8">
        <w:rPr>
          <w:sz w:val="26"/>
          <w:szCs w:val="24"/>
        </w:rPr>
        <w:t>r</w:t>
      </w:r>
      <w:r w:rsidRPr="00DE5AC0">
        <w:rPr>
          <w:sz w:val="26"/>
          <w:szCs w:val="24"/>
        </w:rPr>
        <w:t>econsider</w:t>
      </w:r>
      <w:r w:rsidR="00DB1FB8">
        <w:rPr>
          <w:sz w:val="26"/>
          <w:szCs w:val="24"/>
        </w:rPr>
        <w:t>s</w:t>
      </w:r>
      <w:r w:rsidRPr="00DE5AC0">
        <w:rPr>
          <w:sz w:val="26"/>
          <w:szCs w:val="24"/>
        </w:rPr>
        <w:t xml:space="preserve"> the </w:t>
      </w:r>
      <w:r>
        <w:rPr>
          <w:sz w:val="26"/>
          <w:szCs w:val="24"/>
        </w:rPr>
        <w:t>Ord</w:t>
      </w:r>
      <w:r w:rsidR="000A356E">
        <w:rPr>
          <w:sz w:val="26"/>
          <w:szCs w:val="24"/>
        </w:rPr>
        <w:t>ers entered at Docket Numbers P</w:t>
      </w:r>
      <w:r w:rsidR="000A356E">
        <w:rPr>
          <w:sz w:val="26"/>
          <w:szCs w:val="24"/>
        </w:rPr>
        <w:noBreakHyphen/>
      </w:r>
      <w:r>
        <w:rPr>
          <w:sz w:val="26"/>
          <w:szCs w:val="24"/>
        </w:rPr>
        <w:t>2012-2283641; P-2011-2273650; P-2011-2273668; P</w:t>
      </w:r>
      <w:r>
        <w:rPr>
          <w:sz w:val="26"/>
          <w:szCs w:val="24"/>
        </w:rPr>
        <w:noBreakHyphen/>
        <w:t>2011-2273669; P-2011-2273670; P-2012-2302074; and P-2012-</w:t>
      </w:r>
      <w:r w:rsidR="001762A1">
        <w:rPr>
          <w:sz w:val="26"/>
          <w:szCs w:val="24"/>
        </w:rPr>
        <w:t>2</w:t>
      </w:r>
      <w:r>
        <w:rPr>
          <w:sz w:val="26"/>
          <w:szCs w:val="24"/>
        </w:rPr>
        <w:t>301664</w:t>
      </w:r>
      <w:r w:rsidR="007909FE">
        <w:rPr>
          <w:sz w:val="26"/>
          <w:szCs w:val="24"/>
        </w:rPr>
        <w:t>,</w:t>
      </w:r>
      <w:r>
        <w:rPr>
          <w:sz w:val="26"/>
          <w:szCs w:val="24"/>
        </w:rPr>
        <w:t xml:space="preserve"> to the extent that those Orders directed the implementation of a Retail Opt-In Program.</w:t>
      </w:r>
    </w:p>
    <w:p w:rsidR="00A61061" w:rsidRDefault="00A61061" w:rsidP="00A61061">
      <w:pPr>
        <w:widowControl/>
        <w:spacing w:line="360" w:lineRule="auto"/>
        <w:ind w:firstLine="1440"/>
        <w:rPr>
          <w:sz w:val="26"/>
          <w:szCs w:val="24"/>
        </w:rPr>
      </w:pPr>
    </w:p>
    <w:p w:rsidR="00DB1FB8" w:rsidRDefault="00614933" w:rsidP="00A61061">
      <w:pPr>
        <w:widowControl/>
        <w:spacing w:line="360" w:lineRule="auto"/>
        <w:ind w:firstLine="1440"/>
        <w:rPr>
          <w:sz w:val="26"/>
          <w:szCs w:val="24"/>
        </w:rPr>
      </w:pPr>
      <w:r>
        <w:rPr>
          <w:sz w:val="26"/>
          <w:szCs w:val="24"/>
        </w:rPr>
        <w:t xml:space="preserve">2.  </w:t>
      </w:r>
      <w:r w:rsidR="000A356E">
        <w:rPr>
          <w:sz w:val="26"/>
          <w:szCs w:val="24"/>
        </w:rPr>
        <w:tab/>
      </w:r>
      <w:r>
        <w:rPr>
          <w:sz w:val="26"/>
          <w:szCs w:val="24"/>
        </w:rPr>
        <w:t>That PECO Energy Company; Metropolitan Edison Company; Pennsylvania Electric Company; Pennsylvania Power Company; West Penn Power Company; PPL Electric Utilities Corporation; and Duquesne Light Company shall</w:t>
      </w:r>
      <w:r w:rsidR="00DA3A0A" w:rsidRPr="00DA3A0A">
        <w:rPr>
          <w:sz w:val="26"/>
          <w:szCs w:val="26"/>
        </w:rPr>
        <w:t xml:space="preserve"> </w:t>
      </w:r>
      <w:r w:rsidR="00DA3A0A">
        <w:rPr>
          <w:sz w:val="26"/>
          <w:szCs w:val="26"/>
        </w:rPr>
        <w:t>immediately postpone the implementation</w:t>
      </w:r>
      <w:r>
        <w:rPr>
          <w:sz w:val="26"/>
          <w:szCs w:val="24"/>
        </w:rPr>
        <w:t xml:space="preserve"> of their Retail Opt-In Programs as discussed in this Order </w:t>
      </w:r>
      <w:r w:rsidR="00DB1FB8">
        <w:rPr>
          <w:sz w:val="26"/>
          <w:szCs w:val="24"/>
        </w:rPr>
        <w:t>and stop all activities relating to the Retail Opt-In Programs</w:t>
      </w:r>
      <w:r>
        <w:rPr>
          <w:sz w:val="26"/>
          <w:szCs w:val="24"/>
        </w:rPr>
        <w:t>.</w:t>
      </w:r>
    </w:p>
    <w:p w:rsidR="000A356E" w:rsidRDefault="000A356E" w:rsidP="00A61061">
      <w:pPr>
        <w:widowControl/>
        <w:spacing w:line="360" w:lineRule="auto"/>
        <w:ind w:firstLine="1440"/>
        <w:rPr>
          <w:sz w:val="26"/>
          <w:szCs w:val="24"/>
        </w:rPr>
      </w:pPr>
    </w:p>
    <w:p w:rsidR="00DE5AC0" w:rsidRPr="00DE5AC0" w:rsidRDefault="00DB1FB8" w:rsidP="00BE4415">
      <w:pPr>
        <w:keepNext/>
        <w:keepLines/>
        <w:tabs>
          <w:tab w:val="left" w:pos="0"/>
        </w:tabs>
        <w:spacing w:line="360" w:lineRule="auto"/>
        <w:rPr>
          <w:sz w:val="26"/>
          <w:szCs w:val="24"/>
        </w:rPr>
      </w:pPr>
      <w:r>
        <w:rPr>
          <w:sz w:val="26"/>
          <w:szCs w:val="24"/>
        </w:rPr>
        <w:tab/>
      </w:r>
      <w:r>
        <w:rPr>
          <w:sz w:val="26"/>
          <w:szCs w:val="24"/>
        </w:rPr>
        <w:tab/>
        <w:t xml:space="preserve">3.  </w:t>
      </w:r>
      <w:r w:rsidR="000A356E">
        <w:rPr>
          <w:sz w:val="26"/>
          <w:szCs w:val="24"/>
        </w:rPr>
        <w:tab/>
      </w:r>
      <w:r>
        <w:rPr>
          <w:sz w:val="26"/>
          <w:szCs w:val="24"/>
        </w:rPr>
        <w:t>That PECO Energy Company; Metropolitan Edison Company; Pennsylvania Electric Company; Pennsylvania Power Company; West Penn Power Company; PPL Electric Utilities Corporation; and Duquesne Light Company shall submit revisions to their default service plans to the extent necessary to remove the Retail Opt-In Program from those plans within thirty days of the entry of this Order.</w:t>
      </w:r>
      <w:r w:rsidR="00DE5AC0" w:rsidRPr="00DE5AC0">
        <w:rPr>
          <w:sz w:val="26"/>
          <w:szCs w:val="24"/>
        </w:rPr>
        <w:t xml:space="preserve">   </w:t>
      </w:r>
    </w:p>
    <w:p w:rsidR="001F67B0" w:rsidRDefault="001F67B0" w:rsidP="00BE4415">
      <w:pPr>
        <w:widowControl/>
        <w:spacing w:line="360" w:lineRule="auto"/>
        <w:ind w:firstLine="1440"/>
        <w:rPr>
          <w:sz w:val="26"/>
          <w:szCs w:val="26"/>
        </w:rPr>
      </w:pPr>
    </w:p>
    <w:p w:rsidR="00DE5AC0" w:rsidRDefault="00DE5AC0" w:rsidP="00BE4415">
      <w:pPr>
        <w:widowControl/>
        <w:tabs>
          <w:tab w:val="left" w:pos="-720"/>
        </w:tabs>
        <w:suppressAutoHyphens/>
        <w:spacing w:line="360" w:lineRule="auto"/>
        <w:rPr>
          <w:sz w:val="26"/>
          <w:szCs w:val="24"/>
        </w:rPr>
      </w:pPr>
      <w:r w:rsidRPr="00DE5AC0">
        <w:rPr>
          <w:sz w:val="26"/>
          <w:szCs w:val="24"/>
        </w:rPr>
        <w:tab/>
      </w:r>
      <w:r w:rsidRPr="00DE5AC0">
        <w:rPr>
          <w:sz w:val="26"/>
          <w:szCs w:val="24"/>
        </w:rPr>
        <w:tab/>
      </w:r>
      <w:r w:rsidR="000A356E">
        <w:rPr>
          <w:sz w:val="26"/>
          <w:szCs w:val="24"/>
        </w:rPr>
        <w:t>4</w:t>
      </w:r>
      <w:r w:rsidRPr="00DE5AC0">
        <w:rPr>
          <w:sz w:val="26"/>
          <w:szCs w:val="24"/>
        </w:rPr>
        <w:t>.</w:t>
      </w:r>
      <w:r w:rsidR="000A356E">
        <w:rPr>
          <w:sz w:val="26"/>
          <w:szCs w:val="24"/>
        </w:rPr>
        <w:tab/>
      </w:r>
      <w:r w:rsidRPr="00DE5AC0">
        <w:rPr>
          <w:sz w:val="26"/>
          <w:szCs w:val="24"/>
        </w:rPr>
        <w:t xml:space="preserve">That this </w:t>
      </w:r>
      <w:r>
        <w:rPr>
          <w:sz w:val="26"/>
          <w:szCs w:val="24"/>
        </w:rPr>
        <w:t xml:space="preserve">Order </w:t>
      </w:r>
      <w:r w:rsidRPr="00DE5AC0">
        <w:rPr>
          <w:sz w:val="26"/>
          <w:szCs w:val="24"/>
        </w:rPr>
        <w:t xml:space="preserve">shall be served on all </w:t>
      </w:r>
      <w:r>
        <w:rPr>
          <w:sz w:val="26"/>
          <w:szCs w:val="24"/>
        </w:rPr>
        <w:t>Parties to the default service proceedings at the Dockets set forth in Ordering Paragraph N</w:t>
      </w:r>
      <w:r w:rsidR="000A356E">
        <w:rPr>
          <w:sz w:val="26"/>
          <w:szCs w:val="24"/>
        </w:rPr>
        <w:t>o.</w:t>
      </w:r>
      <w:r>
        <w:rPr>
          <w:sz w:val="26"/>
          <w:szCs w:val="24"/>
        </w:rPr>
        <w:t xml:space="preserve"> 1, above.</w:t>
      </w:r>
    </w:p>
    <w:p w:rsidR="00DE5AC0" w:rsidRDefault="00DE5AC0" w:rsidP="00BE4415">
      <w:pPr>
        <w:widowControl/>
        <w:spacing w:line="360" w:lineRule="auto"/>
        <w:ind w:firstLine="1440"/>
        <w:rPr>
          <w:sz w:val="26"/>
          <w:szCs w:val="24"/>
        </w:rPr>
      </w:pPr>
    </w:p>
    <w:p w:rsidR="00DE5AC0" w:rsidRPr="00DE5AC0" w:rsidRDefault="000A356E" w:rsidP="00A61061">
      <w:pPr>
        <w:widowControl/>
        <w:spacing w:line="360" w:lineRule="auto"/>
        <w:ind w:firstLine="1440"/>
        <w:rPr>
          <w:sz w:val="26"/>
          <w:szCs w:val="24"/>
        </w:rPr>
      </w:pPr>
      <w:r>
        <w:rPr>
          <w:sz w:val="26"/>
          <w:szCs w:val="24"/>
        </w:rPr>
        <w:t>5.</w:t>
      </w:r>
      <w:r>
        <w:rPr>
          <w:sz w:val="26"/>
          <w:szCs w:val="24"/>
        </w:rPr>
        <w:tab/>
      </w:r>
      <w:r w:rsidR="00760E28">
        <w:rPr>
          <w:sz w:val="26"/>
          <w:szCs w:val="24"/>
        </w:rPr>
        <w:t xml:space="preserve">That a copy of this </w:t>
      </w:r>
      <w:r w:rsidR="00C64DCD">
        <w:rPr>
          <w:sz w:val="26"/>
          <w:szCs w:val="24"/>
        </w:rPr>
        <w:t>Final</w:t>
      </w:r>
      <w:r w:rsidR="00760E28">
        <w:rPr>
          <w:sz w:val="26"/>
          <w:szCs w:val="24"/>
        </w:rPr>
        <w:t xml:space="preserve"> Order shall be posted on the Commission’s website.</w:t>
      </w:r>
      <w:r w:rsidR="00DE5AC0">
        <w:rPr>
          <w:sz w:val="26"/>
          <w:szCs w:val="24"/>
        </w:rPr>
        <w:tab/>
      </w:r>
    </w:p>
    <w:p w:rsidR="00DE5AC0" w:rsidRDefault="00DE5AC0" w:rsidP="00BE4415">
      <w:pPr>
        <w:widowControl/>
        <w:spacing w:line="360" w:lineRule="auto"/>
        <w:ind w:firstLine="1440"/>
        <w:rPr>
          <w:sz w:val="26"/>
          <w:szCs w:val="26"/>
        </w:rPr>
      </w:pPr>
    </w:p>
    <w:p w:rsidR="00CA43A5" w:rsidRPr="00CA43A5" w:rsidRDefault="000419FA" w:rsidP="00BE4415">
      <w:pPr>
        <w:widowControl/>
        <w:spacing w:line="360" w:lineRule="auto"/>
        <w:ind w:firstLine="1440"/>
        <w:rPr>
          <w:sz w:val="26"/>
          <w:szCs w:val="26"/>
        </w:rPr>
      </w:pPr>
      <w:bookmarkStart w:id="0" w:name="_GoBack"/>
      <w:r>
        <w:rPr>
          <w:noProof/>
        </w:rPr>
        <w:drawing>
          <wp:anchor distT="0" distB="0" distL="114300" distR="114300" simplePos="0" relativeHeight="251659264" behindDoc="1" locked="0" layoutInCell="1" allowOverlap="1" wp14:anchorId="266C51C2" wp14:editId="248943AA">
            <wp:simplePos x="0" y="0"/>
            <wp:positionH relativeFrom="column">
              <wp:posOffset>2943225</wp:posOffset>
            </wp:positionH>
            <wp:positionV relativeFrom="paragraph">
              <wp:posOffset>60325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1F67B0">
        <w:rPr>
          <w:b/>
          <w:sz w:val="26"/>
          <w:szCs w:val="26"/>
        </w:rPr>
        <w:tab/>
      </w:r>
      <w:r w:rsidR="001F67B0">
        <w:rPr>
          <w:b/>
          <w:sz w:val="26"/>
          <w:szCs w:val="26"/>
        </w:rPr>
        <w:tab/>
      </w:r>
      <w:r w:rsidR="001F67B0">
        <w:rPr>
          <w:b/>
          <w:sz w:val="26"/>
          <w:szCs w:val="26"/>
        </w:rPr>
        <w:tab/>
      </w:r>
      <w:r w:rsidR="001F67B0">
        <w:rPr>
          <w:b/>
          <w:sz w:val="26"/>
          <w:szCs w:val="26"/>
        </w:rPr>
        <w:tab/>
      </w:r>
      <w:r w:rsidR="001F67B0">
        <w:rPr>
          <w:b/>
          <w:sz w:val="26"/>
          <w:szCs w:val="26"/>
        </w:rPr>
        <w:tab/>
      </w:r>
      <w:r w:rsidR="00CA43A5" w:rsidRPr="00CA43A5">
        <w:rPr>
          <w:b/>
          <w:sz w:val="26"/>
          <w:szCs w:val="26"/>
        </w:rPr>
        <w:t>BY THE COMMISSION,</w:t>
      </w:r>
    </w:p>
    <w:p w:rsidR="00CA43A5" w:rsidRPr="00CA43A5" w:rsidRDefault="00CA43A5" w:rsidP="00BE4415">
      <w:pPr>
        <w:widowControl/>
        <w:tabs>
          <w:tab w:val="left" w:pos="-720"/>
        </w:tabs>
        <w:rPr>
          <w:sz w:val="26"/>
          <w:szCs w:val="26"/>
        </w:rPr>
      </w:pPr>
    </w:p>
    <w:p w:rsidR="00CA43A5" w:rsidRPr="00CA43A5" w:rsidRDefault="00CA43A5" w:rsidP="00BE4415">
      <w:pPr>
        <w:widowControl/>
        <w:tabs>
          <w:tab w:val="left" w:pos="-720"/>
        </w:tabs>
        <w:rPr>
          <w:sz w:val="26"/>
          <w:szCs w:val="26"/>
        </w:rPr>
      </w:pPr>
    </w:p>
    <w:p w:rsidR="00CA43A5" w:rsidRPr="00CA43A5" w:rsidRDefault="00CA43A5" w:rsidP="00BE4415">
      <w:pPr>
        <w:widowControl/>
        <w:tabs>
          <w:tab w:val="left" w:pos="-720"/>
        </w:tabs>
        <w:rPr>
          <w:sz w:val="26"/>
          <w:szCs w:val="26"/>
        </w:rPr>
      </w:pPr>
    </w:p>
    <w:p w:rsidR="00CA43A5" w:rsidRPr="00CA43A5" w:rsidRDefault="00564565" w:rsidP="00BE4415">
      <w:pPr>
        <w:widowControl/>
        <w:tabs>
          <w:tab w:val="left" w:pos="-720"/>
        </w:tabs>
        <w:ind w:firstLine="5040"/>
        <w:rPr>
          <w:b/>
          <w:sz w:val="26"/>
          <w:szCs w:val="26"/>
        </w:rPr>
      </w:pPr>
      <w:r>
        <w:rPr>
          <w:sz w:val="26"/>
          <w:szCs w:val="26"/>
        </w:rPr>
        <w:t>Rosemary Chiavetta</w:t>
      </w:r>
    </w:p>
    <w:p w:rsidR="00CA43A5" w:rsidRPr="00CA43A5" w:rsidRDefault="00CA43A5" w:rsidP="00BE4415">
      <w:pPr>
        <w:widowControl/>
        <w:tabs>
          <w:tab w:val="left" w:pos="-720"/>
        </w:tabs>
        <w:ind w:firstLine="5040"/>
        <w:rPr>
          <w:sz w:val="26"/>
          <w:szCs w:val="26"/>
        </w:rPr>
      </w:pPr>
      <w:r w:rsidRPr="00CA43A5">
        <w:rPr>
          <w:sz w:val="26"/>
          <w:szCs w:val="26"/>
        </w:rPr>
        <w:t>Secretary</w:t>
      </w:r>
    </w:p>
    <w:p w:rsidR="00CA43A5" w:rsidRPr="00CA43A5" w:rsidRDefault="00CA43A5" w:rsidP="00BE4415">
      <w:pPr>
        <w:widowControl/>
        <w:tabs>
          <w:tab w:val="left" w:pos="-720"/>
        </w:tabs>
        <w:rPr>
          <w:sz w:val="26"/>
          <w:szCs w:val="26"/>
        </w:rPr>
      </w:pPr>
    </w:p>
    <w:p w:rsidR="00CA43A5" w:rsidRPr="00CA43A5" w:rsidRDefault="00CA43A5" w:rsidP="00BE4415">
      <w:pPr>
        <w:widowControl/>
        <w:tabs>
          <w:tab w:val="left" w:pos="-720"/>
        </w:tabs>
        <w:rPr>
          <w:sz w:val="26"/>
          <w:szCs w:val="26"/>
        </w:rPr>
      </w:pPr>
      <w:r w:rsidRPr="00CA43A5">
        <w:rPr>
          <w:sz w:val="26"/>
          <w:szCs w:val="26"/>
        </w:rPr>
        <w:t>(SEAL)</w:t>
      </w:r>
    </w:p>
    <w:p w:rsidR="00CA43A5" w:rsidRPr="00CA43A5" w:rsidRDefault="00CA43A5" w:rsidP="00BE4415">
      <w:pPr>
        <w:widowControl/>
        <w:tabs>
          <w:tab w:val="left" w:pos="-720"/>
        </w:tabs>
        <w:rPr>
          <w:sz w:val="26"/>
          <w:szCs w:val="26"/>
        </w:rPr>
      </w:pPr>
    </w:p>
    <w:p w:rsidR="00CA43A5" w:rsidRPr="00CA43A5" w:rsidRDefault="00D42C8E" w:rsidP="00BE4415">
      <w:pPr>
        <w:widowControl/>
        <w:tabs>
          <w:tab w:val="left" w:pos="-720"/>
        </w:tabs>
        <w:rPr>
          <w:sz w:val="26"/>
          <w:szCs w:val="26"/>
        </w:rPr>
      </w:pPr>
      <w:r>
        <w:rPr>
          <w:sz w:val="26"/>
          <w:szCs w:val="26"/>
        </w:rPr>
        <w:t>ORDER ADOPTED:  April 4, 2013</w:t>
      </w:r>
    </w:p>
    <w:p w:rsidR="00857172" w:rsidRDefault="00857172" w:rsidP="00BE4415">
      <w:pPr>
        <w:widowControl/>
        <w:tabs>
          <w:tab w:val="left" w:pos="-720"/>
        </w:tabs>
        <w:rPr>
          <w:sz w:val="26"/>
          <w:szCs w:val="26"/>
        </w:rPr>
      </w:pPr>
    </w:p>
    <w:p w:rsidR="00CA43A5" w:rsidRPr="00CA43A5" w:rsidRDefault="00CA43A5" w:rsidP="00BE4415">
      <w:pPr>
        <w:widowControl/>
        <w:tabs>
          <w:tab w:val="left" w:pos="-720"/>
        </w:tabs>
        <w:rPr>
          <w:sz w:val="26"/>
          <w:szCs w:val="26"/>
        </w:rPr>
      </w:pPr>
      <w:r w:rsidRPr="00CA43A5">
        <w:rPr>
          <w:sz w:val="26"/>
          <w:szCs w:val="26"/>
        </w:rPr>
        <w:t xml:space="preserve">ORDER ENTERED:  </w:t>
      </w:r>
      <w:r w:rsidR="000419FA">
        <w:rPr>
          <w:sz w:val="26"/>
          <w:szCs w:val="26"/>
        </w:rPr>
        <w:t>April 4, 2013</w:t>
      </w:r>
    </w:p>
    <w:p w:rsidR="00344804" w:rsidRPr="00CA43A5" w:rsidRDefault="00344804" w:rsidP="00BE4415">
      <w:pPr>
        <w:widowControl/>
        <w:ind w:right="360"/>
        <w:rPr>
          <w:sz w:val="26"/>
          <w:szCs w:val="26"/>
        </w:rPr>
      </w:pPr>
    </w:p>
    <w:sectPr w:rsidR="00344804" w:rsidRPr="00CA43A5" w:rsidSect="00162CD3">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11" w:rsidRDefault="00922711" w:rsidP="004050B0">
      <w:r>
        <w:separator/>
      </w:r>
    </w:p>
  </w:endnote>
  <w:endnote w:type="continuationSeparator" w:id="0">
    <w:p w:rsidR="00922711" w:rsidRDefault="00922711" w:rsidP="0040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992515"/>
      <w:docPartObj>
        <w:docPartGallery w:val="Page Numbers (Bottom of Page)"/>
        <w:docPartUnique/>
      </w:docPartObj>
    </w:sdtPr>
    <w:sdtEndPr>
      <w:rPr>
        <w:noProof/>
        <w:sz w:val="26"/>
        <w:szCs w:val="26"/>
      </w:rPr>
    </w:sdtEndPr>
    <w:sdtContent>
      <w:p w:rsidR="008E3D19" w:rsidRPr="000A356E" w:rsidRDefault="008E3D19">
        <w:pPr>
          <w:pStyle w:val="Footer"/>
          <w:jc w:val="center"/>
          <w:rPr>
            <w:sz w:val="26"/>
            <w:szCs w:val="26"/>
          </w:rPr>
        </w:pPr>
        <w:r w:rsidRPr="000A356E">
          <w:rPr>
            <w:sz w:val="26"/>
            <w:szCs w:val="26"/>
          </w:rPr>
          <w:fldChar w:fldCharType="begin"/>
        </w:r>
        <w:r w:rsidRPr="000A356E">
          <w:rPr>
            <w:sz w:val="26"/>
            <w:szCs w:val="26"/>
          </w:rPr>
          <w:instrText xml:space="preserve"> PAGE   \* MERGEFORMAT </w:instrText>
        </w:r>
        <w:r w:rsidRPr="000A356E">
          <w:rPr>
            <w:sz w:val="26"/>
            <w:szCs w:val="26"/>
          </w:rPr>
          <w:fldChar w:fldCharType="separate"/>
        </w:r>
        <w:r w:rsidR="000419FA">
          <w:rPr>
            <w:noProof/>
            <w:sz w:val="26"/>
            <w:szCs w:val="26"/>
          </w:rPr>
          <w:t>8</w:t>
        </w:r>
        <w:r w:rsidRPr="000A356E">
          <w:rPr>
            <w:noProof/>
            <w:sz w:val="26"/>
            <w:szCs w:val="2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D19" w:rsidRDefault="008E3D19">
    <w:pPr>
      <w:pStyle w:val="Footer"/>
      <w:jc w:val="center"/>
    </w:pPr>
  </w:p>
  <w:p w:rsidR="008E3D19" w:rsidRDefault="008E3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11" w:rsidRDefault="00922711" w:rsidP="004050B0">
      <w:r>
        <w:separator/>
      </w:r>
    </w:p>
  </w:footnote>
  <w:footnote w:type="continuationSeparator" w:id="0">
    <w:p w:rsidR="00922711" w:rsidRDefault="00922711" w:rsidP="004050B0">
      <w:r>
        <w:continuationSeparator/>
      </w:r>
    </w:p>
  </w:footnote>
  <w:footnote w:id="1">
    <w:p w:rsidR="00BE4415" w:rsidRPr="000A356E" w:rsidRDefault="00BE4415" w:rsidP="000A356E">
      <w:pPr>
        <w:pStyle w:val="FootnoteText"/>
        <w:ind w:firstLine="720"/>
        <w:rPr>
          <w:rFonts w:ascii="Times New Roman" w:hAnsi="Times New Roman" w:cs="Times New Roman"/>
          <w:sz w:val="26"/>
          <w:szCs w:val="26"/>
        </w:rPr>
      </w:pPr>
      <w:r w:rsidRPr="000A356E">
        <w:rPr>
          <w:rStyle w:val="FootnoteReference"/>
          <w:rFonts w:ascii="Times New Roman" w:hAnsi="Times New Roman" w:cs="Times New Roman"/>
          <w:sz w:val="26"/>
          <w:szCs w:val="26"/>
        </w:rPr>
        <w:footnoteRef/>
      </w:r>
      <w:r w:rsidRPr="000A356E">
        <w:rPr>
          <w:rFonts w:ascii="Times New Roman" w:hAnsi="Times New Roman" w:cs="Times New Roman"/>
          <w:sz w:val="26"/>
          <w:szCs w:val="26"/>
        </w:rPr>
        <w:t xml:space="preserve"> </w:t>
      </w:r>
      <w:r w:rsidR="000A356E" w:rsidRPr="000A356E">
        <w:rPr>
          <w:rFonts w:ascii="Times New Roman" w:hAnsi="Times New Roman" w:cs="Times New Roman"/>
          <w:sz w:val="26"/>
          <w:szCs w:val="26"/>
        </w:rPr>
        <w:tab/>
      </w:r>
      <w:r w:rsidRPr="000A356E">
        <w:rPr>
          <w:rFonts w:ascii="Times New Roman" w:hAnsi="Times New Roman" w:cs="Times New Roman"/>
          <w:sz w:val="26"/>
          <w:szCs w:val="26"/>
        </w:rPr>
        <w:t>The Commission’s action was taken pursuant to Section 703(g) of the Public Utility Code, 66 Pa. C.S. § 703(g), relating to rescission and amendment of prior orders.</w:t>
      </w:r>
    </w:p>
  </w:footnote>
  <w:footnote w:id="2">
    <w:p w:rsidR="000B78E4" w:rsidRPr="000B78E4" w:rsidRDefault="000B78E4">
      <w:pPr>
        <w:pStyle w:val="FootnoteText"/>
        <w:rPr>
          <w:rFonts w:ascii="Times New Roman" w:hAnsi="Times New Roman" w:cs="Times New Roman"/>
          <w:sz w:val="26"/>
          <w:szCs w:val="26"/>
        </w:rPr>
      </w:pPr>
      <w:r>
        <w:rPr>
          <w:rFonts w:ascii="Times New Roman" w:hAnsi="Times New Roman" w:cs="Times New Roman"/>
          <w:sz w:val="26"/>
          <w:szCs w:val="26"/>
        </w:rPr>
        <w:tab/>
      </w:r>
      <w:r w:rsidRPr="000B78E4">
        <w:rPr>
          <w:rStyle w:val="FootnoteReference"/>
          <w:rFonts w:ascii="Times New Roman" w:hAnsi="Times New Roman" w:cs="Times New Roman"/>
          <w:sz w:val="26"/>
          <w:szCs w:val="26"/>
        </w:rPr>
        <w:footnoteRef/>
      </w:r>
      <w:r>
        <w:rPr>
          <w:rFonts w:ascii="Times New Roman" w:hAnsi="Times New Roman" w:cs="Times New Roman"/>
          <w:sz w:val="26"/>
          <w:szCs w:val="26"/>
        </w:rPr>
        <w:tab/>
        <w:t xml:space="preserve">We note that PECO stated that it has incurred expenses relating to </w:t>
      </w:r>
      <w:r w:rsidR="00980FB5">
        <w:rPr>
          <w:rFonts w:ascii="Times New Roman" w:hAnsi="Times New Roman" w:cs="Times New Roman"/>
          <w:sz w:val="26"/>
          <w:szCs w:val="26"/>
        </w:rPr>
        <w:t>impleme</w:t>
      </w:r>
      <w:r>
        <w:rPr>
          <w:rFonts w:ascii="Times New Roman" w:hAnsi="Times New Roman" w:cs="Times New Roman"/>
          <w:sz w:val="26"/>
          <w:szCs w:val="26"/>
        </w:rPr>
        <w:t xml:space="preserve">ntation of the ROI Program and requested that this Order provide for full recovery of those expenses.  PECO Comments at 4.  This reconsideration docket is not the appropriate vehicle to address PECO’s concerns.  We suggest that PECO file a Petition which details the nature and amount of expenses claimed, together with an appropriate recovery mechanism.  That Petition should be served on all Parties to PECO’s default service proceeding. </w:t>
      </w:r>
      <w:r w:rsidRPr="000B78E4">
        <w:rPr>
          <w:rFonts w:ascii="Times New Roman" w:hAnsi="Times New Roman" w:cs="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07D4"/>
    <w:rsid w:val="00021E46"/>
    <w:rsid w:val="00022111"/>
    <w:rsid w:val="00022B74"/>
    <w:rsid w:val="0002524C"/>
    <w:rsid w:val="00025F3F"/>
    <w:rsid w:val="00026CD2"/>
    <w:rsid w:val="00040A8E"/>
    <w:rsid w:val="00040AEA"/>
    <w:rsid w:val="000419F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243C"/>
    <w:rsid w:val="00084573"/>
    <w:rsid w:val="00084AF9"/>
    <w:rsid w:val="000918D4"/>
    <w:rsid w:val="00093164"/>
    <w:rsid w:val="0009612D"/>
    <w:rsid w:val="00097504"/>
    <w:rsid w:val="000A2E0C"/>
    <w:rsid w:val="000A356E"/>
    <w:rsid w:val="000A365D"/>
    <w:rsid w:val="000B216D"/>
    <w:rsid w:val="000B2755"/>
    <w:rsid w:val="000B4EAE"/>
    <w:rsid w:val="000B5238"/>
    <w:rsid w:val="000B607A"/>
    <w:rsid w:val="000B64DC"/>
    <w:rsid w:val="000B6B15"/>
    <w:rsid w:val="000B78E4"/>
    <w:rsid w:val="000C2AE3"/>
    <w:rsid w:val="000C709A"/>
    <w:rsid w:val="000E35A1"/>
    <w:rsid w:val="000F179E"/>
    <w:rsid w:val="000F4307"/>
    <w:rsid w:val="001003B6"/>
    <w:rsid w:val="0010158F"/>
    <w:rsid w:val="00101F51"/>
    <w:rsid w:val="001026CA"/>
    <w:rsid w:val="00102F01"/>
    <w:rsid w:val="00104D9B"/>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2CD3"/>
    <w:rsid w:val="00164DA4"/>
    <w:rsid w:val="00166298"/>
    <w:rsid w:val="001663C8"/>
    <w:rsid w:val="00174D3D"/>
    <w:rsid w:val="001762A1"/>
    <w:rsid w:val="00181993"/>
    <w:rsid w:val="00182478"/>
    <w:rsid w:val="0018266E"/>
    <w:rsid w:val="00186A97"/>
    <w:rsid w:val="0019530E"/>
    <w:rsid w:val="00195F2E"/>
    <w:rsid w:val="001A4B31"/>
    <w:rsid w:val="001B11D4"/>
    <w:rsid w:val="001B1DB4"/>
    <w:rsid w:val="001C4978"/>
    <w:rsid w:val="001D0ED2"/>
    <w:rsid w:val="001E0B61"/>
    <w:rsid w:val="001E1276"/>
    <w:rsid w:val="001F285E"/>
    <w:rsid w:val="001F326E"/>
    <w:rsid w:val="001F67B0"/>
    <w:rsid w:val="00202524"/>
    <w:rsid w:val="00202578"/>
    <w:rsid w:val="00210736"/>
    <w:rsid w:val="00210F81"/>
    <w:rsid w:val="00211622"/>
    <w:rsid w:val="00214B3E"/>
    <w:rsid w:val="0022698E"/>
    <w:rsid w:val="00227912"/>
    <w:rsid w:val="002311EE"/>
    <w:rsid w:val="002370F5"/>
    <w:rsid w:val="002376D7"/>
    <w:rsid w:val="00240ACA"/>
    <w:rsid w:val="00240D7B"/>
    <w:rsid w:val="00241299"/>
    <w:rsid w:val="00251E07"/>
    <w:rsid w:val="00255462"/>
    <w:rsid w:val="00260957"/>
    <w:rsid w:val="00264646"/>
    <w:rsid w:val="0027232D"/>
    <w:rsid w:val="00274D0F"/>
    <w:rsid w:val="00277500"/>
    <w:rsid w:val="0028052B"/>
    <w:rsid w:val="00281A5F"/>
    <w:rsid w:val="00291F68"/>
    <w:rsid w:val="002A060A"/>
    <w:rsid w:val="002A4450"/>
    <w:rsid w:val="002A6750"/>
    <w:rsid w:val="002A6DD6"/>
    <w:rsid w:val="002B2296"/>
    <w:rsid w:val="002B4407"/>
    <w:rsid w:val="002B67B7"/>
    <w:rsid w:val="002C0429"/>
    <w:rsid w:val="002C194B"/>
    <w:rsid w:val="002C19E4"/>
    <w:rsid w:val="002C6CC4"/>
    <w:rsid w:val="002D13C4"/>
    <w:rsid w:val="002D275E"/>
    <w:rsid w:val="002D3C1A"/>
    <w:rsid w:val="002D6357"/>
    <w:rsid w:val="002D7584"/>
    <w:rsid w:val="002E3026"/>
    <w:rsid w:val="002E3F06"/>
    <w:rsid w:val="002E6FFA"/>
    <w:rsid w:val="002E7F8F"/>
    <w:rsid w:val="002F3F04"/>
    <w:rsid w:val="002F41BA"/>
    <w:rsid w:val="003018AA"/>
    <w:rsid w:val="00303B99"/>
    <w:rsid w:val="00304ECB"/>
    <w:rsid w:val="0030714F"/>
    <w:rsid w:val="003073E2"/>
    <w:rsid w:val="00307DDF"/>
    <w:rsid w:val="0031245B"/>
    <w:rsid w:val="00314A43"/>
    <w:rsid w:val="00322040"/>
    <w:rsid w:val="003240B8"/>
    <w:rsid w:val="00325422"/>
    <w:rsid w:val="00333FDA"/>
    <w:rsid w:val="003340DE"/>
    <w:rsid w:val="00340D19"/>
    <w:rsid w:val="00344804"/>
    <w:rsid w:val="003518C8"/>
    <w:rsid w:val="003533B5"/>
    <w:rsid w:val="003622CA"/>
    <w:rsid w:val="00363030"/>
    <w:rsid w:val="0036462C"/>
    <w:rsid w:val="00364A42"/>
    <w:rsid w:val="00364E33"/>
    <w:rsid w:val="00374F03"/>
    <w:rsid w:val="003755FB"/>
    <w:rsid w:val="0037577C"/>
    <w:rsid w:val="00380334"/>
    <w:rsid w:val="003817FC"/>
    <w:rsid w:val="00385502"/>
    <w:rsid w:val="003911CD"/>
    <w:rsid w:val="00391A43"/>
    <w:rsid w:val="003B0611"/>
    <w:rsid w:val="003B1272"/>
    <w:rsid w:val="003B42D9"/>
    <w:rsid w:val="003C3140"/>
    <w:rsid w:val="003C3E02"/>
    <w:rsid w:val="003C3FE8"/>
    <w:rsid w:val="003C73F9"/>
    <w:rsid w:val="003D5F07"/>
    <w:rsid w:val="003D6AB5"/>
    <w:rsid w:val="003E3FF5"/>
    <w:rsid w:val="003E5354"/>
    <w:rsid w:val="003F51F4"/>
    <w:rsid w:val="003F52C6"/>
    <w:rsid w:val="003F558E"/>
    <w:rsid w:val="00403D6E"/>
    <w:rsid w:val="004050B0"/>
    <w:rsid w:val="00407AC0"/>
    <w:rsid w:val="00412E30"/>
    <w:rsid w:val="004170AF"/>
    <w:rsid w:val="00432BB7"/>
    <w:rsid w:val="004331E9"/>
    <w:rsid w:val="00433E8D"/>
    <w:rsid w:val="0043592C"/>
    <w:rsid w:val="004411B9"/>
    <w:rsid w:val="00441207"/>
    <w:rsid w:val="00441296"/>
    <w:rsid w:val="004422CA"/>
    <w:rsid w:val="00443807"/>
    <w:rsid w:val="004462CD"/>
    <w:rsid w:val="004462F7"/>
    <w:rsid w:val="00457ABD"/>
    <w:rsid w:val="0046019D"/>
    <w:rsid w:val="00464536"/>
    <w:rsid w:val="0046514E"/>
    <w:rsid w:val="0046623C"/>
    <w:rsid w:val="00467739"/>
    <w:rsid w:val="00470D0C"/>
    <w:rsid w:val="00474E22"/>
    <w:rsid w:val="0047608F"/>
    <w:rsid w:val="00476554"/>
    <w:rsid w:val="004813D4"/>
    <w:rsid w:val="00484471"/>
    <w:rsid w:val="00491D91"/>
    <w:rsid w:val="0049580C"/>
    <w:rsid w:val="004967C6"/>
    <w:rsid w:val="0049768F"/>
    <w:rsid w:val="004A04E5"/>
    <w:rsid w:val="004A1495"/>
    <w:rsid w:val="004A2165"/>
    <w:rsid w:val="004A5F74"/>
    <w:rsid w:val="004B1052"/>
    <w:rsid w:val="004B6B14"/>
    <w:rsid w:val="004E47EC"/>
    <w:rsid w:val="004E514F"/>
    <w:rsid w:val="004E64C0"/>
    <w:rsid w:val="004E737F"/>
    <w:rsid w:val="004F03DE"/>
    <w:rsid w:val="004F22DA"/>
    <w:rsid w:val="00502165"/>
    <w:rsid w:val="00504834"/>
    <w:rsid w:val="00504C7A"/>
    <w:rsid w:val="00504CF9"/>
    <w:rsid w:val="00505AEE"/>
    <w:rsid w:val="0050632E"/>
    <w:rsid w:val="0050752D"/>
    <w:rsid w:val="00511EF3"/>
    <w:rsid w:val="00514507"/>
    <w:rsid w:val="00521350"/>
    <w:rsid w:val="00530043"/>
    <w:rsid w:val="005351B9"/>
    <w:rsid w:val="00536011"/>
    <w:rsid w:val="00537EB7"/>
    <w:rsid w:val="00543607"/>
    <w:rsid w:val="00550B79"/>
    <w:rsid w:val="0055150B"/>
    <w:rsid w:val="005532F9"/>
    <w:rsid w:val="0055440B"/>
    <w:rsid w:val="0055482A"/>
    <w:rsid w:val="0055708D"/>
    <w:rsid w:val="0055766C"/>
    <w:rsid w:val="00560DB4"/>
    <w:rsid w:val="00561CA6"/>
    <w:rsid w:val="00564565"/>
    <w:rsid w:val="005647BE"/>
    <w:rsid w:val="00566299"/>
    <w:rsid w:val="005725F6"/>
    <w:rsid w:val="00586817"/>
    <w:rsid w:val="00586D92"/>
    <w:rsid w:val="00587507"/>
    <w:rsid w:val="0059211D"/>
    <w:rsid w:val="00596A0B"/>
    <w:rsid w:val="00596E05"/>
    <w:rsid w:val="00596F85"/>
    <w:rsid w:val="005970FA"/>
    <w:rsid w:val="005A0176"/>
    <w:rsid w:val="005A088E"/>
    <w:rsid w:val="005A2298"/>
    <w:rsid w:val="005A28C1"/>
    <w:rsid w:val="005A72FC"/>
    <w:rsid w:val="005B0388"/>
    <w:rsid w:val="005B109A"/>
    <w:rsid w:val="005C2FD5"/>
    <w:rsid w:val="005C5378"/>
    <w:rsid w:val="005C5FC0"/>
    <w:rsid w:val="005C7C11"/>
    <w:rsid w:val="005D1C22"/>
    <w:rsid w:val="005D2AB9"/>
    <w:rsid w:val="005D34E2"/>
    <w:rsid w:val="005D496E"/>
    <w:rsid w:val="005D6D0C"/>
    <w:rsid w:val="005D6F8B"/>
    <w:rsid w:val="005D7C20"/>
    <w:rsid w:val="005E6960"/>
    <w:rsid w:val="005E7EB8"/>
    <w:rsid w:val="005F18D6"/>
    <w:rsid w:val="00603024"/>
    <w:rsid w:val="006116E3"/>
    <w:rsid w:val="00614933"/>
    <w:rsid w:val="00624400"/>
    <w:rsid w:val="00624E51"/>
    <w:rsid w:val="00626162"/>
    <w:rsid w:val="00634719"/>
    <w:rsid w:val="006454B8"/>
    <w:rsid w:val="006503E8"/>
    <w:rsid w:val="00654A4A"/>
    <w:rsid w:val="0065545A"/>
    <w:rsid w:val="006661CF"/>
    <w:rsid w:val="00670BFD"/>
    <w:rsid w:val="00671E4C"/>
    <w:rsid w:val="00673CAA"/>
    <w:rsid w:val="00674295"/>
    <w:rsid w:val="00674301"/>
    <w:rsid w:val="006818A8"/>
    <w:rsid w:val="00681A51"/>
    <w:rsid w:val="00681C0C"/>
    <w:rsid w:val="00682469"/>
    <w:rsid w:val="00683D97"/>
    <w:rsid w:val="00684FCA"/>
    <w:rsid w:val="00686B5C"/>
    <w:rsid w:val="00696997"/>
    <w:rsid w:val="006A6DDA"/>
    <w:rsid w:val="006A758C"/>
    <w:rsid w:val="006B117A"/>
    <w:rsid w:val="006C1EEC"/>
    <w:rsid w:val="006C3FEA"/>
    <w:rsid w:val="006C69E7"/>
    <w:rsid w:val="006D10AE"/>
    <w:rsid w:val="006D29F2"/>
    <w:rsid w:val="006D7CA2"/>
    <w:rsid w:val="006E065B"/>
    <w:rsid w:val="006E09D3"/>
    <w:rsid w:val="006E1E6C"/>
    <w:rsid w:val="006E5505"/>
    <w:rsid w:val="006F240A"/>
    <w:rsid w:val="006F2FB3"/>
    <w:rsid w:val="006F531B"/>
    <w:rsid w:val="006F62BC"/>
    <w:rsid w:val="00700055"/>
    <w:rsid w:val="00702493"/>
    <w:rsid w:val="00713914"/>
    <w:rsid w:val="00714F3B"/>
    <w:rsid w:val="007166F7"/>
    <w:rsid w:val="00716AEF"/>
    <w:rsid w:val="00717076"/>
    <w:rsid w:val="00717296"/>
    <w:rsid w:val="00726FCC"/>
    <w:rsid w:val="00727370"/>
    <w:rsid w:val="00735D9E"/>
    <w:rsid w:val="0074109C"/>
    <w:rsid w:val="00742335"/>
    <w:rsid w:val="00742842"/>
    <w:rsid w:val="00753376"/>
    <w:rsid w:val="007543B0"/>
    <w:rsid w:val="007568A9"/>
    <w:rsid w:val="00760E28"/>
    <w:rsid w:val="00761514"/>
    <w:rsid w:val="00763CE7"/>
    <w:rsid w:val="00772177"/>
    <w:rsid w:val="007757C2"/>
    <w:rsid w:val="00775C65"/>
    <w:rsid w:val="0077639A"/>
    <w:rsid w:val="0078100C"/>
    <w:rsid w:val="0078157F"/>
    <w:rsid w:val="007825FA"/>
    <w:rsid w:val="00786F48"/>
    <w:rsid w:val="0078772C"/>
    <w:rsid w:val="007878E4"/>
    <w:rsid w:val="007909FE"/>
    <w:rsid w:val="00791062"/>
    <w:rsid w:val="007963BD"/>
    <w:rsid w:val="007A2AF8"/>
    <w:rsid w:val="007A4783"/>
    <w:rsid w:val="007A4C9B"/>
    <w:rsid w:val="007A5191"/>
    <w:rsid w:val="007B0500"/>
    <w:rsid w:val="007B111B"/>
    <w:rsid w:val="007B3AE8"/>
    <w:rsid w:val="007B4418"/>
    <w:rsid w:val="007B5F62"/>
    <w:rsid w:val="007B66B3"/>
    <w:rsid w:val="007B7077"/>
    <w:rsid w:val="007C3003"/>
    <w:rsid w:val="007C64CC"/>
    <w:rsid w:val="007C6B60"/>
    <w:rsid w:val="007C6F85"/>
    <w:rsid w:val="007D3AA0"/>
    <w:rsid w:val="007D3FE2"/>
    <w:rsid w:val="007D5690"/>
    <w:rsid w:val="007D69FA"/>
    <w:rsid w:val="007E1600"/>
    <w:rsid w:val="00810603"/>
    <w:rsid w:val="0081186F"/>
    <w:rsid w:val="00814283"/>
    <w:rsid w:val="00820209"/>
    <w:rsid w:val="00820F35"/>
    <w:rsid w:val="00820FEC"/>
    <w:rsid w:val="0082393D"/>
    <w:rsid w:val="0083324D"/>
    <w:rsid w:val="00841733"/>
    <w:rsid w:val="008420B7"/>
    <w:rsid w:val="00844D38"/>
    <w:rsid w:val="00844D85"/>
    <w:rsid w:val="008524BE"/>
    <w:rsid w:val="00853BC2"/>
    <w:rsid w:val="00854278"/>
    <w:rsid w:val="00856063"/>
    <w:rsid w:val="00857172"/>
    <w:rsid w:val="0086236A"/>
    <w:rsid w:val="008654BA"/>
    <w:rsid w:val="0087035A"/>
    <w:rsid w:val="00870A34"/>
    <w:rsid w:val="0087347D"/>
    <w:rsid w:val="00882DAD"/>
    <w:rsid w:val="00885263"/>
    <w:rsid w:val="00892DA5"/>
    <w:rsid w:val="008949B1"/>
    <w:rsid w:val="0089713E"/>
    <w:rsid w:val="008A10F3"/>
    <w:rsid w:val="008A3AC2"/>
    <w:rsid w:val="008A5C0F"/>
    <w:rsid w:val="008B1596"/>
    <w:rsid w:val="008C09C4"/>
    <w:rsid w:val="008C0AFC"/>
    <w:rsid w:val="008C1F44"/>
    <w:rsid w:val="008C646F"/>
    <w:rsid w:val="008E3182"/>
    <w:rsid w:val="008E3D19"/>
    <w:rsid w:val="008E3E4B"/>
    <w:rsid w:val="008E4EF9"/>
    <w:rsid w:val="008E6DFC"/>
    <w:rsid w:val="008E7710"/>
    <w:rsid w:val="00900D4D"/>
    <w:rsid w:val="00903F34"/>
    <w:rsid w:val="00905A1D"/>
    <w:rsid w:val="00905C0A"/>
    <w:rsid w:val="00910D5E"/>
    <w:rsid w:val="009122F8"/>
    <w:rsid w:val="00915520"/>
    <w:rsid w:val="009155F7"/>
    <w:rsid w:val="00921131"/>
    <w:rsid w:val="00922711"/>
    <w:rsid w:val="009247F5"/>
    <w:rsid w:val="00926AB2"/>
    <w:rsid w:val="009407FE"/>
    <w:rsid w:val="00942436"/>
    <w:rsid w:val="00952402"/>
    <w:rsid w:val="00957603"/>
    <w:rsid w:val="00957A1D"/>
    <w:rsid w:val="00957BC0"/>
    <w:rsid w:val="00961017"/>
    <w:rsid w:val="0096487B"/>
    <w:rsid w:val="009757D1"/>
    <w:rsid w:val="00980754"/>
    <w:rsid w:val="00980FB5"/>
    <w:rsid w:val="00981535"/>
    <w:rsid w:val="009825C8"/>
    <w:rsid w:val="0098409F"/>
    <w:rsid w:val="00984AAE"/>
    <w:rsid w:val="00985537"/>
    <w:rsid w:val="00991698"/>
    <w:rsid w:val="00991C17"/>
    <w:rsid w:val="00992D1E"/>
    <w:rsid w:val="00997EB2"/>
    <w:rsid w:val="009A06F5"/>
    <w:rsid w:val="009A0788"/>
    <w:rsid w:val="009A0E92"/>
    <w:rsid w:val="009A17EC"/>
    <w:rsid w:val="009B03DF"/>
    <w:rsid w:val="009B6AF0"/>
    <w:rsid w:val="009C292D"/>
    <w:rsid w:val="009C5F0C"/>
    <w:rsid w:val="009C67C0"/>
    <w:rsid w:val="009C7368"/>
    <w:rsid w:val="009D1035"/>
    <w:rsid w:val="009D13D0"/>
    <w:rsid w:val="009D2068"/>
    <w:rsid w:val="009D7D33"/>
    <w:rsid w:val="009E4315"/>
    <w:rsid w:val="009E4DD4"/>
    <w:rsid w:val="009E4E3F"/>
    <w:rsid w:val="009E698B"/>
    <w:rsid w:val="009F1547"/>
    <w:rsid w:val="009F4ABA"/>
    <w:rsid w:val="00A066AE"/>
    <w:rsid w:val="00A10DD9"/>
    <w:rsid w:val="00A12C6B"/>
    <w:rsid w:val="00A14117"/>
    <w:rsid w:val="00A149FA"/>
    <w:rsid w:val="00A17DF0"/>
    <w:rsid w:val="00A20F78"/>
    <w:rsid w:val="00A218F1"/>
    <w:rsid w:val="00A27DEE"/>
    <w:rsid w:val="00A31B93"/>
    <w:rsid w:val="00A375EF"/>
    <w:rsid w:val="00A528C2"/>
    <w:rsid w:val="00A54AFD"/>
    <w:rsid w:val="00A54E69"/>
    <w:rsid w:val="00A61061"/>
    <w:rsid w:val="00A61B06"/>
    <w:rsid w:val="00A62113"/>
    <w:rsid w:val="00A64125"/>
    <w:rsid w:val="00A6759C"/>
    <w:rsid w:val="00A676F5"/>
    <w:rsid w:val="00A67923"/>
    <w:rsid w:val="00A7002B"/>
    <w:rsid w:val="00A713ED"/>
    <w:rsid w:val="00A714B8"/>
    <w:rsid w:val="00A725AF"/>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C6643"/>
    <w:rsid w:val="00AD039F"/>
    <w:rsid w:val="00AD1329"/>
    <w:rsid w:val="00AD3902"/>
    <w:rsid w:val="00AD6010"/>
    <w:rsid w:val="00AE1411"/>
    <w:rsid w:val="00AE18FA"/>
    <w:rsid w:val="00AE33FF"/>
    <w:rsid w:val="00AF06D5"/>
    <w:rsid w:val="00AF09DD"/>
    <w:rsid w:val="00AF0B07"/>
    <w:rsid w:val="00B02655"/>
    <w:rsid w:val="00B05102"/>
    <w:rsid w:val="00B07091"/>
    <w:rsid w:val="00B16A34"/>
    <w:rsid w:val="00B25453"/>
    <w:rsid w:val="00B31B9C"/>
    <w:rsid w:val="00B34D6C"/>
    <w:rsid w:val="00B4200B"/>
    <w:rsid w:val="00B4441D"/>
    <w:rsid w:val="00B5544F"/>
    <w:rsid w:val="00B55E5D"/>
    <w:rsid w:val="00B5761C"/>
    <w:rsid w:val="00B60A36"/>
    <w:rsid w:val="00B60EB7"/>
    <w:rsid w:val="00B66867"/>
    <w:rsid w:val="00B66994"/>
    <w:rsid w:val="00B71AFB"/>
    <w:rsid w:val="00B71F3A"/>
    <w:rsid w:val="00B73C97"/>
    <w:rsid w:val="00B76340"/>
    <w:rsid w:val="00B80C43"/>
    <w:rsid w:val="00B94786"/>
    <w:rsid w:val="00BA78B6"/>
    <w:rsid w:val="00BB0C3A"/>
    <w:rsid w:val="00BB26AD"/>
    <w:rsid w:val="00BB79BD"/>
    <w:rsid w:val="00BC1497"/>
    <w:rsid w:val="00BC7208"/>
    <w:rsid w:val="00BD0B48"/>
    <w:rsid w:val="00BD2A0A"/>
    <w:rsid w:val="00BD2FA5"/>
    <w:rsid w:val="00BD5D0F"/>
    <w:rsid w:val="00BD7C68"/>
    <w:rsid w:val="00BE1CBC"/>
    <w:rsid w:val="00BE29DC"/>
    <w:rsid w:val="00BE4415"/>
    <w:rsid w:val="00BF697A"/>
    <w:rsid w:val="00BF6ADB"/>
    <w:rsid w:val="00C03776"/>
    <w:rsid w:val="00C13821"/>
    <w:rsid w:val="00C14051"/>
    <w:rsid w:val="00C15F73"/>
    <w:rsid w:val="00C2037B"/>
    <w:rsid w:val="00C22FF7"/>
    <w:rsid w:val="00C27F76"/>
    <w:rsid w:val="00C30DA4"/>
    <w:rsid w:val="00C428CE"/>
    <w:rsid w:val="00C44719"/>
    <w:rsid w:val="00C50108"/>
    <w:rsid w:val="00C64DCD"/>
    <w:rsid w:val="00C6572C"/>
    <w:rsid w:val="00C70CFF"/>
    <w:rsid w:val="00C71218"/>
    <w:rsid w:val="00C72583"/>
    <w:rsid w:val="00C75655"/>
    <w:rsid w:val="00C837C3"/>
    <w:rsid w:val="00C84497"/>
    <w:rsid w:val="00C868F6"/>
    <w:rsid w:val="00C9137C"/>
    <w:rsid w:val="00C91644"/>
    <w:rsid w:val="00C9663B"/>
    <w:rsid w:val="00CA43A5"/>
    <w:rsid w:val="00CA7C0B"/>
    <w:rsid w:val="00CB6E2B"/>
    <w:rsid w:val="00CB6FF7"/>
    <w:rsid w:val="00CB7302"/>
    <w:rsid w:val="00CC1E9F"/>
    <w:rsid w:val="00CC5896"/>
    <w:rsid w:val="00CD3C90"/>
    <w:rsid w:val="00CE0C35"/>
    <w:rsid w:val="00CE3810"/>
    <w:rsid w:val="00CE52B4"/>
    <w:rsid w:val="00CE5DCD"/>
    <w:rsid w:val="00CE701C"/>
    <w:rsid w:val="00CE7599"/>
    <w:rsid w:val="00CF414A"/>
    <w:rsid w:val="00CF4FF0"/>
    <w:rsid w:val="00CF5B47"/>
    <w:rsid w:val="00CF7E7C"/>
    <w:rsid w:val="00D104F9"/>
    <w:rsid w:val="00D10CE0"/>
    <w:rsid w:val="00D14323"/>
    <w:rsid w:val="00D16008"/>
    <w:rsid w:val="00D166D4"/>
    <w:rsid w:val="00D30254"/>
    <w:rsid w:val="00D30C5B"/>
    <w:rsid w:val="00D33768"/>
    <w:rsid w:val="00D33D87"/>
    <w:rsid w:val="00D35077"/>
    <w:rsid w:val="00D35A6E"/>
    <w:rsid w:val="00D36DC4"/>
    <w:rsid w:val="00D408A8"/>
    <w:rsid w:val="00D42C8E"/>
    <w:rsid w:val="00D46DAE"/>
    <w:rsid w:val="00D51C8F"/>
    <w:rsid w:val="00D5204B"/>
    <w:rsid w:val="00D54C10"/>
    <w:rsid w:val="00D55191"/>
    <w:rsid w:val="00D55CD0"/>
    <w:rsid w:val="00D56933"/>
    <w:rsid w:val="00D57544"/>
    <w:rsid w:val="00D578D3"/>
    <w:rsid w:val="00D57973"/>
    <w:rsid w:val="00D60CE2"/>
    <w:rsid w:val="00D612EC"/>
    <w:rsid w:val="00D6153E"/>
    <w:rsid w:val="00D623C4"/>
    <w:rsid w:val="00D722DF"/>
    <w:rsid w:val="00D84675"/>
    <w:rsid w:val="00D8526A"/>
    <w:rsid w:val="00D86252"/>
    <w:rsid w:val="00D917F3"/>
    <w:rsid w:val="00D97BAA"/>
    <w:rsid w:val="00DA0430"/>
    <w:rsid w:val="00DA3A0A"/>
    <w:rsid w:val="00DA3AF3"/>
    <w:rsid w:val="00DA5455"/>
    <w:rsid w:val="00DA5C2B"/>
    <w:rsid w:val="00DB1FB8"/>
    <w:rsid w:val="00DB5EFB"/>
    <w:rsid w:val="00DB6EF1"/>
    <w:rsid w:val="00DC19BB"/>
    <w:rsid w:val="00DC6404"/>
    <w:rsid w:val="00DD7FDF"/>
    <w:rsid w:val="00DE1703"/>
    <w:rsid w:val="00DE25AC"/>
    <w:rsid w:val="00DE326A"/>
    <w:rsid w:val="00DE5AC0"/>
    <w:rsid w:val="00DE74A1"/>
    <w:rsid w:val="00DF1286"/>
    <w:rsid w:val="00DF2966"/>
    <w:rsid w:val="00DF4BEA"/>
    <w:rsid w:val="00DF568D"/>
    <w:rsid w:val="00E00CCB"/>
    <w:rsid w:val="00E042C7"/>
    <w:rsid w:val="00E0781A"/>
    <w:rsid w:val="00E11475"/>
    <w:rsid w:val="00E175A7"/>
    <w:rsid w:val="00E20168"/>
    <w:rsid w:val="00E20740"/>
    <w:rsid w:val="00E20E92"/>
    <w:rsid w:val="00E245DA"/>
    <w:rsid w:val="00E24645"/>
    <w:rsid w:val="00E304F2"/>
    <w:rsid w:val="00E31BCB"/>
    <w:rsid w:val="00E32963"/>
    <w:rsid w:val="00E337BC"/>
    <w:rsid w:val="00E350CD"/>
    <w:rsid w:val="00E372A9"/>
    <w:rsid w:val="00E37A1A"/>
    <w:rsid w:val="00E37B5A"/>
    <w:rsid w:val="00E4001B"/>
    <w:rsid w:val="00E51FDE"/>
    <w:rsid w:val="00E534B2"/>
    <w:rsid w:val="00E56B66"/>
    <w:rsid w:val="00E579AF"/>
    <w:rsid w:val="00E67C64"/>
    <w:rsid w:val="00E705B7"/>
    <w:rsid w:val="00E7086E"/>
    <w:rsid w:val="00E70ECC"/>
    <w:rsid w:val="00E71A89"/>
    <w:rsid w:val="00E72CD2"/>
    <w:rsid w:val="00E77197"/>
    <w:rsid w:val="00E80602"/>
    <w:rsid w:val="00E81B1A"/>
    <w:rsid w:val="00E84FB3"/>
    <w:rsid w:val="00E87037"/>
    <w:rsid w:val="00E90CA6"/>
    <w:rsid w:val="00EA0F03"/>
    <w:rsid w:val="00EA1EF9"/>
    <w:rsid w:val="00EA2CA0"/>
    <w:rsid w:val="00EA4B65"/>
    <w:rsid w:val="00EA7237"/>
    <w:rsid w:val="00EB0064"/>
    <w:rsid w:val="00EB055B"/>
    <w:rsid w:val="00EB112A"/>
    <w:rsid w:val="00EB2626"/>
    <w:rsid w:val="00EC1212"/>
    <w:rsid w:val="00EC1D3D"/>
    <w:rsid w:val="00EC3331"/>
    <w:rsid w:val="00EC5A98"/>
    <w:rsid w:val="00EC677E"/>
    <w:rsid w:val="00EC7E67"/>
    <w:rsid w:val="00ED5B5C"/>
    <w:rsid w:val="00ED70BD"/>
    <w:rsid w:val="00ED79A0"/>
    <w:rsid w:val="00EE0B3E"/>
    <w:rsid w:val="00EE37BB"/>
    <w:rsid w:val="00EF4099"/>
    <w:rsid w:val="00EF6BDC"/>
    <w:rsid w:val="00F01C4C"/>
    <w:rsid w:val="00F02786"/>
    <w:rsid w:val="00F0434F"/>
    <w:rsid w:val="00F0670F"/>
    <w:rsid w:val="00F07FA6"/>
    <w:rsid w:val="00F11BB3"/>
    <w:rsid w:val="00F13036"/>
    <w:rsid w:val="00F21C0E"/>
    <w:rsid w:val="00F21D1A"/>
    <w:rsid w:val="00F22865"/>
    <w:rsid w:val="00F24D75"/>
    <w:rsid w:val="00F261E3"/>
    <w:rsid w:val="00F34B2F"/>
    <w:rsid w:val="00F34F33"/>
    <w:rsid w:val="00F36D1F"/>
    <w:rsid w:val="00F3769E"/>
    <w:rsid w:val="00F40F06"/>
    <w:rsid w:val="00F42669"/>
    <w:rsid w:val="00F4454F"/>
    <w:rsid w:val="00F45B0D"/>
    <w:rsid w:val="00F4749B"/>
    <w:rsid w:val="00F514FB"/>
    <w:rsid w:val="00F54545"/>
    <w:rsid w:val="00F56CE9"/>
    <w:rsid w:val="00F61151"/>
    <w:rsid w:val="00F61FCA"/>
    <w:rsid w:val="00F64ECE"/>
    <w:rsid w:val="00F669AD"/>
    <w:rsid w:val="00F67B6E"/>
    <w:rsid w:val="00F77765"/>
    <w:rsid w:val="00F77EC3"/>
    <w:rsid w:val="00F83ECE"/>
    <w:rsid w:val="00F8532C"/>
    <w:rsid w:val="00F85E98"/>
    <w:rsid w:val="00F90343"/>
    <w:rsid w:val="00F934D4"/>
    <w:rsid w:val="00F9643F"/>
    <w:rsid w:val="00FA2DFB"/>
    <w:rsid w:val="00FA7C8B"/>
    <w:rsid w:val="00FB0249"/>
    <w:rsid w:val="00FB793A"/>
    <w:rsid w:val="00FC178F"/>
    <w:rsid w:val="00FC5915"/>
    <w:rsid w:val="00FC5D6D"/>
    <w:rsid w:val="00FC6AB1"/>
    <w:rsid w:val="00FD069B"/>
    <w:rsid w:val="00FD6657"/>
    <w:rsid w:val="00FE1CC4"/>
    <w:rsid w:val="00FF1A54"/>
    <w:rsid w:val="00FF1D0C"/>
    <w:rsid w:val="00FF68A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rsid w:val="004050B0"/>
    <w:pPr>
      <w:widowControl/>
      <w:autoSpaceDE w:val="0"/>
      <w:autoSpaceDN w:val="0"/>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4050B0"/>
    <w:rPr>
      <w:rFonts w:ascii="CG Times" w:eastAsia="Times New Roman" w:hAnsi="CG Times" w:cs="CG Times"/>
      <w:sz w:val="24"/>
      <w:szCs w:val="24"/>
    </w:rPr>
  </w:style>
  <w:style w:type="paragraph" w:customStyle="1" w:styleId="ParaTab1">
    <w:name w:val="ParaTab 1"/>
    <w:rsid w:val="004050B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52402"/>
    <w:pPr>
      <w:tabs>
        <w:tab w:val="center" w:pos="4680"/>
        <w:tab w:val="right" w:pos="9360"/>
      </w:tabs>
    </w:pPr>
  </w:style>
  <w:style w:type="character" w:customStyle="1" w:styleId="HeaderChar">
    <w:name w:val="Header Char"/>
    <w:basedOn w:val="DefaultParagraphFont"/>
    <w:link w:val="Header"/>
    <w:uiPriority w:val="99"/>
    <w:rsid w:val="009524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52402"/>
    <w:pPr>
      <w:tabs>
        <w:tab w:val="center" w:pos="4680"/>
        <w:tab w:val="right" w:pos="9360"/>
      </w:tabs>
    </w:pPr>
  </w:style>
  <w:style w:type="character" w:customStyle="1" w:styleId="FooterChar">
    <w:name w:val="Footer Char"/>
    <w:basedOn w:val="DefaultParagraphFont"/>
    <w:link w:val="Footer"/>
    <w:uiPriority w:val="99"/>
    <w:rsid w:val="0095240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37EB7"/>
    <w:rPr>
      <w:sz w:val="16"/>
      <w:szCs w:val="16"/>
    </w:rPr>
  </w:style>
  <w:style w:type="paragraph" w:styleId="CommentText">
    <w:name w:val="annotation text"/>
    <w:basedOn w:val="Normal"/>
    <w:link w:val="CommentTextChar"/>
    <w:uiPriority w:val="99"/>
    <w:semiHidden/>
    <w:unhideWhenUsed/>
    <w:rsid w:val="00537EB7"/>
  </w:style>
  <w:style w:type="character" w:customStyle="1" w:styleId="CommentTextChar">
    <w:name w:val="Comment Text Char"/>
    <w:basedOn w:val="DefaultParagraphFont"/>
    <w:link w:val="CommentText"/>
    <w:uiPriority w:val="99"/>
    <w:semiHidden/>
    <w:rsid w:val="00537E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EB7"/>
    <w:rPr>
      <w:b/>
      <w:bCs/>
    </w:rPr>
  </w:style>
  <w:style w:type="character" w:customStyle="1" w:styleId="CommentSubjectChar">
    <w:name w:val="Comment Subject Char"/>
    <w:basedOn w:val="CommentTextChar"/>
    <w:link w:val="CommentSubject"/>
    <w:uiPriority w:val="99"/>
    <w:semiHidden/>
    <w:rsid w:val="00537EB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rsid w:val="004050B0"/>
    <w:pPr>
      <w:widowControl/>
      <w:autoSpaceDE w:val="0"/>
      <w:autoSpaceDN w:val="0"/>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4050B0"/>
    <w:rPr>
      <w:rFonts w:ascii="CG Times" w:eastAsia="Times New Roman" w:hAnsi="CG Times" w:cs="CG Times"/>
      <w:sz w:val="24"/>
      <w:szCs w:val="24"/>
    </w:rPr>
  </w:style>
  <w:style w:type="paragraph" w:customStyle="1" w:styleId="ParaTab1">
    <w:name w:val="ParaTab 1"/>
    <w:rsid w:val="004050B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52402"/>
    <w:pPr>
      <w:tabs>
        <w:tab w:val="center" w:pos="4680"/>
        <w:tab w:val="right" w:pos="9360"/>
      </w:tabs>
    </w:pPr>
  </w:style>
  <w:style w:type="character" w:customStyle="1" w:styleId="HeaderChar">
    <w:name w:val="Header Char"/>
    <w:basedOn w:val="DefaultParagraphFont"/>
    <w:link w:val="Header"/>
    <w:uiPriority w:val="99"/>
    <w:rsid w:val="009524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52402"/>
    <w:pPr>
      <w:tabs>
        <w:tab w:val="center" w:pos="4680"/>
        <w:tab w:val="right" w:pos="9360"/>
      </w:tabs>
    </w:pPr>
  </w:style>
  <w:style w:type="character" w:customStyle="1" w:styleId="FooterChar">
    <w:name w:val="Footer Char"/>
    <w:basedOn w:val="DefaultParagraphFont"/>
    <w:link w:val="Footer"/>
    <w:uiPriority w:val="99"/>
    <w:rsid w:val="0095240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37EB7"/>
    <w:rPr>
      <w:sz w:val="16"/>
      <w:szCs w:val="16"/>
    </w:rPr>
  </w:style>
  <w:style w:type="paragraph" w:styleId="CommentText">
    <w:name w:val="annotation text"/>
    <w:basedOn w:val="Normal"/>
    <w:link w:val="CommentTextChar"/>
    <w:uiPriority w:val="99"/>
    <w:semiHidden/>
    <w:unhideWhenUsed/>
    <w:rsid w:val="00537EB7"/>
  </w:style>
  <w:style w:type="character" w:customStyle="1" w:styleId="CommentTextChar">
    <w:name w:val="Comment Text Char"/>
    <w:basedOn w:val="DefaultParagraphFont"/>
    <w:link w:val="CommentText"/>
    <w:uiPriority w:val="99"/>
    <w:semiHidden/>
    <w:rsid w:val="00537E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EB7"/>
    <w:rPr>
      <w:b/>
      <w:bCs/>
    </w:rPr>
  </w:style>
  <w:style w:type="character" w:customStyle="1" w:styleId="CommentSubjectChar">
    <w:name w:val="Comment Subject Char"/>
    <w:basedOn w:val="CommentTextChar"/>
    <w:link w:val="CommentSubject"/>
    <w:uiPriority w:val="99"/>
    <w:semiHidden/>
    <w:rsid w:val="00537EB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0225">
      <w:bodyDiv w:val="1"/>
      <w:marLeft w:val="0"/>
      <w:marRight w:val="0"/>
      <w:marTop w:val="0"/>
      <w:marBottom w:val="0"/>
      <w:divBdr>
        <w:top w:val="none" w:sz="0" w:space="0" w:color="auto"/>
        <w:left w:val="none" w:sz="0" w:space="0" w:color="auto"/>
        <w:bottom w:val="none" w:sz="0" w:space="0" w:color="auto"/>
        <w:right w:val="none" w:sz="0" w:space="0" w:color="auto"/>
      </w:divBdr>
      <w:divsChild>
        <w:div w:id="1826968369">
          <w:marLeft w:val="0"/>
          <w:marRight w:val="0"/>
          <w:marTop w:val="0"/>
          <w:marBottom w:val="0"/>
          <w:divBdr>
            <w:top w:val="none" w:sz="0" w:space="0" w:color="auto"/>
            <w:left w:val="none" w:sz="0" w:space="0" w:color="auto"/>
            <w:bottom w:val="none" w:sz="0" w:space="0" w:color="auto"/>
            <w:right w:val="none" w:sz="0" w:space="0" w:color="auto"/>
          </w:divBdr>
          <w:divsChild>
            <w:div w:id="1154302236">
              <w:marLeft w:val="0"/>
              <w:marRight w:val="0"/>
              <w:marTop w:val="0"/>
              <w:marBottom w:val="0"/>
              <w:divBdr>
                <w:top w:val="none" w:sz="0" w:space="0" w:color="auto"/>
                <w:left w:val="none" w:sz="0" w:space="0" w:color="auto"/>
                <w:bottom w:val="none" w:sz="0" w:space="0" w:color="auto"/>
                <w:right w:val="none" w:sz="0" w:space="0" w:color="auto"/>
              </w:divBdr>
              <w:divsChild>
                <w:div w:id="658655883">
                  <w:marLeft w:val="0"/>
                  <w:marRight w:val="0"/>
                  <w:marTop w:val="0"/>
                  <w:marBottom w:val="0"/>
                  <w:divBdr>
                    <w:top w:val="none" w:sz="0" w:space="0" w:color="auto"/>
                    <w:left w:val="none" w:sz="0" w:space="0" w:color="auto"/>
                    <w:bottom w:val="none" w:sz="0" w:space="0" w:color="auto"/>
                    <w:right w:val="none" w:sz="0" w:space="0" w:color="auto"/>
                  </w:divBdr>
                  <w:divsChild>
                    <w:div w:id="6410382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49891">
      <w:bodyDiv w:val="1"/>
      <w:marLeft w:val="0"/>
      <w:marRight w:val="0"/>
      <w:marTop w:val="0"/>
      <w:marBottom w:val="0"/>
      <w:divBdr>
        <w:top w:val="none" w:sz="0" w:space="0" w:color="auto"/>
        <w:left w:val="none" w:sz="0" w:space="0" w:color="auto"/>
        <w:bottom w:val="none" w:sz="0" w:space="0" w:color="auto"/>
        <w:right w:val="none" w:sz="0" w:space="0" w:color="auto"/>
      </w:divBdr>
    </w:div>
    <w:div w:id="7053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7695D-BB38-4343-9CF4-F02255DF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3</cp:revision>
  <cp:lastPrinted>2013-04-03T16:35:00Z</cp:lastPrinted>
  <dcterms:created xsi:type="dcterms:W3CDTF">2013-04-02T12:02:00Z</dcterms:created>
  <dcterms:modified xsi:type="dcterms:W3CDTF">2013-04-03T16:35:00Z</dcterms:modified>
</cp:coreProperties>
</file>