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7356AF">
        <w:rPr>
          <w:rFonts w:ascii="Arial" w:hAnsi="Arial" w:cs="Arial"/>
          <w:b/>
          <w:spacing w:val="-3"/>
          <w:szCs w:val="24"/>
        </w:rPr>
        <w:t>16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356AF">
        <w:rPr>
          <w:rFonts w:ascii="Arial" w:hAnsi="Arial" w:cs="Arial"/>
          <w:spacing w:val="-3"/>
          <w:szCs w:val="24"/>
        </w:rPr>
        <w:t>C-2013-2358033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356AF">
        <w:rPr>
          <w:rFonts w:ascii="Arial" w:hAnsi="Arial" w:cs="Arial"/>
          <w:spacing w:val="-3"/>
          <w:szCs w:val="24"/>
        </w:rPr>
        <w:t>JOHN ROSSITER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 xml:space="preserve">Or, you may satisfy the complaint by settling the matter with the Complainant and submitting proof of settlement to the </w:t>
      </w:r>
      <w:bookmarkStart w:id="0" w:name="_GoBack"/>
      <w:r w:rsidRPr="000B1B7B">
        <w:rPr>
          <w:rFonts w:ascii="Arial" w:hAnsi="Arial" w:cs="Arial"/>
          <w:spacing w:val="-3"/>
          <w:szCs w:val="24"/>
        </w:rPr>
        <w:t xml:space="preserve">Commission </w:t>
      </w:r>
      <w:bookmarkEnd w:id="0"/>
      <w:r w:rsidRPr="000B1B7B">
        <w:rPr>
          <w:rFonts w:ascii="Arial" w:hAnsi="Arial" w:cs="Arial"/>
          <w:spacing w:val="-3"/>
          <w:szCs w:val="24"/>
        </w:rPr>
        <w:t>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7356AF">
        <w:rPr>
          <w:rFonts w:ascii="Arial" w:hAnsi="Arial" w:cs="Arial"/>
          <w:spacing w:val="-3"/>
          <w:szCs w:val="24"/>
        </w:rPr>
        <w:t>16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7356AF">
        <w:rPr>
          <w:rFonts w:ascii="Arial" w:hAnsi="Arial" w:cs="Arial"/>
          <w:b/>
          <w:spacing w:val="-3"/>
          <w:szCs w:val="24"/>
        </w:rPr>
        <w:t>16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356AF" w:rsidP="00904E0D">
            <w:pPr>
              <w:tabs>
                <w:tab w:val="left" w:pos="-720"/>
              </w:tabs>
              <w:suppressAutoHyphens/>
              <w:spacing w:before="90"/>
              <w:rPr>
                <w:rFonts w:ascii="Arial" w:hAnsi="Arial" w:cs="Arial"/>
                <w:spacing w:val="-3"/>
                <w:szCs w:val="24"/>
              </w:rPr>
            </w:pPr>
            <w:r>
              <w:rPr>
                <w:rFonts w:ascii="Arial" w:hAnsi="Arial" w:cs="Arial"/>
                <w:b/>
                <w:spacing w:val="-3"/>
                <w:szCs w:val="24"/>
              </w:rPr>
              <w:t>JOHN ROSSITER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356A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356AF">
              <w:rPr>
                <w:rFonts w:ascii="Arial" w:hAnsi="Arial" w:cs="Arial"/>
                <w:b/>
                <w:spacing w:val="-3"/>
                <w:szCs w:val="24"/>
              </w:rPr>
              <w:t>C-2013-2358033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F4B" w:rsidRDefault="009D6F4B">
      <w:pPr>
        <w:spacing w:line="20" w:lineRule="exact"/>
      </w:pPr>
    </w:p>
  </w:endnote>
  <w:endnote w:type="continuationSeparator" w:id="0">
    <w:p w:rsidR="009D6F4B" w:rsidRDefault="009D6F4B">
      <w:r>
        <w:t xml:space="preserve"> </w:t>
      </w:r>
    </w:p>
  </w:endnote>
  <w:endnote w:type="continuationNotice" w:id="1">
    <w:p w:rsidR="009D6F4B" w:rsidRDefault="009D6F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F4B" w:rsidRDefault="009D6F4B">
      <w:r>
        <w:separator/>
      </w:r>
    </w:p>
  </w:footnote>
  <w:footnote w:type="continuationSeparator" w:id="0">
    <w:p w:rsidR="009D6F4B" w:rsidRDefault="009D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2013-04-16T12:27:00Z</cp:lastPrinted>
  <dcterms:created xsi:type="dcterms:W3CDTF">2013-04-16T12:27:00Z</dcterms:created>
  <dcterms:modified xsi:type="dcterms:W3CDTF">2013-04-16T12:27:00Z</dcterms:modified>
</cp:coreProperties>
</file>