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C23ECD">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C23ECD" w:rsidP="00C23ECD">
      <w:pPr>
        <w:jc w:val="center"/>
        <w:rPr>
          <w:szCs w:val="24"/>
        </w:rPr>
      </w:pPr>
      <w:r>
        <w:rPr>
          <w:szCs w:val="24"/>
        </w:rPr>
        <w:lastRenderedPageBreak/>
        <w:t>April 17, 2013</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2E5260" w:rsidRPr="00BE7C84">
        <w:rPr>
          <w:szCs w:val="24"/>
        </w:rPr>
      </w:r>
      <w:r w:rsidR="002E5260" w:rsidRPr="00BE7C84">
        <w:rPr>
          <w:szCs w:val="24"/>
        </w:rPr>
        <w:fldChar w:fldCharType="end"/>
      </w:r>
      <w:bookmarkEnd w:id="0"/>
    </w:p>
    <w:p w:rsidR="00F2463A" w:rsidRPr="0086709A" w:rsidRDefault="004376E3" w:rsidP="004376E3">
      <w:pPr>
        <w:jc w:val="right"/>
        <w:rPr>
          <w:szCs w:val="24"/>
        </w:rPr>
      </w:pPr>
      <w:r w:rsidRPr="0086709A">
        <w:rPr>
          <w:szCs w:val="24"/>
        </w:rPr>
        <w:t>Docket No</w:t>
      </w:r>
      <w:r w:rsidR="00F2463A" w:rsidRPr="0086709A">
        <w:rPr>
          <w:szCs w:val="24"/>
        </w:rPr>
        <w:t>s</w:t>
      </w:r>
      <w:r w:rsidRPr="0086709A">
        <w:rPr>
          <w:szCs w:val="24"/>
        </w:rPr>
        <w:t xml:space="preserve">. </w:t>
      </w:r>
      <w:r w:rsidR="00F2463A" w:rsidRPr="0086709A">
        <w:rPr>
          <w:szCs w:val="24"/>
        </w:rPr>
        <w:t>A</w:t>
      </w:r>
      <w:r w:rsidRPr="0086709A">
        <w:rPr>
          <w:szCs w:val="24"/>
        </w:rPr>
        <w:t>-20</w:t>
      </w:r>
      <w:r w:rsidR="00F2463A" w:rsidRPr="0086709A">
        <w:rPr>
          <w:szCs w:val="24"/>
        </w:rPr>
        <w:t>12</w:t>
      </w:r>
      <w:r w:rsidRPr="0086709A">
        <w:rPr>
          <w:szCs w:val="24"/>
        </w:rPr>
        <w:t>-</w:t>
      </w:r>
      <w:r w:rsidR="00F2463A" w:rsidRPr="0086709A">
        <w:rPr>
          <w:szCs w:val="24"/>
        </w:rPr>
        <w:t>2326252,</w:t>
      </w:r>
    </w:p>
    <w:p w:rsidR="00F2463A" w:rsidRPr="0086709A" w:rsidRDefault="00F2463A" w:rsidP="004376E3">
      <w:pPr>
        <w:jc w:val="right"/>
        <w:rPr>
          <w:szCs w:val="24"/>
        </w:rPr>
      </w:pPr>
      <w:r w:rsidRPr="0086709A">
        <w:rPr>
          <w:szCs w:val="24"/>
        </w:rPr>
        <w:t>A-2012-2326253, A-2012-2326255</w:t>
      </w:r>
    </w:p>
    <w:p w:rsidR="00F2463A" w:rsidRPr="0086709A" w:rsidRDefault="00F2463A" w:rsidP="004376E3">
      <w:pPr>
        <w:jc w:val="right"/>
        <w:rPr>
          <w:szCs w:val="24"/>
        </w:rPr>
      </w:pPr>
      <w:r w:rsidRPr="0086709A">
        <w:rPr>
          <w:szCs w:val="24"/>
        </w:rPr>
        <w:t>A-2012-2326256, A-2012-2326258</w:t>
      </w:r>
    </w:p>
    <w:p w:rsidR="004376E3" w:rsidRPr="0086709A" w:rsidRDefault="00F2463A" w:rsidP="004376E3">
      <w:pPr>
        <w:jc w:val="right"/>
        <w:rPr>
          <w:szCs w:val="24"/>
        </w:rPr>
      </w:pPr>
      <w:r w:rsidRPr="0086709A">
        <w:rPr>
          <w:szCs w:val="24"/>
        </w:rPr>
        <w:t>and A-2012-2326259</w:t>
      </w:r>
      <w:r w:rsidR="002E5260" w:rsidRPr="0086709A">
        <w:rPr>
          <w:szCs w:val="24"/>
        </w:rPr>
        <w:fldChar w:fldCharType="begin">
          <w:ffData>
            <w:name w:val="Text15"/>
            <w:enabled/>
            <w:calcOnExit w:val="0"/>
            <w:textInput/>
          </w:ffData>
        </w:fldChar>
      </w:r>
      <w:r w:rsidR="004376E3" w:rsidRPr="0086709A">
        <w:rPr>
          <w:szCs w:val="24"/>
        </w:rPr>
        <w:instrText xml:space="preserve"> FORMTEXT </w:instrText>
      </w:r>
      <w:r w:rsidR="002E5260" w:rsidRPr="0086709A">
        <w:rPr>
          <w:szCs w:val="24"/>
        </w:rPr>
      </w:r>
      <w:r w:rsidR="002E5260" w:rsidRPr="0086709A">
        <w:rPr>
          <w:szCs w:val="24"/>
        </w:rPr>
        <w:fldChar w:fldCharType="end"/>
      </w:r>
    </w:p>
    <w:p w:rsidR="004376E3" w:rsidRPr="0086709A" w:rsidRDefault="004376E3" w:rsidP="004376E3">
      <w:pPr>
        <w:pStyle w:val="BodyText"/>
        <w:jc w:val="right"/>
      </w:pPr>
      <w:r w:rsidRPr="0086709A">
        <w:rPr>
          <w:szCs w:val="24"/>
        </w:rPr>
        <w:t xml:space="preserve">                                                                           </w:t>
      </w:r>
      <w:r w:rsidRPr="0086709A">
        <w:t xml:space="preserve">Utility Code: </w:t>
      </w:r>
      <w:r w:rsidR="00F2463A" w:rsidRPr="0086709A">
        <w:t>310781</w:t>
      </w:r>
    </w:p>
    <w:p w:rsidR="004376E3" w:rsidRPr="0086709A" w:rsidRDefault="00F2463A" w:rsidP="004376E3">
      <w:pPr>
        <w:rPr>
          <w:caps/>
          <w:szCs w:val="24"/>
        </w:rPr>
      </w:pPr>
      <w:r w:rsidRPr="0086709A">
        <w:rPr>
          <w:caps/>
          <w:szCs w:val="24"/>
        </w:rPr>
        <w:t>TOM M FORTE</w:t>
      </w:r>
      <w:r w:rsidR="004376E3" w:rsidRPr="0086709A">
        <w:rPr>
          <w:caps/>
          <w:szCs w:val="24"/>
        </w:rPr>
        <w:t xml:space="preserve">                                                   </w:t>
      </w:r>
    </w:p>
    <w:p w:rsidR="004376E3" w:rsidRPr="0086709A" w:rsidRDefault="00F2463A" w:rsidP="004376E3">
      <w:pPr>
        <w:rPr>
          <w:szCs w:val="24"/>
        </w:rPr>
      </w:pPr>
      <w:r w:rsidRPr="0086709A">
        <w:rPr>
          <w:szCs w:val="24"/>
        </w:rPr>
        <w:t>TECHNOLOGIES MANAGEMENT INC</w:t>
      </w:r>
    </w:p>
    <w:p w:rsidR="004376E3" w:rsidRPr="0086709A" w:rsidRDefault="00F2463A" w:rsidP="004376E3">
      <w:pPr>
        <w:rPr>
          <w:szCs w:val="24"/>
        </w:rPr>
      </w:pPr>
      <w:r w:rsidRPr="0086709A">
        <w:rPr>
          <w:szCs w:val="24"/>
        </w:rPr>
        <w:t>2600 MAITLAND CENTER PARKWAY</w:t>
      </w:r>
    </w:p>
    <w:p w:rsidR="00F2463A" w:rsidRPr="0086709A" w:rsidRDefault="00F2463A" w:rsidP="004376E3">
      <w:pPr>
        <w:rPr>
          <w:szCs w:val="24"/>
        </w:rPr>
      </w:pPr>
      <w:r w:rsidRPr="0086709A">
        <w:rPr>
          <w:szCs w:val="24"/>
        </w:rPr>
        <w:t>SUITE 300</w:t>
      </w:r>
    </w:p>
    <w:p w:rsidR="004376E3" w:rsidRPr="0086709A" w:rsidRDefault="00F2463A" w:rsidP="004376E3">
      <w:pPr>
        <w:rPr>
          <w:szCs w:val="24"/>
        </w:rPr>
      </w:pPr>
      <w:r w:rsidRPr="0086709A">
        <w:rPr>
          <w:szCs w:val="24"/>
        </w:rPr>
        <w:t>MAITLAND</w:t>
      </w:r>
      <w:r w:rsidR="004376E3" w:rsidRPr="0086709A">
        <w:rPr>
          <w:szCs w:val="24"/>
        </w:rPr>
        <w:t xml:space="preserve"> </w:t>
      </w:r>
      <w:r w:rsidR="006D6676" w:rsidRPr="0086709A">
        <w:rPr>
          <w:szCs w:val="24"/>
        </w:rPr>
        <w:t xml:space="preserve">FL </w:t>
      </w:r>
      <w:r w:rsidR="004376E3" w:rsidRPr="0086709A">
        <w:rPr>
          <w:szCs w:val="24"/>
        </w:rPr>
        <w:t xml:space="preserve"> </w:t>
      </w:r>
      <w:r w:rsidRPr="0086709A">
        <w:rPr>
          <w:szCs w:val="24"/>
        </w:rPr>
        <w:t>32751</w:t>
      </w:r>
    </w:p>
    <w:p w:rsidR="004376E3" w:rsidRPr="0086709A" w:rsidRDefault="004376E3" w:rsidP="004376E3">
      <w:pPr>
        <w:ind w:left="-90" w:firstLine="90"/>
        <w:jc w:val="both"/>
        <w:rPr>
          <w:szCs w:val="24"/>
        </w:rPr>
      </w:pPr>
    </w:p>
    <w:p w:rsidR="004376E3" w:rsidRPr="0086709A" w:rsidRDefault="004376E3" w:rsidP="004376E3">
      <w:pPr>
        <w:ind w:left="-90" w:firstLine="90"/>
        <w:jc w:val="both"/>
        <w:rPr>
          <w:szCs w:val="24"/>
        </w:rPr>
      </w:pPr>
    </w:p>
    <w:p w:rsidR="00A43929" w:rsidRPr="0086709A" w:rsidRDefault="004376E3" w:rsidP="00A43929">
      <w:pPr>
        <w:ind w:left="1440" w:hanging="720"/>
        <w:jc w:val="both"/>
        <w:rPr>
          <w:szCs w:val="24"/>
        </w:rPr>
      </w:pPr>
      <w:r w:rsidRPr="0086709A">
        <w:rPr>
          <w:szCs w:val="24"/>
        </w:rPr>
        <w:t>Re:</w:t>
      </w:r>
      <w:r w:rsidRPr="0086709A">
        <w:rPr>
          <w:szCs w:val="24"/>
        </w:rPr>
        <w:tab/>
      </w:r>
      <w:r w:rsidR="00A43929" w:rsidRPr="0086709A">
        <w:rPr>
          <w:szCs w:val="24"/>
        </w:rPr>
        <w:t>Choice One Communications of Pennsylvania, Inc., Conversent Communications of Pennsylvania LLC, CTC Communications Corporation, DeltaCom LLC f/k/a DeltaCom Inc., Lightship Telecom, LLC, and EarthLink Business LLC f/k/a New Edge Network Inc.</w:t>
      </w:r>
    </w:p>
    <w:p w:rsidR="004376E3" w:rsidRPr="0086709A" w:rsidRDefault="004376E3" w:rsidP="00A43929">
      <w:pPr>
        <w:ind w:left="1440"/>
        <w:jc w:val="both"/>
        <w:rPr>
          <w:szCs w:val="24"/>
        </w:rPr>
      </w:pPr>
      <w:r w:rsidRPr="0086709A">
        <w:rPr>
          <w:szCs w:val="24"/>
        </w:rPr>
        <w:t>Revisions to Competitive Local Exchange Service</w:t>
      </w:r>
      <w:r w:rsidR="00A43929" w:rsidRPr="0086709A">
        <w:rPr>
          <w:szCs w:val="24"/>
        </w:rPr>
        <w:t xml:space="preserve">, </w:t>
      </w:r>
      <w:r w:rsidRPr="0086709A">
        <w:rPr>
          <w:szCs w:val="24"/>
        </w:rPr>
        <w:t>Competitive Access Provider Service</w:t>
      </w:r>
      <w:r w:rsidR="00A43929" w:rsidRPr="0086709A">
        <w:rPr>
          <w:szCs w:val="24"/>
        </w:rPr>
        <w:t xml:space="preserve"> and Interexchange Carrier</w:t>
      </w:r>
      <w:r w:rsidRPr="0086709A">
        <w:rPr>
          <w:szCs w:val="24"/>
        </w:rPr>
        <w:t xml:space="preserve"> Tariff</w:t>
      </w:r>
      <w:r w:rsidR="00A43929" w:rsidRPr="0086709A">
        <w:rPr>
          <w:szCs w:val="24"/>
        </w:rPr>
        <w:t>s</w:t>
      </w:r>
      <w:r w:rsidRPr="0086709A">
        <w:rPr>
          <w:szCs w:val="24"/>
        </w:rPr>
        <w:t xml:space="preserve"> </w:t>
      </w:r>
    </w:p>
    <w:p w:rsidR="004376E3" w:rsidRPr="0086709A" w:rsidRDefault="004376E3" w:rsidP="004376E3">
      <w:pPr>
        <w:rPr>
          <w:szCs w:val="24"/>
        </w:rPr>
      </w:pPr>
    </w:p>
    <w:p w:rsidR="004376E3" w:rsidRPr="0086709A" w:rsidRDefault="004376E3" w:rsidP="004376E3">
      <w:pPr>
        <w:rPr>
          <w:szCs w:val="24"/>
        </w:rPr>
      </w:pPr>
      <w:r w:rsidRPr="0086709A">
        <w:rPr>
          <w:szCs w:val="24"/>
        </w:rPr>
        <w:t>Dear M</w:t>
      </w:r>
      <w:r w:rsidR="00A43929" w:rsidRPr="0086709A">
        <w:rPr>
          <w:szCs w:val="24"/>
        </w:rPr>
        <w:t>r. Forte</w:t>
      </w:r>
      <w:r w:rsidRPr="0086709A">
        <w:rPr>
          <w:szCs w:val="24"/>
        </w:rPr>
        <w:t>:</w:t>
      </w:r>
    </w:p>
    <w:p w:rsidR="00734009" w:rsidRPr="0086709A" w:rsidRDefault="00734009" w:rsidP="00734009">
      <w:pPr>
        <w:pStyle w:val="BodyText"/>
        <w:spacing w:before="240"/>
        <w:ind w:firstLine="720"/>
        <w:rPr>
          <w:szCs w:val="24"/>
        </w:rPr>
      </w:pPr>
      <w:r w:rsidRPr="0086709A">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86709A"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86709A" w:rsidRPr="0086709A" w:rsidTr="00D20922">
        <w:trPr>
          <w:tblHeader/>
          <w:jc w:val="center"/>
        </w:trPr>
        <w:tc>
          <w:tcPr>
            <w:tcW w:w="1471" w:type="dxa"/>
          </w:tcPr>
          <w:p w:rsidR="009575BA" w:rsidRPr="0086709A" w:rsidRDefault="009575BA" w:rsidP="00D20922">
            <w:pPr>
              <w:pStyle w:val="BodyText"/>
              <w:jc w:val="center"/>
              <w:rPr>
                <w:b/>
                <w:szCs w:val="24"/>
              </w:rPr>
            </w:pPr>
            <w:r w:rsidRPr="0086709A">
              <w:rPr>
                <w:b/>
                <w:szCs w:val="24"/>
              </w:rPr>
              <w:t xml:space="preserve">Supplement </w:t>
            </w:r>
          </w:p>
        </w:tc>
        <w:tc>
          <w:tcPr>
            <w:tcW w:w="900" w:type="dxa"/>
          </w:tcPr>
          <w:p w:rsidR="009575BA" w:rsidRPr="0086709A" w:rsidRDefault="009575BA" w:rsidP="00D20922">
            <w:pPr>
              <w:pStyle w:val="BodyText"/>
              <w:jc w:val="center"/>
              <w:rPr>
                <w:b/>
                <w:szCs w:val="24"/>
              </w:rPr>
            </w:pPr>
            <w:r w:rsidRPr="0086709A">
              <w:rPr>
                <w:b/>
                <w:szCs w:val="24"/>
              </w:rPr>
              <w:t xml:space="preserve">Tariff </w:t>
            </w:r>
          </w:p>
        </w:tc>
        <w:tc>
          <w:tcPr>
            <w:tcW w:w="4193" w:type="dxa"/>
          </w:tcPr>
          <w:p w:rsidR="009575BA" w:rsidRPr="0086709A" w:rsidRDefault="009575BA" w:rsidP="00D20922">
            <w:pPr>
              <w:pStyle w:val="BodyText"/>
              <w:jc w:val="center"/>
              <w:rPr>
                <w:b/>
                <w:szCs w:val="24"/>
              </w:rPr>
            </w:pPr>
            <w:r w:rsidRPr="0086709A">
              <w:rPr>
                <w:b/>
                <w:szCs w:val="24"/>
              </w:rPr>
              <w:t>Description</w:t>
            </w:r>
          </w:p>
        </w:tc>
        <w:tc>
          <w:tcPr>
            <w:tcW w:w="1350" w:type="dxa"/>
          </w:tcPr>
          <w:p w:rsidR="009575BA" w:rsidRPr="0086709A" w:rsidRDefault="009575BA" w:rsidP="00D20922">
            <w:pPr>
              <w:pStyle w:val="BodyText"/>
              <w:jc w:val="center"/>
              <w:rPr>
                <w:b/>
                <w:szCs w:val="24"/>
              </w:rPr>
            </w:pPr>
            <w:r w:rsidRPr="0086709A">
              <w:rPr>
                <w:b/>
                <w:szCs w:val="24"/>
              </w:rPr>
              <w:t>Filed</w:t>
            </w:r>
          </w:p>
        </w:tc>
        <w:tc>
          <w:tcPr>
            <w:tcW w:w="1327" w:type="dxa"/>
          </w:tcPr>
          <w:p w:rsidR="009575BA" w:rsidRPr="0086709A" w:rsidRDefault="009575BA" w:rsidP="00D20922">
            <w:pPr>
              <w:pStyle w:val="BodyText"/>
              <w:jc w:val="center"/>
              <w:rPr>
                <w:b/>
                <w:szCs w:val="24"/>
              </w:rPr>
            </w:pPr>
            <w:r w:rsidRPr="0086709A">
              <w:rPr>
                <w:b/>
                <w:szCs w:val="24"/>
              </w:rPr>
              <w:t>Effective</w:t>
            </w:r>
          </w:p>
        </w:tc>
      </w:tr>
      <w:tr w:rsidR="0086709A" w:rsidRPr="0086709A" w:rsidTr="00D20922">
        <w:trPr>
          <w:jc w:val="center"/>
        </w:trPr>
        <w:tc>
          <w:tcPr>
            <w:tcW w:w="1471" w:type="dxa"/>
          </w:tcPr>
          <w:p w:rsidR="009575BA" w:rsidRPr="0086709A" w:rsidRDefault="006D6676" w:rsidP="00D20922">
            <w:pPr>
              <w:pStyle w:val="BodyText"/>
              <w:jc w:val="center"/>
              <w:rPr>
                <w:szCs w:val="24"/>
              </w:rPr>
            </w:pPr>
            <w:r w:rsidRPr="0086709A">
              <w:rPr>
                <w:szCs w:val="24"/>
              </w:rPr>
              <w:t>15</w:t>
            </w:r>
          </w:p>
        </w:tc>
        <w:tc>
          <w:tcPr>
            <w:tcW w:w="900" w:type="dxa"/>
          </w:tcPr>
          <w:p w:rsidR="009575BA" w:rsidRPr="0086709A" w:rsidRDefault="006D6676" w:rsidP="00D20922">
            <w:pPr>
              <w:pStyle w:val="BodyText"/>
              <w:jc w:val="center"/>
              <w:rPr>
                <w:szCs w:val="24"/>
              </w:rPr>
            </w:pPr>
            <w:r w:rsidRPr="0086709A">
              <w:rPr>
                <w:szCs w:val="24"/>
              </w:rPr>
              <w:t>2</w:t>
            </w:r>
          </w:p>
        </w:tc>
        <w:tc>
          <w:tcPr>
            <w:tcW w:w="4193" w:type="dxa"/>
          </w:tcPr>
          <w:p w:rsidR="009575BA" w:rsidRPr="0086709A" w:rsidRDefault="006D6676" w:rsidP="006D6676">
            <w:pPr>
              <w:pStyle w:val="BodyText"/>
              <w:rPr>
                <w:szCs w:val="24"/>
              </w:rPr>
            </w:pPr>
            <w:r w:rsidRPr="0086709A">
              <w:rPr>
                <w:szCs w:val="24"/>
              </w:rPr>
              <w:t>DeltaCom, LLC d/b/a EarthLink Business I, f/k/a DeltaCom, Inc. d/b/a EarthLink Business I due to intra company changes</w:t>
            </w:r>
          </w:p>
        </w:tc>
        <w:tc>
          <w:tcPr>
            <w:tcW w:w="1350" w:type="dxa"/>
          </w:tcPr>
          <w:p w:rsidR="009575BA" w:rsidRPr="0086709A" w:rsidRDefault="006D6676" w:rsidP="00D20922">
            <w:pPr>
              <w:pStyle w:val="BodyText"/>
              <w:jc w:val="center"/>
              <w:rPr>
                <w:szCs w:val="24"/>
              </w:rPr>
            </w:pPr>
            <w:r w:rsidRPr="0086709A">
              <w:rPr>
                <w:szCs w:val="24"/>
              </w:rPr>
              <w:t>12/28/2012</w:t>
            </w:r>
          </w:p>
        </w:tc>
        <w:tc>
          <w:tcPr>
            <w:tcW w:w="1327" w:type="dxa"/>
          </w:tcPr>
          <w:p w:rsidR="009575BA" w:rsidRPr="0086709A" w:rsidRDefault="006D6676" w:rsidP="00D20922">
            <w:pPr>
              <w:pStyle w:val="BodyText"/>
              <w:jc w:val="center"/>
              <w:rPr>
                <w:szCs w:val="24"/>
              </w:rPr>
            </w:pPr>
            <w:r w:rsidRPr="0086709A">
              <w:rPr>
                <w:szCs w:val="24"/>
              </w:rPr>
              <w:t>12/29/2012</w:t>
            </w:r>
          </w:p>
        </w:tc>
      </w:tr>
      <w:tr w:rsidR="006D6676" w:rsidRPr="0086709A" w:rsidTr="00D20922">
        <w:trPr>
          <w:jc w:val="center"/>
        </w:trPr>
        <w:tc>
          <w:tcPr>
            <w:tcW w:w="1471" w:type="dxa"/>
          </w:tcPr>
          <w:p w:rsidR="006D6676" w:rsidRPr="0086709A" w:rsidRDefault="006D6676" w:rsidP="00D20922">
            <w:pPr>
              <w:pStyle w:val="BodyText"/>
              <w:jc w:val="center"/>
              <w:rPr>
                <w:szCs w:val="24"/>
              </w:rPr>
            </w:pPr>
            <w:r w:rsidRPr="0086709A">
              <w:rPr>
                <w:szCs w:val="24"/>
              </w:rPr>
              <w:t>2</w:t>
            </w:r>
          </w:p>
        </w:tc>
        <w:tc>
          <w:tcPr>
            <w:tcW w:w="900" w:type="dxa"/>
          </w:tcPr>
          <w:p w:rsidR="006D6676" w:rsidRPr="0086709A" w:rsidRDefault="006D6676" w:rsidP="00D20922">
            <w:pPr>
              <w:pStyle w:val="BodyText"/>
              <w:jc w:val="center"/>
              <w:rPr>
                <w:szCs w:val="24"/>
              </w:rPr>
            </w:pPr>
            <w:r w:rsidRPr="0086709A">
              <w:rPr>
                <w:szCs w:val="24"/>
              </w:rPr>
              <w:t>2</w:t>
            </w:r>
          </w:p>
        </w:tc>
        <w:tc>
          <w:tcPr>
            <w:tcW w:w="4193" w:type="dxa"/>
          </w:tcPr>
          <w:p w:rsidR="006D6676" w:rsidRPr="0086709A" w:rsidRDefault="006D6676" w:rsidP="00D20922">
            <w:pPr>
              <w:pStyle w:val="BodyText"/>
              <w:rPr>
                <w:szCs w:val="24"/>
              </w:rPr>
            </w:pPr>
            <w:r w:rsidRPr="0086709A">
              <w:rPr>
                <w:szCs w:val="24"/>
              </w:rPr>
              <w:t>EarthLink Business, LLC f/k/a New Edge Networks, Inc. d/b/a EarthLink Business II due to intra company changes</w:t>
            </w:r>
          </w:p>
        </w:tc>
        <w:tc>
          <w:tcPr>
            <w:tcW w:w="1350" w:type="dxa"/>
          </w:tcPr>
          <w:p w:rsidR="006D6676" w:rsidRPr="0086709A" w:rsidRDefault="006D6676" w:rsidP="00D20922">
            <w:pPr>
              <w:pStyle w:val="BodyText"/>
              <w:jc w:val="center"/>
              <w:rPr>
                <w:szCs w:val="24"/>
              </w:rPr>
            </w:pPr>
            <w:r w:rsidRPr="0086709A">
              <w:rPr>
                <w:szCs w:val="24"/>
              </w:rPr>
              <w:t>12/28/2012</w:t>
            </w:r>
          </w:p>
        </w:tc>
        <w:tc>
          <w:tcPr>
            <w:tcW w:w="1327" w:type="dxa"/>
          </w:tcPr>
          <w:p w:rsidR="006D6676" w:rsidRPr="0086709A" w:rsidRDefault="006D6676" w:rsidP="00D20922">
            <w:pPr>
              <w:pStyle w:val="BodyText"/>
              <w:jc w:val="center"/>
              <w:rPr>
                <w:szCs w:val="24"/>
              </w:rPr>
            </w:pPr>
            <w:r w:rsidRPr="0086709A">
              <w:rPr>
                <w:szCs w:val="24"/>
              </w:rPr>
              <w:t>12/29/2012</w:t>
            </w:r>
          </w:p>
        </w:tc>
      </w:tr>
      <w:tr w:rsidR="006D6676" w:rsidRPr="0086709A" w:rsidTr="00D20922">
        <w:trPr>
          <w:jc w:val="center"/>
        </w:trPr>
        <w:tc>
          <w:tcPr>
            <w:tcW w:w="1471" w:type="dxa"/>
          </w:tcPr>
          <w:p w:rsidR="006D6676" w:rsidRPr="0086709A" w:rsidRDefault="00403538" w:rsidP="00D20922">
            <w:pPr>
              <w:pStyle w:val="BodyText"/>
              <w:jc w:val="center"/>
              <w:rPr>
                <w:szCs w:val="24"/>
              </w:rPr>
            </w:pPr>
            <w:r w:rsidRPr="0086709A">
              <w:rPr>
                <w:szCs w:val="24"/>
              </w:rPr>
              <w:t>2</w:t>
            </w:r>
          </w:p>
        </w:tc>
        <w:tc>
          <w:tcPr>
            <w:tcW w:w="900" w:type="dxa"/>
          </w:tcPr>
          <w:p w:rsidR="006D6676" w:rsidRPr="0086709A" w:rsidRDefault="00403538" w:rsidP="00D20922">
            <w:pPr>
              <w:pStyle w:val="BodyText"/>
              <w:jc w:val="center"/>
              <w:rPr>
                <w:szCs w:val="24"/>
              </w:rPr>
            </w:pPr>
            <w:r w:rsidRPr="0086709A">
              <w:rPr>
                <w:szCs w:val="24"/>
              </w:rPr>
              <w:t>3</w:t>
            </w:r>
          </w:p>
        </w:tc>
        <w:tc>
          <w:tcPr>
            <w:tcW w:w="4193" w:type="dxa"/>
          </w:tcPr>
          <w:p w:rsidR="006D6676" w:rsidRPr="0086709A" w:rsidRDefault="00403538" w:rsidP="00D20922">
            <w:pPr>
              <w:pStyle w:val="BodyText"/>
              <w:rPr>
                <w:szCs w:val="24"/>
              </w:rPr>
            </w:pPr>
            <w:r w:rsidRPr="0086709A">
              <w:rPr>
                <w:szCs w:val="24"/>
              </w:rPr>
              <w:t>EarthLink Business, LLC f/k/a New Edge Networks, Inc. d/b/a EarthLink Business II due to intra company changes</w:t>
            </w:r>
          </w:p>
        </w:tc>
        <w:tc>
          <w:tcPr>
            <w:tcW w:w="1350" w:type="dxa"/>
          </w:tcPr>
          <w:p w:rsidR="006D6676" w:rsidRPr="0086709A" w:rsidRDefault="00403538" w:rsidP="00D20922">
            <w:pPr>
              <w:pStyle w:val="BodyText"/>
              <w:jc w:val="center"/>
              <w:rPr>
                <w:szCs w:val="24"/>
              </w:rPr>
            </w:pPr>
            <w:r w:rsidRPr="0086709A">
              <w:rPr>
                <w:szCs w:val="24"/>
              </w:rPr>
              <w:t>12/28/2012</w:t>
            </w:r>
          </w:p>
        </w:tc>
        <w:tc>
          <w:tcPr>
            <w:tcW w:w="1327" w:type="dxa"/>
          </w:tcPr>
          <w:p w:rsidR="006D6676" w:rsidRPr="0086709A" w:rsidRDefault="00403538" w:rsidP="00D20922">
            <w:pPr>
              <w:pStyle w:val="BodyText"/>
              <w:jc w:val="center"/>
              <w:rPr>
                <w:szCs w:val="24"/>
              </w:rPr>
            </w:pPr>
            <w:r w:rsidRPr="0086709A">
              <w:rPr>
                <w:szCs w:val="24"/>
              </w:rPr>
              <w:t>12/29/2012</w:t>
            </w:r>
          </w:p>
        </w:tc>
      </w:tr>
      <w:tr w:rsidR="00403538" w:rsidRPr="0086709A" w:rsidTr="00D20922">
        <w:trPr>
          <w:jc w:val="center"/>
        </w:trPr>
        <w:tc>
          <w:tcPr>
            <w:tcW w:w="1471" w:type="dxa"/>
          </w:tcPr>
          <w:p w:rsidR="00403538" w:rsidRPr="0086709A" w:rsidRDefault="00190B45" w:rsidP="00D20922">
            <w:pPr>
              <w:pStyle w:val="BodyText"/>
              <w:jc w:val="center"/>
              <w:rPr>
                <w:szCs w:val="24"/>
              </w:rPr>
            </w:pPr>
            <w:r w:rsidRPr="0086709A">
              <w:rPr>
                <w:szCs w:val="24"/>
              </w:rPr>
              <w:lastRenderedPageBreak/>
              <w:t>2</w:t>
            </w:r>
          </w:p>
        </w:tc>
        <w:tc>
          <w:tcPr>
            <w:tcW w:w="900" w:type="dxa"/>
          </w:tcPr>
          <w:p w:rsidR="00403538" w:rsidRPr="0086709A" w:rsidRDefault="00190B45" w:rsidP="00D20922">
            <w:pPr>
              <w:pStyle w:val="BodyText"/>
              <w:jc w:val="center"/>
              <w:rPr>
                <w:szCs w:val="24"/>
              </w:rPr>
            </w:pPr>
            <w:r w:rsidRPr="0086709A">
              <w:rPr>
                <w:szCs w:val="24"/>
              </w:rPr>
              <w:t>4</w:t>
            </w:r>
          </w:p>
        </w:tc>
        <w:tc>
          <w:tcPr>
            <w:tcW w:w="4193" w:type="dxa"/>
          </w:tcPr>
          <w:p w:rsidR="00403538" w:rsidRPr="0086709A" w:rsidRDefault="00190B45" w:rsidP="00D20922">
            <w:pPr>
              <w:pStyle w:val="BodyText"/>
              <w:rPr>
                <w:szCs w:val="24"/>
              </w:rPr>
            </w:pPr>
            <w:r w:rsidRPr="0086709A">
              <w:rPr>
                <w:szCs w:val="24"/>
              </w:rPr>
              <w:t>EarthLink Business, LLC f/k/a New Edge Network, Inc. d/b/a EarthLink Business II due to intra company changes</w:t>
            </w:r>
          </w:p>
        </w:tc>
        <w:tc>
          <w:tcPr>
            <w:tcW w:w="1350" w:type="dxa"/>
          </w:tcPr>
          <w:p w:rsidR="00403538" w:rsidRPr="0086709A" w:rsidRDefault="00190B45" w:rsidP="00D20922">
            <w:pPr>
              <w:pStyle w:val="BodyText"/>
              <w:jc w:val="center"/>
              <w:rPr>
                <w:szCs w:val="24"/>
              </w:rPr>
            </w:pPr>
            <w:r w:rsidRPr="0086709A">
              <w:rPr>
                <w:szCs w:val="24"/>
              </w:rPr>
              <w:t>12/28/2012</w:t>
            </w:r>
          </w:p>
        </w:tc>
        <w:tc>
          <w:tcPr>
            <w:tcW w:w="1327" w:type="dxa"/>
          </w:tcPr>
          <w:p w:rsidR="00403538" w:rsidRPr="0086709A" w:rsidRDefault="00190B45" w:rsidP="00D20922">
            <w:pPr>
              <w:pStyle w:val="BodyText"/>
              <w:jc w:val="center"/>
              <w:rPr>
                <w:szCs w:val="24"/>
              </w:rPr>
            </w:pPr>
            <w:r w:rsidRPr="0086709A">
              <w:rPr>
                <w:szCs w:val="24"/>
              </w:rPr>
              <w:t>12/29/2012</w:t>
            </w:r>
          </w:p>
        </w:tc>
      </w:tr>
      <w:tr w:rsidR="00190B45" w:rsidRPr="0086709A" w:rsidTr="00D20922">
        <w:trPr>
          <w:jc w:val="center"/>
        </w:trPr>
        <w:tc>
          <w:tcPr>
            <w:tcW w:w="1471" w:type="dxa"/>
          </w:tcPr>
          <w:p w:rsidR="00190B45" w:rsidRPr="0086709A" w:rsidRDefault="00190B45" w:rsidP="00D20922">
            <w:pPr>
              <w:pStyle w:val="BodyText"/>
              <w:jc w:val="center"/>
              <w:rPr>
                <w:szCs w:val="24"/>
              </w:rPr>
            </w:pPr>
            <w:r w:rsidRPr="0086709A">
              <w:rPr>
                <w:szCs w:val="24"/>
              </w:rPr>
              <w:t>1</w:t>
            </w:r>
          </w:p>
        </w:tc>
        <w:tc>
          <w:tcPr>
            <w:tcW w:w="900" w:type="dxa"/>
          </w:tcPr>
          <w:p w:rsidR="00190B45" w:rsidRPr="0086709A" w:rsidRDefault="00190B45" w:rsidP="00D20922">
            <w:pPr>
              <w:pStyle w:val="BodyText"/>
              <w:jc w:val="center"/>
              <w:rPr>
                <w:szCs w:val="24"/>
              </w:rPr>
            </w:pPr>
            <w:r w:rsidRPr="0086709A">
              <w:rPr>
                <w:szCs w:val="24"/>
              </w:rPr>
              <w:t>5</w:t>
            </w:r>
          </w:p>
        </w:tc>
        <w:tc>
          <w:tcPr>
            <w:tcW w:w="4193" w:type="dxa"/>
          </w:tcPr>
          <w:p w:rsidR="00190B45" w:rsidRPr="0086709A" w:rsidRDefault="00190B45" w:rsidP="00D20922">
            <w:pPr>
              <w:pStyle w:val="BodyText"/>
              <w:rPr>
                <w:szCs w:val="24"/>
              </w:rPr>
            </w:pPr>
            <w:r w:rsidRPr="0086709A">
              <w:rPr>
                <w:szCs w:val="24"/>
              </w:rPr>
              <w:t>EarthLink Business, LLC f/k/a New Edge Network, Inc. d/b/a EarthLink Business II due to intra company changes</w:t>
            </w:r>
          </w:p>
        </w:tc>
        <w:tc>
          <w:tcPr>
            <w:tcW w:w="1350" w:type="dxa"/>
          </w:tcPr>
          <w:p w:rsidR="00190B45" w:rsidRPr="0086709A" w:rsidRDefault="00190B45" w:rsidP="00D20922">
            <w:pPr>
              <w:pStyle w:val="BodyText"/>
              <w:jc w:val="center"/>
              <w:rPr>
                <w:szCs w:val="24"/>
              </w:rPr>
            </w:pPr>
            <w:r w:rsidRPr="0086709A">
              <w:rPr>
                <w:szCs w:val="24"/>
              </w:rPr>
              <w:t>12/28/2012</w:t>
            </w:r>
          </w:p>
        </w:tc>
        <w:tc>
          <w:tcPr>
            <w:tcW w:w="1327" w:type="dxa"/>
          </w:tcPr>
          <w:p w:rsidR="00190B45" w:rsidRPr="0086709A" w:rsidRDefault="00190B45" w:rsidP="00D20922">
            <w:pPr>
              <w:pStyle w:val="BodyText"/>
              <w:jc w:val="center"/>
              <w:rPr>
                <w:szCs w:val="24"/>
              </w:rPr>
            </w:pPr>
            <w:r w:rsidRPr="0086709A">
              <w:rPr>
                <w:szCs w:val="24"/>
              </w:rPr>
              <w:t>12/29/2012</w:t>
            </w:r>
          </w:p>
        </w:tc>
      </w:tr>
    </w:tbl>
    <w:p w:rsidR="009575BA" w:rsidRPr="0086709A" w:rsidRDefault="009575BA" w:rsidP="009575BA">
      <w:pPr>
        <w:pStyle w:val="BodyText"/>
        <w:rPr>
          <w:szCs w:val="24"/>
        </w:rPr>
      </w:pPr>
    </w:p>
    <w:p w:rsidR="009575BA" w:rsidRPr="0086709A" w:rsidRDefault="009575BA" w:rsidP="009575BA">
      <w:pPr>
        <w:pStyle w:val="BodyText"/>
        <w:rPr>
          <w:b/>
          <w:szCs w:val="24"/>
        </w:rPr>
      </w:pPr>
    </w:p>
    <w:p w:rsidR="009575BA" w:rsidRPr="0086709A" w:rsidRDefault="009575BA" w:rsidP="009575BA">
      <w:pPr>
        <w:autoSpaceDE w:val="0"/>
        <w:autoSpaceDN w:val="0"/>
        <w:adjustRightInd w:val="0"/>
        <w:ind w:firstLine="720"/>
        <w:rPr>
          <w:rFonts w:cs="Courier New"/>
          <w:szCs w:val="24"/>
        </w:rPr>
      </w:pPr>
      <w:proofErr w:type="gramStart"/>
      <w:r w:rsidRPr="0086709A">
        <w:rPr>
          <w:rStyle w:val="Strong"/>
          <w:rFonts w:eastAsia="Batang"/>
          <w:b w:val="0"/>
        </w:rPr>
        <w:t>In accord with Docket No.</w:t>
      </w:r>
      <w:proofErr w:type="gramEnd"/>
      <w:r w:rsidRPr="0086709A">
        <w:rPr>
          <w:rStyle w:val="Strong"/>
          <w:rFonts w:eastAsia="Batang"/>
          <w:b w:val="0"/>
        </w:rPr>
        <w:t xml:space="preserve"> M-00981052 and our Secretarial Letters issued September 28, 2000, and November 30, 2001, a Pennsylvania telecommunications carrier is required to </w:t>
      </w:r>
      <w:r w:rsidRPr="0086709A">
        <w:rPr>
          <w:rFonts w:cs="Courier New"/>
          <w:szCs w:val="24"/>
        </w:rPr>
        <w:t>maintain its tariffs on its website with a link to the Commission’s website.  However, staff was unable to access the Company’s current online tariffs.</w:t>
      </w:r>
      <w:r w:rsidRPr="0086709A">
        <w:rPr>
          <w:rFonts w:cs="Courier New"/>
          <w:b/>
          <w:szCs w:val="24"/>
        </w:rPr>
        <w:t xml:space="preserve">  </w:t>
      </w:r>
      <w:bookmarkStart w:id="1" w:name="_GoBack"/>
      <w:r w:rsidRPr="0086709A">
        <w:rPr>
          <w:rFonts w:cs="Courier New"/>
          <w:b/>
          <w:szCs w:val="24"/>
        </w:rPr>
        <w:t xml:space="preserve">Therefore, within 10 days of the date of this letter, the Company is directed to contact Cyndi Page of the Commission’s Communications Office at (717) 787-5722 or </w:t>
      </w:r>
      <w:hyperlink r:id="rId8" w:history="1">
        <w:r w:rsidR="00E37DE5" w:rsidRPr="0086709A">
          <w:rPr>
            <w:rStyle w:val="Hyperlink"/>
            <w:rFonts w:cs="Courier New"/>
            <w:b/>
            <w:color w:val="auto"/>
            <w:szCs w:val="24"/>
          </w:rPr>
          <w:t>cypage@pa.gov</w:t>
        </w:r>
      </w:hyperlink>
      <w:r w:rsidRPr="0086709A">
        <w:rPr>
          <w:rFonts w:cs="Courier New"/>
          <w:b/>
          <w:szCs w:val="24"/>
        </w:rPr>
        <w:t xml:space="preserve"> to create a link from the Commission’s website to the Company’s online tariffs.  </w:t>
      </w:r>
    </w:p>
    <w:bookmarkEnd w:id="1"/>
    <w:p w:rsidR="009575BA" w:rsidRPr="0086709A" w:rsidRDefault="009575BA" w:rsidP="009575BA">
      <w:pPr>
        <w:autoSpaceDE w:val="0"/>
        <w:autoSpaceDN w:val="0"/>
        <w:adjustRightInd w:val="0"/>
        <w:ind w:firstLine="720"/>
        <w:rPr>
          <w:rFonts w:cs="Courier New"/>
          <w:szCs w:val="24"/>
        </w:rPr>
      </w:pPr>
    </w:p>
    <w:p w:rsidR="009575BA" w:rsidRPr="0086709A" w:rsidRDefault="009575BA" w:rsidP="009575BA">
      <w:pPr>
        <w:pStyle w:val="BodyText"/>
        <w:ind w:firstLine="720"/>
        <w:rPr>
          <w:szCs w:val="24"/>
        </w:rPr>
      </w:pPr>
      <w:r w:rsidRPr="0086709A">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A43929" w:rsidRPr="0086709A">
        <w:rPr>
          <w:szCs w:val="24"/>
        </w:rPr>
        <w:t>Melissa Derr</w:t>
      </w:r>
      <w:r w:rsidRPr="0086709A">
        <w:rPr>
          <w:szCs w:val="24"/>
        </w:rPr>
        <w:t xml:space="preserve">, Telco Group, Bureau of </w:t>
      </w:r>
      <w:r w:rsidR="00AE4FCE" w:rsidRPr="0086709A">
        <w:rPr>
          <w:szCs w:val="24"/>
        </w:rPr>
        <w:t>Technical</w:t>
      </w:r>
      <w:r w:rsidRPr="0086709A">
        <w:rPr>
          <w:szCs w:val="24"/>
        </w:rPr>
        <w:t xml:space="preserve"> Utility Services at (717)</w:t>
      </w:r>
      <w:r w:rsidR="00A43929" w:rsidRPr="0086709A">
        <w:rPr>
          <w:szCs w:val="24"/>
        </w:rPr>
        <w:t xml:space="preserve"> 783-6171</w:t>
      </w:r>
      <w:r w:rsidRPr="0086709A">
        <w:rPr>
          <w:szCs w:val="24"/>
        </w:rPr>
        <w:t xml:space="preserve"> or </w:t>
      </w:r>
      <w:r w:rsidR="00A43929" w:rsidRPr="0086709A">
        <w:rPr>
          <w:szCs w:val="24"/>
          <w:u w:val="single"/>
        </w:rPr>
        <w:t>mderr</w:t>
      </w:r>
      <w:r w:rsidRPr="0086709A">
        <w:rPr>
          <w:szCs w:val="24"/>
          <w:u w:val="single"/>
        </w:rPr>
        <w:t>@</w:t>
      </w:r>
      <w:r w:rsidR="004A6903" w:rsidRPr="0086709A">
        <w:rPr>
          <w:szCs w:val="24"/>
          <w:u w:val="single"/>
        </w:rPr>
        <w:t>pa.gov</w:t>
      </w:r>
      <w:r w:rsidRPr="0086709A">
        <w:rPr>
          <w:szCs w:val="24"/>
        </w:rPr>
        <w:t xml:space="preserve">. </w:t>
      </w:r>
    </w:p>
    <w:p w:rsidR="009575BA" w:rsidRPr="0086709A" w:rsidRDefault="009575BA" w:rsidP="009575BA">
      <w:pPr>
        <w:rPr>
          <w:szCs w:val="24"/>
        </w:rPr>
      </w:pPr>
    </w:p>
    <w:p w:rsidR="009575BA" w:rsidRPr="0086709A" w:rsidRDefault="00C23ECD" w:rsidP="009575BA">
      <w:pPr>
        <w:rPr>
          <w:szCs w:val="24"/>
        </w:rPr>
      </w:pPr>
      <w:r w:rsidRPr="00A14635">
        <w:rPr>
          <w:noProof/>
        </w:rPr>
        <w:drawing>
          <wp:anchor distT="0" distB="0" distL="114300" distR="114300" simplePos="0" relativeHeight="251659264" behindDoc="1" locked="0" layoutInCell="1" allowOverlap="1" wp14:anchorId="2BC07FA4" wp14:editId="12ED7D04">
            <wp:simplePos x="0" y="0"/>
            <wp:positionH relativeFrom="column">
              <wp:posOffset>2343150</wp:posOffset>
            </wp:positionH>
            <wp:positionV relativeFrom="paragraph">
              <wp:posOffset>5715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86709A">
        <w:rPr>
          <w:szCs w:val="24"/>
        </w:rPr>
        <w:tab/>
      </w:r>
      <w:r w:rsidR="009575BA" w:rsidRPr="0086709A">
        <w:rPr>
          <w:szCs w:val="24"/>
        </w:rPr>
        <w:tab/>
      </w:r>
      <w:r w:rsidR="009575BA" w:rsidRPr="0086709A">
        <w:rPr>
          <w:szCs w:val="24"/>
        </w:rPr>
        <w:tab/>
      </w:r>
      <w:r w:rsidR="009575BA" w:rsidRPr="0086709A">
        <w:rPr>
          <w:szCs w:val="24"/>
        </w:rPr>
        <w:tab/>
      </w:r>
      <w:r w:rsidR="009575BA" w:rsidRPr="0086709A">
        <w:rPr>
          <w:szCs w:val="24"/>
        </w:rPr>
        <w:tab/>
      </w:r>
      <w:r w:rsidR="009575BA" w:rsidRPr="0086709A">
        <w:rPr>
          <w:szCs w:val="24"/>
        </w:rPr>
        <w:tab/>
        <w:t>Sincerely,</w:t>
      </w:r>
    </w:p>
    <w:p w:rsidR="009575BA" w:rsidRPr="0086709A" w:rsidRDefault="009575BA" w:rsidP="009575BA">
      <w:pPr>
        <w:rPr>
          <w:szCs w:val="24"/>
        </w:rPr>
      </w:pPr>
    </w:p>
    <w:p w:rsidR="009575BA" w:rsidRPr="0086709A" w:rsidRDefault="009575BA" w:rsidP="009575BA">
      <w:pPr>
        <w:rPr>
          <w:szCs w:val="24"/>
        </w:rPr>
      </w:pPr>
    </w:p>
    <w:p w:rsidR="009575BA" w:rsidRPr="0086709A" w:rsidRDefault="009575BA" w:rsidP="009575BA">
      <w:pPr>
        <w:rPr>
          <w:szCs w:val="24"/>
        </w:rPr>
      </w:pPr>
    </w:p>
    <w:p w:rsidR="009575BA" w:rsidRPr="0086709A" w:rsidRDefault="009575BA" w:rsidP="009575BA">
      <w:pPr>
        <w:pStyle w:val="Heading2"/>
        <w:tabs>
          <w:tab w:val="left" w:pos="4320"/>
        </w:tabs>
        <w:ind w:left="0" w:firstLine="0"/>
        <w:rPr>
          <w:szCs w:val="24"/>
        </w:rPr>
      </w:pPr>
      <w:r w:rsidRPr="0086709A">
        <w:rPr>
          <w:szCs w:val="24"/>
        </w:rPr>
        <w:tab/>
        <w:t>Rosemary Chiavetta</w:t>
      </w:r>
    </w:p>
    <w:p w:rsidR="009575BA" w:rsidRPr="0086709A" w:rsidRDefault="009575BA" w:rsidP="009575BA">
      <w:pPr>
        <w:pStyle w:val="Heading2"/>
        <w:tabs>
          <w:tab w:val="left" w:pos="4320"/>
        </w:tabs>
        <w:ind w:left="0" w:firstLine="0"/>
        <w:rPr>
          <w:szCs w:val="24"/>
        </w:rPr>
      </w:pPr>
      <w:r w:rsidRPr="0086709A">
        <w:rPr>
          <w:szCs w:val="24"/>
        </w:rPr>
        <w:tab/>
        <w:t>Secretary</w:t>
      </w:r>
    </w:p>
    <w:p w:rsidR="009575BA" w:rsidRPr="0086709A" w:rsidRDefault="009575BA" w:rsidP="009575BA">
      <w:pPr>
        <w:rPr>
          <w:szCs w:val="24"/>
        </w:rPr>
      </w:pPr>
    </w:p>
    <w:p w:rsidR="00A24641" w:rsidRPr="0086709A" w:rsidRDefault="009575BA" w:rsidP="002E699B">
      <w:pPr>
        <w:rPr>
          <w:szCs w:val="24"/>
        </w:rPr>
      </w:pPr>
      <w:r w:rsidRPr="0086709A">
        <w:rPr>
          <w:szCs w:val="24"/>
        </w:rPr>
        <w:t>cc:</w:t>
      </w:r>
      <w:r w:rsidRPr="0086709A">
        <w:rPr>
          <w:szCs w:val="24"/>
        </w:rPr>
        <w:tab/>
      </w:r>
      <w:r w:rsidR="00A56E7A" w:rsidRPr="0086709A">
        <w:rPr>
          <w:szCs w:val="24"/>
        </w:rPr>
        <w:t>Melissa Derr</w:t>
      </w:r>
      <w:r w:rsidRPr="0086709A">
        <w:rPr>
          <w:szCs w:val="24"/>
        </w:rPr>
        <w:t xml:space="preserve">, </w:t>
      </w:r>
      <w:r w:rsidR="00AE4FCE" w:rsidRPr="0086709A">
        <w:rPr>
          <w:szCs w:val="24"/>
        </w:rPr>
        <w:t>TUS</w:t>
      </w:r>
    </w:p>
    <w:sectPr w:rsidR="00A24641" w:rsidRPr="0086709A"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B88" w:rsidRDefault="00A14B88">
      <w:r>
        <w:separator/>
      </w:r>
    </w:p>
  </w:endnote>
  <w:endnote w:type="continuationSeparator" w:id="0">
    <w:p w:rsidR="00A14B88" w:rsidRDefault="00A1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B88" w:rsidRDefault="00A14B88">
      <w:r>
        <w:separator/>
      </w:r>
    </w:p>
  </w:footnote>
  <w:footnote w:type="continuationSeparator" w:id="0">
    <w:p w:rsidR="00A14B88" w:rsidRDefault="00A14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0B45"/>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03538"/>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D6676"/>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6709A"/>
    <w:rsid w:val="008704FE"/>
    <w:rsid w:val="00882E3F"/>
    <w:rsid w:val="008834E0"/>
    <w:rsid w:val="00885F07"/>
    <w:rsid w:val="008915B2"/>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4B88"/>
    <w:rsid w:val="00A171DB"/>
    <w:rsid w:val="00A24641"/>
    <w:rsid w:val="00A31208"/>
    <w:rsid w:val="00A43929"/>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3ECD"/>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463A"/>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page@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3334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5</cp:revision>
  <cp:lastPrinted>2009-09-29T14:30:00Z</cp:lastPrinted>
  <dcterms:created xsi:type="dcterms:W3CDTF">2013-04-16T18:51:00Z</dcterms:created>
  <dcterms:modified xsi:type="dcterms:W3CDTF">2013-04-17T15:48:00Z</dcterms:modified>
</cp:coreProperties>
</file>