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700" w:rsidRPr="00564EEA" w:rsidRDefault="00DA4630" w:rsidP="008A3D2D">
      <w:pPr>
        <w:pStyle w:val="NoSpacing"/>
        <w:jc w:val="center"/>
        <w:rPr>
          <w:b/>
          <w:sz w:val="26"/>
          <w:szCs w:val="26"/>
        </w:rPr>
      </w:pPr>
      <w:r w:rsidRPr="00564EEA">
        <w:rPr>
          <w:b/>
          <w:sz w:val="26"/>
          <w:szCs w:val="26"/>
        </w:rPr>
        <w:t xml:space="preserve">PENNSYLVANIA </w:t>
      </w:r>
    </w:p>
    <w:p w:rsidR="00DA4630" w:rsidRPr="00564EEA" w:rsidRDefault="00DA4630" w:rsidP="008A3D2D">
      <w:pPr>
        <w:pStyle w:val="NoSpacing"/>
        <w:jc w:val="center"/>
        <w:rPr>
          <w:b/>
          <w:sz w:val="26"/>
          <w:szCs w:val="26"/>
        </w:rPr>
      </w:pPr>
      <w:r w:rsidRPr="00564EEA">
        <w:rPr>
          <w:b/>
          <w:sz w:val="26"/>
          <w:szCs w:val="26"/>
        </w:rPr>
        <w:t>PUBLIC UTLIITY COMMISSION</w:t>
      </w:r>
    </w:p>
    <w:p w:rsidR="00011700" w:rsidRPr="00564EEA" w:rsidRDefault="00011700" w:rsidP="008A3D2D">
      <w:pPr>
        <w:pStyle w:val="NoSpacing"/>
        <w:jc w:val="center"/>
        <w:rPr>
          <w:b/>
          <w:sz w:val="26"/>
          <w:szCs w:val="26"/>
        </w:rPr>
      </w:pPr>
      <w:r w:rsidRPr="00564EEA">
        <w:rPr>
          <w:b/>
          <w:sz w:val="26"/>
          <w:szCs w:val="26"/>
        </w:rPr>
        <w:t>Harrisburg, PA 17105-3265</w:t>
      </w:r>
    </w:p>
    <w:p w:rsidR="00DA4630" w:rsidRPr="00564EEA" w:rsidRDefault="00DA4630" w:rsidP="008A3D2D">
      <w:pPr>
        <w:pStyle w:val="NoSpacing"/>
        <w:jc w:val="center"/>
        <w:rPr>
          <w:sz w:val="26"/>
          <w:szCs w:val="26"/>
        </w:rPr>
      </w:pPr>
    </w:p>
    <w:p w:rsidR="00D945A0" w:rsidRPr="00564EEA" w:rsidRDefault="005C7A5C" w:rsidP="008A3D2D">
      <w:pPr>
        <w:pStyle w:val="NoSpacing"/>
        <w:ind w:left="4320" w:firstLine="720"/>
        <w:jc w:val="right"/>
        <w:rPr>
          <w:sz w:val="26"/>
          <w:szCs w:val="26"/>
        </w:rPr>
      </w:pPr>
      <w:r w:rsidRPr="00564EEA">
        <w:rPr>
          <w:sz w:val="26"/>
          <w:szCs w:val="26"/>
        </w:rPr>
        <w:t>Public Meeting held April 18, 2013</w:t>
      </w:r>
    </w:p>
    <w:p w:rsidR="00D945A0" w:rsidRPr="00564EEA" w:rsidRDefault="00D945A0" w:rsidP="008A3D2D">
      <w:pPr>
        <w:pStyle w:val="NoSpacing"/>
        <w:rPr>
          <w:sz w:val="26"/>
          <w:szCs w:val="26"/>
        </w:rPr>
      </w:pPr>
    </w:p>
    <w:p w:rsidR="00D945A0" w:rsidRPr="00564EEA" w:rsidRDefault="00D945A0" w:rsidP="008A3D2D">
      <w:pPr>
        <w:pStyle w:val="NoSpacing"/>
        <w:rPr>
          <w:sz w:val="26"/>
          <w:szCs w:val="26"/>
        </w:rPr>
      </w:pPr>
    </w:p>
    <w:p w:rsidR="00D945A0" w:rsidRPr="00564EEA" w:rsidRDefault="00D945A0" w:rsidP="008A3D2D">
      <w:pPr>
        <w:tabs>
          <w:tab w:val="left" w:pos="-720"/>
        </w:tabs>
        <w:suppressAutoHyphens/>
        <w:rPr>
          <w:rFonts w:ascii="Times New Roman" w:hAnsi="Times New Roman"/>
          <w:sz w:val="26"/>
        </w:rPr>
      </w:pPr>
      <w:r w:rsidRPr="00564EEA">
        <w:rPr>
          <w:rFonts w:ascii="Times New Roman" w:hAnsi="Times New Roman"/>
          <w:sz w:val="26"/>
        </w:rPr>
        <w:t>Commissioners Present:</w:t>
      </w:r>
    </w:p>
    <w:p w:rsidR="00ED1566" w:rsidRPr="00564EEA" w:rsidRDefault="00ED1566" w:rsidP="008A3D2D">
      <w:pPr>
        <w:tabs>
          <w:tab w:val="left" w:pos="-720"/>
        </w:tabs>
        <w:suppressAutoHyphens/>
        <w:spacing w:after="0" w:line="240" w:lineRule="auto"/>
        <w:rPr>
          <w:rFonts w:ascii="Times New Roman" w:hAnsi="Times New Roman"/>
          <w:sz w:val="26"/>
        </w:rPr>
      </w:pPr>
    </w:p>
    <w:p w:rsidR="00D43521" w:rsidRPr="00564EEA" w:rsidRDefault="00D945A0" w:rsidP="008A3D2D">
      <w:pPr>
        <w:tabs>
          <w:tab w:val="left" w:pos="-720"/>
        </w:tabs>
        <w:suppressAutoHyphens/>
        <w:spacing w:after="0" w:line="240" w:lineRule="auto"/>
        <w:rPr>
          <w:rFonts w:ascii="Times New Roman" w:hAnsi="Times New Roman"/>
          <w:sz w:val="26"/>
        </w:rPr>
      </w:pPr>
      <w:r w:rsidRPr="00564EEA">
        <w:rPr>
          <w:rFonts w:ascii="Times New Roman" w:hAnsi="Times New Roman"/>
          <w:sz w:val="26"/>
        </w:rPr>
        <w:tab/>
        <w:t>Robert F. Powelson, Chairman</w:t>
      </w:r>
    </w:p>
    <w:p w:rsidR="00D945A0" w:rsidRPr="00564EEA" w:rsidRDefault="00D43521" w:rsidP="008A3D2D">
      <w:pPr>
        <w:tabs>
          <w:tab w:val="left" w:pos="-720"/>
        </w:tabs>
        <w:suppressAutoHyphens/>
        <w:spacing w:after="0" w:line="240" w:lineRule="auto"/>
        <w:rPr>
          <w:rFonts w:ascii="Times New Roman" w:hAnsi="Times New Roman"/>
          <w:sz w:val="26"/>
        </w:rPr>
      </w:pPr>
      <w:r w:rsidRPr="00564EEA">
        <w:rPr>
          <w:rFonts w:ascii="Times New Roman" w:hAnsi="Times New Roman"/>
          <w:sz w:val="26"/>
        </w:rPr>
        <w:tab/>
      </w:r>
      <w:r w:rsidR="00D945A0" w:rsidRPr="00564EEA">
        <w:rPr>
          <w:rFonts w:ascii="Times New Roman" w:hAnsi="Times New Roman"/>
          <w:sz w:val="26"/>
        </w:rPr>
        <w:t>John F. Coleman, Jr., Vice Chairman</w:t>
      </w:r>
    </w:p>
    <w:p w:rsidR="00D945A0" w:rsidRPr="00564EEA" w:rsidRDefault="00D945A0" w:rsidP="008A3D2D">
      <w:pPr>
        <w:tabs>
          <w:tab w:val="left" w:pos="-720"/>
        </w:tabs>
        <w:suppressAutoHyphens/>
        <w:spacing w:after="0" w:line="240" w:lineRule="auto"/>
        <w:rPr>
          <w:rFonts w:ascii="Times New Roman" w:hAnsi="Times New Roman"/>
          <w:sz w:val="26"/>
        </w:rPr>
      </w:pPr>
      <w:r w:rsidRPr="00564EEA">
        <w:rPr>
          <w:rFonts w:ascii="Times New Roman" w:hAnsi="Times New Roman"/>
          <w:sz w:val="26"/>
        </w:rPr>
        <w:tab/>
        <w:t>Wayne E. Gardner</w:t>
      </w:r>
    </w:p>
    <w:p w:rsidR="00D945A0" w:rsidRPr="00564EEA" w:rsidRDefault="00D945A0" w:rsidP="008A3D2D">
      <w:pPr>
        <w:tabs>
          <w:tab w:val="left" w:pos="-720"/>
        </w:tabs>
        <w:suppressAutoHyphens/>
        <w:spacing w:after="0" w:line="240" w:lineRule="auto"/>
        <w:rPr>
          <w:rFonts w:ascii="Times New Roman" w:hAnsi="Times New Roman"/>
          <w:sz w:val="26"/>
        </w:rPr>
      </w:pPr>
      <w:r w:rsidRPr="00564EEA">
        <w:rPr>
          <w:rFonts w:ascii="Times New Roman" w:hAnsi="Times New Roman"/>
          <w:sz w:val="26"/>
        </w:rPr>
        <w:tab/>
        <w:t>James H. Cawley</w:t>
      </w:r>
    </w:p>
    <w:p w:rsidR="00D945A0" w:rsidRPr="00564EEA" w:rsidRDefault="00D945A0" w:rsidP="008A3D2D">
      <w:pPr>
        <w:tabs>
          <w:tab w:val="left" w:pos="-720"/>
        </w:tabs>
        <w:suppressAutoHyphens/>
        <w:spacing w:after="0" w:line="240" w:lineRule="auto"/>
        <w:rPr>
          <w:rFonts w:ascii="Times New Roman" w:hAnsi="Times New Roman"/>
          <w:sz w:val="26"/>
        </w:rPr>
      </w:pPr>
      <w:r w:rsidRPr="00564EEA">
        <w:rPr>
          <w:rFonts w:ascii="Times New Roman" w:hAnsi="Times New Roman"/>
          <w:sz w:val="26"/>
        </w:rPr>
        <w:tab/>
        <w:t>Pamela A. Witmer</w:t>
      </w:r>
    </w:p>
    <w:p w:rsidR="00D945A0" w:rsidRPr="00564EEA" w:rsidRDefault="00D945A0" w:rsidP="008A3D2D">
      <w:pPr>
        <w:pStyle w:val="NoSpacing"/>
        <w:rPr>
          <w:sz w:val="26"/>
          <w:szCs w:val="26"/>
        </w:rPr>
      </w:pPr>
    </w:p>
    <w:p w:rsidR="00BB2192" w:rsidRPr="00564EEA" w:rsidRDefault="00BB2192" w:rsidP="008A3D2D">
      <w:pPr>
        <w:pStyle w:val="NoSpacing"/>
        <w:rPr>
          <w:sz w:val="26"/>
          <w:szCs w:val="26"/>
        </w:rPr>
      </w:pPr>
    </w:p>
    <w:p w:rsidR="00DA4630" w:rsidRPr="00564EEA" w:rsidRDefault="00DA4630" w:rsidP="008A3D2D">
      <w:pPr>
        <w:pStyle w:val="NoSpacing"/>
        <w:rPr>
          <w:sz w:val="26"/>
          <w:szCs w:val="26"/>
        </w:rPr>
      </w:pPr>
      <w:r w:rsidRPr="00564EEA">
        <w:rPr>
          <w:sz w:val="26"/>
          <w:szCs w:val="26"/>
        </w:rPr>
        <w:t>Pennsylvan</w:t>
      </w:r>
      <w:r w:rsidR="00A851DF" w:rsidRPr="00564EEA">
        <w:rPr>
          <w:sz w:val="26"/>
          <w:szCs w:val="26"/>
        </w:rPr>
        <w:t xml:space="preserve">ia Public Utility Commission </w:t>
      </w:r>
      <w:r w:rsidR="00A851DF" w:rsidRPr="00564EEA">
        <w:rPr>
          <w:sz w:val="26"/>
          <w:szCs w:val="26"/>
        </w:rPr>
        <w:tab/>
      </w:r>
      <w:r w:rsidR="00A851DF" w:rsidRPr="00564EEA">
        <w:rPr>
          <w:sz w:val="26"/>
          <w:szCs w:val="26"/>
        </w:rPr>
        <w:tab/>
      </w:r>
      <w:r w:rsidRPr="00564EEA">
        <w:rPr>
          <w:sz w:val="26"/>
          <w:szCs w:val="26"/>
        </w:rPr>
        <w:tab/>
      </w:r>
      <w:r w:rsidRPr="00564EEA">
        <w:rPr>
          <w:sz w:val="26"/>
          <w:szCs w:val="26"/>
        </w:rPr>
        <w:tab/>
      </w:r>
      <w:r w:rsidR="005B3683" w:rsidRPr="00564EEA">
        <w:rPr>
          <w:sz w:val="26"/>
          <w:szCs w:val="26"/>
        </w:rPr>
        <w:tab/>
        <w:t xml:space="preserve">     </w:t>
      </w:r>
      <w:r w:rsidR="005C7A5C" w:rsidRPr="00564EEA">
        <w:rPr>
          <w:sz w:val="26"/>
          <w:szCs w:val="26"/>
        </w:rPr>
        <w:t>R-2012-2310366</w:t>
      </w:r>
    </w:p>
    <w:p w:rsidR="00DA4630" w:rsidRPr="00564EEA" w:rsidRDefault="00DA4630" w:rsidP="008A3D2D">
      <w:pPr>
        <w:pStyle w:val="NoSpacing"/>
        <w:rPr>
          <w:sz w:val="26"/>
          <w:szCs w:val="26"/>
        </w:rPr>
      </w:pPr>
      <w:r w:rsidRPr="00564EEA">
        <w:rPr>
          <w:sz w:val="26"/>
          <w:szCs w:val="26"/>
        </w:rPr>
        <w:t>Offic</w:t>
      </w:r>
      <w:r w:rsidR="00A851DF" w:rsidRPr="00564EEA">
        <w:rPr>
          <w:sz w:val="26"/>
          <w:szCs w:val="26"/>
        </w:rPr>
        <w:t>e of Small Business Advocate</w:t>
      </w:r>
      <w:r w:rsidR="00A851DF" w:rsidRPr="00564EEA">
        <w:rPr>
          <w:sz w:val="26"/>
          <w:szCs w:val="26"/>
        </w:rPr>
        <w:tab/>
      </w:r>
      <w:r w:rsidR="00A851DF" w:rsidRPr="00564EEA">
        <w:rPr>
          <w:sz w:val="26"/>
          <w:szCs w:val="26"/>
        </w:rPr>
        <w:tab/>
      </w:r>
      <w:r w:rsidRPr="00564EEA">
        <w:rPr>
          <w:sz w:val="26"/>
          <w:szCs w:val="26"/>
        </w:rPr>
        <w:tab/>
      </w:r>
      <w:r w:rsidRPr="00564EEA">
        <w:rPr>
          <w:sz w:val="26"/>
          <w:szCs w:val="26"/>
        </w:rPr>
        <w:tab/>
      </w:r>
      <w:r w:rsidR="005B3683" w:rsidRPr="00564EEA">
        <w:rPr>
          <w:sz w:val="26"/>
          <w:szCs w:val="26"/>
        </w:rPr>
        <w:tab/>
        <w:t xml:space="preserve">     </w:t>
      </w:r>
      <w:r w:rsidR="005C7A5C" w:rsidRPr="00564EEA">
        <w:rPr>
          <w:sz w:val="26"/>
          <w:szCs w:val="26"/>
        </w:rPr>
        <w:t>C-2012-2333112</w:t>
      </w:r>
    </w:p>
    <w:p w:rsidR="005C7A5C" w:rsidRPr="00564EEA" w:rsidRDefault="005C7A5C" w:rsidP="008A3D2D">
      <w:pPr>
        <w:pStyle w:val="NoSpacing"/>
        <w:rPr>
          <w:sz w:val="26"/>
          <w:szCs w:val="26"/>
        </w:rPr>
      </w:pPr>
      <w:r w:rsidRPr="00564EEA">
        <w:rPr>
          <w:sz w:val="26"/>
          <w:szCs w:val="26"/>
        </w:rPr>
        <w:t>Office of Consumer Advocate</w:t>
      </w:r>
      <w:r w:rsidRPr="00564EEA">
        <w:rPr>
          <w:sz w:val="26"/>
          <w:szCs w:val="26"/>
        </w:rPr>
        <w:tab/>
      </w:r>
      <w:r w:rsidRPr="00564EEA">
        <w:rPr>
          <w:sz w:val="26"/>
          <w:szCs w:val="26"/>
        </w:rPr>
        <w:tab/>
      </w:r>
      <w:r w:rsidRPr="00564EEA">
        <w:rPr>
          <w:sz w:val="26"/>
          <w:szCs w:val="26"/>
        </w:rPr>
        <w:tab/>
      </w:r>
      <w:r w:rsidRPr="00564EEA">
        <w:rPr>
          <w:sz w:val="26"/>
          <w:szCs w:val="26"/>
        </w:rPr>
        <w:tab/>
      </w:r>
      <w:r w:rsidRPr="00564EEA">
        <w:rPr>
          <w:sz w:val="26"/>
          <w:szCs w:val="26"/>
        </w:rPr>
        <w:tab/>
      </w:r>
      <w:r w:rsidR="005B3683" w:rsidRPr="00564EEA">
        <w:rPr>
          <w:sz w:val="26"/>
          <w:szCs w:val="26"/>
        </w:rPr>
        <w:tab/>
        <w:t xml:space="preserve">     </w:t>
      </w:r>
      <w:r w:rsidRPr="00564EEA">
        <w:rPr>
          <w:sz w:val="26"/>
          <w:szCs w:val="26"/>
        </w:rPr>
        <w:t>C-2012-2329756</w:t>
      </w:r>
    </w:p>
    <w:p w:rsidR="00DA4630" w:rsidRPr="00564EEA" w:rsidRDefault="005C7A5C" w:rsidP="008A3D2D">
      <w:pPr>
        <w:pStyle w:val="NoSpacing"/>
        <w:rPr>
          <w:sz w:val="26"/>
          <w:szCs w:val="26"/>
        </w:rPr>
      </w:pPr>
      <w:r w:rsidRPr="00564EEA">
        <w:rPr>
          <w:sz w:val="26"/>
          <w:szCs w:val="26"/>
        </w:rPr>
        <w:t>Jane O. Larkin</w:t>
      </w:r>
      <w:r w:rsidR="00A851DF" w:rsidRPr="00564EEA">
        <w:rPr>
          <w:sz w:val="26"/>
          <w:szCs w:val="26"/>
        </w:rPr>
        <w:tab/>
      </w:r>
      <w:r w:rsidR="00A851DF" w:rsidRPr="00564EEA">
        <w:rPr>
          <w:sz w:val="26"/>
          <w:szCs w:val="26"/>
        </w:rPr>
        <w:tab/>
      </w:r>
      <w:r w:rsidR="00A851DF" w:rsidRPr="00564EEA">
        <w:rPr>
          <w:sz w:val="26"/>
          <w:szCs w:val="26"/>
        </w:rPr>
        <w:tab/>
      </w:r>
      <w:r w:rsidR="00A851DF" w:rsidRPr="00564EEA">
        <w:rPr>
          <w:sz w:val="26"/>
          <w:szCs w:val="26"/>
        </w:rPr>
        <w:tab/>
      </w:r>
      <w:r w:rsidR="00A851DF" w:rsidRPr="00564EEA">
        <w:rPr>
          <w:sz w:val="26"/>
          <w:szCs w:val="26"/>
        </w:rPr>
        <w:tab/>
      </w:r>
      <w:r w:rsidR="00DA4630" w:rsidRPr="00564EEA">
        <w:rPr>
          <w:sz w:val="26"/>
          <w:szCs w:val="26"/>
        </w:rPr>
        <w:tab/>
      </w:r>
      <w:r w:rsidR="00DA4630" w:rsidRPr="00564EEA">
        <w:rPr>
          <w:sz w:val="26"/>
          <w:szCs w:val="26"/>
        </w:rPr>
        <w:tab/>
      </w:r>
      <w:r w:rsidR="005B3683" w:rsidRPr="00564EEA">
        <w:rPr>
          <w:sz w:val="26"/>
          <w:szCs w:val="26"/>
        </w:rPr>
        <w:tab/>
        <w:t xml:space="preserve">     </w:t>
      </w:r>
      <w:r w:rsidRPr="00564EEA">
        <w:rPr>
          <w:sz w:val="26"/>
          <w:szCs w:val="26"/>
        </w:rPr>
        <w:t>C-2012-2330719</w:t>
      </w:r>
    </w:p>
    <w:p w:rsidR="00DA4630" w:rsidRPr="00564EEA" w:rsidRDefault="00DA4630" w:rsidP="008A3D2D">
      <w:pPr>
        <w:pStyle w:val="NoSpacing"/>
        <w:rPr>
          <w:sz w:val="26"/>
          <w:szCs w:val="26"/>
        </w:rPr>
      </w:pPr>
    </w:p>
    <w:p w:rsidR="00DA4630" w:rsidRPr="00564EEA" w:rsidRDefault="00A851DF" w:rsidP="008A3D2D">
      <w:pPr>
        <w:pStyle w:val="NoSpacing"/>
        <w:rPr>
          <w:sz w:val="26"/>
          <w:szCs w:val="26"/>
        </w:rPr>
      </w:pPr>
      <w:r w:rsidRPr="00564EEA">
        <w:rPr>
          <w:sz w:val="26"/>
          <w:szCs w:val="26"/>
        </w:rPr>
        <w:tab/>
      </w:r>
      <w:r w:rsidR="00BB2192" w:rsidRPr="00564EEA">
        <w:rPr>
          <w:sz w:val="26"/>
          <w:szCs w:val="26"/>
        </w:rPr>
        <w:tab/>
      </w:r>
      <w:r w:rsidRPr="00564EEA">
        <w:rPr>
          <w:sz w:val="26"/>
          <w:szCs w:val="26"/>
        </w:rPr>
        <w:t>v.</w:t>
      </w:r>
    </w:p>
    <w:p w:rsidR="00DA4630" w:rsidRPr="00564EEA" w:rsidRDefault="00DA4630" w:rsidP="008A3D2D">
      <w:pPr>
        <w:pStyle w:val="NoSpacing"/>
        <w:rPr>
          <w:sz w:val="26"/>
          <w:szCs w:val="26"/>
        </w:rPr>
      </w:pPr>
    </w:p>
    <w:p w:rsidR="005C7A5C" w:rsidRPr="00564EEA" w:rsidRDefault="005C7A5C" w:rsidP="008A3D2D">
      <w:pPr>
        <w:pStyle w:val="NoSpacing"/>
        <w:rPr>
          <w:sz w:val="26"/>
          <w:szCs w:val="26"/>
        </w:rPr>
      </w:pPr>
      <w:r w:rsidRPr="00564EEA">
        <w:rPr>
          <w:sz w:val="26"/>
          <w:szCs w:val="26"/>
        </w:rPr>
        <w:t>City of Lancaster</w:t>
      </w:r>
      <w:r w:rsidR="007A506E" w:rsidRPr="00564EEA">
        <w:rPr>
          <w:sz w:val="26"/>
          <w:szCs w:val="26"/>
        </w:rPr>
        <w:t>-</w:t>
      </w:r>
      <w:r w:rsidRPr="00564EEA">
        <w:rPr>
          <w:sz w:val="26"/>
          <w:szCs w:val="26"/>
        </w:rPr>
        <w:t xml:space="preserve"> Sewer Fund</w:t>
      </w:r>
    </w:p>
    <w:p w:rsidR="005C7A5C" w:rsidRPr="00564EEA" w:rsidRDefault="005C7A5C" w:rsidP="008A3D2D">
      <w:pPr>
        <w:pStyle w:val="NoSpacing"/>
        <w:rPr>
          <w:sz w:val="26"/>
          <w:szCs w:val="26"/>
        </w:rPr>
      </w:pPr>
    </w:p>
    <w:p w:rsidR="00BB2192" w:rsidRPr="00564EEA" w:rsidRDefault="00BB2192" w:rsidP="008A3D2D">
      <w:pPr>
        <w:pStyle w:val="ListParagraph"/>
        <w:ind w:left="0"/>
        <w:jc w:val="center"/>
        <w:rPr>
          <w:b/>
          <w:sz w:val="26"/>
          <w:szCs w:val="26"/>
        </w:rPr>
      </w:pPr>
    </w:p>
    <w:p w:rsidR="000675EE" w:rsidRPr="00564EEA" w:rsidRDefault="000675EE" w:rsidP="008A3D2D">
      <w:pPr>
        <w:pStyle w:val="ListParagraph"/>
        <w:ind w:left="0"/>
        <w:jc w:val="center"/>
        <w:rPr>
          <w:b/>
          <w:sz w:val="26"/>
          <w:szCs w:val="26"/>
        </w:rPr>
      </w:pPr>
      <w:r w:rsidRPr="00564EEA">
        <w:rPr>
          <w:b/>
          <w:sz w:val="26"/>
          <w:szCs w:val="26"/>
        </w:rPr>
        <w:t>OPINION AND ORDER</w:t>
      </w:r>
    </w:p>
    <w:p w:rsidR="000675EE" w:rsidRPr="00564EEA" w:rsidRDefault="000675EE" w:rsidP="008A3D2D">
      <w:pPr>
        <w:pStyle w:val="ListParagraph"/>
        <w:ind w:left="0"/>
        <w:jc w:val="center"/>
        <w:rPr>
          <w:sz w:val="26"/>
          <w:szCs w:val="26"/>
        </w:rPr>
      </w:pPr>
    </w:p>
    <w:p w:rsidR="000675EE" w:rsidRPr="00564EEA" w:rsidRDefault="000675EE" w:rsidP="008A3D2D">
      <w:pPr>
        <w:pStyle w:val="ListParagraph"/>
        <w:ind w:left="0"/>
        <w:rPr>
          <w:sz w:val="26"/>
          <w:szCs w:val="26"/>
        </w:rPr>
      </w:pPr>
    </w:p>
    <w:p w:rsidR="00976791" w:rsidRPr="00564EEA" w:rsidRDefault="000F06E6" w:rsidP="008A3D2D">
      <w:pPr>
        <w:pStyle w:val="ListParagraph"/>
        <w:ind w:left="0"/>
        <w:rPr>
          <w:sz w:val="26"/>
          <w:szCs w:val="26"/>
        </w:rPr>
      </w:pPr>
      <w:r w:rsidRPr="00564EEA">
        <w:rPr>
          <w:b/>
          <w:sz w:val="26"/>
          <w:szCs w:val="26"/>
        </w:rPr>
        <w:t>BY THE COMMISSION:</w:t>
      </w:r>
    </w:p>
    <w:p w:rsidR="00976791" w:rsidRPr="00564EEA" w:rsidRDefault="00976791" w:rsidP="008A3D2D">
      <w:pPr>
        <w:pStyle w:val="ListParagraph"/>
        <w:spacing w:line="360" w:lineRule="auto"/>
        <w:ind w:left="0"/>
        <w:rPr>
          <w:sz w:val="26"/>
          <w:szCs w:val="26"/>
        </w:rPr>
      </w:pPr>
    </w:p>
    <w:p w:rsidR="000675EE" w:rsidRPr="00564EEA" w:rsidRDefault="0023407C" w:rsidP="008A3D2D">
      <w:pPr>
        <w:pStyle w:val="ListParagraph"/>
        <w:spacing w:line="360" w:lineRule="auto"/>
        <w:ind w:left="0"/>
        <w:rPr>
          <w:sz w:val="26"/>
          <w:szCs w:val="26"/>
        </w:rPr>
      </w:pPr>
      <w:r w:rsidRPr="00564EEA">
        <w:rPr>
          <w:sz w:val="26"/>
          <w:szCs w:val="26"/>
        </w:rPr>
        <w:tab/>
      </w:r>
      <w:r w:rsidRPr="00564EEA">
        <w:rPr>
          <w:sz w:val="26"/>
          <w:szCs w:val="26"/>
        </w:rPr>
        <w:tab/>
      </w:r>
      <w:r w:rsidR="00497E89" w:rsidRPr="00564EEA">
        <w:rPr>
          <w:sz w:val="26"/>
          <w:szCs w:val="26"/>
        </w:rPr>
        <w:t>Before the Pennsylvania Public Utility Commission (Commission) for consideration and di</w:t>
      </w:r>
      <w:r w:rsidR="00244934" w:rsidRPr="00564EEA">
        <w:rPr>
          <w:sz w:val="26"/>
          <w:szCs w:val="26"/>
        </w:rPr>
        <w:t>sposition</w:t>
      </w:r>
      <w:r w:rsidR="000675EE" w:rsidRPr="00564EEA">
        <w:rPr>
          <w:sz w:val="26"/>
          <w:szCs w:val="26"/>
        </w:rPr>
        <w:t xml:space="preserve"> is the Recommended Decision (</w:t>
      </w:r>
      <w:r w:rsidR="000E70B1" w:rsidRPr="00564EEA">
        <w:rPr>
          <w:sz w:val="26"/>
          <w:szCs w:val="26"/>
        </w:rPr>
        <w:t>R</w:t>
      </w:r>
      <w:r w:rsidR="005C7A5C" w:rsidRPr="00564EEA">
        <w:rPr>
          <w:sz w:val="26"/>
          <w:szCs w:val="26"/>
        </w:rPr>
        <w:t>.D.) of Administrative Law Judge</w:t>
      </w:r>
      <w:r w:rsidR="000675EE" w:rsidRPr="00564EEA">
        <w:rPr>
          <w:sz w:val="26"/>
          <w:szCs w:val="26"/>
        </w:rPr>
        <w:t xml:space="preserve"> (</w:t>
      </w:r>
      <w:r w:rsidR="005C7A5C" w:rsidRPr="00564EEA">
        <w:rPr>
          <w:sz w:val="26"/>
          <w:szCs w:val="26"/>
        </w:rPr>
        <w:t>ALJ</w:t>
      </w:r>
      <w:r w:rsidR="000675EE" w:rsidRPr="00564EEA">
        <w:rPr>
          <w:sz w:val="26"/>
          <w:szCs w:val="26"/>
        </w:rPr>
        <w:t xml:space="preserve">) </w:t>
      </w:r>
      <w:r w:rsidR="005C7A5C" w:rsidRPr="00564EEA">
        <w:rPr>
          <w:sz w:val="26"/>
          <w:szCs w:val="26"/>
        </w:rPr>
        <w:t>Dennis J. Buckley</w:t>
      </w:r>
      <w:r w:rsidR="000675EE" w:rsidRPr="00564EEA">
        <w:rPr>
          <w:sz w:val="26"/>
          <w:szCs w:val="26"/>
        </w:rPr>
        <w:t xml:space="preserve">, issued on </w:t>
      </w:r>
      <w:r w:rsidR="005C7A5C" w:rsidRPr="00564EEA">
        <w:rPr>
          <w:sz w:val="26"/>
          <w:szCs w:val="26"/>
        </w:rPr>
        <w:t>March 13, 2013</w:t>
      </w:r>
      <w:r w:rsidR="000675EE" w:rsidRPr="00564EEA">
        <w:rPr>
          <w:sz w:val="26"/>
          <w:szCs w:val="26"/>
        </w:rPr>
        <w:t>, relative to the above-captioned general rate increase proceeding, and the Exceptions filed with respect thereto.</w:t>
      </w:r>
    </w:p>
    <w:p w:rsidR="000675EE" w:rsidRPr="00564EEA" w:rsidRDefault="000675EE" w:rsidP="008A3D2D">
      <w:pPr>
        <w:pStyle w:val="ListParagraph"/>
        <w:spacing w:line="360" w:lineRule="auto"/>
        <w:ind w:left="0"/>
        <w:rPr>
          <w:sz w:val="26"/>
          <w:szCs w:val="26"/>
        </w:rPr>
      </w:pPr>
    </w:p>
    <w:p w:rsidR="0023407C" w:rsidRDefault="00AA1E34" w:rsidP="008A3D2D">
      <w:pPr>
        <w:pStyle w:val="ListParagraph"/>
        <w:spacing w:line="360" w:lineRule="auto"/>
        <w:ind w:left="0"/>
        <w:rPr>
          <w:sz w:val="26"/>
          <w:szCs w:val="26"/>
        </w:rPr>
      </w:pPr>
      <w:r w:rsidRPr="00564EEA">
        <w:rPr>
          <w:sz w:val="26"/>
          <w:szCs w:val="26"/>
        </w:rPr>
        <w:tab/>
      </w:r>
      <w:r w:rsidRPr="00564EEA">
        <w:rPr>
          <w:sz w:val="26"/>
          <w:szCs w:val="26"/>
        </w:rPr>
        <w:tab/>
      </w:r>
      <w:r w:rsidR="00AB3232" w:rsidRPr="00564EEA">
        <w:rPr>
          <w:sz w:val="26"/>
          <w:szCs w:val="26"/>
        </w:rPr>
        <w:t>On</w:t>
      </w:r>
      <w:r w:rsidR="0018538A" w:rsidRPr="00564EEA">
        <w:rPr>
          <w:sz w:val="26"/>
          <w:szCs w:val="26"/>
        </w:rPr>
        <w:t xml:space="preserve"> </w:t>
      </w:r>
      <w:r w:rsidR="00AB3232" w:rsidRPr="00564EEA">
        <w:rPr>
          <w:sz w:val="26"/>
          <w:szCs w:val="26"/>
        </w:rPr>
        <w:t>March 13, 2013</w:t>
      </w:r>
      <w:r w:rsidR="0018538A" w:rsidRPr="00564EEA">
        <w:rPr>
          <w:sz w:val="26"/>
          <w:szCs w:val="26"/>
        </w:rPr>
        <w:t xml:space="preserve">, </w:t>
      </w:r>
      <w:r w:rsidR="0018538A" w:rsidRPr="00564EEA">
        <w:rPr>
          <w:spacing w:val="-3"/>
          <w:sz w:val="26"/>
          <w:szCs w:val="26"/>
        </w:rPr>
        <w:t xml:space="preserve">the </w:t>
      </w:r>
      <w:r w:rsidR="00AB3232" w:rsidRPr="00564EEA">
        <w:rPr>
          <w:spacing w:val="-3"/>
          <w:sz w:val="26"/>
          <w:szCs w:val="26"/>
        </w:rPr>
        <w:t>City</w:t>
      </w:r>
      <w:r w:rsidR="00F65539" w:rsidRPr="00564EEA">
        <w:rPr>
          <w:spacing w:val="-3"/>
          <w:sz w:val="26"/>
          <w:szCs w:val="26"/>
        </w:rPr>
        <w:t xml:space="preserve"> of Lancaster – Sewer Fund (City</w:t>
      </w:r>
      <w:r w:rsidR="00AB3232" w:rsidRPr="00564EEA">
        <w:rPr>
          <w:spacing w:val="-3"/>
          <w:sz w:val="26"/>
          <w:szCs w:val="26"/>
        </w:rPr>
        <w:t xml:space="preserve">) </w:t>
      </w:r>
      <w:r w:rsidR="0018538A" w:rsidRPr="00564EEA">
        <w:rPr>
          <w:spacing w:val="-3"/>
          <w:sz w:val="26"/>
          <w:szCs w:val="26"/>
        </w:rPr>
        <w:t>filed a Letter informing the Commis</w:t>
      </w:r>
      <w:r w:rsidR="00AB3232" w:rsidRPr="00564EEA">
        <w:rPr>
          <w:spacing w:val="-3"/>
          <w:sz w:val="26"/>
          <w:szCs w:val="26"/>
        </w:rPr>
        <w:t>sion that it would waive its right to file</w:t>
      </w:r>
      <w:r w:rsidR="0018538A" w:rsidRPr="00564EEA">
        <w:rPr>
          <w:spacing w:val="-3"/>
          <w:sz w:val="26"/>
          <w:szCs w:val="26"/>
        </w:rPr>
        <w:t xml:space="preserve"> Exceptions</w:t>
      </w:r>
      <w:r w:rsidR="00AB3232" w:rsidRPr="00564EEA">
        <w:rPr>
          <w:spacing w:val="-3"/>
          <w:sz w:val="26"/>
          <w:szCs w:val="26"/>
        </w:rPr>
        <w:t xml:space="preserve"> if the </w:t>
      </w:r>
      <w:r w:rsidR="00AB3232" w:rsidRPr="00564EEA">
        <w:rPr>
          <w:spacing w:val="-3"/>
          <w:sz w:val="26"/>
          <w:szCs w:val="26"/>
        </w:rPr>
        <w:lastRenderedPageBreak/>
        <w:t>Recommended Decision is approved</w:t>
      </w:r>
      <w:r w:rsidR="0018538A" w:rsidRPr="00564EEA">
        <w:rPr>
          <w:spacing w:val="-3"/>
          <w:sz w:val="26"/>
          <w:szCs w:val="26"/>
        </w:rPr>
        <w:t xml:space="preserve">.  </w:t>
      </w:r>
      <w:r w:rsidR="00AB3232" w:rsidRPr="00564EEA">
        <w:rPr>
          <w:spacing w:val="-3"/>
          <w:sz w:val="26"/>
          <w:szCs w:val="26"/>
        </w:rPr>
        <w:t xml:space="preserve">On March 15, 2013, the Office of Small Business Advocate (OSBA) and the Office of Consumer Advocate (OCA) each filed </w:t>
      </w:r>
      <w:r w:rsidR="002A7B2D" w:rsidRPr="00564EEA">
        <w:rPr>
          <w:spacing w:val="-3"/>
          <w:sz w:val="26"/>
          <w:szCs w:val="26"/>
        </w:rPr>
        <w:t xml:space="preserve">a Letter stating that they would not be filing </w:t>
      </w:r>
      <w:r w:rsidR="0018538A" w:rsidRPr="00564EEA">
        <w:rPr>
          <w:sz w:val="26"/>
          <w:szCs w:val="26"/>
        </w:rPr>
        <w:t xml:space="preserve">Exceptions </w:t>
      </w:r>
      <w:r w:rsidR="002A7B2D" w:rsidRPr="00564EEA">
        <w:rPr>
          <w:sz w:val="26"/>
          <w:szCs w:val="26"/>
        </w:rPr>
        <w:t xml:space="preserve">to the Recommended Decision.  </w:t>
      </w:r>
      <w:r w:rsidR="00AB3232" w:rsidRPr="00564EEA">
        <w:rPr>
          <w:sz w:val="26"/>
          <w:szCs w:val="26"/>
        </w:rPr>
        <w:t xml:space="preserve">Ms. Jane O. Larkin filed Exceptions to the </w:t>
      </w:r>
      <w:r w:rsidR="002A7B2D" w:rsidRPr="00564EEA">
        <w:rPr>
          <w:sz w:val="26"/>
          <w:szCs w:val="26"/>
        </w:rPr>
        <w:t>Recommended Decision on March</w:t>
      </w:r>
      <w:r w:rsidR="0030098B" w:rsidRPr="00564EEA">
        <w:rPr>
          <w:sz w:val="26"/>
          <w:szCs w:val="26"/>
        </w:rPr>
        <w:t xml:space="preserve"> 20</w:t>
      </w:r>
      <w:r w:rsidR="00AB3232" w:rsidRPr="00564EEA">
        <w:rPr>
          <w:sz w:val="26"/>
          <w:szCs w:val="26"/>
        </w:rPr>
        <w:t>, 2013.</w:t>
      </w:r>
      <w:r w:rsidR="00E435E7" w:rsidRPr="00564EEA">
        <w:rPr>
          <w:sz w:val="26"/>
          <w:szCs w:val="26"/>
        </w:rPr>
        <w:t xml:space="preserve">  The City filed Replies to Exceptions on March 28, 2013.</w:t>
      </w:r>
      <w:r w:rsidR="0018538A" w:rsidRPr="00564EEA">
        <w:rPr>
          <w:sz w:val="26"/>
          <w:szCs w:val="26"/>
        </w:rPr>
        <w:t xml:space="preserve"> </w:t>
      </w:r>
      <w:r w:rsidR="008373DB">
        <w:rPr>
          <w:sz w:val="26"/>
          <w:szCs w:val="26"/>
        </w:rPr>
        <w:t xml:space="preserve">  Ms. Larkin filed a Response to the City’s Replies to Exceptions on April 1, 2013.</w:t>
      </w:r>
      <w:r w:rsidR="00321F3E">
        <w:rPr>
          <w:rStyle w:val="FootnoteReference"/>
          <w:sz w:val="26"/>
          <w:szCs w:val="26"/>
        </w:rPr>
        <w:footnoteReference w:id="1"/>
      </w:r>
    </w:p>
    <w:p w:rsidR="00F7142C" w:rsidRDefault="00F7142C" w:rsidP="008A3D2D">
      <w:pPr>
        <w:pStyle w:val="ListParagraph"/>
        <w:spacing w:line="360" w:lineRule="auto"/>
        <w:ind w:left="0"/>
        <w:rPr>
          <w:sz w:val="26"/>
          <w:szCs w:val="26"/>
        </w:rPr>
      </w:pPr>
    </w:p>
    <w:p w:rsidR="00F7142C" w:rsidRPr="00564EEA" w:rsidRDefault="00F7142C" w:rsidP="00F7142C">
      <w:pPr>
        <w:suppressAutoHyphens/>
        <w:spacing w:line="360" w:lineRule="auto"/>
        <w:ind w:firstLine="1440"/>
        <w:rPr>
          <w:rFonts w:ascii="Times New Roman" w:hAnsi="Times New Roman"/>
          <w:sz w:val="26"/>
        </w:rPr>
      </w:pPr>
      <w:r w:rsidRPr="00564EEA">
        <w:rPr>
          <w:rFonts w:ascii="Times New Roman" w:hAnsi="Times New Roman"/>
          <w:sz w:val="26"/>
        </w:rPr>
        <w:t xml:space="preserve">As duly noted in our determinations herein, we </w:t>
      </w:r>
      <w:r>
        <w:rPr>
          <w:rFonts w:ascii="Times New Roman" w:hAnsi="Times New Roman"/>
          <w:sz w:val="26"/>
        </w:rPr>
        <w:t xml:space="preserve">shall </w:t>
      </w:r>
      <w:r w:rsidRPr="00564EEA">
        <w:rPr>
          <w:rFonts w:ascii="Times New Roman" w:hAnsi="Times New Roman"/>
          <w:sz w:val="26"/>
        </w:rPr>
        <w:t>adop</w:t>
      </w:r>
      <w:r w:rsidR="00457940">
        <w:rPr>
          <w:rFonts w:ascii="Times New Roman" w:hAnsi="Times New Roman"/>
          <w:sz w:val="26"/>
        </w:rPr>
        <w:t>t</w:t>
      </w:r>
      <w:r w:rsidRPr="00564EEA">
        <w:rPr>
          <w:rFonts w:ascii="Times New Roman" w:hAnsi="Times New Roman"/>
          <w:sz w:val="26"/>
        </w:rPr>
        <w:t xml:space="preserve"> the ALJ’s Recommended Decision, consistent with this Opinion and Order, and, hence, approv</w:t>
      </w:r>
      <w:r>
        <w:rPr>
          <w:rFonts w:ascii="Times New Roman" w:hAnsi="Times New Roman"/>
          <w:sz w:val="26"/>
        </w:rPr>
        <w:t>e</w:t>
      </w:r>
      <w:r w:rsidRPr="00564EEA">
        <w:rPr>
          <w:rFonts w:ascii="Times New Roman" w:hAnsi="Times New Roman"/>
          <w:sz w:val="26"/>
        </w:rPr>
        <w:t xml:space="preserve"> the Settlement.</w:t>
      </w:r>
    </w:p>
    <w:p w:rsidR="00F7142C" w:rsidRPr="00564EEA" w:rsidRDefault="00F7142C" w:rsidP="008A3D2D">
      <w:pPr>
        <w:pStyle w:val="ListParagraph"/>
        <w:spacing w:line="360" w:lineRule="auto"/>
        <w:ind w:left="0"/>
        <w:rPr>
          <w:sz w:val="26"/>
          <w:szCs w:val="26"/>
        </w:rPr>
      </w:pPr>
    </w:p>
    <w:p w:rsidR="00F8117B" w:rsidRPr="00564EEA" w:rsidRDefault="00F8117B" w:rsidP="008A3D2D">
      <w:pPr>
        <w:pStyle w:val="ListParagraph"/>
        <w:spacing w:line="360" w:lineRule="auto"/>
        <w:ind w:left="0"/>
        <w:rPr>
          <w:sz w:val="26"/>
          <w:szCs w:val="26"/>
        </w:rPr>
      </w:pPr>
    </w:p>
    <w:p w:rsidR="00836C47" w:rsidRPr="00564EEA" w:rsidRDefault="00976791" w:rsidP="008A3D2D">
      <w:pPr>
        <w:pStyle w:val="ListParagraph"/>
        <w:numPr>
          <w:ilvl w:val="0"/>
          <w:numId w:val="38"/>
        </w:numPr>
        <w:jc w:val="center"/>
        <w:rPr>
          <w:b/>
          <w:sz w:val="26"/>
          <w:szCs w:val="26"/>
        </w:rPr>
      </w:pPr>
      <w:r w:rsidRPr="00564EEA">
        <w:rPr>
          <w:b/>
          <w:sz w:val="26"/>
          <w:szCs w:val="26"/>
        </w:rPr>
        <w:t>History of the Proceeding</w:t>
      </w:r>
      <w:r w:rsidR="0033784A" w:rsidRPr="00564EEA">
        <w:rPr>
          <w:rStyle w:val="FootnoteReference"/>
          <w:b/>
          <w:sz w:val="20"/>
          <w:szCs w:val="20"/>
        </w:rPr>
        <w:footnoteReference w:id="2"/>
      </w:r>
    </w:p>
    <w:p w:rsidR="00A36BC3" w:rsidRPr="00564EEA" w:rsidRDefault="00A36BC3" w:rsidP="008A3D2D">
      <w:pPr>
        <w:pStyle w:val="ListParagraph"/>
        <w:ind w:left="1080"/>
        <w:rPr>
          <w:b/>
          <w:sz w:val="26"/>
          <w:szCs w:val="26"/>
        </w:rPr>
      </w:pPr>
    </w:p>
    <w:p w:rsidR="00836C47" w:rsidRPr="00564EEA" w:rsidRDefault="00836C47" w:rsidP="008A3D2D">
      <w:pPr>
        <w:pStyle w:val="ListParagraph"/>
        <w:ind w:left="1080"/>
        <w:rPr>
          <w:sz w:val="26"/>
          <w:szCs w:val="26"/>
          <w:u w:val="single"/>
        </w:rPr>
      </w:pPr>
    </w:p>
    <w:p w:rsidR="00644B5E" w:rsidRPr="00564EEA" w:rsidRDefault="00BB2192" w:rsidP="008A3D2D">
      <w:pPr>
        <w:spacing w:after="0" w:line="360" w:lineRule="auto"/>
        <w:rPr>
          <w:rFonts w:ascii="Times New Roman" w:hAnsi="Times New Roman"/>
          <w:sz w:val="26"/>
          <w:szCs w:val="26"/>
        </w:rPr>
      </w:pPr>
      <w:r w:rsidRPr="00564EEA">
        <w:rPr>
          <w:rFonts w:ascii="Times New Roman" w:hAnsi="Times New Roman"/>
          <w:sz w:val="26"/>
          <w:szCs w:val="26"/>
        </w:rPr>
        <w:tab/>
      </w:r>
      <w:r w:rsidRPr="00564EEA">
        <w:rPr>
          <w:rFonts w:ascii="Times New Roman" w:hAnsi="Times New Roman"/>
          <w:sz w:val="26"/>
          <w:szCs w:val="26"/>
        </w:rPr>
        <w:tab/>
      </w:r>
      <w:r w:rsidR="00644B5E" w:rsidRPr="00564EEA">
        <w:rPr>
          <w:rFonts w:ascii="Times New Roman" w:hAnsi="Times New Roman"/>
          <w:sz w:val="26"/>
          <w:szCs w:val="26"/>
        </w:rPr>
        <w:t>On September 28, 2012, the City filed Supplement No. 36 to Tariff Sewer-Pa. P.U.C. No. 7 to become effective November 27, 2012, containing proposed changes in rates, rules, and regulations calculated to produce $551,609 (58.6%) in additional annual revenues from (Commission jurisdictional) customers located outside the City</w:t>
      </w:r>
      <w:r w:rsidR="00D10E89" w:rsidRPr="00564EEA">
        <w:rPr>
          <w:rFonts w:ascii="Times New Roman" w:hAnsi="Times New Roman"/>
          <w:sz w:val="26"/>
          <w:szCs w:val="26"/>
        </w:rPr>
        <w:t>,</w:t>
      </w:r>
      <w:r w:rsidR="00644B5E" w:rsidRPr="00564EEA">
        <w:rPr>
          <w:rFonts w:ascii="Times New Roman" w:hAnsi="Times New Roman"/>
          <w:sz w:val="26"/>
          <w:szCs w:val="26"/>
        </w:rPr>
        <w:t xml:space="preserve"> based upon the experienced levels of operations in the historic and future test years ending December </w:t>
      </w:r>
      <w:r w:rsidR="00CA25DC" w:rsidRPr="00564EEA">
        <w:rPr>
          <w:rFonts w:ascii="Times New Roman" w:hAnsi="Times New Roman"/>
          <w:sz w:val="26"/>
          <w:szCs w:val="26"/>
        </w:rPr>
        <w:t>3</w:t>
      </w:r>
      <w:r w:rsidR="00644B5E" w:rsidRPr="00564EEA">
        <w:rPr>
          <w:rFonts w:ascii="Times New Roman" w:hAnsi="Times New Roman"/>
          <w:sz w:val="26"/>
          <w:szCs w:val="26"/>
        </w:rPr>
        <w:t>1, 2011 and December 31, 2012.</w:t>
      </w:r>
    </w:p>
    <w:p w:rsidR="00644B5E" w:rsidRPr="00564EEA" w:rsidRDefault="00644B5E" w:rsidP="008A3D2D">
      <w:pPr>
        <w:spacing w:after="0" w:line="360" w:lineRule="auto"/>
        <w:rPr>
          <w:rFonts w:ascii="Times New Roman" w:hAnsi="Times New Roman"/>
          <w:sz w:val="26"/>
          <w:szCs w:val="26"/>
        </w:rPr>
      </w:pPr>
    </w:p>
    <w:p w:rsidR="00644B5E" w:rsidRPr="00564EEA" w:rsidRDefault="00644B5E" w:rsidP="008A3D2D">
      <w:pPr>
        <w:spacing w:after="0" w:line="360" w:lineRule="auto"/>
        <w:rPr>
          <w:rFonts w:ascii="Times New Roman" w:hAnsi="Times New Roman"/>
          <w:sz w:val="26"/>
          <w:szCs w:val="26"/>
        </w:rPr>
      </w:pPr>
      <w:r w:rsidRPr="00564EEA">
        <w:rPr>
          <w:rFonts w:ascii="Times New Roman" w:hAnsi="Times New Roman"/>
          <w:sz w:val="26"/>
          <w:szCs w:val="26"/>
        </w:rPr>
        <w:lastRenderedPageBreak/>
        <w:tab/>
      </w:r>
      <w:r w:rsidRPr="00564EEA">
        <w:rPr>
          <w:rFonts w:ascii="Times New Roman" w:hAnsi="Times New Roman"/>
          <w:sz w:val="26"/>
          <w:szCs w:val="26"/>
        </w:rPr>
        <w:tab/>
        <w:t>On October 15, 2012, Jane O. Larkin, a</w:t>
      </w:r>
      <w:r w:rsidR="003F0FAC" w:rsidRPr="00564EEA">
        <w:rPr>
          <w:rFonts w:ascii="Times New Roman" w:hAnsi="Times New Roman"/>
          <w:sz w:val="26"/>
          <w:szCs w:val="26"/>
        </w:rPr>
        <w:t xml:space="preserve"> customer of the City, filed a F</w:t>
      </w:r>
      <w:r w:rsidR="00A2737F">
        <w:rPr>
          <w:rFonts w:ascii="Times New Roman" w:hAnsi="Times New Roman"/>
          <w:sz w:val="26"/>
          <w:szCs w:val="26"/>
        </w:rPr>
        <w:t>ormal </w:t>
      </w:r>
      <w:r w:rsidRPr="00564EEA">
        <w:rPr>
          <w:rFonts w:ascii="Times New Roman" w:hAnsi="Times New Roman"/>
          <w:sz w:val="26"/>
          <w:szCs w:val="26"/>
        </w:rPr>
        <w:t xml:space="preserve">Complaint against the requested increase.  That </w:t>
      </w:r>
      <w:r w:rsidR="00A2737F">
        <w:rPr>
          <w:rFonts w:ascii="Times New Roman" w:hAnsi="Times New Roman"/>
          <w:sz w:val="26"/>
          <w:szCs w:val="26"/>
        </w:rPr>
        <w:t>Complaint was docketed at C</w:t>
      </w:r>
      <w:r w:rsidR="00A2737F">
        <w:rPr>
          <w:rFonts w:ascii="Times New Roman" w:hAnsi="Times New Roman"/>
          <w:sz w:val="26"/>
          <w:szCs w:val="26"/>
        </w:rPr>
        <w:noBreakHyphen/>
      </w:r>
      <w:r w:rsidRPr="00564EEA">
        <w:rPr>
          <w:rFonts w:ascii="Times New Roman" w:hAnsi="Times New Roman"/>
          <w:sz w:val="26"/>
          <w:szCs w:val="26"/>
        </w:rPr>
        <w:t>2012-2330719.</w:t>
      </w:r>
    </w:p>
    <w:p w:rsidR="00644B5E" w:rsidRPr="00564EEA" w:rsidRDefault="00644B5E" w:rsidP="008A3D2D">
      <w:pPr>
        <w:spacing w:after="0" w:line="360" w:lineRule="auto"/>
        <w:rPr>
          <w:rFonts w:ascii="Times New Roman" w:hAnsi="Times New Roman"/>
          <w:sz w:val="26"/>
          <w:szCs w:val="26"/>
        </w:rPr>
      </w:pPr>
    </w:p>
    <w:p w:rsidR="00644B5E" w:rsidRPr="00564EEA" w:rsidRDefault="00644B5E" w:rsidP="008A3D2D">
      <w:pPr>
        <w:spacing w:after="0" w:line="360" w:lineRule="auto"/>
        <w:rPr>
          <w:rFonts w:ascii="Times New Roman" w:hAnsi="Times New Roman"/>
          <w:sz w:val="26"/>
          <w:szCs w:val="26"/>
        </w:rPr>
      </w:pPr>
      <w:r w:rsidRPr="00564EEA">
        <w:rPr>
          <w:rFonts w:ascii="Times New Roman" w:hAnsi="Times New Roman"/>
          <w:sz w:val="26"/>
          <w:szCs w:val="26"/>
        </w:rPr>
        <w:tab/>
      </w:r>
      <w:r w:rsidRPr="00564EEA">
        <w:rPr>
          <w:rFonts w:ascii="Times New Roman" w:hAnsi="Times New Roman"/>
          <w:sz w:val="26"/>
          <w:szCs w:val="26"/>
        </w:rPr>
        <w:tab/>
        <w:t xml:space="preserve">On October 17, 2012, the OCA filed a </w:t>
      </w:r>
      <w:r w:rsidR="00022757" w:rsidRPr="00564EEA">
        <w:rPr>
          <w:rFonts w:ascii="Times New Roman" w:hAnsi="Times New Roman"/>
          <w:sz w:val="26"/>
          <w:szCs w:val="26"/>
        </w:rPr>
        <w:t>Formal Complaint</w:t>
      </w:r>
      <w:r w:rsidR="006129A5" w:rsidRPr="00564EEA">
        <w:rPr>
          <w:rFonts w:ascii="Times New Roman" w:hAnsi="Times New Roman"/>
          <w:sz w:val="26"/>
          <w:szCs w:val="26"/>
        </w:rPr>
        <w:t>,</w:t>
      </w:r>
      <w:r w:rsidRPr="00564EEA">
        <w:rPr>
          <w:rFonts w:ascii="Times New Roman" w:hAnsi="Times New Roman"/>
          <w:sz w:val="26"/>
          <w:szCs w:val="26"/>
        </w:rPr>
        <w:t xml:space="preserve"> </w:t>
      </w:r>
      <w:r w:rsidR="006129A5" w:rsidRPr="00564EEA">
        <w:rPr>
          <w:rFonts w:ascii="Times New Roman" w:hAnsi="Times New Roman"/>
          <w:sz w:val="26"/>
          <w:szCs w:val="26"/>
        </w:rPr>
        <w:t>docketed at C</w:t>
      </w:r>
      <w:r w:rsidR="006129A5" w:rsidRPr="00564EEA">
        <w:rPr>
          <w:rFonts w:ascii="Times New Roman" w:hAnsi="Times New Roman"/>
          <w:sz w:val="26"/>
          <w:szCs w:val="26"/>
        </w:rPr>
        <w:noBreakHyphen/>
        <w:t xml:space="preserve">2012-2329756, </w:t>
      </w:r>
      <w:r w:rsidRPr="00564EEA">
        <w:rPr>
          <w:rFonts w:ascii="Times New Roman" w:hAnsi="Times New Roman"/>
          <w:sz w:val="26"/>
          <w:szCs w:val="26"/>
        </w:rPr>
        <w:t>and Public Statement in this proceeding.</w:t>
      </w:r>
      <w:r w:rsidR="006129A5" w:rsidRPr="00564EEA">
        <w:rPr>
          <w:rFonts w:ascii="Times New Roman" w:hAnsi="Times New Roman"/>
          <w:sz w:val="26"/>
          <w:szCs w:val="26"/>
        </w:rPr>
        <w:t xml:space="preserve">  </w:t>
      </w:r>
      <w:r w:rsidRPr="00564EEA">
        <w:rPr>
          <w:rFonts w:ascii="Times New Roman" w:hAnsi="Times New Roman"/>
          <w:sz w:val="26"/>
          <w:szCs w:val="26"/>
        </w:rPr>
        <w:t>The OCA requested that a public input hearing be held in the City’s service territory in order to provide customers with an opportu</w:t>
      </w:r>
      <w:r w:rsidR="006129A5" w:rsidRPr="00564EEA">
        <w:rPr>
          <w:rFonts w:ascii="Times New Roman" w:hAnsi="Times New Roman"/>
          <w:sz w:val="26"/>
          <w:szCs w:val="26"/>
        </w:rPr>
        <w:t xml:space="preserve">nity to be heard </w:t>
      </w:r>
      <w:r w:rsidRPr="00564EEA">
        <w:rPr>
          <w:rFonts w:ascii="Times New Roman" w:hAnsi="Times New Roman"/>
          <w:sz w:val="26"/>
          <w:szCs w:val="26"/>
        </w:rPr>
        <w:t>on the record.</w:t>
      </w:r>
      <w:r w:rsidR="006129A5" w:rsidRPr="00564EEA">
        <w:rPr>
          <w:rFonts w:ascii="Times New Roman" w:hAnsi="Times New Roman"/>
          <w:sz w:val="26"/>
          <w:szCs w:val="26"/>
        </w:rPr>
        <w:t xml:space="preserve">  </w:t>
      </w:r>
      <w:r w:rsidRPr="00564EEA">
        <w:rPr>
          <w:rFonts w:ascii="Times New Roman" w:hAnsi="Times New Roman"/>
          <w:sz w:val="26"/>
          <w:szCs w:val="26"/>
        </w:rPr>
        <w:t xml:space="preserve">On November 5, 2012, the OSBA filed a </w:t>
      </w:r>
      <w:r w:rsidR="00022757" w:rsidRPr="00564EEA">
        <w:rPr>
          <w:rFonts w:ascii="Times New Roman" w:hAnsi="Times New Roman"/>
          <w:sz w:val="26"/>
          <w:szCs w:val="26"/>
        </w:rPr>
        <w:t>Formal Complaint</w:t>
      </w:r>
      <w:r w:rsidR="006129A5" w:rsidRPr="00564EEA">
        <w:rPr>
          <w:rFonts w:ascii="Times New Roman" w:hAnsi="Times New Roman"/>
          <w:sz w:val="26"/>
          <w:szCs w:val="26"/>
        </w:rPr>
        <w:t>, docketed at C</w:t>
      </w:r>
      <w:r w:rsidR="006129A5" w:rsidRPr="00564EEA">
        <w:rPr>
          <w:rFonts w:ascii="Times New Roman" w:hAnsi="Times New Roman"/>
          <w:sz w:val="26"/>
          <w:szCs w:val="26"/>
        </w:rPr>
        <w:noBreakHyphen/>
        <w:t>2012-2333112,</w:t>
      </w:r>
      <w:r w:rsidRPr="00564EEA">
        <w:rPr>
          <w:rFonts w:ascii="Times New Roman" w:hAnsi="Times New Roman"/>
          <w:sz w:val="26"/>
          <w:szCs w:val="26"/>
        </w:rPr>
        <w:t xml:space="preserve"> and Public Statement in this proceeding.</w:t>
      </w:r>
    </w:p>
    <w:p w:rsidR="006129A5" w:rsidRPr="00564EEA" w:rsidRDefault="006129A5" w:rsidP="008A3D2D">
      <w:pPr>
        <w:spacing w:after="0" w:line="360" w:lineRule="auto"/>
        <w:rPr>
          <w:rFonts w:ascii="Times New Roman" w:hAnsi="Times New Roman"/>
          <w:sz w:val="26"/>
          <w:szCs w:val="26"/>
        </w:rPr>
      </w:pPr>
    </w:p>
    <w:p w:rsidR="00644B5E" w:rsidRPr="00564EEA" w:rsidRDefault="00644B5E" w:rsidP="008A3D2D">
      <w:pPr>
        <w:spacing w:after="0" w:line="360" w:lineRule="auto"/>
        <w:rPr>
          <w:rFonts w:ascii="Times New Roman" w:hAnsi="Times New Roman"/>
          <w:sz w:val="26"/>
          <w:szCs w:val="26"/>
        </w:rPr>
      </w:pPr>
      <w:r w:rsidRPr="00564EEA">
        <w:rPr>
          <w:rFonts w:ascii="Times New Roman" w:hAnsi="Times New Roman"/>
          <w:sz w:val="26"/>
          <w:szCs w:val="26"/>
        </w:rPr>
        <w:tab/>
      </w:r>
      <w:r w:rsidRPr="00564EEA">
        <w:rPr>
          <w:rFonts w:ascii="Times New Roman" w:hAnsi="Times New Roman"/>
          <w:sz w:val="26"/>
          <w:szCs w:val="26"/>
        </w:rPr>
        <w:tab/>
        <w:t xml:space="preserve">By Order entered November 8, 2012, the Commission instituted an investigation to determine the lawfulness, justness and reasonableness of both existing and proposed rates, rules and regulations.  Pursuant to Section 1308(d) of the Public Utility Code, 66 Pa. C.S. §1308(d), the filing was suspended by operation of law on November 8, 2012, until June 27, 2013.  The Order </w:t>
      </w:r>
      <w:r w:rsidR="006129A5" w:rsidRPr="00564EEA">
        <w:rPr>
          <w:rFonts w:ascii="Times New Roman" w:hAnsi="Times New Roman"/>
          <w:sz w:val="26"/>
          <w:szCs w:val="26"/>
        </w:rPr>
        <w:t xml:space="preserve">also </w:t>
      </w:r>
      <w:r w:rsidRPr="00564EEA">
        <w:rPr>
          <w:rFonts w:ascii="Times New Roman" w:hAnsi="Times New Roman"/>
          <w:sz w:val="26"/>
          <w:szCs w:val="26"/>
        </w:rPr>
        <w:t>provided that the case be assigned to the Office of Administrative Law Judge (OALJ) for the promp</w:t>
      </w:r>
      <w:r w:rsidR="006129A5" w:rsidRPr="00564EEA">
        <w:rPr>
          <w:rFonts w:ascii="Times New Roman" w:hAnsi="Times New Roman"/>
          <w:sz w:val="26"/>
          <w:szCs w:val="26"/>
        </w:rPr>
        <w:t xml:space="preserve">t scheduling of such hearings, </w:t>
      </w:r>
      <w:r w:rsidRPr="00564EEA">
        <w:rPr>
          <w:rFonts w:ascii="Times New Roman" w:hAnsi="Times New Roman"/>
          <w:sz w:val="26"/>
          <w:szCs w:val="26"/>
        </w:rPr>
        <w:t>culminating in the issuance of a Recommended Decision.</w:t>
      </w:r>
    </w:p>
    <w:p w:rsidR="00644B5E" w:rsidRPr="00564EEA" w:rsidRDefault="00644B5E" w:rsidP="008A3D2D">
      <w:pPr>
        <w:spacing w:after="0" w:line="360" w:lineRule="auto"/>
        <w:rPr>
          <w:rFonts w:ascii="Times New Roman" w:hAnsi="Times New Roman"/>
          <w:sz w:val="26"/>
          <w:szCs w:val="26"/>
        </w:rPr>
      </w:pPr>
    </w:p>
    <w:p w:rsidR="00644B5E" w:rsidRPr="00564EEA" w:rsidRDefault="00644B5E" w:rsidP="008A3D2D">
      <w:pPr>
        <w:spacing w:after="0" w:line="360" w:lineRule="auto"/>
        <w:rPr>
          <w:rFonts w:ascii="Times New Roman" w:hAnsi="Times New Roman"/>
          <w:sz w:val="26"/>
          <w:szCs w:val="26"/>
        </w:rPr>
      </w:pPr>
      <w:r w:rsidRPr="00564EEA">
        <w:rPr>
          <w:rFonts w:ascii="Times New Roman" w:hAnsi="Times New Roman"/>
          <w:sz w:val="26"/>
          <w:szCs w:val="26"/>
        </w:rPr>
        <w:tab/>
      </w:r>
      <w:r w:rsidRPr="00564EEA">
        <w:rPr>
          <w:rFonts w:ascii="Times New Roman" w:hAnsi="Times New Roman"/>
          <w:sz w:val="26"/>
          <w:szCs w:val="26"/>
        </w:rPr>
        <w:tab/>
        <w:t xml:space="preserve">On November 15, 2012, counsel for </w:t>
      </w:r>
      <w:r w:rsidR="007E5461" w:rsidRPr="00564EEA">
        <w:rPr>
          <w:rFonts w:ascii="Times New Roman" w:hAnsi="Times New Roman"/>
          <w:sz w:val="26"/>
          <w:szCs w:val="26"/>
        </w:rPr>
        <w:t>the Commission’s Bureau of Investigation and Enforcement (</w:t>
      </w:r>
      <w:r w:rsidRPr="00564EEA">
        <w:rPr>
          <w:rFonts w:ascii="Times New Roman" w:hAnsi="Times New Roman"/>
          <w:sz w:val="26"/>
          <w:szCs w:val="26"/>
        </w:rPr>
        <w:t>I&amp;E</w:t>
      </w:r>
      <w:r w:rsidR="007E5461" w:rsidRPr="00564EEA">
        <w:rPr>
          <w:rFonts w:ascii="Times New Roman" w:hAnsi="Times New Roman"/>
          <w:sz w:val="26"/>
          <w:szCs w:val="26"/>
        </w:rPr>
        <w:t>)</w:t>
      </w:r>
      <w:r w:rsidRPr="00564EEA">
        <w:rPr>
          <w:rFonts w:ascii="Times New Roman" w:hAnsi="Times New Roman"/>
          <w:sz w:val="26"/>
          <w:szCs w:val="26"/>
        </w:rPr>
        <w:t xml:space="preserve"> filed a Notice of Appearance in this matter.</w:t>
      </w:r>
    </w:p>
    <w:p w:rsidR="00644B5E" w:rsidRPr="00564EEA" w:rsidRDefault="00644B5E" w:rsidP="008A3D2D">
      <w:pPr>
        <w:spacing w:after="0" w:line="360" w:lineRule="auto"/>
        <w:rPr>
          <w:rFonts w:ascii="Times New Roman" w:hAnsi="Times New Roman"/>
          <w:sz w:val="26"/>
          <w:szCs w:val="26"/>
        </w:rPr>
      </w:pPr>
    </w:p>
    <w:p w:rsidR="00644B5E" w:rsidRPr="00564EEA" w:rsidRDefault="00644B5E" w:rsidP="008A3D2D">
      <w:pPr>
        <w:spacing w:after="0" w:line="360" w:lineRule="auto"/>
        <w:rPr>
          <w:rFonts w:ascii="Times New Roman" w:hAnsi="Times New Roman"/>
          <w:bCs/>
          <w:sz w:val="26"/>
          <w:szCs w:val="26"/>
        </w:rPr>
      </w:pPr>
      <w:r w:rsidRPr="00564EEA">
        <w:rPr>
          <w:rFonts w:ascii="Times New Roman" w:hAnsi="Times New Roman"/>
          <w:bCs/>
          <w:sz w:val="26"/>
          <w:szCs w:val="26"/>
        </w:rPr>
        <w:tab/>
      </w:r>
      <w:r w:rsidRPr="00564EEA">
        <w:rPr>
          <w:rFonts w:ascii="Times New Roman" w:hAnsi="Times New Roman"/>
          <w:bCs/>
          <w:sz w:val="26"/>
          <w:szCs w:val="26"/>
        </w:rPr>
        <w:tab/>
        <w:t>On November 26, 2012, a Prehearing Conference was held to identify and resolve any procedural issues, to establish any modification of the Commission’s discovery rules appropriate in this matter, and to develop a procedural schedule.  The Prehearing Conference was attended by counsel for the City, the</w:t>
      </w:r>
      <w:r w:rsidR="007E5461" w:rsidRPr="00564EEA">
        <w:rPr>
          <w:rFonts w:ascii="Times New Roman" w:hAnsi="Times New Roman"/>
          <w:bCs/>
          <w:sz w:val="26"/>
          <w:szCs w:val="26"/>
        </w:rPr>
        <w:t xml:space="preserve"> OCA, the OSBA, and I&amp;E.  A Prehearing Order was then issued, </w:t>
      </w:r>
      <w:r w:rsidRPr="00564EEA">
        <w:rPr>
          <w:rFonts w:ascii="Times New Roman" w:hAnsi="Times New Roman"/>
          <w:bCs/>
          <w:sz w:val="26"/>
          <w:szCs w:val="26"/>
        </w:rPr>
        <w:t>directing that a public input hearing be held on December 10, 2012, and consolidating</w:t>
      </w:r>
      <w:r w:rsidR="00022757" w:rsidRPr="00564EEA">
        <w:rPr>
          <w:rFonts w:ascii="Times New Roman" w:hAnsi="Times New Roman"/>
          <w:bCs/>
          <w:sz w:val="26"/>
          <w:szCs w:val="26"/>
        </w:rPr>
        <w:t xml:space="preserve"> the F</w:t>
      </w:r>
      <w:r w:rsidR="007E5461" w:rsidRPr="00564EEA">
        <w:rPr>
          <w:rFonts w:ascii="Times New Roman" w:hAnsi="Times New Roman"/>
          <w:bCs/>
          <w:sz w:val="26"/>
          <w:szCs w:val="26"/>
        </w:rPr>
        <w:t xml:space="preserve">ormal Complaints with the rate </w:t>
      </w:r>
      <w:r w:rsidR="007E5461" w:rsidRPr="00564EEA">
        <w:rPr>
          <w:rFonts w:ascii="Times New Roman" w:hAnsi="Times New Roman"/>
          <w:bCs/>
          <w:sz w:val="26"/>
          <w:szCs w:val="26"/>
        </w:rPr>
        <w:lastRenderedPageBreak/>
        <w:t xml:space="preserve">proceeding.  It was directed that the date, time and place of the public input hearing was to be </w:t>
      </w:r>
      <w:r w:rsidRPr="00564EEA">
        <w:rPr>
          <w:rFonts w:ascii="Times New Roman" w:hAnsi="Times New Roman"/>
          <w:bCs/>
          <w:sz w:val="26"/>
          <w:szCs w:val="26"/>
        </w:rPr>
        <w:t>pub</w:t>
      </w:r>
      <w:r w:rsidR="007E5461" w:rsidRPr="00564EEA">
        <w:rPr>
          <w:rFonts w:ascii="Times New Roman" w:hAnsi="Times New Roman"/>
          <w:bCs/>
          <w:sz w:val="26"/>
          <w:szCs w:val="26"/>
        </w:rPr>
        <w:t>lished</w:t>
      </w:r>
      <w:r w:rsidRPr="00564EEA">
        <w:rPr>
          <w:rFonts w:ascii="Times New Roman" w:hAnsi="Times New Roman"/>
          <w:bCs/>
          <w:sz w:val="26"/>
          <w:szCs w:val="26"/>
        </w:rPr>
        <w:t>.</w:t>
      </w:r>
    </w:p>
    <w:p w:rsidR="00644B5E" w:rsidRPr="00564EEA" w:rsidRDefault="00644B5E" w:rsidP="008A3D2D">
      <w:pPr>
        <w:spacing w:after="0" w:line="360" w:lineRule="auto"/>
        <w:rPr>
          <w:rFonts w:ascii="Times New Roman" w:hAnsi="Times New Roman"/>
          <w:bCs/>
          <w:sz w:val="26"/>
          <w:szCs w:val="26"/>
        </w:rPr>
      </w:pPr>
    </w:p>
    <w:p w:rsidR="00CA25DC" w:rsidRPr="00564EEA" w:rsidRDefault="00644B5E" w:rsidP="008A3D2D">
      <w:pPr>
        <w:spacing w:after="0" w:line="360" w:lineRule="auto"/>
        <w:rPr>
          <w:rFonts w:ascii="Times New Roman" w:hAnsi="Times New Roman"/>
          <w:bCs/>
          <w:sz w:val="26"/>
          <w:szCs w:val="26"/>
        </w:rPr>
      </w:pPr>
      <w:r w:rsidRPr="00564EEA">
        <w:rPr>
          <w:rFonts w:ascii="Times New Roman" w:hAnsi="Times New Roman"/>
          <w:bCs/>
          <w:sz w:val="26"/>
          <w:szCs w:val="26"/>
        </w:rPr>
        <w:tab/>
      </w:r>
      <w:r w:rsidRPr="00564EEA">
        <w:rPr>
          <w:rFonts w:ascii="Times New Roman" w:hAnsi="Times New Roman"/>
          <w:bCs/>
          <w:sz w:val="26"/>
          <w:szCs w:val="26"/>
        </w:rPr>
        <w:tab/>
        <w:t>A public input hearing was held</w:t>
      </w:r>
      <w:r w:rsidR="00CA25DC" w:rsidRPr="00564EEA">
        <w:rPr>
          <w:rFonts w:ascii="Times New Roman" w:hAnsi="Times New Roman"/>
          <w:bCs/>
          <w:sz w:val="26"/>
          <w:szCs w:val="26"/>
        </w:rPr>
        <w:t>,</w:t>
      </w:r>
      <w:r w:rsidRPr="00564EEA">
        <w:rPr>
          <w:rFonts w:ascii="Times New Roman" w:hAnsi="Times New Roman"/>
          <w:bCs/>
          <w:sz w:val="26"/>
          <w:szCs w:val="26"/>
        </w:rPr>
        <w:t xml:space="preserve"> </w:t>
      </w:r>
      <w:r w:rsidR="007E5461" w:rsidRPr="00564EEA">
        <w:rPr>
          <w:rFonts w:ascii="Times New Roman" w:hAnsi="Times New Roman"/>
          <w:bCs/>
          <w:sz w:val="26"/>
          <w:szCs w:val="26"/>
        </w:rPr>
        <w:t>as scheduled</w:t>
      </w:r>
      <w:r w:rsidR="00CA25DC" w:rsidRPr="00564EEA">
        <w:rPr>
          <w:rFonts w:ascii="Times New Roman" w:hAnsi="Times New Roman"/>
          <w:bCs/>
          <w:sz w:val="26"/>
          <w:szCs w:val="26"/>
        </w:rPr>
        <w:t>,</w:t>
      </w:r>
      <w:r w:rsidR="004E50A1" w:rsidRPr="00564EEA">
        <w:rPr>
          <w:rFonts w:ascii="Times New Roman" w:hAnsi="Times New Roman"/>
          <w:bCs/>
          <w:sz w:val="26"/>
          <w:szCs w:val="26"/>
        </w:rPr>
        <w:t xml:space="preserve"> </w:t>
      </w:r>
      <w:r w:rsidRPr="00564EEA">
        <w:rPr>
          <w:rFonts w:ascii="Times New Roman" w:hAnsi="Times New Roman"/>
          <w:bCs/>
          <w:sz w:val="26"/>
          <w:szCs w:val="26"/>
        </w:rPr>
        <w:t xml:space="preserve">on December 10, 2012, at the Manheim Township Public Library, Lancaster, Pennsylvania, with sessions at 2:00 p.m. and 6:00 p.m.  The session at 2:00 p.m. was attended by a single testifying witness, Complainant Jane O. Larkin. </w:t>
      </w:r>
      <w:r w:rsidR="00232802" w:rsidRPr="00564EEA">
        <w:rPr>
          <w:rFonts w:ascii="Times New Roman" w:hAnsi="Times New Roman"/>
          <w:bCs/>
          <w:sz w:val="26"/>
          <w:szCs w:val="26"/>
        </w:rPr>
        <w:t xml:space="preserve"> </w:t>
      </w:r>
      <w:r w:rsidRPr="00564EEA">
        <w:rPr>
          <w:rFonts w:ascii="Times New Roman" w:hAnsi="Times New Roman"/>
          <w:bCs/>
          <w:sz w:val="26"/>
          <w:szCs w:val="26"/>
        </w:rPr>
        <w:t>Mrs. Diane Sechler also appeared and testified, but it was discovered that she w</w:t>
      </w:r>
      <w:r w:rsidR="007E5461" w:rsidRPr="00564EEA">
        <w:rPr>
          <w:rFonts w:ascii="Times New Roman" w:hAnsi="Times New Roman"/>
          <w:bCs/>
          <w:sz w:val="26"/>
          <w:szCs w:val="26"/>
        </w:rPr>
        <w:t xml:space="preserve">as not a customer of the City.  </w:t>
      </w:r>
      <w:r w:rsidRPr="00564EEA">
        <w:rPr>
          <w:rFonts w:ascii="Times New Roman" w:hAnsi="Times New Roman"/>
          <w:bCs/>
          <w:sz w:val="26"/>
          <w:szCs w:val="26"/>
        </w:rPr>
        <w:t>No exhibits were offered or received in evidence.</w:t>
      </w:r>
      <w:r w:rsidR="00232802" w:rsidRPr="00564EEA">
        <w:rPr>
          <w:rFonts w:ascii="Times New Roman" w:hAnsi="Times New Roman"/>
          <w:bCs/>
          <w:sz w:val="26"/>
          <w:szCs w:val="26"/>
        </w:rPr>
        <w:t xml:space="preserve"> </w:t>
      </w:r>
      <w:r w:rsidR="00CA25DC" w:rsidRPr="00564EEA">
        <w:rPr>
          <w:rFonts w:ascii="Times New Roman" w:hAnsi="Times New Roman"/>
          <w:bCs/>
          <w:sz w:val="26"/>
          <w:szCs w:val="26"/>
        </w:rPr>
        <w:t xml:space="preserve"> </w:t>
      </w:r>
      <w:r w:rsidR="00232802" w:rsidRPr="00564EEA">
        <w:rPr>
          <w:rFonts w:ascii="Times New Roman" w:hAnsi="Times New Roman"/>
          <w:bCs/>
          <w:sz w:val="26"/>
          <w:szCs w:val="26"/>
        </w:rPr>
        <w:t xml:space="preserve">Evidentiary hearings were scheduled for </w:t>
      </w:r>
      <w:r w:rsidR="00EB427B" w:rsidRPr="00564EEA">
        <w:rPr>
          <w:rFonts w:ascii="Times New Roman" w:hAnsi="Times New Roman"/>
          <w:bCs/>
          <w:sz w:val="26"/>
          <w:szCs w:val="26"/>
        </w:rPr>
        <w:t>February 12-14,</w:t>
      </w:r>
      <w:r w:rsidRPr="00564EEA">
        <w:rPr>
          <w:rFonts w:ascii="Times New Roman" w:hAnsi="Times New Roman"/>
          <w:bCs/>
          <w:sz w:val="26"/>
          <w:szCs w:val="26"/>
        </w:rPr>
        <w:t xml:space="preserve"> 2013, at the Commission’s office in Harrisburg, Pennsylvania.</w:t>
      </w:r>
    </w:p>
    <w:p w:rsidR="00CA25DC" w:rsidRPr="00564EEA" w:rsidRDefault="00CA25DC" w:rsidP="008A3D2D">
      <w:pPr>
        <w:spacing w:after="0" w:line="360" w:lineRule="auto"/>
        <w:rPr>
          <w:rFonts w:ascii="Times New Roman" w:hAnsi="Times New Roman"/>
          <w:bCs/>
          <w:sz w:val="26"/>
          <w:szCs w:val="26"/>
        </w:rPr>
      </w:pPr>
    </w:p>
    <w:p w:rsidR="00644B5E" w:rsidRPr="00564EEA" w:rsidRDefault="00644B5E" w:rsidP="008A3D2D">
      <w:pPr>
        <w:spacing w:after="0" w:line="360" w:lineRule="auto"/>
        <w:rPr>
          <w:rFonts w:ascii="Times New Roman" w:hAnsi="Times New Roman"/>
          <w:sz w:val="26"/>
          <w:szCs w:val="26"/>
        </w:rPr>
      </w:pPr>
      <w:r w:rsidRPr="00564EEA">
        <w:rPr>
          <w:rFonts w:ascii="Times New Roman" w:hAnsi="Times New Roman"/>
          <w:bCs/>
          <w:sz w:val="26"/>
          <w:szCs w:val="26"/>
        </w:rPr>
        <w:tab/>
      </w:r>
      <w:r w:rsidRPr="00564EEA">
        <w:rPr>
          <w:rFonts w:ascii="Times New Roman" w:hAnsi="Times New Roman"/>
          <w:bCs/>
          <w:sz w:val="26"/>
          <w:szCs w:val="26"/>
        </w:rPr>
        <w:tab/>
        <w:t>On January 18, 2013, the Joint Peti</w:t>
      </w:r>
      <w:r w:rsidR="00EB427B" w:rsidRPr="00564EEA">
        <w:rPr>
          <w:rFonts w:ascii="Times New Roman" w:hAnsi="Times New Roman"/>
          <w:bCs/>
          <w:sz w:val="26"/>
          <w:szCs w:val="26"/>
        </w:rPr>
        <w:t xml:space="preserve">tion for Settlement was filed and the hearing dates were cancelled.  </w:t>
      </w:r>
      <w:r w:rsidRPr="00564EEA">
        <w:rPr>
          <w:rFonts w:ascii="Times New Roman" w:hAnsi="Times New Roman"/>
          <w:bCs/>
          <w:sz w:val="26"/>
          <w:szCs w:val="26"/>
        </w:rPr>
        <w:t>Along with the Joint Petition for Settlement</w:t>
      </w:r>
      <w:r w:rsidRPr="00564EEA">
        <w:rPr>
          <w:rFonts w:ascii="Times New Roman" w:hAnsi="Times New Roman"/>
          <w:sz w:val="26"/>
          <w:szCs w:val="26"/>
        </w:rPr>
        <w:t xml:space="preserve">, the Parties filed a Stipulation for Admission of </w:t>
      </w:r>
      <w:r w:rsidR="00A36BC3" w:rsidRPr="00564EEA">
        <w:rPr>
          <w:rFonts w:ascii="Times New Roman" w:hAnsi="Times New Roman"/>
          <w:sz w:val="26"/>
          <w:szCs w:val="26"/>
        </w:rPr>
        <w:t>Evidence and requested that ALJ Buckley</w:t>
      </w:r>
      <w:r w:rsidRPr="00564EEA">
        <w:rPr>
          <w:rFonts w:ascii="Times New Roman" w:hAnsi="Times New Roman"/>
          <w:sz w:val="26"/>
          <w:szCs w:val="26"/>
        </w:rPr>
        <w:t xml:space="preserve"> admit certain statements and exhibits into the record subject, however, to approval of the Settlem</w:t>
      </w:r>
      <w:r w:rsidR="00A36BC3" w:rsidRPr="00564EEA">
        <w:rPr>
          <w:rFonts w:ascii="Times New Roman" w:hAnsi="Times New Roman"/>
          <w:sz w:val="26"/>
          <w:szCs w:val="26"/>
        </w:rPr>
        <w:t>ent Petition by the Commission.  Additionally, the Parties reserved</w:t>
      </w:r>
      <w:r w:rsidRPr="00564EEA">
        <w:rPr>
          <w:rFonts w:ascii="Times New Roman" w:hAnsi="Times New Roman"/>
          <w:sz w:val="26"/>
          <w:szCs w:val="26"/>
        </w:rPr>
        <w:t xml:space="preserve"> the right to submit further testimony and to cross-examine witnesses in the event the </w:t>
      </w:r>
      <w:r w:rsidR="00A36BC3" w:rsidRPr="00564EEA">
        <w:rPr>
          <w:rFonts w:ascii="Times New Roman" w:hAnsi="Times New Roman"/>
          <w:sz w:val="26"/>
          <w:szCs w:val="26"/>
        </w:rPr>
        <w:t>Joint Petition for Settlement wa</w:t>
      </w:r>
      <w:r w:rsidRPr="00564EEA">
        <w:rPr>
          <w:rFonts w:ascii="Times New Roman" w:hAnsi="Times New Roman"/>
          <w:sz w:val="26"/>
          <w:szCs w:val="26"/>
        </w:rPr>
        <w:t>s not approved.</w:t>
      </w:r>
    </w:p>
    <w:p w:rsidR="00644B5E" w:rsidRPr="00564EEA" w:rsidRDefault="00644B5E" w:rsidP="008A3D2D">
      <w:pPr>
        <w:spacing w:after="0" w:line="360" w:lineRule="auto"/>
        <w:rPr>
          <w:rFonts w:ascii="Times New Roman" w:hAnsi="Times New Roman"/>
          <w:sz w:val="26"/>
          <w:szCs w:val="26"/>
        </w:rPr>
      </w:pPr>
    </w:p>
    <w:p w:rsidR="00644B5E" w:rsidRPr="00564EEA" w:rsidRDefault="00A36BC3" w:rsidP="008A3D2D">
      <w:pPr>
        <w:spacing w:after="0" w:line="360" w:lineRule="auto"/>
        <w:rPr>
          <w:rFonts w:ascii="Times New Roman" w:hAnsi="Times New Roman"/>
          <w:sz w:val="26"/>
          <w:szCs w:val="26"/>
        </w:rPr>
      </w:pPr>
      <w:r w:rsidRPr="00564EEA">
        <w:rPr>
          <w:rFonts w:ascii="Times New Roman" w:hAnsi="Times New Roman"/>
          <w:sz w:val="26"/>
          <w:szCs w:val="26"/>
        </w:rPr>
        <w:tab/>
      </w:r>
      <w:r w:rsidRPr="00564EEA">
        <w:rPr>
          <w:rFonts w:ascii="Times New Roman" w:hAnsi="Times New Roman"/>
          <w:sz w:val="26"/>
          <w:szCs w:val="26"/>
        </w:rPr>
        <w:tab/>
        <w:t>Complainant Jane O. Larkin wa</w:t>
      </w:r>
      <w:r w:rsidR="00644B5E" w:rsidRPr="00564EEA">
        <w:rPr>
          <w:rFonts w:ascii="Times New Roman" w:hAnsi="Times New Roman"/>
          <w:sz w:val="26"/>
          <w:szCs w:val="26"/>
        </w:rPr>
        <w:t>s not a party to the Settlement.  On January</w:t>
      </w:r>
      <w:r w:rsidR="00232802" w:rsidRPr="00564EEA">
        <w:rPr>
          <w:rFonts w:ascii="Times New Roman" w:hAnsi="Times New Roman"/>
          <w:sz w:val="26"/>
          <w:szCs w:val="26"/>
        </w:rPr>
        <w:t> </w:t>
      </w:r>
      <w:r w:rsidR="00644B5E" w:rsidRPr="00564EEA">
        <w:rPr>
          <w:rFonts w:ascii="Times New Roman" w:hAnsi="Times New Roman"/>
          <w:sz w:val="26"/>
          <w:szCs w:val="26"/>
        </w:rPr>
        <w:t xml:space="preserve">18, 2013, the OCA provided Ms. Larkin with a summary of the Settlement and advised her of her opportunity to file comments with respect to the Settlement.  The OCA also explained </w:t>
      </w:r>
      <w:r w:rsidRPr="00564EEA">
        <w:rPr>
          <w:rFonts w:ascii="Times New Roman" w:hAnsi="Times New Roman"/>
          <w:sz w:val="26"/>
          <w:szCs w:val="26"/>
        </w:rPr>
        <w:t xml:space="preserve">to her </w:t>
      </w:r>
      <w:r w:rsidR="00644B5E" w:rsidRPr="00564EEA">
        <w:rPr>
          <w:rFonts w:ascii="Times New Roman" w:hAnsi="Times New Roman"/>
          <w:sz w:val="26"/>
          <w:szCs w:val="26"/>
        </w:rPr>
        <w:t>three options:</w:t>
      </w:r>
      <w:r w:rsidR="00576029">
        <w:rPr>
          <w:rFonts w:ascii="Times New Roman" w:hAnsi="Times New Roman"/>
          <w:sz w:val="26"/>
          <w:szCs w:val="26"/>
        </w:rPr>
        <w:t xml:space="preserve">  </w:t>
      </w:r>
      <w:r w:rsidR="00644B5E" w:rsidRPr="00564EEA">
        <w:rPr>
          <w:rFonts w:ascii="Times New Roman" w:hAnsi="Times New Roman"/>
          <w:sz w:val="26"/>
          <w:szCs w:val="26"/>
        </w:rPr>
        <w:t>(1) to join in the Settlement; (2) to object to the settlement; or (3) to take no action</w:t>
      </w:r>
      <w:r w:rsidRPr="00564EEA">
        <w:rPr>
          <w:rFonts w:ascii="Times New Roman" w:hAnsi="Times New Roman"/>
          <w:sz w:val="26"/>
          <w:szCs w:val="26"/>
        </w:rPr>
        <w:t>.  Ms. Larkin did not immediately take any action.</w:t>
      </w:r>
    </w:p>
    <w:p w:rsidR="00644B5E" w:rsidRPr="00564EEA" w:rsidRDefault="00644B5E" w:rsidP="008A3D2D">
      <w:pPr>
        <w:spacing w:after="0" w:line="360" w:lineRule="auto"/>
        <w:rPr>
          <w:rFonts w:ascii="Times New Roman" w:hAnsi="Times New Roman"/>
          <w:sz w:val="26"/>
          <w:szCs w:val="26"/>
        </w:rPr>
      </w:pPr>
    </w:p>
    <w:p w:rsidR="00644B5E" w:rsidRPr="00564EEA" w:rsidRDefault="00644B5E" w:rsidP="008A3D2D">
      <w:pPr>
        <w:spacing w:after="0" w:line="360" w:lineRule="auto"/>
        <w:rPr>
          <w:rFonts w:ascii="Times New Roman" w:hAnsi="Times New Roman"/>
          <w:sz w:val="26"/>
          <w:szCs w:val="26"/>
        </w:rPr>
      </w:pPr>
      <w:r w:rsidRPr="00564EEA">
        <w:rPr>
          <w:rFonts w:ascii="Times New Roman" w:hAnsi="Times New Roman"/>
          <w:sz w:val="26"/>
          <w:szCs w:val="26"/>
        </w:rPr>
        <w:tab/>
      </w:r>
      <w:r w:rsidRPr="00564EEA">
        <w:rPr>
          <w:rFonts w:ascii="Times New Roman" w:hAnsi="Times New Roman"/>
          <w:sz w:val="26"/>
          <w:szCs w:val="26"/>
        </w:rPr>
        <w:tab/>
        <w:t xml:space="preserve">The </w:t>
      </w:r>
      <w:r w:rsidR="00A36BC3" w:rsidRPr="00564EEA">
        <w:rPr>
          <w:rFonts w:ascii="Times New Roman" w:hAnsi="Times New Roman"/>
          <w:sz w:val="26"/>
          <w:szCs w:val="26"/>
        </w:rPr>
        <w:t>City, I&amp;E, the OCA</w:t>
      </w:r>
      <w:r w:rsidR="009D1598" w:rsidRPr="00564EEA">
        <w:rPr>
          <w:rFonts w:ascii="Times New Roman" w:hAnsi="Times New Roman"/>
          <w:sz w:val="26"/>
          <w:szCs w:val="26"/>
        </w:rPr>
        <w:t>,</w:t>
      </w:r>
      <w:r w:rsidR="00A36BC3" w:rsidRPr="00564EEA">
        <w:rPr>
          <w:rFonts w:ascii="Times New Roman" w:hAnsi="Times New Roman"/>
          <w:sz w:val="26"/>
          <w:szCs w:val="26"/>
        </w:rPr>
        <w:t xml:space="preserve"> and the OSBA all submitted</w:t>
      </w:r>
      <w:r w:rsidRPr="00564EEA">
        <w:rPr>
          <w:rFonts w:ascii="Times New Roman" w:hAnsi="Times New Roman"/>
          <w:sz w:val="26"/>
          <w:szCs w:val="26"/>
        </w:rPr>
        <w:t xml:space="preserve"> statements and exhibits </w:t>
      </w:r>
      <w:r w:rsidR="00A36BC3" w:rsidRPr="00564EEA">
        <w:rPr>
          <w:rFonts w:ascii="Times New Roman" w:hAnsi="Times New Roman"/>
          <w:sz w:val="26"/>
          <w:szCs w:val="26"/>
        </w:rPr>
        <w:t xml:space="preserve">which </w:t>
      </w:r>
      <w:r w:rsidRPr="00564EEA">
        <w:rPr>
          <w:rFonts w:ascii="Times New Roman" w:hAnsi="Times New Roman"/>
          <w:sz w:val="26"/>
          <w:szCs w:val="26"/>
        </w:rPr>
        <w:t>are specifically referenced in th</w:t>
      </w:r>
      <w:r w:rsidR="00A36BC3" w:rsidRPr="00564EEA">
        <w:rPr>
          <w:rFonts w:ascii="Times New Roman" w:hAnsi="Times New Roman"/>
          <w:sz w:val="26"/>
          <w:szCs w:val="26"/>
        </w:rPr>
        <w:t>e Evidence Stipulation, and were</w:t>
      </w:r>
      <w:r w:rsidRPr="00564EEA">
        <w:rPr>
          <w:rFonts w:ascii="Times New Roman" w:hAnsi="Times New Roman"/>
          <w:sz w:val="26"/>
          <w:szCs w:val="26"/>
        </w:rPr>
        <w:t xml:space="preserve"> admitted into the record, subject to approval of the Settlem</w:t>
      </w:r>
      <w:r w:rsidR="00A36BC3" w:rsidRPr="00564EEA">
        <w:rPr>
          <w:rFonts w:ascii="Times New Roman" w:hAnsi="Times New Roman"/>
          <w:sz w:val="26"/>
          <w:szCs w:val="26"/>
        </w:rPr>
        <w:t xml:space="preserve">ent Petition by the Commission.  The </w:t>
      </w:r>
      <w:r w:rsidR="00A36BC3" w:rsidRPr="00564EEA">
        <w:rPr>
          <w:rFonts w:ascii="Times New Roman" w:hAnsi="Times New Roman"/>
          <w:sz w:val="26"/>
          <w:szCs w:val="26"/>
        </w:rPr>
        <w:lastRenderedPageBreak/>
        <w:t>Parties, however, reserved</w:t>
      </w:r>
      <w:r w:rsidRPr="00564EEA">
        <w:rPr>
          <w:rFonts w:ascii="Times New Roman" w:hAnsi="Times New Roman"/>
          <w:sz w:val="26"/>
          <w:szCs w:val="26"/>
        </w:rPr>
        <w:t xml:space="preserve"> the right to submit further testimony and to cross-examine witnesses</w:t>
      </w:r>
      <w:r w:rsidR="00BB45FD" w:rsidRPr="00564EEA">
        <w:rPr>
          <w:rFonts w:ascii="Times New Roman" w:hAnsi="Times New Roman"/>
          <w:sz w:val="26"/>
          <w:szCs w:val="26"/>
        </w:rPr>
        <w:t>,</w:t>
      </w:r>
      <w:r w:rsidRPr="00564EEA">
        <w:rPr>
          <w:rFonts w:ascii="Times New Roman" w:hAnsi="Times New Roman"/>
          <w:sz w:val="26"/>
          <w:szCs w:val="26"/>
        </w:rPr>
        <w:t xml:space="preserve"> in the event the Joint Petition </w:t>
      </w:r>
      <w:r w:rsidR="00A36BC3" w:rsidRPr="00564EEA">
        <w:rPr>
          <w:rFonts w:ascii="Times New Roman" w:hAnsi="Times New Roman"/>
          <w:sz w:val="26"/>
          <w:szCs w:val="26"/>
        </w:rPr>
        <w:t>wa</w:t>
      </w:r>
      <w:r w:rsidR="00246105" w:rsidRPr="00564EEA">
        <w:rPr>
          <w:rFonts w:ascii="Times New Roman" w:hAnsi="Times New Roman"/>
          <w:sz w:val="26"/>
          <w:szCs w:val="26"/>
        </w:rPr>
        <w:t>s not approved.</w:t>
      </w:r>
    </w:p>
    <w:p w:rsidR="00644B5E" w:rsidRPr="00564EEA" w:rsidRDefault="00644B5E" w:rsidP="008A3D2D">
      <w:pPr>
        <w:spacing w:after="0" w:line="360" w:lineRule="auto"/>
        <w:rPr>
          <w:rFonts w:ascii="Times New Roman" w:hAnsi="Times New Roman"/>
          <w:sz w:val="26"/>
          <w:szCs w:val="26"/>
        </w:rPr>
      </w:pPr>
    </w:p>
    <w:p w:rsidR="00FE06A2" w:rsidRPr="00564EEA" w:rsidRDefault="00FE06A2" w:rsidP="008A3D2D">
      <w:pPr>
        <w:tabs>
          <w:tab w:val="left" w:pos="-720"/>
        </w:tabs>
        <w:suppressAutoHyphens/>
        <w:spacing w:after="0" w:line="360" w:lineRule="auto"/>
        <w:rPr>
          <w:rFonts w:ascii="Times New Roman" w:hAnsi="Times New Roman"/>
          <w:sz w:val="26"/>
          <w:szCs w:val="26"/>
        </w:rPr>
      </w:pPr>
      <w:r w:rsidRPr="00564EEA">
        <w:rPr>
          <w:rFonts w:ascii="Times New Roman" w:hAnsi="Times New Roman"/>
          <w:sz w:val="26"/>
          <w:szCs w:val="26"/>
        </w:rPr>
        <w:tab/>
      </w:r>
      <w:r w:rsidRPr="00564EEA">
        <w:rPr>
          <w:rFonts w:ascii="Times New Roman" w:hAnsi="Times New Roman"/>
          <w:sz w:val="26"/>
          <w:szCs w:val="26"/>
        </w:rPr>
        <w:tab/>
        <w:t xml:space="preserve">The record in this proceeding consists of the </w:t>
      </w:r>
      <w:r w:rsidR="00BB45FD" w:rsidRPr="00564EEA">
        <w:rPr>
          <w:rFonts w:ascii="Times New Roman" w:hAnsi="Times New Roman"/>
          <w:sz w:val="26"/>
          <w:szCs w:val="26"/>
        </w:rPr>
        <w:t xml:space="preserve">following: </w:t>
      </w:r>
      <w:r w:rsidRPr="00564EEA">
        <w:rPr>
          <w:rFonts w:ascii="Times New Roman" w:hAnsi="Times New Roman"/>
          <w:sz w:val="26"/>
          <w:szCs w:val="26"/>
        </w:rPr>
        <w:t xml:space="preserve">statements, exhibits and appendices </w:t>
      </w:r>
      <w:r w:rsidR="0033784A" w:rsidRPr="00564EEA">
        <w:rPr>
          <w:rFonts w:ascii="Times New Roman" w:hAnsi="Times New Roman"/>
          <w:sz w:val="26"/>
          <w:szCs w:val="26"/>
        </w:rPr>
        <w:t>set forth in Evidence Stipulation</w:t>
      </w:r>
      <w:r w:rsidR="00BB45FD" w:rsidRPr="00564EEA">
        <w:rPr>
          <w:rFonts w:ascii="Times New Roman" w:hAnsi="Times New Roman"/>
          <w:sz w:val="26"/>
          <w:szCs w:val="26"/>
        </w:rPr>
        <w:t>;</w:t>
      </w:r>
      <w:r w:rsidRPr="00564EEA">
        <w:rPr>
          <w:rFonts w:ascii="Times New Roman" w:hAnsi="Times New Roman"/>
          <w:sz w:val="26"/>
          <w:szCs w:val="26"/>
        </w:rPr>
        <w:t xml:space="preserve"> a transcript totaling </w:t>
      </w:r>
      <w:r w:rsidR="00BB45FD" w:rsidRPr="00564EEA">
        <w:rPr>
          <w:rFonts w:ascii="Times New Roman" w:hAnsi="Times New Roman"/>
          <w:sz w:val="26"/>
          <w:szCs w:val="26"/>
        </w:rPr>
        <w:t>fifty</w:t>
      </w:r>
      <w:r w:rsidR="00FF011F" w:rsidRPr="00564EEA">
        <w:rPr>
          <w:rFonts w:ascii="Times New Roman" w:hAnsi="Times New Roman"/>
          <w:sz w:val="26"/>
          <w:szCs w:val="26"/>
        </w:rPr>
        <w:t>-</w:t>
      </w:r>
      <w:r w:rsidR="00BB45FD" w:rsidRPr="00564EEA">
        <w:rPr>
          <w:rFonts w:ascii="Times New Roman" w:hAnsi="Times New Roman"/>
          <w:sz w:val="26"/>
          <w:szCs w:val="26"/>
        </w:rPr>
        <w:t>two pages, including the Prehearing C</w:t>
      </w:r>
      <w:r w:rsidRPr="00564EEA">
        <w:rPr>
          <w:rFonts w:ascii="Times New Roman" w:hAnsi="Times New Roman"/>
          <w:sz w:val="26"/>
          <w:szCs w:val="26"/>
        </w:rPr>
        <w:t>o</w:t>
      </w:r>
      <w:r w:rsidR="00BB45FD" w:rsidRPr="00564EEA">
        <w:rPr>
          <w:rFonts w:ascii="Times New Roman" w:hAnsi="Times New Roman"/>
          <w:sz w:val="26"/>
          <w:szCs w:val="26"/>
        </w:rPr>
        <w:t>nference held</w:t>
      </w:r>
      <w:r w:rsidRPr="00564EEA">
        <w:rPr>
          <w:rFonts w:ascii="Times New Roman" w:hAnsi="Times New Roman"/>
          <w:sz w:val="26"/>
          <w:szCs w:val="26"/>
        </w:rPr>
        <w:t xml:space="preserve"> November 26, 2012</w:t>
      </w:r>
      <w:r w:rsidR="009D1598" w:rsidRPr="00564EEA">
        <w:rPr>
          <w:rFonts w:ascii="Times New Roman" w:hAnsi="Times New Roman"/>
          <w:sz w:val="26"/>
          <w:szCs w:val="26"/>
        </w:rPr>
        <w:t>,</w:t>
      </w:r>
      <w:r w:rsidRPr="00564EEA">
        <w:rPr>
          <w:rFonts w:ascii="Times New Roman" w:hAnsi="Times New Roman"/>
          <w:sz w:val="26"/>
          <w:szCs w:val="26"/>
        </w:rPr>
        <w:t xml:space="preserve"> and the public inp</w:t>
      </w:r>
      <w:r w:rsidR="00BB45FD" w:rsidRPr="00564EEA">
        <w:rPr>
          <w:rFonts w:ascii="Times New Roman" w:hAnsi="Times New Roman"/>
          <w:sz w:val="26"/>
          <w:szCs w:val="26"/>
        </w:rPr>
        <w:t>ut hearing of December 10, 2012; the Orders issued;</w:t>
      </w:r>
      <w:r w:rsidRPr="00564EEA">
        <w:rPr>
          <w:rFonts w:ascii="Times New Roman" w:hAnsi="Times New Roman"/>
          <w:sz w:val="26"/>
          <w:szCs w:val="26"/>
        </w:rPr>
        <w:t xml:space="preserve"> and the Joint Petition for Settlement of Rate Investigation with Appendices, including the proposed Settlement.</w:t>
      </w:r>
      <w:r w:rsidR="009D1598" w:rsidRPr="00564EEA">
        <w:rPr>
          <w:rFonts w:ascii="Times New Roman" w:hAnsi="Times New Roman"/>
          <w:sz w:val="26"/>
          <w:szCs w:val="26"/>
        </w:rPr>
        <w:t xml:space="preserve">  </w:t>
      </w:r>
      <w:r w:rsidRPr="00564EEA">
        <w:rPr>
          <w:rFonts w:ascii="Times New Roman" w:hAnsi="Times New Roman"/>
          <w:sz w:val="26"/>
          <w:szCs w:val="26"/>
        </w:rPr>
        <w:t>The record in this matter closed on February 18, 2013, after Ms. Larkin was afforded the opportunity to submit a filing relative to the Joint Petition pursuant to 52 Pa. Code § 5.61(a).</w:t>
      </w:r>
    </w:p>
    <w:p w:rsidR="00FE06A2" w:rsidRPr="00564EEA" w:rsidRDefault="00FE06A2" w:rsidP="008A3D2D">
      <w:pPr>
        <w:tabs>
          <w:tab w:val="left" w:pos="-720"/>
        </w:tabs>
        <w:suppressAutoHyphens/>
        <w:spacing w:after="0" w:line="360" w:lineRule="auto"/>
        <w:rPr>
          <w:rFonts w:ascii="Times New Roman" w:hAnsi="Times New Roman"/>
          <w:sz w:val="26"/>
          <w:szCs w:val="26"/>
        </w:rPr>
      </w:pPr>
    </w:p>
    <w:p w:rsidR="00FE06A2" w:rsidRPr="00564EEA" w:rsidRDefault="00FE06A2" w:rsidP="008A3D2D">
      <w:pPr>
        <w:pStyle w:val="ListNumber"/>
        <w:numPr>
          <w:ilvl w:val="0"/>
          <w:numId w:val="0"/>
        </w:numPr>
        <w:spacing w:line="360" w:lineRule="auto"/>
        <w:rPr>
          <w:sz w:val="26"/>
          <w:szCs w:val="26"/>
        </w:rPr>
      </w:pPr>
      <w:r w:rsidRPr="00564EEA">
        <w:rPr>
          <w:sz w:val="26"/>
          <w:szCs w:val="26"/>
        </w:rPr>
        <w:tab/>
      </w:r>
      <w:r w:rsidRPr="00564EEA">
        <w:rPr>
          <w:sz w:val="26"/>
          <w:szCs w:val="26"/>
        </w:rPr>
        <w:tab/>
        <w:t>The Signatory Parties represent</w:t>
      </w:r>
      <w:r w:rsidR="00891245" w:rsidRPr="00564EEA">
        <w:rPr>
          <w:sz w:val="26"/>
          <w:szCs w:val="26"/>
        </w:rPr>
        <w:t>ed that they wer</w:t>
      </w:r>
      <w:r w:rsidRPr="00564EEA">
        <w:rPr>
          <w:sz w:val="26"/>
          <w:szCs w:val="26"/>
        </w:rPr>
        <w:t>e in full agreement that the Settlement resolves all issues and is in the best interest of the City’s customers and the City.  They request</w:t>
      </w:r>
      <w:r w:rsidR="00891245" w:rsidRPr="00564EEA">
        <w:rPr>
          <w:sz w:val="26"/>
          <w:szCs w:val="26"/>
        </w:rPr>
        <w:t>ed</w:t>
      </w:r>
      <w:r w:rsidRPr="00564EEA">
        <w:rPr>
          <w:sz w:val="26"/>
          <w:szCs w:val="26"/>
        </w:rPr>
        <w:t xml:space="preserve"> approval of the Settlement without modification and that the Complaint</w:t>
      </w:r>
      <w:r w:rsidR="00891245" w:rsidRPr="00564EEA">
        <w:rPr>
          <w:sz w:val="26"/>
          <w:szCs w:val="26"/>
        </w:rPr>
        <w:t>s</w:t>
      </w:r>
      <w:r w:rsidRPr="00564EEA">
        <w:rPr>
          <w:sz w:val="26"/>
          <w:szCs w:val="26"/>
        </w:rPr>
        <w:t xml:space="preserve"> of the OCA</w:t>
      </w:r>
      <w:r w:rsidR="00891245" w:rsidRPr="00564EEA">
        <w:rPr>
          <w:sz w:val="26"/>
          <w:szCs w:val="26"/>
        </w:rPr>
        <w:t xml:space="preserve"> and the OSBA </w:t>
      </w:r>
      <w:r w:rsidRPr="00564EEA">
        <w:rPr>
          <w:sz w:val="26"/>
          <w:szCs w:val="26"/>
        </w:rPr>
        <w:t>be marked closed</w:t>
      </w:r>
      <w:r w:rsidR="00891245" w:rsidRPr="00564EEA">
        <w:rPr>
          <w:sz w:val="26"/>
          <w:szCs w:val="26"/>
        </w:rPr>
        <w:t>.  They also requested</w:t>
      </w:r>
      <w:r w:rsidRPr="00564EEA">
        <w:rPr>
          <w:sz w:val="26"/>
          <w:szCs w:val="26"/>
        </w:rPr>
        <w:t xml:space="preserve"> that the Complaint of Jane O. Lar</w:t>
      </w:r>
      <w:r w:rsidR="00891245" w:rsidRPr="00564EEA">
        <w:rPr>
          <w:sz w:val="26"/>
          <w:szCs w:val="26"/>
        </w:rPr>
        <w:t>kin</w:t>
      </w:r>
      <w:r w:rsidRPr="00564EEA">
        <w:rPr>
          <w:sz w:val="26"/>
          <w:szCs w:val="26"/>
        </w:rPr>
        <w:t xml:space="preserve"> be dismissed.</w:t>
      </w:r>
    </w:p>
    <w:p w:rsidR="00A932B7" w:rsidRPr="00564EEA" w:rsidRDefault="00A932B7" w:rsidP="008A3D2D">
      <w:pPr>
        <w:pStyle w:val="NoSpacing"/>
        <w:spacing w:line="360" w:lineRule="auto"/>
        <w:rPr>
          <w:sz w:val="26"/>
          <w:szCs w:val="26"/>
        </w:rPr>
      </w:pPr>
    </w:p>
    <w:p w:rsidR="00E8587B" w:rsidRPr="00564EEA" w:rsidRDefault="00FD7833" w:rsidP="008A3D2D">
      <w:pPr>
        <w:suppressAutoHyphens/>
        <w:spacing w:line="360" w:lineRule="auto"/>
        <w:ind w:firstLine="1440"/>
        <w:rPr>
          <w:rFonts w:ascii="Times New Roman" w:hAnsi="Times New Roman"/>
          <w:sz w:val="26"/>
        </w:rPr>
      </w:pPr>
      <w:r w:rsidRPr="00564EEA">
        <w:rPr>
          <w:rFonts w:ascii="Times New Roman" w:hAnsi="Times New Roman"/>
          <w:sz w:val="26"/>
        </w:rPr>
        <w:t xml:space="preserve">The </w:t>
      </w:r>
      <w:r w:rsidR="00234BC5" w:rsidRPr="00564EEA">
        <w:rPr>
          <w:rFonts w:ascii="Times New Roman" w:hAnsi="Times New Roman"/>
          <w:sz w:val="26"/>
        </w:rPr>
        <w:t>ALJ</w:t>
      </w:r>
      <w:r w:rsidR="00F44CFF" w:rsidRPr="00564EEA">
        <w:rPr>
          <w:rFonts w:ascii="Times New Roman" w:hAnsi="Times New Roman"/>
          <w:sz w:val="26"/>
        </w:rPr>
        <w:t>’</w:t>
      </w:r>
      <w:r w:rsidR="00234BC5" w:rsidRPr="00564EEA">
        <w:rPr>
          <w:rFonts w:ascii="Times New Roman" w:hAnsi="Times New Roman"/>
          <w:sz w:val="26"/>
        </w:rPr>
        <w:t>s</w:t>
      </w:r>
      <w:r w:rsidR="00623C99" w:rsidRPr="00564EEA">
        <w:rPr>
          <w:rFonts w:ascii="Times New Roman" w:hAnsi="Times New Roman"/>
          <w:sz w:val="26"/>
        </w:rPr>
        <w:t xml:space="preserve"> Recommended D</w:t>
      </w:r>
      <w:r w:rsidR="00234BC5" w:rsidRPr="00564EEA">
        <w:rPr>
          <w:rFonts w:ascii="Times New Roman" w:hAnsi="Times New Roman"/>
          <w:sz w:val="26"/>
        </w:rPr>
        <w:t>ecision was issued on March 13</w:t>
      </w:r>
      <w:r w:rsidRPr="00564EEA">
        <w:rPr>
          <w:rFonts w:ascii="Times New Roman" w:hAnsi="Times New Roman"/>
          <w:sz w:val="26"/>
        </w:rPr>
        <w:t>, 2012</w:t>
      </w:r>
      <w:r w:rsidR="00623C99" w:rsidRPr="00564EEA">
        <w:rPr>
          <w:rFonts w:ascii="Times New Roman" w:hAnsi="Times New Roman"/>
          <w:sz w:val="26"/>
        </w:rPr>
        <w:t xml:space="preserve">.  In </w:t>
      </w:r>
      <w:r w:rsidR="00234BC5" w:rsidRPr="00564EEA">
        <w:rPr>
          <w:rFonts w:ascii="Times New Roman" w:hAnsi="Times New Roman"/>
          <w:sz w:val="26"/>
        </w:rPr>
        <w:t>his</w:t>
      </w:r>
      <w:r w:rsidR="00623C99" w:rsidRPr="00564EEA">
        <w:rPr>
          <w:rFonts w:ascii="Times New Roman" w:hAnsi="Times New Roman"/>
          <w:sz w:val="26"/>
        </w:rPr>
        <w:t xml:space="preserve"> Recommended Decision, the </w:t>
      </w:r>
      <w:r w:rsidR="00234BC5" w:rsidRPr="00564EEA">
        <w:rPr>
          <w:rFonts w:ascii="Times New Roman" w:hAnsi="Times New Roman"/>
          <w:sz w:val="26"/>
        </w:rPr>
        <w:t>ALJ</w:t>
      </w:r>
      <w:r w:rsidR="00623C99" w:rsidRPr="00564EEA">
        <w:rPr>
          <w:rFonts w:ascii="Times New Roman" w:hAnsi="Times New Roman"/>
          <w:sz w:val="26"/>
        </w:rPr>
        <w:t xml:space="preserve"> found, </w:t>
      </w:r>
      <w:r w:rsidR="00623C99" w:rsidRPr="00564EEA">
        <w:rPr>
          <w:rFonts w:ascii="Times New Roman" w:hAnsi="Times New Roman"/>
          <w:i/>
          <w:sz w:val="26"/>
        </w:rPr>
        <w:t>inter alia</w:t>
      </w:r>
      <w:r w:rsidR="00623C99" w:rsidRPr="00564EEA">
        <w:rPr>
          <w:rFonts w:ascii="Times New Roman" w:hAnsi="Times New Roman"/>
          <w:sz w:val="26"/>
        </w:rPr>
        <w:t>, that the Se</w:t>
      </w:r>
      <w:r w:rsidR="00234BC5" w:rsidRPr="00564EEA">
        <w:rPr>
          <w:rFonts w:ascii="Times New Roman" w:hAnsi="Times New Roman"/>
          <w:sz w:val="26"/>
        </w:rPr>
        <w:t xml:space="preserve">ttlement submitted by the </w:t>
      </w:r>
      <w:r w:rsidR="00623C99" w:rsidRPr="00564EEA">
        <w:rPr>
          <w:rFonts w:ascii="Times New Roman" w:hAnsi="Times New Roman"/>
          <w:sz w:val="26"/>
        </w:rPr>
        <w:t xml:space="preserve">Parties is just and reasonable and should be approved.  The </w:t>
      </w:r>
      <w:r w:rsidR="00234BC5" w:rsidRPr="00564EEA">
        <w:rPr>
          <w:rFonts w:ascii="Times New Roman" w:hAnsi="Times New Roman"/>
          <w:sz w:val="26"/>
        </w:rPr>
        <w:t>ALJ</w:t>
      </w:r>
      <w:r w:rsidR="00623C99" w:rsidRPr="00564EEA">
        <w:rPr>
          <w:rFonts w:ascii="Times New Roman" w:hAnsi="Times New Roman"/>
          <w:sz w:val="26"/>
        </w:rPr>
        <w:t xml:space="preserve"> further found that, upon the Commission’s approval of the Settlement, the Company will receive a stipulated</w:t>
      </w:r>
      <w:r w:rsidR="006F35A0" w:rsidRPr="00564EEA">
        <w:rPr>
          <w:rFonts w:ascii="Times New Roman" w:hAnsi="Times New Roman"/>
          <w:sz w:val="26"/>
        </w:rPr>
        <w:t xml:space="preserve"> incr</w:t>
      </w:r>
      <w:r w:rsidR="00016438" w:rsidRPr="00564EEA">
        <w:rPr>
          <w:rFonts w:ascii="Times New Roman" w:hAnsi="Times New Roman"/>
          <w:sz w:val="26"/>
        </w:rPr>
        <w:t>ease in annual revenues of $399,000, in lieu of the City</w:t>
      </w:r>
      <w:r w:rsidR="00623C99" w:rsidRPr="00564EEA">
        <w:rPr>
          <w:rFonts w:ascii="Times New Roman" w:hAnsi="Times New Roman"/>
          <w:sz w:val="26"/>
        </w:rPr>
        <w:t xml:space="preserve">’s original </w:t>
      </w:r>
      <w:r w:rsidR="006F35A0" w:rsidRPr="00564EEA">
        <w:rPr>
          <w:rFonts w:ascii="Times New Roman" w:hAnsi="Times New Roman"/>
          <w:sz w:val="26"/>
        </w:rPr>
        <w:t>increase reques</w:t>
      </w:r>
      <w:r w:rsidR="00016438" w:rsidRPr="00564EEA">
        <w:rPr>
          <w:rFonts w:ascii="Times New Roman" w:hAnsi="Times New Roman"/>
          <w:sz w:val="26"/>
        </w:rPr>
        <w:t>t for $551,609</w:t>
      </w:r>
      <w:r w:rsidR="00234BC5" w:rsidRPr="00564EEA">
        <w:rPr>
          <w:rFonts w:ascii="Times New Roman" w:hAnsi="Times New Roman"/>
          <w:sz w:val="26"/>
        </w:rPr>
        <w:t>.  R.D. at 17</w:t>
      </w:r>
      <w:r w:rsidR="006F35A0" w:rsidRPr="00564EEA">
        <w:rPr>
          <w:rFonts w:ascii="Times New Roman" w:hAnsi="Times New Roman"/>
          <w:sz w:val="26"/>
        </w:rPr>
        <w:t>, 1</w:t>
      </w:r>
      <w:r w:rsidR="00016438" w:rsidRPr="00564EEA">
        <w:rPr>
          <w:rFonts w:ascii="Times New Roman" w:hAnsi="Times New Roman"/>
          <w:sz w:val="26"/>
        </w:rPr>
        <w:t>1</w:t>
      </w:r>
      <w:r w:rsidR="00623C99" w:rsidRPr="00564EEA">
        <w:rPr>
          <w:rFonts w:ascii="Times New Roman" w:hAnsi="Times New Roman"/>
          <w:sz w:val="26"/>
        </w:rPr>
        <w:t xml:space="preserve">.  </w:t>
      </w:r>
    </w:p>
    <w:p w:rsidR="00422C52" w:rsidRPr="00564EEA" w:rsidRDefault="00FD7833" w:rsidP="008A3D2D">
      <w:pPr>
        <w:suppressAutoHyphens/>
        <w:spacing w:line="360" w:lineRule="auto"/>
        <w:ind w:firstLine="1440"/>
        <w:rPr>
          <w:rFonts w:ascii="Times New Roman" w:hAnsi="Times New Roman"/>
          <w:sz w:val="26"/>
        </w:rPr>
      </w:pPr>
      <w:r w:rsidRPr="00564EEA">
        <w:rPr>
          <w:rFonts w:ascii="Times New Roman" w:hAnsi="Times New Roman"/>
          <w:sz w:val="26"/>
        </w:rPr>
        <w:t xml:space="preserve">Exceptions </w:t>
      </w:r>
      <w:r w:rsidR="00623C99" w:rsidRPr="00564EEA">
        <w:rPr>
          <w:rFonts w:ascii="Times New Roman" w:hAnsi="Times New Roman"/>
          <w:sz w:val="26"/>
        </w:rPr>
        <w:t xml:space="preserve">to the Recommended </w:t>
      </w:r>
      <w:r w:rsidR="00066CF2" w:rsidRPr="00564EEA">
        <w:rPr>
          <w:rFonts w:ascii="Times New Roman" w:hAnsi="Times New Roman"/>
          <w:sz w:val="26"/>
        </w:rPr>
        <w:t>Decision</w:t>
      </w:r>
      <w:r w:rsidR="00066CF2">
        <w:rPr>
          <w:rFonts w:ascii="Times New Roman" w:hAnsi="Times New Roman"/>
          <w:sz w:val="26"/>
        </w:rPr>
        <w:t>,</w:t>
      </w:r>
      <w:r w:rsidR="00066CF2" w:rsidRPr="00564EEA">
        <w:rPr>
          <w:rFonts w:ascii="Times New Roman" w:hAnsi="Times New Roman"/>
          <w:sz w:val="26"/>
        </w:rPr>
        <w:t xml:space="preserve"> Replies</w:t>
      </w:r>
      <w:r w:rsidR="00AD2ACB" w:rsidRPr="00564EEA">
        <w:rPr>
          <w:rFonts w:ascii="Times New Roman" w:hAnsi="Times New Roman"/>
          <w:sz w:val="26"/>
        </w:rPr>
        <w:t xml:space="preserve"> to Exceptions</w:t>
      </w:r>
      <w:r w:rsidR="008373DB">
        <w:rPr>
          <w:rFonts w:ascii="Times New Roman" w:hAnsi="Times New Roman"/>
          <w:sz w:val="26"/>
        </w:rPr>
        <w:t>, and Response to Replies to Exceptions</w:t>
      </w:r>
      <w:r w:rsidR="00623C99" w:rsidRPr="00564EEA">
        <w:rPr>
          <w:rFonts w:ascii="Times New Roman" w:hAnsi="Times New Roman"/>
          <w:sz w:val="26"/>
        </w:rPr>
        <w:t xml:space="preserve"> were filed as noted</w:t>
      </w:r>
      <w:r w:rsidR="009D1598" w:rsidRPr="00564EEA">
        <w:rPr>
          <w:rFonts w:ascii="Times New Roman" w:hAnsi="Times New Roman"/>
          <w:sz w:val="26"/>
        </w:rPr>
        <w:t xml:space="preserve"> above</w:t>
      </w:r>
      <w:r w:rsidR="00623C99" w:rsidRPr="00564EEA">
        <w:rPr>
          <w:rFonts w:ascii="Times New Roman" w:hAnsi="Times New Roman"/>
          <w:sz w:val="26"/>
        </w:rPr>
        <w:t xml:space="preserve">.  </w:t>
      </w:r>
    </w:p>
    <w:p w:rsidR="00422C52" w:rsidRPr="00564EEA" w:rsidRDefault="00422C52" w:rsidP="008A3D2D">
      <w:pPr>
        <w:pStyle w:val="ListParagraph"/>
        <w:numPr>
          <w:ilvl w:val="0"/>
          <w:numId w:val="35"/>
        </w:numPr>
        <w:spacing w:line="360" w:lineRule="auto"/>
        <w:ind w:left="720"/>
        <w:jc w:val="center"/>
        <w:rPr>
          <w:b/>
          <w:sz w:val="26"/>
        </w:rPr>
      </w:pPr>
      <w:r w:rsidRPr="00564EEA">
        <w:rPr>
          <w:b/>
          <w:sz w:val="26"/>
        </w:rPr>
        <w:t>Description of City of Lancaster-Sewer Fund</w:t>
      </w:r>
    </w:p>
    <w:p w:rsidR="00422C52" w:rsidRPr="00564EEA" w:rsidRDefault="00422C52" w:rsidP="008A3D2D">
      <w:pPr>
        <w:pStyle w:val="ListParagraph"/>
        <w:spacing w:line="360" w:lineRule="auto"/>
        <w:rPr>
          <w:b/>
          <w:sz w:val="26"/>
        </w:rPr>
      </w:pPr>
    </w:p>
    <w:p w:rsidR="00422C52" w:rsidRPr="00564EEA" w:rsidRDefault="00422C52" w:rsidP="008A3D2D">
      <w:pPr>
        <w:suppressAutoHyphens/>
        <w:spacing w:line="360" w:lineRule="auto"/>
        <w:ind w:firstLine="1440"/>
        <w:rPr>
          <w:rFonts w:ascii="Times New Roman" w:hAnsi="Times New Roman"/>
          <w:sz w:val="26"/>
        </w:rPr>
      </w:pPr>
      <w:r w:rsidRPr="00564EEA">
        <w:rPr>
          <w:rFonts w:ascii="Times New Roman" w:hAnsi="Times New Roman"/>
          <w:sz w:val="26"/>
        </w:rPr>
        <w:lastRenderedPageBreak/>
        <w:t xml:space="preserve">The City furnishes wastewater service to residential, commercial and industrial customers in all of the City of Lancaster and portions of the townships of </w:t>
      </w:r>
      <w:r w:rsidR="00DC1ED2" w:rsidRPr="00564EEA">
        <w:rPr>
          <w:rFonts w:ascii="Times New Roman" w:hAnsi="Times New Roman"/>
          <w:sz w:val="26"/>
        </w:rPr>
        <w:t xml:space="preserve">Manheim, </w:t>
      </w:r>
      <w:r w:rsidRPr="00564EEA">
        <w:rPr>
          <w:rFonts w:ascii="Times New Roman" w:hAnsi="Times New Roman"/>
          <w:sz w:val="26"/>
        </w:rPr>
        <w:t xml:space="preserve">East Lampeter, East Hempfield, Lancaster, and Manheim.  The City serves </w:t>
      </w:r>
      <w:r w:rsidR="00A10188" w:rsidRPr="00564EEA">
        <w:rPr>
          <w:rFonts w:ascii="Times New Roman" w:hAnsi="Times New Roman"/>
          <w:sz w:val="26"/>
        </w:rPr>
        <w:t xml:space="preserve">approximately </w:t>
      </w:r>
      <w:r w:rsidR="001A1086" w:rsidRPr="00564EEA">
        <w:rPr>
          <w:rFonts w:ascii="Times New Roman" w:hAnsi="Times New Roman"/>
          <w:sz w:val="26"/>
        </w:rPr>
        <w:t xml:space="preserve">16,658 </w:t>
      </w:r>
      <w:r w:rsidR="00A10188" w:rsidRPr="00564EEA">
        <w:rPr>
          <w:rFonts w:ascii="Times New Roman" w:hAnsi="Times New Roman"/>
          <w:sz w:val="26"/>
        </w:rPr>
        <w:t>customers</w:t>
      </w:r>
      <w:r w:rsidR="001A1086" w:rsidRPr="00564EEA">
        <w:rPr>
          <w:rFonts w:ascii="Times New Roman" w:hAnsi="Times New Roman"/>
          <w:sz w:val="26"/>
        </w:rPr>
        <w:t xml:space="preserve"> inside the City and </w:t>
      </w:r>
      <w:r w:rsidR="00A10188" w:rsidRPr="00564EEA">
        <w:rPr>
          <w:rFonts w:ascii="Times New Roman" w:hAnsi="Times New Roman"/>
          <w:sz w:val="26"/>
        </w:rPr>
        <w:t xml:space="preserve">approximately </w:t>
      </w:r>
      <w:r w:rsidRPr="00564EEA">
        <w:rPr>
          <w:rFonts w:ascii="Times New Roman" w:hAnsi="Times New Roman"/>
          <w:sz w:val="26"/>
        </w:rPr>
        <w:t xml:space="preserve">3,374 </w:t>
      </w:r>
      <w:r w:rsidR="00A10188" w:rsidRPr="00564EEA">
        <w:rPr>
          <w:rFonts w:ascii="Times New Roman" w:hAnsi="Times New Roman"/>
          <w:sz w:val="26"/>
        </w:rPr>
        <w:t>customers</w:t>
      </w:r>
      <w:r w:rsidRPr="00564EEA">
        <w:rPr>
          <w:rFonts w:ascii="Times New Roman" w:hAnsi="Times New Roman"/>
          <w:sz w:val="26"/>
        </w:rPr>
        <w:t xml:space="preserve"> outside the City. </w:t>
      </w:r>
      <w:r w:rsidR="00A10188" w:rsidRPr="00564EEA">
        <w:rPr>
          <w:rFonts w:ascii="Times New Roman" w:hAnsi="Times New Roman"/>
          <w:sz w:val="26"/>
        </w:rPr>
        <w:t xml:space="preserve"> Only wastewater service provided to outside customers is subject to rate regulation by the Commission, pursuant to Section 1301 of the Code, 66 Pa. C.S. § 1301.  </w:t>
      </w:r>
      <w:r w:rsidRPr="00564EEA">
        <w:rPr>
          <w:rFonts w:ascii="Times New Roman" w:hAnsi="Times New Roman"/>
          <w:sz w:val="26"/>
        </w:rPr>
        <w:t>The City also provides wastewater treatment service to several municipal authorities</w:t>
      </w:r>
      <w:r w:rsidR="00A10188" w:rsidRPr="00564EEA">
        <w:rPr>
          <w:rFonts w:ascii="Times New Roman" w:hAnsi="Times New Roman"/>
          <w:sz w:val="26"/>
        </w:rPr>
        <w:t xml:space="preserve"> outside the City’s municipal boundaries.  These</w:t>
      </w:r>
      <w:r w:rsidR="007D12EA" w:rsidRPr="00564EEA">
        <w:rPr>
          <w:rFonts w:ascii="Times New Roman" w:hAnsi="Times New Roman"/>
          <w:sz w:val="26"/>
        </w:rPr>
        <w:t xml:space="preserve"> </w:t>
      </w:r>
      <w:r w:rsidRPr="00564EEA">
        <w:rPr>
          <w:rFonts w:ascii="Times New Roman" w:hAnsi="Times New Roman"/>
          <w:sz w:val="26"/>
        </w:rPr>
        <w:t>bulk service</w:t>
      </w:r>
      <w:r w:rsidR="00A10188" w:rsidRPr="00564EEA">
        <w:rPr>
          <w:rFonts w:ascii="Times New Roman" w:hAnsi="Times New Roman"/>
          <w:sz w:val="26"/>
        </w:rPr>
        <w:t>s</w:t>
      </w:r>
      <w:r w:rsidRPr="00564EEA">
        <w:rPr>
          <w:rFonts w:ascii="Times New Roman" w:hAnsi="Times New Roman"/>
          <w:sz w:val="26"/>
        </w:rPr>
        <w:t xml:space="preserve"> </w:t>
      </w:r>
      <w:r w:rsidR="00A10188" w:rsidRPr="00564EEA">
        <w:rPr>
          <w:rFonts w:ascii="Times New Roman" w:hAnsi="Times New Roman"/>
          <w:sz w:val="26"/>
        </w:rPr>
        <w:t>are</w:t>
      </w:r>
      <w:r w:rsidRPr="00564EEA">
        <w:rPr>
          <w:rFonts w:ascii="Times New Roman" w:hAnsi="Times New Roman"/>
          <w:sz w:val="26"/>
        </w:rPr>
        <w:t xml:space="preserve"> rendered pursuant to contract.</w:t>
      </w:r>
      <w:r w:rsidR="00A10188" w:rsidRPr="00564EEA">
        <w:rPr>
          <w:rFonts w:ascii="Times New Roman" w:hAnsi="Times New Roman"/>
          <w:sz w:val="26"/>
        </w:rPr>
        <w:t xml:space="preserve">  City of Lancaster Statement 1 at 4-5, </w:t>
      </w:r>
      <w:r w:rsidR="00075342" w:rsidRPr="00564EEA">
        <w:rPr>
          <w:rFonts w:ascii="Times New Roman" w:hAnsi="Times New Roman"/>
          <w:sz w:val="26"/>
        </w:rPr>
        <w:t>8</w:t>
      </w:r>
      <w:r w:rsidR="00A10188" w:rsidRPr="00564EEA">
        <w:rPr>
          <w:rFonts w:ascii="Times New Roman" w:hAnsi="Times New Roman"/>
          <w:sz w:val="26"/>
        </w:rPr>
        <w:t>.</w:t>
      </w:r>
    </w:p>
    <w:p w:rsidR="00845F2B" w:rsidRPr="00564EEA" w:rsidRDefault="00845F2B" w:rsidP="008A3D2D">
      <w:pPr>
        <w:spacing w:after="0" w:line="360" w:lineRule="auto"/>
        <w:rPr>
          <w:rFonts w:ascii="Times New Roman" w:hAnsi="Times New Roman"/>
          <w:sz w:val="26"/>
          <w:szCs w:val="26"/>
        </w:rPr>
      </w:pPr>
    </w:p>
    <w:p w:rsidR="00297269" w:rsidRPr="00564EEA" w:rsidRDefault="00537D7F" w:rsidP="008A3D2D">
      <w:pPr>
        <w:pStyle w:val="ListParagraph"/>
        <w:numPr>
          <w:ilvl w:val="0"/>
          <w:numId w:val="35"/>
        </w:numPr>
        <w:spacing w:line="360" w:lineRule="auto"/>
        <w:ind w:left="720"/>
        <w:jc w:val="center"/>
        <w:rPr>
          <w:b/>
          <w:sz w:val="26"/>
          <w:szCs w:val="26"/>
        </w:rPr>
      </w:pPr>
      <w:r w:rsidRPr="00564EEA">
        <w:rPr>
          <w:b/>
          <w:sz w:val="26"/>
          <w:szCs w:val="26"/>
        </w:rPr>
        <w:t>Discussion</w:t>
      </w:r>
    </w:p>
    <w:p w:rsidR="00413F99" w:rsidRPr="00564EEA" w:rsidRDefault="005F6060" w:rsidP="008A3D2D">
      <w:pPr>
        <w:pStyle w:val="ListParagraph"/>
        <w:spacing w:line="360" w:lineRule="auto"/>
        <w:ind w:left="0" w:firstLine="720"/>
        <w:rPr>
          <w:sz w:val="26"/>
          <w:szCs w:val="26"/>
        </w:rPr>
      </w:pPr>
      <w:r w:rsidRPr="00564EEA">
        <w:rPr>
          <w:sz w:val="26"/>
          <w:szCs w:val="26"/>
        </w:rPr>
        <w:t xml:space="preserve"> </w:t>
      </w:r>
    </w:p>
    <w:p w:rsidR="00B65394" w:rsidRPr="00564EEA" w:rsidRDefault="0005341C" w:rsidP="008A3D2D">
      <w:pPr>
        <w:pStyle w:val="ListParagraph"/>
        <w:spacing w:line="360" w:lineRule="auto"/>
        <w:ind w:left="0"/>
        <w:rPr>
          <w:b/>
          <w:sz w:val="26"/>
          <w:szCs w:val="26"/>
        </w:rPr>
      </w:pPr>
      <w:r w:rsidRPr="00564EEA">
        <w:rPr>
          <w:b/>
          <w:sz w:val="26"/>
          <w:szCs w:val="26"/>
        </w:rPr>
        <w:t>A</w:t>
      </w:r>
      <w:r w:rsidR="0068726F" w:rsidRPr="00564EEA">
        <w:rPr>
          <w:b/>
          <w:sz w:val="26"/>
          <w:szCs w:val="26"/>
        </w:rPr>
        <w:t>.</w:t>
      </w:r>
      <w:r w:rsidR="0068726F" w:rsidRPr="00564EEA">
        <w:rPr>
          <w:sz w:val="26"/>
          <w:szCs w:val="26"/>
        </w:rPr>
        <w:tab/>
      </w:r>
      <w:r w:rsidR="0047221A" w:rsidRPr="00564EEA">
        <w:rPr>
          <w:b/>
          <w:bCs/>
          <w:sz w:val="26"/>
          <w:szCs w:val="26"/>
        </w:rPr>
        <w:t>T</w:t>
      </w:r>
      <w:r w:rsidR="005D66DA" w:rsidRPr="00564EEA">
        <w:rPr>
          <w:b/>
          <w:bCs/>
          <w:sz w:val="26"/>
          <w:szCs w:val="26"/>
        </w:rPr>
        <w:t>erms of the</w:t>
      </w:r>
      <w:r w:rsidR="0047221A" w:rsidRPr="00564EEA">
        <w:rPr>
          <w:b/>
          <w:bCs/>
          <w:sz w:val="26"/>
          <w:szCs w:val="26"/>
        </w:rPr>
        <w:t xml:space="preserve"> S</w:t>
      </w:r>
      <w:r w:rsidR="008D5FDE" w:rsidRPr="00564EEA">
        <w:rPr>
          <w:b/>
          <w:bCs/>
          <w:sz w:val="26"/>
          <w:szCs w:val="26"/>
        </w:rPr>
        <w:t>ettlement</w:t>
      </w:r>
    </w:p>
    <w:p w:rsidR="00B65394" w:rsidRPr="00564EEA" w:rsidRDefault="00B65394" w:rsidP="008A3D2D">
      <w:pPr>
        <w:pStyle w:val="ListParagraph"/>
        <w:spacing w:line="360" w:lineRule="auto"/>
        <w:ind w:left="1080"/>
        <w:rPr>
          <w:sz w:val="26"/>
          <w:szCs w:val="26"/>
          <w:u w:val="single"/>
        </w:rPr>
      </w:pPr>
    </w:p>
    <w:p w:rsidR="005C4163" w:rsidRPr="00564EEA" w:rsidRDefault="0065483D" w:rsidP="008A3D2D">
      <w:pPr>
        <w:spacing w:after="0" w:line="360" w:lineRule="auto"/>
        <w:ind w:firstLine="720"/>
        <w:rPr>
          <w:rFonts w:ascii="Times New Roman" w:hAnsi="Times New Roman"/>
          <w:sz w:val="26"/>
          <w:szCs w:val="26"/>
        </w:rPr>
      </w:pPr>
      <w:r w:rsidRPr="00564EEA">
        <w:rPr>
          <w:rFonts w:ascii="Times New Roman" w:hAnsi="Times New Roman"/>
          <w:sz w:val="26"/>
          <w:szCs w:val="26"/>
        </w:rPr>
        <w:tab/>
      </w:r>
      <w:r w:rsidR="005C4163" w:rsidRPr="00564EEA">
        <w:rPr>
          <w:rFonts w:ascii="Times New Roman" w:hAnsi="Times New Roman"/>
          <w:sz w:val="26"/>
          <w:szCs w:val="26"/>
        </w:rPr>
        <w:t>The Signatory Parties agree</w:t>
      </w:r>
      <w:r w:rsidR="00BB0B1A" w:rsidRPr="00564EEA">
        <w:rPr>
          <w:rFonts w:ascii="Times New Roman" w:hAnsi="Times New Roman"/>
          <w:sz w:val="26"/>
          <w:szCs w:val="26"/>
        </w:rPr>
        <w:t>d</w:t>
      </w:r>
      <w:r w:rsidR="005C4163" w:rsidRPr="00564EEA">
        <w:rPr>
          <w:rFonts w:ascii="Times New Roman" w:hAnsi="Times New Roman"/>
          <w:sz w:val="26"/>
          <w:szCs w:val="26"/>
        </w:rPr>
        <w:t xml:space="preserve"> upon the following terms of settlement which are set forth in a single, but detailed, paragraph</w:t>
      </w:r>
      <w:r w:rsidR="00BB0B1A" w:rsidRPr="00564EEA">
        <w:rPr>
          <w:rFonts w:ascii="Times New Roman" w:hAnsi="Times New Roman"/>
          <w:sz w:val="26"/>
          <w:szCs w:val="26"/>
        </w:rPr>
        <w:t xml:space="preserve"> of the proposed Joint Settlement, namely, </w:t>
      </w:r>
      <w:r w:rsidR="005C4163" w:rsidRPr="00564EEA">
        <w:rPr>
          <w:rFonts w:ascii="Times New Roman" w:hAnsi="Times New Roman"/>
          <w:sz w:val="26"/>
          <w:szCs w:val="26"/>
        </w:rPr>
        <w:t>Paragraph 12</w:t>
      </w:r>
      <w:r w:rsidR="00BB0B1A" w:rsidRPr="00564EEA">
        <w:rPr>
          <w:rFonts w:ascii="Times New Roman" w:hAnsi="Times New Roman"/>
          <w:sz w:val="26"/>
          <w:szCs w:val="26"/>
        </w:rPr>
        <w:t xml:space="preserve"> thereof, as follows:</w:t>
      </w:r>
    </w:p>
    <w:p w:rsidR="005C4163" w:rsidRPr="00564EEA" w:rsidRDefault="005C4163" w:rsidP="008A3D2D">
      <w:pPr>
        <w:spacing w:after="0"/>
        <w:rPr>
          <w:rFonts w:ascii="Times New Roman" w:hAnsi="Times New Roman"/>
          <w:sz w:val="26"/>
          <w:szCs w:val="26"/>
        </w:rPr>
      </w:pPr>
    </w:p>
    <w:p w:rsidR="005C4163" w:rsidRPr="00564EEA" w:rsidRDefault="005C4163" w:rsidP="008A3D2D">
      <w:pPr>
        <w:spacing w:after="0" w:line="240" w:lineRule="auto"/>
        <w:ind w:left="1440" w:right="1440"/>
        <w:jc w:val="both"/>
        <w:rPr>
          <w:rFonts w:ascii="Times New Roman" w:hAnsi="Times New Roman"/>
          <w:sz w:val="26"/>
          <w:szCs w:val="26"/>
        </w:rPr>
      </w:pPr>
      <w:r w:rsidRPr="00564EEA">
        <w:rPr>
          <w:rFonts w:ascii="Times New Roman" w:hAnsi="Times New Roman"/>
          <w:sz w:val="26"/>
          <w:szCs w:val="26"/>
        </w:rPr>
        <w:t>12.</w:t>
      </w:r>
      <w:r w:rsidRPr="00564EEA">
        <w:rPr>
          <w:rFonts w:ascii="Times New Roman" w:hAnsi="Times New Roman"/>
          <w:sz w:val="26"/>
          <w:szCs w:val="26"/>
        </w:rPr>
        <w:tab/>
        <w:t xml:space="preserve">The Settlement consists of the </w:t>
      </w:r>
      <w:r w:rsidR="00F32D86" w:rsidRPr="00564EEA">
        <w:rPr>
          <w:rFonts w:ascii="Times New Roman" w:hAnsi="Times New Roman"/>
          <w:sz w:val="26"/>
          <w:szCs w:val="26"/>
        </w:rPr>
        <w:t>following terms and conditions:</w:t>
      </w:r>
    </w:p>
    <w:p w:rsidR="00BB0B1A" w:rsidRPr="00564EEA" w:rsidRDefault="00BB0B1A" w:rsidP="008A3D2D">
      <w:pPr>
        <w:spacing w:after="0" w:line="240" w:lineRule="auto"/>
        <w:ind w:left="1440" w:right="1440"/>
        <w:jc w:val="both"/>
        <w:rPr>
          <w:rFonts w:ascii="Times New Roman" w:hAnsi="Times New Roman"/>
          <w:sz w:val="26"/>
          <w:szCs w:val="26"/>
        </w:rPr>
      </w:pPr>
    </w:p>
    <w:p w:rsidR="00BB0B1A" w:rsidRPr="00564EEA" w:rsidRDefault="005C4163" w:rsidP="008A3D2D">
      <w:pPr>
        <w:spacing w:after="0" w:line="240" w:lineRule="auto"/>
        <w:ind w:left="1440" w:right="1440"/>
        <w:rPr>
          <w:rFonts w:ascii="Times New Roman" w:hAnsi="Times New Roman"/>
          <w:sz w:val="26"/>
          <w:szCs w:val="26"/>
        </w:rPr>
      </w:pPr>
      <w:r w:rsidRPr="00564EEA">
        <w:rPr>
          <w:rFonts w:ascii="Times New Roman" w:hAnsi="Times New Roman"/>
          <w:sz w:val="26"/>
          <w:szCs w:val="26"/>
        </w:rPr>
        <w:t>a.</w:t>
      </w:r>
      <w:r w:rsidRPr="00564EEA">
        <w:rPr>
          <w:rFonts w:ascii="Times New Roman" w:hAnsi="Times New Roman"/>
          <w:sz w:val="26"/>
          <w:szCs w:val="26"/>
        </w:rPr>
        <w:tab/>
        <w:t>Upon entry of a Commission Order approving this Settlement, the City will be permitted to charge the rates for sewer service set forth in the Tariff attached hereto as Appendix A-1, to become effective in accordance to its terms on one day’s notice upon entry of the Commission Order, and A-2 upon implementation of the Other P</w:t>
      </w:r>
      <w:r w:rsidR="001673EF" w:rsidRPr="00564EEA">
        <w:rPr>
          <w:rFonts w:ascii="Times New Roman" w:hAnsi="Times New Roman"/>
          <w:sz w:val="26"/>
          <w:szCs w:val="26"/>
        </w:rPr>
        <w:t>ost Employment Benefits Trust (OPEB Trust</w:t>
      </w:r>
      <w:r w:rsidRPr="00564EEA">
        <w:rPr>
          <w:rFonts w:ascii="Times New Roman" w:hAnsi="Times New Roman"/>
          <w:sz w:val="26"/>
          <w:szCs w:val="26"/>
        </w:rPr>
        <w:t>) (hereafter, the Settlement Rates).</w:t>
      </w:r>
      <w:r w:rsidR="00F32D86" w:rsidRPr="00564EEA">
        <w:rPr>
          <w:rFonts w:ascii="Times New Roman" w:hAnsi="Times New Roman"/>
          <w:sz w:val="26"/>
          <w:szCs w:val="26"/>
        </w:rPr>
        <w:t xml:space="preserve"> </w:t>
      </w:r>
      <w:r w:rsidRPr="00564EEA">
        <w:rPr>
          <w:rFonts w:ascii="Times New Roman" w:hAnsi="Times New Roman"/>
          <w:sz w:val="26"/>
          <w:szCs w:val="26"/>
        </w:rPr>
        <w:t xml:space="preserve"> The Settlement Rates are designed to produce additional annual operating revenue of </w:t>
      </w:r>
      <w:r w:rsidRPr="00564EEA">
        <w:rPr>
          <w:rFonts w:ascii="Times New Roman" w:hAnsi="Times New Roman"/>
          <w:b/>
          <w:sz w:val="26"/>
          <w:szCs w:val="26"/>
        </w:rPr>
        <w:t>$348,000</w:t>
      </w:r>
      <w:r w:rsidRPr="00564EEA">
        <w:rPr>
          <w:rFonts w:ascii="Times New Roman" w:hAnsi="Times New Roman"/>
          <w:sz w:val="26"/>
          <w:szCs w:val="26"/>
        </w:rPr>
        <w:t xml:space="preserve"> shown in Appendix A-1</w:t>
      </w:r>
      <w:r w:rsidR="00CA25DC" w:rsidRPr="00564EEA">
        <w:rPr>
          <w:rFonts w:ascii="Times New Roman" w:hAnsi="Times New Roman"/>
          <w:sz w:val="26"/>
          <w:szCs w:val="26"/>
        </w:rPr>
        <w:t xml:space="preserve"> [of the Settlement]</w:t>
      </w:r>
      <w:r w:rsidRPr="00564EEA">
        <w:rPr>
          <w:rFonts w:ascii="Times New Roman" w:hAnsi="Times New Roman"/>
          <w:sz w:val="26"/>
          <w:szCs w:val="26"/>
        </w:rPr>
        <w:t xml:space="preserve"> prior to establishing the OPEB Trust and a subsequent total of </w:t>
      </w:r>
      <w:r w:rsidRPr="00564EEA">
        <w:rPr>
          <w:rFonts w:ascii="Times New Roman" w:hAnsi="Times New Roman"/>
          <w:b/>
          <w:sz w:val="26"/>
          <w:szCs w:val="26"/>
        </w:rPr>
        <w:t>$399,000</w:t>
      </w:r>
      <w:r w:rsidRPr="00564EEA">
        <w:rPr>
          <w:rFonts w:ascii="Times New Roman" w:hAnsi="Times New Roman"/>
          <w:sz w:val="26"/>
          <w:szCs w:val="26"/>
        </w:rPr>
        <w:t xml:space="preserve"> as shown in Appendix A-2</w:t>
      </w:r>
      <w:r w:rsidR="00CA25DC" w:rsidRPr="00564EEA">
        <w:rPr>
          <w:rFonts w:ascii="Times New Roman" w:hAnsi="Times New Roman"/>
          <w:sz w:val="26"/>
          <w:szCs w:val="26"/>
        </w:rPr>
        <w:t xml:space="preserve"> [of the Settlement]</w:t>
      </w:r>
      <w:r w:rsidRPr="00564EEA">
        <w:rPr>
          <w:rFonts w:ascii="Times New Roman" w:hAnsi="Times New Roman"/>
          <w:sz w:val="26"/>
          <w:szCs w:val="26"/>
        </w:rPr>
        <w:t xml:space="preserve"> after the establishment of the OPEB Trust, as shown on the Proof of Revenues annexed </w:t>
      </w:r>
      <w:r w:rsidRPr="00564EEA">
        <w:rPr>
          <w:rFonts w:ascii="Times New Roman" w:hAnsi="Times New Roman"/>
          <w:sz w:val="26"/>
          <w:szCs w:val="26"/>
        </w:rPr>
        <w:lastRenderedPageBreak/>
        <w:t>hereto</w:t>
      </w:r>
      <w:r w:rsidR="00CA25DC" w:rsidRPr="00564EEA">
        <w:rPr>
          <w:rFonts w:ascii="Times New Roman" w:hAnsi="Times New Roman"/>
          <w:sz w:val="26"/>
          <w:szCs w:val="26"/>
        </w:rPr>
        <w:t xml:space="preserve"> [in the Settlement]</w:t>
      </w:r>
      <w:r w:rsidRPr="00564EEA">
        <w:rPr>
          <w:rFonts w:ascii="Times New Roman" w:hAnsi="Times New Roman"/>
          <w:sz w:val="26"/>
          <w:szCs w:val="26"/>
        </w:rPr>
        <w:t xml:space="preserve"> as Appendix B-1 and B-2.  The Tariff set forth in Appendix A-1 and A-2</w:t>
      </w:r>
      <w:r w:rsidR="00CA25DC" w:rsidRPr="00564EEA">
        <w:rPr>
          <w:rFonts w:ascii="Times New Roman" w:hAnsi="Times New Roman"/>
          <w:sz w:val="26"/>
          <w:szCs w:val="26"/>
        </w:rPr>
        <w:t xml:space="preserve"> [of the Settlement]</w:t>
      </w:r>
      <w:r w:rsidRPr="00564EEA">
        <w:rPr>
          <w:rFonts w:ascii="Times New Roman" w:hAnsi="Times New Roman"/>
          <w:sz w:val="26"/>
          <w:szCs w:val="26"/>
        </w:rPr>
        <w:t xml:space="preserve"> complies with the terms of the Settlement.</w:t>
      </w:r>
    </w:p>
    <w:p w:rsidR="005C4163" w:rsidRPr="00564EEA" w:rsidRDefault="005C4163" w:rsidP="008A3D2D">
      <w:pPr>
        <w:spacing w:after="0" w:line="240" w:lineRule="auto"/>
        <w:ind w:left="1440" w:right="1440"/>
        <w:jc w:val="both"/>
        <w:rPr>
          <w:rFonts w:ascii="Times New Roman" w:hAnsi="Times New Roman"/>
          <w:sz w:val="26"/>
          <w:szCs w:val="26"/>
        </w:rPr>
      </w:pPr>
    </w:p>
    <w:p w:rsidR="005C4163" w:rsidRPr="00564EEA" w:rsidRDefault="005C4163" w:rsidP="008A3D2D">
      <w:pPr>
        <w:spacing w:after="0" w:line="240" w:lineRule="auto"/>
        <w:ind w:left="1440" w:right="1440"/>
        <w:rPr>
          <w:rFonts w:ascii="Times New Roman" w:hAnsi="Times New Roman"/>
          <w:sz w:val="26"/>
          <w:szCs w:val="26"/>
        </w:rPr>
      </w:pPr>
      <w:r w:rsidRPr="00564EEA">
        <w:rPr>
          <w:rFonts w:ascii="Times New Roman" w:hAnsi="Times New Roman"/>
          <w:sz w:val="26"/>
          <w:szCs w:val="26"/>
        </w:rPr>
        <w:t>b.</w:t>
      </w:r>
      <w:r w:rsidRPr="00564EEA">
        <w:rPr>
          <w:rFonts w:ascii="Times New Roman" w:hAnsi="Times New Roman"/>
          <w:sz w:val="26"/>
          <w:szCs w:val="26"/>
        </w:rPr>
        <w:tab/>
        <w:t xml:space="preserve">Joint Petitioners respectfully request ALJ Buckley and the Commission to act as expeditiously as possible to ensure timely implementation of the Settlement Rates. </w:t>
      </w:r>
      <w:r w:rsidR="00F32D86" w:rsidRPr="00564EEA">
        <w:rPr>
          <w:rFonts w:ascii="Times New Roman" w:hAnsi="Times New Roman"/>
          <w:sz w:val="26"/>
          <w:szCs w:val="26"/>
        </w:rPr>
        <w:t xml:space="preserve"> </w:t>
      </w:r>
      <w:r w:rsidRPr="00564EEA">
        <w:rPr>
          <w:rFonts w:ascii="Times New Roman" w:hAnsi="Times New Roman"/>
          <w:sz w:val="26"/>
          <w:szCs w:val="26"/>
        </w:rPr>
        <w:t>Upon the entry of a Commission Order approving this Joint Petition, the City will be permitted to file a tariff in the form attached hereto</w:t>
      </w:r>
      <w:r w:rsidR="00CA25DC" w:rsidRPr="00564EEA">
        <w:rPr>
          <w:rFonts w:ascii="Times New Roman" w:hAnsi="Times New Roman"/>
          <w:sz w:val="26"/>
          <w:szCs w:val="26"/>
        </w:rPr>
        <w:t xml:space="preserve"> [in the Settlement]</w:t>
      </w:r>
      <w:r w:rsidRPr="00564EEA">
        <w:rPr>
          <w:rFonts w:ascii="Times New Roman" w:hAnsi="Times New Roman"/>
          <w:sz w:val="26"/>
          <w:szCs w:val="26"/>
        </w:rPr>
        <w:t xml:space="preserve"> as Appendix A-1 and A-2 to become effective upon one day’s notice. </w:t>
      </w:r>
    </w:p>
    <w:p w:rsidR="00BB0B1A" w:rsidRPr="00564EEA" w:rsidRDefault="00BB0B1A" w:rsidP="008A3D2D">
      <w:pPr>
        <w:spacing w:after="0" w:line="240" w:lineRule="auto"/>
        <w:ind w:left="1440" w:right="1440"/>
        <w:jc w:val="both"/>
        <w:rPr>
          <w:rFonts w:ascii="Times New Roman" w:hAnsi="Times New Roman"/>
          <w:sz w:val="26"/>
          <w:szCs w:val="26"/>
        </w:rPr>
      </w:pPr>
    </w:p>
    <w:p w:rsidR="005C4163" w:rsidRPr="00564EEA" w:rsidRDefault="005C4163" w:rsidP="008A3D2D">
      <w:pPr>
        <w:spacing w:after="0" w:line="240" w:lineRule="auto"/>
        <w:ind w:left="1440" w:right="1440"/>
        <w:rPr>
          <w:rFonts w:ascii="Times New Roman" w:hAnsi="Times New Roman"/>
          <w:sz w:val="26"/>
          <w:szCs w:val="26"/>
        </w:rPr>
      </w:pPr>
      <w:r w:rsidRPr="00564EEA">
        <w:rPr>
          <w:rFonts w:ascii="Times New Roman" w:hAnsi="Times New Roman"/>
          <w:sz w:val="26"/>
          <w:szCs w:val="26"/>
        </w:rPr>
        <w:t xml:space="preserve">c. </w:t>
      </w:r>
      <w:r w:rsidRPr="00564EEA">
        <w:rPr>
          <w:rFonts w:ascii="Times New Roman" w:hAnsi="Times New Roman"/>
          <w:sz w:val="26"/>
          <w:szCs w:val="26"/>
        </w:rPr>
        <w:tab/>
        <w:t xml:space="preserve">The City agrees that it will not file for another general sewer base rate increase for outside customers under Section 1308(d) of the Public Utility Code prior to June 29, 2014. </w:t>
      </w:r>
      <w:r w:rsidR="006A115E" w:rsidRPr="00564EEA">
        <w:rPr>
          <w:rFonts w:ascii="Times New Roman" w:hAnsi="Times New Roman"/>
          <w:sz w:val="26"/>
          <w:szCs w:val="26"/>
        </w:rPr>
        <w:t xml:space="preserve"> </w:t>
      </w:r>
      <w:r w:rsidRPr="00564EEA">
        <w:rPr>
          <w:rFonts w:ascii="Times New Roman" w:hAnsi="Times New Roman"/>
          <w:sz w:val="26"/>
          <w:szCs w:val="26"/>
        </w:rPr>
        <w:t xml:space="preserve">However, if a legislative body or administrative agency, including the Commission, orders or enacts fundamental changes in policy or statutes which directly and substantially affect the City’s rates, approval and implementation of this Settlement shall not prevent the City from filing tariff supplements to the extent necessitated by such action. </w:t>
      </w:r>
    </w:p>
    <w:p w:rsidR="001673EF" w:rsidRPr="00564EEA" w:rsidRDefault="001673EF" w:rsidP="008A3D2D">
      <w:pPr>
        <w:tabs>
          <w:tab w:val="left" w:pos="0"/>
        </w:tabs>
        <w:spacing w:after="0" w:line="240" w:lineRule="auto"/>
        <w:ind w:left="1440" w:right="1440"/>
        <w:jc w:val="both"/>
        <w:rPr>
          <w:rFonts w:ascii="Times New Roman" w:hAnsi="Times New Roman"/>
          <w:sz w:val="26"/>
          <w:szCs w:val="26"/>
        </w:rPr>
      </w:pPr>
    </w:p>
    <w:p w:rsidR="005C4163" w:rsidRPr="00564EEA" w:rsidRDefault="005C4163" w:rsidP="008A3D2D">
      <w:pPr>
        <w:tabs>
          <w:tab w:val="left" w:pos="0"/>
        </w:tabs>
        <w:spacing w:after="0" w:line="240" w:lineRule="auto"/>
        <w:ind w:left="1440" w:right="1440"/>
        <w:rPr>
          <w:rFonts w:ascii="Times New Roman" w:hAnsi="Times New Roman"/>
          <w:sz w:val="26"/>
          <w:szCs w:val="26"/>
        </w:rPr>
      </w:pPr>
      <w:r w:rsidRPr="00564EEA">
        <w:rPr>
          <w:rFonts w:ascii="Times New Roman" w:hAnsi="Times New Roman"/>
          <w:sz w:val="26"/>
          <w:szCs w:val="26"/>
        </w:rPr>
        <w:t>d.</w:t>
      </w:r>
      <w:r w:rsidRPr="00564EEA">
        <w:rPr>
          <w:rFonts w:ascii="Times New Roman" w:hAnsi="Times New Roman"/>
          <w:sz w:val="26"/>
          <w:szCs w:val="26"/>
        </w:rPr>
        <w:tab/>
        <w:t xml:space="preserve">The Joint Petitioners also agree to the changes in the tariff rules and regulations and its definitions, as shown in Appendix A-1, that have been revised to better adhere to the Commission’s Wastewater Rules and Regulations and to better reflect the actual operations of the City of Lancaster’s wastewater system. </w:t>
      </w:r>
    </w:p>
    <w:p w:rsidR="001673EF" w:rsidRPr="00564EEA" w:rsidRDefault="001673EF" w:rsidP="008A3D2D">
      <w:pPr>
        <w:tabs>
          <w:tab w:val="left" w:pos="0"/>
        </w:tabs>
        <w:spacing w:after="0" w:line="240" w:lineRule="auto"/>
        <w:ind w:left="1440" w:right="1440"/>
        <w:rPr>
          <w:rFonts w:ascii="Times New Roman" w:hAnsi="Times New Roman"/>
          <w:sz w:val="26"/>
          <w:szCs w:val="26"/>
        </w:rPr>
      </w:pPr>
    </w:p>
    <w:p w:rsidR="005C4163" w:rsidRPr="00564EEA" w:rsidRDefault="005C4163" w:rsidP="008A3D2D">
      <w:pPr>
        <w:tabs>
          <w:tab w:val="left" w:pos="0"/>
        </w:tabs>
        <w:spacing w:after="0" w:line="240" w:lineRule="auto"/>
        <w:ind w:left="1440" w:right="1440"/>
        <w:rPr>
          <w:rFonts w:ascii="Times New Roman" w:hAnsi="Times New Roman"/>
          <w:sz w:val="26"/>
          <w:szCs w:val="26"/>
        </w:rPr>
      </w:pPr>
      <w:r w:rsidRPr="00564EEA">
        <w:rPr>
          <w:rFonts w:ascii="Times New Roman" w:hAnsi="Times New Roman"/>
          <w:sz w:val="26"/>
          <w:szCs w:val="26"/>
        </w:rPr>
        <w:t>e.</w:t>
      </w:r>
      <w:r w:rsidRPr="00564EEA">
        <w:rPr>
          <w:rFonts w:ascii="Times New Roman" w:hAnsi="Times New Roman"/>
          <w:sz w:val="26"/>
          <w:szCs w:val="26"/>
        </w:rPr>
        <w:tab/>
        <w:t>The Joint Petitioners agree that when the City files its next base rate case, the Industrial Waste Surcharges shall be based on actual costs, as determined by a cost of service study.</w:t>
      </w:r>
    </w:p>
    <w:p w:rsidR="001673EF" w:rsidRPr="00564EEA" w:rsidRDefault="001673EF" w:rsidP="008A3D2D">
      <w:pPr>
        <w:tabs>
          <w:tab w:val="left" w:pos="0"/>
        </w:tabs>
        <w:spacing w:after="0" w:line="240" w:lineRule="auto"/>
        <w:ind w:left="1440" w:right="1440"/>
        <w:rPr>
          <w:rFonts w:ascii="Times New Roman" w:hAnsi="Times New Roman"/>
          <w:sz w:val="26"/>
          <w:szCs w:val="26"/>
        </w:rPr>
      </w:pPr>
    </w:p>
    <w:p w:rsidR="001673EF" w:rsidRPr="00564EEA" w:rsidRDefault="005C4163" w:rsidP="008A3D2D">
      <w:pPr>
        <w:tabs>
          <w:tab w:val="left" w:pos="0"/>
        </w:tabs>
        <w:spacing w:after="0" w:line="240" w:lineRule="auto"/>
        <w:ind w:left="1440" w:right="1440"/>
        <w:rPr>
          <w:rFonts w:ascii="Times New Roman" w:hAnsi="Times New Roman"/>
          <w:sz w:val="26"/>
          <w:szCs w:val="26"/>
        </w:rPr>
      </w:pPr>
      <w:r w:rsidRPr="00564EEA">
        <w:rPr>
          <w:rFonts w:ascii="Times New Roman" w:hAnsi="Times New Roman"/>
          <w:sz w:val="26"/>
          <w:szCs w:val="26"/>
        </w:rPr>
        <w:t>f.</w:t>
      </w:r>
      <w:r w:rsidRPr="00564EEA">
        <w:rPr>
          <w:rFonts w:ascii="Times New Roman" w:hAnsi="Times New Roman"/>
          <w:sz w:val="26"/>
          <w:szCs w:val="26"/>
        </w:rPr>
        <w:tab/>
        <w:t xml:space="preserve">The Joint Petitioners also agree that the City shall establish the OPEB Trust as per the requirements set forth in the City’s settlement of its water case at Docket No. R-2010-2179103.  The relevant pages of the settlement agreement are attached </w:t>
      </w:r>
      <w:r w:rsidR="001673EF" w:rsidRPr="00564EEA">
        <w:rPr>
          <w:rFonts w:ascii="Times New Roman" w:hAnsi="Times New Roman"/>
          <w:sz w:val="26"/>
          <w:szCs w:val="26"/>
        </w:rPr>
        <w:t xml:space="preserve">[to the Settlement] </w:t>
      </w:r>
      <w:r w:rsidRPr="00564EEA">
        <w:rPr>
          <w:rFonts w:ascii="Times New Roman" w:hAnsi="Times New Roman"/>
          <w:sz w:val="26"/>
          <w:szCs w:val="26"/>
        </w:rPr>
        <w:t xml:space="preserve">in Appendix C.  The City agrees that it shall make deposits into the OPEB Trust starting the first full month after the entry date of the final Commission Order in the rate case or the first full month after the establishment of the Trust, whichever is later. </w:t>
      </w:r>
      <w:r w:rsidR="006A115E" w:rsidRPr="00564EEA">
        <w:rPr>
          <w:rFonts w:ascii="Times New Roman" w:hAnsi="Times New Roman"/>
          <w:sz w:val="26"/>
          <w:szCs w:val="26"/>
        </w:rPr>
        <w:t xml:space="preserve"> </w:t>
      </w:r>
      <w:r w:rsidRPr="00564EEA">
        <w:rPr>
          <w:rFonts w:ascii="Times New Roman" w:hAnsi="Times New Roman"/>
          <w:sz w:val="26"/>
          <w:szCs w:val="26"/>
        </w:rPr>
        <w:t xml:space="preserve">When the </w:t>
      </w:r>
      <w:r w:rsidRPr="00564EEA">
        <w:rPr>
          <w:rFonts w:ascii="Times New Roman" w:hAnsi="Times New Roman"/>
          <w:sz w:val="26"/>
          <w:szCs w:val="26"/>
        </w:rPr>
        <w:lastRenderedPageBreak/>
        <w:t xml:space="preserve">Trust is fully established, the City shall be authorized to implement the corresponding portion of the revenue increase agreed to, in the amount of </w:t>
      </w:r>
      <w:r w:rsidRPr="00564EEA">
        <w:rPr>
          <w:rFonts w:ascii="Times New Roman" w:hAnsi="Times New Roman"/>
          <w:b/>
          <w:sz w:val="26"/>
          <w:szCs w:val="26"/>
        </w:rPr>
        <w:t>$51,000</w:t>
      </w:r>
      <w:r w:rsidRPr="00564EEA">
        <w:rPr>
          <w:rFonts w:ascii="Times New Roman" w:hAnsi="Times New Roman"/>
          <w:sz w:val="26"/>
          <w:szCs w:val="26"/>
        </w:rPr>
        <w:t xml:space="preserve"> as shown in Appendix A</w:t>
      </w:r>
      <w:r w:rsidR="006A115E" w:rsidRPr="00564EEA">
        <w:rPr>
          <w:rFonts w:ascii="Times New Roman" w:hAnsi="Times New Roman"/>
          <w:sz w:val="26"/>
          <w:szCs w:val="26"/>
        </w:rPr>
        <w:noBreakHyphen/>
      </w:r>
      <w:r w:rsidRPr="00564EEA">
        <w:rPr>
          <w:rFonts w:ascii="Times New Roman" w:hAnsi="Times New Roman"/>
          <w:sz w:val="26"/>
          <w:szCs w:val="26"/>
        </w:rPr>
        <w:t>2 and B-2</w:t>
      </w:r>
      <w:r w:rsidR="00CA25DC" w:rsidRPr="00564EEA">
        <w:rPr>
          <w:rFonts w:ascii="Times New Roman" w:hAnsi="Times New Roman"/>
          <w:sz w:val="26"/>
          <w:szCs w:val="26"/>
        </w:rPr>
        <w:t xml:space="preserve"> [of the Settlement]</w:t>
      </w:r>
      <w:r w:rsidRPr="00564EEA">
        <w:rPr>
          <w:rFonts w:ascii="Times New Roman" w:hAnsi="Times New Roman"/>
          <w:sz w:val="26"/>
          <w:szCs w:val="26"/>
        </w:rPr>
        <w:t>.</w:t>
      </w:r>
    </w:p>
    <w:p w:rsidR="006A115E" w:rsidRPr="00564EEA" w:rsidRDefault="006A115E" w:rsidP="008A3D2D">
      <w:pPr>
        <w:tabs>
          <w:tab w:val="left" w:pos="0"/>
        </w:tabs>
        <w:spacing w:after="0" w:line="240" w:lineRule="auto"/>
        <w:ind w:left="1440" w:right="1440"/>
        <w:rPr>
          <w:rFonts w:ascii="Times New Roman" w:hAnsi="Times New Roman"/>
          <w:sz w:val="26"/>
          <w:szCs w:val="26"/>
        </w:rPr>
      </w:pPr>
    </w:p>
    <w:p w:rsidR="005C4163" w:rsidRPr="00564EEA" w:rsidRDefault="005C4163" w:rsidP="008A3D2D">
      <w:pPr>
        <w:tabs>
          <w:tab w:val="left" w:pos="0"/>
        </w:tabs>
        <w:spacing w:after="0" w:line="240" w:lineRule="auto"/>
        <w:ind w:left="1440" w:right="1440"/>
        <w:rPr>
          <w:rFonts w:ascii="Times New Roman" w:hAnsi="Times New Roman"/>
          <w:sz w:val="26"/>
          <w:szCs w:val="26"/>
        </w:rPr>
      </w:pPr>
      <w:r w:rsidRPr="00564EEA">
        <w:rPr>
          <w:rFonts w:ascii="Times New Roman" w:hAnsi="Times New Roman"/>
          <w:sz w:val="26"/>
          <w:szCs w:val="26"/>
        </w:rPr>
        <w:t>g.</w:t>
      </w:r>
      <w:r w:rsidRPr="00564EEA">
        <w:rPr>
          <w:rFonts w:ascii="Times New Roman" w:hAnsi="Times New Roman"/>
          <w:sz w:val="26"/>
          <w:szCs w:val="26"/>
        </w:rPr>
        <w:tab/>
        <w:t>The Settlement Rates set forth in Appendix A-1 and A</w:t>
      </w:r>
      <w:r w:rsidR="006A115E" w:rsidRPr="00564EEA">
        <w:rPr>
          <w:rFonts w:ascii="Times New Roman" w:hAnsi="Times New Roman"/>
          <w:sz w:val="26"/>
          <w:szCs w:val="26"/>
        </w:rPr>
        <w:noBreakHyphen/>
      </w:r>
      <w:r w:rsidRPr="00564EEA">
        <w:rPr>
          <w:rFonts w:ascii="Times New Roman" w:hAnsi="Times New Roman"/>
          <w:sz w:val="26"/>
          <w:szCs w:val="26"/>
        </w:rPr>
        <w:t xml:space="preserve">2 </w:t>
      </w:r>
      <w:r w:rsidR="00CA25DC" w:rsidRPr="00564EEA">
        <w:rPr>
          <w:rFonts w:ascii="Times New Roman" w:hAnsi="Times New Roman"/>
          <w:sz w:val="26"/>
          <w:szCs w:val="26"/>
        </w:rPr>
        <w:t xml:space="preserve">[of the Settlement] </w:t>
      </w:r>
      <w:r w:rsidRPr="00564EEA">
        <w:rPr>
          <w:rFonts w:ascii="Times New Roman" w:hAnsi="Times New Roman"/>
          <w:sz w:val="26"/>
          <w:szCs w:val="26"/>
        </w:rPr>
        <w:t>reflect the Joint Petitioners’ agreement with regard to rate structure, rate design and the distribution of the increase in revenues in this case as follows:</w:t>
      </w:r>
      <w:r w:rsidRPr="00564EEA">
        <w:rPr>
          <w:rFonts w:ascii="Times New Roman" w:hAnsi="Times New Roman"/>
          <w:sz w:val="26"/>
          <w:szCs w:val="26"/>
          <w:vertAlign w:val="superscript"/>
        </w:rPr>
        <w:footnoteReference w:id="3"/>
      </w:r>
      <w:r w:rsidRPr="00564EEA">
        <w:rPr>
          <w:rFonts w:ascii="Times New Roman" w:hAnsi="Times New Roman"/>
          <w:sz w:val="26"/>
          <w:szCs w:val="26"/>
        </w:rPr>
        <w:t xml:space="preserve"> </w:t>
      </w:r>
    </w:p>
    <w:p w:rsidR="001673EF" w:rsidRPr="00564EEA" w:rsidRDefault="001673EF" w:rsidP="008A3D2D">
      <w:pPr>
        <w:spacing w:after="0" w:line="240" w:lineRule="auto"/>
        <w:ind w:left="1440" w:right="1440"/>
        <w:jc w:val="both"/>
        <w:rPr>
          <w:rFonts w:ascii="Times New Roman" w:hAnsi="Times New Roman"/>
          <w:sz w:val="26"/>
          <w:szCs w:val="26"/>
        </w:rPr>
      </w:pPr>
    </w:p>
    <w:p w:rsidR="005C4163" w:rsidRPr="00564EEA" w:rsidRDefault="005C4163" w:rsidP="008A3D2D">
      <w:pPr>
        <w:pStyle w:val="ListParagraph"/>
        <w:numPr>
          <w:ilvl w:val="0"/>
          <w:numId w:val="39"/>
        </w:numPr>
        <w:ind w:right="1440"/>
        <w:jc w:val="both"/>
        <w:rPr>
          <w:sz w:val="26"/>
          <w:szCs w:val="26"/>
        </w:rPr>
      </w:pPr>
      <w:r w:rsidRPr="00564EEA">
        <w:rPr>
          <w:sz w:val="26"/>
          <w:szCs w:val="26"/>
        </w:rPr>
        <w:t>The Settlement Rates reflect the allocation of the agreed increase in revenue to customer classes in the manner shown in Appendix B-1 and B-2</w:t>
      </w:r>
      <w:r w:rsidR="00CA25DC" w:rsidRPr="00564EEA">
        <w:rPr>
          <w:sz w:val="26"/>
          <w:szCs w:val="26"/>
        </w:rPr>
        <w:t xml:space="preserve"> [of the Settlement]</w:t>
      </w:r>
      <w:r w:rsidRPr="00564EEA">
        <w:rPr>
          <w:sz w:val="26"/>
          <w:szCs w:val="26"/>
        </w:rPr>
        <w:t xml:space="preserve">. </w:t>
      </w:r>
    </w:p>
    <w:p w:rsidR="001673EF" w:rsidRPr="00564EEA" w:rsidRDefault="001673EF" w:rsidP="008A3D2D">
      <w:pPr>
        <w:pStyle w:val="ListParagraph"/>
        <w:ind w:left="1845" w:right="1440"/>
        <w:jc w:val="both"/>
        <w:rPr>
          <w:sz w:val="26"/>
          <w:szCs w:val="26"/>
        </w:rPr>
      </w:pPr>
    </w:p>
    <w:p w:rsidR="005C4163" w:rsidRPr="00564EEA" w:rsidRDefault="005C4163" w:rsidP="008A3D2D">
      <w:pPr>
        <w:pStyle w:val="ListParagraph"/>
        <w:numPr>
          <w:ilvl w:val="0"/>
          <w:numId w:val="39"/>
        </w:numPr>
        <w:ind w:right="1440"/>
        <w:jc w:val="both"/>
        <w:rPr>
          <w:sz w:val="26"/>
          <w:szCs w:val="26"/>
        </w:rPr>
      </w:pPr>
      <w:r w:rsidRPr="00564EEA">
        <w:rPr>
          <w:sz w:val="26"/>
          <w:szCs w:val="26"/>
        </w:rPr>
        <w:t xml:space="preserve">Under the Settlement Rates, the minimum charges are as follows </w:t>
      </w:r>
      <w:r w:rsidRPr="00564EEA">
        <w:rPr>
          <w:b/>
          <w:sz w:val="26"/>
          <w:szCs w:val="26"/>
        </w:rPr>
        <w:t>prior to</w:t>
      </w:r>
      <w:r w:rsidRPr="00564EEA">
        <w:rPr>
          <w:sz w:val="26"/>
          <w:szCs w:val="26"/>
        </w:rPr>
        <w:t xml:space="preserve"> the implementation of the OPEB Trust (Appendix A-1 and B-1</w:t>
      </w:r>
      <w:r w:rsidR="00CA25DC" w:rsidRPr="00564EEA">
        <w:rPr>
          <w:sz w:val="26"/>
          <w:szCs w:val="26"/>
        </w:rPr>
        <w:t xml:space="preserve"> [of the Settlement]</w:t>
      </w:r>
      <w:r w:rsidRPr="00564EEA">
        <w:rPr>
          <w:sz w:val="26"/>
          <w:szCs w:val="26"/>
        </w:rPr>
        <w:t>):</w:t>
      </w:r>
    </w:p>
    <w:p w:rsidR="009B485C" w:rsidRPr="00564EEA" w:rsidRDefault="009B485C" w:rsidP="008A3D2D">
      <w:pPr>
        <w:spacing w:after="0" w:line="240" w:lineRule="auto"/>
        <w:ind w:left="1440" w:right="1440"/>
        <w:jc w:val="both"/>
        <w:rPr>
          <w:sz w:val="26"/>
          <w:szCs w:val="26"/>
        </w:rPr>
      </w:pPr>
    </w:p>
    <w:tbl>
      <w:tblPr>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2250"/>
      </w:tblGrid>
      <w:tr w:rsidR="00564EEA" w:rsidRPr="00564EEA" w:rsidTr="00994984">
        <w:tc>
          <w:tcPr>
            <w:tcW w:w="1620" w:type="dxa"/>
          </w:tcPr>
          <w:p w:rsidR="005C4163" w:rsidRPr="00564EEA" w:rsidRDefault="005C4163" w:rsidP="008A3D2D">
            <w:pPr>
              <w:spacing w:after="0" w:line="240" w:lineRule="auto"/>
              <w:rPr>
                <w:rFonts w:ascii="Times New Roman" w:hAnsi="Times New Roman"/>
                <w:b/>
                <w:sz w:val="26"/>
                <w:szCs w:val="26"/>
              </w:rPr>
            </w:pPr>
            <w:r w:rsidRPr="00564EEA">
              <w:rPr>
                <w:rFonts w:ascii="Times New Roman" w:hAnsi="Times New Roman"/>
                <w:b/>
                <w:sz w:val="26"/>
                <w:szCs w:val="26"/>
              </w:rPr>
              <w:t>Size of Meter</w:t>
            </w:r>
          </w:p>
        </w:tc>
        <w:tc>
          <w:tcPr>
            <w:tcW w:w="2250" w:type="dxa"/>
          </w:tcPr>
          <w:p w:rsidR="005C4163" w:rsidRPr="00564EEA" w:rsidRDefault="005C4163" w:rsidP="008A3D2D">
            <w:pPr>
              <w:spacing w:after="0" w:line="240" w:lineRule="auto"/>
              <w:rPr>
                <w:rFonts w:ascii="Times New Roman" w:hAnsi="Times New Roman"/>
                <w:b/>
                <w:sz w:val="26"/>
                <w:szCs w:val="26"/>
              </w:rPr>
            </w:pPr>
            <w:r w:rsidRPr="00564EEA">
              <w:rPr>
                <w:rFonts w:ascii="Times New Roman" w:hAnsi="Times New Roman"/>
                <w:b/>
                <w:sz w:val="26"/>
                <w:szCs w:val="26"/>
              </w:rPr>
              <w:t>Per Month/Quarter</w:t>
            </w:r>
          </w:p>
          <w:p w:rsidR="005C4163" w:rsidRPr="00564EEA" w:rsidRDefault="005C4163" w:rsidP="008A3D2D">
            <w:pPr>
              <w:spacing w:after="0" w:line="240" w:lineRule="auto"/>
              <w:rPr>
                <w:rFonts w:ascii="Times New Roman" w:hAnsi="Times New Roman"/>
                <w:b/>
                <w:sz w:val="26"/>
                <w:szCs w:val="26"/>
              </w:rPr>
            </w:pPr>
          </w:p>
        </w:tc>
      </w:tr>
      <w:tr w:rsidR="00564EEA" w:rsidRPr="00564EEA" w:rsidTr="00994984">
        <w:tc>
          <w:tcPr>
            <w:tcW w:w="1620" w:type="dxa"/>
          </w:tcPr>
          <w:p w:rsidR="005C4163" w:rsidRPr="00564EEA" w:rsidRDefault="005C4163" w:rsidP="008A3D2D">
            <w:pPr>
              <w:spacing w:after="0" w:line="480" w:lineRule="auto"/>
              <w:jc w:val="both"/>
              <w:rPr>
                <w:rFonts w:ascii="Times New Roman" w:hAnsi="Times New Roman"/>
                <w:sz w:val="26"/>
                <w:szCs w:val="26"/>
              </w:rPr>
            </w:pPr>
            <w:r w:rsidRPr="00564EEA">
              <w:rPr>
                <w:rFonts w:ascii="Times New Roman" w:hAnsi="Times New Roman"/>
                <w:sz w:val="26"/>
                <w:szCs w:val="26"/>
              </w:rPr>
              <w:t>5/8”</w:t>
            </w:r>
          </w:p>
        </w:tc>
        <w:tc>
          <w:tcPr>
            <w:tcW w:w="2250" w:type="dxa"/>
          </w:tcPr>
          <w:p w:rsidR="005C4163" w:rsidRPr="00564EEA" w:rsidRDefault="005C4163" w:rsidP="008A3D2D">
            <w:pPr>
              <w:spacing w:after="0" w:line="480" w:lineRule="auto"/>
              <w:jc w:val="both"/>
              <w:rPr>
                <w:rFonts w:ascii="Times New Roman" w:hAnsi="Times New Roman"/>
                <w:sz w:val="26"/>
                <w:szCs w:val="26"/>
              </w:rPr>
            </w:pPr>
            <w:r w:rsidRPr="00564EEA">
              <w:rPr>
                <w:rFonts w:ascii="Times New Roman" w:hAnsi="Times New Roman"/>
                <w:sz w:val="26"/>
                <w:szCs w:val="26"/>
              </w:rPr>
              <w:t>$4.35/ $13.05</w:t>
            </w:r>
          </w:p>
        </w:tc>
      </w:tr>
      <w:tr w:rsidR="00564EEA" w:rsidRPr="00564EEA" w:rsidTr="00994984">
        <w:tc>
          <w:tcPr>
            <w:tcW w:w="1620" w:type="dxa"/>
          </w:tcPr>
          <w:p w:rsidR="005C4163" w:rsidRPr="00564EEA" w:rsidRDefault="005C4163" w:rsidP="008A3D2D">
            <w:pPr>
              <w:spacing w:after="0" w:line="480" w:lineRule="auto"/>
              <w:jc w:val="both"/>
              <w:rPr>
                <w:rFonts w:ascii="Times New Roman" w:hAnsi="Times New Roman"/>
                <w:sz w:val="26"/>
                <w:szCs w:val="26"/>
              </w:rPr>
            </w:pPr>
            <w:r w:rsidRPr="00564EEA">
              <w:rPr>
                <w:rFonts w:ascii="Times New Roman" w:hAnsi="Times New Roman"/>
                <w:sz w:val="26"/>
                <w:szCs w:val="26"/>
              </w:rPr>
              <w:t>3/4"</w:t>
            </w:r>
          </w:p>
        </w:tc>
        <w:tc>
          <w:tcPr>
            <w:tcW w:w="2250" w:type="dxa"/>
          </w:tcPr>
          <w:p w:rsidR="005C4163" w:rsidRPr="00564EEA" w:rsidRDefault="005C4163" w:rsidP="008A3D2D">
            <w:pPr>
              <w:spacing w:after="0" w:line="480" w:lineRule="auto"/>
              <w:jc w:val="both"/>
              <w:rPr>
                <w:rFonts w:ascii="Times New Roman" w:hAnsi="Times New Roman"/>
                <w:sz w:val="26"/>
                <w:szCs w:val="26"/>
              </w:rPr>
            </w:pPr>
            <w:r w:rsidRPr="00564EEA">
              <w:rPr>
                <w:rFonts w:ascii="Times New Roman" w:hAnsi="Times New Roman"/>
                <w:sz w:val="26"/>
                <w:szCs w:val="26"/>
              </w:rPr>
              <w:t>$4.35/ $13.05</w:t>
            </w:r>
          </w:p>
        </w:tc>
      </w:tr>
      <w:tr w:rsidR="00564EEA" w:rsidRPr="00564EEA" w:rsidTr="00994984">
        <w:tc>
          <w:tcPr>
            <w:tcW w:w="1620" w:type="dxa"/>
          </w:tcPr>
          <w:p w:rsidR="005C4163" w:rsidRPr="00564EEA" w:rsidRDefault="005C4163" w:rsidP="008A3D2D">
            <w:pPr>
              <w:spacing w:after="0" w:line="480" w:lineRule="auto"/>
              <w:jc w:val="both"/>
              <w:rPr>
                <w:rFonts w:ascii="Times New Roman" w:hAnsi="Times New Roman"/>
                <w:sz w:val="26"/>
                <w:szCs w:val="26"/>
              </w:rPr>
            </w:pPr>
            <w:r w:rsidRPr="00564EEA">
              <w:rPr>
                <w:rFonts w:ascii="Times New Roman" w:hAnsi="Times New Roman"/>
                <w:sz w:val="26"/>
                <w:szCs w:val="26"/>
              </w:rPr>
              <w:t xml:space="preserve">1” </w:t>
            </w:r>
          </w:p>
        </w:tc>
        <w:tc>
          <w:tcPr>
            <w:tcW w:w="2250" w:type="dxa"/>
          </w:tcPr>
          <w:p w:rsidR="005C4163" w:rsidRPr="00564EEA" w:rsidRDefault="005C4163" w:rsidP="008A3D2D">
            <w:pPr>
              <w:spacing w:after="0" w:line="480" w:lineRule="auto"/>
              <w:jc w:val="both"/>
              <w:rPr>
                <w:rFonts w:ascii="Times New Roman" w:hAnsi="Times New Roman"/>
                <w:sz w:val="26"/>
                <w:szCs w:val="26"/>
              </w:rPr>
            </w:pPr>
            <w:r w:rsidRPr="00564EEA">
              <w:rPr>
                <w:rFonts w:ascii="Times New Roman" w:hAnsi="Times New Roman"/>
                <w:sz w:val="26"/>
                <w:szCs w:val="26"/>
              </w:rPr>
              <w:t>$13.06/ $39.18</w:t>
            </w:r>
          </w:p>
        </w:tc>
      </w:tr>
      <w:tr w:rsidR="00564EEA" w:rsidRPr="00564EEA" w:rsidTr="00994984">
        <w:tc>
          <w:tcPr>
            <w:tcW w:w="1620" w:type="dxa"/>
          </w:tcPr>
          <w:p w:rsidR="005C4163" w:rsidRPr="00564EEA" w:rsidRDefault="005C4163" w:rsidP="008A3D2D">
            <w:pPr>
              <w:spacing w:after="0" w:line="480" w:lineRule="auto"/>
              <w:jc w:val="both"/>
              <w:rPr>
                <w:rFonts w:ascii="Times New Roman" w:hAnsi="Times New Roman"/>
                <w:sz w:val="26"/>
                <w:szCs w:val="26"/>
              </w:rPr>
            </w:pPr>
            <w:r w:rsidRPr="00564EEA">
              <w:rPr>
                <w:rFonts w:ascii="Times New Roman" w:hAnsi="Times New Roman"/>
                <w:sz w:val="26"/>
                <w:szCs w:val="26"/>
              </w:rPr>
              <w:t>1 -1/2”</w:t>
            </w:r>
          </w:p>
        </w:tc>
        <w:tc>
          <w:tcPr>
            <w:tcW w:w="2250" w:type="dxa"/>
          </w:tcPr>
          <w:p w:rsidR="005C4163" w:rsidRPr="00564EEA" w:rsidRDefault="005C4163" w:rsidP="008A3D2D">
            <w:pPr>
              <w:spacing w:after="0" w:line="480" w:lineRule="auto"/>
              <w:jc w:val="both"/>
              <w:rPr>
                <w:rFonts w:ascii="Times New Roman" w:hAnsi="Times New Roman"/>
                <w:sz w:val="26"/>
                <w:szCs w:val="26"/>
              </w:rPr>
            </w:pPr>
            <w:r w:rsidRPr="00564EEA">
              <w:rPr>
                <w:rFonts w:ascii="Times New Roman" w:hAnsi="Times New Roman"/>
                <w:sz w:val="26"/>
                <w:szCs w:val="26"/>
              </w:rPr>
              <w:t>$26.13/ $78.39</w:t>
            </w:r>
          </w:p>
        </w:tc>
      </w:tr>
      <w:tr w:rsidR="00564EEA" w:rsidRPr="00564EEA" w:rsidTr="00994984">
        <w:tc>
          <w:tcPr>
            <w:tcW w:w="1620" w:type="dxa"/>
          </w:tcPr>
          <w:p w:rsidR="005C4163" w:rsidRPr="00564EEA" w:rsidRDefault="005C4163" w:rsidP="008A3D2D">
            <w:pPr>
              <w:spacing w:after="0" w:line="480" w:lineRule="auto"/>
              <w:jc w:val="both"/>
              <w:rPr>
                <w:rFonts w:ascii="Times New Roman" w:hAnsi="Times New Roman"/>
                <w:sz w:val="26"/>
                <w:szCs w:val="26"/>
              </w:rPr>
            </w:pPr>
            <w:r w:rsidRPr="00564EEA">
              <w:rPr>
                <w:rFonts w:ascii="Times New Roman" w:hAnsi="Times New Roman"/>
                <w:sz w:val="26"/>
                <w:szCs w:val="26"/>
              </w:rPr>
              <w:t>2”</w:t>
            </w:r>
          </w:p>
        </w:tc>
        <w:tc>
          <w:tcPr>
            <w:tcW w:w="2250" w:type="dxa"/>
          </w:tcPr>
          <w:p w:rsidR="005C4163" w:rsidRPr="00564EEA" w:rsidRDefault="005C4163" w:rsidP="008A3D2D">
            <w:pPr>
              <w:spacing w:after="0" w:line="480" w:lineRule="auto"/>
              <w:jc w:val="both"/>
              <w:rPr>
                <w:rFonts w:ascii="Times New Roman" w:hAnsi="Times New Roman"/>
                <w:sz w:val="26"/>
                <w:szCs w:val="26"/>
              </w:rPr>
            </w:pPr>
            <w:r w:rsidRPr="00564EEA">
              <w:rPr>
                <w:rFonts w:ascii="Times New Roman" w:hAnsi="Times New Roman"/>
                <w:sz w:val="26"/>
                <w:szCs w:val="26"/>
              </w:rPr>
              <w:t>$43.54/ $130.62</w:t>
            </w:r>
          </w:p>
        </w:tc>
      </w:tr>
      <w:tr w:rsidR="00564EEA" w:rsidRPr="00564EEA" w:rsidTr="00994984">
        <w:tc>
          <w:tcPr>
            <w:tcW w:w="1620" w:type="dxa"/>
          </w:tcPr>
          <w:p w:rsidR="005C4163" w:rsidRPr="00564EEA" w:rsidRDefault="005C4163" w:rsidP="008A3D2D">
            <w:pPr>
              <w:spacing w:after="0" w:line="480" w:lineRule="auto"/>
              <w:jc w:val="both"/>
              <w:rPr>
                <w:rFonts w:ascii="Times New Roman" w:hAnsi="Times New Roman"/>
                <w:sz w:val="26"/>
                <w:szCs w:val="26"/>
              </w:rPr>
            </w:pPr>
            <w:r w:rsidRPr="00564EEA">
              <w:rPr>
                <w:rFonts w:ascii="Times New Roman" w:hAnsi="Times New Roman"/>
                <w:sz w:val="26"/>
                <w:szCs w:val="26"/>
              </w:rPr>
              <w:t>3”</w:t>
            </w:r>
          </w:p>
        </w:tc>
        <w:tc>
          <w:tcPr>
            <w:tcW w:w="2250" w:type="dxa"/>
          </w:tcPr>
          <w:p w:rsidR="005C4163" w:rsidRPr="00564EEA" w:rsidRDefault="005C4163" w:rsidP="008A3D2D">
            <w:pPr>
              <w:spacing w:after="0" w:line="480" w:lineRule="auto"/>
              <w:jc w:val="both"/>
              <w:rPr>
                <w:rFonts w:ascii="Times New Roman" w:hAnsi="Times New Roman"/>
                <w:sz w:val="26"/>
                <w:szCs w:val="26"/>
              </w:rPr>
            </w:pPr>
            <w:r w:rsidRPr="00564EEA">
              <w:rPr>
                <w:rFonts w:ascii="Times New Roman" w:hAnsi="Times New Roman"/>
                <w:sz w:val="26"/>
                <w:szCs w:val="26"/>
              </w:rPr>
              <w:t>$87.09/ $261.27</w:t>
            </w:r>
          </w:p>
        </w:tc>
      </w:tr>
      <w:tr w:rsidR="00564EEA" w:rsidRPr="00564EEA" w:rsidTr="00994984">
        <w:tc>
          <w:tcPr>
            <w:tcW w:w="1620" w:type="dxa"/>
          </w:tcPr>
          <w:p w:rsidR="005C4163" w:rsidRPr="00564EEA" w:rsidRDefault="005C4163" w:rsidP="008A3D2D">
            <w:pPr>
              <w:spacing w:after="0" w:line="480" w:lineRule="auto"/>
              <w:jc w:val="both"/>
              <w:rPr>
                <w:rFonts w:ascii="Times New Roman" w:hAnsi="Times New Roman"/>
                <w:sz w:val="26"/>
                <w:szCs w:val="26"/>
              </w:rPr>
            </w:pPr>
            <w:r w:rsidRPr="00564EEA">
              <w:rPr>
                <w:rFonts w:ascii="Times New Roman" w:hAnsi="Times New Roman"/>
                <w:sz w:val="26"/>
                <w:szCs w:val="26"/>
              </w:rPr>
              <w:t>4”</w:t>
            </w:r>
          </w:p>
        </w:tc>
        <w:tc>
          <w:tcPr>
            <w:tcW w:w="2250" w:type="dxa"/>
          </w:tcPr>
          <w:p w:rsidR="005C4163" w:rsidRPr="00564EEA" w:rsidRDefault="005C4163" w:rsidP="008A3D2D">
            <w:pPr>
              <w:spacing w:after="0" w:line="480" w:lineRule="auto"/>
              <w:jc w:val="both"/>
              <w:rPr>
                <w:rFonts w:ascii="Times New Roman" w:hAnsi="Times New Roman"/>
                <w:sz w:val="26"/>
                <w:szCs w:val="26"/>
              </w:rPr>
            </w:pPr>
            <w:r w:rsidRPr="00564EEA">
              <w:rPr>
                <w:rFonts w:ascii="Times New Roman" w:hAnsi="Times New Roman"/>
                <w:sz w:val="26"/>
                <w:szCs w:val="26"/>
              </w:rPr>
              <w:t>$123.63/ $370.89</w:t>
            </w:r>
          </w:p>
        </w:tc>
      </w:tr>
      <w:tr w:rsidR="00564EEA" w:rsidRPr="00564EEA" w:rsidTr="00994984">
        <w:tc>
          <w:tcPr>
            <w:tcW w:w="1620" w:type="dxa"/>
          </w:tcPr>
          <w:p w:rsidR="005C4163" w:rsidRPr="00564EEA" w:rsidRDefault="005C4163" w:rsidP="008A3D2D">
            <w:pPr>
              <w:spacing w:after="0" w:line="480" w:lineRule="auto"/>
              <w:jc w:val="both"/>
              <w:rPr>
                <w:rFonts w:ascii="Times New Roman" w:hAnsi="Times New Roman"/>
                <w:sz w:val="26"/>
                <w:szCs w:val="26"/>
              </w:rPr>
            </w:pPr>
            <w:r w:rsidRPr="00564EEA">
              <w:rPr>
                <w:rFonts w:ascii="Times New Roman" w:hAnsi="Times New Roman"/>
                <w:sz w:val="26"/>
                <w:szCs w:val="26"/>
              </w:rPr>
              <w:lastRenderedPageBreak/>
              <w:t>6”</w:t>
            </w:r>
          </w:p>
        </w:tc>
        <w:tc>
          <w:tcPr>
            <w:tcW w:w="2250" w:type="dxa"/>
          </w:tcPr>
          <w:p w:rsidR="005C4163" w:rsidRPr="00564EEA" w:rsidRDefault="005C4163" w:rsidP="008A3D2D">
            <w:pPr>
              <w:spacing w:after="0" w:line="480" w:lineRule="auto"/>
              <w:jc w:val="both"/>
              <w:rPr>
                <w:rFonts w:ascii="Times New Roman" w:hAnsi="Times New Roman"/>
                <w:sz w:val="26"/>
                <w:szCs w:val="26"/>
              </w:rPr>
            </w:pPr>
            <w:r w:rsidRPr="00564EEA">
              <w:rPr>
                <w:rFonts w:ascii="Times New Roman" w:hAnsi="Times New Roman"/>
                <w:sz w:val="26"/>
                <w:szCs w:val="26"/>
              </w:rPr>
              <w:t>$212.24/ $636.72</w:t>
            </w:r>
          </w:p>
        </w:tc>
      </w:tr>
      <w:tr w:rsidR="00564EEA" w:rsidRPr="00564EEA" w:rsidTr="00994984">
        <w:tc>
          <w:tcPr>
            <w:tcW w:w="1620" w:type="dxa"/>
          </w:tcPr>
          <w:p w:rsidR="005C4163" w:rsidRPr="00564EEA" w:rsidRDefault="005C4163" w:rsidP="008A3D2D">
            <w:pPr>
              <w:spacing w:after="0" w:line="480" w:lineRule="auto"/>
              <w:jc w:val="both"/>
              <w:rPr>
                <w:rFonts w:ascii="Times New Roman" w:hAnsi="Times New Roman"/>
                <w:sz w:val="26"/>
                <w:szCs w:val="26"/>
              </w:rPr>
            </w:pPr>
            <w:r w:rsidRPr="00564EEA">
              <w:rPr>
                <w:rFonts w:ascii="Times New Roman" w:hAnsi="Times New Roman"/>
                <w:sz w:val="26"/>
                <w:szCs w:val="26"/>
              </w:rPr>
              <w:t>8”</w:t>
            </w:r>
          </w:p>
        </w:tc>
        <w:tc>
          <w:tcPr>
            <w:tcW w:w="2250" w:type="dxa"/>
          </w:tcPr>
          <w:p w:rsidR="005C4163" w:rsidRPr="00564EEA" w:rsidRDefault="005C4163" w:rsidP="008A3D2D">
            <w:pPr>
              <w:spacing w:after="0" w:line="480" w:lineRule="auto"/>
              <w:jc w:val="both"/>
              <w:rPr>
                <w:rFonts w:ascii="Times New Roman" w:hAnsi="Times New Roman"/>
                <w:sz w:val="26"/>
                <w:szCs w:val="26"/>
              </w:rPr>
            </w:pPr>
            <w:r w:rsidRPr="00564EEA">
              <w:rPr>
                <w:rFonts w:ascii="Times New Roman" w:hAnsi="Times New Roman"/>
                <w:sz w:val="26"/>
                <w:szCs w:val="26"/>
              </w:rPr>
              <w:t>$350.39/ $1,051.17</w:t>
            </w:r>
          </w:p>
        </w:tc>
      </w:tr>
      <w:tr w:rsidR="00564EEA" w:rsidRPr="00564EEA" w:rsidTr="00994984">
        <w:tc>
          <w:tcPr>
            <w:tcW w:w="1620" w:type="dxa"/>
          </w:tcPr>
          <w:p w:rsidR="005C4163" w:rsidRPr="00564EEA" w:rsidRDefault="005C4163" w:rsidP="008A3D2D">
            <w:pPr>
              <w:spacing w:after="0" w:line="480" w:lineRule="auto"/>
              <w:jc w:val="both"/>
              <w:rPr>
                <w:rFonts w:ascii="Times New Roman" w:hAnsi="Times New Roman"/>
                <w:sz w:val="26"/>
                <w:szCs w:val="26"/>
              </w:rPr>
            </w:pPr>
            <w:r w:rsidRPr="00564EEA">
              <w:rPr>
                <w:rFonts w:ascii="Times New Roman" w:hAnsi="Times New Roman"/>
                <w:sz w:val="26"/>
                <w:szCs w:val="26"/>
              </w:rPr>
              <w:t>10”</w:t>
            </w:r>
          </w:p>
        </w:tc>
        <w:tc>
          <w:tcPr>
            <w:tcW w:w="2250" w:type="dxa"/>
          </w:tcPr>
          <w:p w:rsidR="005C4163" w:rsidRPr="00564EEA" w:rsidRDefault="005C4163" w:rsidP="008A3D2D">
            <w:pPr>
              <w:spacing w:after="0" w:line="480" w:lineRule="auto"/>
              <w:jc w:val="both"/>
              <w:rPr>
                <w:rFonts w:ascii="Times New Roman" w:hAnsi="Times New Roman"/>
                <w:sz w:val="26"/>
                <w:szCs w:val="26"/>
              </w:rPr>
            </w:pPr>
            <w:r w:rsidRPr="00564EEA">
              <w:rPr>
                <w:rFonts w:ascii="Times New Roman" w:hAnsi="Times New Roman"/>
                <w:sz w:val="26"/>
                <w:szCs w:val="26"/>
              </w:rPr>
              <w:t>$478.08/ $1,434,24</w:t>
            </w:r>
          </w:p>
        </w:tc>
      </w:tr>
      <w:tr w:rsidR="00564EEA" w:rsidRPr="00564EEA" w:rsidTr="00994984">
        <w:tc>
          <w:tcPr>
            <w:tcW w:w="1620" w:type="dxa"/>
          </w:tcPr>
          <w:p w:rsidR="005C4163" w:rsidRPr="00564EEA" w:rsidRDefault="005C4163" w:rsidP="008A3D2D">
            <w:pPr>
              <w:spacing w:after="0" w:line="480" w:lineRule="auto"/>
              <w:jc w:val="both"/>
              <w:rPr>
                <w:rFonts w:ascii="Times New Roman" w:hAnsi="Times New Roman"/>
                <w:sz w:val="26"/>
                <w:szCs w:val="26"/>
              </w:rPr>
            </w:pPr>
            <w:r w:rsidRPr="00564EEA">
              <w:rPr>
                <w:rFonts w:ascii="Times New Roman" w:hAnsi="Times New Roman"/>
                <w:sz w:val="26"/>
                <w:szCs w:val="26"/>
              </w:rPr>
              <w:t xml:space="preserve">12” </w:t>
            </w:r>
          </w:p>
        </w:tc>
        <w:tc>
          <w:tcPr>
            <w:tcW w:w="2250" w:type="dxa"/>
          </w:tcPr>
          <w:p w:rsidR="005C4163" w:rsidRPr="00564EEA" w:rsidRDefault="005C4163" w:rsidP="008A3D2D">
            <w:pPr>
              <w:spacing w:after="0" w:line="480" w:lineRule="auto"/>
              <w:rPr>
                <w:rFonts w:ascii="Times New Roman" w:hAnsi="Times New Roman"/>
                <w:sz w:val="26"/>
                <w:szCs w:val="26"/>
              </w:rPr>
            </w:pPr>
            <w:r w:rsidRPr="00564EEA">
              <w:rPr>
                <w:rFonts w:ascii="Times New Roman" w:hAnsi="Times New Roman"/>
                <w:sz w:val="26"/>
                <w:szCs w:val="26"/>
              </w:rPr>
              <w:t>$708.15/ $2,124.45</w:t>
            </w:r>
          </w:p>
        </w:tc>
      </w:tr>
    </w:tbl>
    <w:p w:rsidR="005C4163" w:rsidRPr="00564EEA" w:rsidRDefault="005C4163" w:rsidP="008A3D2D">
      <w:pPr>
        <w:pStyle w:val="ListParagraph"/>
        <w:numPr>
          <w:ilvl w:val="0"/>
          <w:numId w:val="39"/>
        </w:numPr>
        <w:ind w:right="1440"/>
        <w:rPr>
          <w:sz w:val="26"/>
          <w:szCs w:val="26"/>
        </w:rPr>
      </w:pPr>
      <w:r w:rsidRPr="00564EEA">
        <w:rPr>
          <w:sz w:val="26"/>
          <w:szCs w:val="26"/>
        </w:rPr>
        <w:t xml:space="preserve">Under the Settlement, the parties agreed to have the following volumetric charge (per 1,000 gallons) prior to the implementation of the OPEB trust (Appendix A-1 and B-1): </w:t>
      </w:r>
    </w:p>
    <w:p w:rsidR="009B485C" w:rsidRPr="00564EEA" w:rsidRDefault="009B485C" w:rsidP="008A3D2D">
      <w:pPr>
        <w:pStyle w:val="ListParagraph"/>
        <w:ind w:left="1845" w:right="1440"/>
        <w:jc w:val="both"/>
        <w:rPr>
          <w:sz w:val="26"/>
          <w:szCs w:val="26"/>
        </w:rPr>
      </w:pPr>
    </w:p>
    <w:tbl>
      <w:tblPr>
        <w:tblW w:w="0" w:type="auto"/>
        <w:tblInd w:w="2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3"/>
        <w:gridCol w:w="2790"/>
      </w:tblGrid>
      <w:tr w:rsidR="00564EEA" w:rsidRPr="00564EEA" w:rsidTr="00994984">
        <w:tc>
          <w:tcPr>
            <w:tcW w:w="3033" w:type="dxa"/>
          </w:tcPr>
          <w:p w:rsidR="005C4163" w:rsidRPr="00564EEA" w:rsidRDefault="005C4163" w:rsidP="008A3D2D">
            <w:pPr>
              <w:spacing w:after="0" w:line="240" w:lineRule="auto"/>
              <w:rPr>
                <w:rFonts w:ascii="Times New Roman" w:hAnsi="Times New Roman"/>
                <w:b/>
                <w:sz w:val="26"/>
                <w:szCs w:val="26"/>
              </w:rPr>
            </w:pPr>
            <w:r w:rsidRPr="00564EEA">
              <w:rPr>
                <w:rFonts w:ascii="Times New Roman" w:hAnsi="Times New Roman"/>
                <w:b/>
                <w:sz w:val="26"/>
                <w:szCs w:val="26"/>
              </w:rPr>
              <w:t xml:space="preserve">Consumption of Water in Gallons per Month </w:t>
            </w:r>
          </w:p>
        </w:tc>
        <w:tc>
          <w:tcPr>
            <w:tcW w:w="2790" w:type="dxa"/>
          </w:tcPr>
          <w:p w:rsidR="005C4163" w:rsidRPr="00564EEA" w:rsidRDefault="005C4163" w:rsidP="008A3D2D">
            <w:pPr>
              <w:spacing w:after="0" w:line="480" w:lineRule="auto"/>
              <w:jc w:val="both"/>
              <w:rPr>
                <w:rFonts w:ascii="Times New Roman" w:hAnsi="Times New Roman"/>
                <w:b/>
                <w:sz w:val="26"/>
                <w:szCs w:val="26"/>
              </w:rPr>
            </w:pPr>
            <w:r w:rsidRPr="00564EEA">
              <w:rPr>
                <w:rFonts w:ascii="Times New Roman" w:hAnsi="Times New Roman"/>
                <w:b/>
                <w:sz w:val="26"/>
                <w:szCs w:val="26"/>
              </w:rPr>
              <w:t>Rate per 1,000 gallons</w:t>
            </w:r>
          </w:p>
        </w:tc>
      </w:tr>
      <w:tr w:rsidR="00564EEA" w:rsidRPr="00564EEA" w:rsidTr="00994984">
        <w:tc>
          <w:tcPr>
            <w:tcW w:w="3033" w:type="dxa"/>
          </w:tcPr>
          <w:p w:rsidR="005C4163" w:rsidRPr="00564EEA" w:rsidRDefault="005C4163" w:rsidP="008A3D2D">
            <w:pPr>
              <w:spacing w:after="0" w:line="480" w:lineRule="auto"/>
              <w:jc w:val="both"/>
              <w:rPr>
                <w:rFonts w:ascii="Times New Roman" w:hAnsi="Times New Roman"/>
                <w:sz w:val="26"/>
                <w:szCs w:val="26"/>
              </w:rPr>
            </w:pPr>
            <w:r w:rsidRPr="00564EEA">
              <w:rPr>
                <w:rFonts w:ascii="Times New Roman" w:hAnsi="Times New Roman"/>
                <w:sz w:val="26"/>
                <w:szCs w:val="26"/>
              </w:rPr>
              <w:t>First 25,000</w:t>
            </w:r>
          </w:p>
        </w:tc>
        <w:tc>
          <w:tcPr>
            <w:tcW w:w="2790" w:type="dxa"/>
          </w:tcPr>
          <w:p w:rsidR="005C4163" w:rsidRPr="00564EEA" w:rsidRDefault="005C4163" w:rsidP="008A3D2D">
            <w:pPr>
              <w:spacing w:after="0" w:line="480" w:lineRule="auto"/>
              <w:jc w:val="both"/>
              <w:rPr>
                <w:rFonts w:ascii="Times New Roman" w:hAnsi="Times New Roman"/>
                <w:sz w:val="26"/>
                <w:szCs w:val="26"/>
              </w:rPr>
            </w:pPr>
            <w:r w:rsidRPr="00564EEA">
              <w:rPr>
                <w:rFonts w:ascii="Times New Roman" w:hAnsi="Times New Roman"/>
                <w:sz w:val="26"/>
                <w:szCs w:val="26"/>
              </w:rPr>
              <w:t>$4.1840</w:t>
            </w:r>
          </w:p>
        </w:tc>
      </w:tr>
      <w:tr w:rsidR="00564EEA" w:rsidRPr="00564EEA" w:rsidTr="00994984">
        <w:tc>
          <w:tcPr>
            <w:tcW w:w="3033" w:type="dxa"/>
          </w:tcPr>
          <w:p w:rsidR="005C4163" w:rsidRPr="00564EEA" w:rsidRDefault="005C4163" w:rsidP="008A3D2D">
            <w:pPr>
              <w:spacing w:after="0" w:line="480" w:lineRule="auto"/>
              <w:jc w:val="both"/>
              <w:rPr>
                <w:rFonts w:ascii="Times New Roman" w:hAnsi="Times New Roman"/>
                <w:sz w:val="26"/>
                <w:szCs w:val="26"/>
              </w:rPr>
            </w:pPr>
            <w:r w:rsidRPr="00564EEA">
              <w:rPr>
                <w:rFonts w:ascii="Times New Roman" w:hAnsi="Times New Roman"/>
                <w:sz w:val="26"/>
                <w:szCs w:val="26"/>
              </w:rPr>
              <w:t>Next 308,000</w:t>
            </w:r>
          </w:p>
        </w:tc>
        <w:tc>
          <w:tcPr>
            <w:tcW w:w="2790" w:type="dxa"/>
          </w:tcPr>
          <w:p w:rsidR="005C4163" w:rsidRPr="00564EEA" w:rsidRDefault="005C4163" w:rsidP="008A3D2D">
            <w:pPr>
              <w:spacing w:after="0" w:line="480" w:lineRule="auto"/>
              <w:jc w:val="both"/>
              <w:rPr>
                <w:rFonts w:ascii="Times New Roman" w:hAnsi="Times New Roman"/>
                <w:sz w:val="26"/>
                <w:szCs w:val="26"/>
              </w:rPr>
            </w:pPr>
            <w:r w:rsidRPr="00564EEA">
              <w:rPr>
                <w:rFonts w:ascii="Times New Roman" w:hAnsi="Times New Roman"/>
                <w:sz w:val="26"/>
                <w:szCs w:val="26"/>
              </w:rPr>
              <w:t>$2.8091</w:t>
            </w:r>
          </w:p>
        </w:tc>
      </w:tr>
      <w:tr w:rsidR="00564EEA" w:rsidRPr="00564EEA" w:rsidTr="00994984">
        <w:tc>
          <w:tcPr>
            <w:tcW w:w="3033" w:type="dxa"/>
          </w:tcPr>
          <w:p w:rsidR="005C4163" w:rsidRPr="00564EEA" w:rsidRDefault="005C4163" w:rsidP="008A3D2D">
            <w:pPr>
              <w:spacing w:after="0" w:line="480" w:lineRule="auto"/>
              <w:jc w:val="both"/>
              <w:rPr>
                <w:rFonts w:ascii="Times New Roman" w:hAnsi="Times New Roman"/>
                <w:sz w:val="26"/>
                <w:szCs w:val="26"/>
              </w:rPr>
            </w:pPr>
            <w:r w:rsidRPr="00564EEA">
              <w:rPr>
                <w:rFonts w:ascii="Times New Roman" w:hAnsi="Times New Roman"/>
                <w:sz w:val="26"/>
                <w:szCs w:val="26"/>
              </w:rPr>
              <w:t>All Over 333,000</w:t>
            </w:r>
          </w:p>
        </w:tc>
        <w:tc>
          <w:tcPr>
            <w:tcW w:w="2790" w:type="dxa"/>
          </w:tcPr>
          <w:p w:rsidR="005C4163" w:rsidRPr="00564EEA" w:rsidRDefault="005C4163" w:rsidP="008A3D2D">
            <w:pPr>
              <w:spacing w:after="0" w:line="480" w:lineRule="auto"/>
              <w:jc w:val="both"/>
              <w:rPr>
                <w:rFonts w:ascii="Times New Roman" w:hAnsi="Times New Roman"/>
                <w:sz w:val="26"/>
                <w:szCs w:val="26"/>
              </w:rPr>
            </w:pPr>
            <w:r w:rsidRPr="00564EEA">
              <w:rPr>
                <w:rFonts w:ascii="Times New Roman" w:hAnsi="Times New Roman"/>
                <w:sz w:val="26"/>
                <w:szCs w:val="26"/>
              </w:rPr>
              <w:t>$2.1376</w:t>
            </w:r>
          </w:p>
        </w:tc>
      </w:tr>
    </w:tbl>
    <w:p w:rsidR="005C4163" w:rsidRPr="00564EEA" w:rsidRDefault="005C4163" w:rsidP="008A3D2D">
      <w:pPr>
        <w:spacing w:after="0" w:line="240" w:lineRule="auto"/>
        <w:jc w:val="both"/>
        <w:rPr>
          <w:rFonts w:ascii="Times New Roman" w:hAnsi="Times New Roman"/>
          <w:sz w:val="26"/>
          <w:szCs w:val="26"/>
        </w:rPr>
      </w:pPr>
    </w:p>
    <w:p w:rsidR="005C4163" w:rsidRPr="00564EEA" w:rsidRDefault="005C4163" w:rsidP="008A3D2D">
      <w:pPr>
        <w:pStyle w:val="ListParagraph"/>
        <w:numPr>
          <w:ilvl w:val="0"/>
          <w:numId w:val="39"/>
        </w:numPr>
        <w:ind w:right="1440"/>
        <w:rPr>
          <w:sz w:val="26"/>
          <w:szCs w:val="26"/>
        </w:rPr>
      </w:pPr>
      <w:r w:rsidRPr="00564EEA">
        <w:rPr>
          <w:sz w:val="26"/>
          <w:szCs w:val="26"/>
        </w:rPr>
        <w:t>Under the Settlement Rates, the minimum charges are as follows after the implementation of the OPEB Trust (Appendix A-2 and B-2):</w:t>
      </w:r>
    </w:p>
    <w:p w:rsidR="009B485C" w:rsidRPr="00564EEA" w:rsidRDefault="009B485C" w:rsidP="008A3D2D">
      <w:pPr>
        <w:pStyle w:val="ListParagraph"/>
        <w:ind w:left="1845" w:right="1440"/>
        <w:jc w:val="both"/>
        <w:rPr>
          <w:sz w:val="26"/>
          <w:szCs w:val="26"/>
        </w:rPr>
      </w:pPr>
    </w:p>
    <w:tbl>
      <w:tblPr>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2250"/>
      </w:tblGrid>
      <w:tr w:rsidR="00564EEA" w:rsidRPr="00564EEA" w:rsidTr="00994984">
        <w:tc>
          <w:tcPr>
            <w:tcW w:w="1620" w:type="dxa"/>
          </w:tcPr>
          <w:p w:rsidR="005C4163" w:rsidRPr="00564EEA" w:rsidRDefault="005C4163" w:rsidP="008A3D2D">
            <w:pPr>
              <w:spacing w:after="0" w:line="240" w:lineRule="auto"/>
              <w:rPr>
                <w:rFonts w:ascii="Times New Roman" w:hAnsi="Times New Roman"/>
                <w:b/>
                <w:sz w:val="26"/>
                <w:szCs w:val="26"/>
              </w:rPr>
            </w:pPr>
            <w:r w:rsidRPr="00564EEA">
              <w:rPr>
                <w:rFonts w:ascii="Times New Roman" w:hAnsi="Times New Roman"/>
                <w:b/>
                <w:sz w:val="26"/>
                <w:szCs w:val="26"/>
              </w:rPr>
              <w:t>Size of Meter</w:t>
            </w:r>
          </w:p>
        </w:tc>
        <w:tc>
          <w:tcPr>
            <w:tcW w:w="2250" w:type="dxa"/>
          </w:tcPr>
          <w:p w:rsidR="005C4163" w:rsidRPr="00564EEA" w:rsidRDefault="005C4163" w:rsidP="008A3D2D">
            <w:pPr>
              <w:spacing w:after="0" w:line="240" w:lineRule="auto"/>
              <w:rPr>
                <w:rFonts w:ascii="Times New Roman" w:hAnsi="Times New Roman"/>
                <w:b/>
                <w:sz w:val="26"/>
                <w:szCs w:val="26"/>
              </w:rPr>
            </w:pPr>
            <w:r w:rsidRPr="00564EEA">
              <w:rPr>
                <w:rFonts w:ascii="Times New Roman" w:hAnsi="Times New Roman"/>
                <w:b/>
                <w:sz w:val="26"/>
                <w:szCs w:val="26"/>
              </w:rPr>
              <w:t>Per Month/Quarter</w:t>
            </w:r>
          </w:p>
        </w:tc>
      </w:tr>
      <w:tr w:rsidR="00564EEA" w:rsidRPr="00564EEA" w:rsidTr="00994984">
        <w:tc>
          <w:tcPr>
            <w:tcW w:w="1620" w:type="dxa"/>
          </w:tcPr>
          <w:p w:rsidR="005C4163" w:rsidRPr="00564EEA" w:rsidRDefault="005C4163" w:rsidP="008A3D2D">
            <w:pPr>
              <w:spacing w:after="0" w:line="480" w:lineRule="auto"/>
              <w:jc w:val="both"/>
              <w:rPr>
                <w:rFonts w:ascii="Times New Roman" w:hAnsi="Times New Roman"/>
                <w:sz w:val="26"/>
                <w:szCs w:val="26"/>
              </w:rPr>
            </w:pPr>
            <w:r w:rsidRPr="00564EEA">
              <w:rPr>
                <w:rFonts w:ascii="Times New Roman" w:hAnsi="Times New Roman"/>
                <w:sz w:val="26"/>
                <w:szCs w:val="26"/>
              </w:rPr>
              <w:t>5/8”</w:t>
            </w:r>
          </w:p>
        </w:tc>
        <w:tc>
          <w:tcPr>
            <w:tcW w:w="2250" w:type="dxa"/>
          </w:tcPr>
          <w:p w:rsidR="005C4163" w:rsidRPr="00564EEA" w:rsidRDefault="005C4163" w:rsidP="008A3D2D">
            <w:pPr>
              <w:spacing w:after="0" w:line="480" w:lineRule="auto"/>
              <w:jc w:val="both"/>
              <w:rPr>
                <w:rFonts w:ascii="Times New Roman" w:hAnsi="Times New Roman"/>
                <w:sz w:val="26"/>
                <w:szCs w:val="26"/>
              </w:rPr>
            </w:pPr>
            <w:r w:rsidRPr="00564EEA">
              <w:rPr>
                <w:rFonts w:ascii="Times New Roman" w:hAnsi="Times New Roman"/>
                <w:sz w:val="26"/>
                <w:szCs w:val="26"/>
              </w:rPr>
              <w:t>$4.35/ $13.05</w:t>
            </w:r>
          </w:p>
        </w:tc>
      </w:tr>
      <w:tr w:rsidR="00564EEA" w:rsidRPr="00564EEA" w:rsidTr="00994984">
        <w:tc>
          <w:tcPr>
            <w:tcW w:w="1620" w:type="dxa"/>
          </w:tcPr>
          <w:p w:rsidR="005C4163" w:rsidRPr="00564EEA" w:rsidRDefault="005C4163" w:rsidP="008A3D2D">
            <w:pPr>
              <w:spacing w:after="0" w:line="480" w:lineRule="auto"/>
              <w:jc w:val="both"/>
              <w:rPr>
                <w:rFonts w:ascii="Times New Roman" w:hAnsi="Times New Roman"/>
                <w:sz w:val="26"/>
                <w:szCs w:val="26"/>
              </w:rPr>
            </w:pPr>
            <w:r w:rsidRPr="00564EEA">
              <w:rPr>
                <w:rFonts w:ascii="Times New Roman" w:hAnsi="Times New Roman"/>
                <w:sz w:val="26"/>
                <w:szCs w:val="26"/>
              </w:rPr>
              <w:t>3/4"</w:t>
            </w:r>
          </w:p>
        </w:tc>
        <w:tc>
          <w:tcPr>
            <w:tcW w:w="2250" w:type="dxa"/>
          </w:tcPr>
          <w:p w:rsidR="005C4163" w:rsidRPr="00564EEA" w:rsidRDefault="005C4163" w:rsidP="008A3D2D">
            <w:pPr>
              <w:spacing w:after="0" w:line="480" w:lineRule="auto"/>
              <w:jc w:val="both"/>
              <w:rPr>
                <w:rFonts w:ascii="Times New Roman" w:hAnsi="Times New Roman"/>
                <w:sz w:val="26"/>
                <w:szCs w:val="26"/>
              </w:rPr>
            </w:pPr>
            <w:r w:rsidRPr="00564EEA">
              <w:rPr>
                <w:rFonts w:ascii="Times New Roman" w:hAnsi="Times New Roman"/>
                <w:sz w:val="26"/>
                <w:szCs w:val="26"/>
              </w:rPr>
              <w:t>$4.35/ $13.05</w:t>
            </w:r>
          </w:p>
        </w:tc>
      </w:tr>
      <w:tr w:rsidR="00564EEA" w:rsidRPr="00564EEA" w:rsidTr="00994984">
        <w:tc>
          <w:tcPr>
            <w:tcW w:w="1620" w:type="dxa"/>
          </w:tcPr>
          <w:p w:rsidR="005C4163" w:rsidRPr="00564EEA" w:rsidRDefault="005C4163" w:rsidP="008A3D2D">
            <w:pPr>
              <w:spacing w:after="0" w:line="480" w:lineRule="auto"/>
              <w:jc w:val="both"/>
              <w:rPr>
                <w:rFonts w:ascii="Times New Roman" w:hAnsi="Times New Roman"/>
                <w:sz w:val="26"/>
                <w:szCs w:val="26"/>
              </w:rPr>
            </w:pPr>
            <w:r w:rsidRPr="00564EEA">
              <w:rPr>
                <w:rFonts w:ascii="Times New Roman" w:hAnsi="Times New Roman"/>
                <w:sz w:val="26"/>
                <w:szCs w:val="26"/>
              </w:rPr>
              <w:t xml:space="preserve">1” </w:t>
            </w:r>
          </w:p>
        </w:tc>
        <w:tc>
          <w:tcPr>
            <w:tcW w:w="2250" w:type="dxa"/>
          </w:tcPr>
          <w:p w:rsidR="005C4163" w:rsidRPr="00564EEA" w:rsidRDefault="005C4163" w:rsidP="008A3D2D">
            <w:pPr>
              <w:spacing w:after="0" w:line="480" w:lineRule="auto"/>
              <w:jc w:val="both"/>
              <w:rPr>
                <w:rFonts w:ascii="Times New Roman" w:hAnsi="Times New Roman"/>
                <w:sz w:val="26"/>
                <w:szCs w:val="26"/>
              </w:rPr>
            </w:pPr>
            <w:r w:rsidRPr="00564EEA">
              <w:rPr>
                <w:rFonts w:ascii="Times New Roman" w:hAnsi="Times New Roman"/>
                <w:sz w:val="26"/>
                <w:szCs w:val="26"/>
              </w:rPr>
              <w:t>$13.06/ $39.18</w:t>
            </w:r>
          </w:p>
        </w:tc>
      </w:tr>
      <w:tr w:rsidR="00564EEA" w:rsidRPr="00564EEA" w:rsidTr="00994984">
        <w:tc>
          <w:tcPr>
            <w:tcW w:w="1620" w:type="dxa"/>
          </w:tcPr>
          <w:p w:rsidR="005C4163" w:rsidRPr="00564EEA" w:rsidRDefault="005C4163" w:rsidP="008A3D2D">
            <w:pPr>
              <w:spacing w:after="0" w:line="480" w:lineRule="auto"/>
              <w:jc w:val="both"/>
              <w:rPr>
                <w:rFonts w:ascii="Times New Roman" w:hAnsi="Times New Roman"/>
                <w:sz w:val="26"/>
                <w:szCs w:val="26"/>
              </w:rPr>
            </w:pPr>
            <w:r w:rsidRPr="00564EEA">
              <w:rPr>
                <w:rFonts w:ascii="Times New Roman" w:hAnsi="Times New Roman"/>
                <w:sz w:val="26"/>
                <w:szCs w:val="26"/>
              </w:rPr>
              <w:t>1 -1/2”</w:t>
            </w:r>
          </w:p>
        </w:tc>
        <w:tc>
          <w:tcPr>
            <w:tcW w:w="2250" w:type="dxa"/>
          </w:tcPr>
          <w:p w:rsidR="005C4163" w:rsidRPr="00564EEA" w:rsidRDefault="005C4163" w:rsidP="008A3D2D">
            <w:pPr>
              <w:spacing w:after="0" w:line="480" w:lineRule="auto"/>
              <w:jc w:val="both"/>
              <w:rPr>
                <w:rFonts w:ascii="Times New Roman" w:hAnsi="Times New Roman"/>
                <w:sz w:val="26"/>
                <w:szCs w:val="26"/>
              </w:rPr>
            </w:pPr>
            <w:r w:rsidRPr="00564EEA">
              <w:rPr>
                <w:rFonts w:ascii="Times New Roman" w:hAnsi="Times New Roman"/>
                <w:sz w:val="26"/>
                <w:szCs w:val="26"/>
              </w:rPr>
              <w:t>$26.13/ $78.39</w:t>
            </w:r>
          </w:p>
        </w:tc>
      </w:tr>
      <w:tr w:rsidR="00564EEA" w:rsidRPr="00564EEA" w:rsidTr="00994984">
        <w:tc>
          <w:tcPr>
            <w:tcW w:w="1620" w:type="dxa"/>
          </w:tcPr>
          <w:p w:rsidR="005C4163" w:rsidRPr="00564EEA" w:rsidRDefault="005C4163" w:rsidP="008A3D2D">
            <w:pPr>
              <w:spacing w:after="0" w:line="480" w:lineRule="auto"/>
              <w:jc w:val="both"/>
              <w:rPr>
                <w:rFonts w:ascii="Times New Roman" w:hAnsi="Times New Roman"/>
                <w:sz w:val="26"/>
                <w:szCs w:val="26"/>
              </w:rPr>
            </w:pPr>
            <w:r w:rsidRPr="00564EEA">
              <w:rPr>
                <w:rFonts w:ascii="Times New Roman" w:hAnsi="Times New Roman"/>
                <w:sz w:val="26"/>
                <w:szCs w:val="26"/>
              </w:rPr>
              <w:t>2”</w:t>
            </w:r>
          </w:p>
        </w:tc>
        <w:tc>
          <w:tcPr>
            <w:tcW w:w="2250" w:type="dxa"/>
          </w:tcPr>
          <w:p w:rsidR="005C4163" w:rsidRPr="00564EEA" w:rsidRDefault="005C4163" w:rsidP="008A3D2D">
            <w:pPr>
              <w:spacing w:after="0" w:line="480" w:lineRule="auto"/>
              <w:jc w:val="both"/>
              <w:rPr>
                <w:rFonts w:ascii="Times New Roman" w:hAnsi="Times New Roman"/>
                <w:sz w:val="26"/>
                <w:szCs w:val="26"/>
              </w:rPr>
            </w:pPr>
            <w:r w:rsidRPr="00564EEA">
              <w:rPr>
                <w:rFonts w:ascii="Times New Roman" w:hAnsi="Times New Roman"/>
                <w:sz w:val="26"/>
                <w:szCs w:val="26"/>
              </w:rPr>
              <w:t>$43.54/ $130.62</w:t>
            </w:r>
          </w:p>
        </w:tc>
      </w:tr>
      <w:tr w:rsidR="00564EEA" w:rsidRPr="00564EEA" w:rsidTr="00994984">
        <w:tc>
          <w:tcPr>
            <w:tcW w:w="1620" w:type="dxa"/>
          </w:tcPr>
          <w:p w:rsidR="005C4163" w:rsidRPr="00564EEA" w:rsidRDefault="005C4163" w:rsidP="008A3D2D">
            <w:pPr>
              <w:spacing w:after="0" w:line="480" w:lineRule="auto"/>
              <w:jc w:val="both"/>
              <w:rPr>
                <w:rFonts w:ascii="Times New Roman" w:hAnsi="Times New Roman"/>
                <w:sz w:val="26"/>
                <w:szCs w:val="26"/>
              </w:rPr>
            </w:pPr>
            <w:r w:rsidRPr="00564EEA">
              <w:rPr>
                <w:rFonts w:ascii="Times New Roman" w:hAnsi="Times New Roman"/>
                <w:sz w:val="26"/>
                <w:szCs w:val="26"/>
              </w:rPr>
              <w:t>3”</w:t>
            </w:r>
          </w:p>
        </w:tc>
        <w:tc>
          <w:tcPr>
            <w:tcW w:w="2250" w:type="dxa"/>
          </w:tcPr>
          <w:p w:rsidR="005C4163" w:rsidRPr="00564EEA" w:rsidRDefault="005C4163" w:rsidP="008A3D2D">
            <w:pPr>
              <w:spacing w:after="0" w:line="480" w:lineRule="auto"/>
              <w:jc w:val="both"/>
              <w:rPr>
                <w:rFonts w:ascii="Times New Roman" w:hAnsi="Times New Roman"/>
                <w:sz w:val="26"/>
                <w:szCs w:val="26"/>
              </w:rPr>
            </w:pPr>
            <w:r w:rsidRPr="00564EEA">
              <w:rPr>
                <w:rFonts w:ascii="Times New Roman" w:hAnsi="Times New Roman"/>
                <w:sz w:val="26"/>
                <w:szCs w:val="26"/>
              </w:rPr>
              <w:t>$87.09/ $261.27</w:t>
            </w:r>
          </w:p>
        </w:tc>
      </w:tr>
      <w:tr w:rsidR="00564EEA" w:rsidRPr="00564EEA" w:rsidTr="00994984">
        <w:tc>
          <w:tcPr>
            <w:tcW w:w="1620" w:type="dxa"/>
          </w:tcPr>
          <w:p w:rsidR="005C4163" w:rsidRPr="00564EEA" w:rsidRDefault="005C4163" w:rsidP="008A3D2D">
            <w:pPr>
              <w:spacing w:after="0" w:line="480" w:lineRule="auto"/>
              <w:jc w:val="both"/>
              <w:rPr>
                <w:rFonts w:ascii="Times New Roman" w:hAnsi="Times New Roman"/>
                <w:sz w:val="26"/>
                <w:szCs w:val="26"/>
              </w:rPr>
            </w:pPr>
            <w:r w:rsidRPr="00564EEA">
              <w:rPr>
                <w:rFonts w:ascii="Times New Roman" w:hAnsi="Times New Roman"/>
                <w:sz w:val="26"/>
                <w:szCs w:val="26"/>
              </w:rPr>
              <w:t>4”</w:t>
            </w:r>
          </w:p>
        </w:tc>
        <w:tc>
          <w:tcPr>
            <w:tcW w:w="2250" w:type="dxa"/>
          </w:tcPr>
          <w:p w:rsidR="005C4163" w:rsidRPr="00564EEA" w:rsidRDefault="005C4163" w:rsidP="008A3D2D">
            <w:pPr>
              <w:spacing w:after="0" w:line="480" w:lineRule="auto"/>
              <w:jc w:val="both"/>
              <w:rPr>
                <w:rFonts w:ascii="Times New Roman" w:hAnsi="Times New Roman"/>
                <w:sz w:val="26"/>
                <w:szCs w:val="26"/>
              </w:rPr>
            </w:pPr>
            <w:r w:rsidRPr="00564EEA">
              <w:rPr>
                <w:rFonts w:ascii="Times New Roman" w:hAnsi="Times New Roman"/>
                <w:sz w:val="26"/>
                <w:szCs w:val="26"/>
              </w:rPr>
              <w:t>$123.63/ $370.89</w:t>
            </w:r>
          </w:p>
        </w:tc>
      </w:tr>
      <w:tr w:rsidR="00564EEA" w:rsidRPr="00564EEA" w:rsidTr="00994984">
        <w:tc>
          <w:tcPr>
            <w:tcW w:w="1620" w:type="dxa"/>
          </w:tcPr>
          <w:p w:rsidR="005C4163" w:rsidRPr="00564EEA" w:rsidRDefault="005C4163" w:rsidP="008A3D2D">
            <w:pPr>
              <w:spacing w:after="0" w:line="480" w:lineRule="auto"/>
              <w:jc w:val="both"/>
              <w:rPr>
                <w:rFonts w:ascii="Times New Roman" w:hAnsi="Times New Roman"/>
                <w:sz w:val="26"/>
                <w:szCs w:val="26"/>
              </w:rPr>
            </w:pPr>
            <w:r w:rsidRPr="00564EEA">
              <w:rPr>
                <w:rFonts w:ascii="Times New Roman" w:hAnsi="Times New Roman"/>
                <w:sz w:val="26"/>
                <w:szCs w:val="26"/>
              </w:rPr>
              <w:lastRenderedPageBreak/>
              <w:t>6”</w:t>
            </w:r>
          </w:p>
        </w:tc>
        <w:tc>
          <w:tcPr>
            <w:tcW w:w="2250" w:type="dxa"/>
          </w:tcPr>
          <w:p w:rsidR="005C4163" w:rsidRPr="00564EEA" w:rsidRDefault="005C4163" w:rsidP="008A3D2D">
            <w:pPr>
              <w:spacing w:after="0" w:line="480" w:lineRule="auto"/>
              <w:jc w:val="both"/>
              <w:rPr>
                <w:rFonts w:ascii="Times New Roman" w:hAnsi="Times New Roman"/>
                <w:sz w:val="26"/>
                <w:szCs w:val="26"/>
              </w:rPr>
            </w:pPr>
            <w:r w:rsidRPr="00564EEA">
              <w:rPr>
                <w:rFonts w:ascii="Times New Roman" w:hAnsi="Times New Roman"/>
                <w:sz w:val="26"/>
                <w:szCs w:val="26"/>
              </w:rPr>
              <w:t>$212.24/ $636.72</w:t>
            </w:r>
          </w:p>
        </w:tc>
      </w:tr>
      <w:tr w:rsidR="00564EEA" w:rsidRPr="00564EEA" w:rsidTr="00994984">
        <w:tc>
          <w:tcPr>
            <w:tcW w:w="1620" w:type="dxa"/>
          </w:tcPr>
          <w:p w:rsidR="005C4163" w:rsidRPr="00564EEA" w:rsidRDefault="005C4163" w:rsidP="008A3D2D">
            <w:pPr>
              <w:spacing w:after="0" w:line="480" w:lineRule="auto"/>
              <w:jc w:val="both"/>
              <w:rPr>
                <w:rFonts w:ascii="Times New Roman" w:hAnsi="Times New Roman"/>
                <w:sz w:val="26"/>
                <w:szCs w:val="26"/>
              </w:rPr>
            </w:pPr>
            <w:r w:rsidRPr="00564EEA">
              <w:rPr>
                <w:rFonts w:ascii="Times New Roman" w:hAnsi="Times New Roman"/>
                <w:sz w:val="26"/>
                <w:szCs w:val="26"/>
              </w:rPr>
              <w:t>8”</w:t>
            </w:r>
          </w:p>
        </w:tc>
        <w:tc>
          <w:tcPr>
            <w:tcW w:w="2250" w:type="dxa"/>
          </w:tcPr>
          <w:p w:rsidR="005C4163" w:rsidRPr="00564EEA" w:rsidRDefault="005C4163" w:rsidP="008A3D2D">
            <w:pPr>
              <w:spacing w:after="0" w:line="480" w:lineRule="auto"/>
              <w:jc w:val="both"/>
              <w:rPr>
                <w:rFonts w:ascii="Times New Roman" w:hAnsi="Times New Roman"/>
                <w:sz w:val="26"/>
                <w:szCs w:val="26"/>
              </w:rPr>
            </w:pPr>
            <w:r w:rsidRPr="00564EEA">
              <w:rPr>
                <w:rFonts w:ascii="Times New Roman" w:hAnsi="Times New Roman"/>
                <w:sz w:val="26"/>
                <w:szCs w:val="26"/>
              </w:rPr>
              <w:t>$350.39/ $1,051.17</w:t>
            </w:r>
          </w:p>
        </w:tc>
      </w:tr>
      <w:tr w:rsidR="00564EEA" w:rsidRPr="00564EEA" w:rsidTr="00994984">
        <w:tc>
          <w:tcPr>
            <w:tcW w:w="1620" w:type="dxa"/>
          </w:tcPr>
          <w:p w:rsidR="005C4163" w:rsidRPr="00564EEA" w:rsidRDefault="005C4163" w:rsidP="008A3D2D">
            <w:pPr>
              <w:spacing w:after="0" w:line="480" w:lineRule="auto"/>
              <w:jc w:val="both"/>
              <w:rPr>
                <w:rFonts w:ascii="Times New Roman" w:hAnsi="Times New Roman"/>
                <w:sz w:val="26"/>
                <w:szCs w:val="26"/>
              </w:rPr>
            </w:pPr>
            <w:r w:rsidRPr="00564EEA">
              <w:rPr>
                <w:rFonts w:ascii="Times New Roman" w:hAnsi="Times New Roman"/>
                <w:sz w:val="26"/>
                <w:szCs w:val="26"/>
              </w:rPr>
              <w:t>10”</w:t>
            </w:r>
          </w:p>
        </w:tc>
        <w:tc>
          <w:tcPr>
            <w:tcW w:w="2250" w:type="dxa"/>
          </w:tcPr>
          <w:p w:rsidR="005C4163" w:rsidRPr="00564EEA" w:rsidRDefault="005C4163" w:rsidP="008A3D2D">
            <w:pPr>
              <w:spacing w:after="0" w:line="480" w:lineRule="auto"/>
              <w:jc w:val="both"/>
              <w:rPr>
                <w:rFonts w:ascii="Times New Roman" w:hAnsi="Times New Roman"/>
                <w:sz w:val="26"/>
                <w:szCs w:val="26"/>
              </w:rPr>
            </w:pPr>
            <w:r w:rsidRPr="00564EEA">
              <w:rPr>
                <w:rFonts w:ascii="Times New Roman" w:hAnsi="Times New Roman"/>
                <w:sz w:val="26"/>
                <w:szCs w:val="26"/>
              </w:rPr>
              <w:t>$478.08/ $1,434,24</w:t>
            </w:r>
          </w:p>
        </w:tc>
      </w:tr>
      <w:tr w:rsidR="00564EEA" w:rsidRPr="00564EEA" w:rsidTr="00994984">
        <w:tc>
          <w:tcPr>
            <w:tcW w:w="1620" w:type="dxa"/>
          </w:tcPr>
          <w:p w:rsidR="005C4163" w:rsidRPr="00564EEA" w:rsidRDefault="005C4163" w:rsidP="008A3D2D">
            <w:pPr>
              <w:spacing w:after="0" w:line="480" w:lineRule="auto"/>
              <w:jc w:val="both"/>
              <w:rPr>
                <w:rFonts w:ascii="Times New Roman" w:hAnsi="Times New Roman"/>
                <w:sz w:val="26"/>
                <w:szCs w:val="26"/>
              </w:rPr>
            </w:pPr>
            <w:r w:rsidRPr="00564EEA">
              <w:rPr>
                <w:rFonts w:ascii="Times New Roman" w:hAnsi="Times New Roman"/>
                <w:sz w:val="26"/>
                <w:szCs w:val="26"/>
              </w:rPr>
              <w:t>12”</w:t>
            </w:r>
          </w:p>
        </w:tc>
        <w:tc>
          <w:tcPr>
            <w:tcW w:w="2250" w:type="dxa"/>
          </w:tcPr>
          <w:p w:rsidR="005C4163" w:rsidRPr="00564EEA" w:rsidRDefault="005C4163" w:rsidP="008A3D2D">
            <w:pPr>
              <w:spacing w:after="0" w:line="480" w:lineRule="auto"/>
              <w:rPr>
                <w:rFonts w:ascii="Times New Roman" w:hAnsi="Times New Roman"/>
                <w:sz w:val="26"/>
                <w:szCs w:val="26"/>
              </w:rPr>
            </w:pPr>
            <w:r w:rsidRPr="00564EEA">
              <w:rPr>
                <w:rFonts w:ascii="Times New Roman" w:hAnsi="Times New Roman"/>
                <w:sz w:val="26"/>
                <w:szCs w:val="26"/>
              </w:rPr>
              <w:t>$708.15/ $2,124.45</w:t>
            </w:r>
          </w:p>
        </w:tc>
      </w:tr>
    </w:tbl>
    <w:p w:rsidR="005C4163" w:rsidRPr="00564EEA" w:rsidRDefault="005C4163" w:rsidP="008A3D2D">
      <w:pPr>
        <w:spacing w:after="0" w:line="240" w:lineRule="auto"/>
        <w:ind w:left="1440" w:right="1440"/>
        <w:rPr>
          <w:rFonts w:ascii="Times New Roman" w:hAnsi="Times New Roman"/>
          <w:sz w:val="26"/>
          <w:szCs w:val="26"/>
        </w:rPr>
      </w:pPr>
      <w:r w:rsidRPr="00564EEA">
        <w:rPr>
          <w:rFonts w:ascii="Times New Roman" w:hAnsi="Times New Roman"/>
          <w:sz w:val="26"/>
          <w:szCs w:val="26"/>
        </w:rPr>
        <w:t xml:space="preserve">(5) Under the Settlement, the parties agreed to have the following volumetric charge (per 1,000 gallons) </w:t>
      </w:r>
      <w:r w:rsidRPr="00564EEA">
        <w:rPr>
          <w:rFonts w:ascii="Times New Roman" w:hAnsi="Times New Roman"/>
          <w:b/>
          <w:sz w:val="26"/>
          <w:szCs w:val="26"/>
        </w:rPr>
        <w:t xml:space="preserve">after </w:t>
      </w:r>
      <w:r w:rsidRPr="00564EEA">
        <w:rPr>
          <w:rFonts w:ascii="Times New Roman" w:hAnsi="Times New Roman"/>
          <w:sz w:val="26"/>
          <w:szCs w:val="26"/>
        </w:rPr>
        <w:t xml:space="preserve">the implementation of the OPEB trust (Appendix A-2 and B-2): </w:t>
      </w:r>
    </w:p>
    <w:p w:rsidR="005C4163" w:rsidRPr="00564EEA" w:rsidRDefault="005C4163" w:rsidP="008A3D2D">
      <w:pPr>
        <w:spacing w:after="0" w:line="240" w:lineRule="auto"/>
        <w:ind w:left="1440" w:right="1440"/>
        <w:jc w:val="both"/>
        <w:rPr>
          <w:rFonts w:ascii="Times New Roman" w:hAnsi="Times New Roman"/>
          <w:sz w:val="26"/>
          <w:szCs w:val="26"/>
        </w:rPr>
      </w:pPr>
    </w:p>
    <w:tbl>
      <w:tblPr>
        <w:tblW w:w="0" w:type="auto"/>
        <w:tblInd w:w="2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3"/>
        <w:gridCol w:w="2790"/>
      </w:tblGrid>
      <w:tr w:rsidR="00564EEA" w:rsidRPr="00564EEA" w:rsidTr="00994984">
        <w:tc>
          <w:tcPr>
            <w:tcW w:w="3033" w:type="dxa"/>
          </w:tcPr>
          <w:p w:rsidR="005C4163" w:rsidRPr="00564EEA" w:rsidRDefault="005C4163" w:rsidP="008A3D2D">
            <w:pPr>
              <w:spacing w:after="0" w:line="240" w:lineRule="auto"/>
              <w:rPr>
                <w:rFonts w:ascii="Times New Roman" w:hAnsi="Times New Roman"/>
                <w:b/>
                <w:sz w:val="26"/>
                <w:szCs w:val="26"/>
              </w:rPr>
            </w:pPr>
            <w:r w:rsidRPr="00564EEA">
              <w:rPr>
                <w:rFonts w:ascii="Times New Roman" w:hAnsi="Times New Roman"/>
                <w:b/>
                <w:sz w:val="26"/>
                <w:szCs w:val="26"/>
              </w:rPr>
              <w:t xml:space="preserve">Consumption of Water in Gallons per Month </w:t>
            </w:r>
          </w:p>
        </w:tc>
        <w:tc>
          <w:tcPr>
            <w:tcW w:w="2790" w:type="dxa"/>
          </w:tcPr>
          <w:p w:rsidR="005C4163" w:rsidRPr="00564EEA" w:rsidRDefault="005C4163" w:rsidP="008A3D2D">
            <w:pPr>
              <w:spacing w:after="0" w:line="480" w:lineRule="auto"/>
              <w:jc w:val="both"/>
              <w:rPr>
                <w:rFonts w:ascii="Times New Roman" w:hAnsi="Times New Roman"/>
                <w:b/>
                <w:sz w:val="26"/>
                <w:szCs w:val="26"/>
              </w:rPr>
            </w:pPr>
            <w:r w:rsidRPr="00564EEA">
              <w:rPr>
                <w:rFonts w:ascii="Times New Roman" w:hAnsi="Times New Roman"/>
                <w:b/>
                <w:sz w:val="26"/>
                <w:szCs w:val="26"/>
              </w:rPr>
              <w:t>Rate per 1,000 gallons</w:t>
            </w:r>
          </w:p>
        </w:tc>
      </w:tr>
      <w:tr w:rsidR="00564EEA" w:rsidRPr="00564EEA" w:rsidTr="00994984">
        <w:tc>
          <w:tcPr>
            <w:tcW w:w="3033" w:type="dxa"/>
          </w:tcPr>
          <w:p w:rsidR="005C4163" w:rsidRPr="00564EEA" w:rsidRDefault="005C4163" w:rsidP="008A3D2D">
            <w:pPr>
              <w:spacing w:after="0" w:line="480" w:lineRule="auto"/>
              <w:jc w:val="both"/>
              <w:rPr>
                <w:rFonts w:ascii="Times New Roman" w:hAnsi="Times New Roman"/>
                <w:sz w:val="26"/>
                <w:szCs w:val="26"/>
              </w:rPr>
            </w:pPr>
            <w:r w:rsidRPr="00564EEA">
              <w:rPr>
                <w:rFonts w:ascii="Times New Roman" w:hAnsi="Times New Roman"/>
                <w:sz w:val="26"/>
                <w:szCs w:val="26"/>
              </w:rPr>
              <w:t>First 25,000</w:t>
            </w:r>
          </w:p>
        </w:tc>
        <w:tc>
          <w:tcPr>
            <w:tcW w:w="2790" w:type="dxa"/>
          </w:tcPr>
          <w:p w:rsidR="005C4163" w:rsidRPr="00564EEA" w:rsidRDefault="005C4163" w:rsidP="008A3D2D">
            <w:pPr>
              <w:spacing w:after="0" w:line="480" w:lineRule="auto"/>
              <w:jc w:val="both"/>
              <w:rPr>
                <w:rFonts w:ascii="Times New Roman" w:hAnsi="Times New Roman"/>
                <w:sz w:val="26"/>
                <w:szCs w:val="26"/>
              </w:rPr>
            </w:pPr>
            <w:r w:rsidRPr="00564EEA">
              <w:rPr>
                <w:rFonts w:ascii="Times New Roman" w:hAnsi="Times New Roman"/>
                <w:sz w:val="26"/>
                <w:szCs w:val="26"/>
              </w:rPr>
              <w:t>$4.3543</w:t>
            </w:r>
          </w:p>
        </w:tc>
      </w:tr>
      <w:tr w:rsidR="00564EEA" w:rsidRPr="00564EEA" w:rsidTr="00994984">
        <w:tc>
          <w:tcPr>
            <w:tcW w:w="3033" w:type="dxa"/>
          </w:tcPr>
          <w:p w:rsidR="005C4163" w:rsidRPr="00564EEA" w:rsidRDefault="005C4163" w:rsidP="008A3D2D">
            <w:pPr>
              <w:spacing w:after="0" w:line="480" w:lineRule="auto"/>
              <w:jc w:val="both"/>
              <w:rPr>
                <w:rFonts w:ascii="Times New Roman" w:hAnsi="Times New Roman"/>
                <w:sz w:val="26"/>
                <w:szCs w:val="26"/>
              </w:rPr>
            </w:pPr>
            <w:r w:rsidRPr="00564EEA">
              <w:rPr>
                <w:rFonts w:ascii="Times New Roman" w:hAnsi="Times New Roman"/>
                <w:sz w:val="26"/>
                <w:szCs w:val="26"/>
              </w:rPr>
              <w:t>Next 308,000</w:t>
            </w:r>
          </w:p>
        </w:tc>
        <w:tc>
          <w:tcPr>
            <w:tcW w:w="2790" w:type="dxa"/>
          </w:tcPr>
          <w:p w:rsidR="005C4163" w:rsidRPr="00564EEA" w:rsidRDefault="005C4163" w:rsidP="008A3D2D">
            <w:pPr>
              <w:spacing w:after="0" w:line="480" w:lineRule="auto"/>
              <w:jc w:val="both"/>
              <w:rPr>
                <w:rFonts w:ascii="Times New Roman" w:hAnsi="Times New Roman"/>
                <w:sz w:val="26"/>
                <w:szCs w:val="26"/>
              </w:rPr>
            </w:pPr>
            <w:r w:rsidRPr="00564EEA">
              <w:rPr>
                <w:rFonts w:ascii="Times New Roman" w:hAnsi="Times New Roman"/>
                <w:sz w:val="26"/>
                <w:szCs w:val="26"/>
              </w:rPr>
              <w:t>$2.9234</w:t>
            </w:r>
          </w:p>
        </w:tc>
      </w:tr>
      <w:tr w:rsidR="00564EEA" w:rsidRPr="00564EEA" w:rsidTr="00994984">
        <w:tc>
          <w:tcPr>
            <w:tcW w:w="3033" w:type="dxa"/>
          </w:tcPr>
          <w:p w:rsidR="005C4163" w:rsidRPr="00564EEA" w:rsidRDefault="005C4163" w:rsidP="008A3D2D">
            <w:pPr>
              <w:spacing w:after="0" w:line="480" w:lineRule="auto"/>
              <w:jc w:val="both"/>
              <w:rPr>
                <w:rFonts w:ascii="Times New Roman" w:hAnsi="Times New Roman"/>
                <w:sz w:val="26"/>
                <w:szCs w:val="26"/>
              </w:rPr>
            </w:pPr>
            <w:r w:rsidRPr="00564EEA">
              <w:rPr>
                <w:rFonts w:ascii="Times New Roman" w:hAnsi="Times New Roman"/>
                <w:sz w:val="26"/>
                <w:szCs w:val="26"/>
              </w:rPr>
              <w:t>All Over 333,000</w:t>
            </w:r>
          </w:p>
        </w:tc>
        <w:tc>
          <w:tcPr>
            <w:tcW w:w="2790" w:type="dxa"/>
          </w:tcPr>
          <w:p w:rsidR="005C4163" w:rsidRPr="00564EEA" w:rsidRDefault="005C4163" w:rsidP="008A3D2D">
            <w:pPr>
              <w:spacing w:after="0" w:line="480" w:lineRule="auto"/>
              <w:jc w:val="both"/>
              <w:rPr>
                <w:rFonts w:ascii="Times New Roman" w:hAnsi="Times New Roman"/>
                <w:sz w:val="26"/>
                <w:szCs w:val="26"/>
              </w:rPr>
            </w:pPr>
            <w:r w:rsidRPr="00564EEA">
              <w:rPr>
                <w:rFonts w:ascii="Times New Roman" w:hAnsi="Times New Roman"/>
                <w:sz w:val="26"/>
                <w:szCs w:val="26"/>
              </w:rPr>
              <w:t>$2.2246</w:t>
            </w:r>
          </w:p>
        </w:tc>
      </w:tr>
    </w:tbl>
    <w:p w:rsidR="00FC331B" w:rsidRPr="00564EEA" w:rsidRDefault="00FC331B" w:rsidP="008A3D2D">
      <w:pPr>
        <w:pStyle w:val="OutlineL3"/>
        <w:numPr>
          <w:ilvl w:val="0"/>
          <w:numId w:val="0"/>
        </w:numPr>
        <w:tabs>
          <w:tab w:val="clear" w:pos="2160"/>
        </w:tabs>
        <w:spacing w:after="0" w:line="360" w:lineRule="auto"/>
        <w:ind w:right="1728"/>
        <w:outlineLvl w:val="9"/>
        <w:rPr>
          <w:sz w:val="26"/>
          <w:szCs w:val="26"/>
        </w:rPr>
      </w:pPr>
    </w:p>
    <w:p w:rsidR="0032437A" w:rsidRPr="00564EEA" w:rsidRDefault="005D66DA" w:rsidP="008A3D2D">
      <w:pPr>
        <w:pStyle w:val="OutlineL3"/>
        <w:numPr>
          <w:ilvl w:val="0"/>
          <w:numId w:val="0"/>
        </w:numPr>
        <w:tabs>
          <w:tab w:val="clear" w:pos="2160"/>
        </w:tabs>
        <w:spacing w:after="0" w:line="360" w:lineRule="auto"/>
        <w:ind w:right="1728"/>
        <w:outlineLvl w:val="9"/>
        <w:rPr>
          <w:sz w:val="26"/>
          <w:szCs w:val="26"/>
        </w:rPr>
      </w:pPr>
      <w:r w:rsidRPr="00564EEA">
        <w:rPr>
          <w:sz w:val="26"/>
          <w:szCs w:val="26"/>
        </w:rPr>
        <w:t>R.D. at 6-10</w:t>
      </w:r>
      <w:r w:rsidR="00C81FCB" w:rsidRPr="00564EEA">
        <w:rPr>
          <w:sz w:val="26"/>
          <w:szCs w:val="26"/>
        </w:rPr>
        <w:t>.</w:t>
      </w:r>
    </w:p>
    <w:p w:rsidR="00FC331B" w:rsidRPr="00564EEA" w:rsidRDefault="00FC331B" w:rsidP="008A3D2D">
      <w:pPr>
        <w:spacing w:after="0" w:line="360" w:lineRule="auto"/>
        <w:rPr>
          <w:rFonts w:ascii="Times New Roman" w:eastAsia="Times New Roman" w:hAnsi="Times New Roman"/>
          <w:sz w:val="26"/>
          <w:szCs w:val="26"/>
        </w:rPr>
      </w:pPr>
    </w:p>
    <w:p w:rsidR="00503DA2" w:rsidRPr="00564EEA" w:rsidRDefault="005D66DA" w:rsidP="008A3D2D">
      <w:pPr>
        <w:pStyle w:val="Heading3"/>
        <w:keepNext w:val="0"/>
        <w:numPr>
          <w:ilvl w:val="0"/>
          <w:numId w:val="0"/>
        </w:numPr>
        <w:rPr>
          <w:color w:val="auto"/>
        </w:rPr>
      </w:pPr>
      <w:r w:rsidRPr="00564EEA">
        <w:rPr>
          <w:color w:val="auto"/>
        </w:rPr>
        <w:t>B</w:t>
      </w:r>
      <w:r w:rsidR="00AA1E34" w:rsidRPr="00564EEA">
        <w:rPr>
          <w:color w:val="auto"/>
        </w:rPr>
        <w:t>.</w:t>
      </w:r>
      <w:r w:rsidR="00AA1E34" w:rsidRPr="00564EEA">
        <w:rPr>
          <w:color w:val="auto"/>
        </w:rPr>
        <w:tab/>
      </w:r>
      <w:r w:rsidR="00503DA2" w:rsidRPr="00564EEA">
        <w:rPr>
          <w:color w:val="auto"/>
        </w:rPr>
        <w:t>Applicable Law</w:t>
      </w:r>
    </w:p>
    <w:p w:rsidR="00503DA2" w:rsidRPr="00564EEA" w:rsidRDefault="00503DA2" w:rsidP="008A3D2D">
      <w:pPr>
        <w:spacing w:after="0" w:line="360" w:lineRule="auto"/>
        <w:rPr>
          <w:rFonts w:ascii="Times New Roman" w:eastAsia="Times New Roman" w:hAnsi="Times New Roman"/>
          <w:sz w:val="26"/>
          <w:szCs w:val="26"/>
        </w:rPr>
      </w:pPr>
    </w:p>
    <w:p w:rsidR="00503DA2" w:rsidRPr="00564EEA" w:rsidRDefault="00503DA2" w:rsidP="008A3D2D">
      <w:pPr>
        <w:spacing w:after="0" w:line="360" w:lineRule="auto"/>
        <w:rPr>
          <w:rFonts w:ascii="Times New Roman" w:eastAsia="Times New Roman" w:hAnsi="Times New Roman"/>
          <w:sz w:val="26"/>
          <w:szCs w:val="26"/>
        </w:rPr>
      </w:pPr>
      <w:r w:rsidRPr="00564EEA">
        <w:rPr>
          <w:rFonts w:ascii="Times New Roman" w:eastAsia="Times New Roman" w:hAnsi="Times New Roman"/>
          <w:sz w:val="26"/>
          <w:szCs w:val="26"/>
        </w:rPr>
        <w:tab/>
      </w:r>
      <w:r w:rsidRPr="00564EEA">
        <w:rPr>
          <w:rFonts w:ascii="Times New Roman" w:eastAsia="Times New Roman" w:hAnsi="Times New Roman"/>
          <w:sz w:val="26"/>
          <w:szCs w:val="26"/>
        </w:rPr>
        <w:tab/>
        <w:t xml:space="preserve">The purpose of this investigation is to establish </w:t>
      </w:r>
      <w:r w:rsidRPr="00564EEA">
        <w:rPr>
          <w:rFonts w:ascii="Times New Roman" w:eastAsia="Times New Roman" w:hAnsi="Times New Roman"/>
          <w:bCs/>
          <w:sz w:val="26"/>
          <w:szCs w:val="26"/>
        </w:rPr>
        <w:t>rates</w:t>
      </w:r>
      <w:r w:rsidRPr="00564EEA">
        <w:rPr>
          <w:rFonts w:ascii="Times New Roman" w:eastAsia="Times New Roman" w:hAnsi="Times New Roman"/>
          <w:sz w:val="26"/>
          <w:szCs w:val="26"/>
        </w:rPr>
        <w:t xml:space="preserve"> for </w:t>
      </w:r>
      <w:r w:rsidR="00C60AC7" w:rsidRPr="00564EEA">
        <w:rPr>
          <w:rFonts w:ascii="Times New Roman" w:eastAsia="Times New Roman" w:hAnsi="Times New Roman"/>
          <w:bCs/>
          <w:sz w:val="26"/>
          <w:szCs w:val="26"/>
        </w:rPr>
        <w:t>the City’s</w:t>
      </w:r>
      <w:r w:rsidRPr="00564EEA">
        <w:rPr>
          <w:rFonts w:ascii="Times New Roman" w:eastAsia="Times New Roman" w:hAnsi="Times New Roman"/>
          <w:sz w:val="26"/>
          <w:szCs w:val="26"/>
        </w:rPr>
        <w:t xml:space="preserve"> customers which are “just and reasonable” pursuant to Section 1301 of the Code</w:t>
      </w:r>
      <w:r w:rsidR="006932FA" w:rsidRPr="00564EEA">
        <w:rPr>
          <w:rFonts w:ascii="Times New Roman" w:eastAsia="Times New Roman" w:hAnsi="Times New Roman"/>
          <w:sz w:val="26"/>
          <w:szCs w:val="26"/>
        </w:rPr>
        <w:t>,</w:t>
      </w:r>
      <w:r w:rsidRPr="00564EEA">
        <w:rPr>
          <w:rFonts w:ascii="Times New Roman" w:eastAsia="Times New Roman" w:hAnsi="Times New Roman"/>
          <w:sz w:val="26"/>
          <w:szCs w:val="26"/>
        </w:rPr>
        <w:t xml:space="preserve"> 66 Pa.</w:t>
      </w:r>
      <w:r w:rsidR="006932FA" w:rsidRPr="00564EEA">
        <w:rPr>
          <w:rFonts w:ascii="Times New Roman" w:eastAsia="Times New Roman" w:hAnsi="Times New Roman"/>
          <w:sz w:val="26"/>
          <w:szCs w:val="26"/>
        </w:rPr>
        <w:t xml:space="preserve"> </w:t>
      </w:r>
      <w:r w:rsidR="00362E50" w:rsidRPr="00564EEA">
        <w:rPr>
          <w:rFonts w:ascii="Times New Roman" w:eastAsia="Times New Roman" w:hAnsi="Times New Roman"/>
          <w:sz w:val="26"/>
          <w:szCs w:val="26"/>
        </w:rPr>
        <w:t>C.S. § </w:t>
      </w:r>
      <w:r w:rsidRPr="00564EEA">
        <w:rPr>
          <w:rFonts w:ascii="Times New Roman" w:eastAsia="Times New Roman" w:hAnsi="Times New Roman"/>
          <w:sz w:val="26"/>
          <w:szCs w:val="26"/>
        </w:rPr>
        <w:t xml:space="preserve">1301.  A public utility seeking a general </w:t>
      </w:r>
      <w:r w:rsidRPr="00564EEA">
        <w:rPr>
          <w:rFonts w:ascii="Times New Roman" w:eastAsia="Times New Roman" w:hAnsi="Times New Roman"/>
          <w:bCs/>
          <w:sz w:val="26"/>
          <w:szCs w:val="26"/>
        </w:rPr>
        <w:t>rate</w:t>
      </w:r>
      <w:r w:rsidRPr="00564EEA">
        <w:rPr>
          <w:rFonts w:ascii="Times New Roman" w:eastAsia="Times New Roman" w:hAnsi="Times New Roman"/>
          <w:sz w:val="26"/>
          <w:szCs w:val="26"/>
        </w:rPr>
        <w:t xml:space="preserve"> increase is entitled to an opportunity to earn a fair </w:t>
      </w:r>
      <w:r w:rsidRPr="00564EEA">
        <w:rPr>
          <w:rFonts w:ascii="Times New Roman" w:eastAsia="Times New Roman" w:hAnsi="Times New Roman"/>
          <w:bCs/>
          <w:sz w:val="26"/>
          <w:szCs w:val="26"/>
        </w:rPr>
        <w:t>rate</w:t>
      </w:r>
      <w:r w:rsidRPr="00564EEA">
        <w:rPr>
          <w:rFonts w:ascii="Times New Roman" w:eastAsia="Times New Roman" w:hAnsi="Times New Roman"/>
          <w:sz w:val="26"/>
          <w:szCs w:val="26"/>
        </w:rPr>
        <w:t xml:space="preserve"> of return on the value of the property dedicated to public service.  </w:t>
      </w:r>
      <w:r w:rsidRPr="00564EEA">
        <w:rPr>
          <w:rFonts w:ascii="Times New Roman" w:eastAsia="Times New Roman" w:hAnsi="Times New Roman"/>
          <w:i/>
          <w:iCs/>
          <w:sz w:val="26"/>
          <w:szCs w:val="26"/>
        </w:rPr>
        <w:t>Pennsylvania Gas and Water Co. v. Pennsylvania Pub. Util. Comm'n</w:t>
      </w:r>
      <w:r w:rsidRPr="00564EEA">
        <w:rPr>
          <w:rFonts w:ascii="Times New Roman" w:eastAsia="Times New Roman" w:hAnsi="Times New Roman"/>
          <w:sz w:val="26"/>
          <w:szCs w:val="26"/>
        </w:rPr>
        <w:t xml:space="preserve">, 341 A.2d 239 (Pa. Cmwlth. 1975).  In determining what constitutes a fair </w:t>
      </w:r>
      <w:r w:rsidRPr="00564EEA">
        <w:rPr>
          <w:rFonts w:ascii="Times New Roman" w:eastAsia="Times New Roman" w:hAnsi="Times New Roman"/>
          <w:bCs/>
          <w:sz w:val="26"/>
          <w:szCs w:val="26"/>
        </w:rPr>
        <w:t>rate</w:t>
      </w:r>
      <w:r w:rsidRPr="00564EEA">
        <w:rPr>
          <w:rFonts w:ascii="Times New Roman" w:eastAsia="Times New Roman" w:hAnsi="Times New Roman"/>
          <w:sz w:val="26"/>
          <w:szCs w:val="26"/>
        </w:rPr>
        <w:t xml:space="preserve"> of return, the Commission is guided by the criteria set forth in </w:t>
      </w:r>
      <w:r w:rsidRPr="00564EEA">
        <w:rPr>
          <w:rFonts w:ascii="Times New Roman" w:eastAsia="Times New Roman" w:hAnsi="Times New Roman"/>
          <w:i/>
          <w:iCs/>
          <w:sz w:val="26"/>
          <w:szCs w:val="26"/>
        </w:rPr>
        <w:t>Bluefield Water Works and Improvement Co. v. Public Service Comm'n of West Virginia,</w:t>
      </w:r>
      <w:r w:rsidRPr="00564EEA">
        <w:rPr>
          <w:rFonts w:ascii="Times New Roman" w:eastAsia="Times New Roman" w:hAnsi="Times New Roman"/>
          <w:sz w:val="26"/>
          <w:szCs w:val="26"/>
        </w:rPr>
        <w:t xml:space="preserve"> 262 U.S. 679 (1923) and </w:t>
      </w:r>
      <w:r w:rsidRPr="00564EEA">
        <w:rPr>
          <w:rFonts w:ascii="Times New Roman" w:eastAsia="Times New Roman" w:hAnsi="Times New Roman"/>
          <w:i/>
          <w:iCs/>
          <w:sz w:val="26"/>
          <w:szCs w:val="26"/>
        </w:rPr>
        <w:t>Federal Power Comm'n v. Hope Natural Gas Co.</w:t>
      </w:r>
      <w:r w:rsidRPr="00564EEA">
        <w:rPr>
          <w:rFonts w:ascii="Times New Roman" w:eastAsia="Times New Roman" w:hAnsi="Times New Roman"/>
          <w:sz w:val="26"/>
          <w:szCs w:val="26"/>
        </w:rPr>
        <w:t xml:space="preserve">, 320 U.S. 591 (1944). </w:t>
      </w:r>
      <w:r w:rsidR="009439D8">
        <w:rPr>
          <w:rFonts w:ascii="Times New Roman" w:eastAsia="Times New Roman" w:hAnsi="Times New Roman"/>
          <w:sz w:val="26"/>
          <w:szCs w:val="26"/>
        </w:rPr>
        <w:t xml:space="preserve"> </w:t>
      </w:r>
      <w:r w:rsidRPr="00564EEA">
        <w:rPr>
          <w:rFonts w:ascii="Times New Roman" w:eastAsia="Times New Roman" w:hAnsi="Times New Roman"/>
          <w:sz w:val="26"/>
          <w:szCs w:val="26"/>
        </w:rPr>
        <w:t xml:space="preserve">In </w:t>
      </w:r>
      <w:r w:rsidRPr="00564EEA">
        <w:rPr>
          <w:rFonts w:ascii="Times New Roman" w:eastAsia="Times New Roman" w:hAnsi="Times New Roman"/>
          <w:i/>
          <w:iCs/>
          <w:sz w:val="26"/>
          <w:szCs w:val="26"/>
        </w:rPr>
        <w:t>Bluefield</w:t>
      </w:r>
      <w:r w:rsidR="006932FA" w:rsidRPr="00564EEA">
        <w:rPr>
          <w:rFonts w:ascii="Times New Roman" w:eastAsia="Times New Roman" w:hAnsi="Times New Roman"/>
          <w:i/>
          <w:iCs/>
          <w:sz w:val="26"/>
          <w:szCs w:val="26"/>
        </w:rPr>
        <w:t>,</w:t>
      </w:r>
      <w:r w:rsidRPr="00564EEA">
        <w:rPr>
          <w:rFonts w:ascii="Times New Roman" w:eastAsia="Times New Roman" w:hAnsi="Times New Roman"/>
          <w:sz w:val="26"/>
          <w:szCs w:val="26"/>
        </w:rPr>
        <w:t xml:space="preserve"> the United States Supreme Court stated:</w:t>
      </w:r>
    </w:p>
    <w:p w:rsidR="00503DA2" w:rsidRPr="00564EEA" w:rsidRDefault="00503DA2" w:rsidP="008A3D2D">
      <w:pPr>
        <w:spacing w:after="0" w:line="360" w:lineRule="auto"/>
        <w:rPr>
          <w:rFonts w:ascii="Times New Roman" w:eastAsia="Times New Roman" w:hAnsi="Times New Roman"/>
          <w:sz w:val="26"/>
          <w:szCs w:val="26"/>
        </w:rPr>
      </w:pPr>
    </w:p>
    <w:p w:rsidR="00503DA2" w:rsidRPr="00564EEA" w:rsidRDefault="00503DA2" w:rsidP="008A3D2D">
      <w:pPr>
        <w:spacing w:after="0" w:line="240" w:lineRule="auto"/>
        <w:ind w:left="1440" w:right="1440"/>
        <w:rPr>
          <w:rFonts w:ascii="Times New Roman" w:eastAsia="Times New Roman" w:hAnsi="Times New Roman"/>
          <w:sz w:val="26"/>
          <w:szCs w:val="26"/>
        </w:rPr>
      </w:pPr>
      <w:r w:rsidRPr="00564EEA">
        <w:rPr>
          <w:rFonts w:ascii="Times New Roman" w:eastAsia="Times New Roman" w:hAnsi="Times New Roman"/>
          <w:sz w:val="26"/>
          <w:szCs w:val="26"/>
        </w:rPr>
        <w:t xml:space="preserve">A public utility is entitled to such </w:t>
      </w:r>
      <w:r w:rsidRPr="00564EEA">
        <w:rPr>
          <w:rFonts w:ascii="Times New Roman" w:eastAsia="Times New Roman" w:hAnsi="Times New Roman"/>
          <w:bCs/>
          <w:sz w:val="26"/>
          <w:szCs w:val="26"/>
        </w:rPr>
        <w:t>rates</w:t>
      </w:r>
      <w:r w:rsidRPr="00564EEA">
        <w:rPr>
          <w:rFonts w:ascii="Times New Roman" w:eastAsia="Times New Roman" w:hAnsi="Times New Roman"/>
          <w:sz w:val="26"/>
          <w:szCs w:val="26"/>
        </w:rPr>
        <w:t xml:space="preserve"> as will permit it to earn a return on the value of the property which it employs for the convenience of the public equal to that generally being made at the same time and in the same general part of the country on investments in other business undertakings which are attended by corresponding risks and uncertainties; but it has no constitutional right to profits such as are realized or anticipated in highly profitable enterprises or speculative ventures.  The return should be reasonably sufficient to assure confidence in the financial soundness of the utility and should be adequate, under efficient and economical management, to maintain and support its credit and enable it to raise the money necessary for the proper discharge of its public duties. A </w:t>
      </w:r>
      <w:r w:rsidRPr="00564EEA">
        <w:rPr>
          <w:rFonts w:ascii="Times New Roman" w:eastAsia="Times New Roman" w:hAnsi="Times New Roman"/>
          <w:bCs/>
          <w:sz w:val="26"/>
          <w:szCs w:val="26"/>
        </w:rPr>
        <w:t>rate</w:t>
      </w:r>
      <w:r w:rsidRPr="00564EEA">
        <w:rPr>
          <w:rFonts w:ascii="Times New Roman" w:eastAsia="Times New Roman" w:hAnsi="Times New Roman"/>
          <w:sz w:val="26"/>
          <w:szCs w:val="26"/>
        </w:rPr>
        <w:t xml:space="preserve"> of return may be too high or too low by changes affecting opportunities for investment, the money market and business conditions generally.</w:t>
      </w:r>
    </w:p>
    <w:p w:rsidR="00503DA2" w:rsidRPr="00564EEA" w:rsidRDefault="00503DA2" w:rsidP="008A3D2D">
      <w:pPr>
        <w:spacing w:after="0" w:line="240" w:lineRule="auto"/>
        <w:ind w:left="1440" w:right="1440"/>
        <w:rPr>
          <w:rFonts w:ascii="Times New Roman" w:eastAsia="Times New Roman" w:hAnsi="Times New Roman"/>
          <w:sz w:val="26"/>
          <w:szCs w:val="26"/>
        </w:rPr>
      </w:pPr>
    </w:p>
    <w:p w:rsidR="00503DA2" w:rsidRPr="00564EEA" w:rsidRDefault="00503DA2" w:rsidP="008A3D2D">
      <w:pPr>
        <w:spacing w:after="0" w:line="240" w:lineRule="auto"/>
        <w:rPr>
          <w:rFonts w:ascii="Times New Roman" w:eastAsia="Times New Roman" w:hAnsi="Times New Roman"/>
          <w:sz w:val="26"/>
          <w:szCs w:val="26"/>
        </w:rPr>
      </w:pPr>
      <w:r w:rsidRPr="00564EEA">
        <w:rPr>
          <w:rFonts w:ascii="Times New Roman" w:eastAsia="Times New Roman" w:hAnsi="Times New Roman"/>
          <w:i/>
          <w:iCs/>
          <w:sz w:val="26"/>
          <w:szCs w:val="26"/>
        </w:rPr>
        <w:t>Bluefield,</w:t>
      </w:r>
      <w:r w:rsidRPr="00564EEA">
        <w:rPr>
          <w:rFonts w:ascii="Times New Roman" w:eastAsia="Times New Roman" w:hAnsi="Times New Roman"/>
          <w:sz w:val="26"/>
          <w:szCs w:val="26"/>
        </w:rPr>
        <w:t xml:space="preserve"> 262 U.S. at 692-3.</w:t>
      </w:r>
    </w:p>
    <w:p w:rsidR="00503DA2" w:rsidRPr="00564EEA" w:rsidRDefault="00503DA2" w:rsidP="008A3D2D">
      <w:pPr>
        <w:spacing w:after="0" w:line="360" w:lineRule="auto"/>
        <w:rPr>
          <w:rFonts w:ascii="Times New Roman" w:eastAsia="Times New Roman" w:hAnsi="Times New Roman"/>
          <w:sz w:val="26"/>
          <w:szCs w:val="26"/>
        </w:rPr>
      </w:pPr>
    </w:p>
    <w:p w:rsidR="00503DA2" w:rsidRPr="00564EEA" w:rsidRDefault="00503DA2" w:rsidP="008A3D2D">
      <w:pPr>
        <w:spacing w:after="0" w:line="360" w:lineRule="auto"/>
        <w:rPr>
          <w:rFonts w:ascii="Times New Roman" w:eastAsia="Times New Roman" w:hAnsi="Times New Roman"/>
          <w:sz w:val="26"/>
          <w:szCs w:val="26"/>
        </w:rPr>
      </w:pPr>
      <w:r w:rsidRPr="00564EEA">
        <w:rPr>
          <w:rFonts w:ascii="Times New Roman" w:eastAsia="Times New Roman" w:hAnsi="Times New Roman"/>
          <w:sz w:val="26"/>
          <w:szCs w:val="26"/>
        </w:rPr>
        <w:tab/>
      </w:r>
      <w:r w:rsidRPr="00564EEA">
        <w:rPr>
          <w:rFonts w:ascii="Times New Roman" w:eastAsia="Times New Roman" w:hAnsi="Times New Roman"/>
          <w:sz w:val="26"/>
          <w:szCs w:val="26"/>
        </w:rPr>
        <w:tab/>
        <w:t xml:space="preserve">Commission policy promotes settlements, 52 Pa. Code §§ 5.231 and 69.401. </w:t>
      </w:r>
      <w:r w:rsidR="009439D8">
        <w:rPr>
          <w:rFonts w:ascii="Times New Roman" w:eastAsia="Times New Roman" w:hAnsi="Times New Roman"/>
          <w:sz w:val="26"/>
          <w:szCs w:val="26"/>
        </w:rPr>
        <w:t xml:space="preserve"> </w:t>
      </w:r>
      <w:r w:rsidRPr="00564EEA">
        <w:rPr>
          <w:rFonts w:ascii="Times New Roman" w:eastAsia="Times New Roman" w:hAnsi="Times New Roman"/>
          <w:sz w:val="26"/>
          <w:szCs w:val="26"/>
        </w:rPr>
        <w:t xml:space="preserve">Settlements lessen the time and expense the parties must expend litigating a case and at the same time conserve administrative hearing resources.  The Commission has indicated that settlement results are often preferable to those achieved at the conclusion of a fully litigated proceeding.  52 Pa. Code § 69.401.  </w:t>
      </w:r>
      <w:r w:rsidRPr="00564EEA">
        <w:rPr>
          <w:rFonts w:ascii="Times New Roman" w:eastAsia="Times New Roman" w:hAnsi="Times New Roman"/>
          <w:bCs/>
          <w:sz w:val="26"/>
          <w:szCs w:val="26"/>
        </w:rPr>
        <w:t>Rate</w:t>
      </w:r>
      <w:r w:rsidRPr="00564EEA">
        <w:rPr>
          <w:rFonts w:ascii="Times New Roman" w:eastAsia="Times New Roman" w:hAnsi="Times New Roman"/>
          <w:sz w:val="26"/>
          <w:szCs w:val="26"/>
        </w:rPr>
        <w:t xml:space="preserve"> cases are expensive to litigate and the cost of such litigation at a reasonable level is an operating expense recovered in the </w:t>
      </w:r>
      <w:r w:rsidRPr="00564EEA">
        <w:rPr>
          <w:rFonts w:ascii="Times New Roman" w:eastAsia="Times New Roman" w:hAnsi="Times New Roman"/>
          <w:bCs/>
          <w:sz w:val="26"/>
          <w:szCs w:val="26"/>
        </w:rPr>
        <w:t>rates</w:t>
      </w:r>
      <w:r w:rsidRPr="00564EEA">
        <w:rPr>
          <w:rFonts w:ascii="Times New Roman" w:eastAsia="Times New Roman" w:hAnsi="Times New Roman"/>
          <w:sz w:val="26"/>
          <w:szCs w:val="26"/>
        </w:rPr>
        <w:t xml:space="preserve"> approved by the Commission. </w:t>
      </w:r>
      <w:r w:rsidR="004E1BE6" w:rsidRPr="00564EEA">
        <w:rPr>
          <w:rFonts w:ascii="Times New Roman" w:eastAsia="Times New Roman" w:hAnsi="Times New Roman"/>
          <w:sz w:val="26"/>
          <w:szCs w:val="26"/>
        </w:rPr>
        <w:t xml:space="preserve"> </w:t>
      </w:r>
      <w:r w:rsidRPr="00564EEA">
        <w:rPr>
          <w:rFonts w:ascii="Times New Roman" w:eastAsia="Times New Roman" w:hAnsi="Times New Roman"/>
          <w:sz w:val="26"/>
          <w:szCs w:val="26"/>
        </w:rPr>
        <w:t>This means that a settlement, which allows the parties to avoid the</w:t>
      </w:r>
      <w:r w:rsidR="004E1BE6" w:rsidRPr="00564EEA">
        <w:rPr>
          <w:rFonts w:ascii="Times New Roman" w:eastAsia="Times New Roman" w:hAnsi="Times New Roman"/>
          <w:sz w:val="26"/>
          <w:szCs w:val="26"/>
        </w:rPr>
        <w:t xml:space="preserve"> </w:t>
      </w:r>
      <w:r w:rsidRPr="00564EEA">
        <w:rPr>
          <w:rFonts w:ascii="Times New Roman" w:eastAsia="Times New Roman" w:hAnsi="Times New Roman"/>
          <w:sz w:val="26"/>
          <w:szCs w:val="26"/>
        </w:rPr>
        <w:t>substantial costs of preparing and serving testimony and the cross-examination of witnesses in lengthy hearings, the preparation and service of briefs, reply briefs, exceptions and reply exceptions, together with the briefs and reply briefs necessitated by any appeal of the Commission's decision, yields significant savings for the company's customers.  That is one reason why settlements are encouraged by long-standing Commission policy.</w:t>
      </w:r>
    </w:p>
    <w:p w:rsidR="00503DA2" w:rsidRPr="00564EEA" w:rsidRDefault="00503DA2" w:rsidP="008A3D2D">
      <w:pPr>
        <w:spacing w:after="0" w:line="360" w:lineRule="auto"/>
        <w:rPr>
          <w:rFonts w:ascii="Times New Roman" w:eastAsia="Times New Roman" w:hAnsi="Times New Roman"/>
          <w:sz w:val="26"/>
          <w:szCs w:val="26"/>
        </w:rPr>
      </w:pPr>
    </w:p>
    <w:p w:rsidR="004E1BE6" w:rsidRPr="00564EEA" w:rsidRDefault="00503DA2" w:rsidP="008A3D2D">
      <w:pPr>
        <w:spacing w:after="0" w:line="360" w:lineRule="auto"/>
        <w:rPr>
          <w:rFonts w:ascii="Times New Roman" w:eastAsia="Times New Roman" w:hAnsi="Times New Roman"/>
          <w:sz w:val="26"/>
          <w:szCs w:val="26"/>
        </w:rPr>
      </w:pPr>
      <w:r w:rsidRPr="00564EEA">
        <w:rPr>
          <w:rFonts w:eastAsia="Times New Roman"/>
          <w:sz w:val="26"/>
          <w:szCs w:val="26"/>
        </w:rPr>
        <w:lastRenderedPageBreak/>
        <w:tab/>
      </w:r>
      <w:r w:rsidRPr="00564EEA">
        <w:rPr>
          <w:rFonts w:eastAsia="Times New Roman"/>
          <w:sz w:val="26"/>
          <w:szCs w:val="26"/>
        </w:rPr>
        <w:tab/>
      </w:r>
      <w:r w:rsidRPr="00564EEA">
        <w:rPr>
          <w:rFonts w:ascii="Times New Roman" w:eastAsia="Times New Roman" w:hAnsi="Times New Roman"/>
          <w:sz w:val="26"/>
          <w:szCs w:val="26"/>
        </w:rPr>
        <w:t xml:space="preserve">In order to accept a settlement, the Commission must determine that the proposed terms and conditions are in the public interest.  </w:t>
      </w:r>
      <w:r w:rsidRPr="00564EEA">
        <w:rPr>
          <w:rFonts w:ascii="Times New Roman" w:eastAsia="Times New Roman" w:hAnsi="Times New Roman"/>
          <w:i/>
          <w:iCs/>
          <w:sz w:val="26"/>
          <w:szCs w:val="26"/>
        </w:rPr>
        <w:t>Pa. Pub. Util. Comm'n v. York Water Co.</w:t>
      </w:r>
      <w:r w:rsidRPr="00564EEA">
        <w:rPr>
          <w:rFonts w:ascii="Times New Roman" w:eastAsia="Times New Roman" w:hAnsi="Times New Roman"/>
          <w:sz w:val="26"/>
          <w:szCs w:val="26"/>
        </w:rPr>
        <w:t>, Docket No. R-00049165 (Opinion and Order entered October 4, 2004</w:t>
      </w:r>
      <w:r w:rsidRPr="00564EEA">
        <w:rPr>
          <w:rFonts w:ascii="Times New Roman" w:eastAsia="Times New Roman" w:hAnsi="Times New Roman"/>
          <w:i/>
          <w:sz w:val="26"/>
          <w:szCs w:val="26"/>
        </w:rPr>
        <w:t xml:space="preserve">); </w:t>
      </w:r>
      <w:r w:rsidRPr="00564EEA">
        <w:rPr>
          <w:rFonts w:ascii="Times New Roman" w:eastAsia="Times New Roman" w:hAnsi="Times New Roman"/>
          <w:i/>
          <w:iCs/>
          <w:sz w:val="26"/>
          <w:szCs w:val="26"/>
        </w:rPr>
        <w:t>Pa. Pub. Util. Comm'n v. C. S. Water and Sewer Assoc.</w:t>
      </w:r>
      <w:r w:rsidRPr="00564EEA">
        <w:rPr>
          <w:rFonts w:ascii="Times New Roman" w:eastAsia="Times New Roman" w:hAnsi="Times New Roman"/>
          <w:sz w:val="26"/>
          <w:szCs w:val="26"/>
        </w:rPr>
        <w:t>, 74 Pa. P.U.C. 767 (1991).</w:t>
      </w:r>
    </w:p>
    <w:p w:rsidR="00503DA2" w:rsidRPr="00564EEA" w:rsidRDefault="00503DA2" w:rsidP="008A3D2D">
      <w:pPr>
        <w:spacing w:after="0" w:line="360" w:lineRule="auto"/>
        <w:rPr>
          <w:rFonts w:ascii="Times New Roman" w:eastAsia="Times New Roman" w:hAnsi="Times New Roman"/>
          <w:sz w:val="26"/>
          <w:szCs w:val="26"/>
        </w:rPr>
      </w:pPr>
    </w:p>
    <w:p w:rsidR="00503DA2" w:rsidRPr="00564EEA" w:rsidRDefault="00503DA2" w:rsidP="008A3D2D">
      <w:pPr>
        <w:keepNext/>
        <w:spacing w:after="0" w:line="360" w:lineRule="auto"/>
        <w:ind w:left="720" w:firstLine="720"/>
        <w:rPr>
          <w:rFonts w:ascii="Times New Roman" w:eastAsia="Times New Roman" w:hAnsi="Times New Roman"/>
          <w:sz w:val="26"/>
          <w:szCs w:val="26"/>
        </w:rPr>
      </w:pPr>
      <w:r w:rsidRPr="00564EEA">
        <w:rPr>
          <w:rFonts w:ascii="Times New Roman" w:eastAsia="Times New Roman" w:hAnsi="Times New Roman"/>
          <w:sz w:val="26"/>
          <w:szCs w:val="26"/>
        </w:rPr>
        <w:t xml:space="preserve">Section 315(a) of the Code reads as follows: </w:t>
      </w:r>
    </w:p>
    <w:p w:rsidR="00893354" w:rsidRPr="00564EEA" w:rsidRDefault="00893354" w:rsidP="008A3D2D">
      <w:pPr>
        <w:keepNext/>
        <w:spacing w:after="0" w:line="360" w:lineRule="auto"/>
        <w:ind w:left="720" w:firstLine="720"/>
        <w:rPr>
          <w:rFonts w:ascii="Times New Roman" w:eastAsia="Times New Roman" w:hAnsi="Times New Roman"/>
          <w:sz w:val="26"/>
          <w:szCs w:val="26"/>
        </w:rPr>
      </w:pPr>
    </w:p>
    <w:p w:rsidR="00503DA2" w:rsidRPr="00564EEA" w:rsidRDefault="00503DA2" w:rsidP="008A3D2D">
      <w:pPr>
        <w:spacing w:after="0" w:line="360" w:lineRule="auto"/>
        <w:ind w:left="1440" w:right="1440"/>
        <w:rPr>
          <w:rFonts w:ascii="Times New Roman" w:eastAsia="Times New Roman" w:hAnsi="Times New Roman"/>
          <w:bCs/>
          <w:sz w:val="26"/>
          <w:szCs w:val="26"/>
        </w:rPr>
      </w:pPr>
      <w:r w:rsidRPr="00564EEA">
        <w:rPr>
          <w:rFonts w:ascii="Times New Roman" w:eastAsia="Times New Roman" w:hAnsi="Times New Roman"/>
          <w:bCs/>
          <w:sz w:val="26"/>
          <w:szCs w:val="26"/>
        </w:rPr>
        <w:t>§ 315. Burden of proof</w:t>
      </w:r>
    </w:p>
    <w:p w:rsidR="004E1BE6" w:rsidRPr="00564EEA" w:rsidRDefault="004E1BE6" w:rsidP="008A3D2D">
      <w:pPr>
        <w:spacing w:after="0" w:line="240" w:lineRule="auto"/>
        <w:ind w:left="1440" w:right="1440"/>
        <w:rPr>
          <w:rFonts w:ascii="Times New Roman" w:eastAsia="Times New Roman" w:hAnsi="Times New Roman"/>
          <w:sz w:val="26"/>
          <w:szCs w:val="26"/>
        </w:rPr>
      </w:pPr>
    </w:p>
    <w:p w:rsidR="00503DA2" w:rsidRPr="00564EEA" w:rsidRDefault="00503DA2" w:rsidP="008A3D2D">
      <w:pPr>
        <w:spacing w:after="0" w:line="240" w:lineRule="auto"/>
        <w:ind w:left="1440" w:right="1440"/>
        <w:rPr>
          <w:rFonts w:ascii="Times New Roman" w:eastAsia="Times New Roman" w:hAnsi="Times New Roman"/>
          <w:sz w:val="26"/>
          <w:szCs w:val="26"/>
        </w:rPr>
      </w:pPr>
      <w:r w:rsidRPr="00564EEA">
        <w:rPr>
          <w:rFonts w:ascii="Times New Roman" w:eastAsia="Times New Roman" w:hAnsi="Times New Roman"/>
          <w:bCs/>
          <w:sz w:val="26"/>
          <w:szCs w:val="26"/>
        </w:rPr>
        <w:t>(a) Reasonableness of rates.</w:t>
      </w:r>
      <w:r w:rsidR="004E1BE6" w:rsidRPr="00564EEA">
        <w:rPr>
          <w:rFonts w:ascii="Times New Roman" w:eastAsia="Times New Roman" w:hAnsi="Times New Roman"/>
          <w:sz w:val="26"/>
          <w:szCs w:val="26"/>
        </w:rPr>
        <w:t>—</w:t>
      </w:r>
      <w:r w:rsidRPr="00564EEA">
        <w:rPr>
          <w:rFonts w:ascii="Times New Roman" w:eastAsia="Times New Roman" w:hAnsi="Times New Roman"/>
          <w:sz w:val="26"/>
          <w:szCs w:val="26"/>
        </w:rPr>
        <w:t xml:space="preserve">In any proceeding upon the motion of the commission, involving any proposed or existing </w:t>
      </w:r>
      <w:r w:rsidRPr="00564EEA">
        <w:rPr>
          <w:rFonts w:ascii="Times New Roman" w:eastAsia="Times New Roman" w:hAnsi="Times New Roman"/>
          <w:bCs/>
          <w:sz w:val="26"/>
          <w:szCs w:val="26"/>
        </w:rPr>
        <w:t>rate</w:t>
      </w:r>
      <w:r w:rsidRPr="00564EEA">
        <w:rPr>
          <w:rFonts w:ascii="Times New Roman" w:eastAsia="Times New Roman" w:hAnsi="Times New Roman"/>
          <w:sz w:val="26"/>
          <w:szCs w:val="26"/>
        </w:rPr>
        <w:t xml:space="preserve"> of any public utility, or in any proceedings upon complaint involving any proposed increase in </w:t>
      </w:r>
      <w:r w:rsidRPr="00564EEA">
        <w:rPr>
          <w:rFonts w:ascii="Times New Roman" w:eastAsia="Times New Roman" w:hAnsi="Times New Roman"/>
          <w:bCs/>
          <w:sz w:val="26"/>
          <w:szCs w:val="26"/>
        </w:rPr>
        <w:t>rates,</w:t>
      </w:r>
      <w:r w:rsidRPr="00564EEA">
        <w:rPr>
          <w:rFonts w:ascii="Times New Roman" w:eastAsia="Times New Roman" w:hAnsi="Times New Roman"/>
          <w:sz w:val="26"/>
          <w:szCs w:val="26"/>
        </w:rPr>
        <w:t xml:space="preserve"> the burden of proof to show that the </w:t>
      </w:r>
      <w:r w:rsidRPr="00564EEA">
        <w:rPr>
          <w:rFonts w:ascii="Times New Roman" w:eastAsia="Times New Roman" w:hAnsi="Times New Roman"/>
          <w:bCs/>
          <w:sz w:val="26"/>
          <w:szCs w:val="26"/>
        </w:rPr>
        <w:t>rate</w:t>
      </w:r>
      <w:r w:rsidRPr="00564EEA">
        <w:rPr>
          <w:rFonts w:ascii="Times New Roman" w:eastAsia="Times New Roman" w:hAnsi="Times New Roman"/>
          <w:sz w:val="26"/>
          <w:szCs w:val="26"/>
        </w:rPr>
        <w:t xml:space="preserve"> involved is just and reasonable shall be upon the public utility. </w:t>
      </w:r>
      <w:r w:rsidR="004E1BE6" w:rsidRPr="00564EEA">
        <w:rPr>
          <w:rFonts w:ascii="Times New Roman" w:eastAsia="Times New Roman" w:hAnsi="Times New Roman"/>
          <w:sz w:val="26"/>
          <w:szCs w:val="26"/>
        </w:rPr>
        <w:t xml:space="preserve"> </w:t>
      </w:r>
      <w:r w:rsidRPr="00564EEA">
        <w:rPr>
          <w:rFonts w:ascii="Times New Roman" w:eastAsia="Times New Roman" w:hAnsi="Times New Roman"/>
          <w:sz w:val="26"/>
          <w:szCs w:val="26"/>
        </w:rPr>
        <w:t>The commission shall give to the hearing and decision of any such proceeding preference over all other proceedings, and decide the same as speedily as possible.</w:t>
      </w:r>
    </w:p>
    <w:p w:rsidR="00503DA2" w:rsidRPr="00564EEA" w:rsidRDefault="00503DA2" w:rsidP="008A3D2D">
      <w:pPr>
        <w:spacing w:after="0" w:line="360" w:lineRule="auto"/>
        <w:ind w:left="1440" w:right="1440"/>
        <w:rPr>
          <w:rFonts w:ascii="Times New Roman" w:eastAsia="Times New Roman" w:hAnsi="Times New Roman"/>
          <w:sz w:val="26"/>
          <w:szCs w:val="26"/>
        </w:rPr>
      </w:pPr>
    </w:p>
    <w:p w:rsidR="005701E2" w:rsidRPr="00564EEA" w:rsidRDefault="00503DA2" w:rsidP="008A3D2D">
      <w:pPr>
        <w:pStyle w:val="OutlineL3"/>
        <w:numPr>
          <w:ilvl w:val="0"/>
          <w:numId w:val="0"/>
        </w:numPr>
        <w:tabs>
          <w:tab w:val="clear" w:pos="2160"/>
        </w:tabs>
        <w:spacing w:after="0" w:line="360" w:lineRule="auto"/>
        <w:outlineLvl w:val="9"/>
        <w:rPr>
          <w:sz w:val="26"/>
          <w:szCs w:val="26"/>
        </w:rPr>
      </w:pPr>
      <w:r w:rsidRPr="00564EEA">
        <w:rPr>
          <w:sz w:val="26"/>
          <w:szCs w:val="26"/>
        </w:rPr>
        <w:t>66 Pa.</w:t>
      </w:r>
      <w:r w:rsidR="00797026" w:rsidRPr="00564EEA">
        <w:rPr>
          <w:sz w:val="26"/>
          <w:szCs w:val="26"/>
        </w:rPr>
        <w:t xml:space="preserve"> </w:t>
      </w:r>
      <w:r w:rsidRPr="00564EEA">
        <w:rPr>
          <w:sz w:val="26"/>
          <w:szCs w:val="26"/>
        </w:rPr>
        <w:t xml:space="preserve">C.S. § 315(a).  Consequently in this proceeding, </w:t>
      </w:r>
      <w:r w:rsidR="00C60AC7" w:rsidRPr="00564EEA">
        <w:rPr>
          <w:bCs/>
          <w:sz w:val="26"/>
          <w:szCs w:val="26"/>
        </w:rPr>
        <w:t>the City</w:t>
      </w:r>
      <w:r w:rsidRPr="00564EEA">
        <w:rPr>
          <w:sz w:val="26"/>
          <w:szCs w:val="26"/>
        </w:rPr>
        <w:t xml:space="preserve"> has the burden to prove that the </w:t>
      </w:r>
      <w:r w:rsidRPr="00564EEA">
        <w:rPr>
          <w:bCs/>
          <w:sz w:val="26"/>
          <w:szCs w:val="26"/>
        </w:rPr>
        <w:t>rate</w:t>
      </w:r>
      <w:r w:rsidRPr="00564EEA">
        <w:rPr>
          <w:sz w:val="26"/>
          <w:szCs w:val="26"/>
        </w:rPr>
        <w:t xml:space="preserve"> increase it has proposed through the Settlement is just and reasonable.  The </w:t>
      </w:r>
      <w:r w:rsidR="008D6CDB" w:rsidRPr="00564EEA">
        <w:rPr>
          <w:sz w:val="26"/>
          <w:szCs w:val="26"/>
        </w:rPr>
        <w:t>Settlement</w:t>
      </w:r>
      <w:r w:rsidRPr="00564EEA">
        <w:rPr>
          <w:sz w:val="26"/>
          <w:szCs w:val="26"/>
        </w:rPr>
        <w:t xml:space="preserve"> Parties have reached an accord on the issues and claims that arose in this proceeding and submitted a Settlement for Commission review.  In reviewing the Settlement, the question which must be answered is whether it is in the public interest.  The </w:t>
      </w:r>
      <w:r w:rsidR="008D6CDB" w:rsidRPr="00564EEA">
        <w:rPr>
          <w:sz w:val="26"/>
          <w:szCs w:val="26"/>
        </w:rPr>
        <w:t>Settlement</w:t>
      </w:r>
      <w:r w:rsidRPr="00564EEA">
        <w:rPr>
          <w:sz w:val="26"/>
          <w:szCs w:val="26"/>
        </w:rPr>
        <w:t xml:space="preserve"> Parties have the burden to prove that the Settlement is in the public interest.</w:t>
      </w:r>
    </w:p>
    <w:p w:rsidR="00084569" w:rsidRPr="00564EEA" w:rsidRDefault="00084569" w:rsidP="008A3D2D">
      <w:pPr>
        <w:pStyle w:val="OutlineL3"/>
        <w:numPr>
          <w:ilvl w:val="0"/>
          <w:numId w:val="0"/>
        </w:numPr>
        <w:tabs>
          <w:tab w:val="clear" w:pos="2160"/>
        </w:tabs>
        <w:spacing w:after="0" w:line="360" w:lineRule="auto"/>
        <w:outlineLvl w:val="9"/>
        <w:rPr>
          <w:sz w:val="26"/>
          <w:szCs w:val="26"/>
        </w:rPr>
      </w:pPr>
    </w:p>
    <w:p w:rsidR="00084569" w:rsidRPr="00564EEA" w:rsidRDefault="00084569" w:rsidP="008A3D2D">
      <w:pPr>
        <w:pStyle w:val="OutlineL3"/>
        <w:numPr>
          <w:ilvl w:val="0"/>
          <w:numId w:val="0"/>
        </w:numPr>
        <w:tabs>
          <w:tab w:val="clear" w:pos="2160"/>
        </w:tabs>
        <w:spacing w:after="0" w:line="360" w:lineRule="auto"/>
        <w:outlineLvl w:val="9"/>
        <w:rPr>
          <w:sz w:val="26"/>
          <w:szCs w:val="26"/>
        </w:rPr>
      </w:pPr>
      <w:r w:rsidRPr="00564EEA">
        <w:rPr>
          <w:b/>
          <w:sz w:val="26"/>
          <w:szCs w:val="26"/>
        </w:rPr>
        <w:t>C.</w:t>
      </w:r>
      <w:r w:rsidRPr="00564EEA">
        <w:rPr>
          <w:b/>
          <w:sz w:val="26"/>
          <w:szCs w:val="26"/>
        </w:rPr>
        <w:tab/>
      </w:r>
      <w:r w:rsidRPr="00564EEA">
        <w:rPr>
          <w:b/>
          <w:bCs/>
          <w:sz w:val="26"/>
          <w:szCs w:val="26"/>
        </w:rPr>
        <w:t>Statements of the Parties in Support of the Settlement</w:t>
      </w:r>
    </w:p>
    <w:p w:rsidR="00084569" w:rsidRPr="00564EEA" w:rsidRDefault="00084569" w:rsidP="008A3D2D">
      <w:pPr>
        <w:pStyle w:val="OutlineL3"/>
        <w:spacing w:after="0" w:line="360" w:lineRule="auto"/>
        <w:rPr>
          <w:sz w:val="26"/>
          <w:szCs w:val="26"/>
        </w:rPr>
      </w:pPr>
    </w:p>
    <w:p w:rsidR="00084569" w:rsidRPr="00564EEA" w:rsidRDefault="00084569" w:rsidP="008A3D2D">
      <w:pPr>
        <w:pStyle w:val="OutlineL3"/>
        <w:tabs>
          <w:tab w:val="clear" w:pos="720"/>
          <w:tab w:val="clear" w:pos="2160"/>
        </w:tabs>
        <w:spacing w:after="0" w:line="360" w:lineRule="auto"/>
        <w:ind w:firstLine="90"/>
        <w:rPr>
          <w:b/>
          <w:sz w:val="26"/>
          <w:szCs w:val="26"/>
        </w:rPr>
      </w:pPr>
      <w:r w:rsidRPr="00564EEA">
        <w:rPr>
          <w:b/>
          <w:sz w:val="26"/>
          <w:szCs w:val="26"/>
        </w:rPr>
        <w:tab/>
      </w:r>
      <w:r w:rsidRPr="00564EEA">
        <w:rPr>
          <w:b/>
          <w:sz w:val="26"/>
          <w:szCs w:val="26"/>
        </w:rPr>
        <w:tab/>
        <w:t>1.</w:t>
      </w:r>
      <w:r w:rsidRPr="00564EEA">
        <w:rPr>
          <w:b/>
          <w:sz w:val="26"/>
          <w:szCs w:val="26"/>
        </w:rPr>
        <w:tab/>
        <w:t>Positions of the Parties</w:t>
      </w:r>
    </w:p>
    <w:p w:rsidR="004E1BE6" w:rsidRPr="00564EEA" w:rsidRDefault="004E1BE6" w:rsidP="008A3D2D">
      <w:pPr>
        <w:pStyle w:val="OutlineL3"/>
        <w:tabs>
          <w:tab w:val="clear" w:pos="720"/>
          <w:tab w:val="clear" w:pos="2160"/>
        </w:tabs>
        <w:spacing w:after="0" w:line="360" w:lineRule="auto"/>
        <w:ind w:firstLine="90"/>
        <w:rPr>
          <w:b/>
          <w:sz w:val="26"/>
          <w:szCs w:val="26"/>
        </w:rPr>
      </w:pPr>
    </w:p>
    <w:p w:rsidR="00084569" w:rsidRPr="00564EEA" w:rsidRDefault="00084569" w:rsidP="008A3D2D">
      <w:pPr>
        <w:pStyle w:val="OutlineL3"/>
        <w:tabs>
          <w:tab w:val="clear" w:pos="720"/>
          <w:tab w:val="clear" w:pos="2160"/>
        </w:tabs>
        <w:spacing w:after="0" w:line="360" w:lineRule="auto"/>
        <w:ind w:firstLine="90"/>
        <w:rPr>
          <w:sz w:val="26"/>
          <w:szCs w:val="26"/>
        </w:rPr>
      </w:pPr>
      <w:r w:rsidRPr="00564EEA">
        <w:rPr>
          <w:b/>
          <w:sz w:val="26"/>
          <w:szCs w:val="26"/>
        </w:rPr>
        <w:lastRenderedPageBreak/>
        <w:tab/>
      </w:r>
      <w:r w:rsidRPr="00564EEA">
        <w:rPr>
          <w:b/>
          <w:sz w:val="26"/>
          <w:szCs w:val="26"/>
        </w:rPr>
        <w:tab/>
      </w:r>
      <w:r w:rsidRPr="00564EEA">
        <w:rPr>
          <w:sz w:val="26"/>
          <w:szCs w:val="26"/>
        </w:rPr>
        <w:t>The City maintains that the proposed Settlement fairly balances the interests of the City and its customers and is</w:t>
      </w:r>
      <w:r w:rsidR="004E1BE6" w:rsidRPr="00564EEA">
        <w:rPr>
          <w:sz w:val="26"/>
          <w:szCs w:val="26"/>
        </w:rPr>
        <w:t>,</w:t>
      </w:r>
      <w:r w:rsidRPr="00564EEA">
        <w:rPr>
          <w:sz w:val="26"/>
          <w:szCs w:val="26"/>
        </w:rPr>
        <w:t xml:space="preserve"> therefore</w:t>
      </w:r>
      <w:r w:rsidR="004E1BE6" w:rsidRPr="00564EEA">
        <w:rPr>
          <w:sz w:val="26"/>
          <w:szCs w:val="26"/>
        </w:rPr>
        <w:t>,</w:t>
      </w:r>
      <w:r w:rsidRPr="00564EEA">
        <w:rPr>
          <w:sz w:val="26"/>
          <w:szCs w:val="26"/>
        </w:rPr>
        <w:t xml:space="preserve"> in the public interest</w:t>
      </w:r>
      <w:r w:rsidR="009C055D" w:rsidRPr="00564EEA">
        <w:rPr>
          <w:sz w:val="26"/>
          <w:szCs w:val="26"/>
        </w:rPr>
        <w:t>.  The City notes that it last filed for a base rate case in 2004</w:t>
      </w:r>
      <w:r w:rsidR="00C957BC" w:rsidRPr="00564EEA">
        <w:rPr>
          <w:sz w:val="26"/>
          <w:szCs w:val="26"/>
        </w:rPr>
        <w:t>,</w:t>
      </w:r>
      <w:r w:rsidR="009C055D" w:rsidRPr="00564EEA">
        <w:rPr>
          <w:sz w:val="26"/>
          <w:szCs w:val="26"/>
        </w:rPr>
        <w:t xml:space="preserve"> and </w:t>
      </w:r>
      <w:r w:rsidR="00C957BC" w:rsidRPr="00564EEA">
        <w:rPr>
          <w:sz w:val="26"/>
          <w:szCs w:val="26"/>
        </w:rPr>
        <w:t xml:space="preserve">that it </w:t>
      </w:r>
      <w:r w:rsidR="009C055D" w:rsidRPr="00564EEA">
        <w:rPr>
          <w:sz w:val="26"/>
          <w:szCs w:val="26"/>
        </w:rPr>
        <w:t>has since incurred increasing costs for labor, chemicals, and healthcare</w:t>
      </w:r>
      <w:r w:rsidR="00FF011F" w:rsidRPr="00564EEA">
        <w:rPr>
          <w:sz w:val="26"/>
          <w:szCs w:val="26"/>
        </w:rPr>
        <w:t>,</w:t>
      </w:r>
      <w:r w:rsidR="009C055D" w:rsidRPr="00564EEA">
        <w:rPr>
          <w:sz w:val="26"/>
          <w:szCs w:val="26"/>
        </w:rPr>
        <w:t xml:space="preserve"> and has also completed several major projects.  The City also notes that the Joint Petition at Paragraph 12(c) contains a stay-out provision under which the City may not file for another general base rate case under Section 1308(d) of the Code prior to June 29, 2014, subject to certain exceptions noted therein.  </w:t>
      </w:r>
      <w:r w:rsidR="006248A1" w:rsidRPr="00564EEA">
        <w:rPr>
          <w:sz w:val="26"/>
          <w:szCs w:val="26"/>
        </w:rPr>
        <w:t xml:space="preserve">As further support that the Settlement will mitigate the effects of the rate increase </w:t>
      </w:r>
      <w:r w:rsidR="00C957BC" w:rsidRPr="00564EEA">
        <w:rPr>
          <w:sz w:val="26"/>
          <w:szCs w:val="26"/>
        </w:rPr>
        <w:t>on</w:t>
      </w:r>
      <w:r w:rsidR="006248A1" w:rsidRPr="00564EEA">
        <w:rPr>
          <w:sz w:val="26"/>
          <w:szCs w:val="26"/>
        </w:rPr>
        <w:t xml:space="preserve"> its customers, the City </w:t>
      </w:r>
      <w:r w:rsidR="009C055D" w:rsidRPr="00564EEA">
        <w:rPr>
          <w:sz w:val="26"/>
          <w:szCs w:val="26"/>
        </w:rPr>
        <w:t>offers the following comparison of an average residential customer’s quarterly sewer bill under current rates, the rates the City initially proposed, and the Settlement Rates based on quarterly usage of 13,000 gallons</w:t>
      </w:r>
      <w:r w:rsidR="004362D6" w:rsidRPr="00564EEA">
        <w:rPr>
          <w:sz w:val="26"/>
          <w:szCs w:val="26"/>
        </w:rPr>
        <w:t>:</w:t>
      </w:r>
    </w:p>
    <w:p w:rsidR="009C055D" w:rsidRPr="00564EEA" w:rsidRDefault="009C055D" w:rsidP="008A3D2D">
      <w:pPr>
        <w:pStyle w:val="OutlineL3"/>
        <w:tabs>
          <w:tab w:val="clear" w:pos="720"/>
          <w:tab w:val="clear" w:pos="2160"/>
        </w:tabs>
        <w:spacing w:after="0" w:line="360" w:lineRule="auto"/>
        <w:ind w:firstLine="90"/>
        <w:rPr>
          <w:sz w:val="26"/>
          <w:szCs w:val="26"/>
        </w:rPr>
      </w:pPr>
    </w:p>
    <w:tbl>
      <w:tblPr>
        <w:tblW w:w="0" w:type="auto"/>
        <w:jc w:val="center"/>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03"/>
        <w:gridCol w:w="2521"/>
      </w:tblGrid>
      <w:tr w:rsidR="00564EEA" w:rsidRPr="00564EEA" w:rsidTr="004362D6">
        <w:trPr>
          <w:trHeight w:val="278"/>
          <w:jc w:val="center"/>
        </w:trPr>
        <w:tc>
          <w:tcPr>
            <w:tcW w:w="0" w:type="auto"/>
            <w:hideMark/>
          </w:tcPr>
          <w:p w:rsidR="009C055D" w:rsidRPr="00564EEA" w:rsidRDefault="009C055D" w:rsidP="008A3D2D">
            <w:pPr>
              <w:pStyle w:val="BodyText"/>
              <w:spacing w:after="0" w:line="480" w:lineRule="auto"/>
              <w:jc w:val="center"/>
              <w:rPr>
                <w:rFonts w:ascii="Times New Roman" w:hAnsi="Times New Roman"/>
                <w:b/>
              </w:rPr>
            </w:pPr>
            <w:r w:rsidRPr="00564EEA">
              <w:rPr>
                <w:rFonts w:ascii="Times New Roman" w:hAnsi="Times New Roman"/>
                <w:b/>
              </w:rPr>
              <w:t>CURRENT RATES</w:t>
            </w:r>
          </w:p>
        </w:tc>
        <w:tc>
          <w:tcPr>
            <w:tcW w:w="0" w:type="auto"/>
            <w:hideMark/>
          </w:tcPr>
          <w:p w:rsidR="009C055D" w:rsidRPr="00564EEA" w:rsidRDefault="009C055D" w:rsidP="008A3D2D">
            <w:pPr>
              <w:pStyle w:val="BodyText"/>
              <w:spacing w:after="0" w:line="480" w:lineRule="auto"/>
              <w:jc w:val="center"/>
              <w:rPr>
                <w:rFonts w:ascii="Times New Roman" w:hAnsi="Times New Roman"/>
                <w:b/>
              </w:rPr>
            </w:pPr>
            <w:r w:rsidRPr="00564EEA">
              <w:rPr>
                <w:rFonts w:ascii="Times New Roman" w:hAnsi="Times New Roman"/>
                <w:b/>
              </w:rPr>
              <w:t>PROPOSED RATES</w:t>
            </w:r>
          </w:p>
        </w:tc>
        <w:tc>
          <w:tcPr>
            <w:tcW w:w="0" w:type="auto"/>
            <w:hideMark/>
          </w:tcPr>
          <w:p w:rsidR="009C055D" w:rsidRPr="00564EEA" w:rsidRDefault="009C055D" w:rsidP="008A3D2D">
            <w:pPr>
              <w:pStyle w:val="BodyText"/>
              <w:spacing w:after="0" w:line="480" w:lineRule="auto"/>
              <w:jc w:val="center"/>
              <w:rPr>
                <w:rFonts w:ascii="Times New Roman" w:hAnsi="Times New Roman"/>
                <w:b/>
              </w:rPr>
            </w:pPr>
            <w:r w:rsidRPr="00564EEA">
              <w:rPr>
                <w:rFonts w:ascii="Times New Roman" w:hAnsi="Times New Roman"/>
                <w:b/>
              </w:rPr>
              <w:t>SETTLEMENT RATES</w:t>
            </w:r>
          </w:p>
        </w:tc>
      </w:tr>
      <w:tr w:rsidR="00564EEA" w:rsidRPr="00564EEA" w:rsidTr="004362D6">
        <w:trPr>
          <w:jc w:val="center"/>
        </w:trPr>
        <w:tc>
          <w:tcPr>
            <w:tcW w:w="0" w:type="auto"/>
            <w:hideMark/>
          </w:tcPr>
          <w:p w:rsidR="009C055D" w:rsidRPr="00564EEA" w:rsidRDefault="009C055D" w:rsidP="008A3D2D">
            <w:pPr>
              <w:pStyle w:val="BodyText"/>
              <w:spacing w:after="0" w:line="480" w:lineRule="auto"/>
              <w:jc w:val="center"/>
              <w:rPr>
                <w:rFonts w:ascii="Times New Roman" w:hAnsi="Times New Roman"/>
              </w:rPr>
            </w:pPr>
            <w:r w:rsidRPr="00564EEA">
              <w:rPr>
                <w:rFonts w:ascii="Times New Roman" w:hAnsi="Times New Roman"/>
              </w:rPr>
              <w:t>$38.03</w:t>
            </w:r>
          </w:p>
        </w:tc>
        <w:tc>
          <w:tcPr>
            <w:tcW w:w="0" w:type="auto"/>
            <w:hideMark/>
          </w:tcPr>
          <w:p w:rsidR="009C055D" w:rsidRPr="00564EEA" w:rsidRDefault="009C055D" w:rsidP="008A3D2D">
            <w:pPr>
              <w:pStyle w:val="BodyText"/>
              <w:spacing w:after="0" w:line="480" w:lineRule="auto"/>
              <w:jc w:val="center"/>
              <w:rPr>
                <w:rFonts w:ascii="Times New Roman" w:hAnsi="Times New Roman"/>
              </w:rPr>
            </w:pPr>
            <w:r w:rsidRPr="00564EEA">
              <w:rPr>
                <w:rFonts w:ascii="Times New Roman" w:hAnsi="Times New Roman"/>
              </w:rPr>
              <w:t>$63.05</w:t>
            </w:r>
          </w:p>
        </w:tc>
        <w:tc>
          <w:tcPr>
            <w:tcW w:w="0" w:type="auto"/>
            <w:hideMark/>
          </w:tcPr>
          <w:p w:rsidR="009C055D" w:rsidRPr="00564EEA" w:rsidRDefault="009C055D" w:rsidP="008A3D2D">
            <w:pPr>
              <w:pStyle w:val="BodyText"/>
              <w:spacing w:after="0" w:line="480" w:lineRule="auto"/>
              <w:jc w:val="center"/>
              <w:rPr>
                <w:rFonts w:ascii="Times New Roman" w:hAnsi="Times New Roman"/>
              </w:rPr>
            </w:pPr>
            <w:r w:rsidRPr="00564EEA">
              <w:rPr>
                <w:rFonts w:ascii="Times New Roman" w:hAnsi="Times New Roman"/>
              </w:rPr>
              <w:t>$56.61</w:t>
            </w:r>
          </w:p>
        </w:tc>
      </w:tr>
    </w:tbl>
    <w:p w:rsidR="004362D6" w:rsidRPr="00564EEA" w:rsidRDefault="004362D6" w:rsidP="008A3D2D">
      <w:pPr>
        <w:pStyle w:val="OutlineL3"/>
        <w:tabs>
          <w:tab w:val="clear" w:pos="720"/>
          <w:tab w:val="clear" w:pos="2160"/>
        </w:tabs>
        <w:spacing w:after="0" w:line="360" w:lineRule="auto"/>
        <w:ind w:firstLine="90"/>
        <w:jc w:val="both"/>
        <w:rPr>
          <w:sz w:val="26"/>
          <w:szCs w:val="26"/>
        </w:rPr>
      </w:pPr>
    </w:p>
    <w:p w:rsidR="009C055D" w:rsidRPr="00564EEA" w:rsidRDefault="009C055D" w:rsidP="009439D8">
      <w:pPr>
        <w:pStyle w:val="OutlineL3"/>
        <w:tabs>
          <w:tab w:val="clear" w:pos="720"/>
          <w:tab w:val="clear" w:pos="2160"/>
        </w:tabs>
        <w:spacing w:after="0" w:line="360" w:lineRule="auto"/>
        <w:ind w:firstLine="0"/>
        <w:jc w:val="both"/>
        <w:rPr>
          <w:sz w:val="26"/>
          <w:szCs w:val="26"/>
        </w:rPr>
      </w:pPr>
      <w:r w:rsidRPr="00564EEA">
        <w:rPr>
          <w:sz w:val="26"/>
          <w:szCs w:val="26"/>
        </w:rPr>
        <w:t>City Statement in Support of Joint Petition for Settlement at 1-3.</w:t>
      </w:r>
    </w:p>
    <w:p w:rsidR="009C055D" w:rsidRPr="00564EEA" w:rsidRDefault="009C055D" w:rsidP="008A3D2D">
      <w:pPr>
        <w:pStyle w:val="OutlineL3"/>
        <w:tabs>
          <w:tab w:val="clear" w:pos="720"/>
          <w:tab w:val="clear" w:pos="2160"/>
        </w:tabs>
        <w:spacing w:after="0" w:line="360" w:lineRule="auto"/>
        <w:ind w:firstLine="90"/>
        <w:rPr>
          <w:sz w:val="26"/>
          <w:szCs w:val="26"/>
        </w:rPr>
      </w:pPr>
    </w:p>
    <w:p w:rsidR="009C055D" w:rsidRPr="00564EEA" w:rsidRDefault="009C055D" w:rsidP="008A3D2D">
      <w:pPr>
        <w:pStyle w:val="OutlineL3"/>
        <w:tabs>
          <w:tab w:val="clear" w:pos="720"/>
          <w:tab w:val="clear" w:pos="2160"/>
        </w:tabs>
        <w:spacing w:after="0" w:line="360" w:lineRule="auto"/>
        <w:ind w:firstLine="90"/>
        <w:rPr>
          <w:sz w:val="26"/>
          <w:szCs w:val="26"/>
        </w:rPr>
      </w:pPr>
      <w:r w:rsidRPr="00564EEA">
        <w:rPr>
          <w:sz w:val="26"/>
          <w:szCs w:val="26"/>
        </w:rPr>
        <w:tab/>
      </w:r>
      <w:r w:rsidRPr="00564EEA">
        <w:rPr>
          <w:sz w:val="26"/>
          <w:szCs w:val="26"/>
        </w:rPr>
        <w:tab/>
      </w:r>
      <w:r w:rsidR="006248A1" w:rsidRPr="00564EEA">
        <w:rPr>
          <w:sz w:val="26"/>
          <w:szCs w:val="26"/>
        </w:rPr>
        <w:t xml:space="preserve">I&amp;E highlights the Settlement’s stay-out provision and contends that the Settlement provides for a level of annual operating revenues that is reasonable and lawful.  I&amp;E also notes that this Settlement eliminates the need for hearings and post-hearing litigation and that a corresponding portion </w:t>
      </w:r>
      <w:r w:rsidR="00751A43" w:rsidRPr="00564EEA">
        <w:rPr>
          <w:sz w:val="26"/>
          <w:szCs w:val="26"/>
        </w:rPr>
        <w:t>of</w:t>
      </w:r>
      <w:r w:rsidR="006248A1" w:rsidRPr="00564EEA">
        <w:rPr>
          <w:sz w:val="26"/>
          <w:szCs w:val="26"/>
        </w:rPr>
        <w:t xml:space="preserve"> the settlement revenues related to the </w:t>
      </w:r>
      <w:r w:rsidR="00751A43" w:rsidRPr="00564EEA">
        <w:rPr>
          <w:sz w:val="26"/>
          <w:szCs w:val="26"/>
        </w:rPr>
        <w:t>establishment</w:t>
      </w:r>
      <w:r w:rsidR="006248A1" w:rsidRPr="00564EEA">
        <w:rPr>
          <w:sz w:val="26"/>
          <w:szCs w:val="26"/>
        </w:rPr>
        <w:t xml:space="preserve"> of the OPEB</w:t>
      </w:r>
      <w:r w:rsidR="004362D6" w:rsidRPr="00564EEA">
        <w:rPr>
          <w:sz w:val="26"/>
          <w:szCs w:val="26"/>
        </w:rPr>
        <w:t xml:space="preserve"> </w:t>
      </w:r>
      <w:r w:rsidR="006248A1" w:rsidRPr="00564EEA">
        <w:rPr>
          <w:sz w:val="26"/>
          <w:szCs w:val="26"/>
        </w:rPr>
        <w:t>Trust may only be implemented after the OPEB Trust is fully established.  I&amp;E Statement in Support at 4-5; R.D. at 14.</w:t>
      </w:r>
    </w:p>
    <w:p w:rsidR="006248A1" w:rsidRPr="00564EEA" w:rsidRDefault="006248A1" w:rsidP="008A3D2D">
      <w:pPr>
        <w:pStyle w:val="OutlineL3"/>
        <w:tabs>
          <w:tab w:val="clear" w:pos="720"/>
          <w:tab w:val="clear" w:pos="2160"/>
        </w:tabs>
        <w:spacing w:after="0" w:line="360" w:lineRule="auto"/>
        <w:ind w:firstLine="90"/>
        <w:rPr>
          <w:sz w:val="26"/>
          <w:szCs w:val="26"/>
        </w:rPr>
      </w:pPr>
    </w:p>
    <w:p w:rsidR="006248A1" w:rsidRPr="00564EEA" w:rsidRDefault="006248A1" w:rsidP="008A3D2D">
      <w:pPr>
        <w:pStyle w:val="OutlineL3"/>
        <w:tabs>
          <w:tab w:val="clear" w:pos="720"/>
          <w:tab w:val="clear" w:pos="2160"/>
        </w:tabs>
        <w:spacing w:after="0" w:line="360" w:lineRule="auto"/>
        <w:ind w:firstLine="90"/>
        <w:rPr>
          <w:sz w:val="26"/>
          <w:szCs w:val="26"/>
        </w:rPr>
      </w:pPr>
      <w:r w:rsidRPr="00564EEA">
        <w:rPr>
          <w:sz w:val="26"/>
          <w:szCs w:val="26"/>
        </w:rPr>
        <w:tab/>
      </w:r>
      <w:r w:rsidRPr="00564EEA">
        <w:rPr>
          <w:sz w:val="26"/>
          <w:szCs w:val="26"/>
        </w:rPr>
        <w:tab/>
        <w:t xml:space="preserve">The OCA notes that all customers </w:t>
      </w:r>
      <w:r w:rsidR="00E642B3" w:rsidRPr="00564EEA">
        <w:rPr>
          <w:sz w:val="26"/>
          <w:szCs w:val="26"/>
        </w:rPr>
        <w:t xml:space="preserve">will </w:t>
      </w:r>
      <w:r w:rsidRPr="00564EEA">
        <w:rPr>
          <w:sz w:val="26"/>
          <w:szCs w:val="26"/>
        </w:rPr>
        <w:t>benefit from a reduction in the rates as originally proposed by the City</w:t>
      </w:r>
      <w:r w:rsidR="00357323" w:rsidRPr="00564EEA">
        <w:rPr>
          <w:sz w:val="26"/>
          <w:szCs w:val="26"/>
        </w:rPr>
        <w:t>.  The OCA avers that the rate design achieved under the Settlement Agreement is reasonable and within the range of possible outcomes if the case had been litigated.</w:t>
      </w:r>
      <w:r w:rsidR="00560E73" w:rsidRPr="00564EEA">
        <w:rPr>
          <w:sz w:val="26"/>
          <w:szCs w:val="26"/>
        </w:rPr>
        <w:t xml:space="preserve"> </w:t>
      </w:r>
      <w:r w:rsidR="00357323" w:rsidRPr="00564EEA">
        <w:rPr>
          <w:sz w:val="26"/>
          <w:szCs w:val="26"/>
        </w:rPr>
        <w:t xml:space="preserve"> OCA Statement in Support of Joint Petition for Settlement at 4.  </w:t>
      </w:r>
      <w:r w:rsidR="00357323" w:rsidRPr="00564EEA">
        <w:rPr>
          <w:sz w:val="26"/>
          <w:szCs w:val="26"/>
        </w:rPr>
        <w:lastRenderedPageBreak/>
        <w:t xml:space="preserve">The OCA maintains that the reduction in the proposed rate increase, the stay out provision in the Settlement, and the avoidance of further litigation is in the public interest.  The OCA further avers that the terms and conditions of the proposed Settlement are a fair and reasonable resolution of the issues and claims in this </w:t>
      </w:r>
      <w:r w:rsidR="00751A43" w:rsidRPr="00564EEA">
        <w:rPr>
          <w:sz w:val="26"/>
          <w:szCs w:val="26"/>
        </w:rPr>
        <w:t>proceeding.</w:t>
      </w:r>
      <w:r w:rsidR="00560E73" w:rsidRPr="00564EEA">
        <w:rPr>
          <w:sz w:val="26"/>
          <w:szCs w:val="26"/>
        </w:rPr>
        <w:t xml:space="preserve"> </w:t>
      </w:r>
      <w:r w:rsidR="00357323" w:rsidRPr="00564EEA">
        <w:rPr>
          <w:sz w:val="26"/>
          <w:szCs w:val="26"/>
        </w:rPr>
        <w:t xml:space="preserve"> R.D. at</w:t>
      </w:r>
      <w:r w:rsidR="00E642B3" w:rsidRPr="00564EEA">
        <w:rPr>
          <w:sz w:val="26"/>
          <w:szCs w:val="26"/>
        </w:rPr>
        <w:t> </w:t>
      </w:r>
      <w:r w:rsidR="00357323" w:rsidRPr="00564EEA">
        <w:rPr>
          <w:sz w:val="26"/>
          <w:szCs w:val="26"/>
        </w:rPr>
        <w:t>14</w:t>
      </w:r>
      <w:r w:rsidR="009439D8">
        <w:rPr>
          <w:sz w:val="26"/>
          <w:szCs w:val="26"/>
        </w:rPr>
        <w:t>.</w:t>
      </w:r>
    </w:p>
    <w:p w:rsidR="00094C09" w:rsidRPr="00564EEA" w:rsidRDefault="00094C09" w:rsidP="008A3D2D">
      <w:pPr>
        <w:pStyle w:val="OutlineL3"/>
        <w:tabs>
          <w:tab w:val="clear" w:pos="720"/>
          <w:tab w:val="clear" w:pos="2160"/>
        </w:tabs>
        <w:spacing w:after="0" w:line="360" w:lineRule="auto"/>
        <w:ind w:firstLine="90"/>
        <w:rPr>
          <w:sz w:val="26"/>
          <w:szCs w:val="26"/>
        </w:rPr>
      </w:pPr>
    </w:p>
    <w:p w:rsidR="00084569" w:rsidRPr="00564EEA" w:rsidRDefault="00094C09" w:rsidP="008A3D2D">
      <w:pPr>
        <w:pStyle w:val="OutlineL3"/>
        <w:tabs>
          <w:tab w:val="clear" w:pos="720"/>
          <w:tab w:val="clear" w:pos="2160"/>
        </w:tabs>
        <w:spacing w:after="0" w:line="360" w:lineRule="auto"/>
        <w:ind w:firstLine="90"/>
        <w:rPr>
          <w:sz w:val="26"/>
          <w:szCs w:val="26"/>
        </w:rPr>
      </w:pPr>
      <w:r w:rsidRPr="00564EEA">
        <w:rPr>
          <w:sz w:val="26"/>
          <w:szCs w:val="26"/>
        </w:rPr>
        <w:tab/>
      </w:r>
      <w:r w:rsidRPr="00564EEA">
        <w:rPr>
          <w:sz w:val="26"/>
          <w:szCs w:val="26"/>
        </w:rPr>
        <w:tab/>
        <w:t xml:space="preserve">The OSBA, as with I&amp;E and the OCA, notes the benefits </w:t>
      </w:r>
      <w:r w:rsidR="00E642B3" w:rsidRPr="00564EEA">
        <w:rPr>
          <w:sz w:val="26"/>
          <w:szCs w:val="26"/>
        </w:rPr>
        <w:t xml:space="preserve">that </w:t>
      </w:r>
      <w:r w:rsidRPr="00564EEA">
        <w:rPr>
          <w:sz w:val="26"/>
          <w:szCs w:val="26"/>
        </w:rPr>
        <w:t xml:space="preserve">the proposed Settlement achieves by avoiding costly litigation and resolving the issues in this proceeding in a fair and reasonable manner.  The OSBA also </w:t>
      </w:r>
      <w:r w:rsidR="00560E73" w:rsidRPr="00564EEA">
        <w:rPr>
          <w:sz w:val="26"/>
          <w:szCs w:val="26"/>
        </w:rPr>
        <w:t>sta</w:t>
      </w:r>
      <w:r w:rsidRPr="00564EEA">
        <w:rPr>
          <w:sz w:val="26"/>
          <w:szCs w:val="26"/>
        </w:rPr>
        <w:t xml:space="preserve">tes that the issues of class revenue allocation and rate design </w:t>
      </w:r>
      <w:r w:rsidR="004A305B" w:rsidRPr="00564EEA">
        <w:rPr>
          <w:sz w:val="26"/>
          <w:szCs w:val="26"/>
        </w:rPr>
        <w:t xml:space="preserve">are </w:t>
      </w:r>
      <w:r w:rsidRPr="00564EEA">
        <w:rPr>
          <w:sz w:val="26"/>
          <w:szCs w:val="26"/>
        </w:rPr>
        <w:t xml:space="preserve">significant </w:t>
      </w:r>
      <w:r w:rsidR="008A3D2D" w:rsidRPr="00564EEA">
        <w:rPr>
          <w:sz w:val="26"/>
          <w:szCs w:val="26"/>
        </w:rPr>
        <w:t>matters addressed by t</w:t>
      </w:r>
      <w:r w:rsidRPr="00564EEA">
        <w:rPr>
          <w:sz w:val="26"/>
          <w:szCs w:val="26"/>
        </w:rPr>
        <w:t>he OSBA</w:t>
      </w:r>
      <w:r w:rsidR="004A305B" w:rsidRPr="00564EEA">
        <w:rPr>
          <w:sz w:val="26"/>
          <w:szCs w:val="26"/>
        </w:rPr>
        <w:t xml:space="preserve"> </w:t>
      </w:r>
      <w:r w:rsidR="008A3D2D" w:rsidRPr="00564EEA">
        <w:rPr>
          <w:sz w:val="26"/>
          <w:szCs w:val="26"/>
        </w:rPr>
        <w:t xml:space="preserve">in the Settlement </w:t>
      </w:r>
      <w:r w:rsidR="004A305B" w:rsidRPr="00564EEA">
        <w:rPr>
          <w:sz w:val="26"/>
          <w:szCs w:val="26"/>
        </w:rPr>
        <w:t xml:space="preserve">and </w:t>
      </w:r>
      <w:r w:rsidR="008A3D2D" w:rsidRPr="00564EEA">
        <w:rPr>
          <w:sz w:val="26"/>
          <w:szCs w:val="26"/>
        </w:rPr>
        <w:t xml:space="preserve">are </w:t>
      </w:r>
      <w:r w:rsidR="004A305B" w:rsidRPr="00564EEA">
        <w:rPr>
          <w:sz w:val="26"/>
          <w:szCs w:val="26"/>
        </w:rPr>
        <w:t xml:space="preserve">in </w:t>
      </w:r>
      <w:r w:rsidRPr="00564EEA">
        <w:rPr>
          <w:sz w:val="26"/>
          <w:szCs w:val="26"/>
        </w:rPr>
        <w:t>the best interests of the City’s Small Commercial and Industrial Customers.</w:t>
      </w:r>
      <w:r w:rsidR="008A3D2D" w:rsidRPr="00564EEA">
        <w:rPr>
          <w:sz w:val="26"/>
          <w:szCs w:val="26"/>
        </w:rPr>
        <w:t xml:space="preserve"> </w:t>
      </w:r>
      <w:r w:rsidRPr="00564EEA">
        <w:rPr>
          <w:sz w:val="26"/>
          <w:szCs w:val="26"/>
        </w:rPr>
        <w:t xml:space="preserve"> R.D. at 14-15.</w:t>
      </w:r>
    </w:p>
    <w:p w:rsidR="00084569" w:rsidRPr="00564EEA" w:rsidRDefault="00084569" w:rsidP="008A3D2D">
      <w:pPr>
        <w:pStyle w:val="OutlineL3"/>
        <w:tabs>
          <w:tab w:val="clear" w:pos="720"/>
          <w:tab w:val="clear" w:pos="2160"/>
        </w:tabs>
        <w:spacing w:after="0" w:line="360" w:lineRule="auto"/>
        <w:ind w:firstLine="90"/>
        <w:rPr>
          <w:sz w:val="26"/>
          <w:szCs w:val="26"/>
        </w:rPr>
      </w:pPr>
    </w:p>
    <w:p w:rsidR="00084569" w:rsidRPr="00564EEA" w:rsidRDefault="00084569" w:rsidP="008A3D2D">
      <w:pPr>
        <w:pStyle w:val="OutlineL3"/>
        <w:tabs>
          <w:tab w:val="clear" w:pos="720"/>
          <w:tab w:val="clear" w:pos="2160"/>
        </w:tabs>
        <w:spacing w:after="0" w:line="360" w:lineRule="auto"/>
        <w:ind w:firstLine="90"/>
        <w:rPr>
          <w:b/>
          <w:sz w:val="26"/>
          <w:szCs w:val="26"/>
        </w:rPr>
      </w:pPr>
      <w:r w:rsidRPr="00564EEA">
        <w:rPr>
          <w:b/>
          <w:sz w:val="26"/>
          <w:szCs w:val="26"/>
        </w:rPr>
        <w:tab/>
      </w:r>
      <w:r w:rsidRPr="00564EEA">
        <w:rPr>
          <w:b/>
          <w:sz w:val="26"/>
          <w:szCs w:val="26"/>
        </w:rPr>
        <w:tab/>
        <w:t>2.</w:t>
      </w:r>
      <w:r w:rsidRPr="00564EEA">
        <w:rPr>
          <w:b/>
          <w:sz w:val="26"/>
          <w:szCs w:val="26"/>
        </w:rPr>
        <w:tab/>
        <w:t>ALJ Recommendation</w:t>
      </w:r>
    </w:p>
    <w:p w:rsidR="00751A43" w:rsidRPr="00564EEA" w:rsidRDefault="00751A43" w:rsidP="008A3D2D">
      <w:pPr>
        <w:pStyle w:val="OutlineL3"/>
        <w:tabs>
          <w:tab w:val="clear" w:pos="720"/>
          <w:tab w:val="clear" w:pos="2160"/>
        </w:tabs>
        <w:spacing w:after="0" w:line="360" w:lineRule="auto"/>
        <w:ind w:firstLine="90"/>
        <w:rPr>
          <w:b/>
          <w:sz w:val="26"/>
          <w:szCs w:val="26"/>
        </w:rPr>
      </w:pPr>
    </w:p>
    <w:p w:rsidR="00B95FF2" w:rsidRPr="00564EEA" w:rsidRDefault="00094C09" w:rsidP="008A3D2D">
      <w:pPr>
        <w:pStyle w:val="OutlineL3"/>
        <w:tabs>
          <w:tab w:val="clear" w:pos="720"/>
          <w:tab w:val="clear" w:pos="2160"/>
        </w:tabs>
        <w:spacing w:after="0" w:line="360" w:lineRule="auto"/>
        <w:ind w:firstLine="90"/>
        <w:rPr>
          <w:sz w:val="26"/>
          <w:szCs w:val="26"/>
        </w:rPr>
      </w:pPr>
      <w:r w:rsidRPr="00564EEA">
        <w:rPr>
          <w:b/>
          <w:sz w:val="26"/>
          <w:szCs w:val="26"/>
        </w:rPr>
        <w:tab/>
      </w:r>
      <w:r w:rsidRPr="00564EEA">
        <w:rPr>
          <w:b/>
          <w:sz w:val="26"/>
          <w:szCs w:val="26"/>
        </w:rPr>
        <w:tab/>
      </w:r>
      <w:r w:rsidRPr="00564EEA">
        <w:rPr>
          <w:sz w:val="26"/>
          <w:szCs w:val="26"/>
        </w:rPr>
        <w:t>The ALJ concluded that the terms of and conditions of the Joint Petition for Settlement, including the supporting state</w:t>
      </w:r>
      <w:r w:rsidR="00AD2ACB" w:rsidRPr="00564EEA">
        <w:rPr>
          <w:sz w:val="26"/>
          <w:szCs w:val="26"/>
        </w:rPr>
        <w:t xml:space="preserve">ments of the respective Parties, indicate that the proposed Settlement is a fair, just, and reasonable resolution of the Commission’s investigation, is in the public interest, and should be approved without modification by the Commission.  The ALJ also recommended that the associated Complaints filed by the OCA and by the OSBA be deemed satisfied and that the </w:t>
      </w:r>
      <w:r w:rsidR="00022757" w:rsidRPr="00564EEA">
        <w:rPr>
          <w:sz w:val="26"/>
          <w:szCs w:val="26"/>
        </w:rPr>
        <w:t>Formal Complaint</w:t>
      </w:r>
      <w:r w:rsidR="00AD2ACB" w:rsidRPr="00564EEA">
        <w:rPr>
          <w:sz w:val="26"/>
          <w:szCs w:val="26"/>
        </w:rPr>
        <w:t xml:space="preserve"> filed by Jane</w:t>
      </w:r>
      <w:r w:rsidR="008A3D2D" w:rsidRPr="00564EEA">
        <w:rPr>
          <w:sz w:val="26"/>
          <w:szCs w:val="26"/>
        </w:rPr>
        <w:t> </w:t>
      </w:r>
      <w:r w:rsidR="00AD2ACB" w:rsidRPr="00564EEA">
        <w:rPr>
          <w:sz w:val="26"/>
          <w:szCs w:val="26"/>
        </w:rPr>
        <w:t>O.</w:t>
      </w:r>
      <w:r w:rsidR="008A3D2D" w:rsidRPr="00564EEA">
        <w:rPr>
          <w:sz w:val="26"/>
          <w:szCs w:val="26"/>
        </w:rPr>
        <w:t> </w:t>
      </w:r>
      <w:r w:rsidR="00AD2ACB" w:rsidRPr="00564EEA">
        <w:rPr>
          <w:sz w:val="26"/>
          <w:szCs w:val="26"/>
        </w:rPr>
        <w:t>Larkin be dismissed.  R.D. at 16</w:t>
      </w:r>
    </w:p>
    <w:p w:rsidR="00B95FF2" w:rsidRPr="00564EEA" w:rsidRDefault="00B95FF2" w:rsidP="008A3D2D">
      <w:pPr>
        <w:pStyle w:val="OutlineL3"/>
        <w:tabs>
          <w:tab w:val="clear" w:pos="720"/>
          <w:tab w:val="clear" w:pos="2160"/>
        </w:tabs>
        <w:spacing w:after="0" w:line="360" w:lineRule="auto"/>
        <w:ind w:firstLine="90"/>
        <w:rPr>
          <w:b/>
          <w:sz w:val="26"/>
          <w:szCs w:val="26"/>
        </w:rPr>
      </w:pPr>
    </w:p>
    <w:p w:rsidR="00B95FF2" w:rsidRPr="00564EEA" w:rsidRDefault="00B95FF2" w:rsidP="008A3D2D">
      <w:pPr>
        <w:pStyle w:val="OutlineL3"/>
        <w:tabs>
          <w:tab w:val="clear" w:pos="720"/>
          <w:tab w:val="clear" w:pos="2160"/>
        </w:tabs>
        <w:spacing w:after="0" w:line="360" w:lineRule="auto"/>
        <w:ind w:firstLine="90"/>
        <w:rPr>
          <w:b/>
          <w:sz w:val="26"/>
          <w:szCs w:val="26"/>
        </w:rPr>
      </w:pPr>
      <w:r w:rsidRPr="00564EEA">
        <w:rPr>
          <w:b/>
          <w:sz w:val="26"/>
          <w:szCs w:val="26"/>
        </w:rPr>
        <w:tab/>
      </w:r>
      <w:r w:rsidRPr="00564EEA">
        <w:rPr>
          <w:b/>
          <w:sz w:val="26"/>
          <w:szCs w:val="26"/>
        </w:rPr>
        <w:tab/>
        <w:t>3.</w:t>
      </w:r>
      <w:r w:rsidRPr="00564EEA">
        <w:rPr>
          <w:b/>
          <w:sz w:val="26"/>
          <w:szCs w:val="26"/>
        </w:rPr>
        <w:tab/>
        <w:t>Disposition</w:t>
      </w:r>
    </w:p>
    <w:p w:rsidR="00AD2ACB" w:rsidRPr="00564EEA" w:rsidRDefault="00AD2ACB" w:rsidP="008A3D2D">
      <w:pPr>
        <w:pStyle w:val="OutlineL3"/>
        <w:numPr>
          <w:ilvl w:val="0"/>
          <w:numId w:val="0"/>
        </w:numPr>
        <w:tabs>
          <w:tab w:val="clear" w:pos="2160"/>
        </w:tabs>
        <w:spacing w:after="0" w:line="360" w:lineRule="auto"/>
        <w:outlineLvl w:val="9"/>
        <w:rPr>
          <w:b/>
          <w:sz w:val="26"/>
          <w:szCs w:val="26"/>
        </w:rPr>
      </w:pPr>
    </w:p>
    <w:p w:rsidR="00084569" w:rsidRPr="00564EEA" w:rsidRDefault="00AD2ACB" w:rsidP="008A3D2D">
      <w:pPr>
        <w:pStyle w:val="OutlineL3"/>
        <w:numPr>
          <w:ilvl w:val="0"/>
          <w:numId w:val="0"/>
        </w:numPr>
        <w:tabs>
          <w:tab w:val="clear" w:pos="2160"/>
        </w:tabs>
        <w:spacing w:after="0" w:line="360" w:lineRule="auto"/>
        <w:outlineLvl w:val="9"/>
        <w:rPr>
          <w:sz w:val="26"/>
          <w:szCs w:val="26"/>
        </w:rPr>
      </w:pPr>
      <w:r w:rsidRPr="00564EEA">
        <w:rPr>
          <w:b/>
          <w:sz w:val="26"/>
          <w:szCs w:val="26"/>
        </w:rPr>
        <w:tab/>
      </w:r>
      <w:r w:rsidRPr="00564EEA">
        <w:rPr>
          <w:b/>
          <w:sz w:val="26"/>
          <w:szCs w:val="26"/>
        </w:rPr>
        <w:tab/>
      </w:r>
      <w:r w:rsidRPr="00564EEA">
        <w:rPr>
          <w:sz w:val="26"/>
          <w:szCs w:val="26"/>
        </w:rPr>
        <w:t xml:space="preserve">Based upon our review of the record, we </w:t>
      </w:r>
      <w:r w:rsidR="00CE4962" w:rsidRPr="00564EEA">
        <w:rPr>
          <w:sz w:val="26"/>
          <w:szCs w:val="26"/>
        </w:rPr>
        <w:t xml:space="preserve">concur with the ALJ’s finding that the Joint Petition for Settlement should be approved without modification.  We </w:t>
      </w:r>
      <w:r w:rsidR="00FF011F" w:rsidRPr="00564EEA">
        <w:rPr>
          <w:sz w:val="26"/>
          <w:szCs w:val="26"/>
        </w:rPr>
        <w:t>are of the opinion that the</w:t>
      </w:r>
      <w:r w:rsidR="00CE4962" w:rsidRPr="00564EEA">
        <w:rPr>
          <w:sz w:val="26"/>
          <w:szCs w:val="26"/>
        </w:rPr>
        <w:t xml:space="preserve"> proposed Settlement </w:t>
      </w:r>
      <w:r w:rsidR="00FF011F" w:rsidRPr="00564EEA">
        <w:rPr>
          <w:sz w:val="26"/>
          <w:szCs w:val="26"/>
        </w:rPr>
        <w:t>is</w:t>
      </w:r>
      <w:r w:rsidR="00CE4962" w:rsidRPr="00564EEA">
        <w:rPr>
          <w:sz w:val="26"/>
          <w:szCs w:val="26"/>
        </w:rPr>
        <w:t xml:space="preserve"> one that balances the concerns of all </w:t>
      </w:r>
      <w:r w:rsidR="008A3D2D" w:rsidRPr="00564EEA">
        <w:rPr>
          <w:sz w:val="26"/>
          <w:szCs w:val="26"/>
        </w:rPr>
        <w:t>P</w:t>
      </w:r>
      <w:r w:rsidR="00CE4962" w:rsidRPr="00564EEA">
        <w:rPr>
          <w:sz w:val="26"/>
          <w:szCs w:val="26"/>
        </w:rPr>
        <w:t>arties involved and</w:t>
      </w:r>
      <w:r w:rsidR="00560E73" w:rsidRPr="00564EEA">
        <w:rPr>
          <w:sz w:val="26"/>
          <w:szCs w:val="26"/>
        </w:rPr>
        <w:t xml:space="preserve"> is</w:t>
      </w:r>
      <w:r w:rsidR="00CE4962" w:rsidRPr="00564EEA">
        <w:rPr>
          <w:sz w:val="26"/>
          <w:szCs w:val="26"/>
        </w:rPr>
        <w:t xml:space="preserve"> in the public interest.  We also concur with the ALJ that the associated </w:t>
      </w:r>
      <w:r w:rsidR="00CE4962" w:rsidRPr="00564EEA">
        <w:rPr>
          <w:sz w:val="26"/>
          <w:szCs w:val="26"/>
        </w:rPr>
        <w:lastRenderedPageBreak/>
        <w:t>Complaints filed by the OCA and by the OSBA be deemed satisfied</w:t>
      </w:r>
      <w:r w:rsidR="00560E73" w:rsidRPr="00564EEA">
        <w:rPr>
          <w:sz w:val="26"/>
          <w:szCs w:val="26"/>
        </w:rPr>
        <w:t xml:space="preserve">. </w:t>
      </w:r>
      <w:r w:rsidR="00FF011F" w:rsidRPr="00564EEA">
        <w:rPr>
          <w:sz w:val="26"/>
          <w:szCs w:val="26"/>
        </w:rPr>
        <w:t xml:space="preserve"> </w:t>
      </w:r>
      <w:r w:rsidR="00560E73" w:rsidRPr="00564EEA">
        <w:rPr>
          <w:sz w:val="26"/>
          <w:szCs w:val="26"/>
        </w:rPr>
        <w:t xml:space="preserve">Finally, as discussed, </w:t>
      </w:r>
      <w:r w:rsidR="00560E73" w:rsidRPr="00564EEA">
        <w:rPr>
          <w:i/>
          <w:sz w:val="26"/>
          <w:szCs w:val="26"/>
        </w:rPr>
        <w:t xml:space="preserve">infra, </w:t>
      </w:r>
      <w:r w:rsidR="00560E73" w:rsidRPr="00564EEA">
        <w:rPr>
          <w:sz w:val="26"/>
          <w:szCs w:val="26"/>
        </w:rPr>
        <w:t>we concur with the ALJ tha</w:t>
      </w:r>
      <w:r w:rsidR="00CE4962" w:rsidRPr="00564EEA">
        <w:rPr>
          <w:sz w:val="26"/>
          <w:szCs w:val="26"/>
        </w:rPr>
        <w:t xml:space="preserve">t the </w:t>
      </w:r>
      <w:r w:rsidR="00022757" w:rsidRPr="00564EEA">
        <w:rPr>
          <w:sz w:val="26"/>
          <w:szCs w:val="26"/>
        </w:rPr>
        <w:t>Formal Complaint</w:t>
      </w:r>
      <w:r w:rsidR="00CE4962" w:rsidRPr="00564EEA">
        <w:rPr>
          <w:sz w:val="26"/>
          <w:szCs w:val="26"/>
        </w:rPr>
        <w:t xml:space="preserve"> filed by Jane</w:t>
      </w:r>
      <w:r w:rsidR="008A3D2D" w:rsidRPr="00564EEA">
        <w:rPr>
          <w:sz w:val="26"/>
          <w:szCs w:val="26"/>
        </w:rPr>
        <w:t> </w:t>
      </w:r>
      <w:r w:rsidR="00CE4962" w:rsidRPr="00564EEA">
        <w:rPr>
          <w:sz w:val="26"/>
          <w:szCs w:val="26"/>
        </w:rPr>
        <w:t>O</w:t>
      </w:r>
      <w:r w:rsidR="008A3D2D" w:rsidRPr="00564EEA">
        <w:rPr>
          <w:sz w:val="26"/>
          <w:szCs w:val="26"/>
        </w:rPr>
        <w:t>. </w:t>
      </w:r>
      <w:r w:rsidR="00CE4962" w:rsidRPr="00564EEA">
        <w:rPr>
          <w:sz w:val="26"/>
          <w:szCs w:val="26"/>
        </w:rPr>
        <w:t>Larkin be dismissed.</w:t>
      </w:r>
      <w:r w:rsidRPr="00564EEA">
        <w:rPr>
          <w:sz w:val="26"/>
          <w:szCs w:val="26"/>
        </w:rPr>
        <w:t xml:space="preserve"> </w:t>
      </w:r>
    </w:p>
    <w:p w:rsidR="00797026" w:rsidRPr="00564EEA" w:rsidRDefault="00797026" w:rsidP="008A3D2D">
      <w:pPr>
        <w:pStyle w:val="OutlineL3"/>
        <w:numPr>
          <w:ilvl w:val="0"/>
          <w:numId w:val="0"/>
        </w:numPr>
        <w:tabs>
          <w:tab w:val="clear" w:pos="2160"/>
        </w:tabs>
        <w:spacing w:after="0" w:line="360" w:lineRule="auto"/>
        <w:outlineLvl w:val="9"/>
        <w:rPr>
          <w:b/>
          <w:sz w:val="26"/>
          <w:szCs w:val="26"/>
        </w:rPr>
      </w:pPr>
    </w:p>
    <w:p w:rsidR="0047723D" w:rsidRPr="00564EEA" w:rsidRDefault="00CE4962" w:rsidP="008A3D2D">
      <w:pPr>
        <w:pStyle w:val="OutlineL3"/>
        <w:keepNext/>
        <w:numPr>
          <w:ilvl w:val="0"/>
          <w:numId w:val="0"/>
        </w:numPr>
        <w:tabs>
          <w:tab w:val="clear" w:pos="2160"/>
        </w:tabs>
        <w:spacing w:after="0" w:line="360" w:lineRule="auto"/>
        <w:outlineLvl w:val="9"/>
        <w:rPr>
          <w:sz w:val="26"/>
          <w:szCs w:val="26"/>
        </w:rPr>
      </w:pPr>
      <w:r w:rsidRPr="00564EEA">
        <w:rPr>
          <w:b/>
          <w:sz w:val="26"/>
          <w:szCs w:val="26"/>
        </w:rPr>
        <w:t>D</w:t>
      </w:r>
      <w:r w:rsidR="0047723D" w:rsidRPr="00564EEA">
        <w:rPr>
          <w:b/>
          <w:sz w:val="26"/>
          <w:szCs w:val="26"/>
        </w:rPr>
        <w:t>.</w:t>
      </w:r>
      <w:r w:rsidR="0047723D" w:rsidRPr="00564EEA">
        <w:rPr>
          <w:b/>
          <w:sz w:val="26"/>
          <w:szCs w:val="26"/>
        </w:rPr>
        <w:tab/>
      </w:r>
      <w:r w:rsidR="0047723D" w:rsidRPr="00564EEA">
        <w:rPr>
          <w:b/>
          <w:i/>
          <w:sz w:val="26"/>
          <w:szCs w:val="26"/>
        </w:rPr>
        <w:t>Pro se</w:t>
      </w:r>
      <w:r w:rsidRPr="00564EEA">
        <w:rPr>
          <w:b/>
          <w:sz w:val="26"/>
          <w:szCs w:val="26"/>
        </w:rPr>
        <w:t xml:space="preserve"> Complainant</w:t>
      </w:r>
    </w:p>
    <w:p w:rsidR="0047723D" w:rsidRPr="00564EEA" w:rsidRDefault="0047723D" w:rsidP="008A3D2D">
      <w:pPr>
        <w:pStyle w:val="OutlineL3"/>
        <w:keepNext/>
        <w:spacing w:after="0" w:line="360" w:lineRule="auto"/>
        <w:rPr>
          <w:sz w:val="26"/>
          <w:szCs w:val="26"/>
        </w:rPr>
      </w:pPr>
    </w:p>
    <w:p w:rsidR="0047723D" w:rsidRPr="00564EEA" w:rsidRDefault="0047723D" w:rsidP="008A3D2D">
      <w:pPr>
        <w:pStyle w:val="OutlineL3"/>
        <w:tabs>
          <w:tab w:val="clear" w:pos="720"/>
          <w:tab w:val="clear" w:pos="2160"/>
        </w:tabs>
        <w:spacing w:after="0" w:line="360" w:lineRule="auto"/>
        <w:ind w:firstLine="90"/>
        <w:rPr>
          <w:b/>
          <w:sz w:val="26"/>
          <w:szCs w:val="26"/>
        </w:rPr>
      </w:pPr>
      <w:r w:rsidRPr="00564EEA">
        <w:rPr>
          <w:b/>
          <w:sz w:val="26"/>
          <w:szCs w:val="26"/>
        </w:rPr>
        <w:tab/>
      </w:r>
      <w:r w:rsidRPr="00564EEA">
        <w:rPr>
          <w:b/>
          <w:sz w:val="26"/>
          <w:szCs w:val="26"/>
        </w:rPr>
        <w:tab/>
        <w:t>1.</w:t>
      </w:r>
      <w:r w:rsidRPr="00564EEA">
        <w:rPr>
          <w:b/>
          <w:sz w:val="26"/>
          <w:szCs w:val="26"/>
        </w:rPr>
        <w:tab/>
        <w:t xml:space="preserve">Exceptions of </w:t>
      </w:r>
      <w:r w:rsidR="005D66DA" w:rsidRPr="00564EEA">
        <w:rPr>
          <w:b/>
          <w:sz w:val="26"/>
          <w:szCs w:val="26"/>
        </w:rPr>
        <w:t>Jane O. Larkin</w:t>
      </w:r>
    </w:p>
    <w:p w:rsidR="0047723D" w:rsidRPr="00564EEA" w:rsidRDefault="0047723D" w:rsidP="008A3D2D">
      <w:pPr>
        <w:pStyle w:val="OutlineL3"/>
        <w:spacing w:after="0" w:line="360" w:lineRule="auto"/>
        <w:rPr>
          <w:sz w:val="26"/>
          <w:szCs w:val="26"/>
        </w:rPr>
      </w:pPr>
    </w:p>
    <w:p w:rsidR="003F45DE" w:rsidRPr="00564EEA" w:rsidRDefault="0047723D" w:rsidP="008A3D2D">
      <w:pPr>
        <w:pStyle w:val="OutlineL3"/>
        <w:tabs>
          <w:tab w:val="clear" w:pos="720"/>
          <w:tab w:val="clear" w:pos="2160"/>
        </w:tabs>
        <w:spacing w:after="0" w:line="360" w:lineRule="auto"/>
        <w:ind w:firstLine="90"/>
        <w:rPr>
          <w:sz w:val="26"/>
          <w:szCs w:val="26"/>
        </w:rPr>
      </w:pPr>
      <w:r w:rsidRPr="00564EEA">
        <w:rPr>
          <w:sz w:val="26"/>
          <w:szCs w:val="26"/>
        </w:rPr>
        <w:tab/>
      </w:r>
      <w:r w:rsidRPr="00564EEA">
        <w:rPr>
          <w:sz w:val="26"/>
          <w:szCs w:val="26"/>
        </w:rPr>
        <w:tab/>
      </w:r>
      <w:r w:rsidR="00635E9B" w:rsidRPr="00564EEA">
        <w:rPr>
          <w:sz w:val="26"/>
          <w:szCs w:val="26"/>
        </w:rPr>
        <w:t xml:space="preserve">As noted, </w:t>
      </w:r>
      <w:r w:rsidR="00635E9B" w:rsidRPr="00564EEA">
        <w:rPr>
          <w:i/>
          <w:sz w:val="26"/>
          <w:szCs w:val="26"/>
        </w:rPr>
        <w:t>supra</w:t>
      </w:r>
      <w:r w:rsidR="00635E9B" w:rsidRPr="00564EEA">
        <w:rPr>
          <w:sz w:val="26"/>
          <w:szCs w:val="26"/>
        </w:rPr>
        <w:t xml:space="preserve">, </w:t>
      </w:r>
      <w:r w:rsidR="00635E9B" w:rsidRPr="00564EEA">
        <w:rPr>
          <w:i/>
          <w:sz w:val="26"/>
          <w:szCs w:val="26"/>
        </w:rPr>
        <w:t>p</w:t>
      </w:r>
      <w:r w:rsidRPr="00564EEA">
        <w:rPr>
          <w:i/>
          <w:sz w:val="26"/>
          <w:szCs w:val="26"/>
        </w:rPr>
        <w:t>ro se</w:t>
      </w:r>
      <w:r w:rsidRPr="00564EEA">
        <w:rPr>
          <w:sz w:val="26"/>
          <w:szCs w:val="26"/>
        </w:rPr>
        <w:t xml:space="preserve"> Complainant </w:t>
      </w:r>
      <w:r w:rsidR="003F45DE" w:rsidRPr="00564EEA">
        <w:rPr>
          <w:sz w:val="26"/>
          <w:szCs w:val="26"/>
        </w:rPr>
        <w:t>Jane O. Larkin</w:t>
      </w:r>
      <w:r w:rsidRPr="00564EEA">
        <w:rPr>
          <w:sz w:val="26"/>
          <w:szCs w:val="26"/>
        </w:rPr>
        <w:t xml:space="preserve"> filed </w:t>
      </w:r>
      <w:r w:rsidR="00797026" w:rsidRPr="00564EEA">
        <w:rPr>
          <w:sz w:val="26"/>
          <w:szCs w:val="26"/>
        </w:rPr>
        <w:t xml:space="preserve">an </w:t>
      </w:r>
      <w:r w:rsidRPr="00564EEA">
        <w:rPr>
          <w:sz w:val="26"/>
          <w:szCs w:val="26"/>
        </w:rPr>
        <w:t>Exception to the Recommended Decision</w:t>
      </w:r>
      <w:r w:rsidR="003F45DE" w:rsidRPr="00564EEA">
        <w:rPr>
          <w:sz w:val="26"/>
          <w:szCs w:val="26"/>
        </w:rPr>
        <w:t>.</w:t>
      </w:r>
      <w:r w:rsidRPr="00564EEA">
        <w:rPr>
          <w:sz w:val="26"/>
          <w:szCs w:val="26"/>
        </w:rPr>
        <w:t xml:space="preserve"> </w:t>
      </w:r>
      <w:r w:rsidR="00560E73" w:rsidRPr="00564EEA">
        <w:rPr>
          <w:sz w:val="26"/>
          <w:szCs w:val="26"/>
        </w:rPr>
        <w:t xml:space="preserve"> </w:t>
      </w:r>
      <w:r w:rsidR="003F45DE" w:rsidRPr="00564EEA">
        <w:rPr>
          <w:sz w:val="26"/>
          <w:szCs w:val="26"/>
        </w:rPr>
        <w:t>We note at the outset that Ms. Larkin’s Exceptions are not in strict compliance with Section 5.533(b) of our Rules of Administrative Practice and Procedure, 52 Pa. Code § 5.533(b), which provides that:</w:t>
      </w:r>
    </w:p>
    <w:p w:rsidR="003F45DE" w:rsidRPr="00564EEA" w:rsidRDefault="003F45DE" w:rsidP="008A3D2D">
      <w:pPr>
        <w:spacing w:line="360" w:lineRule="auto"/>
        <w:ind w:firstLine="1440"/>
        <w:rPr>
          <w:rFonts w:ascii="Times New Roman" w:hAnsi="Times New Roman"/>
          <w:sz w:val="26"/>
          <w:szCs w:val="26"/>
        </w:rPr>
      </w:pPr>
    </w:p>
    <w:p w:rsidR="003F45DE" w:rsidRPr="00564EEA" w:rsidRDefault="003F45DE" w:rsidP="008A3D2D">
      <w:pPr>
        <w:ind w:left="1440" w:right="1440"/>
        <w:rPr>
          <w:rFonts w:ascii="Times New Roman" w:hAnsi="Times New Roman"/>
          <w:sz w:val="26"/>
          <w:szCs w:val="26"/>
        </w:rPr>
      </w:pPr>
      <w:r w:rsidRPr="00564EEA">
        <w:rPr>
          <w:rFonts w:ascii="Times New Roman" w:hAnsi="Times New Roman"/>
          <w:sz w:val="26"/>
          <w:szCs w:val="26"/>
        </w:rPr>
        <w:t xml:space="preserve">(b) An exception shall be stated in specific, numbered paragraphs, identify the finding of fact or conclusion of law to which exception is taken and cite relevant pages of the decision. </w:t>
      </w:r>
      <w:r w:rsidR="008A3D2D" w:rsidRPr="00564EEA">
        <w:rPr>
          <w:rFonts w:ascii="Times New Roman" w:hAnsi="Times New Roman"/>
          <w:sz w:val="26"/>
          <w:szCs w:val="26"/>
        </w:rPr>
        <w:t xml:space="preserve"> </w:t>
      </w:r>
      <w:r w:rsidRPr="00564EEA">
        <w:rPr>
          <w:rFonts w:ascii="Times New Roman" w:hAnsi="Times New Roman"/>
          <w:sz w:val="26"/>
          <w:szCs w:val="26"/>
        </w:rPr>
        <w:t>Supporting reasons for the exception shall follow a specific exception.</w:t>
      </w:r>
    </w:p>
    <w:p w:rsidR="003F45DE" w:rsidRPr="00564EEA" w:rsidRDefault="003F45DE" w:rsidP="008A3D2D">
      <w:pPr>
        <w:spacing w:line="360" w:lineRule="auto"/>
        <w:ind w:left="1440" w:right="1440"/>
        <w:rPr>
          <w:rFonts w:ascii="Times New Roman" w:hAnsi="Times New Roman"/>
          <w:sz w:val="26"/>
          <w:szCs w:val="26"/>
        </w:rPr>
      </w:pPr>
    </w:p>
    <w:p w:rsidR="003F45DE" w:rsidRPr="00564EEA" w:rsidRDefault="003F45DE" w:rsidP="008A3D2D">
      <w:pPr>
        <w:spacing w:line="360" w:lineRule="auto"/>
        <w:ind w:firstLine="1440"/>
        <w:rPr>
          <w:rFonts w:ascii="Times New Roman" w:hAnsi="Times New Roman"/>
          <w:sz w:val="26"/>
          <w:szCs w:val="26"/>
        </w:rPr>
      </w:pPr>
      <w:r w:rsidRPr="00564EEA">
        <w:rPr>
          <w:rFonts w:ascii="Times New Roman" w:hAnsi="Times New Roman"/>
          <w:sz w:val="26"/>
          <w:szCs w:val="26"/>
        </w:rPr>
        <w:t xml:space="preserve">We recognize, however, that Ms. Larkin is a </w:t>
      </w:r>
      <w:r w:rsidRPr="00564EEA">
        <w:rPr>
          <w:rFonts w:ascii="Times New Roman" w:hAnsi="Times New Roman"/>
          <w:i/>
          <w:sz w:val="26"/>
          <w:szCs w:val="26"/>
        </w:rPr>
        <w:t>pro se</w:t>
      </w:r>
      <w:r w:rsidRPr="00564EEA">
        <w:rPr>
          <w:rFonts w:ascii="Times New Roman" w:hAnsi="Times New Roman"/>
          <w:sz w:val="26"/>
          <w:szCs w:val="26"/>
        </w:rPr>
        <w:t xml:space="preserve"> Complainant in this proceeding.  Traditionally, we have been hesitant to rule unfavorably against </w:t>
      </w:r>
      <w:r w:rsidRPr="00564EEA">
        <w:rPr>
          <w:rFonts w:ascii="Times New Roman" w:hAnsi="Times New Roman"/>
          <w:bCs/>
          <w:i/>
          <w:sz w:val="26"/>
          <w:szCs w:val="26"/>
        </w:rPr>
        <w:t>pro se</w:t>
      </w:r>
      <w:r w:rsidRPr="00564EEA">
        <w:rPr>
          <w:rFonts w:ascii="Times New Roman" w:hAnsi="Times New Roman"/>
          <w:bCs/>
          <w:sz w:val="26"/>
          <w:szCs w:val="26"/>
        </w:rPr>
        <w:t xml:space="preserve"> litigants</w:t>
      </w:r>
      <w:r w:rsidRPr="00564EEA">
        <w:rPr>
          <w:rFonts w:ascii="Times New Roman" w:hAnsi="Times New Roman"/>
          <w:sz w:val="26"/>
          <w:szCs w:val="26"/>
        </w:rPr>
        <w:t xml:space="preserve"> based on technical grounds. </w:t>
      </w:r>
      <w:r w:rsidR="00511359">
        <w:rPr>
          <w:rFonts w:ascii="Times New Roman" w:hAnsi="Times New Roman"/>
          <w:sz w:val="26"/>
          <w:szCs w:val="26"/>
        </w:rPr>
        <w:t xml:space="preserve"> </w:t>
      </w:r>
      <w:r w:rsidRPr="00564EEA">
        <w:rPr>
          <w:rFonts w:ascii="Times New Roman" w:hAnsi="Times New Roman"/>
          <w:sz w:val="26"/>
          <w:szCs w:val="26"/>
        </w:rPr>
        <w:t xml:space="preserve">See, </w:t>
      </w:r>
      <w:r w:rsidRPr="00564EEA">
        <w:rPr>
          <w:rFonts w:ascii="Times New Roman" w:hAnsi="Times New Roman"/>
          <w:i/>
          <w:sz w:val="26"/>
          <w:szCs w:val="26"/>
        </w:rPr>
        <w:t>e.g.</w:t>
      </w:r>
      <w:r w:rsidRPr="00564EEA">
        <w:rPr>
          <w:rFonts w:ascii="Times New Roman" w:hAnsi="Times New Roman"/>
          <w:sz w:val="26"/>
          <w:szCs w:val="26"/>
        </w:rPr>
        <w:t xml:space="preserve">, </w:t>
      </w:r>
      <w:r w:rsidRPr="00564EEA">
        <w:rPr>
          <w:rFonts w:ascii="Times New Roman" w:hAnsi="Times New Roman"/>
          <w:i/>
          <w:sz w:val="26"/>
          <w:szCs w:val="26"/>
        </w:rPr>
        <w:t>Destefano v. Peoples Natural Gas Company</w:t>
      </w:r>
      <w:r w:rsidRPr="00564EEA">
        <w:rPr>
          <w:rFonts w:ascii="Times New Roman" w:hAnsi="Times New Roman"/>
          <w:sz w:val="26"/>
          <w:szCs w:val="26"/>
        </w:rPr>
        <w:t xml:space="preserve">, 56 Pa. P.U.C. 489 (1982); </w:t>
      </w:r>
      <w:r w:rsidRPr="00564EEA">
        <w:rPr>
          <w:rFonts w:ascii="Times New Roman" w:hAnsi="Times New Roman"/>
          <w:i/>
          <w:sz w:val="26"/>
          <w:szCs w:val="26"/>
        </w:rPr>
        <w:t>Halpern v. The Bell Telephone Company of Pennsylvania</w:t>
      </w:r>
      <w:r w:rsidRPr="00564EEA">
        <w:rPr>
          <w:rFonts w:ascii="Times New Roman" w:hAnsi="Times New Roman"/>
          <w:sz w:val="26"/>
          <w:szCs w:val="26"/>
        </w:rPr>
        <w:t xml:space="preserve">, Docket No. C-00923950 (October 19, 1992); </w:t>
      </w:r>
      <w:r w:rsidRPr="00564EEA">
        <w:rPr>
          <w:rFonts w:ascii="Times New Roman" w:hAnsi="Times New Roman"/>
          <w:i/>
          <w:sz w:val="26"/>
          <w:szCs w:val="26"/>
        </w:rPr>
        <w:t>William Schlinder v. The Bell Telephone Company of Pennsylvania</w:t>
      </w:r>
      <w:r w:rsidRPr="00564EEA">
        <w:rPr>
          <w:rFonts w:ascii="Times New Roman" w:hAnsi="Times New Roman"/>
          <w:sz w:val="26"/>
          <w:szCs w:val="26"/>
        </w:rPr>
        <w:t xml:space="preserve">, Docket No. F-00161252 (March 26, 1993).  In our view, it is in the public interest that all litigants, particularly </w:t>
      </w:r>
      <w:r w:rsidRPr="00564EEA">
        <w:rPr>
          <w:rFonts w:ascii="Times New Roman" w:hAnsi="Times New Roman"/>
          <w:bCs/>
          <w:i/>
          <w:sz w:val="26"/>
          <w:szCs w:val="26"/>
        </w:rPr>
        <w:t>pro se</w:t>
      </w:r>
      <w:r w:rsidRPr="00564EEA">
        <w:rPr>
          <w:rFonts w:ascii="Times New Roman" w:hAnsi="Times New Roman"/>
          <w:bCs/>
          <w:sz w:val="26"/>
          <w:szCs w:val="26"/>
        </w:rPr>
        <w:t xml:space="preserve"> litigants</w:t>
      </w:r>
      <w:r w:rsidRPr="00564EEA">
        <w:rPr>
          <w:rFonts w:ascii="Times New Roman" w:hAnsi="Times New Roman"/>
          <w:b/>
          <w:bCs/>
          <w:sz w:val="26"/>
          <w:szCs w:val="26"/>
        </w:rPr>
        <w:t>,</w:t>
      </w:r>
      <w:r w:rsidRPr="00564EEA">
        <w:rPr>
          <w:rFonts w:ascii="Times New Roman" w:hAnsi="Times New Roman"/>
          <w:sz w:val="26"/>
          <w:szCs w:val="26"/>
        </w:rPr>
        <w:t xml:space="preserve"> be afforded a meaningful opportunity to be heard.  Therefore, we </w:t>
      </w:r>
      <w:r w:rsidR="00560E73" w:rsidRPr="00564EEA">
        <w:rPr>
          <w:rFonts w:ascii="Times New Roman" w:hAnsi="Times New Roman"/>
          <w:sz w:val="26"/>
          <w:szCs w:val="26"/>
        </w:rPr>
        <w:t xml:space="preserve">will consider the merits of </w:t>
      </w:r>
      <w:r w:rsidR="00511359">
        <w:rPr>
          <w:rFonts w:ascii="Times New Roman" w:hAnsi="Times New Roman"/>
          <w:sz w:val="26"/>
          <w:szCs w:val="26"/>
        </w:rPr>
        <w:t>Ms. </w:t>
      </w:r>
      <w:r w:rsidRPr="00564EEA">
        <w:rPr>
          <w:rFonts w:ascii="Times New Roman" w:hAnsi="Times New Roman"/>
          <w:sz w:val="26"/>
          <w:szCs w:val="26"/>
        </w:rPr>
        <w:t>Larkin's Exceptions.</w:t>
      </w:r>
    </w:p>
    <w:p w:rsidR="008A3D2D" w:rsidRPr="00564EEA" w:rsidRDefault="008A3D2D" w:rsidP="008A3D2D">
      <w:pPr>
        <w:spacing w:line="360" w:lineRule="auto"/>
        <w:ind w:firstLine="1440"/>
        <w:rPr>
          <w:rFonts w:ascii="Times New Roman" w:hAnsi="Times New Roman"/>
          <w:sz w:val="26"/>
          <w:szCs w:val="26"/>
        </w:rPr>
      </w:pPr>
    </w:p>
    <w:p w:rsidR="009D4DC7" w:rsidRPr="00564EEA" w:rsidRDefault="002A59C7" w:rsidP="008A3D2D">
      <w:pPr>
        <w:spacing w:line="360" w:lineRule="auto"/>
        <w:ind w:firstLine="1440"/>
        <w:rPr>
          <w:rFonts w:ascii="Times New Roman" w:hAnsi="Times New Roman"/>
          <w:sz w:val="26"/>
          <w:szCs w:val="26"/>
        </w:rPr>
      </w:pPr>
      <w:r w:rsidRPr="00564EEA">
        <w:rPr>
          <w:rFonts w:ascii="Times New Roman" w:hAnsi="Times New Roman"/>
          <w:sz w:val="26"/>
          <w:szCs w:val="26"/>
        </w:rPr>
        <w:t>In her E</w:t>
      </w:r>
      <w:r w:rsidR="003F45DE" w:rsidRPr="00564EEA">
        <w:rPr>
          <w:rFonts w:ascii="Times New Roman" w:hAnsi="Times New Roman"/>
          <w:sz w:val="26"/>
          <w:szCs w:val="26"/>
        </w:rPr>
        <w:t xml:space="preserve">xceptions, Ms. Larkin </w:t>
      </w:r>
      <w:r w:rsidR="009D4DC7" w:rsidRPr="00564EEA">
        <w:rPr>
          <w:rFonts w:ascii="Times New Roman" w:hAnsi="Times New Roman"/>
          <w:sz w:val="26"/>
          <w:szCs w:val="26"/>
        </w:rPr>
        <w:t xml:space="preserve">contends </w:t>
      </w:r>
      <w:r w:rsidR="003F45DE" w:rsidRPr="00564EEA">
        <w:rPr>
          <w:rFonts w:ascii="Times New Roman" w:hAnsi="Times New Roman"/>
          <w:sz w:val="26"/>
          <w:szCs w:val="26"/>
        </w:rPr>
        <w:t>that everyone’s issues were resolved in th</w:t>
      </w:r>
      <w:r w:rsidR="00C52F96" w:rsidRPr="00564EEA">
        <w:rPr>
          <w:rFonts w:ascii="Times New Roman" w:hAnsi="Times New Roman"/>
          <w:sz w:val="26"/>
          <w:szCs w:val="26"/>
        </w:rPr>
        <w:t>is proceeding except for hers</w:t>
      </w:r>
      <w:r w:rsidR="00AA226F" w:rsidRPr="00564EEA">
        <w:rPr>
          <w:rFonts w:ascii="Times New Roman" w:hAnsi="Times New Roman"/>
          <w:sz w:val="26"/>
          <w:szCs w:val="26"/>
        </w:rPr>
        <w:t xml:space="preserve"> and that she has been left “out to dry</w:t>
      </w:r>
      <w:r w:rsidR="00C52F96" w:rsidRPr="00564EEA">
        <w:rPr>
          <w:rFonts w:ascii="Times New Roman" w:hAnsi="Times New Roman"/>
          <w:sz w:val="26"/>
          <w:szCs w:val="26"/>
        </w:rPr>
        <w:t>.</w:t>
      </w:r>
      <w:r w:rsidR="00AA226F" w:rsidRPr="00564EEA">
        <w:rPr>
          <w:rFonts w:ascii="Times New Roman" w:hAnsi="Times New Roman"/>
          <w:sz w:val="26"/>
          <w:szCs w:val="26"/>
        </w:rPr>
        <w:t>”</w:t>
      </w:r>
      <w:r w:rsidR="00C52F96" w:rsidRPr="00564EEA">
        <w:rPr>
          <w:rFonts w:ascii="Times New Roman" w:hAnsi="Times New Roman"/>
          <w:sz w:val="26"/>
          <w:szCs w:val="26"/>
        </w:rPr>
        <w:t xml:space="preserve">  </w:t>
      </w:r>
      <w:r w:rsidR="00C92057" w:rsidRPr="00564EEA">
        <w:rPr>
          <w:rFonts w:ascii="Times New Roman" w:hAnsi="Times New Roman"/>
          <w:sz w:val="26"/>
          <w:szCs w:val="26"/>
        </w:rPr>
        <w:t>She indicates that</w:t>
      </w:r>
      <w:r w:rsidR="00CE4962" w:rsidRPr="00564EEA">
        <w:rPr>
          <w:rFonts w:ascii="Times New Roman" w:hAnsi="Times New Roman"/>
          <w:sz w:val="26"/>
          <w:szCs w:val="26"/>
        </w:rPr>
        <w:t>, prior to its cancellation,</w:t>
      </w:r>
      <w:r w:rsidR="00C92057" w:rsidRPr="00564EEA">
        <w:rPr>
          <w:rFonts w:ascii="Times New Roman" w:hAnsi="Times New Roman"/>
          <w:sz w:val="26"/>
          <w:szCs w:val="26"/>
        </w:rPr>
        <w:t xml:space="preserve"> she had planned </w:t>
      </w:r>
      <w:r w:rsidR="009D4DC7" w:rsidRPr="00564EEA">
        <w:rPr>
          <w:rFonts w:ascii="Times New Roman" w:hAnsi="Times New Roman"/>
          <w:sz w:val="26"/>
          <w:szCs w:val="26"/>
        </w:rPr>
        <w:t xml:space="preserve">on attending </w:t>
      </w:r>
      <w:r w:rsidR="00C92057" w:rsidRPr="00564EEA">
        <w:rPr>
          <w:rFonts w:ascii="Times New Roman" w:hAnsi="Times New Roman"/>
          <w:sz w:val="26"/>
          <w:szCs w:val="26"/>
        </w:rPr>
        <w:t xml:space="preserve">the February 2013 </w:t>
      </w:r>
      <w:r w:rsidR="00D21A36" w:rsidRPr="00564EEA">
        <w:rPr>
          <w:rFonts w:ascii="Times New Roman" w:hAnsi="Times New Roman"/>
          <w:sz w:val="26"/>
          <w:szCs w:val="26"/>
        </w:rPr>
        <w:t>evidentiary</w:t>
      </w:r>
      <w:r w:rsidR="00C92057" w:rsidRPr="00564EEA">
        <w:rPr>
          <w:rFonts w:ascii="Times New Roman" w:hAnsi="Times New Roman"/>
          <w:sz w:val="26"/>
          <w:szCs w:val="26"/>
        </w:rPr>
        <w:t xml:space="preserve"> </w:t>
      </w:r>
      <w:r w:rsidR="00D21A36" w:rsidRPr="00564EEA">
        <w:rPr>
          <w:rFonts w:ascii="Times New Roman" w:hAnsi="Times New Roman"/>
          <w:sz w:val="26"/>
          <w:szCs w:val="26"/>
        </w:rPr>
        <w:t>h</w:t>
      </w:r>
      <w:r w:rsidR="00C92057" w:rsidRPr="00564EEA">
        <w:rPr>
          <w:rFonts w:ascii="Times New Roman" w:hAnsi="Times New Roman"/>
          <w:sz w:val="26"/>
          <w:szCs w:val="26"/>
        </w:rPr>
        <w:t>earing</w:t>
      </w:r>
      <w:r w:rsidR="00751A43" w:rsidRPr="00564EEA">
        <w:rPr>
          <w:rFonts w:ascii="Times New Roman" w:hAnsi="Times New Roman"/>
          <w:sz w:val="26"/>
          <w:szCs w:val="26"/>
        </w:rPr>
        <w:t>s</w:t>
      </w:r>
      <w:r w:rsidR="00CE4962" w:rsidRPr="00564EEA">
        <w:rPr>
          <w:rFonts w:ascii="Times New Roman" w:hAnsi="Times New Roman"/>
          <w:sz w:val="26"/>
          <w:szCs w:val="26"/>
        </w:rPr>
        <w:t xml:space="preserve"> t</w:t>
      </w:r>
      <w:r w:rsidR="00782F57" w:rsidRPr="00564EEA">
        <w:rPr>
          <w:rFonts w:ascii="Times New Roman" w:hAnsi="Times New Roman"/>
          <w:sz w:val="26"/>
          <w:szCs w:val="26"/>
        </w:rPr>
        <w:t>o raise her concerns</w:t>
      </w:r>
      <w:r w:rsidR="00AA226F" w:rsidRPr="00564EEA">
        <w:rPr>
          <w:rFonts w:ascii="Times New Roman" w:hAnsi="Times New Roman"/>
          <w:sz w:val="26"/>
          <w:szCs w:val="26"/>
        </w:rPr>
        <w:t xml:space="preserve">.  </w:t>
      </w:r>
      <w:r w:rsidR="009D4DC7" w:rsidRPr="00564EEA">
        <w:rPr>
          <w:rFonts w:ascii="Times New Roman" w:hAnsi="Times New Roman"/>
          <w:sz w:val="26"/>
          <w:szCs w:val="26"/>
        </w:rPr>
        <w:t>More sp</w:t>
      </w:r>
      <w:r w:rsidR="00782F57" w:rsidRPr="00564EEA">
        <w:rPr>
          <w:rFonts w:ascii="Times New Roman" w:hAnsi="Times New Roman"/>
          <w:sz w:val="26"/>
          <w:szCs w:val="26"/>
        </w:rPr>
        <w:t xml:space="preserve">ecifically, </w:t>
      </w:r>
      <w:r w:rsidR="00AA226F" w:rsidRPr="00564EEA">
        <w:rPr>
          <w:rFonts w:ascii="Times New Roman" w:hAnsi="Times New Roman"/>
          <w:sz w:val="26"/>
          <w:szCs w:val="26"/>
        </w:rPr>
        <w:t>Ms. Larkin alleges that by increasing its rates, the City would be charging her for sewer service that she is not using.</w:t>
      </w:r>
      <w:r w:rsidR="00C92057" w:rsidRPr="00564EEA">
        <w:rPr>
          <w:rFonts w:ascii="Times New Roman" w:hAnsi="Times New Roman"/>
          <w:sz w:val="26"/>
          <w:szCs w:val="26"/>
        </w:rPr>
        <w:t xml:space="preserve"> </w:t>
      </w:r>
      <w:r w:rsidR="00AA226F" w:rsidRPr="00564EEA">
        <w:rPr>
          <w:rFonts w:ascii="Times New Roman" w:hAnsi="Times New Roman"/>
          <w:sz w:val="26"/>
          <w:szCs w:val="26"/>
        </w:rPr>
        <w:t xml:space="preserve"> Ms. Larkin avers that it is not legal or just to charge someone for something that </w:t>
      </w:r>
      <w:r w:rsidR="00751A43" w:rsidRPr="00564EEA">
        <w:rPr>
          <w:rFonts w:ascii="Times New Roman" w:hAnsi="Times New Roman"/>
          <w:sz w:val="26"/>
          <w:szCs w:val="26"/>
        </w:rPr>
        <w:t>he or she</w:t>
      </w:r>
      <w:r w:rsidR="00AA226F" w:rsidRPr="00564EEA">
        <w:rPr>
          <w:rFonts w:ascii="Times New Roman" w:hAnsi="Times New Roman"/>
          <w:sz w:val="26"/>
          <w:szCs w:val="26"/>
        </w:rPr>
        <w:t xml:space="preserve"> </w:t>
      </w:r>
      <w:r w:rsidR="009D4DC7" w:rsidRPr="00564EEA">
        <w:rPr>
          <w:rFonts w:ascii="Times New Roman" w:hAnsi="Times New Roman"/>
          <w:sz w:val="26"/>
          <w:szCs w:val="26"/>
        </w:rPr>
        <w:t xml:space="preserve">does not </w:t>
      </w:r>
      <w:r w:rsidR="00AA226F" w:rsidRPr="00564EEA">
        <w:rPr>
          <w:rFonts w:ascii="Times New Roman" w:hAnsi="Times New Roman"/>
          <w:sz w:val="26"/>
          <w:szCs w:val="26"/>
        </w:rPr>
        <w:t>use.  Ms. Larkin also asse</w:t>
      </w:r>
      <w:r w:rsidR="00782F57" w:rsidRPr="00564EEA">
        <w:rPr>
          <w:rFonts w:ascii="Times New Roman" w:hAnsi="Times New Roman"/>
          <w:sz w:val="26"/>
          <w:szCs w:val="26"/>
        </w:rPr>
        <w:t>rts t</w:t>
      </w:r>
      <w:r w:rsidR="00C92057" w:rsidRPr="00564EEA">
        <w:rPr>
          <w:rFonts w:ascii="Times New Roman" w:hAnsi="Times New Roman"/>
          <w:sz w:val="26"/>
          <w:szCs w:val="26"/>
        </w:rPr>
        <w:t>hat</w:t>
      </w:r>
      <w:r w:rsidR="00782F57" w:rsidRPr="00564EEA">
        <w:rPr>
          <w:rFonts w:ascii="Times New Roman" w:hAnsi="Times New Roman"/>
          <w:sz w:val="26"/>
          <w:szCs w:val="26"/>
        </w:rPr>
        <w:t xml:space="preserve"> she is entitled to a compromise to resolve her complaint.  Larkin Exc.</w:t>
      </w:r>
      <w:r w:rsidR="009D4DC7" w:rsidRPr="00564EEA">
        <w:rPr>
          <w:rFonts w:ascii="Times New Roman" w:hAnsi="Times New Roman"/>
          <w:sz w:val="26"/>
          <w:szCs w:val="26"/>
        </w:rPr>
        <w:t> </w:t>
      </w:r>
      <w:r w:rsidR="00782F57" w:rsidRPr="00564EEA">
        <w:rPr>
          <w:rFonts w:ascii="Times New Roman" w:hAnsi="Times New Roman"/>
          <w:sz w:val="26"/>
          <w:szCs w:val="26"/>
        </w:rPr>
        <w:t>at</w:t>
      </w:r>
      <w:r w:rsidR="009D4DC7" w:rsidRPr="00564EEA">
        <w:rPr>
          <w:rFonts w:ascii="Times New Roman" w:hAnsi="Times New Roman"/>
          <w:sz w:val="26"/>
          <w:szCs w:val="26"/>
        </w:rPr>
        <w:t> </w:t>
      </w:r>
      <w:r w:rsidR="00782F57" w:rsidRPr="00564EEA">
        <w:rPr>
          <w:rFonts w:ascii="Times New Roman" w:hAnsi="Times New Roman"/>
          <w:sz w:val="26"/>
          <w:szCs w:val="26"/>
        </w:rPr>
        <w:t>1.</w:t>
      </w:r>
      <w:r w:rsidR="00C92057" w:rsidRPr="00564EEA">
        <w:rPr>
          <w:rFonts w:ascii="Times New Roman" w:hAnsi="Times New Roman"/>
          <w:sz w:val="26"/>
          <w:szCs w:val="26"/>
        </w:rPr>
        <w:t xml:space="preserve"> </w:t>
      </w:r>
      <w:r w:rsidR="00782F57" w:rsidRPr="00564EEA">
        <w:rPr>
          <w:rFonts w:ascii="Times New Roman" w:hAnsi="Times New Roman"/>
          <w:sz w:val="26"/>
          <w:szCs w:val="26"/>
        </w:rPr>
        <w:t xml:space="preserve"> </w:t>
      </w:r>
    </w:p>
    <w:p w:rsidR="009D4DC7" w:rsidRPr="00564EEA" w:rsidRDefault="009D4DC7" w:rsidP="008A3D2D">
      <w:pPr>
        <w:spacing w:line="360" w:lineRule="auto"/>
        <w:ind w:firstLine="1440"/>
        <w:rPr>
          <w:rFonts w:ascii="Times New Roman" w:hAnsi="Times New Roman"/>
          <w:sz w:val="26"/>
          <w:szCs w:val="26"/>
        </w:rPr>
      </w:pPr>
    </w:p>
    <w:p w:rsidR="003F45DE" w:rsidRPr="00564EEA" w:rsidRDefault="00560E73" w:rsidP="008A3D2D">
      <w:pPr>
        <w:spacing w:line="360" w:lineRule="auto"/>
        <w:ind w:firstLine="1440"/>
        <w:rPr>
          <w:rFonts w:ascii="Times New Roman" w:hAnsi="Times New Roman"/>
          <w:sz w:val="26"/>
          <w:szCs w:val="26"/>
        </w:rPr>
      </w:pPr>
      <w:r w:rsidRPr="00564EEA">
        <w:rPr>
          <w:rFonts w:ascii="Times New Roman" w:hAnsi="Times New Roman"/>
          <w:sz w:val="26"/>
          <w:szCs w:val="26"/>
        </w:rPr>
        <w:t>In addition to her Exceptions,</w:t>
      </w:r>
      <w:r w:rsidR="00C52F96" w:rsidRPr="00564EEA">
        <w:rPr>
          <w:rFonts w:ascii="Times New Roman" w:hAnsi="Times New Roman"/>
          <w:sz w:val="26"/>
          <w:szCs w:val="26"/>
        </w:rPr>
        <w:t xml:space="preserve"> Ms. Larkin attached</w:t>
      </w:r>
      <w:r w:rsidR="009D4DC7" w:rsidRPr="00564EEA">
        <w:rPr>
          <w:rFonts w:ascii="Times New Roman" w:hAnsi="Times New Roman"/>
          <w:sz w:val="26"/>
          <w:szCs w:val="26"/>
        </w:rPr>
        <w:t>:</w:t>
      </w:r>
      <w:r w:rsidR="00511359">
        <w:rPr>
          <w:rFonts w:ascii="Times New Roman" w:hAnsi="Times New Roman"/>
          <w:sz w:val="26"/>
          <w:szCs w:val="26"/>
        </w:rPr>
        <w:t xml:space="preserve"> </w:t>
      </w:r>
      <w:r w:rsidR="00C52F96" w:rsidRPr="00564EEA">
        <w:rPr>
          <w:rFonts w:ascii="Times New Roman" w:hAnsi="Times New Roman"/>
          <w:sz w:val="26"/>
          <w:szCs w:val="26"/>
        </w:rPr>
        <w:t xml:space="preserve"> </w:t>
      </w:r>
      <w:r w:rsidR="009D4DC7" w:rsidRPr="00564EEA">
        <w:rPr>
          <w:rFonts w:ascii="Times New Roman" w:hAnsi="Times New Roman"/>
          <w:sz w:val="26"/>
          <w:szCs w:val="26"/>
        </w:rPr>
        <w:t xml:space="preserve">(1) </w:t>
      </w:r>
      <w:r w:rsidR="00C52F96" w:rsidRPr="00564EEA">
        <w:rPr>
          <w:rFonts w:ascii="Times New Roman" w:hAnsi="Times New Roman"/>
          <w:sz w:val="26"/>
          <w:szCs w:val="26"/>
        </w:rPr>
        <w:t xml:space="preserve">a letter to ALJ </w:t>
      </w:r>
      <w:r w:rsidRPr="00564EEA">
        <w:rPr>
          <w:rFonts w:ascii="Times New Roman" w:hAnsi="Times New Roman"/>
          <w:sz w:val="26"/>
          <w:szCs w:val="26"/>
        </w:rPr>
        <w:t>Buckley</w:t>
      </w:r>
      <w:r w:rsidR="00751A43" w:rsidRPr="00564EEA">
        <w:rPr>
          <w:rFonts w:ascii="Times New Roman" w:hAnsi="Times New Roman"/>
          <w:sz w:val="26"/>
          <w:szCs w:val="26"/>
        </w:rPr>
        <w:t>,</w:t>
      </w:r>
      <w:r w:rsidRPr="00564EEA">
        <w:rPr>
          <w:rFonts w:ascii="Times New Roman" w:hAnsi="Times New Roman"/>
          <w:sz w:val="26"/>
          <w:szCs w:val="26"/>
        </w:rPr>
        <w:t xml:space="preserve"> </w:t>
      </w:r>
      <w:r w:rsidR="00C52F96" w:rsidRPr="00564EEA">
        <w:rPr>
          <w:rFonts w:ascii="Times New Roman" w:hAnsi="Times New Roman"/>
          <w:sz w:val="26"/>
          <w:szCs w:val="26"/>
        </w:rPr>
        <w:t>dated January 22, 2013</w:t>
      </w:r>
      <w:r w:rsidR="00751A43" w:rsidRPr="00564EEA">
        <w:rPr>
          <w:rFonts w:ascii="Times New Roman" w:hAnsi="Times New Roman"/>
          <w:sz w:val="26"/>
          <w:szCs w:val="26"/>
        </w:rPr>
        <w:t>,</w:t>
      </w:r>
      <w:r w:rsidR="00C52F96" w:rsidRPr="00564EEA">
        <w:rPr>
          <w:rFonts w:ascii="Times New Roman" w:hAnsi="Times New Roman"/>
          <w:sz w:val="26"/>
          <w:szCs w:val="26"/>
        </w:rPr>
        <w:t xml:space="preserve"> indicating that she was in receipt of the </w:t>
      </w:r>
      <w:r w:rsidR="00782F57" w:rsidRPr="00564EEA">
        <w:rPr>
          <w:rFonts w:ascii="Times New Roman" w:hAnsi="Times New Roman"/>
          <w:sz w:val="26"/>
          <w:szCs w:val="26"/>
        </w:rPr>
        <w:t>Joint Petition for Settlement</w:t>
      </w:r>
      <w:r w:rsidR="001E0FE6" w:rsidRPr="00564EEA">
        <w:rPr>
          <w:rFonts w:ascii="Times New Roman" w:hAnsi="Times New Roman"/>
          <w:sz w:val="26"/>
          <w:szCs w:val="26"/>
        </w:rPr>
        <w:t>;</w:t>
      </w:r>
      <w:r w:rsidR="00C52F96" w:rsidRPr="00564EEA">
        <w:rPr>
          <w:rFonts w:ascii="Times New Roman" w:hAnsi="Times New Roman"/>
          <w:sz w:val="26"/>
          <w:szCs w:val="26"/>
        </w:rPr>
        <w:t xml:space="preserve"> </w:t>
      </w:r>
      <w:r w:rsidR="009D4DC7" w:rsidRPr="00564EEA">
        <w:rPr>
          <w:rFonts w:ascii="Times New Roman" w:hAnsi="Times New Roman"/>
          <w:sz w:val="26"/>
          <w:szCs w:val="26"/>
        </w:rPr>
        <w:t>and (2)</w:t>
      </w:r>
      <w:r w:rsidR="00751A43" w:rsidRPr="00564EEA">
        <w:rPr>
          <w:rFonts w:ascii="Times New Roman" w:hAnsi="Times New Roman"/>
          <w:sz w:val="26"/>
          <w:szCs w:val="26"/>
        </w:rPr>
        <w:t xml:space="preserve"> </w:t>
      </w:r>
      <w:r w:rsidR="00C52F96" w:rsidRPr="00564EEA">
        <w:rPr>
          <w:rFonts w:ascii="Times New Roman" w:hAnsi="Times New Roman"/>
          <w:sz w:val="26"/>
          <w:szCs w:val="26"/>
        </w:rPr>
        <w:t>a chart outlining her Water</w:t>
      </w:r>
      <w:r w:rsidR="00C92057" w:rsidRPr="00564EEA">
        <w:rPr>
          <w:rFonts w:ascii="Times New Roman" w:hAnsi="Times New Roman"/>
          <w:sz w:val="26"/>
          <w:szCs w:val="26"/>
        </w:rPr>
        <w:t xml:space="preserve"> meter</w:t>
      </w:r>
      <w:r w:rsidR="00C52F96" w:rsidRPr="00564EEA">
        <w:rPr>
          <w:rFonts w:ascii="Times New Roman" w:hAnsi="Times New Roman"/>
          <w:sz w:val="26"/>
          <w:szCs w:val="26"/>
        </w:rPr>
        <w:t xml:space="preserve"> usage in gallons for the period of March 2005 through December 2012</w:t>
      </w:r>
      <w:r w:rsidR="00E61AA3" w:rsidRPr="00564EEA">
        <w:rPr>
          <w:rFonts w:ascii="Times New Roman" w:hAnsi="Times New Roman"/>
          <w:sz w:val="26"/>
          <w:szCs w:val="26"/>
        </w:rPr>
        <w:t xml:space="preserve">.  Ms. Larkin claims she had </w:t>
      </w:r>
      <w:r w:rsidR="00C92057" w:rsidRPr="00564EEA">
        <w:rPr>
          <w:rFonts w:ascii="Times New Roman" w:hAnsi="Times New Roman"/>
          <w:sz w:val="26"/>
          <w:szCs w:val="26"/>
        </w:rPr>
        <w:t xml:space="preserve">planned to present </w:t>
      </w:r>
      <w:r w:rsidR="00E61AA3" w:rsidRPr="00564EEA">
        <w:rPr>
          <w:rFonts w:ascii="Times New Roman" w:hAnsi="Times New Roman"/>
          <w:sz w:val="26"/>
          <w:szCs w:val="26"/>
        </w:rPr>
        <w:t xml:space="preserve">these items </w:t>
      </w:r>
      <w:r w:rsidR="00C92057" w:rsidRPr="00564EEA">
        <w:rPr>
          <w:rFonts w:ascii="Times New Roman" w:hAnsi="Times New Roman"/>
          <w:sz w:val="26"/>
          <w:szCs w:val="26"/>
        </w:rPr>
        <w:t xml:space="preserve">at the February 2013 </w:t>
      </w:r>
      <w:r w:rsidR="00D21A36" w:rsidRPr="00564EEA">
        <w:rPr>
          <w:rFonts w:ascii="Times New Roman" w:hAnsi="Times New Roman"/>
          <w:sz w:val="26"/>
          <w:szCs w:val="26"/>
        </w:rPr>
        <w:t>evidentiary hearings</w:t>
      </w:r>
      <w:r w:rsidR="00E61AA3" w:rsidRPr="00564EEA">
        <w:rPr>
          <w:rFonts w:ascii="Times New Roman" w:hAnsi="Times New Roman"/>
          <w:sz w:val="26"/>
          <w:szCs w:val="26"/>
        </w:rPr>
        <w:t xml:space="preserve"> along with a copy of her original complaint.</w:t>
      </w:r>
    </w:p>
    <w:p w:rsidR="009D4DC7" w:rsidRPr="00564EEA" w:rsidRDefault="009D4DC7" w:rsidP="008A3D2D">
      <w:pPr>
        <w:spacing w:line="360" w:lineRule="auto"/>
        <w:ind w:firstLine="1440"/>
        <w:rPr>
          <w:rFonts w:ascii="Times New Roman" w:hAnsi="Times New Roman"/>
          <w:sz w:val="26"/>
          <w:szCs w:val="26"/>
        </w:rPr>
      </w:pPr>
    </w:p>
    <w:p w:rsidR="003F45DE" w:rsidRPr="00564EEA" w:rsidRDefault="00782F57" w:rsidP="008A3D2D">
      <w:pPr>
        <w:pStyle w:val="OutlineL3"/>
        <w:tabs>
          <w:tab w:val="clear" w:pos="720"/>
          <w:tab w:val="clear" w:pos="2160"/>
        </w:tabs>
        <w:spacing w:after="0" w:line="360" w:lineRule="auto"/>
        <w:ind w:firstLine="0"/>
        <w:rPr>
          <w:sz w:val="26"/>
          <w:szCs w:val="26"/>
        </w:rPr>
      </w:pPr>
      <w:r w:rsidRPr="00564EEA">
        <w:rPr>
          <w:sz w:val="26"/>
          <w:szCs w:val="26"/>
        </w:rPr>
        <w:tab/>
      </w:r>
      <w:r w:rsidRPr="00564EEA">
        <w:rPr>
          <w:sz w:val="26"/>
          <w:szCs w:val="26"/>
        </w:rPr>
        <w:tab/>
        <w:t>In its Replies to Exceptions, the City avers that after receiving a copy of the Joint Petition for Settlement, Ms. Larkin had the opportunity</w:t>
      </w:r>
      <w:r w:rsidR="00E61AA3" w:rsidRPr="00564EEA">
        <w:rPr>
          <w:sz w:val="26"/>
          <w:szCs w:val="26"/>
        </w:rPr>
        <w:t xml:space="preserve">: </w:t>
      </w:r>
      <w:r w:rsidR="00511359">
        <w:rPr>
          <w:sz w:val="26"/>
          <w:szCs w:val="26"/>
        </w:rPr>
        <w:t xml:space="preserve"> </w:t>
      </w:r>
      <w:r w:rsidR="00E61AA3" w:rsidRPr="00564EEA">
        <w:rPr>
          <w:sz w:val="26"/>
          <w:szCs w:val="26"/>
        </w:rPr>
        <w:t>(1)</w:t>
      </w:r>
      <w:r w:rsidRPr="00564EEA">
        <w:rPr>
          <w:sz w:val="26"/>
          <w:szCs w:val="26"/>
        </w:rPr>
        <w:t xml:space="preserve"> </w:t>
      </w:r>
      <w:r w:rsidR="00E61AA3" w:rsidRPr="00564EEA">
        <w:rPr>
          <w:sz w:val="26"/>
          <w:szCs w:val="26"/>
        </w:rPr>
        <w:t xml:space="preserve">to </w:t>
      </w:r>
      <w:r w:rsidRPr="00564EEA">
        <w:rPr>
          <w:sz w:val="26"/>
          <w:szCs w:val="26"/>
        </w:rPr>
        <w:t>respond to the Agreement</w:t>
      </w:r>
      <w:r w:rsidR="00E61AA3" w:rsidRPr="00564EEA">
        <w:rPr>
          <w:sz w:val="26"/>
          <w:szCs w:val="26"/>
        </w:rPr>
        <w:t>; (2)</w:t>
      </w:r>
      <w:r w:rsidRPr="00564EEA">
        <w:rPr>
          <w:sz w:val="26"/>
          <w:szCs w:val="26"/>
        </w:rPr>
        <w:t xml:space="preserve"> </w:t>
      </w:r>
      <w:r w:rsidR="00E61AA3" w:rsidRPr="00564EEA">
        <w:rPr>
          <w:sz w:val="26"/>
          <w:szCs w:val="26"/>
        </w:rPr>
        <w:t xml:space="preserve">to </w:t>
      </w:r>
      <w:r w:rsidRPr="00564EEA">
        <w:rPr>
          <w:sz w:val="26"/>
          <w:szCs w:val="26"/>
        </w:rPr>
        <w:t xml:space="preserve">voice any </w:t>
      </w:r>
      <w:r w:rsidR="00E61AA3" w:rsidRPr="00564EEA">
        <w:rPr>
          <w:sz w:val="26"/>
          <w:szCs w:val="26"/>
        </w:rPr>
        <w:t xml:space="preserve">other </w:t>
      </w:r>
      <w:r w:rsidRPr="00564EEA">
        <w:rPr>
          <w:sz w:val="26"/>
          <w:szCs w:val="26"/>
        </w:rPr>
        <w:t>concerns</w:t>
      </w:r>
      <w:r w:rsidR="001E0FE6" w:rsidRPr="00564EEA">
        <w:rPr>
          <w:sz w:val="26"/>
          <w:szCs w:val="26"/>
        </w:rPr>
        <w:t xml:space="preserve"> that she had</w:t>
      </w:r>
      <w:r w:rsidR="00E61AA3" w:rsidRPr="00564EEA">
        <w:rPr>
          <w:sz w:val="26"/>
          <w:szCs w:val="26"/>
        </w:rPr>
        <w:t xml:space="preserve">; and (3) to </w:t>
      </w:r>
      <w:r w:rsidRPr="00564EEA">
        <w:rPr>
          <w:sz w:val="26"/>
          <w:szCs w:val="26"/>
        </w:rPr>
        <w:t xml:space="preserve">submit those concerns </w:t>
      </w:r>
      <w:r w:rsidR="003C0FD9" w:rsidRPr="00564EEA">
        <w:rPr>
          <w:sz w:val="26"/>
          <w:szCs w:val="26"/>
        </w:rPr>
        <w:t>for entry into</w:t>
      </w:r>
      <w:r w:rsidRPr="00564EEA">
        <w:rPr>
          <w:sz w:val="26"/>
          <w:szCs w:val="26"/>
        </w:rPr>
        <w:t xml:space="preserve"> the evidentiary record in this </w:t>
      </w:r>
      <w:r w:rsidR="001F616F" w:rsidRPr="00564EEA">
        <w:rPr>
          <w:sz w:val="26"/>
          <w:szCs w:val="26"/>
        </w:rPr>
        <w:t>proceeding</w:t>
      </w:r>
      <w:r w:rsidRPr="00564EEA">
        <w:rPr>
          <w:sz w:val="26"/>
          <w:szCs w:val="26"/>
        </w:rPr>
        <w:t xml:space="preserve">. </w:t>
      </w:r>
      <w:r w:rsidR="003C0FD9" w:rsidRPr="00564EEA">
        <w:rPr>
          <w:sz w:val="26"/>
          <w:szCs w:val="26"/>
        </w:rPr>
        <w:t xml:space="preserve"> </w:t>
      </w:r>
      <w:r w:rsidRPr="00564EEA">
        <w:rPr>
          <w:sz w:val="26"/>
          <w:szCs w:val="26"/>
        </w:rPr>
        <w:t xml:space="preserve">However, </w:t>
      </w:r>
      <w:r w:rsidR="001E0FE6" w:rsidRPr="00564EEA">
        <w:rPr>
          <w:sz w:val="26"/>
          <w:szCs w:val="26"/>
        </w:rPr>
        <w:t xml:space="preserve">the City notes that </w:t>
      </w:r>
      <w:r w:rsidRPr="00564EEA">
        <w:rPr>
          <w:sz w:val="26"/>
          <w:szCs w:val="26"/>
        </w:rPr>
        <w:t xml:space="preserve">she </w:t>
      </w:r>
      <w:r w:rsidR="00E61AA3" w:rsidRPr="00564EEA">
        <w:rPr>
          <w:sz w:val="26"/>
          <w:szCs w:val="26"/>
        </w:rPr>
        <w:t>opted not to do so.</w:t>
      </w:r>
      <w:r w:rsidRPr="00564EEA">
        <w:rPr>
          <w:sz w:val="26"/>
          <w:szCs w:val="26"/>
        </w:rPr>
        <w:t xml:space="preserve">  City R. Exc. at 1.</w:t>
      </w:r>
      <w:r w:rsidR="00E436AC" w:rsidRPr="00564EEA">
        <w:rPr>
          <w:sz w:val="26"/>
          <w:szCs w:val="26"/>
        </w:rPr>
        <w:t xml:space="preserve">  </w:t>
      </w:r>
      <w:r w:rsidR="00751A43" w:rsidRPr="00564EEA">
        <w:rPr>
          <w:sz w:val="26"/>
          <w:szCs w:val="26"/>
        </w:rPr>
        <w:t xml:space="preserve">While Ms. Larkin stated that she planned to attend the February 2013 </w:t>
      </w:r>
      <w:r w:rsidR="00695DD5" w:rsidRPr="00564EEA">
        <w:rPr>
          <w:sz w:val="26"/>
          <w:szCs w:val="26"/>
        </w:rPr>
        <w:t>evidentiary hearings</w:t>
      </w:r>
      <w:r w:rsidR="00751A43" w:rsidRPr="00564EEA">
        <w:rPr>
          <w:sz w:val="26"/>
          <w:szCs w:val="26"/>
        </w:rPr>
        <w:t xml:space="preserve">, the City points out that this statement </w:t>
      </w:r>
      <w:r w:rsidR="00E436AC" w:rsidRPr="00564EEA">
        <w:rPr>
          <w:sz w:val="26"/>
          <w:szCs w:val="26"/>
        </w:rPr>
        <w:t>contradict</w:t>
      </w:r>
      <w:r w:rsidR="00751A43" w:rsidRPr="00564EEA">
        <w:rPr>
          <w:sz w:val="26"/>
          <w:szCs w:val="26"/>
        </w:rPr>
        <w:t>s</w:t>
      </w:r>
      <w:r w:rsidR="00E436AC" w:rsidRPr="00564EEA">
        <w:rPr>
          <w:sz w:val="26"/>
          <w:szCs w:val="26"/>
        </w:rPr>
        <w:t xml:space="preserve"> her previous assertions, addressed by the ALJ in his November 26, 2012 Second Prehearing Conference Order, </w:t>
      </w:r>
      <w:r w:rsidR="001E0FE6" w:rsidRPr="00564EEA">
        <w:rPr>
          <w:sz w:val="26"/>
          <w:szCs w:val="26"/>
        </w:rPr>
        <w:t xml:space="preserve">in which she </w:t>
      </w:r>
      <w:r w:rsidR="00E436AC" w:rsidRPr="00564EEA">
        <w:rPr>
          <w:sz w:val="26"/>
          <w:szCs w:val="26"/>
        </w:rPr>
        <w:t>request</w:t>
      </w:r>
      <w:r w:rsidR="001E0FE6" w:rsidRPr="00564EEA">
        <w:rPr>
          <w:sz w:val="26"/>
          <w:szCs w:val="26"/>
        </w:rPr>
        <w:t>ed</w:t>
      </w:r>
      <w:r w:rsidR="00E436AC" w:rsidRPr="00564EEA">
        <w:rPr>
          <w:sz w:val="26"/>
          <w:szCs w:val="26"/>
        </w:rPr>
        <w:t xml:space="preserve"> to be an inactive party in this proceeding</w:t>
      </w:r>
      <w:r w:rsidR="003C0FD9" w:rsidRPr="00564EEA">
        <w:rPr>
          <w:sz w:val="26"/>
          <w:szCs w:val="26"/>
        </w:rPr>
        <w:t xml:space="preserve">.  </w:t>
      </w:r>
      <w:r w:rsidR="003C0FD9" w:rsidRPr="00564EEA">
        <w:rPr>
          <w:i/>
          <w:sz w:val="26"/>
          <w:szCs w:val="26"/>
        </w:rPr>
        <w:t xml:space="preserve">Id. </w:t>
      </w:r>
      <w:r w:rsidR="003C0FD9" w:rsidRPr="00564EEA">
        <w:rPr>
          <w:sz w:val="26"/>
          <w:szCs w:val="26"/>
        </w:rPr>
        <w:t xml:space="preserve">at 2-3.  In response to Ms. Larkin’s assertion that she is entitled to a compromise, the City notes that the OCA made Ms. Larkin aware that there was a </w:t>
      </w:r>
      <w:r w:rsidR="003C0FD9" w:rsidRPr="00564EEA">
        <w:rPr>
          <w:sz w:val="26"/>
          <w:szCs w:val="26"/>
        </w:rPr>
        <w:lastRenderedPageBreak/>
        <w:t>settlement process</w:t>
      </w:r>
      <w:r w:rsidR="00751A43" w:rsidRPr="00564EEA">
        <w:rPr>
          <w:sz w:val="26"/>
          <w:szCs w:val="26"/>
        </w:rPr>
        <w:t>,</w:t>
      </w:r>
      <w:r w:rsidR="003C0FD9" w:rsidRPr="00564EEA">
        <w:rPr>
          <w:sz w:val="26"/>
          <w:szCs w:val="26"/>
        </w:rPr>
        <w:t xml:space="preserve"> and </w:t>
      </w:r>
      <w:r w:rsidR="00751A43" w:rsidRPr="00564EEA">
        <w:rPr>
          <w:sz w:val="26"/>
          <w:szCs w:val="26"/>
        </w:rPr>
        <w:t>later</w:t>
      </w:r>
      <w:r w:rsidR="003C0FD9" w:rsidRPr="00564EEA">
        <w:rPr>
          <w:sz w:val="26"/>
          <w:szCs w:val="26"/>
        </w:rPr>
        <w:t xml:space="preserve"> a comprehensive settlement agreement</w:t>
      </w:r>
      <w:r w:rsidR="00751A43" w:rsidRPr="00564EEA">
        <w:rPr>
          <w:sz w:val="26"/>
          <w:szCs w:val="26"/>
        </w:rPr>
        <w:t>,</w:t>
      </w:r>
      <w:r w:rsidR="003C0FD9" w:rsidRPr="00564EEA">
        <w:rPr>
          <w:sz w:val="26"/>
          <w:szCs w:val="26"/>
        </w:rPr>
        <w:t xml:space="preserve"> to which the OCA was a participant on behalf of the interests of all residential ratepayers.  The City also avers that Ms. </w:t>
      </w:r>
      <w:r w:rsidR="008E6C2C" w:rsidRPr="00564EEA">
        <w:rPr>
          <w:sz w:val="26"/>
          <w:szCs w:val="26"/>
        </w:rPr>
        <w:t>Larkin</w:t>
      </w:r>
      <w:r w:rsidR="003C0FD9" w:rsidRPr="00564EEA">
        <w:rPr>
          <w:sz w:val="26"/>
          <w:szCs w:val="26"/>
        </w:rPr>
        <w:t xml:space="preserve"> could have reached out to </w:t>
      </w:r>
      <w:r w:rsidR="001F616F" w:rsidRPr="00564EEA">
        <w:rPr>
          <w:sz w:val="26"/>
          <w:szCs w:val="26"/>
        </w:rPr>
        <w:t>the City</w:t>
      </w:r>
      <w:r w:rsidR="003C0FD9" w:rsidRPr="00564EEA">
        <w:rPr>
          <w:sz w:val="26"/>
          <w:szCs w:val="26"/>
        </w:rPr>
        <w:t xml:space="preserve"> to discuss any remaining issues but that she did not do so.  Finally, the City notes that</w:t>
      </w:r>
      <w:r w:rsidR="001731AC" w:rsidRPr="00564EEA">
        <w:rPr>
          <w:sz w:val="26"/>
          <w:szCs w:val="26"/>
        </w:rPr>
        <w:t>,</w:t>
      </w:r>
      <w:r w:rsidR="003C0FD9" w:rsidRPr="00564EEA">
        <w:rPr>
          <w:sz w:val="26"/>
          <w:szCs w:val="26"/>
        </w:rPr>
        <w:t xml:space="preserve"> in her Exceptions, Ms. Larkin does not specifically object to any of the terms in the Joint Petition for Settlement.  </w:t>
      </w:r>
      <w:r w:rsidR="003C0FD9" w:rsidRPr="00564EEA">
        <w:rPr>
          <w:i/>
          <w:sz w:val="26"/>
          <w:szCs w:val="26"/>
        </w:rPr>
        <w:t xml:space="preserve">Id. </w:t>
      </w:r>
      <w:r w:rsidR="003C0FD9" w:rsidRPr="00564EEA">
        <w:rPr>
          <w:sz w:val="26"/>
          <w:szCs w:val="26"/>
        </w:rPr>
        <w:t>at 3.</w:t>
      </w:r>
    </w:p>
    <w:p w:rsidR="003C0FD9" w:rsidRPr="00564EEA" w:rsidRDefault="003C0FD9" w:rsidP="008A3D2D">
      <w:pPr>
        <w:pStyle w:val="OutlineL3"/>
        <w:spacing w:after="0" w:line="360" w:lineRule="auto"/>
        <w:rPr>
          <w:b/>
          <w:sz w:val="26"/>
          <w:szCs w:val="26"/>
        </w:rPr>
      </w:pPr>
    </w:p>
    <w:p w:rsidR="0047723D" w:rsidRPr="00564EEA" w:rsidRDefault="0047723D" w:rsidP="001731AC">
      <w:pPr>
        <w:pStyle w:val="OutlineL3"/>
        <w:keepNext/>
        <w:spacing w:after="0" w:line="360" w:lineRule="auto"/>
        <w:rPr>
          <w:b/>
          <w:sz w:val="26"/>
          <w:szCs w:val="26"/>
        </w:rPr>
      </w:pPr>
      <w:r w:rsidRPr="00564EEA">
        <w:rPr>
          <w:b/>
          <w:sz w:val="26"/>
          <w:szCs w:val="26"/>
        </w:rPr>
        <w:t>2.</w:t>
      </w:r>
      <w:r w:rsidRPr="00564EEA">
        <w:rPr>
          <w:b/>
          <w:sz w:val="26"/>
          <w:szCs w:val="26"/>
        </w:rPr>
        <w:tab/>
        <w:t>Disposition</w:t>
      </w:r>
    </w:p>
    <w:p w:rsidR="0047723D" w:rsidRPr="00564EEA" w:rsidRDefault="0047723D" w:rsidP="001731AC">
      <w:pPr>
        <w:pStyle w:val="OutlineL3"/>
        <w:keepNext/>
        <w:spacing w:after="0" w:line="360" w:lineRule="auto"/>
        <w:rPr>
          <w:sz w:val="26"/>
          <w:szCs w:val="26"/>
        </w:rPr>
      </w:pPr>
    </w:p>
    <w:p w:rsidR="00C45E34" w:rsidRPr="00564EEA" w:rsidRDefault="0047723D" w:rsidP="008A3D2D">
      <w:pPr>
        <w:pStyle w:val="OutlineL3"/>
        <w:tabs>
          <w:tab w:val="clear" w:pos="720"/>
          <w:tab w:val="clear" w:pos="2160"/>
        </w:tabs>
        <w:spacing w:after="0" w:line="360" w:lineRule="auto"/>
        <w:ind w:firstLine="0"/>
        <w:rPr>
          <w:sz w:val="26"/>
          <w:szCs w:val="26"/>
        </w:rPr>
      </w:pPr>
      <w:r w:rsidRPr="00564EEA">
        <w:rPr>
          <w:b/>
          <w:sz w:val="26"/>
          <w:szCs w:val="26"/>
        </w:rPr>
        <w:tab/>
      </w:r>
      <w:r w:rsidRPr="00564EEA">
        <w:rPr>
          <w:b/>
          <w:sz w:val="26"/>
          <w:szCs w:val="26"/>
        </w:rPr>
        <w:tab/>
      </w:r>
      <w:r w:rsidRPr="00564EEA">
        <w:rPr>
          <w:sz w:val="26"/>
          <w:szCs w:val="26"/>
        </w:rPr>
        <w:t xml:space="preserve">We find no merit in </w:t>
      </w:r>
      <w:r w:rsidR="009B278F" w:rsidRPr="00564EEA">
        <w:rPr>
          <w:sz w:val="26"/>
          <w:szCs w:val="26"/>
        </w:rPr>
        <w:t xml:space="preserve">Ms. Larkin’s Exceptions.  Her assertion that she has been “left out to dry” </w:t>
      </w:r>
      <w:r w:rsidR="001731AC" w:rsidRPr="00564EEA">
        <w:rPr>
          <w:sz w:val="26"/>
          <w:szCs w:val="26"/>
        </w:rPr>
        <w:t xml:space="preserve">clearly </w:t>
      </w:r>
      <w:r w:rsidR="009B278F" w:rsidRPr="00564EEA">
        <w:rPr>
          <w:sz w:val="26"/>
          <w:szCs w:val="26"/>
        </w:rPr>
        <w:t xml:space="preserve">is </w:t>
      </w:r>
      <w:r w:rsidR="00C96035" w:rsidRPr="00564EEA">
        <w:rPr>
          <w:sz w:val="26"/>
          <w:szCs w:val="26"/>
        </w:rPr>
        <w:t>not supported by</w:t>
      </w:r>
      <w:r w:rsidR="009B278F" w:rsidRPr="00564EEA">
        <w:rPr>
          <w:sz w:val="26"/>
          <w:szCs w:val="26"/>
        </w:rPr>
        <w:t xml:space="preserve"> the procedural history</w:t>
      </w:r>
      <w:r w:rsidR="000C32E8" w:rsidRPr="00564EEA">
        <w:rPr>
          <w:sz w:val="26"/>
          <w:szCs w:val="26"/>
        </w:rPr>
        <w:t xml:space="preserve"> in this case</w:t>
      </w:r>
      <w:r w:rsidR="009B278F" w:rsidRPr="00564EEA">
        <w:rPr>
          <w:sz w:val="26"/>
          <w:szCs w:val="26"/>
        </w:rPr>
        <w:t xml:space="preserve">.  </w:t>
      </w:r>
      <w:r w:rsidR="001731AC" w:rsidRPr="00564EEA">
        <w:rPr>
          <w:sz w:val="26"/>
          <w:szCs w:val="26"/>
        </w:rPr>
        <w:t xml:space="preserve">Contrary to Ms. Larkin’s position, it is important to note that </w:t>
      </w:r>
      <w:r w:rsidR="009B278F" w:rsidRPr="00564EEA">
        <w:rPr>
          <w:sz w:val="26"/>
          <w:szCs w:val="26"/>
        </w:rPr>
        <w:t>Ms. Larkin participated in the December 10, 2012 public input hearing</w:t>
      </w:r>
      <w:r w:rsidR="001731AC" w:rsidRPr="00564EEA">
        <w:rPr>
          <w:sz w:val="26"/>
          <w:szCs w:val="26"/>
        </w:rPr>
        <w:t xml:space="preserve"> and that after a Settlement with all other Parties had been reached, </w:t>
      </w:r>
      <w:r w:rsidR="009B278F" w:rsidRPr="00564EEA">
        <w:rPr>
          <w:sz w:val="26"/>
          <w:szCs w:val="26"/>
        </w:rPr>
        <w:t xml:space="preserve">the OCA </w:t>
      </w:r>
      <w:r w:rsidR="001731AC" w:rsidRPr="00564EEA">
        <w:rPr>
          <w:sz w:val="26"/>
          <w:szCs w:val="26"/>
        </w:rPr>
        <w:t xml:space="preserve">reached out to Ms. Larkin by </w:t>
      </w:r>
      <w:r w:rsidR="009B278F" w:rsidRPr="00564EEA">
        <w:rPr>
          <w:sz w:val="26"/>
          <w:szCs w:val="26"/>
        </w:rPr>
        <w:t>provid</w:t>
      </w:r>
      <w:r w:rsidR="001731AC" w:rsidRPr="00564EEA">
        <w:rPr>
          <w:sz w:val="26"/>
          <w:szCs w:val="26"/>
        </w:rPr>
        <w:t xml:space="preserve">ing her with a detailed </w:t>
      </w:r>
      <w:r w:rsidR="009B278F" w:rsidRPr="00564EEA">
        <w:rPr>
          <w:sz w:val="26"/>
          <w:szCs w:val="26"/>
        </w:rPr>
        <w:t>summary of the Settlement</w:t>
      </w:r>
      <w:r w:rsidR="00C45E34" w:rsidRPr="00564EEA">
        <w:rPr>
          <w:sz w:val="26"/>
          <w:szCs w:val="26"/>
        </w:rPr>
        <w:t xml:space="preserve">.  The OCA also informed Ms. Larkin that </w:t>
      </w:r>
      <w:r w:rsidR="009B278F" w:rsidRPr="00564EEA">
        <w:rPr>
          <w:sz w:val="26"/>
          <w:szCs w:val="26"/>
        </w:rPr>
        <w:t xml:space="preserve">she had </w:t>
      </w:r>
      <w:r w:rsidR="00C45E34" w:rsidRPr="00564EEA">
        <w:rPr>
          <w:sz w:val="26"/>
          <w:szCs w:val="26"/>
        </w:rPr>
        <w:t xml:space="preserve">the </w:t>
      </w:r>
      <w:r w:rsidR="009B278F" w:rsidRPr="00564EEA">
        <w:rPr>
          <w:sz w:val="26"/>
          <w:szCs w:val="26"/>
        </w:rPr>
        <w:t xml:space="preserve">opportunity to file comments with respect to the Settlement and </w:t>
      </w:r>
      <w:r w:rsidR="00C45E34" w:rsidRPr="00564EEA">
        <w:rPr>
          <w:sz w:val="26"/>
          <w:szCs w:val="26"/>
        </w:rPr>
        <w:t xml:space="preserve">also </w:t>
      </w:r>
      <w:r w:rsidR="009B278F" w:rsidRPr="00564EEA">
        <w:rPr>
          <w:sz w:val="26"/>
          <w:szCs w:val="26"/>
        </w:rPr>
        <w:t>had the</w:t>
      </w:r>
      <w:r w:rsidR="00C45E34" w:rsidRPr="00564EEA">
        <w:rPr>
          <w:sz w:val="26"/>
          <w:szCs w:val="26"/>
        </w:rPr>
        <w:t xml:space="preserve"> option to join the Settlement, to</w:t>
      </w:r>
      <w:r w:rsidR="009B278F" w:rsidRPr="00564EEA">
        <w:rPr>
          <w:sz w:val="26"/>
          <w:szCs w:val="26"/>
        </w:rPr>
        <w:t xml:space="preserve"> object to the Settlement, or to take no action.  </w:t>
      </w:r>
      <w:r w:rsidR="00C45E34" w:rsidRPr="00564EEA">
        <w:rPr>
          <w:sz w:val="26"/>
          <w:szCs w:val="26"/>
        </w:rPr>
        <w:t xml:space="preserve">The record shows that </w:t>
      </w:r>
      <w:r w:rsidR="00A571F3" w:rsidRPr="00564EEA">
        <w:rPr>
          <w:sz w:val="26"/>
          <w:szCs w:val="26"/>
        </w:rPr>
        <w:t xml:space="preserve">Ms. Larkin </w:t>
      </w:r>
      <w:r w:rsidR="00C45E34" w:rsidRPr="00564EEA">
        <w:rPr>
          <w:sz w:val="26"/>
          <w:szCs w:val="26"/>
        </w:rPr>
        <w:t xml:space="preserve">opted not to </w:t>
      </w:r>
      <w:r w:rsidR="00A571F3" w:rsidRPr="00564EEA">
        <w:rPr>
          <w:sz w:val="26"/>
          <w:szCs w:val="26"/>
        </w:rPr>
        <w:t xml:space="preserve">file any comments to the Settlement.  </w:t>
      </w:r>
      <w:r w:rsidR="00C45E34" w:rsidRPr="00564EEA">
        <w:rPr>
          <w:sz w:val="26"/>
          <w:szCs w:val="26"/>
        </w:rPr>
        <w:t xml:space="preserve">Furthermore, </w:t>
      </w:r>
      <w:r w:rsidR="00A571F3" w:rsidRPr="00564EEA">
        <w:rPr>
          <w:sz w:val="26"/>
          <w:szCs w:val="26"/>
        </w:rPr>
        <w:t>Ms.</w:t>
      </w:r>
      <w:r w:rsidR="006109EE" w:rsidRPr="00564EEA">
        <w:rPr>
          <w:sz w:val="26"/>
          <w:szCs w:val="26"/>
        </w:rPr>
        <w:t> </w:t>
      </w:r>
      <w:r w:rsidR="00A571F3" w:rsidRPr="00564EEA">
        <w:rPr>
          <w:sz w:val="26"/>
          <w:szCs w:val="26"/>
        </w:rPr>
        <w:t xml:space="preserve">Larkin </w:t>
      </w:r>
      <w:r w:rsidR="006109EE" w:rsidRPr="00564EEA">
        <w:rPr>
          <w:sz w:val="26"/>
          <w:szCs w:val="26"/>
        </w:rPr>
        <w:t xml:space="preserve">never specifically </w:t>
      </w:r>
      <w:r w:rsidR="00A571F3" w:rsidRPr="00564EEA">
        <w:rPr>
          <w:sz w:val="26"/>
          <w:szCs w:val="26"/>
        </w:rPr>
        <w:t>address</w:t>
      </w:r>
      <w:r w:rsidR="006109EE" w:rsidRPr="00564EEA">
        <w:rPr>
          <w:sz w:val="26"/>
          <w:szCs w:val="26"/>
        </w:rPr>
        <w:t>es</w:t>
      </w:r>
      <w:r w:rsidR="00A571F3" w:rsidRPr="00564EEA">
        <w:rPr>
          <w:sz w:val="26"/>
          <w:szCs w:val="26"/>
        </w:rPr>
        <w:t xml:space="preserve"> </w:t>
      </w:r>
      <w:r w:rsidR="00C45E34" w:rsidRPr="00564EEA">
        <w:rPr>
          <w:sz w:val="26"/>
          <w:szCs w:val="26"/>
        </w:rPr>
        <w:t xml:space="preserve">either </w:t>
      </w:r>
      <w:r w:rsidR="00A571F3" w:rsidRPr="00564EEA">
        <w:rPr>
          <w:sz w:val="26"/>
          <w:szCs w:val="26"/>
        </w:rPr>
        <w:t xml:space="preserve">the Settlement or the Recommended Decision in her Exceptions.  Instead, </w:t>
      </w:r>
      <w:r w:rsidR="00C45E34" w:rsidRPr="00564EEA">
        <w:rPr>
          <w:sz w:val="26"/>
          <w:szCs w:val="26"/>
        </w:rPr>
        <w:t xml:space="preserve">Ms. Larkin’s </w:t>
      </w:r>
      <w:r w:rsidR="00A571F3" w:rsidRPr="00564EEA">
        <w:rPr>
          <w:sz w:val="26"/>
          <w:szCs w:val="26"/>
        </w:rPr>
        <w:t xml:space="preserve">Exceptions simply restate </w:t>
      </w:r>
      <w:r w:rsidR="00C96035" w:rsidRPr="00564EEA">
        <w:rPr>
          <w:sz w:val="26"/>
          <w:szCs w:val="26"/>
        </w:rPr>
        <w:t>the</w:t>
      </w:r>
      <w:r w:rsidR="00A571F3" w:rsidRPr="00564EEA">
        <w:rPr>
          <w:sz w:val="26"/>
          <w:szCs w:val="26"/>
        </w:rPr>
        <w:t xml:space="preserve"> assertions </w:t>
      </w:r>
      <w:r w:rsidR="00C45E34" w:rsidRPr="00564EEA">
        <w:rPr>
          <w:sz w:val="26"/>
          <w:szCs w:val="26"/>
        </w:rPr>
        <w:t xml:space="preserve">she </w:t>
      </w:r>
      <w:r w:rsidR="00A571F3" w:rsidRPr="00564EEA">
        <w:rPr>
          <w:sz w:val="26"/>
          <w:szCs w:val="26"/>
        </w:rPr>
        <w:t xml:space="preserve">made in </w:t>
      </w:r>
      <w:r w:rsidR="00C45E34" w:rsidRPr="00564EEA">
        <w:rPr>
          <w:sz w:val="26"/>
          <w:szCs w:val="26"/>
        </w:rPr>
        <w:t xml:space="preserve">her </w:t>
      </w:r>
      <w:r w:rsidR="00A571F3" w:rsidRPr="00564EEA">
        <w:rPr>
          <w:sz w:val="26"/>
          <w:szCs w:val="26"/>
        </w:rPr>
        <w:t xml:space="preserve">original complaint </w:t>
      </w:r>
      <w:r w:rsidR="00C45E34" w:rsidRPr="00564EEA">
        <w:rPr>
          <w:sz w:val="26"/>
          <w:szCs w:val="26"/>
        </w:rPr>
        <w:t xml:space="preserve">that was </w:t>
      </w:r>
      <w:r w:rsidR="00A571F3" w:rsidRPr="00564EEA">
        <w:rPr>
          <w:sz w:val="26"/>
          <w:szCs w:val="26"/>
        </w:rPr>
        <w:t>filed in this proceeding</w:t>
      </w:r>
      <w:r w:rsidR="00286A4E" w:rsidRPr="00564EEA">
        <w:rPr>
          <w:sz w:val="26"/>
          <w:szCs w:val="26"/>
        </w:rPr>
        <w:t xml:space="preserve"> </w:t>
      </w:r>
      <w:r w:rsidR="00C45E34" w:rsidRPr="00564EEA">
        <w:rPr>
          <w:sz w:val="26"/>
          <w:szCs w:val="26"/>
        </w:rPr>
        <w:t xml:space="preserve">in opposition to </w:t>
      </w:r>
      <w:r w:rsidR="00286A4E" w:rsidRPr="00564EEA">
        <w:rPr>
          <w:sz w:val="26"/>
          <w:szCs w:val="26"/>
        </w:rPr>
        <w:t>the proposed rate increase</w:t>
      </w:r>
      <w:r w:rsidR="006109EE" w:rsidRPr="00564EEA">
        <w:rPr>
          <w:sz w:val="26"/>
          <w:szCs w:val="26"/>
        </w:rPr>
        <w:t>.</w:t>
      </w:r>
    </w:p>
    <w:p w:rsidR="00C45E34" w:rsidRPr="00564EEA" w:rsidRDefault="00C45E34" w:rsidP="008A3D2D">
      <w:pPr>
        <w:pStyle w:val="OutlineL3"/>
        <w:tabs>
          <w:tab w:val="clear" w:pos="720"/>
          <w:tab w:val="clear" w:pos="2160"/>
        </w:tabs>
        <w:spacing w:after="0" w:line="360" w:lineRule="auto"/>
        <w:ind w:firstLine="0"/>
        <w:rPr>
          <w:sz w:val="26"/>
          <w:szCs w:val="26"/>
        </w:rPr>
      </w:pPr>
    </w:p>
    <w:p w:rsidR="00343F3D" w:rsidRDefault="00C45E34" w:rsidP="008A3D2D">
      <w:pPr>
        <w:pStyle w:val="OutlineL3"/>
        <w:tabs>
          <w:tab w:val="clear" w:pos="720"/>
          <w:tab w:val="clear" w:pos="2160"/>
        </w:tabs>
        <w:spacing w:after="0" w:line="360" w:lineRule="auto"/>
        <w:ind w:firstLine="0"/>
        <w:rPr>
          <w:sz w:val="26"/>
          <w:szCs w:val="26"/>
        </w:rPr>
      </w:pPr>
      <w:r w:rsidRPr="00564EEA">
        <w:rPr>
          <w:sz w:val="26"/>
          <w:szCs w:val="26"/>
        </w:rPr>
        <w:tab/>
      </w:r>
      <w:r w:rsidRPr="00564EEA">
        <w:rPr>
          <w:sz w:val="26"/>
          <w:szCs w:val="26"/>
        </w:rPr>
        <w:tab/>
      </w:r>
      <w:r w:rsidR="00F605DE" w:rsidRPr="00564EEA">
        <w:rPr>
          <w:sz w:val="26"/>
          <w:szCs w:val="26"/>
        </w:rPr>
        <w:t xml:space="preserve">As acknowledged by the ALJ, Ms. Larkin did not pursue the prosecution of </w:t>
      </w:r>
      <w:r w:rsidR="006109EE" w:rsidRPr="00564EEA">
        <w:rPr>
          <w:sz w:val="26"/>
          <w:szCs w:val="26"/>
        </w:rPr>
        <w:t xml:space="preserve">her </w:t>
      </w:r>
      <w:r w:rsidR="00F605DE" w:rsidRPr="00564EEA">
        <w:rPr>
          <w:sz w:val="26"/>
          <w:szCs w:val="26"/>
        </w:rPr>
        <w:t>complaint and it must</w:t>
      </w:r>
      <w:r w:rsidR="006109EE" w:rsidRPr="00564EEA">
        <w:rPr>
          <w:sz w:val="26"/>
          <w:szCs w:val="26"/>
        </w:rPr>
        <w:t>,</w:t>
      </w:r>
      <w:r w:rsidR="00F605DE" w:rsidRPr="00564EEA">
        <w:rPr>
          <w:sz w:val="26"/>
          <w:szCs w:val="26"/>
        </w:rPr>
        <w:t xml:space="preserve"> therefore</w:t>
      </w:r>
      <w:r w:rsidR="006109EE" w:rsidRPr="00564EEA">
        <w:rPr>
          <w:sz w:val="26"/>
          <w:szCs w:val="26"/>
        </w:rPr>
        <w:t>,</w:t>
      </w:r>
      <w:r w:rsidR="00F605DE" w:rsidRPr="00564EEA">
        <w:rPr>
          <w:sz w:val="26"/>
          <w:szCs w:val="26"/>
        </w:rPr>
        <w:t xml:space="preserve"> be dismissed.  R.D. at 15.  </w:t>
      </w:r>
      <w:r w:rsidR="00FC5039" w:rsidRPr="00564EEA">
        <w:rPr>
          <w:sz w:val="26"/>
          <w:szCs w:val="26"/>
        </w:rPr>
        <w:t>Accordingly, o</w:t>
      </w:r>
      <w:r w:rsidR="00080508" w:rsidRPr="00564EEA">
        <w:rPr>
          <w:sz w:val="26"/>
          <w:szCs w:val="26"/>
        </w:rPr>
        <w:t xml:space="preserve">n review of </w:t>
      </w:r>
      <w:r w:rsidR="009B278F" w:rsidRPr="00564EEA">
        <w:rPr>
          <w:sz w:val="26"/>
          <w:szCs w:val="26"/>
        </w:rPr>
        <w:t>Ms. Larkin</w:t>
      </w:r>
      <w:r w:rsidR="00080508" w:rsidRPr="00564EEA">
        <w:rPr>
          <w:sz w:val="26"/>
          <w:szCs w:val="26"/>
        </w:rPr>
        <w:t>’</w:t>
      </w:r>
      <w:r w:rsidR="009B278F" w:rsidRPr="00564EEA">
        <w:rPr>
          <w:sz w:val="26"/>
          <w:szCs w:val="26"/>
        </w:rPr>
        <w:t>s</w:t>
      </w:r>
      <w:r w:rsidR="00080508" w:rsidRPr="00564EEA">
        <w:rPr>
          <w:sz w:val="26"/>
          <w:szCs w:val="26"/>
        </w:rPr>
        <w:t xml:space="preserve"> allegations on t</w:t>
      </w:r>
      <w:r w:rsidR="00893354" w:rsidRPr="00564EEA">
        <w:rPr>
          <w:sz w:val="26"/>
          <w:szCs w:val="26"/>
        </w:rPr>
        <w:t xml:space="preserve">his issue, we conclude that </w:t>
      </w:r>
      <w:r w:rsidR="006F5E3E" w:rsidRPr="00564EEA">
        <w:rPr>
          <w:sz w:val="26"/>
          <w:szCs w:val="26"/>
        </w:rPr>
        <w:t>Ms. Larkin</w:t>
      </w:r>
      <w:r w:rsidR="00080508" w:rsidRPr="00564EEA">
        <w:rPr>
          <w:sz w:val="26"/>
          <w:szCs w:val="26"/>
        </w:rPr>
        <w:t xml:space="preserve"> was afforded every opportunity to participate in the process and to have </w:t>
      </w:r>
      <w:r w:rsidR="006F5E3E" w:rsidRPr="00564EEA">
        <w:rPr>
          <w:sz w:val="26"/>
          <w:szCs w:val="26"/>
        </w:rPr>
        <w:t>her</w:t>
      </w:r>
      <w:r w:rsidR="00080508" w:rsidRPr="00564EEA">
        <w:rPr>
          <w:sz w:val="26"/>
          <w:szCs w:val="26"/>
        </w:rPr>
        <w:t xml:space="preserve"> concerns addressed.</w:t>
      </w:r>
      <w:r w:rsidR="00F605DE" w:rsidRPr="00564EEA">
        <w:rPr>
          <w:sz w:val="26"/>
          <w:szCs w:val="26"/>
        </w:rPr>
        <w:t xml:space="preserve">  </w:t>
      </w:r>
      <w:r w:rsidR="00286A4E" w:rsidRPr="00564EEA">
        <w:rPr>
          <w:sz w:val="26"/>
          <w:szCs w:val="26"/>
        </w:rPr>
        <w:t>For the above reasons</w:t>
      </w:r>
      <w:r w:rsidR="00F605DE" w:rsidRPr="00564EEA">
        <w:rPr>
          <w:sz w:val="26"/>
          <w:szCs w:val="26"/>
        </w:rPr>
        <w:t>, Ms. Larkin’s Exceptions are denied.</w:t>
      </w:r>
    </w:p>
    <w:p w:rsidR="00343F3D" w:rsidRPr="008373DB" w:rsidRDefault="00343F3D" w:rsidP="008A3D2D">
      <w:pPr>
        <w:pStyle w:val="OutlineL3"/>
        <w:tabs>
          <w:tab w:val="clear" w:pos="720"/>
          <w:tab w:val="clear" w:pos="2160"/>
        </w:tabs>
        <w:spacing w:after="0" w:line="360" w:lineRule="auto"/>
        <w:ind w:firstLine="0"/>
        <w:rPr>
          <w:sz w:val="26"/>
          <w:szCs w:val="26"/>
        </w:rPr>
      </w:pPr>
      <w:r>
        <w:rPr>
          <w:sz w:val="26"/>
          <w:szCs w:val="26"/>
        </w:rPr>
        <w:tab/>
      </w:r>
      <w:r>
        <w:rPr>
          <w:sz w:val="26"/>
          <w:szCs w:val="26"/>
        </w:rPr>
        <w:tab/>
      </w:r>
    </w:p>
    <w:p w:rsidR="006109EE" w:rsidRPr="00564EEA" w:rsidRDefault="006109EE" w:rsidP="008A3D2D">
      <w:pPr>
        <w:pStyle w:val="OutlineL3"/>
        <w:tabs>
          <w:tab w:val="clear" w:pos="720"/>
          <w:tab w:val="clear" w:pos="2160"/>
        </w:tabs>
        <w:spacing w:after="0" w:line="360" w:lineRule="auto"/>
        <w:ind w:firstLine="0"/>
        <w:rPr>
          <w:sz w:val="26"/>
          <w:szCs w:val="26"/>
        </w:rPr>
      </w:pPr>
    </w:p>
    <w:p w:rsidR="00537D7F" w:rsidRPr="00564EEA" w:rsidRDefault="00537D7F" w:rsidP="004639B6">
      <w:pPr>
        <w:pStyle w:val="ListParagraph"/>
        <w:keepNext/>
        <w:numPr>
          <w:ilvl w:val="0"/>
          <w:numId w:val="26"/>
        </w:numPr>
        <w:tabs>
          <w:tab w:val="clear" w:pos="720"/>
        </w:tabs>
        <w:spacing w:line="360" w:lineRule="auto"/>
        <w:jc w:val="center"/>
        <w:rPr>
          <w:b/>
          <w:sz w:val="26"/>
          <w:szCs w:val="26"/>
        </w:rPr>
      </w:pPr>
      <w:r w:rsidRPr="00564EEA">
        <w:rPr>
          <w:b/>
          <w:sz w:val="26"/>
          <w:szCs w:val="26"/>
        </w:rPr>
        <w:lastRenderedPageBreak/>
        <w:t>Conclusion</w:t>
      </w:r>
    </w:p>
    <w:p w:rsidR="00537D7F" w:rsidRPr="00564EEA" w:rsidRDefault="00537D7F" w:rsidP="004639B6">
      <w:pPr>
        <w:keepNext/>
        <w:spacing w:after="0" w:line="360" w:lineRule="auto"/>
        <w:rPr>
          <w:rFonts w:ascii="Times New Roman" w:eastAsia="Times New Roman" w:hAnsi="Times New Roman"/>
          <w:sz w:val="26"/>
          <w:szCs w:val="26"/>
        </w:rPr>
      </w:pPr>
    </w:p>
    <w:p w:rsidR="00B53E8B" w:rsidRPr="00564EEA" w:rsidRDefault="00357564" w:rsidP="008A3D2D">
      <w:pPr>
        <w:tabs>
          <w:tab w:val="left" w:pos="-720"/>
        </w:tabs>
        <w:suppressAutoHyphens/>
        <w:spacing w:line="360" w:lineRule="auto"/>
        <w:ind w:firstLine="1440"/>
        <w:rPr>
          <w:rFonts w:ascii="Times New Roman" w:hAnsi="Times New Roman"/>
          <w:spacing w:val="-3"/>
          <w:sz w:val="26"/>
          <w:szCs w:val="26"/>
        </w:rPr>
      </w:pPr>
      <w:r w:rsidRPr="00564EEA">
        <w:rPr>
          <w:rFonts w:ascii="Times New Roman" w:hAnsi="Times New Roman"/>
          <w:spacing w:val="-3"/>
          <w:sz w:val="26"/>
          <w:szCs w:val="26"/>
        </w:rPr>
        <w:t xml:space="preserve">Based on our review, evaluation and analysis of the record </w:t>
      </w:r>
      <w:r w:rsidR="00E958C5" w:rsidRPr="00564EEA">
        <w:rPr>
          <w:rFonts w:ascii="Times New Roman" w:hAnsi="Times New Roman"/>
          <w:spacing w:val="-3"/>
          <w:sz w:val="26"/>
          <w:szCs w:val="26"/>
        </w:rPr>
        <w:t>in this proceeding</w:t>
      </w:r>
      <w:r w:rsidR="00AA5088" w:rsidRPr="00564EEA">
        <w:rPr>
          <w:rFonts w:ascii="Times New Roman" w:hAnsi="Times New Roman"/>
          <w:spacing w:val="-3"/>
          <w:sz w:val="26"/>
          <w:szCs w:val="26"/>
        </w:rPr>
        <w:t xml:space="preserve">, </w:t>
      </w:r>
      <w:r w:rsidR="000F64CB" w:rsidRPr="00564EEA">
        <w:rPr>
          <w:rFonts w:ascii="Times New Roman" w:hAnsi="Times New Roman"/>
          <w:spacing w:val="-3"/>
          <w:sz w:val="26"/>
          <w:szCs w:val="26"/>
        </w:rPr>
        <w:t xml:space="preserve">we </w:t>
      </w:r>
      <w:r w:rsidR="00D5080A" w:rsidRPr="00564EEA">
        <w:rPr>
          <w:rFonts w:ascii="Times New Roman" w:hAnsi="Times New Roman"/>
          <w:spacing w:val="-3"/>
          <w:sz w:val="26"/>
          <w:szCs w:val="26"/>
        </w:rPr>
        <w:t xml:space="preserve">conclude </w:t>
      </w:r>
      <w:r w:rsidR="000F64CB" w:rsidRPr="00564EEA">
        <w:rPr>
          <w:rFonts w:ascii="Times New Roman" w:hAnsi="Times New Roman"/>
          <w:spacing w:val="-3"/>
          <w:sz w:val="26"/>
          <w:szCs w:val="26"/>
        </w:rPr>
        <w:t>that the Settl</w:t>
      </w:r>
      <w:r w:rsidR="008D6CDB" w:rsidRPr="00564EEA">
        <w:rPr>
          <w:rFonts w:ascii="Times New Roman" w:hAnsi="Times New Roman"/>
          <w:spacing w:val="-3"/>
          <w:sz w:val="26"/>
          <w:szCs w:val="26"/>
        </w:rPr>
        <w:t>ement is in the public interest.</w:t>
      </w:r>
      <w:r w:rsidR="000F64CB" w:rsidRPr="00564EEA">
        <w:rPr>
          <w:rFonts w:ascii="Times New Roman" w:hAnsi="Times New Roman"/>
          <w:spacing w:val="-3"/>
          <w:sz w:val="26"/>
          <w:szCs w:val="26"/>
        </w:rPr>
        <w:t xml:space="preserve">  Consequently, </w:t>
      </w:r>
      <w:r w:rsidR="00AA5088" w:rsidRPr="00564EEA">
        <w:rPr>
          <w:rFonts w:ascii="Times New Roman" w:hAnsi="Times New Roman"/>
          <w:spacing w:val="-3"/>
          <w:sz w:val="26"/>
          <w:szCs w:val="26"/>
        </w:rPr>
        <w:t xml:space="preserve">we shall </w:t>
      </w:r>
      <w:r w:rsidR="003A60C4" w:rsidRPr="00564EEA">
        <w:rPr>
          <w:rFonts w:ascii="Times New Roman" w:hAnsi="Times New Roman"/>
          <w:spacing w:val="-3"/>
          <w:sz w:val="26"/>
          <w:szCs w:val="26"/>
        </w:rPr>
        <w:t>deny Ms.</w:t>
      </w:r>
      <w:r w:rsidR="00511359">
        <w:rPr>
          <w:rFonts w:ascii="Times New Roman" w:hAnsi="Times New Roman"/>
          <w:spacing w:val="-3"/>
          <w:sz w:val="26"/>
          <w:szCs w:val="26"/>
        </w:rPr>
        <w:t> </w:t>
      </w:r>
      <w:r w:rsidR="003A60C4" w:rsidRPr="00564EEA">
        <w:rPr>
          <w:rFonts w:ascii="Times New Roman" w:hAnsi="Times New Roman"/>
          <w:spacing w:val="-3"/>
          <w:sz w:val="26"/>
          <w:szCs w:val="26"/>
        </w:rPr>
        <w:t xml:space="preserve">Larkin’s Exceptions and </w:t>
      </w:r>
      <w:r w:rsidR="00AA5088" w:rsidRPr="00564EEA">
        <w:rPr>
          <w:rFonts w:ascii="Times New Roman" w:hAnsi="Times New Roman"/>
          <w:spacing w:val="-3"/>
          <w:sz w:val="26"/>
          <w:szCs w:val="26"/>
        </w:rPr>
        <w:t>adopt the ALJ</w:t>
      </w:r>
      <w:r w:rsidR="002221DC" w:rsidRPr="00564EEA">
        <w:rPr>
          <w:rFonts w:ascii="Times New Roman" w:hAnsi="Times New Roman"/>
          <w:spacing w:val="-3"/>
          <w:sz w:val="26"/>
          <w:szCs w:val="26"/>
        </w:rPr>
        <w:t>’</w:t>
      </w:r>
      <w:r w:rsidR="00BA1947" w:rsidRPr="00564EEA">
        <w:rPr>
          <w:rFonts w:ascii="Times New Roman" w:hAnsi="Times New Roman"/>
          <w:spacing w:val="-3"/>
          <w:sz w:val="26"/>
          <w:szCs w:val="26"/>
        </w:rPr>
        <w:t>s</w:t>
      </w:r>
      <w:r w:rsidRPr="00564EEA">
        <w:rPr>
          <w:rFonts w:ascii="Times New Roman" w:hAnsi="Times New Roman"/>
          <w:spacing w:val="-3"/>
          <w:sz w:val="26"/>
          <w:szCs w:val="26"/>
        </w:rPr>
        <w:t xml:space="preserve"> recom</w:t>
      </w:r>
      <w:r w:rsidR="00BA1947" w:rsidRPr="00564EEA">
        <w:rPr>
          <w:rFonts w:ascii="Times New Roman" w:hAnsi="Times New Roman"/>
          <w:spacing w:val="-3"/>
          <w:sz w:val="26"/>
          <w:szCs w:val="26"/>
        </w:rPr>
        <w:t>mendation</w:t>
      </w:r>
      <w:r w:rsidR="003A60C4" w:rsidRPr="00564EEA">
        <w:rPr>
          <w:rFonts w:ascii="Times New Roman" w:hAnsi="Times New Roman"/>
          <w:spacing w:val="-3"/>
          <w:sz w:val="26"/>
          <w:szCs w:val="26"/>
        </w:rPr>
        <w:t xml:space="preserve"> that</w:t>
      </w:r>
      <w:r w:rsidR="00E958C5" w:rsidRPr="00564EEA">
        <w:rPr>
          <w:rFonts w:ascii="Times New Roman" w:hAnsi="Times New Roman"/>
          <w:spacing w:val="-3"/>
          <w:sz w:val="26"/>
          <w:szCs w:val="26"/>
        </w:rPr>
        <w:t>:</w:t>
      </w:r>
      <w:r w:rsidR="00BA1947" w:rsidRPr="00564EEA">
        <w:rPr>
          <w:rFonts w:ascii="Times New Roman" w:hAnsi="Times New Roman"/>
          <w:spacing w:val="-3"/>
          <w:sz w:val="26"/>
          <w:szCs w:val="26"/>
        </w:rPr>
        <w:t xml:space="preserve"> </w:t>
      </w:r>
      <w:r w:rsidR="00511359">
        <w:rPr>
          <w:rFonts w:ascii="Times New Roman" w:hAnsi="Times New Roman"/>
          <w:spacing w:val="-3"/>
          <w:sz w:val="26"/>
          <w:szCs w:val="26"/>
        </w:rPr>
        <w:t xml:space="preserve"> </w:t>
      </w:r>
      <w:r w:rsidR="00D5080A" w:rsidRPr="00564EEA">
        <w:rPr>
          <w:rFonts w:ascii="Times New Roman" w:hAnsi="Times New Roman"/>
          <w:spacing w:val="-3"/>
          <w:sz w:val="26"/>
          <w:szCs w:val="26"/>
        </w:rPr>
        <w:t>(1)</w:t>
      </w:r>
      <w:r w:rsidR="00E958C5" w:rsidRPr="00564EEA">
        <w:rPr>
          <w:rFonts w:ascii="Times New Roman" w:hAnsi="Times New Roman"/>
          <w:spacing w:val="-3"/>
          <w:sz w:val="26"/>
          <w:szCs w:val="26"/>
        </w:rPr>
        <w:t xml:space="preserve"> </w:t>
      </w:r>
      <w:r w:rsidR="00DA3543" w:rsidRPr="00564EEA">
        <w:rPr>
          <w:rFonts w:ascii="Times New Roman" w:hAnsi="Times New Roman"/>
          <w:spacing w:val="-3"/>
          <w:sz w:val="26"/>
          <w:szCs w:val="26"/>
        </w:rPr>
        <w:t xml:space="preserve">grants the </w:t>
      </w:r>
      <w:r w:rsidR="00DA3543" w:rsidRPr="00564EEA">
        <w:rPr>
          <w:rFonts w:ascii="Times New Roman" w:hAnsi="Times New Roman"/>
          <w:bCs/>
          <w:sz w:val="26"/>
          <w:szCs w:val="26"/>
        </w:rPr>
        <w:t>Joint Petition for Settlement</w:t>
      </w:r>
      <w:r w:rsidR="00564EEA" w:rsidRPr="00564EEA">
        <w:rPr>
          <w:rFonts w:ascii="Times New Roman" w:hAnsi="Times New Roman"/>
          <w:bCs/>
          <w:sz w:val="26"/>
          <w:szCs w:val="26"/>
        </w:rPr>
        <w:t xml:space="preserve"> to adopt the Joint Settlement in its entirety</w:t>
      </w:r>
      <w:r w:rsidR="00D5080A" w:rsidRPr="00564EEA">
        <w:rPr>
          <w:rFonts w:ascii="Times New Roman" w:hAnsi="Times New Roman"/>
          <w:spacing w:val="-3"/>
          <w:sz w:val="26"/>
          <w:szCs w:val="26"/>
        </w:rPr>
        <w:t xml:space="preserve">; (2) </w:t>
      </w:r>
      <w:r w:rsidR="00E958C5" w:rsidRPr="00564EEA">
        <w:rPr>
          <w:rFonts w:ascii="Times New Roman" w:hAnsi="Times New Roman"/>
          <w:spacing w:val="-3"/>
          <w:sz w:val="26"/>
          <w:szCs w:val="26"/>
        </w:rPr>
        <w:t xml:space="preserve">deems the </w:t>
      </w:r>
      <w:r w:rsidR="00D5080A" w:rsidRPr="00564EEA">
        <w:rPr>
          <w:rFonts w:ascii="Times New Roman" w:hAnsi="Times New Roman"/>
          <w:sz w:val="26"/>
          <w:szCs w:val="26"/>
        </w:rPr>
        <w:t xml:space="preserve">associated </w:t>
      </w:r>
      <w:r w:rsidR="00E958C5" w:rsidRPr="00564EEA">
        <w:rPr>
          <w:rFonts w:ascii="Times New Roman" w:hAnsi="Times New Roman"/>
          <w:sz w:val="26"/>
          <w:szCs w:val="26"/>
        </w:rPr>
        <w:t xml:space="preserve">Formal </w:t>
      </w:r>
      <w:r w:rsidR="00D5080A" w:rsidRPr="00564EEA">
        <w:rPr>
          <w:rFonts w:ascii="Times New Roman" w:hAnsi="Times New Roman"/>
          <w:sz w:val="26"/>
          <w:szCs w:val="26"/>
        </w:rPr>
        <w:t>Complaints</w:t>
      </w:r>
      <w:r w:rsidR="00E958C5" w:rsidRPr="00564EEA">
        <w:rPr>
          <w:rFonts w:ascii="Times New Roman" w:hAnsi="Times New Roman"/>
          <w:sz w:val="26"/>
          <w:szCs w:val="26"/>
        </w:rPr>
        <w:t>,</w:t>
      </w:r>
      <w:r w:rsidR="00D5080A" w:rsidRPr="00564EEA">
        <w:rPr>
          <w:rFonts w:ascii="Times New Roman" w:hAnsi="Times New Roman"/>
          <w:sz w:val="26"/>
          <w:szCs w:val="26"/>
        </w:rPr>
        <w:t xml:space="preserve"> filed by the OCA and the OSBA</w:t>
      </w:r>
      <w:r w:rsidR="00E958C5" w:rsidRPr="00564EEA">
        <w:rPr>
          <w:rFonts w:ascii="Times New Roman" w:hAnsi="Times New Roman"/>
          <w:sz w:val="26"/>
          <w:szCs w:val="26"/>
        </w:rPr>
        <w:t>,</w:t>
      </w:r>
      <w:r w:rsidR="00D5080A" w:rsidRPr="00564EEA">
        <w:rPr>
          <w:rFonts w:ascii="Times New Roman" w:hAnsi="Times New Roman"/>
          <w:sz w:val="26"/>
          <w:szCs w:val="26"/>
        </w:rPr>
        <w:t xml:space="preserve"> satisfied</w:t>
      </w:r>
      <w:r w:rsidR="00E958C5" w:rsidRPr="00564EEA">
        <w:rPr>
          <w:rFonts w:ascii="Times New Roman" w:hAnsi="Times New Roman"/>
          <w:sz w:val="26"/>
          <w:szCs w:val="26"/>
        </w:rPr>
        <w:t xml:space="preserve">; and (3) dismisses </w:t>
      </w:r>
      <w:r w:rsidR="00D5080A" w:rsidRPr="00564EEA">
        <w:rPr>
          <w:rFonts w:ascii="Times New Roman" w:hAnsi="Times New Roman"/>
          <w:sz w:val="26"/>
          <w:szCs w:val="26"/>
        </w:rPr>
        <w:t>the Formal Complaint filed by Jane O. Larkin</w:t>
      </w:r>
      <w:r w:rsidR="00E958C5" w:rsidRPr="00564EEA">
        <w:rPr>
          <w:rFonts w:ascii="Times New Roman" w:hAnsi="Times New Roman"/>
          <w:sz w:val="26"/>
          <w:szCs w:val="26"/>
        </w:rPr>
        <w:t>.</w:t>
      </w:r>
      <w:r w:rsidRPr="00564EEA">
        <w:rPr>
          <w:rFonts w:ascii="Times New Roman" w:hAnsi="Times New Roman"/>
          <w:spacing w:val="-3"/>
          <w:sz w:val="26"/>
          <w:szCs w:val="26"/>
        </w:rPr>
        <w:t xml:space="preserve">  </w:t>
      </w:r>
      <w:r w:rsidR="003A60C4" w:rsidRPr="00564EEA">
        <w:rPr>
          <w:rFonts w:ascii="Times New Roman" w:hAnsi="Times New Roman"/>
          <w:spacing w:val="-3"/>
          <w:sz w:val="26"/>
        </w:rPr>
        <w:t xml:space="preserve">Adoption of the Joint Settlement will result in the City receiving a stipulated increase in annual revenues of $399,000 </w:t>
      </w:r>
      <w:r w:rsidR="003A60C4" w:rsidRPr="00564EEA">
        <w:rPr>
          <w:rFonts w:ascii="Times New Roman" w:hAnsi="Times New Roman"/>
          <w:spacing w:val="-3"/>
          <w:sz w:val="26"/>
          <w:szCs w:val="26"/>
        </w:rPr>
        <w:t xml:space="preserve">(a 42.4% increase in annual revenues) </w:t>
      </w:r>
      <w:r w:rsidR="003A60C4" w:rsidRPr="00564EEA">
        <w:rPr>
          <w:rFonts w:ascii="Times New Roman" w:hAnsi="Times New Roman"/>
          <w:spacing w:val="-3"/>
          <w:sz w:val="26"/>
        </w:rPr>
        <w:t>after the implementation of the OPEB Trust</w:t>
      </w:r>
      <w:r w:rsidR="00066CF2">
        <w:rPr>
          <w:rFonts w:ascii="Times New Roman" w:hAnsi="Times New Roman"/>
          <w:spacing w:val="-3"/>
          <w:sz w:val="26"/>
        </w:rPr>
        <w:t>,</w:t>
      </w:r>
      <w:r w:rsidR="00BA1947" w:rsidRPr="00564EEA">
        <w:rPr>
          <w:rFonts w:ascii="Times New Roman" w:hAnsi="Times New Roman"/>
          <w:spacing w:val="-3"/>
          <w:sz w:val="26"/>
          <w:szCs w:val="26"/>
        </w:rPr>
        <w:t xml:space="preserve"> </w:t>
      </w:r>
      <w:r w:rsidR="003A60C4" w:rsidRPr="00564EEA">
        <w:rPr>
          <w:rFonts w:ascii="Times New Roman" w:hAnsi="Times New Roman"/>
          <w:spacing w:val="-3"/>
          <w:sz w:val="26"/>
          <w:szCs w:val="26"/>
        </w:rPr>
        <w:t xml:space="preserve">in lieu of the </w:t>
      </w:r>
      <w:r w:rsidR="003A60C4" w:rsidRPr="00564EEA">
        <w:rPr>
          <w:rFonts w:ascii="Times New Roman" w:hAnsi="Times New Roman"/>
          <w:spacing w:val="-3"/>
          <w:sz w:val="26"/>
        </w:rPr>
        <w:t>City’s original request for an overall revenue increase of $551,609 (a 58.6% increase in annual revenues);</w:t>
      </w:r>
      <w:r w:rsidRPr="00564EEA">
        <w:rPr>
          <w:rFonts w:ascii="Times New Roman" w:hAnsi="Times New Roman"/>
          <w:spacing w:val="-3"/>
          <w:sz w:val="26"/>
          <w:szCs w:val="26"/>
        </w:rPr>
        <w:t xml:space="preserve"> </w:t>
      </w:r>
      <w:r w:rsidRPr="00564EEA">
        <w:rPr>
          <w:rFonts w:ascii="Times New Roman" w:hAnsi="Times New Roman"/>
          <w:b/>
          <w:spacing w:val="-3"/>
          <w:sz w:val="26"/>
          <w:szCs w:val="26"/>
        </w:rPr>
        <w:t>THEREFORE</w:t>
      </w:r>
      <w:r w:rsidR="003A60C4" w:rsidRPr="00564EEA">
        <w:rPr>
          <w:rFonts w:ascii="Times New Roman" w:hAnsi="Times New Roman"/>
          <w:b/>
          <w:spacing w:val="-3"/>
          <w:sz w:val="26"/>
          <w:szCs w:val="26"/>
        </w:rPr>
        <w:t>,</w:t>
      </w:r>
    </w:p>
    <w:p w:rsidR="003A60C4" w:rsidRPr="00564EEA" w:rsidRDefault="003A60C4" w:rsidP="008A3D2D">
      <w:pPr>
        <w:pStyle w:val="NoSpacing"/>
        <w:spacing w:line="360" w:lineRule="auto"/>
        <w:ind w:left="720"/>
        <w:rPr>
          <w:b/>
          <w:sz w:val="26"/>
          <w:szCs w:val="26"/>
        </w:rPr>
      </w:pPr>
    </w:p>
    <w:p w:rsidR="00B53E8B" w:rsidRPr="00564EEA" w:rsidRDefault="0047221A" w:rsidP="008A3D2D">
      <w:pPr>
        <w:pStyle w:val="NoSpacing"/>
        <w:spacing w:line="360" w:lineRule="auto"/>
        <w:ind w:left="720"/>
        <w:rPr>
          <w:b/>
          <w:sz w:val="26"/>
          <w:szCs w:val="26"/>
        </w:rPr>
      </w:pPr>
      <w:r w:rsidRPr="00564EEA">
        <w:rPr>
          <w:b/>
          <w:sz w:val="26"/>
          <w:szCs w:val="26"/>
        </w:rPr>
        <w:t xml:space="preserve">IT IS </w:t>
      </w:r>
      <w:r w:rsidR="00C57E0A" w:rsidRPr="00564EEA">
        <w:rPr>
          <w:b/>
          <w:sz w:val="26"/>
          <w:szCs w:val="26"/>
        </w:rPr>
        <w:t>ORDERED</w:t>
      </w:r>
      <w:r w:rsidRPr="00564EEA">
        <w:rPr>
          <w:b/>
          <w:sz w:val="26"/>
          <w:szCs w:val="26"/>
        </w:rPr>
        <w:t>:</w:t>
      </w:r>
    </w:p>
    <w:p w:rsidR="00C57E0A" w:rsidRPr="00564EEA" w:rsidRDefault="00C57E0A" w:rsidP="008A3D2D">
      <w:pPr>
        <w:pStyle w:val="NoSpacing"/>
        <w:spacing w:line="360" w:lineRule="auto"/>
        <w:ind w:left="720"/>
        <w:rPr>
          <w:b/>
          <w:sz w:val="26"/>
          <w:szCs w:val="26"/>
        </w:rPr>
      </w:pPr>
    </w:p>
    <w:p w:rsidR="00C57E0A" w:rsidRPr="00564EEA" w:rsidRDefault="00C57E0A" w:rsidP="008A3D2D">
      <w:pPr>
        <w:pStyle w:val="NoSpacing"/>
        <w:spacing w:line="360" w:lineRule="auto"/>
        <w:ind w:firstLine="1440"/>
        <w:rPr>
          <w:spacing w:val="-3"/>
          <w:sz w:val="26"/>
          <w:szCs w:val="26"/>
        </w:rPr>
      </w:pPr>
      <w:r w:rsidRPr="00564EEA">
        <w:rPr>
          <w:spacing w:val="-3"/>
          <w:sz w:val="26"/>
          <w:szCs w:val="26"/>
        </w:rPr>
        <w:t xml:space="preserve">1. </w:t>
      </w:r>
      <w:r w:rsidRPr="00564EEA">
        <w:rPr>
          <w:spacing w:val="-3"/>
          <w:sz w:val="26"/>
          <w:szCs w:val="26"/>
        </w:rPr>
        <w:tab/>
        <w:t xml:space="preserve">That the Exceptions filed by </w:t>
      </w:r>
      <w:r w:rsidR="00B3144D" w:rsidRPr="00564EEA">
        <w:rPr>
          <w:spacing w:val="-3"/>
          <w:sz w:val="26"/>
          <w:szCs w:val="26"/>
        </w:rPr>
        <w:t>Jane O. Larkin on March 20, 2013</w:t>
      </w:r>
      <w:r w:rsidRPr="00564EEA">
        <w:rPr>
          <w:spacing w:val="-3"/>
          <w:sz w:val="26"/>
          <w:szCs w:val="26"/>
        </w:rPr>
        <w:t>, to the Recommended Decis</w:t>
      </w:r>
      <w:r w:rsidR="00B3144D" w:rsidRPr="00564EEA">
        <w:rPr>
          <w:spacing w:val="-3"/>
          <w:sz w:val="26"/>
          <w:szCs w:val="26"/>
        </w:rPr>
        <w:t>ion of Administrative Law Judge</w:t>
      </w:r>
      <w:r w:rsidRPr="00564EEA">
        <w:rPr>
          <w:spacing w:val="-3"/>
          <w:sz w:val="26"/>
          <w:szCs w:val="26"/>
        </w:rPr>
        <w:t xml:space="preserve"> </w:t>
      </w:r>
      <w:r w:rsidR="00B3144D" w:rsidRPr="00564EEA">
        <w:rPr>
          <w:spacing w:val="-3"/>
          <w:sz w:val="26"/>
          <w:szCs w:val="26"/>
        </w:rPr>
        <w:t>Dennis J</w:t>
      </w:r>
      <w:r w:rsidRPr="00564EEA">
        <w:rPr>
          <w:spacing w:val="-3"/>
          <w:sz w:val="26"/>
          <w:szCs w:val="26"/>
        </w:rPr>
        <w:t xml:space="preserve">. </w:t>
      </w:r>
      <w:r w:rsidR="00B3144D" w:rsidRPr="00564EEA">
        <w:rPr>
          <w:spacing w:val="-3"/>
          <w:sz w:val="26"/>
          <w:szCs w:val="26"/>
        </w:rPr>
        <w:t>Buckley</w:t>
      </w:r>
      <w:r w:rsidRPr="00564EEA">
        <w:rPr>
          <w:spacing w:val="-3"/>
          <w:sz w:val="26"/>
          <w:szCs w:val="26"/>
        </w:rPr>
        <w:t xml:space="preserve"> are</w:t>
      </w:r>
      <w:r w:rsidR="00B3144D" w:rsidRPr="00564EEA">
        <w:rPr>
          <w:spacing w:val="-3"/>
          <w:sz w:val="26"/>
          <w:szCs w:val="26"/>
        </w:rPr>
        <w:t xml:space="preserve"> denied</w:t>
      </w:r>
      <w:r w:rsidR="00992092" w:rsidRPr="00564EEA">
        <w:rPr>
          <w:spacing w:val="-3"/>
          <w:sz w:val="26"/>
          <w:szCs w:val="26"/>
        </w:rPr>
        <w:t>.</w:t>
      </w:r>
    </w:p>
    <w:p w:rsidR="00FA6B88" w:rsidRPr="00564EEA" w:rsidRDefault="00FA6B88" w:rsidP="008A3D2D">
      <w:pPr>
        <w:pStyle w:val="NoSpacing"/>
        <w:spacing w:line="360" w:lineRule="auto"/>
        <w:ind w:firstLine="1440"/>
        <w:rPr>
          <w:spacing w:val="-3"/>
          <w:sz w:val="26"/>
          <w:szCs w:val="26"/>
        </w:rPr>
      </w:pPr>
    </w:p>
    <w:p w:rsidR="00067490" w:rsidRPr="00564EEA" w:rsidRDefault="00067490" w:rsidP="008A3D2D">
      <w:pPr>
        <w:pStyle w:val="NoSpacing"/>
        <w:spacing w:line="360" w:lineRule="auto"/>
        <w:rPr>
          <w:spacing w:val="-3"/>
          <w:sz w:val="26"/>
          <w:szCs w:val="26"/>
        </w:rPr>
      </w:pPr>
      <w:r w:rsidRPr="00564EEA">
        <w:rPr>
          <w:spacing w:val="-3"/>
          <w:sz w:val="26"/>
          <w:szCs w:val="26"/>
        </w:rPr>
        <w:tab/>
      </w:r>
      <w:r w:rsidR="00FA6B88" w:rsidRPr="00564EEA">
        <w:rPr>
          <w:spacing w:val="-3"/>
          <w:sz w:val="26"/>
          <w:szCs w:val="26"/>
        </w:rPr>
        <w:tab/>
      </w:r>
      <w:r w:rsidR="00B3144D" w:rsidRPr="00564EEA">
        <w:rPr>
          <w:spacing w:val="-3"/>
          <w:sz w:val="26"/>
          <w:szCs w:val="26"/>
        </w:rPr>
        <w:t>2</w:t>
      </w:r>
      <w:r w:rsidRPr="00564EEA">
        <w:rPr>
          <w:spacing w:val="-3"/>
          <w:sz w:val="26"/>
          <w:szCs w:val="26"/>
        </w:rPr>
        <w:t>.</w:t>
      </w:r>
      <w:r w:rsidRPr="00564EEA">
        <w:rPr>
          <w:spacing w:val="-3"/>
          <w:sz w:val="26"/>
          <w:szCs w:val="26"/>
        </w:rPr>
        <w:tab/>
        <w:t>That the Recommended Decis</w:t>
      </w:r>
      <w:r w:rsidR="00B3144D" w:rsidRPr="00564EEA">
        <w:rPr>
          <w:spacing w:val="-3"/>
          <w:sz w:val="26"/>
          <w:szCs w:val="26"/>
        </w:rPr>
        <w:t>ion of Administrative Law Judge</w:t>
      </w:r>
      <w:r w:rsidRPr="00564EEA">
        <w:rPr>
          <w:spacing w:val="-3"/>
          <w:sz w:val="26"/>
          <w:szCs w:val="26"/>
        </w:rPr>
        <w:t xml:space="preserve"> </w:t>
      </w:r>
      <w:r w:rsidR="00B3144D" w:rsidRPr="00564EEA">
        <w:rPr>
          <w:spacing w:val="-3"/>
          <w:sz w:val="26"/>
          <w:szCs w:val="26"/>
        </w:rPr>
        <w:t>Dennis</w:t>
      </w:r>
      <w:r w:rsidR="004639B6" w:rsidRPr="00564EEA">
        <w:rPr>
          <w:spacing w:val="-3"/>
          <w:sz w:val="26"/>
          <w:szCs w:val="26"/>
        </w:rPr>
        <w:t> </w:t>
      </w:r>
      <w:r w:rsidR="00B3144D" w:rsidRPr="00564EEA">
        <w:rPr>
          <w:spacing w:val="-3"/>
          <w:sz w:val="26"/>
          <w:szCs w:val="26"/>
        </w:rPr>
        <w:t>J. Buckley, issued on March 13, 2013</w:t>
      </w:r>
      <w:r w:rsidRPr="00564EEA">
        <w:rPr>
          <w:spacing w:val="-3"/>
          <w:sz w:val="26"/>
          <w:szCs w:val="26"/>
        </w:rPr>
        <w:t>, is adopted.</w:t>
      </w:r>
    </w:p>
    <w:p w:rsidR="003649F8" w:rsidRPr="00564EEA" w:rsidRDefault="003649F8" w:rsidP="008A3D2D">
      <w:pPr>
        <w:pStyle w:val="NoSpacing"/>
        <w:spacing w:line="360" w:lineRule="auto"/>
        <w:rPr>
          <w:spacing w:val="-3"/>
          <w:sz w:val="26"/>
          <w:szCs w:val="26"/>
        </w:rPr>
      </w:pPr>
    </w:p>
    <w:p w:rsidR="00B3144D" w:rsidRPr="00564EEA" w:rsidRDefault="00B3144D" w:rsidP="003649F8">
      <w:pPr>
        <w:pStyle w:val="NoSpacing"/>
        <w:spacing w:line="360" w:lineRule="auto"/>
        <w:rPr>
          <w:spacing w:val="-3"/>
          <w:sz w:val="26"/>
          <w:szCs w:val="26"/>
        </w:rPr>
      </w:pPr>
      <w:r w:rsidRPr="00564EEA">
        <w:rPr>
          <w:spacing w:val="-3"/>
          <w:sz w:val="26"/>
          <w:szCs w:val="26"/>
        </w:rPr>
        <w:tab/>
      </w:r>
      <w:r w:rsidRPr="00564EEA">
        <w:rPr>
          <w:spacing w:val="-3"/>
          <w:sz w:val="26"/>
          <w:szCs w:val="26"/>
        </w:rPr>
        <w:tab/>
      </w:r>
      <w:r w:rsidR="003649F8" w:rsidRPr="00564EEA">
        <w:rPr>
          <w:spacing w:val="-3"/>
          <w:sz w:val="26"/>
          <w:szCs w:val="26"/>
        </w:rPr>
        <w:t>3</w:t>
      </w:r>
      <w:r w:rsidRPr="00564EEA">
        <w:rPr>
          <w:spacing w:val="-3"/>
          <w:sz w:val="26"/>
          <w:szCs w:val="26"/>
        </w:rPr>
        <w:t>.</w:t>
      </w:r>
      <w:r w:rsidRPr="00564EEA">
        <w:rPr>
          <w:spacing w:val="-3"/>
          <w:sz w:val="26"/>
          <w:szCs w:val="26"/>
        </w:rPr>
        <w:tab/>
        <w:t>That the Joint Petition for Settlement of the Rate Investigation Pursuant to 66 Pa. C.S. §1308(d)</w:t>
      </w:r>
      <w:r w:rsidR="00334401" w:rsidRPr="00564EEA">
        <w:rPr>
          <w:spacing w:val="-3"/>
          <w:sz w:val="26"/>
          <w:szCs w:val="26"/>
        </w:rPr>
        <w:t>,</w:t>
      </w:r>
      <w:r w:rsidRPr="00564EEA">
        <w:rPr>
          <w:spacing w:val="-3"/>
          <w:sz w:val="26"/>
          <w:szCs w:val="26"/>
        </w:rPr>
        <w:t xml:space="preserve"> submitted by the City of Lancaster Sewer Fund, the Bureau of Investigation and Enforcement, the Office of Consumer Advocate, and the Office of Small Business Advocate at Docket No. R</w:t>
      </w:r>
      <w:r w:rsidRPr="00564EEA">
        <w:rPr>
          <w:spacing w:val="-3"/>
          <w:sz w:val="26"/>
          <w:szCs w:val="26"/>
        </w:rPr>
        <w:noBreakHyphen/>
        <w:t>2012-2310366</w:t>
      </w:r>
      <w:r w:rsidR="004639B6" w:rsidRPr="00564EEA">
        <w:rPr>
          <w:spacing w:val="-3"/>
          <w:sz w:val="26"/>
          <w:szCs w:val="26"/>
        </w:rPr>
        <w:t>,</w:t>
      </w:r>
      <w:r w:rsidRPr="00564EEA">
        <w:rPr>
          <w:spacing w:val="-3"/>
          <w:sz w:val="26"/>
          <w:szCs w:val="26"/>
        </w:rPr>
        <w:t xml:space="preserve"> </w:t>
      </w:r>
      <w:r w:rsidR="00334401" w:rsidRPr="00564EEA">
        <w:rPr>
          <w:spacing w:val="-3"/>
          <w:sz w:val="26"/>
          <w:szCs w:val="26"/>
        </w:rPr>
        <w:t>is</w:t>
      </w:r>
      <w:r w:rsidRPr="00564EEA">
        <w:rPr>
          <w:spacing w:val="-3"/>
          <w:sz w:val="26"/>
          <w:szCs w:val="26"/>
        </w:rPr>
        <w:t xml:space="preserve"> </w:t>
      </w:r>
      <w:r w:rsidR="00DA3543" w:rsidRPr="00564EEA">
        <w:rPr>
          <w:spacing w:val="-3"/>
          <w:sz w:val="26"/>
          <w:szCs w:val="26"/>
        </w:rPr>
        <w:t xml:space="preserve">granted, </w:t>
      </w:r>
      <w:r w:rsidR="00564EEA">
        <w:rPr>
          <w:spacing w:val="-3"/>
          <w:sz w:val="26"/>
          <w:szCs w:val="26"/>
        </w:rPr>
        <w:t xml:space="preserve">and the </w:t>
      </w:r>
      <w:r w:rsidR="00DA3543" w:rsidRPr="00564EEA">
        <w:rPr>
          <w:spacing w:val="-3"/>
          <w:sz w:val="26"/>
          <w:szCs w:val="26"/>
        </w:rPr>
        <w:t xml:space="preserve">Joint Settlement </w:t>
      </w:r>
      <w:r w:rsidR="00564EEA">
        <w:rPr>
          <w:spacing w:val="-3"/>
          <w:sz w:val="26"/>
          <w:szCs w:val="26"/>
        </w:rPr>
        <w:t xml:space="preserve">is adopted </w:t>
      </w:r>
      <w:r w:rsidRPr="00564EEA">
        <w:rPr>
          <w:spacing w:val="-3"/>
          <w:sz w:val="26"/>
          <w:szCs w:val="26"/>
        </w:rPr>
        <w:t>in its entirety without modification.</w:t>
      </w:r>
    </w:p>
    <w:p w:rsidR="00B3144D" w:rsidRPr="00564EEA" w:rsidRDefault="00B3144D" w:rsidP="008A3D2D">
      <w:pPr>
        <w:tabs>
          <w:tab w:val="num" w:pos="0"/>
        </w:tabs>
        <w:spacing w:after="0" w:line="360" w:lineRule="auto"/>
        <w:rPr>
          <w:rFonts w:ascii="Times New Roman" w:hAnsi="Times New Roman"/>
          <w:sz w:val="26"/>
          <w:szCs w:val="26"/>
        </w:rPr>
      </w:pPr>
    </w:p>
    <w:p w:rsidR="003649F8" w:rsidRPr="00564EEA" w:rsidRDefault="003649F8" w:rsidP="003649F8">
      <w:pPr>
        <w:pStyle w:val="NoSpacing"/>
        <w:spacing w:line="360" w:lineRule="auto"/>
        <w:rPr>
          <w:spacing w:val="-3"/>
          <w:sz w:val="26"/>
          <w:szCs w:val="26"/>
        </w:rPr>
      </w:pPr>
      <w:r w:rsidRPr="00564EEA">
        <w:rPr>
          <w:spacing w:val="-3"/>
          <w:sz w:val="26"/>
          <w:szCs w:val="26"/>
        </w:rPr>
        <w:lastRenderedPageBreak/>
        <w:tab/>
      </w:r>
      <w:r w:rsidRPr="00564EEA">
        <w:rPr>
          <w:spacing w:val="-3"/>
          <w:sz w:val="26"/>
          <w:szCs w:val="26"/>
        </w:rPr>
        <w:tab/>
        <w:t>4.</w:t>
      </w:r>
      <w:r w:rsidRPr="00564EEA">
        <w:rPr>
          <w:spacing w:val="-3"/>
          <w:sz w:val="26"/>
          <w:szCs w:val="26"/>
        </w:rPr>
        <w:tab/>
        <w:t>That the statements and exhibits specifically referenced in the Evidence Stipulation filed on January 18, 2013, at Docket No. R-2012-2310366</w:t>
      </w:r>
      <w:r w:rsidR="00066CF2">
        <w:rPr>
          <w:spacing w:val="-3"/>
          <w:sz w:val="26"/>
          <w:szCs w:val="26"/>
        </w:rPr>
        <w:t>,</w:t>
      </w:r>
      <w:r w:rsidRPr="00564EEA">
        <w:rPr>
          <w:spacing w:val="-3"/>
          <w:sz w:val="26"/>
          <w:szCs w:val="26"/>
        </w:rPr>
        <w:t xml:space="preserve"> are admitted into the record.</w:t>
      </w:r>
    </w:p>
    <w:p w:rsidR="003649F8" w:rsidRPr="00564EEA" w:rsidRDefault="003649F8" w:rsidP="008A3D2D">
      <w:pPr>
        <w:tabs>
          <w:tab w:val="num" w:pos="0"/>
        </w:tabs>
        <w:spacing w:after="0" w:line="360" w:lineRule="auto"/>
        <w:rPr>
          <w:rFonts w:ascii="Times New Roman" w:hAnsi="Times New Roman"/>
          <w:sz w:val="26"/>
          <w:szCs w:val="26"/>
        </w:rPr>
      </w:pPr>
    </w:p>
    <w:p w:rsidR="00B3144D" w:rsidRPr="00564EEA" w:rsidRDefault="00B3144D" w:rsidP="008A3D2D">
      <w:pPr>
        <w:spacing w:after="0" w:line="360" w:lineRule="auto"/>
        <w:rPr>
          <w:rFonts w:ascii="Times New Roman" w:hAnsi="Times New Roman"/>
          <w:sz w:val="26"/>
          <w:szCs w:val="26"/>
        </w:rPr>
      </w:pPr>
      <w:r w:rsidRPr="00564EEA">
        <w:rPr>
          <w:rFonts w:ascii="Times New Roman" w:hAnsi="Times New Roman"/>
          <w:sz w:val="26"/>
          <w:szCs w:val="26"/>
        </w:rPr>
        <w:tab/>
      </w:r>
      <w:r w:rsidRPr="00564EEA">
        <w:rPr>
          <w:rFonts w:ascii="Times New Roman" w:hAnsi="Times New Roman"/>
          <w:sz w:val="26"/>
          <w:szCs w:val="26"/>
        </w:rPr>
        <w:tab/>
      </w:r>
      <w:r w:rsidR="003649F8" w:rsidRPr="00564EEA">
        <w:rPr>
          <w:rFonts w:ascii="Times New Roman" w:hAnsi="Times New Roman"/>
          <w:sz w:val="26"/>
          <w:szCs w:val="26"/>
        </w:rPr>
        <w:t>5</w:t>
      </w:r>
      <w:r w:rsidRPr="00564EEA">
        <w:rPr>
          <w:rFonts w:ascii="Times New Roman" w:hAnsi="Times New Roman"/>
          <w:sz w:val="26"/>
          <w:szCs w:val="26"/>
        </w:rPr>
        <w:t>.</w:t>
      </w:r>
      <w:r w:rsidRPr="00564EEA">
        <w:rPr>
          <w:rFonts w:ascii="Times New Roman" w:hAnsi="Times New Roman"/>
          <w:sz w:val="26"/>
          <w:szCs w:val="26"/>
        </w:rPr>
        <w:tab/>
        <w:t xml:space="preserve">That the City of Lancaster Sewer Fund </w:t>
      </w:r>
      <w:r w:rsidR="00334401" w:rsidRPr="00564EEA">
        <w:rPr>
          <w:rFonts w:ascii="Times New Roman" w:hAnsi="Times New Roman"/>
          <w:sz w:val="26"/>
          <w:szCs w:val="26"/>
        </w:rPr>
        <w:t xml:space="preserve">shall </w:t>
      </w:r>
      <w:r w:rsidRPr="00564EEA">
        <w:rPr>
          <w:rFonts w:ascii="Times New Roman" w:hAnsi="Times New Roman"/>
          <w:sz w:val="26"/>
          <w:szCs w:val="26"/>
        </w:rPr>
        <w:t>file a tariff supplement incorporating the terms of the Settlement</w:t>
      </w:r>
      <w:r w:rsidR="00334401" w:rsidRPr="00564EEA">
        <w:rPr>
          <w:rFonts w:ascii="Times New Roman" w:hAnsi="Times New Roman"/>
          <w:sz w:val="26"/>
          <w:szCs w:val="26"/>
        </w:rPr>
        <w:t>,</w:t>
      </w:r>
      <w:r w:rsidRPr="00564EEA">
        <w:rPr>
          <w:rFonts w:ascii="Times New Roman" w:hAnsi="Times New Roman"/>
          <w:sz w:val="26"/>
          <w:szCs w:val="26"/>
        </w:rPr>
        <w:t xml:space="preserve"> to become effective on one day’s notice</w:t>
      </w:r>
      <w:r w:rsidR="0060346E" w:rsidRPr="00564EEA">
        <w:rPr>
          <w:rFonts w:ascii="Times New Roman" w:hAnsi="Times New Roman"/>
          <w:sz w:val="26"/>
          <w:szCs w:val="26"/>
        </w:rPr>
        <w:t>.</w:t>
      </w:r>
    </w:p>
    <w:p w:rsidR="00B3144D" w:rsidRPr="00564EEA" w:rsidRDefault="00B3144D" w:rsidP="008A3D2D">
      <w:pPr>
        <w:spacing w:after="0" w:line="360" w:lineRule="auto"/>
        <w:ind w:left="720"/>
        <w:rPr>
          <w:rFonts w:ascii="Times New Roman" w:hAnsi="Times New Roman"/>
          <w:sz w:val="26"/>
          <w:szCs w:val="26"/>
        </w:rPr>
      </w:pPr>
    </w:p>
    <w:p w:rsidR="00B3144D" w:rsidRPr="00564EEA" w:rsidRDefault="00B3144D" w:rsidP="008A3D2D">
      <w:pPr>
        <w:spacing w:after="0" w:line="360" w:lineRule="auto"/>
        <w:rPr>
          <w:rFonts w:ascii="Times New Roman" w:hAnsi="Times New Roman"/>
          <w:sz w:val="26"/>
          <w:szCs w:val="26"/>
        </w:rPr>
      </w:pPr>
      <w:r w:rsidRPr="00564EEA">
        <w:rPr>
          <w:rFonts w:ascii="Times New Roman" w:hAnsi="Times New Roman"/>
          <w:sz w:val="26"/>
          <w:szCs w:val="26"/>
        </w:rPr>
        <w:tab/>
      </w:r>
      <w:r w:rsidRPr="00564EEA">
        <w:rPr>
          <w:rFonts w:ascii="Times New Roman" w:hAnsi="Times New Roman"/>
          <w:sz w:val="26"/>
          <w:szCs w:val="26"/>
        </w:rPr>
        <w:tab/>
      </w:r>
      <w:r w:rsidR="0060346E" w:rsidRPr="00564EEA">
        <w:rPr>
          <w:rFonts w:ascii="Times New Roman" w:hAnsi="Times New Roman"/>
          <w:sz w:val="26"/>
          <w:szCs w:val="26"/>
        </w:rPr>
        <w:t>6</w:t>
      </w:r>
      <w:r w:rsidRPr="00564EEA">
        <w:rPr>
          <w:rFonts w:ascii="Times New Roman" w:hAnsi="Times New Roman"/>
          <w:sz w:val="26"/>
          <w:szCs w:val="26"/>
        </w:rPr>
        <w:t>.</w:t>
      </w:r>
      <w:r w:rsidRPr="00564EEA">
        <w:rPr>
          <w:rFonts w:ascii="Times New Roman" w:hAnsi="Times New Roman"/>
          <w:sz w:val="26"/>
          <w:szCs w:val="26"/>
        </w:rPr>
        <w:tab/>
        <w:t xml:space="preserve">That the City </w:t>
      </w:r>
      <w:r w:rsidR="00334401" w:rsidRPr="00564EEA">
        <w:rPr>
          <w:rFonts w:ascii="Times New Roman" w:hAnsi="Times New Roman"/>
          <w:sz w:val="26"/>
          <w:szCs w:val="26"/>
        </w:rPr>
        <w:t xml:space="preserve">of Lancaster </w:t>
      </w:r>
      <w:r w:rsidR="00594115" w:rsidRPr="00564EEA">
        <w:rPr>
          <w:rFonts w:ascii="Times New Roman" w:hAnsi="Times New Roman"/>
          <w:sz w:val="26"/>
          <w:szCs w:val="26"/>
        </w:rPr>
        <w:t xml:space="preserve">shall </w:t>
      </w:r>
      <w:r w:rsidRPr="00564EEA">
        <w:rPr>
          <w:rFonts w:ascii="Times New Roman" w:hAnsi="Times New Roman"/>
          <w:sz w:val="26"/>
          <w:szCs w:val="26"/>
        </w:rPr>
        <w:t>establish the Other Post Employment Benefits Trust</w:t>
      </w:r>
      <w:r w:rsidR="00594115" w:rsidRPr="00564EEA">
        <w:rPr>
          <w:rFonts w:ascii="Times New Roman" w:hAnsi="Times New Roman"/>
          <w:sz w:val="26"/>
          <w:szCs w:val="26"/>
        </w:rPr>
        <w:t>,</w:t>
      </w:r>
      <w:r w:rsidRPr="00564EEA">
        <w:rPr>
          <w:rFonts w:ascii="Times New Roman" w:hAnsi="Times New Roman"/>
          <w:sz w:val="26"/>
          <w:szCs w:val="26"/>
        </w:rPr>
        <w:t xml:space="preserve"> as per the requirements set forth in the City’s settlement of its water case at Docket No. R-2010-2179103, and shall make deposits into the OPEB Trust starting </w:t>
      </w:r>
      <w:r w:rsidR="00594115" w:rsidRPr="00564EEA">
        <w:rPr>
          <w:rFonts w:ascii="Times New Roman" w:hAnsi="Times New Roman"/>
          <w:sz w:val="26"/>
          <w:szCs w:val="26"/>
        </w:rPr>
        <w:t xml:space="preserve">with </w:t>
      </w:r>
      <w:r w:rsidRPr="00564EEA">
        <w:rPr>
          <w:rFonts w:ascii="Times New Roman" w:hAnsi="Times New Roman"/>
          <w:sz w:val="26"/>
          <w:szCs w:val="26"/>
        </w:rPr>
        <w:t>the first full month a</w:t>
      </w:r>
      <w:r w:rsidR="00594115" w:rsidRPr="00564EEA">
        <w:rPr>
          <w:rFonts w:ascii="Times New Roman" w:hAnsi="Times New Roman"/>
          <w:sz w:val="26"/>
          <w:szCs w:val="26"/>
        </w:rPr>
        <w:t xml:space="preserve">fter the entry date of the final Commission </w:t>
      </w:r>
      <w:r w:rsidRPr="00564EEA">
        <w:rPr>
          <w:rFonts w:ascii="Times New Roman" w:hAnsi="Times New Roman"/>
          <w:sz w:val="26"/>
          <w:szCs w:val="26"/>
        </w:rPr>
        <w:t>Order in the rate case or the first full month after the establishment of the Trust, whichever is later. When the Trust is fully established, the City shall be authorized to implement the corresponding portion of the revenue increase agreed to, in the amount of $51,000.</w:t>
      </w:r>
    </w:p>
    <w:p w:rsidR="00B3144D" w:rsidRPr="00564EEA" w:rsidRDefault="00B3144D" w:rsidP="008A3D2D">
      <w:pPr>
        <w:spacing w:after="0" w:line="360" w:lineRule="auto"/>
        <w:rPr>
          <w:rFonts w:ascii="Times New Roman" w:hAnsi="Times New Roman"/>
          <w:sz w:val="26"/>
          <w:szCs w:val="26"/>
        </w:rPr>
      </w:pPr>
    </w:p>
    <w:p w:rsidR="00B3144D" w:rsidRPr="00564EEA" w:rsidRDefault="00B3144D" w:rsidP="008A3D2D">
      <w:pPr>
        <w:spacing w:after="0" w:line="360" w:lineRule="auto"/>
        <w:rPr>
          <w:rFonts w:ascii="Times New Roman" w:hAnsi="Times New Roman"/>
          <w:sz w:val="26"/>
          <w:szCs w:val="26"/>
        </w:rPr>
      </w:pPr>
      <w:r w:rsidRPr="00564EEA">
        <w:rPr>
          <w:rFonts w:ascii="Times New Roman" w:hAnsi="Times New Roman"/>
          <w:sz w:val="26"/>
          <w:szCs w:val="26"/>
        </w:rPr>
        <w:tab/>
      </w:r>
      <w:r w:rsidRPr="00564EEA">
        <w:rPr>
          <w:rFonts w:ascii="Times New Roman" w:hAnsi="Times New Roman"/>
          <w:sz w:val="26"/>
          <w:szCs w:val="26"/>
        </w:rPr>
        <w:tab/>
      </w:r>
      <w:r w:rsidR="0060346E" w:rsidRPr="00564EEA">
        <w:rPr>
          <w:rFonts w:ascii="Times New Roman" w:hAnsi="Times New Roman"/>
          <w:sz w:val="26"/>
          <w:szCs w:val="26"/>
        </w:rPr>
        <w:t>7</w:t>
      </w:r>
      <w:r w:rsidRPr="00564EEA">
        <w:rPr>
          <w:rFonts w:ascii="Times New Roman" w:hAnsi="Times New Roman"/>
          <w:sz w:val="26"/>
          <w:szCs w:val="26"/>
        </w:rPr>
        <w:t>.</w:t>
      </w:r>
      <w:r w:rsidRPr="00564EEA">
        <w:rPr>
          <w:rFonts w:ascii="Times New Roman" w:hAnsi="Times New Roman"/>
          <w:sz w:val="26"/>
          <w:szCs w:val="26"/>
        </w:rPr>
        <w:tab/>
        <w:t>That the Complaint of the Office of Consumer Advocate at Docket No. C-2012-2329756 is deemed satisfied.</w:t>
      </w:r>
    </w:p>
    <w:p w:rsidR="00B3144D" w:rsidRPr="00564EEA" w:rsidRDefault="00B3144D" w:rsidP="008A3D2D">
      <w:pPr>
        <w:spacing w:after="0" w:line="360" w:lineRule="auto"/>
        <w:rPr>
          <w:rFonts w:ascii="Times New Roman" w:hAnsi="Times New Roman"/>
          <w:sz w:val="26"/>
          <w:szCs w:val="26"/>
        </w:rPr>
      </w:pPr>
    </w:p>
    <w:p w:rsidR="00B3144D" w:rsidRPr="00564EEA" w:rsidRDefault="00B3144D" w:rsidP="008A3D2D">
      <w:pPr>
        <w:spacing w:after="0" w:line="360" w:lineRule="auto"/>
        <w:rPr>
          <w:rFonts w:ascii="Times New Roman" w:hAnsi="Times New Roman"/>
          <w:sz w:val="26"/>
          <w:szCs w:val="26"/>
        </w:rPr>
      </w:pPr>
      <w:r w:rsidRPr="00564EEA">
        <w:rPr>
          <w:rFonts w:ascii="Times New Roman" w:hAnsi="Times New Roman"/>
          <w:sz w:val="26"/>
          <w:szCs w:val="26"/>
        </w:rPr>
        <w:tab/>
      </w:r>
      <w:r w:rsidRPr="00564EEA">
        <w:rPr>
          <w:rFonts w:ascii="Times New Roman" w:hAnsi="Times New Roman"/>
          <w:sz w:val="26"/>
          <w:szCs w:val="26"/>
        </w:rPr>
        <w:tab/>
      </w:r>
      <w:r w:rsidR="0060346E" w:rsidRPr="00564EEA">
        <w:rPr>
          <w:rFonts w:ascii="Times New Roman" w:hAnsi="Times New Roman"/>
          <w:sz w:val="26"/>
          <w:szCs w:val="26"/>
        </w:rPr>
        <w:t>8</w:t>
      </w:r>
      <w:r w:rsidRPr="00564EEA">
        <w:rPr>
          <w:rFonts w:ascii="Times New Roman" w:hAnsi="Times New Roman"/>
          <w:sz w:val="26"/>
          <w:szCs w:val="26"/>
        </w:rPr>
        <w:t>.</w:t>
      </w:r>
      <w:r w:rsidRPr="00564EEA">
        <w:rPr>
          <w:rFonts w:ascii="Times New Roman" w:hAnsi="Times New Roman"/>
          <w:sz w:val="26"/>
          <w:szCs w:val="26"/>
        </w:rPr>
        <w:tab/>
        <w:t>That the Complaint of the Office of Small Business Advocate at Docket No. C-2012-2333112 is deemed satisfied.</w:t>
      </w:r>
    </w:p>
    <w:p w:rsidR="00B3144D" w:rsidRPr="00564EEA" w:rsidRDefault="00B3144D" w:rsidP="008A3D2D">
      <w:pPr>
        <w:spacing w:after="0" w:line="360" w:lineRule="auto"/>
        <w:rPr>
          <w:rFonts w:ascii="Times New Roman" w:hAnsi="Times New Roman"/>
          <w:sz w:val="26"/>
          <w:szCs w:val="26"/>
        </w:rPr>
      </w:pPr>
      <w:r w:rsidRPr="00564EEA">
        <w:rPr>
          <w:rFonts w:ascii="Times New Roman" w:hAnsi="Times New Roman"/>
          <w:sz w:val="26"/>
          <w:szCs w:val="26"/>
        </w:rPr>
        <w:tab/>
      </w:r>
      <w:r w:rsidRPr="00564EEA">
        <w:rPr>
          <w:rFonts w:ascii="Times New Roman" w:hAnsi="Times New Roman"/>
          <w:sz w:val="26"/>
          <w:szCs w:val="26"/>
        </w:rPr>
        <w:tab/>
      </w:r>
    </w:p>
    <w:p w:rsidR="00B3144D" w:rsidRPr="00564EEA" w:rsidRDefault="00B3144D" w:rsidP="008A3D2D">
      <w:pPr>
        <w:spacing w:after="0" w:line="360" w:lineRule="auto"/>
        <w:rPr>
          <w:rFonts w:ascii="Times New Roman" w:hAnsi="Times New Roman"/>
          <w:sz w:val="26"/>
          <w:szCs w:val="26"/>
        </w:rPr>
      </w:pPr>
      <w:r w:rsidRPr="00564EEA">
        <w:rPr>
          <w:rFonts w:ascii="Times New Roman" w:hAnsi="Times New Roman"/>
          <w:sz w:val="26"/>
          <w:szCs w:val="26"/>
        </w:rPr>
        <w:tab/>
      </w:r>
      <w:r w:rsidRPr="00564EEA">
        <w:rPr>
          <w:rFonts w:ascii="Times New Roman" w:hAnsi="Times New Roman"/>
          <w:sz w:val="26"/>
          <w:szCs w:val="26"/>
        </w:rPr>
        <w:tab/>
      </w:r>
      <w:r w:rsidR="0060346E" w:rsidRPr="00564EEA">
        <w:rPr>
          <w:rFonts w:ascii="Times New Roman" w:hAnsi="Times New Roman"/>
          <w:sz w:val="26"/>
          <w:szCs w:val="26"/>
        </w:rPr>
        <w:t>9</w:t>
      </w:r>
      <w:r w:rsidRPr="00564EEA">
        <w:rPr>
          <w:rFonts w:ascii="Times New Roman" w:hAnsi="Times New Roman"/>
          <w:sz w:val="26"/>
          <w:szCs w:val="26"/>
        </w:rPr>
        <w:t>.</w:t>
      </w:r>
      <w:r w:rsidRPr="00564EEA">
        <w:rPr>
          <w:rFonts w:ascii="Times New Roman" w:hAnsi="Times New Roman"/>
          <w:sz w:val="26"/>
          <w:szCs w:val="26"/>
        </w:rPr>
        <w:tab/>
        <w:t>That the Complaint of Jane O. La</w:t>
      </w:r>
      <w:r w:rsidR="00511359">
        <w:rPr>
          <w:rFonts w:ascii="Times New Roman" w:hAnsi="Times New Roman"/>
          <w:sz w:val="26"/>
          <w:szCs w:val="26"/>
        </w:rPr>
        <w:t>rkin filed at Docket No. C 2012</w:t>
      </w:r>
      <w:r w:rsidR="00511359">
        <w:rPr>
          <w:rFonts w:ascii="Times New Roman" w:hAnsi="Times New Roman"/>
          <w:sz w:val="26"/>
          <w:szCs w:val="26"/>
        </w:rPr>
        <w:noBreakHyphen/>
      </w:r>
      <w:r w:rsidRPr="00564EEA">
        <w:rPr>
          <w:rFonts w:ascii="Times New Roman" w:hAnsi="Times New Roman"/>
          <w:sz w:val="26"/>
          <w:szCs w:val="26"/>
        </w:rPr>
        <w:t>2330719 is dismissed.</w:t>
      </w:r>
    </w:p>
    <w:p w:rsidR="00B3144D" w:rsidRPr="00564EEA" w:rsidRDefault="00B3144D" w:rsidP="008A3D2D">
      <w:pPr>
        <w:spacing w:after="0" w:line="360" w:lineRule="auto"/>
        <w:rPr>
          <w:rFonts w:ascii="Times New Roman" w:hAnsi="Times New Roman"/>
          <w:sz w:val="26"/>
          <w:szCs w:val="26"/>
        </w:rPr>
      </w:pPr>
    </w:p>
    <w:p w:rsidR="00B3144D" w:rsidRPr="00564EEA" w:rsidRDefault="00B3144D" w:rsidP="008A3D2D">
      <w:pPr>
        <w:spacing w:after="0" w:line="360" w:lineRule="auto"/>
        <w:rPr>
          <w:rFonts w:ascii="Times New Roman" w:hAnsi="Times New Roman"/>
          <w:sz w:val="26"/>
          <w:szCs w:val="26"/>
        </w:rPr>
      </w:pPr>
      <w:r w:rsidRPr="00564EEA">
        <w:rPr>
          <w:rFonts w:ascii="Times New Roman" w:hAnsi="Times New Roman"/>
          <w:sz w:val="26"/>
          <w:szCs w:val="26"/>
        </w:rPr>
        <w:tab/>
      </w:r>
      <w:r w:rsidRPr="00564EEA">
        <w:rPr>
          <w:rFonts w:ascii="Times New Roman" w:hAnsi="Times New Roman"/>
          <w:sz w:val="26"/>
          <w:szCs w:val="26"/>
        </w:rPr>
        <w:tab/>
      </w:r>
      <w:r w:rsidR="0060346E" w:rsidRPr="00564EEA">
        <w:rPr>
          <w:rFonts w:ascii="Times New Roman" w:hAnsi="Times New Roman"/>
          <w:sz w:val="26"/>
          <w:szCs w:val="26"/>
        </w:rPr>
        <w:t>10</w:t>
      </w:r>
      <w:r w:rsidRPr="00564EEA">
        <w:rPr>
          <w:rFonts w:ascii="Times New Roman" w:hAnsi="Times New Roman"/>
          <w:sz w:val="26"/>
          <w:szCs w:val="26"/>
        </w:rPr>
        <w:t>.</w:t>
      </w:r>
      <w:r w:rsidRPr="00564EEA">
        <w:rPr>
          <w:rFonts w:ascii="Times New Roman" w:hAnsi="Times New Roman"/>
          <w:sz w:val="26"/>
          <w:szCs w:val="26"/>
        </w:rPr>
        <w:tab/>
        <w:t>That the City of Lancaster Sewer Fund, the Bureau of Investigation and Enforcement, the Office of Consumer Advocate, and the Office of Small Business Advocate shall comply with the terms of the Settlement of Section 1308(d) Rate Investigation submitted in this proceeding, as though each term and condition stated therein had been the subject of an individual ordering paragraph.</w:t>
      </w:r>
    </w:p>
    <w:p w:rsidR="00B3144D" w:rsidRPr="00564EEA" w:rsidRDefault="00B3144D" w:rsidP="008A3D2D">
      <w:pPr>
        <w:spacing w:after="0" w:line="360" w:lineRule="auto"/>
        <w:rPr>
          <w:rFonts w:ascii="Times New Roman" w:hAnsi="Times New Roman"/>
          <w:sz w:val="26"/>
          <w:szCs w:val="26"/>
        </w:rPr>
      </w:pPr>
    </w:p>
    <w:p w:rsidR="00B3144D" w:rsidRPr="00564EEA" w:rsidRDefault="00B3144D" w:rsidP="008A3D2D">
      <w:pPr>
        <w:spacing w:after="0" w:line="360" w:lineRule="auto"/>
        <w:rPr>
          <w:rFonts w:ascii="Times New Roman" w:hAnsi="Times New Roman"/>
          <w:sz w:val="26"/>
          <w:szCs w:val="26"/>
        </w:rPr>
      </w:pPr>
      <w:r w:rsidRPr="00564EEA">
        <w:rPr>
          <w:rFonts w:ascii="Times New Roman" w:hAnsi="Times New Roman"/>
          <w:sz w:val="26"/>
          <w:szCs w:val="26"/>
        </w:rPr>
        <w:tab/>
      </w:r>
      <w:r w:rsidRPr="00564EEA">
        <w:rPr>
          <w:rFonts w:ascii="Times New Roman" w:hAnsi="Times New Roman"/>
          <w:sz w:val="26"/>
          <w:szCs w:val="26"/>
        </w:rPr>
        <w:tab/>
        <w:t>1</w:t>
      </w:r>
      <w:r w:rsidR="0060346E" w:rsidRPr="00564EEA">
        <w:rPr>
          <w:rFonts w:ascii="Times New Roman" w:hAnsi="Times New Roman"/>
          <w:sz w:val="26"/>
          <w:szCs w:val="26"/>
        </w:rPr>
        <w:t>1</w:t>
      </w:r>
      <w:r w:rsidRPr="00564EEA">
        <w:rPr>
          <w:rFonts w:ascii="Times New Roman" w:hAnsi="Times New Roman"/>
          <w:sz w:val="26"/>
          <w:szCs w:val="26"/>
        </w:rPr>
        <w:t>.</w:t>
      </w:r>
      <w:r w:rsidRPr="00564EEA">
        <w:rPr>
          <w:rFonts w:ascii="Times New Roman" w:hAnsi="Times New Roman"/>
          <w:sz w:val="26"/>
          <w:szCs w:val="26"/>
        </w:rPr>
        <w:tab/>
        <w:t>That</w:t>
      </w:r>
      <w:r w:rsidR="00594115" w:rsidRPr="00564EEA">
        <w:rPr>
          <w:rFonts w:ascii="Times New Roman" w:hAnsi="Times New Roman"/>
          <w:sz w:val="26"/>
          <w:szCs w:val="26"/>
        </w:rPr>
        <w:t>,</w:t>
      </w:r>
      <w:r w:rsidRPr="00564EEA">
        <w:rPr>
          <w:rFonts w:ascii="Times New Roman" w:hAnsi="Times New Roman"/>
          <w:sz w:val="26"/>
          <w:szCs w:val="26"/>
        </w:rPr>
        <w:t xml:space="preserve"> upon the filing of a tariff supplement by the City of Lancaster Sewer Fund, acceptable to the Commission as conforming with the Joint Petition for Settlement and the Commission’s approval thereof, the rates, terms and conditions of the Settlement shall become effective upon one day’s notice.</w:t>
      </w:r>
    </w:p>
    <w:p w:rsidR="00B3144D" w:rsidRPr="00564EEA" w:rsidRDefault="00B3144D" w:rsidP="008A3D2D">
      <w:pPr>
        <w:spacing w:after="0" w:line="360" w:lineRule="auto"/>
        <w:rPr>
          <w:rFonts w:ascii="Times New Roman" w:hAnsi="Times New Roman"/>
          <w:sz w:val="26"/>
          <w:szCs w:val="26"/>
        </w:rPr>
      </w:pPr>
    </w:p>
    <w:p w:rsidR="00B3144D" w:rsidRPr="00564EEA" w:rsidRDefault="00B3144D" w:rsidP="008A3D2D">
      <w:pPr>
        <w:spacing w:after="0" w:line="360" w:lineRule="auto"/>
        <w:rPr>
          <w:rFonts w:ascii="Times New Roman" w:hAnsi="Times New Roman"/>
          <w:sz w:val="26"/>
          <w:szCs w:val="26"/>
        </w:rPr>
      </w:pPr>
      <w:r w:rsidRPr="00564EEA">
        <w:rPr>
          <w:rFonts w:ascii="Times New Roman" w:hAnsi="Times New Roman"/>
          <w:sz w:val="26"/>
          <w:szCs w:val="26"/>
        </w:rPr>
        <w:tab/>
      </w:r>
      <w:r w:rsidRPr="00564EEA">
        <w:rPr>
          <w:rFonts w:ascii="Times New Roman" w:hAnsi="Times New Roman"/>
          <w:sz w:val="26"/>
          <w:szCs w:val="26"/>
        </w:rPr>
        <w:tab/>
        <w:t>1</w:t>
      </w:r>
      <w:r w:rsidR="0060346E" w:rsidRPr="00564EEA">
        <w:rPr>
          <w:rFonts w:ascii="Times New Roman" w:hAnsi="Times New Roman"/>
          <w:sz w:val="26"/>
          <w:szCs w:val="26"/>
        </w:rPr>
        <w:t>2</w:t>
      </w:r>
      <w:r w:rsidRPr="00564EEA">
        <w:rPr>
          <w:rFonts w:ascii="Times New Roman" w:hAnsi="Times New Roman"/>
          <w:sz w:val="26"/>
          <w:szCs w:val="26"/>
        </w:rPr>
        <w:t>.</w:t>
      </w:r>
      <w:r w:rsidRPr="00564EEA">
        <w:rPr>
          <w:rFonts w:ascii="Times New Roman" w:hAnsi="Times New Roman"/>
          <w:sz w:val="26"/>
          <w:szCs w:val="26"/>
        </w:rPr>
        <w:tab/>
        <w:t>That</w:t>
      </w:r>
      <w:r w:rsidR="00594115" w:rsidRPr="00564EEA">
        <w:rPr>
          <w:rFonts w:ascii="Times New Roman" w:hAnsi="Times New Roman"/>
          <w:sz w:val="26"/>
          <w:szCs w:val="26"/>
        </w:rPr>
        <w:t>,</w:t>
      </w:r>
      <w:r w:rsidRPr="00564EEA">
        <w:rPr>
          <w:rFonts w:ascii="Times New Roman" w:hAnsi="Times New Roman"/>
          <w:sz w:val="26"/>
          <w:szCs w:val="26"/>
        </w:rPr>
        <w:t xml:space="preserve"> upon acceptance and approval by the Commission of the tariff supplement and supporting data filed by the City of Lancaster Sewer Fund as being consistent with the Joint Petition for Settlement, the inquiry and investigation at Docket No. R-2012-2310366 shall be terminated and the docket marked closed.</w:t>
      </w:r>
    </w:p>
    <w:p w:rsidR="00B831E5" w:rsidRPr="00564EEA" w:rsidRDefault="00B831E5" w:rsidP="008A3D2D">
      <w:pPr>
        <w:pStyle w:val="ListParagraph"/>
        <w:spacing w:line="360" w:lineRule="auto"/>
        <w:ind w:left="0"/>
        <w:rPr>
          <w:rFonts w:eastAsia="Calibri"/>
          <w:spacing w:val="-3"/>
          <w:sz w:val="26"/>
          <w:szCs w:val="26"/>
        </w:rPr>
      </w:pPr>
    </w:p>
    <w:p w:rsidR="00594115" w:rsidRPr="00564EEA" w:rsidRDefault="00594115" w:rsidP="008A3D2D">
      <w:pPr>
        <w:pStyle w:val="ListParagraph"/>
        <w:spacing w:line="360" w:lineRule="auto"/>
        <w:ind w:left="0"/>
        <w:rPr>
          <w:rFonts w:eastAsia="Calibri"/>
          <w:spacing w:val="-3"/>
          <w:sz w:val="26"/>
          <w:szCs w:val="26"/>
        </w:rPr>
      </w:pPr>
    </w:p>
    <w:p w:rsidR="006345BA" w:rsidRPr="00564EEA" w:rsidRDefault="004D0836" w:rsidP="008A3D2D">
      <w:pPr>
        <w:tabs>
          <w:tab w:val="left" w:pos="-720"/>
        </w:tabs>
        <w:suppressAutoHyphens/>
        <w:spacing w:line="360" w:lineRule="auto"/>
        <w:rPr>
          <w:rFonts w:ascii="Times New Roman" w:hAnsi="Times New Roman"/>
          <w:b/>
          <w:spacing w:val="-3"/>
          <w:sz w:val="26"/>
          <w:szCs w:val="26"/>
        </w:rPr>
      </w:pPr>
      <w:bookmarkStart w:id="0" w:name="_GoBack"/>
      <w:r w:rsidRPr="00A14635">
        <w:rPr>
          <w:noProof/>
        </w:rPr>
        <w:drawing>
          <wp:anchor distT="0" distB="0" distL="114300" distR="114300" simplePos="0" relativeHeight="251659264" behindDoc="1" locked="0" layoutInCell="1" allowOverlap="1" wp14:anchorId="0F86452E" wp14:editId="2D18B69A">
            <wp:simplePos x="0" y="0"/>
            <wp:positionH relativeFrom="column">
              <wp:posOffset>3044190</wp:posOffset>
            </wp:positionH>
            <wp:positionV relativeFrom="paragraph">
              <wp:posOffset>171450</wp:posOffset>
            </wp:positionV>
            <wp:extent cx="2200275" cy="8382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6345BA" w:rsidRPr="00564EEA">
        <w:rPr>
          <w:rFonts w:ascii="Times New Roman" w:hAnsi="Times New Roman"/>
          <w:spacing w:val="-3"/>
          <w:sz w:val="26"/>
          <w:szCs w:val="26"/>
        </w:rPr>
        <w:tab/>
      </w:r>
      <w:r w:rsidR="006345BA" w:rsidRPr="00564EEA">
        <w:rPr>
          <w:rFonts w:ascii="Times New Roman" w:hAnsi="Times New Roman"/>
          <w:spacing w:val="-3"/>
          <w:sz w:val="26"/>
          <w:szCs w:val="26"/>
        </w:rPr>
        <w:tab/>
      </w:r>
      <w:r w:rsidR="006345BA" w:rsidRPr="00564EEA">
        <w:rPr>
          <w:rFonts w:ascii="Times New Roman" w:hAnsi="Times New Roman"/>
          <w:spacing w:val="-3"/>
          <w:sz w:val="26"/>
          <w:szCs w:val="26"/>
        </w:rPr>
        <w:tab/>
      </w:r>
      <w:r w:rsidR="006345BA" w:rsidRPr="00564EEA">
        <w:rPr>
          <w:rFonts w:ascii="Times New Roman" w:hAnsi="Times New Roman"/>
          <w:spacing w:val="-3"/>
          <w:sz w:val="26"/>
          <w:szCs w:val="26"/>
        </w:rPr>
        <w:tab/>
      </w:r>
      <w:r w:rsidR="006345BA" w:rsidRPr="00564EEA">
        <w:rPr>
          <w:rFonts w:ascii="Times New Roman" w:hAnsi="Times New Roman"/>
          <w:spacing w:val="-3"/>
          <w:sz w:val="26"/>
          <w:szCs w:val="26"/>
        </w:rPr>
        <w:tab/>
      </w:r>
      <w:r w:rsidR="006345BA" w:rsidRPr="00564EEA">
        <w:rPr>
          <w:rFonts w:ascii="Times New Roman" w:hAnsi="Times New Roman"/>
          <w:spacing w:val="-3"/>
          <w:sz w:val="26"/>
          <w:szCs w:val="26"/>
        </w:rPr>
        <w:tab/>
      </w:r>
      <w:r w:rsidR="006345BA" w:rsidRPr="00564EEA">
        <w:rPr>
          <w:rFonts w:ascii="Times New Roman" w:hAnsi="Times New Roman"/>
          <w:spacing w:val="-3"/>
          <w:sz w:val="26"/>
          <w:szCs w:val="26"/>
        </w:rPr>
        <w:tab/>
      </w:r>
      <w:r w:rsidR="006345BA" w:rsidRPr="00564EEA">
        <w:rPr>
          <w:rFonts w:ascii="Times New Roman" w:hAnsi="Times New Roman"/>
          <w:b/>
          <w:spacing w:val="-3"/>
          <w:sz w:val="26"/>
          <w:szCs w:val="26"/>
        </w:rPr>
        <w:t>BY THE COMMISSION,</w:t>
      </w:r>
    </w:p>
    <w:p w:rsidR="007C1AE9" w:rsidRPr="00564EEA" w:rsidRDefault="007C1AE9" w:rsidP="008A3D2D">
      <w:pPr>
        <w:tabs>
          <w:tab w:val="left" w:pos="-720"/>
        </w:tabs>
        <w:suppressAutoHyphens/>
        <w:spacing w:line="360" w:lineRule="auto"/>
        <w:rPr>
          <w:rFonts w:ascii="Times New Roman" w:hAnsi="Times New Roman"/>
          <w:spacing w:val="-3"/>
          <w:sz w:val="26"/>
          <w:szCs w:val="26"/>
        </w:rPr>
      </w:pPr>
    </w:p>
    <w:p w:rsidR="006345BA" w:rsidRPr="00564EEA" w:rsidRDefault="006345BA" w:rsidP="008A3D2D">
      <w:pPr>
        <w:tabs>
          <w:tab w:val="left" w:pos="-720"/>
        </w:tabs>
        <w:suppressAutoHyphens/>
        <w:spacing w:after="0" w:line="360" w:lineRule="auto"/>
        <w:rPr>
          <w:rFonts w:ascii="Times New Roman" w:hAnsi="Times New Roman"/>
          <w:spacing w:val="-3"/>
          <w:sz w:val="26"/>
          <w:szCs w:val="26"/>
        </w:rPr>
      </w:pPr>
      <w:r w:rsidRPr="00564EEA">
        <w:rPr>
          <w:rFonts w:ascii="Times New Roman" w:hAnsi="Times New Roman"/>
          <w:spacing w:val="-3"/>
          <w:sz w:val="26"/>
          <w:szCs w:val="26"/>
        </w:rPr>
        <w:tab/>
      </w:r>
      <w:r w:rsidRPr="00564EEA">
        <w:rPr>
          <w:rFonts w:ascii="Times New Roman" w:hAnsi="Times New Roman"/>
          <w:spacing w:val="-3"/>
          <w:sz w:val="26"/>
          <w:szCs w:val="26"/>
        </w:rPr>
        <w:tab/>
      </w:r>
      <w:r w:rsidRPr="00564EEA">
        <w:rPr>
          <w:rFonts w:ascii="Times New Roman" w:hAnsi="Times New Roman"/>
          <w:spacing w:val="-3"/>
          <w:sz w:val="26"/>
          <w:szCs w:val="26"/>
        </w:rPr>
        <w:tab/>
      </w:r>
      <w:r w:rsidRPr="00564EEA">
        <w:rPr>
          <w:rFonts w:ascii="Times New Roman" w:hAnsi="Times New Roman"/>
          <w:spacing w:val="-3"/>
          <w:sz w:val="26"/>
          <w:szCs w:val="26"/>
        </w:rPr>
        <w:tab/>
      </w:r>
      <w:r w:rsidRPr="00564EEA">
        <w:rPr>
          <w:rFonts w:ascii="Times New Roman" w:hAnsi="Times New Roman"/>
          <w:spacing w:val="-3"/>
          <w:sz w:val="26"/>
          <w:szCs w:val="26"/>
        </w:rPr>
        <w:tab/>
      </w:r>
      <w:r w:rsidRPr="00564EEA">
        <w:rPr>
          <w:rFonts w:ascii="Times New Roman" w:hAnsi="Times New Roman"/>
          <w:spacing w:val="-3"/>
          <w:sz w:val="26"/>
          <w:szCs w:val="26"/>
        </w:rPr>
        <w:tab/>
      </w:r>
      <w:r w:rsidRPr="00564EEA">
        <w:rPr>
          <w:rFonts w:ascii="Times New Roman" w:hAnsi="Times New Roman"/>
          <w:spacing w:val="-3"/>
          <w:sz w:val="26"/>
          <w:szCs w:val="26"/>
        </w:rPr>
        <w:tab/>
        <w:t>Rosemary Chiavetta</w:t>
      </w:r>
    </w:p>
    <w:p w:rsidR="006345BA" w:rsidRPr="00564EEA" w:rsidRDefault="006345BA" w:rsidP="008A3D2D">
      <w:pPr>
        <w:tabs>
          <w:tab w:val="left" w:pos="-720"/>
        </w:tabs>
        <w:suppressAutoHyphens/>
        <w:spacing w:after="0" w:line="360" w:lineRule="auto"/>
        <w:rPr>
          <w:rFonts w:ascii="Times New Roman" w:hAnsi="Times New Roman"/>
          <w:spacing w:val="-3"/>
          <w:sz w:val="26"/>
          <w:szCs w:val="26"/>
        </w:rPr>
      </w:pPr>
      <w:r w:rsidRPr="00564EEA">
        <w:rPr>
          <w:rFonts w:ascii="Times New Roman" w:hAnsi="Times New Roman"/>
          <w:spacing w:val="-3"/>
          <w:sz w:val="26"/>
          <w:szCs w:val="26"/>
        </w:rPr>
        <w:tab/>
      </w:r>
      <w:r w:rsidRPr="00564EEA">
        <w:rPr>
          <w:rFonts w:ascii="Times New Roman" w:hAnsi="Times New Roman"/>
          <w:spacing w:val="-3"/>
          <w:sz w:val="26"/>
          <w:szCs w:val="26"/>
        </w:rPr>
        <w:tab/>
      </w:r>
      <w:r w:rsidRPr="00564EEA">
        <w:rPr>
          <w:rFonts w:ascii="Times New Roman" w:hAnsi="Times New Roman"/>
          <w:spacing w:val="-3"/>
          <w:sz w:val="26"/>
          <w:szCs w:val="26"/>
        </w:rPr>
        <w:tab/>
      </w:r>
      <w:r w:rsidRPr="00564EEA">
        <w:rPr>
          <w:rFonts w:ascii="Times New Roman" w:hAnsi="Times New Roman"/>
          <w:spacing w:val="-3"/>
          <w:sz w:val="26"/>
          <w:szCs w:val="26"/>
        </w:rPr>
        <w:tab/>
      </w:r>
      <w:r w:rsidRPr="00564EEA">
        <w:rPr>
          <w:rFonts w:ascii="Times New Roman" w:hAnsi="Times New Roman"/>
          <w:spacing w:val="-3"/>
          <w:sz w:val="26"/>
          <w:szCs w:val="26"/>
        </w:rPr>
        <w:tab/>
      </w:r>
      <w:r w:rsidRPr="00564EEA">
        <w:rPr>
          <w:rFonts w:ascii="Times New Roman" w:hAnsi="Times New Roman"/>
          <w:spacing w:val="-3"/>
          <w:sz w:val="26"/>
          <w:szCs w:val="26"/>
        </w:rPr>
        <w:tab/>
      </w:r>
      <w:r w:rsidRPr="00564EEA">
        <w:rPr>
          <w:rFonts w:ascii="Times New Roman" w:hAnsi="Times New Roman"/>
          <w:spacing w:val="-3"/>
          <w:sz w:val="26"/>
          <w:szCs w:val="26"/>
        </w:rPr>
        <w:tab/>
        <w:t>Secretary</w:t>
      </w:r>
    </w:p>
    <w:p w:rsidR="006345BA" w:rsidRPr="00564EEA" w:rsidRDefault="006345BA" w:rsidP="008A3D2D">
      <w:pPr>
        <w:tabs>
          <w:tab w:val="left" w:pos="-720"/>
        </w:tabs>
        <w:suppressAutoHyphens/>
        <w:spacing w:line="360" w:lineRule="auto"/>
        <w:rPr>
          <w:rFonts w:ascii="Times New Roman" w:hAnsi="Times New Roman"/>
          <w:spacing w:val="-3"/>
          <w:sz w:val="26"/>
          <w:szCs w:val="26"/>
        </w:rPr>
      </w:pPr>
    </w:p>
    <w:p w:rsidR="006345BA" w:rsidRPr="00564EEA" w:rsidRDefault="006345BA" w:rsidP="008A3D2D">
      <w:pPr>
        <w:pStyle w:val="BodyText3"/>
        <w:tabs>
          <w:tab w:val="left" w:pos="-720"/>
        </w:tabs>
        <w:suppressAutoHyphens/>
        <w:rPr>
          <w:spacing w:val="-3"/>
        </w:rPr>
      </w:pPr>
      <w:r w:rsidRPr="00564EEA">
        <w:rPr>
          <w:spacing w:val="-3"/>
        </w:rPr>
        <w:t>(SEAL)</w:t>
      </w:r>
    </w:p>
    <w:p w:rsidR="006345BA" w:rsidRPr="00564EEA" w:rsidRDefault="005C7A5C" w:rsidP="008A3D2D">
      <w:pPr>
        <w:tabs>
          <w:tab w:val="left" w:pos="-720"/>
        </w:tabs>
        <w:suppressAutoHyphens/>
        <w:spacing w:after="0" w:line="360" w:lineRule="auto"/>
        <w:rPr>
          <w:rFonts w:ascii="Times New Roman" w:hAnsi="Times New Roman"/>
          <w:spacing w:val="-3"/>
          <w:sz w:val="26"/>
          <w:szCs w:val="26"/>
        </w:rPr>
      </w:pPr>
      <w:r w:rsidRPr="00564EEA">
        <w:rPr>
          <w:rFonts w:ascii="Times New Roman" w:hAnsi="Times New Roman"/>
          <w:spacing w:val="-3"/>
          <w:sz w:val="26"/>
          <w:szCs w:val="26"/>
        </w:rPr>
        <w:t>ORDER ADOPTED:  April 18, 2013</w:t>
      </w:r>
    </w:p>
    <w:p w:rsidR="00DC4297" w:rsidRPr="00564EEA" w:rsidRDefault="006345BA" w:rsidP="008A3D2D">
      <w:pPr>
        <w:pStyle w:val="BodyText3"/>
        <w:tabs>
          <w:tab w:val="left" w:pos="-720"/>
        </w:tabs>
        <w:suppressAutoHyphens/>
        <w:rPr>
          <w:spacing w:val="-3"/>
        </w:rPr>
      </w:pPr>
      <w:r w:rsidRPr="00564EEA">
        <w:rPr>
          <w:spacing w:val="-3"/>
        </w:rPr>
        <w:t>ORDER ENTERED:</w:t>
      </w:r>
      <w:r w:rsidR="005C7A5C" w:rsidRPr="00564EEA">
        <w:rPr>
          <w:spacing w:val="-3"/>
        </w:rPr>
        <w:t xml:space="preserve">  </w:t>
      </w:r>
      <w:r w:rsidR="004D0836">
        <w:rPr>
          <w:spacing w:val="-3"/>
        </w:rPr>
        <w:t>April 18, 2013</w:t>
      </w:r>
    </w:p>
    <w:sectPr w:rsidR="00DC4297" w:rsidRPr="00564EEA" w:rsidSect="002A7064">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A8A" w:rsidRDefault="00AE4A8A" w:rsidP="00DD03CC">
      <w:pPr>
        <w:spacing w:after="0" w:line="240" w:lineRule="auto"/>
      </w:pPr>
      <w:r>
        <w:separator/>
      </w:r>
    </w:p>
  </w:endnote>
  <w:endnote w:type="continuationSeparator" w:id="0">
    <w:p w:rsidR="00AE4A8A" w:rsidRDefault="00AE4A8A" w:rsidP="00DD0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232" w:rsidRPr="005466EC" w:rsidRDefault="00F555E1">
    <w:pPr>
      <w:pStyle w:val="Footer"/>
      <w:jc w:val="center"/>
      <w:rPr>
        <w:rFonts w:ascii="Times New Roman" w:hAnsi="Times New Roman"/>
        <w:sz w:val="26"/>
        <w:szCs w:val="26"/>
      </w:rPr>
    </w:pPr>
    <w:r w:rsidRPr="005466EC">
      <w:rPr>
        <w:rFonts w:ascii="Times New Roman" w:hAnsi="Times New Roman"/>
        <w:sz w:val="26"/>
        <w:szCs w:val="26"/>
      </w:rPr>
      <w:fldChar w:fldCharType="begin"/>
    </w:r>
    <w:r w:rsidR="00AB3232" w:rsidRPr="005466EC">
      <w:rPr>
        <w:rFonts w:ascii="Times New Roman" w:hAnsi="Times New Roman"/>
        <w:sz w:val="26"/>
        <w:szCs w:val="26"/>
      </w:rPr>
      <w:instrText xml:space="preserve"> PAGE   \* MERGEFORMAT </w:instrText>
    </w:r>
    <w:r w:rsidRPr="005466EC">
      <w:rPr>
        <w:rFonts w:ascii="Times New Roman" w:hAnsi="Times New Roman"/>
        <w:sz w:val="26"/>
        <w:szCs w:val="26"/>
      </w:rPr>
      <w:fldChar w:fldCharType="separate"/>
    </w:r>
    <w:r w:rsidR="004D0836">
      <w:rPr>
        <w:rFonts w:ascii="Times New Roman" w:hAnsi="Times New Roman"/>
        <w:noProof/>
        <w:sz w:val="26"/>
        <w:szCs w:val="26"/>
      </w:rPr>
      <w:t>20</w:t>
    </w:r>
    <w:r w:rsidRPr="005466EC">
      <w:rPr>
        <w:rFonts w:ascii="Times New Roman" w:hAnsi="Times New Roman"/>
        <w:noProof/>
        <w:sz w:val="26"/>
        <w:szCs w:val="26"/>
      </w:rPr>
      <w:fldChar w:fldCharType="end"/>
    </w:r>
  </w:p>
  <w:p w:rsidR="00AB3232" w:rsidRDefault="00AB32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A8A" w:rsidRDefault="00AE4A8A" w:rsidP="00DD03CC">
      <w:pPr>
        <w:spacing w:after="0" w:line="240" w:lineRule="auto"/>
      </w:pPr>
      <w:r>
        <w:separator/>
      </w:r>
    </w:p>
  </w:footnote>
  <w:footnote w:type="continuationSeparator" w:id="0">
    <w:p w:rsidR="00AE4A8A" w:rsidRDefault="00AE4A8A" w:rsidP="00DD03CC">
      <w:pPr>
        <w:spacing w:after="0" w:line="240" w:lineRule="auto"/>
      </w:pPr>
      <w:r>
        <w:continuationSeparator/>
      </w:r>
    </w:p>
  </w:footnote>
  <w:footnote w:id="1">
    <w:p w:rsidR="00321F3E" w:rsidRPr="00457940" w:rsidRDefault="00321F3E">
      <w:pPr>
        <w:pStyle w:val="FootnoteText"/>
        <w:rPr>
          <w:rFonts w:ascii="Times New Roman" w:hAnsi="Times New Roman"/>
          <w:sz w:val="26"/>
        </w:rPr>
      </w:pPr>
      <w:r w:rsidRPr="00457940">
        <w:rPr>
          <w:rFonts w:ascii="Times New Roman" w:hAnsi="Times New Roman"/>
          <w:sz w:val="26"/>
        </w:rPr>
        <w:tab/>
      </w:r>
      <w:r w:rsidRPr="00457940">
        <w:rPr>
          <w:rStyle w:val="FootnoteReference"/>
          <w:rFonts w:ascii="Times New Roman" w:hAnsi="Times New Roman"/>
          <w:sz w:val="26"/>
        </w:rPr>
        <w:footnoteRef/>
      </w:r>
      <w:r w:rsidRPr="00457940">
        <w:rPr>
          <w:rFonts w:ascii="Times New Roman" w:hAnsi="Times New Roman"/>
          <w:sz w:val="26"/>
        </w:rPr>
        <w:t xml:space="preserve"> </w:t>
      </w:r>
      <w:r w:rsidRPr="00457940">
        <w:rPr>
          <w:rFonts w:ascii="Times New Roman" w:hAnsi="Times New Roman"/>
          <w:sz w:val="26"/>
        </w:rPr>
        <w:tab/>
      </w:r>
      <w:r w:rsidRPr="00457940">
        <w:rPr>
          <w:rFonts w:ascii="Times New Roman" w:hAnsi="Times New Roman"/>
          <w:sz w:val="26"/>
          <w:szCs w:val="26"/>
        </w:rPr>
        <w:t xml:space="preserve">In regard to Formal Proceedings, our Regulations at 52 Pa. Code </w:t>
      </w:r>
      <w:r w:rsidRPr="00457940">
        <w:rPr>
          <w:rFonts w:ascii="Times New Roman" w:hAnsi="Times New Roman"/>
          <w:sz w:val="26"/>
        </w:rPr>
        <w:t>§§ 5.533 and 5.535 allow for the filing of Exceptions and Replies to Exceptions when an ALJ issues a Recommended Decision</w:t>
      </w:r>
      <w:r w:rsidR="00066CF2">
        <w:rPr>
          <w:rFonts w:ascii="Times New Roman" w:hAnsi="Times New Roman"/>
          <w:sz w:val="26"/>
        </w:rPr>
        <w:t>, unless otherwise provided by the Commission</w:t>
      </w:r>
      <w:r w:rsidRPr="00457940">
        <w:rPr>
          <w:rFonts w:ascii="Times New Roman" w:hAnsi="Times New Roman"/>
          <w:sz w:val="26"/>
        </w:rPr>
        <w:t xml:space="preserve">.  However, there is no provision in our Regulations that allows a party to file a Response to Replies to Exceptions.  Consequently, </w:t>
      </w:r>
      <w:r w:rsidR="00457940" w:rsidRPr="00457940">
        <w:rPr>
          <w:rFonts w:ascii="Times New Roman" w:hAnsi="Times New Roman"/>
          <w:sz w:val="26"/>
        </w:rPr>
        <w:t>we will</w:t>
      </w:r>
      <w:r w:rsidRPr="00457940">
        <w:rPr>
          <w:rFonts w:ascii="Times New Roman" w:hAnsi="Times New Roman"/>
          <w:sz w:val="26"/>
        </w:rPr>
        <w:t xml:space="preserve"> not consider Ms. Larkin’s Response to the City’s Replies to Exceptions.</w:t>
      </w:r>
    </w:p>
  </w:footnote>
  <w:footnote w:id="2">
    <w:p w:rsidR="0033784A" w:rsidRDefault="0033784A" w:rsidP="0033784A">
      <w:pPr>
        <w:pStyle w:val="FootnoteText"/>
        <w:ind w:firstLine="720"/>
      </w:pPr>
      <w:r w:rsidRPr="00A2737F">
        <w:rPr>
          <w:rStyle w:val="FootnoteReference"/>
          <w:rFonts w:ascii="Times New Roman" w:hAnsi="Times New Roman"/>
          <w:sz w:val="26"/>
          <w:szCs w:val="26"/>
        </w:rPr>
        <w:footnoteRef/>
      </w:r>
      <w:r w:rsidR="00022757">
        <w:rPr>
          <w:rFonts w:ascii="Times New Roman" w:hAnsi="Times New Roman"/>
        </w:rPr>
        <w:tab/>
      </w:r>
      <w:r>
        <w:t xml:space="preserve"> </w:t>
      </w:r>
      <w:r w:rsidRPr="0033784A">
        <w:rPr>
          <w:rFonts w:ascii="Times New Roman" w:hAnsi="Times New Roman"/>
          <w:sz w:val="26"/>
          <w:szCs w:val="26"/>
        </w:rPr>
        <w:t>For a</w:t>
      </w:r>
      <w:r>
        <w:rPr>
          <w:rFonts w:ascii="Times New Roman" w:hAnsi="Times New Roman"/>
          <w:sz w:val="26"/>
          <w:szCs w:val="26"/>
        </w:rPr>
        <w:t xml:space="preserve"> complete history of the proceeding, please refer to </w:t>
      </w:r>
      <w:r w:rsidR="00471AB8">
        <w:rPr>
          <w:rFonts w:ascii="Times New Roman" w:hAnsi="Times New Roman"/>
          <w:sz w:val="26"/>
          <w:szCs w:val="26"/>
        </w:rPr>
        <w:t xml:space="preserve">pages 2-6 of </w:t>
      </w:r>
      <w:r>
        <w:rPr>
          <w:rFonts w:ascii="Times New Roman" w:hAnsi="Times New Roman"/>
          <w:sz w:val="26"/>
          <w:szCs w:val="26"/>
        </w:rPr>
        <w:t>the Recommended Decision</w:t>
      </w:r>
      <w:r w:rsidR="00471AB8">
        <w:rPr>
          <w:rFonts w:ascii="Times New Roman" w:hAnsi="Times New Roman"/>
          <w:sz w:val="26"/>
          <w:szCs w:val="26"/>
        </w:rPr>
        <w:t>.</w:t>
      </w:r>
      <w:r>
        <w:t xml:space="preserve">  </w:t>
      </w:r>
    </w:p>
  </w:footnote>
  <w:footnote w:id="3">
    <w:p w:rsidR="005C4163" w:rsidRPr="005C4163" w:rsidRDefault="005C4163" w:rsidP="005C4163">
      <w:pPr>
        <w:pStyle w:val="FootnoteText"/>
        <w:ind w:firstLine="720"/>
        <w:rPr>
          <w:rFonts w:ascii="Times New Roman" w:hAnsi="Times New Roman"/>
          <w:sz w:val="26"/>
          <w:szCs w:val="26"/>
        </w:rPr>
      </w:pPr>
      <w:r w:rsidRPr="00576029">
        <w:rPr>
          <w:rStyle w:val="FootnoteReference"/>
          <w:rFonts w:ascii="Times New Roman" w:hAnsi="Times New Roman"/>
          <w:sz w:val="26"/>
          <w:szCs w:val="26"/>
        </w:rPr>
        <w:footnoteRef/>
      </w:r>
      <w:r w:rsidRPr="00576029">
        <w:rPr>
          <w:sz w:val="26"/>
          <w:szCs w:val="26"/>
        </w:rPr>
        <w:tab/>
      </w:r>
      <w:r w:rsidRPr="005C4163">
        <w:rPr>
          <w:rFonts w:ascii="Times New Roman" w:hAnsi="Times New Roman"/>
          <w:sz w:val="26"/>
          <w:szCs w:val="26"/>
        </w:rPr>
        <w:t xml:space="preserve">Subparagraphs (1) – (5) provide a general description of the rate structure and rate design incorporated in the Settlement Rates. </w:t>
      </w:r>
      <w:r w:rsidR="001D4D60">
        <w:rPr>
          <w:rFonts w:ascii="Times New Roman" w:hAnsi="Times New Roman"/>
          <w:sz w:val="26"/>
          <w:szCs w:val="26"/>
        </w:rPr>
        <w:t xml:space="preserve"> </w:t>
      </w:r>
      <w:r w:rsidRPr="005C4163">
        <w:rPr>
          <w:rFonts w:ascii="Times New Roman" w:hAnsi="Times New Roman"/>
          <w:sz w:val="26"/>
          <w:szCs w:val="26"/>
        </w:rPr>
        <w:t xml:space="preserve">While every effort has been made to ensure that such description is accurate, if any inconsistency exists between such description and the rates set forth in Appendix A-1 and A-2, the latter shall take precedence.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C927D12"/>
    <w:lvl w:ilvl="0">
      <w:start w:val="1"/>
      <w:numFmt w:val="decimal"/>
      <w:pStyle w:val="ListNumber"/>
      <w:lvlText w:val="%1."/>
      <w:lvlJc w:val="left"/>
      <w:pPr>
        <w:tabs>
          <w:tab w:val="num" w:pos="720"/>
        </w:tabs>
        <w:ind w:left="0" w:firstLine="720"/>
      </w:pPr>
      <w:rPr>
        <w:rFonts w:hint="default"/>
      </w:rPr>
    </w:lvl>
  </w:abstractNum>
  <w:abstractNum w:abstractNumId="1">
    <w:nsid w:val="03771271"/>
    <w:multiLevelType w:val="hybridMultilevel"/>
    <w:tmpl w:val="CB700D26"/>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4D220A2"/>
    <w:multiLevelType w:val="hybridMultilevel"/>
    <w:tmpl w:val="B8644E9A"/>
    <w:lvl w:ilvl="0" w:tplc="251E3EE2">
      <w:start w:val="100"/>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8B5F94"/>
    <w:multiLevelType w:val="multilevel"/>
    <w:tmpl w:val="7D1C1788"/>
    <w:lvl w:ilvl="0">
      <w:start w:val="2"/>
      <w:numFmt w:val="upperRoman"/>
      <w:lvlText w:val="%1."/>
      <w:lvlJc w:val="left"/>
      <w:pPr>
        <w:tabs>
          <w:tab w:val="num" w:pos="720"/>
        </w:tabs>
        <w:ind w:left="0" w:firstLine="0"/>
      </w:pPr>
      <w:rPr>
        <w:rFonts w:ascii="Times New Roman" w:hAnsi="Times New Roman" w:cs="Times New Roman" w:hint="default"/>
        <w:b/>
        <w:i w:val="0"/>
        <w:caps/>
        <w:smallCaps w:val="0"/>
        <w:strike w:val="0"/>
        <w:dstrike w:val="0"/>
        <w:sz w:val="24"/>
        <w:u w:val="none"/>
        <w:effect w:val="none"/>
      </w:rPr>
    </w:lvl>
    <w:lvl w:ilvl="1">
      <w:start w:val="8"/>
      <w:numFmt w:val="decimal"/>
      <w:lvlText w:val="%2."/>
      <w:lvlJc w:val="left"/>
      <w:pPr>
        <w:tabs>
          <w:tab w:val="num" w:pos="1440"/>
        </w:tabs>
        <w:ind w:left="0" w:firstLine="720"/>
      </w:pPr>
      <w:rPr>
        <w:b w:val="0"/>
        <w:i w:val="0"/>
        <w:caps w:val="0"/>
        <w:strike w:val="0"/>
        <w:dstrike w:val="0"/>
        <w:sz w:val="24"/>
        <w:u w:val="none"/>
        <w:effect w:val="none"/>
      </w:rPr>
    </w:lvl>
    <w:lvl w:ilvl="2">
      <w:start w:val="13"/>
      <w:numFmt w:val="lowerLetter"/>
      <w:lvlText w:val="%3."/>
      <w:lvlJc w:val="left"/>
      <w:pPr>
        <w:tabs>
          <w:tab w:val="num" w:pos="2160"/>
        </w:tabs>
        <w:ind w:left="0" w:firstLine="1440"/>
      </w:pPr>
      <w:rPr>
        <w:rFonts w:ascii="Times New Roman" w:hAnsi="Times New Roman" w:cs="Times New Roman" w:hint="default"/>
        <w:b w:val="0"/>
        <w:i w:val="0"/>
        <w:caps w:val="0"/>
        <w:strike w:val="0"/>
        <w:dstrike w:val="0"/>
        <w:sz w:val="24"/>
        <w:u w:val="none"/>
        <w:effect w:val="none"/>
      </w:rPr>
    </w:lvl>
    <w:lvl w:ilvl="3">
      <w:start w:val="1"/>
      <w:numFmt w:val="decimal"/>
      <w:lvlRestart w:val="0"/>
      <w:lvlText w:val="(%4)"/>
      <w:lvlJc w:val="left"/>
      <w:pPr>
        <w:tabs>
          <w:tab w:val="num" w:pos="2880"/>
        </w:tabs>
        <w:ind w:left="0" w:firstLine="2160"/>
      </w:pPr>
      <w:rPr>
        <w:rFonts w:ascii="Times New Roman" w:hAnsi="Times New Roman" w:cs="Times New Roman" w:hint="default"/>
        <w:b w:val="0"/>
        <w:i w:val="0"/>
        <w:caps w:val="0"/>
        <w:strike w:val="0"/>
        <w:dstrike w:val="0"/>
        <w:sz w:val="24"/>
        <w:u w:val="none"/>
        <w:effect w:val="none"/>
      </w:rPr>
    </w:lvl>
    <w:lvl w:ilvl="4">
      <w:start w:val="1"/>
      <w:numFmt w:val="lowerLetter"/>
      <w:lvlText w:val="(%5)"/>
      <w:lvlJc w:val="left"/>
      <w:pPr>
        <w:tabs>
          <w:tab w:val="num" w:pos="3600"/>
        </w:tabs>
        <w:ind w:left="3600" w:hanging="720"/>
      </w:pPr>
      <w:rPr>
        <w:rFonts w:ascii="Times New Roman" w:hAnsi="Times New Roman" w:cs="Times New Roman" w:hint="default"/>
        <w:b w:val="0"/>
        <w:i w:val="0"/>
        <w:caps w:val="0"/>
        <w:strike w:val="0"/>
        <w:dstrike w:val="0"/>
        <w:sz w:val="24"/>
        <w:u w:val="none"/>
        <w:effect w:val="none"/>
      </w:rPr>
    </w:lvl>
    <w:lvl w:ilvl="5">
      <w:start w:val="1"/>
      <w:numFmt w:val="upperLetter"/>
      <w:lvlRestart w:val="0"/>
      <w:lvlText w:val="APPENDIX %6"/>
      <w:lvlJc w:val="left"/>
      <w:pPr>
        <w:tabs>
          <w:tab w:val="num" w:pos="2880"/>
        </w:tabs>
        <w:ind w:left="0" w:firstLine="0"/>
      </w:pPr>
      <w:rPr>
        <w:rFonts w:ascii="Times New Roman" w:hAnsi="Times New Roman" w:cs="Times New Roman" w:hint="default"/>
        <w:b/>
        <w:i w:val="0"/>
        <w:caps w:val="0"/>
        <w:strike w:val="0"/>
        <w:dstrike w:val="0"/>
        <w:sz w:val="24"/>
        <w:u w:val="none"/>
        <w:effect w:val="none"/>
      </w:rPr>
    </w:lvl>
    <w:lvl w:ilvl="6">
      <w:start w:val="1"/>
      <w:numFmt w:val="decimal"/>
      <w:lvlText w:val="(%7)"/>
      <w:lvlJc w:val="left"/>
      <w:pPr>
        <w:tabs>
          <w:tab w:val="num" w:pos="5040"/>
        </w:tabs>
        <w:ind w:left="0" w:firstLine="4320"/>
      </w:pPr>
      <w:rPr>
        <w:rFonts w:ascii="Times New Roman" w:hAnsi="Times New Roman" w:cs="Times New Roman" w:hint="default"/>
        <w:b w:val="0"/>
        <w:i w:val="0"/>
        <w:caps w:val="0"/>
        <w:strike w:val="0"/>
        <w:dstrike w:val="0"/>
        <w:sz w:val="24"/>
        <w:u w:val="none"/>
        <w:effect w:val="none"/>
      </w:rPr>
    </w:lvl>
    <w:lvl w:ilvl="7">
      <w:start w:val="1"/>
      <w:numFmt w:val="lowerRoman"/>
      <w:lvlText w:val="%8)"/>
      <w:lvlJc w:val="left"/>
      <w:pPr>
        <w:tabs>
          <w:tab w:val="num" w:pos="5760"/>
        </w:tabs>
        <w:ind w:left="0" w:firstLine="5040"/>
      </w:pPr>
      <w:rPr>
        <w:rFonts w:ascii="Times New Roman" w:hAnsi="Times New Roman" w:cs="Times New Roman" w:hint="default"/>
        <w:b w:val="0"/>
        <w:i w:val="0"/>
        <w:caps w:val="0"/>
        <w:strike w:val="0"/>
        <w:dstrike w:val="0"/>
        <w:sz w:val="24"/>
        <w:u w:val="none"/>
        <w:effect w:val="none"/>
      </w:rPr>
    </w:lvl>
    <w:lvl w:ilvl="8">
      <w:start w:val="1"/>
      <w:numFmt w:val="lowerLetter"/>
      <w:lvlText w:val="%9)"/>
      <w:lvlJc w:val="left"/>
      <w:pPr>
        <w:tabs>
          <w:tab w:val="num" w:pos="6480"/>
        </w:tabs>
        <w:ind w:left="0" w:firstLine="5760"/>
      </w:pPr>
      <w:rPr>
        <w:rFonts w:ascii="Times New Roman" w:hAnsi="Times New Roman" w:cs="Times New Roman" w:hint="default"/>
        <w:b w:val="0"/>
        <w:i w:val="0"/>
        <w:caps w:val="0"/>
        <w:strike w:val="0"/>
        <w:dstrike w:val="0"/>
        <w:sz w:val="24"/>
        <w:u w:val="none"/>
        <w:effect w:val="none"/>
      </w:rPr>
    </w:lvl>
  </w:abstractNum>
  <w:abstractNum w:abstractNumId="4">
    <w:nsid w:val="07FD1FB5"/>
    <w:multiLevelType w:val="hybridMultilevel"/>
    <w:tmpl w:val="8820B05E"/>
    <w:lvl w:ilvl="0" w:tplc="6706F2C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99B436A"/>
    <w:multiLevelType w:val="hybridMultilevel"/>
    <w:tmpl w:val="0414DD4E"/>
    <w:lvl w:ilvl="0" w:tplc="09541EC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D30295"/>
    <w:multiLevelType w:val="multilevel"/>
    <w:tmpl w:val="D8F0150E"/>
    <w:lvl w:ilvl="0">
      <w:start w:val="3"/>
      <w:numFmt w:val="upperRoman"/>
      <w:lvlText w:val="%1."/>
      <w:lvlJc w:val="left"/>
      <w:pPr>
        <w:tabs>
          <w:tab w:val="num" w:pos="720"/>
        </w:tabs>
        <w:ind w:left="0" w:firstLine="0"/>
      </w:pPr>
      <w:rPr>
        <w:rFonts w:ascii="Times New Roman" w:hAnsi="Times New Roman" w:cs="Times New Roman" w:hint="default"/>
        <w:b/>
        <w:i w:val="0"/>
        <w:caps/>
        <w:smallCaps w:val="0"/>
        <w:strike w:val="0"/>
        <w:dstrike w:val="0"/>
        <w:sz w:val="24"/>
        <w:u w:val="none"/>
        <w:effect w:val="none"/>
      </w:rPr>
    </w:lvl>
    <w:lvl w:ilvl="1">
      <w:start w:val="10"/>
      <w:numFmt w:val="decimal"/>
      <w:lvlText w:val="%2."/>
      <w:lvlJc w:val="left"/>
      <w:pPr>
        <w:tabs>
          <w:tab w:val="num" w:pos="1440"/>
        </w:tabs>
        <w:ind w:left="0" w:firstLine="720"/>
      </w:pPr>
      <w:rPr>
        <w:b w:val="0"/>
        <w:i w:val="0"/>
        <w:caps w:val="0"/>
        <w:strike w:val="0"/>
        <w:dstrike w:val="0"/>
        <w:sz w:val="24"/>
        <w:u w:val="none"/>
        <w:effect w:val="none"/>
      </w:rPr>
    </w:lvl>
    <w:lvl w:ilvl="2">
      <w:start w:val="1"/>
      <w:numFmt w:val="lowerLetter"/>
      <w:lvlText w:val="%3."/>
      <w:lvlJc w:val="left"/>
      <w:pPr>
        <w:tabs>
          <w:tab w:val="num" w:pos="2160"/>
        </w:tabs>
        <w:ind w:left="0" w:firstLine="1440"/>
      </w:pPr>
      <w:rPr>
        <w:rFonts w:ascii="Times New Roman" w:hAnsi="Times New Roman" w:cs="Times New Roman" w:hint="default"/>
        <w:b w:val="0"/>
        <w:i w:val="0"/>
        <w:caps w:val="0"/>
        <w:strike w:val="0"/>
        <w:dstrike w:val="0"/>
        <w:sz w:val="24"/>
        <w:u w:val="none"/>
        <w:effect w:val="none"/>
      </w:rPr>
    </w:lvl>
    <w:lvl w:ilvl="3">
      <w:start w:val="1"/>
      <w:numFmt w:val="decimal"/>
      <w:lvlRestart w:val="0"/>
      <w:lvlText w:val="(%4)"/>
      <w:lvlJc w:val="left"/>
      <w:pPr>
        <w:tabs>
          <w:tab w:val="num" w:pos="2880"/>
        </w:tabs>
        <w:ind w:left="0" w:firstLine="2160"/>
      </w:pPr>
      <w:rPr>
        <w:rFonts w:ascii="Times New Roman" w:hAnsi="Times New Roman" w:cs="Times New Roman" w:hint="default"/>
        <w:b w:val="0"/>
        <w:i w:val="0"/>
        <w:caps w:val="0"/>
        <w:strike w:val="0"/>
        <w:dstrike w:val="0"/>
        <w:sz w:val="24"/>
        <w:u w:val="none"/>
        <w:effect w:val="none"/>
      </w:rPr>
    </w:lvl>
    <w:lvl w:ilvl="4">
      <w:start w:val="1"/>
      <w:numFmt w:val="lowerLetter"/>
      <w:lvlText w:val="(%5)"/>
      <w:lvlJc w:val="left"/>
      <w:pPr>
        <w:tabs>
          <w:tab w:val="num" w:pos="3600"/>
        </w:tabs>
        <w:ind w:left="3600" w:hanging="720"/>
      </w:pPr>
      <w:rPr>
        <w:rFonts w:ascii="Times New Roman" w:hAnsi="Times New Roman" w:cs="Times New Roman" w:hint="default"/>
        <w:b w:val="0"/>
        <w:i w:val="0"/>
        <w:caps w:val="0"/>
        <w:strike w:val="0"/>
        <w:dstrike w:val="0"/>
        <w:sz w:val="24"/>
        <w:u w:val="none"/>
        <w:effect w:val="none"/>
      </w:rPr>
    </w:lvl>
    <w:lvl w:ilvl="5">
      <w:start w:val="1"/>
      <w:numFmt w:val="upperLetter"/>
      <w:lvlRestart w:val="0"/>
      <w:lvlText w:val="APPENDIX %6"/>
      <w:lvlJc w:val="left"/>
      <w:pPr>
        <w:tabs>
          <w:tab w:val="num" w:pos="2880"/>
        </w:tabs>
        <w:ind w:left="0" w:firstLine="0"/>
      </w:pPr>
      <w:rPr>
        <w:rFonts w:ascii="Times New Roman" w:hAnsi="Times New Roman" w:cs="Times New Roman" w:hint="default"/>
        <w:b/>
        <w:i w:val="0"/>
        <w:caps w:val="0"/>
        <w:strike w:val="0"/>
        <w:dstrike w:val="0"/>
        <w:sz w:val="24"/>
        <w:u w:val="none"/>
        <w:effect w:val="none"/>
      </w:rPr>
    </w:lvl>
    <w:lvl w:ilvl="6">
      <w:start w:val="1"/>
      <w:numFmt w:val="decimal"/>
      <w:lvlText w:val="(%7)"/>
      <w:lvlJc w:val="left"/>
      <w:pPr>
        <w:tabs>
          <w:tab w:val="num" w:pos="5040"/>
        </w:tabs>
        <w:ind w:left="0" w:firstLine="4320"/>
      </w:pPr>
      <w:rPr>
        <w:rFonts w:ascii="Times New Roman" w:hAnsi="Times New Roman" w:cs="Times New Roman" w:hint="default"/>
        <w:b w:val="0"/>
        <w:i w:val="0"/>
        <w:caps w:val="0"/>
        <w:strike w:val="0"/>
        <w:dstrike w:val="0"/>
        <w:sz w:val="24"/>
        <w:u w:val="none"/>
        <w:effect w:val="none"/>
      </w:rPr>
    </w:lvl>
    <w:lvl w:ilvl="7">
      <w:start w:val="1"/>
      <w:numFmt w:val="lowerRoman"/>
      <w:lvlText w:val="%8)"/>
      <w:lvlJc w:val="left"/>
      <w:pPr>
        <w:tabs>
          <w:tab w:val="num" w:pos="5760"/>
        </w:tabs>
        <w:ind w:left="0" w:firstLine="5040"/>
      </w:pPr>
      <w:rPr>
        <w:rFonts w:ascii="Times New Roman" w:hAnsi="Times New Roman" w:cs="Times New Roman" w:hint="default"/>
        <w:b w:val="0"/>
        <w:i w:val="0"/>
        <w:caps w:val="0"/>
        <w:strike w:val="0"/>
        <w:dstrike w:val="0"/>
        <w:sz w:val="24"/>
        <w:u w:val="none"/>
        <w:effect w:val="none"/>
      </w:rPr>
    </w:lvl>
    <w:lvl w:ilvl="8">
      <w:start w:val="1"/>
      <w:numFmt w:val="lowerLetter"/>
      <w:lvlText w:val="%9)"/>
      <w:lvlJc w:val="left"/>
      <w:pPr>
        <w:tabs>
          <w:tab w:val="num" w:pos="6480"/>
        </w:tabs>
        <w:ind w:left="0" w:firstLine="5760"/>
      </w:pPr>
      <w:rPr>
        <w:rFonts w:ascii="Times New Roman" w:hAnsi="Times New Roman" w:cs="Times New Roman" w:hint="default"/>
        <w:b w:val="0"/>
        <w:i w:val="0"/>
        <w:caps w:val="0"/>
        <w:strike w:val="0"/>
        <w:dstrike w:val="0"/>
        <w:sz w:val="24"/>
        <w:u w:val="none"/>
        <w:effect w:val="none"/>
      </w:rPr>
    </w:lvl>
  </w:abstractNum>
  <w:abstractNum w:abstractNumId="7">
    <w:nsid w:val="09FF1DDB"/>
    <w:multiLevelType w:val="hybridMultilevel"/>
    <w:tmpl w:val="424A84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D8198B"/>
    <w:multiLevelType w:val="hybridMultilevel"/>
    <w:tmpl w:val="E47E5830"/>
    <w:lvl w:ilvl="0" w:tplc="2C3E9872">
      <w:start w:val="1"/>
      <w:numFmt w:val="decimal"/>
      <w:lvlText w:val="(%1)"/>
      <w:lvlJc w:val="left"/>
      <w:pPr>
        <w:ind w:left="1845" w:hanging="4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72765C0"/>
    <w:multiLevelType w:val="hybridMultilevel"/>
    <w:tmpl w:val="B1EA0BAE"/>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5D70D4"/>
    <w:multiLevelType w:val="hybridMultilevel"/>
    <w:tmpl w:val="0414DD4E"/>
    <w:lvl w:ilvl="0" w:tplc="09541EC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FA253F"/>
    <w:multiLevelType w:val="hybridMultilevel"/>
    <w:tmpl w:val="E94CA96C"/>
    <w:lvl w:ilvl="0" w:tplc="B086AE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5432AC4"/>
    <w:multiLevelType w:val="hybridMultilevel"/>
    <w:tmpl w:val="6A965890"/>
    <w:lvl w:ilvl="0" w:tplc="0C9ABD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66F1A1D"/>
    <w:multiLevelType w:val="hybridMultilevel"/>
    <w:tmpl w:val="50AC26F2"/>
    <w:lvl w:ilvl="0" w:tplc="ADFAF26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738487D"/>
    <w:multiLevelType w:val="multilevel"/>
    <w:tmpl w:val="027477E0"/>
    <w:lvl w:ilvl="0">
      <w:start w:val="2"/>
      <w:numFmt w:val="upperRoman"/>
      <w:lvlText w:val="%1."/>
      <w:lvlJc w:val="left"/>
      <w:pPr>
        <w:tabs>
          <w:tab w:val="num" w:pos="720"/>
        </w:tabs>
        <w:ind w:left="0" w:firstLine="0"/>
      </w:pPr>
      <w:rPr>
        <w:rFonts w:ascii="Times New Roman" w:hAnsi="Times New Roman" w:cs="Times New Roman" w:hint="default"/>
        <w:b/>
        <w:i w:val="0"/>
        <w:caps/>
        <w:smallCaps w:val="0"/>
        <w:strike w:val="0"/>
        <w:dstrike w:val="0"/>
        <w:sz w:val="24"/>
        <w:u w:val="none"/>
        <w:effect w:val="none"/>
      </w:rPr>
    </w:lvl>
    <w:lvl w:ilvl="1">
      <w:start w:val="7"/>
      <w:numFmt w:val="decimal"/>
      <w:lvlText w:val="%2."/>
      <w:lvlJc w:val="left"/>
      <w:pPr>
        <w:tabs>
          <w:tab w:val="num" w:pos="1440"/>
        </w:tabs>
        <w:ind w:left="0" w:firstLine="720"/>
      </w:pPr>
      <w:rPr>
        <w:rFonts w:hint="default"/>
        <w:b w:val="0"/>
        <w:i w:val="0"/>
        <w:caps w:val="0"/>
        <w:strike w:val="0"/>
        <w:dstrike w:val="0"/>
        <w:sz w:val="24"/>
        <w:u w:val="none"/>
        <w:effect w:val="none"/>
      </w:rPr>
    </w:lvl>
    <w:lvl w:ilvl="2">
      <w:start w:val="12"/>
      <w:numFmt w:val="lowerLetter"/>
      <w:lvlText w:val="%3."/>
      <w:lvlJc w:val="left"/>
      <w:pPr>
        <w:tabs>
          <w:tab w:val="num" w:pos="2160"/>
        </w:tabs>
        <w:ind w:left="0" w:firstLine="1440"/>
      </w:pPr>
      <w:rPr>
        <w:rFonts w:ascii="Times New Roman" w:hAnsi="Times New Roman" w:cs="Times New Roman" w:hint="default"/>
        <w:b w:val="0"/>
        <w:i w:val="0"/>
        <w:caps w:val="0"/>
        <w:strike w:val="0"/>
        <w:dstrike w:val="0"/>
        <w:sz w:val="24"/>
        <w:u w:val="none"/>
        <w:effect w:val="none"/>
      </w:rPr>
    </w:lvl>
    <w:lvl w:ilvl="3">
      <w:start w:val="1"/>
      <w:numFmt w:val="decimal"/>
      <w:lvlRestart w:val="0"/>
      <w:lvlText w:val="(%4)"/>
      <w:lvlJc w:val="left"/>
      <w:pPr>
        <w:tabs>
          <w:tab w:val="num" w:pos="2880"/>
        </w:tabs>
        <w:ind w:left="0" w:firstLine="2160"/>
      </w:pPr>
      <w:rPr>
        <w:rFonts w:ascii="Times New Roman" w:hAnsi="Times New Roman" w:cs="Times New Roman" w:hint="default"/>
        <w:b w:val="0"/>
        <w:i w:val="0"/>
        <w:caps w:val="0"/>
        <w:strike w:val="0"/>
        <w:dstrike w:val="0"/>
        <w:sz w:val="24"/>
        <w:u w:val="none"/>
        <w:effect w:val="none"/>
      </w:rPr>
    </w:lvl>
    <w:lvl w:ilvl="4">
      <w:start w:val="1"/>
      <w:numFmt w:val="lowerLetter"/>
      <w:lvlText w:val="(%5)"/>
      <w:lvlJc w:val="left"/>
      <w:pPr>
        <w:tabs>
          <w:tab w:val="num" w:pos="3600"/>
        </w:tabs>
        <w:ind w:left="3600" w:hanging="720"/>
      </w:pPr>
      <w:rPr>
        <w:rFonts w:ascii="Times New Roman" w:hAnsi="Times New Roman" w:cs="Times New Roman" w:hint="default"/>
        <w:b w:val="0"/>
        <w:i w:val="0"/>
        <w:caps w:val="0"/>
        <w:strike w:val="0"/>
        <w:dstrike w:val="0"/>
        <w:sz w:val="24"/>
        <w:u w:val="none"/>
        <w:effect w:val="none"/>
      </w:rPr>
    </w:lvl>
    <w:lvl w:ilvl="5">
      <w:start w:val="1"/>
      <w:numFmt w:val="upperLetter"/>
      <w:lvlRestart w:val="0"/>
      <w:lvlText w:val="APPENDIX %6"/>
      <w:lvlJc w:val="left"/>
      <w:pPr>
        <w:tabs>
          <w:tab w:val="num" w:pos="2880"/>
        </w:tabs>
        <w:ind w:left="0" w:firstLine="0"/>
      </w:pPr>
      <w:rPr>
        <w:rFonts w:ascii="Times New Roman" w:hAnsi="Times New Roman" w:cs="Times New Roman" w:hint="default"/>
        <w:b/>
        <w:i w:val="0"/>
        <w:caps w:val="0"/>
        <w:strike w:val="0"/>
        <w:dstrike w:val="0"/>
        <w:sz w:val="24"/>
        <w:u w:val="none"/>
        <w:effect w:val="none"/>
      </w:rPr>
    </w:lvl>
    <w:lvl w:ilvl="6">
      <w:start w:val="1"/>
      <w:numFmt w:val="decimal"/>
      <w:lvlText w:val="(%7)"/>
      <w:lvlJc w:val="left"/>
      <w:pPr>
        <w:tabs>
          <w:tab w:val="num" w:pos="5040"/>
        </w:tabs>
        <w:ind w:left="0" w:firstLine="4320"/>
      </w:pPr>
      <w:rPr>
        <w:rFonts w:ascii="Times New Roman" w:hAnsi="Times New Roman" w:cs="Times New Roman" w:hint="default"/>
        <w:b w:val="0"/>
        <w:i w:val="0"/>
        <w:caps w:val="0"/>
        <w:strike w:val="0"/>
        <w:dstrike w:val="0"/>
        <w:sz w:val="24"/>
        <w:u w:val="none"/>
        <w:effect w:val="none"/>
      </w:rPr>
    </w:lvl>
    <w:lvl w:ilvl="7">
      <w:start w:val="1"/>
      <w:numFmt w:val="lowerRoman"/>
      <w:lvlText w:val="%8)"/>
      <w:lvlJc w:val="left"/>
      <w:pPr>
        <w:tabs>
          <w:tab w:val="num" w:pos="5760"/>
        </w:tabs>
        <w:ind w:left="0" w:firstLine="5040"/>
      </w:pPr>
      <w:rPr>
        <w:rFonts w:ascii="Times New Roman" w:hAnsi="Times New Roman" w:cs="Times New Roman" w:hint="default"/>
        <w:b w:val="0"/>
        <w:i w:val="0"/>
        <w:caps w:val="0"/>
        <w:strike w:val="0"/>
        <w:dstrike w:val="0"/>
        <w:sz w:val="24"/>
        <w:u w:val="none"/>
        <w:effect w:val="none"/>
      </w:rPr>
    </w:lvl>
    <w:lvl w:ilvl="8">
      <w:start w:val="1"/>
      <w:numFmt w:val="lowerLetter"/>
      <w:lvlText w:val="%9)"/>
      <w:lvlJc w:val="left"/>
      <w:pPr>
        <w:tabs>
          <w:tab w:val="num" w:pos="6480"/>
        </w:tabs>
        <w:ind w:left="0" w:firstLine="5760"/>
      </w:pPr>
      <w:rPr>
        <w:rFonts w:ascii="Times New Roman" w:hAnsi="Times New Roman" w:cs="Times New Roman" w:hint="default"/>
        <w:b w:val="0"/>
        <w:i w:val="0"/>
        <w:caps w:val="0"/>
        <w:strike w:val="0"/>
        <w:dstrike w:val="0"/>
        <w:sz w:val="24"/>
        <w:u w:val="none"/>
        <w:effect w:val="none"/>
      </w:rPr>
    </w:lvl>
  </w:abstractNum>
  <w:abstractNum w:abstractNumId="15">
    <w:nsid w:val="28A63581"/>
    <w:multiLevelType w:val="hybridMultilevel"/>
    <w:tmpl w:val="562A08EA"/>
    <w:lvl w:ilvl="0" w:tplc="DBA03332">
      <w:start w:val="500"/>
      <w:numFmt w:val="upperRoman"/>
      <w:lvlText w:val="%1."/>
      <w:lvlJc w:val="left"/>
      <w:pPr>
        <w:ind w:left="1080" w:hanging="72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E50E27"/>
    <w:multiLevelType w:val="multilevel"/>
    <w:tmpl w:val="3E2A6580"/>
    <w:lvl w:ilvl="0">
      <w:start w:val="2"/>
      <w:numFmt w:val="upperRoman"/>
      <w:lvlText w:val="%1."/>
      <w:lvlJc w:val="left"/>
      <w:pPr>
        <w:tabs>
          <w:tab w:val="num" w:pos="720"/>
        </w:tabs>
        <w:ind w:left="0" w:firstLine="0"/>
      </w:pPr>
      <w:rPr>
        <w:rFonts w:ascii="Times New Roman" w:hAnsi="Times New Roman" w:cs="Times New Roman" w:hint="default"/>
        <w:b/>
        <w:i w:val="0"/>
        <w:caps/>
        <w:smallCaps w:val="0"/>
        <w:strike w:val="0"/>
        <w:dstrike w:val="0"/>
        <w:sz w:val="24"/>
        <w:u w:val="none"/>
        <w:effect w:val="none"/>
      </w:rPr>
    </w:lvl>
    <w:lvl w:ilvl="1">
      <w:start w:val="1"/>
      <w:numFmt w:val="decimal"/>
      <w:lvlText w:val="%2."/>
      <w:lvlJc w:val="left"/>
      <w:pPr>
        <w:tabs>
          <w:tab w:val="num" w:pos="1440"/>
        </w:tabs>
        <w:ind w:left="0" w:firstLine="720"/>
      </w:pPr>
      <w:rPr>
        <w:b w:val="0"/>
        <w:i w:val="0"/>
        <w:caps w:val="0"/>
        <w:strike w:val="0"/>
        <w:dstrike w:val="0"/>
        <w:sz w:val="24"/>
        <w:u w:val="none"/>
        <w:effect w:val="none"/>
      </w:rPr>
    </w:lvl>
    <w:lvl w:ilvl="2">
      <w:start w:val="13"/>
      <w:numFmt w:val="lowerLetter"/>
      <w:lvlText w:val="%3."/>
      <w:lvlJc w:val="left"/>
      <w:pPr>
        <w:tabs>
          <w:tab w:val="num" w:pos="2160"/>
        </w:tabs>
        <w:ind w:left="0" w:firstLine="1440"/>
      </w:pPr>
      <w:rPr>
        <w:rFonts w:ascii="Times New Roman" w:hAnsi="Times New Roman" w:cs="Times New Roman" w:hint="default"/>
        <w:b w:val="0"/>
        <w:i w:val="0"/>
        <w:caps w:val="0"/>
        <w:strike w:val="0"/>
        <w:dstrike w:val="0"/>
        <w:sz w:val="24"/>
        <w:u w:val="none"/>
        <w:effect w:val="none"/>
      </w:rPr>
    </w:lvl>
    <w:lvl w:ilvl="3">
      <w:start w:val="1"/>
      <w:numFmt w:val="decimal"/>
      <w:lvlRestart w:val="0"/>
      <w:lvlText w:val="(%4)"/>
      <w:lvlJc w:val="left"/>
      <w:pPr>
        <w:tabs>
          <w:tab w:val="num" w:pos="2880"/>
        </w:tabs>
        <w:ind w:left="0" w:firstLine="2160"/>
      </w:pPr>
      <w:rPr>
        <w:rFonts w:ascii="Times New Roman" w:hAnsi="Times New Roman" w:cs="Times New Roman" w:hint="default"/>
        <w:b w:val="0"/>
        <w:i w:val="0"/>
        <w:caps w:val="0"/>
        <w:strike w:val="0"/>
        <w:dstrike w:val="0"/>
        <w:sz w:val="24"/>
        <w:u w:val="none"/>
        <w:effect w:val="none"/>
      </w:rPr>
    </w:lvl>
    <w:lvl w:ilvl="4">
      <w:start w:val="1"/>
      <w:numFmt w:val="lowerLetter"/>
      <w:lvlText w:val="(%5)"/>
      <w:lvlJc w:val="left"/>
      <w:pPr>
        <w:tabs>
          <w:tab w:val="num" w:pos="3600"/>
        </w:tabs>
        <w:ind w:left="3600" w:hanging="720"/>
      </w:pPr>
      <w:rPr>
        <w:rFonts w:ascii="Times New Roman" w:hAnsi="Times New Roman" w:cs="Times New Roman" w:hint="default"/>
        <w:b w:val="0"/>
        <w:i w:val="0"/>
        <w:caps w:val="0"/>
        <w:strike w:val="0"/>
        <w:dstrike w:val="0"/>
        <w:sz w:val="24"/>
        <w:u w:val="none"/>
        <w:effect w:val="none"/>
      </w:rPr>
    </w:lvl>
    <w:lvl w:ilvl="5">
      <w:start w:val="1"/>
      <w:numFmt w:val="upperLetter"/>
      <w:lvlRestart w:val="0"/>
      <w:lvlText w:val="APPENDIX %6"/>
      <w:lvlJc w:val="left"/>
      <w:pPr>
        <w:tabs>
          <w:tab w:val="num" w:pos="2880"/>
        </w:tabs>
        <w:ind w:left="0" w:firstLine="0"/>
      </w:pPr>
      <w:rPr>
        <w:rFonts w:ascii="Times New Roman" w:hAnsi="Times New Roman" w:cs="Times New Roman" w:hint="default"/>
        <w:b/>
        <w:i w:val="0"/>
        <w:caps w:val="0"/>
        <w:strike w:val="0"/>
        <w:dstrike w:val="0"/>
        <w:sz w:val="24"/>
        <w:u w:val="none"/>
        <w:effect w:val="none"/>
      </w:rPr>
    </w:lvl>
    <w:lvl w:ilvl="6">
      <w:start w:val="1"/>
      <w:numFmt w:val="decimal"/>
      <w:lvlText w:val="(%7)"/>
      <w:lvlJc w:val="left"/>
      <w:pPr>
        <w:tabs>
          <w:tab w:val="num" w:pos="5040"/>
        </w:tabs>
        <w:ind w:left="0" w:firstLine="4320"/>
      </w:pPr>
      <w:rPr>
        <w:rFonts w:ascii="Times New Roman" w:hAnsi="Times New Roman" w:cs="Times New Roman" w:hint="default"/>
        <w:b w:val="0"/>
        <w:i w:val="0"/>
        <w:caps w:val="0"/>
        <w:strike w:val="0"/>
        <w:dstrike w:val="0"/>
        <w:sz w:val="24"/>
        <w:u w:val="none"/>
        <w:effect w:val="none"/>
      </w:rPr>
    </w:lvl>
    <w:lvl w:ilvl="7">
      <w:start w:val="1"/>
      <w:numFmt w:val="lowerRoman"/>
      <w:lvlText w:val="%8)"/>
      <w:lvlJc w:val="left"/>
      <w:pPr>
        <w:tabs>
          <w:tab w:val="num" w:pos="5760"/>
        </w:tabs>
        <w:ind w:left="0" w:firstLine="5040"/>
      </w:pPr>
      <w:rPr>
        <w:rFonts w:ascii="Times New Roman" w:hAnsi="Times New Roman" w:cs="Times New Roman" w:hint="default"/>
        <w:b w:val="0"/>
        <w:i w:val="0"/>
        <w:caps w:val="0"/>
        <w:strike w:val="0"/>
        <w:dstrike w:val="0"/>
        <w:sz w:val="24"/>
        <w:u w:val="none"/>
        <w:effect w:val="none"/>
      </w:rPr>
    </w:lvl>
    <w:lvl w:ilvl="8">
      <w:start w:val="1"/>
      <w:numFmt w:val="lowerLetter"/>
      <w:lvlText w:val="%9)"/>
      <w:lvlJc w:val="left"/>
      <w:pPr>
        <w:tabs>
          <w:tab w:val="num" w:pos="6480"/>
        </w:tabs>
        <w:ind w:left="0" w:firstLine="5760"/>
      </w:pPr>
      <w:rPr>
        <w:rFonts w:ascii="Times New Roman" w:hAnsi="Times New Roman" w:cs="Times New Roman" w:hint="default"/>
        <w:b w:val="0"/>
        <w:i w:val="0"/>
        <w:caps w:val="0"/>
        <w:strike w:val="0"/>
        <w:dstrike w:val="0"/>
        <w:sz w:val="24"/>
        <w:u w:val="none"/>
        <w:effect w:val="none"/>
      </w:rPr>
    </w:lvl>
  </w:abstractNum>
  <w:abstractNum w:abstractNumId="17">
    <w:nsid w:val="2C7001CF"/>
    <w:multiLevelType w:val="multilevel"/>
    <w:tmpl w:val="39F6E2BE"/>
    <w:lvl w:ilvl="0">
      <w:start w:val="2"/>
      <w:numFmt w:val="upperRoman"/>
      <w:lvlText w:val="%1."/>
      <w:lvlJc w:val="left"/>
      <w:pPr>
        <w:tabs>
          <w:tab w:val="num" w:pos="720"/>
        </w:tabs>
        <w:ind w:left="0" w:firstLine="0"/>
      </w:pPr>
      <w:rPr>
        <w:rFonts w:ascii="Times New Roman" w:hAnsi="Times New Roman" w:cs="Times New Roman" w:hint="default"/>
        <w:b/>
        <w:i w:val="0"/>
        <w:caps/>
        <w:smallCaps w:val="0"/>
        <w:strike w:val="0"/>
        <w:dstrike w:val="0"/>
        <w:sz w:val="24"/>
        <w:u w:val="none"/>
        <w:effect w:val="none"/>
      </w:rPr>
    </w:lvl>
    <w:lvl w:ilvl="1">
      <w:start w:val="7"/>
      <w:numFmt w:val="decimal"/>
      <w:lvlText w:val="%2."/>
      <w:lvlJc w:val="left"/>
      <w:pPr>
        <w:tabs>
          <w:tab w:val="num" w:pos="1440"/>
        </w:tabs>
        <w:ind w:left="0" w:firstLine="720"/>
      </w:pPr>
      <w:rPr>
        <w:b w:val="0"/>
        <w:i w:val="0"/>
        <w:caps w:val="0"/>
        <w:strike w:val="0"/>
        <w:dstrike w:val="0"/>
        <w:sz w:val="24"/>
        <w:u w:val="none"/>
        <w:effect w:val="none"/>
      </w:rPr>
    </w:lvl>
    <w:lvl w:ilvl="2">
      <w:start w:val="1"/>
      <w:numFmt w:val="lowerLetter"/>
      <w:lvlText w:val="%3."/>
      <w:lvlJc w:val="left"/>
      <w:pPr>
        <w:tabs>
          <w:tab w:val="num" w:pos="2160"/>
        </w:tabs>
        <w:ind w:left="0" w:firstLine="1440"/>
      </w:pPr>
      <w:rPr>
        <w:rFonts w:ascii="Times New Roman" w:hAnsi="Times New Roman" w:cs="Times New Roman" w:hint="default"/>
        <w:b w:val="0"/>
        <w:i w:val="0"/>
        <w:caps w:val="0"/>
        <w:strike w:val="0"/>
        <w:dstrike w:val="0"/>
        <w:sz w:val="24"/>
        <w:u w:val="none"/>
        <w:effect w:val="none"/>
      </w:rPr>
    </w:lvl>
    <w:lvl w:ilvl="3">
      <w:start w:val="1"/>
      <w:numFmt w:val="decimal"/>
      <w:lvlRestart w:val="0"/>
      <w:lvlText w:val="(%4)"/>
      <w:lvlJc w:val="left"/>
      <w:pPr>
        <w:tabs>
          <w:tab w:val="num" w:pos="2880"/>
        </w:tabs>
        <w:ind w:left="0" w:firstLine="2160"/>
      </w:pPr>
      <w:rPr>
        <w:rFonts w:ascii="Times New Roman" w:hAnsi="Times New Roman" w:cs="Times New Roman" w:hint="default"/>
        <w:b w:val="0"/>
        <w:i w:val="0"/>
        <w:caps w:val="0"/>
        <w:strike w:val="0"/>
        <w:dstrike w:val="0"/>
        <w:sz w:val="24"/>
        <w:u w:val="none"/>
        <w:effect w:val="none"/>
      </w:rPr>
    </w:lvl>
    <w:lvl w:ilvl="4">
      <w:start w:val="1"/>
      <w:numFmt w:val="lowerLetter"/>
      <w:lvlText w:val="(%5)"/>
      <w:lvlJc w:val="left"/>
      <w:pPr>
        <w:tabs>
          <w:tab w:val="num" w:pos="3600"/>
        </w:tabs>
        <w:ind w:left="3600" w:hanging="720"/>
      </w:pPr>
      <w:rPr>
        <w:rFonts w:ascii="Times New Roman" w:hAnsi="Times New Roman" w:cs="Times New Roman" w:hint="default"/>
        <w:b w:val="0"/>
        <w:i w:val="0"/>
        <w:caps w:val="0"/>
        <w:strike w:val="0"/>
        <w:dstrike w:val="0"/>
        <w:sz w:val="24"/>
        <w:u w:val="none"/>
        <w:effect w:val="none"/>
      </w:rPr>
    </w:lvl>
    <w:lvl w:ilvl="5">
      <w:start w:val="1"/>
      <w:numFmt w:val="upperLetter"/>
      <w:lvlRestart w:val="0"/>
      <w:lvlText w:val="APPENDIX %6"/>
      <w:lvlJc w:val="left"/>
      <w:pPr>
        <w:tabs>
          <w:tab w:val="num" w:pos="2880"/>
        </w:tabs>
        <w:ind w:left="0" w:firstLine="0"/>
      </w:pPr>
      <w:rPr>
        <w:rFonts w:ascii="Times New Roman" w:hAnsi="Times New Roman" w:cs="Times New Roman" w:hint="default"/>
        <w:b/>
        <w:i w:val="0"/>
        <w:caps w:val="0"/>
        <w:strike w:val="0"/>
        <w:dstrike w:val="0"/>
        <w:sz w:val="24"/>
        <w:u w:val="none"/>
        <w:effect w:val="none"/>
      </w:rPr>
    </w:lvl>
    <w:lvl w:ilvl="6">
      <w:start w:val="1"/>
      <w:numFmt w:val="decimal"/>
      <w:lvlText w:val="(%7)"/>
      <w:lvlJc w:val="left"/>
      <w:pPr>
        <w:tabs>
          <w:tab w:val="num" w:pos="5040"/>
        </w:tabs>
        <w:ind w:left="0" w:firstLine="4320"/>
      </w:pPr>
      <w:rPr>
        <w:rFonts w:ascii="Times New Roman" w:hAnsi="Times New Roman" w:cs="Times New Roman" w:hint="default"/>
        <w:b w:val="0"/>
        <w:i w:val="0"/>
        <w:caps w:val="0"/>
        <w:strike w:val="0"/>
        <w:dstrike w:val="0"/>
        <w:sz w:val="24"/>
        <w:u w:val="none"/>
        <w:effect w:val="none"/>
      </w:rPr>
    </w:lvl>
    <w:lvl w:ilvl="7">
      <w:start w:val="1"/>
      <w:numFmt w:val="lowerRoman"/>
      <w:lvlText w:val="%8)"/>
      <w:lvlJc w:val="left"/>
      <w:pPr>
        <w:tabs>
          <w:tab w:val="num" w:pos="5760"/>
        </w:tabs>
        <w:ind w:left="0" w:firstLine="5040"/>
      </w:pPr>
      <w:rPr>
        <w:rFonts w:ascii="Times New Roman" w:hAnsi="Times New Roman" w:cs="Times New Roman" w:hint="default"/>
        <w:b w:val="0"/>
        <w:i w:val="0"/>
        <w:caps w:val="0"/>
        <w:strike w:val="0"/>
        <w:dstrike w:val="0"/>
        <w:sz w:val="24"/>
        <w:u w:val="none"/>
        <w:effect w:val="none"/>
      </w:rPr>
    </w:lvl>
    <w:lvl w:ilvl="8">
      <w:start w:val="1"/>
      <w:numFmt w:val="lowerLetter"/>
      <w:lvlText w:val="%9)"/>
      <w:lvlJc w:val="left"/>
      <w:pPr>
        <w:tabs>
          <w:tab w:val="num" w:pos="6480"/>
        </w:tabs>
        <w:ind w:left="0" w:firstLine="5760"/>
      </w:pPr>
      <w:rPr>
        <w:rFonts w:ascii="Times New Roman" w:hAnsi="Times New Roman" w:cs="Times New Roman" w:hint="default"/>
        <w:b w:val="0"/>
        <w:i w:val="0"/>
        <w:caps w:val="0"/>
        <w:strike w:val="0"/>
        <w:dstrike w:val="0"/>
        <w:sz w:val="24"/>
        <w:u w:val="none"/>
        <w:effect w:val="none"/>
      </w:rPr>
    </w:lvl>
  </w:abstractNum>
  <w:abstractNum w:abstractNumId="18">
    <w:nsid w:val="38F41842"/>
    <w:multiLevelType w:val="hybridMultilevel"/>
    <w:tmpl w:val="929AAE3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3EA73FAE"/>
    <w:multiLevelType w:val="hybridMultilevel"/>
    <w:tmpl w:val="2C646A3E"/>
    <w:lvl w:ilvl="0" w:tplc="5A36334C">
      <w:start w:val="1"/>
      <w:numFmt w:val="upperRoman"/>
      <w:pStyle w:val="Heading2"/>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F267F8"/>
    <w:multiLevelType w:val="multilevel"/>
    <w:tmpl w:val="C624DF8E"/>
    <w:lvl w:ilvl="0">
      <w:start w:val="2"/>
      <w:numFmt w:val="upperRoman"/>
      <w:lvlText w:val="%1."/>
      <w:lvlJc w:val="left"/>
      <w:pPr>
        <w:tabs>
          <w:tab w:val="num" w:pos="720"/>
        </w:tabs>
        <w:ind w:left="0" w:firstLine="0"/>
      </w:pPr>
      <w:rPr>
        <w:rFonts w:ascii="Times New Roman" w:hAnsi="Times New Roman" w:cs="Times New Roman" w:hint="default"/>
        <w:b/>
        <w:i w:val="0"/>
        <w:caps/>
        <w:smallCaps w:val="0"/>
        <w:strike w:val="0"/>
        <w:dstrike w:val="0"/>
        <w:sz w:val="24"/>
        <w:u w:val="none"/>
        <w:effect w:val="none"/>
      </w:rPr>
    </w:lvl>
    <w:lvl w:ilvl="1">
      <w:start w:val="1"/>
      <w:numFmt w:val="decimal"/>
      <w:lvlText w:val="(%2)"/>
      <w:lvlJc w:val="left"/>
      <w:pPr>
        <w:tabs>
          <w:tab w:val="num" w:pos="3060"/>
        </w:tabs>
        <w:ind w:left="1620" w:firstLine="720"/>
      </w:pPr>
      <w:rPr>
        <w:b w:val="0"/>
        <w:i w:val="0"/>
        <w:caps w:val="0"/>
        <w:strike w:val="0"/>
        <w:dstrike w:val="0"/>
        <w:sz w:val="24"/>
        <w:u w:val="none"/>
        <w:effect w:val="none"/>
      </w:rPr>
    </w:lvl>
    <w:lvl w:ilvl="2">
      <w:start w:val="1"/>
      <w:numFmt w:val="lowerLetter"/>
      <w:lvlText w:val="%3."/>
      <w:lvlJc w:val="left"/>
      <w:pPr>
        <w:tabs>
          <w:tab w:val="num" w:pos="2160"/>
        </w:tabs>
        <w:ind w:left="0" w:firstLine="1440"/>
      </w:pPr>
      <w:rPr>
        <w:rFonts w:ascii="Times New Roman" w:hAnsi="Times New Roman" w:cs="Times New Roman" w:hint="default"/>
        <w:b w:val="0"/>
        <w:i w:val="0"/>
        <w:caps w:val="0"/>
        <w:strike w:val="0"/>
        <w:dstrike w:val="0"/>
        <w:sz w:val="24"/>
        <w:u w:val="none"/>
        <w:effect w:val="none"/>
      </w:rPr>
    </w:lvl>
    <w:lvl w:ilvl="3">
      <w:start w:val="1"/>
      <w:numFmt w:val="decimal"/>
      <w:lvlRestart w:val="0"/>
      <w:lvlText w:val="(%4)"/>
      <w:lvlJc w:val="left"/>
      <w:pPr>
        <w:tabs>
          <w:tab w:val="num" w:pos="2880"/>
        </w:tabs>
        <w:ind w:left="0" w:firstLine="2160"/>
      </w:pPr>
      <w:rPr>
        <w:rFonts w:ascii="Times New Roman" w:hAnsi="Times New Roman" w:cs="Times New Roman" w:hint="default"/>
        <w:b w:val="0"/>
        <w:i w:val="0"/>
        <w:caps w:val="0"/>
        <w:strike w:val="0"/>
        <w:dstrike w:val="0"/>
        <w:sz w:val="24"/>
        <w:u w:val="none"/>
        <w:effect w:val="none"/>
      </w:rPr>
    </w:lvl>
    <w:lvl w:ilvl="4">
      <w:start w:val="1"/>
      <w:numFmt w:val="lowerLetter"/>
      <w:lvlText w:val="(%5)"/>
      <w:lvlJc w:val="left"/>
      <w:pPr>
        <w:tabs>
          <w:tab w:val="num" w:pos="3600"/>
        </w:tabs>
        <w:ind w:left="3600" w:hanging="720"/>
      </w:pPr>
      <w:rPr>
        <w:rFonts w:ascii="Times New Roman" w:hAnsi="Times New Roman" w:cs="Times New Roman" w:hint="default"/>
        <w:b w:val="0"/>
        <w:i w:val="0"/>
        <w:caps w:val="0"/>
        <w:strike w:val="0"/>
        <w:dstrike w:val="0"/>
        <w:sz w:val="24"/>
        <w:u w:val="none"/>
        <w:effect w:val="none"/>
      </w:rPr>
    </w:lvl>
    <w:lvl w:ilvl="5">
      <w:start w:val="1"/>
      <w:numFmt w:val="upperLetter"/>
      <w:lvlRestart w:val="0"/>
      <w:lvlText w:val="APPENDIX %6"/>
      <w:lvlJc w:val="left"/>
      <w:pPr>
        <w:tabs>
          <w:tab w:val="num" w:pos="2880"/>
        </w:tabs>
        <w:ind w:left="0" w:firstLine="0"/>
      </w:pPr>
      <w:rPr>
        <w:rFonts w:ascii="Times New Roman" w:hAnsi="Times New Roman" w:cs="Times New Roman" w:hint="default"/>
        <w:b/>
        <w:i w:val="0"/>
        <w:caps w:val="0"/>
        <w:strike w:val="0"/>
        <w:dstrike w:val="0"/>
        <w:sz w:val="24"/>
        <w:u w:val="none"/>
        <w:effect w:val="none"/>
      </w:rPr>
    </w:lvl>
    <w:lvl w:ilvl="6">
      <w:start w:val="1"/>
      <w:numFmt w:val="decimal"/>
      <w:lvlText w:val="(%7)"/>
      <w:lvlJc w:val="left"/>
      <w:pPr>
        <w:tabs>
          <w:tab w:val="num" w:pos="5040"/>
        </w:tabs>
        <w:ind w:left="0" w:firstLine="4320"/>
      </w:pPr>
      <w:rPr>
        <w:rFonts w:ascii="Times New Roman" w:hAnsi="Times New Roman" w:cs="Times New Roman" w:hint="default"/>
        <w:b w:val="0"/>
        <w:i w:val="0"/>
        <w:caps w:val="0"/>
        <w:strike w:val="0"/>
        <w:dstrike w:val="0"/>
        <w:sz w:val="24"/>
        <w:u w:val="none"/>
        <w:effect w:val="none"/>
      </w:rPr>
    </w:lvl>
    <w:lvl w:ilvl="7">
      <w:start w:val="1"/>
      <w:numFmt w:val="lowerRoman"/>
      <w:lvlText w:val="%8)"/>
      <w:lvlJc w:val="left"/>
      <w:pPr>
        <w:tabs>
          <w:tab w:val="num" w:pos="5760"/>
        </w:tabs>
        <w:ind w:left="0" w:firstLine="5040"/>
      </w:pPr>
      <w:rPr>
        <w:rFonts w:ascii="Times New Roman" w:hAnsi="Times New Roman" w:cs="Times New Roman" w:hint="default"/>
        <w:b w:val="0"/>
        <w:i w:val="0"/>
        <w:caps w:val="0"/>
        <w:strike w:val="0"/>
        <w:dstrike w:val="0"/>
        <w:sz w:val="24"/>
        <w:u w:val="none"/>
        <w:effect w:val="none"/>
      </w:rPr>
    </w:lvl>
    <w:lvl w:ilvl="8">
      <w:start w:val="1"/>
      <w:numFmt w:val="lowerLetter"/>
      <w:lvlText w:val="%9)"/>
      <w:lvlJc w:val="left"/>
      <w:pPr>
        <w:tabs>
          <w:tab w:val="num" w:pos="6480"/>
        </w:tabs>
        <w:ind w:left="0" w:firstLine="5760"/>
      </w:pPr>
      <w:rPr>
        <w:rFonts w:ascii="Times New Roman" w:hAnsi="Times New Roman" w:cs="Times New Roman" w:hint="default"/>
        <w:b w:val="0"/>
        <w:i w:val="0"/>
        <w:caps w:val="0"/>
        <w:strike w:val="0"/>
        <w:dstrike w:val="0"/>
        <w:sz w:val="24"/>
        <w:u w:val="none"/>
        <w:effect w:val="none"/>
      </w:rPr>
    </w:lvl>
  </w:abstractNum>
  <w:abstractNum w:abstractNumId="21">
    <w:nsid w:val="4ACB214C"/>
    <w:multiLevelType w:val="hybridMultilevel"/>
    <w:tmpl w:val="21FE909C"/>
    <w:lvl w:ilvl="0" w:tplc="0409000F">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2">
    <w:nsid w:val="520B244E"/>
    <w:multiLevelType w:val="hybridMultilevel"/>
    <w:tmpl w:val="DBFA9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AF659C"/>
    <w:multiLevelType w:val="hybridMultilevel"/>
    <w:tmpl w:val="2E445B0E"/>
    <w:lvl w:ilvl="0" w:tplc="08482866">
      <w:start w:val="10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B42415"/>
    <w:multiLevelType w:val="hybridMultilevel"/>
    <w:tmpl w:val="180E282E"/>
    <w:lvl w:ilvl="0" w:tplc="C23ADEC0">
      <w:start w:val="1"/>
      <w:numFmt w:val="lowerRoman"/>
      <w:lvlText w:val="%1."/>
      <w:lvlJc w:val="left"/>
      <w:pPr>
        <w:ind w:left="2448" w:hanging="720"/>
      </w:pPr>
      <w:rPr>
        <w:rFonts w:eastAsia="Times New Roman" w:hint="default"/>
        <w:b w:val="0"/>
        <w:color w:val="333333"/>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25">
    <w:nsid w:val="566369DF"/>
    <w:multiLevelType w:val="hybridMultilevel"/>
    <w:tmpl w:val="BCE06D7C"/>
    <w:lvl w:ilvl="0" w:tplc="199A68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7051C9"/>
    <w:multiLevelType w:val="hybridMultilevel"/>
    <w:tmpl w:val="E662EADE"/>
    <w:lvl w:ilvl="0" w:tplc="F4226166">
      <w:start w:val="1"/>
      <w:numFmt w:val="upperLetter"/>
      <w:pStyle w:val="Heading3"/>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851F9C"/>
    <w:multiLevelType w:val="hybridMultilevel"/>
    <w:tmpl w:val="957E6A12"/>
    <w:lvl w:ilvl="0" w:tplc="E02A66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A320C45"/>
    <w:multiLevelType w:val="hybridMultilevel"/>
    <w:tmpl w:val="888C021C"/>
    <w:lvl w:ilvl="0" w:tplc="6038E3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5F520E8D"/>
    <w:multiLevelType w:val="hybridMultilevel"/>
    <w:tmpl w:val="F5380052"/>
    <w:lvl w:ilvl="0" w:tplc="C4DE324C">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2134D21"/>
    <w:multiLevelType w:val="hybridMultilevel"/>
    <w:tmpl w:val="6D46751E"/>
    <w:lvl w:ilvl="0" w:tplc="AA5C3932">
      <w:start w:val="5"/>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B237DC"/>
    <w:multiLevelType w:val="hybridMultilevel"/>
    <w:tmpl w:val="B50077FE"/>
    <w:lvl w:ilvl="0" w:tplc="0F84B704">
      <w:start w:val="5"/>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62E4D9E"/>
    <w:multiLevelType w:val="multilevel"/>
    <w:tmpl w:val="E33AA964"/>
    <w:lvl w:ilvl="0">
      <w:start w:val="2"/>
      <w:numFmt w:val="upperRoman"/>
      <w:lvlText w:val="%1."/>
      <w:lvlJc w:val="left"/>
      <w:pPr>
        <w:tabs>
          <w:tab w:val="num" w:pos="720"/>
        </w:tabs>
        <w:ind w:left="0" w:firstLine="0"/>
      </w:pPr>
      <w:rPr>
        <w:rFonts w:ascii="Times New Roman" w:hAnsi="Times New Roman" w:cs="Times New Roman" w:hint="default"/>
        <w:b/>
        <w:i w:val="0"/>
        <w:caps/>
        <w:smallCaps w:val="0"/>
        <w:strike w:val="0"/>
        <w:dstrike w:val="0"/>
        <w:sz w:val="24"/>
        <w:u w:val="none"/>
        <w:effect w:val="none"/>
      </w:rPr>
    </w:lvl>
    <w:lvl w:ilvl="1">
      <w:start w:val="9"/>
      <w:numFmt w:val="decimal"/>
      <w:lvlText w:val="%2."/>
      <w:lvlJc w:val="left"/>
      <w:pPr>
        <w:tabs>
          <w:tab w:val="num" w:pos="1440"/>
        </w:tabs>
        <w:ind w:left="0" w:firstLine="720"/>
      </w:pPr>
      <w:rPr>
        <w:b w:val="0"/>
        <w:i w:val="0"/>
        <w:caps w:val="0"/>
        <w:strike w:val="0"/>
        <w:dstrike w:val="0"/>
        <w:sz w:val="24"/>
        <w:u w:val="none"/>
        <w:effect w:val="none"/>
      </w:rPr>
    </w:lvl>
    <w:lvl w:ilvl="2">
      <w:start w:val="1"/>
      <w:numFmt w:val="lowerLetter"/>
      <w:lvlText w:val="%3."/>
      <w:lvlJc w:val="left"/>
      <w:pPr>
        <w:tabs>
          <w:tab w:val="num" w:pos="2160"/>
        </w:tabs>
        <w:ind w:left="0" w:firstLine="1440"/>
      </w:pPr>
      <w:rPr>
        <w:rFonts w:ascii="Times New Roman" w:hAnsi="Times New Roman" w:cs="Times New Roman" w:hint="default"/>
        <w:b w:val="0"/>
        <w:i w:val="0"/>
        <w:caps w:val="0"/>
        <w:strike w:val="0"/>
        <w:dstrike w:val="0"/>
        <w:sz w:val="24"/>
        <w:u w:val="none"/>
        <w:effect w:val="none"/>
      </w:rPr>
    </w:lvl>
    <w:lvl w:ilvl="3">
      <w:start w:val="1"/>
      <w:numFmt w:val="decimal"/>
      <w:lvlRestart w:val="0"/>
      <w:lvlText w:val="(%4)"/>
      <w:lvlJc w:val="left"/>
      <w:pPr>
        <w:tabs>
          <w:tab w:val="num" w:pos="2880"/>
        </w:tabs>
        <w:ind w:left="0" w:firstLine="2160"/>
      </w:pPr>
      <w:rPr>
        <w:rFonts w:ascii="Times New Roman" w:hAnsi="Times New Roman" w:cs="Times New Roman" w:hint="default"/>
        <w:b w:val="0"/>
        <w:i w:val="0"/>
        <w:caps w:val="0"/>
        <w:strike w:val="0"/>
        <w:dstrike w:val="0"/>
        <w:sz w:val="24"/>
        <w:u w:val="none"/>
        <w:effect w:val="none"/>
      </w:rPr>
    </w:lvl>
    <w:lvl w:ilvl="4">
      <w:start w:val="1"/>
      <w:numFmt w:val="lowerLetter"/>
      <w:lvlText w:val="(%5)"/>
      <w:lvlJc w:val="left"/>
      <w:pPr>
        <w:tabs>
          <w:tab w:val="num" w:pos="3600"/>
        </w:tabs>
        <w:ind w:left="3600" w:hanging="720"/>
      </w:pPr>
      <w:rPr>
        <w:rFonts w:ascii="Times New Roman" w:hAnsi="Times New Roman" w:cs="Times New Roman" w:hint="default"/>
        <w:b w:val="0"/>
        <w:i w:val="0"/>
        <w:caps w:val="0"/>
        <w:strike w:val="0"/>
        <w:dstrike w:val="0"/>
        <w:sz w:val="24"/>
        <w:u w:val="none"/>
        <w:effect w:val="none"/>
      </w:rPr>
    </w:lvl>
    <w:lvl w:ilvl="5">
      <w:start w:val="1"/>
      <w:numFmt w:val="upperLetter"/>
      <w:lvlRestart w:val="0"/>
      <w:lvlText w:val="APPENDIX %6"/>
      <w:lvlJc w:val="left"/>
      <w:pPr>
        <w:tabs>
          <w:tab w:val="num" w:pos="2880"/>
        </w:tabs>
        <w:ind w:left="0" w:firstLine="0"/>
      </w:pPr>
      <w:rPr>
        <w:rFonts w:ascii="Times New Roman" w:hAnsi="Times New Roman" w:cs="Times New Roman" w:hint="default"/>
        <w:b/>
        <w:i w:val="0"/>
        <w:caps w:val="0"/>
        <w:strike w:val="0"/>
        <w:dstrike w:val="0"/>
        <w:sz w:val="24"/>
        <w:u w:val="none"/>
        <w:effect w:val="none"/>
      </w:rPr>
    </w:lvl>
    <w:lvl w:ilvl="6">
      <w:start w:val="1"/>
      <w:numFmt w:val="decimal"/>
      <w:lvlText w:val="(%7)"/>
      <w:lvlJc w:val="left"/>
      <w:pPr>
        <w:tabs>
          <w:tab w:val="num" w:pos="5040"/>
        </w:tabs>
        <w:ind w:left="0" w:firstLine="4320"/>
      </w:pPr>
      <w:rPr>
        <w:rFonts w:ascii="Times New Roman" w:hAnsi="Times New Roman" w:cs="Times New Roman" w:hint="default"/>
        <w:b w:val="0"/>
        <w:i w:val="0"/>
        <w:caps w:val="0"/>
        <w:strike w:val="0"/>
        <w:dstrike w:val="0"/>
        <w:sz w:val="24"/>
        <w:u w:val="none"/>
        <w:effect w:val="none"/>
      </w:rPr>
    </w:lvl>
    <w:lvl w:ilvl="7">
      <w:start w:val="1"/>
      <w:numFmt w:val="lowerRoman"/>
      <w:lvlText w:val="%8)"/>
      <w:lvlJc w:val="left"/>
      <w:pPr>
        <w:tabs>
          <w:tab w:val="num" w:pos="5760"/>
        </w:tabs>
        <w:ind w:left="0" w:firstLine="5040"/>
      </w:pPr>
      <w:rPr>
        <w:rFonts w:ascii="Times New Roman" w:hAnsi="Times New Roman" w:cs="Times New Roman" w:hint="default"/>
        <w:b w:val="0"/>
        <w:i w:val="0"/>
        <w:caps w:val="0"/>
        <w:strike w:val="0"/>
        <w:dstrike w:val="0"/>
        <w:sz w:val="24"/>
        <w:u w:val="none"/>
        <w:effect w:val="none"/>
      </w:rPr>
    </w:lvl>
    <w:lvl w:ilvl="8">
      <w:start w:val="1"/>
      <w:numFmt w:val="lowerLetter"/>
      <w:lvlText w:val="%9)"/>
      <w:lvlJc w:val="left"/>
      <w:pPr>
        <w:tabs>
          <w:tab w:val="num" w:pos="6480"/>
        </w:tabs>
        <w:ind w:left="0" w:firstLine="5760"/>
      </w:pPr>
      <w:rPr>
        <w:rFonts w:ascii="Times New Roman" w:hAnsi="Times New Roman" w:cs="Times New Roman" w:hint="default"/>
        <w:b w:val="0"/>
        <w:i w:val="0"/>
        <w:caps w:val="0"/>
        <w:strike w:val="0"/>
        <w:dstrike w:val="0"/>
        <w:sz w:val="24"/>
        <w:u w:val="none"/>
        <w:effect w:val="none"/>
      </w:rPr>
    </w:lvl>
  </w:abstractNum>
  <w:abstractNum w:abstractNumId="33">
    <w:nsid w:val="68572A18"/>
    <w:multiLevelType w:val="hybridMultilevel"/>
    <w:tmpl w:val="14648AB2"/>
    <w:lvl w:ilvl="0" w:tplc="3BCC4D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4AA7830"/>
    <w:multiLevelType w:val="hybridMultilevel"/>
    <w:tmpl w:val="FAA8B1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C918BD"/>
    <w:multiLevelType w:val="hybridMultilevel"/>
    <w:tmpl w:val="7C263EF0"/>
    <w:lvl w:ilvl="0" w:tplc="901C0D8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4F11BB1"/>
    <w:multiLevelType w:val="hybridMultilevel"/>
    <w:tmpl w:val="E08E29B4"/>
    <w:lvl w:ilvl="0" w:tplc="6CF0AC2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nsid w:val="778925F2"/>
    <w:multiLevelType w:val="hybridMultilevel"/>
    <w:tmpl w:val="1A849D3C"/>
    <w:lvl w:ilvl="0" w:tplc="1CF2EF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781517A8"/>
    <w:multiLevelType w:val="hybridMultilevel"/>
    <w:tmpl w:val="12800150"/>
    <w:lvl w:ilvl="0" w:tplc="E59C46AE">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7"/>
  </w:num>
  <w:num w:numId="3">
    <w:abstractNumId w:val="22"/>
  </w:num>
  <w:num w:numId="4">
    <w:abstractNumId w:val="27"/>
  </w:num>
  <w:num w:numId="5">
    <w:abstractNumId w:val="1"/>
  </w:num>
  <w:num w:numId="6">
    <w:abstractNumId w:val="21"/>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1"/>
  </w:num>
  <w:num w:numId="10">
    <w:abstractNumId w:val="29"/>
  </w:num>
  <w:num w:numId="11">
    <w:abstractNumId w:val="31"/>
  </w:num>
  <w:num w:numId="12">
    <w:abstractNumId w:val="30"/>
  </w:num>
  <w:num w:numId="13">
    <w:abstractNumId w:val="12"/>
  </w:num>
  <w:num w:numId="14">
    <w:abstractNumId w:val="19"/>
  </w:num>
  <w:num w:numId="15">
    <w:abstractNumId w:val="9"/>
  </w:num>
  <w:num w:numId="16">
    <w:abstractNumId w:val="38"/>
  </w:num>
  <w:num w:numId="17">
    <w:abstractNumId w:val="24"/>
  </w:num>
  <w:num w:numId="18">
    <w:abstractNumId w:val="4"/>
  </w:num>
  <w:num w:numId="19">
    <w:abstractNumId w:val="28"/>
  </w:num>
  <w:num w:numId="20">
    <w:abstractNumId w:val="26"/>
  </w:num>
  <w:num w:numId="21">
    <w:abstractNumId w:val="17"/>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2"/>
    </w:lvlOverride>
    <w:lvlOverride w:ilvl="1">
      <w:startOverride w:val="1"/>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2"/>
    </w:lvlOverride>
    <w:lvlOverride w:ilvl="1">
      <w:startOverride w:val="8"/>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3"/>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13"/>
  </w:num>
  <w:num w:numId="29">
    <w:abstractNumId w:val="10"/>
  </w:num>
  <w:num w:numId="30">
    <w:abstractNumId w:val="37"/>
  </w:num>
  <w:num w:numId="31">
    <w:abstractNumId w:val="15"/>
  </w:num>
  <w:num w:numId="32">
    <w:abstractNumId w:val="23"/>
  </w:num>
  <w:num w:numId="33">
    <w:abstractNumId w:val="2"/>
  </w:num>
  <w:num w:numId="34">
    <w:abstractNumId w:val="5"/>
  </w:num>
  <w:num w:numId="35">
    <w:abstractNumId w:val="35"/>
  </w:num>
  <w:num w:numId="36">
    <w:abstractNumId w:val="14"/>
  </w:num>
  <w:num w:numId="37">
    <w:abstractNumId w:val="0"/>
  </w:num>
  <w:num w:numId="38">
    <w:abstractNumId w:val="25"/>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A4630"/>
    <w:rsid w:val="00011700"/>
    <w:rsid w:val="00014464"/>
    <w:rsid w:val="00016438"/>
    <w:rsid w:val="000206CB"/>
    <w:rsid w:val="00022757"/>
    <w:rsid w:val="0002499E"/>
    <w:rsid w:val="000308C0"/>
    <w:rsid w:val="000472F6"/>
    <w:rsid w:val="00050402"/>
    <w:rsid w:val="0005341C"/>
    <w:rsid w:val="00063976"/>
    <w:rsid w:val="00066CF2"/>
    <w:rsid w:val="00066E24"/>
    <w:rsid w:val="00067490"/>
    <w:rsid w:val="000675EE"/>
    <w:rsid w:val="000729DB"/>
    <w:rsid w:val="00075342"/>
    <w:rsid w:val="000756F7"/>
    <w:rsid w:val="00080508"/>
    <w:rsid w:val="00084569"/>
    <w:rsid w:val="00086CF2"/>
    <w:rsid w:val="00092467"/>
    <w:rsid w:val="00094C09"/>
    <w:rsid w:val="000A5AB9"/>
    <w:rsid w:val="000A6D30"/>
    <w:rsid w:val="000B2ABA"/>
    <w:rsid w:val="000B41A5"/>
    <w:rsid w:val="000B4678"/>
    <w:rsid w:val="000B4A07"/>
    <w:rsid w:val="000B6131"/>
    <w:rsid w:val="000B692E"/>
    <w:rsid w:val="000B6BF3"/>
    <w:rsid w:val="000C32E8"/>
    <w:rsid w:val="000D6055"/>
    <w:rsid w:val="000E389C"/>
    <w:rsid w:val="000E70B1"/>
    <w:rsid w:val="000F06E6"/>
    <w:rsid w:val="000F07A9"/>
    <w:rsid w:val="000F1810"/>
    <w:rsid w:val="000F5BDD"/>
    <w:rsid w:val="000F6117"/>
    <w:rsid w:val="000F64CB"/>
    <w:rsid w:val="000F6DED"/>
    <w:rsid w:val="00106EA6"/>
    <w:rsid w:val="001132DA"/>
    <w:rsid w:val="00113BC1"/>
    <w:rsid w:val="00120504"/>
    <w:rsid w:val="00124E52"/>
    <w:rsid w:val="001268FD"/>
    <w:rsid w:val="00126ECD"/>
    <w:rsid w:val="00134973"/>
    <w:rsid w:val="00135824"/>
    <w:rsid w:val="00135D70"/>
    <w:rsid w:val="001404FC"/>
    <w:rsid w:val="001409B0"/>
    <w:rsid w:val="00146FB3"/>
    <w:rsid w:val="001501A4"/>
    <w:rsid w:val="001607BF"/>
    <w:rsid w:val="00162362"/>
    <w:rsid w:val="0016388D"/>
    <w:rsid w:val="001673EF"/>
    <w:rsid w:val="0016789A"/>
    <w:rsid w:val="001726F1"/>
    <w:rsid w:val="001731AC"/>
    <w:rsid w:val="00173867"/>
    <w:rsid w:val="001739A7"/>
    <w:rsid w:val="00180C15"/>
    <w:rsid w:val="00182443"/>
    <w:rsid w:val="001845B2"/>
    <w:rsid w:val="0018538A"/>
    <w:rsid w:val="001858E8"/>
    <w:rsid w:val="00192B67"/>
    <w:rsid w:val="00196775"/>
    <w:rsid w:val="001A1086"/>
    <w:rsid w:val="001A17F8"/>
    <w:rsid w:val="001A1A57"/>
    <w:rsid w:val="001A63E2"/>
    <w:rsid w:val="001B5AE1"/>
    <w:rsid w:val="001C180A"/>
    <w:rsid w:val="001C311E"/>
    <w:rsid w:val="001C68D6"/>
    <w:rsid w:val="001C7FA1"/>
    <w:rsid w:val="001D4D60"/>
    <w:rsid w:val="001D6DF8"/>
    <w:rsid w:val="001E0FE6"/>
    <w:rsid w:val="001E2E66"/>
    <w:rsid w:val="001E5878"/>
    <w:rsid w:val="001E5FF8"/>
    <w:rsid w:val="001E6FB2"/>
    <w:rsid w:val="001E79F1"/>
    <w:rsid w:val="001F423D"/>
    <w:rsid w:val="001F5583"/>
    <w:rsid w:val="001F616F"/>
    <w:rsid w:val="00200D06"/>
    <w:rsid w:val="002031C9"/>
    <w:rsid w:val="00205C55"/>
    <w:rsid w:val="002151A1"/>
    <w:rsid w:val="00216FA8"/>
    <w:rsid w:val="002221DC"/>
    <w:rsid w:val="00227D07"/>
    <w:rsid w:val="002303B7"/>
    <w:rsid w:val="00232802"/>
    <w:rsid w:val="00233511"/>
    <w:rsid w:val="0023407C"/>
    <w:rsid w:val="00234BC5"/>
    <w:rsid w:val="00235AD5"/>
    <w:rsid w:val="00236B78"/>
    <w:rsid w:val="00240A74"/>
    <w:rsid w:val="00244934"/>
    <w:rsid w:val="002451DD"/>
    <w:rsid w:val="00246105"/>
    <w:rsid w:val="00247C5C"/>
    <w:rsid w:val="00251F8F"/>
    <w:rsid w:val="002609EE"/>
    <w:rsid w:val="0026651D"/>
    <w:rsid w:val="002670F1"/>
    <w:rsid w:val="002755DE"/>
    <w:rsid w:val="00281278"/>
    <w:rsid w:val="002819B2"/>
    <w:rsid w:val="00282235"/>
    <w:rsid w:val="00283323"/>
    <w:rsid w:val="00283732"/>
    <w:rsid w:val="00286A4E"/>
    <w:rsid w:val="002942AD"/>
    <w:rsid w:val="00297269"/>
    <w:rsid w:val="002A59C7"/>
    <w:rsid w:val="002A7064"/>
    <w:rsid w:val="002A7B2D"/>
    <w:rsid w:val="002B0F8D"/>
    <w:rsid w:val="002B172B"/>
    <w:rsid w:val="002B3955"/>
    <w:rsid w:val="002B51A2"/>
    <w:rsid w:val="002B6627"/>
    <w:rsid w:val="002B7F36"/>
    <w:rsid w:val="002C0751"/>
    <w:rsid w:val="002C09F1"/>
    <w:rsid w:val="002C429A"/>
    <w:rsid w:val="002C4445"/>
    <w:rsid w:val="002C4670"/>
    <w:rsid w:val="002C6652"/>
    <w:rsid w:val="002C7CC1"/>
    <w:rsid w:val="002D242A"/>
    <w:rsid w:val="002D6337"/>
    <w:rsid w:val="002E0744"/>
    <w:rsid w:val="002E6532"/>
    <w:rsid w:val="002F096F"/>
    <w:rsid w:val="002F20B2"/>
    <w:rsid w:val="002F2AEA"/>
    <w:rsid w:val="002F3C11"/>
    <w:rsid w:val="002F419A"/>
    <w:rsid w:val="002F6330"/>
    <w:rsid w:val="002F6C97"/>
    <w:rsid w:val="0030098B"/>
    <w:rsid w:val="00302C34"/>
    <w:rsid w:val="003068F7"/>
    <w:rsid w:val="003074E3"/>
    <w:rsid w:val="003107C4"/>
    <w:rsid w:val="00321F3E"/>
    <w:rsid w:val="00321F88"/>
    <w:rsid w:val="00322EC1"/>
    <w:rsid w:val="0032301C"/>
    <w:rsid w:val="0032437A"/>
    <w:rsid w:val="00326D43"/>
    <w:rsid w:val="00334401"/>
    <w:rsid w:val="00335AA7"/>
    <w:rsid w:val="00335BF4"/>
    <w:rsid w:val="003362C2"/>
    <w:rsid w:val="0033784A"/>
    <w:rsid w:val="003429E6"/>
    <w:rsid w:val="00343F3D"/>
    <w:rsid w:val="00346C6C"/>
    <w:rsid w:val="003472CD"/>
    <w:rsid w:val="00350CE1"/>
    <w:rsid w:val="00354960"/>
    <w:rsid w:val="003559CA"/>
    <w:rsid w:val="00356D66"/>
    <w:rsid w:val="00357323"/>
    <w:rsid w:val="00357564"/>
    <w:rsid w:val="00361B5F"/>
    <w:rsid w:val="003622E9"/>
    <w:rsid w:val="003629E4"/>
    <w:rsid w:val="00362E50"/>
    <w:rsid w:val="003649F8"/>
    <w:rsid w:val="003660C4"/>
    <w:rsid w:val="00367F85"/>
    <w:rsid w:val="0037072F"/>
    <w:rsid w:val="0037235D"/>
    <w:rsid w:val="00375DB4"/>
    <w:rsid w:val="00376CE0"/>
    <w:rsid w:val="00380355"/>
    <w:rsid w:val="003869D4"/>
    <w:rsid w:val="00394302"/>
    <w:rsid w:val="00394797"/>
    <w:rsid w:val="003A0598"/>
    <w:rsid w:val="003A1EEA"/>
    <w:rsid w:val="003A60C4"/>
    <w:rsid w:val="003B0D34"/>
    <w:rsid w:val="003C0FD9"/>
    <w:rsid w:val="003C10EC"/>
    <w:rsid w:val="003C2FC0"/>
    <w:rsid w:val="003C525A"/>
    <w:rsid w:val="003C5567"/>
    <w:rsid w:val="003D0160"/>
    <w:rsid w:val="003D05D0"/>
    <w:rsid w:val="003D2471"/>
    <w:rsid w:val="003D4003"/>
    <w:rsid w:val="003D431B"/>
    <w:rsid w:val="003D56FF"/>
    <w:rsid w:val="003E2171"/>
    <w:rsid w:val="003E587B"/>
    <w:rsid w:val="003F0FAC"/>
    <w:rsid w:val="003F45DE"/>
    <w:rsid w:val="003F6255"/>
    <w:rsid w:val="003F6CA2"/>
    <w:rsid w:val="003F6DB5"/>
    <w:rsid w:val="003F7C14"/>
    <w:rsid w:val="0041041C"/>
    <w:rsid w:val="00413F99"/>
    <w:rsid w:val="00415EA9"/>
    <w:rsid w:val="00422C52"/>
    <w:rsid w:val="004235D4"/>
    <w:rsid w:val="00424276"/>
    <w:rsid w:val="00425998"/>
    <w:rsid w:val="00432543"/>
    <w:rsid w:val="004362D6"/>
    <w:rsid w:val="00440D73"/>
    <w:rsid w:val="004416A2"/>
    <w:rsid w:val="004417AC"/>
    <w:rsid w:val="004427F7"/>
    <w:rsid w:val="004501B3"/>
    <w:rsid w:val="00452C3F"/>
    <w:rsid w:val="00454315"/>
    <w:rsid w:val="00455E73"/>
    <w:rsid w:val="00457940"/>
    <w:rsid w:val="00462690"/>
    <w:rsid w:val="004633C8"/>
    <w:rsid w:val="00463433"/>
    <w:rsid w:val="004639B6"/>
    <w:rsid w:val="0046417C"/>
    <w:rsid w:val="00465C1A"/>
    <w:rsid w:val="004665C7"/>
    <w:rsid w:val="004711FA"/>
    <w:rsid w:val="00471AB8"/>
    <w:rsid w:val="0047221A"/>
    <w:rsid w:val="0047723D"/>
    <w:rsid w:val="004772C7"/>
    <w:rsid w:val="00482A13"/>
    <w:rsid w:val="00483E94"/>
    <w:rsid w:val="00490F01"/>
    <w:rsid w:val="00492C61"/>
    <w:rsid w:val="00494266"/>
    <w:rsid w:val="004949F6"/>
    <w:rsid w:val="004952FE"/>
    <w:rsid w:val="00497E89"/>
    <w:rsid w:val="004A09E3"/>
    <w:rsid w:val="004A305B"/>
    <w:rsid w:val="004A691A"/>
    <w:rsid w:val="004B45DD"/>
    <w:rsid w:val="004B5B19"/>
    <w:rsid w:val="004B7DD3"/>
    <w:rsid w:val="004C023F"/>
    <w:rsid w:val="004C3F79"/>
    <w:rsid w:val="004C5127"/>
    <w:rsid w:val="004D0836"/>
    <w:rsid w:val="004D3D92"/>
    <w:rsid w:val="004D3E30"/>
    <w:rsid w:val="004D6054"/>
    <w:rsid w:val="004D6C24"/>
    <w:rsid w:val="004E06A5"/>
    <w:rsid w:val="004E152D"/>
    <w:rsid w:val="004E1BE6"/>
    <w:rsid w:val="004E3196"/>
    <w:rsid w:val="004E50A1"/>
    <w:rsid w:val="004F4640"/>
    <w:rsid w:val="004F7C7A"/>
    <w:rsid w:val="00502115"/>
    <w:rsid w:val="00503DA2"/>
    <w:rsid w:val="00511359"/>
    <w:rsid w:val="00512EB7"/>
    <w:rsid w:val="00513F90"/>
    <w:rsid w:val="00515D42"/>
    <w:rsid w:val="005301D1"/>
    <w:rsid w:val="0053617F"/>
    <w:rsid w:val="00537D7F"/>
    <w:rsid w:val="005466EC"/>
    <w:rsid w:val="00547900"/>
    <w:rsid w:val="005516D1"/>
    <w:rsid w:val="00555F0A"/>
    <w:rsid w:val="0056027D"/>
    <w:rsid w:val="00560E73"/>
    <w:rsid w:val="00564EEA"/>
    <w:rsid w:val="005701E2"/>
    <w:rsid w:val="00570E2D"/>
    <w:rsid w:val="00570F78"/>
    <w:rsid w:val="00571741"/>
    <w:rsid w:val="00576029"/>
    <w:rsid w:val="00581713"/>
    <w:rsid w:val="00583262"/>
    <w:rsid w:val="00583349"/>
    <w:rsid w:val="00585D4D"/>
    <w:rsid w:val="00587524"/>
    <w:rsid w:val="00594115"/>
    <w:rsid w:val="0059660B"/>
    <w:rsid w:val="00597FA0"/>
    <w:rsid w:val="005A3F0A"/>
    <w:rsid w:val="005B3518"/>
    <w:rsid w:val="005B3683"/>
    <w:rsid w:val="005B3A8B"/>
    <w:rsid w:val="005B5B09"/>
    <w:rsid w:val="005C4163"/>
    <w:rsid w:val="005C4B9C"/>
    <w:rsid w:val="005C5DF2"/>
    <w:rsid w:val="005C7A5C"/>
    <w:rsid w:val="005D1033"/>
    <w:rsid w:val="005D1AFF"/>
    <w:rsid w:val="005D4AE3"/>
    <w:rsid w:val="005D66DA"/>
    <w:rsid w:val="005E30DB"/>
    <w:rsid w:val="005E6253"/>
    <w:rsid w:val="005F1840"/>
    <w:rsid w:val="005F456B"/>
    <w:rsid w:val="005F6060"/>
    <w:rsid w:val="005F633D"/>
    <w:rsid w:val="0060346E"/>
    <w:rsid w:val="006109EE"/>
    <w:rsid w:val="006122A1"/>
    <w:rsid w:val="006129A5"/>
    <w:rsid w:val="0061757D"/>
    <w:rsid w:val="00621F5A"/>
    <w:rsid w:val="00623C99"/>
    <w:rsid w:val="006244D1"/>
    <w:rsid w:val="006248A1"/>
    <w:rsid w:val="00626130"/>
    <w:rsid w:val="00631021"/>
    <w:rsid w:val="00631B41"/>
    <w:rsid w:val="006345BA"/>
    <w:rsid w:val="0063474B"/>
    <w:rsid w:val="006351B4"/>
    <w:rsid w:val="00635E9B"/>
    <w:rsid w:val="00636FBB"/>
    <w:rsid w:val="00644719"/>
    <w:rsid w:val="00644B5E"/>
    <w:rsid w:val="006470ED"/>
    <w:rsid w:val="00650C7D"/>
    <w:rsid w:val="00654551"/>
    <w:rsid w:val="0065483D"/>
    <w:rsid w:val="006567A0"/>
    <w:rsid w:val="00656CCF"/>
    <w:rsid w:val="00665A1E"/>
    <w:rsid w:val="00667393"/>
    <w:rsid w:val="006772E3"/>
    <w:rsid w:val="00680F50"/>
    <w:rsid w:val="0068726F"/>
    <w:rsid w:val="006902CD"/>
    <w:rsid w:val="00691A00"/>
    <w:rsid w:val="006932FA"/>
    <w:rsid w:val="006945C1"/>
    <w:rsid w:val="00695DD5"/>
    <w:rsid w:val="006A09C4"/>
    <w:rsid w:val="006A115E"/>
    <w:rsid w:val="006A1F8C"/>
    <w:rsid w:val="006A46C9"/>
    <w:rsid w:val="006A66D5"/>
    <w:rsid w:val="006A730F"/>
    <w:rsid w:val="006B2E86"/>
    <w:rsid w:val="006B6448"/>
    <w:rsid w:val="006B6A12"/>
    <w:rsid w:val="006B7155"/>
    <w:rsid w:val="006C0EB0"/>
    <w:rsid w:val="006C6D60"/>
    <w:rsid w:val="006D4CB1"/>
    <w:rsid w:val="006D5873"/>
    <w:rsid w:val="006D70A9"/>
    <w:rsid w:val="006E3DA2"/>
    <w:rsid w:val="006E6E60"/>
    <w:rsid w:val="006F303C"/>
    <w:rsid w:val="006F35A0"/>
    <w:rsid w:val="006F5E3E"/>
    <w:rsid w:val="006F6C7C"/>
    <w:rsid w:val="007068FF"/>
    <w:rsid w:val="007070AF"/>
    <w:rsid w:val="00710EFA"/>
    <w:rsid w:val="00711E43"/>
    <w:rsid w:val="00716A07"/>
    <w:rsid w:val="00720133"/>
    <w:rsid w:val="007204E9"/>
    <w:rsid w:val="00720F08"/>
    <w:rsid w:val="007238BE"/>
    <w:rsid w:val="007279AA"/>
    <w:rsid w:val="00732C49"/>
    <w:rsid w:val="00733665"/>
    <w:rsid w:val="00734598"/>
    <w:rsid w:val="00744535"/>
    <w:rsid w:val="00751A43"/>
    <w:rsid w:val="0075759E"/>
    <w:rsid w:val="0076311F"/>
    <w:rsid w:val="00764629"/>
    <w:rsid w:val="00765744"/>
    <w:rsid w:val="00765FFD"/>
    <w:rsid w:val="00774635"/>
    <w:rsid w:val="00776B34"/>
    <w:rsid w:val="00781FB2"/>
    <w:rsid w:val="00782F57"/>
    <w:rsid w:val="00784691"/>
    <w:rsid w:val="007850E7"/>
    <w:rsid w:val="00786E60"/>
    <w:rsid w:val="0079044B"/>
    <w:rsid w:val="00797026"/>
    <w:rsid w:val="007A0F21"/>
    <w:rsid w:val="007A506E"/>
    <w:rsid w:val="007A738C"/>
    <w:rsid w:val="007A7D51"/>
    <w:rsid w:val="007B0EDE"/>
    <w:rsid w:val="007B190E"/>
    <w:rsid w:val="007C0BAD"/>
    <w:rsid w:val="007C1AE9"/>
    <w:rsid w:val="007C72B0"/>
    <w:rsid w:val="007D12EA"/>
    <w:rsid w:val="007D6C19"/>
    <w:rsid w:val="007E3DA9"/>
    <w:rsid w:val="007E5461"/>
    <w:rsid w:val="007E6293"/>
    <w:rsid w:val="007E674F"/>
    <w:rsid w:val="007F6078"/>
    <w:rsid w:val="007F7930"/>
    <w:rsid w:val="00804D66"/>
    <w:rsid w:val="0080633A"/>
    <w:rsid w:val="00806578"/>
    <w:rsid w:val="00810D4E"/>
    <w:rsid w:val="00831BAE"/>
    <w:rsid w:val="00832788"/>
    <w:rsid w:val="008365E0"/>
    <w:rsid w:val="00836C47"/>
    <w:rsid w:val="008373DB"/>
    <w:rsid w:val="00842B15"/>
    <w:rsid w:val="00842B38"/>
    <w:rsid w:val="00843A2B"/>
    <w:rsid w:val="00845F2B"/>
    <w:rsid w:val="00852971"/>
    <w:rsid w:val="00853F9A"/>
    <w:rsid w:val="00854427"/>
    <w:rsid w:val="00856553"/>
    <w:rsid w:val="00882AF1"/>
    <w:rsid w:val="0088310D"/>
    <w:rsid w:val="00886AED"/>
    <w:rsid w:val="008910B5"/>
    <w:rsid w:val="00891245"/>
    <w:rsid w:val="00893354"/>
    <w:rsid w:val="008A3D2D"/>
    <w:rsid w:val="008B0799"/>
    <w:rsid w:val="008B4802"/>
    <w:rsid w:val="008B7711"/>
    <w:rsid w:val="008C18E2"/>
    <w:rsid w:val="008C1AAF"/>
    <w:rsid w:val="008C3C94"/>
    <w:rsid w:val="008C4098"/>
    <w:rsid w:val="008C6829"/>
    <w:rsid w:val="008C6ACD"/>
    <w:rsid w:val="008D25CD"/>
    <w:rsid w:val="008D5FDE"/>
    <w:rsid w:val="008D6CDB"/>
    <w:rsid w:val="008E1023"/>
    <w:rsid w:val="008E312F"/>
    <w:rsid w:val="008E6C2C"/>
    <w:rsid w:val="008F235A"/>
    <w:rsid w:val="008F34A7"/>
    <w:rsid w:val="008F5061"/>
    <w:rsid w:val="00904274"/>
    <w:rsid w:val="009124D5"/>
    <w:rsid w:val="00915352"/>
    <w:rsid w:val="0091702B"/>
    <w:rsid w:val="00920EF3"/>
    <w:rsid w:val="00930EF2"/>
    <w:rsid w:val="00934B8B"/>
    <w:rsid w:val="00937C09"/>
    <w:rsid w:val="009439D8"/>
    <w:rsid w:val="00944CF6"/>
    <w:rsid w:val="009511F8"/>
    <w:rsid w:val="00952DA8"/>
    <w:rsid w:val="00954042"/>
    <w:rsid w:val="009551DF"/>
    <w:rsid w:val="00964BCF"/>
    <w:rsid w:val="0096709D"/>
    <w:rsid w:val="00967A0B"/>
    <w:rsid w:val="00976791"/>
    <w:rsid w:val="009775F1"/>
    <w:rsid w:val="00983309"/>
    <w:rsid w:val="00987A09"/>
    <w:rsid w:val="00992092"/>
    <w:rsid w:val="00992393"/>
    <w:rsid w:val="00994D7F"/>
    <w:rsid w:val="009A09B2"/>
    <w:rsid w:val="009A6DC2"/>
    <w:rsid w:val="009B278F"/>
    <w:rsid w:val="009B485C"/>
    <w:rsid w:val="009B6478"/>
    <w:rsid w:val="009B6E3A"/>
    <w:rsid w:val="009C055D"/>
    <w:rsid w:val="009C0DE0"/>
    <w:rsid w:val="009C367C"/>
    <w:rsid w:val="009D1598"/>
    <w:rsid w:val="009D1A57"/>
    <w:rsid w:val="009D42FD"/>
    <w:rsid w:val="009D4DC7"/>
    <w:rsid w:val="009E0C18"/>
    <w:rsid w:val="009E2773"/>
    <w:rsid w:val="009F275B"/>
    <w:rsid w:val="009F5EA7"/>
    <w:rsid w:val="009F5F22"/>
    <w:rsid w:val="009F7ECF"/>
    <w:rsid w:val="00A0036D"/>
    <w:rsid w:val="00A0086B"/>
    <w:rsid w:val="00A00BC0"/>
    <w:rsid w:val="00A06511"/>
    <w:rsid w:val="00A10188"/>
    <w:rsid w:val="00A128A0"/>
    <w:rsid w:val="00A26C9D"/>
    <w:rsid w:val="00A2737F"/>
    <w:rsid w:val="00A30CAA"/>
    <w:rsid w:val="00A32702"/>
    <w:rsid w:val="00A3433F"/>
    <w:rsid w:val="00A36BC3"/>
    <w:rsid w:val="00A41D91"/>
    <w:rsid w:val="00A53C54"/>
    <w:rsid w:val="00A549B4"/>
    <w:rsid w:val="00A56428"/>
    <w:rsid w:val="00A571F3"/>
    <w:rsid w:val="00A57ADA"/>
    <w:rsid w:val="00A60553"/>
    <w:rsid w:val="00A60BA1"/>
    <w:rsid w:val="00A7002C"/>
    <w:rsid w:val="00A72D8B"/>
    <w:rsid w:val="00A73361"/>
    <w:rsid w:val="00A851DF"/>
    <w:rsid w:val="00A90E10"/>
    <w:rsid w:val="00A932B7"/>
    <w:rsid w:val="00A94EBF"/>
    <w:rsid w:val="00A9614F"/>
    <w:rsid w:val="00A96DBD"/>
    <w:rsid w:val="00AA1E34"/>
    <w:rsid w:val="00AA226F"/>
    <w:rsid w:val="00AA4672"/>
    <w:rsid w:val="00AA5088"/>
    <w:rsid w:val="00AA7EC8"/>
    <w:rsid w:val="00AA7EC9"/>
    <w:rsid w:val="00AB3232"/>
    <w:rsid w:val="00AB4676"/>
    <w:rsid w:val="00AB73D6"/>
    <w:rsid w:val="00AC46F2"/>
    <w:rsid w:val="00AD2ACB"/>
    <w:rsid w:val="00AD483D"/>
    <w:rsid w:val="00AD715A"/>
    <w:rsid w:val="00AE37F3"/>
    <w:rsid w:val="00AE4448"/>
    <w:rsid w:val="00AE4A8A"/>
    <w:rsid w:val="00AF2CC8"/>
    <w:rsid w:val="00AF539C"/>
    <w:rsid w:val="00AF5AE6"/>
    <w:rsid w:val="00AF5F44"/>
    <w:rsid w:val="00B00501"/>
    <w:rsid w:val="00B11764"/>
    <w:rsid w:val="00B22843"/>
    <w:rsid w:val="00B23C2C"/>
    <w:rsid w:val="00B2448C"/>
    <w:rsid w:val="00B249C8"/>
    <w:rsid w:val="00B25970"/>
    <w:rsid w:val="00B26F32"/>
    <w:rsid w:val="00B3077E"/>
    <w:rsid w:val="00B3144D"/>
    <w:rsid w:val="00B315B2"/>
    <w:rsid w:val="00B340D5"/>
    <w:rsid w:val="00B34848"/>
    <w:rsid w:val="00B42182"/>
    <w:rsid w:val="00B438B1"/>
    <w:rsid w:val="00B43CC0"/>
    <w:rsid w:val="00B53E8B"/>
    <w:rsid w:val="00B55543"/>
    <w:rsid w:val="00B5702F"/>
    <w:rsid w:val="00B61D84"/>
    <w:rsid w:val="00B65394"/>
    <w:rsid w:val="00B73C48"/>
    <w:rsid w:val="00B74FB4"/>
    <w:rsid w:val="00B7574F"/>
    <w:rsid w:val="00B831E5"/>
    <w:rsid w:val="00B843DD"/>
    <w:rsid w:val="00B84D15"/>
    <w:rsid w:val="00B84E82"/>
    <w:rsid w:val="00B876FF"/>
    <w:rsid w:val="00B92C78"/>
    <w:rsid w:val="00B95FF2"/>
    <w:rsid w:val="00BA1947"/>
    <w:rsid w:val="00BA2D76"/>
    <w:rsid w:val="00BA7876"/>
    <w:rsid w:val="00BB0560"/>
    <w:rsid w:val="00BB0B1A"/>
    <w:rsid w:val="00BB1A00"/>
    <w:rsid w:val="00BB2192"/>
    <w:rsid w:val="00BB30E5"/>
    <w:rsid w:val="00BB3532"/>
    <w:rsid w:val="00BB3553"/>
    <w:rsid w:val="00BB45FD"/>
    <w:rsid w:val="00BC12CC"/>
    <w:rsid w:val="00BC1E28"/>
    <w:rsid w:val="00BC2F7E"/>
    <w:rsid w:val="00BC6F16"/>
    <w:rsid w:val="00BD32F8"/>
    <w:rsid w:val="00BD477B"/>
    <w:rsid w:val="00BD5EF7"/>
    <w:rsid w:val="00BD6BDA"/>
    <w:rsid w:val="00BE5980"/>
    <w:rsid w:val="00BF0F33"/>
    <w:rsid w:val="00BF4C4E"/>
    <w:rsid w:val="00BF62AC"/>
    <w:rsid w:val="00BF657E"/>
    <w:rsid w:val="00C027D4"/>
    <w:rsid w:val="00C03CF4"/>
    <w:rsid w:val="00C058FE"/>
    <w:rsid w:val="00C05A1E"/>
    <w:rsid w:val="00C12E8E"/>
    <w:rsid w:val="00C1706D"/>
    <w:rsid w:val="00C23108"/>
    <w:rsid w:val="00C238F2"/>
    <w:rsid w:val="00C3000F"/>
    <w:rsid w:val="00C31FB1"/>
    <w:rsid w:val="00C346EE"/>
    <w:rsid w:val="00C45E34"/>
    <w:rsid w:val="00C46EF1"/>
    <w:rsid w:val="00C52F96"/>
    <w:rsid w:val="00C53AB2"/>
    <w:rsid w:val="00C553FA"/>
    <w:rsid w:val="00C57E0A"/>
    <w:rsid w:val="00C60AC7"/>
    <w:rsid w:val="00C60CD2"/>
    <w:rsid w:val="00C6754F"/>
    <w:rsid w:val="00C67B6F"/>
    <w:rsid w:val="00C7077C"/>
    <w:rsid w:val="00C81FCB"/>
    <w:rsid w:val="00C82284"/>
    <w:rsid w:val="00C83BAA"/>
    <w:rsid w:val="00C8546A"/>
    <w:rsid w:val="00C92057"/>
    <w:rsid w:val="00C937D3"/>
    <w:rsid w:val="00C957BC"/>
    <w:rsid w:val="00C96035"/>
    <w:rsid w:val="00CA25DC"/>
    <w:rsid w:val="00CA2883"/>
    <w:rsid w:val="00CA47F1"/>
    <w:rsid w:val="00CB31F4"/>
    <w:rsid w:val="00CB3AAE"/>
    <w:rsid w:val="00CB7112"/>
    <w:rsid w:val="00CC227E"/>
    <w:rsid w:val="00CD0F09"/>
    <w:rsid w:val="00CD53F0"/>
    <w:rsid w:val="00CE0106"/>
    <w:rsid w:val="00CE204B"/>
    <w:rsid w:val="00CE4962"/>
    <w:rsid w:val="00CF2709"/>
    <w:rsid w:val="00CF7FA8"/>
    <w:rsid w:val="00D012F4"/>
    <w:rsid w:val="00D01740"/>
    <w:rsid w:val="00D024BD"/>
    <w:rsid w:val="00D0663A"/>
    <w:rsid w:val="00D10E89"/>
    <w:rsid w:val="00D1415F"/>
    <w:rsid w:val="00D1737C"/>
    <w:rsid w:val="00D21A36"/>
    <w:rsid w:val="00D25258"/>
    <w:rsid w:val="00D26D8E"/>
    <w:rsid w:val="00D3179F"/>
    <w:rsid w:val="00D32661"/>
    <w:rsid w:val="00D3298F"/>
    <w:rsid w:val="00D32D37"/>
    <w:rsid w:val="00D330D3"/>
    <w:rsid w:val="00D36F16"/>
    <w:rsid w:val="00D374B8"/>
    <w:rsid w:val="00D43521"/>
    <w:rsid w:val="00D44B61"/>
    <w:rsid w:val="00D45133"/>
    <w:rsid w:val="00D5080A"/>
    <w:rsid w:val="00D509CC"/>
    <w:rsid w:val="00D5120A"/>
    <w:rsid w:val="00D53D2E"/>
    <w:rsid w:val="00D54BFA"/>
    <w:rsid w:val="00D61824"/>
    <w:rsid w:val="00D63AD4"/>
    <w:rsid w:val="00D67396"/>
    <w:rsid w:val="00D7215C"/>
    <w:rsid w:val="00D72BA0"/>
    <w:rsid w:val="00D73DFD"/>
    <w:rsid w:val="00D769BB"/>
    <w:rsid w:val="00D77253"/>
    <w:rsid w:val="00D84D7E"/>
    <w:rsid w:val="00D9011D"/>
    <w:rsid w:val="00D925D1"/>
    <w:rsid w:val="00D93BA6"/>
    <w:rsid w:val="00D945A0"/>
    <w:rsid w:val="00DA3543"/>
    <w:rsid w:val="00DA4630"/>
    <w:rsid w:val="00DA6F26"/>
    <w:rsid w:val="00DB03B7"/>
    <w:rsid w:val="00DB4089"/>
    <w:rsid w:val="00DB494D"/>
    <w:rsid w:val="00DB655E"/>
    <w:rsid w:val="00DB6DAF"/>
    <w:rsid w:val="00DB7198"/>
    <w:rsid w:val="00DB7EB6"/>
    <w:rsid w:val="00DC0332"/>
    <w:rsid w:val="00DC1ED2"/>
    <w:rsid w:val="00DC4297"/>
    <w:rsid w:val="00DC47EC"/>
    <w:rsid w:val="00DC7866"/>
    <w:rsid w:val="00DD03CC"/>
    <w:rsid w:val="00DE1FE1"/>
    <w:rsid w:val="00DF0C8F"/>
    <w:rsid w:val="00DF2ED6"/>
    <w:rsid w:val="00DF3287"/>
    <w:rsid w:val="00DF449B"/>
    <w:rsid w:val="00DF4752"/>
    <w:rsid w:val="00E00BB5"/>
    <w:rsid w:val="00E03B8F"/>
    <w:rsid w:val="00E03D55"/>
    <w:rsid w:val="00E042B6"/>
    <w:rsid w:val="00E049D5"/>
    <w:rsid w:val="00E06AEF"/>
    <w:rsid w:val="00E06D30"/>
    <w:rsid w:val="00E105C2"/>
    <w:rsid w:val="00E11D87"/>
    <w:rsid w:val="00E300A7"/>
    <w:rsid w:val="00E31034"/>
    <w:rsid w:val="00E31624"/>
    <w:rsid w:val="00E32A90"/>
    <w:rsid w:val="00E35585"/>
    <w:rsid w:val="00E37C1E"/>
    <w:rsid w:val="00E435E7"/>
    <w:rsid w:val="00E436AC"/>
    <w:rsid w:val="00E528B9"/>
    <w:rsid w:val="00E53520"/>
    <w:rsid w:val="00E55ED1"/>
    <w:rsid w:val="00E600CB"/>
    <w:rsid w:val="00E61AA3"/>
    <w:rsid w:val="00E62FB1"/>
    <w:rsid w:val="00E63060"/>
    <w:rsid w:val="00E642B3"/>
    <w:rsid w:val="00E722D1"/>
    <w:rsid w:val="00E75EF3"/>
    <w:rsid w:val="00E81CD9"/>
    <w:rsid w:val="00E8525C"/>
    <w:rsid w:val="00E8587B"/>
    <w:rsid w:val="00E87756"/>
    <w:rsid w:val="00E958C5"/>
    <w:rsid w:val="00E95C21"/>
    <w:rsid w:val="00E96B4F"/>
    <w:rsid w:val="00EA27C1"/>
    <w:rsid w:val="00EA581B"/>
    <w:rsid w:val="00EB06BC"/>
    <w:rsid w:val="00EB1186"/>
    <w:rsid w:val="00EB427B"/>
    <w:rsid w:val="00EB4C1C"/>
    <w:rsid w:val="00EC0FBC"/>
    <w:rsid w:val="00EC446B"/>
    <w:rsid w:val="00EC6C6C"/>
    <w:rsid w:val="00ED1566"/>
    <w:rsid w:val="00ED3AF7"/>
    <w:rsid w:val="00ED78E8"/>
    <w:rsid w:val="00EE49E3"/>
    <w:rsid w:val="00EE5DC5"/>
    <w:rsid w:val="00EF1640"/>
    <w:rsid w:val="00EF2748"/>
    <w:rsid w:val="00EF5D00"/>
    <w:rsid w:val="00F0062B"/>
    <w:rsid w:val="00F007C8"/>
    <w:rsid w:val="00F02BC5"/>
    <w:rsid w:val="00F14D68"/>
    <w:rsid w:val="00F150B3"/>
    <w:rsid w:val="00F151EB"/>
    <w:rsid w:val="00F222BE"/>
    <w:rsid w:val="00F22E9F"/>
    <w:rsid w:val="00F24D01"/>
    <w:rsid w:val="00F25F62"/>
    <w:rsid w:val="00F2616D"/>
    <w:rsid w:val="00F26D54"/>
    <w:rsid w:val="00F32D86"/>
    <w:rsid w:val="00F341C9"/>
    <w:rsid w:val="00F3443B"/>
    <w:rsid w:val="00F36547"/>
    <w:rsid w:val="00F41F0D"/>
    <w:rsid w:val="00F44CFF"/>
    <w:rsid w:val="00F50A1E"/>
    <w:rsid w:val="00F555E1"/>
    <w:rsid w:val="00F605DE"/>
    <w:rsid w:val="00F65539"/>
    <w:rsid w:val="00F65C49"/>
    <w:rsid w:val="00F7142C"/>
    <w:rsid w:val="00F8117B"/>
    <w:rsid w:val="00F83021"/>
    <w:rsid w:val="00F850CE"/>
    <w:rsid w:val="00F860A3"/>
    <w:rsid w:val="00F86808"/>
    <w:rsid w:val="00F86EE4"/>
    <w:rsid w:val="00F87F5B"/>
    <w:rsid w:val="00F91D75"/>
    <w:rsid w:val="00F92E4E"/>
    <w:rsid w:val="00FA6B88"/>
    <w:rsid w:val="00FB1471"/>
    <w:rsid w:val="00FB210E"/>
    <w:rsid w:val="00FB6A74"/>
    <w:rsid w:val="00FC331B"/>
    <w:rsid w:val="00FC5039"/>
    <w:rsid w:val="00FC7998"/>
    <w:rsid w:val="00FD32AD"/>
    <w:rsid w:val="00FD61F8"/>
    <w:rsid w:val="00FD6499"/>
    <w:rsid w:val="00FD7833"/>
    <w:rsid w:val="00FD7D5F"/>
    <w:rsid w:val="00FE06A2"/>
    <w:rsid w:val="00FE0A6E"/>
    <w:rsid w:val="00FE26B8"/>
    <w:rsid w:val="00FE34CF"/>
    <w:rsid w:val="00FF011F"/>
    <w:rsid w:val="00FF363C"/>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5E1"/>
    <w:pPr>
      <w:spacing w:after="200" w:line="276" w:lineRule="auto"/>
    </w:pPr>
    <w:rPr>
      <w:sz w:val="22"/>
      <w:szCs w:val="22"/>
    </w:rPr>
  </w:style>
  <w:style w:type="paragraph" w:styleId="Heading1">
    <w:name w:val="heading 1"/>
    <w:basedOn w:val="Normal"/>
    <w:next w:val="Normal"/>
    <w:link w:val="Heading1Char"/>
    <w:uiPriority w:val="9"/>
    <w:qFormat/>
    <w:rsid w:val="00A851DF"/>
    <w:pPr>
      <w:keepNext/>
      <w:jc w:val="center"/>
      <w:outlineLvl w:val="0"/>
    </w:pPr>
    <w:rPr>
      <w:rFonts w:ascii="Times New Roman" w:hAnsi="Times New Roman"/>
      <w:b/>
      <w:sz w:val="26"/>
      <w:szCs w:val="26"/>
    </w:rPr>
  </w:style>
  <w:style w:type="paragraph" w:styleId="Heading2">
    <w:name w:val="heading 2"/>
    <w:basedOn w:val="Normal"/>
    <w:next w:val="Normal"/>
    <w:link w:val="Heading2Char"/>
    <w:uiPriority w:val="9"/>
    <w:unhideWhenUsed/>
    <w:qFormat/>
    <w:rsid w:val="004C023F"/>
    <w:pPr>
      <w:keepNext/>
      <w:numPr>
        <w:numId w:val="14"/>
      </w:numPr>
      <w:spacing w:after="0" w:line="240" w:lineRule="auto"/>
      <w:jc w:val="center"/>
      <w:outlineLvl w:val="1"/>
    </w:pPr>
    <w:rPr>
      <w:rFonts w:ascii="Times New Roman" w:hAnsi="Times New Roman"/>
      <w:b/>
      <w:sz w:val="24"/>
      <w:szCs w:val="24"/>
    </w:rPr>
  </w:style>
  <w:style w:type="paragraph" w:styleId="Heading3">
    <w:name w:val="heading 3"/>
    <w:basedOn w:val="Normal"/>
    <w:next w:val="Normal"/>
    <w:link w:val="Heading3Char"/>
    <w:uiPriority w:val="9"/>
    <w:unhideWhenUsed/>
    <w:qFormat/>
    <w:rsid w:val="00904274"/>
    <w:pPr>
      <w:keepNext/>
      <w:numPr>
        <w:numId w:val="20"/>
      </w:numPr>
      <w:spacing w:after="0" w:line="360" w:lineRule="auto"/>
      <w:ind w:hanging="720"/>
      <w:outlineLvl w:val="2"/>
    </w:pPr>
    <w:rPr>
      <w:rFonts w:ascii="Times New Roman" w:eastAsia="Times New Roman" w:hAnsi="Times New Roman"/>
      <w:b/>
      <w:bCs/>
      <w:color w:val="333333"/>
      <w:sz w:val="26"/>
      <w:szCs w:val="26"/>
    </w:rPr>
  </w:style>
  <w:style w:type="paragraph" w:styleId="Heading4">
    <w:name w:val="heading 4"/>
    <w:basedOn w:val="Normal"/>
    <w:next w:val="Normal"/>
    <w:link w:val="Heading4Char"/>
    <w:uiPriority w:val="9"/>
    <w:unhideWhenUsed/>
    <w:qFormat/>
    <w:rsid w:val="00A30CAA"/>
    <w:pPr>
      <w:keepNext/>
      <w:spacing w:after="0" w:line="360" w:lineRule="auto"/>
      <w:ind w:left="360"/>
      <w:jc w:val="center"/>
      <w:outlineLvl w:val="3"/>
    </w:pPr>
    <w:rPr>
      <w:rFonts w:ascii="Times New Roman" w:eastAsia="Times New Roman" w:hAnsi="Times New Roman"/>
      <w:b/>
      <w:color w:val="333333"/>
      <w:sz w:val="26"/>
      <w:szCs w:val="26"/>
    </w:rPr>
  </w:style>
  <w:style w:type="paragraph" w:styleId="Heading5">
    <w:name w:val="heading 5"/>
    <w:basedOn w:val="Normal"/>
    <w:next w:val="Normal"/>
    <w:link w:val="Heading5Char"/>
    <w:uiPriority w:val="9"/>
    <w:semiHidden/>
    <w:unhideWhenUsed/>
    <w:qFormat/>
    <w:rsid w:val="0047723D"/>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47723D"/>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630"/>
    <w:rPr>
      <w:rFonts w:ascii="Times New Roman" w:hAnsi="Times New Roman"/>
      <w:sz w:val="24"/>
      <w:szCs w:val="22"/>
    </w:rPr>
  </w:style>
  <w:style w:type="character" w:styleId="Hyperlink">
    <w:name w:val="Hyperlink"/>
    <w:uiPriority w:val="99"/>
    <w:semiHidden/>
    <w:unhideWhenUsed/>
    <w:rsid w:val="00DA4630"/>
    <w:rPr>
      <w:strike w:val="0"/>
      <w:dstrike w:val="0"/>
      <w:color w:val="004B91"/>
      <w:u w:val="none"/>
      <w:effect w:val="none"/>
    </w:rPr>
  </w:style>
  <w:style w:type="paragraph" w:styleId="ListParagraph">
    <w:name w:val="List Paragraph"/>
    <w:basedOn w:val="Normal"/>
    <w:uiPriority w:val="34"/>
    <w:qFormat/>
    <w:rsid w:val="00DA4630"/>
    <w:pPr>
      <w:spacing w:after="0" w:line="240" w:lineRule="auto"/>
      <w:ind w:left="720"/>
    </w:pPr>
    <w:rPr>
      <w:rFonts w:ascii="Times New Roman" w:eastAsia="Times New Roman" w:hAnsi="Times New Roman"/>
      <w:sz w:val="24"/>
      <w:szCs w:val="24"/>
    </w:rPr>
  </w:style>
  <w:style w:type="character" w:styleId="Strong">
    <w:name w:val="Strong"/>
    <w:uiPriority w:val="22"/>
    <w:qFormat/>
    <w:rsid w:val="00297269"/>
    <w:rPr>
      <w:b/>
      <w:bCs/>
    </w:rPr>
  </w:style>
  <w:style w:type="paragraph" w:styleId="Header">
    <w:name w:val="header"/>
    <w:basedOn w:val="Normal"/>
    <w:link w:val="HeaderChar"/>
    <w:uiPriority w:val="99"/>
    <w:unhideWhenUsed/>
    <w:rsid w:val="00DD03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3CC"/>
  </w:style>
  <w:style w:type="paragraph" w:styleId="Footer">
    <w:name w:val="footer"/>
    <w:basedOn w:val="Normal"/>
    <w:link w:val="FooterChar"/>
    <w:uiPriority w:val="99"/>
    <w:unhideWhenUsed/>
    <w:rsid w:val="00DD03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3CC"/>
  </w:style>
  <w:style w:type="paragraph" w:styleId="BalloonText">
    <w:name w:val="Balloon Text"/>
    <w:basedOn w:val="Normal"/>
    <w:link w:val="BalloonTextChar"/>
    <w:uiPriority w:val="99"/>
    <w:semiHidden/>
    <w:unhideWhenUsed/>
    <w:rsid w:val="00A53C5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53C54"/>
    <w:rPr>
      <w:rFonts w:ascii="Tahoma" w:hAnsi="Tahoma" w:cs="Tahoma"/>
      <w:sz w:val="16"/>
      <w:szCs w:val="16"/>
    </w:rPr>
  </w:style>
  <w:style w:type="paragraph" w:styleId="FootnoteText">
    <w:name w:val="footnote text"/>
    <w:basedOn w:val="Normal"/>
    <w:link w:val="FootnoteTextChar"/>
    <w:unhideWhenUsed/>
    <w:qFormat/>
    <w:rsid w:val="00B22843"/>
    <w:pPr>
      <w:spacing w:after="0" w:line="240" w:lineRule="auto"/>
    </w:pPr>
    <w:rPr>
      <w:sz w:val="20"/>
      <w:szCs w:val="20"/>
    </w:rPr>
  </w:style>
  <w:style w:type="character" w:customStyle="1" w:styleId="FootnoteTextChar">
    <w:name w:val="Footnote Text Char"/>
    <w:link w:val="FootnoteText"/>
    <w:rsid w:val="00B22843"/>
    <w:rPr>
      <w:sz w:val="20"/>
      <w:szCs w:val="20"/>
    </w:rPr>
  </w:style>
  <w:style w:type="character" w:styleId="FootnoteReference">
    <w:name w:val="footnote reference"/>
    <w:unhideWhenUsed/>
    <w:rsid w:val="00B22843"/>
    <w:rPr>
      <w:vertAlign w:val="superscript"/>
    </w:rPr>
  </w:style>
  <w:style w:type="character" w:customStyle="1" w:styleId="pmterms11">
    <w:name w:val="pmterms11"/>
    <w:rsid w:val="0047221A"/>
    <w:rPr>
      <w:b/>
      <w:bCs/>
      <w:i w:val="0"/>
      <w:iCs w:val="0"/>
      <w:color w:val="000000"/>
    </w:rPr>
  </w:style>
  <w:style w:type="character" w:customStyle="1" w:styleId="term1">
    <w:name w:val="term1"/>
    <w:rsid w:val="0047221A"/>
    <w:rPr>
      <w:b/>
      <w:bCs/>
    </w:rPr>
  </w:style>
  <w:style w:type="paragraph" w:customStyle="1" w:styleId="OutlineL2">
    <w:name w:val="Outline_L2"/>
    <w:basedOn w:val="Normal"/>
    <w:rsid w:val="0047221A"/>
    <w:pPr>
      <w:numPr>
        <w:ilvl w:val="1"/>
      </w:numPr>
      <w:tabs>
        <w:tab w:val="num" w:pos="720"/>
        <w:tab w:val="num" w:pos="1440"/>
      </w:tabs>
      <w:spacing w:after="240" w:line="480" w:lineRule="auto"/>
      <w:ind w:firstLine="720"/>
      <w:outlineLvl w:val="1"/>
    </w:pPr>
    <w:rPr>
      <w:rFonts w:ascii="Times New Roman" w:eastAsia="Times New Roman" w:hAnsi="Times New Roman"/>
      <w:sz w:val="24"/>
      <w:szCs w:val="20"/>
    </w:rPr>
  </w:style>
  <w:style w:type="paragraph" w:customStyle="1" w:styleId="Normal2">
    <w:name w:val="Normal 2"/>
    <w:basedOn w:val="Normal"/>
    <w:rsid w:val="0047221A"/>
    <w:pPr>
      <w:spacing w:after="240" w:line="240" w:lineRule="auto"/>
      <w:ind w:left="1440" w:firstLine="720"/>
    </w:pPr>
    <w:rPr>
      <w:rFonts w:ascii="Times New Roman" w:hAnsi="Times New Roman"/>
      <w:sz w:val="24"/>
    </w:rPr>
  </w:style>
  <w:style w:type="paragraph" w:customStyle="1" w:styleId="OutlineL3">
    <w:name w:val="Outline_L3"/>
    <w:basedOn w:val="OutlineL2"/>
    <w:rsid w:val="0047221A"/>
    <w:pPr>
      <w:numPr>
        <w:ilvl w:val="2"/>
      </w:numPr>
      <w:tabs>
        <w:tab w:val="clear" w:pos="1440"/>
        <w:tab w:val="num" w:pos="720"/>
        <w:tab w:val="num" w:pos="2160"/>
      </w:tabs>
      <w:spacing w:after="120"/>
      <w:ind w:firstLine="1440"/>
      <w:outlineLvl w:val="2"/>
    </w:pPr>
  </w:style>
  <w:style w:type="paragraph" w:customStyle="1" w:styleId="OutlineL4">
    <w:name w:val="Outline_L4"/>
    <w:basedOn w:val="OutlineL3"/>
    <w:rsid w:val="0047221A"/>
    <w:pPr>
      <w:numPr>
        <w:ilvl w:val="3"/>
      </w:numPr>
      <w:tabs>
        <w:tab w:val="clear" w:pos="2160"/>
        <w:tab w:val="num" w:pos="720"/>
        <w:tab w:val="num" w:pos="2880"/>
      </w:tabs>
      <w:ind w:firstLine="2160"/>
      <w:outlineLvl w:val="3"/>
    </w:pPr>
  </w:style>
  <w:style w:type="character" w:styleId="CommentReference">
    <w:name w:val="annotation reference"/>
    <w:uiPriority w:val="99"/>
    <w:semiHidden/>
    <w:unhideWhenUsed/>
    <w:rsid w:val="0047221A"/>
    <w:rPr>
      <w:sz w:val="16"/>
      <w:szCs w:val="16"/>
    </w:rPr>
  </w:style>
  <w:style w:type="paragraph" w:styleId="CommentText">
    <w:name w:val="annotation text"/>
    <w:basedOn w:val="Normal"/>
    <w:link w:val="CommentTextChar"/>
    <w:uiPriority w:val="99"/>
    <w:semiHidden/>
    <w:unhideWhenUsed/>
    <w:rsid w:val="0047221A"/>
    <w:pPr>
      <w:spacing w:line="240" w:lineRule="auto"/>
    </w:pPr>
    <w:rPr>
      <w:sz w:val="20"/>
      <w:szCs w:val="20"/>
    </w:rPr>
  </w:style>
  <w:style w:type="character" w:customStyle="1" w:styleId="CommentTextChar">
    <w:name w:val="Comment Text Char"/>
    <w:link w:val="CommentText"/>
    <w:uiPriority w:val="99"/>
    <w:semiHidden/>
    <w:rsid w:val="0047221A"/>
    <w:rPr>
      <w:sz w:val="20"/>
      <w:szCs w:val="20"/>
    </w:rPr>
  </w:style>
  <w:style w:type="paragraph" w:customStyle="1" w:styleId="boldpara">
    <w:name w:val="bold para"/>
    <w:basedOn w:val="Normal"/>
    <w:link w:val="boldparaChar"/>
    <w:qFormat/>
    <w:rsid w:val="003D05D0"/>
    <w:pPr>
      <w:spacing w:after="0" w:line="480" w:lineRule="auto"/>
      <w:ind w:firstLine="720"/>
    </w:pPr>
    <w:rPr>
      <w:rFonts w:ascii="Times New Roman" w:eastAsia="Times New Roman" w:hAnsi="Times New Roman"/>
      <w:sz w:val="24"/>
      <w:szCs w:val="24"/>
    </w:rPr>
  </w:style>
  <w:style w:type="character" w:customStyle="1" w:styleId="boldparaChar">
    <w:name w:val="bold para Char"/>
    <w:link w:val="boldpara"/>
    <w:rsid w:val="003D05D0"/>
    <w:rPr>
      <w:rFonts w:ascii="Times New Roman" w:eastAsia="Times New Roman" w:hAnsi="Times New Roman" w:cs="Times New Roman"/>
      <w:sz w:val="24"/>
      <w:szCs w:val="24"/>
    </w:rPr>
  </w:style>
  <w:style w:type="paragraph" w:customStyle="1" w:styleId="OutlineL1">
    <w:name w:val="Outline_L1"/>
    <w:basedOn w:val="Normal"/>
    <w:next w:val="BodyText"/>
    <w:rsid w:val="002C4670"/>
    <w:pPr>
      <w:tabs>
        <w:tab w:val="num" w:pos="720"/>
      </w:tabs>
      <w:spacing w:after="240" w:line="240" w:lineRule="auto"/>
      <w:jc w:val="center"/>
      <w:outlineLvl w:val="0"/>
    </w:pPr>
    <w:rPr>
      <w:rFonts w:ascii="Times New Roman" w:eastAsia="Times New Roman" w:hAnsi="Times New Roman"/>
      <w:b/>
      <w:caps/>
      <w:sz w:val="24"/>
      <w:szCs w:val="20"/>
    </w:rPr>
  </w:style>
  <w:style w:type="paragraph" w:styleId="BodyText">
    <w:name w:val="Body Text"/>
    <w:basedOn w:val="Normal"/>
    <w:link w:val="BodyTextChar"/>
    <w:uiPriority w:val="99"/>
    <w:unhideWhenUsed/>
    <w:rsid w:val="002C4670"/>
    <w:pPr>
      <w:spacing w:after="120"/>
    </w:pPr>
  </w:style>
  <w:style w:type="character" w:customStyle="1" w:styleId="BodyTextChar">
    <w:name w:val="Body Text Char"/>
    <w:link w:val="BodyText"/>
    <w:uiPriority w:val="99"/>
    <w:rsid w:val="002C4670"/>
    <w:rPr>
      <w:sz w:val="22"/>
      <w:szCs w:val="22"/>
    </w:rPr>
  </w:style>
  <w:style w:type="paragraph" w:styleId="BodyText2">
    <w:name w:val="Body Text 2"/>
    <w:basedOn w:val="Normal"/>
    <w:link w:val="BodyText2Char"/>
    <w:uiPriority w:val="99"/>
    <w:unhideWhenUsed/>
    <w:rsid w:val="00F83021"/>
    <w:pPr>
      <w:spacing w:after="0" w:line="360" w:lineRule="auto"/>
    </w:pPr>
    <w:rPr>
      <w:rFonts w:ascii="Times New Roman" w:hAnsi="Times New Roman"/>
      <w:sz w:val="24"/>
      <w:szCs w:val="24"/>
    </w:rPr>
  </w:style>
  <w:style w:type="character" w:customStyle="1" w:styleId="BodyText2Char">
    <w:name w:val="Body Text 2 Char"/>
    <w:link w:val="BodyText2"/>
    <w:uiPriority w:val="99"/>
    <w:rsid w:val="00F83021"/>
    <w:rPr>
      <w:rFonts w:ascii="Times New Roman" w:hAnsi="Times New Roman"/>
      <w:sz w:val="24"/>
      <w:szCs w:val="24"/>
    </w:rPr>
  </w:style>
  <w:style w:type="character" w:customStyle="1" w:styleId="Heading1Char">
    <w:name w:val="Heading 1 Char"/>
    <w:link w:val="Heading1"/>
    <w:uiPriority w:val="9"/>
    <w:rsid w:val="00A851DF"/>
    <w:rPr>
      <w:rFonts w:ascii="Times New Roman" w:hAnsi="Times New Roman"/>
      <w:b/>
      <w:sz w:val="26"/>
      <w:szCs w:val="26"/>
    </w:rPr>
  </w:style>
  <w:style w:type="character" w:customStyle="1" w:styleId="Heading2Char">
    <w:name w:val="Heading 2 Char"/>
    <w:link w:val="Heading2"/>
    <w:uiPriority w:val="9"/>
    <w:rsid w:val="004C023F"/>
    <w:rPr>
      <w:rFonts w:ascii="Times New Roman" w:hAnsi="Times New Roman"/>
      <w:b/>
      <w:sz w:val="24"/>
      <w:szCs w:val="24"/>
    </w:rPr>
  </w:style>
  <w:style w:type="character" w:customStyle="1" w:styleId="Heading3Char">
    <w:name w:val="Heading 3 Char"/>
    <w:link w:val="Heading3"/>
    <w:uiPriority w:val="9"/>
    <w:rsid w:val="00904274"/>
    <w:rPr>
      <w:rFonts w:ascii="Times New Roman" w:eastAsia="Times New Roman" w:hAnsi="Times New Roman"/>
      <w:b/>
      <w:bCs/>
      <w:color w:val="333333"/>
      <w:sz w:val="26"/>
      <w:szCs w:val="26"/>
    </w:rPr>
  </w:style>
  <w:style w:type="character" w:customStyle="1" w:styleId="Heading4Char">
    <w:name w:val="Heading 4 Char"/>
    <w:link w:val="Heading4"/>
    <w:uiPriority w:val="9"/>
    <w:rsid w:val="00A30CAA"/>
    <w:rPr>
      <w:rFonts w:ascii="Times New Roman" w:eastAsia="Times New Roman" w:hAnsi="Times New Roman"/>
      <w:b/>
      <w:color w:val="333333"/>
      <w:sz w:val="26"/>
      <w:szCs w:val="26"/>
    </w:rPr>
  </w:style>
  <w:style w:type="paragraph" w:styleId="BodyText3">
    <w:name w:val="Body Text 3"/>
    <w:basedOn w:val="Normal"/>
    <w:link w:val="BodyText3Char"/>
    <w:uiPriority w:val="99"/>
    <w:unhideWhenUsed/>
    <w:rsid w:val="006E3DA2"/>
    <w:pPr>
      <w:spacing w:after="0" w:line="360" w:lineRule="auto"/>
    </w:pPr>
    <w:rPr>
      <w:rFonts w:ascii="Times New Roman" w:hAnsi="Times New Roman"/>
      <w:sz w:val="26"/>
      <w:szCs w:val="26"/>
    </w:rPr>
  </w:style>
  <w:style w:type="character" w:customStyle="1" w:styleId="BodyText3Char">
    <w:name w:val="Body Text 3 Char"/>
    <w:link w:val="BodyText3"/>
    <w:uiPriority w:val="99"/>
    <w:rsid w:val="006E3DA2"/>
    <w:rPr>
      <w:rFonts w:ascii="Times New Roman" w:hAnsi="Times New Roman"/>
      <w:sz w:val="26"/>
      <w:szCs w:val="26"/>
    </w:rPr>
  </w:style>
  <w:style w:type="character" w:customStyle="1" w:styleId="Heading5Char">
    <w:name w:val="Heading 5 Char"/>
    <w:link w:val="Heading5"/>
    <w:uiPriority w:val="9"/>
    <w:semiHidden/>
    <w:rsid w:val="0047723D"/>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47723D"/>
    <w:rPr>
      <w:rFonts w:ascii="Calibri" w:eastAsia="Times New Roman" w:hAnsi="Calibri" w:cs="Times New Roman"/>
      <w:b/>
      <w:bCs/>
      <w:sz w:val="22"/>
      <w:szCs w:val="22"/>
    </w:rPr>
  </w:style>
  <w:style w:type="paragraph" w:styleId="ListNumber">
    <w:name w:val="List Number"/>
    <w:basedOn w:val="Normal"/>
    <w:rsid w:val="00FE06A2"/>
    <w:pPr>
      <w:numPr>
        <w:numId w:val="37"/>
      </w:numPr>
      <w:tabs>
        <w:tab w:val="clear" w:pos="720"/>
      </w:tabs>
      <w:spacing w:after="0" w:line="480" w:lineRule="auto"/>
      <w:ind w:firstLine="0"/>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A851DF"/>
    <w:pPr>
      <w:keepNext/>
      <w:jc w:val="center"/>
      <w:outlineLvl w:val="0"/>
    </w:pPr>
    <w:rPr>
      <w:rFonts w:ascii="Times New Roman" w:hAnsi="Times New Roman"/>
      <w:b/>
      <w:sz w:val="26"/>
      <w:szCs w:val="26"/>
    </w:rPr>
  </w:style>
  <w:style w:type="paragraph" w:styleId="Heading2">
    <w:name w:val="heading 2"/>
    <w:basedOn w:val="Normal"/>
    <w:next w:val="Normal"/>
    <w:link w:val="Heading2Char"/>
    <w:uiPriority w:val="9"/>
    <w:unhideWhenUsed/>
    <w:qFormat/>
    <w:rsid w:val="004C023F"/>
    <w:pPr>
      <w:keepNext/>
      <w:numPr>
        <w:numId w:val="14"/>
      </w:numPr>
      <w:spacing w:after="0" w:line="240" w:lineRule="auto"/>
      <w:jc w:val="center"/>
      <w:outlineLvl w:val="1"/>
    </w:pPr>
    <w:rPr>
      <w:rFonts w:ascii="Times New Roman" w:hAnsi="Times New Roman"/>
      <w:b/>
      <w:sz w:val="24"/>
      <w:szCs w:val="24"/>
    </w:rPr>
  </w:style>
  <w:style w:type="paragraph" w:styleId="Heading3">
    <w:name w:val="heading 3"/>
    <w:basedOn w:val="Normal"/>
    <w:next w:val="Normal"/>
    <w:link w:val="Heading3Char"/>
    <w:uiPriority w:val="9"/>
    <w:unhideWhenUsed/>
    <w:qFormat/>
    <w:rsid w:val="00904274"/>
    <w:pPr>
      <w:keepNext/>
      <w:numPr>
        <w:numId w:val="20"/>
      </w:numPr>
      <w:spacing w:after="0" w:line="360" w:lineRule="auto"/>
      <w:ind w:hanging="720"/>
      <w:outlineLvl w:val="2"/>
    </w:pPr>
    <w:rPr>
      <w:rFonts w:ascii="Times New Roman" w:eastAsia="Times New Roman" w:hAnsi="Times New Roman"/>
      <w:b/>
      <w:bCs/>
      <w:color w:val="333333"/>
      <w:sz w:val="26"/>
      <w:szCs w:val="26"/>
    </w:rPr>
  </w:style>
  <w:style w:type="paragraph" w:styleId="Heading4">
    <w:name w:val="heading 4"/>
    <w:basedOn w:val="Normal"/>
    <w:next w:val="Normal"/>
    <w:link w:val="Heading4Char"/>
    <w:uiPriority w:val="9"/>
    <w:unhideWhenUsed/>
    <w:qFormat/>
    <w:rsid w:val="00A30CAA"/>
    <w:pPr>
      <w:keepNext/>
      <w:spacing w:after="0" w:line="360" w:lineRule="auto"/>
      <w:ind w:left="360"/>
      <w:jc w:val="center"/>
      <w:outlineLvl w:val="3"/>
    </w:pPr>
    <w:rPr>
      <w:rFonts w:ascii="Times New Roman" w:eastAsia="Times New Roman" w:hAnsi="Times New Roman"/>
      <w:b/>
      <w:color w:val="333333"/>
      <w:sz w:val="26"/>
      <w:szCs w:val="26"/>
    </w:rPr>
  </w:style>
  <w:style w:type="paragraph" w:styleId="Heading5">
    <w:name w:val="heading 5"/>
    <w:basedOn w:val="Normal"/>
    <w:next w:val="Normal"/>
    <w:link w:val="Heading5Char"/>
    <w:uiPriority w:val="9"/>
    <w:semiHidden/>
    <w:unhideWhenUsed/>
    <w:qFormat/>
    <w:rsid w:val="0047723D"/>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47723D"/>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630"/>
    <w:rPr>
      <w:rFonts w:ascii="Times New Roman" w:hAnsi="Times New Roman"/>
      <w:sz w:val="24"/>
      <w:szCs w:val="22"/>
    </w:rPr>
  </w:style>
  <w:style w:type="character" w:styleId="Hyperlink">
    <w:name w:val="Hyperlink"/>
    <w:uiPriority w:val="99"/>
    <w:semiHidden/>
    <w:unhideWhenUsed/>
    <w:rsid w:val="00DA4630"/>
    <w:rPr>
      <w:strike w:val="0"/>
      <w:dstrike w:val="0"/>
      <w:color w:val="004B91"/>
      <w:u w:val="none"/>
      <w:effect w:val="none"/>
    </w:rPr>
  </w:style>
  <w:style w:type="paragraph" w:styleId="ListParagraph">
    <w:name w:val="List Paragraph"/>
    <w:basedOn w:val="Normal"/>
    <w:uiPriority w:val="34"/>
    <w:qFormat/>
    <w:rsid w:val="00DA4630"/>
    <w:pPr>
      <w:spacing w:after="0" w:line="240" w:lineRule="auto"/>
      <w:ind w:left="720"/>
    </w:pPr>
    <w:rPr>
      <w:rFonts w:ascii="Times New Roman" w:eastAsia="Times New Roman" w:hAnsi="Times New Roman"/>
      <w:sz w:val="24"/>
      <w:szCs w:val="24"/>
    </w:rPr>
  </w:style>
  <w:style w:type="character" w:styleId="Strong">
    <w:name w:val="Strong"/>
    <w:uiPriority w:val="22"/>
    <w:qFormat/>
    <w:rsid w:val="00297269"/>
    <w:rPr>
      <w:b/>
      <w:bCs/>
    </w:rPr>
  </w:style>
  <w:style w:type="paragraph" w:styleId="Header">
    <w:name w:val="header"/>
    <w:basedOn w:val="Normal"/>
    <w:link w:val="HeaderChar"/>
    <w:uiPriority w:val="99"/>
    <w:unhideWhenUsed/>
    <w:rsid w:val="00DD03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3CC"/>
  </w:style>
  <w:style w:type="paragraph" w:styleId="Footer">
    <w:name w:val="footer"/>
    <w:basedOn w:val="Normal"/>
    <w:link w:val="FooterChar"/>
    <w:uiPriority w:val="99"/>
    <w:unhideWhenUsed/>
    <w:rsid w:val="00DD03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3CC"/>
  </w:style>
  <w:style w:type="paragraph" w:styleId="BalloonText">
    <w:name w:val="Balloon Text"/>
    <w:basedOn w:val="Normal"/>
    <w:link w:val="BalloonTextChar"/>
    <w:uiPriority w:val="99"/>
    <w:semiHidden/>
    <w:unhideWhenUsed/>
    <w:rsid w:val="00A53C5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53C54"/>
    <w:rPr>
      <w:rFonts w:ascii="Tahoma" w:hAnsi="Tahoma" w:cs="Tahoma"/>
      <w:sz w:val="16"/>
      <w:szCs w:val="16"/>
    </w:rPr>
  </w:style>
  <w:style w:type="paragraph" w:styleId="FootnoteText">
    <w:name w:val="footnote text"/>
    <w:basedOn w:val="Normal"/>
    <w:link w:val="FootnoteTextChar"/>
    <w:unhideWhenUsed/>
    <w:qFormat/>
    <w:rsid w:val="00B22843"/>
    <w:pPr>
      <w:spacing w:after="0" w:line="240" w:lineRule="auto"/>
    </w:pPr>
    <w:rPr>
      <w:sz w:val="20"/>
      <w:szCs w:val="20"/>
    </w:rPr>
  </w:style>
  <w:style w:type="character" w:customStyle="1" w:styleId="FootnoteTextChar">
    <w:name w:val="Footnote Text Char"/>
    <w:link w:val="FootnoteText"/>
    <w:rsid w:val="00B22843"/>
    <w:rPr>
      <w:sz w:val="20"/>
      <w:szCs w:val="20"/>
    </w:rPr>
  </w:style>
  <w:style w:type="character" w:styleId="FootnoteReference">
    <w:name w:val="footnote reference"/>
    <w:unhideWhenUsed/>
    <w:rsid w:val="00B22843"/>
    <w:rPr>
      <w:vertAlign w:val="superscript"/>
    </w:rPr>
  </w:style>
  <w:style w:type="character" w:customStyle="1" w:styleId="pmterms11">
    <w:name w:val="pmterms11"/>
    <w:rsid w:val="0047221A"/>
    <w:rPr>
      <w:b/>
      <w:bCs/>
      <w:i w:val="0"/>
      <w:iCs w:val="0"/>
      <w:color w:val="000000"/>
    </w:rPr>
  </w:style>
  <w:style w:type="character" w:customStyle="1" w:styleId="term1">
    <w:name w:val="term1"/>
    <w:rsid w:val="0047221A"/>
    <w:rPr>
      <w:b/>
      <w:bCs/>
    </w:rPr>
  </w:style>
  <w:style w:type="paragraph" w:customStyle="1" w:styleId="OutlineL2">
    <w:name w:val="Outline_L2"/>
    <w:basedOn w:val="Normal"/>
    <w:rsid w:val="0047221A"/>
    <w:pPr>
      <w:numPr>
        <w:ilvl w:val="1"/>
      </w:numPr>
      <w:tabs>
        <w:tab w:val="num" w:pos="720"/>
        <w:tab w:val="num" w:pos="1440"/>
      </w:tabs>
      <w:spacing w:after="240" w:line="480" w:lineRule="auto"/>
      <w:ind w:firstLine="720"/>
      <w:outlineLvl w:val="1"/>
    </w:pPr>
    <w:rPr>
      <w:rFonts w:ascii="Times New Roman" w:eastAsia="Times New Roman" w:hAnsi="Times New Roman"/>
      <w:sz w:val="24"/>
      <w:szCs w:val="20"/>
    </w:rPr>
  </w:style>
  <w:style w:type="paragraph" w:customStyle="1" w:styleId="Normal2">
    <w:name w:val="Normal 2"/>
    <w:basedOn w:val="Normal"/>
    <w:rsid w:val="0047221A"/>
    <w:pPr>
      <w:spacing w:after="240" w:line="240" w:lineRule="auto"/>
      <w:ind w:left="1440" w:firstLine="720"/>
    </w:pPr>
    <w:rPr>
      <w:rFonts w:ascii="Times New Roman" w:hAnsi="Times New Roman"/>
      <w:sz w:val="24"/>
    </w:rPr>
  </w:style>
  <w:style w:type="paragraph" w:customStyle="1" w:styleId="OutlineL3">
    <w:name w:val="Outline_L3"/>
    <w:basedOn w:val="OutlineL2"/>
    <w:rsid w:val="0047221A"/>
    <w:pPr>
      <w:numPr>
        <w:ilvl w:val="2"/>
      </w:numPr>
      <w:tabs>
        <w:tab w:val="clear" w:pos="1440"/>
        <w:tab w:val="num" w:pos="720"/>
        <w:tab w:val="num" w:pos="2160"/>
      </w:tabs>
      <w:spacing w:after="120"/>
      <w:ind w:firstLine="1440"/>
      <w:outlineLvl w:val="2"/>
    </w:pPr>
  </w:style>
  <w:style w:type="paragraph" w:customStyle="1" w:styleId="OutlineL4">
    <w:name w:val="Outline_L4"/>
    <w:basedOn w:val="OutlineL3"/>
    <w:rsid w:val="0047221A"/>
    <w:pPr>
      <w:numPr>
        <w:ilvl w:val="3"/>
      </w:numPr>
      <w:tabs>
        <w:tab w:val="clear" w:pos="2160"/>
        <w:tab w:val="num" w:pos="720"/>
        <w:tab w:val="num" w:pos="2880"/>
      </w:tabs>
      <w:ind w:firstLine="2160"/>
      <w:outlineLvl w:val="3"/>
    </w:pPr>
  </w:style>
  <w:style w:type="character" w:styleId="CommentReference">
    <w:name w:val="annotation reference"/>
    <w:uiPriority w:val="99"/>
    <w:semiHidden/>
    <w:unhideWhenUsed/>
    <w:rsid w:val="0047221A"/>
    <w:rPr>
      <w:sz w:val="16"/>
      <w:szCs w:val="16"/>
    </w:rPr>
  </w:style>
  <w:style w:type="paragraph" w:styleId="CommentText">
    <w:name w:val="annotation text"/>
    <w:basedOn w:val="Normal"/>
    <w:link w:val="CommentTextChar"/>
    <w:uiPriority w:val="99"/>
    <w:semiHidden/>
    <w:unhideWhenUsed/>
    <w:rsid w:val="0047221A"/>
    <w:pPr>
      <w:spacing w:line="240" w:lineRule="auto"/>
    </w:pPr>
    <w:rPr>
      <w:sz w:val="20"/>
      <w:szCs w:val="20"/>
    </w:rPr>
  </w:style>
  <w:style w:type="character" w:customStyle="1" w:styleId="CommentTextChar">
    <w:name w:val="Comment Text Char"/>
    <w:link w:val="CommentText"/>
    <w:uiPriority w:val="99"/>
    <w:semiHidden/>
    <w:rsid w:val="0047221A"/>
    <w:rPr>
      <w:sz w:val="20"/>
      <w:szCs w:val="20"/>
    </w:rPr>
  </w:style>
  <w:style w:type="paragraph" w:customStyle="1" w:styleId="boldpara">
    <w:name w:val="bold para"/>
    <w:basedOn w:val="Normal"/>
    <w:link w:val="boldparaChar"/>
    <w:qFormat/>
    <w:rsid w:val="003D05D0"/>
    <w:pPr>
      <w:spacing w:after="0" w:line="480" w:lineRule="auto"/>
      <w:ind w:firstLine="720"/>
    </w:pPr>
    <w:rPr>
      <w:rFonts w:ascii="Times New Roman" w:eastAsia="Times New Roman" w:hAnsi="Times New Roman"/>
      <w:sz w:val="24"/>
      <w:szCs w:val="24"/>
    </w:rPr>
  </w:style>
  <w:style w:type="character" w:customStyle="1" w:styleId="boldparaChar">
    <w:name w:val="bold para Char"/>
    <w:link w:val="boldpara"/>
    <w:rsid w:val="003D05D0"/>
    <w:rPr>
      <w:rFonts w:ascii="Times New Roman" w:eastAsia="Times New Roman" w:hAnsi="Times New Roman" w:cs="Times New Roman"/>
      <w:sz w:val="24"/>
      <w:szCs w:val="24"/>
    </w:rPr>
  </w:style>
  <w:style w:type="paragraph" w:customStyle="1" w:styleId="OutlineL1">
    <w:name w:val="Outline_L1"/>
    <w:basedOn w:val="Normal"/>
    <w:next w:val="BodyText"/>
    <w:rsid w:val="002C4670"/>
    <w:pPr>
      <w:tabs>
        <w:tab w:val="num" w:pos="720"/>
      </w:tabs>
      <w:spacing w:after="240" w:line="240" w:lineRule="auto"/>
      <w:jc w:val="center"/>
      <w:outlineLvl w:val="0"/>
    </w:pPr>
    <w:rPr>
      <w:rFonts w:ascii="Times New Roman" w:eastAsia="Times New Roman" w:hAnsi="Times New Roman"/>
      <w:b/>
      <w:caps/>
      <w:sz w:val="24"/>
      <w:szCs w:val="20"/>
    </w:rPr>
  </w:style>
  <w:style w:type="paragraph" w:styleId="BodyText">
    <w:name w:val="Body Text"/>
    <w:basedOn w:val="Normal"/>
    <w:link w:val="BodyTextChar"/>
    <w:uiPriority w:val="99"/>
    <w:unhideWhenUsed/>
    <w:rsid w:val="002C4670"/>
    <w:pPr>
      <w:spacing w:after="120"/>
    </w:pPr>
  </w:style>
  <w:style w:type="character" w:customStyle="1" w:styleId="BodyTextChar">
    <w:name w:val="Body Text Char"/>
    <w:link w:val="BodyText"/>
    <w:uiPriority w:val="99"/>
    <w:rsid w:val="002C4670"/>
    <w:rPr>
      <w:sz w:val="22"/>
      <w:szCs w:val="22"/>
    </w:rPr>
  </w:style>
  <w:style w:type="paragraph" w:styleId="BodyText2">
    <w:name w:val="Body Text 2"/>
    <w:basedOn w:val="Normal"/>
    <w:link w:val="BodyText2Char"/>
    <w:uiPriority w:val="99"/>
    <w:unhideWhenUsed/>
    <w:rsid w:val="00F83021"/>
    <w:pPr>
      <w:spacing w:after="0" w:line="360" w:lineRule="auto"/>
    </w:pPr>
    <w:rPr>
      <w:rFonts w:ascii="Times New Roman" w:hAnsi="Times New Roman"/>
      <w:sz w:val="24"/>
      <w:szCs w:val="24"/>
    </w:rPr>
  </w:style>
  <w:style w:type="character" w:customStyle="1" w:styleId="BodyText2Char">
    <w:name w:val="Body Text 2 Char"/>
    <w:link w:val="BodyText2"/>
    <w:uiPriority w:val="99"/>
    <w:rsid w:val="00F83021"/>
    <w:rPr>
      <w:rFonts w:ascii="Times New Roman" w:hAnsi="Times New Roman"/>
      <w:sz w:val="24"/>
      <w:szCs w:val="24"/>
    </w:rPr>
  </w:style>
  <w:style w:type="character" w:customStyle="1" w:styleId="Heading1Char">
    <w:name w:val="Heading 1 Char"/>
    <w:link w:val="Heading1"/>
    <w:uiPriority w:val="9"/>
    <w:rsid w:val="00A851DF"/>
    <w:rPr>
      <w:rFonts w:ascii="Times New Roman" w:hAnsi="Times New Roman"/>
      <w:b/>
      <w:sz w:val="26"/>
      <w:szCs w:val="26"/>
    </w:rPr>
  </w:style>
  <w:style w:type="character" w:customStyle="1" w:styleId="Heading2Char">
    <w:name w:val="Heading 2 Char"/>
    <w:link w:val="Heading2"/>
    <w:uiPriority w:val="9"/>
    <w:rsid w:val="004C023F"/>
    <w:rPr>
      <w:rFonts w:ascii="Times New Roman" w:hAnsi="Times New Roman"/>
      <w:b/>
      <w:sz w:val="24"/>
      <w:szCs w:val="24"/>
    </w:rPr>
  </w:style>
  <w:style w:type="character" w:customStyle="1" w:styleId="Heading3Char">
    <w:name w:val="Heading 3 Char"/>
    <w:link w:val="Heading3"/>
    <w:uiPriority w:val="9"/>
    <w:rsid w:val="00904274"/>
    <w:rPr>
      <w:rFonts w:ascii="Times New Roman" w:eastAsia="Times New Roman" w:hAnsi="Times New Roman"/>
      <w:b/>
      <w:bCs/>
      <w:color w:val="333333"/>
      <w:sz w:val="26"/>
      <w:szCs w:val="26"/>
    </w:rPr>
  </w:style>
  <w:style w:type="character" w:customStyle="1" w:styleId="Heading4Char">
    <w:name w:val="Heading 4 Char"/>
    <w:link w:val="Heading4"/>
    <w:uiPriority w:val="9"/>
    <w:rsid w:val="00A30CAA"/>
    <w:rPr>
      <w:rFonts w:ascii="Times New Roman" w:eastAsia="Times New Roman" w:hAnsi="Times New Roman"/>
      <w:b/>
      <w:color w:val="333333"/>
      <w:sz w:val="26"/>
      <w:szCs w:val="26"/>
    </w:rPr>
  </w:style>
  <w:style w:type="paragraph" w:styleId="BodyText3">
    <w:name w:val="Body Text 3"/>
    <w:basedOn w:val="Normal"/>
    <w:link w:val="BodyText3Char"/>
    <w:uiPriority w:val="99"/>
    <w:unhideWhenUsed/>
    <w:rsid w:val="006E3DA2"/>
    <w:pPr>
      <w:spacing w:after="0" w:line="360" w:lineRule="auto"/>
    </w:pPr>
    <w:rPr>
      <w:rFonts w:ascii="Times New Roman" w:hAnsi="Times New Roman"/>
      <w:sz w:val="26"/>
      <w:szCs w:val="26"/>
    </w:rPr>
  </w:style>
  <w:style w:type="character" w:customStyle="1" w:styleId="BodyText3Char">
    <w:name w:val="Body Text 3 Char"/>
    <w:link w:val="BodyText3"/>
    <w:uiPriority w:val="99"/>
    <w:rsid w:val="006E3DA2"/>
    <w:rPr>
      <w:rFonts w:ascii="Times New Roman" w:hAnsi="Times New Roman"/>
      <w:sz w:val="26"/>
      <w:szCs w:val="26"/>
    </w:rPr>
  </w:style>
  <w:style w:type="character" w:customStyle="1" w:styleId="Heading5Char">
    <w:name w:val="Heading 5 Char"/>
    <w:link w:val="Heading5"/>
    <w:uiPriority w:val="9"/>
    <w:semiHidden/>
    <w:rsid w:val="0047723D"/>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47723D"/>
    <w:rPr>
      <w:rFonts w:ascii="Calibri" w:eastAsia="Times New Roman" w:hAnsi="Calibri" w:cs="Times New Roman"/>
      <w:b/>
      <w:bCs/>
      <w:sz w:val="22"/>
      <w:szCs w:val="22"/>
    </w:rPr>
  </w:style>
  <w:style w:type="paragraph" w:styleId="ListNumber">
    <w:name w:val="List Number"/>
    <w:basedOn w:val="Normal"/>
    <w:rsid w:val="00FE06A2"/>
    <w:pPr>
      <w:numPr>
        <w:numId w:val="37"/>
      </w:numPr>
      <w:tabs>
        <w:tab w:val="clear" w:pos="720"/>
      </w:tabs>
      <w:spacing w:after="0" w:line="480" w:lineRule="auto"/>
      <w:ind w:firstLine="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830073">
      <w:bodyDiv w:val="1"/>
      <w:marLeft w:val="0"/>
      <w:marRight w:val="0"/>
      <w:marTop w:val="0"/>
      <w:marBottom w:val="0"/>
      <w:divBdr>
        <w:top w:val="none" w:sz="0" w:space="0" w:color="auto"/>
        <w:left w:val="none" w:sz="0" w:space="0" w:color="auto"/>
        <w:bottom w:val="none" w:sz="0" w:space="0" w:color="auto"/>
        <w:right w:val="none" w:sz="0" w:space="0" w:color="auto"/>
      </w:divBdr>
    </w:div>
    <w:div w:id="798299523">
      <w:bodyDiv w:val="1"/>
      <w:marLeft w:val="0"/>
      <w:marRight w:val="0"/>
      <w:marTop w:val="0"/>
      <w:marBottom w:val="0"/>
      <w:divBdr>
        <w:top w:val="none" w:sz="0" w:space="0" w:color="auto"/>
        <w:left w:val="none" w:sz="0" w:space="0" w:color="auto"/>
        <w:bottom w:val="none" w:sz="0" w:space="0" w:color="auto"/>
        <w:right w:val="none" w:sz="0" w:space="0" w:color="auto"/>
      </w:divBdr>
    </w:div>
    <w:div w:id="187506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EEC65-8BDF-457F-B0E2-73677143B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4605</Words>
  <Characters>26249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30793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Heep, Darlene</dc:creator>
  <cp:lastModifiedBy>Farner, Joyce</cp:lastModifiedBy>
  <cp:revision>5</cp:revision>
  <cp:lastPrinted>2013-04-18T11:32:00Z</cp:lastPrinted>
  <dcterms:created xsi:type="dcterms:W3CDTF">2013-04-10T12:40:00Z</dcterms:created>
  <dcterms:modified xsi:type="dcterms:W3CDTF">2013-04-18T11:33:00Z</dcterms:modified>
</cp:coreProperties>
</file>