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AA" w:rsidRPr="007279D2" w:rsidRDefault="006163AA" w:rsidP="006163AA">
      <w:pPr>
        <w:jc w:val="center"/>
        <w:rPr>
          <w:b/>
        </w:rPr>
      </w:pPr>
      <w:bookmarkStart w:id="0" w:name="_GoBack"/>
      <w:bookmarkEnd w:id="0"/>
      <w:r w:rsidRPr="007279D2">
        <w:rPr>
          <w:b/>
        </w:rPr>
        <w:t>BEFORE THE</w:t>
      </w:r>
    </w:p>
    <w:p w:rsidR="006163AA" w:rsidRPr="007279D2" w:rsidRDefault="006163AA" w:rsidP="006163AA">
      <w:pPr>
        <w:jc w:val="center"/>
      </w:pPr>
      <w:r w:rsidRPr="007279D2">
        <w:rPr>
          <w:b/>
        </w:rPr>
        <w:t>PENNSYLVANIA PUBLIC UTILITY COMMISSION</w:t>
      </w:r>
    </w:p>
    <w:p w:rsidR="006163AA" w:rsidRPr="007279D2" w:rsidRDefault="006163AA" w:rsidP="006163AA">
      <w:pPr>
        <w:jc w:val="center"/>
      </w:pPr>
    </w:p>
    <w:p w:rsidR="00462A1F" w:rsidRPr="007279D2" w:rsidRDefault="00462A1F" w:rsidP="006163AA">
      <w:pPr>
        <w:jc w:val="center"/>
      </w:pPr>
    </w:p>
    <w:p w:rsidR="006163AA" w:rsidRPr="007279D2" w:rsidRDefault="006163AA" w:rsidP="006163AA">
      <w:pPr>
        <w:jc w:val="center"/>
      </w:pPr>
    </w:p>
    <w:tbl>
      <w:tblPr>
        <w:tblStyle w:val="TableGrid"/>
        <w:tblW w:w="0" w:type="auto"/>
        <w:tblLook w:val="01E0" w:firstRow="1" w:lastRow="1" w:firstColumn="1" w:lastColumn="1" w:noHBand="0" w:noVBand="0"/>
      </w:tblPr>
      <w:tblGrid>
        <w:gridCol w:w="4428"/>
        <w:gridCol w:w="540"/>
        <w:gridCol w:w="4608"/>
      </w:tblGrid>
      <w:tr w:rsidR="006163AA" w:rsidRPr="007279D2" w:rsidTr="006D4A8D">
        <w:tc>
          <w:tcPr>
            <w:tcW w:w="4428" w:type="dxa"/>
            <w:tcBorders>
              <w:top w:val="nil"/>
              <w:left w:val="nil"/>
              <w:bottom w:val="nil"/>
              <w:right w:val="nil"/>
            </w:tcBorders>
          </w:tcPr>
          <w:p w:rsidR="006163AA" w:rsidRPr="007279D2" w:rsidRDefault="006163AA" w:rsidP="006D4A8D">
            <w:r w:rsidRPr="007279D2">
              <w:t>Pennsylvania Public Utility Commission</w:t>
            </w:r>
          </w:p>
          <w:p w:rsidR="006163AA" w:rsidRPr="007279D2" w:rsidRDefault="006163AA" w:rsidP="006D4A8D"/>
          <w:p w:rsidR="006163AA" w:rsidRPr="007279D2" w:rsidRDefault="006163AA" w:rsidP="006D4A8D">
            <w:r w:rsidRPr="007279D2">
              <w:t>Office of Consumer Advocate</w:t>
            </w:r>
          </w:p>
          <w:p w:rsidR="006163AA" w:rsidRPr="007279D2" w:rsidRDefault="006163AA" w:rsidP="006D4A8D">
            <w:r w:rsidRPr="007279D2">
              <w:t>Office of Small Business Advocate</w:t>
            </w:r>
          </w:p>
          <w:p w:rsidR="006163AA" w:rsidRPr="007279D2" w:rsidRDefault="006163AA" w:rsidP="006D4A8D">
            <w:r w:rsidRPr="007279D2">
              <w:t>Anastasia Stratigos</w:t>
            </w:r>
          </w:p>
          <w:p w:rsidR="006163AA" w:rsidRPr="007279D2" w:rsidRDefault="006163AA" w:rsidP="006D4A8D">
            <w:r w:rsidRPr="007279D2">
              <w:t>Louis and Joanne Quahliero</w:t>
            </w:r>
          </w:p>
          <w:p w:rsidR="006163AA" w:rsidRPr="007279D2" w:rsidRDefault="006163AA" w:rsidP="006D4A8D">
            <w:r w:rsidRPr="007279D2">
              <w:t>Angela Burnett</w:t>
            </w:r>
          </w:p>
          <w:p w:rsidR="006163AA" w:rsidRPr="007279D2" w:rsidRDefault="006163AA" w:rsidP="006D4A8D">
            <w:r w:rsidRPr="007279D2">
              <w:t>G. Thomas Smeltzer</w:t>
            </w:r>
          </w:p>
          <w:p w:rsidR="006163AA" w:rsidRPr="007279D2" w:rsidRDefault="006163AA" w:rsidP="006D4A8D">
            <w:r w:rsidRPr="007279D2">
              <w:t>Michelle Swartz</w:t>
            </w:r>
          </w:p>
          <w:p w:rsidR="006163AA" w:rsidRPr="007279D2" w:rsidRDefault="006163AA" w:rsidP="006D4A8D">
            <w:r w:rsidRPr="007279D2">
              <w:t>Columbia Industrial Intervenors</w:t>
            </w:r>
          </w:p>
          <w:p w:rsidR="006163AA" w:rsidRPr="007279D2" w:rsidRDefault="006163AA" w:rsidP="006D4A8D">
            <w:r w:rsidRPr="007279D2">
              <w:t>Johanna Shigle</w:t>
            </w:r>
          </w:p>
          <w:p w:rsidR="006163AA" w:rsidRPr="007279D2" w:rsidRDefault="006163AA" w:rsidP="006D4A8D"/>
          <w:p w:rsidR="006163AA" w:rsidRPr="007279D2" w:rsidRDefault="006163AA" w:rsidP="006D4A8D">
            <w:r w:rsidRPr="007279D2">
              <w:tab/>
              <w:t>and</w:t>
            </w:r>
          </w:p>
          <w:p w:rsidR="006163AA" w:rsidRPr="007279D2" w:rsidRDefault="006163AA" w:rsidP="006D4A8D"/>
          <w:p w:rsidR="006163AA" w:rsidRPr="007279D2" w:rsidRDefault="006163AA" w:rsidP="006D4A8D">
            <w:r w:rsidRPr="007279D2">
              <w:t>Community Action Association of Pennsylvania</w:t>
            </w:r>
          </w:p>
          <w:p w:rsidR="006163AA" w:rsidRPr="007279D2" w:rsidRDefault="006163AA" w:rsidP="006D4A8D">
            <w:r w:rsidRPr="007279D2">
              <w:t xml:space="preserve">Coalition for Affordable </w:t>
            </w:r>
            <w:r w:rsidR="0065632F">
              <w:t>Utility</w:t>
            </w:r>
            <w:r w:rsidRPr="007279D2">
              <w:t xml:space="preserve"> Service</w:t>
            </w:r>
            <w:r w:rsidR="0065632F">
              <w:t>s</w:t>
            </w:r>
            <w:r w:rsidRPr="007279D2">
              <w:t xml:space="preserve"> and Energy Efficiency in Pennsylvania</w:t>
            </w:r>
          </w:p>
          <w:p w:rsidR="006163AA" w:rsidRPr="007279D2" w:rsidRDefault="006163AA" w:rsidP="006D4A8D">
            <w:r w:rsidRPr="007279D2">
              <w:t>Dominion Retail, Inc.</w:t>
            </w:r>
          </w:p>
          <w:p w:rsidR="006163AA" w:rsidRPr="007279D2" w:rsidRDefault="006163AA" w:rsidP="006D4A8D">
            <w:r w:rsidRPr="007279D2">
              <w:t>Shipley Energy Company</w:t>
            </w:r>
          </w:p>
          <w:p w:rsidR="006163AA" w:rsidRPr="007279D2" w:rsidRDefault="006163AA" w:rsidP="006D4A8D">
            <w:r w:rsidRPr="007279D2">
              <w:t>Interstate Gas Supply, Inc.</w:t>
            </w:r>
          </w:p>
          <w:p w:rsidR="006163AA" w:rsidRPr="007279D2" w:rsidRDefault="006163AA" w:rsidP="006D4A8D">
            <w:r w:rsidRPr="007279D2">
              <w:t>The Pennsylvania State University</w:t>
            </w:r>
          </w:p>
          <w:p w:rsidR="006163AA" w:rsidRPr="007279D2" w:rsidRDefault="006163AA" w:rsidP="006D4A8D"/>
          <w:p w:rsidR="006163AA" w:rsidRPr="007279D2" w:rsidRDefault="006163AA" w:rsidP="006D4A8D">
            <w:r w:rsidRPr="007279D2">
              <w:tab/>
            </w:r>
            <w:r w:rsidRPr="007279D2">
              <w:tab/>
              <w:t>Intervenors</w:t>
            </w:r>
          </w:p>
          <w:p w:rsidR="006163AA" w:rsidRPr="007279D2" w:rsidRDefault="006163AA" w:rsidP="006D4A8D"/>
          <w:p w:rsidR="006163AA" w:rsidRPr="007279D2" w:rsidRDefault="006163AA" w:rsidP="006D4A8D">
            <w:r w:rsidRPr="007279D2">
              <w:tab/>
              <w:t xml:space="preserve">v. </w:t>
            </w:r>
          </w:p>
          <w:p w:rsidR="006163AA" w:rsidRPr="007279D2" w:rsidRDefault="006163AA" w:rsidP="006D4A8D"/>
          <w:p w:rsidR="006163AA" w:rsidRPr="007279D2" w:rsidRDefault="006163AA" w:rsidP="006D4A8D">
            <w:r w:rsidRPr="007279D2">
              <w:t>Columbia Gas of Pennsylvania, Inc.</w:t>
            </w:r>
          </w:p>
        </w:tc>
        <w:tc>
          <w:tcPr>
            <w:tcW w:w="540" w:type="dxa"/>
            <w:tcBorders>
              <w:top w:val="nil"/>
              <w:left w:val="nil"/>
              <w:bottom w:val="nil"/>
              <w:right w:val="nil"/>
            </w:tcBorders>
          </w:tcPr>
          <w:p w:rsidR="006163AA" w:rsidRPr="007279D2" w:rsidRDefault="006163AA" w:rsidP="006D4A8D">
            <w:pPr>
              <w:jc w:val="center"/>
              <w:rPr>
                <w:b/>
              </w:rPr>
            </w:pPr>
            <w:r w:rsidRPr="007279D2">
              <w:rPr>
                <w:b/>
              </w:rPr>
              <w:t>:</w:t>
            </w:r>
            <w:r w:rsidRPr="007279D2">
              <w:rPr>
                <w:b/>
              </w:rPr>
              <w:br/>
              <w:t>:</w:t>
            </w:r>
            <w:r w:rsidRPr="007279D2">
              <w:rPr>
                <w:b/>
              </w:rPr>
              <w:br/>
              <w:t>:</w:t>
            </w:r>
            <w:r w:rsidRPr="007279D2">
              <w:rPr>
                <w:b/>
              </w:rPr>
              <w:br/>
            </w:r>
            <w:r w:rsidR="00FC5CAE" w:rsidRPr="007279D2">
              <w:rPr>
                <w:b/>
              </w:rPr>
              <w:t>:</w:t>
            </w:r>
            <w:r w:rsidRPr="007279D2">
              <w:rPr>
                <w:b/>
              </w:rPr>
              <w:b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p w:rsidR="006163AA" w:rsidRPr="007279D2" w:rsidRDefault="006163AA" w:rsidP="006D4A8D">
            <w:pPr>
              <w:jc w:val="center"/>
              <w:rPr>
                <w:b/>
              </w:rPr>
            </w:pPr>
            <w:r w:rsidRPr="007279D2">
              <w:rPr>
                <w:b/>
              </w:rPr>
              <w:t>:</w:t>
            </w:r>
          </w:p>
        </w:tc>
        <w:tc>
          <w:tcPr>
            <w:tcW w:w="4608" w:type="dxa"/>
            <w:tcBorders>
              <w:top w:val="nil"/>
              <w:left w:val="nil"/>
              <w:bottom w:val="nil"/>
              <w:right w:val="nil"/>
            </w:tcBorders>
          </w:tcPr>
          <w:p w:rsidR="006163AA" w:rsidRPr="007279D2" w:rsidRDefault="006163AA" w:rsidP="006D4A8D">
            <w:pPr>
              <w:jc w:val="right"/>
            </w:pPr>
            <w:r w:rsidRPr="007279D2">
              <w:t xml:space="preserve">Docket Nos. </w:t>
            </w:r>
            <w:r w:rsidRPr="007279D2">
              <w:tab/>
              <w:t>R-2012-2321748</w:t>
            </w:r>
          </w:p>
          <w:p w:rsidR="006163AA" w:rsidRPr="007279D2" w:rsidRDefault="006163AA" w:rsidP="006D4A8D">
            <w:pPr>
              <w:jc w:val="right"/>
            </w:pPr>
            <w:r w:rsidRPr="007279D2">
              <w:t>M-2012-2323645</w:t>
            </w:r>
          </w:p>
          <w:p w:rsidR="006163AA" w:rsidRPr="007279D2" w:rsidRDefault="006163AA" w:rsidP="006D4A8D">
            <w:pPr>
              <w:jc w:val="right"/>
            </w:pPr>
            <w:r w:rsidRPr="007279D2">
              <w:t>C-2012-2330240</w:t>
            </w:r>
          </w:p>
          <w:p w:rsidR="006163AA" w:rsidRPr="007279D2" w:rsidRDefault="006163AA" w:rsidP="006D4A8D">
            <w:pPr>
              <w:jc w:val="right"/>
            </w:pPr>
            <w:r w:rsidRPr="007279D2">
              <w:t>C-2012-2330539</w:t>
            </w:r>
          </w:p>
          <w:p w:rsidR="006163AA" w:rsidRPr="007279D2" w:rsidRDefault="006163AA" w:rsidP="006D4A8D">
            <w:pPr>
              <w:jc w:val="right"/>
            </w:pPr>
            <w:r w:rsidRPr="007279D2">
              <w:t>C-2012-2330724</w:t>
            </w:r>
          </w:p>
          <w:p w:rsidR="006163AA" w:rsidRPr="007279D2" w:rsidRDefault="006163AA" w:rsidP="006D4A8D">
            <w:pPr>
              <w:jc w:val="right"/>
            </w:pPr>
            <w:r w:rsidRPr="007279D2">
              <w:t>C-2012-2332087</w:t>
            </w:r>
          </w:p>
          <w:p w:rsidR="006163AA" w:rsidRPr="007279D2" w:rsidRDefault="006163AA" w:rsidP="006D4A8D">
            <w:pPr>
              <w:jc w:val="right"/>
            </w:pPr>
            <w:r w:rsidRPr="007279D2">
              <w:t>C-2012-2332497</w:t>
            </w:r>
          </w:p>
          <w:p w:rsidR="006163AA" w:rsidRPr="007279D2" w:rsidRDefault="006163AA" w:rsidP="006D4A8D">
            <w:pPr>
              <w:jc w:val="right"/>
            </w:pPr>
            <w:r w:rsidRPr="007279D2">
              <w:t>C-2012-2333247</w:t>
            </w:r>
          </w:p>
          <w:p w:rsidR="006163AA" w:rsidRPr="007279D2" w:rsidRDefault="006163AA" w:rsidP="006D4A8D">
            <w:pPr>
              <w:jc w:val="right"/>
            </w:pPr>
            <w:r w:rsidRPr="007279D2">
              <w:t>C-2012-2328788</w:t>
            </w:r>
          </w:p>
          <w:p w:rsidR="006163AA" w:rsidRPr="007279D2" w:rsidRDefault="006163AA" w:rsidP="006D4A8D">
            <w:pPr>
              <w:jc w:val="right"/>
            </w:pPr>
            <w:r w:rsidRPr="007279D2">
              <w:t>C-2012-2334026</w:t>
            </w:r>
          </w:p>
          <w:p w:rsidR="006163AA" w:rsidRPr="007279D2" w:rsidRDefault="006163AA" w:rsidP="006D4A8D">
            <w:pPr>
              <w:jc w:val="right"/>
            </w:pPr>
            <w:r w:rsidRPr="007279D2">
              <w:t>C-2012-2336033</w:t>
            </w:r>
          </w:p>
          <w:p w:rsidR="006163AA" w:rsidRPr="007279D2" w:rsidRDefault="006163AA" w:rsidP="006D4A8D">
            <w:pPr>
              <w:jc w:val="right"/>
            </w:pPr>
          </w:p>
        </w:tc>
      </w:tr>
    </w:tbl>
    <w:p w:rsidR="006163AA" w:rsidRPr="007279D2" w:rsidRDefault="006163AA" w:rsidP="006163AA">
      <w:pPr>
        <w:jc w:val="center"/>
      </w:pPr>
    </w:p>
    <w:p w:rsidR="006163AA" w:rsidRPr="007279D2" w:rsidRDefault="006163AA" w:rsidP="006163AA">
      <w:pPr>
        <w:tabs>
          <w:tab w:val="center" w:pos="4680"/>
        </w:tabs>
        <w:jc w:val="both"/>
      </w:pPr>
    </w:p>
    <w:p w:rsidR="006163AA" w:rsidRPr="007279D2" w:rsidRDefault="006163AA" w:rsidP="006163AA">
      <w:pPr>
        <w:jc w:val="center"/>
        <w:rPr>
          <w:b/>
          <w:u w:val="single"/>
        </w:rPr>
      </w:pPr>
    </w:p>
    <w:p w:rsidR="006163AA" w:rsidRPr="007279D2" w:rsidRDefault="006163AA" w:rsidP="006163AA">
      <w:pPr>
        <w:jc w:val="center"/>
      </w:pPr>
      <w:r w:rsidRPr="007279D2">
        <w:rPr>
          <w:b/>
          <w:u w:val="single"/>
        </w:rPr>
        <w:t>RECOMMENDED DECISION</w:t>
      </w:r>
    </w:p>
    <w:p w:rsidR="006163AA" w:rsidRPr="007279D2" w:rsidRDefault="006163AA" w:rsidP="006163AA">
      <w:pPr>
        <w:jc w:val="center"/>
      </w:pPr>
    </w:p>
    <w:p w:rsidR="006163AA" w:rsidRPr="007279D2" w:rsidRDefault="006163AA" w:rsidP="006163AA">
      <w:pPr>
        <w:jc w:val="center"/>
      </w:pPr>
    </w:p>
    <w:p w:rsidR="006163AA" w:rsidRPr="007279D2" w:rsidRDefault="006163AA" w:rsidP="006163AA">
      <w:pPr>
        <w:jc w:val="center"/>
      </w:pPr>
      <w:r w:rsidRPr="007279D2">
        <w:t>Before</w:t>
      </w:r>
    </w:p>
    <w:p w:rsidR="006163AA" w:rsidRPr="007279D2" w:rsidRDefault="006163AA" w:rsidP="006163AA">
      <w:pPr>
        <w:jc w:val="center"/>
      </w:pPr>
      <w:r w:rsidRPr="007279D2">
        <w:t>Mark A. Hoyer and Jeffrey A. Watson</w:t>
      </w:r>
    </w:p>
    <w:p w:rsidR="006163AA" w:rsidRPr="007279D2" w:rsidRDefault="006163AA" w:rsidP="006163AA">
      <w:pPr>
        <w:jc w:val="center"/>
      </w:pPr>
      <w:r w:rsidRPr="007279D2">
        <w:t>Administrative Law Judges</w:t>
      </w:r>
    </w:p>
    <w:p w:rsidR="00FC5CAE" w:rsidRPr="007279D2" w:rsidRDefault="00FC5CAE" w:rsidP="00FC5CAE">
      <w:pPr>
        <w:sectPr w:rsidR="00FC5CAE" w:rsidRPr="007279D2" w:rsidSect="008A53F1">
          <w:footerReference w:type="even" r:id="rId9"/>
          <w:footerReference w:type="default" r:id="rId10"/>
          <w:footerReference w:type="first" r:id="rId11"/>
          <w:pgSz w:w="12240" w:h="15840" w:code="1"/>
          <w:pgMar w:top="1440" w:right="1440" w:bottom="1440" w:left="1440" w:header="1440" w:footer="1440" w:gutter="0"/>
          <w:cols w:space="720"/>
          <w:titlePg/>
          <w:docGrid w:linePitch="360"/>
        </w:sectPr>
      </w:pPr>
    </w:p>
    <w:p w:rsidR="0038205B" w:rsidRPr="007279D2" w:rsidRDefault="0038205B" w:rsidP="0038205B">
      <w:pPr>
        <w:tabs>
          <w:tab w:val="left" w:pos="720"/>
          <w:tab w:val="left" w:pos="1440"/>
          <w:tab w:val="left" w:pos="2160"/>
          <w:tab w:val="center" w:pos="4680"/>
        </w:tabs>
        <w:spacing w:line="360" w:lineRule="auto"/>
        <w:jc w:val="center"/>
        <w:rPr>
          <w:b/>
          <w:u w:val="single"/>
        </w:rPr>
      </w:pPr>
      <w:r w:rsidRPr="007279D2">
        <w:rPr>
          <w:b/>
          <w:u w:val="single"/>
        </w:rPr>
        <w:lastRenderedPageBreak/>
        <w:t>TABLE OF CONTENTS</w:t>
      </w:r>
    </w:p>
    <w:p w:rsidR="0038205B" w:rsidRPr="007279D2" w:rsidRDefault="0038205B" w:rsidP="0038205B">
      <w:pPr>
        <w:tabs>
          <w:tab w:val="left" w:pos="720"/>
          <w:tab w:val="left" w:pos="1440"/>
          <w:tab w:val="left" w:pos="2160"/>
        </w:tabs>
        <w:spacing w:line="360" w:lineRule="auto"/>
      </w:pPr>
    </w:p>
    <w:p w:rsidR="0038205B" w:rsidRPr="007279D2" w:rsidRDefault="0038205B" w:rsidP="009254CE">
      <w:pPr>
        <w:tabs>
          <w:tab w:val="left" w:pos="720"/>
          <w:tab w:val="left" w:pos="1440"/>
          <w:tab w:val="left" w:pos="2160"/>
          <w:tab w:val="right" w:leader="dot" w:pos="9360"/>
        </w:tabs>
      </w:pPr>
      <w:r w:rsidRPr="007279D2">
        <w:t>I.</w:t>
      </w:r>
      <w:r w:rsidRPr="007279D2">
        <w:tab/>
      </w:r>
      <w:r w:rsidR="009254CE" w:rsidRPr="007279D2">
        <w:rPr>
          <w:caps/>
        </w:rPr>
        <w:t>HISTORY OF THE PROCEEDING</w:t>
      </w:r>
      <w:r w:rsidRPr="007279D2">
        <w:tab/>
        <w:t>1</w:t>
      </w:r>
    </w:p>
    <w:p w:rsidR="009254CE" w:rsidRPr="007279D2" w:rsidRDefault="009254CE" w:rsidP="009254CE">
      <w:pPr>
        <w:tabs>
          <w:tab w:val="left" w:pos="720"/>
          <w:tab w:val="left" w:pos="1440"/>
          <w:tab w:val="left" w:pos="2160"/>
          <w:tab w:val="right" w:leader="dot" w:pos="9360"/>
        </w:tabs>
      </w:pPr>
    </w:p>
    <w:p w:rsidR="0038205B" w:rsidRPr="007279D2" w:rsidRDefault="0038205B" w:rsidP="009254CE">
      <w:pPr>
        <w:tabs>
          <w:tab w:val="left" w:pos="720"/>
          <w:tab w:val="left" w:pos="1440"/>
          <w:tab w:val="left" w:pos="2160"/>
          <w:tab w:val="right" w:leader="dot" w:pos="9360"/>
        </w:tabs>
      </w:pPr>
      <w:r w:rsidRPr="007279D2">
        <w:t>II.</w:t>
      </w:r>
      <w:r w:rsidRPr="007279D2">
        <w:tab/>
      </w:r>
      <w:r w:rsidR="009254CE" w:rsidRPr="007279D2">
        <w:t>DESCRIPTION AND TERMS OF SETTLEMENT</w:t>
      </w:r>
      <w:r w:rsidRPr="007279D2">
        <w:tab/>
      </w:r>
      <w:r w:rsidR="009254CE" w:rsidRPr="007279D2">
        <w:t>5</w:t>
      </w:r>
    </w:p>
    <w:p w:rsidR="009254CE" w:rsidRPr="007279D2" w:rsidRDefault="009254CE" w:rsidP="009254CE">
      <w:pPr>
        <w:tabs>
          <w:tab w:val="left" w:pos="720"/>
          <w:tab w:val="left" w:pos="1440"/>
          <w:tab w:val="left" w:pos="2160"/>
          <w:tab w:val="right" w:leader="dot" w:pos="9360"/>
        </w:tabs>
      </w:pPr>
    </w:p>
    <w:p w:rsidR="0038205B" w:rsidRPr="007279D2" w:rsidRDefault="0038205B" w:rsidP="009254CE">
      <w:pPr>
        <w:tabs>
          <w:tab w:val="left" w:pos="720"/>
          <w:tab w:val="left" w:pos="1440"/>
          <w:tab w:val="right" w:leader="dot" w:pos="9360"/>
        </w:tabs>
      </w:pPr>
      <w:r w:rsidRPr="007279D2">
        <w:tab/>
        <w:t>A.</w:t>
      </w:r>
      <w:r w:rsidRPr="007279D2">
        <w:tab/>
      </w:r>
      <w:r w:rsidR="009254CE" w:rsidRPr="007279D2">
        <w:t>Revenue Requirement</w:t>
      </w:r>
      <w:r w:rsidRPr="007279D2">
        <w:tab/>
      </w:r>
      <w:r w:rsidR="009254CE" w:rsidRPr="007279D2">
        <w:t>8</w:t>
      </w:r>
    </w:p>
    <w:p w:rsidR="009254CE" w:rsidRPr="007279D2" w:rsidRDefault="009254CE" w:rsidP="009254CE">
      <w:pPr>
        <w:tabs>
          <w:tab w:val="left" w:pos="720"/>
          <w:tab w:val="left" w:pos="1440"/>
          <w:tab w:val="right" w:leader="dot" w:pos="9360"/>
        </w:tabs>
      </w:pPr>
    </w:p>
    <w:p w:rsidR="0038205B" w:rsidRPr="007279D2" w:rsidRDefault="0038205B" w:rsidP="009254CE">
      <w:pPr>
        <w:tabs>
          <w:tab w:val="left" w:pos="720"/>
          <w:tab w:val="left" w:pos="1440"/>
          <w:tab w:val="left" w:pos="2160"/>
          <w:tab w:val="right" w:leader="dot" w:pos="9360"/>
        </w:tabs>
      </w:pPr>
      <w:r w:rsidRPr="007279D2">
        <w:tab/>
        <w:t>B.</w:t>
      </w:r>
      <w:r w:rsidRPr="007279D2">
        <w:tab/>
      </w:r>
      <w:r w:rsidR="009254CE" w:rsidRPr="007279D2">
        <w:t>Revenue Allocation and Rate Design</w:t>
      </w:r>
      <w:r w:rsidRPr="007279D2">
        <w:tab/>
        <w:t>1</w:t>
      </w:r>
      <w:r w:rsidR="00763BE4" w:rsidRPr="007279D2">
        <w:t>1</w:t>
      </w:r>
    </w:p>
    <w:p w:rsidR="009254CE" w:rsidRPr="007279D2" w:rsidRDefault="009254CE" w:rsidP="009254CE">
      <w:pPr>
        <w:tabs>
          <w:tab w:val="left" w:pos="720"/>
          <w:tab w:val="left" w:pos="1440"/>
          <w:tab w:val="left" w:pos="2160"/>
          <w:tab w:val="right" w:leader="dot" w:pos="9360"/>
        </w:tabs>
      </w:pPr>
    </w:p>
    <w:p w:rsidR="009254CE" w:rsidRPr="007279D2" w:rsidRDefault="009254CE" w:rsidP="009254CE">
      <w:pPr>
        <w:tabs>
          <w:tab w:val="left" w:pos="720"/>
          <w:tab w:val="left" w:pos="1440"/>
          <w:tab w:val="left" w:pos="2160"/>
          <w:tab w:val="right" w:leader="dot" w:pos="9360"/>
        </w:tabs>
      </w:pPr>
      <w:r w:rsidRPr="007279D2">
        <w:tab/>
        <w:t>C.</w:t>
      </w:r>
      <w:r w:rsidRPr="007279D2">
        <w:tab/>
        <w:t>Universal Service and Conservation</w:t>
      </w:r>
      <w:r w:rsidRPr="007279D2">
        <w:tab/>
        <w:t>13</w:t>
      </w:r>
    </w:p>
    <w:p w:rsidR="009254CE" w:rsidRPr="007279D2" w:rsidRDefault="009254CE" w:rsidP="009254CE">
      <w:pPr>
        <w:tabs>
          <w:tab w:val="left" w:pos="720"/>
          <w:tab w:val="left" w:pos="1440"/>
          <w:tab w:val="left" w:pos="2160"/>
          <w:tab w:val="right" w:leader="dot" w:pos="9360"/>
        </w:tabs>
      </w:pPr>
    </w:p>
    <w:p w:rsidR="009254CE" w:rsidRPr="007279D2" w:rsidRDefault="009254CE" w:rsidP="009254CE">
      <w:pPr>
        <w:tabs>
          <w:tab w:val="left" w:pos="720"/>
          <w:tab w:val="left" w:pos="1440"/>
          <w:tab w:val="right" w:leader="dot" w:pos="9360"/>
        </w:tabs>
      </w:pPr>
      <w:r w:rsidRPr="007279D2">
        <w:tab/>
        <w:t>D.</w:t>
      </w:r>
      <w:r w:rsidRPr="007279D2">
        <w:tab/>
        <w:t>Other</w:t>
      </w:r>
      <w:r w:rsidRPr="007279D2">
        <w:tab/>
        <w:t>14</w:t>
      </w:r>
    </w:p>
    <w:p w:rsidR="009254CE" w:rsidRPr="007279D2" w:rsidRDefault="009254CE" w:rsidP="009254CE">
      <w:pPr>
        <w:tabs>
          <w:tab w:val="left" w:pos="720"/>
          <w:tab w:val="left" w:pos="1440"/>
          <w:tab w:val="right" w:leader="dot" w:pos="9360"/>
        </w:tabs>
      </w:pPr>
    </w:p>
    <w:p w:rsidR="009254CE" w:rsidRPr="007279D2" w:rsidRDefault="009254CE" w:rsidP="009254CE">
      <w:pPr>
        <w:tabs>
          <w:tab w:val="left" w:pos="720"/>
          <w:tab w:val="left" w:pos="1440"/>
          <w:tab w:val="right" w:leader="dot" w:pos="9360"/>
        </w:tabs>
      </w:pPr>
      <w:r w:rsidRPr="007279D2">
        <w:t>III.</w:t>
      </w:r>
      <w:r w:rsidRPr="007279D2">
        <w:tab/>
        <w:t>DISCUSSION</w:t>
      </w:r>
      <w:r w:rsidRPr="007279D2">
        <w:tab/>
        <w:t>16</w:t>
      </w:r>
    </w:p>
    <w:p w:rsidR="009254CE" w:rsidRPr="007279D2" w:rsidRDefault="009254CE" w:rsidP="009254CE">
      <w:pPr>
        <w:tabs>
          <w:tab w:val="left" w:pos="720"/>
          <w:tab w:val="left" w:pos="1440"/>
          <w:tab w:val="right" w:leader="dot" w:pos="9360"/>
        </w:tabs>
      </w:pPr>
    </w:p>
    <w:p w:rsidR="009254CE" w:rsidRPr="007279D2" w:rsidRDefault="009254CE" w:rsidP="009254CE">
      <w:pPr>
        <w:tabs>
          <w:tab w:val="left" w:pos="720"/>
          <w:tab w:val="left" w:pos="1440"/>
          <w:tab w:val="right" w:leader="dot" w:pos="9360"/>
        </w:tabs>
      </w:pPr>
      <w:r w:rsidRPr="007279D2">
        <w:tab/>
        <w:t>A.</w:t>
      </w:r>
      <w:r w:rsidRPr="007279D2">
        <w:tab/>
        <w:t>Columbia’s Position</w:t>
      </w:r>
      <w:r w:rsidRPr="007279D2">
        <w:tab/>
        <w:t>16</w:t>
      </w:r>
    </w:p>
    <w:p w:rsidR="009254CE" w:rsidRPr="007279D2" w:rsidRDefault="009254CE" w:rsidP="009254CE">
      <w:pPr>
        <w:tabs>
          <w:tab w:val="left" w:pos="720"/>
          <w:tab w:val="left" w:pos="1440"/>
          <w:tab w:val="right" w:leader="dot" w:pos="9360"/>
        </w:tabs>
      </w:pPr>
    </w:p>
    <w:p w:rsidR="0038205B" w:rsidRPr="007279D2" w:rsidRDefault="0038205B" w:rsidP="009254CE">
      <w:pPr>
        <w:tabs>
          <w:tab w:val="left" w:pos="720"/>
          <w:tab w:val="left" w:pos="1440"/>
          <w:tab w:val="left" w:pos="2160"/>
          <w:tab w:val="right" w:leader="dot" w:pos="9360"/>
        </w:tabs>
      </w:pPr>
      <w:r w:rsidRPr="007279D2">
        <w:tab/>
      </w:r>
      <w:r w:rsidRPr="007279D2">
        <w:tab/>
        <w:t>1.</w:t>
      </w:r>
      <w:r w:rsidRPr="007279D2">
        <w:tab/>
      </w:r>
      <w:r w:rsidR="009254CE" w:rsidRPr="007279D2">
        <w:t>Revenue Requirement</w:t>
      </w:r>
      <w:r w:rsidRPr="007279D2">
        <w:tab/>
        <w:t>1</w:t>
      </w:r>
      <w:r w:rsidR="009254CE" w:rsidRPr="007279D2">
        <w:t>7</w:t>
      </w:r>
    </w:p>
    <w:p w:rsidR="009254CE" w:rsidRPr="007279D2" w:rsidRDefault="009254CE" w:rsidP="009254CE">
      <w:pPr>
        <w:tabs>
          <w:tab w:val="left" w:pos="720"/>
          <w:tab w:val="left" w:pos="1440"/>
          <w:tab w:val="left" w:pos="2160"/>
          <w:tab w:val="right" w:leader="dot" w:pos="9360"/>
        </w:tabs>
      </w:pPr>
    </w:p>
    <w:p w:rsidR="009254CE" w:rsidRPr="007279D2" w:rsidRDefault="0038205B" w:rsidP="009254CE">
      <w:pPr>
        <w:tabs>
          <w:tab w:val="left" w:pos="720"/>
          <w:tab w:val="left" w:pos="1440"/>
          <w:tab w:val="left" w:pos="2160"/>
          <w:tab w:val="left" w:pos="2880"/>
          <w:tab w:val="right" w:leader="dot" w:pos="9360"/>
        </w:tabs>
      </w:pPr>
      <w:r w:rsidRPr="007279D2">
        <w:tab/>
      </w:r>
      <w:r w:rsidRPr="007279D2">
        <w:tab/>
      </w:r>
      <w:r w:rsidRPr="007279D2">
        <w:tab/>
        <w:t>a.</w:t>
      </w:r>
      <w:r w:rsidRPr="007279D2">
        <w:tab/>
      </w:r>
      <w:r w:rsidR="009254CE" w:rsidRPr="007279D2">
        <w:t>Tax Repair Allowance and Mixed Service Cost Normalization</w:t>
      </w:r>
    </w:p>
    <w:p w:rsidR="0038205B" w:rsidRPr="007279D2" w:rsidRDefault="009254CE" w:rsidP="009254CE">
      <w:pPr>
        <w:tabs>
          <w:tab w:val="left" w:pos="720"/>
          <w:tab w:val="left" w:pos="1440"/>
          <w:tab w:val="left" w:pos="2160"/>
          <w:tab w:val="left" w:pos="2880"/>
          <w:tab w:val="right" w:leader="dot" w:pos="9360"/>
        </w:tabs>
      </w:pPr>
      <w:r w:rsidRPr="007279D2">
        <w:tab/>
      </w:r>
      <w:r w:rsidRPr="007279D2">
        <w:tab/>
      </w:r>
      <w:r w:rsidRPr="007279D2">
        <w:tab/>
      </w:r>
      <w:r w:rsidRPr="007279D2">
        <w:tab/>
        <w:t>Treatment</w:t>
      </w:r>
      <w:r w:rsidR="0038205B" w:rsidRPr="007279D2">
        <w:tab/>
      </w:r>
      <w:r w:rsidRPr="007279D2">
        <w:t>21</w:t>
      </w:r>
    </w:p>
    <w:p w:rsidR="009254CE" w:rsidRPr="007279D2" w:rsidRDefault="009254CE" w:rsidP="009254CE">
      <w:pPr>
        <w:tabs>
          <w:tab w:val="left" w:pos="720"/>
          <w:tab w:val="left" w:pos="1440"/>
          <w:tab w:val="left" w:pos="2160"/>
          <w:tab w:val="left" w:pos="2880"/>
          <w:tab w:val="right" w:leader="dot" w:pos="9360"/>
        </w:tabs>
      </w:pPr>
    </w:p>
    <w:p w:rsidR="009254CE" w:rsidRPr="007279D2" w:rsidRDefault="009254CE" w:rsidP="009254CE">
      <w:pPr>
        <w:tabs>
          <w:tab w:val="left" w:pos="720"/>
          <w:tab w:val="left" w:pos="1440"/>
          <w:tab w:val="left" w:pos="2160"/>
          <w:tab w:val="left" w:pos="2880"/>
          <w:tab w:val="right" w:leader="dot" w:pos="9360"/>
        </w:tabs>
      </w:pPr>
      <w:r w:rsidRPr="007279D2">
        <w:tab/>
      </w:r>
      <w:r w:rsidRPr="007279D2">
        <w:tab/>
      </w:r>
      <w:r w:rsidRPr="007279D2">
        <w:tab/>
        <w:t>b.</w:t>
      </w:r>
      <w:r w:rsidRPr="007279D2">
        <w:tab/>
        <w:t>Amortizations</w:t>
      </w:r>
      <w:r w:rsidRPr="007279D2">
        <w:tab/>
        <w:t>22</w:t>
      </w:r>
    </w:p>
    <w:p w:rsidR="0038205B" w:rsidRPr="007279D2" w:rsidRDefault="0038205B" w:rsidP="009254CE">
      <w:pPr>
        <w:tabs>
          <w:tab w:val="left" w:pos="720"/>
          <w:tab w:val="left" w:pos="1440"/>
          <w:tab w:val="left" w:pos="2160"/>
          <w:tab w:val="left" w:pos="2880"/>
          <w:tab w:val="left" w:pos="3600"/>
          <w:tab w:val="right" w:leader="dot" w:pos="9360"/>
        </w:tabs>
      </w:pPr>
      <w:r w:rsidRPr="007279D2">
        <w:tab/>
      </w:r>
      <w:r w:rsidRPr="007279D2">
        <w:tab/>
      </w:r>
      <w:r w:rsidRPr="007279D2">
        <w:tab/>
      </w:r>
      <w:r w:rsidRPr="007279D2">
        <w:tab/>
      </w:r>
    </w:p>
    <w:p w:rsidR="0038205B" w:rsidRPr="007279D2" w:rsidRDefault="0038205B" w:rsidP="00B5155B">
      <w:pPr>
        <w:tabs>
          <w:tab w:val="left" w:pos="720"/>
          <w:tab w:val="left" w:pos="1440"/>
          <w:tab w:val="left" w:pos="2160"/>
          <w:tab w:val="left" w:pos="2880"/>
          <w:tab w:val="right" w:leader="dot" w:pos="9360"/>
        </w:tabs>
      </w:pPr>
      <w:r w:rsidRPr="007279D2">
        <w:tab/>
      </w:r>
      <w:r w:rsidRPr="007279D2">
        <w:tab/>
      </w:r>
      <w:r w:rsidRPr="007279D2">
        <w:tab/>
        <w:t>c.</w:t>
      </w:r>
      <w:r w:rsidRPr="007279D2">
        <w:tab/>
      </w:r>
      <w:r w:rsidR="009254CE" w:rsidRPr="007279D2">
        <w:t>Other Post-Employment Benefits (“OPEB”) Expense</w:t>
      </w:r>
      <w:r w:rsidRPr="007279D2">
        <w:tab/>
      </w:r>
      <w:r w:rsidR="009254CE" w:rsidRPr="007279D2">
        <w:t>24</w:t>
      </w:r>
    </w:p>
    <w:p w:rsidR="0038205B" w:rsidRPr="007279D2" w:rsidRDefault="0038205B" w:rsidP="00B5155B">
      <w:pPr>
        <w:tabs>
          <w:tab w:val="left" w:pos="720"/>
          <w:tab w:val="left" w:pos="1440"/>
          <w:tab w:val="left" w:pos="2160"/>
          <w:tab w:val="left" w:pos="2880"/>
          <w:tab w:val="left" w:pos="3600"/>
          <w:tab w:val="right" w:leader="dot" w:pos="9360"/>
        </w:tabs>
      </w:pPr>
      <w:r w:rsidRPr="007279D2">
        <w:tab/>
      </w:r>
      <w:r w:rsidRPr="007279D2">
        <w:tab/>
      </w:r>
      <w:r w:rsidRPr="007279D2">
        <w:tab/>
      </w:r>
      <w:r w:rsidRPr="007279D2">
        <w:tab/>
      </w:r>
    </w:p>
    <w:p w:rsidR="0038205B" w:rsidRPr="007279D2" w:rsidRDefault="0038205B" w:rsidP="00B5155B">
      <w:pPr>
        <w:tabs>
          <w:tab w:val="left" w:pos="720"/>
          <w:tab w:val="left" w:pos="1440"/>
          <w:tab w:val="left" w:pos="2160"/>
          <w:tab w:val="left" w:pos="2880"/>
          <w:tab w:val="left" w:pos="3600"/>
          <w:tab w:val="right" w:leader="dot" w:pos="9360"/>
        </w:tabs>
      </w:pPr>
      <w:r w:rsidRPr="007279D2">
        <w:tab/>
      </w:r>
      <w:r w:rsidRPr="007279D2">
        <w:tab/>
      </w:r>
      <w:r w:rsidRPr="007279D2">
        <w:tab/>
        <w:t>d.</w:t>
      </w:r>
      <w:r w:rsidRPr="007279D2">
        <w:tab/>
      </w:r>
      <w:r w:rsidR="005835FE" w:rsidRPr="007279D2">
        <w:t>Distribution System Improvement Charge (“DSIC”)</w:t>
      </w:r>
      <w:r w:rsidRPr="007279D2">
        <w:tab/>
        <w:t>2</w:t>
      </w:r>
      <w:r w:rsidR="005835FE" w:rsidRPr="007279D2">
        <w:t>5</w:t>
      </w:r>
    </w:p>
    <w:p w:rsidR="00872426" w:rsidRPr="007279D2" w:rsidRDefault="00872426" w:rsidP="00B5155B">
      <w:pPr>
        <w:tabs>
          <w:tab w:val="left" w:pos="720"/>
          <w:tab w:val="left" w:pos="1440"/>
          <w:tab w:val="left" w:pos="2160"/>
          <w:tab w:val="left" w:pos="2880"/>
          <w:tab w:val="left" w:pos="3600"/>
          <w:tab w:val="right" w:leader="dot" w:pos="9360"/>
        </w:tabs>
      </w:pPr>
    </w:p>
    <w:p w:rsidR="00872426" w:rsidRPr="007279D2" w:rsidRDefault="00872426" w:rsidP="00B5155B">
      <w:pPr>
        <w:tabs>
          <w:tab w:val="left" w:pos="720"/>
          <w:tab w:val="left" w:pos="1440"/>
          <w:tab w:val="left" w:pos="2160"/>
          <w:tab w:val="left" w:pos="2880"/>
          <w:tab w:val="left" w:pos="3600"/>
          <w:tab w:val="right" w:leader="dot" w:pos="9360"/>
        </w:tabs>
      </w:pPr>
      <w:r w:rsidRPr="007279D2">
        <w:tab/>
      </w:r>
      <w:r w:rsidRPr="007279D2">
        <w:tab/>
        <w:t>2.</w:t>
      </w:r>
      <w:r w:rsidRPr="007279D2">
        <w:tab/>
        <w:t>Revenue Allocation and Non-Residential Rate Design</w:t>
      </w:r>
      <w:r w:rsidRPr="007279D2">
        <w:tab/>
        <w:t>26</w:t>
      </w:r>
    </w:p>
    <w:p w:rsidR="00872426" w:rsidRPr="007279D2" w:rsidRDefault="00872426" w:rsidP="00B5155B">
      <w:pPr>
        <w:tabs>
          <w:tab w:val="left" w:pos="720"/>
          <w:tab w:val="left" w:pos="1440"/>
          <w:tab w:val="left" w:pos="2160"/>
          <w:tab w:val="left" w:pos="2880"/>
          <w:tab w:val="left" w:pos="3600"/>
          <w:tab w:val="right" w:leader="dot" w:pos="9360"/>
        </w:tabs>
      </w:pPr>
    </w:p>
    <w:p w:rsidR="00872426" w:rsidRPr="007279D2" w:rsidRDefault="00872426" w:rsidP="00B5155B">
      <w:pPr>
        <w:pStyle w:val="ListParagraph"/>
        <w:numPr>
          <w:ilvl w:val="0"/>
          <w:numId w:val="17"/>
        </w:numPr>
        <w:tabs>
          <w:tab w:val="left" w:pos="720"/>
          <w:tab w:val="left" w:pos="1440"/>
          <w:tab w:val="left" w:pos="2160"/>
          <w:tab w:val="left" w:pos="2880"/>
          <w:tab w:val="left" w:pos="3600"/>
          <w:tab w:val="right" w:leader="dot" w:pos="9360"/>
        </w:tabs>
        <w:ind w:left="2880" w:hanging="720"/>
        <w:rPr>
          <w:sz w:val="24"/>
          <w:szCs w:val="24"/>
        </w:rPr>
      </w:pPr>
      <w:r w:rsidRPr="007279D2">
        <w:rPr>
          <w:sz w:val="24"/>
          <w:szCs w:val="24"/>
        </w:rPr>
        <w:t>Revenue Allocation</w:t>
      </w:r>
      <w:r w:rsidRPr="007279D2">
        <w:rPr>
          <w:sz w:val="24"/>
          <w:szCs w:val="24"/>
        </w:rPr>
        <w:tab/>
        <w:t>26</w:t>
      </w:r>
    </w:p>
    <w:p w:rsidR="00872426" w:rsidRPr="007279D2" w:rsidRDefault="00872426" w:rsidP="00B5155B">
      <w:pPr>
        <w:pStyle w:val="ListParagraph"/>
        <w:tabs>
          <w:tab w:val="left" w:pos="720"/>
          <w:tab w:val="left" w:pos="1440"/>
          <w:tab w:val="left" w:pos="2160"/>
          <w:tab w:val="left" w:pos="2880"/>
          <w:tab w:val="left" w:pos="3600"/>
          <w:tab w:val="right" w:leader="dot" w:pos="9360"/>
        </w:tabs>
        <w:ind w:left="2880"/>
        <w:rPr>
          <w:sz w:val="24"/>
          <w:szCs w:val="24"/>
        </w:rPr>
      </w:pPr>
    </w:p>
    <w:p w:rsidR="00872426" w:rsidRPr="007279D2" w:rsidRDefault="00872426" w:rsidP="00B5155B">
      <w:pPr>
        <w:pStyle w:val="ListParagraph"/>
        <w:numPr>
          <w:ilvl w:val="0"/>
          <w:numId w:val="17"/>
        </w:numPr>
        <w:tabs>
          <w:tab w:val="left" w:pos="720"/>
          <w:tab w:val="left" w:pos="1440"/>
          <w:tab w:val="left" w:pos="2160"/>
          <w:tab w:val="left" w:pos="2880"/>
          <w:tab w:val="left" w:pos="3600"/>
          <w:tab w:val="right" w:leader="dot" w:pos="9360"/>
        </w:tabs>
        <w:ind w:left="2880" w:hanging="720"/>
        <w:rPr>
          <w:sz w:val="24"/>
          <w:szCs w:val="24"/>
        </w:rPr>
      </w:pPr>
      <w:r w:rsidRPr="007279D2">
        <w:rPr>
          <w:sz w:val="24"/>
          <w:szCs w:val="24"/>
        </w:rPr>
        <w:t>Rate Design</w:t>
      </w:r>
      <w:r w:rsidRPr="007279D2">
        <w:rPr>
          <w:sz w:val="24"/>
          <w:szCs w:val="24"/>
        </w:rPr>
        <w:tab/>
      </w:r>
      <w:r w:rsidR="00B5155B" w:rsidRPr="007279D2">
        <w:rPr>
          <w:sz w:val="24"/>
          <w:szCs w:val="24"/>
        </w:rPr>
        <w:t>27</w:t>
      </w:r>
    </w:p>
    <w:p w:rsidR="00B5155B" w:rsidRPr="007279D2" w:rsidRDefault="00B5155B" w:rsidP="00B5155B">
      <w:pPr>
        <w:tabs>
          <w:tab w:val="left" w:pos="720"/>
          <w:tab w:val="left" w:pos="1440"/>
          <w:tab w:val="left" w:pos="2160"/>
          <w:tab w:val="left" w:pos="2880"/>
          <w:tab w:val="left" w:pos="3600"/>
          <w:tab w:val="right" w:leader="dot" w:pos="9360"/>
        </w:tabs>
        <w:ind w:left="2520"/>
        <w:rPr>
          <w:color w:val="000000"/>
        </w:rPr>
      </w:pPr>
    </w:p>
    <w:p w:rsidR="00B5155B" w:rsidRPr="007279D2" w:rsidRDefault="00B5155B" w:rsidP="00B5155B">
      <w:pPr>
        <w:pStyle w:val="ListParagraph"/>
        <w:numPr>
          <w:ilvl w:val="0"/>
          <w:numId w:val="18"/>
        </w:numPr>
        <w:tabs>
          <w:tab w:val="left" w:pos="720"/>
          <w:tab w:val="left" w:pos="1440"/>
          <w:tab w:val="left" w:pos="2160"/>
          <w:tab w:val="left" w:pos="2880"/>
          <w:tab w:val="left" w:pos="3600"/>
          <w:tab w:val="right" w:leader="dot" w:pos="9360"/>
        </w:tabs>
        <w:rPr>
          <w:sz w:val="24"/>
          <w:szCs w:val="24"/>
        </w:rPr>
      </w:pPr>
      <w:r w:rsidRPr="007279D2">
        <w:rPr>
          <w:sz w:val="24"/>
          <w:szCs w:val="24"/>
        </w:rPr>
        <w:t>Residential Rate Design</w:t>
      </w:r>
      <w:r w:rsidRPr="007279D2">
        <w:rPr>
          <w:sz w:val="24"/>
          <w:szCs w:val="24"/>
        </w:rPr>
        <w:tab/>
        <w:t>27</w:t>
      </w:r>
    </w:p>
    <w:p w:rsidR="005D5142" w:rsidRPr="007279D2" w:rsidRDefault="005D5142" w:rsidP="005D5142">
      <w:pPr>
        <w:tabs>
          <w:tab w:val="left" w:pos="720"/>
          <w:tab w:val="left" w:pos="1440"/>
          <w:tab w:val="left" w:pos="2160"/>
          <w:tab w:val="left" w:pos="2880"/>
          <w:tab w:val="left" w:pos="3600"/>
          <w:tab w:val="right" w:leader="dot" w:pos="9360"/>
        </w:tabs>
      </w:pPr>
    </w:p>
    <w:p w:rsidR="005D5142" w:rsidRPr="007279D2" w:rsidRDefault="005D5142" w:rsidP="005D5142">
      <w:pPr>
        <w:pStyle w:val="ListParagraph"/>
        <w:numPr>
          <w:ilvl w:val="0"/>
          <w:numId w:val="18"/>
        </w:numPr>
        <w:tabs>
          <w:tab w:val="left" w:pos="720"/>
          <w:tab w:val="left" w:pos="1440"/>
          <w:tab w:val="left" w:pos="2160"/>
          <w:tab w:val="left" w:pos="2880"/>
          <w:tab w:val="left" w:pos="3600"/>
          <w:tab w:val="right" w:leader="dot" w:pos="9360"/>
        </w:tabs>
        <w:rPr>
          <w:sz w:val="24"/>
          <w:szCs w:val="24"/>
        </w:rPr>
      </w:pPr>
      <w:r w:rsidRPr="007279D2">
        <w:rPr>
          <w:sz w:val="24"/>
          <w:szCs w:val="24"/>
        </w:rPr>
        <w:t>Commercial and Industrial Rate Design</w:t>
      </w:r>
      <w:r w:rsidRPr="007279D2">
        <w:rPr>
          <w:sz w:val="24"/>
          <w:szCs w:val="24"/>
        </w:rPr>
        <w:tab/>
        <w:t>31</w:t>
      </w:r>
    </w:p>
    <w:p w:rsidR="005D5142" w:rsidRPr="007279D2" w:rsidRDefault="005D5142" w:rsidP="005D5142">
      <w:pPr>
        <w:pStyle w:val="ListParagraph"/>
        <w:rPr>
          <w:sz w:val="24"/>
          <w:szCs w:val="24"/>
        </w:rPr>
      </w:pPr>
    </w:p>
    <w:p w:rsidR="005D5142" w:rsidRPr="007279D2" w:rsidRDefault="005D5142" w:rsidP="005D5142">
      <w:pPr>
        <w:pStyle w:val="ListParagraph"/>
        <w:numPr>
          <w:ilvl w:val="0"/>
          <w:numId w:val="18"/>
        </w:numPr>
        <w:tabs>
          <w:tab w:val="left" w:pos="720"/>
          <w:tab w:val="left" w:pos="1440"/>
          <w:tab w:val="left" w:pos="2160"/>
          <w:tab w:val="left" w:pos="2880"/>
          <w:tab w:val="left" w:pos="3600"/>
          <w:tab w:val="right" w:leader="dot" w:pos="9360"/>
        </w:tabs>
        <w:rPr>
          <w:sz w:val="24"/>
          <w:szCs w:val="24"/>
        </w:rPr>
      </w:pPr>
      <w:r w:rsidRPr="007279D2">
        <w:rPr>
          <w:sz w:val="24"/>
          <w:szCs w:val="24"/>
        </w:rPr>
        <w:t>Gas Procurement Charge (“GPC”)</w:t>
      </w:r>
      <w:r w:rsidRPr="007279D2">
        <w:rPr>
          <w:sz w:val="24"/>
          <w:szCs w:val="24"/>
        </w:rPr>
        <w:tab/>
        <w:t>32</w:t>
      </w:r>
    </w:p>
    <w:p w:rsidR="005D5142" w:rsidRPr="007279D2" w:rsidRDefault="005D5142" w:rsidP="005D5142">
      <w:pPr>
        <w:pStyle w:val="ListParagraph"/>
        <w:rPr>
          <w:sz w:val="24"/>
          <w:szCs w:val="24"/>
        </w:rPr>
      </w:pPr>
    </w:p>
    <w:p w:rsidR="005D5142" w:rsidRPr="007279D2" w:rsidRDefault="005D5142" w:rsidP="005D5142">
      <w:pPr>
        <w:tabs>
          <w:tab w:val="left" w:pos="720"/>
          <w:tab w:val="left" w:pos="1440"/>
          <w:tab w:val="left" w:pos="2160"/>
          <w:tab w:val="left" w:pos="2880"/>
          <w:tab w:val="left" w:pos="3600"/>
          <w:tab w:val="right" w:leader="dot" w:pos="9360"/>
        </w:tabs>
      </w:pPr>
      <w:r w:rsidRPr="007279D2">
        <w:tab/>
      </w:r>
      <w:r w:rsidRPr="007279D2">
        <w:tab/>
        <w:t>3.</w:t>
      </w:r>
      <w:r w:rsidRPr="007279D2">
        <w:tab/>
        <w:t>Universal Service and Conservation</w:t>
      </w:r>
      <w:r w:rsidRPr="007279D2">
        <w:tab/>
        <w:t>33</w:t>
      </w:r>
    </w:p>
    <w:p w:rsidR="005D5142" w:rsidRPr="007279D2" w:rsidRDefault="005D5142" w:rsidP="005D5142">
      <w:pPr>
        <w:tabs>
          <w:tab w:val="left" w:pos="720"/>
          <w:tab w:val="left" w:pos="1440"/>
          <w:tab w:val="left" w:pos="2160"/>
          <w:tab w:val="left" w:pos="2880"/>
          <w:tab w:val="left" w:pos="3600"/>
          <w:tab w:val="right" w:leader="dot" w:pos="9360"/>
        </w:tabs>
      </w:pPr>
    </w:p>
    <w:p w:rsidR="005D5142" w:rsidRPr="007279D2" w:rsidRDefault="005D5142" w:rsidP="005D5142">
      <w:pPr>
        <w:tabs>
          <w:tab w:val="left" w:pos="720"/>
          <w:tab w:val="left" w:pos="1440"/>
          <w:tab w:val="left" w:pos="2160"/>
          <w:tab w:val="left" w:pos="2880"/>
          <w:tab w:val="right" w:leader="dot" w:pos="9360"/>
        </w:tabs>
      </w:pPr>
      <w:r w:rsidRPr="007279D2">
        <w:tab/>
      </w:r>
      <w:r w:rsidRPr="007279D2">
        <w:tab/>
        <w:t>4.</w:t>
      </w:r>
      <w:r w:rsidRPr="007279D2">
        <w:tab/>
        <w:t>Other Issues</w:t>
      </w:r>
      <w:r w:rsidRPr="007279D2">
        <w:tab/>
        <w:t>35</w:t>
      </w:r>
    </w:p>
    <w:p w:rsidR="005D5142" w:rsidRPr="007279D2" w:rsidRDefault="005D5142" w:rsidP="005D5142">
      <w:pPr>
        <w:tabs>
          <w:tab w:val="left" w:pos="720"/>
          <w:tab w:val="left" w:pos="1440"/>
          <w:tab w:val="left" w:pos="2160"/>
          <w:tab w:val="left" w:pos="2880"/>
          <w:tab w:val="left" w:pos="3600"/>
          <w:tab w:val="right" w:leader="dot" w:pos="9360"/>
        </w:tabs>
      </w:pPr>
    </w:p>
    <w:p w:rsidR="005D5142" w:rsidRPr="007279D2" w:rsidRDefault="005D5142" w:rsidP="005D5142">
      <w:pPr>
        <w:pStyle w:val="ListParagraph"/>
        <w:numPr>
          <w:ilvl w:val="1"/>
          <w:numId w:val="17"/>
        </w:numPr>
        <w:tabs>
          <w:tab w:val="left" w:pos="720"/>
          <w:tab w:val="left" w:pos="1440"/>
          <w:tab w:val="left" w:pos="2160"/>
          <w:tab w:val="left" w:pos="2880"/>
          <w:tab w:val="right" w:leader="dot" w:pos="9360"/>
        </w:tabs>
        <w:ind w:hanging="1080"/>
        <w:rPr>
          <w:sz w:val="24"/>
          <w:szCs w:val="24"/>
        </w:rPr>
      </w:pPr>
      <w:r w:rsidRPr="007279D2">
        <w:rPr>
          <w:sz w:val="24"/>
          <w:szCs w:val="24"/>
        </w:rPr>
        <w:t>Future Debt Issuances</w:t>
      </w:r>
      <w:r w:rsidRPr="007279D2">
        <w:rPr>
          <w:sz w:val="24"/>
          <w:szCs w:val="24"/>
        </w:rPr>
        <w:tab/>
        <w:t>35</w:t>
      </w:r>
    </w:p>
    <w:p w:rsidR="005D5142" w:rsidRPr="007279D2" w:rsidRDefault="005D5142" w:rsidP="005D5142">
      <w:pPr>
        <w:tabs>
          <w:tab w:val="left" w:pos="720"/>
          <w:tab w:val="left" w:pos="1440"/>
          <w:tab w:val="left" w:pos="2160"/>
          <w:tab w:val="left" w:pos="2880"/>
          <w:tab w:val="right" w:leader="dot" w:pos="9360"/>
        </w:tabs>
      </w:pPr>
    </w:p>
    <w:p w:rsidR="005D5142" w:rsidRPr="007279D2" w:rsidRDefault="005D5142" w:rsidP="005D5142">
      <w:pPr>
        <w:pStyle w:val="ListParagraph"/>
        <w:numPr>
          <w:ilvl w:val="0"/>
          <w:numId w:val="20"/>
        </w:numPr>
        <w:tabs>
          <w:tab w:val="left" w:pos="720"/>
          <w:tab w:val="left" w:pos="1440"/>
          <w:tab w:val="left" w:pos="2160"/>
          <w:tab w:val="left" w:pos="2880"/>
          <w:tab w:val="right" w:leader="dot" w:pos="9360"/>
        </w:tabs>
        <w:rPr>
          <w:sz w:val="24"/>
          <w:szCs w:val="24"/>
        </w:rPr>
      </w:pPr>
      <w:r w:rsidRPr="007279D2">
        <w:rPr>
          <w:sz w:val="24"/>
          <w:szCs w:val="24"/>
        </w:rPr>
        <w:lastRenderedPageBreak/>
        <w:t>New Area Service Line Extensions</w:t>
      </w:r>
      <w:r w:rsidRPr="007279D2">
        <w:rPr>
          <w:sz w:val="24"/>
          <w:szCs w:val="24"/>
        </w:rPr>
        <w:tab/>
        <w:t>36</w:t>
      </w:r>
    </w:p>
    <w:p w:rsidR="005D5142" w:rsidRPr="007279D2" w:rsidRDefault="005D5142" w:rsidP="005D5142">
      <w:pPr>
        <w:tabs>
          <w:tab w:val="left" w:pos="720"/>
          <w:tab w:val="left" w:pos="1440"/>
          <w:tab w:val="left" w:pos="2160"/>
          <w:tab w:val="left" w:pos="2880"/>
          <w:tab w:val="right" w:leader="dot" w:pos="9360"/>
        </w:tabs>
      </w:pPr>
    </w:p>
    <w:p w:rsidR="005D5142" w:rsidRPr="007279D2" w:rsidRDefault="005D5142" w:rsidP="005D5142">
      <w:pPr>
        <w:pStyle w:val="ListParagraph"/>
        <w:numPr>
          <w:ilvl w:val="0"/>
          <w:numId w:val="20"/>
        </w:numPr>
        <w:tabs>
          <w:tab w:val="left" w:pos="720"/>
          <w:tab w:val="left" w:pos="1440"/>
          <w:tab w:val="left" w:pos="2160"/>
          <w:tab w:val="left" w:pos="2880"/>
          <w:tab w:val="right" w:leader="dot" w:pos="9360"/>
        </w:tabs>
        <w:rPr>
          <w:sz w:val="24"/>
          <w:szCs w:val="24"/>
        </w:rPr>
      </w:pPr>
      <w:r w:rsidRPr="007279D2">
        <w:rPr>
          <w:sz w:val="24"/>
          <w:szCs w:val="24"/>
        </w:rPr>
        <w:t>CHOICE Issues</w:t>
      </w:r>
      <w:r w:rsidRPr="007279D2">
        <w:rPr>
          <w:sz w:val="24"/>
          <w:szCs w:val="24"/>
        </w:rPr>
        <w:tab/>
        <w:t>37</w:t>
      </w:r>
    </w:p>
    <w:p w:rsidR="005D5142" w:rsidRPr="007279D2" w:rsidRDefault="005D5142" w:rsidP="005D5142">
      <w:pPr>
        <w:pStyle w:val="ListParagraph"/>
        <w:rPr>
          <w:sz w:val="24"/>
          <w:szCs w:val="24"/>
        </w:rPr>
      </w:pPr>
    </w:p>
    <w:p w:rsidR="005D5142" w:rsidRPr="007279D2" w:rsidRDefault="005D5142" w:rsidP="005D5142">
      <w:pPr>
        <w:pStyle w:val="ListParagraph"/>
        <w:numPr>
          <w:ilvl w:val="0"/>
          <w:numId w:val="21"/>
        </w:numPr>
        <w:tabs>
          <w:tab w:val="left" w:pos="720"/>
          <w:tab w:val="right" w:leader="dot" w:pos="9360"/>
        </w:tabs>
        <w:ind w:left="1440" w:hanging="720"/>
        <w:rPr>
          <w:sz w:val="24"/>
          <w:szCs w:val="24"/>
        </w:rPr>
      </w:pPr>
      <w:r w:rsidRPr="007279D2">
        <w:rPr>
          <w:sz w:val="24"/>
          <w:szCs w:val="24"/>
        </w:rPr>
        <w:t>I&amp;E’s Position</w:t>
      </w:r>
      <w:r w:rsidRPr="007279D2">
        <w:rPr>
          <w:sz w:val="24"/>
          <w:szCs w:val="24"/>
        </w:rPr>
        <w:tab/>
        <w:t>38</w:t>
      </w:r>
    </w:p>
    <w:p w:rsidR="005D5142" w:rsidRPr="007279D2" w:rsidRDefault="005D5142" w:rsidP="005D5142">
      <w:pPr>
        <w:tabs>
          <w:tab w:val="left" w:pos="720"/>
          <w:tab w:val="right" w:leader="dot" w:pos="9360"/>
        </w:tabs>
      </w:pPr>
    </w:p>
    <w:p w:rsidR="005D5142" w:rsidRPr="007279D2" w:rsidRDefault="005D5142" w:rsidP="005D5142">
      <w:pPr>
        <w:pStyle w:val="ListParagraph"/>
        <w:numPr>
          <w:ilvl w:val="2"/>
          <w:numId w:val="17"/>
        </w:numPr>
        <w:tabs>
          <w:tab w:val="left" w:pos="720"/>
          <w:tab w:val="left" w:pos="1440"/>
          <w:tab w:val="right" w:leader="dot" w:pos="9360"/>
        </w:tabs>
        <w:ind w:left="2160" w:hanging="720"/>
        <w:rPr>
          <w:sz w:val="24"/>
          <w:szCs w:val="24"/>
        </w:rPr>
      </w:pPr>
      <w:r w:rsidRPr="007279D2">
        <w:rPr>
          <w:sz w:val="24"/>
          <w:szCs w:val="24"/>
        </w:rPr>
        <w:t>Revenue Requirement (Joint Petition ¶¶ 27-38)</w:t>
      </w:r>
      <w:r w:rsidRPr="007279D2">
        <w:rPr>
          <w:sz w:val="24"/>
          <w:szCs w:val="24"/>
        </w:rPr>
        <w:tab/>
        <w:t>38</w:t>
      </w:r>
    </w:p>
    <w:p w:rsidR="005D5142" w:rsidRPr="007279D2" w:rsidRDefault="005D5142" w:rsidP="005D5142">
      <w:pPr>
        <w:tabs>
          <w:tab w:val="left" w:pos="720"/>
          <w:tab w:val="left" w:pos="1440"/>
          <w:tab w:val="right" w:leader="dot" w:pos="9360"/>
        </w:tabs>
      </w:pPr>
    </w:p>
    <w:p w:rsidR="005D5142" w:rsidRPr="007279D2" w:rsidRDefault="005D5142" w:rsidP="005D5142">
      <w:pPr>
        <w:pStyle w:val="ListParagraph"/>
        <w:numPr>
          <w:ilvl w:val="0"/>
          <w:numId w:val="22"/>
        </w:numPr>
        <w:tabs>
          <w:tab w:val="left" w:pos="720"/>
          <w:tab w:val="left" w:pos="1440"/>
          <w:tab w:val="left" w:pos="2160"/>
          <w:tab w:val="right" w:leader="dot" w:pos="9360"/>
        </w:tabs>
        <w:ind w:left="2880" w:hanging="720"/>
        <w:rPr>
          <w:sz w:val="24"/>
          <w:szCs w:val="24"/>
        </w:rPr>
      </w:pPr>
      <w:r w:rsidRPr="007279D2">
        <w:rPr>
          <w:sz w:val="24"/>
          <w:szCs w:val="24"/>
        </w:rPr>
        <w:t>Overall Revenue</w:t>
      </w:r>
      <w:r w:rsidR="00E30877">
        <w:rPr>
          <w:sz w:val="24"/>
          <w:szCs w:val="24"/>
        </w:rPr>
        <w:t>s</w:t>
      </w:r>
      <w:r w:rsidRPr="007279D2">
        <w:rPr>
          <w:sz w:val="24"/>
          <w:szCs w:val="24"/>
        </w:rPr>
        <w:t xml:space="preserve"> and Expenses</w:t>
      </w:r>
      <w:r w:rsidRPr="007279D2">
        <w:rPr>
          <w:sz w:val="24"/>
          <w:szCs w:val="24"/>
        </w:rPr>
        <w:tab/>
        <w:t>38</w:t>
      </w:r>
    </w:p>
    <w:p w:rsidR="005D5142" w:rsidRPr="007279D2" w:rsidRDefault="005D5142" w:rsidP="005D5142">
      <w:pPr>
        <w:tabs>
          <w:tab w:val="left" w:pos="720"/>
          <w:tab w:val="left" w:pos="1440"/>
          <w:tab w:val="left" w:pos="2160"/>
          <w:tab w:val="right" w:leader="dot" w:pos="9360"/>
        </w:tabs>
        <w:ind w:left="2880" w:hanging="720"/>
      </w:pPr>
    </w:p>
    <w:p w:rsidR="005D5142" w:rsidRPr="007279D2" w:rsidRDefault="005D5142" w:rsidP="005D5142">
      <w:pPr>
        <w:pStyle w:val="ListParagraph"/>
        <w:numPr>
          <w:ilvl w:val="0"/>
          <w:numId w:val="22"/>
        </w:numPr>
        <w:tabs>
          <w:tab w:val="left" w:pos="720"/>
          <w:tab w:val="left" w:pos="1440"/>
          <w:tab w:val="left" w:pos="2160"/>
          <w:tab w:val="right" w:leader="dot" w:pos="9360"/>
        </w:tabs>
        <w:ind w:left="2880" w:hanging="720"/>
        <w:rPr>
          <w:sz w:val="24"/>
          <w:szCs w:val="24"/>
        </w:rPr>
      </w:pPr>
      <w:r w:rsidRPr="007279D2">
        <w:rPr>
          <w:sz w:val="24"/>
          <w:szCs w:val="24"/>
        </w:rPr>
        <w:t>Settlement Terms Related to Use of the Fully</w:t>
      </w:r>
      <w:r w:rsidR="00D87CA7">
        <w:rPr>
          <w:sz w:val="24"/>
          <w:szCs w:val="24"/>
        </w:rPr>
        <w:t>-</w:t>
      </w:r>
      <w:r w:rsidRPr="007279D2">
        <w:rPr>
          <w:sz w:val="24"/>
          <w:szCs w:val="24"/>
        </w:rPr>
        <w:t xml:space="preserve">Projected </w:t>
      </w:r>
    </w:p>
    <w:p w:rsidR="005D5142" w:rsidRPr="007279D2" w:rsidRDefault="005D5142" w:rsidP="005D5142">
      <w:pPr>
        <w:tabs>
          <w:tab w:val="left" w:pos="720"/>
          <w:tab w:val="left" w:pos="1440"/>
          <w:tab w:val="left" w:pos="2160"/>
          <w:tab w:val="left" w:pos="2880"/>
          <w:tab w:val="right" w:leader="dot" w:pos="9360"/>
        </w:tabs>
        <w:ind w:left="2160"/>
      </w:pPr>
      <w:r w:rsidRPr="007279D2">
        <w:tab/>
        <w:t>Future Test Year</w:t>
      </w:r>
      <w:r w:rsidRPr="007279D2">
        <w:tab/>
        <w:t>40</w:t>
      </w:r>
    </w:p>
    <w:p w:rsidR="00391E0C" w:rsidRPr="007279D2" w:rsidRDefault="00391E0C" w:rsidP="005D5142">
      <w:pPr>
        <w:tabs>
          <w:tab w:val="left" w:pos="720"/>
          <w:tab w:val="left" w:pos="1440"/>
          <w:tab w:val="left" w:pos="2160"/>
          <w:tab w:val="left" w:pos="2880"/>
          <w:tab w:val="right" w:leader="dot" w:pos="9360"/>
        </w:tabs>
        <w:ind w:left="2160"/>
      </w:pPr>
    </w:p>
    <w:p w:rsidR="00391E0C" w:rsidRPr="007279D2" w:rsidRDefault="00391E0C" w:rsidP="00391E0C">
      <w:pPr>
        <w:pStyle w:val="ListParagraph"/>
        <w:numPr>
          <w:ilvl w:val="0"/>
          <w:numId w:val="23"/>
        </w:numPr>
        <w:tabs>
          <w:tab w:val="left" w:pos="720"/>
          <w:tab w:val="left" w:pos="1440"/>
          <w:tab w:val="left" w:pos="2160"/>
          <w:tab w:val="left" w:pos="2880"/>
          <w:tab w:val="right" w:leader="dot" w:pos="9360"/>
        </w:tabs>
        <w:rPr>
          <w:sz w:val="24"/>
          <w:szCs w:val="24"/>
        </w:rPr>
      </w:pPr>
      <w:r w:rsidRPr="007279D2">
        <w:rPr>
          <w:sz w:val="24"/>
          <w:szCs w:val="24"/>
        </w:rPr>
        <w:t>Rate Base</w:t>
      </w:r>
      <w:r w:rsidRPr="007279D2">
        <w:rPr>
          <w:sz w:val="24"/>
          <w:szCs w:val="24"/>
        </w:rPr>
        <w:tab/>
        <w:t>41</w:t>
      </w:r>
    </w:p>
    <w:p w:rsidR="00391E0C" w:rsidRPr="007279D2" w:rsidRDefault="00391E0C" w:rsidP="00391E0C">
      <w:pPr>
        <w:tabs>
          <w:tab w:val="left" w:pos="720"/>
          <w:tab w:val="left" w:pos="1440"/>
          <w:tab w:val="left" w:pos="2160"/>
          <w:tab w:val="left" w:pos="2880"/>
          <w:tab w:val="right" w:leader="dot" w:pos="9360"/>
        </w:tabs>
      </w:pPr>
    </w:p>
    <w:p w:rsidR="00391E0C" w:rsidRPr="007279D2" w:rsidRDefault="00391E0C" w:rsidP="00391E0C">
      <w:pPr>
        <w:pStyle w:val="ListParagraph"/>
        <w:numPr>
          <w:ilvl w:val="0"/>
          <w:numId w:val="23"/>
        </w:numPr>
        <w:tabs>
          <w:tab w:val="left" w:pos="720"/>
          <w:tab w:val="left" w:pos="1440"/>
          <w:tab w:val="left" w:pos="2160"/>
          <w:tab w:val="left" w:pos="2880"/>
          <w:tab w:val="right" w:leader="dot" w:pos="9360"/>
        </w:tabs>
        <w:rPr>
          <w:sz w:val="24"/>
          <w:szCs w:val="24"/>
        </w:rPr>
      </w:pPr>
      <w:r w:rsidRPr="007279D2">
        <w:rPr>
          <w:sz w:val="24"/>
          <w:szCs w:val="24"/>
        </w:rPr>
        <w:t>Debt Issuances</w:t>
      </w:r>
      <w:r w:rsidRPr="007279D2">
        <w:rPr>
          <w:sz w:val="24"/>
          <w:szCs w:val="24"/>
        </w:rPr>
        <w:tab/>
        <w:t>42</w:t>
      </w:r>
    </w:p>
    <w:p w:rsidR="00391E0C" w:rsidRPr="007279D2" w:rsidRDefault="00391E0C" w:rsidP="00391E0C">
      <w:pPr>
        <w:pStyle w:val="ListParagraph"/>
        <w:rPr>
          <w:sz w:val="24"/>
          <w:szCs w:val="24"/>
        </w:rPr>
      </w:pPr>
    </w:p>
    <w:p w:rsidR="00391E0C" w:rsidRPr="007279D2" w:rsidRDefault="00391E0C" w:rsidP="00391E0C">
      <w:pPr>
        <w:pStyle w:val="ListParagraph"/>
        <w:numPr>
          <w:ilvl w:val="2"/>
          <w:numId w:val="17"/>
        </w:numPr>
        <w:tabs>
          <w:tab w:val="left" w:pos="720"/>
          <w:tab w:val="left" w:pos="1440"/>
          <w:tab w:val="left" w:pos="2160"/>
          <w:tab w:val="left" w:pos="2880"/>
          <w:tab w:val="right" w:leader="dot" w:pos="9360"/>
        </w:tabs>
        <w:ind w:hanging="2700"/>
        <w:rPr>
          <w:sz w:val="24"/>
          <w:szCs w:val="24"/>
        </w:rPr>
      </w:pPr>
      <w:r w:rsidRPr="007279D2">
        <w:rPr>
          <w:sz w:val="24"/>
          <w:szCs w:val="24"/>
        </w:rPr>
        <w:t>Revenue Allocation and Rate Design (Joint Petition ¶¶ 39-47)</w:t>
      </w:r>
      <w:r w:rsidRPr="007279D2">
        <w:rPr>
          <w:sz w:val="24"/>
          <w:szCs w:val="24"/>
        </w:rPr>
        <w:tab/>
        <w:t>43</w:t>
      </w:r>
    </w:p>
    <w:p w:rsidR="00391E0C" w:rsidRPr="007279D2" w:rsidRDefault="00391E0C" w:rsidP="00391E0C">
      <w:pPr>
        <w:tabs>
          <w:tab w:val="left" w:pos="720"/>
          <w:tab w:val="left" w:pos="1440"/>
          <w:tab w:val="left" w:pos="2160"/>
          <w:tab w:val="left" w:pos="2880"/>
          <w:tab w:val="right" w:leader="dot" w:pos="9360"/>
        </w:tabs>
      </w:pPr>
    </w:p>
    <w:p w:rsidR="00391E0C" w:rsidRPr="007279D2" w:rsidRDefault="00391E0C" w:rsidP="00391E0C">
      <w:pPr>
        <w:pStyle w:val="ListParagraph"/>
        <w:numPr>
          <w:ilvl w:val="0"/>
          <w:numId w:val="24"/>
        </w:numPr>
        <w:tabs>
          <w:tab w:val="left" w:pos="720"/>
          <w:tab w:val="left" w:pos="1440"/>
          <w:tab w:val="left" w:pos="2160"/>
          <w:tab w:val="left" w:pos="2880"/>
          <w:tab w:val="right" w:leader="dot" w:pos="9360"/>
        </w:tabs>
        <w:ind w:left="2880" w:hanging="720"/>
        <w:rPr>
          <w:sz w:val="24"/>
          <w:szCs w:val="24"/>
        </w:rPr>
      </w:pPr>
      <w:r w:rsidRPr="007279D2">
        <w:rPr>
          <w:sz w:val="24"/>
          <w:szCs w:val="24"/>
        </w:rPr>
        <w:t>Revenue Allocation</w:t>
      </w:r>
      <w:r w:rsidRPr="007279D2">
        <w:rPr>
          <w:sz w:val="24"/>
          <w:szCs w:val="24"/>
        </w:rPr>
        <w:tab/>
        <w:t>43</w:t>
      </w:r>
    </w:p>
    <w:p w:rsidR="00391E0C" w:rsidRPr="007279D2" w:rsidRDefault="00391E0C" w:rsidP="00391E0C">
      <w:pPr>
        <w:tabs>
          <w:tab w:val="left" w:pos="720"/>
          <w:tab w:val="left" w:pos="1440"/>
          <w:tab w:val="left" w:pos="2160"/>
          <w:tab w:val="left" w:pos="2880"/>
          <w:tab w:val="right" w:leader="dot" w:pos="9360"/>
        </w:tabs>
        <w:ind w:left="2880" w:hanging="720"/>
      </w:pPr>
    </w:p>
    <w:p w:rsidR="00391E0C" w:rsidRPr="007279D2" w:rsidRDefault="00391E0C" w:rsidP="00391E0C">
      <w:pPr>
        <w:pStyle w:val="ListParagraph"/>
        <w:numPr>
          <w:ilvl w:val="0"/>
          <w:numId w:val="24"/>
        </w:numPr>
        <w:tabs>
          <w:tab w:val="left" w:pos="720"/>
          <w:tab w:val="left" w:pos="1440"/>
          <w:tab w:val="left" w:pos="2160"/>
          <w:tab w:val="left" w:pos="2880"/>
          <w:tab w:val="right" w:leader="dot" w:pos="9360"/>
        </w:tabs>
        <w:ind w:left="2880" w:hanging="720"/>
        <w:rPr>
          <w:sz w:val="24"/>
          <w:szCs w:val="24"/>
        </w:rPr>
      </w:pPr>
      <w:r w:rsidRPr="007279D2">
        <w:rPr>
          <w:sz w:val="24"/>
          <w:szCs w:val="24"/>
        </w:rPr>
        <w:t>Rate Design</w:t>
      </w:r>
      <w:r w:rsidRPr="007279D2">
        <w:rPr>
          <w:sz w:val="24"/>
          <w:szCs w:val="24"/>
        </w:rPr>
        <w:tab/>
        <w:t>43</w:t>
      </w:r>
    </w:p>
    <w:p w:rsidR="00391E0C" w:rsidRPr="007279D2" w:rsidRDefault="00391E0C" w:rsidP="00391E0C">
      <w:pPr>
        <w:tabs>
          <w:tab w:val="left" w:pos="720"/>
          <w:tab w:val="left" w:pos="1440"/>
          <w:tab w:val="left" w:pos="2160"/>
          <w:tab w:val="left" w:pos="2880"/>
          <w:tab w:val="right" w:leader="dot" w:pos="9360"/>
        </w:tabs>
        <w:rPr>
          <w:color w:val="000000"/>
        </w:rPr>
      </w:pPr>
    </w:p>
    <w:p w:rsidR="00391E0C" w:rsidRPr="007279D2" w:rsidRDefault="00391E0C" w:rsidP="00391E0C">
      <w:pPr>
        <w:pStyle w:val="ListParagraph"/>
        <w:numPr>
          <w:ilvl w:val="2"/>
          <w:numId w:val="17"/>
        </w:numPr>
        <w:tabs>
          <w:tab w:val="left" w:pos="720"/>
          <w:tab w:val="left" w:pos="1440"/>
          <w:tab w:val="left" w:pos="2160"/>
          <w:tab w:val="left" w:pos="2880"/>
          <w:tab w:val="right" w:leader="dot" w:pos="9360"/>
        </w:tabs>
        <w:ind w:hanging="2700"/>
        <w:rPr>
          <w:sz w:val="24"/>
          <w:szCs w:val="24"/>
        </w:rPr>
      </w:pPr>
      <w:r w:rsidRPr="007279D2">
        <w:rPr>
          <w:sz w:val="24"/>
          <w:szCs w:val="24"/>
        </w:rPr>
        <w:t>Universal Service and Conservation (Joint Petition ¶¶ 48-52)</w:t>
      </w:r>
      <w:r w:rsidRPr="007279D2">
        <w:rPr>
          <w:sz w:val="24"/>
          <w:szCs w:val="24"/>
        </w:rPr>
        <w:tab/>
        <w:t>48</w:t>
      </w:r>
    </w:p>
    <w:p w:rsidR="00391E0C" w:rsidRPr="007279D2" w:rsidRDefault="00391E0C" w:rsidP="00391E0C">
      <w:pPr>
        <w:tabs>
          <w:tab w:val="left" w:pos="720"/>
          <w:tab w:val="left" w:pos="1440"/>
          <w:tab w:val="left" w:pos="2160"/>
          <w:tab w:val="left" w:pos="2880"/>
          <w:tab w:val="right" w:leader="dot" w:pos="9360"/>
        </w:tabs>
      </w:pPr>
    </w:p>
    <w:p w:rsidR="00391E0C" w:rsidRPr="007279D2" w:rsidRDefault="007B68A8" w:rsidP="007B68A8">
      <w:pPr>
        <w:pStyle w:val="ListParagraph"/>
        <w:numPr>
          <w:ilvl w:val="0"/>
          <w:numId w:val="25"/>
        </w:numPr>
        <w:tabs>
          <w:tab w:val="left" w:pos="720"/>
          <w:tab w:val="left" w:pos="1440"/>
          <w:tab w:val="left" w:pos="2160"/>
          <w:tab w:val="left" w:pos="2880"/>
          <w:tab w:val="right" w:leader="dot" w:pos="9360"/>
        </w:tabs>
        <w:ind w:left="2880" w:hanging="720"/>
        <w:rPr>
          <w:sz w:val="24"/>
          <w:szCs w:val="24"/>
        </w:rPr>
      </w:pPr>
      <w:r w:rsidRPr="007279D2">
        <w:rPr>
          <w:sz w:val="24"/>
          <w:szCs w:val="24"/>
        </w:rPr>
        <w:t>WarmWise</w:t>
      </w:r>
      <w:r w:rsidRPr="007279D2">
        <w:rPr>
          <w:b/>
          <w:sz w:val="24"/>
          <w:szCs w:val="24"/>
          <w:vertAlign w:val="superscript"/>
        </w:rPr>
        <w:t xml:space="preserve">® </w:t>
      </w:r>
      <w:r w:rsidRPr="007279D2">
        <w:rPr>
          <w:sz w:val="24"/>
          <w:szCs w:val="24"/>
        </w:rPr>
        <w:t>LIURP Funding</w:t>
      </w:r>
      <w:r w:rsidRPr="007279D2">
        <w:rPr>
          <w:sz w:val="24"/>
          <w:szCs w:val="24"/>
        </w:rPr>
        <w:tab/>
        <w:t>48</w:t>
      </w:r>
    </w:p>
    <w:p w:rsidR="007B68A8" w:rsidRPr="007279D2" w:rsidRDefault="007B68A8" w:rsidP="007B68A8">
      <w:pPr>
        <w:tabs>
          <w:tab w:val="left" w:pos="720"/>
          <w:tab w:val="left" w:pos="1440"/>
          <w:tab w:val="left" w:pos="2160"/>
          <w:tab w:val="left" w:pos="2880"/>
          <w:tab w:val="right" w:leader="dot" w:pos="9360"/>
        </w:tabs>
        <w:ind w:left="2880" w:hanging="720"/>
      </w:pPr>
    </w:p>
    <w:p w:rsidR="007B68A8" w:rsidRPr="007279D2" w:rsidRDefault="007B68A8" w:rsidP="007B68A8">
      <w:pPr>
        <w:pStyle w:val="ListParagraph"/>
        <w:numPr>
          <w:ilvl w:val="0"/>
          <w:numId w:val="25"/>
        </w:numPr>
        <w:tabs>
          <w:tab w:val="left" w:pos="720"/>
          <w:tab w:val="left" w:pos="1440"/>
          <w:tab w:val="left" w:pos="2160"/>
          <w:tab w:val="left" w:pos="2880"/>
          <w:tab w:val="right" w:leader="dot" w:pos="9360"/>
        </w:tabs>
        <w:ind w:left="2880" w:hanging="720"/>
        <w:rPr>
          <w:sz w:val="24"/>
          <w:szCs w:val="24"/>
        </w:rPr>
      </w:pPr>
      <w:r w:rsidRPr="007279D2">
        <w:rPr>
          <w:sz w:val="24"/>
          <w:szCs w:val="24"/>
        </w:rPr>
        <w:t>Universal Service Call Center Representative Training</w:t>
      </w:r>
      <w:r w:rsidRPr="007279D2">
        <w:rPr>
          <w:sz w:val="24"/>
          <w:szCs w:val="24"/>
        </w:rPr>
        <w:tab/>
        <w:t>50</w:t>
      </w:r>
    </w:p>
    <w:p w:rsidR="007B68A8" w:rsidRPr="007279D2" w:rsidRDefault="007B68A8" w:rsidP="007B68A8">
      <w:pPr>
        <w:pStyle w:val="ListParagraph"/>
        <w:rPr>
          <w:sz w:val="24"/>
          <w:szCs w:val="24"/>
        </w:rPr>
      </w:pPr>
    </w:p>
    <w:p w:rsidR="007B68A8" w:rsidRPr="007279D2" w:rsidRDefault="007B68A8" w:rsidP="007B68A8">
      <w:pPr>
        <w:pStyle w:val="ListParagraph"/>
        <w:numPr>
          <w:ilvl w:val="2"/>
          <w:numId w:val="17"/>
        </w:numPr>
        <w:tabs>
          <w:tab w:val="left" w:pos="720"/>
          <w:tab w:val="left" w:pos="1440"/>
          <w:tab w:val="left" w:pos="2160"/>
          <w:tab w:val="left" w:pos="2880"/>
          <w:tab w:val="right" w:leader="dot" w:pos="9360"/>
        </w:tabs>
        <w:ind w:hanging="2700"/>
        <w:rPr>
          <w:sz w:val="24"/>
          <w:szCs w:val="24"/>
        </w:rPr>
      </w:pPr>
      <w:r w:rsidRPr="007279D2">
        <w:rPr>
          <w:sz w:val="24"/>
          <w:szCs w:val="24"/>
        </w:rPr>
        <w:t>Other (Joint Petition ¶¶ 53-58)</w:t>
      </w:r>
      <w:r w:rsidRPr="007279D2">
        <w:rPr>
          <w:sz w:val="24"/>
          <w:szCs w:val="24"/>
        </w:rPr>
        <w:tab/>
        <w:t>51</w:t>
      </w:r>
    </w:p>
    <w:p w:rsidR="007B68A8" w:rsidRPr="007279D2" w:rsidRDefault="007B68A8" w:rsidP="007B68A8">
      <w:pPr>
        <w:tabs>
          <w:tab w:val="left" w:pos="720"/>
          <w:tab w:val="left" w:pos="1440"/>
          <w:tab w:val="left" w:pos="2160"/>
          <w:tab w:val="left" w:pos="2880"/>
          <w:tab w:val="right" w:leader="dot" w:pos="9360"/>
        </w:tabs>
      </w:pPr>
    </w:p>
    <w:p w:rsidR="007B68A8" w:rsidRPr="007279D2" w:rsidRDefault="007B68A8" w:rsidP="007B68A8">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OCA’s Position</w:t>
      </w:r>
      <w:r w:rsidRPr="007279D2">
        <w:rPr>
          <w:sz w:val="24"/>
          <w:szCs w:val="24"/>
        </w:rPr>
        <w:tab/>
        <w:t>52</w:t>
      </w:r>
    </w:p>
    <w:p w:rsidR="007B68A8" w:rsidRPr="007279D2" w:rsidRDefault="007B68A8" w:rsidP="007B68A8">
      <w:pPr>
        <w:tabs>
          <w:tab w:val="left" w:pos="720"/>
          <w:tab w:val="left" w:pos="1440"/>
          <w:tab w:val="left" w:pos="2160"/>
          <w:tab w:val="right" w:leader="dot" w:pos="9360"/>
        </w:tabs>
      </w:pPr>
    </w:p>
    <w:p w:rsidR="007B68A8" w:rsidRPr="007279D2" w:rsidRDefault="007B68A8" w:rsidP="007B68A8">
      <w:pPr>
        <w:pStyle w:val="ListParagraph"/>
        <w:numPr>
          <w:ilvl w:val="0"/>
          <w:numId w:val="26"/>
        </w:numPr>
        <w:tabs>
          <w:tab w:val="left" w:pos="720"/>
          <w:tab w:val="left" w:pos="1440"/>
          <w:tab w:val="left" w:pos="2160"/>
          <w:tab w:val="right" w:leader="dot" w:pos="9360"/>
        </w:tabs>
        <w:ind w:left="2160" w:hanging="720"/>
        <w:rPr>
          <w:sz w:val="24"/>
          <w:szCs w:val="24"/>
        </w:rPr>
      </w:pPr>
      <w:r w:rsidRPr="007279D2">
        <w:rPr>
          <w:sz w:val="24"/>
          <w:szCs w:val="24"/>
        </w:rPr>
        <w:t>Distribution Revenues</w:t>
      </w:r>
      <w:r w:rsidRPr="007279D2">
        <w:rPr>
          <w:sz w:val="24"/>
          <w:szCs w:val="24"/>
        </w:rPr>
        <w:tab/>
        <w:t>52</w:t>
      </w:r>
    </w:p>
    <w:p w:rsidR="007B68A8" w:rsidRPr="007279D2" w:rsidRDefault="007B68A8" w:rsidP="007B68A8">
      <w:pPr>
        <w:tabs>
          <w:tab w:val="left" w:pos="720"/>
          <w:tab w:val="left" w:pos="1440"/>
          <w:tab w:val="left" w:pos="2160"/>
          <w:tab w:val="right" w:leader="dot" w:pos="9360"/>
        </w:tabs>
        <w:ind w:left="2160" w:hanging="720"/>
      </w:pPr>
    </w:p>
    <w:p w:rsidR="007B68A8" w:rsidRPr="007279D2" w:rsidRDefault="007B68A8" w:rsidP="007B68A8">
      <w:pPr>
        <w:pStyle w:val="ListParagraph"/>
        <w:numPr>
          <w:ilvl w:val="0"/>
          <w:numId w:val="27"/>
        </w:numPr>
        <w:tabs>
          <w:tab w:val="left" w:pos="720"/>
          <w:tab w:val="left" w:pos="1440"/>
          <w:tab w:val="left" w:pos="2160"/>
          <w:tab w:val="right" w:leader="dot" w:pos="9360"/>
        </w:tabs>
        <w:ind w:left="2880" w:hanging="720"/>
        <w:rPr>
          <w:sz w:val="24"/>
          <w:szCs w:val="24"/>
        </w:rPr>
      </w:pPr>
      <w:r w:rsidRPr="007279D2">
        <w:rPr>
          <w:sz w:val="24"/>
          <w:szCs w:val="24"/>
        </w:rPr>
        <w:t>Revenue Requirement (Settlement ¶ 27)</w:t>
      </w:r>
      <w:r w:rsidRPr="007279D2">
        <w:rPr>
          <w:sz w:val="24"/>
          <w:szCs w:val="24"/>
        </w:rPr>
        <w:tab/>
        <w:t>52</w:t>
      </w:r>
    </w:p>
    <w:p w:rsidR="00966D0D" w:rsidRPr="007279D2" w:rsidRDefault="00966D0D" w:rsidP="00966D0D">
      <w:pPr>
        <w:tabs>
          <w:tab w:val="left" w:pos="720"/>
          <w:tab w:val="left" w:pos="1440"/>
          <w:tab w:val="left" w:pos="2160"/>
          <w:tab w:val="right" w:leader="dot" w:pos="9360"/>
        </w:tabs>
      </w:pPr>
    </w:p>
    <w:p w:rsidR="00966D0D" w:rsidRPr="007279D2" w:rsidRDefault="00966D0D" w:rsidP="00966D0D">
      <w:pPr>
        <w:pStyle w:val="ListParagraph"/>
        <w:numPr>
          <w:ilvl w:val="0"/>
          <w:numId w:val="27"/>
        </w:numPr>
        <w:tabs>
          <w:tab w:val="left" w:pos="720"/>
          <w:tab w:val="left" w:pos="1440"/>
          <w:tab w:val="left" w:pos="2160"/>
          <w:tab w:val="right" w:leader="dot" w:pos="9360"/>
        </w:tabs>
        <w:ind w:left="2880" w:hanging="720"/>
        <w:rPr>
          <w:sz w:val="24"/>
          <w:szCs w:val="24"/>
        </w:rPr>
      </w:pPr>
      <w:r w:rsidRPr="007279D2">
        <w:rPr>
          <w:sz w:val="24"/>
          <w:szCs w:val="24"/>
        </w:rPr>
        <w:t>Incremental O&amp;M Expense in Furtherance of Operating a</w:t>
      </w:r>
    </w:p>
    <w:p w:rsidR="00966D0D" w:rsidRPr="007279D2" w:rsidRDefault="00966D0D" w:rsidP="00966D0D">
      <w:pPr>
        <w:tabs>
          <w:tab w:val="left" w:pos="720"/>
          <w:tab w:val="left" w:pos="1440"/>
          <w:tab w:val="left" w:pos="2160"/>
          <w:tab w:val="right" w:leader="dot" w:pos="9360"/>
        </w:tabs>
        <w:ind w:left="2880"/>
        <w:rPr>
          <w:color w:val="000000"/>
        </w:rPr>
      </w:pPr>
      <w:r w:rsidRPr="007279D2">
        <w:rPr>
          <w:color w:val="000000"/>
        </w:rPr>
        <w:t xml:space="preserve">Safe and Reliable Natural Gas Distribution System </w:t>
      </w:r>
    </w:p>
    <w:p w:rsidR="00966D0D" w:rsidRPr="007279D2" w:rsidRDefault="00966D0D" w:rsidP="00966D0D">
      <w:pPr>
        <w:tabs>
          <w:tab w:val="left" w:pos="720"/>
          <w:tab w:val="left" w:pos="1440"/>
          <w:tab w:val="left" w:pos="2160"/>
          <w:tab w:val="right" w:leader="dot" w:pos="9360"/>
        </w:tabs>
        <w:ind w:left="2880"/>
      </w:pPr>
      <w:r w:rsidRPr="007279D2">
        <w:rPr>
          <w:color w:val="000000"/>
        </w:rPr>
        <w:t xml:space="preserve">(Settlement </w:t>
      </w:r>
      <w:r w:rsidRPr="007279D2">
        <w:t>¶ 34)</w:t>
      </w:r>
      <w:r w:rsidRPr="007279D2">
        <w:tab/>
        <w:t>53</w:t>
      </w:r>
    </w:p>
    <w:p w:rsidR="00966D0D" w:rsidRPr="007279D2" w:rsidRDefault="00966D0D" w:rsidP="00966D0D">
      <w:pPr>
        <w:tabs>
          <w:tab w:val="left" w:pos="720"/>
          <w:tab w:val="left" w:pos="1440"/>
          <w:tab w:val="left" w:pos="2160"/>
          <w:tab w:val="right" w:leader="dot" w:pos="9360"/>
        </w:tabs>
        <w:ind w:left="2520"/>
      </w:pPr>
    </w:p>
    <w:p w:rsidR="00966D0D" w:rsidRPr="007279D2" w:rsidRDefault="00966D0D" w:rsidP="00966D0D">
      <w:pPr>
        <w:pStyle w:val="ListParagraph"/>
        <w:numPr>
          <w:ilvl w:val="0"/>
          <w:numId w:val="27"/>
        </w:numPr>
        <w:tabs>
          <w:tab w:val="left" w:pos="720"/>
          <w:tab w:val="left" w:pos="1440"/>
          <w:tab w:val="left" w:pos="2160"/>
          <w:tab w:val="right" w:leader="dot" w:pos="9360"/>
        </w:tabs>
        <w:ind w:left="2880" w:hanging="720"/>
        <w:rPr>
          <w:sz w:val="24"/>
          <w:szCs w:val="24"/>
        </w:rPr>
      </w:pPr>
      <w:r w:rsidRPr="007279D2">
        <w:rPr>
          <w:sz w:val="24"/>
          <w:szCs w:val="24"/>
        </w:rPr>
        <w:t>Distribution System Improvement Charge (</w:t>
      </w:r>
      <w:r w:rsidR="00286364">
        <w:rPr>
          <w:sz w:val="24"/>
          <w:szCs w:val="24"/>
        </w:rPr>
        <w:t>“</w:t>
      </w:r>
      <w:r w:rsidRPr="007279D2">
        <w:rPr>
          <w:sz w:val="24"/>
          <w:szCs w:val="24"/>
        </w:rPr>
        <w:t>DSIC</w:t>
      </w:r>
      <w:r w:rsidR="00286364">
        <w:rPr>
          <w:sz w:val="24"/>
          <w:szCs w:val="24"/>
        </w:rPr>
        <w:t>”</w:t>
      </w:r>
      <w:r w:rsidRPr="007279D2">
        <w:rPr>
          <w:sz w:val="24"/>
          <w:szCs w:val="24"/>
        </w:rPr>
        <w:t xml:space="preserve">) </w:t>
      </w:r>
    </w:p>
    <w:p w:rsidR="00966D0D" w:rsidRPr="007279D2" w:rsidRDefault="00966D0D" w:rsidP="00966D0D">
      <w:pPr>
        <w:tabs>
          <w:tab w:val="left" w:pos="720"/>
          <w:tab w:val="left" w:pos="1440"/>
          <w:tab w:val="left" w:pos="2160"/>
          <w:tab w:val="left" w:pos="2880"/>
          <w:tab w:val="right" w:leader="dot" w:pos="9360"/>
        </w:tabs>
      </w:pPr>
      <w:r w:rsidRPr="007279D2">
        <w:tab/>
      </w:r>
      <w:r w:rsidRPr="007279D2">
        <w:tab/>
      </w:r>
      <w:r w:rsidRPr="007279D2">
        <w:tab/>
      </w:r>
      <w:r w:rsidRPr="007279D2">
        <w:tab/>
        <w:t>(Settlement ¶ 35)</w:t>
      </w:r>
      <w:r w:rsidRPr="007279D2">
        <w:tab/>
        <w:t>53</w:t>
      </w:r>
    </w:p>
    <w:p w:rsidR="00966D0D" w:rsidRPr="007279D2" w:rsidRDefault="00966D0D" w:rsidP="00966D0D">
      <w:pPr>
        <w:tabs>
          <w:tab w:val="left" w:pos="720"/>
          <w:tab w:val="left" w:pos="1440"/>
          <w:tab w:val="left" w:pos="2160"/>
          <w:tab w:val="left" w:pos="2880"/>
          <w:tab w:val="right" w:leader="dot" w:pos="9360"/>
        </w:tabs>
      </w:pPr>
    </w:p>
    <w:p w:rsidR="00966D0D" w:rsidRPr="007279D2" w:rsidRDefault="00966D0D" w:rsidP="00966D0D">
      <w:pPr>
        <w:pStyle w:val="ListParagraph"/>
        <w:numPr>
          <w:ilvl w:val="0"/>
          <w:numId w:val="27"/>
        </w:numPr>
        <w:tabs>
          <w:tab w:val="left" w:pos="720"/>
          <w:tab w:val="left" w:pos="1440"/>
          <w:tab w:val="left" w:pos="2160"/>
          <w:tab w:val="left" w:pos="2880"/>
          <w:tab w:val="right" w:leader="dot" w:pos="9360"/>
        </w:tabs>
        <w:ind w:left="2880" w:hanging="720"/>
        <w:rPr>
          <w:sz w:val="24"/>
          <w:szCs w:val="24"/>
        </w:rPr>
      </w:pPr>
      <w:r w:rsidRPr="007279D2">
        <w:rPr>
          <w:sz w:val="24"/>
          <w:szCs w:val="24"/>
        </w:rPr>
        <w:t>Gas Plant in Service, Update to Exhibit 108 Schedule 1</w:t>
      </w:r>
    </w:p>
    <w:p w:rsidR="00966D0D" w:rsidRPr="007279D2" w:rsidRDefault="00966D0D" w:rsidP="00966D0D">
      <w:pPr>
        <w:pStyle w:val="ListParagraph"/>
        <w:tabs>
          <w:tab w:val="left" w:pos="720"/>
          <w:tab w:val="left" w:pos="1440"/>
          <w:tab w:val="left" w:pos="2160"/>
          <w:tab w:val="left" w:pos="2880"/>
          <w:tab w:val="right" w:leader="dot" w:pos="9360"/>
        </w:tabs>
        <w:ind w:left="2880"/>
        <w:rPr>
          <w:sz w:val="24"/>
          <w:szCs w:val="24"/>
        </w:rPr>
      </w:pPr>
      <w:r w:rsidRPr="007279D2">
        <w:rPr>
          <w:sz w:val="24"/>
          <w:szCs w:val="24"/>
        </w:rPr>
        <w:t>(Settlement ¶ 36)</w:t>
      </w:r>
      <w:r w:rsidRPr="007279D2">
        <w:rPr>
          <w:sz w:val="24"/>
          <w:szCs w:val="24"/>
        </w:rPr>
        <w:tab/>
        <w:t>54</w:t>
      </w:r>
    </w:p>
    <w:p w:rsidR="00966D0D" w:rsidRPr="007279D2" w:rsidRDefault="00966D0D" w:rsidP="00966D0D">
      <w:pPr>
        <w:pStyle w:val="ListParagraph"/>
        <w:tabs>
          <w:tab w:val="left" w:pos="720"/>
          <w:tab w:val="left" w:pos="1440"/>
          <w:tab w:val="left" w:pos="2160"/>
          <w:tab w:val="left" w:pos="2880"/>
          <w:tab w:val="right" w:leader="dot" w:pos="9360"/>
        </w:tabs>
        <w:ind w:left="2520"/>
        <w:rPr>
          <w:sz w:val="24"/>
          <w:szCs w:val="24"/>
        </w:rPr>
      </w:pPr>
    </w:p>
    <w:p w:rsidR="00966D0D" w:rsidRPr="007279D2" w:rsidRDefault="00966D0D" w:rsidP="00966D0D">
      <w:pPr>
        <w:pStyle w:val="ListParagraph"/>
        <w:numPr>
          <w:ilvl w:val="0"/>
          <w:numId w:val="26"/>
        </w:numPr>
        <w:tabs>
          <w:tab w:val="left" w:pos="720"/>
          <w:tab w:val="left" w:pos="1440"/>
          <w:tab w:val="left" w:pos="2160"/>
          <w:tab w:val="left" w:pos="2880"/>
          <w:tab w:val="right" w:leader="dot" w:pos="9360"/>
        </w:tabs>
        <w:ind w:left="2160" w:hanging="720"/>
        <w:rPr>
          <w:sz w:val="24"/>
          <w:szCs w:val="24"/>
        </w:rPr>
      </w:pPr>
      <w:r w:rsidRPr="007279D2">
        <w:rPr>
          <w:sz w:val="24"/>
          <w:szCs w:val="24"/>
        </w:rPr>
        <w:t>Rate Structure</w:t>
      </w:r>
      <w:r w:rsidRPr="007279D2">
        <w:rPr>
          <w:sz w:val="24"/>
          <w:szCs w:val="24"/>
        </w:rPr>
        <w:tab/>
        <w:t>54</w:t>
      </w:r>
    </w:p>
    <w:p w:rsidR="00966D0D" w:rsidRPr="007279D2" w:rsidRDefault="00966D0D" w:rsidP="00966D0D">
      <w:pPr>
        <w:tabs>
          <w:tab w:val="left" w:pos="720"/>
          <w:tab w:val="left" w:pos="1440"/>
          <w:tab w:val="left" w:pos="2160"/>
          <w:tab w:val="left" w:pos="2880"/>
          <w:tab w:val="right" w:leader="dot" w:pos="9360"/>
        </w:tabs>
      </w:pPr>
    </w:p>
    <w:p w:rsidR="00966D0D" w:rsidRPr="007279D2" w:rsidRDefault="00966D0D" w:rsidP="00966D0D">
      <w:pPr>
        <w:pStyle w:val="ListParagraph"/>
        <w:numPr>
          <w:ilvl w:val="0"/>
          <w:numId w:val="28"/>
        </w:numPr>
        <w:tabs>
          <w:tab w:val="left" w:pos="720"/>
          <w:tab w:val="left" w:pos="1440"/>
          <w:tab w:val="left" w:pos="2160"/>
          <w:tab w:val="left" w:pos="2880"/>
          <w:tab w:val="right" w:leader="dot" w:pos="9360"/>
        </w:tabs>
        <w:ind w:left="2880" w:hanging="720"/>
        <w:rPr>
          <w:sz w:val="24"/>
          <w:szCs w:val="24"/>
        </w:rPr>
      </w:pPr>
      <w:r w:rsidRPr="007279D2">
        <w:rPr>
          <w:sz w:val="24"/>
          <w:szCs w:val="24"/>
        </w:rPr>
        <w:t>Revenue Allocation (Settlement ¶ 39)</w:t>
      </w:r>
      <w:r w:rsidRPr="007279D2">
        <w:rPr>
          <w:sz w:val="24"/>
          <w:szCs w:val="24"/>
        </w:rPr>
        <w:tab/>
        <w:t>54</w:t>
      </w:r>
    </w:p>
    <w:p w:rsidR="00966D0D" w:rsidRPr="007279D2" w:rsidRDefault="00966D0D" w:rsidP="00966D0D">
      <w:pPr>
        <w:tabs>
          <w:tab w:val="left" w:pos="720"/>
          <w:tab w:val="left" w:pos="1440"/>
          <w:tab w:val="left" w:pos="2160"/>
          <w:tab w:val="left" w:pos="2880"/>
          <w:tab w:val="right" w:leader="dot" w:pos="9360"/>
        </w:tabs>
        <w:ind w:left="2880" w:hanging="720"/>
      </w:pPr>
    </w:p>
    <w:p w:rsidR="00966D0D" w:rsidRPr="007279D2" w:rsidRDefault="00966D0D" w:rsidP="00966D0D">
      <w:pPr>
        <w:pStyle w:val="ListParagraph"/>
        <w:numPr>
          <w:ilvl w:val="0"/>
          <w:numId w:val="28"/>
        </w:numPr>
        <w:tabs>
          <w:tab w:val="left" w:pos="720"/>
          <w:tab w:val="left" w:pos="1440"/>
          <w:tab w:val="left" w:pos="2160"/>
          <w:tab w:val="left" w:pos="2880"/>
          <w:tab w:val="right" w:leader="dot" w:pos="9360"/>
        </w:tabs>
        <w:ind w:left="2880" w:hanging="720"/>
        <w:rPr>
          <w:sz w:val="24"/>
          <w:szCs w:val="24"/>
        </w:rPr>
      </w:pPr>
      <w:r w:rsidRPr="007279D2">
        <w:rPr>
          <w:sz w:val="24"/>
          <w:szCs w:val="24"/>
        </w:rPr>
        <w:t>Residential Rate Design (Settlement ¶¶ 40-41)</w:t>
      </w:r>
      <w:r w:rsidRPr="007279D2">
        <w:rPr>
          <w:sz w:val="24"/>
          <w:szCs w:val="24"/>
        </w:rPr>
        <w:tab/>
        <w:t>55</w:t>
      </w:r>
    </w:p>
    <w:p w:rsidR="00966D0D" w:rsidRPr="007279D2" w:rsidRDefault="00966D0D" w:rsidP="00966D0D">
      <w:pPr>
        <w:pStyle w:val="ListParagraph"/>
        <w:rPr>
          <w:sz w:val="24"/>
          <w:szCs w:val="24"/>
        </w:rPr>
      </w:pPr>
    </w:p>
    <w:p w:rsidR="00966D0D" w:rsidRPr="007279D2" w:rsidRDefault="00966D0D" w:rsidP="004326A9">
      <w:pPr>
        <w:pStyle w:val="ListParagraph"/>
        <w:numPr>
          <w:ilvl w:val="0"/>
          <w:numId w:val="26"/>
        </w:numPr>
        <w:tabs>
          <w:tab w:val="left" w:pos="720"/>
          <w:tab w:val="left" w:pos="1440"/>
          <w:tab w:val="left" w:pos="2160"/>
          <w:tab w:val="left" w:pos="2880"/>
          <w:tab w:val="right" w:leader="dot" w:pos="9360"/>
        </w:tabs>
        <w:ind w:left="2160" w:hanging="720"/>
        <w:rPr>
          <w:sz w:val="24"/>
          <w:szCs w:val="24"/>
        </w:rPr>
      </w:pPr>
      <w:r w:rsidRPr="007279D2">
        <w:rPr>
          <w:sz w:val="24"/>
          <w:szCs w:val="24"/>
        </w:rPr>
        <w:t>Universal Service and Conservation</w:t>
      </w:r>
      <w:r w:rsidRPr="007279D2">
        <w:rPr>
          <w:sz w:val="24"/>
          <w:szCs w:val="24"/>
        </w:rPr>
        <w:tab/>
        <w:t>58</w:t>
      </w:r>
    </w:p>
    <w:p w:rsidR="00966D0D" w:rsidRPr="007279D2" w:rsidRDefault="00966D0D" w:rsidP="00966D0D">
      <w:pPr>
        <w:tabs>
          <w:tab w:val="left" w:pos="720"/>
          <w:tab w:val="left" w:pos="1440"/>
          <w:tab w:val="left" w:pos="2160"/>
          <w:tab w:val="left" w:pos="2880"/>
          <w:tab w:val="right" w:leader="dot" w:pos="9360"/>
        </w:tabs>
      </w:pPr>
    </w:p>
    <w:p w:rsidR="004326A9" w:rsidRPr="007279D2" w:rsidRDefault="00966D0D" w:rsidP="004326A9">
      <w:pPr>
        <w:pStyle w:val="ListParagraph"/>
        <w:numPr>
          <w:ilvl w:val="0"/>
          <w:numId w:val="29"/>
        </w:numPr>
        <w:tabs>
          <w:tab w:val="left" w:pos="720"/>
          <w:tab w:val="left" w:pos="1440"/>
          <w:tab w:val="left" w:pos="2160"/>
          <w:tab w:val="left" w:pos="2880"/>
          <w:tab w:val="right" w:leader="dot" w:pos="9360"/>
        </w:tabs>
        <w:ind w:left="2880" w:hanging="720"/>
        <w:rPr>
          <w:sz w:val="24"/>
          <w:szCs w:val="24"/>
        </w:rPr>
      </w:pPr>
      <w:r w:rsidRPr="007279D2">
        <w:rPr>
          <w:sz w:val="24"/>
          <w:szCs w:val="24"/>
        </w:rPr>
        <w:t>WarmWise</w:t>
      </w:r>
      <w:r w:rsidRPr="007279D2">
        <w:rPr>
          <w:b/>
          <w:sz w:val="24"/>
          <w:szCs w:val="24"/>
          <w:vertAlign w:val="superscript"/>
        </w:rPr>
        <w:t>®</w:t>
      </w:r>
      <w:r w:rsidRPr="007279D2">
        <w:rPr>
          <w:sz w:val="24"/>
          <w:szCs w:val="24"/>
        </w:rPr>
        <w:t xml:space="preserve"> Low Income Usage Reduction Program </w:t>
      </w:r>
    </w:p>
    <w:p w:rsidR="00966D0D" w:rsidRPr="007279D2" w:rsidRDefault="00966D0D" w:rsidP="004326A9">
      <w:pPr>
        <w:pStyle w:val="ListParagraph"/>
        <w:tabs>
          <w:tab w:val="left" w:pos="720"/>
          <w:tab w:val="left" w:pos="1440"/>
          <w:tab w:val="left" w:pos="2160"/>
          <w:tab w:val="left" w:pos="2880"/>
          <w:tab w:val="right" w:leader="dot" w:pos="9360"/>
        </w:tabs>
        <w:ind w:left="2880"/>
        <w:rPr>
          <w:sz w:val="24"/>
          <w:szCs w:val="24"/>
        </w:rPr>
      </w:pPr>
      <w:r w:rsidRPr="007279D2">
        <w:rPr>
          <w:sz w:val="24"/>
          <w:szCs w:val="24"/>
        </w:rPr>
        <w:t>(</w:t>
      </w:r>
      <w:r w:rsidR="00286364">
        <w:rPr>
          <w:sz w:val="24"/>
          <w:szCs w:val="24"/>
        </w:rPr>
        <w:t>“</w:t>
      </w:r>
      <w:r w:rsidRPr="007279D2">
        <w:rPr>
          <w:sz w:val="24"/>
          <w:szCs w:val="24"/>
        </w:rPr>
        <w:t>LIURP</w:t>
      </w:r>
      <w:r w:rsidR="00286364">
        <w:rPr>
          <w:sz w:val="24"/>
          <w:szCs w:val="24"/>
        </w:rPr>
        <w:t>”</w:t>
      </w:r>
      <w:r w:rsidR="004326A9" w:rsidRPr="007279D2">
        <w:rPr>
          <w:sz w:val="24"/>
          <w:szCs w:val="24"/>
        </w:rPr>
        <w:t xml:space="preserve">) Funding </w:t>
      </w:r>
      <w:r w:rsidR="005C00B4" w:rsidRPr="007279D2">
        <w:rPr>
          <w:sz w:val="24"/>
          <w:szCs w:val="24"/>
        </w:rPr>
        <w:t>(</w:t>
      </w:r>
      <w:r w:rsidR="004326A9" w:rsidRPr="007279D2">
        <w:rPr>
          <w:sz w:val="24"/>
          <w:szCs w:val="24"/>
        </w:rPr>
        <w:t>Settlement ¶ 48)</w:t>
      </w:r>
      <w:r w:rsidRPr="007279D2">
        <w:rPr>
          <w:sz w:val="24"/>
          <w:szCs w:val="24"/>
        </w:rPr>
        <w:tab/>
      </w:r>
      <w:r w:rsidR="004326A9" w:rsidRPr="007279D2">
        <w:rPr>
          <w:sz w:val="24"/>
          <w:szCs w:val="24"/>
        </w:rPr>
        <w:t>58</w:t>
      </w:r>
      <w:r w:rsidRPr="007279D2">
        <w:rPr>
          <w:sz w:val="24"/>
          <w:szCs w:val="24"/>
        </w:rPr>
        <w:tab/>
      </w:r>
      <w:r w:rsidRPr="007279D2">
        <w:rPr>
          <w:sz w:val="24"/>
          <w:szCs w:val="24"/>
        </w:rPr>
        <w:tab/>
      </w:r>
      <w:r w:rsidRPr="007279D2">
        <w:rPr>
          <w:sz w:val="24"/>
          <w:szCs w:val="24"/>
        </w:rPr>
        <w:tab/>
        <w:t>Funding (Settlement ¶ 48)</w:t>
      </w:r>
      <w:r w:rsidRPr="007279D2">
        <w:rPr>
          <w:sz w:val="24"/>
          <w:szCs w:val="24"/>
        </w:rPr>
        <w:tab/>
        <w:t>58</w:t>
      </w:r>
    </w:p>
    <w:p w:rsidR="00966D0D" w:rsidRPr="007279D2" w:rsidRDefault="00966D0D" w:rsidP="004326A9">
      <w:pPr>
        <w:tabs>
          <w:tab w:val="left" w:pos="720"/>
          <w:tab w:val="left" w:pos="1440"/>
          <w:tab w:val="left" w:pos="2160"/>
          <w:tab w:val="left" w:pos="2880"/>
          <w:tab w:val="right" w:leader="dot" w:pos="9360"/>
        </w:tabs>
        <w:ind w:left="2880" w:hanging="720"/>
      </w:pPr>
    </w:p>
    <w:p w:rsidR="00966D0D" w:rsidRPr="007279D2" w:rsidRDefault="00966D0D" w:rsidP="004326A9">
      <w:pPr>
        <w:pStyle w:val="ListParagraph"/>
        <w:numPr>
          <w:ilvl w:val="0"/>
          <w:numId w:val="29"/>
        </w:numPr>
        <w:tabs>
          <w:tab w:val="left" w:pos="720"/>
          <w:tab w:val="left" w:pos="1440"/>
          <w:tab w:val="left" w:pos="2160"/>
          <w:tab w:val="left" w:pos="2880"/>
          <w:tab w:val="right" w:leader="dot" w:pos="9360"/>
        </w:tabs>
        <w:ind w:left="2880" w:hanging="720"/>
        <w:rPr>
          <w:sz w:val="24"/>
          <w:szCs w:val="24"/>
        </w:rPr>
      </w:pPr>
      <w:r w:rsidRPr="007279D2">
        <w:rPr>
          <w:sz w:val="24"/>
          <w:szCs w:val="24"/>
        </w:rPr>
        <w:t>WarmWise</w:t>
      </w:r>
      <w:r w:rsidRPr="007279D2">
        <w:rPr>
          <w:b/>
          <w:sz w:val="24"/>
          <w:szCs w:val="24"/>
          <w:vertAlign w:val="superscript"/>
        </w:rPr>
        <w:t>®</w:t>
      </w:r>
      <w:r w:rsidRPr="007279D2">
        <w:rPr>
          <w:sz w:val="24"/>
          <w:szCs w:val="24"/>
        </w:rPr>
        <w:t xml:space="preserve"> A&amp;R Program (Settlement ¶ 49)</w:t>
      </w:r>
      <w:r w:rsidRPr="007279D2">
        <w:rPr>
          <w:sz w:val="24"/>
          <w:szCs w:val="24"/>
        </w:rPr>
        <w:tab/>
        <w:t>58</w:t>
      </w:r>
    </w:p>
    <w:p w:rsidR="00966D0D" w:rsidRPr="007279D2" w:rsidRDefault="00966D0D" w:rsidP="004326A9">
      <w:pPr>
        <w:tabs>
          <w:tab w:val="left" w:pos="720"/>
          <w:tab w:val="left" w:pos="1440"/>
          <w:tab w:val="left" w:pos="2160"/>
          <w:tab w:val="left" w:pos="2880"/>
          <w:tab w:val="right" w:leader="dot" w:pos="9360"/>
        </w:tabs>
        <w:ind w:left="2880" w:hanging="720"/>
      </w:pPr>
      <w:r w:rsidRPr="007279D2">
        <w:tab/>
      </w:r>
    </w:p>
    <w:p w:rsidR="00966D0D" w:rsidRPr="007279D2" w:rsidRDefault="00966D0D" w:rsidP="004326A9">
      <w:pPr>
        <w:pStyle w:val="ListParagraph"/>
        <w:numPr>
          <w:ilvl w:val="0"/>
          <w:numId w:val="29"/>
        </w:numPr>
        <w:tabs>
          <w:tab w:val="left" w:pos="720"/>
          <w:tab w:val="left" w:pos="1440"/>
          <w:tab w:val="left" w:pos="2160"/>
          <w:tab w:val="left" w:pos="2880"/>
          <w:tab w:val="right" w:leader="dot" w:pos="9360"/>
        </w:tabs>
        <w:ind w:left="2880" w:hanging="720"/>
        <w:rPr>
          <w:sz w:val="24"/>
          <w:szCs w:val="24"/>
        </w:rPr>
      </w:pPr>
      <w:r w:rsidRPr="007279D2">
        <w:rPr>
          <w:sz w:val="24"/>
          <w:szCs w:val="24"/>
        </w:rPr>
        <w:t>Correction of Prior Accounting Deficiencies (Settlement ¶ 50)</w:t>
      </w:r>
      <w:r w:rsidRPr="007279D2">
        <w:rPr>
          <w:sz w:val="24"/>
          <w:szCs w:val="24"/>
        </w:rPr>
        <w:tab/>
        <w:t>59</w:t>
      </w:r>
    </w:p>
    <w:p w:rsidR="00966D0D" w:rsidRPr="007279D2" w:rsidRDefault="00966D0D" w:rsidP="004326A9">
      <w:pPr>
        <w:pStyle w:val="ListParagraph"/>
        <w:ind w:left="2880" w:hanging="720"/>
        <w:rPr>
          <w:sz w:val="24"/>
          <w:szCs w:val="24"/>
        </w:rPr>
      </w:pPr>
    </w:p>
    <w:p w:rsidR="00966D0D" w:rsidRPr="007279D2" w:rsidRDefault="00966D0D" w:rsidP="004326A9">
      <w:pPr>
        <w:pStyle w:val="ListParagraph"/>
        <w:numPr>
          <w:ilvl w:val="0"/>
          <w:numId w:val="29"/>
        </w:numPr>
        <w:tabs>
          <w:tab w:val="left" w:pos="720"/>
          <w:tab w:val="left" w:pos="1440"/>
          <w:tab w:val="left" w:pos="2160"/>
          <w:tab w:val="left" w:pos="2880"/>
          <w:tab w:val="right" w:leader="dot" w:pos="9360"/>
        </w:tabs>
        <w:ind w:left="2880" w:hanging="720"/>
        <w:rPr>
          <w:sz w:val="24"/>
          <w:szCs w:val="24"/>
        </w:rPr>
      </w:pPr>
      <w:r w:rsidRPr="007279D2">
        <w:rPr>
          <w:sz w:val="24"/>
          <w:szCs w:val="24"/>
        </w:rPr>
        <w:t>PA Southwest 2-1-1 Services (Settlement ¶ 51)</w:t>
      </w:r>
      <w:r w:rsidRPr="007279D2">
        <w:rPr>
          <w:sz w:val="24"/>
          <w:szCs w:val="24"/>
        </w:rPr>
        <w:tab/>
        <w:t>59</w:t>
      </w:r>
    </w:p>
    <w:p w:rsidR="00966D0D" w:rsidRPr="007279D2" w:rsidRDefault="00966D0D" w:rsidP="004326A9">
      <w:pPr>
        <w:pStyle w:val="ListParagraph"/>
        <w:ind w:left="2880" w:hanging="720"/>
        <w:rPr>
          <w:sz w:val="24"/>
          <w:szCs w:val="24"/>
        </w:rPr>
      </w:pPr>
    </w:p>
    <w:p w:rsidR="00966D0D" w:rsidRPr="007279D2" w:rsidRDefault="00966D0D" w:rsidP="004326A9">
      <w:pPr>
        <w:pStyle w:val="ListParagraph"/>
        <w:numPr>
          <w:ilvl w:val="0"/>
          <w:numId w:val="26"/>
        </w:numPr>
        <w:tabs>
          <w:tab w:val="left" w:pos="720"/>
          <w:tab w:val="left" w:pos="1440"/>
          <w:tab w:val="left" w:pos="2160"/>
          <w:tab w:val="left" w:pos="2880"/>
          <w:tab w:val="right" w:leader="dot" w:pos="9360"/>
        </w:tabs>
        <w:ind w:left="2160" w:hanging="720"/>
        <w:rPr>
          <w:sz w:val="24"/>
          <w:szCs w:val="24"/>
        </w:rPr>
      </w:pPr>
      <w:r w:rsidRPr="007279D2">
        <w:rPr>
          <w:sz w:val="24"/>
          <w:szCs w:val="24"/>
        </w:rPr>
        <w:t>Other Issues</w:t>
      </w:r>
      <w:r w:rsidRPr="007279D2">
        <w:rPr>
          <w:sz w:val="24"/>
          <w:szCs w:val="24"/>
        </w:rPr>
        <w:tab/>
        <w:t>60</w:t>
      </w:r>
      <w:r w:rsidRPr="007279D2">
        <w:rPr>
          <w:sz w:val="24"/>
          <w:szCs w:val="24"/>
        </w:rPr>
        <w:tab/>
      </w:r>
    </w:p>
    <w:p w:rsidR="00966D0D" w:rsidRPr="007279D2" w:rsidRDefault="00966D0D" w:rsidP="00966D0D">
      <w:pPr>
        <w:tabs>
          <w:tab w:val="left" w:pos="720"/>
          <w:tab w:val="left" w:pos="1440"/>
          <w:tab w:val="left" w:pos="2160"/>
          <w:tab w:val="right" w:leader="dot" w:pos="9360"/>
        </w:tabs>
      </w:pPr>
    </w:p>
    <w:p w:rsidR="004326A9" w:rsidRPr="007279D2" w:rsidRDefault="004326A9" w:rsidP="004326A9">
      <w:pPr>
        <w:pStyle w:val="ListParagraph"/>
        <w:numPr>
          <w:ilvl w:val="0"/>
          <w:numId w:val="30"/>
        </w:numPr>
        <w:tabs>
          <w:tab w:val="left" w:pos="720"/>
          <w:tab w:val="left" w:pos="1440"/>
          <w:tab w:val="left" w:pos="2160"/>
          <w:tab w:val="left" w:pos="2880"/>
          <w:tab w:val="right" w:leader="dot" w:pos="9360"/>
        </w:tabs>
        <w:ind w:left="2880" w:hanging="720"/>
        <w:rPr>
          <w:sz w:val="24"/>
          <w:szCs w:val="24"/>
        </w:rPr>
      </w:pPr>
      <w:r w:rsidRPr="007279D2">
        <w:rPr>
          <w:sz w:val="24"/>
          <w:szCs w:val="24"/>
        </w:rPr>
        <w:t>New Area Service (</w:t>
      </w:r>
      <w:r w:rsidR="00286364">
        <w:rPr>
          <w:sz w:val="24"/>
          <w:szCs w:val="24"/>
        </w:rPr>
        <w:t>“</w:t>
      </w:r>
      <w:r w:rsidRPr="007279D2">
        <w:rPr>
          <w:sz w:val="24"/>
          <w:szCs w:val="24"/>
        </w:rPr>
        <w:t>NAS</w:t>
      </w:r>
      <w:r w:rsidR="00286364">
        <w:rPr>
          <w:sz w:val="24"/>
          <w:szCs w:val="24"/>
        </w:rPr>
        <w:t>”</w:t>
      </w:r>
      <w:r w:rsidRPr="007279D2">
        <w:rPr>
          <w:sz w:val="24"/>
          <w:szCs w:val="24"/>
        </w:rPr>
        <w:t>) Pilot Rider (Settlement ¶ 53)</w:t>
      </w:r>
      <w:r w:rsidRPr="007279D2">
        <w:rPr>
          <w:sz w:val="24"/>
          <w:szCs w:val="24"/>
        </w:rPr>
        <w:tab/>
        <w:t>60</w:t>
      </w:r>
      <w:r w:rsidRPr="007279D2">
        <w:rPr>
          <w:sz w:val="24"/>
          <w:szCs w:val="24"/>
        </w:rPr>
        <w:tab/>
      </w:r>
      <w:r w:rsidRPr="007279D2">
        <w:rPr>
          <w:sz w:val="24"/>
          <w:szCs w:val="24"/>
        </w:rPr>
        <w:tab/>
      </w:r>
      <w:r w:rsidRPr="007279D2">
        <w:rPr>
          <w:sz w:val="24"/>
          <w:szCs w:val="24"/>
        </w:rPr>
        <w:tab/>
        <w:t>Funding (Settlement ¶ 48)</w:t>
      </w:r>
      <w:r w:rsidRPr="007279D2">
        <w:rPr>
          <w:sz w:val="24"/>
          <w:szCs w:val="24"/>
        </w:rPr>
        <w:tab/>
        <w:t>58</w:t>
      </w:r>
    </w:p>
    <w:p w:rsidR="004326A9" w:rsidRPr="007279D2" w:rsidRDefault="004326A9" w:rsidP="004326A9">
      <w:pPr>
        <w:tabs>
          <w:tab w:val="left" w:pos="720"/>
          <w:tab w:val="left" w:pos="1440"/>
          <w:tab w:val="left" w:pos="2160"/>
          <w:tab w:val="left" w:pos="2880"/>
          <w:tab w:val="right" w:leader="dot" w:pos="9360"/>
        </w:tabs>
        <w:ind w:left="2880" w:hanging="720"/>
      </w:pPr>
    </w:p>
    <w:p w:rsidR="005D5142" w:rsidRPr="007279D2" w:rsidRDefault="004326A9" w:rsidP="004326A9">
      <w:pPr>
        <w:pStyle w:val="ListParagraph"/>
        <w:numPr>
          <w:ilvl w:val="0"/>
          <w:numId w:val="30"/>
        </w:numPr>
        <w:tabs>
          <w:tab w:val="left" w:pos="720"/>
          <w:tab w:val="left" w:pos="1440"/>
          <w:tab w:val="left" w:pos="2160"/>
          <w:tab w:val="left" w:pos="2880"/>
          <w:tab w:val="right" w:leader="dot" w:pos="9360"/>
        </w:tabs>
        <w:ind w:left="2160" w:firstLine="0"/>
        <w:rPr>
          <w:sz w:val="24"/>
          <w:szCs w:val="24"/>
        </w:rPr>
      </w:pPr>
      <w:r w:rsidRPr="007279D2">
        <w:rPr>
          <w:sz w:val="24"/>
          <w:szCs w:val="24"/>
        </w:rPr>
        <w:t>Line Extension Deposit Requirement (Settlement ¶ 54)</w:t>
      </w:r>
      <w:r w:rsidRPr="007279D2">
        <w:rPr>
          <w:sz w:val="24"/>
          <w:szCs w:val="24"/>
        </w:rPr>
        <w:tab/>
        <w:t>60</w:t>
      </w:r>
    </w:p>
    <w:p w:rsidR="004326A9" w:rsidRPr="007279D2" w:rsidRDefault="004326A9" w:rsidP="004326A9">
      <w:pPr>
        <w:pStyle w:val="ListParagraph"/>
        <w:rPr>
          <w:sz w:val="24"/>
          <w:szCs w:val="24"/>
        </w:rPr>
      </w:pPr>
    </w:p>
    <w:p w:rsidR="004326A9" w:rsidRPr="007279D2" w:rsidRDefault="004326A9" w:rsidP="004326A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OSBA’s Position</w:t>
      </w:r>
      <w:r w:rsidRPr="007279D2">
        <w:rPr>
          <w:sz w:val="24"/>
          <w:szCs w:val="24"/>
        </w:rPr>
        <w:tab/>
        <w:t>60</w:t>
      </w:r>
    </w:p>
    <w:p w:rsidR="007B5509" w:rsidRPr="007279D2" w:rsidRDefault="007B5509" w:rsidP="007B5509">
      <w:pPr>
        <w:tabs>
          <w:tab w:val="left" w:pos="720"/>
          <w:tab w:val="left" w:pos="1440"/>
          <w:tab w:val="left" w:pos="2160"/>
          <w:tab w:val="right" w:leader="dot" w:pos="9360"/>
        </w:tabs>
      </w:pPr>
    </w:p>
    <w:p w:rsidR="007B5509" w:rsidRPr="007279D2" w:rsidRDefault="007B5509" w:rsidP="005C00B4">
      <w:pPr>
        <w:pStyle w:val="ListParagraph"/>
        <w:numPr>
          <w:ilvl w:val="0"/>
          <w:numId w:val="31"/>
        </w:numPr>
        <w:tabs>
          <w:tab w:val="left" w:pos="720"/>
          <w:tab w:val="left" w:pos="1440"/>
          <w:tab w:val="left" w:pos="2160"/>
          <w:tab w:val="right" w:leader="dot" w:pos="9360"/>
        </w:tabs>
        <w:ind w:left="2160" w:hanging="720"/>
        <w:rPr>
          <w:sz w:val="24"/>
          <w:szCs w:val="24"/>
        </w:rPr>
      </w:pPr>
      <w:r w:rsidRPr="007279D2">
        <w:rPr>
          <w:sz w:val="24"/>
          <w:szCs w:val="24"/>
        </w:rPr>
        <w:t>Distribution Revenues</w:t>
      </w:r>
      <w:r w:rsidRPr="007279D2">
        <w:rPr>
          <w:sz w:val="24"/>
          <w:szCs w:val="24"/>
        </w:rPr>
        <w:tab/>
        <w:t>61</w:t>
      </w:r>
    </w:p>
    <w:p w:rsidR="007B5509" w:rsidRPr="007279D2" w:rsidRDefault="007B5509" w:rsidP="005C00B4">
      <w:pPr>
        <w:tabs>
          <w:tab w:val="left" w:pos="720"/>
          <w:tab w:val="left" w:pos="1440"/>
          <w:tab w:val="left" w:pos="2160"/>
          <w:tab w:val="right" w:leader="dot" w:pos="9360"/>
        </w:tabs>
        <w:ind w:left="2160" w:hanging="720"/>
      </w:pPr>
    </w:p>
    <w:p w:rsidR="007B5509" w:rsidRPr="007279D2" w:rsidRDefault="007B5509" w:rsidP="005C00B4">
      <w:pPr>
        <w:pStyle w:val="ListParagraph"/>
        <w:numPr>
          <w:ilvl w:val="0"/>
          <w:numId w:val="31"/>
        </w:numPr>
        <w:tabs>
          <w:tab w:val="left" w:pos="720"/>
          <w:tab w:val="left" w:pos="1440"/>
          <w:tab w:val="left" w:pos="2160"/>
          <w:tab w:val="right" w:leader="dot" w:pos="9360"/>
        </w:tabs>
        <w:ind w:left="2160" w:hanging="720"/>
        <w:rPr>
          <w:sz w:val="24"/>
          <w:szCs w:val="24"/>
        </w:rPr>
      </w:pPr>
      <w:r w:rsidRPr="007279D2">
        <w:rPr>
          <w:sz w:val="24"/>
          <w:szCs w:val="24"/>
        </w:rPr>
        <w:t>Revenue Allocation</w:t>
      </w:r>
      <w:r w:rsidRPr="007279D2">
        <w:rPr>
          <w:sz w:val="24"/>
          <w:szCs w:val="24"/>
        </w:rPr>
        <w:tab/>
        <w:t>61</w:t>
      </w:r>
    </w:p>
    <w:p w:rsidR="007B5509" w:rsidRPr="007279D2" w:rsidRDefault="007B5509" w:rsidP="005C00B4">
      <w:pPr>
        <w:pStyle w:val="ListParagraph"/>
        <w:ind w:left="2160" w:hanging="720"/>
        <w:rPr>
          <w:sz w:val="24"/>
          <w:szCs w:val="24"/>
        </w:rPr>
      </w:pPr>
    </w:p>
    <w:p w:rsidR="007B5509" w:rsidRPr="007279D2" w:rsidRDefault="007B5509" w:rsidP="005C00B4">
      <w:pPr>
        <w:pStyle w:val="ListParagraph"/>
        <w:numPr>
          <w:ilvl w:val="0"/>
          <w:numId w:val="31"/>
        </w:numPr>
        <w:tabs>
          <w:tab w:val="left" w:pos="720"/>
          <w:tab w:val="left" w:pos="1440"/>
          <w:tab w:val="left" w:pos="2160"/>
          <w:tab w:val="right" w:leader="dot" w:pos="9360"/>
        </w:tabs>
        <w:ind w:left="2160" w:hanging="720"/>
        <w:rPr>
          <w:sz w:val="24"/>
          <w:szCs w:val="24"/>
        </w:rPr>
      </w:pPr>
      <w:r w:rsidRPr="007279D2">
        <w:rPr>
          <w:sz w:val="24"/>
          <w:szCs w:val="24"/>
        </w:rPr>
        <w:t>Gas Procurement Charge (“GPC”)</w:t>
      </w:r>
      <w:r w:rsidRPr="007279D2">
        <w:rPr>
          <w:sz w:val="24"/>
          <w:szCs w:val="24"/>
        </w:rPr>
        <w:tab/>
        <w:t>61</w:t>
      </w:r>
    </w:p>
    <w:p w:rsidR="007B5509" w:rsidRPr="007279D2" w:rsidRDefault="007B5509" w:rsidP="005C00B4">
      <w:pPr>
        <w:pStyle w:val="ListParagraph"/>
        <w:ind w:left="2160" w:hanging="720"/>
        <w:rPr>
          <w:sz w:val="24"/>
          <w:szCs w:val="24"/>
        </w:rPr>
      </w:pPr>
    </w:p>
    <w:p w:rsidR="007B5509" w:rsidRPr="007279D2" w:rsidRDefault="007B5509" w:rsidP="005C00B4">
      <w:pPr>
        <w:pStyle w:val="ListParagraph"/>
        <w:numPr>
          <w:ilvl w:val="0"/>
          <w:numId w:val="31"/>
        </w:numPr>
        <w:tabs>
          <w:tab w:val="left" w:pos="720"/>
          <w:tab w:val="left" w:pos="1440"/>
          <w:tab w:val="left" w:pos="2160"/>
          <w:tab w:val="right" w:leader="dot" w:pos="9360"/>
        </w:tabs>
        <w:ind w:left="2160" w:hanging="720"/>
        <w:rPr>
          <w:sz w:val="24"/>
          <w:szCs w:val="24"/>
        </w:rPr>
      </w:pPr>
      <w:r w:rsidRPr="007279D2">
        <w:rPr>
          <w:sz w:val="24"/>
          <w:szCs w:val="24"/>
        </w:rPr>
        <w:t>Rate Structure</w:t>
      </w:r>
      <w:r w:rsidRPr="007279D2">
        <w:rPr>
          <w:sz w:val="24"/>
          <w:szCs w:val="24"/>
        </w:rPr>
        <w:tab/>
        <w:t>62</w:t>
      </w:r>
    </w:p>
    <w:p w:rsidR="007B5509" w:rsidRPr="007279D2" w:rsidRDefault="007B5509" w:rsidP="005C00B4">
      <w:pPr>
        <w:pStyle w:val="ListParagraph"/>
        <w:ind w:left="2160" w:hanging="720"/>
        <w:rPr>
          <w:sz w:val="24"/>
          <w:szCs w:val="24"/>
        </w:rPr>
      </w:pPr>
    </w:p>
    <w:p w:rsidR="007B5509" w:rsidRPr="007279D2" w:rsidRDefault="007B5509" w:rsidP="007B550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Columbia Industrial Intervenors (</w:t>
      </w:r>
      <w:r w:rsidR="00286364">
        <w:rPr>
          <w:sz w:val="24"/>
          <w:szCs w:val="24"/>
        </w:rPr>
        <w:t>“</w:t>
      </w:r>
      <w:r w:rsidRPr="007279D2">
        <w:rPr>
          <w:sz w:val="24"/>
          <w:szCs w:val="24"/>
        </w:rPr>
        <w:t>CII</w:t>
      </w:r>
      <w:r w:rsidR="00286364">
        <w:rPr>
          <w:sz w:val="24"/>
          <w:szCs w:val="24"/>
        </w:rPr>
        <w:t>”</w:t>
      </w:r>
      <w:r w:rsidRPr="007279D2">
        <w:rPr>
          <w:sz w:val="24"/>
          <w:szCs w:val="24"/>
        </w:rPr>
        <w:t>)</w:t>
      </w:r>
      <w:r w:rsidRPr="007279D2">
        <w:rPr>
          <w:sz w:val="24"/>
          <w:szCs w:val="24"/>
        </w:rPr>
        <w:tab/>
        <w:t>63</w:t>
      </w:r>
    </w:p>
    <w:p w:rsidR="007B5509" w:rsidRPr="007279D2" w:rsidRDefault="007B5509" w:rsidP="007B5509">
      <w:pPr>
        <w:tabs>
          <w:tab w:val="left" w:pos="720"/>
          <w:tab w:val="left" w:pos="1440"/>
          <w:tab w:val="left" w:pos="2160"/>
          <w:tab w:val="right" w:leader="dot" w:pos="9360"/>
        </w:tabs>
        <w:ind w:left="1440" w:hanging="720"/>
      </w:pPr>
    </w:p>
    <w:p w:rsidR="007B5509" w:rsidRPr="007279D2" w:rsidRDefault="007B5509" w:rsidP="007B550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NGS’ Position</w:t>
      </w:r>
      <w:r w:rsidRPr="007279D2">
        <w:rPr>
          <w:sz w:val="24"/>
          <w:szCs w:val="24"/>
        </w:rPr>
        <w:tab/>
        <w:t>64</w:t>
      </w:r>
    </w:p>
    <w:p w:rsidR="007B5509" w:rsidRPr="007279D2" w:rsidRDefault="007B5509" w:rsidP="007B5509">
      <w:pPr>
        <w:pStyle w:val="ListParagraph"/>
        <w:ind w:left="1440" w:hanging="720"/>
        <w:rPr>
          <w:sz w:val="24"/>
          <w:szCs w:val="24"/>
        </w:rPr>
      </w:pPr>
    </w:p>
    <w:p w:rsidR="007B5509" w:rsidRPr="007279D2" w:rsidRDefault="007B5509" w:rsidP="007B550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PSU’s Position</w:t>
      </w:r>
      <w:r w:rsidRPr="007279D2">
        <w:rPr>
          <w:sz w:val="24"/>
          <w:szCs w:val="24"/>
        </w:rPr>
        <w:tab/>
        <w:t>65</w:t>
      </w:r>
    </w:p>
    <w:p w:rsidR="007B5509" w:rsidRPr="007279D2" w:rsidRDefault="007B5509" w:rsidP="007B5509">
      <w:pPr>
        <w:pStyle w:val="ListParagraph"/>
        <w:ind w:left="1440" w:hanging="720"/>
        <w:rPr>
          <w:sz w:val="24"/>
          <w:szCs w:val="24"/>
        </w:rPr>
      </w:pPr>
    </w:p>
    <w:p w:rsidR="007B5509" w:rsidRPr="007279D2" w:rsidRDefault="007B5509" w:rsidP="007B550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CAAP’s Position</w:t>
      </w:r>
      <w:r w:rsidRPr="007279D2">
        <w:rPr>
          <w:sz w:val="24"/>
          <w:szCs w:val="24"/>
        </w:rPr>
        <w:tab/>
        <w:t>65</w:t>
      </w:r>
    </w:p>
    <w:p w:rsidR="007B5509" w:rsidRPr="007279D2" w:rsidRDefault="007B5509" w:rsidP="007B5509">
      <w:pPr>
        <w:pStyle w:val="ListParagraph"/>
        <w:ind w:left="1440" w:hanging="720"/>
        <w:rPr>
          <w:sz w:val="24"/>
          <w:szCs w:val="24"/>
        </w:rPr>
      </w:pPr>
    </w:p>
    <w:p w:rsidR="007B5509" w:rsidRPr="007279D2" w:rsidRDefault="007B5509" w:rsidP="007B550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CAUSE-PA’s Position</w:t>
      </w:r>
      <w:r w:rsidRPr="007279D2">
        <w:rPr>
          <w:sz w:val="24"/>
          <w:szCs w:val="24"/>
        </w:rPr>
        <w:tab/>
        <w:t>66</w:t>
      </w:r>
    </w:p>
    <w:p w:rsidR="007B5509" w:rsidRPr="007279D2" w:rsidRDefault="007B5509" w:rsidP="007B5509">
      <w:pPr>
        <w:pStyle w:val="ListParagraph"/>
        <w:ind w:left="1440" w:hanging="720"/>
        <w:rPr>
          <w:sz w:val="24"/>
          <w:szCs w:val="24"/>
        </w:rPr>
      </w:pPr>
    </w:p>
    <w:p w:rsidR="007B5509" w:rsidRPr="007279D2" w:rsidRDefault="007B5509" w:rsidP="007B5509">
      <w:pPr>
        <w:pStyle w:val="ListParagraph"/>
        <w:numPr>
          <w:ilvl w:val="0"/>
          <w:numId w:val="21"/>
        </w:numPr>
        <w:tabs>
          <w:tab w:val="left" w:pos="720"/>
          <w:tab w:val="left" w:pos="1440"/>
          <w:tab w:val="left" w:pos="2160"/>
          <w:tab w:val="right" w:leader="dot" w:pos="9360"/>
        </w:tabs>
        <w:ind w:left="1440" w:hanging="720"/>
        <w:rPr>
          <w:sz w:val="24"/>
          <w:szCs w:val="24"/>
        </w:rPr>
      </w:pPr>
      <w:r w:rsidRPr="007279D2">
        <w:rPr>
          <w:sz w:val="24"/>
          <w:szCs w:val="24"/>
        </w:rPr>
        <w:t>Recommendation</w:t>
      </w:r>
      <w:r w:rsidRPr="007279D2">
        <w:rPr>
          <w:sz w:val="24"/>
          <w:szCs w:val="24"/>
        </w:rPr>
        <w:tab/>
        <w:t>68</w:t>
      </w:r>
    </w:p>
    <w:p w:rsidR="005D5142" w:rsidRPr="007279D2" w:rsidRDefault="005D5142" w:rsidP="005D5142">
      <w:pPr>
        <w:tabs>
          <w:tab w:val="left" w:pos="720"/>
          <w:tab w:val="left" w:pos="1440"/>
          <w:tab w:val="left" w:pos="2160"/>
          <w:tab w:val="left" w:pos="2880"/>
          <w:tab w:val="right" w:leader="dot" w:pos="9360"/>
        </w:tabs>
        <w:ind w:left="2160"/>
      </w:pPr>
    </w:p>
    <w:p w:rsidR="007B5509" w:rsidRPr="007279D2" w:rsidRDefault="007B5509" w:rsidP="007B5509">
      <w:pPr>
        <w:tabs>
          <w:tab w:val="left" w:pos="720"/>
          <w:tab w:val="left" w:pos="1440"/>
          <w:tab w:val="right" w:leader="dot" w:pos="9360"/>
        </w:tabs>
      </w:pPr>
      <w:r w:rsidRPr="007279D2">
        <w:t>IV.</w:t>
      </w:r>
      <w:r w:rsidRPr="007279D2">
        <w:tab/>
        <w:t>CONCLUSIONS OF LAW</w:t>
      </w:r>
      <w:r w:rsidRPr="007279D2">
        <w:tab/>
        <w:t>69</w:t>
      </w:r>
    </w:p>
    <w:p w:rsidR="007B5509" w:rsidRPr="007279D2" w:rsidRDefault="007B5509" w:rsidP="007B5509">
      <w:pPr>
        <w:tabs>
          <w:tab w:val="left" w:pos="720"/>
          <w:tab w:val="left" w:pos="1440"/>
          <w:tab w:val="right" w:leader="dot" w:pos="9360"/>
        </w:tabs>
      </w:pPr>
    </w:p>
    <w:p w:rsidR="007B5509" w:rsidRPr="007279D2" w:rsidRDefault="007B5509" w:rsidP="007B5509">
      <w:pPr>
        <w:tabs>
          <w:tab w:val="left" w:pos="720"/>
          <w:tab w:val="left" w:pos="1440"/>
          <w:tab w:val="right" w:leader="dot" w:pos="9360"/>
        </w:tabs>
      </w:pPr>
      <w:r w:rsidRPr="007279D2">
        <w:t>V.</w:t>
      </w:r>
      <w:r w:rsidRPr="007279D2">
        <w:tab/>
        <w:t>RECOMMENDED ORDER</w:t>
      </w:r>
      <w:r w:rsidRPr="007279D2">
        <w:tab/>
      </w:r>
      <w:r w:rsidR="00E30877">
        <w:t>70</w:t>
      </w:r>
    </w:p>
    <w:p w:rsidR="005D5142" w:rsidRPr="007279D2" w:rsidRDefault="005D5142" w:rsidP="005D5142">
      <w:pPr>
        <w:tabs>
          <w:tab w:val="left" w:pos="720"/>
          <w:tab w:val="left" w:pos="1440"/>
          <w:tab w:val="left" w:pos="2160"/>
          <w:tab w:val="right" w:leader="dot" w:pos="9360"/>
        </w:tabs>
      </w:pPr>
      <w:r w:rsidRPr="007279D2">
        <w:tab/>
      </w:r>
      <w:r w:rsidRPr="007279D2">
        <w:tab/>
      </w:r>
      <w:r w:rsidRPr="007279D2">
        <w:tab/>
      </w:r>
    </w:p>
    <w:p w:rsidR="0038205B" w:rsidRPr="007279D2" w:rsidRDefault="0038205B" w:rsidP="009254CE">
      <w:pPr>
        <w:sectPr w:rsidR="0038205B" w:rsidRPr="007279D2" w:rsidSect="007B5509">
          <w:pgSz w:w="12240" w:h="15840"/>
          <w:pgMar w:top="1296" w:right="1440" w:bottom="1296" w:left="1440" w:header="0" w:footer="576" w:gutter="0"/>
          <w:pgNumType w:fmt="lowerRoman" w:start="1"/>
          <w:cols w:space="720"/>
          <w:titlePg/>
          <w:docGrid w:linePitch="326"/>
        </w:sectPr>
      </w:pPr>
    </w:p>
    <w:p w:rsidR="006163AA" w:rsidRPr="007279D2" w:rsidRDefault="000F7CE1" w:rsidP="00F36754">
      <w:pPr>
        <w:spacing w:line="360" w:lineRule="auto"/>
        <w:jc w:val="center"/>
      </w:pPr>
      <w:r w:rsidRPr="007279D2">
        <w:lastRenderedPageBreak/>
        <w:t>I</w:t>
      </w:r>
      <w:r w:rsidR="006163AA" w:rsidRPr="007279D2">
        <w:t>.</w:t>
      </w:r>
      <w:r w:rsidR="006163AA" w:rsidRPr="007279D2">
        <w:tab/>
      </w:r>
      <w:r w:rsidR="006163AA" w:rsidRPr="007279D2">
        <w:rPr>
          <w:u w:val="single"/>
        </w:rPr>
        <w:t>HISTORY OF THE PROCEEDING</w:t>
      </w:r>
    </w:p>
    <w:p w:rsidR="006163AA" w:rsidRPr="007279D2" w:rsidRDefault="006163AA" w:rsidP="00F36754">
      <w:pPr>
        <w:spacing w:line="360" w:lineRule="auto"/>
      </w:pPr>
    </w:p>
    <w:p w:rsidR="006163AA" w:rsidRPr="007279D2" w:rsidRDefault="006163AA" w:rsidP="00090FB1">
      <w:pPr>
        <w:spacing w:line="360" w:lineRule="auto"/>
      </w:pPr>
      <w:r w:rsidRPr="007279D2">
        <w:tab/>
      </w:r>
      <w:r w:rsidRPr="007279D2">
        <w:tab/>
        <w:t xml:space="preserve">This Recommended Decision approves, without modification, the Joint Petition for Settlement </w:t>
      </w:r>
      <w:r w:rsidR="00D56EED" w:rsidRPr="007279D2">
        <w:t>(“Joint Petition” or “Settlement”)</w:t>
      </w:r>
      <w:r w:rsidRPr="007279D2">
        <w:t>, which the parties joining therein filed on March 15, 2013.</w:t>
      </w:r>
    </w:p>
    <w:p w:rsidR="006163AA" w:rsidRPr="007279D2" w:rsidRDefault="006163AA" w:rsidP="00090FB1">
      <w:pPr>
        <w:spacing w:line="360" w:lineRule="auto"/>
      </w:pPr>
    </w:p>
    <w:p w:rsidR="006163AA" w:rsidRPr="007279D2" w:rsidRDefault="006163AA" w:rsidP="00090FB1">
      <w:pPr>
        <w:pStyle w:val="ListNumber"/>
        <w:numPr>
          <w:ilvl w:val="0"/>
          <w:numId w:val="0"/>
        </w:numPr>
        <w:spacing w:line="360" w:lineRule="auto"/>
        <w:ind w:firstLine="720"/>
      </w:pPr>
      <w:r w:rsidRPr="007279D2">
        <w:t xml:space="preserve">            On September 28, 2012, Columbia Gas of Pennsylvania, Inc., (</w:t>
      </w:r>
      <w:r w:rsidR="00D56EED" w:rsidRPr="007279D2">
        <w:t>“</w:t>
      </w:r>
      <w:r w:rsidRPr="007279D2">
        <w:t>Columbia</w:t>
      </w:r>
      <w:r w:rsidR="00D56EED" w:rsidRPr="007279D2">
        <w:t>”</w:t>
      </w:r>
      <w:r w:rsidRPr="007279D2">
        <w:t xml:space="preserve"> or </w:t>
      </w:r>
      <w:r w:rsidR="00D56EED" w:rsidRPr="007279D2">
        <w:t>“</w:t>
      </w:r>
      <w:r w:rsidRPr="007279D2">
        <w:t>the Company</w:t>
      </w:r>
      <w:r w:rsidR="00D56EED" w:rsidRPr="007279D2">
        <w:t>”</w:t>
      </w:r>
      <w:r w:rsidRPr="007279D2">
        <w:t>) filed Supplement No.</w:t>
      </w:r>
      <w:r w:rsidR="00147277">
        <w:t xml:space="preserve"> </w:t>
      </w:r>
      <w:r w:rsidRPr="007279D2">
        <w:t>190 to Tariff Gas – Pa. P.U.C. No. 9, containing proposed changes in rates, rules, and regulations calculated to produce approximately $77.3 million in additional annual</w:t>
      </w:r>
      <w:r w:rsidRPr="007279D2">
        <w:rPr>
          <w:i/>
        </w:rPr>
        <w:t xml:space="preserve"> </w:t>
      </w:r>
      <w:r w:rsidRPr="007279D2">
        <w:t>revenues, an increase of 20.61%.  Columbia is a “public utility” and “natural gas distribution company” (“NGDC”) as those terms are defined in Sections 102 and 2202 of the Public Utility Code, 66 Pa.</w:t>
      </w:r>
      <w:r w:rsidR="0065632F">
        <w:t xml:space="preserve"> </w:t>
      </w:r>
      <w:r w:rsidRPr="007279D2">
        <w:t>C.S. §§102, 2202.  Columbia’s proposed general rate increase is based on the fully</w:t>
      </w:r>
      <w:r w:rsidR="00D87CA7">
        <w:t>-</w:t>
      </w:r>
      <w:r w:rsidRPr="007279D2">
        <w:t>forecasted rate year authorized by Act 11</w:t>
      </w:r>
      <w:r w:rsidR="00763093">
        <w:t>,</w:t>
      </w:r>
      <w:r w:rsidR="00763093">
        <w:rPr>
          <w:rStyle w:val="FootnoteReference"/>
        </w:rPr>
        <w:footnoteReference w:id="1"/>
      </w:r>
      <w:r w:rsidRPr="007279D2">
        <w:t xml:space="preserve"> ending June 30, 2014, and Columbia’s proposal was designed to allow the Company an opportunity to earn an overall rate of return of 8.52%, including an 11.25% return on common equity.  Supplement No. 190 was originally filed to become effective on November 27, 2012.</w:t>
      </w:r>
    </w:p>
    <w:p w:rsidR="006163AA" w:rsidRPr="007279D2" w:rsidRDefault="006163AA" w:rsidP="006163AA">
      <w:pPr>
        <w:spacing w:line="360" w:lineRule="auto"/>
        <w:ind w:firstLine="720"/>
      </w:pPr>
    </w:p>
    <w:p w:rsidR="006163AA" w:rsidRPr="007279D2" w:rsidRDefault="006163AA" w:rsidP="006163AA">
      <w:pPr>
        <w:spacing w:line="360" w:lineRule="auto"/>
        <w:ind w:firstLine="1440"/>
      </w:pPr>
      <w:r w:rsidRPr="007279D2">
        <w:t>Additionally, Columbia filed a new service life study report on August 30, 2012, at Docket No. M-2012-2323645, indicating that the above general rate filing would include a depreciation claim that is based upon the new lives contained in the new service life study.  As a result, Columbia requested that the implementation of the new depreciation rates based upon the new service lives be postponed until the effective date of new rates resulting from the general rate filing.  Pursuant to 52 Pa. Code §73.9, the above service life study would be deemed approved by the Commission, for accounting purposes only, on February 26, 2013, 180 days after its filing date of August 30, 2012, unless other action was taken by the  Commission.</w:t>
      </w:r>
    </w:p>
    <w:p w:rsidR="006163AA" w:rsidRPr="007279D2" w:rsidRDefault="006163AA" w:rsidP="006163AA">
      <w:pPr>
        <w:spacing w:line="360" w:lineRule="auto"/>
        <w:ind w:firstLine="720"/>
      </w:pPr>
    </w:p>
    <w:p w:rsidR="006163AA" w:rsidRPr="007279D2" w:rsidRDefault="006163AA" w:rsidP="006163AA">
      <w:pPr>
        <w:spacing w:line="360" w:lineRule="auto"/>
        <w:ind w:firstLine="720"/>
      </w:pPr>
      <w:r w:rsidRPr="007279D2">
        <w:tab/>
        <w:t xml:space="preserve">If the Commission would have approved Columbia’s proposed revenue increase, the total monthly bill for a typical residential customer who purchases 73.0 therms of gas from Columbia each month would have been increased from $67.17 to $82.92, an increase of $15.75 or 23.45 percent.  The total monthly bill for a commercial customer purchasing 467.0 therms of </w:t>
      </w:r>
      <w:r w:rsidRPr="007279D2">
        <w:lastRenderedPageBreak/>
        <w:t>gas from Columbia each month would have increased from $321.07 to $365.63, an increase of $44.56 or 13.88 percent.  The total monthly bill for an industrial customer purchasing 5,365.0 therms of gas from Columbia each month would have increased from $3,206.43 to $3,580.43, an increase of $374.00 or 10.43 percent.</w:t>
      </w:r>
    </w:p>
    <w:p w:rsidR="006163AA" w:rsidRPr="007279D2" w:rsidRDefault="006163AA" w:rsidP="006163AA">
      <w:pPr>
        <w:spacing w:line="360" w:lineRule="auto"/>
        <w:ind w:firstLine="720"/>
      </w:pPr>
    </w:p>
    <w:p w:rsidR="006163AA" w:rsidRPr="007279D2" w:rsidRDefault="006163AA" w:rsidP="006163AA">
      <w:pPr>
        <w:spacing w:line="360" w:lineRule="auto"/>
      </w:pPr>
      <w:r w:rsidRPr="007279D2">
        <w:tab/>
      </w:r>
      <w:r w:rsidRPr="007279D2">
        <w:tab/>
        <w:t>On October 12, 2012, the Bureau of Investigation and Enforcement (“I&amp;E”) of the Pennsylvania Public Utility Commission (“Commission”), filed a Notice of Appearance.  On October 18, 2012, the Office of Small Business Advocate (“OSBA”) filed a Notice of Appearance, Formal Complaint and Public Statement, which was docketed at C-2012-23</w:t>
      </w:r>
      <w:r w:rsidR="0065632F">
        <w:t>30539</w:t>
      </w:r>
      <w:r w:rsidRPr="007279D2">
        <w:t xml:space="preserve">.  On October 19, 2012, the Office of Consumer Advocate (“OCA”) filed a Notice of Appearance, Formal Complaint and Public Statement, which was docketed at C-2012-2330240.  </w:t>
      </w:r>
    </w:p>
    <w:p w:rsidR="006163AA" w:rsidRPr="007279D2" w:rsidRDefault="006163AA" w:rsidP="006163AA">
      <w:pPr>
        <w:spacing w:line="360" w:lineRule="auto"/>
      </w:pPr>
    </w:p>
    <w:p w:rsidR="006163AA" w:rsidRPr="007279D2" w:rsidRDefault="006163AA" w:rsidP="006163AA">
      <w:pPr>
        <w:spacing w:line="360" w:lineRule="auto"/>
        <w:ind w:firstLine="720"/>
      </w:pPr>
      <w:r w:rsidRPr="007279D2">
        <w:t xml:space="preserve">             On November 8, 2012, the Commission issued an Order whereby it initiated an investigation of Columbia’s proposed general rate increase.  Supplement No. 190 was suspended by operation of law based upon Section 1308(d) of the Public Utility Code, 66 Pa. C.S. §1308(d), for up to seven months or until June 27, 2013</w:t>
      </w:r>
      <w:r w:rsidR="0065632F">
        <w:t>,</w:t>
      </w:r>
      <w:r w:rsidRPr="007279D2">
        <w:rPr>
          <w:rStyle w:val="FootnoteReference"/>
        </w:rPr>
        <w:footnoteReference w:id="2"/>
      </w:r>
      <w:r w:rsidRPr="007279D2">
        <w:t xml:space="preserve"> unless permitted by Commission Order to become effective at an earlier date.  In addition, the Commission postponed the effective date of Columbia’s new service life study report until June 27, 2013, unless otherwise directed by Order of the Commission, consolidated the proceeding at M-2012-2323645 with the 2012 Base Rate Filing and ordered an investigation to determine the lawfulness, justness, and reasonableness of the rates, rules and regulations contained in the filing, including the rates, rules, and regulations contained in the proposed Supplement No. 190 to Tariff  Gas – Pa. P.U.C. No. 9 and of the service lives in the Company’s August 30, 2012 service life study report.  The Commission’s Order also provided that the case be assigned to the Office of Administrative Law Judge for the prompt scheduling of such hearings as may be necessary, culminating in this issuan</w:t>
      </w:r>
      <w:r w:rsidR="00ED6967">
        <w:t xml:space="preserve">ce of a Recommended Decision.  </w:t>
      </w:r>
      <w:r w:rsidRPr="007279D2">
        <w:t xml:space="preserve">The undersigned </w:t>
      </w:r>
      <w:r w:rsidR="00D56EED" w:rsidRPr="007279D2">
        <w:t>Administrative Law Judges (“</w:t>
      </w:r>
      <w:r w:rsidRPr="007279D2">
        <w:t>ALJs</w:t>
      </w:r>
      <w:r w:rsidR="00D56EED" w:rsidRPr="007279D2">
        <w:t xml:space="preserve">”) </w:t>
      </w:r>
      <w:r w:rsidRPr="007279D2">
        <w:t>were assigned to preside over this matter and to issue a Recommended Decision.</w:t>
      </w:r>
    </w:p>
    <w:p w:rsidR="006163AA" w:rsidRPr="007279D2" w:rsidRDefault="006163AA" w:rsidP="006163AA">
      <w:pPr>
        <w:pStyle w:val="ListNumber"/>
        <w:numPr>
          <w:ilvl w:val="0"/>
          <w:numId w:val="0"/>
        </w:numPr>
        <w:spacing w:line="360" w:lineRule="auto"/>
        <w:ind w:firstLine="720"/>
        <w:jc w:val="both"/>
      </w:pPr>
    </w:p>
    <w:p w:rsidR="006163AA" w:rsidRPr="007279D2" w:rsidRDefault="006163AA" w:rsidP="00090FB1">
      <w:pPr>
        <w:pStyle w:val="ListNumber"/>
        <w:numPr>
          <w:ilvl w:val="0"/>
          <w:numId w:val="0"/>
        </w:numPr>
        <w:spacing w:line="360" w:lineRule="auto"/>
        <w:ind w:firstLine="720"/>
      </w:pPr>
      <w:r w:rsidRPr="007279D2">
        <w:lastRenderedPageBreak/>
        <w:t xml:space="preserve">             On November 8, 2012, Columbia Industrial Intervenors (“CII”)</w:t>
      </w:r>
      <w:r w:rsidRPr="007279D2">
        <w:rPr>
          <w:rStyle w:val="FootnoteReference"/>
        </w:rPr>
        <w:footnoteReference w:id="3"/>
      </w:r>
      <w:r w:rsidRPr="007279D2">
        <w:t xml:space="preserve"> filed its</w:t>
      </w:r>
      <w:r w:rsidR="00B14CCC" w:rsidRPr="007279D2">
        <w:t xml:space="preserve"> Formal</w:t>
      </w:r>
      <w:r w:rsidRPr="007279D2">
        <w:t xml:space="preserve"> Complaint, which was docketed at C-2012-2334026.  On November 15, 2012, the Community Action Association of Pennsylvania (“CAAP”) filed its Petition to Intervene.  On November 16, 2012, the Coalition for Affordable Utility Services and Energy Efficiency in Pennsylvania</w:t>
      </w:r>
      <w:r w:rsidRPr="007279D2">
        <w:rPr>
          <w:rStyle w:val="FootnoteReference"/>
        </w:rPr>
        <w:footnoteReference w:id="4"/>
      </w:r>
      <w:r w:rsidRPr="007279D2">
        <w:t xml:space="preserve"> (“CAUSE-PA”), filed its Petition to Intervene.</w:t>
      </w:r>
    </w:p>
    <w:p w:rsidR="006163AA" w:rsidRPr="007279D2" w:rsidRDefault="006163AA" w:rsidP="00090FB1">
      <w:pPr>
        <w:pStyle w:val="ListNumber"/>
        <w:numPr>
          <w:ilvl w:val="0"/>
          <w:numId w:val="0"/>
        </w:numPr>
        <w:spacing w:line="360" w:lineRule="auto"/>
        <w:ind w:firstLine="720"/>
      </w:pPr>
    </w:p>
    <w:p w:rsidR="006163AA" w:rsidRPr="007279D2" w:rsidRDefault="006163AA" w:rsidP="00090FB1">
      <w:pPr>
        <w:pStyle w:val="ListNumber"/>
        <w:numPr>
          <w:ilvl w:val="0"/>
          <w:numId w:val="0"/>
        </w:numPr>
        <w:spacing w:line="360" w:lineRule="auto"/>
        <w:ind w:firstLine="720"/>
      </w:pPr>
      <w:r w:rsidRPr="007279D2">
        <w:t xml:space="preserve">             On November 20, 2012, the Pennsylvania State University (“PSU”), filed its Petition to Intervene.  On November 26, 2012, Dominion Retail, Inc. (“Dominion”), Shipley Energy Company (“Shipley”), Interstate Gas Supply, Inc. (“IGS”),</w:t>
      </w:r>
      <w:r w:rsidR="006552C0" w:rsidRPr="007279D2">
        <w:t xml:space="preserve"> </w:t>
      </w:r>
      <w:r w:rsidRPr="007279D2">
        <w:t>(collectively referred to as “NGS” or “NGS Intervenors”) filed their Petition to Intervene, and on November 29, 2012, NGS filed their Notice of Appearance.</w:t>
      </w:r>
    </w:p>
    <w:p w:rsidR="006163AA" w:rsidRPr="007279D2" w:rsidRDefault="006163AA" w:rsidP="006163AA">
      <w:pPr>
        <w:spacing w:line="360" w:lineRule="auto"/>
        <w:ind w:firstLine="720"/>
      </w:pPr>
    </w:p>
    <w:p w:rsidR="006163AA" w:rsidRPr="007279D2" w:rsidRDefault="006163AA" w:rsidP="006163AA">
      <w:pPr>
        <w:spacing w:line="360" w:lineRule="auto"/>
        <w:ind w:firstLine="720"/>
      </w:pPr>
      <w:r w:rsidRPr="007279D2">
        <w:t xml:space="preserve">             Formal Complaints were filed by individual customers</w:t>
      </w:r>
      <w:r w:rsidR="0065632F">
        <w:t>:</w:t>
      </w:r>
      <w:r w:rsidRPr="007279D2">
        <w:t xml:space="preserve"> </w:t>
      </w:r>
      <w:r w:rsidR="00C47030">
        <w:t xml:space="preserve"> </w:t>
      </w:r>
      <w:r w:rsidRPr="007279D2">
        <w:t>Michelle Swartz (C</w:t>
      </w:r>
      <w:r w:rsidR="00090FB1" w:rsidRPr="007279D2">
        <w:noBreakHyphen/>
      </w:r>
      <w:r w:rsidRPr="007279D2">
        <w:t>2012-2328788) on October 10, 2012</w:t>
      </w:r>
      <w:r w:rsidR="0065632F">
        <w:t>;</w:t>
      </w:r>
      <w:r w:rsidRPr="007279D2">
        <w:t xml:space="preserve"> Anastasia Stratigos (C-2012-2330724) on October 19, 2012</w:t>
      </w:r>
      <w:r w:rsidR="0065632F">
        <w:t>;</w:t>
      </w:r>
      <w:r w:rsidRPr="007279D2">
        <w:t xml:space="preserve"> Angela Burnett (C-2012-2332497) on October 31, 2012</w:t>
      </w:r>
      <w:r w:rsidR="0065632F">
        <w:t>;</w:t>
      </w:r>
      <w:r w:rsidRPr="007279D2">
        <w:t xml:space="preserve"> Louis and Joanne Quahliero (C</w:t>
      </w:r>
      <w:r w:rsidR="00090FB1" w:rsidRPr="007279D2">
        <w:noBreakHyphen/>
      </w:r>
      <w:r w:rsidRPr="007279D2">
        <w:t>2012-2332087) on November 1, 2012</w:t>
      </w:r>
      <w:r w:rsidR="0065632F">
        <w:t>;</w:t>
      </w:r>
      <w:r w:rsidRPr="007279D2">
        <w:t xml:space="preserve"> G. Thomas Smeltzer (C-2012-2333247) on November 6, 2012</w:t>
      </w:r>
      <w:r w:rsidR="0065632F">
        <w:t>;</w:t>
      </w:r>
      <w:r w:rsidRPr="007279D2">
        <w:t xml:space="preserve"> and Johanna Shigle (C-2012-2336033) on November 19, 2012.  The Formal Complaints were consolidated in this rate proceeding for hearing and disposition pursuant to the Prehearing Order dated December 6, 2012.  </w:t>
      </w:r>
    </w:p>
    <w:p w:rsidR="006163AA" w:rsidRPr="007279D2" w:rsidRDefault="006163AA" w:rsidP="006163AA">
      <w:pPr>
        <w:pStyle w:val="ListNumber"/>
        <w:numPr>
          <w:ilvl w:val="0"/>
          <w:numId w:val="0"/>
        </w:numPr>
        <w:spacing w:line="360" w:lineRule="auto"/>
        <w:ind w:left="720" w:firstLine="720"/>
        <w:jc w:val="both"/>
      </w:pPr>
    </w:p>
    <w:p w:rsidR="006163AA" w:rsidRPr="007279D2" w:rsidRDefault="006163AA" w:rsidP="00090FB1">
      <w:pPr>
        <w:pStyle w:val="ListNumber"/>
        <w:numPr>
          <w:ilvl w:val="0"/>
          <w:numId w:val="0"/>
        </w:numPr>
        <w:spacing w:line="360" w:lineRule="auto"/>
        <w:ind w:firstLine="720"/>
      </w:pPr>
      <w:r w:rsidRPr="007279D2">
        <w:t xml:space="preserve">             On November 16, 2012, the undersigned ALJs issued a Prehearing Conference Order scheduling a prehearing conference for December 3, 2012. </w:t>
      </w:r>
      <w:r w:rsidR="003B7DA0">
        <w:t xml:space="preserve"> </w:t>
      </w:r>
      <w:r w:rsidRPr="007279D2">
        <w:t>The Prehearing Conference was held as scheduled on December 3, 2012.</w:t>
      </w:r>
      <w:r w:rsidRPr="007279D2">
        <w:rPr>
          <w:rStyle w:val="FootnoteReference"/>
        </w:rPr>
        <w:footnoteReference w:id="5"/>
      </w:r>
      <w:r w:rsidRPr="007279D2">
        <w:t xml:space="preserve"> </w:t>
      </w:r>
      <w:r w:rsidR="003B7DA0">
        <w:t xml:space="preserve"> </w:t>
      </w:r>
      <w:r w:rsidRPr="007279D2">
        <w:t xml:space="preserve">The parties agreed upon a litigation schedule at the time </w:t>
      </w:r>
      <w:r w:rsidR="003B7DA0">
        <w:t xml:space="preserve">of the Prehearing Conference.  </w:t>
      </w:r>
      <w:r w:rsidRPr="007279D2">
        <w:t>Following the conference, on December 6, 2012</w:t>
      </w:r>
      <w:r w:rsidR="00B14CCC" w:rsidRPr="007279D2">
        <w:t>,</w:t>
      </w:r>
      <w:r w:rsidRPr="007279D2">
        <w:t xml:space="preserve"> a </w:t>
      </w:r>
      <w:r w:rsidRPr="007279D2">
        <w:lastRenderedPageBreak/>
        <w:t xml:space="preserve">Prehearing Order was issued which, </w:t>
      </w:r>
      <w:r w:rsidRPr="007279D2">
        <w:rPr>
          <w:i/>
        </w:rPr>
        <w:t>inter alia</w:t>
      </w:r>
      <w:r w:rsidRPr="007279D2">
        <w:t>, established the litigation schedule which was agreed upon by the parties who participated at the Prehearing Conference, including four days of technical evidentiary hearings, beginning on February 12, 2013 and concluding on February 15, 2013.  No public input hearings were scheduled and no such hearings were requested by any party.</w:t>
      </w:r>
    </w:p>
    <w:p w:rsidR="006163AA" w:rsidRPr="007279D2" w:rsidRDefault="006163AA" w:rsidP="00090FB1">
      <w:pPr>
        <w:pStyle w:val="ListNumber"/>
        <w:numPr>
          <w:ilvl w:val="0"/>
          <w:numId w:val="0"/>
        </w:numPr>
        <w:spacing w:line="360" w:lineRule="auto"/>
        <w:ind w:firstLine="720"/>
      </w:pPr>
    </w:p>
    <w:p w:rsidR="006163AA" w:rsidRPr="007279D2" w:rsidRDefault="006163AA" w:rsidP="00090FB1">
      <w:pPr>
        <w:pStyle w:val="ListNumber"/>
        <w:numPr>
          <w:ilvl w:val="0"/>
          <w:numId w:val="0"/>
        </w:numPr>
        <w:spacing w:line="360" w:lineRule="auto"/>
        <w:ind w:firstLine="720"/>
      </w:pPr>
      <w:r w:rsidRPr="007279D2">
        <w:t xml:space="preserve">             The Joint Petitioners conducted formal and informal discovery in this proceeding.  Pursuant to the established litigation schedule, I&amp;E, OCA, OSBA, the NGS Intervenors, CAAP and CAUSE-PA </w:t>
      </w:r>
      <w:r w:rsidR="00B14CCC" w:rsidRPr="007279D2">
        <w:t>served</w:t>
      </w:r>
      <w:r w:rsidRPr="007279D2">
        <w:t xml:space="preserve"> their direct testimony and exhibits on January 4, 2013.  Columbia, I&amp;E, OCA, OSBA, the NGS Intervenors, CII and PSU </w:t>
      </w:r>
      <w:r w:rsidR="00B14CCC" w:rsidRPr="007279D2">
        <w:t>served</w:t>
      </w:r>
      <w:r w:rsidRPr="007279D2">
        <w:t xml:space="preserve"> their rebuttal testimony and exhibits on January 28, 2013.  On February 11, 2013, Columbia, I&amp;E, OCA, OSBA</w:t>
      </w:r>
      <w:r w:rsidR="00FE4FD0">
        <w:t xml:space="preserve">, </w:t>
      </w:r>
      <w:r w:rsidRPr="007279D2">
        <w:t xml:space="preserve">the NGS Intervenors, and CAUSE-PA </w:t>
      </w:r>
      <w:r w:rsidR="00B14CCC" w:rsidRPr="007279D2">
        <w:t>served</w:t>
      </w:r>
      <w:r w:rsidRPr="007279D2">
        <w:t xml:space="preserve"> their surrebuttal testimony and exhibits.</w:t>
      </w:r>
    </w:p>
    <w:p w:rsidR="006163AA" w:rsidRPr="007279D2" w:rsidRDefault="006163AA" w:rsidP="006163AA">
      <w:pPr>
        <w:pStyle w:val="ListNumber"/>
        <w:numPr>
          <w:ilvl w:val="0"/>
          <w:numId w:val="0"/>
        </w:numPr>
        <w:spacing w:line="360" w:lineRule="auto"/>
        <w:ind w:left="-720" w:firstLine="720"/>
        <w:jc w:val="both"/>
      </w:pPr>
    </w:p>
    <w:p w:rsidR="006163AA" w:rsidRPr="007279D2" w:rsidRDefault="006163AA" w:rsidP="003B7DA0">
      <w:pPr>
        <w:spacing w:line="360" w:lineRule="auto"/>
      </w:pPr>
      <w:r w:rsidRPr="007279D2">
        <w:tab/>
      </w:r>
      <w:r w:rsidRPr="007279D2">
        <w:tab/>
        <w:t>Prior to commencing the technical evidentiary hearings scheduled to begin on February 12, 2013, the parties informed the undersigned ALJs that they had reached a settlement on all issues.  In light of the ongoing settlement discussions, the undersigned ALJs cancelled the first day of hearings scheduled for February 12, 2013, and reserved the second day scheduled for February 13, 2013 to provide all parties with an opportunity to address any pertinent matters and to accept evidence and any necessary testimony.  On February 12, 2013, Columbia filed a Motion of Columbia Gas of Pennsylvania, Inc. for a Protective Order seeking, inter alia, to limit the disclosure of Columbia Exhibit JTG-R1 attached to the January 28, 2013 rebuttal testimony of Jeffrey T. Gore.</w:t>
      </w:r>
      <w:r w:rsidRPr="007279D2">
        <w:rPr>
          <w:rStyle w:val="FootnoteReference"/>
        </w:rPr>
        <w:footnoteReference w:id="6"/>
      </w:r>
    </w:p>
    <w:p w:rsidR="006163AA" w:rsidRPr="007279D2" w:rsidRDefault="006163AA" w:rsidP="003B7DA0">
      <w:pPr>
        <w:spacing w:line="360" w:lineRule="auto"/>
      </w:pPr>
    </w:p>
    <w:p w:rsidR="006163AA" w:rsidRPr="007279D2" w:rsidRDefault="006163AA" w:rsidP="003B7DA0">
      <w:pPr>
        <w:spacing w:line="360" w:lineRule="auto"/>
      </w:pPr>
      <w:r w:rsidRPr="007279D2">
        <w:tab/>
      </w:r>
      <w:r w:rsidRPr="007279D2">
        <w:tab/>
        <w:t>A hearing was held on February 13, 2013.</w:t>
      </w:r>
      <w:r w:rsidRPr="007279D2">
        <w:rPr>
          <w:rStyle w:val="FootnoteReference"/>
        </w:rPr>
        <w:footnoteReference w:id="7"/>
      </w:r>
      <w:r w:rsidRPr="007279D2">
        <w:t xml:space="preserve">  Testimony and exhibits were formally introduced and admitted into the evidentiary record by stipulation of the Joint Petitioners at the time of the hearing on February 13, 2013.  In addition, the Joint Petitioners waived cross-examination at the hearing on February 13, 2013.  The ALJs verbally granted the request of Columbia for a Protective Order at the hearing on February 13, 2013, without objection from any </w:t>
      </w:r>
      <w:r w:rsidRPr="007279D2">
        <w:lastRenderedPageBreak/>
        <w:t>party, and subsequently, on February 14, 2013, a Protective Order was issued in writing by the undersigned ALJs.  Thereafter, the undersigned ALJs canceled the hearings scheduled for February 14 and February 15, 2013.</w:t>
      </w:r>
    </w:p>
    <w:p w:rsidR="006163AA" w:rsidRPr="007279D2" w:rsidRDefault="006163AA" w:rsidP="006163AA">
      <w:pPr>
        <w:spacing w:line="360" w:lineRule="auto"/>
        <w:ind w:firstLine="720"/>
      </w:pPr>
    </w:p>
    <w:p w:rsidR="006163AA" w:rsidRPr="007279D2" w:rsidRDefault="006163AA" w:rsidP="00796F60">
      <w:pPr>
        <w:spacing w:line="360" w:lineRule="auto"/>
        <w:ind w:firstLine="720"/>
      </w:pPr>
      <w:r w:rsidRPr="007279D2">
        <w:tab/>
        <w:t xml:space="preserve">On March 15, 2013, </w:t>
      </w:r>
      <w:r w:rsidR="00B14CCC" w:rsidRPr="007279D2">
        <w:t xml:space="preserve">the aforementioned </w:t>
      </w:r>
      <w:r w:rsidRPr="007279D2">
        <w:t>Joint Petition</w:t>
      </w:r>
      <w:r w:rsidRPr="007279D2">
        <w:rPr>
          <w:rStyle w:val="FootnoteReference"/>
        </w:rPr>
        <w:footnoteReference w:id="8"/>
      </w:r>
      <w:r w:rsidRPr="007279D2">
        <w:t xml:space="preserve"> was filed with the Commission’s Secretary’s Bureau along with a certificate of service of the same on all parties.  The Joint Petition includes Appendices A through L.</w:t>
      </w:r>
      <w:r w:rsidRPr="007279D2">
        <w:rPr>
          <w:rStyle w:val="FootnoteReference"/>
        </w:rPr>
        <w:footnoteReference w:id="9"/>
      </w:r>
      <w:r w:rsidRPr="007279D2">
        <w:t xml:space="preserve">  The Joint Petition</w:t>
      </w:r>
      <w:r w:rsidR="00B14CCC" w:rsidRPr="007279D2">
        <w:t xml:space="preserve"> </w:t>
      </w:r>
      <w:r w:rsidRPr="007279D2">
        <w:t>includes Statements in Support of the Joint Petition from Columbia, I&amp;E, OCA, OSBA, CII, NGS, PSU, CAAP, and CAUSE-PA.  The individual Complainants were not signatory parties to the Joint Petition</w:t>
      </w:r>
      <w:r w:rsidR="00B14CCC" w:rsidRPr="007279D2">
        <w:t xml:space="preserve">, </w:t>
      </w:r>
      <w:r w:rsidRPr="007279D2">
        <w:t>however</w:t>
      </w:r>
      <w:r w:rsidR="00B14CCC" w:rsidRPr="007279D2">
        <w:t>,</w:t>
      </w:r>
      <w:r w:rsidRPr="007279D2">
        <w:t xml:space="preserve"> on March 20, 2013 the undersigned ALJs sent a letter to the parties regarding the filing of written objections to the Joint Petition by non-signatory parties.  Written objections were to be filed by 4:30 p.m. on April 1, 2013</w:t>
      </w:r>
      <w:r w:rsidR="00B14CCC" w:rsidRPr="007279D2">
        <w:t xml:space="preserve">.  </w:t>
      </w:r>
      <w:r w:rsidRPr="007279D2">
        <w:t>No written objections were filed.</w:t>
      </w:r>
    </w:p>
    <w:p w:rsidR="006163AA" w:rsidRPr="007279D2" w:rsidRDefault="006163AA" w:rsidP="00796F60">
      <w:pPr>
        <w:spacing w:line="360" w:lineRule="auto"/>
        <w:ind w:firstLine="720"/>
      </w:pPr>
    </w:p>
    <w:p w:rsidR="006163AA" w:rsidRPr="007279D2" w:rsidRDefault="006163AA" w:rsidP="00796F60">
      <w:pPr>
        <w:spacing w:line="360" w:lineRule="auto"/>
        <w:ind w:firstLine="720"/>
      </w:pPr>
      <w:r w:rsidRPr="007279D2">
        <w:tab/>
        <w:t xml:space="preserve">On </w:t>
      </w:r>
      <w:r w:rsidR="00B14CCC" w:rsidRPr="007279D2">
        <w:t xml:space="preserve">April </w:t>
      </w:r>
      <w:r w:rsidR="00E72052">
        <w:t>3</w:t>
      </w:r>
      <w:r w:rsidR="00B14CCC" w:rsidRPr="007279D2">
        <w:t xml:space="preserve">, 2013, </w:t>
      </w:r>
      <w:r w:rsidRPr="007279D2">
        <w:t xml:space="preserve">an Interim Order Closing the Hearing Record was issued.   </w:t>
      </w:r>
    </w:p>
    <w:p w:rsidR="006163AA" w:rsidRPr="007279D2" w:rsidRDefault="006163AA" w:rsidP="00796F60">
      <w:pPr>
        <w:spacing w:line="360" w:lineRule="auto"/>
        <w:jc w:val="center"/>
      </w:pPr>
    </w:p>
    <w:p w:rsidR="00A4523E" w:rsidRPr="007279D2" w:rsidRDefault="00A4523E" w:rsidP="00796F60">
      <w:pPr>
        <w:spacing w:line="360" w:lineRule="auto"/>
        <w:jc w:val="center"/>
      </w:pPr>
      <w:r w:rsidRPr="007279D2">
        <w:t>II.</w:t>
      </w:r>
      <w:r w:rsidRPr="007279D2">
        <w:tab/>
      </w:r>
      <w:r w:rsidRPr="007279D2">
        <w:rPr>
          <w:u w:val="single"/>
        </w:rPr>
        <w:t>DESCRIPTION AND TERMS OF SETTLEMENT</w:t>
      </w:r>
    </w:p>
    <w:p w:rsidR="00A4523E" w:rsidRPr="007279D2" w:rsidRDefault="00A4523E" w:rsidP="00796F60">
      <w:pPr>
        <w:spacing w:line="360" w:lineRule="auto"/>
        <w:jc w:val="center"/>
      </w:pPr>
    </w:p>
    <w:p w:rsidR="00C4210E" w:rsidRPr="007279D2" w:rsidRDefault="00A4523E" w:rsidP="00796F60">
      <w:pPr>
        <w:spacing w:line="360" w:lineRule="auto"/>
      </w:pPr>
      <w:r w:rsidRPr="007279D2">
        <w:tab/>
      </w:r>
      <w:r w:rsidRPr="007279D2">
        <w:tab/>
        <w:t xml:space="preserve">The </w:t>
      </w:r>
      <w:r w:rsidR="00652277" w:rsidRPr="007279D2">
        <w:t>21</w:t>
      </w:r>
      <w:r w:rsidRPr="007279D2">
        <w:t>-page Joint Petition for Settlement</w:t>
      </w:r>
      <w:r w:rsidR="00652277" w:rsidRPr="007279D2">
        <w:t xml:space="preserve"> includes 12</w:t>
      </w:r>
      <w:r w:rsidRPr="007279D2">
        <w:t xml:space="preserve"> appendices</w:t>
      </w:r>
      <w:r w:rsidR="00B17E85" w:rsidRPr="007279D2">
        <w:t xml:space="preserve"> </w:t>
      </w:r>
      <w:r w:rsidR="00652277" w:rsidRPr="007279D2">
        <w:t xml:space="preserve">attached </w:t>
      </w:r>
      <w:r w:rsidR="00B17E85" w:rsidRPr="007279D2">
        <w:t xml:space="preserve">as </w:t>
      </w:r>
      <w:r w:rsidR="00652277" w:rsidRPr="007279D2">
        <w:t xml:space="preserve">Appendix A through and including </w:t>
      </w:r>
      <w:r w:rsidR="00C4210E" w:rsidRPr="007279D2">
        <w:t xml:space="preserve">Appendix </w:t>
      </w:r>
      <w:r w:rsidR="00652277" w:rsidRPr="007279D2">
        <w:t>L</w:t>
      </w:r>
      <w:r w:rsidRPr="007279D2">
        <w:t>.  Appendix A</w:t>
      </w:r>
      <w:r w:rsidR="00652277" w:rsidRPr="007279D2">
        <w:t xml:space="preserve"> </w:t>
      </w:r>
      <w:r w:rsidRPr="007279D2">
        <w:t xml:space="preserve">is </w:t>
      </w:r>
      <w:r w:rsidR="00652277" w:rsidRPr="007279D2">
        <w:t xml:space="preserve">a one-page table of </w:t>
      </w:r>
      <w:r w:rsidRPr="007279D2">
        <w:t xml:space="preserve">the proposed </w:t>
      </w:r>
      <w:r w:rsidR="00652277" w:rsidRPr="007279D2">
        <w:t>revenue allocation among the following</w:t>
      </w:r>
      <w:r w:rsidR="00BF2208" w:rsidRPr="007279D2">
        <w:t xml:space="preserve"> rate classes</w:t>
      </w:r>
      <w:r w:rsidR="00652277" w:rsidRPr="007279D2">
        <w:t xml:space="preserve">: </w:t>
      </w:r>
      <w:r w:rsidR="000B40C8">
        <w:t xml:space="preserve"> </w:t>
      </w:r>
      <w:r w:rsidR="00652277" w:rsidRPr="007279D2">
        <w:t xml:space="preserve">Residential (“RS/RDS”), Small General (“SGS/SGDS/SCD”), Large Sales (“LGS”), Med. Trans. (“SDS”), Large Transport (“LDS”), and Mainline (“MLD”).  </w:t>
      </w:r>
      <w:r w:rsidR="00BF2208" w:rsidRPr="007279D2">
        <w:t>Appendix A</w:t>
      </w:r>
      <w:r w:rsidR="00C4210E" w:rsidRPr="007279D2">
        <w:t xml:space="preserve"> includes a comparison of the Settlement Proposal to Columbia’s i</w:t>
      </w:r>
      <w:r w:rsidR="00BF2208" w:rsidRPr="007279D2">
        <w:t>nitial request and set</w:t>
      </w:r>
      <w:r w:rsidR="00C4210E" w:rsidRPr="007279D2">
        <w:t>s</w:t>
      </w:r>
      <w:r w:rsidR="00BF2208" w:rsidRPr="007279D2">
        <w:t xml:space="preserve"> forth the percentages of the proposed class increases.  Appendix B is a 10-page schedule of revenue at proposed rates based on forecast adjusted bills and volumes for the 12 months ended June 30, 2014.  Appendix C is Columbia’s Supplement to </w:t>
      </w:r>
      <w:r w:rsidR="00FE4FD0" w:rsidRPr="007279D2">
        <w:t>Tariff Gas – Pa. P.U.C. No. 9</w:t>
      </w:r>
      <w:r w:rsidR="00BF2208" w:rsidRPr="007279D2">
        <w:t xml:space="preserve">, which includes rate increases and changes to the existing tariff.  Appendices D through and including </w:t>
      </w:r>
      <w:r w:rsidR="00C4210E" w:rsidRPr="007279D2">
        <w:t xml:space="preserve">Appendix </w:t>
      </w:r>
      <w:r w:rsidR="00BF2208" w:rsidRPr="007279D2">
        <w:t>L are the Joint Petitioners</w:t>
      </w:r>
      <w:r w:rsidR="00C4210E" w:rsidRPr="007279D2">
        <w:t>’</w:t>
      </w:r>
      <w:r w:rsidR="00BF2208" w:rsidRPr="007279D2">
        <w:t xml:space="preserve"> Statements in Support of the Settlement.</w:t>
      </w:r>
      <w:r w:rsidR="00652277" w:rsidRPr="007279D2">
        <w:t xml:space="preserve">  </w:t>
      </w:r>
    </w:p>
    <w:p w:rsidR="00C4210E" w:rsidRPr="007279D2" w:rsidRDefault="00C4210E" w:rsidP="00642AB1">
      <w:pPr>
        <w:spacing w:line="360" w:lineRule="auto"/>
      </w:pPr>
    </w:p>
    <w:p w:rsidR="007653B8" w:rsidRPr="007279D2" w:rsidRDefault="00C4210E" w:rsidP="00C4210E">
      <w:pPr>
        <w:pStyle w:val="ListNumber"/>
        <w:numPr>
          <w:ilvl w:val="0"/>
          <w:numId w:val="0"/>
        </w:numPr>
        <w:spacing w:line="360" w:lineRule="auto"/>
        <w:ind w:firstLine="1440"/>
      </w:pPr>
      <w:r w:rsidRPr="007279D2">
        <w:t>In the Joint Petition, Petitioners have proposed that rates be designed to produce an additional $55.25 million in annual base rate operating revenues instead of the Company’s filed increase request of approximately $77.3 million.  In addition, Columbia’s Rider USP will collect an additional $500,000 for increased LIURP funding.  Upon approval of the Settlement, Columbia will receive an increase in existing overall rates of approximately 14.64%, instead of the 20.61% increase proposed in Columbia’s filing.  A typical residential customer using 73 therms of gas per month will see an increase in their monthly bill from $67.17 to $78.16, or by 16.36%, instead of the monthly increase to $82.92 or 23.45% that was originally proposed in the filing.</w:t>
      </w:r>
      <w:r w:rsidR="007653B8" w:rsidRPr="007279D2">
        <w:t xml:space="preserve">  Joint Petition, p.</w:t>
      </w:r>
      <w:r w:rsidR="00F36754" w:rsidRPr="007279D2">
        <w:t xml:space="preserve"> </w:t>
      </w:r>
      <w:r w:rsidR="007653B8" w:rsidRPr="007279D2">
        <w:t>6.</w:t>
      </w:r>
    </w:p>
    <w:p w:rsidR="007653B8" w:rsidRPr="007279D2" w:rsidRDefault="007653B8" w:rsidP="00C4210E">
      <w:pPr>
        <w:pStyle w:val="ListNumber"/>
        <w:numPr>
          <w:ilvl w:val="0"/>
          <w:numId w:val="0"/>
        </w:numPr>
        <w:spacing w:line="360" w:lineRule="auto"/>
        <w:ind w:firstLine="1440"/>
      </w:pPr>
    </w:p>
    <w:p w:rsidR="002A12FA" w:rsidRPr="007279D2" w:rsidRDefault="0019010C" w:rsidP="00FB131A">
      <w:pPr>
        <w:pStyle w:val="ListNumber"/>
        <w:numPr>
          <w:ilvl w:val="0"/>
          <w:numId w:val="0"/>
        </w:numPr>
        <w:spacing w:line="360" w:lineRule="auto"/>
        <w:ind w:firstLine="1440"/>
      </w:pPr>
      <w:r w:rsidRPr="007279D2">
        <w:t>According</w:t>
      </w:r>
      <w:r w:rsidR="002A12FA" w:rsidRPr="007279D2">
        <w:t xml:space="preserve"> to the Joint Petitioners, the </w:t>
      </w:r>
      <w:r w:rsidR="00B83B3D" w:rsidRPr="007279D2">
        <w:t>S</w:t>
      </w:r>
      <w:r w:rsidR="002A12FA" w:rsidRPr="007279D2">
        <w:t>ettlement</w:t>
      </w:r>
      <w:r w:rsidRPr="007279D2">
        <w:t xml:space="preserve"> reflects a carefully</w:t>
      </w:r>
      <w:r w:rsidR="00FE4FD0">
        <w:t>-</w:t>
      </w:r>
      <w:r w:rsidRPr="007279D2">
        <w:t>balanced compromise of the interests of all the Joint Petitioners in this proceeding.  The Joint Petition</w:t>
      </w:r>
      <w:r w:rsidR="00B83B3D" w:rsidRPr="007279D2">
        <w:t>ers unanimously agree that the S</w:t>
      </w:r>
      <w:r w:rsidRPr="007279D2">
        <w:t>ettlement is in the public interest.</w:t>
      </w:r>
      <w:r w:rsidR="002A12FA" w:rsidRPr="007279D2">
        <w:t xml:space="preserve">  Joint Petition, p. 7.  The Joint Petitioners agre</w:t>
      </w:r>
      <w:r w:rsidR="00B83B3D" w:rsidRPr="007279D2">
        <w:t>e that the S</w:t>
      </w:r>
      <w:r w:rsidR="002A12FA" w:rsidRPr="007279D2">
        <w:t xml:space="preserve">ettlement was achieved after an extensive investigation of Columbia’s filing, including informal and formal discovery and the submission of direct, rebuttal and surrebuttal testimony by nearly all of the Joint Petitioners, which were admitted into the record by stipulation.  The Joint Petitioners claim that acceptance of the </w:t>
      </w:r>
      <w:r w:rsidR="00CB30DC">
        <w:t>S</w:t>
      </w:r>
      <w:r w:rsidR="002A12FA" w:rsidRPr="007279D2">
        <w:t xml:space="preserve">ettlement will avoid the necessity of further administrative and possibly appellate proceedings regarding the settled issues at what would have been a substantial cost to the Joint Petitioners and Columbia’s customers.  Joint Petition, pp. 15-16.  </w:t>
      </w:r>
      <w:r w:rsidRPr="007279D2">
        <w:t xml:space="preserve">  </w:t>
      </w:r>
    </w:p>
    <w:p w:rsidR="00E348CA" w:rsidRPr="007279D2" w:rsidRDefault="00E348CA" w:rsidP="00FB131A">
      <w:pPr>
        <w:pStyle w:val="ListNumber"/>
        <w:numPr>
          <w:ilvl w:val="0"/>
          <w:numId w:val="0"/>
        </w:numPr>
        <w:spacing w:line="360" w:lineRule="auto"/>
        <w:ind w:firstLine="1440"/>
      </w:pPr>
    </w:p>
    <w:p w:rsidR="00E348CA" w:rsidRPr="007279D2" w:rsidRDefault="00E348CA" w:rsidP="00FB131A">
      <w:pPr>
        <w:pStyle w:val="ListNumber"/>
        <w:numPr>
          <w:ilvl w:val="0"/>
          <w:numId w:val="0"/>
        </w:numPr>
        <w:spacing w:line="360" w:lineRule="auto"/>
        <w:ind w:firstLine="1440"/>
      </w:pPr>
      <w:r w:rsidRPr="007279D2">
        <w:t>The Joint Petition is conditioned upon the Commission’s approval of the terms and conditions contained therein without modification.  The Joint Petitioners agree that if the Commission modifies the Joint Petition, then any Joint Petitioner may elect to withdraw from the Joint Petition and may proceed with litigation and, in such event, the Joint Petition shall be void and of no effect.  The Joint Petitioners acknowledge and agree that t</w:t>
      </w:r>
      <w:r w:rsidR="007D2E70" w:rsidRPr="007279D2">
        <w:t>he Joint Petition</w:t>
      </w:r>
      <w:r w:rsidRPr="007279D2">
        <w:t>, if approved, shall have the same force and effect as if the Joint Petitioners had fully litigated these proceedings resulting in the establishment of rates that are Commission-made, just and reasonable.</w:t>
      </w:r>
      <w:r w:rsidR="007D2E70" w:rsidRPr="007279D2">
        <w:t xml:space="preserve">  </w:t>
      </w:r>
      <w:r w:rsidRPr="007279D2">
        <w:t>If the C</w:t>
      </w:r>
      <w:r w:rsidR="007D2E70" w:rsidRPr="007279D2">
        <w:t>ommission d</w:t>
      </w:r>
      <w:r w:rsidR="00B83B3D" w:rsidRPr="007279D2">
        <w:t>oes not approve the S</w:t>
      </w:r>
      <w:r w:rsidRPr="007279D2">
        <w:t xml:space="preserve">ettlement and the proceedings continue to further hearings, the Joint Petitioners reserve their respective rights to present additional </w:t>
      </w:r>
      <w:r w:rsidRPr="007279D2">
        <w:lastRenderedPageBreak/>
        <w:t xml:space="preserve">testimony and to conduct full cross-examination, briefing and argument.  </w:t>
      </w:r>
      <w:r w:rsidR="007D2E70" w:rsidRPr="007279D2">
        <w:t>The Joint Petitioners furt</w:t>
      </w:r>
      <w:r w:rsidR="00B83B3D" w:rsidRPr="007279D2">
        <w:t>her agree that their S</w:t>
      </w:r>
      <w:r w:rsidR="007D2E70" w:rsidRPr="007279D2">
        <w:t xml:space="preserve">ettlement </w:t>
      </w:r>
      <w:r w:rsidRPr="007279D2">
        <w:t>is made without any admission against, or prejudice to, any position that any Joint Petitioner may adopt in the event of any further litigation in these proceedings.</w:t>
      </w:r>
      <w:r w:rsidR="007D2E70" w:rsidRPr="007279D2">
        <w:t xml:space="preserve">  Joint Petition, pp. 16-17.</w:t>
      </w:r>
    </w:p>
    <w:p w:rsidR="00E348CA" w:rsidRPr="007279D2" w:rsidRDefault="00E348CA" w:rsidP="00FB131A">
      <w:pPr>
        <w:pStyle w:val="ListNumber"/>
        <w:numPr>
          <w:ilvl w:val="0"/>
          <w:numId w:val="0"/>
        </w:numPr>
        <w:spacing w:line="360" w:lineRule="auto"/>
        <w:jc w:val="both"/>
      </w:pPr>
    </w:p>
    <w:p w:rsidR="00E348CA" w:rsidRPr="007279D2" w:rsidRDefault="007D2E70" w:rsidP="00FB131A">
      <w:pPr>
        <w:pStyle w:val="ListNumber"/>
        <w:numPr>
          <w:ilvl w:val="0"/>
          <w:numId w:val="0"/>
        </w:numPr>
        <w:spacing w:line="360" w:lineRule="auto"/>
        <w:ind w:firstLine="1440"/>
      </w:pPr>
      <w:r w:rsidRPr="007279D2">
        <w:t>The Joint Petitioners agree that th</w:t>
      </w:r>
      <w:r w:rsidR="00E71C74" w:rsidRPr="007279D2">
        <w:t>e</w:t>
      </w:r>
      <w:r w:rsidRPr="007279D2">
        <w:t xml:space="preserve"> Joint Petition</w:t>
      </w:r>
      <w:r w:rsidR="00E348CA" w:rsidRPr="007279D2">
        <w:t xml:space="preserve"> and its terms and conditions may not be cited as precedent in any future proceeding, except to the extent required to</w:t>
      </w:r>
      <w:r w:rsidR="00CB2F62" w:rsidRPr="007279D2">
        <w:t xml:space="preserve"> </w:t>
      </w:r>
      <w:r w:rsidR="00E348CA" w:rsidRPr="007279D2">
        <w:t>implement th</w:t>
      </w:r>
      <w:r w:rsidRPr="007279D2">
        <w:t>e Joint Petition</w:t>
      </w:r>
      <w:r w:rsidR="00E348CA" w:rsidRPr="007279D2">
        <w:t>.</w:t>
      </w:r>
      <w:r w:rsidR="00CC5944" w:rsidRPr="007279D2">
        <w:t xml:space="preserve">  The Joint Petitioners further agree that t</w:t>
      </w:r>
      <w:r w:rsidR="00E348CA" w:rsidRPr="007279D2">
        <w:t>h</w:t>
      </w:r>
      <w:r w:rsidR="004B41B4">
        <w:t>e Commission’s approval of the S</w:t>
      </w:r>
      <w:r w:rsidR="00E348CA" w:rsidRPr="007279D2">
        <w:t xml:space="preserve">ettlement shall not be construed to represent approval of any Joint Petitioner’s position on any issue, except to the extent required to effectuate the terms and agreements of the </w:t>
      </w:r>
      <w:r w:rsidR="00B83B3D" w:rsidRPr="007279D2">
        <w:t>S</w:t>
      </w:r>
      <w:r w:rsidR="00E348CA" w:rsidRPr="007279D2">
        <w:t>ettlement in these and future proceedings involving Columbia.</w:t>
      </w:r>
      <w:r w:rsidR="00CC5944" w:rsidRPr="007279D2">
        <w:t xml:space="preserve">  The Joint Pe</w:t>
      </w:r>
      <w:r w:rsidR="00B83B3D" w:rsidRPr="007279D2">
        <w:t>tition provides that the S</w:t>
      </w:r>
      <w:r w:rsidR="00CC5944" w:rsidRPr="007279D2">
        <w:t>e</w:t>
      </w:r>
      <w:r w:rsidR="00E348CA" w:rsidRPr="007279D2">
        <w:t>ttlement is the result of compromise, and does not necessarily represent the position</w:t>
      </w:r>
      <w:r w:rsidR="00422E70" w:rsidRPr="007279D2">
        <w:t>s</w:t>
      </w:r>
      <w:r w:rsidR="00E348CA" w:rsidRPr="007279D2">
        <w:t xml:space="preserve"> that would be advanced by any Joint Petitioner in these proceedings if they were fully litigated.</w:t>
      </w:r>
      <w:r w:rsidR="00422E70" w:rsidRPr="007279D2">
        <w:t xml:space="preserve">  Joint Petition, p. 17.</w:t>
      </w:r>
    </w:p>
    <w:p w:rsidR="00E348CA" w:rsidRPr="007279D2" w:rsidRDefault="00E348CA" w:rsidP="00FB131A">
      <w:pPr>
        <w:pStyle w:val="ListNumber"/>
        <w:numPr>
          <w:ilvl w:val="0"/>
          <w:numId w:val="0"/>
        </w:numPr>
        <w:spacing w:line="360" w:lineRule="auto"/>
        <w:jc w:val="both"/>
      </w:pPr>
    </w:p>
    <w:p w:rsidR="00E348CA" w:rsidRPr="007279D2" w:rsidRDefault="00422E70" w:rsidP="00FB131A">
      <w:pPr>
        <w:pStyle w:val="ListNumber"/>
        <w:numPr>
          <w:ilvl w:val="0"/>
          <w:numId w:val="0"/>
        </w:numPr>
        <w:spacing w:line="360" w:lineRule="auto"/>
        <w:ind w:firstLine="1440"/>
      </w:pPr>
      <w:r w:rsidRPr="007279D2">
        <w:t xml:space="preserve">Joint Petitioners agree that the Joint Petition </w:t>
      </w:r>
      <w:r w:rsidR="00E348CA" w:rsidRPr="007279D2">
        <w:t>is presented without prejudice to any position that any of the Joint Petitioners may have advanced and without prejudice to the position any of the Joint Petitioners may advance in the future on the merits of the issues in future proceedings</w:t>
      </w:r>
      <w:r w:rsidRPr="007279D2">
        <w:t>,</w:t>
      </w:r>
      <w:r w:rsidR="00E348CA" w:rsidRPr="007279D2">
        <w:t xml:space="preserve"> except to the extent necessary to effectuate the terms and conditions of this </w:t>
      </w:r>
      <w:r w:rsidR="004B41B4">
        <w:t>S</w:t>
      </w:r>
      <w:r w:rsidR="00E348CA" w:rsidRPr="007279D2">
        <w:t>ettlement.  Th</w:t>
      </w:r>
      <w:r w:rsidRPr="007279D2">
        <w:t>e Joint Peti</w:t>
      </w:r>
      <w:r w:rsidR="00B83B3D" w:rsidRPr="007279D2">
        <w:t>tioners further agree that the S</w:t>
      </w:r>
      <w:r w:rsidRPr="007279D2">
        <w:t>ettlement</w:t>
      </w:r>
      <w:r w:rsidR="00E348CA" w:rsidRPr="007279D2">
        <w:t xml:space="preserve"> does not preclude the Joint Petitioners from taking other positions in proceedings involving other public utilities under Section 1308 of the Public Utility Code, 66 Pa.</w:t>
      </w:r>
      <w:r w:rsidRPr="007279D2">
        <w:t xml:space="preserve"> </w:t>
      </w:r>
      <w:r w:rsidR="00E348CA" w:rsidRPr="007279D2">
        <w:t>C.S. §1308, or any other proceeding.</w:t>
      </w:r>
      <w:r w:rsidRPr="007279D2">
        <w:t xml:space="preserve">  Lastly, t</w:t>
      </w:r>
      <w:r w:rsidR="00E348CA" w:rsidRPr="007279D2">
        <w:t xml:space="preserve">he Joint Petitioners </w:t>
      </w:r>
      <w:r w:rsidRPr="007279D2">
        <w:t xml:space="preserve">agree to </w:t>
      </w:r>
      <w:r w:rsidR="00E348CA" w:rsidRPr="007279D2">
        <w:t xml:space="preserve">waive their individual rights to file exceptions with regard to the </w:t>
      </w:r>
      <w:r w:rsidR="004B41B4">
        <w:t>S</w:t>
      </w:r>
      <w:r w:rsidR="00E348CA" w:rsidRPr="007279D2">
        <w:t>ettlement</w:t>
      </w:r>
      <w:r w:rsidRPr="007279D2">
        <w:t xml:space="preserve"> if the Joint Petition is adopted without modification.  Joint Petition, p. 18</w:t>
      </w:r>
      <w:r w:rsidR="00E348CA" w:rsidRPr="007279D2">
        <w:t>.</w:t>
      </w:r>
    </w:p>
    <w:p w:rsidR="006E73E3" w:rsidRPr="007279D2" w:rsidRDefault="006E73E3" w:rsidP="002A12FA">
      <w:pPr>
        <w:pStyle w:val="ListNumber"/>
        <w:numPr>
          <w:ilvl w:val="0"/>
          <w:numId w:val="0"/>
        </w:numPr>
        <w:spacing w:line="360" w:lineRule="auto"/>
        <w:ind w:firstLine="1440"/>
      </w:pPr>
    </w:p>
    <w:p w:rsidR="006E73E3" w:rsidRPr="007279D2" w:rsidRDefault="00B83B3D" w:rsidP="002A12FA">
      <w:pPr>
        <w:pStyle w:val="ListNumber"/>
        <w:numPr>
          <w:ilvl w:val="0"/>
          <w:numId w:val="0"/>
        </w:numPr>
        <w:spacing w:line="360" w:lineRule="auto"/>
        <w:ind w:firstLine="1440"/>
      </w:pPr>
      <w:r w:rsidRPr="007279D2">
        <w:t xml:space="preserve">The </w:t>
      </w:r>
      <w:r w:rsidR="004B41B4">
        <w:t>s</w:t>
      </w:r>
      <w:r w:rsidR="006E73E3" w:rsidRPr="007279D2">
        <w:t>ettlement terms are set forth on pages 7-15 of the Joint Petition.  The terms are discussed under the following four subheadings:  Revenue Requirement, Revenue Allocation and Rate Design, Universal Service and Conservation and Other.</w:t>
      </w:r>
      <w:r w:rsidR="00422E70" w:rsidRPr="007279D2">
        <w:t xml:space="preserve">  These four subheadin</w:t>
      </w:r>
      <w:r w:rsidRPr="007279D2">
        <w:t xml:space="preserve">gs will be used to present the </w:t>
      </w:r>
      <w:r w:rsidR="004B41B4">
        <w:t>s</w:t>
      </w:r>
      <w:r w:rsidR="00422E70" w:rsidRPr="007279D2">
        <w:t xml:space="preserve">ettlement terms here in this Recommended Decision as well.  </w:t>
      </w:r>
      <w:r w:rsidR="006E73E3" w:rsidRPr="007279D2">
        <w:t xml:space="preserve">  </w:t>
      </w:r>
    </w:p>
    <w:p w:rsidR="00422E70" w:rsidRPr="007279D2" w:rsidRDefault="00422E70" w:rsidP="00422E70">
      <w:pPr>
        <w:pStyle w:val="ListNumber"/>
        <w:numPr>
          <w:ilvl w:val="0"/>
          <w:numId w:val="0"/>
        </w:numPr>
        <w:spacing w:line="360" w:lineRule="auto"/>
      </w:pPr>
    </w:p>
    <w:p w:rsidR="00FB131A" w:rsidRPr="007279D2" w:rsidRDefault="00FB131A">
      <w:pPr>
        <w:rPr>
          <w:u w:val="single"/>
        </w:rPr>
      </w:pPr>
      <w:r w:rsidRPr="007279D2">
        <w:rPr>
          <w:u w:val="single"/>
        </w:rPr>
        <w:br w:type="page"/>
      </w:r>
    </w:p>
    <w:p w:rsidR="00FB131A" w:rsidRPr="007279D2" w:rsidRDefault="00FB131A" w:rsidP="00FB131A">
      <w:pPr>
        <w:pStyle w:val="BodyText2"/>
        <w:spacing w:line="360" w:lineRule="auto"/>
        <w:ind w:firstLine="0"/>
        <w:jc w:val="left"/>
      </w:pPr>
      <w:r w:rsidRPr="007279D2">
        <w:lastRenderedPageBreak/>
        <w:t>A.</w:t>
      </w:r>
      <w:r w:rsidRPr="007279D2">
        <w:tab/>
      </w:r>
      <w:r w:rsidRPr="007279D2">
        <w:rPr>
          <w:u w:val="single"/>
        </w:rPr>
        <w:t>Revenue Requirement</w:t>
      </w:r>
    </w:p>
    <w:p w:rsidR="00422E70" w:rsidRPr="007279D2" w:rsidRDefault="00422E70" w:rsidP="00422E70">
      <w:pPr>
        <w:pStyle w:val="ListNumber"/>
        <w:numPr>
          <w:ilvl w:val="0"/>
          <w:numId w:val="0"/>
        </w:numPr>
        <w:spacing w:line="360" w:lineRule="auto"/>
      </w:pPr>
    </w:p>
    <w:p w:rsidR="00E860CF" w:rsidRPr="007279D2" w:rsidRDefault="00E860CF" w:rsidP="00FB131A">
      <w:pPr>
        <w:pStyle w:val="ListNumber"/>
        <w:numPr>
          <w:ilvl w:val="0"/>
          <w:numId w:val="0"/>
        </w:numPr>
        <w:spacing w:line="360" w:lineRule="auto"/>
        <w:ind w:firstLine="1440"/>
      </w:pPr>
      <w:r w:rsidRPr="007279D2">
        <w:t>The Joint Petitioners agree that base rates will be designed to produce an increase in operating revenues of $55.25 million based upon a pro forma throughput level of 77,471,726.6 Dth for the twelve months ended June 30, 2014.  The level of usage is based on the actual level of normalized consumption for the 12 months ended December 31, 2012.  Joint Petition, p. 7.</w:t>
      </w:r>
    </w:p>
    <w:p w:rsidR="00E860CF" w:rsidRPr="007279D2" w:rsidRDefault="00E860CF" w:rsidP="00FB131A">
      <w:pPr>
        <w:pStyle w:val="ListNumber"/>
        <w:numPr>
          <w:ilvl w:val="0"/>
          <w:numId w:val="0"/>
        </w:numPr>
        <w:spacing w:line="360" w:lineRule="auto"/>
        <w:ind w:firstLine="1440"/>
      </w:pPr>
    </w:p>
    <w:p w:rsidR="00394624" w:rsidRPr="007279D2" w:rsidRDefault="00E860CF" w:rsidP="00FB131A">
      <w:pPr>
        <w:pStyle w:val="ListNumber"/>
        <w:numPr>
          <w:ilvl w:val="0"/>
          <w:numId w:val="0"/>
        </w:numPr>
        <w:spacing w:line="360" w:lineRule="auto"/>
        <w:ind w:firstLine="1440"/>
      </w:pPr>
      <w:r w:rsidRPr="007279D2">
        <w:t xml:space="preserve">The Joint Petition provides that Columbia’s proposed depreciation and amortization rates are approved effective July 1, 2013.  </w:t>
      </w:r>
      <w:r w:rsidR="00394624" w:rsidRPr="007279D2">
        <w:t xml:space="preserve">The Joint Petition further provides that </w:t>
      </w:r>
      <w:r w:rsidRPr="007279D2">
        <w:t>Columbia will continue to use normalization accounting with respect to the benefits of the tax repairs deduction.  In addition, with regard to the $37.4 million tax refund previously received by Columbia that is attributable to the change in method for the repairs deduction, commencing with the effective date of rates in this proceeding, the remain</w:t>
      </w:r>
      <w:r w:rsidR="00E266FD">
        <w:t>ing amount of $8,178,846</w:t>
      </w:r>
      <w:r w:rsidRPr="007279D2">
        <w:t xml:space="preserve"> shall be amortized over two years commencing July 1, 2013.  The amortization shall continue to be without interest and without a deduction of the unamortized balance from rate base.  Subsequent changes in the refund amount, above or below the $37.4 million, shall be reflected in accumulated deferred income taxes to be created under the normalization method of accounting.</w:t>
      </w:r>
      <w:r w:rsidR="00394624" w:rsidRPr="007279D2">
        <w:t xml:space="preserve">  Joint Petition, p. 7.  </w:t>
      </w:r>
    </w:p>
    <w:p w:rsidR="00394624" w:rsidRPr="007279D2" w:rsidRDefault="00394624" w:rsidP="00E860CF">
      <w:pPr>
        <w:pStyle w:val="ListNumber"/>
        <w:numPr>
          <w:ilvl w:val="0"/>
          <w:numId w:val="0"/>
        </w:numPr>
        <w:spacing w:line="360" w:lineRule="auto"/>
        <w:ind w:firstLine="1440"/>
      </w:pPr>
    </w:p>
    <w:p w:rsidR="007F03D1" w:rsidRPr="007279D2" w:rsidRDefault="00B83B3D" w:rsidP="007F03D1">
      <w:pPr>
        <w:pStyle w:val="ListNumber"/>
        <w:numPr>
          <w:ilvl w:val="0"/>
          <w:numId w:val="0"/>
        </w:numPr>
        <w:spacing w:line="360" w:lineRule="auto"/>
        <w:ind w:firstLine="1440"/>
      </w:pPr>
      <w:r w:rsidRPr="007279D2">
        <w:t>The S</w:t>
      </w:r>
      <w:r w:rsidR="00394624" w:rsidRPr="007279D2">
        <w:t xml:space="preserve">ettlement permits Columbia to use normalization accounting with respect to the tax treatment of </w:t>
      </w:r>
      <w:r w:rsidR="003F7D0F" w:rsidRPr="007279D2">
        <w:t xml:space="preserve">Internal Revenue Service Code </w:t>
      </w:r>
      <w:r w:rsidR="00394624" w:rsidRPr="007279D2">
        <w:t>Section 263A mixed service costs.</w:t>
      </w:r>
      <w:r w:rsidR="003F7D0F" w:rsidRPr="007279D2">
        <w:rPr>
          <w:rStyle w:val="FootnoteReference"/>
        </w:rPr>
        <w:footnoteReference w:id="10"/>
      </w:r>
      <w:r w:rsidR="00394624" w:rsidRPr="007279D2">
        <w:t xml:space="preserve">  The Joint Petitioners agree </w:t>
      </w:r>
      <w:r w:rsidR="003F7D0F" w:rsidRPr="007279D2">
        <w:t>to permit</w:t>
      </w:r>
      <w:r w:rsidR="00394624" w:rsidRPr="007279D2">
        <w:t xml:space="preserve"> Columbia </w:t>
      </w:r>
      <w:r w:rsidR="007F03D1" w:rsidRPr="007279D2">
        <w:t>to recover the amortization of costs related to the following:</w:t>
      </w:r>
    </w:p>
    <w:p w:rsidR="007F03D1" w:rsidRPr="007279D2" w:rsidRDefault="007F03D1" w:rsidP="007F03D1">
      <w:pPr>
        <w:pStyle w:val="ListNumber"/>
        <w:numPr>
          <w:ilvl w:val="0"/>
          <w:numId w:val="0"/>
        </w:numPr>
        <w:spacing w:line="360" w:lineRule="auto"/>
        <w:ind w:firstLine="1440"/>
      </w:pPr>
    </w:p>
    <w:p w:rsidR="007F03D1" w:rsidRDefault="007F03D1" w:rsidP="007F03D1">
      <w:pPr>
        <w:pStyle w:val="BodyText"/>
        <w:spacing w:after="0"/>
        <w:ind w:left="2160" w:right="1440" w:hanging="720"/>
      </w:pPr>
      <w:r w:rsidRPr="007279D2">
        <w:t>(i)</w:t>
      </w:r>
      <w:r w:rsidRPr="007279D2">
        <w:tab/>
        <w:t>NIFIT – Amortization of non-Company labor start-up costs of the new financial software of $1,738,714, over a four-year period commencing with the effective date of rates in this proceeding.</w:t>
      </w:r>
    </w:p>
    <w:p w:rsidR="00E266FD" w:rsidRPr="007279D2" w:rsidRDefault="00E266FD" w:rsidP="007F03D1">
      <w:pPr>
        <w:pStyle w:val="BodyText"/>
        <w:spacing w:after="0"/>
        <w:ind w:left="2160" w:right="1440" w:hanging="720"/>
      </w:pPr>
    </w:p>
    <w:p w:rsidR="007F03D1" w:rsidRDefault="007F03D1" w:rsidP="007F03D1">
      <w:pPr>
        <w:pStyle w:val="BodyText"/>
        <w:spacing w:after="0"/>
        <w:ind w:left="2160" w:right="1440" w:hanging="720"/>
      </w:pPr>
      <w:r w:rsidRPr="007279D2">
        <w:t>(ii)</w:t>
      </w:r>
      <w:r w:rsidRPr="007279D2">
        <w:tab/>
        <w:t xml:space="preserve">Blackhawk Storage – Continuation of the previously-approved 24.5 year amortization of the total amount of $398,865 to be included on books and in rate base as a </w:t>
      </w:r>
      <w:r w:rsidRPr="007279D2">
        <w:lastRenderedPageBreak/>
        <w:t>regulatory asset to reflect the total original cost that began on October 28, 2008.</w:t>
      </w:r>
    </w:p>
    <w:p w:rsidR="00E266FD" w:rsidRPr="007279D2" w:rsidRDefault="00E266FD" w:rsidP="007F03D1">
      <w:pPr>
        <w:pStyle w:val="BodyText"/>
        <w:spacing w:after="0"/>
        <w:ind w:left="2160" w:right="1440" w:hanging="720"/>
      </w:pPr>
    </w:p>
    <w:p w:rsidR="007F03D1" w:rsidRDefault="007F03D1" w:rsidP="007F03D1">
      <w:pPr>
        <w:pStyle w:val="BodyText"/>
        <w:spacing w:after="0"/>
        <w:ind w:left="2160" w:right="1440" w:hanging="720"/>
      </w:pPr>
      <w:r w:rsidRPr="007279D2">
        <w:t>(iii)</w:t>
      </w:r>
      <w:r w:rsidRPr="007279D2">
        <w:tab/>
        <w:t>Tax Credit – Amortization of the unamortized portion of the $37,487,634 total tax credit of $4,089,423 per year for two years commencing July 1, 2013.</w:t>
      </w:r>
    </w:p>
    <w:p w:rsidR="00E266FD" w:rsidRPr="007279D2" w:rsidRDefault="00E266FD" w:rsidP="007F03D1">
      <w:pPr>
        <w:pStyle w:val="BodyText"/>
        <w:spacing w:after="0"/>
        <w:ind w:left="2160" w:right="1440" w:hanging="720"/>
      </w:pPr>
    </w:p>
    <w:p w:rsidR="007F03D1" w:rsidRDefault="007F03D1" w:rsidP="007F03D1">
      <w:pPr>
        <w:pStyle w:val="BodyText"/>
        <w:spacing w:after="0"/>
        <w:ind w:left="2160" w:right="1440" w:hanging="720"/>
      </w:pPr>
      <w:r w:rsidRPr="007279D2">
        <w:t>(iv)</w:t>
      </w:r>
      <w:r w:rsidRPr="007279D2">
        <w:tab/>
        <w:t>Corporate Services OPEB-Related Costs – Amortization of the regulatory asset of $903,131 associated with the transition of NiSource Corporate Services Company from a cash to accrual basis for OPEBs, over a ten-year period commencing with the effective date of rates in this proceeding.</w:t>
      </w:r>
    </w:p>
    <w:p w:rsidR="00E266FD" w:rsidRPr="007279D2" w:rsidRDefault="00E266FD" w:rsidP="007F03D1">
      <w:pPr>
        <w:pStyle w:val="BodyText"/>
        <w:spacing w:after="0"/>
        <w:ind w:left="2160" w:right="1440" w:hanging="720"/>
      </w:pPr>
    </w:p>
    <w:p w:rsidR="007F03D1" w:rsidRPr="007279D2" w:rsidRDefault="007F03D1" w:rsidP="007F03D1">
      <w:pPr>
        <w:pStyle w:val="BodyText"/>
        <w:spacing w:after="0"/>
        <w:ind w:left="2160" w:right="1440" w:hanging="720"/>
      </w:pPr>
      <w:r w:rsidRPr="007279D2">
        <w:t>(v)</w:t>
      </w:r>
      <w:r w:rsidRPr="007279D2">
        <w:tab/>
        <w:t>CPA OPEB Deferral Passback – Rates reflect the two year amortization of the pre-July 1, 2013 deferred OPEB amounts totaling $607,393.</w:t>
      </w:r>
    </w:p>
    <w:p w:rsidR="007F03D1" w:rsidRPr="007279D2" w:rsidRDefault="007F03D1" w:rsidP="007F03D1">
      <w:pPr>
        <w:pStyle w:val="ListNumber"/>
        <w:numPr>
          <w:ilvl w:val="0"/>
          <w:numId w:val="0"/>
        </w:numPr>
        <w:spacing w:line="360" w:lineRule="auto"/>
      </w:pPr>
    </w:p>
    <w:p w:rsidR="007F03D1" w:rsidRPr="007279D2" w:rsidRDefault="007F03D1" w:rsidP="007F03D1">
      <w:pPr>
        <w:pStyle w:val="ListNumber"/>
        <w:numPr>
          <w:ilvl w:val="0"/>
          <w:numId w:val="0"/>
        </w:numPr>
        <w:spacing w:line="360" w:lineRule="auto"/>
      </w:pPr>
      <w:r w:rsidRPr="007279D2">
        <w:t>Joint Petition, p. 8.</w:t>
      </w:r>
    </w:p>
    <w:p w:rsidR="007F03D1" w:rsidRPr="007279D2" w:rsidRDefault="007F03D1" w:rsidP="007F03D1">
      <w:pPr>
        <w:pStyle w:val="ListNumber"/>
        <w:numPr>
          <w:ilvl w:val="0"/>
          <w:numId w:val="0"/>
        </w:numPr>
        <w:spacing w:line="360" w:lineRule="auto"/>
      </w:pPr>
    </w:p>
    <w:p w:rsidR="00BC66DF" w:rsidRPr="007279D2" w:rsidRDefault="00BC66DF" w:rsidP="00BC66DF">
      <w:pPr>
        <w:pStyle w:val="ListNumber"/>
        <w:numPr>
          <w:ilvl w:val="0"/>
          <w:numId w:val="0"/>
        </w:numPr>
        <w:spacing w:line="360" w:lineRule="auto"/>
        <w:ind w:firstLine="1440"/>
      </w:pPr>
      <w:r w:rsidRPr="007279D2">
        <w:t>Commencing with the effective date of rates, the Joint Petition permits Columbia to defer the difference between the annual Other Post-Employment Benefits (“OPEB”) expense calculated pursuant to FASB Accounting Standards Codification (“ASC”) 715, “Compensation – Retirement Benefits (</w:t>
      </w:r>
      <w:r w:rsidR="00E266FD">
        <w:t>“</w:t>
      </w:r>
      <w:r w:rsidRPr="007279D2">
        <w:t>SFAS No. 106</w:t>
      </w:r>
      <w:r w:rsidR="00E266FD">
        <w:t>"</w:t>
      </w:r>
      <w:r w:rsidRPr="007279D2">
        <w:t>) and the annual OPEB expense allowance in rates of $0.  Only those amounts attributable to operation and maintenance would be deferred and recognized as a regulatory asset or liability.  To the extent the cumulative balance recorded commencing with the effective date of rates reflects a regulatory asset, such amount will be collected from customers in the next rate proceeding over a period to be determined in that rate proceeding.  To the extent the cumulative balance recorded commencing with the effective date of rates reflects a regulatory liability, there will be no amortization of the (non-cash) negative expense, and the cumulative balance will continue to be maintained.  Joint Petition, pp. 8-9.</w:t>
      </w:r>
    </w:p>
    <w:p w:rsidR="00943FF3" w:rsidRPr="007279D2" w:rsidRDefault="00943FF3" w:rsidP="00BC66DF">
      <w:pPr>
        <w:pStyle w:val="ListNumber"/>
        <w:numPr>
          <w:ilvl w:val="0"/>
          <w:numId w:val="0"/>
        </w:numPr>
        <w:spacing w:line="360" w:lineRule="auto"/>
        <w:ind w:firstLine="1440"/>
      </w:pPr>
    </w:p>
    <w:p w:rsidR="00040CC9" w:rsidRPr="007279D2" w:rsidRDefault="00943FF3" w:rsidP="00040CC9">
      <w:pPr>
        <w:pStyle w:val="ListNumber"/>
        <w:numPr>
          <w:ilvl w:val="0"/>
          <w:numId w:val="0"/>
        </w:numPr>
        <w:spacing w:line="360" w:lineRule="auto"/>
        <w:ind w:firstLine="1440"/>
      </w:pPr>
      <w:r w:rsidRPr="007279D2">
        <w:t>Commencing with the effective date of rates, the Joint Petitioners agree th</w:t>
      </w:r>
      <w:r w:rsidR="00040CC9" w:rsidRPr="007279D2">
        <w:t>a</w:t>
      </w:r>
      <w:r w:rsidRPr="007279D2">
        <w:t xml:space="preserve">t Columbia will deposit amounts in the OPEB trusts when the cumulative gross annual accruals calculated by its actuary pursuant to ASC 715 are greater than $0.  If annual amounts deposited into OPEB trusts, pursuant to this </w:t>
      </w:r>
      <w:r w:rsidR="004B41B4">
        <w:t>S</w:t>
      </w:r>
      <w:r w:rsidRPr="007279D2">
        <w:t xml:space="preserve">ettlement, exceed allowable income tax deduction limits, any income taxes paid will be recorded as negative deferred income taxes, to be added to rate base in </w:t>
      </w:r>
      <w:r w:rsidRPr="007279D2">
        <w:lastRenderedPageBreak/>
        <w:t xml:space="preserve">future proceedings.  </w:t>
      </w:r>
      <w:r w:rsidR="00BE4071" w:rsidRPr="007279D2">
        <w:t>According to the Joint Petitioners, t</w:t>
      </w:r>
      <w:r w:rsidR="00040CC9" w:rsidRPr="007279D2">
        <w:t>he rate increase includes an allowance of $9.25 million for the Company’s claimed incremental O&amp;M expense, as described in Columbia Witness Kitchell’s direct testimony, which is based on the Company’s initiatives in furtherance of operating a safe and reliable natural gas distribution system.  Columbia agrees to coordinate its safety-related initiatives with its Long Term Infrastructure Improvement Plan and its Distribution Integrity Management Program Plan priorities.  The Company also agrees to track the incremental annual amounts spent and the extent to which the goals of each safety initiative are met.</w:t>
      </w:r>
      <w:r w:rsidR="00BE4071" w:rsidRPr="007279D2">
        <w:t xml:space="preserve">  Joint Petition, p. 9.  </w:t>
      </w:r>
      <w:r w:rsidR="00040CC9" w:rsidRPr="007279D2">
        <w:t xml:space="preserve">      </w:t>
      </w:r>
    </w:p>
    <w:p w:rsidR="00BE4071" w:rsidRPr="007279D2" w:rsidRDefault="00BE4071" w:rsidP="00040CC9">
      <w:pPr>
        <w:pStyle w:val="ListNumber"/>
        <w:numPr>
          <w:ilvl w:val="0"/>
          <w:numId w:val="0"/>
        </w:numPr>
        <w:spacing w:line="360" w:lineRule="auto"/>
        <w:ind w:firstLine="1440"/>
      </w:pPr>
    </w:p>
    <w:p w:rsidR="00BE4071" w:rsidRPr="007279D2" w:rsidRDefault="00BE4071" w:rsidP="00BE4071">
      <w:pPr>
        <w:pStyle w:val="ListNumber"/>
        <w:numPr>
          <w:ilvl w:val="0"/>
          <w:numId w:val="0"/>
        </w:numPr>
        <w:spacing w:line="360" w:lineRule="auto"/>
        <w:ind w:firstLine="1440"/>
      </w:pPr>
      <w:r w:rsidRPr="007279D2">
        <w:t>The Joint Petitioners agree that if Columbia is authorized to implement a Distribution System Improvement Charge (“DSIC”), then following the effective date of rates in this proceeding, Columbia will be eligible to include plant additions in the DSIC once eligible account balances exceed the levels projected by Columbia at June 30, 2014.</w:t>
      </w:r>
      <w:r w:rsidR="00B83B3D" w:rsidRPr="007279D2">
        <w:rPr>
          <w:rStyle w:val="FootnoteReference"/>
        </w:rPr>
        <w:footnoteReference w:id="11"/>
      </w:r>
      <w:r w:rsidRPr="007279D2">
        <w:t xml:space="preserve">  </w:t>
      </w:r>
      <w:r w:rsidR="00700552" w:rsidRPr="007279D2">
        <w:t>The Joint Petition</w:t>
      </w:r>
      <w:r w:rsidR="00A4502E" w:rsidRPr="007279D2">
        <w:t>er</w:t>
      </w:r>
      <w:r w:rsidR="00700552" w:rsidRPr="007279D2">
        <w:t>s state that t</w:t>
      </w:r>
      <w:r w:rsidRPr="007279D2">
        <w:t xml:space="preserve">he foregoing provision is included solely for purposes of calculating the DSIC, and is not determinative for future ratemaking purposes of the projected additions to be included in rate base in a </w:t>
      </w:r>
      <w:r w:rsidR="00D87CA7">
        <w:t>fully-project</w:t>
      </w:r>
      <w:r w:rsidR="000E00D4">
        <w:t>ed</w:t>
      </w:r>
      <w:r w:rsidR="00D87CA7">
        <w:t xml:space="preserve"> </w:t>
      </w:r>
      <w:r w:rsidR="000E00D4">
        <w:t xml:space="preserve">future </w:t>
      </w:r>
      <w:r w:rsidR="00D87CA7">
        <w:t>test year (“</w:t>
      </w:r>
      <w:r w:rsidRPr="007279D2">
        <w:t>FPFTY</w:t>
      </w:r>
      <w:r w:rsidR="00D87CA7">
        <w:t>”)</w:t>
      </w:r>
      <w:r w:rsidRPr="007279D2">
        <w:t xml:space="preserve"> filing.</w:t>
      </w:r>
      <w:r w:rsidR="00700552" w:rsidRPr="007279D2">
        <w:t xml:space="preserve">  Joint Petition, pp. 9</w:t>
      </w:r>
      <w:r w:rsidR="000E00D4">
        <w:noBreakHyphen/>
      </w:r>
      <w:r w:rsidR="00700552" w:rsidRPr="007279D2">
        <w:t>10.</w:t>
      </w:r>
    </w:p>
    <w:p w:rsidR="00A4502E" w:rsidRPr="007279D2" w:rsidRDefault="00A4502E" w:rsidP="00BE4071">
      <w:pPr>
        <w:pStyle w:val="ListNumber"/>
        <w:numPr>
          <w:ilvl w:val="0"/>
          <w:numId w:val="0"/>
        </w:numPr>
        <w:spacing w:line="360" w:lineRule="auto"/>
        <w:ind w:firstLine="1440"/>
      </w:pPr>
    </w:p>
    <w:p w:rsidR="00A4502E" w:rsidRPr="007279D2" w:rsidRDefault="00A4502E" w:rsidP="00A4502E">
      <w:pPr>
        <w:pStyle w:val="ListNumber"/>
        <w:numPr>
          <w:ilvl w:val="0"/>
          <w:numId w:val="0"/>
        </w:numPr>
        <w:spacing w:line="360" w:lineRule="auto"/>
        <w:ind w:firstLine="1440"/>
      </w:pPr>
      <w:r w:rsidRPr="007279D2">
        <w:t xml:space="preserve">The Joint Petition provides that on or before October 1, 2013, Columbia will provide the Commission’s Bureau of Technical Utility Services (“TUS”), I&amp;E, OCA and OSBA an update to Columbia Exhibit No. 108, Schedule 1, which will include actual capital expenditures, plant additions, and retirements by month for the twelve months ending June 30, 2013.  On or before October 1, 2014, Columbia agrees to update Exhibit No. 108, Schedule 1 filed in this proceeding for the twelve months ending June 30, 2014.  In Columbia’s next base rate proceeding, the Company agrees to prepare a comparison of its actual expenses and rate base additions for the twelve months ended June 30, 2014 to its projections in this case.  However, it is recognized by the Joint Petitioners that this is a </w:t>
      </w:r>
      <w:r w:rsidR="00053EFA">
        <w:t>“</w:t>
      </w:r>
      <w:r w:rsidRPr="007279D2">
        <w:t>black box</w:t>
      </w:r>
      <w:r w:rsidR="00053EFA">
        <w:t>”</w:t>
      </w:r>
      <w:r w:rsidRPr="007279D2">
        <w:t xml:space="preserve"> settlement that is a compromise of Joint Petitioners’ positions on various issues.  Joint Petition, p. 10.</w:t>
      </w:r>
    </w:p>
    <w:p w:rsidR="00A4502E" w:rsidRPr="007279D2" w:rsidRDefault="00A4502E" w:rsidP="00A4502E">
      <w:pPr>
        <w:pStyle w:val="ListNumber"/>
        <w:numPr>
          <w:ilvl w:val="0"/>
          <w:numId w:val="0"/>
        </w:numPr>
        <w:spacing w:line="360" w:lineRule="auto"/>
        <w:ind w:firstLine="1440"/>
      </w:pPr>
    </w:p>
    <w:p w:rsidR="00A4502E" w:rsidRPr="007279D2" w:rsidRDefault="00A4502E" w:rsidP="00196DDC">
      <w:pPr>
        <w:pStyle w:val="ListNumber"/>
        <w:numPr>
          <w:ilvl w:val="0"/>
          <w:numId w:val="0"/>
        </w:numPr>
        <w:spacing w:line="360" w:lineRule="auto"/>
        <w:ind w:firstLine="1440"/>
      </w:pPr>
      <w:r w:rsidRPr="007279D2">
        <w:t>For all future debt issuances during the twelve</w:t>
      </w:r>
      <w:r w:rsidR="002D5D2A">
        <w:t>-</w:t>
      </w:r>
      <w:r w:rsidRPr="007279D2">
        <w:t>month periods ending June 30, 2013 and June 30, 2014, Joint Petitioners agree that Columbia will provide to TUS, I&amp;E, OCA and OSBA, within 60 days of issuance, all loan documentation filed with the Commission in compliance with the Commission’s Order in Docket No. S-2012-2282635, or in compliance with orders in subsequent filings submitted by Columbia pursuant to Chapter 19 of the Pennsylvania Public Utility Code.  In addition, Columbia will preserve and provide to I&amp;E, OCA and OSBA as a part of its next base rate case the following:  (1) all documentation supporting debt issued between this base rate case and the next base rate case; and (2) the Treasury yield as reported in the Federal Reserve Statistical Release, H.15 Selected Interest Rates and the yield spread as reported by Reuters Corporate spreads as of the dates of each issuance.  Joint Petitioners agree that the tariff rates will go into effect on July 1, 2013.</w:t>
      </w:r>
      <w:r w:rsidRPr="007279D2">
        <w:rPr>
          <w:rStyle w:val="FootnoteReference"/>
        </w:rPr>
        <w:footnoteReference w:id="12"/>
      </w:r>
      <w:r w:rsidRPr="007279D2">
        <w:t xml:space="preserve">  Joint Petition, pp. 10-11.</w:t>
      </w:r>
    </w:p>
    <w:p w:rsidR="00A4502E" w:rsidRPr="007279D2" w:rsidRDefault="00A4502E" w:rsidP="00196DDC">
      <w:pPr>
        <w:pStyle w:val="ListNumber"/>
        <w:numPr>
          <w:ilvl w:val="0"/>
          <w:numId w:val="0"/>
        </w:numPr>
        <w:spacing w:line="360" w:lineRule="auto"/>
      </w:pPr>
    </w:p>
    <w:p w:rsidR="00A4502E" w:rsidRPr="007279D2" w:rsidRDefault="00FB131A" w:rsidP="00196DDC">
      <w:pPr>
        <w:pStyle w:val="ListNumber"/>
        <w:numPr>
          <w:ilvl w:val="0"/>
          <w:numId w:val="0"/>
        </w:numPr>
        <w:spacing w:line="360" w:lineRule="auto"/>
      </w:pPr>
      <w:r w:rsidRPr="007279D2">
        <w:t>B.</w:t>
      </w:r>
      <w:r w:rsidRPr="007279D2">
        <w:tab/>
      </w:r>
      <w:r w:rsidR="00A4502E" w:rsidRPr="007279D2">
        <w:rPr>
          <w:u w:val="single"/>
        </w:rPr>
        <w:t>Revenue Allocation and Rate Design</w:t>
      </w:r>
    </w:p>
    <w:p w:rsidR="00A4502E" w:rsidRPr="007279D2" w:rsidRDefault="00A4502E" w:rsidP="00196DDC">
      <w:pPr>
        <w:pStyle w:val="ListNumber"/>
        <w:numPr>
          <w:ilvl w:val="0"/>
          <w:numId w:val="0"/>
        </w:numPr>
        <w:spacing w:line="360" w:lineRule="auto"/>
      </w:pPr>
    </w:p>
    <w:p w:rsidR="00C7079F" w:rsidRPr="007279D2" w:rsidRDefault="002D1EA6" w:rsidP="00196DDC">
      <w:pPr>
        <w:pStyle w:val="ListNumber"/>
        <w:numPr>
          <w:ilvl w:val="0"/>
          <w:numId w:val="0"/>
        </w:numPr>
        <w:spacing w:line="360" w:lineRule="auto"/>
      </w:pPr>
      <w:r w:rsidRPr="007279D2">
        <w:tab/>
      </w:r>
      <w:r w:rsidRPr="007279D2">
        <w:tab/>
      </w:r>
      <w:r w:rsidR="00C7079F" w:rsidRPr="007279D2">
        <w:t xml:space="preserve">According to the Joint Petitioners, revenue allocation and rate design in the </w:t>
      </w:r>
      <w:r w:rsidR="004B41B4">
        <w:t>S</w:t>
      </w:r>
      <w:r w:rsidR="00C7079F" w:rsidRPr="007279D2">
        <w:t xml:space="preserve">ettlement reflect a compromise and do not endorse any particular cost of service study result.  The agreed to revenue allocation is set forth in Appendix A attached to the Joint Petition.  The proposed rate design for all classes is set forth in Appendix B attached to the Joint Petition.  </w:t>
      </w:r>
    </w:p>
    <w:p w:rsidR="00C7079F" w:rsidRPr="007279D2" w:rsidRDefault="00C7079F" w:rsidP="00A4502E">
      <w:pPr>
        <w:pStyle w:val="ListNumber"/>
        <w:numPr>
          <w:ilvl w:val="0"/>
          <w:numId w:val="0"/>
        </w:numPr>
        <w:spacing w:line="360" w:lineRule="auto"/>
      </w:pPr>
    </w:p>
    <w:p w:rsidR="00C7079F" w:rsidRPr="007279D2" w:rsidRDefault="00C7079F" w:rsidP="00C7079F">
      <w:pPr>
        <w:pStyle w:val="ListNumber"/>
        <w:numPr>
          <w:ilvl w:val="0"/>
          <w:numId w:val="0"/>
        </w:numPr>
        <w:spacing w:line="360" w:lineRule="auto"/>
        <w:ind w:firstLine="1440"/>
      </w:pPr>
      <w:r w:rsidRPr="007279D2">
        <w:t xml:space="preserve">The Joint Petitioners agree that the </w:t>
      </w:r>
      <w:r w:rsidR="00C50D84">
        <w:t>r</w:t>
      </w:r>
      <w:r w:rsidRPr="007279D2">
        <w:t>esidential customer charge will be set at $16.75/month with no minimum usage i</w:t>
      </w:r>
      <w:r w:rsidR="007002F0" w:rsidRPr="007279D2">
        <w:t>ncluded in the customer charge.  Joint Petition, p. 11.</w:t>
      </w:r>
    </w:p>
    <w:p w:rsidR="007002F0" w:rsidRPr="007279D2" w:rsidRDefault="007002F0" w:rsidP="00C7079F">
      <w:pPr>
        <w:pStyle w:val="ListNumber"/>
        <w:numPr>
          <w:ilvl w:val="0"/>
          <w:numId w:val="0"/>
        </w:numPr>
        <w:spacing w:line="360" w:lineRule="auto"/>
        <w:ind w:firstLine="1440"/>
      </w:pPr>
    </w:p>
    <w:p w:rsidR="007002F0" w:rsidRPr="007279D2" w:rsidRDefault="007002F0" w:rsidP="007002F0">
      <w:pPr>
        <w:pStyle w:val="ListNumber"/>
        <w:numPr>
          <w:ilvl w:val="0"/>
          <w:numId w:val="0"/>
        </w:numPr>
        <w:spacing w:line="360" w:lineRule="auto"/>
        <w:ind w:firstLine="1440"/>
      </w:pPr>
      <w:r w:rsidRPr="007279D2">
        <w:t>In the Joint Petition, the Company agrees to implement its proposed Weather Normalization Adjustment (“WNA”) residential rate design mechanism on a pilot basis, with the following additional elements:</w:t>
      </w:r>
    </w:p>
    <w:p w:rsidR="00C50D84" w:rsidRDefault="00C50D84" w:rsidP="007002F0">
      <w:pPr>
        <w:ind w:left="1440" w:right="1440"/>
      </w:pPr>
    </w:p>
    <w:p w:rsidR="007002F0" w:rsidRPr="007279D2" w:rsidRDefault="007002F0" w:rsidP="007002F0">
      <w:pPr>
        <w:ind w:left="1440" w:right="1440"/>
      </w:pPr>
      <w:r w:rsidRPr="007279D2">
        <w:t>a.</w:t>
      </w:r>
      <w:r w:rsidRPr="007279D2">
        <w:tab/>
        <w:t xml:space="preserve">The Company shall implement a 5% deadband as part of its WNA mechanism.  There will be no adjustment to account for weather except to account for changes greater than 105% of </w:t>
      </w:r>
      <w:r w:rsidRPr="007279D2">
        <w:lastRenderedPageBreak/>
        <w:t>normal weather or changes less than 95% of normal weather.  Any adjustment would adjust only to the deadband threshold.</w:t>
      </w:r>
    </w:p>
    <w:p w:rsidR="007002F0" w:rsidRPr="007279D2" w:rsidRDefault="007002F0" w:rsidP="007002F0">
      <w:pPr>
        <w:ind w:left="1440" w:right="1440"/>
      </w:pPr>
    </w:p>
    <w:p w:rsidR="007002F0" w:rsidRPr="007279D2" w:rsidRDefault="007002F0" w:rsidP="007002F0">
      <w:pPr>
        <w:ind w:left="1440" w:right="1440"/>
      </w:pPr>
      <w:r w:rsidRPr="007279D2">
        <w:t>b.</w:t>
      </w:r>
      <w:r w:rsidRPr="007279D2">
        <w:tab/>
        <w:t>The WNA shall operate as a pilot for a minimum period of three years commencing October 2013, and shall continue until a final order in the first rate case that is filed after May 31, 2016.  The Joint Petitioners will review the WNA and determine the ongoing status thereof in Columbia’s base rate case that is filed after May 31, 2016.  For informational purposes, the Company shall maintain and provide to the OCA, I&amp;E and OSBA by October 1 of each year commencing October 1, 2014 all reports and records supporting the operation of its WNA for the preceding year, including the Company’s monthly computation of the WNA and all data underlying the Company’s monthly WNA computation.</w:t>
      </w:r>
    </w:p>
    <w:p w:rsidR="007002F0" w:rsidRPr="007279D2" w:rsidRDefault="007002F0" w:rsidP="007002F0">
      <w:pPr>
        <w:pStyle w:val="ListNumber"/>
        <w:numPr>
          <w:ilvl w:val="0"/>
          <w:numId w:val="0"/>
        </w:numPr>
        <w:spacing w:line="360" w:lineRule="auto"/>
      </w:pPr>
    </w:p>
    <w:p w:rsidR="007002F0" w:rsidRPr="007279D2" w:rsidRDefault="007002F0" w:rsidP="00FB131A">
      <w:pPr>
        <w:pStyle w:val="ListNumber"/>
        <w:numPr>
          <w:ilvl w:val="0"/>
          <w:numId w:val="0"/>
        </w:numPr>
        <w:spacing w:line="360" w:lineRule="auto"/>
      </w:pPr>
      <w:r w:rsidRPr="007279D2">
        <w:t>Joint Petition, pp. 11-12.</w:t>
      </w:r>
    </w:p>
    <w:p w:rsidR="007002F0" w:rsidRPr="007279D2" w:rsidRDefault="007002F0" w:rsidP="00FB131A">
      <w:pPr>
        <w:pStyle w:val="ListNumber"/>
        <w:numPr>
          <w:ilvl w:val="0"/>
          <w:numId w:val="0"/>
        </w:numPr>
        <w:spacing w:line="360" w:lineRule="auto"/>
      </w:pPr>
    </w:p>
    <w:p w:rsidR="00184ED9" w:rsidRPr="007279D2" w:rsidRDefault="00184ED9" w:rsidP="00FB131A">
      <w:pPr>
        <w:pStyle w:val="ListNumber"/>
        <w:numPr>
          <w:ilvl w:val="0"/>
          <w:numId w:val="0"/>
        </w:numPr>
        <w:spacing w:line="360" w:lineRule="auto"/>
        <w:ind w:firstLine="1440"/>
      </w:pPr>
      <w:r w:rsidRPr="007279D2">
        <w:t>The Joint Petitioners agree that the residential rate design adopted in the Joint Petition increases the Company’s revenue stability and thereby, reduces the Company’s risk for purposes of determining an adequate return on equity.  The Joint Petitioners have recognized the impacts of such increased revenue stability and reduced risk in establishing the revenue requirement.  Joint Petition, p. 12.</w:t>
      </w:r>
    </w:p>
    <w:p w:rsidR="00184ED9" w:rsidRPr="007279D2" w:rsidRDefault="00184ED9" w:rsidP="00FB131A">
      <w:pPr>
        <w:pStyle w:val="ListNumber"/>
        <w:numPr>
          <w:ilvl w:val="0"/>
          <w:numId w:val="0"/>
        </w:numPr>
        <w:spacing w:line="360" w:lineRule="auto"/>
        <w:ind w:firstLine="1440"/>
      </w:pPr>
    </w:p>
    <w:p w:rsidR="00184ED9" w:rsidRPr="007279D2" w:rsidRDefault="00184ED9" w:rsidP="00FB131A">
      <w:pPr>
        <w:pStyle w:val="ListNumber"/>
        <w:numPr>
          <w:ilvl w:val="0"/>
          <w:numId w:val="0"/>
        </w:numPr>
        <w:spacing w:line="360" w:lineRule="auto"/>
        <w:ind w:firstLine="1440"/>
      </w:pPr>
      <w:r w:rsidRPr="007279D2">
        <w:t>The Joint Petition provides that Columbia will withdraw its proposal to change the term “customer charge” to “system charge” and use “customer charge” in all customer communications, including, but not limited to, its website, bills and bill inserts.  Joint Petition, p.</w:t>
      </w:r>
      <w:r w:rsidR="00C05F83" w:rsidRPr="007279D2">
        <w:t> </w:t>
      </w:r>
      <w:r w:rsidRPr="007279D2">
        <w:t>12.</w:t>
      </w:r>
    </w:p>
    <w:p w:rsidR="00184ED9" w:rsidRPr="007279D2" w:rsidRDefault="00184ED9" w:rsidP="00184ED9">
      <w:pPr>
        <w:pStyle w:val="ListNumber"/>
        <w:numPr>
          <w:ilvl w:val="0"/>
          <w:numId w:val="0"/>
        </w:numPr>
        <w:spacing w:line="360" w:lineRule="auto"/>
        <w:ind w:firstLine="1440"/>
      </w:pPr>
    </w:p>
    <w:p w:rsidR="00184ED9" w:rsidRPr="007279D2" w:rsidRDefault="008208F3" w:rsidP="00184ED9">
      <w:pPr>
        <w:pStyle w:val="ListNumber"/>
        <w:numPr>
          <w:ilvl w:val="0"/>
          <w:numId w:val="0"/>
        </w:numPr>
        <w:spacing w:line="360" w:lineRule="auto"/>
        <w:ind w:firstLine="1440"/>
      </w:pPr>
      <w:r w:rsidRPr="007279D2">
        <w:t xml:space="preserve">Joint Petitioners agreed to a </w:t>
      </w:r>
      <w:r w:rsidR="00184ED9" w:rsidRPr="007279D2">
        <w:t>Merchant Function Charge (“MFC”) of 1.7% for residential customers and a MFC of 0.8% for non-residential customers</w:t>
      </w:r>
      <w:r w:rsidRPr="007279D2">
        <w:t>.</w:t>
      </w:r>
      <w:r w:rsidR="00184ED9" w:rsidRPr="007279D2">
        <w:t xml:space="preserve">  </w:t>
      </w:r>
      <w:r w:rsidRPr="007279D2">
        <w:t xml:space="preserve">The Joint Petitioners further agreed that the </w:t>
      </w:r>
      <w:r w:rsidR="00184ED9" w:rsidRPr="007279D2">
        <w:t xml:space="preserve">revised MFC rates shall be reflected in the Purchase of Receivables discount rates. </w:t>
      </w:r>
      <w:r w:rsidRPr="007279D2">
        <w:t xml:space="preserve"> Joint Petition, p. 12.</w:t>
      </w:r>
      <w:r w:rsidR="00184ED9" w:rsidRPr="007279D2">
        <w:t xml:space="preserve"> </w:t>
      </w:r>
    </w:p>
    <w:p w:rsidR="008208F3" w:rsidRPr="007279D2" w:rsidRDefault="008208F3" w:rsidP="00184ED9">
      <w:pPr>
        <w:pStyle w:val="ListNumber"/>
        <w:numPr>
          <w:ilvl w:val="0"/>
          <w:numId w:val="0"/>
        </w:numPr>
        <w:spacing w:line="360" w:lineRule="auto"/>
        <w:ind w:firstLine="1440"/>
      </w:pPr>
    </w:p>
    <w:p w:rsidR="00CD798E" w:rsidRPr="007279D2" w:rsidRDefault="00CD798E" w:rsidP="00CD798E">
      <w:pPr>
        <w:pStyle w:val="ListNumber"/>
        <w:numPr>
          <w:ilvl w:val="0"/>
          <w:numId w:val="0"/>
        </w:numPr>
        <w:spacing w:line="360" w:lineRule="auto"/>
        <w:ind w:firstLine="1440"/>
      </w:pPr>
      <w:r w:rsidRPr="007279D2">
        <w:t xml:space="preserve">The Joint Petition provides that the customer charge for customers under Rates Small General Sales Service (“SGSS”), Small Commercial Distribution (“SCD”), Small </w:t>
      </w:r>
      <w:r w:rsidRPr="007279D2">
        <w:lastRenderedPageBreak/>
        <w:t>Distribution Service (“SDS”) and Small General Distribution Service (“SGDS”) using up to 6,440 therms annually shall be $20.18 per month and the customer charge for customers under Rates SGSS, SCD, SDS and SGDS using over 6,440 therms up to 64,400 therms annually shall be $41.60 per month.  In designing SGDS rates, the Joint Petition requires</w:t>
      </w:r>
      <w:r w:rsidR="0051001A" w:rsidRPr="007279D2">
        <w:t xml:space="preserve"> an intra-class adjustment by</w:t>
      </w:r>
      <w:r w:rsidRPr="007279D2">
        <w:t xml:space="preserve"> the Company to remove $530,000</w:t>
      </w:r>
      <w:r w:rsidR="0051001A" w:rsidRPr="007279D2">
        <w:t xml:space="preserve"> from SGDS rates</w:t>
      </w:r>
      <w:r w:rsidRPr="007279D2">
        <w:t xml:space="preserve"> and reallocat</w:t>
      </w:r>
      <w:r w:rsidR="0051001A" w:rsidRPr="007279D2">
        <w:t>ion of</w:t>
      </w:r>
      <w:r w:rsidRPr="007279D2">
        <w:t xml:space="preserve"> that amount to Rates SGSS and SCD.  Joint Petition, p. 12.</w:t>
      </w:r>
    </w:p>
    <w:p w:rsidR="0051001A" w:rsidRPr="007279D2" w:rsidRDefault="0051001A" w:rsidP="00CD798E">
      <w:pPr>
        <w:pStyle w:val="ListNumber"/>
        <w:numPr>
          <w:ilvl w:val="0"/>
          <w:numId w:val="0"/>
        </w:numPr>
        <w:spacing w:line="360" w:lineRule="auto"/>
        <w:ind w:firstLine="1440"/>
      </w:pPr>
    </w:p>
    <w:p w:rsidR="0051001A" w:rsidRPr="007279D2" w:rsidRDefault="0051001A" w:rsidP="0051001A">
      <w:pPr>
        <w:pStyle w:val="ListNumber"/>
        <w:numPr>
          <w:ilvl w:val="0"/>
          <w:numId w:val="0"/>
        </w:numPr>
        <w:spacing w:line="360" w:lineRule="auto"/>
        <w:ind w:firstLine="1440"/>
      </w:pPr>
      <w:r w:rsidRPr="007279D2">
        <w:t>The Joint Petition provides that the Company’s Gas Procurement Charge (“GPC”) shall be set at $0.00535 per therm.  The foregoing amount is included in the increase in operating revenues set forth in Paragraph 26 of the Joint Petition and was accounted for in the design of base rates by removing such amount from the RS, SG and LG classes on a throughput basis.  Joint Petition, pp. 12-13.</w:t>
      </w:r>
    </w:p>
    <w:p w:rsidR="0051001A" w:rsidRPr="007279D2" w:rsidRDefault="0051001A" w:rsidP="0051001A">
      <w:pPr>
        <w:pStyle w:val="ListNumber"/>
        <w:numPr>
          <w:ilvl w:val="0"/>
          <w:numId w:val="0"/>
        </w:numPr>
        <w:spacing w:line="360" w:lineRule="auto"/>
      </w:pPr>
    </w:p>
    <w:p w:rsidR="0051001A" w:rsidRPr="007279D2" w:rsidRDefault="00FB131A" w:rsidP="0051001A">
      <w:pPr>
        <w:pStyle w:val="ListNumber"/>
        <w:numPr>
          <w:ilvl w:val="0"/>
          <w:numId w:val="0"/>
        </w:numPr>
        <w:spacing w:line="360" w:lineRule="auto"/>
      </w:pPr>
      <w:r w:rsidRPr="007279D2">
        <w:t>C.</w:t>
      </w:r>
      <w:r w:rsidRPr="007279D2">
        <w:tab/>
      </w:r>
      <w:r w:rsidR="0051001A" w:rsidRPr="007279D2">
        <w:rPr>
          <w:u w:val="single"/>
        </w:rPr>
        <w:t>Universal Service and Conservation</w:t>
      </w:r>
    </w:p>
    <w:p w:rsidR="0051001A" w:rsidRPr="007279D2" w:rsidRDefault="0051001A" w:rsidP="0051001A">
      <w:pPr>
        <w:pStyle w:val="ListNumber"/>
        <w:numPr>
          <w:ilvl w:val="0"/>
          <w:numId w:val="0"/>
        </w:numPr>
        <w:spacing w:line="360" w:lineRule="auto"/>
      </w:pPr>
    </w:p>
    <w:p w:rsidR="00C405C2" w:rsidRPr="007279D2" w:rsidRDefault="005868E8" w:rsidP="00C405C2">
      <w:pPr>
        <w:pStyle w:val="ListNumber"/>
        <w:numPr>
          <w:ilvl w:val="0"/>
          <w:numId w:val="0"/>
        </w:numPr>
        <w:spacing w:line="360" w:lineRule="auto"/>
        <w:ind w:firstLine="1440"/>
      </w:pPr>
      <w:r w:rsidRPr="007279D2">
        <w:t>The Joint Petitioners agree that t</w:t>
      </w:r>
      <w:r w:rsidR="00C405C2" w:rsidRPr="007279D2">
        <w:t xml:space="preserve">here will be an increase in annual WarmWise® LIURP funding from $4 million to $4.5 million, commencing with the effective date of rates in this proceeding.  </w:t>
      </w:r>
      <w:r w:rsidRPr="007279D2">
        <w:t>The Joint Petitioners point out that t</w:t>
      </w:r>
      <w:r w:rsidR="00C405C2" w:rsidRPr="007279D2">
        <w:t>his increase is incremental to the increase in operating revenue</w:t>
      </w:r>
      <w:r w:rsidRPr="007279D2">
        <w:t>s agreed to in the Joint Petition.</w:t>
      </w:r>
      <w:r w:rsidR="00C405C2" w:rsidRPr="007279D2">
        <w:t xml:space="preserve">  </w:t>
      </w:r>
      <w:r w:rsidR="007674BB" w:rsidRPr="007279D2">
        <w:t xml:space="preserve">The Joint Petitioners agree that </w:t>
      </w:r>
      <w:r w:rsidR="00C405C2" w:rsidRPr="007279D2">
        <w:t xml:space="preserve">WarmWise® LIURP funding will continue to be recovered under Rider USP.  </w:t>
      </w:r>
      <w:r w:rsidR="007674BB" w:rsidRPr="007279D2">
        <w:t>The Joint Petitioners further agree that a</w:t>
      </w:r>
      <w:r w:rsidR="00C405C2" w:rsidRPr="007279D2">
        <w:t xml:space="preserve">ny resulting unspent balance in the designated WarmWise® LIURP funding account shall carry over and shall remain in that account.  Columbia </w:t>
      </w:r>
      <w:r w:rsidR="007674BB" w:rsidRPr="007279D2">
        <w:t xml:space="preserve">agrees to </w:t>
      </w:r>
      <w:r w:rsidR="00C405C2" w:rsidRPr="007279D2">
        <w:t>continue to work with Community Based Organization programs in implementing its WarmWise® LIURP.</w:t>
      </w:r>
      <w:r w:rsidR="007674BB" w:rsidRPr="007279D2">
        <w:t xml:space="preserve">  Joint Petition, p. 13.</w:t>
      </w:r>
    </w:p>
    <w:p w:rsidR="009D6721" w:rsidRPr="007279D2" w:rsidRDefault="009D6721" w:rsidP="00C405C2">
      <w:pPr>
        <w:pStyle w:val="ListNumber"/>
        <w:numPr>
          <w:ilvl w:val="0"/>
          <w:numId w:val="0"/>
        </w:numPr>
        <w:spacing w:line="360" w:lineRule="auto"/>
        <w:ind w:firstLine="1440"/>
      </w:pPr>
    </w:p>
    <w:p w:rsidR="009D6721" w:rsidRPr="007279D2" w:rsidRDefault="009D6721" w:rsidP="009D6721">
      <w:pPr>
        <w:pStyle w:val="ListNumber"/>
        <w:numPr>
          <w:ilvl w:val="0"/>
          <w:numId w:val="0"/>
        </w:numPr>
        <w:spacing w:line="360" w:lineRule="auto"/>
        <w:ind w:firstLine="1440"/>
      </w:pPr>
      <w:r w:rsidRPr="007279D2">
        <w:t xml:space="preserve">With regard to the Company’s </w:t>
      </w:r>
      <w:r w:rsidR="0039377F" w:rsidRPr="007279D2">
        <w:t>WarmWise® A</w:t>
      </w:r>
      <w:r w:rsidR="0039377F">
        <w:t>udits and Rebates (“</w:t>
      </w:r>
      <w:r w:rsidRPr="007279D2">
        <w:t>WarmWise® A&amp;R</w:t>
      </w:r>
      <w:r w:rsidR="0039377F">
        <w:t>”)</w:t>
      </w:r>
      <w:r w:rsidRPr="007279D2">
        <w:t xml:space="preserve"> program, the Joint Petitioners agreed to grant the Company’s requested flexibility to make changes to the WarmWise® A&amp;R program as described in Columbia Witness Kempic’s direct testimony with the exception that  such flexibility does not include the authority to change current customer income eligibility requirements of 151% to 250% of the Federal Poverty Level, </w:t>
      </w:r>
      <w:r w:rsidRPr="007279D2">
        <w:lastRenderedPageBreak/>
        <w:t>permit the creation of an on-bill financing or repayment program, or alter the $750,000 budget without prior Commission approval.  Joint Petition, p. 13.</w:t>
      </w:r>
    </w:p>
    <w:p w:rsidR="009D6721" w:rsidRPr="007279D2" w:rsidRDefault="009D6721" w:rsidP="009D6721">
      <w:pPr>
        <w:pStyle w:val="ListNumber"/>
        <w:numPr>
          <w:ilvl w:val="0"/>
          <w:numId w:val="0"/>
        </w:numPr>
        <w:spacing w:line="360" w:lineRule="auto"/>
        <w:ind w:firstLine="1440"/>
      </w:pPr>
    </w:p>
    <w:p w:rsidR="009D6721" w:rsidRPr="007279D2" w:rsidRDefault="00074135" w:rsidP="00074135">
      <w:pPr>
        <w:pStyle w:val="ListNumber"/>
        <w:numPr>
          <w:ilvl w:val="0"/>
          <w:numId w:val="0"/>
        </w:numPr>
        <w:spacing w:line="360" w:lineRule="auto"/>
        <w:ind w:firstLine="1440"/>
      </w:pPr>
      <w:r w:rsidRPr="007279D2">
        <w:t xml:space="preserve">The Joint Petitioners agree that </w:t>
      </w:r>
      <w:r w:rsidR="009D6721" w:rsidRPr="007279D2">
        <w:t xml:space="preserve">Columbia has trained all Universal Service Call Center Representatives and implemented Information System program changes and safeguards that will prevent the Company from: </w:t>
      </w:r>
      <w:r w:rsidR="000B40C8">
        <w:t xml:space="preserve"> </w:t>
      </w:r>
      <w:r w:rsidR="009D6721" w:rsidRPr="007279D2">
        <w:t>(1) conditioning service reconnection or continued service upon payment of accounts that are greater than four years old or that already have been sold, sent to a collection agency, written off, or accounted for in the Company’s uncollectible accounts rates; and (2) transferring account balances for which the Company can no longer pursue termination into the accounts of current CAP customers.</w:t>
      </w:r>
      <w:r w:rsidRPr="007279D2">
        <w:t xml:space="preserve">  Joint Petition, p. 13.</w:t>
      </w:r>
    </w:p>
    <w:p w:rsidR="00074135" w:rsidRPr="007279D2" w:rsidRDefault="00074135" w:rsidP="00074135">
      <w:pPr>
        <w:pStyle w:val="ListNumber"/>
        <w:numPr>
          <w:ilvl w:val="0"/>
          <w:numId w:val="0"/>
        </w:numPr>
        <w:spacing w:line="360" w:lineRule="auto"/>
        <w:ind w:firstLine="1440"/>
      </w:pPr>
    </w:p>
    <w:p w:rsidR="00074135" w:rsidRPr="007279D2" w:rsidRDefault="00074135" w:rsidP="00074135">
      <w:pPr>
        <w:pStyle w:val="ListNumber"/>
        <w:numPr>
          <w:ilvl w:val="0"/>
          <w:numId w:val="0"/>
        </w:numPr>
        <w:spacing w:line="360" w:lineRule="auto"/>
        <w:ind w:firstLine="1440"/>
      </w:pPr>
      <w:r w:rsidRPr="007279D2">
        <w:t>As a result of the industry-wide implications of PA 2-1-1, the Joint Petitioners agree that the Company will withdraw its request for annual recovery of $50,000 associated with PA 2-1-1 Southwest through Rider USP for a three-year pilot program, without prejudice to Columbia joining any petition regarding 2-1-1 or to the Company renewing its request in a future proceeding.  Joint Petition, p. 14.</w:t>
      </w:r>
    </w:p>
    <w:p w:rsidR="00074135" w:rsidRPr="007279D2" w:rsidRDefault="00074135" w:rsidP="00074135">
      <w:pPr>
        <w:pStyle w:val="ListNumber"/>
        <w:numPr>
          <w:ilvl w:val="0"/>
          <w:numId w:val="0"/>
        </w:numPr>
        <w:spacing w:line="360" w:lineRule="auto"/>
        <w:ind w:firstLine="1440"/>
      </w:pPr>
    </w:p>
    <w:p w:rsidR="00074135" w:rsidRPr="007279D2" w:rsidRDefault="00074135" w:rsidP="007176CF">
      <w:pPr>
        <w:pStyle w:val="ListNumber"/>
        <w:numPr>
          <w:ilvl w:val="0"/>
          <w:numId w:val="0"/>
        </w:numPr>
        <w:spacing w:line="360" w:lineRule="auto"/>
        <w:ind w:firstLine="1440"/>
      </w:pPr>
      <w:r w:rsidRPr="007279D2">
        <w:t>For purposes of this proceeding only, the Joint Petitioners agree with Columbia’s proposal to cancel its agreement with Citizens Energy Corporation, which generated $375,000 for Columbia’s Fuel Fund, and to replace the proceeds of that transaction through a $375,000 increase to the Rider USP.  The Joint Petitioners retain their rights to address this issue in future proceedings.  Joint Petition, p. 14.</w:t>
      </w:r>
    </w:p>
    <w:p w:rsidR="00074135" w:rsidRPr="007279D2" w:rsidRDefault="00074135" w:rsidP="007176CF">
      <w:pPr>
        <w:pStyle w:val="ListNumber"/>
        <w:numPr>
          <w:ilvl w:val="0"/>
          <w:numId w:val="0"/>
        </w:numPr>
        <w:spacing w:line="360" w:lineRule="auto"/>
      </w:pPr>
    </w:p>
    <w:p w:rsidR="00074135" w:rsidRPr="007279D2" w:rsidRDefault="00FB131A" w:rsidP="007176CF">
      <w:pPr>
        <w:pStyle w:val="ListNumber"/>
        <w:numPr>
          <w:ilvl w:val="0"/>
          <w:numId w:val="0"/>
        </w:numPr>
        <w:spacing w:line="360" w:lineRule="auto"/>
      </w:pPr>
      <w:r w:rsidRPr="007279D2">
        <w:t>D.</w:t>
      </w:r>
      <w:r w:rsidRPr="007279D2">
        <w:tab/>
      </w:r>
      <w:r w:rsidR="00074135" w:rsidRPr="007279D2">
        <w:rPr>
          <w:u w:val="single"/>
        </w:rPr>
        <w:t>Other</w:t>
      </w:r>
    </w:p>
    <w:p w:rsidR="00074135" w:rsidRPr="007279D2" w:rsidRDefault="00074135" w:rsidP="007176CF">
      <w:pPr>
        <w:pStyle w:val="ListNumber"/>
        <w:numPr>
          <w:ilvl w:val="0"/>
          <w:numId w:val="0"/>
        </w:numPr>
        <w:spacing w:line="360" w:lineRule="auto"/>
      </w:pPr>
    </w:p>
    <w:p w:rsidR="00026A77" w:rsidRPr="007279D2" w:rsidRDefault="00074135" w:rsidP="007176CF">
      <w:pPr>
        <w:pStyle w:val="ListNumber"/>
        <w:numPr>
          <w:ilvl w:val="0"/>
          <w:numId w:val="0"/>
        </w:numPr>
        <w:spacing w:line="360" w:lineRule="auto"/>
        <w:ind w:firstLine="1440"/>
      </w:pPr>
      <w:r w:rsidRPr="007279D2">
        <w:t xml:space="preserve">The Joint Petitioners agree that Columbia will withdraw its proposed New Area Service (“NAS”) pilot rider in this proceeding.  The Joint Petitioners agree to enter into an informal collaborative with Columbia to attempt to develop a program to extend service to new areas.  If, after pursuing the collaborative, Columbia believes that an agreement cannot be achieved, Columbia retains the right to file a tariff supplement proposing changes to its tariff to expand the availability of natural gas service in its certificated service area, and all the Joint </w:t>
      </w:r>
      <w:r w:rsidRPr="007279D2">
        <w:lastRenderedPageBreak/>
        <w:t>Petitioners reserve their rights to pursue their respective positions in litigation.</w:t>
      </w:r>
      <w:r w:rsidR="00026A77" w:rsidRPr="007279D2">
        <w:t xml:space="preserve">  Joint Petition, p.</w:t>
      </w:r>
      <w:r w:rsidR="007176CF">
        <w:t> </w:t>
      </w:r>
      <w:r w:rsidR="00026A77" w:rsidRPr="007279D2">
        <w:t>14.</w:t>
      </w:r>
    </w:p>
    <w:p w:rsidR="00026A77" w:rsidRPr="007279D2" w:rsidRDefault="00026A77" w:rsidP="00090FB1">
      <w:pPr>
        <w:pStyle w:val="ListNumber"/>
        <w:numPr>
          <w:ilvl w:val="0"/>
          <w:numId w:val="0"/>
        </w:numPr>
        <w:spacing w:line="360" w:lineRule="auto"/>
        <w:ind w:firstLine="1440"/>
      </w:pPr>
    </w:p>
    <w:p w:rsidR="00026A77" w:rsidRPr="007279D2" w:rsidRDefault="00026A77" w:rsidP="00090FB1">
      <w:pPr>
        <w:pStyle w:val="ListNumber"/>
        <w:numPr>
          <w:ilvl w:val="0"/>
          <w:numId w:val="0"/>
        </w:numPr>
        <w:spacing w:line="360" w:lineRule="auto"/>
        <w:ind w:firstLine="1440"/>
      </w:pPr>
      <w:r w:rsidRPr="007279D2">
        <w:t>For purposes of this proceeding only, the Joint Petitioners agree that the discounted cash flow model used by Columbia to determine a given applicant’s or project’s line extension deposit requirement will reflect the cost of equity as used for DSIC purposes, the capital structure and weighted cost of debt proposed in Columbia’s filing, and incorporate a tax deductible provision for interest expense within the determination of expected future discounted cash flows.  Joint Petition, p. 14.</w:t>
      </w:r>
    </w:p>
    <w:p w:rsidR="00026A77" w:rsidRPr="007279D2" w:rsidRDefault="00026A77" w:rsidP="00026A77">
      <w:pPr>
        <w:pStyle w:val="ListNumber"/>
        <w:numPr>
          <w:ilvl w:val="0"/>
          <w:numId w:val="0"/>
        </w:numPr>
        <w:spacing w:line="360" w:lineRule="auto"/>
        <w:ind w:firstLine="1440"/>
      </w:pPr>
    </w:p>
    <w:p w:rsidR="00026A77" w:rsidRPr="007279D2" w:rsidRDefault="00026A77" w:rsidP="00026A77">
      <w:pPr>
        <w:pStyle w:val="ListNumber"/>
        <w:numPr>
          <w:ilvl w:val="0"/>
          <w:numId w:val="0"/>
        </w:numPr>
        <w:spacing w:line="360" w:lineRule="auto"/>
        <w:ind w:firstLine="1440"/>
      </w:pPr>
      <w:r w:rsidRPr="007279D2">
        <w:t>No later t</w:t>
      </w:r>
      <w:r w:rsidR="00AE236B" w:rsidRPr="007279D2">
        <w:t>han April 1, 2015, the Company agrees to</w:t>
      </w:r>
      <w:r w:rsidRPr="007279D2">
        <w:t xml:space="preserve"> eliminate its freeze period for CHOICE enrollments and </w:t>
      </w:r>
      <w:r w:rsidR="00AE236B" w:rsidRPr="007279D2">
        <w:t>to</w:t>
      </w:r>
      <w:r w:rsidRPr="007279D2">
        <w:t xml:space="preserve"> process enrollment and drop transactions each processing day.  As of the fifteenth day of each month, or the prior business day if the fifteenth falls on a non–business day, the Company </w:t>
      </w:r>
      <w:r w:rsidR="00AE236B" w:rsidRPr="007279D2">
        <w:t xml:space="preserve">agrees to </w:t>
      </w:r>
      <w:r w:rsidRPr="007279D2">
        <w:t>take a snapshot of CHOICE enrollment to develop the Daily Delivery Requirements and determine capacity assignment levels for the upcoming calendar month.  No additional changes will be made to the operation of the CHOICE enrollment procedures</w:t>
      </w:r>
      <w:r w:rsidR="00AE236B" w:rsidRPr="007279D2">
        <w:t xml:space="preserve"> pursuant to the Joint Petition.  Joint Petition, pp. 14-15.</w:t>
      </w:r>
    </w:p>
    <w:p w:rsidR="00AE236B" w:rsidRPr="007279D2" w:rsidRDefault="00AE236B" w:rsidP="00026A77">
      <w:pPr>
        <w:pStyle w:val="ListNumber"/>
        <w:numPr>
          <w:ilvl w:val="0"/>
          <w:numId w:val="0"/>
        </w:numPr>
        <w:spacing w:line="360" w:lineRule="auto"/>
        <w:ind w:firstLine="1440"/>
      </w:pPr>
    </w:p>
    <w:p w:rsidR="00AE236B" w:rsidRPr="007279D2" w:rsidRDefault="00AE236B" w:rsidP="00AE236B">
      <w:pPr>
        <w:pStyle w:val="ListNumber"/>
        <w:numPr>
          <w:ilvl w:val="0"/>
          <w:numId w:val="0"/>
        </w:numPr>
        <w:spacing w:line="360" w:lineRule="auto"/>
        <w:ind w:firstLine="1440"/>
      </w:pPr>
      <w:r w:rsidRPr="007279D2">
        <w:t xml:space="preserve">Columbia agrees to engage in a collaborative with the NGS Intervenors to discuss ways to potentially further improve the competitiveness of the retail market.  The Joint Petition provides that all natural gas suppliers participating in Columbia’s CHOICE program providing natural gas supply services in Columbia’s service territory and other interested parties will be invited to participate in the collaborative discussions.  The Joint Petition further provides that the collaborative will meet no less than quarterly for a one-year period following the Commission’s approval of the </w:t>
      </w:r>
      <w:r w:rsidR="004B41B4">
        <w:t>S</w:t>
      </w:r>
      <w:r w:rsidRPr="007279D2">
        <w:t>ettlement in this case.  Joint Petition, p. 15.</w:t>
      </w:r>
    </w:p>
    <w:p w:rsidR="00AE236B" w:rsidRPr="007279D2" w:rsidRDefault="00AE236B" w:rsidP="00AE236B">
      <w:pPr>
        <w:pStyle w:val="ListNumber"/>
        <w:numPr>
          <w:ilvl w:val="0"/>
          <w:numId w:val="0"/>
        </w:numPr>
        <w:spacing w:line="360" w:lineRule="auto"/>
        <w:ind w:firstLine="1440"/>
      </w:pPr>
    </w:p>
    <w:p w:rsidR="00AE236B" w:rsidRPr="007279D2" w:rsidRDefault="00AE236B" w:rsidP="00796F60">
      <w:pPr>
        <w:pStyle w:val="ListNumber"/>
        <w:numPr>
          <w:ilvl w:val="0"/>
          <w:numId w:val="0"/>
        </w:numPr>
        <w:spacing w:line="360" w:lineRule="auto"/>
        <w:ind w:firstLine="1440"/>
      </w:pPr>
      <w:r w:rsidRPr="007279D2">
        <w:t>For purposes of this proceeding only, all other tariff modifications proposed by Columbia, not otherwise addressed by the Joint Petition</w:t>
      </w:r>
      <w:r w:rsidR="00B955B3" w:rsidRPr="007279D2">
        <w:t xml:space="preserve">ers in the </w:t>
      </w:r>
      <w:r w:rsidR="004B41B4">
        <w:t>S</w:t>
      </w:r>
      <w:r w:rsidRPr="007279D2">
        <w:t>ettlement, are approved, and are reflected in the pro forma tariff pages attached as Appendix “C”</w:t>
      </w:r>
      <w:r w:rsidR="00B955B3" w:rsidRPr="007279D2">
        <w:t xml:space="preserve"> to the Joint Petition.  </w:t>
      </w:r>
      <w:r w:rsidRPr="007279D2">
        <w:t>The</w:t>
      </w:r>
      <w:r w:rsidR="00B955B3" w:rsidRPr="007279D2">
        <w:t xml:space="preserve"> Joint Petitioners </w:t>
      </w:r>
      <w:r w:rsidRPr="007279D2">
        <w:t xml:space="preserve">retain their rights to challenge any and all tariff modifications proposed in future </w:t>
      </w:r>
      <w:r w:rsidRPr="007279D2">
        <w:lastRenderedPageBreak/>
        <w:t xml:space="preserve">filings.  For purposes of this proceeding only, </w:t>
      </w:r>
      <w:r w:rsidR="00B955B3" w:rsidRPr="007279D2">
        <w:t xml:space="preserve">Joint Petitioners further agree that </w:t>
      </w:r>
      <w:r w:rsidRPr="007279D2">
        <w:t>all other proposals of parties, not otherwise addressed</w:t>
      </w:r>
      <w:r w:rsidR="00B955B3" w:rsidRPr="007279D2">
        <w:t xml:space="preserve">, </w:t>
      </w:r>
      <w:r w:rsidRPr="007279D2">
        <w:t xml:space="preserve">are not adopted. </w:t>
      </w:r>
      <w:r w:rsidR="00B955B3" w:rsidRPr="007279D2">
        <w:t xml:space="preserve"> Joint Petition, p. 15.</w:t>
      </w:r>
    </w:p>
    <w:p w:rsidR="00FB131A" w:rsidRDefault="00FB131A" w:rsidP="00796F60">
      <w:pPr>
        <w:spacing w:line="360" w:lineRule="auto"/>
      </w:pPr>
    </w:p>
    <w:p w:rsidR="00A77698" w:rsidRDefault="00A77698" w:rsidP="00796F60">
      <w:pPr>
        <w:spacing w:line="360" w:lineRule="auto"/>
        <w:jc w:val="center"/>
      </w:pPr>
      <w:r>
        <w:t>III.</w:t>
      </w:r>
      <w:r>
        <w:tab/>
      </w:r>
      <w:r>
        <w:rPr>
          <w:u w:val="single"/>
        </w:rPr>
        <w:t>DISCUSSION</w:t>
      </w:r>
    </w:p>
    <w:p w:rsidR="00A77698" w:rsidRDefault="00A77698" w:rsidP="00796F60">
      <w:pPr>
        <w:spacing w:line="360" w:lineRule="auto"/>
      </w:pPr>
    </w:p>
    <w:p w:rsidR="00A77698" w:rsidRDefault="00A77698" w:rsidP="00796F60">
      <w:pPr>
        <w:spacing w:line="360" w:lineRule="auto"/>
        <w:ind w:firstLine="1440"/>
      </w:pPr>
      <w:r>
        <w:t xml:space="preserve">The Commission encourages parties in contested on-the-record proceedings to settle cases.  </w:t>
      </w:r>
      <w:r>
        <w:rPr>
          <w:i/>
        </w:rPr>
        <w:t>See</w:t>
      </w:r>
      <w:r>
        <w:t>, 52 Pa. Code §5.231.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A77698" w:rsidRDefault="00A77698" w:rsidP="00A77698">
      <w:pPr>
        <w:spacing w:line="360" w:lineRule="auto"/>
      </w:pPr>
    </w:p>
    <w:p w:rsidR="00A77698" w:rsidRDefault="00A77698" w:rsidP="00B042A9">
      <w:pPr>
        <w:pStyle w:val="ListNumber"/>
        <w:numPr>
          <w:ilvl w:val="0"/>
          <w:numId w:val="0"/>
        </w:numPr>
        <w:spacing w:line="360" w:lineRule="auto"/>
        <w:ind w:firstLine="720"/>
      </w:pPr>
      <w:r>
        <w:tab/>
        <w:t xml:space="preserve">By definition, a “settlement” reflects a compromise of the parties’ positions, which arguably fosters and promotes the public interest.  When parties in a proceeding reach a settlement, the principal issue for Commission consideration is whether the agreement reached suits the public interest.  </w:t>
      </w:r>
      <w:r>
        <w:rPr>
          <w:i/>
        </w:rPr>
        <w:t>Pa. P.U.C. v. CS Water and Sewer Associates</w:t>
      </w:r>
      <w:r>
        <w:t xml:space="preserve">, 74 Pa. P.U.C. 767, 771 (1991).  In their supporting statements, </w:t>
      </w:r>
      <w:r w:rsidR="00B042A9">
        <w:t xml:space="preserve">Columbia, </w:t>
      </w:r>
      <w:r w:rsidR="00F96BA5">
        <w:t>I&amp;E</w:t>
      </w:r>
      <w:r w:rsidR="00B042A9">
        <w:t xml:space="preserve">, </w:t>
      </w:r>
      <w:r w:rsidR="00D11244">
        <w:t>OCA,</w:t>
      </w:r>
      <w:r>
        <w:t xml:space="preserve"> OSBA, </w:t>
      </w:r>
      <w:r w:rsidR="00B042A9">
        <w:t>C</w:t>
      </w:r>
      <w:r>
        <w:t>II</w:t>
      </w:r>
      <w:r w:rsidR="00D11244">
        <w:t>,</w:t>
      </w:r>
      <w:r>
        <w:t xml:space="preserve"> </w:t>
      </w:r>
      <w:r w:rsidR="00B042A9">
        <w:t>CAAP, CAUSE-PA, NGS and PSU</w:t>
      </w:r>
      <w:r>
        <w:t xml:space="preserve"> conclude, after extensive discovery, the filing of testimony, and discussion, that this Settlement resolves all contested issues in this case</w:t>
      </w:r>
      <w:r w:rsidR="00B042A9">
        <w:t xml:space="preserve"> </w:t>
      </w:r>
      <w:r w:rsidR="004B41B4">
        <w:t>and unanimously agree that the S</w:t>
      </w:r>
      <w:r w:rsidR="00B042A9">
        <w:t xml:space="preserve">ettlement is in the public interest.  </w:t>
      </w:r>
      <w:r>
        <w:t xml:space="preserve"> </w:t>
      </w:r>
      <w:r w:rsidR="00B042A9">
        <w:t>The Joint Petitioner</w:t>
      </w:r>
      <w:r w:rsidR="004B41B4">
        <w:t>s claim that acceptance of the S</w:t>
      </w:r>
      <w:r w:rsidR="00B042A9">
        <w:t>ettlement will avoid the necessity of further administrative and possibly appellate proceedings regarding the settled issues at what would have been a substantial cost to the Joint Petitioners and Columbia’s customers.  Joint Petition, pp. 15-16</w:t>
      </w:r>
      <w:r>
        <w:t xml:space="preserve">. </w:t>
      </w:r>
    </w:p>
    <w:p w:rsidR="00A77698" w:rsidRDefault="00A77698" w:rsidP="00A77698">
      <w:pPr>
        <w:pStyle w:val="ListNumber"/>
        <w:numPr>
          <w:ilvl w:val="0"/>
          <w:numId w:val="0"/>
        </w:numPr>
        <w:spacing w:line="360" w:lineRule="auto"/>
      </w:pPr>
    </w:p>
    <w:p w:rsidR="00A77698" w:rsidRDefault="00B042A9" w:rsidP="00B042A9">
      <w:pPr>
        <w:pStyle w:val="BodyText2"/>
        <w:spacing w:line="360" w:lineRule="auto"/>
        <w:ind w:firstLine="0"/>
        <w:jc w:val="left"/>
      </w:pPr>
      <w:r>
        <w:t>A.</w:t>
      </w:r>
      <w:r>
        <w:tab/>
      </w:r>
      <w:r w:rsidR="00A77698" w:rsidRPr="008E4EB5">
        <w:rPr>
          <w:u w:val="single"/>
        </w:rPr>
        <w:t>Columbia’s Position</w:t>
      </w:r>
    </w:p>
    <w:p w:rsidR="00B042A9" w:rsidRDefault="00B042A9" w:rsidP="00B042A9">
      <w:pPr>
        <w:pStyle w:val="BodyText2"/>
        <w:spacing w:line="360" w:lineRule="auto"/>
        <w:ind w:firstLine="0"/>
        <w:jc w:val="left"/>
      </w:pPr>
    </w:p>
    <w:p w:rsidR="00A77698" w:rsidRDefault="00A77698" w:rsidP="00B042A9">
      <w:pPr>
        <w:pStyle w:val="BodyText2"/>
        <w:spacing w:line="360" w:lineRule="auto"/>
        <w:ind w:firstLine="1440"/>
        <w:jc w:val="left"/>
      </w:pPr>
      <w:r>
        <w:t xml:space="preserve">Columbia believes the Settlement achieved in this proceeding is in the best interests of the Company, its customers and the parties.  Initially, Columbia asserts that the complete </w:t>
      </w:r>
      <w:r w:rsidR="004B41B4">
        <w:t>s</w:t>
      </w:r>
      <w:r>
        <w:t>ettlement among all active parties in this major gas rate proceeding will resolve all issues raised by the Joint Petitioners</w:t>
      </w:r>
      <w:r w:rsidR="00B042A9">
        <w:t>.</w:t>
      </w:r>
      <w:r>
        <w:t xml:space="preserve">  According to Columbia, the settled issues include revenue </w:t>
      </w:r>
      <w:r>
        <w:lastRenderedPageBreak/>
        <w:t>requirement, revenue allocation, rate design, universal service program and conservation program issues, and natural gas supplier issues</w:t>
      </w:r>
      <w:r w:rsidR="001B5278">
        <w:t xml:space="preserve">.  </w:t>
      </w:r>
      <w:r>
        <w:t xml:space="preserve">Columbia St. in Support, p. 2. </w:t>
      </w:r>
    </w:p>
    <w:p w:rsidR="001B5278" w:rsidRDefault="001B5278" w:rsidP="00B042A9">
      <w:pPr>
        <w:pStyle w:val="BodyText2"/>
        <w:spacing w:line="360" w:lineRule="auto"/>
        <w:ind w:firstLine="1440"/>
        <w:jc w:val="left"/>
      </w:pPr>
    </w:p>
    <w:p w:rsidR="00A77698" w:rsidRDefault="001B5278" w:rsidP="00090FB1">
      <w:pPr>
        <w:pStyle w:val="BodyText2"/>
        <w:spacing w:line="360" w:lineRule="auto"/>
        <w:ind w:firstLine="1440"/>
        <w:jc w:val="left"/>
      </w:pPr>
      <w:r>
        <w:t>A</w:t>
      </w:r>
      <w:r w:rsidR="00A77698">
        <w:t>ccording to Columbia, the Settlement was achieved only after a comprehensive investigation of Columbia’s claims and operations.  In addition to informal discovery, Columbia claims it responded to over 625 formal discovery requests (many of which had multiple subparts).  Columbia asserts the active parties filed multiple rounds of testimony and accompanying exhibits, including Columbia’s direct, rebuttal and surrebuttal testimony, and other parties’ direct, rebuttal and surrebuttal testimony.  Moreover, Columbia asserts the active parties participated in numerous settlement discussions and formal negotiations, which ultimately led to the Settlement.  Columbia St. in Support, pp. 2-3.</w:t>
      </w:r>
    </w:p>
    <w:p w:rsidR="001B5278" w:rsidRDefault="001B5278" w:rsidP="00090FB1">
      <w:pPr>
        <w:pStyle w:val="BodyText2"/>
        <w:spacing w:line="360" w:lineRule="auto"/>
        <w:ind w:firstLine="1440"/>
        <w:jc w:val="left"/>
      </w:pPr>
    </w:p>
    <w:p w:rsidR="00A77698" w:rsidRDefault="00A77698" w:rsidP="00090FB1">
      <w:pPr>
        <w:pStyle w:val="BodyText2"/>
        <w:spacing w:line="360" w:lineRule="auto"/>
        <w:ind w:firstLine="1440"/>
        <w:jc w:val="left"/>
      </w:pPr>
      <w:r>
        <w:t xml:space="preserve">Furthermore, Columbia claims the active parties in this proceeding, and their counsel and experts, have considerable experience in rate proceedings.  According to Columbia, their knowledge, experience, and ability to evaluate the strengths and weaknesses of their litigation positions provided a strong foundation upon which to build a consensus on the settled issues. </w:t>
      </w:r>
      <w:r w:rsidR="007176CF">
        <w:t xml:space="preserve"> </w:t>
      </w:r>
      <w:r>
        <w:t>Columbia St. in Support, p. 3.</w:t>
      </w:r>
    </w:p>
    <w:p w:rsidR="001B5278" w:rsidRDefault="001B5278" w:rsidP="00090FB1">
      <w:pPr>
        <w:pStyle w:val="BodyText2"/>
        <w:spacing w:line="360" w:lineRule="auto"/>
        <w:ind w:firstLine="0"/>
        <w:jc w:val="left"/>
      </w:pPr>
    </w:p>
    <w:p w:rsidR="00A77698" w:rsidRDefault="00A77698" w:rsidP="00090FB1">
      <w:pPr>
        <w:pStyle w:val="Heading3"/>
        <w:numPr>
          <w:ilvl w:val="0"/>
          <w:numId w:val="7"/>
        </w:numPr>
        <w:spacing w:after="0" w:line="360" w:lineRule="auto"/>
        <w:ind w:left="1440" w:hanging="720"/>
        <w:jc w:val="left"/>
        <w:rPr>
          <w:b w:val="0"/>
          <w:u w:val="single"/>
        </w:rPr>
      </w:pPr>
      <w:r w:rsidRPr="00F44D59">
        <w:rPr>
          <w:b w:val="0"/>
          <w:u w:val="single"/>
        </w:rPr>
        <w:t>Revenue Requirement</w:t>
      </w:r>
    </w:p>
    <w:p w:rsidR="00090FB1" w:rsidRDefault="00090FB1" w:rsidP="00090FB1">
      <w:pPr>
        <w:pStyle w:val="BodyText2"/>
        <w:spacing w:line="360" w:lineRule="auto"/>
        <w:ind w:firstLine="1440"/>
        <w:jc w:val="left"/>
      </w:pPr>
    </w:p>
    <w:p w:rsidR="00A77698" w:rsidRDefault="00A77698" w:rsidP="00090FB1">
      <w:pPr>
        <w:pStyle w:val="BodyText2"/>
        <w:spacing w:line="360" w:lineRule="auto"/>
        <w:ind w:firstLine="1440"/>
        <w:jc w:val="left"/>
      </w:pPr>
      <w:r>
        <w:t xml:space="preserve">Columbia argues the Settlement provides for rates to be designed </w:t>
      </w:r>
      <w:r w:rsidRPr="00897996">
        <w:t>to produce an increase in opera</w:t>
      </w:r>
      <w:r>
        <w:t xml:space="preserve">ting revenues of $55.25 million, exclusive of an additional amount of $500,000 to be recovered under Columbia’s Rider Universal Service Plan (“Rider USP”), </w:t>
      </w:r>
      <w:r w:rsidRPr="00897996">
        <w:t>based upon a pro forma throughput level of 77,471,726.6 Dth for the twelve months ended June 30, 2014.</w:t>
      </w:r>
      <w:r>
        <w:t xml:space="preserve"> According to Columbia, the $55.25 million increase in tariff rates will go into effect on July 1, 2013.</w:t>
      </w:r>
      <w:r>
        <w:rPr>
          <w:rStyle w:val="FootnoteReference"/>
        </w:rPr>
        <w:footnoteReference w:id="13"/>
      </w:r>
      <w:r>
        <w:t xml:space="preserve">  Columbia asserts the increase set forth in the Settlement is approximately 71% of Columbia’s original request of $77.3 million.  Columbia claims the $55.25 million increase, </w:t>
      </w:r>
      <w:r>
        <w:lastRenderedPageBreak/>
        <w:t>although less than that requested by the Company, will enable the Company to continue to provide safe and reliable service to its customers.  Columbia St. in Support, p. 3.</w:t>
      </w:r>
    </w:p>
    <w:p w:rsidR="0018232A" w:rsidRDefault="0018232A" w:rsidP="0018232A">
      <w:pPr>
        <w:pStyle w:val="BodyText2"/>
        <w:spacing w:line="360" w:lineRule="auto"/>
        <w:ind w:firstLine="1440"/>
        <w:jc w:val="left"/>
      </w:pPr>
    </w:p>
    <w:p w:rsidR="00A77698" w:rsidRDefault="00A77698" w:rsidP="0018232A">
      <w:pPr>
        <w:pStyle w:val="BodyText2"/>
        <w:spacing w:line="360" w:lineRule="auto"/>
        <w:ind w:firstLine="1440"/>
        <w:jc w:val="left"/>
      </w:pPr>
      <w:r>
        <w:t xml:space="preserve">Columbia points out that the amount of the </w:t>
      </w:r>
      <w:r w:rsidR="007E6D04">
        <w:t>s</w:t>
      </w:r>
      <w:r>
        <w:t>ettlement increase is greater than the increases agreed to in recent Columbia base rate cases.  As an example, Columbia asserts the settlement of Columbia’s prior rate proceeding at Docket No. R-2010-2215623 provided for an increase in revenues of $17 million.  According to Columbia, ther</w:t>
      </w:r>
      <w:r w:rsidR="007E6D04">
        <w:t>e are several reasons why this s</w:t>
      </w:r>
      <w:r>
        <w:t>ettlement increase is greater.  Columbia St. in Support, p. 3.</w:t>
      </w:r>
    </w:p>
    <w:p w:rsidR="0018232A" w:rsidRDefault="0018232A" w:rsidP="0018232A">
      <w:pPr>
        <w:pStyle w:val="BodyText2"/>
        <w:spacing w:line="360" w:lineRule="auto"/>
        <w:ind w:firstLine="1440"/>
        <w:jc w:val="left"/>
      </w:pPr>
    </w:p>
    <w:p w:rsidR="00A77698" w:rsidRDefault="00A77698" w:rsidP="00901EBE">
      <w:pPr>
        <w:pStyle w:val="BodyText2"/>
        <w:spacing w:line="360" w:lineRule="auto"/>
        <w:ind w:firstLine="1440"/>
        <w:jc w:val="left"/>
      </w:pPr>
      <w:r>
        <w:t>Mark R. Kempic, President of Columbia Gas of Pennsylvania, Inc., explained that the revenue deficiency in this proceeding is higher than in prior cases because Columbia is using the fully</w:t>
      </w:r>
      <w:r w:rsidR="00D87CA7">
        <w:t>-</w:t>
      </w:r>
      <w:r>
        <w:t xml:space="preserve">projected future test year authorized by Act 11 of 2012, 66 Pa. C.S. </w:t>
      </w:r>
      <w:r w:rsidR="00076CCF">
        <w:t>§§</w:t>
      </w:r>
      <w:r w:rsidR="008D1749">
        <w:t xml:space="preserve">315, </w:t>
      </w:r>
      <w:r>
        <w:t>1350</w:t>
      </w:r>
      <w:r w:rsidR="008D1749">
        <w:t>-1360</w:t>
      </w:r>
      <w:r>
        <w:rPr>
          <w:rStyle w:val="FootnoteReference"/>
        </w:rPr>
        <w:footnoteReference w:id="14"/>
      </w:r>
      <w:r>
        <w:t xml:space="preserve">  </w:t>
      </w:r>
      <w:r w:rsidRPr="000D1FE7">
        <w:t>(“Act 11”).</w:t>
      </w:r>
      <w:r>
        <w:t xml:space="preserve">  According to Columbia, under Act 11, rates may be determined by a “fully projected future test year, which shall be the 12</w:t>
      </w:r>
      <w:r w:rsidR="00B42CD9">
        <w:t>-</w:t>
      </w:r>
      <w:r>
        <w:t>month period beginning with the first month that the new rates</w:t>
      </w:r>
      <w:r w:rsidR="007176CF">
        <w:t xml:space="preserve"> will be placed into effect.”  </w:t>
      </w:r>
      <w:r>
        <w:t>That is, this rate case includes the revenue requirement associated with the capital invested prior to the rate effective date as well as the capital invested during the fully</w:t>
      </w:r>
      <w:r w:rsidR="00D87CA7">
        <w:t>-</w:t>
      </w:r>
      <w:r>
        <w:t>projected future test year ending June 30, 2014, whereas prior rate cases included only the capital invested prio</w:t>
      </w:r>
      <w:r w:rsidR="0007050E">
        <w:t xml:space="preserve">r to the rate effective date.  </w:t>
      </w:r>
      <w:r>
        <w:t>Columbia St. in Support, p. 4.</w:t>
      </w:r>
    </w:p>
    <w:p w:rsidR="0018232A" w:rsidRDefault="0018232A" w:rsidP="00901EBE">
      <w:pPr>
        <w:pStyle w:val="BodyText2"/>
        <w:spacing w:line="360" w:lineRule="auto"/>
        <w:ind w:firstLine="1440"/>
        <w:jc w:val="left"/>
      </w:pPr>
    </w:p>
    <w:p w:rsidR="00A77698" w:rsidRDefault="00A77698" w:rsidP="00901EBE">
      <w:pPr>
        <w:pStyle w:val="BodyText2"/>
        <w:spacing w:line="360" w:lineRule="auto"/>
        <w:ind w:firstLine="1440"/>
        <w:jc w:val="left"/>
      </w:pPr>
      <w:r>
        <w:t>Further, as detailed by Mr. Kempic, the Company requires additional revenues so that the Company will have an opportunity to earn a return on the significant capital investments made to its distribution system.   Columbia asserts it has made, and continues to make, unprecedented and substantial capital investments in its system and strives to serve as a model for bare steel replacem</w:t>
      </w:r>
      <w:r w:rsidR="00D11244">
        <w:t>ent programs in Pennsylvania.  Columbia Statement No. 1, p. 7.</w:t>
      </w:r>
      <w:r>
        <w:t xml:space="preserve">  As detailed in the direct testimony of Columbia witness Danny G. Cote, Columbia’s capital budgets for age and condition replacement of cast iron and bare steel (“CIBS”) are $141 million in 20</w:t>
      </w:r>
      <w:r w:rsidR="00D11244">
        <w:t xml:space="preserve">13, and $138 million in 2014.  </w:t>
      </w:r>
      <w:r>
        <w:t>Colum</w:t>
      </w:r>
      <w:r w:rsidR="00D11244">
        <w:t>bia Statement No. 8, pp. 19-20.</w:t>
      </w:r>
      <w:r>
        <w:t xml:space="preserve">  Based on these expenditures, </w:t>
      </w:r>
      <w:r>
        <w:lastRenderedPageBreak/>
        <w:t>Columbia indicates it will eliminate 550,000 feet of CIBS pipe in 20</w:t>
      </w:r>
      <w:r w:rsidR="003E7660">
        <w:t xml:space="preserve">13, and 550,000 feet in 2014.  </w:t>
      </w:r>
      <w:r>
        <w:t>C</w:t>
      </w:r>
      <w:r w:rsidR="003E7660">
        <w:t>olumbia Statement No. 8, p. 20.</w:t>
      </w:r>
      <w:r>
        <w:t xml:space="preserve">  According to Columbia, these amounts reflect a substantial increase to actual investments in CIBS replacement in 2011 and 2012, which average</w:t>
      </w:r>
      <w:r w:rsidR="003E7660">
        <w:t xml:space="preserve">d over $100 million per year.  </w:t>
      </w:r>
      <w:r>
        <w:t>Columb</w:t>
      </w:r>
      <w:r w:rsidR="003E7660">
        <w:t>ia Statement No. 1, p. 7;</w:t>
      </w:r>
      <w:r>
        <w:t xml:space="preserve"> Columbia St. in Support, p. 4.</w:t>
      </w:r>
    </w:p>
    <w:p w:rsidR="0018232A" w:rsidRDefault="0018232A" w:rsidP="0018232A">
      <w:pPr>
        <w:pStyle w:val="BodyText2"/>
        <w:spacing w:line="360" w:lineRule="auto"/>
        <w:ind w:firstLine="1440"/>
        <w:jc w:val="left"/>
      </w:pPr>
    </w:p>
    <w:p w:rsidR="00A77698" w:rsidRDefault="00A77698" w:rsidP="0018232A">
      <w:pPr>
        <w:pStyle w:val="BodyText2"/>
        <w:spacing w:line="360" w:lineRule="auto"/>
        <w:ind w:firstLine="1440"/>
        <w:jc w:val="left"/>
      </w:pPr>
      <w:r>
        <w:t xml:space="preserve">According to Columbia, in addition to capital costs associated with Columbia’s accelerated pipeline replacement effort, the Company is incurring operating and maintenance costs associated with enhancing pipeline safety on its system.  Columbia asserts these costs further contribute to the level of the revenue increase in this case. </w:t>
      </w:r>
      <w:r w:rsidR="0007050E">
        <w:t xml:space="preserve"> </w:t>
      </w:r>
      <w:r>
        <w:t>According to Columbia, the rate increase agreed to by the Joint Petitioners in the Settlement includes an allowance of $9.25 million for the Company’s claimed incremental O&amp;M expense, as described in Columbia Witnes</w:t>
      </w:r>
      <w:r w:rsidR="00DB6B07">
        <w:t xml:space="preserve">s Kitchell’s direct testimony, </w:t>
      </w:r>
      <w:r>
        <w:t xml:space="preserve">that is based on the Company’s initiatives in furtherance of operating a safe and reliable natural gas distribution system.  </w:t>
      </w:r>
      <w:r w:rsidR="00090FB1">
        <w:t>S</w:t>
      </w:r>
      <w:r>
        <w:t>pecifically, Columbia claims it is accelerating the repair rate of open class 2 leaks; insourcing distribution pipeline locating work that was previously outsourced to third party contractors; adding three damage prevention coordinators to further reduce the number of third party damages to Columbia’s facilities; running cameras through sewer lines to identify any cross-bore conflicts; deploying GPS technology to identify the location of all new facilities; hiring three mapping technicians to support the GPS effort and ramping up Columbia damage prevention educational efforts and contractor outreach.  Columbia St. in Support, pp. 4-5.</w:t>
      </w:r>
    </w:p>
    <w:p w:rsidR="00B42CD9" w:rsidRDefault="00B42CD9" w:rsidP="0018232A">
      <w:pPr>
        <w:pStyle w:val="BodyText2"/>
        <w:spacing w:line="360" w:lineRule="auto"/>
        <w:ind w:firstLine="1440"/>
        <w:jc w:val="left"/>
      </w:pPr>
    </w:p>
    <w:p w:rsidR="00A77698" w:rsidRDefault="00A77698" w:rsidP="00090FB1">
      <w:pPr>
        <w:pStyle w:val="BodyText2"/>
        <w:spacing w:line="360" w:lineRule="auto"/>
        <w:ind w:firstLine="1440"/>
        <w:jc w:val="left"/>
      </w:pPr>
      <w:r>
        <w:t xml:space="preserve">Columbia indicates that, in response to recommendations offered by OCA, the Settlement provides that Columbia agrees to continue to coordinate its safety-related initiatives with its Long Term Infrastructure Improvement Plan and its Distribution Integrity Management Program Plan priorities.  Further, Columbia asserts it will track the incremental annual amounts spent and the extent to which the goals of each safety initiative are met.  In addition, Columbia points out that under the terms of the Settlement, on or before October 1, 2013, Columbia will provide </w:t>
      </w:r>
      <w:r w:rsidR="005713B8">
        <w:t xml:space="preserve">to </w:t>
      </w:r>
      <w:r>
        <w:t xml:space="preserve">the Commission’s Bureau of Technical Utility Services (“TUS”), I&amp;E, OCA and OSBA an update to Columbia Exhibit No. 108, Schedule 1, which will include actual capital expenditures, plant additions, and retirements by month for the twelve months ending June 30, </w:t>
      </w:r>
      <w:r>
        <w:lastRenderedPageBreak/>
        <w:t xml:space="preserve">2013. </w:t>
      </w:r>
      <w:r w:rsidR="0007050E">
        <w:t xml:space="preserve"> </w:t>
      </w:r>
      <w:r>
        <w:t xml:space="preserve">Further, Columbia indicates </w:t>
      </w:r>
      <w:r w:rsidR="00DB6B07">
        <w:t xml:space="preserve">that, </w:t>
      </w:r>
      <w:r>
        <w:t xml:space="preserve">on or before October 1, 2014, it will update </w:t>
      </w:r>
      <w:r w:rsidRPr="00730802">
        <w:t>Exhibit No. 108, Schedule 1</w:t>
      </w:r>
      <w:r>
        <w:t xml:space="preserve"> filed in this proceeding for the twelve months ending June 30, 2014. </w:t>
      </w:r>
      <w:r>
        <w:rPr>
          <w:i/>
        </w:rPr>
        <w:t xml:space="preserve"> </w:t>
      </w:r>
      <w:r>
        <w:t xml:space="preserve">Also, as part of the Company’s next base rate proceeding, Columbia points out that the Company will prepare a comparison of its actual expenses and rate base additions for the twelve months ended June 30, 2014 to its projections in this case.  However, according to Columbia, it is recognized by the Joint Petitioners that this is a </w:t>
      </w:r>
      <w:r w:rsidR="00053EFA">
        <w:t>“</w:t>
      </w:r>
      <w:r>
        <w:t>black box</w:t>
      </w:r>
      <w:r w:rsidR="00053EFA">
        <w:t>”</w:t>
      </w:r>
      <w:r>
        <w:t xml:space="preserve"> settlement that is a compromise of Joint Petitioners’ positions on various issues.  Columbia St. in Support, pp. 5-6.</w:t>
      </w:r>
    </w:p>
    <w:p w:rsidR="00DB6B07" w:rsidRDefault="00DB6B07" w:rsidP="00090FB1">
      <w:pPr>
        <w:pStyle w:val="BodyText2"/>
        <w:spacing w:line="360" w:lineRule="auto"/>
        <w:ind w:firstLine="0"/>
        <w:jc w:val="left"/>
      </w:pPr>
    </w:p>
    <w:p w:rsidR="00A77698" w:rsidRDefault="00A77698" w:rsidP="00090FB1">
      <w:pPr>
        <w:pStyle w:val="BodyText2"/>
        <w:spacing w:line="360" w:lineRule="auto"/>
        <w:ind w:firstLine="1440"/>
        <w:jc w:val="left"/>
      </w:pPr>
      <w:r>
        <w:t xml:space="preserve">Columbia points out that, in this proceeding, Columbia, I&amp;E, OCA, and OSBA, presented testimony on Columbia’s overall revenue requirement and related issues.  Columbia asserts the </w:t>
      </w:r>
      <w:r w:rsidR="007E6D04">
        <w:t>s</w:t>
      </w:r>
      <w:r>
        <w:t xml:space="preserve">ettlement revenue increase of $55.25 million reflects a reasonable compromise of Joint Petitioners’ positions in this proceeding.  Moreover, Columbia asserts the amount of the increase falls within the range of outcomes bounded by Columbia’s proposed increase and the revenue requirements contained in the direct testimonies of I&amp;E and OCA.  Columbia notes that in its rebuttal testimony, it took issue with virtually all of the proposed adjustments advanced by I&amp;E, OCA and OSBA. </w:t>
      </w:r>
      <w:r w:rsidR="00CB295C">
        <w:t xml:space="preserve"> </w:t>
      </w:r>
      <w:r>
        <w:t>According to Columbia, the Joint Petitioners, while supporting their revenue requirement positions for litigation purposes, recognized that the Commission likely would have accepted certain adjustments proposed by Joint Petitioners, but would not have accepted all of the adjustments.  Columbia St. in Support, p. 6.</w:t>
      </w:r>
    </w:p>
    <w:p w:rsidR="00DB6B07" w:rsidRDefault="00DB6B07" w:rsidP="00090FB1">
      <w:pPr>
        <w:pStyle w:val="BodyText2"/>
        <w:spacing w:line="360" w:lineRule="auto"/>
        <w:ind w:firstLine="0"/>
        <w:jc w:val="left"/>
      </w:pPr>
    </w:p>
    <w:p w:rsidR="00DB6B07" w:rsidRDefault="00DB6B07" w:rsidP="00090FB1">
      <w:pPr>
        <w:pStyle w:val="BodyText2"/>
        <w:spacing w:line="360" w:lineRule="auto"/>
        <w:ind w:firstLine="1440"/>
        <w:jc w:val="left"/>
      </w:pPr>
      <w:r>
        <w:t xml:space="preserve">Columbia explains </w:t>
      </w:r>
      <w:r w:rsidR="00A77698">
        <w:t>that under the Settlement, with only a few select exceptions further identified below, the settlement revenue requirement is a “black box” amount.  According to Columbia, under a “black box” settlement, parties do not specifically identify revenues and expenses that are allowed or disallowed.  Columbia indicates it believes that “black box” settlements facilitate agreements as parties are not required to identify a specific return on equity or identify specific revenues and/or expenses that are allowed or disallowed.  Columbia St. in Support, p. 6.</w:t>
      </w:r>
    </w:p>
    <w:p w:rsidR="00DB6B07" w:rsidRDefault="00DB6B07" w:rsidP="00090FB1">
      <w:pPr>
        <w:pStyle w:val="BodyText2"/>
        <w:spacing w:line="360" w:lineRule="auto"/>
        <w:ind w:firstLine="1440"/>
        <w:jc w:val="left"/>
      </w:pPr>
    </w:p>
    <w:p w:rsidR="00A77698" w:rsidRDefault="00A77698" w:rsidP="00796F60">
      <w:pPr>
        <w:pStyle w:val="BodyText2"/>
        <w:spacing w:line="360" w:lineRule="auto"/>
        <w:ind w:firstLine="1440"/>
        <w:jc w:val="left"/>
      </w:pPr>
      <w:r>
        <w:t xml:space="preserve">Given the entire Settlement, Columbia asserts that it believes the revenue requirement is reasonable and will provide the Company with the additional revenues that are necessary to provide reliable service to customers.  In addition, Columbia indicates that it </w:t>
      </w:r>
      <w:r>
        <w:lastRenderedPageBreak/>
        <w:t xml:space="preserve">believes the Settlement appropriately balances the need of the Company to have an opportunity to earn a reasonable rate of return with its customers’ need for reasonable rates.  Columbia St. in Support, </w:t>
      </w:r>
      <w:r w:rsidR="00CB295C">
        <w:t>p</w:t>
      </w:r>
      <w:r>
        <w:t>p. 6-7.</w:t>
      </w:r>
    </w:p>
    <w:p w:rsidR="00796F60" w:rsidRDefault="00796F60" w:rsidP="00796F60">
      <w:pPr>
        <w:pStyle w:val="BodyText2"/>
        <w:spacing w:line="360" w:lineRule="auto"/>
        <w:ind w:firstLine="1440"/>
        <w:jc w:val="left"/>
      </w:pPr>
    </w:p>
    <w:p w:rsidR="00A77698" w:rsidRDefault="00A77698" w:rsidP="00796F60">
      <w:pPr>
        <w:pStyle w:val="Heading3"/>
        <w:numPr>
          <w:ilvl w:val="0"/>
          <w:numId w:val="8"/>
        </w:numPr>
        <w:spacing w:after="0" w:line="360" w:lineRule="auto"/>
        <w:ind w:left="2160" w:hanging="720"/>
        <w:rPr>
          <w:b w:val="0"/>
        </w:rPr>
      </w:pPr>
      <w:r w:rsidRPr="00847D4B">
        <w:rPr>
          <w:b w:val="0"/>
          <w:u w:val="single"/>
        </w:rPr>
        <w:t>Tax Repair Allowance and Mixed Service Cost Normalization Treatment</w:t>
      </w:r>
    </w:p>
    <w:p w:rsidR="00901EBE" w:rsidRDefault="00901EBE" w:rsidP="00796F60">
      <w:pPr>
        <w:pStyle w:val="BodyText2"/>
        <w:spacing w:line="360" w:lineRule="auto"/>
        <w:ind w:firstLine="1440"/>
        <w:jc w:val="left"/>
      </w:pPr>
    </w:p>
    <w:p w:rsidR="00910329" w:rsidRDefault="00A77698" w:rsidP="00796F60">
      <w:pPr>
        <w:pStyle w:val="BodyText2"/>
        <w:spacing w:line="360" w:lineRule="auto"/>
        <w:ind w:firstLine="1440"/>
        <w:jc w:val="left"/>
      </w:pPr>
      <w:r>
        <w:t>According to Columbia, i</w:t>
      </w:r>
      <w:r w:rsidRPr="00E254A5">
        <w:t xml:space="preserve">n 2008, Columbia sought and obtained permission from the Internal Revenue Service to change its definition of “unit of property” for tax purposes. </w:t>
      </w:r>
      <w:r>
        <w:t xml:space="preserve"> Columbia explains t</w:t>
      </w:r>
      <w:r w:rsidRPr="00E254A5">
        <w:t>his enabled Columbia to deduct certain expenditures on its tax return rather than capitalize them and resulted in a tax refund of $37,487,634 for Columbia’s customers.</w:t>
      </w:r>
      <w:r>
        <w:t xml:space="preserve">  Columbia points out that, as agreed in the settlement of Columbia’s 2010 rate case (Docket No. R-2009-2149262), a refund of the $37,487,634 is being made to customers, which reflects the cash benefit received in 2009 for the tax year 2008 method change.</w:t>
      </w:r>
      <w:r w:rsidR="00405793">
        <w:t xml:space="preserve"> </w:t>
      </w:r>
      <w:r>
        <w:t xml:space="preserve"> Columbia asserts, as of November 1, 2011, a total of $4,451,393 was amortized and an additional $24,857,392 is being amortized through the period ended June 30, 2013. </w:t>
      </w:r>
      <w:r w:rsidR="00405793">
        <w:t xml:space="preserve"> </w:t>
      </w:r>
      <w:r>
        <w:t xml:space="preserve">Columbia witness Panpilas W. Fischer, explained, beginning on July 1, 2013 (the effective date of rates after a full suspension period), that </w:t>
      </w:r>
      <w:r w:rsidRPr="00730802">
        <w:t>this case reflects the remaining</w:t>
      </w:r>
      <w:r>
        <w:t xml:space="preserve"> $8,178,846 being amortized over a period of 24 months. </w:t>
      </w:r>
    </w:p>
    <w:p w:rsidR="00910329" w:rsidRDefault="00A77698" w:rsidP="00910329">
      <w:pPr>
        <w:pStyle w:val="BodyText2"/>
        <w:spacing w:line="360" w:lineRule="auto"/>
        <w:ind w:firstLine="1440"/>
        <w:jc w:val="left"/>
      </w:pPr>
      <w:r>
        <w:t xml:space="preserve"> </w:t>
      </w:r>
    </w:p>
    <w:p w:rsidR="00910329" w:rsidRDefault="00A77698" w:rsidP="00910329">
      <w:pPr>
        <w:pStyle w:val="BodyText2"/>
        <w:spacing w:line="360" w:lineRule="auto"/>
        <w:ind w:firstLine="1440"/>
        <w:jc w:val="left"/>
      </w:pPr>
      <w:r>
        <w:t>Under the Settlement, Columbia asserts it will continue to use normalization accounting with respect to the benefits of the tax repairs deduction.  In addition, with regard to the $37.5 million tax refund previously received by Columbia that is attributable to the change in method for the repairs deduction, commencing with the effective date of rates in this proceeding, the remaining amount of $8,178,846 shall be amortized over two ye</w:t>
      </w:r>
      <w:r w:rsidR="00162DE8">
        <w:t xml:space="preserve">ars commencing July 1, 2013.  </w:t>
      </w:r>
      <w:r>
        <w:t>Columbia explains that, consistent with prior settlements, the amortization will be without interest and without a deduction of the unamortized balance from rate base.  Columbia asserts the Settlement also continues prior agreements that subsequent changes in the refund amount, above or below the $37.5 million, shall be reflected in accumulated deferred income taxes to be created under the normalization method of accoun</w:t>
      </w:r>
      <w:r w:rsidR="00162DE8">
        <w:t>ting.</w:t>
      </w:r>
      <w:r w:rsidRPr="00A512C9">
        <w:rPr>
          <w:b/>
          <w:i/>
        </w:rPr>
        <w:t xml:space="preserve">  </w:t>
      </w:r>
      <w:r w:rsidRPr="00A512C9">
        <w:t>C</w:t>
      </w:r>
      <w:r>
        <w:t xml:space="preserve">olumbia St. in Support, pp. 7-8. </w:t>
      </w:r>
    </w:p>
    <w:p w:rsidR="00910329" w:rsidRDefault="00910329" w:rsidP="00910329">
      <w:pPr>
        <w:pStyle w:val="BodyText2"/>
        <w:spacing w:line="360" w:lineRule="auto"/>
        <w:ind w:firstLine="1440"/>
        <w:jc w:val="left"/>
      </w:pPr>
    </w:p>
    <w:p w:rsidR="00A77698" w:rsidRDefault="00A77698" w:rsidP="00901EBE">
      <w:pPr>
        <w:pStyle w:val="BodyText2"/>
        <w:spacing w:line="360" w:lineRule="auto"/>
        <w:ind w:firstLine="1440"/>
        <w:jc w:val="left"/>
      </w:pPr>
      <w:r>
        <w:t xml:space="preserve">The Joint Petitioners have also agreed that Columbia will be permitted to use normalization accounting with respect to the tax treatment of Internal Revenue Code Section </w:t>
      </w:r>
      <w:r>
        <w:lastRenderedPageBreak/>
        <w:t>263A mixed service costs (“MSC”).  According to Columbia, this is similar to the treatment of book vs. tax time differences for the repairs deduction.  Columbia St. in Support, p. 8.  Columbia asserts that MSCs are general and administrative costs that are indirectly allocable (i.e., not exclusively attributable) to activities related to self-constructed assets and inventory property and must be partially capitalized rather than fully deduct</w:t>
      </w:r>
      <w:r w:rsidR="00162DE8">
        <w:t xml:space="preserve">ed for book and tax purposes.  </w:t>
      </w:r>
      <w:r>
        <w:t>Columbia St. in Support, p. 8.  Columbia explains the allocation methods differ</w:t>
      </w:r>
      <w:r w:rsidR="00162DE8">
        <w:t xml:space="preserve"> for book and tax purposes.  </w:t>
      </w:r>
      <w:r>
        <w:t xml:space="preserve">Columbia St. in Support, p. 8.  Columbia asserts that Internal Revenue Service Industry Director’s Directive 5 issued September 15, 2009 provides guidelines on the method transmission and distribution companies can use to allocate MSCs for tax purposes using a reasonable allocation method. </w:t>
      </w:r>
      <w:r w:rsidR="00162DE8">
        <w:t xml:space="preserve"> </w:t>
      </w:r>
      <w:r>
        <w:t>Columbia St. in Support, p. 8.  Moreover, Columbia indicates, because the treatment of MSCs for tax purposes differs from the treatment for book purposes, the result is a tax timing difference for deductibility of these costs.  Columbia explains that normalization accounting will reconcile those tax timing differences.  Columbia further points out that no party challenged Columbia’s proposals relative to the tax repair allowance and MSCs and the Settlement reflects the Joint Petitioners’ concurrence with the Company’s proposals.  Columbia St. in Support, p. 8.</w:t>
      </w:r>
    </w:p>
    <w:p w:rsidR="00910329" w:rsidRDefault="00910329" w:rsidP="00901EBE">
      <w:pPr>
        <w:pStyle w:val="BodyText2"/>
        <w:spacing w:line="360" w:lineRule="auto"/>
        <w:ind w:firstLine="1440"/>
        <w:jc w:val="left"/>
      </w:pPr>
    </w:p>
    <w:p w:rsidR="0072729B" w:rsidRDefault="00A77698" w:rsidP="00901EBE">
      <w:pPr>
        <w:pStyle w:val="Heading3"/>
        <w:numPr>
          <w:ilvl w:val="0"/>
          <w:numId w:val="8"/>
        </w:numPr>
        <w:spacing w:after="0" w:line="360" w:lineRule="auto"/>
        <w:ind w:left="2160" w:hanging="720"/>
        <w:jc w:val="left"/>
        <w:rPr>
          <w:b w:val="0"/>
        </w:rPr>
      </w:pPr>
      <w:r w:rsidRPr="0072729B">
        <w:rPr>
          <w:b w:val="0"/>
          <w:u w:val="single"/>
        </w:rPr>
        <w:t>Amortizations</w:t>
      </w:r>
    </w:p>
    <w:p w:rsidR="0072729B" w:rsidRPr="0072729B" w:rsidRDefault="0072729B" w:rsidP="00901EBE">
      <w:pPr>
        <w:pStyle w:val="BodyText2"/>
        <w:spacing w:line="360" w:lineRule="auto"/>
      </w:pPr>
    </w:p>
    <w:p w:rsidR="00910329" w:rsidRDefault="00A77698" w:rsidP="00901EBE">
      <w:pPr>
        <w:pStyle w:val="BodyText2"/>
        <w:spacing w:line="360" w:lineRule="auto"/>
        <w:ind w:firstLine="1440"/>
        <w:jc w:val="left"/>
      </w:pPr>
      <w:r>
        <w:t xml:space="preserve">The Settlement specifies the continued amortizations of costs related to Blackhawk Storage. </w:t>
      </w:r>
      <w:r w:rsidR="00162DE8">
        <w:t xml:space="preserve"> </w:t>
      </w:r>
      <w:r>
        <w:t>Columbia explains this amortization was established in Columbia’s 2008 rate case settlement at Docket No. R-2008-2011621 and will continue.</w:t>
      </w:r>
      <w:r>
        <w:rPr>
          <w:rStyle w:val="FootnoteReference"/>
        </w:rPr>
        <w:footnoteReference w:id="15"/>
      </w:r>
      <w:r>
        <w:t xml:space="preserve">  Columbia argues no party objected to the Company’s inclusion of this amortization amount in its rate filing.  Columbia St. in Support, p. 8.</w:t>
      </w:r>
    </w:p>
    <w:p w:rsidR="00910329" w:rsidRDefault="00910329" w:rsidP="00910329">
      <w:pPr>
        <w:pStyle w:val="BodyText2"/>
        <w:spacing w:line="360" w:lineRule="auto"/>
        <w:ind w:firstLine="1440"/>
        <w:jc w:val="left"/>
      </w:pPr>
    </w:p>
    <w:p w:rsidR="00910329" w:rsidRDefault="00A77698" w:rsidP="00910329">
      <w:pPr>
        <w:pStyle w:val="BodyText2"/>
        <w:spacing w:line="360" w:lineRule="auto"/>
        <w:ind w:firstLine="1440"/>
        <w:jc w:val="left"/>
      </w:pPr>
      <w:r>
        <w:t xml:space="preserve">Columbia explains that it is currently amortizing a $37.5 million tax refund received as a result of the tax repair allowance change.  The Joint Petitioners have agreed to </w:t>
      </w:r>
      <w:r>
        <w:lastRenderedPageBreak/>
        <w:t>amortize the remaining refund in the amount of $4,089,423 per year for two years commencing on July 1, 2013.</w:t>
      </w:r>
      <w:r>
        <w:rPr>
          <w:rStyle w:val="FootnoteReference"/>
        </w:rPr>
        <w:footnoteReference w:id="16"/>
      </w:r>
      <w:r w:rsidR="0072729B">
        <w:t xml:space="preserve">  </w:t>
      </w:r>
      <w:r>
        <w:t>Columbia St. in Support, p. 9.</w:t>
      </w:r>
    </w:p>
    <w:p w:rsidR="00910329" w:rsidRDefault="00910329" w:rsidP="00910329">
      <w:pPr>
        <w:pStyle w:val="BodyText2"/>
        <w:spacing w:line="360" w:lineRule="auto"/>
        <w:ind w:firstLine="1440"/>
        <w:jc w:val="left"/>
      </w:pPr>
    </w:p>
    <w:p w:rsidR="00910329" w:rsidRDefault="00A77698" w:rsidP="00910329">
      <w:pPr>
        <w:pStyle w:val="BodyText2"/>
        <w:spacing w:line="360" w:lineRule="auto"/>
        <w:ind w:firstLine="1440"/>
        <w:jc w:val="left"/>
      </w:pPr>
      <w:r>
        <w:t>In addition, the Joint Petitioners have reached agreement relative to the amortization of costs associated with the NiSource (“NiFiT”) project, which is designed to upgrade financial processes and information systems across all of the NiSource comp</w:t>
      </w:r>
      <w:r w:rsidR="0072729B">
        <w:t xml:space="preserve">anies, including Columbia.  </w:t>
      </w:r>
      <w:r>
        <w:t>Columbia St. in Support, p. 9.  Columbia witness Richard Fontaine explained NiFiT is an initiative to install new computer software that will enable NiSource to adopt common financial processes and systems.  Richard Fontaine further explained the primary focus of NiFiT is to implement a common general ledger and chart of accounts for all NiSource companies, instead of the four separate general ledger software packages currently used.  Columbia St. in Support, p. 9.  Richard Fontaine further indicated the need for the project is driven by the age and operating risk of the current financial systems in use by the</w:t>
      </w:r>
      <w:r w:rsidR="0072729B">
        <w:t xml:space="preserve"> NiSource companies.  </w:t>
      </w:r>
      <w:r>
        <w:t>Columbia St. in Support, p. 9.  Columbia indicated that through NiF</w:t>
      </w:r>
      <w:r w:rsidR="0072729B">
        <w:t>i</w:t>
      </w:r>
      <w:r>
        <w:t>T, the separate general ledger packages currently used by the NiSource companies, including Columbia, will be replaced by PeopleSoft Financials, which includes general ledger, accounts payable, project costing, and financial reporting software.  Columbia St. in Support, p. 9.   Columbia further indicated the PeopleSoft software will integrate with many of Columbia’s existing software systems, including asset management, work management, and time and labor software, which will provide an efficient business environment to support Columbia’s operations.  Columbia St. in Support, p. 9.</w:t>
      </w:r>
    </w:p>
    <w:p w:rsidR="00910329" w:rsidRDefault="00910329" w:rsidP="00910329">
      <w:pPr>
        <w:pStyle w:val="BodyText2"/>
        <w:spacing w:line="360" w:lineRule="auto"/>
        <w:ind w:firstLine="1440"/>
        <w:jc w:val="left"/>
      </w:pPr>
    </w:p>
    <w:p w:rsidR="00A77698" w:rsidRDefault="00A77698" w:rsidP="00901EBE">
      <w:pPr>
        <w:pStyle w:val="BodyText2"/>
        <w:spacing w:line="360" w:lineRule="auto"/>
        <w:ind w:firstLine="1440"/>
        <w:jc w:val="left"/>
      </w:pPr>
      <w:r>
        <w:t xml:space="preserve">According to Columbia, the total cost of the NiFit project is expected to be approximately </w:t>
      </w:r>
      <w:r w:rsidR="003E7660">
        <w:t xml:space="preserve">$115 million to $125 million.  </w:t>
      </w:r>
      <w:r>
        <w:t>C</w:t>
      </w:r>
      <w:r w:rsidR="003E7660">
        <w:t>olumbia Statement No. 13, p. 6.</w:t>
      </w:r>
      <w:r>
        <w:t xml:space="preserve">  Columbia indicates its total expected share of capital cost associated with NiFiT is approximately $4.037 million and non-recurring operation and maintenance cost associated with NiFiT is expected to be $2.020 million.  Columbia points out that it proposed to recover the non-recurring O&amp;M costs over 2 years.  Columbia further explains that I&amp;E challenged certain labor costs included in the Company’s claim for NiFiT.  Columbia further asserts that, both I&amp;E and OCA recommended a </w:t>
      </w:r>
      <w:r>
        <w:lastRenderedPageBreak/>
        <w:t>five-</w:t>
      </w:r>
      <w:r w:rsidR="008D1749">
        <w:t>year</w:t>
      </w:r>
      <w:r>
        <w:t xml:space="preserve"> and four-year amortization period in which to recover the incremental costs.  Under the Settlement, the Joint Petitioners have agreed that Columbia will amortize start-up costs (exclusive of Company labor) of the new financial software in the amount of $1,738,714, over a four-year period commencing with the effective date of rates in this proceeding.</w:t>
      </w:r>
      <w:r w:rsidR="005E5064">
        <w:t xml:space="preserve">  </w:t>
      </w:r>
      <w:r>
        <w:t>Columbia St. in Support, pp. 9-10.</w:t>
      </w:r>
      <w:r>
        <w:rPr>
          <w:rStyle w:val="FootnoteReference"/>
        </w:rPr>
        <w:footnoteReference w:id="17"/>
      </w:r>
    </w:p>
    <w:p w:rsidR="005E5064" w:rsidRDefault="005E5064" w:rsidP="00901EBE">
      <w:pPr>
        <w:pStyle w:val="BodyText2"/>
        <w:spacing w:line="360" w:lineRule="auto"/>
        <w:ind w:firstLine="1440"/>
        <w:jc w:val="left"/>
      </w:pPr>
    </w:p>
    <w:p w:rsidR="00A77698" w:rsidRDefault="00A77698" w:rsidP="00901EBE">
      <w:pPr>
        <w:pStyle w:val="Heading3"/>
        <w:numPr>
          <w:ilvl w:val="0"/>
          <w:numId w:val="8"/>
        </w:numPr>
        <w:spacing w:after="0" w:line="360" w:lineRule="auto"/>
        <w:ind w:left="2160" w:hanging="720"/>
        <w:rPr>
          <w:b w:val="0"/>
          <w:u w:val="single"/>
        </w:rPr>
      </w:pPr>
      <w:r w:rsidRPr="001D7D45">
        <w:rPr>
          <w:b w:val="0"/>
          <w:u w:val="single"/>
        </w:rPr>
        <w:t>Other Post-Employment Benefits (“OPEB”) Expense</w:t>
      </w:r>
    </w:p>
    <w:p w:rsidR="00901EBE" w:rsidRDefault="00901EBE" w:rsidP="00901EBE">
      <w:pPr>
        <w:pStyle w:val="BodyText2"/>
        <w:spacing w:line="360" w:lineRule="auto"/>
        <w:ind w:firstLine="1440"/>
        <w:jc w:val="left"/>
      </w:pPr>
    </w:p>
    <w:p w:rsidR="005E5064" w:rsidRDefault="00A77698" w:rsidP="00901EBE">
      <w:pPr>
        <w:pStyle w:val="BodyText2"/>
        <w:spacing w:line="360" w:lineRule="auto"/>
        <w:ind w:firstLine="1440"/>
        <w:jc w:val="left"/>
      </w:pPr>
      <w:r>
        <w:t>Columbia explains t</w:t>
      </w:r>
      <w:r w:rsidRPr="00942E26">
        <w:t xml:space="preserve">he Settlement includes provisions concerning accounting for Columbia’s ongoing contributions to trusts for OPEBs.  In particular, under the Settlement, commencing with the effective date of rates, Columbia will be permitted to </w:t>
      </w:r>
      <w:r>
        <w:t xml:space="preserve">continue its established procedure to </w:t>
      </w:r>
      <w:r w:rsidRPr="00942E26">
        <w:t>defer the difference between the annual OPEB expense calculated pursuant to FASB Accounting Standards Codification (“AS</w:t>
      </w:r>
      <w:r w:rsidR="005713B8">
        <w:t xml:space="preserve">C”) 715, </w:t>
      </w:r>
      <w:r w:rsidRPr="00942E26">
        <w:t xml:space="preserve">Compensation – Retirement Benefits </w:t>
      </w:r>
      <w:r w:rsidRPr="00A712D7">
        <w:t>(</w:t>
      </w:r>
      <w:r w:rsidR="00286364">
        <w:t>“</w:t>
      </w:r>
      <w:r w:rsidRPr="00A712D7">
        <w:t>SFAS No. 106</w:t>
      </w:r>
      <w:r w:rsidR="00286364">
        <w:t>”</w:t>
      </w:r>
      <w:r w:rsidRPr="00A712D7">
        <w:t>)</w:t>
      </w:r>
      <w:r w:rsidRPr="00942E26">
        <w:t xml:space="preserve"> and the annual OPEB expense allowance in rates of $0.  Only those amounts attributable to operation and maintenance would be deferred and recognized as a regulatory asset or liability.  To the extent the cumulative balance recorded commencing with the effective date of rates reflects a regulatory asset, such amount will be collected from customers in the next rate proceeding over a period to be determined in that rate proceeding.  In addition, to the extent the cumulative balance recorded commencing with the effective date of rates reflects a regulatory liability, there will be no amortization of the (non-cash) negative expense, and the cumulative balance will continue to be maintained.</w:t>
      </w:r>
      <w:r>
        <w:t xml:space="preserve"> </w:t>
      </w:r>
      <w:r w:rsidRPr="00942E26">
        <w:t xml:space="preserve"> </w:t>
      </w:r>
      <w:r>
        <w:t xml:space="preserve">Settlement </w:t>
      </w:r>
      <w:r w:rsidRPr="00874D82">
        <w:t>¶ 3</w:t>
      </w:r>
      <w:r w:rsidR="003E7660">
        <w:t>2</w:t>
      </w:r>
      <w:r>
        <w:t>.</w:t>
      </w:r>
      <w:r w:rsidRPr="00942E26">
        <w:t xml:space="preserve">  </w:t>
      </w:r>
      <w:r>
        <w:t>Further</w:t>
      </w:r>
      <w:r w:rsidRPr="00942E26">
        <w:t xml:space="preserve">, </w:t>
      </w:r>
      <w:r>
        <w:t xml:space="preserve">the Settlement provides that, commencing with the effective date of rates, </w:t>
      </w:r>
      <w:r w:rsidRPr="00942E26">
        <w:t>Columbia will deposit amounts in the OPEB trusts when the cumulative gross annual accruals calculated by its actuary pursuant to ASC 715 are greater than $0.  If annual amounts deposited into OPEB trusts, pursuant to th</w:t>
      </w:r>
      <w:r>
        <w:t>e</w:t>
      </w:r>
      <w:r w:rsidRPr="00942E26">
        <w:t xml:space="preserve"> Settlement, exceed allowable income tax deduction limits, any income taxes paid will be recorded as negative deferred income taxes, to be added to rate base in future proceedings. </w:t>
      </w:r>
      <w:r>
        <w:t xml:space="preserve">  Columbia St. in Support, pp. 10-11.</w:t>
      </w:r>
    </w:p>
    <w:p w:rsidR="005E5064" w:rsidRDefault="005E5064" w:rsidP="005E5064">
      <w:pPr>
        <w:pStyle w:val="BodyText2"/>
        <w:spacing w:line="360" w:lineRule="auto"/>
        <w:ind w:firstLine="1440"/>
        <w:jc w:val="left"/>
      </w:pPr>
    </w:p>
    <w:p w:rsidR="009B3FBE" w:rsidRDefault="00A77698" w:rsidP="00901EBE">
      <w:pPr>
        <w:pStyle w:val="BodyText2"/>
        <w:spacing w:line="360" w:lineRule="auto"/>
        <w:ind w:firstLine="1440"/>
        <w:jc w:val="left"/>
      </w:pPr>
      <w:r w:rsidRPr="00942E26">
        <w:lastRenderedPageBreak/>
        <w:t>Columbia witness Deborah Schmelzer</w:t>
      </w:r>
      <w:r>
        <w:t xml:space="preserve"> explained</w:t>
      </w:r>
      <w:r w:rsidRPr="00942E26">
        <w:t xml:space="preserve"> </w:t>
      </w:r>
      <w:r>
        <w:t xml:space="preserve">under the base rate reconciling mechanism, the Company anticipates an approximate </w:t>
      </w:r>
      <w:r w:rsidRPr="00942E26">
        <w:t xml:space="preserve">$607,393 regulatory liability deferral as of June </w:t>
      </w:r>
      <w:r>
        <w:t>3</w:t>
      </w:r>
      <w:r w:rsidRPr="00942E26">
        <w:t xml:space="preserve">0, 2013.  </w:t>
      </w:r>
      <w:r>
        <w:t>Columbia further indicated, u</w:t>
      </w:r>
      <w:r w:rsidRPr="00942E26">
        <w:t>nder the Settlement, the Joint Petitioners have agreed to Columbia’s proposal to pass back this over-collection over a two-year period.</w:t>
      </w:r>
      <w:r>
        <w:rPr>
          <w:rStyle w:val="FootnoteReference"/>
        </w:rPr>
        <w:footnoteReference w:id="18"/>
      </w:r>
      <w:r w:rsidRPr="00942E26">
        <w:t xml:space="preserve">  </w:t>
      </w:r>
      <w:r w:rsidRPr="00CF676A">
        <w:rPr>
          <w:b/>
          <w:i/>
          <w:u w:val="single"/>
        </w:rPr>
        <w:t xml:space="preserve"> </w:t>
      </w:r>
      <w:r w:rsidRPr="00CF676A">
        <w:rPr>
          <w:i/>
          <w:u w:val="single"/>
        </w:rPr>
        <w:t xml:space="preserve">  </w:t>
      </w:r>
      <w:r>
        <w:t>Columbia St. in Support, p. 11.</w:t>
      </w:r>
    </w:p>
    <w:p w:rsidR="009B3FBE" w:rsidRDefault="009B3FBE" w:rsidP="00901EBE">
      <w:pPr>
        <w:pStyle w:val="BodyText2"/>
        <w:spacing w:line="360" w:lineRule="auto"/>
        <w:ind w:firstLine="1440"/>
        <w:jc w:val="left"/>
      </w:pPr>
    </w:p>
    <w:p w:rsidR="00A77698" w:rsidRDefault="00A77698" w:rsidP="00090FB1">
      <w:pPr>
        <w:pStyle w:val="BodyText2"/>
        <w:spacing w:line="360" w:lineRule="auto"/>
        <w:ind w:firstLine="1440"/>
        <w:jc w:val="left"/>
      </w:pPr>
      <w:r>
        <w:t>Columbia points out that p</w:t>
      </w:r>
      <w:r w:rsidRPr="00942E26">
        <w:t xml:space="preserve">ursuant to the Opinion and Order entered on May 24, 2012 in Docket No. P-2011-2275383, Columbia deferred, for accounting and financial reporting purposes, the one-time expense of $903,131 associated with its allocated share of NiSource Corporate Services Company’s (“NCSC”) OPEB regulatory asset resulting from NCSC’s transition from cash basis to accrual.  </w:t>
      </w:r>
      <w:r>
        <w:t xml:space="preserve">Columbia St. in Support, p. 11.  Columbia asserts, as </w:t>
      </w:r>
      <w:r w:rsidRPr="00942E26">
        <w:t xml:space="preserve">the Commission’s Opinion and Order did not preclude Columbia from seeking recovery of the total amount deferred, in this proceeding Columbia proposed to recover the total deferred amount of $903,131 over a ten-year period.  </w:t>
      </w:r>
      <w:r>
        <w:t>Col</w:t>
      </w:r>
      <w:r w:rsidR="009B3FBE">
        <w:t xml:space="preserve">umbia St. in Support, p. 11.  </w:t>
      </w:r>
      <w:r>
        <w:t>Columbia asserts that n</w:t>
      </w:r>
      <w:r w:rsidRPr="00942E26">
        <w:t>o party challenged Columbia’s proposal and the Joint Petitioners have agreed</w:t>
      </w:r>
      <w:r>
        <w:t>,</w:t>
      </w:r>
      <w:r w:rsidRPr="00942E26">
        <w:t xml:space="preserve"> through this Settlement</w:t>
      </w:r>
      <w:r>
        <w:t>,</w:t>
      </w:r>
      <w:r w:rsidRPr="00942E26">
        <w:t xml:space="preserve"> to the ten-year amortization of this regulatory asset.</w:t>
      </w:r>
      <w:r>
        <w:t xml:space="preserve"> </w:t>
      </w:r>
      <w:r w:rsidR="00F24500">
        <w:t xml:space="preserve"> </w:t>
      </w:r>
      <w:r>
        <w:t xml:space="preserve">Settlement </w:t>
      </w:r>
      <w:r w:rsidR="00F24500">
        <w:t>¶ 31(iv);</w:t>
      </w:r>
      <w:r w:rsidR="009B3FBE">
        <w:t xml:space="preserve"> </w:t>
      </w:r>
      <w:r>
        <w:t>Columbia St. in Support, p. 11.</w:t>
      </w:r>
    </w:p>
    <w:p w:rsidR="00A77698" w:rsidRPr="009B591D" w:rsidRDefault="00A77698" w:rsidP="00090FB1">
      <w:pPr>
        <w:pStyle w:val="BodyText"/>
        <w:spacing w:after="0" w:line="360" w:lineRule="auto"/>
      </w:pPr>
    </w:p>
    <w:p w:rsidR="00A77698" w:rsidRDefault="00A77698" w:rsidP="00090FB1">
      <w:pPr>
        <w:pStyle w:val="Heading3"/>
        <w:numPr>
          <w:ilvl w:val="0"/>
          <w:numId w:val="8"/>
        </w:numPr>
        <w:spacing w:after="0" w:line="360" w:lineRule="auto"/>
        <w:ind w:left="2160" w:hanging="720"/>
        <w:rPr>
          <w:b w:val="0"/>
          <w:u w:val="single"/>
        </w:rPr>
      </w:pPr>
      <w:r w:rsidRPr="009B591D">
        <w:rPr>
          <w:b w:val="0"/>
          <w:u w:val="single"/>
        </w:rPr>
        <w:t>Distribution System Improvement Charge (“DSIC”)</w:t>
      </w:r>
    </w:p>
    <w:p w:rsidR="009B3FBE" w:rsidRDefault="009B3FBE" w:rsidP="00090FB1">
      <w:pPr>
        <w:pStyle w:val="BodyText2"/>
        <w:spacing w:line="360" w:lineRule="auto"/>
        <w:ind w:firstLine="0"/>
      </w:pPr>
    </w:p>
    <w:p w:rsidR="00A77698" w:rsidRDefault="00A77698" w:rsidP="00F24500">
      <w:pPr>
        <w:pStyle w:val="BodyText2"/>
        <w:spacing w:line="360" w:lineRule="auto"/>
        <w:ind w:firstLine="1440"/>
        <w:jc w:val="left"/>
      </w:pPr>
      <w:r>
        <w:t xml:space="preserve">Columbia explains that Act 11 authorizes utilities such as Columbia to file for a DSIC after January 1, 2013.  Columbia indicates that under Act 11, plant additions not included in base rates may be reflected in the DSIC calculation.  Therefore, according to Columbia, for future DSIC purposes, it is necessary to establish relevant plant balances for the Company out of this proceeding.  The Settlement provides that if Columbia is authorized to implement a DSIC, then, following the effective date of rates in this proceeding, Columbia will be eligible to include plant additions in the DSIC, once eligible account balances exceed the levels projected </w:t>
      </w:r>
      <w:r w:rsidR="00F24500">
        <w:t xml:space="preserve">by Columbia at June 30, 2014.  </w:t>
      </w:r>
      <w:r>
        <w:t xml:space="preserve">Settlement </w:t>
      </w:r>
      <w:r w:rsidRPr="00777AF9">
        <w:t>¶ 35</w:t>
      </w:r>
      <w:r w:rsidR="00F24500">
        <w:t>;</w:t>
      </w:r>
      <w:r>
        <w:t xml:space="preserve"> Columbia St. in Support, </w:t>
      </w:r>
      <w:r w:rsidR="0000120E">
        <w:t>p</w:t>
      </w:r>
      <w:r>
        <w:t xml:space="preserve">p. 11-12.  The Joint Petitioners agree that this provision is included solely for purposes of calculating the DSIC, and </w:t>
      </w:r>
      <w:r>
        <w:lastRenderedPageBreak/>
        <w:t xml:space="preserve">is not determinative for future ratemaking purposes of the projected additions to be </w:t>
      </w:r>
      <w:r w:rsidR="0065632F">
        <w:t>i</w:t>
      </w:r>
      <w:r w:rsidR="00D87CA7">
        <w:t>ncluded in rate base in a fully-</w:t>
      </w:r>
      <w:r>
        <w:t>projected future test year filing.  Columbia S</w:t>
      </w:r>
      <w:r w:rsidR="009B3FBE">
        <w:t>t</w:t>
      </w:r>
      <w:r>
        <w:t>. in Support, p. 11.</w:t>
      </w:r>
    </w:p>
    <w:p w:rsidR="00A77698" w:rsidRDefault="00A77698" w:rsidP="00F24500">
      <w:pPr>
        <w:pStyle w:val="BodyText2"/>
        <w:spacing w:line="360" w:lineRule="auto"/>
      </w:pPr>
    </w:p>
    <w:p w:rsidR="00A77698" w:rsidRPr="007279D2" w:rsidRDefault="005835FE" w:rsidP="00F24500">
      <w:pPr>
        <w:pStyle w:val="Heading2"/>
        <w:keepNext/>
        <w:numPr>
          <w:ilvl w:val="0"/>
          <w:numId w:val="7"/>
        </w:numPr>
        <w:spacing w:after="0" w:line="360" w:lineRule="auto"/>
        <w:ind w:left="1440" w:hanging="720"/>
        <w:rPr>
          <w:b w:val="0"/>
          <w:szCs w:val="24"/>
          <w:u w:val="single"/>
        </w:rPr>
      </w:pPr>
      <w:r w:rsidRPr="007279D2">
        <w:rPr>
          <w:b w:val="0"/>
          <w:caps w:val="0"/>
          <w:szCs w:val="24"/>
          <w:u w:val="single"/>
        </w:rPr>
        <w:t>Revenue Allocation and Non-Residential Rate Design</w:t>
      </w:r>
    </w:p>
    <w:p w:rsidR="009B3FBE" w:rsidRPr="007279D2" w:rsidRDefault="009B3FBE" w:rsidP="00C764C8">
      <w:pPr>
        <w:pStyle w:val="BodyText2"/>
        <w:spacing w:line="360" w:lineRule="auto"/>
      </w:pPr>
    </w:p>
    <w:p w:rsidR="00A77698" w:rsidRPr="007279D2" w:rsidRDefault="00A77698" w:rsidP="00C764C8">
      <w:pPr>
        <w:pStyle w:val="Heading3"/>
        <w:numPr>
          <w:ilvl w:val="1"/>
          <w:numId w:val="8"/>
        </w:numPr>
        <w:spacing w:after="0" w:line="360" w:lineRule="auto"/>
        <w:ind w:left="2160" w:hanging="720"/>
        <w:rPr>
          <w:b w:val="0"/>
          <w:szCs w:val="24"/>
        </w:rPr>
      </w:pPr>
      <w:r w:rsidRPr="007279D2">
        <w:rPr>
          <w:b w:val="0"/>
          <w:szCs w:val="24"/>
          <w:u w:val="single"/>
        </w:rPr>
        <w:t>Revenue Allocation</w:t>
      </w:r>
    </w:p>
    <w:p w:rsidR="009B3FBE" w:rsidRPr="007279D2" w:rsidRDefault="009B3FBE" w:rsidP="00C764C8">
      <w:pPr>
        <w:pStyle w:val="BodyText2"/>
        <w:spacing w:line="360" w:lineRule="auto"/>
      </w:pPr>
    </w:p>
    <w:p w:rsidR="00BA3AF2" w:rsidRPr="007279D2" w:rsidRDefault="00A77698" w:rsidP="00C764C8">
      <w:pPr>
        <w:pStyle w:val="BodyText2"/>
        <w:spacing w:line="360" w:lineRule="auto"/>
        <w:ind w:firstLine="1440"/>
        <w:jc w:val="left"/>
      </w:pPr>
      <w:r w:rsidRPr="007279D2">
        <w:t>According to Columbia, the revenue allocation issues were among the most contentious issues in this proceeding.  Columbia explained that the Joint Petitioners proposed a variety of class cost of service studies and cost allocation methodologies.  Moreover, Columbia indicated even to the extent certain Joint Petitioners agreed on the basic overall methodology, i.e. the Design Day demand allocation versus the Peak &amp; Average methodology, the Joint Petitioners still disagreed on how to allocate certain other costs to the different rate classes, as well as how much movement toward cost of service was appropriate.  Despite the fact that the Joint Petitioners were not able to agree on a specific class “cost of service” in the Settlement, Columbia explained that the Joint Petitioners were able to agree to a revenue allocation that is within the range of revenue allocations proposed by the Joint Petitioners in this proceeding, and Columbia believes that this revenue allocation meets the “cost of service” standards adopted by t</w:t>
      </w:r>
      <w:r w:rsidR="0000120E">
        <w:t xml:space="preserve">he Courts and the Commission.  </w:t>
      </w:r>
      <w:r w:rsidRPr="007279D2">
        <w:t>Columbia St. in Support, p. 12.</w:t>
      </w:r>
    </w:p>
    <w:p w:rsidR="00BA3AF2" w:rsidRPr="007279D2" w:rsidRDefault="00BA3AF2" w:rsidP="00BA3AF2">
      <w:pPr>
        <w:pStyle w:val="BodyText2"/>
        <w:spacing w:line="360" w:lineRule="auto"/>
        <w:ind w:firstLine="1440"/>
        <w:jc w:val="left"/>
      </w:pPr>
    </w:p>
    <w:p w:rsidR="00A77698" w:rsidRPr="007279D2" w:rsidRDefault="00A77698" w:rsidP="00BA3AF2">
      <w:pPr>
        <w:pStyle w:val="BodyText2"/>
        <w:spacing w:line="360" w:lineRule="auto"/>
        <w:ind w:firstLine="1440"/>
        <w:jc w:val="left"/>
      </w:pPr>
      <w:r w:rsidRPr="007279D2">
        <w:t xml:space="preserve">Columbia further explained that all parties supported their respective cost of service studies for litigation purposes.  However, Columbia indicated the parties were willing to compromise in order to achieve a settlement of the revenue allocation issues.  Therefore, Columbia asserts the revenue allocation set forth in the Settlement is not based upon a specific agreed to formulaic approach.  Moreover, Columbia asserts the Settlement rates are not based upon any specific cost of service study results, but instead, the Settlement reflects a compromise of various parties’ revenue allocation and rate design proposals. </w:t>
      </w:r>
      <w:r w:rsidR="0000120E">
        <w:t xml:space="preserve"> </w:t>
      </w:r>
      <w:r w:rsidRPr="007279D2">
        <w:t>Columbia explains that the resulting class increases, as compared to the Company’s as-filed increases, are as follows:</w:t>
      </w:r>
    </w:p>
    <w:p w:rsidR="00C764C8" w:rsidRPr="007279D2" w:rsidRDefault="00C764C8">
      <w:r w:rsidRPr="007279D2">
        <w:br w:type="page"/>
      </w:r>
    </w:p>
    <w:p w:rsidR="00A77698" w:rsidRPr="007279D2" w:rsidRDefault="00A77698" w:rsidP="00A77698">
      <w:pPr>
        <w:pStyle w:val="BodyText2"/>
      </w:pPr>
    </w:p>
    <w:tbl>
      <w:tblPr>
        <w:tblStyle w:val="TableGrid"/>
        <w:tblW w:w="9570" w:type="dxa"/>
        <w:tblInd w:w="108" w:type="dxa"/>
        <w:tblLayout w:type="fixed"/>
        <w:tblLook w:val="01E0" w:firstRow="1" w:lastRow="1" w:firstColumn="1" w:lastColumn="1" w:noHBand="0" w:noVBand="0"/>
      </w:tblPr>
      <w:tblGrid>
        <w:gridCol w:w="2848"/>
        <w:gridCol w:w="1424"/>
        <w:gridCol w:w="1994"/>
        <w:gridCol w:w="1424"/>
        <w:gridCol w:w="1880"/>
      </w:tblGrid>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rPr>
                <w:b/>
              </w:rPr>
            </w:pPr>
            <w:r w:rsidRPr="007279D2">
              <w:rPr>
                <w:b/>
              </w:rPr>
              <w:t>Customer Group</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rPr>
                <w:b/>
              </w:rPr>
            </w:pPr>
            <w:r w:rsidRPr="007279D2">
              <w:rPr>
                <w:b/>
              </w:rPr>
              <w:t>As Filed</w:t>
            </w:r>
          </w:p>
          <w:p w:rsidR="00A77698" w:rsidRPr="007279D2" w:rsidRDefault="00A77698" w:rsidP="006D4A8D">
            <w:pPr>
              <w:pStyle w:val="BodyText2"/>
              <w:spacing w:before="120" w:after="120" w:line="240" w:lineRule="auto"/>
              <w:ind w:firstLine="0"/>
              <w:jc w:val="center"/>
              <w:rPr>
                <w:b/>
              </w:rPr>
            </w:pPr>
            <w:r w:rsidRPr="007279D2">
              <w:rPr>
                <w:b/>
              </w:rPr>
              <w:t>(000s)</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rPr>
                <w:b/>
              </w:rPr>
            </w:pPr>
            <w:r w:rsidRPr="007279D2">
              <w:rPr>
                <w:b/>
              </w:rPr>
              <w:t>Percentage of Proposed Increase</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rPr>
                <w:b/>
              </w:rPr>
            </w:pPr>
            <w:r w:rsidRPr="007279D2">
              <w:rPr>
                <w:b/>
              </w:rPr>
              <w:t>As Settled</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rPr>
                <w:b/>
              </w:rPr>
            </w:pPr>
            <w:r w:rsidRPr="007279D2">
              <w:rPr>
                <w:b/>
              </w:rPr>
              <w:t>Percentage of Settled Increase</w:t>
            </w:r>
          </w:p>
        </w:tc>
      </w:tr>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pPr>
            <w:r w:rsidRPr="007279D2">
              <w:t>Residential</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$61,779</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79.91%</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$40,829</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73.90%</w:t>
            </w:r>
          </w:p>
        </w:tc>
      </w:tr>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8F44A3">
            <w:pPr>
              <w:pStyle w:val="BodyText2"/>
              <w:spacing w:before="120" w:after="120" w:line="240" w:lineRule="auto"/>
              <w:ind w:firstLine="0"/>
              <w:jc w:val="left"/>
            </w:pPr>
            <w:r w:rsidRPr="007279D2">
              <w:t>Small General Service</w:t>
            </w:r>
            <w:r w:rsidR="008F44A3">
              <w:t xml:space="preserve"> </w:t>
            </w:r>
            <w:r w:rsidRPr="007279D2">
              <w:t>(SGS/SGDS/SCD)</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$14,357</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18.57%</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$10,553</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19.10%</w:t>
            </w:r>
          </w:p>
        </w:tc>
      </w:tr>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pPr>
            <w:r w:rsidRPr="007279D2">
              <w:t>Large Sales Service/Med. Transportation (LGS/SDS)</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$1,164</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1.5%</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$3,481</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6.30%</w:t>
            </w:r>
          </w:p>
        </w:tc>
      </w:tr>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8F44A3">
            <w:pPr>
              <w:pStyle w:val="BodyText2"/>
              <w:spacing w:before="120" w:after="120" w:line="240" w:lineRule="auto"/>
              <w:ind w:firstLine="0"/>
              <w:jc w:val="left"/>
            </w:pPr>
            <w:r w:rsidRPr="007279D2">
              <w:t>Large Transportation</w:t>
            </w:r>
            <w:r w:rsidR="008F44A3">
              <w:t xml:space="preserve"> </w:t>
            </w:r>
            <w:r w:rsidRPr="007279D2">
              <w:t>Service (LDS)</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$11</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.01%</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$387</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0.70%</w:t>
            </w:r>
          </w:p>
        </w:tc>
      </w:tr>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pPr>
            <w:r w:rsidRPr="007279D2">
              <w:t>Mainline Service</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$0</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0%</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$0</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0%</w:t>
            </w:r>
          </w:p>
        </w:tc>
      </w:tr>
      <w:tr w:rsidR="00A77698" w:rsidRPr="007279D2" w:rsidTr="006D4A8D">
        <w:tc>
          <w:tcPr>
            <w:tcW w:w="2848"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pPr>
            <w:r w:rsidRPr="007279D2">
              <w:t>Total</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$77,311</w:t>
            </w:r>
          </w:p>
        </w:tc>
        <w:tc>
          <w:tcPr>
            <w:tcW w:w="199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100%</w:t>
            </w:r>
          </w:p>
        </w:tc>
        <w:tc>
          <w:tcPr>
            <w:tcW w:w="1424"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$55,250</w:t>
            </w:r>
          </w:p>
        </w:tc>
        <w:tc>
          <w:tcPr>
            <w:tcW w:w="1880" w:type="dxa"/>
            <w:tcBorders>
              <w:top w:val="single" w:sz="4" w:space="0" w:color="auto"/>
              <w:left w:val="single" w:sz="4" w:space="0" w:color="auto"/>
              <w:bottom w:val="single" w:sz="4" w:space="0" w:color="auto"/>
              <w:right w:val="single" w:sz="4" w:space="0" w:color="auto"/>
            </w:tcBorders>
            <w:hideMark/>
          </w:tcPr>
          <w:p w:rsidR="00A77698" w:rsidRPr="007279D2" w:rsidRDefault="00A77698" w:rsidP="006D4A8D">
            <w:pPr>
              <w:pStyle w:val="BodyText2"/>
              <w:spacing w:before="120" w:after="120" w:line="240" w:lineRule="auto"/>
              <w:ind w:firstLine="0"/>
              <w:jc w:val="center"/>
            </w:pPr>
            <w:r w:rsidRPr="007279D2">
              <w:t>100%</w:t>
            </w:r>
          </w:p>
        </w:tc>
      </w:tr>
    </w:tbl>
    <w:p w:rsidR="00BA3AF2" w:rsidRDefault="00BA3AF2" w:rsidP="00B07E4C">
      <w:pPr>
        <w:pStyle w:val="BodyText2"/>
        <w:spacing w:line="240" w:lineRule="auto"/>
        <w:ind w:firstLine="0"/>
      </w:pPr>
    </w:p>
    <w:p w:rsidR="005713B8" w:rsidRDefault="005713B8" w:rsidP="00796F60">
      <w:pPr>
        <w:pStyle w:val="BodyText2"/>
        <w:spacing w:line="360" w:lineRule="auto"/>
        <w:ind w:firstLine="0"/>
        <w:jc w:val="left"/>
      </w:pPr>
      <w:r>
        <w:t>Columbia St. in Support, p. 13.</w:t>
      </w:r>
    </w:p>
    <w:p w:rsidR="00B07E4C" w:rsidRPr="007279D2" w:rsidRDefault="00B07E4C" w:rsidP="00796F60">
      <w:pPr>
        <w:pStyle w:val="BodyText2"/>
        <w:spacing w:line="360" w:lineRule="auto"/>
        <w:ind w:firstLine="0"/>
        <w:jc w:val="left"/>
      </w:pPr>
    </w:p>
    <w:p w:rsidR="00A77698" w:rsidRPr="007279D2" w:rsidRDefault="00A77698" w:rsidP="00796F60">
      <w:pPr>
        <w:pStyle w:val="BodyText2"/>
        <w:spacing w:line="360" w:lineRule="auto"/>
        <w:ind w:firstLine="1440"/>
        <w:jc w:val="left"/>
      </w:pPr>
      <w:r w:rsidRPr="007279D2">
        <w:t xml:space="preserve">According to Columbia, the revenue allocation under the Settlement represents a compromise and falls within the litigation positions of the Joint Petitioners.  Columbia notes that because of the disagreement over cost allocation studies and the “black box” nature of the </w:t>
      </w:r>
      <w:r w:rsidR="008D1749">
        <w:t>S</w:t>
      </w:r>
      <w:r w:rsidRPr="007279D2">
        <w:t xml:space="preserve">ettlement, it is not possible to precisely calculate the extent to which the Settlement moves rates closer to cost of service for all Joint Petitioners.  However, Columbia indicates that it believes that the </w:t>
      </w:r>
      <w:r w:rsidRPr="007279D2">
        <w:rPr>
          <w:color w:val="000000"/>
        </w:rPr>
        <w:t>Settlement achieves progress in the movement toward cost-based rates.</w:t>
      </w:r>
      <w:r w:rsidR="00F860DD">
        <w:t xml:space="preserve">  </w:t>
      </w:r>
      <w:r w:rsidRPr="007279D2">
        <w:t>Columbia St. in Support, pp. 11-12.</w:t>
      </w:r>
    </w:p>
    <w:p w:rsidR="00BA3AF2" w:rsidRPr="007279D2" w:rsidRDefault="00BA3AF2" w:rsidP="00852340">
      <w:pPr>
        <w:pStyle w:val="BodyText2"/>
        <w:spacing w:line="360" w:lineRule="auto"/>
        <w:ind w:firstLine="1440"/>
        <w:jc w:val="left"/>
      </w:pPr>
    </w:p>
    <w:p w:rsidR="00A77698" w:rsidRPr="007279D2" w:rsidRDefault="00A77698" w:rsidP="00852340">
      <w:pPr>
        <w:pStyle w:val="Heading3"/>
        <w:keepNext/>
        <w:numPr>
          <w:ilvl w:val="1"/>
          <w:numId w:val="8"/>
        </w:numPr>
        <w:spacing w:after="0" w:line="360" w:lineRule="auto"/>
        <w:ind w:left="2160" w:hanging="720"/>
        <w:rPr>
          <w:b w:val="0"/>
          <w:szCs w:val="24"/>
          <w:u w:val="single"/>
        </w:rPr>
      </w:pPr>
      <w:r w:rsidRPr="007279D2">
        <w:rPr>
          <w:b w:val="0"/>
          <w:szCs w:val="24"/>
          <w:u w:val="single"/>
        </w:rPr>
        <w:t>Rate Design</w:t>
      </w:r>
    </w:p>
    <w:p w:rsidR="00C764C8" w:rsidRPr="007279D2" w:rsidRDefault="00C764C8" w:rsidP="00852340">
      <w:pPr>
        <w:pStyle w:val="BodyText2"/>
        <w:spacing w:line="360" w:lineRule="auto"/>
      </w:pPr>
    </w:p>
    <w:p w:rsidR="00C764C8" w:rsidRDefault="00C764C8" w:rsidP="00F353C3">
      <w:pPr>
        <w:pStyle w:val="BodyText2"/>
        <w:numPr>
          <w:ilvl w:val="2"/>
          <w:numId w:val="8"/>
        </w:numPr>
        <w:spacing w:line="360" w:lineRule="auto"/>
        <w:ind w:left="2880" w:hanging="630"/>
        <w:rPr>
          <w:u w:val="single"/>
        </w:rPr>
      </w:pPr>
      <w:r w:rsidRPr="007279D2">
        <w:rPr>
          <w:u w:val="single"/>
        </w:rPr>
        <w:t>Residential Rate Design</w:t>
      </w:r>
    </w:p>
    <w:p w:rsidR="00BA3AF2" w:rsidRPr="007279D2" w:rsidRDefault="00BA3AF2" w:rsidP="00852340">
      <w:pPr>
        <w:pStyle w:val="BodyText2"/>
        <w:spacing w:line="360" w:lineRule="auto"/>
        <w:ind w:firstLine="0"/>
      </w:pPr>
    </w:p>
    <w:p w:rsidR="00BA3AF2" w:rsidRPr="007279D2" w:rsidRDefault="00A77698" w:rsidP="00BA3AF2">
      <w:pPr>
        <w:pStyle w:val="BodyText2"/>
        <w:spacing w:line="360" w:lineRule="auto"/>
        <w:ind w:firstLine="1440"/>
        <w:jc w:val="left"/>
      </w:pPr>
      <w:r w:rsidRPr="007279D2">
        <w:t xml:space="preserve">According to Columbia, in its last rate case, Columbia sought the Commission’s approval of a “levelized distribution charge” for residential </w:t>
      </w:r>
      <w:r w:rsidR="00C90AD4" w:rsidRPr="007279D2">
        <w:t>customers;</w:t>
      </w:r>
      <w:r w:rsidRPr="007279D2">
        <w:t xml:space="preserve"> however, the Company’s proposal was not accepted.  Columbia explains that, instead, the Commission approved a rate </w:t>
      </w:r>
      <w:r w:rsidRPr="007279D2">
        <w:lastRenderedPageBreak/>
        <w:t>structure pro</w:t>
      </w:r>
      <w:r w:rsidR="00BA3AF2" w:rsidRPr="007279D2">
        <w:t xml:space="preserve">posed by I&amp;E which consisted of </w:t>
      </w:r>
      <w:r w:rsidRPr="007279D2">
        <w:t>a</w:t>
      </w:r>
      <w:r w:rsidR="008E1CB6" w:rsidRPr="007279D2">
        <w:t>n</w:t>
      </w:r>
      <w:r w:rsidRPr="007279D2">
        <w:t xml:space="preserve"> $18.73 customer charge and a usage based rate of $2.68 per Mcf that applied to all consumption in excess of 2 Mcf</w:t>
      </w:r>
      <w:r w:rsidRPr="007279D2">
        <w:rPr>
          <w:rStyle w:val="FootnoteReference"/>
        </w:rPr>
        <w:footnoteReference w:id="19"/>
      </w:r>
      <w:r w:rsidRPr="007279D2">
        <w:t xml:space="preserve"> in any given month.  Columbia explains, in approving the proposal of I&amp;E, the Commission encouraged the future submission of alternative rate mechanisms to balance the needs of customers and the utilities.  Columbia St. in Support, p. 14.  Mr. Kempic explained although the rate design approved in the Company’s last rate case may have improved revenue stability during the summer, non-heating months, it did not provide further revenue certainty in the winter months when most residential throughput occurs.  Columbia St. in Support, p. 14.  Columbia explained, over 70% of Columbia’s revenues come from the residential class of customers.  Columbia St. in Support, p. 14.  Columbia’s annual non-gas revenue from residential customers during the historic test year is approximately $152 million. </w:t>
      </w:r>
      <w:r w:rsidR="00F860DD">
        <w:t xml:space="preserve"> </w:t>
      </w:r>
      <w:r w:rsidR="00852340" w:rsidRPr="007279D2">
        <w:t>C</w:t>
      </w:r>
      <w:r w:rsidRPr="007279D2">
        <w:t xml:space="preserve">olumbia St. in Support, p. 14.  Columbia asserts under the current residential rate design, approximately 56% of Columbia’s revenue requirement from the residential class may be viewed as generated on a non-fixed basis.  Columbia St. in Support, p. 14.  Therefore, Columbia asserts, approximately $67 million of Columbia’s annual residential revenue requirement is not generated on a fixed basis, but instead dependent on factors that are not under Columbia’s control such as the weather and customer conservation measures.  Columbia St. in Support, p. 14. </w:t>
      </w:r>
    </w:p>
    <w:p w:rsidR="00BA3AF2" w:rsidRPr="007279D2" w:rsidRDefault="00BA3AF2" w:rsidP="00BA3AF2">
      <w:pPr>
        <w:pStyle w:val="BodyText2"/>
        <w:spacing w:line="360" w:lineRule="auto"/>
        <w:ind w:firstLine="1440"/>
        <w:jc w:val="left"/>
      </w:pPr>
    </w:p>
    <w:p w:rsidR="00BA3AF2" w:rsidRPr="007279D2" w:rsidRDefault="00A77698" w:rsidP="00BA3AF2">
      <w:pPr>
        <w:pStyle w:val="BodyText2"/>
        <w:spacing w:line="360" w:lineRule="auto"/>
        <w:ind w:firstLine="1440"/>
        <w:jc w:val="left"/>
      </w:pPr>
      <w:r w:rsidRPr="007279D2">
        <w:t xml:space="preserve">According to Columbia, consistent with the Commission’s encouragement to propose alternative rate mechanisms and to address the Company’s concern regarding revenue stability, Columbia reviewed alternative rate design mechanisms currently employed by gas utilities in other states.  Based upon its investigation, Columbia indicates it proposed three rate design options for the Commission’s consideration in this proceeding, including a Revenue Normalization Adjustment (“RNA”), a levelized distribution charge and a Weather Normalization Adjustment (“WNA”).  Columbia indicates the RNA was Columbia’s preferred alternative in the case.  Following a close examination of the three proposals offered by the Company in this proceeding, the Settlement implements Columbia’s proposed WNA residential rate design mechanism on a pilot basis, as modified by the Settlement.  </w:t>
      </w:r>
      <w:r w:rsidR="00FC2714">
        <w:t>Settlement ¶ 35;</w:t>
      </w:r>
      <w:r w:rsidRPr="007279D2">
        <w:t xml:space="preserve"> Columbia St.</w:t>
      </w:r>
      <w:r w:rsidR="00BA3AF2" w:rsidRPr="007279D2">
        <w:t xml:space="preserve"> </w:t>
      </w:r>
      <w:r w:rsidRPr="007279D2">
        <w:t>in</w:t>
      </w:r>
      <w:r w:rsidR="00BA3AF2" w:rsidRPr="007279D2">
        <w:t xml:space="preserve"> </w:t>
      </w:r>
      <w:r w:rsidRPr="007279D2">
        <w:t xml:space="preserve">Support, </w:t>
      </w:r>
      <w:r w:rsidR="004A509C">
        <w:t xml:space="preserve">p. </w:t>
      </w:r>
      <w:r w:rsidRPr="007279D2">
        <w:t>15.</w:t>
      </w:r>
    </w:p>
    <w:p w:rsidR="00BA3AF2" w:rsidRPr="007279D2" w:rsidRDefault="00BA3AF2" w:rsidP="00BA3AF2">
      <w:pPr>
        <w:pStyle w:val="BodyText2"/>
        <w:spacing w:line="360" w:lineRule="auto"/>
        <w:ind w:firstLine="1440"/>
        <w:jc w:val="left"/>
      </w:pPr>
    </w:p>
    <w:p w:rsidR="006D4A8D" w:rsidRPr="007279D2" w:rsidRDefault="00A77698" w:rsidP="006D4A8D">
      <w:pPr>
        <w:pStyle w:val="BodyText2"/>
        <w:spacing w:line="360" w:lineRule="auto"/>
        <w:ind w:firstLine="1440"/>
        <w:jc w:val="left"/>
      </w:pPr>
      <w:r w:rsidRPr="007279D2">
        <w:t>Columbia witness Paula A. Strauss explained the WNA is a temperature-based weather normalization mechanism that is applicable to residential accounts (rate schedules RSS, RDS, RDGSS, RDGDS and Rate CAP) from October through May of each year.</w:t>
      </w:r>
      <w:r w:rsidRPr="007279D2">
        <w:rPr>
          <w:rStyle w:val="FootnoteReference"/>
        </w:rPr>
        <w:footnoteReference w:id="20"/>
      </w:r>
      <w:r w:rsidRPr="007279D2">
        <w:t xml:space="preserve">  Columbia St. in Support, p. 15.  Columbia asserts the WNA methodology adjusts only the temperature-sensitive portion of customers’ bills to reflect normal weather levels that were the basis upon which non-gas rates were determined, designed and approved.  Columbia St. in Support, p. 15.  Columbia further explains that the WNA will only be used to calculate the non-gas distribution charges, including Rider USP, by adjusting usage for each residential customer individually to reflect what each residential customer’s usage would have been if weather had been normal during the billing period.</w:t>
      </w:r>
      <w:r w:rsidRPr="007279D2">
        <w:rPr>
          <w:rStyle w:val="FootnoteReference"/>
        </w:rPr>
        <w:footnoteReference w:id="21"/>
      </w:r>
      <w:r w:rsidRPr="007279D2">
        <w:t xml:space="preserve">  Columbia St. in Support, p. 15.</w:t>
      </w:r>
    </w:p>
    <w:p w:rsidR="006D4A8D" w:rsidRPr="007279D2" w:rsidRDefault="006D4A8D" w:rsidP="006D4A8D">
      <w:pPr>
        <w:pStyle w:val="BodyText2"/>
        <w:spacing w:line="360" w:lineRule="auto"/>
        <w:ind w:firstLine="1440"/>
        <w:jc w:val="left"/>
      </w:pPr>
    </w:p>
    <w:p w:rsidR="006D4A8D" w:rsidRPr="007279D2" w:rsidRDefault="00A77698" w:rsidP="006D4A8D">
      <w:pPr>
        <w:pStyle w:val="BodyText2"/>
        <w:spacing w:line="360" w:lineRule="auto"/>
        <w:ind w:firstLine="1440"/>
        <w:jc w:val="left"/>
      </w:pPr>
      <w:r w:rsidRPr="007279D2">
        <w:t>Columbia explained the Joint Petitioners agree that the WNA should be approved by the Commission as the Company’s residential rate design subject to a few modifications.  First, as proposed, Columbia recommends that the customer charge for the WNA be set at $29.00.  Columbia St. in Support, p</w:t>
      </w:r>
      <w:r w:rsidR="008E1CB6" w:rsidRPr="007279D2">
        <w:t xml:space="preserve">. 15.  </w:t>
      </w:r>
      <w:r w:rsidRPr="007279D2">
        <w:t>However, Columbia points out, as part of the Settlement,</w:t>
      </w:r>
      <w:r w:rsidR="006D4A8D" w:rsidRPr="007279D2">
        <w:t xml:space="preserve"> </w:t>
      </w:r>
      <w:r w:rsidRPr="007279D2">
        <w:t xml:space="preserve">at paragraph 40, the Joint Petitioners proposed that the </w:t>
      </w:r>
      <w:r w:rsidR="00C50D84">
        <w:t>r</w:t>
      </w:r>
      <w:r w:rsidRPr="007279D2">
        <w:t>esidential customer charge be set at $16.75/month with no minimum usage included in the customer charge.</w:t>
      </w:r>
      <w:r w:rsidRPr="007279D2">
        <w:rPr>
          <w:rStyle w:val="FootnoteReference"/>
        </w:rPr>
        <w:footnoteReference w:id="22"/>
      </w:r>
      <w:r w:rsidR="008E1CB6" w:rsidRPr="007279D2">
        <w:t xml:space="preserve">  </w:t>
      </w:r>
      <w:r w:rsidRPr="007279D2">
        <w:t>Columbi</w:t>
      </w:r>
      <w:r w:rsidR="00FC2714">
        <w:t xml:space="preserve">a St. in Support, pp. 15-16.  </w:t>
      </w:r>
      <w:r w:rsidRPr="007279D2">
        <w:t>Columbia further explains, in its filing, Columbia did not propose to include a “deadband” as part of the WNA.  However, Columbia points out that both I&amp;E and OCA criticized the WNA for its lack of a deadband.  Columbia St. in Support, p. 16.  According to Columbia, as part of the compromise achieved by the Settlement, the proposed pilot WNA will include a 5% deadband.  Implementation of the deadband will result in an adjustment to account for weather changes greater than 105% of normal weather or changes less than 95% of normal weather.  That is, any adjustment would adjust on</w:t>
      </w:r>
      <w:r w:rsidR="008E1CB6" w:rsidRPr="007279D2">
        <w:t xml:space="preserve">ly to the deadband threshold.  </w:t>
      </w:r>
      <w:r w:rsidR="00FC2714">
        <w:lastRenderedPageBreak/>
        <w:t xml:space="preserve">Settlement ¶ </w:t>
      </w:r>
      <w:r w:rsidRPr="007279D2">
        <w:t>41(a)</w:t>
      </w:r>
      <w:r w:rsidR="00FC2714">
        <w:t>;</w:t>
      </w:r>
      <w:r w:rsidRPr="007279D2">
        <w:t xml:space="preserve"> Columbia St. in Support, p. 16.  In addition,  Columbia explains that the Joint Petitioners agree that the WNA will operate as a pilot for a minimum period of three years commencing October 2013 and shall continue until a final order in the first rate case by Columbia that is file</w:t>
      </w:r>
      <w:r w:rsidR="00FC2714">
        <w:t xml:space="preserve">d after May 31, 2016.  </w:t>
      </w:r>
      <w:r w:rsidR="00C90AD4">
        <w:t>Settlement ¶ </w:t>
      </w:r>
      <w:r w:rsidR="00FC2714">
        <w:t>41(b);</w:t>
      </w:r>
      <w:r w:rsidR="008E1CB6" w:rsidRPr="007279D2">
        <w:t xml:space="preserve"> </w:t>
      </w:r>
      <w:r w:rsidRPr="007279D2">
        <w:t>Columbia St. in Support, p. 16.  Further, Columbia points out that the Joint Petitioners have agreed to review the WNA and determine the ongoing status thereof in Columbia’s base rate case that is filed after May 31, 2016.  For informational purposes, the Company shall maintain and provide to OCA, I&amp;E and OSBA by October 1 of each year commencing October 1, 2014 all reports and records supporting the operation of its WNA for the preceding year, including the Company’s monthly computation of the WNA and all data underlying the Company’s monthly WNA computation.  C</w:t>
      </w:r>
      <w:r w:rsidR="006D4A8D" w:rsidRPr="007279D2">
        <w:t>olumbia St. in Support, p. 16.</w:t>
      </w:r>
    </w:p>
    <w:p w:rsidR="006D4A8D" w:rsidRPr="007279D2" w:rsidRDefault="006D4A8D" w:rsidP="006D4A8D">
      <w:pPr>
        <w:pStyle w:val="BodyText2"/>
        <w:spacing w:line="360" w:lineRule="auto"/>
        <w:ind w:firstLine="1440"/>
        <w:jc w:val="left"/>
      </w:pPr>
    </w:p>
    <w:p w:rsidR="006D4A8D" w:rsidRPr="007279D2" w:rsidRDefault="00A77698" w:rsidP="006D4A8D">
      <w:pPr>
        <w:pStyle w:val="BodyText2"/>
        <w:spacing w:line="360" w:lineRule="auto"/>
        <w:ind w:firstLine="1440"/>
        <w:jc w:val="left"/>
      </w:pPr>
      <w:r w:rsidRPr="007279D2">
        <w:t xml:space="preserve">Columbia indicates that, although the WNA was not Columbia’s preferred residential rate design mechanism, the Company supports the adoption of the WNA set forth in the Settlement.  By implementing the WNA, Columbia indicates it will be permitted to distinguish between a customer’s base load and temperature-sensitive load and calculate each residential customer’s bill to mitigate the impacts of warmer than normal, or colder than normal weather.  Thus, Columbia asserts, the WNA will provide improved revenue stability.  Columbia St. in Support, </w:t>
      </w:r>
      <w:r w:rsidR="00FC2714">
        <w:t>p</w:t>
      </w:r>
      <w:r w:rsidRPr="007279D2">
        <w:t xml:space="preserve">p. 16-17.  In addition, Columbia asserts the proposed WNA is similar to the weather normalization adjustment mechanism approved by the Commission for use by </w:t>
      </w:r>
      <w:r w:rsidR="00FC2714">
        <w:t>P</w:t>
      </w:r>
      <w:r w:rsidRPr="007279D2">
        <w:t>hiladelphia Gas Works and provides Columbia with a revenue stabilization mechanism that is enjoyed by all but one of the gas utilities in the peer group identified by Columbia witness Paul R. Moul.  Columbia St. in Support, p. 17.  Columbia further explains, as the WNA is applied to each individual customer’s usage, the customers maintain the ability to affect their total distribution charges through changes</w:t>
      </w:r>
      <w:r w:rsidR="006D4A8D" w:rsidRPr="007279D2">
        <w:t xml:space="preserve"> in usage unrelated to weather.  </w:t>
      </w:r>
      <w:r w:rsidRPr="007279D2">
        <w:t>Columbia St. in Support, p.</w:t>
      </w:r>
      <w:r w:rsidR="00872426" w:rsidRPr="007279D2">
        <w:t> </w:t>
      </w:r>
      <w:r w:rsidRPr="007279D2">
        <w:t>17.</w:t>
      </w:r>
    </w:p>
    <w:p w:rsidR="006D4A8D" w:rsidRPr="007279D2" w:rsidRDefault="006D4A8D" w:rsidP="006D4A8D">
      <w:pPr>
        <w:pStyle w:val="BodyText2"/>
        <w:spacing w:line="360" w:lineRule="auto"/>
        <w:ind w:firstLine="1440"/>
        <w:jc w:val="left"/>
      </w:pPr>
    </w:p>
    <w:p w:rsidR="00A77698" w:rsidRDefault="00A77698" w:rsidP="00E30877">
      <w:pPr>
        <w:pStyle w:val="BodyText2"/>
        <w:spacing w:line="360" w:lineRule="auto"/>
        <w:ind w:firstLine="1440"/>
        <w:jc w:val="left"/>
      </w:pPr>
      <w:r w:rsidRPr="007279D2">
        <w:t>Furthermore, Columbia asserts that the Joint Petitioners agree that the residential rate design adopted in this Settlement increases the Company’s revenue stability and thereby, reduces the Company’s risk for purposes of determining an adequate return on equity, and the Joint Petitioners have recognized the impacts of such increased revenue stability and reduced</w:t>
      </w:r>
      <w:r>
        <w:t xml:space="preserve"> </w:t>
      </w:r>
      <w:r>
        <w:lastRenderedPageBreak/>
        <w:t>risk in establishing the revenue re</w:t>
      </w:r>
      <w:r w:rsidR="00FC2714">
        <w:t xml:space="preserve">quirement in this Settlement.  </w:t>
      </w:r>
      <w:r w:rsidR="00C90AD4">
        <w:t xml:space="preserve">Settlement </w:t>
      </w:r>
      <w:r w:rsidRPr="00647983">
        <w:t>¶ </w:t>
      </w:r>
      <w:r w:rsidR="00FC2714">
        <w:t>42;</w:t>
      </w:r>
      <w:r>
        <w:t xml:space="preserve"> Columbia St. in Support, p. 17.  </w:t>
      </w:r>
    </w:p>
    <w:p w:rsidR="00774832" w:rsidRDefault="00774832" w:rsidP="00E30877">
      <w:pPr>
        <w:pStyle w:val="Heading4"/>
        <w:numPr>
          <w:ilvl w:val="0"/>
          <w:numId w:val="0"/>
        </w:numPr>
        <w:spacing w:after="0" w:line="360" w:lineRule="auto"/>
        <w:rPr>
          <w:b w:val="0"/>
          <w:bCs w:val="0"/>
          <w:szCs w:val="24"/>
        </w:rPr>
      </w:pPr>
    </w:p>
    <w:p w:rsidR="00A77698" w:rsidRPr="00B71BE0" w:rsidRDefault="00774832" w:rsidP="00E30877">
      <w:pPr>
        <w:pStyle w:val="Heading4"/>
        <w:numPr>
          <w:ilvl w:val="0"/>
          <w:numId w:val="0"/>
        </w:numPr>
        <w:spacing w:after="0" w:line="360" w:lineRule="auto"/>
        <w:ind w:left="2880" w:hanging="720"/>
        <w:rPr>
          <w:b w:val="0"/>
          <w:u w:val="single"/>
        </w:rPr>
      </w:pPr>
      <w:r>
        <w:rPr>
          <w:b w:val="0"/>
        </w:rPr>
        <w:t>i</w:t>
      </w:r>
      <w:r w:rsidRPr="00774832">
        <w:rPr>
          <w:b w:val="0"/>
        </w:rPr>
        <w:t>i</w:t>
      </w:r>
      <w:r>
        <w:rPr>
          <w:b w:val="0"/>
        </w:rPr>
        <w:tab/>
      </w:r>
      <w:r w:rsidR="00A77698" w:rsidRPr="00774832">
        <w:rPr>
          <w:b w:val="0"/>
          <w:u w:val="single"/>
        </w:rPr>
        <w:t>Commercial</w:t>
      </w:r>
      <w:r w:rsidR="00A77698" w:rsidRPr="00B71BE0">
        <w:rPr>
          <w:b w:val="0"/>
          <w:u w:val="single"/>
        </w:rPr>
        <w:t xml:space="preserve"> and Industrial Rate Design</w:t>
      </w:r>
    </w:p>
    <w:p w:rsidR="006D4A8D" w:rsidRDefault="006D4A8D" w:rsidP="00E30877">
      <w:pPr>
        <w:pStyle w:val="BodyText2"/>
        <w:spacing w:line="360" w:lineRule="auto"/>
        <w:ind w:firstLine="0"/>
      </w:pPr>
    </w:p>
    <w:p w:rsidR="00BB7BBE" w:rsidRDefault="00A77698" w:rsidP="00E30877">
      <w:pPr>
        <w:pStyle w:val="BodyText2"/>
        <w:spacing w:line="360" w:lineRule="auto"/>
        <w:ind w:firstLine="1440"/>
        <w:jc w:val="left"/>
      </w:pPr>
      <w:r>
        <w:t>According to Columbia, in this proceeding, Columbia proposed to increase the customer charges for small commercial and industrial customers.  Specifically, Columbia indicates it proposed to increase the customer charge for customers under Rates Small General Sales Service (“SGSS”), Small Commercial Distribution (“SCD”), Small Distribution Service (“SDS”) and Small General Distribution Service (“SGDS”) using up to 6,440 therms annually to $30.  Co</w:t>
      </w:r>
      <w:r w:rsidR="00B5155B">
        <w:t xml:space="preserve">lumbia St. in Support, p. 17.  </w:t>
      </w:r>
      <w:r>
        <w:t>In addition, the Company indicates it proposed that the customer charge for customers under these rate schedules that use more than 6,440 therms annually be increased to $45.  Columbia St. in Support, p. 17.  Columbia asserts OSBA objected to the proposed increase to the customer charge for customers under Rates SGSS, SCD, SDS and SGDS using up to 6,440 therms annually.  Columbia St. in Support, p. 17.  Columbia indicates that, instead, the OSBA recommended that the existing customer charge for these customers be maintained at its current level of $20.18 per mont</w:t>
      </w:r>
      <w:r w:rsidR="00B5155B">
        <w:t>h.  Columbia St. in Support, p. </w:t>
      </w:r>
      <w:r>
        <w:t>17.  According to Columbia, under the Settlement, the Joint Petitioners have agreed that the customer charge shall be $20.18 per month for customers under Rates SGSS, SCD, SDS, and SGDS using up to 6,440 therms annually, and the Joint Petitioners have agreed that the customer charge for customers under Rates SGSS, SCD, SDS and SGDS using over 6,440 therms up to 64,400 therms annual</w:t>
      </w:r>
      <w:r w:rsidR="00B5155B">
        <w:t>ly sh</w:t>
      </w:r>
      <w:r w:rsidR="00FC2714">
        <w:t xml:space="preserve">all be $41.60 per month.  </w:t>
      </w:r>
      <w:r w:rsidR="00B5155B">
        <w:t xml:space="preserve">Settlement </w:t>
      </w:r>
      <w:r w:rsidRPr="00770938">
        <w:t>¶ 45</w:t>
      </w:r>
      <w:r w:rsidR="00FC2714">
        <w:t>;</w:t>
      </w:r>
      <w:r>
        <w:t xml:space="preserve"> Columbia St. in Supp</w:t>
      </w:r>
      <w:r w:rsidR="00B5155B">
        <w:t xml:space="preserve">ort, p. 18. </w:t>
      </w:r>
      <w:r>
        <w:t xml:space="preserve"> Columbia explains this reflects a scaleback associated with </w:t>
      </w:r>
      <w:r w:rsidR="00B07E4C">
        <w:t xml:space="preserve">the </w:t>
      </w:r>
      <w:r>
        <w:t xml:space="preserve">settlement reached relative to the Company’s revenue requirement.  Further, in response to the OSBA’s objection to the assignment of certain costs to Rate SGDS, according to Columbia, the Joint Petitioners have agreed that in designing SGDS rates, the Company will adjust rates to remove $530,000 from Rate SGDS and reallocate that </w:t>
      </w:r>
      <w:r w:rsidR="00B5155B">
        <w:t xml:space="preserve">amount to Rates SGSS and SCD.  </w:t>
      </w:r>
      <w:r>
        <w:t xml:space="preserve">Columbia indicates this </w:t>
      </w:r>
      <w:r w:rsidR="00FC2714">
        <w:t xml:space="preserve">is an intra-class adjustment.  </w:t>
      </w:r>
      <w:r w:rsidR="00B5155B">
        <w:t>Settlement</w:t>
      </w:r>
      <w:r>
        <w:t xml:space="preserve"> </w:t>
      </w:r>
      <w:r w:rsidRPr="00770938">
        <w:t>¶ </w:t>
      </w:r>
      <w:r w:rsidR="00B5155B">
        <w:t>46</w:t>
      </w:r>
      <w:r w:rsidR="00FC2714">
        <w:t>;</w:t>
      </w:r>
      <w:r w:rsidR="00B5155B">
        <w:t xml:space="preserve"> </w:t>
      </w:r>
      <w:r>
        <w:t xml:space="preserve">Columbia St. in Support, pp. 17-18.  </w:t>
      </w:r>
    </w:p>
    <w:p w:rsidR="00BB7BBE" w:rsidRDefault="00BB7BBE" w:rsidP="00BB7BBE">
      <w:pPr>
        <w:pStyle w:val="BodyText2"/>
        <w:spacing w:line="360" w:lineRule="auto"/>
        <w:ind w:firstLine="1440"/>
        <w:jc w:val="left"/>
      </w:pPr>
    </w:p>
    <w:p w:rsidR="00A77698" w:rsidRDefault="00A77698" w:rsidP="00BB7BBE">
      <w:pPr>
        <w:pStyle w:val="BodyText2"/>
        <w:spacing w:line="360" w:lineRule="auto"/>
        <w:ind w:firstLine="1440"/>
        <w:jc w:val="left"/>
      </w:pPr>
      <w:r>
        <w:t xml:space="preserve">Columbia further asserts that it proposed to modify the rates for Large Distribution Service (“LDS”).  Specifically, Columbia witness Paula A. Strauss explained that </w:t>
      </w:r>
      <w:r>
        <w:lastRenderedPageBreak/>
        <w:t xml:space="preserve">Rate LDS currently includes four tiers of usage and customers in the third and fourth </w:t>
      </w:r>
      <w:r w:rsidR="00B07E4C">
        <w:t xml:space="preserve">tiers </w:t>
      </w:r>
      <w:r>
        <w:t>are billed at the same per dekatherm rates.</w:t>
      </w:r>
      <w:r w:rsidR="00FC2714">
        <w:t xml:space="preserve">  </w:t>
      </w:r>
      <w:r w:rsidR="00B5155B">
        <w:t xml:space="preserve">Columbia Statement No. 15, </w:t>
      </w:r>
      <w:r w:rsidR="00FC2714">
        <w:t>p. 37.</w:t>
      </w:r>
      <w:r>
        <w:t xml:space="preserve">  According to Columbia, the Company’s proposal was not challenged by any party in this proceeding, and reestablishes a fourth tier rate so that customers with consumption in excess of 7,500,000 therms annually do not pay a higher customer charge and consumption rate than Rate LDS customers with annual</w:t>
      </w:r>
      <w:r w:rsidR="00B5155B">
        <w:t xml:space="preserve"> consumption below 7,500,000.  </w:t>
      </w:r>
      <w:r>
        <w:t>Columbia St. in Support, p. 18.  In addition, Columbia asserts the revenue increase to the LDS class was allocated on an across</w:t>
      </w:r>
      <w:r w:rsidR="00FC2714">
        <w:t>-</w:t>
      </w:r>
      <w:r>
        <w:t>the</w:t>
      </w:r>
      <w:r w:rsidR="00FC2714">
        <w:t>-</w:t>
      </w:r>
      <w:r>
        <w:t xml:space="preserve">board basis.  Columbia St. in Support, p. 18.  </w:t>
      </w:r>
    </w:p>
    <w:p w:rsidR="00B5155B" w:rsidRDefault="00B5155B" w:rsidP="00BB7BBE">
      <w:pPr>
        <w:pStyle w:val="BodyText2"/>
        <w:spacing w:line="360" w:lineRule="auto"/>
        <w:ind w:firstLine="1440"/>
        <w:jc w:val="left"/>
      </w:pPr>
    </w:p>
    <w:p w:rsidR="00B5155B" w:rsidRDefault="00B5155B" w:rsidP="00774832">
      <w:pPr>
        <w:pStyle w:val="BodyText2"/>
        <w:numPr>
          <w:ilvl w:val="0"/>
          <w:numId w:val="23"/>
        </w:numPr>
        <w:spacing w:line="360" w:lineRule="auto"/>
        <w:ind w:left="2880"/>
        <w:jc w:val="left"/>
      </w:pPr>
      <w:r w:rsidRPr="00B5155B">
        <w:rPr>
          <w:u w:val="single"/>
        </w:rPr>
        <w:t>Gas Procurement Charge (“GPC”</w:t>
      </w:r>
      <w:r>
        <w:t>)</w:t>
      </w:r>
    </w:p>
    <w:p w:rsidR="00B5155B" w:rsidRDefault="00B5155B" w:rsidP="00727A57">
      <w:pPr>
        <w:pStyle w:val="BodyText2"/>
        <w:spacing w:line="360" w:lineRule="auto"/>
        <w:ind w:firstLine="1440"/>
        <w:jc w:val="left"/>
      </w:pPr>
    </w:p>
    <w:p w:rsidR="00727A57" w:rsidRDefault="00A77698" w:rsidP="00727A57">
      <w:pPr>
        <w:pStyle w:val="BodyText2"/>
        <w:spacing w:line="360" w:lineRule="auto"/>
        <w:ind w:firstLine="1440"/>
        <w:jc w:val="left"/>
      </w:pPr>
      <w:r>
        <w:t xml:space="preserve">According to Columbia, consistent with the Commission’s June 23, 2011 Final Rulemaking Order at Docket No. L-2008-2069114, Columbia designed a GPC in order to remove natural gas procurement costs from base rates and to recover those fuel acquisition costs as part of the “price to compare,” on a revenue neutral basis via an automatic adjustment charge only to be recalculated in a base rate case.  Columbia St. in Support, pp. 18-19.  Columbia further indicates, as proposed by Columbia, the GPC included the labor and benefits costs associated with gas procurement activities, including external legal costs.  Columbia St. in Support, p. 18.  Columbia further indicates it proposed a GPC of $0.0137 per Dth.  Columbia St. in Support, pp. 18-19.  </w:t>
      </w:r>
    </w:p>
    <w:p w:rsidR="00727A57" w:rsidRDefault="00727A57" w:rsidP="00727A57">
      <w:pPr>
        <w:pStyle w:val="BodyText2"/>
        <w:spacing w:line="360" w:lineRule="auto"/>
        <w:ind w:firstLine="1440"/>
        <w:jc w:val="left"/>
      </w:pPr>
    </w:p>
    <w:p w:rsidR="00727A57" w:rsidRDefault="00A77698" w:rsidP="00727A57">
      <w:pPr>
        <w:pStyle w:val="BodyText2"/>
        <w:spacing w:line="360" w:lineRule="auto"/>
        <w:ind w:firstLine="1440"/>
        <w:jc w:val="left"/>
      </w:pPr>
      <w:r>
        <w:t>Accordi</w:t>
      </w:r>
      <w:r w:rsidR="00C90AD4">
        <w:t>ng to Columbia, the NGS Interve</w:t>
      </w:r>
      <w:r>
        <w:t xml:space="preserve">nors and the OSBA presented testimony in support of a higher GPC that included additional costs.  Under the Settlement, the Joint Petitioners were able to reach an amicable resolution relative to the level of the GPC.  Specifically, the Joint Petitioners have agreed that the Company’s GPC shall </w:t>
      </w:r>
      <w:r w:rsidR="00FC2714">
        <w:t xml:space="preserve">be set at $0.00535 per therm.  </w:t>
      </w:r>
      <w:r>
        <w:t xml:space="preserve">Settlement </w:t>
      </w:r>
      <w:r w:rsidRPr="00770938">
        <w:t>¶ </w:t>
      </w:r>
      <w:r w:rsidR="00B5155B">
        <w:t>47</w:t>
      </w:r>
      <w:r w:rsidR="00FC2714">
        <w:t>;</w:t>
      </w:r>
      <w:r w:rsidR="00B5155B">
        <w:t xml:space="preserve"> </w:t>
      </w:r>
      <w:r>
        <w:t xml:space="preserve">Columbia St. in Support, p. 19.  Columbia indicates the GPC is included in the increase in operating revenues discussed above, and has been accounted for in the design of base rates by removing such amount from the RS, SG and LG classes on a throughput basis.  Columbia St. in Support, p. 19.  </w:t>
      </w:r>
    </w:p>
    <w:p w:rsidR="00727A57" w:rsidRDefault="00727A57" w:rsidP="00727A57">
      <w:pPr>
        <w:pStyle w:val="BodyText2"/>
        <w:spacing w:line="360" w:lineRule="auto"/>
        <w:ind w:firstLine="1440"/>
        <w:jc w:val="left"/>
      </w:pPr>
    </w:p>
    <w:p w:rsidR="00727A57" w:rsidRDefault="00A77698" w:rsidP="00727A57">
      <w:pPr>
        <w:pStyle w:val="BodyText2"/>
        <w:spacing w:line="360" w:lineRule="auto"/>
        <w:ind w:firstLine="1440"/>
        <w:jc w:val="left"/>
      </w:pPr>
      <w:r>
        <w:lastRenderedPageBreak/>
        <w:t>The Joint Petitioners have also agreed and the Settlement reflects the OSBA’s proposed modification to the Company’s proposed Merchant Function</w:t>
      </w:r>
      <w:r w:rsidR="00FC2714">
        <w:t xml:space="preserve"> Charge (“MFC”).  </w:t>
      </w:r>
      <w:r>
        <w:t>O</w:t>
      </w:r>
      <w:r w:rsidR="00FC2714">
        <w:t>SBA Statement No. 1, pp. 36-37.</w:t>
      </w:r>
      <w:r>
        <w:t xml:space="preserve">  Specifically, the Settlement provides for a</w:t>
      </w:r>
      <w:r w:rsidR="00FC2714">
        <w:t>n</w:t>
      </w:r>
      <w:r>
        <w:t xml:space="preserve"> MFC of 1.7% for residential customers and a</w:t>
      </w:r>
      <w:r w:rsidR="00FC2714">
        <w:t>n</w:t>
      </w:r>
      <w:r>
        <w:t xml:space="preserve"> MFC of 0.8% for non-residential customers in recognition that the rate of uncollectibles is typically higher for residential customers than for non-residential customers.  The revised MFC rates shall be reflected in the Company’s Purchase </w:t>
      </w:r>
      <w:r w:rsidR="00B5155B">
        <w:t>o</w:t>
      </w:r>
      <w:r w:rsidR="00FC2714">
        <w:t xml:space="preserve">f Receivables discount rates.  </w:t>
      </w:r>
      <w:r w:rsidR="00B5155B">
        <w:t>Settlement</w:t>
      </w:r>
      <w:r>
        <w:t xml:space="preserve"> </w:t>
      </w:r>
      <w:r w:rsidRPr="00EE3C11">
        <w:t>¶ </w:t>
      </w:r>
      <w:r w:rsidR="00B5155B">
        <w:t>44</w:t>
      </w:r>
      <w:r w:rsidR="00FC2714">
        <w:t>;</w:t>
      </w:r>
      <w:r w:rsidR="00B5155B">
        <w:t xml:space="preserve"> </w:t>
      </w:r>
      <w:r>
        <w:t>Columbia St. in Support, p. 19.</w:t>
      </w:r>
    </w:p>
    <w:p w:rsidR="00727A57" w:rsidRDefault="00727A57" w:rsidP="00727A57">
      <w:pPr>
        <w:pStyle w:val="BodyText2"/>
        <w:spacing w:line="360" w:lineRule="auto"/>
        <w:ind w:firstLine="1440"/>
        <w:jc w:val="left"/>
      </w:pPr>
    </w:p>
    <w:p w:rsidR="00A77698" w:rsidRDefault="00A77698" w:rsidP="00B5155B">
      <w:pPr>
        <w:pStyle w:val="BodyText2"/>
        <w:spacing w:line="360" w:lineRule="auto"/>
        <w:ind w:firstLine="1440"/>
        <w:jc w:val="left"/>
      </w:pPr>
      <w:r>
        <w:t>Columbia indicates the proposed changes to the rate design for all customer classes, as set forth in Appendix “</w:t>
      </w:r>
      <w:r w:rsidRPr="00AE2045">
        <w:t>B</w:t>
      </w:r>
      <w:r>
        <w:t xml:space="preserve">” to the Settlement, reflect an accord reached between the Joint Petitioners as to the rate design to be used to recover the rate increases allocated under the Settlement to the Company’s customers.  Columbia submits that </w:t>
      </w:r>
      <w:r>
        <w:rPr>
          <w:color w:val="000000"/>
        </w:rPr>
        <w:t xml:space="preserve">the Settlement reflects an acceptable compromise of the competing litigation positions of the Joint Petitioners relative to revenue allocation and non-residential rate design.  </w:t>
      </w:r>
      <w:r>
        <w:t xml:space="preserve">Columbia St. in Support, pp. 19-20.  </w:t>
      </w:r>
    </w:p>
    <w:p w:rsidR="00A77698" w:rsidRDefault="00A77698" w:rsidP="00B5155B">
      <w:pPr>
        <w:pStyle w:val="BodyText2"/>
        <w:spacing w:line="360" w:lineRule="auto"/>
      </w:pPr>
    </w:p>
    <w:p w:rsidR="00A77698" w:rsidRPr="00727A57" w:rsidRDefault="00A77698" w:rsidP="00B5155B">
      <w:pPr>
        <w:pStyle w:val="BodyText2"/>
        <w:spacing w:line="360" w:lineRule="auto"/>
      </w:pPr>
      <w:r w:rsidRPr="00727A57">
        <w:t>3.</w:t>
      </w:r>
      <w:r w:rsidRPr="00727A57">
        <w:tab/>
      </w:r>
      <w:r w:rsidR="00B5155B">
        <w:rPr>
          <w:u w:val="single"/>
        </w:rPr>
        <w:t>U</w:t>
      </w:r>
      <w:r w:rsidR="00B5155B" w:rsidRPr="00727A57">
        <w:rPr>
          <w:u w:val="single"/>
        </w:rPr>
        <w:t xml:space="preserve">niversal </w:t>
      </w:r>
      <w:r w:rsidR="00B5155B">
        <w:rPr>
          <w:u w:val="single"/>
        </w:rPr>
        <w:t>S</w:t>
      </w:r>
      <w:r w:rsidR="00B5155B" w:rsidRPr="00727A57">
        <w:rPr>
          <w:u w:val="single"/>
        </w:rPr>
        <w:t xml:space="preserve">ervice and </w:t>
      </w:r>
      <w:r w:rsidR="00B5155B">
        <w:rPr>
          <w:u w:val="single"/>
        </w:rPr>
        <w:t>C</w:t>
      </w:r>
      <w:r w:rsidR="00B5155B" w:rsidRPr="00727A57">
        <w:rPr>
          <w:u w:val="single"/>
        </w:rPr>
        <w:t>onservation</w:t>
      </w:r>
    </w:p>
    <w:p w:rsidR="00727A57" w:rsidRDefault="00727A57" w:rsidP="00B5155B">
      <w:pPr>
        <w:pStyle w:val="BodyText2"/>
        <w:spacing w:line="360" w:lineRule="auto"/>
        <w:ind w:firstLine="0"/>
      </w:pPr>
    </w:p>
    <w:p w:rsidR="00727A57" w:rsidRDefault="00A77698" w:rsidP="00B5155B">
      <w:pPr>
        <w:pStyle w:val="BodyText2"/>
        <w:spacing w:line="360" w:lineRule="auto"/>
        <w:ind w:firstLine="1440"/>
        <w:jc w:val="left"/>
      </w:pPr>
      <w:r w:rsidRPr="007E7476">
        <w:t xml:space="preserve">The Settlement includes several provisions related to Columbia’s Universal Service Programs, Columbia’s Rider USP – Universal Service </w:t>
      </w:r>
      <w:r>
        <w:t>Plan</w:t>
      </w:r>
      <w:r w:rsidRPr="007E7476">
        <w:t>, and propos</w:t>
      </w:r>
      <w:r>
        <w:t>als relative to the Company’s WarmWise® Audits &amp; Rebates (“</w:t>
      </w:r>
      <w:r w:rsidR="000E00D4">
        <w:t xml:space="preserve">WarmWise® </w:t>
      </w:r>
      <w:r>
        <w:t xml:space="preserve">A&amp;R”) </w:t>
      </w:r>
      <w:r w:rsidRPr="007E7476">
        <w:t>program.</w:t>
      </w:r>
      <w:r>
        <w:t xml:space="preserve">  The Joint Petitioners agreed to an increase in annual WarmWise® LIURP funding from $4 million to $4.5 million, commencing with the effective date of rates in this proceeding.  This increase is incremental to the $55.25 million increase in operating revenue</w:t>
      </w:r>
      <w:r w:rsidR="00FC2714">
        <w:t xml:space="preserve"> discussed above.  Settlement </w:t>
      </w:r>
      <w:r w:rsidRPr="00EE3C11">
        <w:t>¶</w:t>
      </w:r>
      <w:r>
        <w:t xml:space="preserve"> 48</w:t>
      </w:r>
      <w:r w:rsidR="00FC2714">
        <w:t>;</w:t>
      </w:r>
      <w:r>
        <w:t xml:space="preserve"> Columbia St. in Support, p. 20.  In addition, the WarmWise® LIURP funding will continue to be recovered under the Company’s existing Rider USP and any resulting unspent balance in the designated WarmWise® LIURP funding account shall carry over and shall remain in that account.  </w:t>
      </w:r>
      <w:r>
        <w:rPr>
          <w:i/>
        </w:rPr>
        <w:t>Id</w:t>
      </w:r>
      <w:r>
        <w:t>.  Further, the Settlement provides that Columbia will continue to work with Community Based Organization programs in impl</w:t>
      </w:r>
      <w:r w:rsidR="00FC2714">
        <w:t xml:space="preserve">ementing its WarmWise® LIURP.  </w:t>
      </w:r>
      <w:r>
        <w:t>Columbia St. in Support, p.</w:t>
      </w:r>
      <w:r w:rsidR="00FC2714">
        <w:t> </w:t>
      </w:r>
      <w:r>
        <w:t xml:space="preserve">20.  </w:t>
      </w:r>
    </w:p>
    <w:p w:rsidR="00727A57" w:rsidRDefault="00727A57" w:rsidP="00727A57">
      <w:pPr>
        <w:pStyle w:val="BodyText2"/>
        <w:spacing w:line="360" w:lineRule="auto"/>
        <w:ind w:firstLine="1440"/>
        <w:jc w:val="left"/>
      </w:pPr>
    </w:p>
    <w:p w:rsidR="00727A57" w:rsidRDefault="00A77698" w:rsidP="00727A57">
      <w:pPr>
        <w:pStyle w:val="BodyText2"/>
        <w:spacing w:line="360" w:lineRule="auto"/>
        <w:ind w:firstLine="1440"/>
        <w:jc w:val="left"/>
      </w:pPr>
      <w:r>
        <w:lastRenderedPageBreak/>
        <w:t>In addition, according to Columbia, the Company requested flexibility to make changes to the WarmWise® A&amp;R program as described in Columbia Witness Kempic’s direct testimony, including providing a “Safety Rebate” available to repair a participating customer’s appliance or gas line identified during an audit and to modify the up</w:t>
      </w:r>
      <w:r w:rsidR="002D5D2A">
        <w:t>-</w:t>
      </w:r>
      <w:r>
        <w:t>front rebate levels and/or the qualifying measures in light of changes in the marketplace.  Columbia St. in Support, p. 20.  Columbia explains the Settlement grants Columbia the flexibility it requested, except that such flexibility does not include the authority to change current customer income eligibility requirements of 151% to 250% of the Federal Poverty Level, permit the creation of an on-bill financing or repayment program, or alter the $750,000 budget without</w:t>
      </w:r>
      <w:r w:rsidR="00727A57">
        <w:t xml:space="preserve"> prior Commission approval.  </w:t>
      </w:r>
      <w:r w:rsidR="00C90AD4">
        <w:t xml:space="preserve">Settlement </w:t>
      </w:r>
      <w:r w:rsidRPr="00110C07">
        <w:t>¶ 49</w:t>
      </w:r>
      <w:r w:rsidR="002D5D2A">
        <w:t>;</w:t>
      </w:r>
      <w:r>
        <w:t xml:space="preserve"> Columbia St. in Support, p. 20.  </w:t>
      </w:r>
    </w:p>
    <w:p w:rsidR="00727A57" w:rsidRDefault="00727A57" w:rsidP="00727A57">
      <w:pPr>
        <w:pStyle w:val="BodyText2"/>
        <w:spacing w:line="360" w:lineRule="auto"/>
        <w:ind w:firstLine="1440"/>
        <w:jc w:val="left"/>
      </w:pPr>
    </w:p>
    <w:p w:rsidR="00904D93" w:rsidRDefault="00A77698" w:rsidP="00904D93">
      <w:pPr>
        <w:pStyle w:val="BodyText2"/>
        <w:spacing w:line="360" w:lineRule="auto"/>
        <w:ind w:firstLine="1440"/>
        <w:jc w:val="left"/>
      </w:pPr>
      <w:r>
        <w:t xml:space="preserve">I&amp;E raised concerns relative to Columbia’s handling of account balances under the Company’s purchase of receivables program and CAP.  Specifically, during the course of this proceeding I&amp;E identified two informal complaints where the Company incorrectly transferred utility service balances over four </w:t>
      </w:r>
      <w:r w:rsidR="006474E6">
        <w:t xml:space="preserve">years old to active accounts.  </w:t>
      </w:r>
      <w:r>
        <w:t>Columbia St. in Support, p. 21.  Columbia</w:t>
      </w:r>
      <w:r w:rsidR="006474E6">
        <w:t xml:space="preserve"> explains that it acknowledged </w:t>
      </w:r>
      <w:r>
        <w:t xml:space="preserve">its error and noted that both of the instances referenced by I&amp;E were successfully resolved with the Commission’s Bureau of Consumer Services.  Columbia St. in Support, p. 21.  Columbia explains the Settlement memorializes the steps that Columbia has already completed to ensure that balances over four years old are not brought forward to new accounts.  Columbia St. in Support, p. 21.  Specifically, Columbia asserts the Company has trained all Universal Service Call Center Representatives and implemented Information System program changes and safeguards that will prevent the Company from: </w:t>
      </w:r>
      <w:r w:rsidR="000B40C8">
        <w:t xml:space="preserve"> </w:t>
      </w:r>
      <w:r>
        <w:t>(1) conditioning service reconnection or continued service upon payment of accounts that are greater than four years old or that already have been sold, sent to a collection agency, written off, or accounted for in the Company’s uncollectible accounts rates; and (2) transferring account balances for which the Company can no longer pursue termination into the accounts of curren</w:t>
      </w:r>
      <w:r w:rsidR="002D5D2A">
        <w:t xml:space="preserve">t CAP customers.  </w:t>
      </w:r>
      <w:r w:rsidR="006474E6">
        <w:t xml:space="preserve">Settlement </w:t>
      </w:r>
      <w:r w:rsidRPr="00110C07">
        <w:t>¶ </w:t>
      </w:r>
      <w:r>
        <w:t>50</w:t>
      </w:r>
      <w:r w:rsidR="002D5D2A">
        <w:t>;</w:t>
      </w:r>
      <w:r>
        <w:t xml:space="preserve"> Columbia St. in Support, p. 21. </w:t>
      </w:r>
      <w:r w:rsidR="002D5D2A">
        <w:t xml:space="preserve"> </w:t>
      </w:r>
      <w:r>
        <w:t xml:space="preserve">Columbia argues, as the Company has previously implemented the recommendations offered by I&amp;E, the Joint Petitioners agree that no further actions are required.  Columbia St. in Support, p. 21. </w:t>
      </w:r>
    </w:p>
    <w:p w:rsidR="00904D93" w:rsidRDefault="00904D93" w:rsidP="00904D93">
      <w:pPr>
        <w:pStyle w:val="BodyText2"/>
        <w:spacing w:line="360" w:lineRule="auto"/>
        <w:ind w:firstLine="1440"/>
        <w:jc w:val="left"/>
      </w:pPr>
    </w:p>
    <w:p w:rsidR="00904D93" w:rsidRDefault="00A77698" w:rsidP="00904D93">
      <w:pPr>
        <w:pStyle w:val="BodyText2"/>
        <w:spacing w:line="360" w:lineRule="auto"/>
        <w:ind w:firstLine="1440"/>
        <w:jc w:val="left"/>
      </w:pPr>
      <w:r>
        <w:lastRenderedPageBreak/>
        <w:t xml:space="preserve">According to Columbia, the Company requested an additional $50,000 for a pilot program to help support PA 2-1-1 Southwest. </w:t>
      </w:r>
      <w:r w:rsidR="006474E6">
        <w:t xml:space="preserve"> </w:t>
      </w:r>
      <w:r>
        <w:t>Columbia explains as a result of the industry-wide implications of PA 2-1-1, the Settlement provides that the Company will withdraw its request for annual recovery of $50,000 associated with PA 2-1-1 Southwest through Rider USP for a three</w:t>
      </w:r>
      <w:r w:rsidR="00904D93">
        <w:t>-</w:t>
      </w:r>
      <w:r>
        <w:t>year pilot program, without prejudice to Columbia joining any Petition regarding 2-1-1 or to the Company renewing its request in a future proceeding.</w:t>
      </w:r>
      <w:r w:rsidR="00904D93">
        <w:t xml:space="preserve">  </w:t>
      </w:r>
      <w:r w:rsidR="006474E6">
        <w:t xml:space="preserve">Settlement </w:t>
      </w:r>
      <w:r w:rsidRPr="00EA28A9">
        <w:t>¶ </w:t>
      </w:r>
      <w:r>
        <w:t>51</w:t>
      </w:r>
      <w:r w:rsidR="002D5D2A">
        <w:t>;</w:t>
      </w:r>
      <w:r>
        <w:t xml:space="preserve"> Columbia St. in Support, p. 21.</w:t>
      </w:r>
    </w:p>
    <w:p w:rsidR="00904D93" w:rsidRDefault="00904D93" w:rsidP="00904D93">
      <w:pPr>
        <w:pStyle w:val="BodyText2"/>
        <w:spacing w:line="360" w:lineRule="auto"/>
        <w:ind w:firstLine="1440"/>
        <w:jc w:val="left"/>
      </w:pPr>
    </w:p>
    <w:p w:rsidR="00A77698" w:rsidRDefault="00904D93" w:rsidP="006474E6">
      <w:pPr>
        <w:pStyle w:val="BodyText2"/>
        <w:spacing w:line="360" w:lineRule="auto"/>
        <w:ind w:firstLine="1440"/>
        <w:jc w:val="left"/>
      </w:pPr>
      <w:r>
        <w:t>I</w:t>
      </w:r>
      <w:r w:rsidR="00A77698">
        <w:t xml:space="preserve">n addition, Columbia explains, under the Settlement, Columbia’s proposal to cancel its agreement with Citizens Energy Corporation, which generated $375,000 for Columbia’s Fuel Fund, and to replace the proceeds of that transaction through a $375,000 increase to the Rider </w:t>
      </w:r>
      <w:r w:rsidR="002D5D2A">
        <w:t>USP is a</w:t>
      </w:r>
      <w:r w:rsidR="00B07E4C">
        <w:t>greed upon</w:t>
      </w:r>
      <w:r w:rsidR="002D5D2A">
        <w:t xml:space="preserve">.  </w:t>
      </w:r>
      <w:r w:rsidR="006474E6">
        <w:t xml:space="preserve">Settlement </w:t>
      </w:r>
      <w:r w:rsidR="00A77698" w:rsidRPr="00EA28A9">
        <w:t>¶ 52</w:t>
      </w:r>
      <w:r w:rsidR="002D5D2A">
        <w:t>;</w:t>
      </w:r>
      <w:r w:rsidR="00A77698">
        <w:t xml:space="preserve"> Columbia St. in Support, p. 22.  However, Columbia asserts the Joint Petitioners have agreed that this settlement term is for purposes of this proceeding only and that they retain their rights to address this issue in future proceedings.  Columbia St. in Support, p. 22.</w:t>
      </w:r>
    </w:p>
    <w:p w:rsidR="00A77698" w:rsidRDefault="00A77698" w:rsidP="006474E6">
      <w:pPr>
        <w:pStyle w:val="BodyText2"/>
        <w:spacing w:line="360" w:lineRule="auto"/>
      </w:pPr>
      <w:r>
        <w:t xml:space="preserve">  </w:t>
      </w:r>
    </w:p>
    <w:p w:rsidR="00A77698" w:rsidRDefault="00A77698" w:rsidP="006474E6">
      <w:pPr>
        <w:pStyle w:val="BodyText2"/>
        <w:spacing w:line="360" w:lineRule="auto"/>
        <w:rPr>
          <w:u w:val="single"/>
        </w:rPr>
      </w:pPr>
      <w:r w:rsidRPr="00904D93">
        <w:t>4.</w:t>
      </w:r>
      <w:r w:rsidRPr="00904D93">
        <w:tab/>
      </w:r>
      <w:r w:rsidR="006474E6">
        <w:rPr>
          <w:u w:val="single"/>
        </w:rPr>
        <w:t>Other Issues</w:t>
      </w:r>
    </w:p>
    <w:p w:rsidR="006474E6" w:rsidRPr="00904D93" w:rsidRDefault="006474E6" w:rsidP="006474E6">
      <w:pPr>
        <w:pStyle w:val="BodyText2"/>
        <w:spacing w:line="360" w:lineRule="auto"/>
      </w:pPr>
    </w:p>
    <w:p w:rsidR="00A77698" w:rsidRPr="00152FDC" w:rsidRDefault="00A77698" w:rsidP="006474E6">
      <w:pPr>
        <w:pStyle w:val="Heading3"/>
        <w:numPr>
          <w:ilvl w:val="0"/>
          <w:numId w:val="9"/>
        </w:numPr>
        <w:spacing w:after="0" w:line="360" w:lineRule="auto"/>
        <w:ind w:left="2160" w:hanging="720"/>
        <w:rPr>
          <w:b w:val="0"/>
          <w:u w:val="single"/>
        </w:rPr>
      </w:pPr>
      <w:r w:rsidRPr="00152FDC">
        <w:rPr>
          <w:b w:val="0"/>
          <w:u w:val="single"/>
        </w:rPr>
        <w:t>Future Debt Issuances</w:t>
      </w:r>
    </w:p>
    <w:p w:rsidR="00904D93" w:rsidRDefault="00904D93" w:rsidP="006474E6">
      <w:pPr>
        <w:pStyle w:val="BodyText2"/>
        <w:spacing w:line="360" w:lineRule="auto"/>
        <w:ind w:firstLine="0"/>
      </w:pPr>
    </w:p>
    <w:p w:rsidR="00A77698" w:rsidRPr="007279D2" w:rsidRDefault="00A77698" w:rsidP="00796F60">
      <w:pPr>
        <w:pStyle w:val="BodyText2"/>
        <w:spacing w:line="360" w:lineRule="auto"/>
        <w:ind w:firstLine="1440"/>
        <w:jc w:val="left"/>
        <w:rPr>
          <w:b/>
          <w:i/>
          <w:u w:val="single"/>
        </w:rPr>
      </w:pPr>
      <w:r>
        <w:t>In this proceeding, I&amp;E recommended that the Company provide the parties with documentatio</w:t>
      </w:r>
      <w:r w:rsidR="006474E6">
        <w:t xml:space="preserve">n relative to debt issuances.  </w:t>
      </w:r>
      <w:r>
        <w:t>Columbia St. in Support, p. 22.  Under the Settlement, Columbia agrees that, for all future debt issuances during the twelve</w:t>
      </w:r>
      <w:r w:rsidR="002D5D2A">
        <w:t>-</w:t>
      </w:r>
      <w:r>
        <w:t xml:space="preserve">month periods ending June 30, 2013 and June 30, 2014, it will provide to the Commission’s Bureau of Technical Utility Services, I&amp;E, OCA and OSBA, within 60 days of issuance, all loan documentation filed with the Commission in compliance with the Commission’s Order in Docket No. S-2012-2282635, or in compliance with orders in subsequent filings submitted by Columbia pursuant to Chapter 19 of the Pennsylvania Public Utility Code.  In addition, Columbia will preserve and provide to I&amp;E, OCA and OSBA as a part of its next base rate case the following:  (1) all documentation supporting debt issued between this base rate case and the next base rate case; and (2) the Treasury yield as reported in the Federal Reserve Statistical Release, H.15 Selected Interest </w:t>
      </w:r>
      <w:r w:rsidRPr="007279D2">
        <w:lastRenderedPageBreak/>
        <w:t xml:space="preserve">Rates and the yield spread as reported by Reuters Corporate spreads as </w:t>
      </w:r>
      <w:r w:rsidR="00904D93" w:rsidRPr="007279D2">
        <w:t xml:space="preserve">of the dates of each issuance.  </w:t>
      </w:r>
      <w:r w:rsidR="006474E6" w:rsidRPr="007279D2">
        <w:t>Settlement</w:t>
      </w:r>
      <w:r w:rsidRPr="007279D2">
        <w:t xml:space="preserve"> ¶ 37</w:t>
      </w:r>
      <w:r w:rsidR="008F7731">
        <w:t xml:space="preserve">; </w:t>
      </w:r>
      <w:r w:rsidRPr="007279D2">
        <w:t xml:space="preserve">Columbia St. in Support, p. 22.  </w:t>
      </w:r>
    </w:p>
    <w:p w:rsidR="00A77698" w:rsidRPr="007279D2" w:rsidRDefault="00A77698" w:rsidP="00796F60">
      <w:pPr>
        <w:pStyle w:val="BodyText2"/>
        <w:spacing w:line="360" w:lineRule="auto"/>
      </w:pPr>
    </w:p>
    <w:p w:rsidR="00A77698" w:rsidRPr="007279D2" w:rsidRDefault="00A77698" w:rsidP="00796F60">
      <w:pPr>
        <w:pStyle w:val="Heading3"/>
        <w:numPr>
          <w:ilvl w:val="2"/>
          <w:numId w:val="9"/>
        </w:numPr>
        <w:spacing w:after="0" w:line="360" w:lineRule="auto"/>
        <w:ind w:left="2880" w:hanging="720"/>
        <w:rPr>
          <w:b w:val="0"/>
          <w:szCs w:val="24"/>
          <w:u w:val="single"/>
        </w:rPr>
      </w:pPr>
      <w:r w:rsidRPr="007279D2">
        <w:rPr>
          <w:b w:val="0"/>
          <w:szCs w:val="24"/>
          <w:u w:val="single"/>
        </w:rPr>
        <w:t>New Area Service Line Extensions</w:t>
      </w:r>
    </w:p>
    <w:p w:rsidR="00904D93" w:rsidRPr="007279D2" w:rsidRDefault="00904D93" w:rsidP="00796F60">
      <w:pPr>
        <w:pStyle w:val="BodyText2"/>
        <w:spacing w:line="360" w:lineRule="auto"/>
        <w:ind w:firstLine="0"/>
      </w:pPr>
    </w:p>
    <w:p w:rsidR="005309CA" w:rsidRPr="007279D2" w:rsidRDefault="00A77698" w:rsidP="00796F60">
      <w:pPr>
        <w:pStyle w:val="BodyText2"/>
        <w:spacing w:line="360" w:lineRule="auto"/>
        <w:ind w:firstLine="1440"/>
        <w:jc w:val="left"/>
      </w:pPr>
      <w:r w:rsidRPr="007279D2">
        <w:t>Acco</w:t>
      </w:r>
      <w:r w:rsidR="006474E6" w:rsidRPr="007279D2">
        <w:t xml:space="preserve">rding to Columbia, the Company </w:t>
      </w:r>
      <w:r w:rsidRPr="007279D2">
        <w:t>proposed to implement a pilot rider called “Pilot Rider NAS – New Area Service (“Pilot Rider NAS”).  Pilot Rider NAS was intended to provide an alternative approach for all applicants to pay the costs of facility extensions.  Columbia St. in Support, pp. 22-23.  Columbia asserts that Pilot Rider NAS, as proposed, would have allowed all or a portion of the up-front deposit associated with a line extension to be recovered through an additional monthly charge payable over a period of 20 years rather than a lump sum payment of the deposit.  Columbia St. in Support, p. 23.  C</w:t>
      </w:r>
      <w:r w:rsidR="005309CA" w:rsidRPr="007279D2">
        <w:t xml:space="preserve">olumbia explains the purpose of </w:t>
      </w:r>
      <w:r w:rsidRPr="007279D2">
        <w:t>Pilot Rider NAS was to make natural gas service mo</w:t>
      </w:r>
      <w:r w:rsidR="006474E6" w:rsidRPr="007279D2">
        <w:t xml:space="preserve">re accessible in Pennsylvania. </w:t>
      </w:r>
      <w:r w:rsidRPr="007279D2">
        <w:t xml:space="preserve"> Columbia St. in Support, p. 23.  </w:t>
      </w:r>
    </w:p>
    <w:p w:rsidR="005309CA" w:rsidRPr="007279D2" w:rsidRDefault="005309CA" w:rsidP="005309CA">
      <w:pPr>
        <w:pStyle w:val="BodyText2"/>
        <w:spacing w:line="360" w:lineRule="auto"/>
        <w:ind w:firstLine="1440"/>
        <w:jc w:val="left"/>
      </w:pPr>
    </w:p>
    <w:p w:rsidR="005309CA" w:rsidRPr="007279D2" w:rsidRDefault="00A77698" w:rsidP="005309CA">
      <w:pPr>
        <w:pStyle w:val="BodyText2"/>
        <w:spacing w:line="360" w:lineRule="auto"/>
        <w:ind w:firstLine="1440"/>
        <w:jc w:val="left"/>
      </w:pPr>
      <w:r w:rsidRPr="007279D2">
        <w:t xml:space="preserve">According to Columbia, a number of the parties found merit in the Company’s proposal, but questioned a number of specific aspects of the proposal.  To provide time to further explore how to provide options to make facility extensions more affordable, the Settlement provides that Columbia will withdraw its proposed Pilot </w:t>
      </w:r>
      <w:r w:rsidR="008F7731">
        <w:t xml:space="preserve">Rider NAS in this proceeding.  </w:t>
      </w:r>
      <w:r w:rsidR="006474E6" w:rsidRPr="007279D2">
        <w:t>Settlement</w:t>
      </w:r>
      <w:r w:rsidRPr="007279D2">
        <w:t xml:space="preserve"> ¶ 53</w:t>
      </w:r>
      <w:r w:rsidR="008F7731">
        <w:t>;</w:t>
      </w:r>
      <w:r w:rsidRPr="007279D2">
        <w:t xml:space="preserve"> Columbia St. in Support, p. 23.  Columbia asserts that the Joint Petitioners agree to enter into a collaborative with Columbia to attempt to develop a program to extend service to new areas.  If, after pursuing the collaborative, Columbia believes that an agreement cannot be achieved, Columbia retains the right to file a tariff supplement proposing changes to its tariff to expand the availability of natural gas service in its certificated service area, and all the Joint Petitioners reserve their rights to pursue their respec</w:t>
      </w:r>
      <w:r w:rsidR="006474E6" w:rsidRPr="007279D2">
        <w:t xml:space="preserve">tive positions in litigation.  </w:t>
      </w:r>
      <w:r w:rsidRPr="007279D2">
        <w:t xml:space="preserve">Columbia St. in Support, p. 23.  </w:t>
      </w:r>
    </w:p>
    <w:p w:rsidR="005309CA" w:rsidRPr="007279D2" w:rsidRDefault="005309CA" w:rsidP="005309CA">
      <w:pPr>
        <w:pStyle w:val="BodyText2"/>
        <w:spacing w:line="360" w:lineRule="auto"/>
        <w:ind w:firstLine="1440"/>
        <w:jc w:val="left"/>
      </w:pPr>
    </w:p>
    <w:p w:rsidR="00A77698" w:rsidRPr="007279D2" w:rsidRDefault="00A77698" w:rsidP="00796F60">
      <w:pPr>
        <w:pStyle w:val="BodyText2"/>
        <w:spacing w:line="360" w:lineRule="auto"/>
        <w:ind w:firstLine="1440"/>
        <w:jc w:val="left"/>
      </w:pPr>
      <w:r w:rsidRPr="007279D2">
        <w:t xml:space="preserve">In addition, for purposes of this proceeding only, the Joint Petitioners have agreed that the discounted cash flow model used by Columbia to determine a given applicant’s or project’s line extension deposit requirement will reflect the cost of equity as used for DSIC purposes, the capital structure and weighted cost of debt proposed in Columbia’s filing, and </w:t>
      </w:r>
      <w:r w:rsidRPr="007279D2">
        <w:lastRenderedPageBreak/>
        <w:t xml:space="preserve">incorporate a tax deductible provision for interest expense within the determination of expected </w:t>
      </w:r>
      <w:r w:rsidR="006474E6" w:rsidRPr="007279D2">
        <w:t xml:space="preserve">future discounted cash flows.  </w:t>
      </w:r>
      <w:r w:rsidR="008F7731">
        <w:t xml:space="preserve">Settlement </w:t>
      </w:r>
      <w:r w:rsidRPr="007279D2">
        <w:t>¶ 54</w:t>
      </w:r>
      <w:r w:rsidR="008F7731">
        <w:t>;</w:t>
      </w:r>
      <w:r w:rsidRPr="007279D2">
        <w:t xml:space="preserve"> Columbia St. in Support, p. 23.  Columbia explains this provision was included in response t</w:t>
      </w:r>
      <w:r w:rsidR="006474E6" w:rsidRPr="007279D2">
        <w:t xml:space="preserve">o concerns raised by OCA.  </w:t>
      </w:r>
      <w:r w:rsidRPr="007279D2">
        <w:t xml:space="preserve">Columbia St. in Support, p. 23.  </w:t>
      </w:r>
    </w:p>
    <w:p w:rsidR="00A77698" w:rsidRPr="007279D2" w:rsidRDefault="00A77698" w:rsidP="00796F60">
      <w:pPr>
        <w:pStyle w:val="BodyText2"/>
        <w:spacing w:line="360" w:lineRule="auto"/>
      </w:pPr>
    </w:p>
    <w:p w:rsidR="00A77698" w:rsidRPr="007279D2" w:rsidRDefault="00A77698" w:rsidP="00796F60">
      <w:pPr>
        <w:pStyle w:val="Heading3"/>
        <w:numPr>
          <w:ilvl w:val="2"/>
          <w:numId w:val="9"/>
        </w:numPr>
        <w:spacing w:after="0" w:line="360" w:lineRule="auto"/>
        <w:ind w:left="2880" w:hanging="720"/>
        <w:rPr>
          <w:b w:val="0"/>
          <w:szCs w:val="24"/>
          <w:u w:val="single"/>
        </w:rPr>
      </w:pPr>
      <w:r w:rsidRPr="007279D2">
        <w:rPr>
          <w:b w:val="0"/>
          <w:szCs w:val="24"/>
          <w:u w:val="single"/>
        </w:rPr>
        <w:t>CHOICE Issues</w:t>
      </w:r>
    </w:p>
    <w:p w:rsidR="005309CA" w:rsidRPr="007279D2" w:rsidRDefault="005309CA" w:rsidP="00796F60">
      <w:pPr>
        <w:pStyle w:val="BodyText2"/>
        <w:spacing w:line="360" w:lineRule="auto"/>
        <w:ind w:firstLine="0"/>
      </w:pPr>
    </w:p>
    <w:p w:rsidR="005309CA" w:rsidRPr="007279D2" w:rsidRDefault="00A77698" w:rsidP="00796F60">
      <w:pPr>
        <w:pStyle w:val="BodyText2"/>
        <w:spacing w:line="360" w:lineRule="auto"/>
        <w:ind w:firstLine="1440"/>
        <w:jc w:val="left"/>
      </w:pPr>
      <w:r w:rsidRPr="007279D2">
        <w:t>According to Columbia, the NGS Intervenors raised</w:t>
      </w:r>
      <w:r w:rsidR="00E72052">
        <w:t xml:space="preserve"> concerns relative to the black</w:t>
      </w:r>
      <w:r w:rsidRPr="007279D2">
        <w:t xml:space="preserve">out dates, known as the “freeze period” on Columbia’s system, for enrollment of customers into CHOICE service by alternative natural gas suppliers. </w:t>
      </w:r>
      <w:r w:rsidR="00E72052">
        <w:t xml:space="preserve"> Columbia St. in Support, p.  24.  </w:t>
      </w:r>
      <w:r w:rsidRPr="007279D2">
        <w:t>Under the Settlement, Columbia has agreed that by no later than April 1, 2015, the Company will eliminate its freeze period for CHOICE enrollments, and thereby will process enrollment and drop tran</w:t>
      </w:r>
      <w:r w:rsidR="00E72052">
        <w:t xml:space="preserve">sactions each processing day.  </w:t>
      </w:r>
      <w:r w:rsidR="006474E6" w:rsidRPr="007279D2">
        <w:t xml:space="preserve">Settlement </w:t>
      </w:r>
      <w:r w:rsidRPr="007279D2">
        <w:t>¶ 55</w:t>
      </w:r>
      <w:r w:rsidR="00E72052">
        <w:t>;</w:t>
      </w:r>
      <w:r w:rsidRPr="007279D2">
        <w:t xml:space="preserve"> Columbia St. in Support, p. 24.  As of the fifteenth day of each month, or the prior business day if the fifteenth falls on a non–business da</w:t>
      </w:r>
      <w:r w:rsidR="00D11244">
        <w:t>y, the Company will take a snap</w:t>
      </w:r>
      <w:r w:rsidRPr="007279D2">
        <w:t xml:space="preserve">shot of CHOICE enrollment to develop the Daily Delivery Requirements and determine capacity assignment levels for the upcoming calendar month.  No additional changes will be made to the operation of the CHOICE enrollment procedures. </w:t>
      </w:r>
      <w:r w:rsidR="006474E6" w:rsidRPr="007279D2">
        <w:t xml:space="preserve"> </w:t>
      </w:r>
      <w:r w:rsidRPr="007279D2">
        <w:t xml:space="preserve">Columbia St. in Support, p. 24.  </w:t>
      </w:r>
    </w:p>
    <w:p w:rsidR="005309CA" w:rsidRPr="007279D2" w:rsidRDefault="005309CA" w:rsidP="005309CA">
      <w:pPr>
        <w:pStyle w:val="BodyText2"/>
        <w:spacing w:line="360" w:lineRule="auto"/>
        <w:ind w:firstLine="1440"/>
        <w:jc w:val="left"/>
      </w:pPr>
    </w:p>
    <w:p w:rsidR="005309CA" w:rsidRPr="007279D2" w:rsidRDefault="00A77698" w:rsidP="005309CA">
      <w:pPr>
        <w:pStyle w:val="BodyText2"/>
        <w:spacing w:line="360" w:lineRule="auto"/>
        <w:ind w:firstLine="1440"/>
        <w:jc w:val="left"/>
      </w:pPr>
      <w:r w:rsidRPr="007279D2">
        <w:t>Further, as part of the proposed Settlement, Columbia has agreed to engage in a collaborative with the NGS Intervenors to discuss ways to potentially further improve the competitiveness of the retail market.  All natural gas suppliers participating in Columbia’s CHOICE program providing natural gas supply services in Columbia’s service territory and other interested parties will be invited to participate in the collaborative discussions.  The collaborative will meet no less than quarterly for a one</w:t>
      </w:r>
      <w:r w:rsidR="005309CA" w:rsidRPr="007279D2">
        <w:t>-</w:t>
      </w:r>
      <w:r w:rsidRPr="007279D2">
        <w:t>year period following the Commission’s approval of</w:t>
      </w:r>
      <w:r w:rsidR="006474E6" w:rsidRPr="007279D2">
        <w:t xml:space="preserve"> the </w:t>
      </w:r>
      <w:r w:rsidR="004B41B4">
        <w:t>S</w:t>
      </w:r>
      <w:r w:rsidR="006474E6" w:rsidRPr="007279D2">
        <w:t xml:space="preserve">ettlement in this case.  </w:t>
      </w:r>
      <w:r w:rsidR="00E72052">
        <w:t xml:space="preserve">Settlement </w:t>
      </w:r>
      <w:r w:rsidR="00C90AD4">
        <w:t>¶ </w:t>
      </w:r>
      <w:r w:rsidRPr="007279D2">
        <w:t>56</w:t>
      </w:r>
      <w:r w:rsidR="00E72052">
        <w:t>;</w:t>
      </w:r>
      <w:r w:rsidRPr="007279D2">
        <w:t xml:space="preserve"> Columbia St. in Support, p. 24.</w:t>
      </w:r>
    </w:p>
    <w:p w:rsidR="005309CA" w:rsidRPr="007279D2" w:rsidRDefault="005309CA" w:rsidP="005309CA">
      <w:pPr>
        <w:pStyle w:val="BodyText2"/>
        <w:spacing w:line="360" w:lineRule="auto"/>
        <w:ind w:firstLine="1440"/>
        <w:jc w:val="left"/>
      </w:pPr>
    </w:p>
    <w:p w:rsidR="00A77698" w:rsidRPr="007279D2" w:rsidRDefault="00A77698" w:rsidP="006474E6">
      <w:pPr>
        <w:pStyle w:val="BodyText2"/>
        <w:spacing w:line="360" w:lineRule="auto"/>
        <w:ind w:firstLine="1440"/>
        <w:jc w:val="left"/>
      </w:pPr>
      <w:r w:rsidRPr="007279D2">
        <w:t xml:space="preserve">Finally, Columbia argues the Settlement is the result of a detailed examination of Columbia’s proposals, multiple rounds of discovery, direct, rebuttal and surrebuttal testimony, and compromise by all active parties.  Columbia asserts it believes that fair and reasonable compromises have been achieved on the settled issues in this case, as is evident by the fact that </w:t>
      </w:r>
      <w:r w:rsidRPr="007279D2">
        <w:lastRenderedPageBreak/>
        <w:t xml:space="preserve">all parties, including Columbia, I&amp;E, OCA, OSBA, PSU, CII, the NGS Intervenors, CAAP and CAUSE-PA have reached an agreement on all issues in this proceeding.  Columbia further indicates that it fully supports this Settlement and requests that the Commission approve the Settlement in its entirety without modification.  Columbia St. in Support, pp. 24-25.  </w:t>
      </w:r>
    </w:p>
    <w:p w:rsidR="005309CA" w:rsidRPr="007279D2" w:rsidRDefault="005309CA" w:rsidP="006474E6">
      <w:pPr>
        <w:pStyle w:val="BodyText2"/>
        <w:spacing w:line="360" w:lineRule="auto"/>
        <w:ind w:firstLine="1440"/>
        <w:jc w:val="left"/>
      </w:pPr>
    </w:p>
    <w:p w:rsidR="00A77698" w:rsidRPr="007279D2" w:rsidRDefault="00A77698" w:rsidP="006474E6">
      <w:pPr>
        <w:pStyle w:val="BodyText2"/>
        <w:numPr>
          <w:ilvl w:val="0"/>
          <w:numId w:val="6"/>
        </w:numPr>
        <w:spacing w:line="360" w:lineRule="auto"/>
        <w:ind w:hanging="720"/>
        <w:rPr>
          <w:u w:val="single"/>
        </w:rPr>
      </w:pPr>
      <w:r w:rsidRPr="007279D2">
        <w:rPr>
          <w:u w:val="single"/>
        </w:rPr>
        <w:t>I&amp;E’s Position</w:t>
      </w:r>
    </w:p>
    <w:p w:rsidR="005309CA" w:rsidRPr="007279D2" w:rsidRDefault="005309CA" w:rsidP="006474E6">
      <w:pPr>
        <w:spacing w:line="360" w:lineRule="auto"/>
        <w:jc w:val="both"/>
      </w:pPr>
    </w:p>
    <w:p w:rsidR="005309CA" w:rsidRPr="007279D2" w:rsidRDefault="00A77698" w:rsidP="006474E6">
      <w:pPr>
        <w:spacing w:line="360" w:lineRule="auto"/>
        <w:ind w:firstLine="1440"/>
      </w:pPr>
      <w:r w:rsidRPr="007279D2">
        <w:t>The Bureau of Investigation and Enforcement (</w:t>
      </w:r>
      <w:r w:rsidR="00286364">
        <w:t>“</w:t>
      </w:r>
      <w:r w:rsidRPr="007279D2">
        <w:t>I&amp;E</w:t>
      </w:r>
      <w:r w:rsidR="00286364">
        <w:t>”</w:t>
      </w:r>
      <w:r w:rsidRPr="007279D2">
        <w:t>) argues that the Settlement is in the public interest and represents a fair, just, and reasonable balance of the interests of Columbia and its customers, and</w:t>
      </w:r>
      <w:r w:rsidR="005309CA" w:rsidRPr="007279D2">
        <w:t xml:space="preserve"> concludes,</w:t>
      </w:r>
      <w:r w:rsidRPr="007279D2">
        <w:t xml:space="preserve"> based upon its analysis of Columbia’s base rate filing, </w:t>
      </w:r>
      <w:r w:rsidR="005309CA" w:rsidRPr="007279D2">
        <w:t xml:space="preserve">that </w:t>
      </w:r>
      <w:r w:rsidRPr="007279D2">
        <w:t xml:space="preserve">acceptance of this proposed Settlement is in the public interest.  </w:t>
      </w:r>
      <w:r w:rsidR="00F96BA5">
        <w:t>I&amp;E</w:t>
      </w:r>
      <w:r w:rsidRPr="007279D2">
        <w:t xml:space="preserve"> St. in Support, pp. 1-2.</w:t>
      </w:r>
    </w:p>
    <w:p w:rsidR="005309CA" w:rsidRPr="007279D2" w:rsidRDefault="005309CA" w:rsidP="005309CA">
      <w:pPr>
        <w:spacing w:line="360" w:lineRule="auto"/>
        <w:ind w:firstLine="1440"/>
      </w:pPr>
    </w:p>
    <w:p w:rsidR="00A77698" w:rsidRPr="007279D2" w:rsidRDefault="00A77698" w:rsidP="006474E6">
      <w:pPr>
        <w:spacing w:line="360" w:lineRule="auto"/>
        <w:ind w:firstLine="1440"/>
        <w:rPr>
          <w:vertAlign w:val="subscript"/>
        </w:rPr>
      </w:pPr>
      <w:r w:rsidRPr="007279D2">
        <w:t>I&amp;E submits that the Settlement balances the interests of the Company and its customers in a fair and equitable manner and presents a resolution for the Commission’s adoption that best serves the pub</w:t>
      </w:r>
      <w:r w:rsidR="006474E6" w:rsidRPr="007279D2">
        <w:t>lic interest.</w:t>
      </w:r>
      <w:r w:rsidRPr="007279D2">
        <w:rPr>
          <w:b/>
          <w:caps/>
        </w:rPr>
        <w:t xml:space="preserve">  </w:t>
      </w:r>
      <w:r w:rsidR="00F96BA5">
        <w:t>I&amp;E</w:t>
      </w:r>
      <w:r w:rsidRPr="007279D2">
        <w:t xml:space="preserve"> St. in Support, p. 4. </w:t>
      </w:r>
      <w:r w:rsidR="005309CA" w:rsidRPr="007279D2">
        <w:t xml:space="preserve"> </w:t>
      </w:r>
      <w:r w:rsidR="00F96BA5">
        <w:t>I&amp;E</w:t>
      </w:r>
      <w:r w:rsidRPr="007279D2">
        <w:t xml:space="preserve"> asserts that the Joint Petitioners have carefully discussed and negotiated all issues raised in this proceeding, and specifically those addressed and resolved in the Settlement, as follows: </w:t>
      </w:r>
    </w:p>
    <w:p w:rsidR="00A77698" w:rsidRPr="007279D2" w:rsidRDefault="00A77698" w:rsidP="006474E6">
      <w:pPr>
        <w:spacing w:line="360" w:lineRule="auto"/>
        <w:jc w:val="both"/>
      </w:pPr>
      <w:r w:rsidRPr="007279D2">
        <w:rPr>
          <w:b/>
        </w:rPr>
        <w:tab/>
      </w:r>
      <w:r w:rsidRPr="007279D2">
        <w:rPr>
          <w:b/>
        </w:rPr>
        <w:tab/>
      </w:r>
    </w:p>
    <w:p w:rsidR="00A77698" w:rsidRPr="007279D2" w:rsidRDefault="00A77698" w:rsidP="006474E6">
      <w:pPr>
        <w:pStyle w:val="ListParagraph"/>
        <w:numPr>
          <w:ilvl w:val="0"/>
          <w:numId w:val="19"/>
        </w:numPr>
        <w:tabs>
          <w:tab w:val="left" w:pos="720"/>
          <w:tab w:val="left" w:pos="1440"/>
          <w:tab w:val="num" w:pos="2160"/>
          <w:tab w:val="num" w:pos="2520"/>
        </w:tabs>
        <w:spacing w:line="360" w:lineRule="auto"/>
        <w:jc w:val="both"/>
        <w:rPr>
          <w:sz w:val="24"/>
          <w:szCs w:val="24"/>
          <w:u w:val="single"/>
        </w:rPr>
      </w:pPr>
      <w:r w:rsidRPr="007279D2">
        <w:rPr>
          <w:sz w:val="24"/>
          <w:szCs w:val="24"/>
          <w:u w:val="single"/>
        </w:rPr>
        <w:t>Revenue Requirement</w:t>
      </w:r>
      <w:r w:rsidRPr="007279D2">
        <w:rPr>
          <w:i/>
          <w:sz w:val="24"/>
          <w:szCs w:val="24"/>
          <w:u w:val="single"/>
        </w:rPr>
        <w:t xml:space="preserve"> </w:t>
      </w:r>
      <w:r w:rsidRPr="007279D2">
        <w:rPr>
          <w:sz w:val="24"/>
          <w:szCs w:val="24"/>
          <w:u w:val="single"/>
        </w:rPr>
        <w:t>(Joint Petition ¶¶ 27-38)</w:t>
      </w:r>
    </w:p>
    <w:p w:rsidR="006474E6" w:rsidRPr="007279D2" w:rsidRDefault="006474E6" w:rsidP="006474E6">
      <w:pPr>
        <w:pStyle w:val="ListParagraph"/>
        <w:tabs>
          <w:tab w:val="left" w:pos="720"/>
          <w:tab w:val="left" w:pos="1440"/>
          <w:tab w:val="num" w:pos="2160"/>
          <w:tab w:val="num" w:pos="2520"/>
        </w:tabs>
        <w:spacing w:line="360" w:lineRule="auto"/>
        <w:ind w:left="1440"/>
        <w:jc w:val="both"/>
        <w:rPr>
          <w:sz w:val="24"/>
          <w:szCs w:val="24"/>
          <w:u w:val="single"/>
        </w:rPr>
      </w:pPr>
    </w:p>
    <w:p w:rsidR="00A77698" w:rsidRPr="007279D2" w:rsidRDefault="00A77698" w:rsidP="006474E6">
      <w:pPr>
        <w:tabs>
          <w:tab w:val="num" w:pos="720"/>
          <w:tab w:val="left" w:pos="1440"/>
          <w:tab w:val="left" w:pos="2160"/>
        </w:tabs>
        <w:spacing w:line="360" w:lineRule="auto"/>
        <w:contextualSpacing/>
        <w:jc w:val="both"/>
        <w:rPr>
          <w:u w:val="single"/>
        </w:rPr>
      </w:pPr>
      <w:r w:rsidRPr="007279D2">
        <w:tab/>
      </w:r>
      <w:r w:rsidRPr="007279D2">
        <w:tab/>
        <w:t>a.</w:t>
      </w:r>
      <w:r w:rsidRPr="007279D2">
        <w:tab/>
      </w:r>
      <w:r w:rsidRPr="007279D2">
        <w:rPr>
          <w:u w:val="single"/>
        </w:rPr>
        <w:t>Overall Revenues and Expenses</w:t>
      </w:r>
    </w:p>
    <w:p w:rsidR="000929D9" w:rsidRPr="007279D2" w:rsidRDefault="000929D9" w:rsidP="006474E6">
      <w:pPr>
        <w:tabs>
          <w:tab w:val="num" w:pos="720"/>
          <w:tab w:val="left" w:pos="1440"/>
          <w:tab w:val="num" w:pos="2520"/>
        </w:tabs>
        <w:spacing w:line="360" w:lineRule="auto"/>
        <w:contextualSpacing/>
        <w:jc w:val="both"/>
      </w:pPr>
    </w:p>
    <w:p w:rsidR="0062032B" w:rsidRDefault="00A77698" w:rsidP="006474E6">
      <w:pPr>
        <w:tabs>
          <w:tab w:val="num" w:pos="720"/>
          <w:tab w:val="left" w:pos="1440"/>
          <w:tab w:val="num" w:pos="2520"/>
        </w:tabs>
        <w:spacing w:line="360" w:lineRule="auto"/>
        <w:ind w:firstLine="1440"/>
        <w:contextualSpacing/>
      </w:pPr>
      <w:r w:rsidRPr="007279D2">
        <w:t xml:space="preserve">I&amp;E points out that Columbia requested a revenue increase of $77,311,077 based upon a pro forma level of throughput of </w:t>
      </w:r>
      <w:r w:rsidRPr="007279D2">
        <w:rPr>
          <w:bCs/>
        </w:rPr>
        <w:t>77,091,622</w:t>
      </w:r>
      <w:r w:rsidR="00F07EF9">
        <w:rPr>
          <w:bCs/>
        </w:rPr>
        <w:t>.6</w:t>
      </w:r>
      <w:r w:rsidRPr="007279D2">
        <w:rPr>
          <w:bCs/>
        </w:rPr>
        <w:t xml:space="preserve"> Dth</w:t>
      </w:r>
      <w:r w:rsidR="00E72052">
        <w:t xml:space="preserve">.  </w:t>
      </w:r>
      <w:r w:rsidRPr="007279D2">
        <w:t>Columbia Exhibit No. 103, Sch. 1, p.</w:t>
      </w:r>
      <w:r w:rsidR="00E72052">
        <w:t> </w:t>
      </w:r>
      <w:r w:rsidRPr="007279D2">
        <w:t>30</w:t>
      </w:r>
      <w:r w:rsidR="00E72052">
        <w:t>.</w:t>
      </w:r>
      <w:r w:rsidR="006474E6" w:rsidRPr="007279D2">
        <w:t xml:space="preserve">  </w:t>
      </w:r>
      <w:r w:rsidRPr="007279D2">
        <w:t xml:space="preserve">I&amp;E indicates that it analyzed the ratemaking claims contained in the Company’s filing including, but not limited to, operating and maintenance expenses, rate base, and the cost of </w:t>
      </w:r>
    </w:p>
    <w:p w:rsidR="0062032B" w:rsidRDefault="0062032B">
      <w:r>
        <w:br w:type="page"/>
      </w:r>
    </w:p>
    <w:p w:rsidR="000929D9" w:rsidRPr="007279D2" w:rsidRDefault="00A77698" w:rsidP="0062032B">
      <w:pPr>
        <w:tabs>
          <w:tab w:val="num" w:pos="720"/>
          <w:tab w:val="left" w:pos="1440"/>
          <w:tab w:val="num" w:pos="2520"/>
        </w:tabs>
        <w:spacing w:line="360" w:lineRule="auto"/>
        <w:contextualSpacing/>
        <w:rPr>
          <w:bCs/>
        </w:rPr>
      </w:pPr>
      <w:r w:rsidRPr="007279D2">
        <w:lastRenderedPageBreak/>
        <w:t>common equity.  In its direct case, I&amp;E recommended a revenue increase of $36,874,000</w:t>
      </w:r>
      <w:r w:rsidRPr="007279D2">
        <w:rPr>
          <w:rStyle w:val="FootnoteReference"/>
        </w:rPr>
        <w:footnoteReference w:id="23"/>
      </w:r>
      <w:r w:rsidRPr="007279D2">
        <w:t xml:space="preserve"> based upon throughput of </w:t>
      </w:r>
      <w:r w:rsidRPr="007279D2">
        <w:rPr>
          <w:bCs/>
        </w:rPr>
        <w:t xml:space="preserve">78,317,982.8 Dth. </w:t>
      </w:r>
      <w:r w:rsidR="00286364">
        <w:rPr>
          <w:bCs/>
        </w:rPr>
        <w:t xml:space="preserve"> </w:t>
      </w:r>
      <w:r w:rsidR="00F96BA5">
        <w:rPr>
          <w:bCs/>
        </w:rPr>
        <w:t>I&amp;E</w:t>
      </w:r>
      <w:r w:rsidRPr="007279D2">
        <w:rPr>
          <w:bCs/>
        </w:rPr>
        <w:t xml:space="preserve"> Exhibit No. 3, Sch. 4</w:t>
      </w:r>
      <w:r w:rsidR="00286364">
        <w:rPr>
          <w:bCs/>
        </w:rPr>
        <w:t xml:space="preserve">; </w:t>
      </w:r>
      <w:r w:rsidR="00F96BA5">
        <w:rPr>
          <w:bCs/>
        </w:rPr>
        <w:t>I&amp;E</w:t>
      </w:r>
      <w:r w:rsidRPr="007279D2">
        <w:rPr>
          <w:bCs/>
        </w:rPr>
        <w:t xml:space="preserve"> St. in Support, p.</w:t>
      </w:r>
      <w:r w:rsidR="00121424">
        <w:rPr>
          <w:bCs/>
        </w:rPr>
        <w:t xml:space="preserve"> </w:t>
      </w:r>
      <w:r w:rsidRPr="007279D2">
        <w:rPr>
          <w:bCs/>
        </w:rPr>
        <w:t>5.</w:t>
      </w:r>
    </w:p>
    <w:p w:rsidR="000929D9" w:rsidRPr="007279D2" w:rsidRDefault="000929D9" w:rsidP="000929D9">
      <w:pPr>
        <w:tabs>
          <w:tab w:val="num" w:pos="720"/>
          <w:tab w:val="left" w:pos="1440"/>
          <w:tab w:val="num" w:pos="2520"/>
        </w:tabs>
        <w:spacing w:line="360" w:lineRule="auto"/>
        <w:ind w:firstLine="1440"/>
        <w:contextualSpacing/>
        <w:rPr>
          <w:bCs/>
        </w:rPr>
      </w:pPr>
    </w:p>
    <w:p w:rsidR="000929D9" w:rsidRPr="007279D2" w:rsidRDefault="00A77698" w:rsidP="000929D9">
      <w:pPr>
        <w:tabs>
          <w:tab w:val="num" w:pos="720"/>
          <w:tab w:val="left" w:pos="1440"/>
          <w:tab w:val="num" w:pos="2520"/>
        </w:tabs>
        <w:spacing w:line="360" w:lineRule="auto"/>
        <w:ind w:firstLine="1440"/>
        <w:contextualSpacing/>
      </w:pPr>
      <w:r w:rsidRPr="007279D2">
        <w:t>In the Settlement, the Joint Petitioners agreed to an increase in base rates to allow the Company the opportunity to recover an increase in annual intrastate operating revenues of $55,250,000 in lieu of the $77,311,077 originally request</w:t>
      </w:r>
      <w:r w:rsidR="006474E6" w:rsidRPr="007279D2">
        <w:t xml:space="preserve">ed.  In addition, </w:t>
      </w:r>
      <w:r w:rsidR="00F96BA5">
        <w:t>I&amp;E</w:t>
      </w:r>
      <w:r w:rsidR="006474E6" w:rsidRPr="007279D2">
        <w:t xml:space="preserve"> asserts</w:t>
      </w:r>
      <w:r w:rsidRPr="007279D2">
        <w:t xml:space="preserve"> the rates are designed based upon a pro forma throughput level of 77,471,726.6 Dth for the 12 months ended June 30, 2014, in lieu of the 77,091,622.6 Dth originally proposed by the Company.</w:t>
      </w:r>
      <w:r w:rsidR="006474E6" w:rsidRPr="007279D2">
        <w:t xml:space="preserve"> </w:t>
      </w:r>
      <w:r w:rsidRPr="007279D2">
        <w:t xml:space="preserve"> </w:t>
      </w:r>
      <w:r w:rsidR="00F96BA5">
        <w:t>I&amp;E</w:t>
      </w:r>
      <w:r w:rsidRPr="007279D2">
        <w:t xml:space="preserve"> St. in Support, p. 5.</w:t>
      </w:r>
    </w:p>
    <w:p w:rsidR="000929D9" w:rsidRPr="007279D2" w:rsidRDefault="000929D9" w:rsidP="000929D9">
      <w:pPr>
        <w:tabs>
          <w:tab w:val="num" w:pos="720"/>
          <w:tab w:val="left" w:pos="1440"/>
          <w:tab w:val="num" w:pos="2520"/>
        </w:tabs>
        <w:spacing w:line="360" w:lineRule="auto"/>
        <w:ind w:firstLine="1440"/>
        <w:contextualSpacing/>
      </w:pPr>
    </w:p>
    <w:p w:rsidR="000929D9" w:rsidRPr="007279D2" w:rsidRDefault="00A77698" w:rsidP="000929D9">
      <w:pPr>
        <w:tabs>
          <w:tab w:val="num" w:pos="720"/>
          <w:tab w:val="left" w:pos="1440"/>
          <w:tab w:val="num" w:pos="2520"/>
        </w:tabs>
        <w:spacing w:line="360" w:lineRule="auto"/>
        <w:ind w:firstLine="1440"/>
        <w:contextualSpacing/>
      </w:pPr>
      <w:r w:rsidRPr="007279D2">
        <w:t xml:space="preserve">I&amp;E contends that it fully supports the levels of revenue and throughput compromised upon in the Settlement, which reflects a decrease of $22 million in revenues and an increase of 380,104 Dth in throughput over which the rates will be developed compared to the Company’s original proposals. </w:t>
      </w:r>
      <w:r w:rsidR="006474E6" w:rsidRPr="007279D2">
        <w:t xml:space="preserve"> </w:t>
      </w:r>
      <w:r w:rsidRPr="007279D2">
        <w:t>While the overall revenue requirement achieved in the Settlement is a “black box</w:t>
      </w:r>
      <w:r w:rsidR="00053EFA">
        <w:t>”</w:t>
      </w:r>
      <w:r w:rsidRPr="007279D2">
        <w:t xml:space="preserve"> compromise, </w:t>
      </w:r>
      <w:r w:rsidR="00F96BA5">
        <w:t>I&amp;E</w:t>
      </w:r>
      <w:r w:rsidRPr="007279D2">
        <w:t xml:space="preserve"> argues the overall revenue and throughput levels are well within the levels advanced on the evidentiary record and reflect a full compromise of all revenue-related issues raised by the parties.  </w:t>
      </w:r>
      <w:r w:rsidR="00F96BA5">
        <w:t>I&amp;E</w:t>
      </w:r>
      <w:r w:rsidRPr="007279D2">
        <w:t xml:space="preserve"> explains that, as a </w:t>
      </w:r>
      <w:r w:rsidR="00053EFA">
        <w:t>“</w:t>
      </w:r>
      <w:r w:rsidRPr="007279D2">
        <w:t>black box</w:t>
      </w:r>
      <w:r w:rsidR="00053EFA">
        <w:t>”</w:t>
      </w:r>
      <w:r w:rsidRPr="007279D2">
        <w:t xml:space="preserve"> settlement, unless specifically addressed, the Settlement does not reflect agreement upon individual issues.</w:t>
      </w:r>
      <w:r w:rsidR="006474E6" w:rsidRPr="007279D2">
        <w:t xml:space="preserve"> </w:t>
      </w:r>
      <w:r w:rsidRPr="007279D2">
        <w:t xml:space="preserve"> However, in order to assure continuity in pre-existing ratemaking adjustments and to confirm other previously established ratemaking adjustments, the Settlement is also very specific as to a number of normalizations, amortizations, deferrals, and specific allowances.  </w:t>
      </w:r>
      <w:r w:rsidR="00F96BA5">
        <w:t>I&amp;E</w:t>
      </w:r>
      <w:r w:rsidRPr="007279D2">
        <w:t xml:space="preserve"> St. in Support, pp. 5-6.</w:t>
      </w:r>
    </w:p>
    <w:p w:rsidR="000929D9" w:rsidRPr="007279D2" w:rsidRDefault="000929D9" w:rsidP="000929D9">
      <w:pPr>
        <w:tabs>
          <w:tab w:val="num" w:pos="720"/>
          <w:tab w:val="left" w:pos="1440"/>
          <w:tab w:val="num" w:pos="2520"/>
        </w:tabs>
        <w:spacing w:line="360" w:lineRule="auto"/>
        <w:ind w:firstLine="1440"/>
        <w:contextualSpacing/>
      </w:pPr>
    </w:p>
    <w:p w:rsidR="000929D9" w:rsidRPr="007279D2" w:rsidRDefault="00F96BA5" w:rsidP="000929D9">
      <w:pPr>
        <w:tabs>
          <w:tab w:val="num" w:pos="720"/>
          <w:tab w:val="left" w:pos="1440"/>
          <w:tab w:val="num" w:pos="2520"/>
        </w:tabs>
        <w:spacing w:line="360" w:lineRule="auto"/>
        <w:ind w:firstLine="1440"/>
        <w:contextualSpacing/>
      </w:pPr>
      <w:r>
        <w:t>I&amp;E</w:t>
      </w:r>
      <w:r w:rsidR="00A77698" w:rsidRPr="007279D2">
        <w:t xml:space="preserve"> cites an example, at paragraph 34 of the Settlement, which acknowledges an allowance of $9.25 million specifically to address the Company’s gas safety. </w:t>
      </w:r>
      <w:r w:rsidR="006474E6" w:rsidRPr="007279D2">
        <w:t xml:space="preserve"> </w:t>
      </w:r>
      <w:r w:rsidR="00A77698" w:rsidRPr="007279D2">
        <w:t>As matters of gas safety, including infrastructure improvement and Distribution Integrity Management Program Plan priori</w:t>
      </w:r>
      <w:r w:rsidR="00121424">
        <w:t xml:space="preserve">ties, are of critical concern, </w:t>
      </w:r>
      <w:r w:rsidR="00A77698" w:rsidRPr="007279D2">
        <w:t xml:space="preserve">I&amp;E argues that the Settlement provision achieves </w:t>
      </w:r>
      <w:r w:rsidR="00A77698" w:rsidRPr="007279D2">
        <w:lastRenderedPageBreak/>
        <w:t xml:space="preserve">satisfaction of an important Commission goal in a manner agreed upon by all Joint Petitioners.  </w:t>
      </w:r>
      <w:r>
        <w:t>I&amp;E</w:t>
      </w:r>
      <w:r w:rsidR="00A77698" w:rsidRPr="007279D2">
        <w:t xml:space="preserve"> St. in Support, p. 6.</w:t>
      </w:r>
    </w:p>
    <w:p w:rsidR="000929D9" w:rsidRPr="007279D2" w:rsidRDefault="000929D9" w:rsidP="000929D9">
      <w:pPr>
        <w:tabs>
          <w:tab w:val="num" w:pos="720"/>
          <w:tab w:val="left" w:pos="1440"/>
          <w:tab w:val="num" w:pos="2520"/>
        </w:tabs>
        <w:spacing w:line="360" w:lineRule="auto"/>
        <w:ind w:firstLine="1440"/>
        <w:contextualSpacing/>
      </w:pPr>
    </w:p>
    <w:p w:rsidR="000929D9" w:rsidRPr="007279D2" w:rsidRDefault="00F96BA5" w:rsidP="000929D9">
      <w:pPr>
        <w:tabs>
          <w:tab w:val="num" w:pos="720"/>
          <w:tab w:val="left" w:pos="1440"/>
          <w:tab w:val="num" w:pos="2520"/>
        </w:tabs>
        <w:spacing w:line="360" w:lineRule="auto"/>
        <w:ind w:firstLine="1440"/>
        <w:contextualSpacing/>
      </w:pPr>
      <w:r>
        <w:t>I&amp;E</w:t>
      </w:r>
      <w:r w:rsidR="00A77698" w:rsidRPr="007279D2">
        <w:t xml:space="preserve"> asserts  the Settlement, at Paragraph 31, also addresses the Company’s new software system being installed by Columbia’s parent, NiSource, labeled the NiFIT project. According to </w:t>
      </w:r>
      <w:r>
        <w:t>I&amp;E</w:t>
      </w:r>
      <w:r w:rsidR="00A77698" w:rsidRPr="007279D2">
        <w:t xml:space="preserve">, the Settlement reflects a NiFIT expense of $1,738,714, which will be amortized over a four-year period. </w:t>
      </w:r>
      <w:r w:rsidR="006474E6" w:rsidRPr="007279D2">
        <w:t xml:space="preserve"> </w:t>
      </w:r>
      <w:r w:rsidR="00A77698" w:rsidRPr="007279D2">
        <w:t>The Company claimed approximately $2,020,000 for this expense and proposed to amortize it over two years, res</w:t>
      </w:r>
      <w:r w:rsidR="00121424">
        <w:t xml:space="preserve">ulting in a $1,010,000 claim.  </w:t>
      </w:r>
      <w:r w:rsidR="00A77698" w:rsidRPr="007279D2">
        <w:t>Columbia Statement No. 4, p. 35</w:t>
      </w:r>
      <w:r w:rsidR="00121424">
        <w:t>;</w:t>
      </w:r>
      <w:r w:rsidR="00A77698" w:rsidRPr="007279D2">
        <w:t xml:space="preserve"> Columbi</w:t>
      </w:r>
      <w:r w:rsidR="00121424">
        <w:t>a Exhibit No. 104, Sch. 1, p. 2.</w:t>
      </w:r>
      <w:r w:rsidR="00A77698" w:rsidRPr="007279D2">
        <w:t xml:space="preserve">  I&amp;E recommended that duplicate labor costs of $281,286 be removed from the NiFIT expense, resulti</w:t>
      </w:r>
      <w:r w:rsidR="00121424">
        <w:t xml:space="preserve">ng in a $1,738,714 allowance.  </w:t>
      </w:r>
      <w:r>
        <w:t>I&amp;E</w:t>
      </w:r>
      <w:r w:rsidR="00121424">
        <w:t xml:space="preserve"> Statement No. 2, pp. 8-9</w:t>
      </w:r>
      <w:r w:rsidR="006474E6" w:rsidRPr="007279D2">
        <w:t xml:space="preserve">.  </w:t>
      </w:r>
      <w:r>
        <w:t>I&amp;E</w:t>
      </w:r>
      <w:r w:rsidR="00A77698" w:rsidRPr="007279D2">
        <w:t xml:space="preserve"> argues that as the NiFIT system installation is expected to occur over a fixed amount of time and is temporary in nature, it is not likely that the employees assigned to install the new computer system will move into new permanent positions.</w:t>
      </w:r>
      <w:r w:rsidR="006474E6" w:rsidRPr="007279D2">
        <w:t xml:space="preserve"> </w:t>
      </w:r>
      <w:r w:rsidR="00A77698" w:rsidRPr="007279D2">
        <w:t xml:space="preserve"> </w:t>
      </w:r>
      <w:r>
        <w:t>I&amp;E</w:t>
      </w:r>
      <w:r w:rsidR="00A77698" w:rsidRPr="007279D2">
        <w:t xml:space="preserve"> St. in Support, pp. 6-7.</w:t>
      </w:r>
    </w:p>
    <w:p w:rsidR="000929D9" w:rsidRPr="007279D2" w:rsidRDefault="000929D9" w:rsidP="000929D9">
      <w:pPr>
        <w:tabs>
          <w:tab w:val="num" w:pos="720"/>
          <w:tab w:val="left" w:pos="1440"/>
          <w:tab w:val="num" w:pos="2520"/>
        </w:tabs>
        <w:spacing w:line="360" w:lineRule="auto"/>
        <w:ind w:firstLine="1440"/>
        <w:contextualSpacing/>
      </w:pPr>
    </w:p>
    <w:p w:rsidR="000929D9" w:rsidRPr="007279D2" w:rsidRDefault="00F96BA5" w:rsidP="0062032B">
      <w:pPr>
        <w:tabs>
          <w:tab w:val="num" w:pos="720"/>
          <w:tab w:val="left" w:pos="1440"/>
          <w:tab w:val="num" w:pos="2520"/>
        </w:tabs>
        <w:spacing w:line="360" w:lineRule="auto"/>
        <w:ind w:firstLine="1440"/>
        <w:contextualSpacing/>
      </w:pPr>
      <w:r>
        <w:t>I&amp;E</w:t>
      </w:r>
      <w:r w:rsidR="00A77698" w:rsidRPr="007279D2">
        <w:t xml:space="preserve"> asserts that in order to eliminate a duplication of payroll-related costs, it recommended that $281,286 of internal labor costs be removed from the NiFIT expense claim.  Additionally, I&amp;E asserted that the Company’s proposed two-year amortization was too short and recommended a five-year recovery period, which better matched the expenses associated with the capital asset that h</w:t>
      </w:r>
      <w:r w:rsidR="00121424">
        <w:t xml:space="preserve">as a value of $4.037 million.  </w:t>
      </w:r>
      <w:r>
        <w:t>I&amp;E</w:t>
      </w:r>
      <w:r w:rsidR="00121424">
        <w:t xml:space="preserve"> Statement No. 2, p. 8.</w:t>
      </w:r>
      <w:r w:rsidR="006474E6" w:rsidRPr="007279D2">
        <w:t xml:space="preserve">  Accordingly, </w:t>
      </w:r>
      <w:r>
        <w:t>I&amp;E</w:t>
      </w:r>
      <w:r w:rsidR="00A77698" w:rsidRPr="007279D2">
        <w:t xml:space="preserve"> argues this settlement term is in the public interest because it incorporates I&amp;E’s proposed labor reduction discussed above and reflects a longer amortization period than originally proposed by the Company.  </w:t>
      </w:r>
      <w:r>
        <w:t>I&amp;E</w:t>
      </w:r>
      <w:r w:rsidR="00A77698" w:rsidRPr="007279D2">
        <w:t xml:space="preserve"> St. in Support, p. 7.</w:t>
      </w:r>
    </w:p>
    <w:p w:rsidR="00B610FF" w:rsidRPr="007279D2" w:rsidRDefault="00B610FF" w:rsidP="0062032B">
      <w:pPr>
        <w:tabs>
          <w:tab w:val="num" w:pos="720"/>
          <w:tab w:val="left" w:pos="1440"/>
          <w:tab w:val="num" w:pos="2520"/>
        </w:tabs>
        <w:spacing w:line="360" w:lineRule="auto"/>
        <w:ind w:firstLine="1440"/>
        <w:contextualSpacing/>
      </w:pPr>
    </w:p>
    <w:p w:rsidR="00A77698" w:rsidRPr="007279D2" w:rsidRDefault="00A77698" w:rsidP="0062032B">
      <w:pPr>
        <w:keepNext/>
        <w:tabs>
          <w:tab w:val="num" w:pos="720"/>
          <w:tab w:val="left" w:pos="1440"/>
          <w:tab w:val="left" w:pos="2160"/>
        </w:tabs>
        <w:spacing w:line="360" w:lineRule="auto"/>
        <w:ind w:left="2160" w:hanging="2160"/>
        <w:contextualSpacing/>
        <w:jc w:val="both"/>
      </w:pPr>
      <w:r w:rsidRPr="007279D2">
        <w:tab/>
      </w:r>
      <w:r w:rsidRPr="007279D2">
        <w:tab/>
        <w:t>b</w:t>
      </w:r>
      <w:r w:rsidRPr="007279D2">
        <w:rPr>
          <w:b/>
        </w:rPr>
        <w:t>.</w:t>
      </w:r>
      <w:r w:rsidRPr="007279D2">
        <w:rPr>
          <w:b/>
        </w:rPr>
        <w:tab/>
      </w:r>
      <w:r w:rsidRPr="007279D2">
        <w:rPr>
          <w:u w:val="single"/>
        </w:rPr>
        <w:t>Settlement Terms Related to Use of the Fully</w:t>
      </w:r>
      <w:r w:rsidR="00D87CA7">
        <w:rPr>
          <w:u w:val="single"/>
        </w:rPr>
        <w:t>-</w:t>
      </w:r>
      <w:r w:rsidRPr="007279D2">
        <w:rPr>
          <w:u w:val="single"/>
        </w:rPr>
        <w:t>Projected Future Test Year</w:t>
      </w:r>
    </w:p>
    <w:p w:rsidR="00B610FF" w:rsidRPr="007279D2" w:rsidRDefault="00B610FF" w:rsidP="0062032B">
      <w:pPr>
        <w:keepNext/>
        <w:tabs>
          <w:tab w:val="left" w:pos="720"/>
          <w:tab w:val="left" w:pos="1440"/>
          <w:tab w:val="num" w:pos="2160"/>
        </w:tabs>
        <w:spacing w:line="360" w:lineRule="auto"/>
        <w:ind w:firstLine="1440"/>
      </w:pPr>
    </w:p>
    <w:p w:rsidR="00A77698" w:rsidRDefault="00F96BA5" w:rsidP="0062032B">
      <w:pPr>
        <w:keepNext/>
        <w:tabs>
          <w:tab w:val="left" w:pos="720"/>
          <w:tab w:val="left" w:pos="1440"/>
          <w:tab w:val="num" w:pos="2160"/>
        </w:tabs>
        <w:spacing w:line="360" w:lineRule="auto"/>
        <w:ind w:firstLine="1440"/>
      </w:pPr>
      <w:r>
        <w:t>I&amp;E</w:t>
      </w:r>
      <w:r w:rsidR="00A77698" w:rsidRPr="007279D2">
        <w:t xml:space="preserve"> points out that, in its 2012 Base Rate filing, Columbia was the first utility to employ the concept of a </w:t>
      </w:r>
      <w:r w:rsidR="000E00D4">
        <w:t>f</w:t>
      </w:r>
      <w:r w:rsidR="00A77698" w:rsidRPr="007279D2">
        <w:t>ully</w:t>
      </w:r>
      <w:r w:rsidR="00D87CA7">
        <w:t>-</w:t>
      </w:r>
      <w:r w:rsidR="000E00D4">
        <w:t>p</w:t>
      </w:r>
      <w:r w:rsidR="00A77698" w:rsidRPr="007279D2">
        <w:t xml:space="preserve">rojected </w:t>
      </w:r>
      <w:r w:rsidR="000E00D4">
        <w:t>f</w:t>
      </w:r>
      <w:r w:rsidR="00A77698" w:rsidRPr="007279D2">
        <w:t xml:space="preserve">uture </w:t>
      </w:r>
      <w:r w:rsidR="000E00D4">
        <w:t>t</w:t>
      </w:r>
      <w:r w:rsidR="00A77698" w:rsidRPr="007279D2">
        <w:t xml:space="preserve">est </w:t>
      </w:r>
      <w:r w:rsidR="000E00D4">
        <w:t>y</w:t>
      </w:r>
      <w:r w:rsidR="00A77698" w:rsidRPr="007279D2">
        <w:t>ear (</w:t>
      </w:r>
      <w:r w:rsidR="00286364">
        <w:t>“</w:t>
      </w:r>
      <w:r w:rsidR="00A77698" w:rsidRPr="007279D2">
        <w:t>FPFTY</w:t>
      </w:r>
      <w:r w:rsidR="00286364">
        <w:t>”</w:t>
      </w:r>
      <w:r w:rsidR="00A77698" w:rsidRPr="007279D2">
        <w:t>) under Act 11 of 2012.</w:t>
      </w:r>
      <w:r w:rsidR="00A77698" w:rsidRPr="007279D2">
        <w:rPr>
          <w:vertAlign w:val="superscript"/>
        </w:rPr>
        <w:footnoteReference w:id="24"/>
      </w:r>
      <w:r w:rsidR="00A77698" w:rsidRPr="007279D2">
        <w:t xml:space="preserve"> </w:t>
      </w:r>
      <w:r w:rsidR="006474E6" w:rsidRPr="007279D2">
        <w:t xml:space="preserve"> </w:t>
      </w:r>
      <w:r w:rsidR="00A77698" w:rsidRPr="007279D2">
        <w:t xml:space="preserve">The FPFTY marked a dramatic change from the standard ratemaking process. </w:t>
      </w:r>
      <w:r w:rsidR="006474E6" w:rsidRPr="007279D2">
        <w:t xml:space="preserve"> </w:t>
      </w:r>
      <w:r w:rsidR="00A77698" w:rsidRPr="007279D2">
        <w:t xml:space="preserve">Although previously allowing for use of a </w:t>
      </w:r>
      <w:r w:rsidR="000E00D4">
        <w:t>f</w:t>
      </w:r>
      <w:r w:rsidR="00A77698" w:rsidRPr="007279D2">
        <w:t xml:space="preserve">uture </w:t>
      </w:r>
      <w:r w:rsidR="000E00D4">
        <w:t>t</w:t>
      </w:r>
      <w:r w:rsidR="00A77698" w:rsidRPr="007279D2">
        <w:t xml:space="preserve">est </w:t>
      </w:r>
      <w:r w:rsidR="000E00D4">
        <w:t>y</w:t>
      </w:r>
      <w:r w:rsidR="00A77698" w:rsidRPr="007279D2">
        <w:t>ear (</w:t>
      </w:r>
      <w:r w:rsidR="00286364">
        <w:t>“</w:t>
      </w:r>
      <w:r w:rsidR="00A77698" w:rsidRPr="007279D2">
        <w:t>FTY</w:t>
      </w:r>
      <w:r w:rsidR="00286364">
        <w:t>”</w:t>
      </w:r>
      <w:r w:rsidR="00A77698" w:rsidRPr="007279D2">
        <w:t xml:space="preserve">), Section 315 of the Public Utility Code </w:t>
      </w:r>
      <w:r w:rsidR="00A77698" w:rsidRPr="000929D9">
        <w:lastRenderedPageBreak/>
        <w:t xml:space="preserve">traditionally required that utility investment be used </w:t>
      </w:r>
      <w:r w:rsidR="006474E6">
        <w:t>and useful in the provision of</w:t>
      </w:r>
      <w:r w:rsidR="00A77698" w:rsidRPr="000929D9">
        <w:t xml:space="preserve"> service before the inves</w:t>
      </w:r>
      <w:r w:rsidR="000C5816">
        <w:t xml:space="preserve">tment was reflected in rates.  </w:t>
      </w:r>
      <w:r>
        <w:t>I&amp;E</w:t>
      </w:r>
      <w:r w:rsidR="00A77698" w:rsidRPr="000929D9">
        <w:t xml:space="preserve"> Statement No. 3,</w:t>
      </w:r>
      <w:r w:rsidR="000C5816">
        <w:t xml:space="preserve"> p. 10. </w:t>
      </w:r>
      <w:r w:rsidR="00A77698" w:rsidRPr="000929D9">
        <w:t xml:space="preserve"> </w:t>
      </w:r>
      <w:r>
        <w:t>I&amp;E</w:t>
      </w:r>
      <w:r w:rsidR="00A77698" w:rsidRPr="000929D9">
        <w:t xml:space="preserve"> expl</w:t>
      </w:r>
      <w:r w:rsidR="006474E6">
        <w:t xml:space="preserve">ains, as amended under Act 11, </w:t>
      </w:r>
      <w:r w:rsidR="00A77698" w:rsidRPr="000929D9">
        <w:t>Section 315 of the Public Utility Code now allows a utility to project investment, and correspondingly include it in the utility’s claimed revenue requirement, through the twelve-month period beginning with the first month that the new rates will be placed in effect.</w:t>
      </w:r>
      <w:r w:rsidR="006474E6">
        <w:t xml:space="preserve"> </w:t>
      </w:r>
      <w:r w:rsidR="00A77698" w:rsidRPr="000929D9">
        <w:t xml:space="preserve"> In light of that extended time period beyond which utilities are now permitted to project rate base investment</w:t>
      </w:r>
      <w:r w:rsidR="00B610FF">
        <w:t>,</w:t>
      </w:r>
      <w:r w:rsidR="00A77698" w:rsidRPr="000929D9">
        <w:t xml:space="preserve"> I&amp;E argues it recommended a reporting requirement intended to allow interested Commission bureaus the ability to timely review and verify the accuracy of the estimates Columbia used in its FPFTY.  </w:t>
      </w:r>
      <w:r>
        <w:t>I&amp;E</w:t>
      </w:r>
      <w:r w:rsidR="00A77698" w:rsidRPr="000929D9">
        <w:t xml:space="preserve"> St. in Support, p. 8.</w:t>
      </w:r>
    </w:p>
    <w:p w:rsidR="0050719F" w:rsidRDefault="0050719F" w:rsidP="0050719F">
      <w:pPr>
        <w:keepNext/>
        <w:tabs>
          <w:tab w:val="left" w:pos="720"/>
          <w:tab w:val="left" w:pos="1440"/>
          <w:tab w:val="num" w:pos="2160"/>
        </w:tabs>
        <w:spacing w:line="360" w:lineRule="auto"/>
        <w:ind w:firstLine="1440"/>
      </w:pPr>
    </w:p>
    <w:p w:rsidR="0050719F" w:rsidRPr="0062415D" w:rsidRDefault="0050719F" w:rsidP="0050719F">
      <w:pPr>
        <w:pStyle w:val="ListParagraph"/>
        <w:keepNext/>
        <w:numPr>
          <w:ilvl w:val="2"/>
          <w:numId w:val="7"/>
        </w:numPr>
        <w:tabs>
          <w:tab w:val="left" w:pos="720"/>
          <w:tab w:val="left" w:pos="1440"/>
          <w:tab w:val="num" w:pos="2160"/>
        </w:tabs>
        <w:spacing w:line="360" w:lineRule="auto"/>
        <w:ind w:left="2880" w:hanging="720"/>
        <w:rPr>
          <w:sz w:val="24"/>
          <w:szCs w:val="24"/>
          <w:u w:val="single"/>
        </w:rPr>
      </w:pPr>
      <w:r w:rsidRPr="0062415D">
        <w:rPr>
          <w:sz w:val="24"/>
          <w:szCs w:val="24"/>
        </w:rPr>
        <w:t xml:space="preserve"> </w:t>
      </w:r>
      <w:r w:rsidRPr="0062415D">
        <w:rPr>
          <w:sz w:val="24"/>
          <w:szCs w:val="24"/>
        </w:rPr>
        <w:tab/>
      </w:r>
      <w:r w:rsidRPr="0062415D">
        <w:rPr>
          <w:sz w:val="24"/>
          <w:szCs w:val="24"/>
          <w:u w:val="single"/>
        </w:rPr>
        <w:t>Rate Base</w:t>
      </w:r>
    </w:p>
    <w:p w:rsidR="0050719F" w:rsidRPr="0062415D" w:rsidRDefault="00A77698" w:rsidP="0050719F">
      <w:pPr>
        <w:tabs>
          <w:tab w:val="left" w:pos="720"/>
          <w:tab w:val="left" w:pos="1440"/>
          <w:tab w:val="num" w:pos="2160"/>
        </w:tabs>
        <w:spacing w:line="360" w:lineRule="auto"/>
        <w:ind w:firstLine="1440"/>
      </w:pPr>
      <w:r w:rsidRPr="0062415D">
        <w:tab/>
      </w:r>
    </w:p>
    <w:p w:rsidR="00B610FF" w:rsidRDefault="00A77698" w:rsidP="0050719F">
      <w:pPr>
        <w:tabs>
          <w:tab w:val="left" w:pos="720"/>
          <w:tab w:val="left" w:pos="1440"/>
          <w:tab w:val="num" w:pos="2160"/>
        </w:tabs>
        <w:spacing w:line="360" w:lineRule="auto"/>
        <w:ind w:firstLine="1440"/>
      </w:pPr>
      <w:r w:rsidRPr="000929D9">
        <w:t xml:space="preserve">According to </w:t>
      </w:r>
      <w:r w:rsidR="00F96BA5">
        <w:t>I&amp;E</w:t>
      </w:r>
      <w:r w:rsidRPr="000929D9">
        <w:t xml:space="preserve">, by allowing a utility to include within its calculated revenue claim projections of rate base additions, the FPFTY essentially allows a utility to require ratepayers in effect to pay a return on a utility’s projected investment in future facilities that are not only not in place and providing service at the time the new rates take effect, but also that are not subject to any guarantee of being completed and placed into service. </w:t>
      </w:r>
      <w:r w:rsidR="0050719F">
        <w:t xml:space="preserve"> </w:t>
      </w:r>
      <w:r w:rsidRPr="000929D9">
        <w:t>I&amp;E witness Jeremy Hubert explained, the additional level of revenue deficiency claimed by Columbia that was associated solely with the inclusion of the FPFTY wa</w:t>
      </w:r>
      <w:r w:rsidR="000C5816">
        <w:t xml:space="preserve">s $21,942,430.  </w:t>
      </w:r>
      <w:r w:rsidR="00F96BA5">
        <w:t>I&amp;E</w:t>
      </w:r>
      <w:r w:rsidR="000C5816">
        <w:t xml:space="preserve"> Statement No. 3, p. 5;</w:t>
      </w:r>
      <w:r w:rsidRPr="000929D9">
        <w:t xml:space="preserve"> </w:t>
      </w:r>
      <w:r w:rsidR="00F96BA5">
        <w:t>I&amp;E</w:t>
      </w:r>
      <w:r w:rsidRPr="000929D9">
        <w:t xml:space="preserve"> St. in Support, pp. 8-9.</w:t>
      </w:r>
    </w:p>
    <w:p w:rsidR="00B610FF" w:rsidRDefault="00B610FF" w:rsidP="00B610FF">
      <w:pPr>
        <w:tabs>
          <w:tab w:val="left" w:pos="720"/>
          <w:tab w:val="left" w:pos="1440"/>
          <w:tab w:val="num" w:pos="2160"/>
        </w:tabs>
        <w:spacing w:line="360" w:lineRule="auto"/>
        <w:ind w:firstLine="1440"/>
      </w:pPr>
    </w:p>
    <w:p w:rsidR="00B610FF" w:rsidRDefault="00A77698" w:rsidP="00B610FF">
      <w:pPr>
        <w:tabs>
          <w:tab w:val="left" w:pos="720"/>
          <w:tab w:val="left" w:pos="1440"/>
          <w:tab w:val="num" w:pos="2160"/>
        </w:tabs>
        <w:spacing w:line="360" w:lineRule="auto"/>
        <w:ind w:firstLine="1440"/>
      </w:pPr>
      <w:r w:rsidRPr="000929D9">
        <w:t>While the FPFTY clearly authorizes the use of such projections, as the first base rate case to be filed using Act 11’s FPFTY provisions, I&amp;E argues that it sought to have Columbia provide interim reports until the Company’s filing of its next anticipated base rate case in order to be able to timely review and verify the status of the Company’s rate base projections.  I&amp;E further asserts it requested that the updates be provided in the same format as the Company’s Exhibit No. 108, Schedule 1, which included actual capital expenditures, plant additions, and retirements by month in order to provide interim comparisons of the Company’s actual investment to its base rate projections used in s</w:t>
      </w:r>
      <w:r w:rsidR="000C5816">
        <w:t xml:space="preserve">etting rates using the FPFTY.  </w:t>
      </w:r>
      <w:r w:rsidR="00F96BA5">
        <w:t>I&amp;E</w:t>
      </w:r>
      <w:r w:rsidRPr="000929D9">
        <w:t xml:space="preserve"> Statement No. 3, pp. 10-11</w:t>
      </w:r>
      <w:r w:rsidR="000C5816">
        <w:t>;</w:t>
      </w:r>
      <w:r w:rsidRPr="000929D9">
        <w:t xml:space="preserve"> </w:t>
      </w:r>
      <w:r w:rsidR="00F96BA5">
        <w:t>I&amp;E</w:t>
      </w:r>
      <w:r w:rsidRPr="000929D9">
        <w:t xml:space="preserve"> St. in Support, p. 9.</w:t>
      </w:r>
    </w:p>
    <w:p w:rsidR="00B610FF" w:rsidRDefault="00B610FF" w:rsidP="00B610FF">
      <w:pPr>
        <w:tabs>
          <w:tab w:val="left" w:pos="720"/>
          <w:tab w:val="left" w:pos="1440"/>
          <w:tab w:val="num" w:pos="2160"/>
        </w:tabs>
        <w:spacing w:line="360" w:lineRule="auto"/>
        <w:ind w:firstLine="1440"/>
      </w:pPr>
    </w:p>
    <w:p w:rsidR="00A77698" w:rsidRDefault="00F96BA5" w:rsidP="00B610FF">
      <w:pPr>
        <w:tabs>
          <w:tab w:val="left" w:pos="720"/>
          <w:tab w:val="left" w:pos="1440"/>
          <w:tab w:val="num" w:pos="2160"/>
        </w:tabs>
        <w:spacing w:line="360" w:lineRule="auto"/>
        <w:ind w:firstLine="1440"/>
      </w:pPr>
      <w:r>
        <w:lastRenderedPageBreak/>
        <w:t>I&amp;E</w:t>
      </w:r>
      <w:r w:rsidR="00A77698" w:rsidRPr="000929D9">
        <w:t xml:space="preserve"> points out that pursuant to paragraph 36 of the Settlement, Columbia agreed to provide to I&amp;E, OCA, and OSBA, as well as to </w:t>
      </w:r>
      <w:r w:rsidR="000C5816">
        <w:t xml:space="preserve">the </w:t>
      </w:r>
      <w:r w:rsidR="00A77698" w:rsidRPr="000929D9">
        <w:t>Commission’s Bureau of Technical Utility Services (</w:t>
      </w:r>
      <w:r w:rsidR="00286364">
        <w:t>“</w:t>
      </w:r>
      <w:r w:rsidR="00A77698" w:rsidRPr="000929D9">
        <w:t>TUS</w:t>
      </w:r>
      <w:r w:rsidR="00286364">
        <w:t>”</w:t>
      </w:r>
      <w:r w:rsidR="00A77698" w:rsidRPr="000929D9">
        <w:t xml:space="preserve">), updates to Columbia’s Exhibit No. 108, Schedule 1, on or before October 1, 2013, for the 12 months ending June 30, 2013, and on or before October 2, 2014, for the 12 months ending June 30, 2014. </w:t>
      </w:r>
      <w:r w:rsidR="0050719F">
        <w:t xml:space="preserve"> </w:t>
      </w:r>
      <w:r w:rsidR="00A77698" w:rsidRPr="000929D9">
        <w:t xml:space="preserve">In addition, Columbia agreed to provide as a part of the Company’s next base rate case a comparison of its actual expenses and rate base additions for the 12 months ended June 30, 2014, to the projections in this case. </w:t>
      </w:r>
      <w:r w:rsidR="0050719F">
        <w:t xml:space="preserve"> </w:t>
      </w:r>
      <w:r>
        <w:t>I&amp;E</w:t>
      </w:r>
      <w:r w:rsidR="00A77698" w:rsidRPr="000929D9">
        <w:t xml:space="preserve"> continues that it fully supports the Settlement because this condition fully achieves I&amp;E’s goals of timely receiving data sufficient to allow for the evaluation and confirmation of the accuracy of Columbia’s 2012 projections in advance of its next base rate case filing.  </w:t>
      </w:r>
      <w:r>
        <w:t>I&amp;E</w:t>
      </w:r>
      <w:r w:rsidR="00A77698" w:rsidRPr="000929D9">
        <w:t xml:space="preserve"> St. in Support, pp. 9-10. </w:t>
      </w:r>
    </w:p>
    <w:p w:rsidR="0062415D" w:rsidRDefault="0062415D" w:rsidP="00B610FF">
      <w:pPr>
        <w:tabs>
          <w:tab w:val="left" w:pos="720"/>
          <w:tab w:val="left" w:pos="1440"/>
          <w:tab w:val="num" w:pos="2160"/>
        </w:tabs>
        <w:spacing w:line="360" w:lineRule="auto"/>
        <w:ind w:firstLine="1440"/>
      </w:pPr>
    </w:p>
    <w:p w:rsidR="0062415D" w:rsidRPr="0062415D" w:rsidRDefault="0062415D" w:rsidP="0062415D">
      <w:pPr>
        <w:pStyle w:val="ListParagraph"/>
        <w:numPr>
          <w:ilvl w:val="2"/>
          <w:numId w:val="7"/>
        </w:numPr>
        <w:tabs>
          <w:tab w:val="left" w:pos="720"/>
          <w:tab w:val="left" w:pos="1440"/>
          <w:tab w:val="num" w:pos="2160"/>
        </w:tabs>
        <w:spacing w:line="360" w:lineRule="auto"/>
        <w:ind w:left="2880" w:hanging="720"/>
        <w:rPr>
          <w:sz w:val="24"/>
          <w:szCs w:val="24"/>
          <w:u w:val="single"/>
        </w:rPr>
      </w:pPr>
      <w:r w:rsidRPr="0062415D">
        <w:rPr>
          <w:sz w:val="24"/>
          <w:szCs w:val="24"/>
        </w:rPr>
        <w:t xml:space="preserve"> </w:t>
      </w:r>
      <w:r w:rsidRPr="0062415D">
        <w:rPr>
          <w:sz w:val="24"/>
          <w:szCs w:val="24"/>
        </w:rPr>
        <w:tab/>
      </w:r>
      <w:r w:rsidRPr="0062415D">
        <w:rPr>
          <w:sz w:val="24"/>
          <w:szCs w:val="24"/>
          <w:u w:val="single"/>
        </w:rPr>
        <w:t>Debt Issuances</w:t>
      </w:r>
    </w:p>
    <w:p w:rsidR="0062415D" w:rsidRDefault="0062415D" w:rsidP="008E1FBF">
      <w:pPr>
        <w:tabs>
          <w:tab w:val="left" w:pos="720"/>
          <w:tab w:val="left" w:pos="1440"/>
          <w:tab w:val="num" w:pos="2160"/>
        </w:tabs>
        <w:spacing w:line="360" w:lineRule="auto"/>
        <w:ind w:firstLine="1440"/>
      </w:pPr>
    </w:p>
    <w:p w:rsidR="008E1FBF" w:rsidRDefault="00A77698" w:rsidP="008E1FBF">
      <w:pPr>
        <w:tabs>
          <w:tab w:val="left" w:pos="720"/>
          <w:tab w:val="left" w:pos="1440"/>
          <w:tab w:val="num" w:pos="2160"/>
        </w:tabs>
        <w:spacing w:line="360" w:lineRule="auto"/>
        <w:ind w:firstLine="1440"/>
      </w:pPr>
      <w:r w:rsidRPr="000929D9">
        <w:t xml:space="preserve">According to </w:t>
      </w:r>
      <w:r w:rsidR="00F96BA5">
        <w:t>I&amp;E</w:t>
      </w:r>
      <w:r w:rsidRPr="000929D9">
        <w:t>, it proposed interim reporting with respect to Columbia’s projections of l</w:t>
      </w:r>
      <w:r w:rsidR="00A64BCE">
        <w:t xml:space="preserve">ong-term debt cost rates.  </w:t>
      </w:r>
      <w:r w:rsidRPr="000929D9">
        <w:t xml:space="preserve">Debt cost rates historically have been issued before the end of the future test year. </w:t>
      </w:r>
      <w:r w:rsidR="0062415D">
        <w:t xml:space="preserve"> </w:t>
      </w:r>
      <w:r w:rsidRPr="000929D9">
        <w:t>However, by using a FPFTY in this case, the Company included both historic and future issuances in the filing.</w:t>
      </w:r>
      <w:r w:rsidR="0062415D">
        <w:t xml:space="preserve"> </w:t>
      </w:r>
      <w:r w:rsidRPr="000929D9">
        <w:t xml:space="preserve"> The future debt cost rates filed by Columbia are estimates of the future and can change as interest rates change.  I&amp;E witness Emily Sears recommended that Columbia submit all documentation supporting the issuances of all future debts to TUS and I&amp;E within 30 days of issuance to determine the effect use of a FPFTY has on the Company’s debt costs and to ensure the future cost rate estimates remain reasonable. </w:t>
      </w:r>
      <w:r w:rsidR="0062415D">
        <w:t xml:space="preserve"> </w:t>
      </w:r>
      <w:r w:rsidR="00F96BA5">
        <w:t>I&amp;E</w:t>
      </w:r>
      <w:r w:rsidRPr="000929D9">
        <w:t xml:space="preserve"> Statement No. 1, pp. 12-14.  </w:t>
      </w:r>
      <w:r w:rsidR="00F96BA5">
        <w:t>I&amp;E</w:t>
      </w:r>
      <w:r w:rsidRPr="000929D9">
        <w:t xml:space="preserve"> explains that, as was the case with respect to projections related to capital investment, the rationale behind I&amp;E’s advancement of this proposal was to provide for timely review and confirmation of Columbia’s projected debt rate issuances given the novelty of the FPFTY in the ratemaking process.  </w:t>
      </w:r>
      <w:r w:rsidR="00F96BA5">
        <w:t>I&amp;E</w:t>
      </w:r>
      <w:r w:rsidRPr="000929D9">
        <w:t xml:space="preserve"> St. in Support, p. 10.</w:t>
      </w:r>
    </w:p>
    <w:p w:rsidR="008E1FBF" w:rsidRDefault="008E1FBF" w:rsidP="008E1FBF">
      <w:pPr>
        <w:tabs>
          <w:tab w:val="left" w:pos="720"/>
          <w:tab w:val="left" w:pos="1440"/>
          <w:tab w:val="num" w:pos="2160"/>
        </w:tabs>
        <w:spacing w:line="360" w:lineRule="auto"/>
        <w:ind w:firstLine="1440"/>
      </w:pPr>
    </w:p>
    <w:p w:rsidR="00A77698" w:rsidRPr="0062415D" w:rsidRDefault="00A77698" w:rsidP="0062415D">
      <w:pPr>
        <w:tabs>
          <w:tab w:val="left" w:pos="720"/>
          <w:tab w:val="left" w:pos="1440"/>
          <w:tab w:val="num" w:pos="2160"/>
        </w:tabs>
        <w:spacing w:line="360" w:lineRule="auto"/>
        <w:ind w:firstLine="1440"/>
      </w:pPr>
      <w:r w:rsidRPr="000929D9">
        <w:t>Columbia agreed, in p</w:t>
      </w:r>
      <w:r w:rsidR="0062415D">
        <w:t xml:space="preserve">aragraph 37 of the Settlement, to provide </w:t>
      </w:r>
      <w:r w:rsidRPr="000929D9">
        <w:t>I&amp;E, OCA, OSBA, and TUS with all loan documentation filed with the Commission in compliance with</w:t>
      </w:r>
      <w:r w:rsidR="002308F9">
        <w:t xml:space="preserve"> the </w:t>
      </w:r>
      <w:r w:rsidRPr="000929D9">
        <w:t xml:space="preserve">Commission’s Orders issued under authority of Chapter 19 of the Public Utility Code addressing Columbia’s debt issuances. </w:t>
      </w:r>
      <w:r w:rsidR="0062415D">
        <w:t xml:space="preserve"> </w:t>
      </w:r>
      <w:r w:rsidRPr="000929D9">
        <w:t>The documentation shall be for all future debt issuances during the twelve-mon</w:t>
      </w:r>
      <w:r w:rsidR="00D45C1D">
        <w:t>th periods ending June 30, 2013</w:t>
      </w:r>
      <w:r w:rsidRPr="000929D9">
        <w:t xml:space="preserve"> and June 30, 2014. </w:t>
      </w:r>
      <w:r w:rsidR="0062415D">
        <w:t xml:space="preserve"> </w:t>
      </w:r>
      <w:r w:rsidRPr="000929D9">
        <w:t xml:space="preserve">In addition, Columbia agreed to </w:t>
      </w:r>
      <w:r w:rsidRPr="000929D9">
        <w:lastRenderedPageBreak/>
        <w:t xml:space="preserve">preserve and provide to I&amp;E, OCA, and OSBA as part of its next base rate case all documentation supporting debt issued between this case and the next, and the Treasury yield as reported in the Federal Reserve Statistical Release, H.15 Selected Interest Rates and the yield spread as reported by Reuters Corporate spreads as of the dates of each issuance. </w:t>
      </w:r>
      <w:r w:rsidR="0062415D">
        <w:t xml:space="preserve"> </w:t>
      </w:r>
      <w:r w:rsidRPr="000929D9">
        <w:t>Through such information</w:t>
      </w:r>
      <w:r w:rsidR="008E1FBF">
        <w:t>,</w:t>
      </w:r>
      <w:r w:rsidRPr="000929D9">
        <w:t xml:space="preserve"> </w:t>
      </w:r>
      <w:r w:rsidR="00F96BA5">
        <w:t>I&amp;E</w:t>
      </w:r>
      <w:r w:rsidRPr="000929D9">
        <w:t xml:space="preserve"> will be better able to review Columbia’s long-term debt issuances and not only confirm Columbia’s projections but also determine whether the Company secured such debt at </w:t>
      </w:r>
      <w:r w:rsidRPr="0062415D">
        <w:t xml:space="preserve">reasonable costs.  </w:t>
      </w:r>
      <w:r w:rsidR="00F96BA5">
        <w:t>I&amp;E</w:t>
      </w:r>
      <w:r w:rsidRPr="0062415D">
        <w:t xml:space="preserve"> St. in Support, pp. 11-12.</w:t>
      </w:r>
    </w:p>
    <w:p w:rsidR="00A77698" w:rsidRPr="0062415D" w:rsidRDefault="00A77698" w:rsidP="0062415D">
      <w:pPr>
        <w:tabs>
          <w:tab w:val="left" w:pos="720"/>
          <w:tab w:val="left" w:pos="1440"/>
          <w:tab w:val="num" w:pos="2160"/>
        </w:tabs>
        <w:spacing w:line="360" w:lineRule="auto"/>
        <w:jc w:val="both"/>
        <w:rPr>
          <w:b/>
        </w:rPr>
      </w:pPr>
    </w:p>
    <w:p w:rsidR="00A77698" w:rsidRPr="00D45C1D" w:rsidRDefault="00A77698" w:rsidP="00D45C1D">
      <w:pPr>
        <w:pStyle w:val="ListParagraph"/>
        <w:numPr>
          <w:ilvl w:val="0"/>
          <w:numId w:val="19"/>
        </w:numPr>
        <w:tabs>
          <w:tab w:val="left" w:pos="720"/>
          <w:tab w:val="left" w:pos="1440"/>
        </w:tabs>
        <w:spacing w:line="360" w:lineRule="auto"/>
        <w:jc w:val="both"/>
        <w:rPr>
          <w:u w:val="single"/>
        </w:rPr>
      </w:pPr>
      <w:r w:rsidRPr="00D45C1D">
        <w:rPr>
          <w:u w:val="single"/>
        </w:rPr>
        <w:t>Revenue Allocation and Rate Design</w:t>
      </w:r>
      <w:r w:rsidRPr="00D45C1D">
        <w:rPr>
          <w:i/>
          <w:u w:val="single"/>
        </w:rPr>
        <w:t xml:space="preserve"> </w:t>
      </w:r>
      <w:r w:rsidR="00D45C1D" w:rsidRPr="00D45C1D">
        <w:rPr>
          <w:u w:val="single"/>
        </w:rPr>
        <w:t>(Joint Petition ¶¶ 39-</w:t>
      </w:r>
      <w:r w:rsidRPr="00D45C1D">
        <w:rPr>
          <w:u w:val="single"/>
        </w:rPr>
        <w:t xml:space="preserve">47) </w:t>
      </w:r>
    </w:p>
    <w:p w:rsidR="0062415D" w:rsidRPr="0062415D" w:rsidRDefault="0062415D" w:rsidP="0062415D">
      <w:pPr>
        <w:tabs>
          <w:tab w:val="left" w:pos="720"/>
          <w:tab w:val="left" w:pos="1440"/>
          <w:tab w:val="num" w:pos="2160"/>
        </w:tabs>
        <w:spacing w:line="360" w:lineRule="auto"/>
        <w:jc w:val="both"/>
        <w:rPr>
          <w:u w:val="single"/>
        </w:rPr>
      </w:pPr>
    </w:p>
    <w:p w:rsidR="00A77698" w:rsidRPr="0062415D" w:rsidRDefault="00A77698" w:rsidP="0062415D">
      <w:pPr>
        <w:spacing w:line="360" w:lineRule="auto"/>
        <w:ind w:firstLine="720"/>
        <w:contextualSpacing/>
        <w:jc w:val="both"/>
        <w:rPr>
          <w:b/>
        </w:rPr>
      </w:pPr>
      <w:r w:rsidRPr="0062415D">
        <w:tab/>
        <w:t>a.</w:t>
      </w:r>
      <w:r w:rsidRPr="0062415D">
        <w:rPr>
          <w:b/>
        </w:rPr>
        <w:tab/>
      </w:r>
      <w:r w:rsidRPr="0062415D">
        <w:rPr>
          <w:u w:val="single"/>
        </w:rPr>
        <w:t>Revenue Allocation</w:t>
      </w:r>
    </w:p>
    <w:p w:rsidR="008E1FBF" w:rsidRPr="0062415D" w:rsidRDefault="008E1FBF" w:rsidP="0062415D">
      <w:pPr>
        <w:spacing w:line="360" w:lineRule="auto"/>
        <w:contextualSpacing/>
        <w:jc w:val="both"/>
      </w:pPr>
    </w:p>
    <w:p w:rsidR="00A77698" w:rsidRDefault="00F96BA5" w:rsidP="0062032B">
      <w:pPr>
        <w:spacing w:line="360" w:lineRule="auto"/>
        <w:ind w:firstLine="1440"/>
        <w:contextualSpacing/>
      </w:pPr>
      <w:r>
        <w:t>I&amp;E</w:t>
      </w:r>
      <w:r w:rsidR="00A77698" w:rsidRPr="0062415D">
        <w:t xml:space="preserve"> argues the distribution of revenue among the customer classes was a matter of interest to all parties in the proceeding and was</w:t>
      </w:r>
      <w:r w:rsidR="00A77698" w:rsidRPr="000929D9">
        <w:t xml:space="preserve"> the subject of numerous settlement discussions. </w:t>
      </w:r>
      <w:r w:rsidR="00D45C1D">
        <w:t xml:space="preserve"> </w:t>
      </w:r>
      <w:r w:rsidR="00A77698" w:rsidRPr="000929D9">
        <w:t>All parties agree to the settled-upon allocation of the propose</w:t>
      </w:r>
      <w:r w:rsidR="0062415D">
        <w:t xml:space="preserve">d increase among the classes.  </w:t>
      </w:r>
      <w:r w:rsidR="00A77698" w:rsidRPr="000929D9">
        <w:t xml:space="preserve">I&amp;E maintains that the Settlement allocation is just, reasonable, non-discriminatory and is in the public interest and should be approved. </w:t>
      </w:r>
      <w:r w:rsidR="00D45C1D">
        <w:t xml:space="preserve"> </w:t>
      </w:r>
      <w:r>
        <w:t>I&amp;E</w:t>
      </w:r>
      <w:r w:rsidR="00A77698" w:rsidRPr="000929D9">
        <w:t xml:space="preserve"> St. in Support, p. 11.</w:t>
      </w:r>
    </w:p>
    <w:p w:rsidR="008E1FBF" w:rsidRPr="000929D9" w:rsidRDefault="008E1FBF" w:rsidP="0062032B">
      <w:pPr>
        <w:spacing w:line="360" w:lineRule="auto"/>
        <w:ind w:firstLine="1440"/>
        <w:contextualSpacing/>
      </w:pPr>
    </w:p>
    <w:p w:rsidR="00A77698" w:rsidRPr="000929D9" w:rsidRDefault="00A77698" w:rsidP="0062032B">
      <w:pPr>
        <w:spacing w:line="360" w:lineRule="auto"/>
        <w:ind w:firstLine="720"/>
        <w:contextualSpacing/>
        <w:jc w:val="both"/>
        <w:rPr>
          <w:b/>
        </w:rPr>
      </w:pPr>
      <w:r w:rsidRPr="000929D9">
        <w:tab/>
        <w:t>b.</w:t>
      </w:r>
      <w:r w:rsidRPr="000929D9">
        <w:rPr>
          <w:b/>
        </w:rPr>
        <w:tab/>
      </w:r>
      <w:r w:rsidRPr="000929D9">
        <w:rPr>
          <w:u w:val="single"/>
        </w:rPr>
        <w:t>Rate Design</w:t>
      </w:r>
    </w:p>
    <w:p w:rsidR="008E1FBF" w:rsidRDefault="008E1FBF" w:rsidP="0062032B">
      <w:pPr>
        <w:spacing w:line="360" w:lineRule="auto"/>
        <w:contextualSpacing/>
        <w:jc w:val="both"/>
      </w:pPr>
    </w:p>
    <w:p w:rsidR="00F134D1" w:rsidRDefault="00F96BA5" w:rsidP="0062032B">
      <w:pPr>
        <w:spacing w:line="360" w:lineRule="auto"/>
        <w:ind w:firstLine="1440"/>
        <w:contextualSpacing/>
      </w:pPr>
      <w:r>
        <w:t>I&amp;E</w:t>
      </w:r>
      <w:r w:rsidR="00A77698" w:rsidRPr="000929D9">
        <w:t xml:space="preserve"> claims that Columbia’s residential rate design proposals in this proceeding presented some of the most novel and controversial issues in the case.  I&amp;E believes, however, that the Settlement terms offer the Commission one of the most innovative proposals to resolve what is otherwise a highly contentious issue. </w:t>
      </w:r>
      <w:r w:rsidR="0062415D">
        <w:t xml:space="preserve"> </w:t>
      </w:r>
      <w:r>
        <w:t>I&amp;E</w:t>
      </w:r>
      <w:r w:rsidR="00A77698" w:rsidRPr="000929D9">
        <w:t xml:space="preserve"> St. in Support, p. 11.</w:t>
      </w:r>
    </w:p>
    <w:p w:rsidR="00F134D1" w:rsidRDefault="00F134D1" w:rsidP="00F134D1">
      <w:pPr>
        <w:spacing w:line="360" w:lineRule="auto"/>
        <w:ind w:firstLine="1440"/>
        <w:contextualSpacing/>
      </w:pPr>
    </w:p>
    <w:p w:rsidR="00F134D1" w:rsidRDefault="00F96BA5" w:rsidP="00F134D1">
      <w:pPr>
        <w:spacing w:line="360" w:lineRule="auto"/>
        <w:ind w:firstLine="1440"/>
        <w:contextualSpacing/>
      </w:pPr>
      <w:r>
        <w:t>I&amp;E</w:t>
      </w:r>
      <w:r w:rsidR="00A77698" w:rsidRPr="000929D9">
        <w:t xml:space="preserve"> explains that Columbia’s current residential rate design consists of an $18.73 per month customer charge, which includes 2.1 Dth of gas and a single </w:t>
      </w:r>
      <w:bookmarkStart w:id="1" w:name="OLE_LINK1"/>
      <w:bookmarkStart w:id="2" w:name="OLE_LINK2"/>
      <w:r w:rsidR="00A77698" w:rsidRPr="000929D9">
        <w:t>delivery rate of $2.6708 for each additional Dth</w:t>
      </w:r>
      <w:bookmarkEnd w:id="1"/>
      <w:bookmarkEnd w:id="2"/>
      <w:r w:rsidR="00A77698" w:rsidRPr="000929D9">
        <w:t xml:space="preserve"> of use.</w:t>
      </w:r>
      <w:r w:rsidR="0062415D">
        <w:t xml:space="preserve"> </w:t>
      </w:r>
      <w:r w:rsidR="00D45C1D">
        <w:t xml:space="preserve"> </w:t>
      </w:r>
      <w:r>
        <w:t>I&amp;E</w:t>
      </w:r>
      <w:r w:rsidR="00A77698" w:rsidRPr="000929D9">
        <w:t xml:space="preserve"> Statement No. 3, p. 33.  This rate design was adopted by the Commission as a result of litigation of the Company’s residential rate design proposal in the Company’s preceding base rate case at Docket No. R-2010-2215623, in which all issues, other than residential rate design and Columbia’s Customer Assistance Program-Plus,</w:t>
      </w:r>
      <w:r w:rsidR="00F134D1">
        <w:t xml:space="preserve"> </w:t>
      </w:r>
      <w:r w:rsidR="00A77698" w:rsidRPr="000929D9">
        <w:t xml:space="preserve">were resolved </w:t>
      </w:r>
      <w:r w:rsidR="00A77698" w:rsidRPr="000929D9">
        <w:lastRenderedPageBreak/>
        <w:t>through settlement.  Columbia’s then-proposed residential rate design was the creation of a Levelized Distribution Charge (</w:t>
      </w:r>
      <w:r w:rsidR="00286364">
        <w:t>“</w:t>
      </w:r>
      <w:r w:rsidR="00A77698" w:rsidRPr="000929D9">
        <w:t>LDC</w:t>
      </w:r>
      <w:r w:rsidR="00286364">
        <w:t>”</w:t>
      </w:r>
      <w:r w:rsidR="00A77698" w:rsidRPr="000929D9">
        <w:t xml:space="preserve">) which established a fixed monthly customer charge of $36.88 and eliminated the volumetric delivery charge associated with base rate revenue recovery.  </w:t>
      </w:r>
      <w:r>
        <w:t>I&amp;E</w:t>
      </w:r>
      <w:r w:rsidR="00A77698" w:rsidRPr="000929D9">
        <w:t xml:space="preserve"> St. in Support, pp. 11-12.</w:t>
      </w:r>
    </w:p>
    <w:p w:rsidR="00F134D1" w:rsidRDefault="00F134D1" w:rsidP="00F134D1">
      <w:pPr>
        <w:spacing w:line="360" w:lineRule="auto"/>
        <w:ind w:firstLine="1440"/>
        <w:contextualSpacing/>
      </w:pPr>
    </w:p>
    <w:p w:rsidR="00F134D1" w:rsidRDefault="00F96BA5" w:rsidP="00F134D1">
      <w:pPr>
        <w:spacing w:line="360" w:lineRule="auto"/>
        <w:ind w:firstLine="1440"/>
        <w:contextualSpacing/>
      </w:pPr>
      <w:r>
        <w:t>I&amp;E</w:t>
      </w:r>
      <w:r w:rsidR="0062415D">
        <w:t xml:space="preserve"> </w:t>
      </w:r>
      <w:r w:rsidR="00A77698" w:rsidRPr="000929D9">
        <w:t>explains th</w:t>
      </w:r>
      <w:r w:rsidR="0062415D">
        <w:t xml:space="preserve">at in the 2010 base rate case, </w:t>
      </w:r>
      <w:r w:rsidR="00A77698" w:rsidRPr="000929D9">
        <w:t>I&amp;E and OCA both opposed the Company’s proposed LDC.  I&amp;E proposed to establish a monthly customer charge of $18.73, which was higher than I&amp;E’s calculated monthly charge for the recovery of direct customer costs, but included the first 2 Dth (then expressed on a Mcf basis) of usage.  I&amp;E asserted that this proposal afforded the Company an increased level of revenue stability than was possible under strict adherence to a traditional customer charge, the goal of the Company’s proposed LDC, but also continued to afford customers the ability to exert some control over their energy costs through conservation.</w:t>
      </w:r>
      <w:r w:rsidR="00A77698" w:rsidRPr="000929D9">
        <w:rPr>
          <w:rStyle w:val="FootnoteReference"/>
        </w:rPr>
        <w:footnoteReference w:id="25"/>
      </w:r>
      <w:r w:rsidR="00A77698" w:rsidRPr="000929D9">
        <w:t xml:space="preserve">  </w:t>
      </w:r>
      <w:r>
        <w:t>I&amp;E</w:t>
      </w:r>
      <w:r w:rsidR="00A77698" w:rsidRPr="000929D9">
        <w:t xml:space="preserve"> St. in Support, p. 12.  </w:t>
      </w:r>
      <w:r>
        <w:t>I&amp;E</w:t>
      </w:r>
      <w:r w:rsidR="00A77698" w:rsidRPr="000929D9">
        <w:t xml:space="preserve"> points out that in its Order resolving the issue, the Commission adop</w:t>
      </w:r>
      <w:r w:rsidR="0062415D">
        <w:t xml:space="preserve">ted I&amp;E’s position and adopted </w:t>
      </w:r>
      <w:r w:rsidR="00A77698" w:rsidRPr="000929D9">
        <w:t>its alternative residential rate design proposal in lieu of Columbia’s proposed LDC, approving an increase, based on a 2</w:t>
      </w:r>
      <w:r w:rsidR="0062415D">
        <w:t xml:space="preserve"> Mcf per month minimum charge, </w:t>
      </w:r>
      <w:r w:rsidR="00A77698" w:rsidRPr="000929D9">
        <w:t>to better balance the interests of consumers and the utility.</w:t>
      </w:r>
      <w:r w:rsidR="00A77698" w:rsidRPr="000929D9">
        <w:rPr>
          <w:rStyle w:val="FootnoteReference"/>
        </w:rPr>
        <w:footnoteReference w:id="26"/>
      </w:r>
      <w:r w:rsidR="00A77698" w:rsidRPr="000929D9">
        <w:t xml:space="preserve">  </w:t>
      </w:r>
      <w:r>
        <w:t>I&amp;E</w:t>
      </w:r>
      <w:r w:rsidR="00A77698" w:rsidRPr="000929D9">
        <w:t xml:space="preserve"> St. in Support, pp. 12-14.  </w:t>
      </w:r>
      <w:r>
        <w:t>I&amp;E</w:t>
      </w:r>
      <w:r w:rsidR="00A77698" w:rsidRPr="000929D9">
        <w:t xml:space="preserve"> asserted it was pursuant to this </w:t>
      </w:r>
      <w:r w:rsidR="00F134D1">
        <w:t xml:space="preserve">direction from the Commission, </w:t>
      </w:r>
      <w:r w:rsidR="00A77698" w:rsidRPr="000929D9">
        <w:t>in resolving C</w:t>
      </w:r>
      <w:r w:rsidR="0062415D">
        <w:t xml:space="preserve">olumbia’s 2010 base rate case, </w:t>
      </w:r>
      <w:r w:rsidR="00A77698" w:rsidRPr="000929D9">
        <w:t xml:space="preserve">that the parties in the current case proceeded.  </w:t>
      </w:r>
      <w:r>
        <w:t>I&amp;E</w:t>
      </w:r>
      <w:r w:rsidR="00A77698" w:rsidRPr="000929D9">
        <w:t xml:space="preserve"> St. in Support, p. 14.</w:t>
      </w:r>
    </w:p>
    <w:p w:rsidR="00F134D1" w:rsidRDefault="00F134D1" w:rsidP="00F134D1">
      <w:pPr>
        <w:spacing w:line="360" w:lineRule="auto"/>
        <w:ind w:firstLine="1440"/>
        <w:contextualSpacing/>
      </w:pPr>
    </w:p>
    <w:p w:rsidR="00F134D1" w:rsidRDefault="00F96BA5" w:rsidP="00F134D1">
      <w:pPr>
        <w:spacing w:line="360" w:lineRule="auto"/>
        <w:ind w:firstLine="1440"/>
        <w:contextualSpacing/>
      </w:pPr>
      <w:r>
        <w:t>I&amp;E</w:t>
      </w:r>
      <w:r w:rsidR="00A77698" w:rsidRPr="000929D9">
        <w:t xml:space="preserve"> noted that in the present case, Columbia offered three different residential rate designs, each associated with a different level of revenue decoupling and containing a different proposed customer charge. </w:t>
      </w:r>
      <w:r w:rsidR="00D45C1D">
        <w:t xml:space="preserve"> </w:t>
      </w:r>
      <w:r w:rsidR="00A77698" w:rsidRPr="000929D9">
        <w:t>Under Columbia’s preferred rate design, the Revenue Normalization Adjustment (</w:t>
      </w:r>
      <w:r w:rsidR="00286364">
        <w:t>“</w:t>
      </w:r>
      <w:r w:rsidR="00A77698" w:rsidRPr="000929D9">
        <w:t>RNA</w:t>
      </w:r>
      <w:r w:rsidR="00286364">
        <w:t>”</w:t>
      </w:r>
      <w:r w:rsidR="00A77698" w:rsidRPr="000929D9">
        <w:t xml:space="preserve">), a residential customer would pay a fixed monthly customer </w:t>
      </w:r>
      <w:r w:rsidR="00A77698" w:rsidRPr="000929D9">
        <w:lastRenderedPageBreak/>
        <w:t xml:space="preserve">charge of $19.00, with the 2 Dth of usage removed, and a single delivery rate of $3.8621 per Dth for all gas delivered.  Customers would continue to pay on a volumetric basis through Riders PGC and USP for the amount of gas commodity used each month and for the recovery of Universal Service Program costs. </w:t>
      </w:r>
      <w:r w:rsidR="0062415D">
        <w:t xml:space="preserve"> </w:t>
      </w:r>
      <w:r w:rsidR="00A77698" w:rsidRPr="000929D9">
        <w:t xml:space="preserve">The RNA would have adjusted non-CAP customers' monthly bills in a manner that insulated the Company’s revenues from all fluctuations in customer sales, not only those caused by abnormal weather, but also those resulting from the effect of economic variables including customers’ </w:t>
      </w:r>
      <w:r w:rsidR="00D45C1D">
        <w:t xml:space="preserve">energy conservation measures.  </w:t>
      </w:r>
      <w:r w:rsidR="00A77698" w:rsidRPr="000929D9">
        <w:t>Columbia Statement No. 15, pp. 15-24</w:t>
      </w:r>
      <w:r w:rsidR="00D45C1D">
        <w:t>;</w:t>
      </w:r>
      <w:r w:rsidR="00A77698" w:rsidRPr="000929D9">
        <w:t xml:space="preserve"> </w:t>
      </w:r>
      <w:r>
        <w:t>I&amp;E</w:t>
      </w:r>
      <w:r w:rsidR="00A77698" w:rsidRPr="000929D9">
        <w:t xml:space="preserve"> St. in Support, p. 14.</w:t>
      </w:r>
    </w:p>
    <w:p w:rsidR="00F134D1" w:rsidRDefault="00F134D1" w:rsidP="00F134D1">
      <w:pPr>
        <w:spacing w:line="360" w:lineRule="auto"/>
        <w:ind w:firstLine="1440"/>
        <w:contextualSpacing/>
      </w:pPr>
    </w:p>
    <w:p w:rsidR="00F134D1" w:rsidRDefault="00F96BA5" w:rsidP="00F134D1">
      <w:pPr>
        <w:spacing w:line="360" w:lineRule="auto"/>
        <w:ind w:firstLine="1440"/>
        <w:contextualSpacing/>
      </w:pPr>
      <w:r>
        <w:t>I&amp;E</w:t>
      </w:r>
      <w:r w:rsidR="00A77698" w:rsidRPr="000929D9">
        <w:t xml:space="preserve"> points out that Columbia’s second residential rate design option consisted of a customer charge of $29.00 with no usage included, a distribution rate of $2.4579 per Dth for all consumption, and a Weather Normalization Adjustment (</w:t>
      </w:r>
      <w:r w:rsidR="00286364">
        <w:t>“</w:t>
      </w:r>
      <w:r w:rsidR="00A77698" w:rsidRPr="000929D9">
        <w:t>WNA</w:t>
      </w:r>
      <w:r w:rsidR="00286364">
        <w:t>”</w:t>
      </w:r>
      <w:r w:rsidR="00A77698" w:rsidRPr="000929D9">
        <w:t xml:space="preserve">). </w:t>
      </w:r>
      <w:r w:rsidR="0062415D">
        <w:t xml:space="preserve"> </w:t>
      </w:r>
      <w:r w:rsidR="00A77698" w:rsidRPr="000929D9">
        <w:t xml:space="preserve">The WNA was a temperature-based normalization mechanism that permitted the Company to calculate the non-gas portion of customers’ bills based upon normal weather and would be applied to all residential customers’ bills for the period October through May. </w:t>
      </w:r>
      <w:r w:rsidR="0062415D">
        <w:t xml:space="preserve"> </w:t>
      </w:r>
      <w:r w:rsidR="00A77698" w:rsidRPr="000929D9">
        <w:t>The WNA thus protected the Company from variations due to weather, as opposed to protecting against all variations in energy usage as was accomplished under the RNA.</w:t>
      </w:r>
      <w:r w:rsidR="0062415D">
        <w:t xml:space="preserve"> </w:t>
      </w:r>
      <w:r w:rsidR="00D45C1D">
        <w:t xml:space="preserve"> </w:t>
      </w:r>
      <w:r w:rsidR="00A77698" w:rsidRPr="000929D9">
        <w:t>Columbia Statement No. 15, pp. 25-32</w:t>
      </w:r>
      <w:r w:rsidR="00D45C1D">
        <w:t>;</w:t>
      </w:r>
      <w:r w:rsidR="00A77698" w:rsidRPr="000929D9">
        <w:t xml:space="preserve"> </w:t>
      </w:r>
      <w:r>
        <w:t>I&amp;E</w:t>
      </w:r>
      <w:r w:rsidR="00A77698" w:rsidRPr="000929D9">
        <w:t xml:space="preserve"> St. in Support, p. 15.</w:t>
      </w:r>
    </w:p>
    <w:p w:rsidR="00F134D1" w:rsidRDefault="00F134D1" w:rsidP="00F134D1">
      <w:pPr>
        <w:spacing w:line="360" w:lineRule="auto"/>
        <w:ind w:firstLine="1440"/>
        <w:contextualSpacing/>
      </w:pPr>
    </w:p>
    <w:p w:rsidR="00F134D1" w:rsidRDefault="00A77698" w:rsidP="00F134D1">
      <w:pPr>
        <w:spacing w:line="360" w:lineRule="auto"/>
        <w:ind w:firstLine="1440"/>
        <w:contextualSpacing/>
      </w:pPr>
      <w:r w:rsidRPr="000929D9">
        <w:t xml:space="preserve">According to </w:t>
      </w:r>
      <w:r w:rsidR="00F96BA5">
        <w:t>I&amp;E</w:t>
      </w:r>
      <w:r w:rsidRPr="000929D9">
        <w:t xml:space="preserve">, Columbia’s third residential rate design option consisted again of a Levelized Distribution Charge. </w:t>
      </w:r>
      <w:r w:rsidR="0062415D">
        <w:t xml:space="preserve"> </w:t>
      </w:r>
      <w:r w:rsidRPr="000929D9">
        <w:t xml:space="preserve">The LDC offered a flat monthly fee of $45.49 for all delivery services provided by Columbia with no accompanying volumetric rate for distribution services. </w:t>
      </w:r>
      <w:r w:rsidR="0062415D">
        <w:t xml:space="preserve"> </w:t>
      </w:r>
      <w:r w:rsidRPr="000929D9">
        <w:t>The LDC was essentially a Straight Fixed Variable (</w:t>
      </w:r>
      <w:r w:rsidR="00286364">
        <w:t>“</w:t>
      </w:r>
      <w:r w:rsidRPr="000929D9">
        <w:t>SFV</w:t>
      </w:r>
      <w:r w:rsidR="00286364">
        <w:t>”</w:t>
      </w:r>
      <w:r w:rsidRPr="000929D9">
        <w:t xml:space="preserve">) rate design in the manner proposed by the Company in its 2010 base rate case. </w:t>
      </w:r>
      <w:r w:rsidR="0062415D">
        <w:t xml:space="preserve"> </w:t>
      </w:r>
      <w:r w:rsidRPr="000929D9">
        <w:t>Under SFV pricing, the flat monthly charge would cover all the fixed costs associated with serving customers, and any consumption would be billed at the actual cost of the commodity.  The LDC fully decoupled revenues from services, and customers would pay on a volumetric basis only through Riders PGC and USP and only for the amount of gas commodity used each month and for the recovery of Universal Service Program costs.</w:t>
      </w:r>
      <w:r w:rsidR="0062415D">
        <w:t xml:space="preserve">  </w:t>
      </w:r>
      <w:r w:rsidRPr="000929D9">
        <w:t>Columbia Statement No. 1, p. 22; Columbia Statement No. 15, p. 32</w:t>
      </w:r>
      <w:r w:rsidR="00D45C1D">
        <w:t>;</w:t>
      </w:r>
      <w:r w:rsidRPr="000929D9">
        <w:t xml:space="preserve"> </w:t>
      </w:r>
      <w:r w:rsidR="00F96BA5">
        <w:t>I&amp;E</w:t>
      </w:r>
      <w:r w:rsidRPr="000929D9">
        <w:t xml:space="preserve"> St. in Support, p. 15.</w:t>
      </w:r>
    </w:p>
    <w:p w:rsidR="00F134D1" w:rsidRDefault="00F134D1" w:rsidP="00F134D1">
      <w:pPr>
        <w:spacing w:line="360" w:lineRule="auto"/>
        <w:ind w:firstLine="1440"/>
        <w:contextualSpacing/>
      </w:pPr>
    </w:p>
    <w:p w:rsidR="00F134D1" w:rsidRDefault="00F96BA5" w:rsidP="00F134D1">
      <w:pPr>
        <w:spacing w:line="360" w:lineRule="auto"/>
        <w:ind w:firstLine="1440"/>
        <w:contextualSpacing/>
      </w:pPr>
      <w:r>
        <w:lastRenderedPageBreak/>
        <w:t>I&amp;E</w:t>
      </w:r>
      <w:r w:rsidR="00A77698" w:rsidRPr="000929D9">
        <w:t xml:space="preserve"> further notes, as part of its overall rate design proposal, the Company proposed a tariff change that would have renamed the traditional customer charge </w:t>
      </w:r>
      <w:r w:rsidR="007A2E0D">
        <w:t xml:space="preserve">as a monthly “system charge.”  </w:t>
      </w:r>
      <w:r w:rsidR="00A77698" w:rsidRPr="000929D9">
        <w:t>Columbia Statement No. 1, p. 22; Columbia Statement No. 15, p. 32</w:t>
      </w:r>
      <w:r w:rsidR="007A2E0D">
        <w:t>;</w:t>
      </w:r>
      <w:r w:rsidR="0062415D">
        <w:t xml:space="preserve"> </w:t>
      </w:r>
      <w:r>
        <w:t>I&amp;E</w:t>
      </w:r>
      <w:r w:rsidR="00A77698" w:rsidRPr="000929D9">
        <w:t xml:space="preserve"> St. in Support, p. 15.</w:t>
      </w:r>
    </w:p>
    <w:p w:rsidR="00F134D1" w:rsidRDefault="00F134D1" w:rsidP="00F134D1">
      <w:pPr>
        <w:spacing w:line="360" w:lineRule="auto"/>
        <w:ind w:firstLine="1440"/>
        <w:contextualSpacing/>
      </w:pPr>
    </w:p>
    <w:p w:rsidR="00F134D1" w:rsidRDefault="00A77698" w:rsidP="00F134D1">
      <w:pPr>
        <w:spacing w:line="360" w:lineRule="auto"/>
        <w:ind w:firstLine="1440"/>
        <w:contextualSpacing/>
      </w:pPr>
      <w:r w:rsidRPr="000929D9">
        <w:t>I&amp;E witness Jeremy Hubert addressed the Company’s rate design proposals.</w:t>
      </w:r>
      <w:r w:rsidR="0062415D">
        <w:t xml:space="preserve"> </w:t>
      </w:r>
      <w:r w:rsidRPr="000929D9">
        <w:t xml:space="preserve"> Mr. Hubert expressed concern over the Company’s proposal to recover its residential revenue allocation primarily from the customer charge, asserting it neither represented sound regulatory policy nor bes</w:t>
      </w:r>
      <w:r w:rsidR="0062415D">
        <w:t xml:space="preserve">t served the public interest.  </w:t>
      </w:r>
      <w:r w:rsidRPr="000929D9">
        <w:t>Mr. Hubert asserted that a significantly higher monthly fixed charge typically presents public acceptability problems, especially if it did not reflect customers’ changes in their use of the product.</w:t>
      </w:r>
      <w:r w:rsidR="0062415D">
        <w:t xml:space="preserve"> </w:t>
      </w:r>
      <w:r w:rsidRPr="000929D9">
        <w:t xml:space="preserve"> In addition, low usage customers within a customer class would experience a greater percentage increase than high usage customers, particularly problematic to customers who attempted to con</w:t>
      </w:r>
      <w:r w:rsidR="0062415D">
        <w:t xml:space="preserve">trol their usage. </w:t>
      </w:r>
      <w:r w:rsidRPr="000929D9">
        <w:t xml:space="preserve"> According to Mr.</w:t>
      </w:r>
      <w:r w:rsidR="0062415D">
        <w:t> </w:t>
      </w:r>
      <w:r w:rsidRPr="000929D9">
        <w:t xml:space="preserve">Hubert, although this rate structure allowed for a greater guarantee of revenues for a utility, it also reduced the benefit for consumers to conserve and use less gas. </w:t>
      </w:r>
      <w:r w:rsidR="0062415D">
        <w:t xml:space="preserve"> </w:t>
      </w:r>
      <w:r w:rsidR="00F96BA5">
        <w:t>I&amp;E</w:t>
      </w:r>
      <w:r w:rsidRPr="000929D9">
        <w:t xml:space="preserve"> Statement No. 3, pp. 40, 42-45</w:t>
      </w:r>
      <w:r w:rsidR="007A2E0D">
        <w:t>;</w:t>
      </w:r>
      <w:r w:rsidRPr="000929D9">
        <w:t xml:space="preserve"> </w:t>
      </w:r>
      <w:r w:rsidR="00F96BA5">
        <w:t>I&amp;E</w:t>
      </w:r>
      <w:r w:rsidRPr="000929D9">
        <w:t xml:space="preserve"> St. in Support, pp. 15-16.</w:t>
      </w:r>
    </w:p>
    <w:p w:rsidR="00F134D1" w:rsidRDefault="00F134D1" w:rsidP="00F134D1">
      <w:pPr>
        <w:spacing w:line="360" w:lineRule="auto"/>
        <w:ind w:firstLine="1440"/>
        <w:contextualSpacing/>
      </w:pPr>
    </w:p>
    <w:p w:rsidR="006C6489" w:rsidRDefault="00F96BA5" w:rsidP="006C6489">
      <w:pPr>
        <w:spacing w:line="360" w:lineRule="auto"/>
        <w:ind w:firstLine="1440"/>
        <w:contextualSpacing/>
      </w:pPr>
      <w:r>
        <w:t>I&amp;E</w:t>
      </w:r>
      <w:r w:rsidR="00A77698" w:rsidRPr="000929D9">
        <w:t xml:space="preserve"> witness Jeremy Hubert also concluded that Columbia’s proposed rate design options were not necessary in Pennsylvania in order to promote a more “credit supportive” rate structure to investors. </w:t>
      </w:r>
      <w:r w:rsidR="00550182">
        <w:t xml:space="preserve"> </w:t>
      </w:r>
      <w:r w:rsidR="00A77698" w:rsidRPr="000929D9">
        <w:t>While the Company cited a 2009 Standard and Poor’s Rating Service investor presentation before this Commission as support for its contention that the investment community looks for a rate structure that provides more certainty, as Mr. Hubert testified, by the time the current rate case was filed, Pennsylvania’s regulatory environment already provided for several of the credit supportive mechanisms addressed in the Stan</w:t>
      </w:r>
      <w:r w:rsidR="00550182">
        <w:t xml:space="preserve">dard and Poor’s presentation.  </w:t>
      </w:r>
      <w:r w:rsidR="00A77698" w:rsidRPr="000929D9">
        <w:t>For example, the “various trackers” noted in the presentation included “forward-looking measures,” “pre-approval of significant capital outlays,” and “infrastructure surcharges” such as the newly</w:t>
      </w:r>
      <w:r w:rsidR="007A2E0D">
        <w:t>-</w:t>
      </w:r>
      <w:r w:rsidR="00A77698" w:rsidRPr="000929D9">
        <w:t>enacted FPFTY and Distribution System Improvement Charge (</w:t>
      </w:r>
      <w:r w:rsidR="00286364">
        <w:t>“</w:t>
      </w:r>
      <w:r w:rsidR="00A77698" w:rsidRPr="000929D9">
        <w:t>DSIC</w:t>
      </w:r>
      <w:r w:rsidR="00286364">
        <w:t>”</w:t>
      </w:r>
      <w:r w:rsidR="00A77698" w:rsidRPr="000929D9">
        <w:t xml:space="preserve">) provided for in Act 11.  </w:t>
      </w:r>
      <w:r>
        <w:t>I&amp;E</w:t>
      </w:r>
      <w:r w:rsidR="00A77698" w:rsidRPr="000929D9">
        <w:t xml:space="preserve"> asserts that, as measures authorized between rate cases, these mechanisms were either used by Columbia in the current proceeding as is the case with the FPFTY, or were proposed by the Company contemporaneously with the current proceeding, as is the case with </w:t>
      </w:r>
      <w:r w:rsidR="00A77698" w:rsidRPr="000929D9">
        <w:lastRenderedPageBreak/>
        <w:t>the DSIC, which is currently pending for Columbia a</w:t>
      </w:r>
      <w:r w:rsidR="00550182">
        <w:t xml:space="preserve">t Docket No. P-2012-2338282.  </w:t>
      </w:r>
      <w:r>
        <w:t>I&amp;E</w:t>
      </w:r>
      <w:r w:rsidR="00550182">
        <w:t xml:space="preserve"> St. in Support,</w:t>
      </w:r>
      <w:r w:rsidR="00A77698" w:rsidRPr="000929D9">
        <w:t xml:space="preserve"> p.</w:t>
      </w:r>
      <w:r w:rsidR="007A2E0D">
        <w:t xml:space="preserve"> </w:t>
      </w:r>
      <w:r w:rsidR="00A77698" w:rsidRPr="000929D9">
        <w:t>16.</w:t>
      </w:r>
    </w:p>
    <w:p w:rsidR="006C6489" w:rsidRDefault="006C6489" w:rsidP="006C6489">
      <w:pPr>
        <w:spacing w:line="360" w:lineRule="auto"/>
        <w:ind w:firstLine="1440"/>
        <w:contextualSpacing/>
      </w:pPr>
    </w:p>
    <w:p w:rsidR="006C6489" w:rsidRDefault="00A77698" w:rsidP="006C6489">
      <w:pPr>
        <w:spacing w:line="360" w:lineRule="auto"/>
        <w:ind w:firstLine="1440"/>
        <w:contextualSpacing/>
      </w:pPr>
      <w:r w:rsidRPr="000929D9">
        <w:t xml:space="preserve">Mr. Hubert recommended that the Commission approve a residential monthly customer charge of $16.53 based upon I&amp;E’s direct customer cost analysis. </w:t>
      </w:r>
      <w:r w:rsidR="00550182">
        <w:t xml:space="preserve"> </w:t>
      </w:r>
      <w:r w:rsidRPr="000929D9">
        <w:t xml:space="preserve">This proposal represented an increase of $3.41 to the Company’s current customer charge </w:t>
      </w:r>
      <w:r w:rsidRPr="000929D9">
        <w:rPr>
          <w:i/>
        </w:rPr>
        <w:t>with the 2</w:t>
      </w:r>
      <w:r w:rsidR="002A4728">
        <w:rPr>
          <w:i/>
        </w:rPr>
        <w:t xml:space="preserve"> </w:t>
      </w:r>
      <w:r w:rsidRPr="000929D9">
        <w:rPr>
          <w:i/>
        </w:rPr>
        <w:t>Dth currently included in the present customer charge removed</w:t>
      </w:r>
      <w:r w:rsidR="007A2E0D">
        <w:t xml:space="preserve">.  </w:t>
      </w:r>
      <w:r w:rsidR="00F96BA5">
        <w:t>I&amp;E</w:t>
      </w:r>
      <w:r w:rsidR="007A2E0D">
        <w:t xml:space="preserve"> Statement No. 3, p. 48.</w:t>
      </w:r>
      <w:r w:rsidRPr="000929D9">
        <w:t xml:space="preserve">  Mr.</w:t>
      </w:r>
      <w:r w:rsidR="00550182">
        <w:t> </w:t>
      </w:r>
      <w:r w:rsidRPr="000929D9">
        <w:t xml:space="preserve">Hubert also rejected the Company’s proposal to rename the customer charge a “system charge” on the basis that until the Commission abandons the concept and manner of developing a customer charge, the term should not be changed in the Company's tariff.  </w:t>
      </w:r>
      <w:r w:rsidR="00F96BA5">
        <w:t>I&amp;E</w:t>
      </w:r>
      <w:r w:rsidR="00550182">
        <w:t xml:space="preserve"> Statement No. 3, p. 52.  </w:t>
      </w:r>
      <w:r w:rsidRPr="000929D9">
        <w:t>Finally, with respect to the Company’s proposed rate design, while Mr. Hubert’s primary position was that a new rate design was not necessary in light of the forward-looking measures, pre-approval of significant capital outlays, and infrastructure surcharges approved in Act 11 subsequent to the direction the Commission provided in Columbia’s 2010 case, in the event the Commission desired to implement a further re</w:t>
      </w:r>
      <w:r w:rsidR="00550182">
        <w:t>venue decoupling mechanism, Mr. </w:t>
      </w:r>
      <w:r w:rsidRPr="000929D9">
        <w:t>Hubert recommended the RNA, a recommendation he ultimately revised to the WNA.</w:t>
      </w:r>
      <w:r w:rsidR="00550182">
        <w:t xml:space="preserve"> </w:t>
      </w:r>
      <w:r w:rsidR="007A2E0D">
        <w:t xml:space="preserve"> </w:t>
      </w:r>
      <w:r w:rsidR="00F96BA5">
        <w:t>I&amp;E</w:t>
      </w:r>
      <w:r w:rsidRPr="000929D9">
        <w:t xml:space="preserve"> Statement No. 3-SR, p. 20</w:t>
      </w:r>
      <w:r w:rsidR="007A2E0D">
        <w:t>;</w:t>
      </w:r>
      <w:r w:rsidRPr="000929D9">
        <w:t xml:space="preserve"> </w:t>
      </w:r>
      <w:r w:rsidR="00F96BA5">
        <w:t>I&amp;E</w:t>
      </w:r>
      <w:r w:rsidRPr="000929D9">
        <w:t xml:space="preserve"> St. in Support, pp. 16-17. </w:t>
      </w:r>
    </w:p>
    <w:p w:rsidR="006C6489" w:rsidRDefault="006C6489" w:rsidP="006C6489">
      <w:pPr>
        <w:spacing w:line="360" w:lineRule="auto"/>
        <w:ind w:firstLine="1440"/>
        <w:contextualSpacing/>
      </w:pPr>
    </w:p>
    <w:p w:rsidR="006C6489" w:rsidRDefault="00550182" w:rsidP="006C6489">
      <w:pPr>
        <w:spacing w:line="360" w:lineRule="auto"/>
        <w:ind w:firstLine="1440"/>
        <w:contextualSpacing/>
      </w:pPr>
      <w:r>
        <w:t>In</w:t>
      </w:r>
      <w:r w:rsidR="00A77698" w:rsidRPr="000929D9">
        <w:t xml:space="preserve"> the Settlement, the Joint Petitioners agreed to Columbia’s trial implementation of the WNA.  However, </w:t>
      </w:r>
      <w:r w:rsidR="00F96BA5">
        <w:t>I&amp;E</w:t>
      </w:r>
      <w:r w:rsidR="00A77698" w:rsidRPr="000929D9">
        <w:t xml:space="preserve"> asserts the WNA, as agreed upon, was modified substantially from the Company’s original proposal. </w:t>
      </w:r>
      <w:r>
        <w:t xml:space="preserve"> </w:t>
      </w:r>
      <w:r w:rsidR="00A77698" w:rsidRPr="000929D9">
        <w:t>In lieu of the $29.00 “system charge” proposed by Columbia, Joint Petitioners agreed to a $16.75 monthly customer charge with no usage included.  The WNA is also to be implemented with a 5% deadband, meaning that there will be no rate adjustment until weather deviates to below 95% or above 105% of normal weather and the adjustment is t</w:t>
      </w:r>
      <w:r>
        <w:t xml:space="preserve">o the deadband threshold only. </w:t>
      </w:r>
      <w:r w:rsidR="00A77698" w:rsidRPr="000929D9">
        <w:t xml:space="preserve"> Finally, the WNA is to operate on a pilot basis and come with attendant record keeping and reporting requirements.  The WNA will operate for a minimum of three years beginning October 2013 and will continue until the Commission’s entry of a final order in a Company base rate case filed after May 31, 2016.  Beginning on October 1, 2014, and annually thereafter, the Company will provide to the statutory parties all reports and records supporting the operation of the WNA for the preceding year, including the monthly computation and all underlying data.  </w:t>
      </w:r>
      <w:r w:rsidR="00F96BA5">
        <w:t>I&amp;E</w:t>
      </w:r>
      <w:r w:rsidR="00A77698" w:rsidRPr="000929D9">
        <w:t xml:space="preserve"> St. in Support, pp. 17-18.</w:t>
      </w:r>
    </w:p>
    <w:p w:rsidR="006C6489" w:rsidRDefault="006C6489" w:rsidP="006C6489">
      <w:pPr>
        <w:spacing w:line="360" w:lineRule="auto"/>
        <w:ind w:firstLine="1440"/>
        <w:contextualSpacing/>
      </w:pPr>
    </w:p>
    <w:p w:rsidR="006C6489" w:rsidRDefault="00F96BA5" w:rsidP="006C6489">
      <w:pPr>
        <w:spacing w:line="360" w:lineRule="auto"/>
        <w:ind w:firstLine="1440"/>
        <w:contextualSpacing/>
      </w:pPr>
      <w:r>
        <w:t>I&amp;E</w:t>
      </w:r>
      <w:r w:rsidR="00A77698" w:rsidRPr="000929D9">
        <w:t xml:space="preserve"> points out that, in resolving the Company’s proposed rate design in a manner that adopts one of the Company’s proposed revenue decoupling mechanisms, the Settlement contains a further acknowledgement that such rate design positively impacts the Company’s risk for purposes of rate of return.  Specifically at paragraph 42 of the Settlement, Joint Petitioners agree that the residential rate design adopted in this Settlement increases the Company’s revenue stability and thereby reduces the Company’s risk for purposes of determining an adequate return on equity, a fact Joint Petitioners recognized in establishing the revenue requirement in this Settlement.  </w:t>
      </w:r>
      <w:r>
        <w:t>I&amp;E</w:t>
      </w:r>
      <w:r w:rsidR="00A77698" w:rsidRPr="000929D9">
        <w:t xml:space="preserve"> St. in Support, p. 18.</w:t>
      </w:r>
    </w:p>
    <w:p w:rsidR="006C6489" w:rsidRDefault="006C6489" w:rsidP="006C6489">
      <w:pPr>
        <w:spacing w:line="360" w:lineRule="auto"/>
        <w:ind w:firstLine="1440"/>
        <w:contextualSpacing/>
      </w:pPr>
    </w:p>
    <w:p w:rsidR="00A77698" w:rsidRPr="000929D9" w:rsidRDefault="00F96BA5" w:rsidP="00550182">
      <w:pPr>
        <w:spacing w:line="360" w:lineRule="auto"/>
        <w:ind w:firstLine="1440"/>
        <w:contextualSpacing/>
      </w:pPr>
      <w:r>
        <w:t>I&amp;E</w:t>
      </w:r>
      <w:r w:rsidR="00A77698" w:rsidRPr="000929D9">
        <w:t xml:space="preserve"> argues the Settlement provides for use of a revenue decoupling mechanism as invited by the Commission in resolution of the Company’s 2010 base rate case, and the WNA as agreed upon in the Settlement also respects traditional Commission concerns such as maintaining reasonable monthly fixed charges that continue to provide customers the ability to recognize the benefits of energy efficiency, goals also advanced by I&amp;E witness Hubert.</w:t>
      </w:r>
      <w:r w:rsidR="00550182">
        <w:t xml:space="preserve"> </w:t>
      </w:r>
      <w:r w:rsidR="007A2E0D">
        <w:t xml:space="preserve"> </w:t>
      </w:r>
      <w:r>
        <w:t>I&amp;E</w:t>
      </w:r>
      <w:r w:rsidR="00A77698" w:rsidRPr="000929D9">
        <w:t xml:space="preserve"> Statement No. 3, p. 48.  </w:t>
      </w:r>
      <w:r>
        <w:t>I&amp;E</w:t>
      </w:r>
      <w:r w:rsidR="00A77698" w:rsidRPr="000929D9">
        <w:t xml:space="preserve"> further concludes, because it is implemented on a pilot basis, both parties and the Commission will have the ability to draw from experience with this proposal before other utilities charge f</w:t>
      </w:r>
      <w:r w:rsidR="00550182">
        <w:t xml:space="preserve">orward with similar requests.  </w:t>
      </w:r>
      <w:r>
        <w:t>I&amp;E</w:t>
      </w:r>
      <w:r w:rsidR="00A77698" w:rsidRPr="000929D9">
        <w:t xml:space="preserve"> n</w:t>
      </w:r>
      <w:r w:rsidR="007A2E0D">
        <w:t>otes that the Settlement, which</w:t>
      </w:r>
      <w:r w:rsidR="00A77698" w:rsidRPr="000929D9">
        <w:t xml:space="preserve"> achieves a well-thought out consensus position on such a contentious issue, in a manner that provides an innovative approach to a novel issue, is in the public interest.  </w:t>
      </w:r>
      <w:r>
        <w:t>I&amp;E</w:t>
      </w:r>
      <w:r w:rsidR="00A77698" w:rsidRPr="000929D9">
        <w:t xml:space="preserve"> St. in Support, pp. 18-19.</w:t>
      </w:r>
    </w:p>
    <w:p w:rsidR="00A77698" w:rsidRPr="000929D9" w:rsidRDefault="00A77698" w:rsidP="00550182">
      <w:pPr>
        <w:spacing w:line="360" w:lineRule="auto"/>
        <w:ind w:firstLine="720"/>
        <w:contextualSpacing/>
        <w:jc w:val="both"/>
      </w:pPr>
      <w:r w:rsidRPr="000929D9">
        <w:t xml:space="preserve"> </w:t>
      </w:r>
    </w:p>
    <w:p w:rsidR="00A77698" w:rsidRDefault="00A77698" w:rsidP="00550182">
      <w:pPr>
        <w:tabs>
          <w:tab w:val="left" w:pos="720"/>
          <w:tab w:val="left" w:pos="1440"/>
          <w:tab w:val="num" w:pos="2160"/>
        </w:tabs>
        <w:spacing w:line="360" w:lineRule="auto"/>
      </w:pPr>
      <w:r w:rsidRPr="000929D9">
        <w:rPr>
          <w:b/>
        </w:rPr>
        <w:tab/>
      </w:r>
      <w:r w:rsidRPr="000929D9">
        <w:t>3.</w:t>
      </w:r>
      <w:r w:rsidRPr="000929D9">
        <w:rPr>
          <w:b/>
        </w:rPr>
        <w:tab/>
      </w:r>
      <w:r w:rsidRPr="000929D9">
        <w:rPr>
          <w:u w:val="single"/>
        </w:rPr>
        <w:t>Universal Service and Conservation</w:t>
      </w:r>
      <w:r w:rsidRPr="000929D9">
        <w:rPr>
          <w:i/>
          <w:u w:val="single"/>
        </w:rPr>
        <w:t xml:space="preserve"> </w:t>
      </w:r>
      <w:r w:rsidRPr="000929D9">
        <w:rPr>
          <w:u w:val="single"/>
        </w:rPr>
        <w:t>(Joint Petition ¶¶ 48-52)</w:t>
      </w:r>
      <w:r w:rsidRPr="000929D9">
        <w:t xml:space="preserve"> </w:t>
      </w:r>
    </w:p>
    <w:p w:rsidR="00550182" w:rsidRPr="000929D9" w:rsidRDefault="00550182" w:rsidP="00550182">
      <w:pPr>
        <w:tabs>
          <w:tab w:val="left" w:pos="720"/>
          <w:tab w:val="left" w:pos="1440"/>
          <w:tab w:val="num" w:pos="2160"/>
        </w:tabs>
        <w:spacing w:line="360" w:lineRule="auto"/>
      </w:pPr>
    </w:p>
    <w:p w:rsidR="00A77698" w:rsidRPr="000929D9" w:rsidRDefault="00A77698" w:rsidP="00550182">
      <w:pPr>
        <w:tabs>
          <w:tab w:val="left" w:pos="720"/>
          <w:tab w:val="left" w:pos="1440"/>
          <w:tab w:val="left" w:pos="2160"/>
        </w:tabs>
        <w:spacing w:line="360" w:lineRule="auto"/>
        <w:rPr>
          <w:u w:val="single"/>
        </w:rPr>
      </w:pPr>
      <w:r w:rsidRPr="000929D9">
        <w:tab/>
      </w:r>
      <w:r w:rsidRPr="000929D9">
        <w:tab/>
        <w:t>a.</w:t>
      </w:r>
      <w:r w:rsidRPr="000929D9">
        <w:rPr>
          <w:b/>
        </w:rPr>
        <w:tab/>
      </w:r>
      <w:r w:rsidRPr="000929D9">
        <w:rPr>
          <w:u w:val="single"/>
        </w:rPr>
        <w:t>WarmWise</w:t>
      </w:r>
      <w:r w:rsidRPr="000929D9">
        <w:rPr>
          <w:u w:val="single"/>
          <w:vertAlign w:val="superscript"/>
        </w:rPr>
        <w:t>®</w:t>
      </w:r>
      <w:r w:rsidRPr="000929D9">
        <w:rPr>
          <w:u w:val="single"/>
        </w:rPr>
        <w:t xml:space="preserve"> LIURP Funding</w:t>
      </w:r>
    </w:p>
    <w:p w:rsidR="006C6489" w:rsidRDefault="006C6489" w:rsidP="00550182">
      <w:pPr>
        <w:tabs>
          <w:tab w:val="left" w:pos="720"/>
        </w:tabs>
        <w:spacing w:line="360" w:lineRule="auto"/>
        <w:jc w:val="both"/>
      </w:pPr>
    </w:p>
    <w:p w:rsidR="006E5DEC" w:rsidRDefault="00A77698" w:rsidP="00550182">
      <w:pPr>
        <w:tabs>
          <w:tab w:val="left" w:pos="720"/>
        </w:tabs>
        <w:spacing w:line="360" w:lineRule="auto"/>
        <w:ind w:firstLine="1440"/>
      </w:pPr>
      <w:r w:rsidRPr="000929D9">
        <w:t>The Settlement, at paragraph 48, permits the Company to increase its annual WarmWise</w:t>
      </w:r>
      <w:r w:rsidRPr="000929D9">
        <w:rPr>
          <w:b/>
          <w:vertAlign w:val="superscript"/>
        </w:rPr>
        <w:t>®</w:t>
      </w:r>
      <w:r w:rsidRPr="000929D9">
        <w:t xml:space="preserve"> LIURP funding from $4,000,000 to $4,500,000. </w:t>
      </w:r>
      <w:r w:rsidR="00550182">
        <w:t xml:space="preserve"> </w:t>
      </w:r>
      <w:r w:rsidRPr="000929D9">
        <w:t>The Community Action Association of Pennsylvania (</w:t>
      </w:r>
      <w:r w:rsidR="007A2E0D">
        <w:t>“</w:t>
      </w:r>
      <w:r w:rsidRPr="000929D9">
        <w:t>CAAP</w:t>
      </w:r>
      <w:r w:rsidR="007A2E0D">
        <w:t>”</w:t>
      </w:r>
      <w:r w:rsidRPr="000929D9">
        <w:t>) proposed that Columbia’s LIURP funding be increased by $1,000,000 in 2013 and proposed additional $500,000 increases in 2014 and 2015, resulting in a $6,000,000 funding level by 2015.</w:t>
      </w:r>
      <w:r w:rsidR="006E5DEC">
        <w:t xml:space="preserve"> </w:t>
      </w:r>
      <w:r w:rsidR="00550182">
        <w:t xml:space="preserve"> </w:t>
      </w:r>
      <w:r w:rsidR="007A2E0D">
        <w:t>CAAP Statement No. 1, p. 7.</w:t>
      </w:r>
      <w:r w:rsidR="006E5DEC">
        <w:t xml:space="preserve">  </w:t>
      </w:r>
      <w:r w:rsidRPr="000929D9">
        <w:t xml:space="preserve">I&amp;E opposed CAAP’s </w:t>
      </w:r>
      <w:r w:rsidRPr="000929D9">
        <w:lastRenderedPageBreak/>
        <w:t xml:space="preserve">requested LIURP increases and recommended that Columbia’s LIURP funding remain at $4,000,000.  I&amp;E argues it demonstrated that, since 2002, there has been substantial growth in ratepayer expense associated with the LIURP program.  </w:t>
      </w:r>
      <w:r w:rsidR="00F96BA5">
        <w:t>I&amp;E</w:t>
      </w:r>
      <w:r w:rsidRPr="000929D9">
        <w:t xml:space="preserve"> asserts that Columbia’s LIURP funding was $1,376,403 in 2002 and $4,000,000 in </w:t>
      </w:r>
      <w:r w:rsidR="006E5DEC">
        <w:t xml:space="preserve">2012, </w:t>
      </w:r>
      <w:r w:rsidR="00720FFC">
        <w:t xml:space="preserve">resulting in a 191% increase.  </w:t>
      </w:r>
      <w:r w:rsidR="00F96BA5">
        <w:t>I&amp;E</w:t>
      </w:r>
      <w:r w:rsidRPr="000929D9">
        <w:t xml:space="preserve"> Statement No. 4-R, p. 11.</w:t>
      </w:r>
      <w:r w:rsidR="006E5DEC">
        <w:t xml:space="preserve">  </w:t>
      </w:r>
      <w:r w:rsidRPr="000929D9">
        <w:t>If the additional increases proposed by CAAP were implemented,</w:t>
      </w:r>
      <w:r w:rsidR="006E5DEC">
        <w:t xml:space="preserve"> </w:t>
      </w:r>
      <w:r w:rsidR="00F96BA5">
        <w:t>I&amp;E</w:t>
      </w:r>
      <w:r w:rsidR="00550182">
        <w:t xml:space="preserve"> argues, </w:t>
      </w:r>
      <w:r w:rsidRPr="000929D9">
        <w:t xml:space="preserve">LIURP funding would have increased by 263% in 2012, 300% in 2013, and 326% in 2014, over the 2002 funding level.  </w:t>
      </w:r>
      <w:r w:rsidR="00F96BA5">
        <w:t>I&amp;E</w:t>
      </w:r>
      <w:r w:rsidRPr="000929D9">
        <w:t xml:space="preserve"> St</w:t>
      </w:r>
      <w:r w:rsidR="006E5DEC">
        <w:t>.</w:t>
      </w:r>
      <w:r w:rsidRPr="000929D9">
        <w:t xml:space="preserve"> in Support, pp. 19-20.</w:t>
      </w:r>
    </w:p>
    <w:p w:rsidR="006E5DEC" w:rsidRDefault="006E5DEC" w:rsidP="006E5DEC">
      <w:pPr>
        <w:tabs>
          <w:tab w:val="left" w:pos="720"/>
        </w:tabs>
        <w:spacing w:line="360" w:lineRule="auto"/>
        <w:ind w:firstLine="1440"/>
      </w:pPr>
    </w:p>
    <w:p w:rsidR="006E5DEC" w:rsidRDefault="00550182" w:rsidP="006E5DEC">
      <w:pPr>
        <w:tabs>
          <w:tab w:val="left" w:pos="720"/>
        </w:tabs>
        <w:spacing w:line="360" w:lineRule="auto"/>
        <w:ind w:firstLine="1440"/>
      </w:pPr>
      <w:r>
        <w:t>I&amp;E</w:t>
      </w:r>
      <w:r w:rsidR="00A77698" w:rsidRPr="000929D9">
        <w:t xml:space="preserve"> argues that its concern with these increases stems from the fact that Columbia’s low-income programs are funded almost entirely by ratepayers.  </w:t>
      </w:r>
      <w:r w:rsidR="00F96BA5">
        <w:t>I&amp;E</w:t>
      </w:r>
      <w:r w:rsidR="00A77698" w:rsidRPr="000929D9">
        <w:t xml:space="preserve"> explains that  </w:t>
      </w:r>
      <w:r w:rsidR="00720FFC">
        <w:t xml:space="preserve">from 2008 to 2011, on average, </w:t>
      </w:r>
      <w:r w:rsidR="00A77698" w:rsidRPr="000929D9">
        <w:t>99% of state jurisdictional funding was provided through base rates and riders and less than 1% th</w:t>
      </w:r>
      <w:r w:rsidR="006E5DEC">
        <w:t>r</w:t>
      </w:r>
      <w:r w:rsidR="00A77698" w:rsidRPr="000929D9">
        <w:t>ough shareholder contributions.</w:t>
      </w:r>
      <w:r>
        <w:t xml:space="preserve"> </w:t>
      </w:r>
      <w:r w:rsidR="00720FFC">
        <w:t xml:space="preserve"> </w:t>
      </w:r>
      <w:r w:rsidR="00F96BA5">
        <w:t>I&amp;E</w:t>
      </w:r>
      <w:r w:rsidR="00720FFC">
        <w:t xml:space="preserve"> Statement No. 4-R, p.</w:t>
      </w:r>
      <w:r w:rsidR="004E11D4">
        <w:t> </w:t>
      </w:r>
      <w:r w:rsidR="00720FFC">
        <w:t>11.</w:t>
      </w:r>
      <w:r w:rsidR="00A77698" w:rsidRPr="000929D9">
        <w:t xml:space="preserve">  Because residential customers substantially bear the cost of these low</w:t>
      </w:r>
      <w:r w:rsidR="00720FFC">
        <w:t xml:space="preserve"> </w:t>
      </w:r>
      <w:r w:rsidR="00A77698" w:rsidRPr="000929D9">
        <w:t xml:space="preserve">income programs,  I&amp;E was concerned about the added burden CAAP’s requested LIURP increases would have on residential ratepayers who are compelled to pay for this funding through rates.  </w:t>
      </w:r>
      <w:r w:rsidR="00F96BA5">
        <w:t>I&amp;E</w:t>
      </w:r>
      <w:r w:rsidR="00A77698" w:rsidRPr="000929D9">
        <w:t xml:space="preserve"> argues the Settlement balances I&amp;E’s concerns with CAAP’s proposal by containing a $500,000 increase to LIURP funding, which is in the public interest because it allows the Company to continue to provide energy reduction services to its low income customers, while at the same time moderates the amou</w:t>
      </w:r>
      <w:r>
        <w:t xml:space="preserve">nt recovered from ratepayers.  </w:t>
      </w:r>
      <w:r w:rsidR="00F96BA5">
        <w:t>I&amp;E</w:t>
      </w:r>
      <w:r w:rsidR="00A77698" w:rsidRPr="000929D9">
        <w:t xml:space="preserve"> St. in Support, p. 20.</w:t>
      </w:r>
    </w:p>
    <w:p w:rsidR="006E5DEC" w:rsidRDefault="006E5DEC" w:rsidP="006E5DEC">
      <w:pPr>
        <w:tabs>
          <w:tab w:val="left" w:pos="720"/>
        </w:tabs>
        <w:spacing w:line="360" w:lineRule="auto"/>
        <w:ind w:firstLine="1440"/>
      </w:pPr>
    </w:p>
    <w:p w:rsidR="006E5DEC" w:rsidRDefault="00A77698" w:rsidP="00550182">
      <w:pPr>
        <w:tabs>
          <w:tab w:val="left" w:pos="720"/>
        </w:tabs>
        <w:spacing w:line="360" w:lineRule="auto"/>
        <w:ind w:firstLine="1440"/>
      </w:pPr>
      <w:r w:rsidRPr="000929D9">
        <w:t>The Settlement also addresses the Company’s request for additional flexibility with respect to its WarmWise</w:t>
      </w:r>
      <w:r w:rsidRPr="000929D9">
        <w:rPr>
          <w:b/>
          <w:vertAlign w:val="superscript"/>
        </w:rPr>
        <w:t>®</w:t>
      </w:r>
      <w:r w:rsidRPr="000929D9">
        <w:t xml:space="preserve"> Audits &amp; Rebates (</w:t>
      </w:r>
      <w:r w:rsidR="00720FFC">
        <w:t>“</w:t>
      </w:r>
      <w:r w:rsidRPr="000929D9">
        <w:t>WarmWise</w:t>
      </w:r>
      <w:r w:rsidRPr="000929D9">
        <w:rPr>
          <w:b/>
          <w:vertAlign w:val="superscript"/>
        </w:rPr>
        <w:t>®</w:t>
      </w:r>
      <w:r w:rsidRPr="000929D9">
        <w:t xml:space="preserve"> A&amp;R</w:t>
      </w:r>
      <w:r w:rsidR="00720FFC">
        <w:t>”</w:t>
      </w:r>
      <w:r w:rsidRPr="000929D9">
        <w:t xml:space="preserve">) program. </w:t>
      </w:r>
      <w:r w:rsidR="00550182">
        <w:t xml:space="preserve"> </w:t>
      </w:r>
      <w:r w:rsidRPr="000929D9">
        <w:t>The Settlement, at paragraph 49, allows the Company flexibility to make changes to its WarmWise</w:t>
      </w:r>
      <w:r w:rsidRPr="000929D9">
        <w:rPr>
          <w:b/>
          <w:vertAlign w:val="superscript"/>
        </w:rPr>
        <w:t>®</w:t>
      </w:r>
      <w:r w:rsidRPr="000929D9">
        <w:t xml:space="preserve"> A&amp;R program, but does not include the authority to change the current customer income eligibility requirements. </w:t>
      </w:r>
      <w:r w:rsidR="00550182">
        <w:t xml:space="preserve"> </w:t>
      </w:r>
      <w:r w:rsidRPr="000929D9">
        <w:t>The WarmWise</w:t>
      </w:r>
      <w:r w:rsidRPr="000929D9">
        <w:rPr>
          <w:b/>
          <w:vertAlign w:val="superscript"/>
        </w:rPr>
        <w:t>®</w:t>
      </w:r>
      <w:r w:rsidRPr="000929D9">
        <w:t xml:space="preserve"> A&amp;R program is managed by Columbia to promote energy efficiency among customers whose incomes are between 151% and 250% of the Federal Poverty Level. </w:t>
      </w:r>
      <w:r w:rsidR="00550182">
        <w:t xml:space="preserve"> </w:t>
      </w:r>
      <w:r w:rsidRPr="000929D9">
        <w:t>The Company requested that it be permitted to make changes to the WarmWise</w:t>
      </w:r>
      <w:r w:rsidRPr="000929D9">
        <w:rPr>
          <w:b/>
          <w:vertAlign w:val="superscript"/>
        </w:rPr>
        <w:t>®</w:t>
      </w:r>
      <w:r w:rsidRPr="000929D9">
        <w:t xml:space="preserve"> A&amp;R program design without seeking Commiss</w:t>
      </w:r>
      <w:r w:rsidR="00720FFC">
        <w:t xml:space="preserve">ion approval for each change.  </w:t>
      </w:r>
      <w:r w:rsidRPr="000929D9">
        <w:t>Colu</w:t>
      </w:r>
      <w:r w:rsidR="00550182">
        <w:t xml:space="preserve">mbia Statement No. 1, p. 36.  </w:t>
      </w:r>
      <w:r w:rsidRPr="000929D9">
        <w:t xml:space="preserve">I&amp;E argues that it recognized the design and implementation of the program should be left to the discretion of the Company, but the scope and intent of the program should not change.  Columbia defined the scope of the program as offering energy efficiency </w:t>
      </w:r>
      <w:r w:rsidRPr="000929D9">
        <w:lastRenderedPageBreak/>
        <w:t>benefits to “customers who are slightly over the income qualification for Columbia’s WarmWise</w:t>
      </w:r>
      <w:r w:rsidRPr="000929D9">
        <w:rPr>
          <w:b/>
          <w:vertAlign w:val="superscript"/>
        </w:rPr>
        <w:t>®</w:t>
      </w:r>
      <w:r w:rsidR="00720FFC">
        <w:t xml:space="preserve"> LIURP.”  </w:t>
      </w:r>
      <w:r w:rsidRPr="000929D9">
        <w:t>Columbia Statement No. 1, p. 35.  Ac</w:t>
      </w:r>
      <w:r w:rsidR="00550182">
        <w:t>cordingly, I&amp;E explains that it</w:t>
      </w:r>
      <w:r w:rsidRPr="000929D9">
        <w:t xml:space="preserve"> did not oppose Columbia’s request for flexibility but maintained that such flexibility should not encompass the ability to change the customer eligibility qualification of having an income between 151% and 250% of the Federal Poverty Level. </w:t>
      </w:r>
      <w:r w:rsidR="00550182">
        <w:t xml:space="preserve"> </w:t>
      </w:r>
      <w:r w:rsidR="00F96BA5">
        <w:t>I&amp;E</w:t>
      </w:r>
      <w:r w:rsidR="00550182">
        <w:t xml:space="preserve"> Statement No. 5, pp. 8-9. </w:t>
      </w:r>
      <w:r w:rsidRPr="000929D9">
        <w:t xml:space="preserve"> As the WarmWise</w:t>
      </w:r>
      <w:r w:rsidRPr="000929D9">
        <w:rPr>
          <w:b/>
          <w:vertAlign w:val="superscript"/>
        </w:rPr>
        <w:t>®</w:t>
      </w:r>
      <w:r w:rsidRPr="000929D9">
        <w:t xml:space="preserve"> A&amp;R program is currently intended to assist low-income customers who fall just outside of the qualifications for Columbia’s other programs, the 151% to 250% of the Federal Poverty Level income qualification should not change. </w:t>
      </w:r>
      <w:r w:rsidR="00550182">
        <w:t xml:space="preserve"> </w:t>
      </w:r>
      <w:r w:rsidRPr="000929D9">
        <w:t xml:space="preserve">Accordingly, </w:t>
      </w:r>
      <w:r w:rsidR="00F96BA5">
        <w:t>I&amp;E</w:t>
      </w:r>
      <w:r w:rsidRPr="000929D9">
        <w:t xml:space="preserve"> concludes this term is in the public interest because it allows the Company flexibility to manage the WarmWise</w:t>
      </w:r>
      <w:r w:rsidRPr="000929D9">
        <w:rPr>
          <w:b/>
          <w:vertAlign w:val="superscript"/>
        </w:rPr>
        <w:t>®</w:t>
      </w:r>
      <w:r w:rsidRPr="000929D9">
        <w:t xml:space="preserve"> A&amp;R program but ensures that such flexibility does not extend to changing the income eligibility requirements. </w:t>
      </w:r>
      <w:r w:rsidR="00550182">
        <w:t xml:space="preserve"> </w:t>
      </w:r>
      <w:r w:rsidR="00F96BA5">
        <w:t>I&amp;E</w:t>
      </w:r>
      <w:r w:rsidRPr="000929D9">
        <w:t xml:space="preserve"> St. in Support, pp. 20-21.</w:t>
      </w:r>
    </w:p>
    <w:p w:rsidR="006E5DEC" w:rsidRDefault="006E5DEC" w:rsidP="00550182">
      <w:pPr>
        <w:tabs>
          <w:tab w:val="left" w:pos="720"/>
        </w:tabs>
        <w:spacing w:line="360" w:lineRule="auto"/>
        <w:ind w:firstLine="1440"/>
      </w:pPr>
    </w:p>
    <w:p w:rsidR="00A77698" w:rsidRPr="000929D9" w:rsidRDefault="00A77698" w:rsidP="00550182">
      <w:pPr>
        <w:tabs>
          <w:tab w:val="left" w:pos="720"/>
        </w:tabs>
        <w:spacing w:line="360" w:lineRule="auto"/>
        <w:ind w:firstLine="1440"/>
        <w:rPr>
          <w:rFonts w:eastAsia="Calibri"/>
        </w:rPr>
      </w:pPr>
      <w:r w:rsidRPr="000929D9">
        <w:rPr>
          <w:rFonts w:eastAsia="Calibri"/>
        </w:rPr>
        <w:t>b.</w:t>
      </w:r>
      <w:r w:rsidRPr="000929D9">
        <w:rPr>
          <w:rFonts w:eastAsia="Calibri"/>
          <w:b/>
        </w:rPr>
        <w:tab/>
      </w:r>
      <w:r w:rsidRPr="000929D9">
        <w:rPr>
          <w:rFonts w:eastAsia="Calibri"/>
          <w:u w:val="single"/>
        </w:rPr>
        <w:t>Universal Service Call Center Representative Training</w:t>
      </w:r>
    </w:p>
    <w:p w:rsidR="006E5DEC" w:rsidRDefault="00A77698" w:rsidP="00550182">
      <w:pPr>
        <w:tabs>
          <w:tab w:val="left" w:pos="720"/>
        </w:tabs>
        <w:spacing w:line="360" w:lineRule="auto"/>
        <w:jc w:val="both"/>
        <w:rPr>
          <w:rFonts w:eastAsia="Calibri"/>
        </w:rPr>
      </w:pPr>
      <w:r w:rsidRPr="000929D9">
        <w:rPr>
          <w:rFonts w:eastAsia="Calibri"/>
        </w:rPr>
        <w:tab/>
      </w:r>
    </w:p>
    <w:p w:rsidR="006E5DEC" w:rsidRDefault="00A77698" w:rsidP="00550182">
      <w:pPr>
        <w:tabs>
          <w:tab w:val="left" w:pos="720"/>
        </w:tabs>
        <w:spacing w:line="360" w:lineRule="auto"/>
        <w:ind w:firstLine="1440"/>
        <w:rPr>
          <w:rFonts w:eastAsia="Calibri"/>
        </w:rPr>
      </w:pPr>
      <w:r w:rsidRPr="000929D9">
        <w:rPr>
          <w:rFonts w:eastAsia="Calibri"/>
        </w:rPr>
        <w:t>I&amp;E explains it sought the special assignment of Mr. Daniel Mumford (</w:t>
      </w:r>
      <w:r w:rsidR="00720FFC">
        <w:rPr>
          <w:rFonts w:eastAsia="Calibri"/>
        </w:rPr>
        <w:t>“</w:t>
      </w:r>
      <w:r w:rsidRPr="000929D9">
        <w:rPr>
          <w:rFonts w:eastAsia="Calibri"/>
        </w:rPr>
        <w:t>Mr.</w:t>
      </w:r>
      <w:r w:rsidR="00550182">
        <w:rPr>
          <w:rFonts w:eastAsia="Calibri"/>
        </w:rPr>
        <w:t> </w:t>
      </w:r>
      <w:r w:rsidRPr="000929D9">
        <w:rPr>
          <w:rFonts w:eastAsia="Calibri"/>
        </w:rPr>
        <w:t>Mumford</w:t>
      </w:r>
      <w:r w:rsidR="00720FFC">
        <w:rPr>
          <w:rFonts w:eastAsia="Calibri"/>
        </w:rPr>
        <w:t>”</w:t>
      </w:r>
      <w:r w:rsidRPr="000929D9">
        <w:rPr>
          <w:rFonts w:eastAsia="Calibri"/>
        </w:rPr>
        <w:t xml:space="preserve"> or </w:t>
      </w:r>
      <w:r w:rsidR="00720FFC">
        <w:rPr>
          <w:rFonts w:eastAsia="Calibri"/>
        </w:rPr>
        <w:t>“</w:t>
      </w:r>
      <w:r w:rsidRPr="000929D9">
        <w:rPr>
          <w:rFonts w:eastAsia="Calibri"/>
        </w:rPr>
        <w:t>witness Mumford</w:t>
      </w:r>
      <w:r w:rsidR="00720FFC">
        <w:rPr>
          <w:rFonts w:eastAsia="Calibri"/>
        </w:rPr>
        <w:t>”</w:t>
      </w:r>
      <w:r w:rsidRPr="000929D9">
        <w:rPr>
          <w:rFonts w:eastAsia="Calibri"/>
        </w:rPr>
        <w:t>) the Manager of the Informal Compliance and Competition Unit in the Policy Division of the Commission’s Bureau of Consumer Services (</w:t>
      </w:r>
      <w:r w:rsidR="00720FFC">
        <w:rPr>
          <w:rFonts w:eastAsia="Calibri"/>
        </w:rPr>
        <w:t>“</w:t>
      </w:r>
      <w:r w:rsidRPr="000929D9">
        <w:rPr>
          <w:rFonts w:eastAsia="Calibri"/>
        </w:rPr>
        <w:t>BCS</w:t>
      </w:r>
      <w:r w:rsidR="00720FFC">
        <w:rPr>
          <w:rFonts w:eastAsia="Calibri"/>
        </w:rPr>
        <w:t>”</w:t>
      </w:r>
      <w:r w:rsidRPr="000929D9">
        <w:rPr>
          <w:rFonts w:eastAsia="Calibri"/>
        </w:rPr>
        <w:t xml:space="preserve">) and member of the Commission’s Office of Competitive Market Oversight to review and address Columbia’s base rate filing as it pertains to issues related to universal service. </w:t>
      </w:r>
      <w:r w:rsidR="00550182">
        <w:rPr>
          <w:rFonts w:eastAsia="Calibri"/>
        </w:rPr>
        <w:t xml:space="preserve"> </w:t>
      </w:r>
      <w:r w:rsidR="00F96BA5">
        <w:rPr>
          <w:rFonts w:eastAsia="Calibri"/>
        </w:rPr>
        <w:t>I&amp;E</w:t>
      </w:r>
      <w:r w:rsidRPr="000929D9">
        <w:rPr>
          <w:rFonts w:eastAsia="Calibri"/>
        </w:rPr>
        <w:t xml:space="preserve"> St. in Support, pp. 21-22.</w:t>
      </w:r>
    </w:p>
    <w:p w:rsidR="006E5DEC" w:rsidRDefault="006E5DEC" w:rsidP="006E5DEC">
      <w:pPr>
        <w:tabs>
          <w:tab w:val="left" w:pos="720"/>
        </w:tabs>
        <w:spacing w:line="360" w:lineRule="auto"/>
        <w:ind w:firstLine="1440"/>
        <w:rPr>
          <w:rFonts w:eastAsia="Calibri"/>
        </w:rPr>
      </w:pPr>
    </w:p>
    <w:p w:rsidR="006E5DEC" w:rsidRDefault="00A77698" w:rsidP="006E5DEC">
      <w:pPr>
        <w:tabs>
          <w:tab w:val="left" w:pos="720"/>
        </w:tabs>
        <w:spacing w:line="360" w:lineRule="auto"/>
        <w:ind w:firstLine="1440"/>
        <w:rPr>
          <w:rFonts w:eastAsia="Calibri"/>
        </w:rPr>
      </w:pPr>
      <w:r w:rsidRPr="000929D9">
        <w:rPr>
          <w:rFonts w:eastAsia="Calibri"/>
        </w:rPr>
        <w:t>I&amp;E asserts t</w:t>
      </w:r>
      <w:r w:rsidR="00550182">
        <w:rPr>
          <w:rFonts w:eastAsia="Calibri"/>
        </w:rPr>
        <w:t xml:space="preserve">hat </w:t>
      </w:r>
      <w:r w:rsidRPr="000929D9">
        <w:rPr>
          <w:rFonts w:eastAsia="Calibri"/>
        </w:rPr>
        <w:t>witness Mumford reviewed Columbia’s practices with respect to its Purchase of Receivables (</w:t>
      </w:r>
      <w:r w:rsidR="00286364">
        <w:rPr>
          <w:rFonts w:eastAsia="Calibri"/>
        </w:rPr>
        <w:t>“</w:t>
      </w:r>
      <w:r w:rsidRPr="000929D9">
        <w:rPr>
          <w:rFonts w:eastAsia="Calibri"/>
        </w:rPr>
        <w:t>POR</w:t>
      </w:r>
      <w:r w:rsidR="00286364">
        <w:rPr>
          <w:rFonts w:eastAsia="Calibri"/>
        </w:rPr>
        <w:t>”</w:t>
      </w:r>
      <w:r w:rsidRPr="000929D9">
        <w:rPr>
          <w:rFonts w:eastAsia="Calibri"/>
        </w:rPr>
        <w:t>) and Customer Assistance (</w:t>
      </w:r>
      <w:r w:rsidR="00286364">
        <w:rPr>
          <w:rFonts w:eastAsia="Calibri"/>
        </w:rPr>
        <w:t>“</w:t>
      </w:r>
      <w:r w:rsidRPr="000929D9">
        <w:rPr>
          <w:rFonts w:eastAsia="Calibri"/>
        </w:rPr>
        <w:t>CAP</w:t>
      </w:r>
      <w:r w:rsidR="00286364">
        <w:rPr>
          <w:rFonts w:eastAsia="Calibri"/>
        </w:rPr>
        <w:t>”</w:t>
      </w:r>
      <w:r w:rsidRPr="000929D9">
        <w:rPr>
          <w:rFonts w:eastAsia="Calibri"/>
        </w:rPr>
        <w:t xml:space="preserve">) Programs in order to determine whether Columbia is adhering to the PUC orders, guidelines, and regulations concerning those programs.  Of particular concern to </w:t>
      </w:r>
      <w:r w:rsidR="00F96BA5">
        <w:rPr>
          <w:rFonts w:eastAsia="Calibri"/>
        </w:rPr>
        <w:t>I&amp;E</w:t>
      </w:r>
      <w:r w:rsidRPr="000929D9">
        <w:rPr>
          <w:rFonts w:eastAsia="Calibri"/>
        </w:rPr>
        <w:t xml:space="preserve"> was how the Company was handling customer account b</w:t>
      </w:r>
      <w:r w:rsidR="00550182">
        <w:rPr>
          <w:rFonts w:eastAsia="Calibri"/>
        </w:rPr>
        <w:t xml:space="preserve">alances under these programs.  </w:t>
      </w:r>
      <w:r w:rsidRPr="000929D9">
        <w:rPr>
          <w:rFonts w:eastAsia="Calibri"/>
        </w:rPr>
        <w:t xml:space="preserve">Mr. Mumford testified to two instances in which Columbia violated Commission requirements applicable to the Company’s POR and CAP programs specifically with respect to the transfer of account balances that were greater than four years old into current accounts. </w:t>
      </w:r>
      <w:r w:rsidR="00550182">
        <w:rPr>
          <w:rFonts w:eastAsia="Calibri"/>
        </w:rPr>
        <w:t xml:space="preserve"> </w:t>
      </w:r>
      <w:r w:rsidRPr="000929D9">
        <w:rPr>
          <w:rFonts w:eastAsia="Calibri"/>
        </w:rPr>
        <w:t xml:space="preserve">As a result of these violations, I&amp;E witness Mumford recommended that Columbia should be specifically ordered to retrain all its Universal Service Call Center Representatives and implement appropriate program changes and safeguards in order </w:t>
      </w:r>
      <w:r w:rsidRPr="000929D9">
        <w:rPr>
          <w:rFonts w:eastAsia="Calibri"/>
        </w:rPr>
        <w:lastRenderedPageBreak/>
        <w:t xml:space="preserve">to prevent similar violations of POR and CAP program regulations and requirements from recurring.  </w:t>
      </w:r>
      <w:r w:rsidR="00F96BA5">
        <w:t>I&amp;E</w:t>
      </w:r>
      <w:r w:rsidRPr="000929D9">
        <w:t xml:space="preserve"> Statement No. 6, pp. 6-17, 20-21</w:t>
      </w:r>
      <w:r w:rsidR="00720FFC">
        <w:t>;</w:t>
      </w:r>
      <w:r w:rsidRPr="000929D9">
        <w:t xml:space="preserve"> </w:t>
      </w:r>
      <w:r w:rsidR="00F96BA5">
        <w:rPr>
          <w:rFonts w:eastAsia="Calibri"/>
        </w:rPr>
        <w:t>I&amp;E</w:t>
      </w:r>
      <w:r w:rsidRPr="000929D9">
        <w:rPr>
          <w:rFonts w:eastAsia="Calibri"/>
        </w:rPr>
        <w:t xml:space="preserve"> St. in Support, p. 22.</w:t>
      </w:r>
    </w:p>
    <w:p w:rsidR="006E5DEC" w:rsidRDefault="006E5DEC" w:rsidP="006E5DEC">
      <w:pPr>
        <w:tabs>
          <w:tab w:val="left" w:pos="720"/>
        </w:tabs>
        <w:spacing w:line="360" w:lineRule="auto"/>
        <w:ind w:firstLine="1440"/>
        <w:rPr>
          <w:rFonts w:eastAsia="Calibri"/>
        </w:rPr>
      </w:pPr>
    </w:p>
    <w:p w:rsidR="00A77698" w:rsidRPr="000929D9" w:rsidRDefault="00A77698" w:rsidP="00550182">
      <w:pPr>
        <w:tabs>
          <w:tab w:val="left" w:pos="720"/>
        </w:tabs>
        <w:spacing w:line="360" w:lineRule="auto"/>
        <w:ind w:firstLine="1440"/>
        <w:rPr>
          <w:rFonts w:eastAsia="Calibri"/>
        </w:rPr>
      </w:pPr>
      <w:r w:rsidRPr="000929D9">
        <w:rPr>
          <w:rFonts w:eastAsia="Calibri"/>
        </w:rPr>
        <w:t>The Settlement, at paragraph 50, includes a provision whereby Columbia represents that it has trained all Universal Service Call Center Representatives and implemented information system program changes and safeguards that will prevent the Company from (1) conditioning service reconnection or continued service upon payment of accounts that are greater than four years old or that already have been sold, sent to a collection agency, written off, or accounted for in the Company’s uncollectible accounts rates; and (2) transferring account balances for which the Company can no longer pursue termination into the accounts of current CAP customers.</w:t>
      </w:r>
      <w:r w:rsidR="00550182">
        <w:rPr>
          <w:rFonts w:eastAsia="Calibri"/>
        </w:rPr>
        <w:t xml:space="preserve"> </w:t>
      </w:r>
      <w:r w:rsidRPr="000929D9">
        <w:rPr>
          <w:rFonts w:eastAsia="Calibri"/>
        </w:rPr>
        <w:t xml:space="preserve"> I&amp;E claims that witness Mumford is satisfied at this time that Columbia has undertaken the necessary training and program changes which should eliminate further violations of the Commission’s POR and CAP policies and regulations by Columbia.  </w:t>
      </w:r>
      <w:r w:rsidR="00F96BA5">
        <w:rPr>
          <w:rFonts w:eastAsia="Calibri"/>
        </w:rPr>
        <w:t>I&amp;E</w:t>
      </w:r>
      <w:r w:rsidRPr="000929D9">
        <w:rPr>
          <w:rFonts w:eastAsia="Calibri"/>
        </w:rPr>
        <w:t xml:space="preserve"> St. in Support, pp. 22-23. </w:t>
      </w:r>
    </w:p>
    <w:p w:rsidR="00A77698" w:rsidRPr="000929D9" w:rsidRDefault="00A77698" w:rsidP="00550182">
      <w:pPr>
        <w:tabs>
          <w:tab w:val="left" w:pos="720"/>
        </w:tabs>
        <w:autoSpaceDE w:val="0"/>
        <w:autoSpaceDN w:val="0"/>
        <w:adjustRightInd w:val="0"/>
        <w:spacing w:line="360" w:lineRule="auto"/>
        <w:contextualSpacing/>
        <w:jc w:val="both"/>
      </w:pPr>
      <w:r w:rsidRPr="000929D9">
        <w:tab/>
      </w:r>
    </w:p>
    <w:p w:rsidR="00A77698" w:rsidRPr="000929D9" w:rsidRDefault="00A77698" w:rsidP="00550182">
      <w:pPr>
        <w:tabs>
          <w:tab w:val="left" w:pos="720"/>
        </w:tabs>
        <w:autoSpaceDE w:val="0"/>
        <w:autoSpaceDN w:val="0"/>
        <w:adjustRightInd w:val="0"/>
        <w:spacing w:line="360" w:lineRule="auto"/>
        <w:ind w:firstLine="720"/>
        <w:contextualSpacing/>
        <w:jc w:val="both"/>
        <w:rPr>
          <w:u w:val="single"/>
        </w:rPr>
      </w:pPr>
      <w:r w:rsidRPr="000929D9">
        <w:t>4.</w:t>
      </w:r>
      <w:r w:rsidRPr="000929D9">
        <w:rPr>
          <w:b/>
        </w:rPr>
        <w:tab/>
      </w:r>
      <w:r w:rsidRPr="000929D9">
        <w:rPr>
          <w:u w:val="single"/>
        </w:rPr>
        <w:t>Other (Joint Petition ¶¶ 53-58)</w:t>
      </w:r>
    </w:p>
    <w:p w:rsidR="006E5DEC" w:rsidRDefault="006E5DEC" w:rsidP="00550182">
      <w:pPr>
        <w:tabs>
          <w:tab w:val="left" w:pos="720"/>
        </w:tabs>
        <w:autoSpaceDE w:val="0"/>
        <w:autoSpaceDN w:val="0"/>
        <w:adjustRightInd w:val="0"/>
        <w:spacing w:line="360" w:lineRule="auto"/>
        <w:contextualSpacing/>
        <w:jc w:val="both"/>
      </w:pPr>
    </w:p>
    <w:p w:rsidR="00C26F54" w:rsidRDefault="00F96BA5" w:rsidP="00550182">
      <w:pPr>
        <w:tabs>
          <w:tab w:val="left" w:pos="720"/>
        </w:tabs>
        <w:autoSpaceDE w:val="0"/>
        <w:autoSpaceDN w:val="0"/>
        <w:adjustRightInd w:val="0"/>
        <w:spacing w:line="360" w:lineRule="auto"/>
        <w:ind w:firstLine="1440"/>
        <w:contextualSpacing/>
      </w:pPr>
      <w:r>
        <w:t>I&amp;E</w:t>
      </w:r>
      <w:r w:rsidR="00A77698" w:rsidRPr="000929D9">
        <w:t xml:space="preserve"> asserts that Columbia proposed to establish the NAS rider as a four-year pilot that would allow persons interested in connecting to natural gas service in areas not currently serviced by Columbia an extended payment method as an alternative to the existing tariffed customer contribution. </w:t>
      </w:r>
      <w:r w:rsidR="00550182">
        <w:t xml:space="preserve"> </w:t>
      </w:r>
      <w:r w:rsidR="00720FFC">
        <w:t>Columbia Statement No. 19.</w:t>
      </w:r>
      <w:r w:rsidR="00550182">
        <w:t xml:space="preserve">  </w:t>
      </w:r>
      <w:r w:rsidR="00A77698" w:rsidRPr="000929D9">
        <w:t xml:space="preserve">The Company proposed a 20-year payment term and an interest rate equal to the Company’s approved cost of capital. </w:t>
      </w:r>
      <w:r w:rsidR="00550182">
        <w:t xml:space="preserve"> </w:t>
      </w:r>
      <w:r w:rsidR="00A77698" w:rsidRPr="000929D9">
        <w:t xml:space="preserve">Columbia Statement </w:t>
      </w:r>
      <w:r w:rsidR="00720FFC">
        <w:t>No. 19, p. 4; Exhibit EAE-1.</w:t>
      </w:r>
      <w:r w:rsidR="00550182">
        <w:t xml:space="preserve">  </w:t>
      </w:r>
      <w:r w:rsidR="00A77698" w:rsidRPr="000929D9">
        <w:t>Additionally, the Company proposed to limit the monthly customer charge to a maximum of $25.00 and proposed that the program receive an annual allocation of $1,000,000 during the four-year term of the pilot.</w:t>
      </w:r>
      <w:r w:rsidR="00550182">
        <w:t xml:space="preserve"> </w:t>
      </w:r>
      <w:r w:rsidR="00720FFC">
        <w:t xml:space="preserve"> </w:t>
      </w:r>
      <w:r w:rsidR="00A77698" w:rsidRPr="000929D9">
        <w:t>Columbia Statement No. 19</w:t>
      </w:r>
      <w:r w:rsidR="00720FFC">
        <w:t>;</w:t>
      </w:r>
      <w:r w:rsidR="00A77698" w:rsidRPr="000929D9">
        <w:t xml:space="preserve"> </w:t>
      </w:r>
      <w:r>
        <w:t>I&amp;E</w:t>
      </w:r>
      <w:r w:rsidR="00A77698" w:rsidRPr="000929D9">
        <w:t xml:space="preserve"> St. in Support, p. 23.</w:t>
      </w:r>
    </w:p>
    <w:p w:rsidR="00C26F54" w:rsidRDefault="00C26F54" w:rsidP="00C26F54">
      <w:pPr>
        <w:tabs>
          <w:tab w:val="left" w:pos="720"/>
        </w:tabs>
        <w:autoSpaceDE w:val="0"/>
        <w:autoSpaceDN w:val="0"/>
        <w:adjustRightInd w:val="0"/>
        <w:spacing w:line="360" w:lineRule="auto"/>
        <w:ind w:firstLine="1440"/>
        <w:contextualSpacing/>
      </w:pPr>
    </w:p>
    <w:p w:rsidR="00C26F54" w:rsidRDefault="00A77698" w:rsidP="00C26F54">
      <w:pPr>
        <w:tabs>
          <w:tab w:val="left" w:pos="720"/>
        </w:tabs>
        <w:autoSpaceDE w:val="0"/>
        <w:autoSpaceDN w:val="0"/>
        <w:adjustRightInd w:val="0"/>
        <w:spacing w:line="360" w:lineRule="auto"/>
        <w:ind w:firstLine="1440"/>
        <w:contextualSpacing/>
      </w:pPr>
      <w:r w:rsidRPr="000929D9">
        <w:t xml:space="preserve">I&amp;E raised multiple concerns about the proposed design of the NAS rider and recommended that it be denied.  I&amp;E’s concerns included the 20-year financing term, the $25.00 monthly surcharge cap, customer eligibility, evaluation and documentation of extensions, the 20-year reconciliation period, interest income and project accounting, termination in the event of </w:t>
      </w:r>
      <w:r w:rsidRPr="000929D9">
        <w:lastRenderedPageBreak/>
        <w:t>payment default, use of pipeline refunds to reduce deposit costs and the lack of an incentive offer to encourage conversion to natural gas.</w:t>
      </w:r>
      <w:r w:rsidR="00550182">
        <w:t xml:space="preserve"> </w:t>
      </w:r>
      <w:r w:rsidR="00720FFC">
        <w:t xml:space="preserve"> </w:t>
      </w:r>
      <w:r w:rsidR="00F96BA5">
        <w:t>I&amp;E</w:t>
      </w:r>
      <w:r w:rsidRPr="000929D9">
        <w:t xml:space="preserve"> Statem</w:t>
      </w:r>
      <w:r w:rsidR="00720FFC">
        <w:t>ent No. 5; Statement No. 5-SR.</w:t>
      </w:r>
      <w:r w:rsidR="00C26F54">
        <w:t xml:space="preserve">  </w:t>
      </w:r>
      <w:r w:rsidRPr="000929D9">
        <w:t xml:space="preserve">Given these concerns, I&amp;E argued it did not believe that the NAS rider as proposed by the Company was adequately developed.  </w:t>
      </w:r>
      <w:r w:rsidR="00F96BA5">
        <w:t>I&amp;E</w:t>
      </w:r>
      <w:r w:rsidR="00C26F54">
        <w:t xml:space="preserve"> St. in Support, pp. 23-24.</w:t>
      </w:r>
    </w:p>
    <w:p w:rsidR="00C26F54" w:rsidRDefault="00C26F54" w:rsidP="00C26F54">
      <w:pPr>
        <w:tabs>
          <w:tab w:val="left" w:pos="720"/>
        </w:tabs>
        <w:autoSpaceDE w:val="0"/>
        <w:autoSpaceDN w:val="0"/>
        <w:adjustRightInd w:val="0"/>
        <w:spacing w:line="360" w:lineRule="auto"/>
        <w:ind w:firstLine="1440"/>
        <w:contextualSpacing/>
      </w:pPr>
    </w:p>
    <w:p w:rsidR="00A77698" w:rsidRDefault="00F96BA5" w:rsidP="00550182">
      <w:pPr>
        <w:tabs>
          <w:tab w:val="left" w:pos="720"/>
        </w:tabs>
        <w:autoSpaceDE w:val="0"/>
        <w:autoSpaceDN w:val="0"/>
        <w:adjustRightInd w:val="0"/>
        <w:spacing w:line="360" w:lineRule="auto"/>
        <w:ind w:firstLine="1440"/>
        <w:contextualSpacing/>
      </w:pPr>
      <w:r>
        <w:t>I&amp;E</w:t>
      </w:r>
      <w:r w:rsidR="00A77698" w:rsidRPr="000929D9">
        <w:t xml:space="preserve"> explains, as agreed to in paragraph 53</w:t>
      </w:r>
      <w:r w:rsidR="00A77698" w:rsidRPr="000929D9">
        <w:rPr>
          <w:rStyle w:val="FootnoteReference"/>
        </w:rPr>
        <w:footnoteReference w:id="27"/>
      </w:r>
      <w:r w:rsidR="00A77698" w:rsidRPr="000929D9">
        <w:t xml:space="preserve"> of the Settlement, Columbia will withdraw the proposed NAS rider and the Joint Petitioners will enter into an informal collaborative to develop a program to extend service to new areas. </w:t>
      </w:r>
      <w:r w:rsidR="00550182">
        <w:t xml:space="preserve"> </w:t>
      </w:r>
      <w:r w:rsidR="00A77698" w:rsidRPr="000929D9">
        <w:t>Given the cost incurred by customers and the potential length of the repayment term, I&amp;E indicates its primary concern is that the NAS pilot program will be well</w:t>
      </w:r>
      <w:r w:rsidR="00720FFC">
        <w:t xml:space="preserve"> </w:t>
      </w:r>
      <w:r w:rsidR="00A77698" w:rsidRPr="000929D9">
        <w:t>designed.</w:t>
      </w:r>
      <w:r w:rsidR="00550182">
        <w:t xml:space="preserve"> </w:t>
      </w:r>
      <w:r w:rsidR="00A77698" w:rsidRPr="000929D9">
        <w:t xml:space="preserve"> </w:t>
      </w:r>
      <w:r>
        <w:t>I&amp;E</w:t>
      </w:r>
      <w:r w:rsidR="00A77698" w:rsidRPr="000929D9">
        <w:t xml:space="preserve"> believes the informal collaborative will provide parties an opportunity to exchange information and discuss all components of the proposed NAS rider.</w:t>
      </w:r>
      <w:r w:rsidR="00550182">
        <w:t xml:space="preserve"> </w:t>
      </w:r>
      <w:r w:rsidR="00A77698" w:rsidRPr="000929D9">
        <w:t xml:space="preserve"> The NAS rider must be well designed before it is offered to potential new customers; therefore, </w:t>
      </w:r>
      <w:r>
        <w:t>I&amp;E</w:t>
      </w:r>
      <w:r w:rsidR="00A77698" w:rsidRPr="000929D9">
        <w:t xml:space="preserve"> believes it is in the public interest to provide a forum for parties to participate in </w:t>
      </w:r>
      <w:r w:rsidR="00720FFC">
        <w:t xml:space="preserve">the </w:t>
      </w:r>
      <w:r w:rsidR="00A77698" w:rsidRPr="000929D9">
        <w:t xml:space="preserve">design of the program.  </w:t>
      </w:r>
      <w:r>
        <w:t>I&amp;E</w:t>
      </w:r>
      <w:r w:rsidR="00A77698" w:rsidRPr="000929D9">
        <w:t xml:space="preserve"> St. in Support, p. 24.</w:t>
      </w:r>
    </w:p>
    <w:p w:rsidR="00C26F54" w:rsidRDefault="00C26F54" w:rsidP="00550182">
      <w:pPr>
        <w:tabs>
          <w:tab w:val="left" w:pos="720"/>
        </w:tabs>
        <w:autoSpaceDE w:val="0"/>
        <w:autoSpaceDN w:val="0"/>
        <w:adjustRightInd w:val="0"/>
        <w:spacing w:line="360" w:lineRule="auto"/>
        <w:contextualSpacing/>
      </w:pPr>
    </w:p>
    <w:p w:rsidR="00C26F54" w:rsidRDefault="007B68A8" w:rsidP="00550182">
      <w:pPr>
        <w:tabs>
          <w:tab w:val="left" w:pos="720"/>
        </w:tabs>
        <w:autoSpaceDE w:val="0"/>
        <w:autoSpaceDN w:val="0"/>
        <w:adjustRightInd w:val="0"/>
        <w:spacing w:line="360" w:lineRule="auto"/>
        <w:contextualSpacing/>
      </w:pPr>
      <w:r>
        <w:t>B</w:t>
      </w:r>
      <w:r w:rsidR="00C26F54">
        <w:t>.</w:t>
      </w:r>
      <w:r w:rsidR="00C26F54">
        <w:tab/>
      </w:r>
      <w:r w:rsidR="00C26F54">
        <w:rPr>
          <w:u w:val="single"/>
        </w:rPr>
        <w:t>O</w:t>
      </w:r>
      <w:r w:rsidR="00290BC4">
        <w:rPr>
          <w:u w:val="single"/>
        </w:rPr>
        <w:t xml:space="preserve">CA’s </w:t>
      </w:r>
      <w:r w:rsidR="00C26F54">
        <w:rPr>
          <w:u w:val="single"/>
        </w:rPr>
        <w:t>Position</w:t>
      </w:r>
    </w:p>
    <w:p w:rsidR="00C26F54" w:rsidRDefault="00C26F54" w:rsidP="00550182">
      <w:pPr>
        <w:tabs>
          <w:tab w:val="left" w:pos="720"/>
        </w:tabs>
        <w:autoSpaceDE w:val="0"/>
        <w:autoSpaceDN w:val="0"/>
        <w:adjustRightInd w:val="0"/>
        <w:spacing w:line="360" w:lineRule="auto"/>
        <w:contextualSpacing/>
      </w:pPr>
    </w:p>
    <w:p w:rsidR="00C26F54" w:rsidRDefault="00C26F54" w:rsidP="00550182">
      <w:pPr>
        <w:spacing w:line="360" w:lineRule="auto"/>
        <w:ind w:firstLine="1440"/>
        <w:rPr>
          <w:kern w:val="32"/>
        </w:rPr>
      </w:pPr>
      <w:r w:rsidRPr="00B43EAA">
        <w:rPr>
          <w:kern w:val="32"/>
        </w:rPr>
        <w:t xml:space="preserve">The OCA </w:t>
      </w:r>
      <w:r>
        <w:rPr>
          <w:kern w:val="32"/>
        </w:rPr>
        <w:t>argues</w:t>
      </w:r>
      <w:r w:rsidRPr="00B43EAA">
        <w:rPr>
          <w:kern w:val="32"/>
        </w:rPr>
        <w:t xml:space="preserve"> the terms and conditions of the Settlement </w:t>
      </w:r>
      <w:r>
        <w:rPr>
          <w:kern w:val="32"/>
        </w:rPr>
        <w:t xml:space="preserve">are </w:t>
      </w:r>
      <w:r w:rsidRPr="00B43EAA">
        <w:rPr>
          <w:kern w:val="32"/>
        </w:rPr>
        <w:t xml:space="preserve">in the public interest for the following reasons:  </w:t>
      </w:r>
    </w:p>
    <w:p w:rsidR="00C26F54" w:rsidRPr="00B43EAA" w:rsidRDefault="00C26F54" w:rsidP="00550182">
      <w:pPr>
        <w:spacing w:line="360" w:lineRule="auto"/>
        <w:ind w:firstLine="1440"/>
        <w:rPr>
          <w:kern w:val="32"/>
        </w:rPr>
      </w:pPr>
    </w:p>
    <w:p w:rsidR="00324FB2" w:rsidRDefault="00550182" w:rsidP="00550182">
      <w:pPr>
        <w:pStyle w:val="ListParagraph"/>
        <w:numPr>
          <w:ilvl w:val="0"/>
          <w:numId w:val="11"/>
        </w:numPr>
        <w:spacing w:line="360" w:lineRule="auto"/>
        <w:ind w:left="1440" w:hanging="720"/>
        <w:jc w:val="both"/>
        <w:rPr>
          <w:bCs/>
          <w:kern w:val="32"/>
          <w:sz w:val="24"/>
          <w:szCs w:val="24"/>
          <w:u w:val="single"/>
        </w:rPr>
      </w:pPr>
      <w:r w:rsidRPr="00B43EAA">
        <w:rPr>
          <w:bCs/>
          <w:kern w:val="32"/>
          <w:sz w:val="24"/>
          <w:szCs w:val="24"/>
          <w:u w:val="single"/>
        </w:rPr>
        <w:t>Distribution Revenues</w:t>
      </w:r>
    </w:p>
    <w:p w:rsidR="00550182" w:rsidRPr="00324FB2" w:rsidRDefault="00550182" w:rsidP="00550182">
      <w:pPr>
        <w:pStyle w:val="ListParagraph"/>
        <w:spacing w:line="360" w:lineRule="auto"/>
        <w:ind w:left="1440"/>
        <w:jc w:val="both"/>
        <w:rPr>
          <w:bCs/>
          <w:kern w:val="32"/>
          <w:sz w:val="24"/>
          <w:szCs w:val="24"/>
          <w:u w:val="single"/>
        </w:rPr>
      </w:pPr>
    </w:p>
    <w:p w:rsidR="00C26F54" w:rsidRPr="00B43EAA" w:rsidRDefault="00C26F54" w:rsidP="00550182">
      <w:pPr>
        <w:pStyle w:val="ListParagraph"/>
        <w:numPr>
          <w:ilvl w:val="1"/>
          <w:numId w:val="6"/>
        </w:numPr>
        <w:spacing w:line="360" w:lineRule="auto"/>
        <w:ind w:left="2160" w:hanging="720"/>
        <w:rPr>
          <w:bCs/>
          <w:kern w:val="32"/>
          <w:sz w:val="24"/>
          <w:szCs w:val="24"/>
          <w:u w:val="single"/>
        </w:rPr>
      </w:pPr>
      <w:r w:rsidRPr="00B43EAA">
        <w:rPr>
          <w:bCs/>
          <w:kern w:val="32"/>
          <w:sz w:val="24"/>
          <w:szCs w:val="24"/>
          <w:u w:val="single"/>
        </w:rPr>
        <w:t>Revenue Requirement (Settlement ¶ 27)</w:t>
      </w:r>
    </w:p>
    <w:p w:rsidR="00550182" w:rsidRDefault="00550182" w:rsidP="00550182">
      <w:pPr>
        <w:spacing w:line="360" w:lineRule="auto"/>
        <w:ind w:left="1440" w:hanging="720"/>
        <w:rPr>
          <w:kern w:val="32"/>
        </w:rPr>
      </w:pPr>
    </w:p>
    <w:p w:rsidR="00C26F54" w:rsidRDefault="00C26F54" w:rsidP="00550182">
      <w:pPr>
        <w:spacing w:line="360" w:lineRule="auto"/>
        <w:ind w:firstLine="1440"/>
        <w:rPr>
          <w:kern w:val="32"/>
        </w:rPr>
      </w:pPr>
      <w:r w:rsidRPr="00B43EAA">
        <w:rPr>
          <w:kern w:val="32"/>
        </w:rPr>
        <w:t xml:space="preserve">Based on OCA’s analysis of the Company’s filings, testimony by all parties, and discovery responses received, the rate increase under the proposed Settlement represents a result that would be within the range of likely outcomes in the event of full litigation of the case.  The </w:t>
      </w:r>
      <w:r w:rsidRPr="00B43EAA">
        <w:rPr>
          <w:kern w:val="32"/>
        </w:rPr>
        <w:lastRenderedPageBreak/>
        <w:t>increase</w:t>
      </w:r>
      <w:r>
        <w:rPr>
          <w:kern w:val="32"/>
        </w:rPr>
        <w:t xml:space="preserve">, OCA argues, </w:t>
      </w:r>
      <w:r w:rsidRPr="00B43EAA">
        <w:rPr>
          <w:kern w:val="32"/>
        </w:rPr>
        <w:t>is appropriate and when accompanied by other important conditions contained in the Settlement, yields a result that is just and reasonable.  OCA St. in Support, p. 4.</w:t>
      </w:r>
    </w:p>
    <w:p w:rsidR="00324FB2" w:rsidRPr="00B43EAA" w:rsidRDefault="00324FB2" w:rsidP="00550182">
      <w:pPr>
        <w:spacing w:line="360" w:lineRule="auto"/>
        <w:ind w:firstLine="1440"/>
        <w:rPr>
          <w:kern w:val="32"/>
        </w:rPr>
      </w:pPr>
    </w:p>
    <w:p w:rsidR="00C26F54" w:rsidRPr="00B43EAA" w:rsidRDefault="00C26F54" w:rsidP="00550182">
      <w:pPr>
        <w:pStyle w:val="ListParagraph"/>
        <w:numPr>
          <w:ilvl w:val="1"/>
          <w:numId w:val="6"/>
        </w:numPr>
        <w:ind w:left="2160" w:hanging="720"/>
        <w:rPr>
          <w:bCs/>
          <w:kern w:val="32"/>
          <w:sz w:val="24"/>
          <w:szCs w:val="24"/>
          <w:u w:val="single"/>
        </w:rPr>
      </w:pPr>
      <w:r w:rsidRPr="00B43EAA">
        <w:rPr>
          <w:bCs/>
          <w:kern w:val="32"/>
          <w:sz w:val="24"/>
          <w:szCs w:val="24"/>
          <w:u w:val="single"/>
        </w:rPr>
        <w:t>Incremental O&amp;M Expense in Furtherance of Operating a Safe and Reliable Natural Gas Distribution System (Settlement ¶ 34)</w:t>
      </w:r>
    </w:p>
    <w:p w:rsidR="00C26F54" w:rsidRPr="00B43EAA" w:rsidRDefault="00C26F54" w:rsidP="00550182">
      <w:pPr>
        <w:pStyle w:val="ListParagraph"/>
        <w:spacing w:line="360" w:lineRule="auto"/>
        <w:ind w:left="2160" w:hanging="720"/>
        <w:jc w:val="both"/>
        <w:rPr>
          <w:b/>
          <w:bCs/>
          <w:kern w:val="32"/>
          <w:sz w:val="24"/>
          <w:szCs w:val="24"/>
        </w:rPr>
      </w:pPr>
    </w:p>
    <w:p w:rsidR="00324FB2" w:rsidRDefault="00324FB2" w:rsidP="00550182">
      <w:pPr>
        <w:spacing w:line="360" w:lineRule="auto"/>
        <w:ind w:firstLine="1440"/>
        <w:rPr>
          <w:bCs/>
          <w:kern w:val="32"/>
        </w:rPr>
      </w:pPr>
      <w:r>
        <w:rPr>
          <w:bCs/>
          <w:kern w:val="32"/>
        </w:rPr>
        <w:t xml:space="preserve">The </w:t>
      </w:r>
      <w:r w:rsidR="00C26F54" w:rsidRPr="00B43EAA">
        <w:rPr>
          <w:bCs/>
          <w:kern w:val="32"/>
        </w:rPr>
        <w:t xml:space="preserve">OCA </w:t>
      </w:r>
      <w:r w:rsidR="00C26F54">
        <w:rPr>
          <w:bCs/>
          <w:kern w:val="32"/>
        </w:rPr>
        <w:t>explains</w:t>
      </w:r>
      <w:r w:rsidR="00C26F54" w:rsidRPr="00B43EAA">
        <w:rPr>
          <w:bCs/>
          <w:kern w:val="32"/>
        </w:rPr>
        <w:t xml:space="preserve"> the proposed Settlement rate increase includes an allowance for the Company’s claimed incremental O&amp;M expense in the amount of $9.25 million for initiatives in furtherance of operating a safe and reliable natural gas distribution system.  Settlement ¶ 34</w:t>
      </w:r>
      <w:r w:rsidR="00720FFC">
        <w:rPr>
          <w:bCs/>
          <w:kern w:val="32"/>
        </w:rPr>
        <w:t>;</w:t>
      </w:r>
      <w:r w:rsidR="00C26F54" w:rsidRPr="00B43EAA">
        <w:rPr>
          <w:bCs/>
          <w:kern w:val="32"/>
        </w:rPr>
        <w:t xml:space="preserve"> OCA St. in Support, pp. 38-39.  Consistent with OCA’s recommendation, the Company agrees it will coordinate its safety-related initiatives with its Long Term Infrastructure Improvement Plan and its Distribution Integrity Management Program Plan.</w:t>
      </w:r>
      <w:r w:rsidR="007B68A8">
        <w:rPr>
          <w:bCs/>
          <w:kern w:val="32"/>
        </w:rPr>
        <w:t xml:space="preserve"> </w:t>
      </w:r>
      <w:r w:rsidR="00C26F54" w:rsidRPr="00B43EAA">
        <w:rPr>
          <w:bCs/>
          <w:kern w:val="32"/>
        </w:rPr>
        <w:t xml:space="preserve"> Settlement ¶ 34. </w:t>
      </w:r>
      <w:r w:rsidR="00550182">
        <w:rPr>
          <w:bCs/>
          <w:kern w:val="32"/>
        </w:rPr>
        <w:t xml:space="preserve"> </w:t>
      </w:r>
      <w:r w:rsidR="00C26F54" w:rsidRPr="00B43EAA">
        <w:rPr>
          <w:bCs/>
          <w:kern w:val="32"/>
        </w:rPr>
        <w:t xml:space="preserve">The Company will also track the incremental annual amounts spent and the extent to which the goals of each safety initiative are met.  </w:t>
      </w:r>
      <w:r w:rsidR="00C26F54" w:rsidRPr="00720FFC">
        <w:rPr>
          <w:bCs/>
          <w:i/>
          <w:kern w:val="32"/>
        </w:rPr>
        <w:t>Id.</w:t>
      </w:r>
      <w:r w:rsidR="00C26F54" w:rsidRPr="00B43EAA">
        <w:rPr>
          <w:bCs/>
          <w:i/>
          <w:kern w:val="32"/>
        </w:rPr>
        <w:t xml:space="preserve"> </w:t>
      </w:r>
      <w:r w:rsidR="00550182">
        <w:rPr>
          <w:bCs/>
          <w:i/>
          <w:kern w:val="32"/>
        </w:rPr>
        <w:t xml:space="preserve"> </w:t>
      </w:r>
      <w:r w:rsidR="00C26F54" w:rsidRPr="00B43EAA">
        <w:rPr>
          <w:bCs/>
          <w:kern w:val="32"/>
        </w:rPr>
        <w:t>OCA St. in Support, pp. 4-5.</w:t>
      </w:r>
    </w:p>
    <w:p w:rsidR="00324FB2" w:rsidRDefault="00324FB2" w:rsidP="00324FB2">
      <w:pPr>
        <w:spacing w:line="360" w:lineRule="auto"/>
        <w:ind w:firstLine="1440"/>
        <w:rPr>
          <w:bCs/>
          <w:kern w:val="32"/>
        </w:rPr>
      </w:pPr>
    </w:p>
    <w:p w:rsidR="00C26F54" w:rsidRDefault="00C26F54" w:rsidP="002A4479">
      <w:pPr>
        <w:spacing w:line="360" w:lineRule="auto"/>
        <w:ind w:firstLine="1440"/>
        <w:rPr>
          <w:bCs/>
          <w:kern w:val="32"/>
        </w:rPr>
      </w:pPr>
      <w:r w:rsidRPr="00B43EAA">
        <w:rPr>
          <w:bCs/>
          <w:kern w:val="32"/>
        </w:rPr>
        <w:t xml:space="preserve">The OCA submits that this provision will benefit ratepayers because it permits the Company to coordinate and fund its safety-related initiatives while providing a means for the Commission and interested parties to review the costs incurred and the accomplishments of the Company’s initiatives in Columbia’s next base rate case. </w:t>
      </w:r>
      <w:r w:rsidR="007B68A8">
        <w:rPr>
          <w:bCs/>
          <w:kern w:val="32"/>
        </w:rPr>
        <w:t xml:space="preserve"> </w:t>
      </w:r>
      <w:r w:rsidRPr="00B43EAA">
        <w:rPr>
          <w:bCs/>
          <w:kern w:val="32"/>
        </w:rPr>
        <w:t>At that time, the Commission and parties can evaluate the appropriate ongoing spending levels.  OCA St. in Support, p. 5.</w:t>
      </w:r>
    </w:p>
    <w:p w:rsidR="00C26F54" w:rsidRPr="00B43EAA" w:rsidRDefault="00C26F54" w:rsidP="002A4479">
      <w:pPr>
        <w:spacing w:line="360" w:lineRule="auto"/>
        <w:ind w:firstLine="720"/>
        <w:jc w:val="both"/>
        <w:rPr>
          <w:bCs/>
          <w:kern w:val="32"/>
        </w:rPr>
      </w:pPr>
    </w:p>
    <w:p w:rsidR="00C26F54" w:rsidRDefault="00C26F54" w:rsidP="002A4479">
      <w:pPr>
        <w:pStyle w:val="ListParagraph"/>
        <w:numPr>
          <w:ilvl w:val="1"/>
          <w:numId w:val="6"/>
        </w:numPr>
        <w:spacing w:line="360" w:lineRule="auto"/>
        <w:ind w:left="2160" w:hanging="720"/>
        <w:rPr>
          <w:bCs/>
          <w:kern w:val="32"/>
          <w:sz w:val="24"/>
          <w:szCs w:val="24"/>
          <w:u w:val="single"/>
        </w:rPr>
      </w:pPr>
      <w:r w:rsidRPr="00B43EAA">
        <w:rPr>
          <w:bCs/>
          <w:kern w:val="32"/>
          <w:sz w:val="24"/>
          <w:szCs w:val="24"/>
          <w:u w:val="single"/>
        </w:rPr>
        <w:t>Distribution System Improvement Charge (</w:t>
      </w:r>
      <w:r w:rsidR="00720FFC">
        <w:rPr>
          <w:bCs/>
          <w:kern w:val="32"/>
          <w:sz w:val="24"/>
          <w:szCs w:val="24"/>
          <w:u w:val="single"/>
        </w:rPr>
        <w:t>“</w:t>
      </w:r>
      <w:r w:rsidRPr="00B43EAA">
        <w:rPr>
          <w:bCs/>
          <w:kern w:val="32"/>
          <w:sz w:val="24"/>
          <w:szCs w:val="24"/>
          <w:u w:val="single"/>
        </w:rPr>
        <w:t>DSIC</w:t>
      </w:r>
      <w:r w:rsidR="00720FFC">
        <w:rPr>
          <w:bCs/>
          <w:kern w:val="32"/>
          <w:sz w:val="24"/>
          <w:szCs w:val="24"/>
          <w:u w:val="single"/>
        </w:rPr>
        <w:t>”</w:t>
      </w:r>
      <w:r w:rsidRPr="00B43EAA">
        <w:rPr>
          <w:bCs/>
          <w:kern w:val="32"/>
          <w:sz w:val="24"/>
          <w:szCs w:val="24"/>
          <w:u w:val="single"/>
        </w:rPr>
        <w:t>)</w:t>
      </w:r>
      <w:bookmarkStart w:id="3" w:name="OLE_LINK7"/>
      <w:bookmarkStart w:id="4" w:name="OLE_LINK8"/>
      <w:r w:rsidRPr="00B43EAA">
        <w:rPr>
          <w:bCs/>
          <w:kern w:val="32"/>
          <w:sz w:val="24"/>
          <w:szCs w:val="24"/>
          <w:u w:val="single"/>
        </w:rPr>
        <w:t xml:space="preserve"> (Settlement ¶ 35)</w:t>
      </w:r>
    </w:p>
    <w:p w:rsidR="00324FB2" w:rsidRPr="00B43EAA" w:rsidRDefault="00324FB2" w:rsidP="002A4479">
      <w:pPr>
        <w:pStyle w:val="ListParagraph"/>
        <w:spacing w:line="360" w:lineRule="auto"/>
        <w:ind w:left="1440"/>
        <w:rPr>
          <w:bCs/>
          <w:kern w:val="32"/>
          <w:sz w:val="24"/>
          <w:szCs w:val="24"/>
          <w:u w:val="single"/>
        </w:rPr>
      </w:pPr>
    </w:p>
    <w:p w:rsidR="00C26F54" w:rsidRDefault="004A45F3" w:rsidP="002A4479">
      <w:pPr>
        <w:spacing w:line="360" w:lineRule="auto"/>
        <w:ind w:firstLine="1440"/>
        <w:rPr>
          <w:bCs/>
          <w:kern w:val="32"/>
        </w:rPr>
      </w:pPr>
      <w:r>
        <w:rPr>
          <w:bCs/>
          <w:kern w:val="32"/>
        </w:rPr>
        <w:t xml:space="preserve">The </w:t>
      </w:r>
      <w:r w:rsidR="00C26F54" w:rsidRPr="00B43EAA">
        <w:rPr>
          <w:bCs/>
          <w:kern w:val="32"/>
        </w:rPr>
        <w:t>OCA points out that if the Company is authorized to implement a DSIC, the proposed Settlement provides that Columbia will not be entitled to include plant additions in the DSIC until eligible account balances exceed the levels projected by Columbia at June 30, 2014, the end of the fully</w:t>
      </w:r>
      <w:r w:rsidR="00D87CA7">
        <w:rPr>
          <w:bCs/>
          <w:kern w:val="32"/>
        </w:rPr>
        <w:t>-</w:t>
      </w:r>
      <w:r w:rsidR="00C26F54" w:rsidRPr="00B43EAA">
        <w:rPr>
          <w:bCs/>
          <w:kern w:val="32"/>
        </w:rPr>
        <w:t>forecasted future test year.</w:t>
      </w:r>
      <w:r w:rsidR="007F3E2F">
        <w:rPr>
          <w:bCs/>
          <w:kern w:val="32"/>
        </w:rPr>
        <w:t xml:space="preserve"> </w:t>
      </w:r>
      <w:r w:rsidR="00C26F54" w:rsidRPr="00B43EAA">
        <w:rPr>
          <w:bCs/>
          <w:kern w:val="32"/>
        </w:rPr>
        <w:t xml:space="preserve"> Settlement ¶ 35. </w:t>
      </w:r>
      <w:r w:rsidR="00C26F54">
        <w:rPr>
          <w:bCs/>
          <w:kern w:val="32"/>
        </w:rPr>
        <w:t xml:space="preserve"> </w:t>
      </w:r>
      <w:r>
        <w:rPr>
          <w:bCs/>
          <w:kern w:val="32"/>
        </w:rPr>
        <w:t xml:space="preserve">The </w:t>
      </w:r>
      <w:r w:rsidR="00C26F54" w:rsidRPr="00B43EAA">
        <w:rPr>
          <w:bCs/>
          <w:kern w:val="32"/>
        </w:rPr>
        <w:t>OCA asserts the parties have not agreed on the projected additions that are included in the Company’s rate base for ratemaking purposes; however, the parties have agreed to a starting point for DSIC recovery.  Stated otherwise, OCA submits the Settlement establishes the base level of plant investment that must be realized before any incremental expenditures can</w:t>
      </w:r>
      <w:r w:rsidR="007F3E2F">
        <w:rPr>
          <w:bCs/>
          <w:kern w:val="32"/>
        </w:rPr>
        <w:t xml:space="preserve"> be recovered through a DSIC.  </w:t>
      </w:r>
      <w:r w:rsidR="00C26F54" w:rsidRPr="00B43EAA">
        <w:rPr>
          <w:bCs/>
          <w:kern w:val="32"/>
        </w:rPr>
        <w:t>OCA St. in Support, p. 5.</w:t>
      </w:r>
    </w:p>
    <w:p w:rsidR="00C26F54" w:rsidRPr="00B43EAA" w:rsidRDefault="00C26F54" w:rsidP="007F3E2F">
      <w:pPr>
        <w:spacing w:line="360" w:lineRule="auto"/>
        <w:ind w:firstLine="720"/>
        <w:jc w:val="both"/>
        <w:rPr>
          <w:bCs/>
          <w:kern w:val="32"/>
        </w:rPr>
      </w:pPr>
    </w:p>
    <w:p w:rsidR="00C26F54" w:rsidRDefault="00C26F54" w:rsidP="007F3E2F">
      <w:pPr>
        <w:pStyle w:val="ListParagraph"/>
        <w:numPr>
          <w:ilvl w:val="1"/>
          <w:numId w:val="6"/>
        </w:numPr>
        <w:spacing w:line="360" w:lineRule="auto"/>
        <w:ind w:left="2160" w:hanging="720"/>
        <w:rPr>
          <w:bCs/>
          <w:kern w:val="32"/>
          <w:sz w:val="24"/>
          <w:szCs w:val="24"/>
          <w:u w:val="single"/>
        </w:rPr>
      </w:pPr>
      <w:r w:rsidRPr="00B43EAA">
        <w:rPr>
          <w:bCs/>
          <w:kern w:val="32"/>
          <w:sz w:val="24"/>
          <w:szCs w:val="24"/>
          <w:u w:val="single"/>
        </w:rPr>
        <w:t>Gas Plant in Service, Update to Exhibit 108 Schedule 1 (Settlement ¶ 36)</w:t>
      </w:r>
    </w:p>
    <w:p w:rsidR="004A45F3" w:rsidRDefault="004A45F3" w:rsidP="007F3E2F">
      <w:pPr>
        <w:spacing w:line="360" w:lineRule="auto"/>
        <w:rPr>
          <w:bCs/>
          <w:kern w:val="32"/>
          <w:u w:val="single"/>
        </w:rPr>
      </w:pPr>
    </w:p>
    <w:p w:rsidR="004A45F3" w:rsidRDefault="00C26F54" w:rsidP="007F3E2F">
      <w:pPr>
        <w:spacing w:line="360" w:lineRule="auto"/>
        <w:ind w:firstLine="1440"/>
        <w:rPr>
          <w:bCs/>
          <w:kern w:val="32"/>
        </w:rPr>
      </w:pPr>
      <w:r>
        <w:rPr>
          <w:bCs/>
          <w:kern w:val="32"/>
        </w:rPr>
        <w:t>T</w:t>
      </w:r>
      <w:r w:rsidRPr="00B43EAA">
        <w:rPr>
          <w:bCs/>
          <w:kern w:val="32"/>
        </w:rPr>
        <w:t xml:space="preserve">he proposed Settlement </w:t>
      </w:r>
      <w:r w:rsidR="004A45F3">
        <w:rPr>
          <w:bCs/>
          <w:kern w:val="32"/>
        </w:rPr>
        <w:t xml:space="preserve">includes </w:t>
      </w:r>
      <w:r w:rsidRPr="00B43EAA">
        <w:rPr>
          <w:bCs/>
          <w:kern w:val="32"/>
        </w:rPr>
        <w:t>that the Company will provide updates to Columbia Exhibit 108, Schedule 1 (Gas Plant in Service) to the PUC’s Bureau of Technical Utility Services (</w:t>
      </w:r>
      <w:r w:rsidR="00286364">
        <w:rPr>
          <w:bCs/>
          <w:kern w:val="32"/>
        </w:rPr>
        <w:t>“</w:t>
      </w:r>
      <w:r w:rsidRPr="00B43EAA">
        <w:rPr>
          <w:bCs/>
          <w:kern w:val="32"/>
        </w:rPr>
        <w:t>TUS</w:t>
      </w:r>
      <w:r w:rsidR="00286364">
        <w:rPr>
          <w:bCs/>
          <w:kern w:val="32"/>
        </w:rPr>
        <w:t>”</w:t>
      </w:r>
      <w:r w:rsidRPr="00B43EAA">
        <w:rPr>
          <w:bCs/>
          <w:kern w:val="32"/>
        </w:rPr>
        <w:t xml:space="preserve">), I&amp;E, </w:t>
      </w:r>
      <w:r w:rsidR="00610979">
        <w:rPr>
          <w:bCs/>
          <w:kern w:val="32"/>
        </w:rPr>
        <w:t xml:space="preserve">OCA, and </w:t>
      </w:r>
      <w:r w:rsidRPr="00B43EAA">
        <w:rPr>
          <w:bCs/>
          <w:kern w:val="32"/>
        </w:rPr>
        <w:t>OSBA on or before October 1, 2013, and on or before October 1, 2014.</w:t>
      </w:r>
      <w:r>
        <w:rPr>
          <w:bCs/>
          <w:kern w:val="32"/>
        </w:rPr>
        <w:t xml:space="preserve"> </w:t>
      </w:r>
      <w:r w:rsidRPr="00B43EAA">
        <w:rPr>
          <w:bCs/>
          <w:kern w:val="32"/>
        </w:rPr>
        <w:t xml:space="preserve"> Settlement ¶ 36.  The updates will include actual capital expenditures, plant additions, and retirements by month for the twe</w:t>
      </w:r>
      <w:r w:rsidR="00610979">
        <w:rPr>
          <w:bCs/>
          <w:kern w:val="32"/>
        </w:rPr>
        <w:t>lve months ending June 30, 2013</w:t>
      </w:r>
      <w:r w:rsidRPr="00B43EAA">
        <w:rPr>
          <w:bCs/>
          <w:kern w:val="32"/>
        </w:rPr>
        <w:t xml:space="preserve"> and June 30, 2014.</w:t>
      </w:r>
      <w:r w:rsidR="007B68A8">
        <w:rPr>
          <w:bCs/>
          <w:kern w:val="32"/>
        </w:rPr>
        <w:t xml:space="preserve"> </w:t>
      </w:r>
      <w:r w:rsidRPr="00B43EAA">
        <w:rPr>
          <w:bCs/>
          <w:kern w:val="32"/>
        </w:rPr>
        <w:t xml:space="preserve"> </w:t>
      </w:r>
      <w:r w:rsidRPr="00610979">
        <w:rPr>
          <w:bCs/>
          <w:i/>
          <w:kern w:val="32"/>
        </w:rPr>
        <w:t>Id.</w:t>
      </w:r>
      <w:r w:rsidRPr="00B43EAA">
        <w:rPr>
          <w:bCs/>
          <w:kern w:val="32"/>
        </w:rPr>
        <w:t xml:space="preserve">  Finally, in its next base rate proceeding, the Company will prepare a comparison of its actual expenses and rate base additions for the twelve months ended June 30, 2014 to its projections in this case.  </w:t>
      </w:r>
      <w:r w:rsidRPr="00610979">
        <w:rPr>
          <w:bCs/>
          <w:i/>
          <w:kern w:val="32"/>
        </w:rPr>
        <w:t>Id.</w:t>
      </w:r>
      <w:r w:rsidRPr="00B43EAA">
        <w:rPr>
          <w:bCs/>
          <w:kern w:val="32"/>
        </w:rPr>
        <w:t xml:space="preserve">  OCA St. in Support, pp. 5-6.</w:t>
      </w:r>
    </w:p>
    <w:p w:rsidR="004A45F3" w:rsidRDefault="004A45F3" w:rsidP="004A45F3">
      <w:pPr>
        <w:spacing w:line="360" w:lineRule="auto"/>
        <w:ind w:firstLine="1440"/>
        <w:rPr>
          <w:bCs/>
          <w:kern w:val="32"/>
        </w:rPr>
      </w:pPr>
    </w:p>
    <w:p w:rsidR="00C26F54" w:rsidRPr="00B43EAA" w:rsidRDefault="00C26F54" w:rsidP="00625F58">
      <w:pPr>
        <w:spacing w:line="360" w:lineRule="auto"/>
        <w:ind w:firstLine="1440"/>
        <w:rPr>
          <w:bCs/>
          <w:kern w:val="32"/>
        </w:rPr>
      </w:pPr>
      <w:r w:rsidRPr="00B43EAA">
        <w:rPr>
          <w:bCs/>
          <w:kern w:val="32"/>
        </w:rPr>
        <w:t>The OCA submits that these reporting requirements will assist the Commission and interested parties in evaluating the Company’s fully</w:t>
      </w:r>
      <w:r w:rsidR="00D87CA7">
        <w:rPr>
          <w:bCs/>
          <w:kern w:val="32"/>
        </w:rPr>
        <w:t>-</w:t>
      </w:r>
      <w:r w:rsidRPr="00B43EAA">
        <w:rPr>
          <w:bCs/>
          <w:kern w:val="32"/>
        </w:rPr>
        <w:t>forecasted future test year projections. 66 Pa. C.S. §315(e).  OCA asserts this is particularly important because Columbia is the first utility to utilize a fully</w:t>
      </w:r>
      <w:r w:rsidR="00D87CA7">
        <w:rPr>
          <w:bCs/>
          <w:kern w:val="32"/>
        </w:rPr>
        <w:t>-</w:t>
      </w:r>
      <w:r w:rsidRPr="00B43EAA">
        <w:rPr>
          <w:bCs/>
          <w:kern w:val="32"/>
        </w:rPr>
        <w:t xml:space="preserve">projected future test year.  OCA St. in Support, p. 6. </w:t>
      </w:r>
    </w:p>
    <w:p w:rsidR="00C26F54" w:rsidRPr="00B43EAA" w:rsidRDefault="00C26F54" w:rsidP="00625F58">
      <w:pPr>
        <w:spacing w:line="360" w:lineRule="auto"/>
        <w:ind w:firstLine="720"/>
        <w:jc w:val="both"/>
        <w:rPr>
          <w:bCs/>
          <w:kern w:val="32"/>
        </w:rPr>
      </w:pPr>
    </w:p>
    <w:bookmarkEnd w:id="3"/>
    <w:bookmarkEnd w:id="4"/>
    <w:p w:rsidR="00C26F54" w:rsidRDefault="00625F58" w:rsidP="00625F58">
      <w:pPr>
        <w:pStyle w:val="ListParagraph"/>
        <w:numPr>
          <w:ilvl w:val="0"/>
          <w:numId w:val="11"/>
        </w:numPr>
        <w:spacing w:line="360" w:lineRule="auto"/>
        <w:ind w:left="1440" w:hanging="720"/>
        <w:rPr>
          <w:bCs/>
          <w:kern w:val="32"/>
          <w:sz w:val="24"/>
          <w:szCs w:val="24"/>
          <w:u w:val="single"/>
        </w:rPr>
      </w:pPr>
      <w:r w:rsidRPr="00B43EAA">
        <w:rPr>
          <w:bCs/>
          <w:kern w:val="32"/>
          <w:sz w:val="24"/>
          <w:szCs w:val="24"/>
          <w:u w:val="single"/>
        </w:rPr>
        <w:t>Rate Structure</w:t>
      </w:r>
    </w:p>
    <w:p w:rsidR="004A45F3" w:rsidRPr="00B43EAA" w:rsidRDefault="004A45F3" w:rsidP="00625F58">
      <w:pPr>
        <w:pStyle w:val="ListParagraph"/>
        <w:spacing w:line="360" w:lineRule="auto"/>
        <w:ind w:left="1080"/>
        <w:rPr>
          <w:bCs/>
          <w:kern w:val="32"/>
          <w:sz w:val="24"/>
          <w:szCs w:val="24"/>
          <w:u w:val="single"/>
        </w:rPr>
      </w:pPr>
    </w:p>
    <w:p w:rsidR="00C26F54" w:rsidRPr="00B43EAA" w:rsidRDefault="00C26F54" w:rsidP="00625F58">
      <w:pPr>
        <w:pStyle w:val="ListParagraph"/>
        <w:numPr>
          <w:ilvl w:val="0"/>
          <w:numId w:val="12"/>
        </w:numPr>
        <w:spacing w:line="360" w:lineRule="auto"/>
        <w:ind w:left="1440" w:firstLine="0"/>
        <w:rPr>
          <w:bCs/>
          <w:kern w:val="32"/>
          <w:sz w:val="24"/>
          <w:szCs w:val="24"/>
          <w:u w:val="single"/>
        </w:rPr>
      </w:pPr>
      <w:r w:rsidRPr="00B43EAA">
        <w:rPr>
          <w:bCs/>
          <w:kern w:val="32"/>
          <w:sz w:val="24"/>
          <w:szCs w:val="24"/>
          <w:u w:val="single"/>
        </w:rPr>
        <w:t>Revenue Allocation (Settlement ¶ 39)</w:t>
      </w:r>
    </w:p>
    <w:p w:rsidR="004A45F3" w:rsidRDefault="004A45F3" w:rsidP="00625F58">
      <w:pPr>
        <w:spacing w:line="360" w:lineRule="auto"/>
        <w:jc w:val="both"/>
        <w:rPr>
          <w:kern w:val="32"/>
        </w:rPr>
      </w:pPr>
    </w:p>
    <w:p w:rsidR="003B4935" w:rsidRDefault="00C26F54" w:rsidP="00625F58">
      <w:pPr>
        <w:spacing w:line="360" w:lineRule="auto"/>
        <w:ind w:firstLine="1440"/>
        <w:rPr>
          <w:kern w:val="32"/>
        </w:rPr>
      </w:pPr>
      <w:r w:rsidRPr="00B43EAA">
        <w:rPr>
          <w:kern w:val="32"/>
        </w:rPr>
        <w:t>The Settlement provides that the Company may increase base rates by amounts designed to produce a $55.25 million increase in annual operating revenues, in lieu of the increase of $77.3 million originally proposed by the Company in this proceeding.  Settlement ¶</w:t>
      </w:r>
      <w:r w:rsidR="00610979">
        <w:rPr>
          <w:kern w:val="32"/>
        </w:rPr>
        <w:t> </w:t>
      </w:r>
      <w:r w:rsidRPr="00B43EAA">
        <w:rPr>
          <w:kern w:val="32"/>
        </w:rPr>
        <w:t xml:space="preserve">24.  </w:t>
      </w:r>
      <w:r w:rsidR="003B4935">
        <w:rPr>
          <w:kern w:val="32"/>
        </w:rPr>
        <w:t xml:space="preserve">The </w:t>
      </w:r>
      <w:r w:rsidRPr="00B43EAA">
        <w:rPr>
          <w:kern w:val="32"/>
        </w:rPr>
        <w:t xml:space="preserve">OCA points out under the revenue allocation agreed to by the Joint Petitioners, the Columbia residential class would experience an increase of $40.8 million, rather than the Company’s proposed increase of $61.8 million. </w:t>
      </w:r>
      <w:bookmarkStart w:id="5" w:name="OLE_LINK5"/>
      <w:bookmarkStart w:id="6" w:name="OLE_LINK6"/>
      <w:r w:rsidR="00625F58">
        <w:rPr>
          <w:kern w:val="32"/>
        </w:rPr>
        <w:t xml:space="preserve"> </w:t>
      </w:r>
      <w:r w:rsidRPr="00B43EAA">
        <w:rPr>
          <w:kern w:val="32"/>
        </w:rPr>
        <w:t>Settlement ¶ 39; Settlement Appendix A</w:t>
      </w:r>
      <w:r w:rsidR="003B4935">
        <w:t xml:space="preserve">.  The </w:t>
      </w:r>
      <w:r w:rsidRPr="00B43EAA">
        <w:t>OCA further asserts, u</w:t>
      </w:r>
      <w:r w:rsidRPr="00B43EAA">
        <w:rPr>
          <w:kern w:val="32"/>
        </w:rPr>
        <w:t>nder the proposed Settlement, the average total monthly bill for a Columbia residential customer using 73 therms per month would rise from $</w:t>
      </w:r>
      <w:r w:rsidRPr="00B43EAA">
        <w:rPr>
          <w:noProof/>
          <w:snapToGrid w:val="0"/>
        </w:rPr>
        <w:t>67.17 to $78.16</w:t>
      </w:r>
      <w:r w:rsidRPr="00B43EAA">
        <w:rPr>
          <w:kern w:val="32"/>
        </w:rPr>
        <w:t xml:space="preserve"> or by 16.36%.</w:t>
      </w:r>
      <w:r>
        <w:rPr>
          <w:kern w:val="32"/>
        </w:rPr>
        <w:t xml:space="preserve"> </w:t>
      </w:r>
      <w:r w:rsidRPr="00B43EAA">
        <w:rPr>
          <w:kern w:val="32"/>
        </w:rPr>
        <w:t xml:space="preserve"> Settlement ¶ 24.  </w:t>
      </w:r>
      <w:r w:rsidR="003B4935">
        <w:rPr>
          <w:kern w:val="32"/>
        </w:rPr>
        <w:t xml:space="preserve">The </w:t>
      </w:r>
      <w:r>
        <w:rPr>
          <w:kern w:val="32"/>
        </w:rPr>
        <w:t>OCA explains t</w:t>
      </w:r>
      <w:r w:rsidRPr="00B43EAA">
        <w:rPr>
          <w:kern w:val="32"/>
        </w:rPr>
        <w:t>his is in lieu of</w:t>
      </w:r>
      <w:bookmarkEnd w:id="5"/>
      <w:bookmarkEnd w:id="6"/>
      <w:r w:rsidRPr="00B43EAA">
        <w:rPr>
          <w:kern w:val="32"/>
        </w:rPr>
        <w:t xml:space="preserve"> the 23.45% increase, or </w:t>
      </w:r>
      <w:r w:rsidRPr="00B43EAA">
        <w:rPr>
          <w:noProof/>
          <w:snapToGrid w:val="0"/>
        </w:rPr>
        <w:t xml:space="preserve">$82.92 </w:t>
      </w:r>
      <w:r w:rsidRPr="00B43EAA">
        <w:rPr>
          <w:kern w:val="32"/>
        </w:rPr>
        <w:t xml:space="preserve">monthly bill, that was originally proposed by Columbia.  </w:t>
      </w:r>
      <w:r w:rsidRPr="00610979">
        <w:rPr>
          <w:i/>
          <w:kern w:val="32"/>
        </w:rPr>
        <w:t>Id.</w:t>
      </w:r>
      <w:r w:rsidRPr="00B43EAA">
        <w:rPr>
          <w:kern w:val="32"/>
        </w:rPr>
        <w:t xml:space="preserve">  OCA St. in Support, p. 6.</w:t>
      </w:r>
    </w:p>
    <w:p w:rsidR="003B4935" w:rsidRDefault="003B4935" w:rsidP="003B4935">
      <w:pPr>
        <w:spacing w:line="360" w:lineRule="auto"/>
        <w:ind w:firstLine="1440"/>
        <w:rPr>
          <w:kern w:val="32"/>
        </w:rPr>
      </w:pPr>
    </w:p>
    <w:p w:rsidR="00C26F54" w:rsidRDefault="003B4935" w:rsidP="002A4479">
      <w:pPr>
        <w:spacing w:line="360" w:lineRule="auto"/>
        <w:ind w:firstLine="1440"/>
        <w:rPr>
          <w:kern w:val="32"/>
        </w:rPr>
      </w:pPr>
      <w:r>
        <w:rPr>
          <w:kern w:val="32"/>
        </w:rPr>
        <w:t xml:space="preserve">The </w:t>
      </w:r>
      <w:r w:rsidR="00C26F54" w:rsidRPr="00B43EAA">
        <w:rPr>
          <w:kern w:val="32"/>
        </w:rPr>
        <w:t>OCA argues</w:t>
      </w:r>
      <w:r w:rsidR="00C26F54">
        <w:rPr>
          <w:kern w:val="32"/>
        </w:rPr>
        <w:t xml:space="preserve"> </w:t>
      </w:r>
      <w:r w:rsidR="00C26F54" w:rsidRPr="00B43EAA">
        <w:rPr>
          <w:kern w:val="32"/>
        </w:rPr>
        <w:t xml:space="preserve">the revenue allocation under the proposed Settlement represents a result that would be within the range of likely outcomes in the event of full litigation of the case. </w:t>
      </w:r>
      <w:r w:rsidR="00625F58">
        <w:rPr>
          <w:kern w:val="32"/>
        </w:rPr>
        <w:t xml:space="preserve"> </w:t>
      </w:r>
      <w:r w:rsidR="00C26F54">
        <w:rPr>
          <w:kern w:val="32"/>
        </w:rPr>
        <w:t>As OCA explains, s</w:t>
      </w:r>
      <w:r w:rsidR="00C26F54" w:rsidRPr="00B43EAA">
        <w:rPr>
          <w:kern w:val="32"/>
        </w:rPr>
        <w:t xml:space="preserve">everal parties, including OCA, OSBA, and the Company, provided proposed varied revenue allocations, and this figure represents a compromise of a contentious issue. </w:t>
      </w:r>
      <w:r w:rsidR="00C26F54">
        <w:rPr>
          <w:kern w:val="32"/>
        </w:rPr>
        <w:t xml:space="preserve"> </w:t>
      </w:r>
      <w:r>
        <w:rPr>
          <w:kern w:val="32"/>
        </w:rPr>
        <w:t xml:space="preserve">The </w:t>
      </w:r>
      <w:r w:rsidR="00C26F54" w:rsidRPr="00B43EAA">
        <w:rPr>
          <w:kern w:val="32"/>
        </w:rPr>
        <w:t xml:space="preserve">OCA submits the revenue allocation yields a result that is just and reasonable under the circumstances of this case. </w:t>
      </w:r>
      <w:r w:rsidR="00625F58">
        <w:rPr>
          <w:kern w:val="32"/>
        </w:rPr>
        <w:t xml:space="preserve"> </w:t>
      </w:r>
      <w:r w:rsidR="00C26F54" w:rsidRPr="00B43EAA">
        <w:rPr>
          <w:kern w:val="32"/>
        </w:rPr>
        <w:t xml:space="preserve">OCA St. in Support, pp. 6-7. </w:t>
      </w:r>
    </w:p>
    <w:p w:rsidR="00C26F54" w:rsidRPr="00B43EAA" w:rsidRDefault="00C26F54" w:rsidP="002A4479">
      <w:pPr>
        <w:spacing w:line="360" w:lineRule="auto"/>
        <w:ind w:firstLine="720"/>
        <w:jc w:val="both"/>
        <w:rPr>
          <w:kern w:val="32"/>
        </w:rPr>
      </w:pPr>
    </w:p>
    <w:p w:rsidR="00C26F54" w:rsidRPr="003B4935" w:rsidRDefault="00C26F54" w:rsidP="002A4479">
      <w:pPr>
        <w:pStyle w:val="ListParagraph"/>
        <w:numPr>
          <w:ilvl w:val="0"/>
          <w:numId w:val="12"/>
        </w:numPr>
        <w:spacing w:line="360" w:lineRule="auto"/>
        <w:ind w:firstLine="360"/>
        <w:rPr>
          <w:bCs/>
          <w:kern w:val="32"/>
          <w:sz w:val="24"/>
          <w:szCs w:val="24"/>
          <w:u w:val="single"/>
        </w:rPr>
      </w:pPr>
      <w:r w:rsidRPr="00B43EAA">
        <w:rPr>
          <w:bCs/>
          <w:kern w:val="32"/>
          <w:sz w:val="24"/>
          <w:szCs w:val="24"/>
          <w:u w:val="single"/>
        </w:rPr>
        <w:t>Residential Rate Design (Settlement ¶¶ 40-41)</w:t>
      </w:r>
    </w:p>
    <w:p w:rsidR="003B4935" w:rsidRDefault="003B4935" w:rsidP="002A4479">
      <w:pPr>
        <w:spacing w:line="360" w:lineRule="auto"/>
        <w:rPr>
          <w:bCs/>
          <w:kern w:val="32"/>
          <w:u w:val="single"/>
        </w:rPr>
      </w:pPr>
    </w:p>
    <w:p w:rsidR="003B4935" w:rsidRDefault="00C26F54" w:rsidP="002A4479">
      <w:pPr>
        <w:spacing w:line="360" w:lineRule="auto"/>
        <w:ind w:firstLine="1440"/>
      </w:pPr>
      <w:r w:rsidRPr="00B43EAA">
        <w:rPr>
          <w:bCs/>
          <w:kern w:val="32"/>
        </w:rPr>
        <w:t xml:space="preserve">According to OCA, Columbia’s fixed customer charge, like that of all distribution utilities in Pennsylvania, has traditionally been limited to recovering the direct costs </w:t>
      </w:r>
      <w:r w:rsidRPr="00B43EAA">
        <w:t xml:space="preserve">of hooking up and maintaining a customer’s account.  In its Order in Columbia’s last base rate case, the Commission adopted a proposal to increase the customer charge from $12.25 per month to $18.73 per month based on a 2 Mcf per month allowance, as a means of providing some additional revenue stability for Columbia without substantially increasing the customer charge.  </w:t>
      </w:r>
      <w:r w:rsidRPr="00610979">
        <w:rPr>
          <w:i/>
        </w:rPr>
        <w:t>Pa. PUC v. Columbia Gas of Pa.</w:t>
      </w:r>
      <w:r w:rsidRPr="00B43EAA">
        <w:t xml:space="preserve">, Docket No. R-2010-2215623, Order at 52 (Oct. 14, 2011).  The </w:t>
      </w:r>
      <w:r>
        <w:t xml:space="preserve">OCA explains that the </w:t>
      </w:r>
      <w:r w:rsidRPr="00B43EAA">
        <w:t>Commission stated</w:t>
      </w:r>
      <w:r w:rsidR="003B4935">
        <w:t xml:space="preserve"> </w:t>
      </w:r>
      <w:r w:rsidRPr="00B43EAA">
        <w:t xml:space="preserve">its decision was not precedential and resulted only from a lack of alternatives presented in the record.  </w:t>
      </w:r>
      <w:r w:rsidRPr="00610979">
        <w:rPr>
          <w:i/>
        </w:rPr>
        <w:t>Id.</w:t>
      </w:r>
      <w:r w:rsidRPr="00B43EAA">
        <w:t xml:space="preserve">  The Commission encouraged the parties to present viable alternative rate mechanisms that provide more revenue stability for the Company without merely increasing customer charges, which “may have long term implications in dampening incentives for energy efficiency investments – which will cause long term costs to increase.”  </w:t>
      </w:r>
      <w:r w:rsidRPr="00610979">
        <w:rPr>
          <w:i/>
        </w:rPr>
        <w:t>Id.</w:t>
      </w:r>
      <w:r w:rsidRPr="00B43EAA">
        <w:t xml:space="preserve">  </w:t>
      </w:r>
      <w:r w:rsidRPr="00B43EAA">
        <w:rPr>
          <w:bCs/>
          <w:kern w:val="32"/>
        </w:rPr>
        <w:t>In response to this directive, Columbia proposed to increase the fixed charge to customers and the level of guaranteed revenues to the Company.  Columbia’s preferred approach is to increase the customer charge to $19.00 and adjust bills to a benchmark level of revenue per customer (</w:t>
      </w:r>
      <w:r w:rsidR="00610979">
        <w:rPr>
          <w:bCs/>
          <w:kern w:val="32"/>
        </w:rPr>
        <w:t>“</w:t>
      </w:r>
      <w:r w:rsidRPr="00B43EAA">
        <w:rPr>
          <w:bCs/>
          <w:kern w:val="32"/>
        </w:rPr>
        <w:t>RNA</w:t>
      </w:r>
      <w:r w:rsidR="00610979">
        <w:rPr>
          <w:bCs/>
          <w:kern w:val="32"/>
        </w:rPr>
        <w:t>”</w:t>
      </w:r>
      <w:r w:rsidRPr="00B43EAA">
        <w:rPr>
          <w:bCs/>
          <w:kern w:val="32"/>
        </w:rPr>
        <w:t xml:space="preserve">).  This would adjust for variations in energy usage resulting from any cause, including the economy, end-use energy efficiency and weather.  The Company’s second approach is to impose an even higher customer charge of </w:t>
      </w:r>
      <w:r w:rsidRPr="00B43EAA">
        <w:t>$29.00 per month and adjust bills for any variation from “normal” weather (</w:t>
      </w:r>
      <w:r w:rsidR="00610979">
        <w:t>“</w:t>
      </w:r>
      <w:r w:rsidRPr="00B43EAA">
        <w:t>WNA</w:t>
      </w:r>
      <w:r w:rsidR="00610979">
        <w:t>”</w:t>
      </w:r>
      <w:r w:rsidRPr="00B43EAA">
        <w:t xml:space="preserve">).  Its third approach is to impose a high, fixed charge of $45.49 per month for all </w:t>
      </w:r>
      <w:r w:rsidR="00C50D84">
        <w:t>r</w:t>
      </w:r>
      <w:r w:rsidRPr="00B43EAA">
        <w:t>esidential customers regardless of usage (</w:t>
      </w:r>
      <w:r w:rsidR="00610979">
        <w:t>“</w:t>
      </w:r>
      <w:r w:rsidRPr="00B43EAA">
        <w:t>LDC</w:t>
      </w:r>
      <w:r w:rsidR="00610979">
        <w:t>”</w:t>
      </w:r>
      <w:r w:rsidRPr="00B43EAA">
        <w:t>).  OCA St. in Support, p. 7.</w:t>
      </w:r>
    </w:p>
    <w:p w:rsidR="003B4935" w:rsidRDefault="003B4935" w:rsidP="003B4935">
      <w:pPr>
        <w:spacing w:line="360" w:lineRule="auto"/>
        <w:ind w:firstLine="1440"/>
      </w:pPr>
    </w:p>
    <w:p w:rsidR="003B4935" w:rsidRDefault="003B4935" w:rsidP="003B4935">
      <w:pPr>
        <w:spacing w:line="360" w:lineRule="auto"/>
        <w:ind w:firstLine="1440"/>
      </w:pPr>
      <w:r>
        <w:t xml:space="preserve">The </w:t>
      </w:r>
      <w:r w:rsidR="00C26F54" w:rsidRPr="00B43EAA">
        <w:t>OCA asserts that</w:t>
      </w:r>
      <w:r w:rsidR="00C26F54">
        <w:t xml:space="preserve"> it </w:t>
      </w:r>
      <w:r w:rsidR="00C26F54" w:rsidRPr="00B43EAA">
        <w:t xml:space="preserve">recommended that none of the Company’s guaranteed revenue recovery mechanisms be approved as filed because they unreasonably tilt the balance of ratepayer and shareholder interests in favor of the Company; do not comport with sound economic pricing theory and policies; are not consistent with pricing in competitive markets, where pricing is largely volume-based and </w:t>
      </w:r>
      <w:r w:rsidR="00C26F54" w:rsidRPr="00B43EAA">
        <w:rPr>
          <w:color w:val="000000"/>
        </w:rPr>
        <w:t>businesses compete with no guarantees of recovering their investments</w:t>
      </w:r>
      <w:r w:rsidR="00C26F54" w:rsidRPr="00B43EAA">
        <w:t>; and do not promote conservation of natural gas.  OCA St</w:t>
      </w:r>
      <w:r w:rsidR="00610979">
        <w:t>atement No</w:t>
      </w:r>
      <w:r w:rsidR="00C26F54" w:rsidRPr="00B43EAA">
        <w:t>. 3</w:t>
      </w:r>
      <w:r w:rsidR="00610979">
        <w:t>, pp.</w:t>
      </w:r>
      <w:r w:rsidR="00C26F54" w:rsidRPr="00B43EAA">
        <w:t xml:space="preserve"> 18-29.  Further, OCA noted that Columbia </w:t>
      </w:r>
      <w:r w:rsidR="00C26F54" w:rsidRPr="00B43EAA">
        <w:rPr>
          <w:bCs/>
          <w:kern w:val="32"/>
        </w:rPr>
        <w:t>already has two new risk reduction measures in place:</w:t>
      </w:r>
      <w:r>
        <w:rPr>
          <w:bCs/>
          <w:kern w:val="32"/>
        </w:rPr>
        <w:t xml:space="preserve"> </w:t>
      </w:r>
      <w:r w:rsidR="007D6A27">
        <w:rPr>
          <w:bCs/>
          <w:kern w:val="32"/>
        </w:rPr>
        <w:t xml:space="preserve"> </w:t>
      </w:r>
      <w:r w:rsidR="00C26F54" w:rsidRPr="00B43EAA">
        <w:rPr>
          <w:bCs/>
          <w:kern w:val="32"/>
        </w:rPr>
        <w:t>use of a fully</w:t>
      </w:r>
      <w:r w:rsidR="00D87CA7">
        <w:rPr>
          <w:bCs/>
          <w:kern w:val="32"/>
        </w:rPr>
        <w:t>-</w:t>
      </w:r>
      <w:r w:rsidR="00C26F54" w:rsidRPr="00B43EAA">
        <w:rPr>
          <w:bCs/>
          <w:kern w:val="32"/>
        </w:rPr>
        <w:t>forecasted rate year, which allows the Company to anticipate usage and expenses up to 18 months into the future and the ability to seek approval of a Distribution System Improvement Charge, in which prices are automatically increased between rate cases based on the level of new investments by distribution utilities.</w:t>
      </w:r>
      <w:r w:rsidR="00814E10">
        <w:rPr>
          <w:bCs/>
          <w:kern w:val="32"/>
        </w:rPr>
        <w:t xml:space="preserve">  OCA St</w:t>
      </w:r>
      <w:r w:rsidR="00610979">
        <w:rPr>
          <w:bCs/>
          <w:kern w:val="32"/>
        </w:rPr>
        <w:t>atement No</w:t>
      </w:r>
      <w:r w:rsidR="00814E10">
        <w:rPr>
          <w:bCs/>
          <w:kern w:val="32"/>
        </w:rPr>
        <w:t>. 3</w:t>
      </w:r>
      <w:r w:rsidR="00610979">
        <w:rPr>
          <w:bCs/>
          <w:kern w:val="32"/>
        </w:rPr>
        <w:t>, pp.</w:t>
      </w:r>
      <w:r w:rsidR="00814E10">
        <w:rPr>
          <w:bCs/>
          <w:kern w:val="32"/>
        </w:rPr>
        <w:t xml:space="preserve"> 20, 28. </w:t>
      </w:r>
      <w:r w:rsidR="00C26F54">
        <w:rPr>
          <w:bCs/>
          <w:kern w:val="32"/>
        </w:rPr>
        <w:t xml:space="preserve"> </w:t>
      </w:r>
      <w:r w:rsidR="00C26F54" w:rsidRPr="00B43EAA">
        <w:rPr>
          <w:bCs/>
          <w:kern w:val="32"/>
        </w:rPr>
        <w:t xml:space="preserve">Accordingly, </w:t>
      </w:r>
      <w:r w:rsidR="00C26F54" w:rsidRPr="00B43EAA">
        <w:t>OCA recommended a fixed charge of $14.00 per month, based on a traditional direct cost analysis, as a fair and appropriate balance of risk between the Company and customers.  OCA St</w:t>
      </w:r>
      <w:r w:rsidR="00610979">
        <w:t>atement No</w:t>
      </w:r>
      <w:r w:rsidR="00C26F54" w:rsidRPr="00B43EAA">
        <w:t>. 3</w:t>
      </w:r>
      <w:r w:rsidR="00610979">
        <w:t>, p.</w:t>
      </w:r>
      <w:r w:rsidR="00C26F54" w:rsidRPr="00B43EAA">
        <w:t xml:space="preserve"> 29</w:t>
      </w:r>
      <w:r w:rsidR="00610979">
        <w:t>;</w:t>
      </w:r>
      <w:r w:rsidR="00C26F54" w:rsidRPr="00B43EAA">
        <w:t xml:space="preserve"> OCA St. in Support, p. 8.</w:t>
      </w:r>
    </w:p>
    <w:p w:rsidR="003B4935" w:rsidRDefault="003B4935" w:rsidP="003B4935">
      <w:pPr>
        <w:spacing w:line="360" w:lineRule="auto"/>
        <w:ind w:firstLine="1440"/>
      </w:pPr>
    </w:p>
    <w:p w:rsidR="003B4935" w:rsidRDefault="003B4935" w:rsidP="003B4935">
      <w:pPr>
        <w:spacing w:line="360" w:lineRule="auto"/>
        <w:ind w:firstLine="1440"/>
      </w:pPr>
      <w:r>
        <w:t xml:space="preserve">The </w:t>
      </w:r>
      <w:r w:rsidR="00C26F54" w:rsidRPr="00B43EAA">
        <w:t>OCA submits that it recognized, however, the Commission has expressed interest in increasing the Company’s revenue stability.  The OCA opposed the LDC, which would eliminate volumetric rates entirely.  OCA St</w:t>
      </w:r>
      <w:r w:rsidR="00610979">
        <w:t>atement No.</w:t>
      </w:r>
      <w:r w:rsidR="00C26F54" w:rsidRPr="00B43EAA">
        <w:t xml:space="preserve"> 3</w:t>
      </w:r>
      <w:r w:rsidR="00610979">
        <w:t>, pp.</w:t>
      </w:r>
      <w:r w:rsidR="00C26F54" w:rsidRPr="00B43EAA">
        <w:t xml:space="preserve"> 25-26, Appendix A.  The OCA also opposed the RNA because it would adjust for any change in gas usage regardless of causation, compared to the WNA which a</w:t>
      </w:r>
      <w:r w:rsidR="00610979">
        <w:t>djusts only for weather.  OCA Statement</w:t>
      </w:r>
      <w:r w:rsidR="00C90AD4">
        <w:t xml:space="preserve"> </w:t>
      </w:r>
      <w:r w:rsidR="00610979">
        <w:t>No</w:t>
      </w:r>
      <w:r w:rsidR="00C26F54" w:rsidRPr="00B43EAA">
        <w:t>. 3</w:t>
      </w:r>
      <w:r w:rsidR="00610979">
        <w:t>, pp.</w:t>
      </w:r>
      <w:r w:rsidR="00C26F54" w:rsidRPr="00B43EAA">
        <w:t xml:space="preserve"> 24-25</w:t>
      </w:r>
      <w:r w:rsidR="00610979">
        <w:t>;</w:t>
      </w:r>
      <w:r w:rsidR="00814E10">
        <w:t xml:space="preserve"> </w:t>
      </w:r>
      <w:r w:rsidR="00C26F54" w:rsidRPr="00B43EAA">
        <w:t>OCA St. in Support, p. 8.</w:t>
      </w:r>
    </w:p>
    <w:p w:rsidR="003B4935" w:rsidRDefault="003B4935" w:rsidP="003B4935">
      <w:pPr>
        <w:spacing w:line="360" w:lineRule="auto"/>
        <w:ind w:firstLine="1440"/>
      </w:pPr>
    </w:p>
    <w:p w:rsidR="003B4935" w:rsidRDefault="003B4935" w:rsidP="003B4935">
      <w:pPr>
        <w:spacing w:line="360" w:lineRule="auto"/>
        <w:ind w:firstLine="1440"/>
        <w:rPr>
          <w:bCs/>
          <w:kern w:val="32"/>
        </w:rPr>
      </w:pPr>
      <w:r>
        <w:t xml:space="preserve">The </w:t>
      </w:r>
      <w:r w:rsidR="00C26F54" w:rsidRPr="00B43EAA">
        <w:t xml:space="preserve">OCA argues, for purposes of Settlement and as a pilot, </w:t>
      </w:r>
      <w:r w:rsidR="00C26F54">
        <w:t xml:space="preserve">that </w:t>
      </w:r>
      <w:r w:rsidR="00C26F54" w:rsidRPr="00B43EAA">
        <w:t xml:space="preserve">OCA accepted a rate design that allows for implementation of a WNA that incorporates modifications to the Company’s proposal recommended by OCA witness Watkins.  Specifically, the </w:t>
      </w:r>
      <w:r>
        <w:t>S</w:t>
      </w:r>
      <w:r w:rsidR="00C26F54" w:rsidRPr="00B43EAA">
        <w:t xml:space="preserve">ettlement provides a lower, fixed customer charge, a deadband of 5% and establishes the WNA on a pilot basis for three years.  </w:t>
      </w:r>
      <w:r w:rsidR="00C26F54" w:rsidRPr="00B43EAA">
        <w:rPr>
          <w:bCs/>
          <w:kern w:val="32"/>
        </w:rPr>
        <w:t>Settlement ¶¶ 40-41</w:t>
      </w:r>
      <w:r w:rsidR="00610979">
        <w:rPr>
          <w:bCs/>
          <w:kern w:val="32"/>
        </w:rPr>
        <w:t>;</w:t>
      </w:r>
      <w:r w:rsidR="00C26F54" w:rsidRPr="00B43EAA">
        <w:rPr>
          <w:bCs/>
          <w:kern w:val="32"/>
        </w:rPr>
        <w:t xml:space="preserve"> OCA St. in Support, p. 9.</w:t>
      </w:r>
    </w:p>
    <w:p w:rsidR="003B4935" w:rsidRDefault="003B4935" w:rsidP="003B4935">
      <w:pPr>
        <w:spacing w:line="360" w:lineRule="auto"/>
        <w:ind w:firstLine="1440"/>
        <w:rPr>
          <w:bCs/>
          <w:kern w:val="32"/>
        </w:rPr>
      </w:pPr>
    </w:p>
    <w:p w:rsidR="003B4935" w:rsidRDefault="00C26F54" w:rsidP="003B4935">
      <w:pPr>
        <w:spacing w:line="360" w:lineRule="auto"/>
        <w:ind w:firstLine="1440"/>
        <w:rPr>
          <w:bCs/>
          <w:kern w:val="32"/>
        </w:rPr>
      </w:pPr>
      <w:r w:rsidRPr="00B43EAA">
        <w:rPr>
          <w:bCs/>
          <w:kern w:val="32"/>
        </w:rPr>
        <w:t xml:space="preserve">According to OCA, the Settlement adopts an adjustment to revenue, to account for weather variations only, that reflects price changes timely in the same month that weather </w:t>
      </w:r>
      <w:r w:rsidRPr="00B43EAA">
        <w:rPr>
          <w:bCs/>
          <w:kern w:val="32"/>
        </w:rPr>
        <w:lastRenderedPageBreak/>
        <w:t xml:space="preserve">varies from normal.  Then the Settlement modifies the mechanism by, first, preventing any </w:t>
      </w:r>
      <w:r w:rsidRPr="00B43EAA">
        <w:rPr>
          <w:kern w:val="32"/>
        </w:rPr>
        <w:t xml:space="preserve">upward or downward adjustment to bills unless the weather varies more than 5% from normal.  This deadband </w:t>
      </w:r>
      <w:r w:rsidRPr="00B43EAA">
        <w:t>recognizes that some variation can and will occur on a day</w:t>
      </w:r>
      <w:r w:rsidR="0070383D">
        <w:t>-</w:t>
      </w:r>
      <w:r w:rsidRPr="00B43EAA">
        <w:t>to</w:t>
      </w:r>
      <w:r w:rsidR="0070383D">
        <w:t>-</w:t>
      </w:r>
      <w:r w:rsidRPr="00B43EAA">
        <w:t>day or monthly basis</w:t>
      </w:r>
      <w:r w:rsidRPr="00B43EAA">
        <w:rPr>
          <w:kern w:val="32"/>
        </w:rPr>
        <w:t xml:space="preserve">.  </w:t>
      </w:r>
      <w:r w:rsidR="00FA79D1">
        <w:rPr>
          <w:kern w:val="32"/>
        </w:rPr>
        <w:t xml:space="preserve">Second, </w:t>
      </w:r>
      <w:r>
        <w:rPr>
          <w:kern w:val="32"/>
        </w:rPr>
        <w:t xml:space="preserve">OCA asserts </w:t>
      </w:r>
      <w:r w:rsidRPr="00B43EAA">
        <w:rPr>
          <w:kern w:val="32"/>
        </w:rPr>
        <w:t xml:space="preserve">the Settlement requires </w:t>
      </w:r>
      <w:r>
        <w:rPr>
          <w:kern w:val="32"/>
        </w:rPr>
        <w:t xml:space="preserve">that </w:t>
      </w:r>
      <w:r w:rsidRPr="00B43EAA">
        <w:rPr>
          <w:kern w:val="32"/>
        </w:rPr>
        <w:t>on October 1, 2014, 2015, and 2016</w:t>
      </w:r>
      <w:r w:rsidR="0070383D">
        <w:rPr>
          <w:kern w:val="32"/>
        </w:rPr>
        <w:t>,</w:t>
      </w:r>
      <w:r w:rsidRPr="00B43EAA">
        <w:rPr>
          <w:rStyle w:val="FootnoteReference"/>
          <w:kern w:val="32"/>
        </w:rPr>
        <w:footnoteReference w:id="28"/>
      </w:r>
      <w:r w:rsidRPr="00B43EAA">
        <w:rPr>
          <w:kern w:val="32"/>
        </w:rPr>
        <w:t xml:space="preserve"> the Company will provide reports and records supporting the operation of its WNA for the preceding year, including the Company’s monthly computation of the WNA and all underlying data.  </w:t>
      </w:r>
      <w:r w:rsidRPr="0070383D">
        <w:rPr>
          <w:i/>
          <w:kern w:val="32"/>
        </w:rPr>
        <w:t>Id.</w:t>
      </w:r>
      <w:r w:rsidRPr="00B43EAA">
        <w:rPr>
          <w:bCs/>
          <w:kern w:val="32"/>
        </w:rPr>
        <w:t xml:space="preserve">  This will assist the Commission and parties in evaluating and reviewing the calculation of the WNA and its impact on residential bills.  Third, the three-year limitation on the pilot program will provide an opportunity for parties to consider how the WNA has impacted rates, and whether the WNA should be extended or discontinued.  Fourth, the revenue requirement agreed to in the case reflects the Company’s reduced risk resulting from the proposed rate design</w:t>
      </w:r>
      <w:r w:rsidRPr="00B43EAA">
        <w:t xml:space="preserve">.  Settlement ¶ 41.  </w:t>
      </w:r>
      <w:r w:rsidRPr="00B43EAA">
        <w:rPr>
          <w:bCs/>
          <w:kern w:val="32"/>
        </w:rPr>
        <w:t xml:space="preserve">Finally, </w:t>
      </w:r>
      <w:r w:rsidR="003B4935">
        <w:rPr>
          <w:bCs/>
          <w:kern w:val="32"/>
        </w:rPr>
        <w:t>the S</w:t>
      </w:r>
      <w:r w:rsidRPr="00B43EAA" w:rsidDel="00EE31E4">
        <w:rPr>
          <w:bCs/>
          <w:kern w:val="32"/>
        </w:rPr>
        <w:t xml:space="preserve">ettlement provides for a monthly residential customer charge of $16.75, which is a decrease from the current customer charge of $18.73 (with a 21 therm minimum allowance). </w:t>
      </w:r>
      <w:r w:rsidR="00814E10">
        <w:rPr>
          <w:bCs/>
          <w:kern w:val="32"/>
        </w:rPr>
        <w:t xml:space="preserve"> </w:t>
      </w:r>
      <w:r w:rsidRPr="00B43EAA" w:rsidDel="00EE31E4">
        <w:rPr>
          <w:kern w:val="32"/>
        </w:rPr>
        <w:t>Settlement ¶ 40; Settlement Appendix B</w:t>
      </w:r>
      <w:r w:rsidR="0070383D">
        <w:rPr>
          <w:kern w:val="32"/>
        </w:rPr>
        <w:t>;</w:t>
      </w:r>
      <w:r w:rsidRPr="00B43EAA" w:rsidDel="00EE31E4">
        <w:rPr>
          <w:kern w:val="32"/>
        </w:rPr>
        <w:t xml:space="preserve"> </w:t>
      </w:r>
      <w:r w:rsidRPr="00B43EAA">
        <w:rPr>
          <w:kern w:val="32"/>
        </w:rPr>
        <w:t xml:space="preserve">OCA St. in Support, pp. 9-10.  </w:t>
      </w:r>
      <w:r w:rsidR="003B4935">
        <w:rPr>
          <w:kern w:val="32"/>
        </w:rPr>
        <w:t xml:space="preserve">The </w:t>
      </w:r>
      <w:r w:rsidRPr="00B43EAA">
        <w:rPr>
          <w:kern w:val="32"/>
        </w:rPr>
        <w:t>OCA argues that l</w:t>
      </w:r>
      <w:r w:rsidRPr="00B43EAA" w:rsidDel="00EE31E4">
        <w:rPr>
          <w:bCs/>
          <w:kern w:val="32"/>
        </w:rPr>
        <w:t>ower fixed charges increase customers’ ability to control their bills through conservation</w:t>
      </w:r>
      <w:r w:rsidRPr="00B43EAA">
        <w:rPr>
          <w:bCs/>
          <w:kern w:val="32"/>
        </w:rPr>
        <w:t>, and t</w:t>
      </w:r>
      <w:r w:rsidRPr="00B43EAA" w:rsidDel="00EE31E4">
        <w:rPr>
          <w:bCs/>
          <w:kern w:val="32"/>
        </w:rPr>
        <w:t>he reduced customer charge and elimination of the existing minimum allowance will help to offset the impact of the WNA on price signals and allow customers to control the volumetric portion of their distribution bill through conservation.</w:t>
      </w:r>
      <w:r w:rsidRPr="00B43EAA">
        <w:rPr>
          <w:bCs/>
          <w:kern w:val="32"/>
        </w:rPr>
        <w:t xml:space="preserve">  OCA St. in Support, p. 10.</w:t>
      </w:r>
    </w:p>
    <w:p w:rsidR="003B4935" w:rsidRDefault="003B4935" w:rsidP="003B4935">
      <w:pPr>
        <w:spacing w:line="360" w:lineRule="auto"/>
        <w:ind w:firstLine="1440"/>
        <w:rPr>
          <w:bCs/>
          <w:kern w:val="32"/>
        </w:rPr>
      </w:pPr>
    </w:p>
    <w:p w:rsidR="00C26F54" w:rsidRPr="00B43EAA" w:rsidRDefault="003B4935" w:rsidP="003B4935">
      <w:pPr>
        <w:spacing w:line="360" w:lineRule="auto"/>
        <w:ind w:firstLine="1440"/>
      </w:pPr>
      <w:r>
        <w:rPr>
          <w:bCs/>
          <w:kern w:val="32"/>
        </w:rPr>
        <w:t xml:space="preserve">The </w:t>
      </w:r>
      <w:r w:rsidR="00C26F54" w:rsidRPr="00B43EAA">
        <w:rPr>
          <w:bCs/>
          <w:kern w:val="32"/>
        </w:rPr>
        <w:t>OCA submits that the modifi</w:t>
      </w:r>
      <w:r>
        <w:rPr>
          <w:bCs/>
          <w:kern w:val="32"/>
        </w:rPr>
        <w:t>ed WNA established through the S</w:t>
      </w:r>
      <w:r w:rsidR="00C26F54" w:rsidRPr="00B43EAA">
        <w:rPr>
          <w:bCs/>
          <w:kern w:val="32"/>
        </w:rPr>
        <w:t xml:space="preserve">ettlement is reasonable as a pilot program, </w:t>
      </w:r>
      <w:r w:rsidR="00C26F54" w:rsidRPr="00B43EAA">
        <w:rPr>
          <w:color w:val="000000"/>
        </w:rPr>
        <w:t xml:space="preserve">results in a fixed customer charge that is less than originally proposed by Columbia, and will provide some additional stability in Columbia’s revenues while continuing customers’ ability to control their distribution bills by conserving natural gas. </w:t>
      </w:r>
      <w:r w:rsidR="00814E10">
        <w:rPr>
          <w:color w:val="000000"/>
        </w:rPr>
        <w:t xml:space="preserve"> </w:t>
      </w:r>
      <w:r>
        <w:rPr>
          <w:color w:val="000000"/>
        </w:rPr>
        <w:t xml:space="preserve">The </w:t>
      </w:r>
      <w:r w:rsidR="00C26F54" w:rsidRPr="00B43EAA">
        <w:rPr>
          <w:color w:val="000000"/>
        </w:rPr>
        <w:t xml:space="preserve">OCA further argues the Settlement will allow all parties to evaluate the impact and operation of the proposed rate design </w:t>
      </w:r>
      <w:r>
        <w:rPr>
          <w:color w:val="000000"/>
        </w:rPr>
        <w:t xml:space="preserve">and </w:t>
      </w:r>
      <w:r w:rsidR="00C26F54" w:rsidRPr="00B43EAA">
        <w:rPr>
          <w:color w:val="000000"/>
        </w:rPr>
        <w:t xml:space="preserve">make recommendations in the first rate case filed after May 31, 2016.  </w:t>
      </w:r>
      <w:r w:rsidR="00C26F54" w:rsidRPr="00B43EAA">
        <w:rPr>
          <w:bCs/>
          <w:kern w:val="32"/>
        </w:rPr>
        <w:t>OCA St. in Support, p. 10.</w:t>
      </w:r>
    </w:p>
    <w:p w:rsidR="00C26F54" w:rsidRPr="00B43EAA" w:rsidRDefault="00C26F54" w:rsidP="00C26F54">
      <w:pPr>
        <w:spacing w:line="480" w:lineRule="auto"/>
        <w:ind w:firstLine="720"/>
        <w:jc w:val="both"/>
        <w:rPr>
          <w:color w:val="000000"/>
        </w:rPr>
      </w:pPr>
    </w:p>
    <w:p w:rsidR="002A4479" w:rsidRDefault="002A4479">
      <w:pPr>
        <w:rPr>
          <w:bCs/>
          <w:color w:val="000000"/>
          <w:kern w:val="32"/>
          <w:u w:val="single"/>
        </w:rPr>
      </w:pPr>
      <w:r>
        <w:rPr>
          <w:bCs/>
          <w:kern w:val="32"/>
          <w:u w:val="single"/>
        </w:rPr>
        <w:br w:type="page"/>
      </w:r>
    </w:p>
    <w:p w:rsidR="00C26F54" w:rsidRPr="008312E3" w:rsidRDefault="008312E3" w:rsidP="008312E3">
      <w:pPr>
        <w:pStyle w:val="ListParagraph"/>
        <w:numPr>
          <w:ilvl w:val="0"/>
          <w:numId w:val="11"/>
        </w:numPr>
        <w:spacing w:after="200" w:line="360" w:lineRule="auto"/>
        <w:ind w:left="1440" w:hanging="720"/>
        <w:rPr>
          <w:bCs/>
          <w:kern w:val="32"/>
          <w:sz w:val="24"/>
          <w:szCs w:val="24"/>
          <w:u w:val="single"/>
        </w:rPr>
      </w:pPr>
      <w:r w:rsidRPr="00B43EAA">
        <w:rPr>
          <w:bCs/>
          <w:kern w:val="32"/>
          <w:sz w:val="24"/>
          <w:szCs w:val="24"/>
          <w:u w:val="single"/>
        </w:rPr>
        <w:lastRenderedPageBreak/>
        <w:t xml:space="preserve">Universal Service </w:t>
      </w:r>
      <w:r w:rsidR="0070383D">
        <w:rPr>
          <w:bCs/>
          <w:kern w:val="32"/>
          <w:sz w:val="24"/>
          <w:szCs w:val="24"/>
          <w:u w:val="single"/>
        </w:rPr>
        <w:t>a</w:t>
      </w:r>
      <w:r w:rsidRPr="00B43EAA">
        <w:rPr>
          <w:bCs/>
          <w:kern w:val="32"/>
          <w:sz w:val="24"/>
          <w:szCs w:val="24"/>
          <w:u w:val="single"/>
        </w:rPr>
        <w:t>nd Conservation</w:t>
      </w:r>
    </w:p>
    <w:p w:rsidR="008312E3" w:rsidRPr="00B43EAA" w:rsidRDefault="008312E3" w:rsidP="008312E3">
      <w:pPr>
        <w:pStyle w:val="ListParagraph"/>
        <w:spacing w:after="200" w:line="360" w:lineRule="auto"/>
        <w:ind w:left="1440"/>
        <w:rPr>
          <w:bCs/>
          <w:kern w:val="32"/>
          <w:sz w:val="24"/>
          <w:szCs w:val="24"/>
          <w:u w:val="single"/>
        </w:rPr>
      </w:pPr>
    </w:p>
    <w:p w:rsidR="00C26F54" w:rsidRPr="00B43EAA" w:rsidRDefault="00C26F54" w:rsidP="008312E3">
      <w:pPr>
        <w:pStyle w:val="ListParagraph"/>
        <w:numPr>
          <w:ilvl w:val="0"/>
          <w:numId w:val="13"/>
        </w:numPr>
        <w:spacing w:after="200"/>
        <w:ind w:left="2160" w:hanging="720"/>
        <w:rPr>
          <w:bCs/>
          <w:kern w:val="32"/>
          <w:sz w:val="24"/>
          <w:szCs w:val="24"/>
          <w:u w:val="single"/>
        </w:rPr>
      </w:pPr>
      <w:r w:rsidRPr="00B43EAA">
        <w:rPr>
          <w:bCs/>
          <w:kern w:val="32"/>
          <w:sz w:val="24"/>
          <w:szCs w:val="24"/>
          <w:u w:val="single"/>
        </w:rPr>
        <w:t>WarmWise® Low Income Usage Reduction Program (</w:t>
      </w:r>
      <w:r w:rsidR="00286364">
        <w:rPr>
          <w:bCs/>
          <w:kern w:val="32"/>
          <w:sz w:val="24"/>
          <w:szCs w:val="24"/>
          <w:u w:val="single"/>
        </w:rPr>
        <w:t>“</w:t>
      </w:r>
      <w:r w:rsidRPr="00B43EAA">
        <w:rPr>
          <w:bCs/>
          <w:kern w:val="32"/>
          <w:sz w:val="24"/>
          <w:szCs w:val="24"/>
          <w:u w:val="single"/>
        </w:rPr>
        <w:t>LIURP</w:t>
      </w:r>
      <w:r w:rsidR="00286364">
        <w:rPr>
          <w:bCs/>
          <w:kern w:val="32"/>
          <w:sz w:val="24"/>
          <w:szCs w:val="24"/>
          <w:u w:val="single"/>
        </w:rPr>
        <w:t>”</w:t>
      </w:r>
      <w:r w:rsidRPr="00B43EAA">
        <w:rPr>
          <w:bCs/>
          <w:kern w:val="32"/>
          <w:sz w:val="24"/>
          <w:szCs w:val="24"/>
          <w:u w:val="single"/>
        </w:rPr>
        <w:t>) Funding (Settlement ¶ 48)</w:t>
      </w:r>
    </w:p>
    <w:p w:rsidR="00C26F54" w:rsidRPr="00B43EAA" w:rsidRDefault="00C26F54" w:rsidP="008312E3">
      <w:pPr>
        <w:pStyle w:val="ListParagraph"/>
        <w:spacing w:line="360" w:lineRule="auto"/>
        <w:ind w:left="1260"/>
        <w:jc w:val="both"/>
        <w:rPr>
          <w:b/>
          <w:bCs/>
          <w:kern w:val="32"/>
          <w:sz w:val="24"/>
          <w:szCs w:val="24"/>
        </w:rPr>
      </w:pPr>
    </w:p>
    <w:p w:rsidR="00B131FA" w:rsidRDefault="00C26F54" w:rsidP="008312E3">
      <w:pPr>
        <w:spacing w:line="360" w:lineRule="auto"/>
        <w:ind w:firstLine="1440"/>
        <w:rPr>
          <w:bCs/>
          <w:kern w:val="32"/>
        </w:rPr>
      </w:pPr>
      <w:r w:rsidRPr="00B43EAA">
        <w:rPr>
          <w:bCs/>
          <w:kern w:val="32"/>
        </w:rPr>
        <w:t xml:space="preserve">The proposed Settlement provides that the Company will increase annual funding for the WarmWise® LIURP from $4 million to $4.5 million as of the effective date of rates in this proceeding. </w:t>
      </w:r>
      <w:r w:rsidR="008312E3">
        <w:rPr>
          <w:bCs/>
          <w:kern w:val="32"/>
        </w:rPr>
        <w:t xml:space="preserve"> </w:t>
      </w:r>
      <w:r w:rsidRPr="00B43EAA">
        <w:rPr>
          <w:bCs/>
          <w:kern w:val="32"/>
        </w:rPr>
        <w:t xml:space="preserve">Settlement ¶ 48. </w:t>
      </w:r>
      <w:r w:rsidR="008312E3">
        <w:rPr>
          <w:bCs/>
          <w:kern w:val="32"/>
        </w:rPr>
        <w:t xml:space="preserve"> </w:t>
      </w:r>
      <w:r w:rsidRPr="00B43EAA">
        <w:rPr>
          <w:bCs/>
          <w:kern w:val="32"/>
        </w:rPr>
        <w:t xml:space="preserve">The Rider USP will continue to be the mechanism under which funding is recovered.  </w:t>
      </w:r>
      <w:r w:rsidRPr="0070383D">
        <w:rPr>
          <w:bCs/>
          <w:i/>
          <w:kern w:val="32"/>
        </w:rPr>
        <w:t>Id.</w:t>
      </w:r>
      <w:r w:rsidRPr="00B43EAA">
        <w:rPr>
          <w:bCs/>
          <w:kern w:val="32"/>
        </w:rPr>
        <w:t xml:space="preserve">  Further, any unspent amounts in the account will carry over and remain in the WarmWise® LIURP account.  </w:t>
      </w:r>
      <w:r w:rsidRPr="0070383D">
        <w:rPr>
          <w:bCs/>
          <w:i/>
          <w:kern w:val="32"/>
        </w:rPr>
        <w:t>Id.</w:t>
      </w:r>
      <w:r w:rsidRPr="00B43EAA">
        <w:rPr>
          <w:bCs/>
          <w:kern w:val="32"/>
        </w:rPr>
        <w:t xml:space="preserve">  The Company will also continue to work with Community Based Organization (</w:t>
      </w:r>
      <w:r w:rsidR="00286364">
        <w:rPr>
          <w:bCs/>
          <w:kern w:val="32"/>
        </w:rPr>
        <w:t>“</w:t>
      </w:r>
      <w:r w:rsidRPr="00B43EAA">
        <w:rPr>
          <w:bCs/>
          <w:kern w:val="32"/>
        </w:rPr>
        <w:t>CBO</w:t>
      </w:r>
      <w:r w:rsidR="00286364">
        <w:rPr>
          <w:bCs/>
          <w:kern w:val="32"/>
        </w:rPr>
        <w:t>”</w:t>
      </w:r>
      <w:r w:rsidRPr="00B43EAA">
        <w:rPr>
          <w:bCs/>
          <w:kern w:val="32"/>
        </w:rPr>
        <w:t xml:space="preserve">) programs to implement WarmWise® LIURP.  </w:t>
      </w:r>
      <w:r w:rsidRPr="0070383D">
        <w:rPr>
          <w:bCs/>
          <w:i/>
          <w:kern w:val="32"/>
        </w:rPr>
        <w:t>Id.</w:t>
      </w:r>
      <w:r w:rsidRPr="00B43EAA">
        <w:rPr>
          <w:bCs/>
          <w:kern w:val="32"/>
        </w:rPr>
        <w:t xml:space="preserve">  OCA St. in Support, p. 10.</w:t>
      </w:r>
    </w:p>
    <w:p w:rsidR="00B131FA" w:rsidRDefault="00B131FA" w:rsidP="00B131FA">
      <w:pPr>
        <w:spacing w:line="360" w:lineRule="auto"/>
        <w:ind w:firstLine="1440"/>
        <w:rPr>
          <w:bCs/>
          <w:kern w:val="32"/>
        </w:rPr>
      </w:pPr>
    </w:p>
    <w:p w:rsidR="00C26F54" w:rsidRPr="00B43EAA" w:rsidRDefault="00B131FA" w:rsidP="008312E3">
      <w:pPr>
        <w:spacing w:line="360" w:lineRule="auto"/>
        <w:ind w:firstLine="1440"/>
      </w:pPr>
      <w:r>
        <w:rPr>
          <w:bCs/>
          <w:kern w:val="32"/>
        </w:rPr>
        <w:t>The OCA submits that these</w:t>
      </w:r>
      <w:r w:rsidR="00C26F54" w:rsidRPr="00B43EAA">
        <w:rPr>
          <w:bCs/>
          <w:kern w:val="32"/>
        </w:rPr>
        <w:t xml:space="preserve"> provision</w:t>
      </w:r>
      <w:r>
        <w:rPr>
          <w:bCs/>
          <w:kern w:val="32"/>
        </w:rPr>
        <w:t>s are</w:t>
      </w:r>
      <w:r w:rsidR="00C26F54" w:rsidRPr="00B43EAA">
        <w:rPr>
          <w:bCs/>
          <w:kern w:val="32"/>
        </w:rPr>
        <w:t xml:space="preserve"> in the interest</w:t>
      </w:r>
      <w:r>
        <w:rPr>
          <w:bCs/>
          <w:kern w:val="32"/>
        </w:rPr>
        <w:t>s</w:t>
      </w:r>
      <w:r w:rsidR="00C26F54" w:rsidRPr="00B43EAA">
        <w:rPr>
          <w:bCs/>
          <w:kern w:val="32"/>
        </w:rPr>
        <w:t xml:space="preserve"> of the ratepayers. </w:t>
      </w:r>
      <w:r w:rsidR="008312E3">
        <w:rPr>
          <w:bCs/>
          <w:kern w:val="32"/>
        </w:rPr>
        <w:t xml:space="preserve"> </w:t>
      </w:r>
      <w:r>
        <w:rPr>
          <w:bCs/>
          <w:kern w:val="32"/>
        </w:rPr>
        <w:t xml:space="preserve">The </w:t>
      </w:r>
      <w:r w:rsidR="00C26F54">
        <w:rPr>
          <w:bCs/>
          <w:kern w:val="32"/>
        </w:rPr>
        <w:t>OCA argues t</w:t>
      </w:r>
      <w:r w:rsidR="00C26F54" w:rsidRPr="00B43EAA">
        <w:rPr>
          <w:bCs/>
          <w:kern w:val="32"/>
        </w:rPr>
        <w:t>he provisions providing that unspent amounts will carry over and remain in the account, and the Company’s continued agreement to work with CBO programs</w:t>
      </w:r>
      <w:r w:rsidR="00C26F54">
        <w:rPr>
          <w:bCs/>
          <w:kern w:val="32"/>
        </w:rPr>
        <w:t>,</w:t>
      </w:r>
      <w:r w:rsidR="00C26F54" w:rsidRPr="00B43EAA">
        <w:rPr>
          <w:bCs/>
          <w:kern w:val="32"/>
        </w:rPr>
        <w:t xml:space="preserve"> are in the interests of ratepayers, especially low-income ratepayers, who are disproportionately affected by energy costs. </w:t>
      </w:r>
      <w:r w:rsidR="00C26F54">
        <w:rPr>
          <w:bCs/>
          <w:kern w:val="32"/>
        </w:rPr>
        <w:t xml:space="preserve"> </w:t>
      </w:r>
      <w:r w:rsidR="00C26F54" w:rsidRPr="00B43EAA">
        <w:t xml:space="preserve">Programs such as LIURP are directed </w:t>
      </w:r>
      <w:r w:rsidR="00C26F54" w:rsidRPr="00B43EAA">
        <w:rPr>
          <w:snapToGrid w:val="0"/>
          <w:spacing w:val="-3"/>
        </w:rPr>
        <w:t>toward overcoming market barriers, such as lack of investment capital and the high "hurdle rates" implicit in energy efficiency investment decisions</w:t>
      </w:r>
      <w:r>
        <w:rPr>
          <w:snapToGrid w:val="0"/>
          <w:spacing w:val="-3"/>
        </w:rPr>
        <w:t xml:space="preserve"> </w:t>
      </w:r>
      <w:r w:rsidR="00C26F54" w:rsidRPr="00B43EAA">
        <w:rPr>
          <w:snapToGrid w:val="0"/>
          <w:spacing w:val="-3"/>
        </w:rPr>
        <w:t>that prevent such households from implementing usage reduction measures on their own.</w:t>
      </w:r>
      <w:r w:rsidR="008312E3">
        <w:rPr>
          <w:snapToGrid w:val="0"/>
          <w:spacing w:val="-3"/>
        </w:rPr>
        <w:t xml:space="preserve"> </w:t>
      </w:r>
      <w:r w:rsidR="00C26F54" w:rsidRPr="00B43EAA">
        <w:rPr>
          <w:snapToGrid w:val="0"/>
          <w:spacing w:val="-3"/>
        </w:rPr>
        <w:t xml:space="preserve"> </w:t>
      </w:r>
      <w:r w:rsidR="00C26F54" w:rsidRPr="00B43EAA">
        <w:rPr>
          <w:bCs/>
          <w:kern w:val="32"/>
        </w:rPr>
        <w:t xml:space="preserve">Additionally, OCA argues more low-income customers would be provided assistance to better manage their bills and improve the energy efficiency of their homes through increased LIURP funding. </w:t>
      </w:r>
      <w:r w:rsidR="008312E3">
        <w:rPr>
          <w:bCs/>
          <w:kern w:val="32"/>
        </w:rPr>
        <w:t xml:space="preserve"> </w:t>
      </w:r>
      <w:r w:rsidR="00C26F54" w:rsidRPr="00B43EAA">
        <w:rPr>
          <w:bCs/>
          <w:kern w:val="32"/>
        </w:rPr>
        <w:t>OCA St. in Support, pp. 10-11.</w:t>
      </w:r>
    </w:p>
    <w:p w:rsidR="00C26F54" w:rsidRPr="00B43EAA" w:rsidRDefault="00C26F54" w:rsidP="008312E3">
      <w:pPr>
        <w:spacing w:line="360" w:lineRule="auto"/>
        <w:ind w:firstLine="720"/>
        <w:jc w:val="both"/>
        <w:rPr>
          <w:bCs/>
          <w:kern w:val="32"/>
          <w:u w:val="single"/>
        </w:rPr>
      </w:pPr>
    </w:p>
    <w:p w:rsidR="00C26F54" w:rsidRPr="00B43EAA" w:rsidRDefault="00C26F54" w:rsidP="008312E3">
      <w:pPr>
        <w:pStyle w:val="ListParagraph"/>
        <w:numPr>
          <w:ilvl w:val="0"/>
          <w:numId w:val="13"/>
        </w:numPr>
        <w:spacing w:line="360" w:lineRule="auto"/>
        <w:ind w:firstLine="360"/>
        <w:rPr>
          <w:bCs/>
          <w:kern w:val="32"/>
          <w:sz w:val="24"/>
          <w:szCs w:val="24"/>
          <w:u w:val="single"/>
        </w:rPr>
      </w:pPr>
      <w:r w:rsidRPr="00B43EAA">
        <w:rPr>
          <w:bCs/>
          <w:kern w:val="32"/>
          <w:sz w:val="24"/>
          <w:szCs w:val="24"/>
          <w:u w:val="single"/>
        </w:rPr>
        <w:t>WarmWise® A&amp;R Program (Settlement ¶ 49)</w:t>
      </w:r>
    </w:p>
    <w:p w:rsidR="008312E3" w:rsidRDefault="008312E3" w:rsidP="008312E3">
      <w:pPr>
        <w:spacing w:line="360" w:lineRule="auto"/>
        <w:ind w:firstLine="1440"/>
        <w:rPr>
          <w:bCs/>
          <w:kern w:val="32"/>
        </w:rPr>
      </w:pPr>
    </w:p>
    <w:p w:rsidR="00C26F54" w:rsidRPr="00B43EAA" w:rsidRDefault="00B131FA" w:rsidP="00BA5B2C">
      <w:pPr>
        <w:spacing w:line="360" w:lineRule="auto"/>
        <w:ind w:firstLine="1440"/>
      </w:pPr>
      <w:r>
        <w:rPr>
          <w:bCs/>
          <w:kern w:val="32"/>
        </w:rPr>
        <w:t xml:space="preserve">The </w:t>
      </w:r>
      <w:r w:rsidR="00C26F54" w:rsidRPr="00B43EAA">
        <w:rPr>
          <w:bCs/>
          <w:kern w:val="32"/>
        </w:rPr>
        <w:t xml:space="preserve">OCA </w:t>
      </w:r>
      <w:r w:rsidR="00C26F54">
        <w:rPr>
          <w:bCs/>
          <w:kern w:val="32"/>
        </w:rPr>
        <w:t xml:space="preserve">notes </w:t>
      </w:r>
      <w:r w:rsidR="00C26F54" w:rsidRPr="00B43EAA">
        <w:rPr>
          <w:bCs/>
          <w:kern w:val="32"/>
        </w:rPr>
        <w:t xml:space="preserve">that Columbia requested that the Commission allow the Company to make modifications to the WarmWise® A&amp;R program without obtaining Commission approval for each change. </w:t>
      </w:r>
      <w:r w:rsidR="008312E3">
        <w:rPr>
          <w:bCs/>
          <w:kern w:val="32"/>
        </w:rPr>
        <w:t xml:space="preserve"> </w:t>
      </w:r>
      <w:r w:rsidR="00C26F54" w:rsidRPr="00B43EAA">
        <w:rPr>
          <w:bCs/>
          <w:kern w:val="32"/>
        </w:rPr>
        <w:t xml:space="preserve">The Settlement clarifies that certain changes require prior Commission approval. </w:t>
      </w:r>
      <w:r w:rsidR="008312E3">
        <w:rPr>
          <w:bCs/>
          <w:kern w:val="32"/>
        </w:rPr>
        <w:t xml:space="preserve"> </w:t>
      </w:r>
      <w:r w:rsidR="00C26F54" w:rsidRPr="00B43EAA">
        <w:rPr>
          <w:bCs/>
          <w:kern w:val="32"/>
        </w:rPr>
        <w:t xml:space="preserve">Those changes are 1) changing customer income eligibility requirements of 150% to 200% of the Federal Poverty Level; 2) creating an on-bill financing or repayment program; or 3) altering the $750,000 budget. </w:t>
      </w:r>
      <w:r>
        <w:rPr>
          <w:bCs/>
          <w:kern w:val="32"/>
        </w:rPr>
        <w:t xml:space="preserve"> </w:t>
      </w:r>
      <w:r w:rsidR="008312E3">
        <w:rPr>
          <w:bCs/>
          <w:kern w:val="32"/>
        </w:rPr>
        <w:t xml:space="preserve">Settlement ¶ 49. </w:t>
      </w:r>
      <w:r w:rsidR="00C26F54" w:rsidRPr="00B43EAA">
        <w:rPr>
          <w:bCs/>
          <w:kern w:val="32"/>
        </w:rPr>
        <w:t xml:space="preserve"> </w:t>
      </w:r>
      <w:r>
        <w:rPr>
          <w:bCs/>
          <w:kern w:val="32"/>
        </w:rPr>
        <w:t xml:space="preserve">The </w:t>
      </w:r>
      <w:r w:rsidR="00C26F54" w:rsidRPr="00B43EAA">
        <w:rPr>
          <w:bCs/>
          <w:kern w:val="32"/>
        </w:rPr>
        <w:t xml:space="preserve">OCA argues this provision </w:t>
      </w:r>
      <w:r w:rsidR="00C26F54" w:rsidRPr="00B43EAA">
        <w:rPr>
          <w:bCs/>
          <w:kern w:val="32"/>
        </w:rPr>
        <w:lastRenderedPageBreak/>
        <w:t>provides the Company some flexibility to manage its program but ensures that the Commission and all interested parties have the opportunity to scrutinize major changes.  OCA St. in Support, p. 11.</w:t>
      </w:r>
    </w:p>
    <w:p w:rsidR="00C26F54" w:rsidRPr="00B43EAA" w:rsidRDefault="00C26F54" w:rsidP="00BA5B2C">
      <w:pPr>
        <w:spacing w:line="360" w:lineRule="auto"/>
        <w:ind w:firstLine="720"/>
        <w:jc w:val="both"/>
        <w:rPr>
          <w:bCs/>
          <w:kern w:val="32"/>
        </w:rPr>
      </w:pPr>
    </w:p>
    <w:p w:rsidR="00C26F54" w:rsidRPr="00B131FA" w:rsidRDefault="00C26F54" w:rsidP="00BA5B2C">
      <w:pPr>
        <w:pStyle w:val="ListParagraph"/>
        <w:numPr>
          <w:ilvl w:val="0"/>
          <w:numId w:val="13"/>
        </w:numPr>
        <w:spacing w:line="360" w:lineRule="auto"/>
        <w:ind w:left="0" w:firstLine="1440"/>
        <w:rPr>
          <w:bCs/>
          <w:kern w:val="32"/>
          <w:sz w:val="24"/>
          <w:szCs w:val="24"/>
          <w:u w:val="single"/>
        </w:rPr>
      </w:pPr>
      <w:r w:rsidRPr="00B43EAA">
        <w:rPr>
          <w:bCs/>
          <w:kern w:val="32"/>
          <w:sz w:val="24"/>
          <w:szCs w:val="24"/>
          <w:u w:val="single"/>
        </w:rPr>
        <w:t>Correction of Prior Accounting Deficiencies (Settlement ¶ 50)</w:t>
      </w:r>
    </w:p>
    <w:p w:rsidR="00B131FA" w:rsidRDefault="00B131FA" w:rsidP="00BA5B2C">
      <w:pPr>
        <w:spacing w:line="360" w:lineRule="auto"/>
        <w:rPr>
          <w:bCs/>
          <w:kern w:val="32"/>
          <w:u w:val="single"/>
        </w:rPr>
      </w:pPr>
    </w:p>
    <w:p w:rsidR="00B131FA" w:rsidRDefault="00C26F54" w:rsidP="00BA5B2C">
      <w:pPr>
        <w:spacing w:line="360" w:lineRule="auto"/>
        <w:ind w:firstLine="1440"/>
        <w:rPr>
          <w:bCs/>
          <w:kern w:val="32"/>
        </w:rPr>
      </w:pPr>
      <w:r w:rsidRPr="00B43EAA">
        <w:rPr>
          <w:bCs/>
          <w:kern w:val="32"/>
        </w:rPr>
        <w:t xml:space="preserve">The proposed Settlement includes a provision indicating that the Company has trained all of its Universal Service Call Center Representatives and implemented Information System program changes and safeguards to protect customers from certain old account deficiencies. </w:t>
      </w:r>
      <w:r w:rsidR="008312E3">
        <w:rPr>
          <w:bCs/>
          <w:kern w:val="32"/>
        </w:rPr>
        <w:t xml:space="preserve"> </w:t>
      </w:r>
      <w:r w:rsidRPr="00B43EAA">
        <w:rPr>
          <w:bCs/>
          <w:kern w:val="32"/>
        </w:rPr>
        <w:t xml:space="preserve">Settlement ¶ 50.  OCA St. in Support, pp. 11-12. </w:t>
      </w:r>
      <w:r>
        <w:rPr>
          <w:bCs/>
          <w:kern w:val="32"/>
        </w:rPr>
        <w:t xml:space="preserve"> </w:t>
      </w:r>
      <w:r w:rsidRPr="00B43EAA">
        <w:rPr>
          <w:bCs/>
          <w:kern w:val="32"/>
        </w:rPr>
        <w:t>The Settlement</w:t>
      </w:r>
      <w:r>
        <w:rPr>
          <w:bCs/>
          <w:kern w:val="32"/>
        </w:rPr>
        <w:t xml:space="preserve"> further </w:t>
      </w:r>
      <w:r w:rsidRPr="00B43EAA">
        <w:rPr>
          <w:bCs/>
          <w:kern w:val="32"/>
        </w:rPr>
        <w:t>provides that the Company will not condition service reconnection or continued service upon payment of accounts older than four years, or already sold, sent to a collection agency, written off, or accounted for in the Company’s uncollectible accounts rates</w:t>
      </w:r>
      <w:r>
        <w:rPr>
          <w:bCs/>
          <w:kern w:val="32"/>
        </w:rPr>
        <w:t xml:space="preserve">, and </w:t>
      </w:r>
      <w:r w:rsidRPr="00B43EAA">
        <w:rPr>
          <w:bCs/>
          <w:kern w:val="32"/>
        </w:rPr>
        <w:t>that Columbia will not transfer old account balances into current Customer Assistance Program (</w:t>
      </w:r>
      <w:r w:rsidR="00286364">
        <w:rPr>
          <w:bCs/>
          <w:kern w:val="32"/>
        </w:rPr>
        <w:t>“</w:t>
      </w:r>
      <w:r w:rsidRPr="00B43EAA">
        <w:rPr>
          <w:bCs/>
          <w:kern w:val="32"/>
        </w:rPr>
        <w:t>CAP</w:t>
      </w:r>
      <w:r w:rsidR="00286364">
        <w:rPr>
          <w:bCs/>
          <w:kern w:val="32"/>
        </w:rPr>
        <w:t>”</w:t>
      </w:r>
      <w:r w:rsidRPr="00B43EAA">
        <w:rPr>
          <w:bCs/>
          <w:kern w:val="32"/>
        </w:rPr>
        <w:t>) customer accounts.</w:t>
      </w:r>
      <w:r w:rsidR="008312E3">
        <w:rPr>
          <w:bCs/>
          <w:kern w:val="32"/>
        </w:rPr>
        <w:t xml:space="preserve"> </w:t>
      </w:r>
      <w:r w:rsidRPr="00B43EAA">
        <w:rPr>
          <w:bCs/>
          <w:kern w:val="32"/>
        </w:rPr>
        <w:t xml:space="preserve"> </w:t>
      </w:r>
      <w:r w:rsidRPr="00710599">
        <w:rPr>
          <w:bCs/>
          <w:i/>
          <w:kern w:val="32"/>
        </w:rPr>
        <w:t>Id.</w:t>
      </w:r>
    </w:p>
    <w:p w:rsidR="00B131FA" w:rsidRDefault="00B131FA" w:rsidP="008312E3">
      <w:pPr>
        <w:spacing w:line="360" w:lineRule="auto"/>
        <w:ind w:firstLine="1440"/>
        <w:rPr>
          <w:bCs/>
          <w:kern w:val="32"/>
        </w:rPr>
      </w:pPr>
    </w:p>
    <w:p w:rsidR="00C26F54" w:rsidRDefault="00C26F54" w:rsidP="008312E3">
      <w:pPr>
        <w:spacing w:line="360" w:lineRule="auto"/>
        <w:ind w:firstLine="1440"/>
        <w:rPr>
          <w:bCs/>
          <w:kern w:val="32"/>
        </w:rPr>
      </w:pPr>
      <w:r w:rsidRPr="00B43EAA">
        <w:rPr>
          <w:bCs/>
          <w:kern w:val="32"/>
        </w:rPr>
        <w:t xml:space="preserve">The OCA supports the training, program changes, and safeguards that Columbia has implemented to ensure proper accounting and handling of accounts going forward. </w:t>
      </w:r>
      <w:r w:rsidR="008312E3">
        <w:rPr>
          <w:bCs/>
          <w:kern w:val="32"/>
        </w:rPr>
        <w:t xml:space="preserve"> </w:t>
      </w:r>
      <w:r w:rsidRPr="00B43EAA">
        <w:rPr>
          <w:bCs/>
          <w:kern w:val="32"/>
        </w:rPr>
        <w:t>OCA St. in Support, p. 12.</w:t>
      </w:r>
    </w:p>
    <w:p w:rsidR="00C26F54" w:rsidRPr="00B43EAA" w:rsidRDefault="00C26F54" w:rsidP="008312E3">
      <w:pPr>
        <w:spacing w:line="360" w:lineRule="auto"/>
        <w:ind w:firstLine="720"/>
        <w:jc w:val="both"/>
        <w:rPr>
          <w:bCs/>
          <w:kern w:val="32"/>
        </w:rPr>
      </w:pPr>
    </w:p>
    <w:p w:rsidR="00C26F54" w:rsidRPr="004D7EE2" w:rsidRDefault="00C26F54" w:rsidP="008312E3">
      <w:pPr>
        <w:pStyle w:val="ListParagraph"/>
        <w:keepNext/>
        <w:numPr>
          <w:ilvl w:val="0"/>
          <w:numId w:val="13"/>
        </w:numPr>
        <w:spacing w:line="360" w:lineRule="auto"/>
        <w:ind w:left="0" w:firstLine="1440"/>
        <w:rPr>
          <w:bCs/>
          <w:kern w:val="32"/>
          <w:sz w:val="24"/>
          <w:szCs w:val="24"/>
          <w:u w:val="single"/>
        </w:rPr>
      </w:pPr>
      <w:r w:rsidRPr="00B43EAA">
        <w:rPr>
          <w:bCs/>
          <w:kern w:val="32"/>
          <w:sz w:val="24"/>
          <w:szCs w:val="24"/>
          <w:u w:val="single"/>
        </w:rPr>
        <w:t>PA Southwest 2-1-1 Services (Settlement ¶ 51)</w:t>
      </w:r>
    </w:p>
    <w:p w:rsidR="004D7EE2" w:rsidRDefault="004D7EE2" w:rsidP="008312E3">
      <w:pPr>
        <w:keepNext/>
        <w:spacing w:line="360" w:lineRule="auto"/>
        <w:rPr>
          <w:bCs/>
          <w:kern w:val="32"/>
          <w:u w:val="single"/>
        </w:rPr>
      </w:pPr>
    </w:p>
    <w:p w:rsidR="00C26F54" w:rsidRDefault="00C26F54" w:rsidP="00BA5B2C">
      <w:pPr>
        <w:spacing w:line="360" w:lineRule="auto"/>
        <w:ind w:firstLine="1440"/>
        <w:rPr>
          <w:bCs/>
          <w:kern w:val="32"/>
        </w:rPr>
      </w:pPr>
      <w:r w:rsidRPr="00B43EAA">
        <w:t>The proposed Settlement states that the Joint Petitioners agree that the Company will withdraw its request for annual recovery of $50,000 associated with PA 2-1-1 Southwest.</w:t>
      </w:r>
      <w:r w:rsidR="008312E3">
        <w:t xml:space="preserve"> </w:t>
      </w:r>
      <w:r w:rsidRPr="00B43EAA">
        <w:t xml:space="preserve"> Settlement ¶ 51.  The OCA submits that in light of the fact that several western Pennsylvania utilities plan to seek Commission review of 2-1-1 services through a generic proceeding, the Company agreed to withdraw its request at this time. </w:t>
      </w:r>
      <w:r w:rsidR="008312E3">
        <w:t xml:space="preserve"> </w:t>
      </w:r>
      <w:r w:rsidRPr="00B43EAA">
        <w:t xml:space="preserve">The OCA submits that this generic proceeding is a more appropriate forum to consider this issue. </w:t>
      </w:r>
      <w:r w:rsidR="00710599">
        <w:t xml:space="preserve"> </w:t>
      </w:r>
      <w:r w:rsidRPr="00B43EAA">
        <w:rPr>
          <w:bCs/>
          <w:kern w:val="32"/>
        </w:rPr>
        <w:t>OCA St. in Support, p. 12.</w:t>
      </w:r>
    </w:p>
    <w:p w:rsidR="00C26F54" w:rsidRPr="00B43EAA" w:rsidRDefault="00C26F54" w:rsidP="00BA5B2C">
      <w:pPr>
        <w:spacing w:line="360" w:lineRule="auto"/>
        <w:ind w:firstLine="720"/>
        <w:jc w:val="both"/>
      </w:pPr>
    </w:p>
    <w:p w:rsidR="008312E3" w:rsidRDefault="008312E3" w:rsidP="00BA5B2C">
      <w:pPr>
        <w:spacing w:line="360" w:lineRule="auto"/>
        <w:rPr>
          <w:bCs/>
          <w:color w:val="000000"/>
          <w:kern w:val="32"/>
          <w:u w:val="single"/>
        </w:rPr>
      </w:pPr>
      <w:r>
        <w:rPr>
          <w:bCs/>
          <w:kern w:val="32"/>
          <w:u w:val="single"/>
        </w:rPr>
        <w:br w:type="page"/>
      </w:r>
    </w:p>
    <w:p w:rsidR="00C26F54" w:rsidRDefault="008312E3" w:rsidP="002A4479">
      <w:pPr>
        <w:pStyle w:val="ListParagraph"/>
        <w:numPr>
          <w:ilvl w:val="0"/>
          <w:numId w:val="11"/>
        </w:numPr>
        <w:spacing w:line="360" w:lineRule="auto"/>
        <w:ind w:left="1440" w:hanging="720"/>
        <w:rPr>
          <w:bCs/>
          <w:kern w:val="32"/>
          <w:sz w:val="24"/>
          <w:szCs w:val="24"/>
          <w:u w:val="single"/>
        </w:rPr>
      </w:pPr>
      <w:r w:rsidRPr="00B43EAA">
        <w:rPr>
          <w:bCs/>
          <w:kern w:val="32"/>
          <w:sz w:val="24"/>
          <w:szCs w:val="24"/>
          <w:u w:val="single"/>
        </w:rPr>
        <w:lastRenderedPageBreak/>
        <w:t>Other Issues</w:t>
      </w:r>
    </w:p>
    <w:p w:rsidR="008312E3" w:rsidRPr="00B43EAA" w:rsidRDefault="008312E3" w:rsidP="002A4479">
      <w:pPr>
        <w:pStyle w:val="ListParagraph"/>
        <w:spacing w:line="360" w:lineRule="auto"/>
        <w:ind w:left="1440"/>
        <w:rPr>
          <w:bCs/>
          <w:kern w:val="32"/>
          <w:sz w:val="24"/>
          <w:szCs w:val="24"/>
          <w:u w:val="single"/>
        </w:rPr>
      </w:pPr>
    </w:p>
    <w:p w:rsidR="00C26F54" w:rsidRPr="004D7EE2" w:rsidRDefault="00C26F54" w:rsidP="002A4479">
      <w:pPr>
        <w:pStyle w:val="ListParagraph"/>
        <w:numPr>
          <w:ilvl w:val="0"/>
          <w:numId w:val="14"/>
        </w:numPr>
        <w:spacing w:line="360" w:lineRule="auto"/>
        <w:ind w:firstLine="360"/>
        <w:rPr>
          <w:bCs/>
          <w:kern w:val="32"/>
          <w:sz w:val="24"/>
          <w:szCs w:val="24"/>
          <w:u w:val="single"/>
        </w:rPr>
      </w:pPr>
      <w:r w:rsidRPr="00B43EAA">
        <w:rPr>
          <w:bCs/>
          <w:kern w:val="32"/>
          <w:sz w:val="24"/>
          <w:szCs w:val="24"/>
          <w:u w:val="single"/>
        </w:rPr>
        <w:t>New Area Service (</w:t>
      </w:r>
      <w:r w:rsidR="00710599">
        <w:rPr>
          <w:bCs/>
          <w:kern w:val="32"/>
          <w:sz w:val="24"/>
          <w:szCs w:val="24"/>
          <w:u w:val="single"/>
        </w:rPr>
        <w:t>“</w:t>
      </w:r>
      <w:r w:rsidRPr="00B43EAA">
        <w:rPr>
          <w:bCs/>
          <w:kern w:val="32"/>
          <w:sz w:val="24"/>
          <w:szCs w:val="24"/>
          <w:u w:val="single"/>
        </w:rPr>
        <w:t>NAS</w:t>
      </w:r>
      <w:r w:rsidR="00710599">
        <w:rPr>
          <w:bCs/>
          <w:kern w:val="32"/>
          <w:sz w:val="24"/>
          <w:szCs w:val="24"/>
          <w:u w:val="single"/>
        </w:rPr>
        <w:t>”</w:t>
      </w:r>
      <w:r w:rsidRPr="00B43EAA">
        <w:rPr>
          <w:bCs/>
          <w:kern w:val="32"/>
          <w:sz w:val="24"/>
          <w:szCs w:val="24"/>
          <w:u w:val="single"/>
        </w:rPr>
        <w:t>) Pilot Rider (Settlement ¶ 53)</w:t>
      </w:r>
    </w:p>
    <w:p w:rsidR="004D7EE2" w:rsidRDefault="004D7EE2" w:rsidP="002A4479">
      <w:pPr>
        <w:spacing w:line="360" w:lineRule="auto"/>
        <w:jc w:val="both"/>
        <w:rPr>
          <w:bCs/>
          <w:kern w:val="32"/>
          <w:u w:val="single"/>
        </w:rPr>
      </w:pPr>
    </w:p>
    <w:p w:rsidR="004D7EE2" w:rsidRDefault="00C26F54" w:rsidP="002A4479">
      <w:pPr>
        <w:spacing w:line="360" w:lineRule="auto"/>
        <w:ind w:firstLine="1440"/>
        <w:rPr>
          <w:bCs/>
          <w:kern w:val="32"/>
        </w:rPr>
      </w:pPr>
      <w:r w:rsidRPr="00B43EAA">
        <w:rPr>
          <w:bCs/>
          <w:kern w:val="32"/>
        </w:rPr>
        <w:t xml:space="preserve">The proposed Settlement provides that the Company will withdraw its proposed New Area Service pilot rider. </w:t>
      </w:r>
      <w:r w:rsidR="008312E3">
        <w:rPr>
          <w:bCs/>
          <w:kern w:val="32"/>
        </w:rPr>
        <w:t xml:space="preserve"> Settlement ¶ 53. </w:t>
      </w:r>
      <w:r w:rsidRPr="00B43EAA">
        <w:rPr>
          <w:bCs/>
          <w:kern w:val="32"/>
        </w:rPr>
        <w:t xml:space="preserve"> </w:t>
      </w:r>
      <w:r w:rsidR="004D7EE2">
        <w:rPr>
          <w:bCs/>
          <w:kern w:val="32"/>
        </w:rPr>
        <w:t xml:space="preserve">The </w:t>
      </w:r>
      <w:r w:rsidRPr="00B43EAA">
        <w:rPr>
          <w:bCs/>
          <w:kern w:val="32"/>
        </w:rPr>
        <w:t>OCA explains that OCA Witness Watkins recommended that the parties convene an informal collaborative to develop a program to extend service to new areas.</w:t>
      </w:r>
      <w:r w:rsidR="008312E3">
        <w:rPr>
          <w:bCs/>
          <w:kern w:val="32"/>
        </w:rPr>
        <w:t xml:space="preserve"> </w:t>
      </w:r>
      <w:r w:rsidRPr="00B43EAA">
        <w:rPr>
          <w:bCs/>
          <w:kern w:val="32"/>
        </w:rPr>
        <w:t xml:space="preserve"> </w:t>
      </w:r>
      <w:r w:rsidRPr="00710599">
        <w:rPr>
          <w:bCs/>
          <w:i/>
          <w:kern w:val="32"/>
        </w:rPr>
        <w:t>Id.</w:t>
      </w:r>
      <w:r w:rsidRPr="00B43EAA">
        <w:rPr>
          <w:bCs/>
          <w:kern w:val="32"/>
        </w:rPr>
        <w:t>; Watkins Direct</w:t>
      </w:r>
      <w:r w:rsidR="004E11D4">
        <w:rPr>
          <w:bCs/>
          <w:kern w:val="32"/>
        </w:rPr>
        <w:t xml:space="preserve">, pp. </w:t>
      </w:r>
      <w:r w:rsidRPr="00B43EAA">
        <w:rPr>
          <w:bCs/>
          <w:kern w:val="32"/>
        </w:rPr>
        <w:t xml:space="preserve">30-31. </w:t>
      </w:r>
      <w:r>
        <w:rPr>
          <w:bCs/>
          <w:kern w:val="32"/>
        </w:rPr>
        <w:t xml:space="preserve"> </w:t>
      </w:r>
      <w:r w:rsidRPr="00B43EAA">
        <w:rPr>
          <w:bCs/>
          <w:kern w:val="32"/>
        </w:rPr>
        <w:t xml:space="preserve">The Settlement ensures that if no agreement is reached through the collaborative, all parties reserve their rights to review and evaluate any future proposal by the Company. </w:t>
      </w:r>
      <w:r>
        <w:rPr>
          <w:bCs/>
          <w:kern w:val="32"/>
        </w:rPr>
        <w:t xml:space="preserve"> </w:t>
      </w:r>
      <w:r w:rsidRPr="00B43EAA">
        <w:rPr>
          <w:bCs/>
          <w:kern w:val="32"/>
        </w:rPr>
        <w:t>Settlement ¶ 53</w:t>
      </w:r>
      <w:r w:rsidR="00C90AD4">
        <w:rPr>
          <w:bCs/>
          <w:kern w:val="32"/>
        </w:rPr>
        <w:t>;</w:t>
      </w:r>
      <w:r w:rsidRPr="00B43EAA">
        <w:rPr>
          <w:bCs/>
          <w:kern w:val="32"/>
        </w:rPr>
        <w:t xml:space="preserve"> OCA St. in Support, pp. 12-13</w:t>
      </w:r>
      <w:r w:rsidR="004D7EE2">
        <w:rPr>
          <w:bCs/>
          <w:kern w:val="32"/>
        </w:rPr>
        <w:t>.</w:t>
      </w:r>
    </w:p>
    <w:p w:rsidR="004D7EE2" w:rsidRDefault="004D7EE2" w:rsidP="00BA5B2C">
      <w:pPr>
        <w:spacing w:line="360" w:lineRule="auto"/>
        <w:ind w:firstLine="1440"/>
        <w:rPr>
          <w:bCs/>
          <w:kern w:val="32"/>
        </w:rPr>
      </w:pPr>
    </w:p>
    <w:p w:rsidR="00C26F54" w:rsidRDefault="00C26F54" w:rsidP="00BA5B2C">
      <w:pPr>
        <w:spacing w:line="360" w:lineRule="auto"/>
        <w:ind w:firstLine="1440"/>
        <w:rPr>
          <w:bCs/>
          <w:kern w:val="32"/>
        </w:rPr>
      </w:pPr>
      <w:r w:rsidRPr="00B43EAA">
        <w:rPr>
          <w:bCs/>
          <w:kern w:val="32"/>
        </w:rPr>
        <w:t>The OCA submits that the collaborative process will provide a forum for potentially affected parties to constructively contribute to an agreement that balances consumer and Company needs.  OCA St. in Support, p. 14.</w:t>
      </w:r>
    </w:p>
    <w:p w:rsidR="00C26F54" w:rsidRPr="00B43EAA" w:rsidRDefault="00C26F54" w:rsidP="00BA5B2C">
      <w:pPr>
        <w:spacing w:line="360" w:lineRule="auto"/>
        <w:ind w:firstLine="720"/>
        <w:jc w:val="both"/>
        <w:rPr>
          <w:bCs/>
          <w:kern w:val="32"/>
        </w:rPr>
      </w:pPr>
    </w:p>
    <w:p w:rsidR="00C26F54" w:rsidRPr="004D7EE2" w:rsidRDefault="00C26F54" w:rsidP="00BA5B2C">
      <w:pPr>
        <w:pStyle w:val="ListParagraph"/>
        <w:keepNext/>
        <w:numPr>
          <w:ilvl w:val="0"/>
          <w:numId w:val="14"/>
        </w:numPr>
        <w:spacing w:line="360" w:lineRule="auto"/>
        <w:ind w:left="0" w:firstLine="1440"/>
        <w:rPr>
          <w:bCs/>
          <w:kern w:val="32"/>
          <w:sz w:val="24"/>
          <w:szCs w:val="24"/>
          <w:u w:val="single"/>
        </w:rPr>
      </w:pPr>
      <w:r w:rsidRPr="00B43EAA">
        <w:rPr>
          <w:bCs/>
          <w:kern w:val="32"/>
          <w:sz w:val="24"/>
          <w:szCs w:val="24"/>
          <w:u w:val="single"/>
        </w:rPr>
        <w:t>Line Extension Deposit Requirement (Settlement ¶ 54)</w:t>
      </w:r>
    </w:p>
    <w:p w:rsidR="004D7EE2" w:rsidRDefault="004D7EE2" w:rsidP="00BA5B2C">
      <w:pPr>
        <w:keepNext/>
        <w:spacing w:line="360" w:lineRule="auto"/>
        <w:ind w:left="720"/>
        <w:rPr>
          <w:bCs/>
          <w:kern w:val="32"/>
          <w:u w:val="single"/>
        </w:rPr>
      </w:pPr>
    </w:p>
    <w:p w:rsidR="00C26F54" w:rsidRDefault="00C26F54" w:rsidP="00BA5B2C">
      <w:pPr>
        <w:spacing w:line="360" w:lineRule="auto"/>
        <w:ind w:firstLine="1440"/>
        <w:rPr>
          <w:bCs/>
          <w:kern w:val="32"/>
        </w:rPr>
      </w:pPr>
      <w:r w:rsidRPr="00B43EAA">
        <w:t xml:space="preserve">The proposed Settlement provides that when the Company is determining an applicant or project’s line extension deposit requirement, the Company’s discounted cash flow model will reflect the cost of equity used for DSIC purposes, the capital structure and weighted cost of debt that was proposed in the Company’s filing, and will incorporate a tax deductible provision for interest expense within the determination of expected future discounted cash flows.  Settlement ¶ 54.  </w:t>
      </w:r>
      <w:r w:rsidR="004D7EE2">
        <w:t xml:space="preserve">The </w:t>
      </w:r>
      <w:r w:rsidRPr="00B43EAA">
        <w:t xml:space="preserve">OCA submits that these changes will assist the Company in calculating appropriate deposit requirements for line extensions.  </w:t>
      </w:r>
      <w:r w:rsidRPr="00B43EAA">
        <w:rPr>
          <w:bCs/>
          <w:kern w:val="32"/>
        </w:rPr>
        <w:t>OCA St. in Support, p. 14.</w:t>
      </w:r>
    </w:p>
    <w:p w:rsidR="004D7EE2" w:rsidRDefault="004D7EE2" w:rsidP="00BA5B2C">
      <w:pPr>
        <w:spacing w:line="360" w:lineRule="auto"/>
        <w:rPr>
          <w:bCs/>
          <w:kern w:val="32"/>
        </w:rPr>
      </w:pPr>
    </w:p>
    <w:p w:rsidR="000A094E" w:rsidRDefault="008312E3" w:rsidP="002A4479">
      <w:pPr>
        <w:spacing w:line="360" w:lineRule="auto"/>
        <w:rPr>
          <w:bCs/>
          <w:kern w:val="32"/>
          <w:u w:val="single"/>
        </w:rPr>
      </w:pPr>
      <w:r>
        <w:rPr>
          <w:bCs/>
          <w:kern w:val="32"/>
        </w:rPr>
        <w:t>C</w:t>
      </w:r>
      <w:r w:rsidR="004D7EE2">
        <w:rPr>
          <w:bCs/>
          <w:kern w:val="32"/>
        </w:rPr>
        <w:t>.</w:t>
      </w:r>
      <w:r w:rsidR="004D7EE2">
        <w:rPr>
          <w:bCs/>
          <w:kern w:val="32"/>
        </w:rPr>
        <w:tab/>
      </w:r>
      <w:r w:rsidR="004D7EE2" w:rsidRPr="004D7EE2">
        <w:rPr>
          <w:bCs/>
          <w:kern w:val="32"/>
          <w:u w:val="single"/>
        </w:rPr>
        <w:t>O</w:t>
      </w:r>
      <w:r w:rsidR="00290BC4">
        <w:rPr>
          <w:bCs/>
          <w:kern w:val="32"/>
          <w:u w:val="single"/>
        </w:rPr>
        <w:t xml:space="preserve">SBA’s </w:t>
      </w:r>
      <w:r w:rsidR="004D7EE2" w:rsidRPr="004D7EE2">
        <w:rPr>
          <w:bCs/>
          <w:kern w:val="32"/>
          <w:u w:val="single"/>
        </w:rPr>
        <w:t>Positi</w:t>
      </w:r>
      <w:r w:rsidR="004D7EE2">
        <w:rPr>
          <w:bCs/>
          <w:kern w:val="32"/>
          <w:u w:val="single"/>
        </w:rPr>
        <w:t>on</w:t>
      </w:r>
    </w:p>
    <w:p w:rsidR="004D7EE2" w:rsidRDefault="004D7EE2" w:rsidP="00BA5B2C">
      <w:pPr>
        <w:spacing w:line="360" w:lineRule="auto"/>
        <w:rPr>
          <w:sz w:val="26"/>
          <w:szCs w:val="26"/>
        </w:rPr>
      </w:pPr>
    </w:p>
    <w:p w:rsidR="004D7EE2" w:rsidRDefault="004D7EE2" w:rsidP="00BA5B2C">
      <w:pPr>
        <w:spacing w:line="360" w:lineRule="auto"/>
        <w:ind w:firstLine="1440"/>
      </w:pPr>
      <w:r w:rsidRPr="00562EBE">
        <w:t>The OSBA</w:t>
      </w:r>
      <w:r>
        <w:t xml:space="preserve"> asserts that the </w:t>
      </w:r>
      <w:r w:rsidRPr="00562EBE">
        <w:t xml:space="preserve">Joint Petition sets forth a comprehensive list of issues that were resolved through the negotiation process.  </w:t>
      </w:r>
      <w:r w:rsidR="0072189B">
        <w:t xml:space="preserve">The </w:t>
      </w:r>
      <w:r>
        <w:t>OSBA explains that t</w:t>
      </w:r>
      <w:r w:rsidRPr="00562EBE">
        <w:t xml:space="preserve">he following specific issues were of particular significance to OSBA when it concluded that the Joint Petition was in the best interests of </w:t>
      </w:r>
      <w:r>
        <w:t>Columbia</w:t>
      </w:r>
      <w:r w:rsidRPr="00562EBE">
        <w:t>’s small business customers</w:t>
      </w:r>
      <w:r>
        <w:t>:</w:t>
      </w:r>
    </w:p>
    <w:p w:rsidR="004D7EE2" w:rsidRDefault="004D7EE2" w:rsidP="00BA5B2C">
      <w:pPr>
        <w:spacing w:line="360" w:lineRule="auto"/>
        <w:ind w:firstLine="1440"/>
      </w:pPr>
    </w:p>
    <w:p w:rsidR="004D7EE2" w:rsidRPr="007279D2" w:rsidRDefault="004D7EE2" w:rsidP="00BA5B2C">
      <w:pPr>
        <w:pStyle w:val="ListParagraph"/>
        <w:numPr>
          <w:ilvl w:val="0"/>
          <w:numId w:val="15"/>
        </w:numPr>
        <w:spacing w:line="360" w:lineRule="auto"/>
        <w:ind w:hanging="720"/>
        <w:rPr>
          <w:sz w:val="24"/>
          <w:szCs w:val="24"/>
          <w:u w:val="single"/>
        </w:rPr>
      </w:pPr>
      <w:r w:rsidRPr="007279D2">
        <w:rPr>
          <w:sz w:val="24"/>
          <w:szCs w:val="24"/>
          <w:u w:val="single"/>
        </w:rPr>
        <w:t>Distribution Revenues</w:t>
      </w:r>
    </w:p>
    <w:p w:rsidR="00BA5B2C" w:rsidRPr="007279D2" w:rsidRDefault="00BA5B2C" w:rsidP="00BA5B2C">
      <w:pPr>
        <w:tabs>
          <w:tab w:val="left" w:pos="1440"/>
        </w:tabs>
        <w:spacing w:line="360" w:lineRule="auto"/>
        <w:ind w:firstLine="1440"/>
      </w:pPr>
    </w:p>
    <w:p w:rsidR="004D7EE2" w:rsidRPr="007279D2" w:rsidRDefault="004D7EE2" w:rsidP="00BA5B2C">
      <w:pPr>
        <w:tabs>
          <w:tab w:val="left" w:pos="1440"/>
        </w:tabs>
        <w:spacing w:line="360" w:lineRule="auto"/>
        <w:ind w:firstLine="1440"/>
      </w:pPr>
      <w:r w:rsidRPr="007279D2">
        <w:t xml:space="preserve">The Settlement calls for an overall increase in distribution revenues of $55.25 million, as opposed to the $77.3 million proposed in Supplement No. 190.  </w:t>
      </w:r>
      <w:r w:rsidR="0072189B" w:rsidRPr="007279D2">
        <w:t xml:space="preserve">The </w:t>
      </w:r>
      <w:r w:rsidRPr="007279D2">
        <w:t>OSBA asserts that while this lower level of increase in distribution revenues is, in itself, in the best interest of Columbia’s small business customers, it also results in a significantly lower return on common equity than the proposed return of 11.25%.  Columbia’s initial proposal of 11.25% was described by OSBA witness Robert D. Knecht in his direct testimony as “excessive when compared to third party industry equity cost estimates, the allowed returns in other jurisdictions, and recent Pennsylvania Commission precedent.”</w:t>
      </w:r>
      <w:r w:rsidRPr="007279D2">
        <w:rPr>
          <w:rStyle w:val="FootnoteReference"/>
        </w:rPr>
        <w:footnoteReference w:id="29"/>
      </w:r>
      <w:r w:rsidRPr="007279D2">
        <w:t xml:space="preserve">  OSBA St. in Support, p. 2.</w:t>
      </w:r>
    </w:p>
    <w:p w:rsidR="004D7EE2" w:rsidRPr="007279D2" w:rsidRDefault="004D7EE2" w:rsidP="00BA5B2C">
      <w:pPr>
        <w:tabs>
          <w:tab w:val="left" w:pos="1440"/>
        </w:tabs>
        <w:spacing w:line="360" w:lineRule="auto"/>
        <w:ind w:firstLine="1440"/>
      </w:pPr>
    </w:p>
    <w:p w:rsidR="004D7EE2" w:rsidRPr="007279D2" w:rsidRDefault="004D7EE2" w:rsidP="00BA5B2C">
      <w:pPr>
        <w:pStyle w:val="ListParagraph"/>
        <w:numPr>
          <w:ilvl w:val="0"/>
          <w:numId w:val="15"/>
        </w:numPr>
        <w:tabs>
          <w:tab w:val="left" w:pos="1440"/>
        </w:tabs>
        <w:spacing w:line="360" w:lineRule="auto"/>
        <w:ind w:hanging="720"/>
        <w:rPr>
          <w:sz w:val="24"/>
          <w:szCs w:val="24"/>
          <w:u w:val="single"/>
        </w:rPr>
      </w:pPr>
      <w:r w:rsidRPr="007279D2">
        <w:rPr>
          <w:sz w:val="24"/>
          <w:szCs w:val="24"/>
          <w:u w:val="single"/>
        </w:rPr>
        <w:t>Revenue Allocation</w:t>
      </w:r>
    </w:p>
    <w:p w:rsidR="00BA5B2C" w:rsidRPr="007279D2" w:rsidRDefault="00BA5B2C" w:rsidP="00BA5B2C">
      <w:pPr>
        <w:tabs>
          <w:tab w:val="left" w:pos="1440"/>
        </w:tabs>
        <w:spacing w:line="360" w:lineRule="auto"/>
        <w:ind w:firstLine="1440"/>
      </w:pPr>
    </w:p>
    <w:p w:rsidR="004D7EE2" w:rsidRPr="007279D2" w:rsidRDefault="0072189B" w:rsidP="00BA5B2C">
      <w:pPr>
        <w:tabs>
          <w:tab w:val="left" w:pos="1440"/>
        </w:tabs>
        <w:spacing w:line="360" w:lineRule="auto"/>
        <w:ind w:firstLine="1440"/>
      </w:pPr>
      <w:r w:rsidRPr="007279D2">
        <w:t xml:space="preserve">The </w:t>
      </w:r>
      <w:r w:rsidR="004D7EE2" w:rsidRPr="007279D2">
        <w:t xml:space="preserve">OSBA points out that it offered two revenue allocation methods based on alternative mains allocation methods.  The Joint Petition adopts a </w:t>
      </w:r>
      <w:r w:rsidR="00053EFA">
        <w:t>“</w:t>
      </w:r>
      <w:r w:rsidR="004D7EE2" w:rsidRPr="007279D2">
        <w:t>black box</w:t>
      </w:r>
      <w:r w:rsidR="00053EFA">
        <w:t>”</w:t>
      </w:r>
      <w:r w:rsidR="004D7EE2" w:rsidRPr="007279D2">
        <w:t xml:space="preserve"> settlement for revenue allocation that generally lies within the range of proposals offered by the various parties.  As such, OSBA submits that the revenue allocation proposal is reasonable.</w:t>
      </w:r>
      <w:r w:rsidRPr="007279D2">
        <w:t xml:space="preserve">  OSBA St. in Support, pp. 2-3.</w:t>
      </w:r>
      <w:r w:rsidR="004D7EE2" w:rsidRPr="007279D2">
        <w:t xml:space="preserve"> </w:t>
      </w:r>
    </w:p>
    <w:p w:rsidR="004D7EE2" w:rsidRPr="007279D2" w:rsidRDefault="004D7EE2" w:rsidP="00BA5B2C">
      <w:pPr>
        <w:spacing w:line="360" w:lineRule="auto"/>
        <w:ind w:firstLine="1440"/>
      </w:pPr>
    </w:p>
    <w:p w:rsidR="004D7EE2" w:rsidRPr="007279D2" w:rsidRDefault="004D7EE2" w:rsidP="00BA5B2C">
      <w:pPr>
        <w:pStyle w:val="Heading4"/>
        <w:numPr>
          <w:ilvl w:val="0"/>
          <w:numId w:val="15"/>
        </w:numPr>
        <w:spacing w:after="0" w:line="360" w:lineRule="auto"/>
        <w:ind w:hanging="720"/>
        <w:jc w:val="left"/>
        <w:rPr>
          <w:b w:val="0"/>
          <w:szCs w:val="24"/>
          <w:u w:val="single"/>
        </w:rPr>
      </w:pPr>
      <w:r w:rsidRPr="007279D2">
        <w:rPr>
          <w:b w:val="0"/>
          <w:szCs w:val="24"/>
          <w:u w:val="single"/>
        </w:rPr>
        <w:t>Gas Procurement Charge (“GPC”)</w:t>
      </w:r>
    </w:p>
    <w:p w:rsidR="00BA5B2C" w:rsidRPr="007279D2" w:rsidRDefault="00BA5B2C" w:rsidP="00BA5B2C">
      <w:pPr>
        <w:spacing w:line="360" w:lineRule="auto"/>
        <w:ind w:firstLine="1440"/>
      </w:pPr>
    </w:p>
    <w:p w:rsidR="0072189B" w:rsidRPr="007279D2" w:rsidRDefault="0072189B" w:rsidP="00BA5B2C">
      <w:pPr>
        <w:spacing w:line="360" w:lineRule="auto"/>
        <w:ind w:firstLine="1440"/>
      </w:pPr>
      <w:r w:rsidRPr="007279D2">
        <w:t xml:space="preserve">The </w:t>
      </w:r>
      <w:r w:rsidR="004D7EE2" w:rsidRPr="007279D2">
        <w:t xml:space="preserve">OSBA points out that, in its filed proposal, the Company proposed to establish a </w:t>
      </w:r>
      <w:r w:rsidR="00C50D84">
        <w:t>Merchant F</w:t>
      </w:r>
      <w:r w:rsidR="004D7EE2" w:rsidRPr="007279D2">
        <w:t xml:space="preserve">unction </w:t>
      </w:r>
      <w:r w:rsidR="00C50D84">
        <w:t>C</w:t>
      </w:r>
      <w:r w:rsidR="004D7EE2" w:rsidRPr="007279D2">
        <w:t xml:space="preserve">harge (“MFC”) to recover gas supply uncollectible costs from sales service customers equal to a flat percentage of the PGC rate for all rate classes. </w:t>
      </w:r>
      <w:r w:rsidR="00BA5B2C" w:rsidRPr="007279D2">
        <w:t xml:space="preserve"> </w:t>
      </w:r>
      <w:r w:rsidRPr="007279D2">
        <w:t xml:space="preserve">The </w:t>
      </w:r>
      <w:r w:rsidR="004D7EE2" w:rsidRPr="007279D2">
        <w:t>OSBA argues this approach failed to recognize that uncollectible rates for small business customers are generally lower than those for residential customers.  OSBA Statement No. 1</w:t>
      </w:r>
      <w:r w:rsidR="004C7CAC">
        <w:t>, pp.</w:t>
      </w:r>
      <w:r w:rsidR="004D7EE2" w:rsidRPr="007279D2">
        <w:t xml:space="preserve"> 36-37.  </w:t>
      </w:r>
      <w:r w:rsidRPr="007279D2">
        <w:t xml:space="preserve">According to OSBA, the </w:t>
      </w:r>
      <w:r w:rsidR="004D7EE2" w:rsidRPr="007279D2">
        <w:t>Joint Petition properly adopts a class-differentiated MFC.  OSBA St. in Support, p. 3.</w:t>
      </w:r>
    </w:p>
    <w:p w:rsidR="0072189B" w:rsidRPr="007279D2" w:rsidRDefault="0072189B" w:rsidP="0072189B">
      <w:pPr>
        <w:spacing w:line="360" w:lineRule="auto"/>
        <w:ind w:firstLine="1440"/>
      </w:pPr>
    </w:p>
    <w:p w:rsidR="004D7EE2" w:rsidRPr="007279D2" w:rsidRDefault="0072189B" w:rsidP="00BA5B2C">
      <w:pPr>
        <w:spacing w:line="360" w:lineRule="auto"/>
        <w:ind w:firstLine="1440"/>
      </w:pPr>
      <w:r w:rsidRPr="007279D2">
        <w:t xml:space="preserve">The </w:t>
      </w:r>
      <w:r w:rsidR="004D7EE2" w:rsidRPr="007279D2">
        <w:t>OSBA explains that its witness, Robert D. Knecht</w:t>
      </w:r>
      <w:r w:rsidR="004C7CAC">
        <w:t>,</w:t>
      </w:r>
      <w:r w:rsidR="004D7EE2" w:rsidRPr="007279D2">
        <w:t xml:space="preserve"> presented evidence that the Company’s cost basis for its proposed gas procurement charge (“GPC”) was understated compared to other Pennsylvania NGDCs and not fully consistent with the Commission’s intent in requiring GPCs to be established.  OSBA Statement No. 1</w:t>
      </w:r>
      <w:r w:rsidR="004C7CAC">
        <w:t>, pp.</w:t>
      </w:r>
      <w:r w:rsidR="004D7EE2" w:rsidRPr="007279D2">
        <w:t xml:space="preserve"> 47-49.  </w:t>
      </w:r>
      <w:r w:rsidRPr="007279D2">
        <w:t xml:space="preserve">The </w:t>
      </w:r>
      <w:r w:rsidR="004D7EE2" w:rsidRPr="007279D2">
        <w:t xml:space="preserve">OSBA asserts the Joint Petition properly increases the GPC to a more realistic level. </w:t>
      </w:r>
      <w:r w:rsidR="004C7CAC">
        <w:t xml:space="preserve"> </w:t>
      </w:r>
      <w:r w:rsidR="004D7EE2" w:rsidRPr="007279D2">
        <w:t>OSBA St. in Support, p. 3.</w:t>
      </w:r>
    </w:p>
    <w:p w:rsidR="004D7EE2" w:rsidRPr="007279D2" w:rsidRDefault="004D7EE2" w:rsidP="00BA5B2C">
      <w:pPr>
        <w:spacing w:line="360" w:lineRule="auto"/>
        <w:ind w:firstLine="720"/>
      </w:pPr>
    </w:p>
    <w:p w:rsidR="004D7EE2" w:rsidRPr="007279D2" w:rsidRDefault="004D7EE2" w:rsidP="00BA5B2C">
      <w:pPr>
        <w:pStyle w:val="ListParagraph"/>
        <w:numPr>
          <w:ilvl w:val="0"/>
          <w:numId w:val="15"/>
        </w:numPr>
        <w:spacing w:line="360" w:lineRule="auto"/>
        <w:ind w:hanging="720"/>
        <w:rPr>
          <w:sz w:val="24"/>
          <w:szCs w:val="24"/>
          <w:u w:val="single"/>
        </w:rPr>
      </w:pPr>
      <w:r w:rsidRPr="007279D2">
        <w:rPr>
          <w:sz w:val="24"/>
          <w:szCs w:val="24"/>
          <w:u w:val="single"/>
        </w:rPr>
        <w:t>Rate Structure</w:t>
      </w:r>
    </w:p>
    <w:p w:rsidR="00BA5B2C" w:rsidRPr="007279D2" w:rsidRDefault="00BA5B2C" w:rsidP="00BA5B2C">
      <w:pPr>
        <w:spacing w:line="360" w:lineRule="auto"/>
        <w:ind w:firstLine="1440"/>
      </w:pPr>
    </w:p>
    <w:p w:rsidR="00106881" w:rsidRPr="007279D2" w:rsidRDefault="004D7EE2" w:rsidP="00BA5B2C">
      <w:pPr>
        <w:spacing w:line="360" w:lineRule="auto"/>
        <w:ind w:firstLine="1440"/>
      </w:pPr>
      <w:r w:rsidRPr="007279D2">
        <w:t xml:space="preserve">According to OSBA, the Company incurs storage gas working capital (“SGWC”) costs on behalf of its sales customers and on behalf of </w:t>
      </w:r>
      <w:r w:rsidRPr="007279D2">
        <w:rPr>
          <w:i/>
        </w:rPr>
        <w:t xml:space="preserve">some </w:t>
      </w:r>
      <w:r w:rsidRPr="007279D2">
        <w:t xml:space="preserve">of its transportation customers.  </w:t>
      </w:r>
      <w:r w:rsidR="00106881" w:rsidRPr="007279D2">
        <w:t xml:space="preserve">The </w:t>
      </w:r>
      <w:r w:rsidRPr="007279D2">
        <w:t xml:space="preserve">OSBA asserts that Robert Knecht expressed concern that SGWC costs were being recovered in distribution base rates, and </w:t>
      </w:r>
      <w:r w:rsidR="00106881" w:rsidRPr="007279D2">
        <w:t>OSBA</w:t>
      </w:r>
      <w:r w:rsidRPr="007279D2">
        <w:t xml:space="preserve"> retains that concern under the </w:t>
      </w:r>
      <w:r w:rsidR="00106881" w:rsidRPr="007279D2">
        <w:t>S</w:t>
      </w:r>
      <w:r w:rsidRPr="007279D2">
        <w:t xml:space="preserve">ettlement.  Nevertheless, for the most part, OSBA argues the Company’s proposal was reasonable, assigning costs among customers, even if certain gas supply costs are hidden in distribution rates. </w:t>
      </w:r>
      <w:r w:rsidR="00BA5B2C" w:rsidRPr="007279D2">
        <w:t xml:space="preserve"> </w:t>
      </w:r>
      <w:r w:rsidR="00106881" w:rsidRPr="007279D2">
        <w:t xml:space="preserve">The </w:t>
      </w:r>
      <w:r w:rsidR="004C7CAC">
        <w:t>OSBA explains</w:t>
      </w:r>
      <w:r w:rsidRPr="007279D2">
        <w:t xml:space="preserve"> the Joint Petition generally retains the Company’s proposal in this </w:t>
      </w:r>
      <w:r w:rsidR="00C90AD4" w:rsidRPr="007279D2">
        <w:t>respect;</w:t>
      </w:r>
      <w:r w:rsidRPr="007279D2">
        <w:t xml:space="preserve"> however OSBA accepts this general framework.  </w:t>
      </w:r>
      <w:r w:rsidR="00106881" w:rsidRPr="007279D2">
        <w:t xml:space="preserve">The </w:t>
      </w:r>
      <w:r w:rsidRPr="007279D2">
        <w:t xml:space="preserve">OSBA asserts, </w:t>
      </w:r>
      <w:r w:rsidR="004C7CAC">
        <w:t xml:space="preserve">as explained by Robert Knecht, </w:t>
      </w:r>
      <w:r w:rsidR="00106881" w:rsidRPr="007279D2">
        <w:t xml:space="preserve">that </w:t>
      </w:r>
      <w:r w:rsidRPr="007279D2">
        <w:t>the Company incurs SGWC on behalf of retail transportation customers served on Rate SCD, but does not incur those costs for transportation customers served under Rate SGDS.  OSBA Statement No. 1</w:t>
      </w:r>
      <w:r w:rsidR="004C7CAC">
        <w:t>, p.</w:t>
      </w:r>
      <w:r w:rsidRPr="007279D2">
        <w:t xml:space="preserve"> 50.  Nevertheless, the Company proposed the same distribution rates for both classes. </w:t>
      </w:r>
      <w:r w:rsidR="00BA5B2C" w:rsidRPr="007279D2">
        <w:t xml:space="preserve"> </w:t>
      </w:r>
      <w:r w:rsidR="00106881" w:rsidRPr="007279D2">
        <w:t xml:space="preserve">The </w:t>
      </w:r>
      <w:r w:rsidRPr="007279D2">
        <w:t>OSBA contends the Joint Petition properly establishes a rate differential between those two classes to reflect this cost of service difference.  OSBA St. in Support, pp. 3-4.</w:t>
      </w:r>
    </w:p>
    <w:p w:rsidR="00106881" w:rsidRPr="007279D2" w:rsidRDefault="00106881" w:rsidP="00106881">
      <w:pPr>
        <w:spacing w:line="360" w:lineRule="auto"/>
        <w:ind w:firstLine="1440"/>
      </w:pPr>
    </w:p>
    <w:p w:rsidR="004D7EE2" w:rsidRPr="007279D2" w:rsidRDefault="00106881" w:rsidP="00106881">
      <w:pPr>
        <w:spacing w:line="360" w:lineRule="auto"/>
        <w:ind w:firstLine="1440"/>
      </w:pPr>
      <w:r w:rsidRPr="007279D2">
        <w:t xml:space="preserve">The </w:t>
      </w:r>
      <w:r w:rsidR="004D7EE2" w:rsidRPr="007279D2">
        <w:t xml:space="preserve">OSBA further asserts the Company’s SGS/SCD/SGDS rate classes contain a bifurcated customer charge, with a lower rate for customers with annual load below 644 Dth.  </w:t>
      </w:r>
      <w:r w:rsidRPr="007279D2">
        <w:t xml:space="preserve">The </w:t>
      </w:r>
      <w:r w:rsidR="004D7EE2" w:rsidRPr="007279D2">
        <w:t>OSBA points out that Robert Knecht presented evidence that neither of the cost allocation methods offered in the proceeding by the Company justified an increase to the customer charge for the smaller customers in this rate class group.  OSBA Statement No. 1</w:t>
      </w:r>
      <w:r w:rsidR="004C7CAC">
        <w:t xml:space="preserve">, pp. </w:t>
      </w:r>
      <w:r w:rsidR="004D7EE2" w:rsidRPr="007279D2">
        <w:t xml:space="preserve">55-57.  </w:t>
      </w:r>
      <w:r w:rsidRPr="007279D2">
        <w:t xml:space="preserve">The </w:t>
      </w:r>
      <w:r w:rsidR="004D7EE2" w:rsidRPr="007279D2">
        <w:t>OSBA concludes that the Joint Petition properly recognizes that evidence by imposing a zero rate increase for that charge.  OSBA St. in Support, p. 4.</w:t>
      </w:r>
    </w:p>
    <w:p w:rsidR="002F32B5" w:rsidRPr="007279D2" w:rsidRDefault="002F32B5" w:rsidP="002F32B5">
      <w:pPr>
        <w:spacing w:line="360" w:lineRule="auto"/>
      </w:pPr>
    </w:p>
    <w:p w:rsidR="002F32B5" w:rsidRPr="007279D2" w:rsidRDefault="002A4479" w:rsidP="00BA5B2C">
      <w:pPr>
        <w:tabs>
          <w:tab w:val="left" w:pos="720"/>
        </w:tabs>
        <w:autoSpaceDE w:val="0"/>
        <w:autoSpaceDN w:val="0"/>
        <w:adjustRightInd w:val="0"/>
        <w:spacing w:line="360" w:lineRule="auto"/>
        <w:contextualSpacing/>
        <w:jc w:val="both"/>
        <w:rPr>
          <w:u w:val="single"/>
        </w:rPr>
      </w:pPr>
      <w:r w:rsidRPr="007279D2">
        <w:lastRenderedPageBreak/>
        <w:t>D</w:t>
      </w:r>
      <w:r w:rsidR="002F32B5" w:rsidRPr="007279D2">
        <w:t>.</w:t>
      </w:r>
      <w:r w:rsidR="002F32B5" w:rsidRPr="007279D2">
        <w:tab/>
      </w:r>
      <w:r w:rsidR="002F32B5" w:rsidRPr="007279D2">
        <w:rPr>
          <w:u w:val="single"/>
        </w:rPr>
        <w:t>Columbia Industrial Intervenors (</w:t>
      </w:r>
      <w:r w:rsidR="004C7CAC">
        <w:rPr>
          <w:u w:val="single"/>
        </w:rPr>
        <w:t>“</w:t>
      </w:r>
      <w:r w:rsidR="002F32B5" w:rsidRPr="007279D2">
        <w:rPr>
          <w:u w:val="single"/>
        </w:rPr>
        <w:t>CII</w:t>
      </w:r>
      <w:r w:rsidR="004C7CAC">
        <w:rPr>
          <w:u w:val="single"/>
        </w:rPr>
        <w:t>”</w:t>
      </w:r>
      <w:r w:rsidR="002F32B5" w:rsidRPr="007279D2">
        <w:rPr>
          <w:u w:val="single"/>
        </w:rPr>
        <w:t>)</w:t>
      </w:r>
    </w:p>
    <w:p w:rsidR="002F32B5" w:rsidRPr="007279D2" w:rsidRDefault="002F32B5" w:rsidP="00BA5B2C">
      <w:pPr>
        <w:tabs>
          <w:tab w:val="left" w:pos="720"/>
        </w:tabs>
        <w:autoSpaceDE w:val="0"/>
        <w:autoSpaceDN w:val="0"/>
        <w:adjustRightInd w:val="0"/>
        <w:spacing w:line="360" w:lineRule="auto"/>
        <w:contextualSpacing/>
        <w:jc w:val="both"/>
      </w:pPr>
    </w:p>
    <w:p w:rsidR="002F32B5" w:rsidRPr="007279D2" w:rsidRDefault="002F32B5" w:rsidP="00BA5B2C">
      <w:pPr>
        <w:tabs>
          <w:tab w:val="left" w:pos="1440"/>
        </w:tabs>
        <w:spacing w:line="360" w:lineRule="auto"/>
        <w:ind w:firstLine="1440"/>
      </w:pPr>
      <w:r w:rsidRPr="007279D2">
        <w:t xml:space="preserve">CII submits that the Joint Petition is in the public interest and adheres to Commission policies promoting negotiated settlements.  According to CII, the </w:t>
      </w:r>
      <w:r w:rsidR="004B41B4">
        <w:t>S</w:t>
      </w:r>
      <w:r w:rsidRPr="007279D2">
        <w:t xml:space="preserve">ettlement was achieved after numerous settlement discussions.  Although </w:t>
      </w:r>
      <w:r w:rsidR="004C7CAC">
        <w:t xml:space="preserve">the </w:t>
      </w:r>
      <w:r w:rsidRPr="007279D2">
        <w:t xml:space="preserve">Joint Petitioners have invested time and resources in the negotiation of the Joint Petition, CII claims this process has allowed the parties, and the Commission, to avoid expending the substantial resources that would have been required to fully litigate this proceeding while still reaching a just, reasonable, and non-discriminatory result.  CII asserts that approval of the Joint Petition will permit the Commission and </w:t>
      </w:r>
      <w:r w:rsidR="004C7CAC">
        <w:t xml:space="preserve">the </w:t>
      </w:r>
      <w:r w:rsidRPr="007279D2">
        <w:t xml:space="preserve">Joint Petitioners to avoid incurring the additional time, expense, and uncertainty of further current litigation of a number of major issues in this proceeding.  </w:t>
      </w:r>
      <w:r w:rsidRPr="007279D2">
        <w:rPr>
          <w:i/>
        </w:rPr>
        <w:t>See</w:t>
      </w:r>
      <w:r w:rsidRPr="007279D2">
        <w:t xml:space="preserve"> 52 Pa. Code §69.391.  CII supports the Joint Petition; however, in the event that the Joint Petition is rejected, CII will resume its litigation position, which differs from the terms of the Joint Petition.  CII St. in Support, p. 5.</w:t>
      </w:r>
    </w:p>
    <w:p w:rsidR="002F32B5" w:rsidRPr="007279D2" w:rsidRDefault="002F32B5" w:rsidP="002F32B5">
      <w:pPr>
        <w:tabs>
          <w:tab w:val="left" w:pos="1440"/>
        </w:tabs>
        <w:spacing w:line="360" w:lineRule="auto"/>
        <w:ind w:firstLine="1440"/>
      </w:pPr>
    </w:p>
    <w:p w:rsidR="002F32B5" w:rsidRPr="007279D2" w:rsidRDefault="002F32B5" w:rsidP="002F32B5">
      <w:pPr>
        <w:tabs>
          <w:tab w:val="left" w:pos="1440"/>
        </w:tabs>
        <w:spacing w:line="360" w:lineRule="auto"/>
        <w:ind w:firstLine="1440"/>
      </w:pPr>
      <w:r w:rsidRPr="007279D2">
        <w:t>CII succinctly claims the Joint Petition is in the public interest for the following reasons:</w:t>
      </w:r>
    </w:p>
    <w:p w:rsidR="002F32B5" w:rsidRPr="007279D2" w:rsidRDefault="002F32B5" w:rsidP="002F32B5">
      <w:pPr>
        <w:tabs>
          <w:tab w:val="left" w:pos="1440"/>
        </w:tabs>
        <w:spacing w:line="360" w:lineRule="auto"/>
        <w:ind w:firstLine="1440"/>
      </w:pPr>
    </w:p>
    <w:p w:rsidR="002F32B5" w:rsidRPr="007279D2" w:rsidRDefault="002F32B5" w:rsidP="00291135">
      <w:pPr>
        <w:numPr>
          <w:ilvl w:val="0"/>
          <w:numId w:val="10"/>
        </w:numPr>
        <w:tabs>
          <w:tab w:val="left" w:pos="1800"/>
        </w:tabs>
        <w:ind w:right="1440" w:firstLine="0"/>
      </w:pPr>
      <w:r w:rsidRPr="007279D2">
        <w:t>As a result of the Joint Petition, expenses incurred by the Joint Petitioners and the Commission for completing this proceeding will be less than they would have been if the proceeding had been fully litigated.</w:t>
      </w:r>
    </w:p>
    <w:p w:rsidR="002F32B5" w:rsidRPr="007279D2" w:rsidRDefault="002F32B5" w:rsidP="002F32B5">
      <w:pPr>
        <w:tabs>
          <w:tab w:val="left" w:pos="1800"/>
        </w:tabs>
        <w:ind w:left="1440" w:right="1440"/>
      </w:pPr>
    </w:p>
    <w:p w:rsidR="002F32B5" w:rsidRPr="007279D2" w:rsidRDefault="002F32B5" w:rsidP="00291135">
      <w:pPr>
        <w:numPr>
          <w:ilvl w:val="0"/>
          <w:numId w:val="10"/>
        </w:numPr>
        <w:tabs>
          <w:tab w:val="left" w:pos="1800"/>
        </w:tabs>
        <w:ind w:right="1440" w:firstLine="0"/>
      </w:pPr>
      <w:r w:rsidRPr="007279D2">
        <w:t>Uncertainties regarding further expenses associated with possible appeals from the Final Order of the Commission are avoided as a result of the Joint Petition.</w:t>
      </w:r>
    </w:p>
    <w:p w:rsidR="002F32B5" w:rsidRPr="007279D2" w:rsidRDefault="002F32B5" w:rsidP="002F32B5">
      <w:pPr>
        <w:pStyle w:val="ListParagraph"/>
        <w:ind w:left="1440" w:right="1440"/>
        <w:rPr>
          <w:sz w:val="24"/>
          <w:szCs w:val="24"/>
        </w:rPr>
      </w:pPr>
    </w:p>
    <w:p w:rsidR="002F32B5" w:rsidRPr="007279D2" w:rsidRDefault="002F32B5" w:rsidP="00291135">
      <w:pPr>
        <w:numPr>
          <w:ilvl w:val="0"/>
          <w:numId w:val="10"/>
        </w:numPr>
        <w:tabs>
          <w:tab w:val="left" w:pos="1800"/>
        </w:tabs>
        <w:ind w:right="1440" w:firstLine="0"/>
      </w:pPr>
      <w:r w:rsidRPr="007279D2">
        <w:t>The Joint Petition results in an increase in Columbia's rates by $55.25 million, which is approximately 71.5% of the Company's original request of $77.3 million.</w:t>
      </w:r>
    </w:p>
    <w:p w:rsidR="002F32B5" w:rsidRPr="007279D2" w:rsidRDefault="002F32B5" w:rsidP="002F32B5">
      <w:pPr>
        <w:pStyle w:val="ListParagraph"/>
        <w:ind w:left="1440" w:right="1440"/>
        <w:rPr>
          <w:sz w:val="24"/>
          <w:szCs w:val="24"/>
        </w:rPr>
      </w:pPr>
    </w:p>
    <w:p w:rsidR="002F32B5" w:rsidRPr="007279D2" w:rsidRDefault="002F32B5" w:rsidP="00291135">
      <w:pPr>
        <w:numPr>
          <w:ilvl w:val="0"/>
          <w:numId w:val="10"/>
        </w:numPr>
        <w:tabs>
          <w:tab w:val="left" w:pos="1800"/>
        </w:tabs>
        <w:ind w:right="1440" w:firstLine="0"/>
      </w:pPr>
      <w:r w:rsidRPr="007279D2">
        <w:t>The Joint Petition provides a just and reasonable means by which to allocate the resulting increase.</w:t>
      </w:r>
    </w:p>
    <w:p w:rsidR="002F32B5" w:rsidRPr="007279D2" w:rsidRDefault="002F32B5" w:rsidP="002F32B5">
      <w:pPr>
        <w:pStyle w:val="ListParagraph"/>
        <w:ind w:left="1440" w:right="1440"/>
        <w:rPr>
          <w:sz w:val="24"/>
          <w:szCs w:val="24"/>
        </w:rPr>
      </w:pPr>
    </w:p>
    <w:p w:rsidR="002F32B5" w:rsidRPr="007279D2" w:rsidRDefault="002F32B5" w:rsidP="00291135">
      <w:pPr>
        <w:numPr>
          <w:ilvl w:val="0"/>
          <w:numId w:val="10"/>
        </w:numPr>
        <w:tabs>
          <w:tab w:val="left" w:pos="1800"/>
        </w:tabs>
        <w:ind w:right="1440" w:firstLine="0"/>
      </w:pPr>
      <w:r w:rsidRPr="007279D2">
        <w:t xml:space="preserve">The Joint Petition reflects compromises on all sides presented without prejudice to any position any Joint Petitioner may have advanced so far in this proceeding.  Similarly, the Joint Petition is </w:t>
      </w:r>
      <w:r w:rsidRPr="007279D2">
        <w:lastRenderedPageBreak/>
        <w:t xml:space="preserve">presented without prejudice to any position any party may advance in future proceedings involving the Company. </w:t>
      </w:r>
    </w:p>
    <w:p w:rsidR="002F32B5" w:rsidRPr="007279D2" w:rsidRDefault="002F32B5" w:rsidP="002F32B5">
      <w:pPr>
        <w:tabs>
          <w:tab w:val="left" w:pos="1440"/>
        </w:tabs>
        <w:spacing w:line="360" w:lineRule="auto"/>
        <w:ind w:firstLine="1440"/>
      </w:pPr>
    </w:p>
    <w:p w:rsidR="002F32B5" w:rsidRPr="007279D2" w:rsidRDefault="002F32B5" w:rsidP="00BA5B2C">
      <w:pPr>
        <w:tabs>
          <w:tab w:val="left" w:pos="720"/>
        </w:tabs>
        <w:autoSpaceDE w:val="0"/>
        <w:autoSpaceDN w:val="0"/>
        <w:adjustRightInd w:val="0"/>
        <w:spacing w:line="360" w:lineRule="auto"/>
        <w:contextualSpacing/>
        <w:jc w:val="both"/>
      </w:pPr>
      <w:r w:rsidRPr="007279D2">
        <w:t>CII St. in Support, p. 4.</w:t>
      </w:r>
    </w:p>
    <w:p w:rsidR="002F32B5" w:rsidRPr="007279D2" w:rsidRDefault="002F32B5" w:rsidP="00BA5B2C">
      <w:pPr>
        <w:tabs>
          <w:tab w:val="left" w:pos="720"/>
        </w:tabs>
        <w:autoSpaceDE w:val="0"/>
        <w:autoSpaceDN w:val="0"/>
        <w:adjustRightInd w:val="0"/>
        <w:spacing w:line="360" w:lineRule="auto"/>
        <w:contextualSpacing/>
        <w:jc w:val="both"/>
      </w:pPr>
    </w:p>
    <w:p w:rsidR="004D7EE2" w:rsidRPr="007279D2" w:rsidRDefault="002F32B5" w:rsidP="00BA5B2C">
      <w:pPr>
        <w:tabs>
          <w:tab w:val="left" w:pos="1440"/>
        </w:tabs>
        <w:spacing w:line="360" w:lineRule="auto"/>
        <w:ind w:firstLine="1440"/>
      </w:pPr>
      <w:r w:rsidRPr="007279D2">
        <w:t>In addition, according to CII, the Joint Petition specifically satisfies the concerns of CII by:  (1) lowering the revenue increase amount by approximately 29.5%; and (2) reasonably allocating the proposed increase among the customer classes.  CII St. in Support, p. 5.</w:t>
      </w:r>
    </w:p>
    <w:p w:rsidR="002F32B5" w:rsidRPr="007279D2" w:rsidRDefault="002F32B5" w:rsidP="002F32B5">
      <w:pPr>
        <w:tabs>
          <w:tab w:val="left" w:pos="1440"/>
        </w:tabs>
        <w:spacing w:line="360" w:lineRule="auto"/>
        <w:ind w:firstLine="1440"/>
      </w:pPr>
    </w:p>
    <w:p w:rsidR="00106881" w:rsidRPr="007279D2" w:rsidRDefault="000C2CCE" w:rsidP="004C7CAC">
      <w:pPr>
        <w:spacing w:line="360" w:lineRule="auto"/>
        <w:rPr>
          <w:u w:val="single"/>
        </w:rPr>
      </w:pPr>
      <w:r w:rsidRPr="007279D2">
        <w:t>E</w:t>
      </w:r>
      <w:r w:rsidR="00106881" w:rsidRPr="007279D2">
        <w:t>.</w:t>
      </w:r>
      <w:r w:rsidR="00106881" w:rsidRPr="007279D2">
        <w:tab/>
      </w:r>
      <w:r w:rsidR="004D7EE2" w:rsidRPr="007279D2">
        <w:rPr>
          <w:u w:val="single"/>
        </w:rPr>
        <w:t>NGS’ Position</w:t>
      </w:r>
    </w:p>
    <w:p w:rsidR="004C7CAC" w:rsidRDefault="004C7CAC" w:rsidP="004C7CAC">
      <w:pPr>
        <w:spacing w:line="360" w:lineRule="auto"/>
        <w:ind w:firstLine="1440"/>
      </w:pPr>
    </w:p>
    <w:p w:rsidR="002F32B5" w:rsidRPr="007279D2" w:rsidRDefault="004D7EE2" w:rsidP="004C7CAC">
      <w:pPr>
        <w:spacing w:line="360" w:lineRule="auto"/>
        <w:ind w:firstLine="1440"/>
      </w:pPr>
      <w:r w:rsidRPr="007279D2">
        <w:t>NGS argues that the Settlement is reasonable and in the public interest because it presents a reasonable GPC, one that will hopefully</w:t>
      </w:r>
      <w:r w:rsidR="002F32B5" w:rsidRPr="007279D2">
        <w:t xml:space="preserve"> </w:t>
      </w:r>
      <w:r w:rsidRPr="007279D2">
        <w:t xml:space="preserve">represent a portion of the gas procurement charges incurred by the </w:t>
      </w:r>
      <w:r w:rsidR="00E91F68">
        <w:t>C</w:t>
      </w:r>
      <w:r w:rsidRPr="007279D2">
        <w:t>ompany in the provision of supplier of last resort service to customers who choose not to shop.  According to NGS, this additional unbundling will bring the overall Price-to-Compare (“PTC”) more into line with the charges incurred by Natural Gas Suppliers when they provide service to customers, thus allowing for more relevant comparison of the default service charge to the prices offered by competitive suppliers in the marketplace.  NGS argues the other provisions of the Settlement, namely the elimination of the freeze period and the collaborative, should lend themselves to increasing the competitiveness of the market in Columbia</w:t>
      </w:r>
      <w:r w:rsidR="002F32B5" w:rsidRPr="007279D2">
        <w:t>’s</w:t>
      </w:r>
      <w:r w:rsidRPr="007279D2">
        <w:t xml:space="preserve"> service territory.  In particular, NGS asserts that eliminating the freeze period will lessen the amount of time that some customers may have to wait to be switched from default service to competitive supply, or between competitive suppliers, which will allow those customers to enjoy the product offerings by suppliers at an earlier date.  NGS St. in Support, p. 3.</w:t>
      </w:r>
    </w:p>
    <w:p w:rsidR="002F32B5" w:rsidRPr="007279D2" w:rsidRDefault="002F32B5" w:rsidP="002F32B5">
      <w:pPr>
        <w:spacing w:line="360" w:lineRule="auto"/>
        <w:ind w:firstLine="1440"/>
      </w:pPr>
    </w:p>
    <w:p w:rsidR="00F1463E" w:rsidRPr="007279D2" w:rsidRDefault="004D7EE2" w:rsidP="00F1463E">
      <w:pPr>
        <w:spacing w:line="360" w:lineRule="auto"/>
        <w:ind w:firstLine="1440"/>
      </w:pPr>
      <w:r w:rsidRPr="007279D2">
        <w:t xml:space="preserve">NGS further asserts </w:t>
      </w:r>
      <w:r w:rsidR="00F1463E" w:rsidRPr="007279D2">
        <w:t>t</w:t>
      </w:r>
      <w:r w:rsidRPr="007279D2">
        <w:t xml:space="preserve">he Joint Petition for Settlement </w:t>
      </w:r>
      <w:r w:rsidR="00F1463E" w:rsidRPr="007279D2">
        <w:t xml:space="preserve">is in the public interest because it </w:t>
      </w:r>
      <w:r w:rsidRPr="007279D2">
        <w:t>proposes a GPC of $0.0535 per dekatherm, which is nearly four times higher than the am</w:t>
      </w:r>
      <w:r w:rsidR="00F1463E" w:rsidRPr="007279D2">
        <w:t>ount initially proposed by the Company.  While the S</w:t>
      </w:r>
      <w:r w:rsidRPr="007279D2">
        <w:t>ettlement GPC amount is significantly less than the amount proposed in the testimony of the NGS Parties’ witness, it nonetheless is acceptable to NGS</w:t>
      </w:r>
      <w:r w:rsidR="00F1463E" w:rsidRPr="007279D2">
        <w:t>.</w:t>
      </w:r>
      <w:r w:rsidRPr="007279D2">
        <w:t xml:space="preserve">  NGS St. in Support, p. 2.</w:t>
      </w:r>
    </w:p>
    <w:p w:rsidR="00F1463E" w:rsidRPr="007279D2" w:rsidRDefault="00F1463E" w:rsidP="00F1463E">
      <w:pPr>
        <w:spacing w:line="360" w:lineRule="auto"/>
        <w:ind w:firstLine="1440"/>
      </w:pPr>
    </w:p>
    <w:p w:rsidR="00F1463E" w:rsidRPr="007279D2" w:rsidRDefault="00F1463E" w:rsidP="00F1463E">
      <w:pPr>
        <w:spacing w:line="360" w:lineRule="auto"/>
        <w:ind w:firstLine="1440"/>
      </w:pPr>
      <w:r w:rsidRPr="007279D2">
        <w:lastRenderedPageBreak/>
        <w:t xml:space="preserve">According to NGS, the Settlement is also in the public interest because </w:t>
      </w:r>
      <w:r w:rsidR="004D7EE2" w:rsidRPr="007279D2">
        <w:t>Columbia has agreed to address the freeze period issue, in addition to addressing the GPC level, in a reasonable fashion.  Columbia has agreed to eliminate the freeze period for choice enrollments no later than April 1, 2015.  NGS St. in Support, p. 2.</w:t>
      </w:r>
    </w:p>
    <w:p w:rsidR="00F1463E" w:rsidRPr="007279D2" w:rsidRDefault="00F1463E" w:rsidP="00F1463E">
      <w:pPr>
        <w:spacing w:line="360" w:lineRule="auto"/>
        <w:ind w:firstLine="1440"/>
      </w:pPr>
    </w:p>
    <w:p w:rsidR="004D7EE2" w:rsidRPr="007279D2" w:rsidRDefault="004D7EE2" w:rsidP="00F1463E">
      <w:pPr>
        <w:spacing w:line="360" w:lineRule="auto"/>
        <w:ind w:firstLine="1440"/>
      </w:pPr>
      <w:r w:rsidRPr="007279D2">
        <w:t>Columbia has agreed to engage in a collaborative with the NGS Parties, and other interested parties, to discuss ways of improving the competitiveness of the retail market in Columbia</w:t>
      </w:r>
      <w:r w:rsidR="00F1463E" w:rsidRPr="007279D2">
        <w:t>’s</w:t>
      </w:r>
      <w:r w:rsidRPr="007279D2">
        <w:t xml:space="preserve"> service territory.  The collaborative will meet quarterly for the year following th</w:t>
      </w:r>
      <w:r w:rsidR="00F1463E" w:rsidRPr="007279D2">
        <w:t>e Commission’s approval of the S</w:t>
      </w:r>
      <w:r w:rsidRPr="007279D2">
        <w:t xml:space="preserve">ettlement.  </w:t>
      </w:r>
      <w:r w:rsidR="00F1463E" w:rsidRPr="007279D2">
        <w:t xml:space="preserve">NGS finds this Settlement provision to be in the public interest as well.  </w:t>
      </w:r>
      <w:r w:rsidRPr="007279D2">
        <w:t>NGS St. in Support, p. 2.</w:t>
      </w:r>
    </w:p>
    <w:p w:rsidR="00F1463E" w:rsidRPr="007279D2" w:rsidRDefault="00F1463E" w:rsidP="00F1463E">
      <w:pPr>
        <w:spacing w:line="360" w:lineRule="auto"/>
        <w:ind w:firstLine="1440"/>
      </w:pPr>
    </w:p>
    <w:p w:rsidR="004D7EE2" w:rsidRPr="007279D2" w:rsidRDefault="000C2CCE" w:rsidP="00F1463E">
      <w:pPr>
        <w:spacing w:after="200" w:line="480" w:lineRule="auto"/>
        <w:jc w:val="both"/>
        <w:rPr>
          <w:u w:val="single"/>
        </w:rPr>
      </w:pPr>
      <w:r w:rsidRPr="007279D2">
        <w:t>F</w:t>
      </w:r>
      <w:r w:rsidR="00F1463E" w:rsidRPr="007279D2">
        <w:t>.</w:t>
      </w:r>
      <w:r w:rsidR="00F1463E" w:rsidRPr="007279D2">
        <w:tab/>
      </w:r>
      <w:r w:rsidR="004D7EE2" w:rsidRPr="007279D2">
        <w:rPr>
          <w:u w:val="single"/>
        </w:rPr>
        <w:t>PSU’s Position</w:t>
      </w:r>
    </w:p>
    <w:p w:rsidR="004D7EE2" w:rsidRPr="007279D2" w:rsidRDefault="004D7EE2" w:rsidP="004D3B94">
      <w:pPr>
        <w:pStyle w:val="ListParagraph"/>
        <w:spacing w:line="360" w:lineRule="auto"/>
        <w:ind w:left="0" w:firstLine="1440"/>
        <w:rPr>
          <w:sz w:val="24"/>
          <w:szCs w:val="24"/>
        </w:rPr>
      </w:pPr>
      <w:r w:rsidRPr="007279D2">
        <w:rPr>
          <w:sz w:val="24"/>
          <w:szCs w:val="24"/>
        </w:rPr>
        <w:t xml:space="preserve">According to PSU, its participation in this matter has been regarding revenue allocation and rate design and it asserts it is satisfied with the resolution of those issues.  PSU indicates it takes no position on the remaining issues in the Joint Petition.  PSU asserts the </w:t>
      </w:r>
      <w:r w:rsidR="00290BC4" w:rsidRPr="007279D2">
        <w:rPr>
          <w:sz w:val="24"/>
          <w:szCs w:val="24"/>
        </w:rPr>
        <w:t>S</w:t>
      </w:r>
      <w:r w:rsidRPr="007279D2">
        <w:rPr>
          <w:sz w:val="24"/>
          <w:szCs w:val="24"/>
        </w:rPr>
        <w:t>ettlement presented by the Joint Petition is a reasonable compromise of conflicting positions, results in rates which are not unjust or unreasonable and is consistent with the Commission’s policy to encourage settlements.  PSU St. in Support, p. 1.</w:t>
      </w:r>
    </w:p>
    <w:p w:rsidR="004D7EE2" w:rsidRPr="007279D2" w:rsidRDefault="004D7EE2" w:rsidP="004D3B94">
      <w:pPr>
        <w:tabs>
          <w:tab w:val="left" w:pos="720"/>
        </w:tabs>
        <w:autoSpaceDE w:val="0"/>
        <w:autoSpaceDN w:val="0"/>
        <w:adjustRightInd w:val="0"/>
        <w:spacing w:line="360" w:lineRule="auto"/>
        <w:contextualSpacing/>
        <w:jc w:val="both"/>
      </w:pPr>
    </w:p>
    <w:p w:rsidR="00290BC4" w:rsidRDefault="000C2CCE" w:rsidP="004D3B94">
      <w:pPr>
        <w:spacing w:line="360" w:lineRule="auto"/>
        <w:jc w:val="both"/>
        <w:rPr>
          <w:u w:val="single"/>
        </w:rPr>
      </w:pPr>
      <w:r w:rsidRPr="007279D2">
        <w:t>G</w:t>
      </w:r>
      <w:r w:rsidR="00290BC4" w:rsidRPr="007279D2">
        <w:t>.</w:t>
      </w:r>
      <w:r w:rsidR="00290BC4" w:rsidRPr="007279D2">
        <w:tab/>
      </w:r>
      <w:r w:rsidR="00290BC4" w:rsidRPr="007279D2">
        <w:rPr>
          <w:u w:val="single"/>
        </w:rPr>
        <w:t>CAAP’s Position</w:t>
      </w:r>
    </w:p>
    <w:p w:rsidR="004D3B94" w:rsidRPr="007279D2" w:rsidRDefault="004D3B94" w:rsidP="004D3B94">
      <w:pPr>
        <w:spacing w:line="360" w:lineRule="auto"/>
        <w:jc w:val="both"/>
        <w:rPr>
          <w:u w:val="single"/>
        </w:rPr>
      </w:pPr>
    </w:p>
    <w:p w:rsidR="00290BC4" w:rsidRPr="007279D2" w:rsidRDefault="00290BC4" w:rsidP="004D3B94">
      <w:pPr>
        <w:spacing w:line="360" w:lineRule="auto"/>
        <w:ind w:firstLine="1440"/>
      </w:pPr>
      <w:r w:rsidRPr="007279D2">
        <w:t>According to CAAP, it contended that the proposed funding level for the Company’s LIURP was insufficient to meet the need for LIURP services of the Company’s low income customers.  CAAP argued the Company’s proposed rate design would negatively impact a customer’s ability to conserve energy and lower its utility costs.</w:t>
      </w:r>
      <w:r w:rsidR="00BA5B2C" w:rsidRPr="007279D2">
        <w:t xml:space="preserve"> </w:t>
      </w:r>
      <w:r w:rsidRPr="007279D2">
        <w:t xml:space="preserve"> CAAP St. in Support, p. 2.  CAAP asserts that Columbia has agreed to increase its annual funding for LIURP and the parties have compromised their respective positions on rate design.  Accordingly, CAAP has requested approval of the Settlement as it relates to the level of LIURP funding and rate design.</w:t>
      </w:r>
      <w:r w:rsidR="00BA5B2C" w:rsidRPr="007279D2">
        <w:t xml:space="preserve"> </w:t>
      </w:r>
      <w:r w:rsidRPr="007279D2">
        <w:t xml:space="preserve"> CAAP St. in Support</w:t>
      </w:r>
      <w:r w:rsidR="004C7CAC">
        <w:t>,</w:t>
      </w:r>
      <w:r w:rsidRPr="007279D2">
        <w:t xml:space="preserve"> p. 2.</w:t>
      </w:r>
    </w:p>
    <w:p w:rsidR="00290BC4" w:rsidRPr="007279D2" w:rsidRDefault="00290BC4" w:rsidP="00290BC4">
      <w:pPr>
        <w:spacing w:line="360" w:lineRule="auto"/>
        <w:ind w:firstLine="1440"/>
      </w:pPr>
    </w:p>
    <w:p w:rsidR="00290BC4" w:rsidRPr="007279D2" w:rsidRDefault="000C2CCE" w:rsidP="00290BC4">
      <w:pPr>
        <w:spacing w:after="200" w:line="480" w:lineRule="auto"/>
        <w:jc w:val="both"/>
      </w:pPr>
      <w:r w:rsidRPr="007279D2">
        <w:lastRenderedPageBreak/>
        <w:t>H</w:t>
      </w:r>
      <w:r w:rsidR="00290BC4" w:rsidRPr="007279D2">
        <w:t>.</w:t>
      </w:r>
      <w:r w:rsidR="00290BC4" w:rsidRPr="007279D2">
        <w:tab/>
      </w:r>
      <w:r w:rsidR="00290BC4" w:rsidRPr="007279D2">
        <w:rPr>
          <w:u w:val="single"/>
        </w:rPr>
        <w:t>CAUSE-PA’s Position</w:t>
      </w:r>
    </w:p>
    <w:p w:rsidR="009179A5" w:rsidRPr="007279D2" w:rsidRDefault="00290BC4" w:rsidP="00F07EF9">
      <w:pPr>
        <w:pStyle w:val="BodyText2"/>
        <w:spacing w:line="360" w:lineRule="auto"/>
        <w:ind w:firstLine="1440"/>
        <w:jc w:val="left"/>
      </w:pPr>
      <w:r w:rsidRPr="007279D2">
        <w:t>According to CAUSE-PA, it intervened in this proceeding to address, among other issues, whether the proposed rate increase would detrimentally impact the ability of Columbia</w:t>
      </w:r>
      <w:r w:rsidR="009179A5" w:rsidRPr="007279D2">
        <w:t>’s</w:t>
      </w:r>
      <w:r w:rsidRPr="007279D2">
        <w:t xml:space="preserve"> low-income customers to be able to continue to afford service under reasonable terms and conditions. </w:t>
      </w:r>
      <w:r w:rsidR="00BA5B2C" w:rsidRPr="007279D2">
        <w:t xml:space="preserve"> </w:t>
      </w:r>
      <w:r w:rsidRPr="007279D2">
        <w:t xml:space="preserve">Specifically, CAUSE-PA asserted that any rate increase should be partially offset with additional weatherization resources targeting Columbia’s most economically vulnerable customers. </w:t>
      </w:r>
      <w:r w:rsidR="00BA5B2C" w:rsidRPr="007279D2">
        <w:t xml:space="preserve"> </w:t>
      </w:r>
      <w:r w:rsidRPr="007279D2">
        <w:t>C</w:t>
      </w:r>
      <w:r w:rsidR="009179A5" w:rsidRPr="007279D2">
        <w:t>AUSE-PA</w:t>
      </w:r>
      <w:r w:rsidRPr="007279D2">
        <w:t xml:space="preserve"> notes that, among other provisions, while the Settlement provides for increases in rates designed to produce $55.25 million in additional base rate revenues, it also provides for an additional $500,000 in increased funding for the Company’s WarmWise® Low Income Usage Reduction Program (“LIURP”).  CAUSE-PA St. in Support, p.</w:t>
      </w:r>
      <w:r w:rsidR="00BA5B2C" w:rsidRPr="007279D2">
        <w:t> </w:t>
      </w:r>
      <w:r w:rsidRPr="007279D2">
        <w:t>2.</w:t>
      </w:r>
    </w:p>
    <w:p w:rsidR="009179A5" w:rsidRPr="007279D2" w:rsidRDefault="009179A5" w:rsidP="00F07EF9">
      <w:pPr>
        <w:pStyle w:val="BodyText2"/>
        <w:spacing w:line="360" w:lineRule="auto"/>
        <w:ind w:firstLine="1440"/>
        <w:jc w:val="left"/>
      </w:pPr>
    </w:p>
    <w:p w:rsidR="00290BC4" w:rsidRPr="007279D2" w:rsidRDefault="00290BC4" w:rsidP="00F07EF9">
      <w:pPr>
        <w:pStyle w:val="BodyText2"/>
        <w:spacing w:line="360" w:lineRule="auto"/>
        <w:ind w:firstLine="1440"/>
        <w:jc w:val="left"/>
      </w:pPr>
      <w:r w:rsidRPr="007279D2">
        <w:t xml:space="preserve">CAUSE-PA indicated </w:t>
      </w:r>
      <w:r w:rsidR="00F07EF9">
        <w:t xml:space="preserve">on pages 3 through 6 of its Statement in Support that it recommends </w:t>
      </w:r>
      <w:r w:rsidRPr="007279D2">
        <w:t xml:space="preserve">the Settlement for </w:t>
      </w:r>
      <w:r w:rsidR="00F07EF9">
        <w:t xml:space="preserve">the </w:t>
      </w:r>
      <w:r w:rsidRPr="007279D2">
        <w:t>reasons</w:t>
      </w:r>
      <w:r w:rsidR="00F07EF9">
        <w:t xml:space="preserve"> set forth below</w:t>
      </w:r>
      <w:r w:rsidR="0029674D">
        <w:t>.</w:t>
      </w:r>
    </w:p>
    <w:p w:rsidR="000C2CCE" w:rsidRPr="007279D2" w:rsidRDefault="000C2CCE" w:rsidP="00F07EF9">
      <w:pPr>
        <w:pStyle w:val="BodyText2"/>
        <w:spacing w:line="360" w:lineRule="auto"/>
        <w:ind w:left="1440" w:right="1440" w:firstLine="0"/>
        <w:jc w:val="left"/>
      </w:pPr>
    </w:p>
    <w:p w:rsidR="00290BC4" w:rsidRPr="007279D2" w:rsidRDefault="00290BC4" w:rsidP="00F07EF9">
      <w:pPr>
        <w:pStyle w:val="BodyText2"/>
        <w:spacing w:line="360" w:lineRule="auto"/>
        <w:ind w:firstLine="1440"/>
        <w:jc w:val="left"/>
      </w:pPr>
      <w:r w:rsidRPr="007279D2">
        <w:t xml:space="preserve">Paragraph 48 of the Settlement confirms that there will be an increase in annual LIURP funding from $4 million to $4.5 million, commencing with the effective date of rates in this proceeding. </w:t>
      </w:r>
      <w:r w:rsidR="004C7CAC">
        <w:t xml:space="preserve"> </w:t>
      </w:r>
      <w:r w:rsidRPr="007279D2">
        <w:t xml:space="preserve">Any resulting unspent balance in the designated LIURP funding account shall carry over and shall remain in that account. </w:t>
      </w:r>
      <w:r w:rsidR="004C7CAC">
        <w:t xml:space="preserve"> </w:t>
      </w:r>
      <w:r w:rsidRPr="007279D2">
        <w:t xml:space="preserve">Columbia will continue to work with community based organizations in implementing its LIURP.  CAUSE-PA St. in Support, p. 3.  CAUSE-PA explains that its witness Eugene M. Brady documented that those households eligible for LIURP – with incomes at or below 150% of the federal poverty income guidelines, lack sufficient income to pay for all of their essential needs. </w:t>
      </w:r>
      <w:r w:rsidR="004C7CAC">
        <w:t xml:space="preserve"> </w:t>
      </w:r>
      <w:r w:rsidRPr="007279D2">
        <w:t>CAUSE-PA Statement No</w:t>
      </w:r>
      <w:r w:rsidR="00F07EF9">
        <w:t>. 1, pp. 4-5.</w:t>
      </w:r>
      <w:r w:rsidRPr="007279D2">
        <w:t xml:space="preserve">  According to CAUSE-PA, this increase, while not fully meeting the unmet need within Columbia’s service territory, ensures that many more households will receive access to proven weatherization that will significantly reduce their usage, their bills, and reduce the costs on other ratepayers who are assisting these households th</w:t>
      </w:r>
      <w:r w:rsidR="004C7CAC">
        <w:t>r</w:t>
      </w:r>
      <w:r w:rsidRPr="007279D2">
        <w:t>ough Columbia’s CAP program.  CAUSE-PA St. in Support, pp. 3</w:t>
      </w:r>
      <w:r w:rsidR="00F07EF9">
        <w:noBreakHyphen/>
      </w:r>
      <w:r w:rsidRPr="007279D2">
        <w:t>4.</w:t>
      </w:r>
    </w:p>
    <w:p w:rsidR="00BA5B2C" w:rsidRPr="007279D2" w:rsidRDefault="00BA5B2C" w:rsidP="00F07EF9">
      <w:pPr>
        <w:pStyle w:val="BodyText2"/>
        <w:spacing w:line="360" w:lineRule="auto"/>
        <w:ind w:left="1440" w:right="1440" w:firstLine="0"/>
        <w:jc w:val="left"/>
      </w:pPr>
    </w:p>
    <w:p w:rsidR="00290BC4" w:rsidRPr="007279D2" w:rsidRDefault="00290BC4" w:rsidP="00F07EF9">
      <w:pPr>
        <w:pStyle w:val="BodyText2"/>
        <w:spacing w:line="360" w:lineRule="auto"/>
        <w:ind w:firstLine="1440"/>
        <w:jc w:val="left"/>
      </w:pPr>
      <w:r w:rsidRPr="007279D2">
        <w:lastRenderedPageBreak/>
        <w:t xml:space="preserve">According to CAUSE-PA, the Settlement term which requires that any unused funds in one LIURP year will be carried over to the next ensures that the designated LIURP funding will be used for its ultimate purpose and not be lost as a result of temporary work reductions due to unforeseen weather or other factors within any given year. </w:t>
      </w:r>
      <w:r w:rsidR="004C7CAC">
        <w:t xml:space="preserve"> </w:t>
      </w:r>
      <w:r w:rsidRPr="007279D2">
        <w:t>This carryover will enable Columbia to deliver the needed usage reduction services to a hou</w:t>
      </w:r>
      <w:r w:rsidR="004C7CAC">
        <w:t>sehold, regardless of the LIURP</w:t>
      </w:r>
      <w:r w:rsidRPr="007279D2">
        <w:t xml:space="preserve"> budget year. </w:t>
      </w:r>
      <w:r w:rsidR="004C7CAC">
        <w:t xml:space="preserve"> </w:t>
      </w:r>
      <w:r w:rsidRPr="007279D2">
        <w:t>Finally, Columbia’s commitment in the Settlement to continue to use community based organizations to operate its LIURP is a wise and economical best practice.  CAUSE-PA St. in Support, p. 4.</w:t>
      </w:r>
    </w:p>
    <w:p w:rsidR="00BA5B2C" w:rsidRPr="007279D2" w:rsidRDefault="00BA5B2C" w:rsidP="00F07EF9">
      <w:pPr>
        <w:pStyle w:val="BodyText2"/>
        <w:spacing w:line="360" w:lineRule="auto"/>
        <w:ind w:left="1440" w:right="1440" w:firstLine="0"/>
        <w:jc w:val="left"/>
      </w:pPr>
    </w:p>
    <w:p w:rsidR="00290BC4" w:rsidRPr="007279D2" w:rsidRDefault="00290BC4" w:rsidP="00F07EF9">
      <w:pPr>
        <w:pStyle w:val="BodyText2"/>
        <w:spacing w:line="360" w:lineRule="auto"/>
        <w:ind w:firstLine="1440"/>
        <w:jc w:val="left"/>
      </w:pPr>
      <w:r w:rsidRPr="007279D2">
        <w:t xml:space="preserve">CAUSE-PA asserts that the Settlement provides that Columbia will have the requested flexibility to make changes to the WarmWise® Audit &amp; Rebate program as described in Columbia Witness Kempic’s direct testimony to manage the program within its existing $750,000 budget. </w:t>
      </w:r>
      <w:r w:rsidR="00F07EF9">
        <w:t xml:space="preserve"> </w:t>
      </w:r>
      <w:r w:rsidRPr="007279D2">
        <w:t xml:space="preserve">CAUSE-PA supported Columbia’s desire for this flexibility without having to go to the Commission for changes each time Columbia’s rebates changed. </w:t>
      </w:r>
      <w:r w:rsidR="004C7CAC">
        <w:t xml:space="preserve"> </w:t>
      </w:r>
      <w:r w:rsidRPr="007279D2">
        <w:t xml:space="preserve">In its testimony, however, CAUSE-PA was concerned that Columbia should </w:t>
      </w:r>
      <w:r w:rsidRPr="00F07EF9">
        <w:t>not</w:t>
      </w:r>
      <w:r w:rsidRPr="007279D2">
        <w:t xml:space="preserve"> have the flexibility to implement an on-bill financing or repayment program without Commission approval. </w:t>
      </w:r>
      <w:r w:rsidR="004C7CAC">
        <w:t xml:space="preserve"> </w:t>
      </w:r>
      <w:r w:rsidRPr="007279D2">
        <w:t>CA</w:t>
      </w:r>
      <w:r w:rsidR="00F07EF9">
        <w:t>USE-PA Statement No. 1, pp. 16-17</w:t>
      </w:r>
      <w:r w:rsidRPr="007279D2">
        <w:t>.  The Settlement, in Paragraph 49, clarifies that Columbia does not have this discretion.  CAUSE-PA St. in Support, pp. 4-5.  CAUSE-PA asserts that confirmation that these actions were taken was an essenti</w:t>
      </w:r>
      <w:r w:rsidR="00F07EF9">
        <w:t xml:space="preserve">al element of this Settlement. </w:t>
      </w:r>
      <w:r w:rsidRPr="007279D2">
        <w:t xml:space="preserve"> CAUSE-PA St. in Support, p. 5.</w:t>
      </w:r>
    </w:p>
    <w:p w:rsidR="00BA5B2C" w:rsidRPr="007279D2" w:rsidRDefault="00BA5B2C" w:rsidP="00F07EF9">
      <w:pPr>
        <w:pStyle w:val="BodyText2"/>
        <w:spacing w:line="360" w:lineRule="auto"/>
        <w:ind w:firstLine="1440"/>
        <w:jc w:val="left"/>
      </w:pPr>
    </w:p>
    <w:p w:rsidR="00290BC4" w:rsidRPr="007279D2" w:rsidRDefault="00290BC4" w:rsidP="00F07EF9">
      <w:pPr>
        <w:pStyle w:val="BodyText2"/>
        <w:spacing w:line="360" w:lineRule="auto"/>
        <w:ind w:firstLine="1440"/>
        <w:jc w:val="left"/>
      </w:pPr>
      <w:r w:rsidRPr="007279D2">
        <w:t xml:space="preserve">CAUSE-PA notes in paragraph 51 of the Settlement, Columbia agreed to withdraw its request for annual recovery of $50,000 associated with PA 2-1-1 Southwest through Rider USP for a three year pilot program, without prejudice to Columbia joining any Petition regarding 2-1-1 or to the Company renewing its request in a future proceeding. </w:t>
      </w:r>
      <w:r w:rsidR="004C7CAC">
        <w:t xml:space="preserve"> </w:t>
      </w:r>
      <w:r w:rsidRPr="007279D2">
        <w:t xml:space="preserve">In his testimony, Mr. Brady expressed concern about the proposed PA 2-1-1 pilot because of a lack of any detail on the part of Columbia of the nature of this pilot and how it would assist Columbia in providing incremental rather than duplicative services. </w:t>
      </w:r>
      <w:r w:rsidR="004C7CAC">
        <w:t xml:space="preserve"> </w:t>
      </w:r>
      <w:r w:rsidRPr="007279D2">
        <w:t>CAUSE-PA Statement No. 1</w:t>
      </w:r>
      <w:r w:rsidR="00F07EF9">
        <w:t>, pp. 15-16.</w:t>
      </w:r>
      <w:r w:rsidRPr="007279D2">
        <w:t xml:space="preserve">  CAUSE-PA asserts that it is in the public interest for Columbia to have withdrawn this proposed pilot. </w:t>
      </w:r>
      <w:r w:rsidR="004C7CAC">
        <w:t xml:space="preserve"> </w:t>
      </w:r>
      <w:r w:rsidRPr="007279D2">
        <w:t xml:space="preserve">There are statewide implications for the funding of 2-1-1 with universal service funds that should be explored prior to the approval of such a funding mechanism. </w:t>
      </w:r>
      <w:r w:rsidR="004C7CAC">
        <w:t xml:space="preserve"> </w:t>
      </w:r>
      <w:r w:rsidRPr="007279D2">
        <w:t xml:space="preserve">CAUSE-PA believes that this </w:t>
      </w:r>
      <w:r w:rsidRPr="007279D2">
        <w:lastRenderedPageBreak/>
        <w:t xml:space="preserve">matter is better handled in a statewide proceeding rather than in one utility’s base rate proceeding.  CAUSE-PA St. in Support, </w:t>
      </w:r>
      <w:r w:rsidR="004C7CAC">
        <w:t>p</w:t>
      </w:r>
      <w:r w:rsidRPr="007279D2">
        <w:t>p. 5-6.</w:t>
      </w:r>
    </w:p>
    <w:p w:rsidR="00BA5B2C" w:rsidRPr="007279D2" w:rsidRDefault="00BA5B2C" w:rsidP="00F07EF9">
      <w:pPr>
        <w:pStyle w:val="BodyText2"/>
        <w:spacing w:line="360" w:lineRule="auto"/>
        <w:ind w:left="1440" w:right="1440" w:firstLine="0"/>
        <w:jc w:val="left"/>
      </w:pPr>
    </w:p>
    <w:p w:rsidR="00290BC4" w:rsidRPr="007279D2" w:rsidRDefault="00290BC4" w:rsidP="005A6675">
      <w:pPr>
        <w:pStyle w:val="BodyText2"/>
        <w:spacing w:line="360" w:lineRule="auto"/>
        <w:ind w:firstLine="1440"/>
        <w:jc w:val="left"/>
      </w:pPr>
      <w:r w:rsidRPr="007279D2">
        <w:t xml:space="preserve">According to CAUSE-PA, in paragraph 52 of the Settlement, the parties accepted Columbia’s proposal to cancel its agreement with Citizens Energy Corporation and replace the proceeds of that transaction with $375,000 from an increase to its Universal Service Rider. </w:t>
      </w:r>
      <w:r w:rsidR="004C7CAC">
        <w:t xml:space="preserve"> </w:t>
      </w:r>
      <w:r w:rsidRPr="007279D2">
        <w:t xml:space="preserve">These funds will be used to supplement Company funds in Columbia’s fuel fund to assist payment troubled customers. </w:t>
      </w:r>
      <w:r w:rsidR="004C7CAC">
        <w:t xml:space="preserve"> </w:t>
      </w:r>
      <w:r w:rsidRPr="007279D2">
        <w:t>Giv</w:t>
      </w:r>
      <w:r w:rsidR="00507129">
        <w:t xml:space="preserve">en the economic vulnerabilities </w:t>
      </w:r>
      <w:r w:rsidRPr="007279D2">
        <w:t>of the low-income population as outlined in Mr. Brady’s direct testimony</w:t>
      </w:r>
      <w:r w:rsidR="00507129">
        <w:t>, CAUSE-PA supports this approach and submits that it is in the public interest</w:t>
      </w:r>
      <w:r w:rsidRPr="007279D2">
        <w:t>.</w:t>
      </w:r>
      <w:r w:rsidR="004C7CAC">
        <w:t xml:space="preserve"> </w:t>
      </w:r>
      <w:r w:rsidR="00507129">
        <w:t xml:space="preserve"> </w:t>
      </w:r>
      <w:r w:rsidRPr="007279D2">
        <w:t>CAUSE-PA Statement No. 1</w:t>
      </w:r>
      <w:r w:rsidR="00507129">
        <w:t xml:space="preserve">, pp. </w:t>
      </w:r>
      <w:r w:rsidRPr="007279D2">
        <w:t>4-5</w:t>
      </w:r>
      <w:r w:rsidR="00507129">
        <w:t>;</w:t>
      </w:r>
      <w:r w:rsidRPr="007279D2">
        <w:t xml:space="preserve"> CAUSE-PA St. in Support, p</w:t>
      </w:r>
      <w:r w:rsidR="00507129">
        <w:t>p</w:t>
      </w:r>
      <w:r w:rsidRPr="007279D2">
        <w:t>. 5</w:t>
      </w:r>
      <w:r w:rsidR="00507129">
        <w:t>-6</w:t>
      </w:r>
      <w:r w:rsidRPr="007279D2">
        <w:t>.</w:t>
      </w:r>
    </w:p>
    <w:p w:rsidR="00290BC4" w:rsidRPr="007279D2" w:rsidRDefault="00290BC4" w:rsidP="005A6675">
      <w:pPr>
        <w:pStyle w:val="BodyText2"/>
        <w:spacing w:line="360" w:lineRule="auto"/>
        <w:ind w:firstLine="1440"/>
        <w:jc w:val="left"/>
      </w:pPr>
    </w:p>
    <w:p w:rsidR="005A0D31" w:rsidRPr="007279D2" w:rsidRDefault="000C2CCE" w:rsidP="005A6675">
      <w:pPr>
        <w:spacing w:line="360" w:lineRule="auto"/>
        <w:rPr>
          <w:u w:val="single"/>
        </w:rPr>
      </w:pPr>
      <w:r w:rsidRPr="007279D2">
        <w:t>I</w:t>
      </w:r>
      <w:r w:rsidR="005A0D31" w:rsidRPr="007279D2">
        <w:t>.</w:t>
      </w:r>
      <w:r w:rsidR="005A0D31" w:rsidRPr="007279D2">
        <w:tab/>
      </w:r>
      <w:r w:rsidR="005A0D31" w:rsidRPr="007279D2">
        <w:rPr>
          <w:u w:val="single"/>
        </w:rPr>
        <w:t>Recommendation</w:t>
      </w:r>
    </w:p>
    <w:p w:rsidR="005A0D31" w:rsidRPr="007279D2" w:rsidRDefault="005A0D31" w:rsidP="005A6675">
      <w:pPr>
        <w:spacing w:line="360" w:lineRule="auto"/>
      </w:pPr>
    </w:p>
    <w:p w:rsidR="005A0D31" w:rsidRPr="007279D2" w:rsidRDefault="005A0D31" w:rsidP="005A6675">
      <w:pPr>
        <w:tabs>
          <w:tab w:val="left" w:pos="0"/>
        </w:tabs>
        <w:spacing w:line="360" w:lineRule="auto"/>
      </w:pPr>
      <w:r w:rsidRPr="007279D2">
        <w:tab/>
      </w:r>
      <w:r w:rsidRPr="007279D2">
        <w:tab/>
        <w:t xml:space="preserve">The Joint Petitioners in this proceeding represent many interests.  </w:t>
      </w:r>
      <w:r w:rsidR="00E2103D" w:rsidRPr="007279D2">
        <w:t xml:space="preserve">I&amp;E, </w:t>
      </w:r>
      <w:r w:rsidRPr="007279D2">
        <w:t xml:space="preserve">OCA and OSBA represent the public interest, the interests of residential customers and the interests of small business customers, respectively.  In addition, the Joint Petitioners include </w:t>
      </w:r>
      <w:r w:rsidR="00585BAB" w:rsidRPr="007279D2">
        <w:t>C</w:t>
      </w:r>
      <w:r w:rsidR="00873ED3" w:rsidRPr="007279D2">
        <w:t>II</w:t>
      </w:r>
      <w:r w:rsidR="00BB33BC">
        <w:t>,</w:t>
      </w:r>
      <w:r w:rsidR="006552C0" w:rsidRPr="007279D2">
        <w:rPr>
          <w:rStyle w:val="FootnoteReference"/>
        </w:rPr>
        <w:footnoteReference w:id="30"/>
      </w:r>
      <w:r w:rsidR="006552C0" w:rsidRPr="007279D2">
        <w:t xml:space="preserve"> CAUSE-PA, CAAP, NGS</w:t>
      </w:r>
      <w:r w:rsidR="00614796" w:rsidRPr="007279D2">
        <w:t>,</w:t>
      </w:r>
      <w:r w:rsidR="006552C0" w:rsidRPr="007279D2">
        <w:rPr>
          <w:rStyle w:val="FootnoteReference"/>
        </w:rPr>
        <w:footnoteReference w:id="31"/>
      </w:r>
      <w:r w:rsidR="00614796" w:rsidRPr="007279D2">
        <w:t xml:space="preserve"> and PSU.  </w:t>
      </w:r>
      <w:r w:rsidRPr="007279D2">
        <w:t xml:space="preserve">To reach a settlement of all issues with the aforementioned parties in such a base rate case is unusual.  It represents hours of negotiation and a great deal of cooperation.  The Settlement addresses, or takes off the table, every contested issue in this proceeding.  Because all of the diverse interests represented by the Joint Petitioners have been satisfied, the Settlement benefits </w:t>
      </w:r>
      <w:r w:rsidR="00E2103D" w:rsidRPr="007279D2">
        <w:t>Columbia’s</w:t>
      </w:r>
      <w:r w:rsidRPr="007279D2">
        <w:t xml:space="preserve"> customers.  It saves the parties and the Commission the time and expense of fully litigating this matter.  The parties have avoided the need to prepare for and participate in</w:t>
      </w:r>
      <w:r w:rsidR="00AC14B3" w:rsidRPr="007279D2">
        <w:t xml:space="preserve"> extensive, contentious </w:t>
      </w:r>
      <w:r w:rsidRPr="007279D2">
        <w:t xml:space="preserve">hearings, prepare briefs, reply briefs, exceptions, replies to exceptions and possible appellate litigation.  </w:t>
      </w:r>
      <w:r w:rsidR="00E2103D" w:rsidRPr="007279D2">
        <w:t>Columbia’s</w:t>
      </w:r>
      <w:r w:rsidR="00AC14B3" w:rsidRPr="007279D2">
        <w:t xml:space="preserve"> </w:t>
      </w:r>
      <w:r w:rsidRPr="007279D2">
        <w:t>customers benefit from this cost savings.</w:t>
      </w:r>
    </w:p>
    <w:p w:rsidR="005A0D31" w:rsidRPr="007279D2" w:rsidRDefault="005A0D31" w:rsidP="005A0D31">
      <w:pPr>
        <w:tabs>
          <w:tab w:val="left" w:pos="0"/>
        </w:tabs>
        <w:spacing w:line="360" w:lineRule="auto"/>
      </w:pPr>
    </w:p>
    <w:p w:rsidR="005A0D31" w:rsidRPr="007279D2" w:rsidRDefault="005A0D31" w:rsidP="005A0D31">
      <w:pPr>
        <w:tabs>
          <w:tab w:val="left" w:pos="0"/>
        </w:tabs>
        <w:spacing w:line="360" w:lineRule="auto"/>
      </w:pPr>
      <w:r w:rsidRPr="007279D2">
        <w:lastRenderedPageBreak/>
        <w:tab/>
      </w:r>
      <w:r w:rsidRPr="007279D2">
        <w:tab/>
        <w:t xml:space="preserve">The Joint Petition for Settlement was served on all non-signatory parties to this base rate case.  Objections to the proposed Settlement were to have been filed on or before 4:30 p.m. on </w:t>
      </w:r>
      <w:r w:rsidR="00AC14B3" w:rsidRPr="007279D2">
        <w:t xml:space="preserve">Monday, </w:t>
      </w:r>
      <w:r w:rsidR="00E2103D" w:rsidRPr="007279D2">
        <w:t>April 1, 2013</w:t>
      </w:r>
      <w:r w:rsidR="00AC14B3" w:rsidRPr="007279D2">
        <w:t xml:space="preserve">.  </w:t>
      </w:r>
      <w:r w:rsidRPr="007279D2">
        <w:t>No objections were filed.</w:t>
      </w:r>
    </w:p>
    <w:p w:rsidR="005A0D31" w:rsidRPr="007279D2" w:rsidRDefault="005A0D31" w:rsidP="005A0D31">
      <w:pPr>
        <w:spacing w:line="360" w:lineRule="auto"/>
      </w:pPr>
    </w:p>
    <w:p w:rsidR="005A0D31" w:rsidRPr="007279D2" w:rsidRDefault="005A0D31" w:rsidP="005A6675">
      <w:pPr>
        <w:spacing w:line="360" w:lineRule="auto"/>
      </w:pPr>
      <w:r w:rsidRPr="007279D2">
        <w:tab/>
      </w:r>
      <w:r w:rsidRPr="007279D2">
        <w:tab/>
        <w:t>Upon due consideration of the terms and conditions of the Joint Petition for Settlement, including the statements of the Joint Petitioners, this Settlement constitutes a fair, just and reasonable resolution of the Commission’s investigation.  Therefore, the Joint Petition for Settlement is in the public interest and should be approved.</w:t>
      </w:r>
    </w:p>
    <w:p w:rsidR="000F7CE1" w:rsidRPr="007279D2" w:rsidRDefault="000F7CE1" w:rsidP="005A6675">
      <w:pPr>
        <w:spacing w:line="360" w:lineRule="auto"/>
      </w:pPr>
    </w:p>
    <w:p w:rsidR="000F7CE1" w:rsidRPr="007279D2" w:rsidRDefault="000F7CE1" w:rsidP="005A6675">
      <w:pPr>
        <w:spacing w:line="360" w:lineRule="auto"/>
        <w:jc w:val="center"/>
      </w:pPr>
      <w:r w:rsidRPr="007279D2">
        <w:t>IV.</w:t>
      </w:r>
      <w:r w:rsidRPr="007279D2">
        <w:tab/>
      </w:r>
      <w:r w:rsidRPr="007279D2">
        <w:rPr>
          <w:u w:val="single"/>
        </w:rPr>
        <w:t>CONCLUSIONS OF LAW</w:t>
      </w:r>
    </w:p>
    <w:p w:rsidR="000F7CE1" w:rsidRPr="007279D2" w:rsidRDefault="000F7CE1" w:rsidP="005A6675">
      <w:pPr>
        <w:spacing w:line="360" w:lineRule="auto"/>
      </w:pPr>
    </w:p>
    <w:p w:rsidR="000F7CE1" w:rsidRPr="007279D2" w:rsidRDefault="000F7CE1" w:rsidP="005A6675">
      <w:pPr>
        <w:numPr>
          <w:ilvl w:val="0"/>
          <w:numId w:val="2"/>
        </w:numPr>
        <w:tabs>
          <w:tab w:val="clear" w:pos="720"/>
          <w:tab w:val="num" w:pos="0"/>
        </w:tabs>
        <w:spacing w:line="360" w:lineRule="auto"/>
        <w:ind w:left="0" w:firstLine="1440"/>
      </w:pPr>
      <w:r w:rsidRPr="007279D2">
        <w:t xml:space="preserve">The Commission has jurisdiction over the subject matter and the parties to this proceeding.  66 Pa. C.S. §§501, </w:t>
      </w:r>
      <w:r w:rsidRPr="007279D2">
        <w:rPr>
          <w:i/>
        </w:rPr>
        <w:t>et seq</w:t>
      </w:r>
      <w:r w:rsidRPr="007279D2">
        <w:t>.</w:t>
      </w:r>
    </w:p>
    <w:p w:rsidR="000F7CE1" w:rsidRPr="007279D2" w:rsidRDefault="000F7CE1" w:rsidP="000F7CE1">
      <w:pPr>
        <w:spacing w:line="360" w:lineRule="auto"/>
        <w:ind w:left="1440"/>
      </w:pPr>
    </w:p>
    <w:p w:rsidR="000F7CE1" w:rsidRPr="007279D2" w:rsidRDefault="000F7CE1" w:rsidP="00291135">
      <w:pPr>
        <w:numPr>
          <w:ilvl w:val="0"/>
          <w:numId w:val="2"/>
        </w:numPr>
        <w:tabs>
          <w:tab w:val="clear" w:pos="720"/>
          <w:tab w:val="num" w:pos="0"/>
        </w:tabs>
        <w:spacing w:line="360" w:lineRule="auto"/>
        <w:ind w:left="0" w:firstLine="1440"/>
      </w:pPr>
      <w:r w:rsidRPr="007279D2">
        <w:t xml:space="preserve">The Commission has jurisdiction to employ the concept of a </w:t>
      </w:r>
      <w:r w:rsidR="000E00D4">
        <w:t>f</w:t>
      </w:r>
      <w:r w:rsidRPr="007279D2">
        <w:t>ully</w:t>
      </w:r>
      <w:r w:rsidR="00D87CA7">
        <w:t>-</w:t>
      </w:r>
      <w:r w:rsidR="000E00D4">
        <w:t>p</w:t>
      </w:r>
      <w:r w:rsidRPr="007279D2">
        <w:t xml:space="preserve">rojected </w:t>
      </w:r>
      <w:r w:rsidR="000E00D4">
        <w:t>f</w:t>
      </w:r>
      <w:r w:rsidRPr="007279D2">
        <w:t xml:space="preserve">uture </w:t>
      </w:r>
      <w:r w:rsidR="000E00D4">
        <w:t>t</w:t>
      </w:r>
      <w:r w:rsidRPr="007279D2">
        <w:t xml:space="preserve">est </w:t>
      </w:r>
      <w:r w:rsidR="000E00D4">
        <w:t>y</w:t>
      </w:r>
      <w:r w:rsidRPr="007279D2">
        <w:t>ear (</w:t>
      </w:r>
      <w:r w:rsidR="00286364">
        <w:t>“</w:t>
      </w:r>
      <w:r w:rsidRPr="007279D2">
        <w:t>F</w:t>
      </w:r>
      <w:r w:rsidR="00BB33BC">
        <w:t>P</w:t>
      </w:r>
      <w:r w:rsidRPr="007279D2">
        <w:t>FTY</w:t>
      </w:r>
      <w:r w:rsidR="00286364">
        <w:t>”</w:t>
      </w:r>
      <w:r w:rsidRPr="007279D2">
        <w:t xml:space="preserve">) as authorized by Act 11 of 2012. </w:t>
      </w:r>
      <w:r w:rsidR="00BB33BC">
        <w:t xml:space="preserve"> </w:t>
      </w:r>
      <w:r w:rsidRPr="007279D2">
        <w:t>As amended under Act 11, Section 315 of the Public Utility Code allows a utility to project investment, and correspondingly include it in the utility’s claimed revenue requirement, through the twelve</w:t>
      </w:r>
      <w:r w:rsidR="002D5D2A">
        <w:t>-</w:t>
      </w:r>
      <w:r w:rsidRPr="007279D2">
        <w:t>month period beginning with the first month that the new ra</w:t>
      </w:r>
      <w:r w:rsidR="00BB33BC">
        <w:t xml:space="preserve">tes will be placed in effect.  </w:t>
      </w:r>
      <w:r w:rsidRPr="007279D2">
        <w:t>66 Pa. C.S. §§</w:t>
      </w:r>
      <w:r w:rsidR="008D1749">
        <w:t>315, 1350-1360.</w:t>
      </w:r>
      <w:r w:rsidRPr="007279D2">
        <w:t xml:space="preserve">  </w:t>
      </w:r>
    </w:p>
    <w:p w:rsidR="000F7CE1" w:rsidRPr="007279D2" w:rsidRDefault="000F7CE1" w:rsidP="000F7CE1">
      <w:pPr>
        <w:pStyle w:val="ListParagraph"/>
        <w:rPr>
          <w:sz w:val="24"/>
          <w:szCs w:val="24"/>
        </w:rPr>
      </w:pPr>
    </w:p>
    <w:p w:rsidR="000F7CE1" w:rsidRPr="007279D2" w:rsidRDefault="000F7CE1" w:rsidP="00291135">
      <w:pPr>
        <w:numPr>
          <w:ilvl w:val="0"/>
          <w:numId w:val="2"/>
        </w:numPr>
        <w:tabs>
          <w:tab w:val="clear" w:pos="720"/>
          <w:tab w:val="num" w:pos="0"/>
        </w:tabs>
        <w:spacing w:line="360" w:lineRule="auto"/>
        <w:ind w:left="0" w:firstLine="1440"/>
      </w:pPr>
      <w:r w:rsidRPr="007279D2">
        <w:t xml:space="preserve">The Joint Petition for Settlement is in the public interest and is consistent with the requirements contained in </w:t>
      </w:r>
      <w:r w:rsidRPr="007279D2">
        <w:rPr>
          <w:i/>
        </w:rPr>
        <w:t>Lloyd v. Pa. P.U.C.</w:t>
      </w:r>
      <w:r w:rsidRPr="007279D2">
        <w:t>, 904 A.2d 1010 (Pa. Cmwlth. 2006).</w:t>
      </w:r>
    </w:p>
    <w:p w:rsidR="003B02F6" w:rsidRPr="007279D2" w:rsidRDefault="003B02F6" w:rsidP="000F7CE1">
      <w:pPr>
        <w:spacing w:line="360" w:lineRule="auto"/>
      </w:pPr>
    </w:p>
    <w:p w:rsidR="002838BD" w:rsidRPr="007279D2" w:rsidRDefault="002838BD" w:rsidP="003B02F6">
      <w:pPr>
        <w:spacing w:line="360" w:lineRule="auto"/>
        <w:jc w:val="center"/>
      </w:pPr>
    </w:p>
    <w:p w:rsidR="005A6675" w:rsidRDefault="005A6675">
      <w:r>
        <w:br w:type="page"/>
      </w:r>
    </w:p>
    <w:p w:rsidR="000F7CE1" w:rsidRPr="007279D2" w:rsidRDefault="000F7CE1" w:rsidP="003B02F6">
      <w:pPr>
        <w:spacing w:line="360" w:lineRule="auto"/>
        <w:jc w:val="center"/>
      </w:pPr>
      <w:r w:rsidRPr="007279D2">
        <w:lastRenderedPageBreak/>
        <w:t>V.</w:t>
      </w:r>
      <w:r w:rsidRPr="007279D2">
        <w:tab/>
      </w:r>
      <w:r w:rsidRPr="007279D2">
        <w:rPr>
          <w:u w:val="single"/>
        </w:rPr>
        <w:t>ORDER</w:t>
      </w:r>
    </w:p>
    <w:p w:rsidR="000F7CE1" w:rsidRPr="007279D2" w:rsidRDefault="000F7CE1" w:rsidP="000F7CE1">
      <w:pPr>
        <w:spacing w:line="360" w:lineRule="auto"/>
      </w:pPr>
    </w:p>
    <w:p w:rsidR="002838BD" w:rsidRPr="007279D2" w:rsidRDefault="002838BD" w:rsidP="000F7CE1">
      <w:pPr>
        <w:spacing w:line="360" w:lineRule="auto"/>
      </w:pPr>
    </w:p>
    <w:p w:rsidR="000F7CE1" w:rsidRPr="007279D2" w:rsidRDefault="000F7CE1" w:rsidP="000F7CE1">
      <w:pPr>
        <w:spacing w:line="360" w:lineRule="auto"/>
      </w:pPr>
      <w:r w:rsidRPr="007279D2">
        <w:tab/>
      </w:r>
      <w:r w:rsidRPr="007279D2">
        <w:tab/>
        <w:t>THEREFORE,</w:t>
      </w:r>
    </w:p>
    <w:p w:rsidR="000F7CE1" w:rsidRPr="007279D2" w:rsidRDefault="000F7CE1" w:rsidP="000F7CE1">
      <w:pPr>
        <w:spacing w:line="360" w:lineRule="auto"/>
      </w:pPr>
    </w:p>
    <w:p w:rsidR="000F7CE1" w:rsidRPr="007279D2" w:rsidRDefault="000F7CE1" w:rsidP="000F7CE1">
      <w:pPr>
        <w:spacing w:line="360" w:lineRule="auto"/>
      </w:pPr>
      <w:r w:rsidRPr="007279D2">
        <w:tab/>
      </w:r>
      <w:r w:rsidRPr="007279D2">
        <w:tab/>
        <w:t>IT IS RECOMMENDED:</w:t>
      </w:r>
    </w:p>
    <w:p w:rsidR="000F7CE1" w:rsidRPr="007279D2" w:rsidRDefault="000F7CE1" w:rsidP="000F7CE1">
      <w:pPr>
        <w:spacing w:line="360" w:lineRule="auto"/>
      </w:pPr>
    </w:p>
    <w:p w:rsidR="000F7CE1" w:rsidRPr="007279D2" w:rsidRDefault="000F7CE1" w:rsidP="00291135">
      <w:pPr>
        <w:numPr>
          <w:ilvl w:val="0"/>
          <w:numId w:val="1"/>
        </w:numPr>
        <w:tabs>
          <w:tab w:val="clear" w:pos="720"/>
        </w:tabs>
        <w:spacing w:line="360" w:lineRule="auto"/>
        <w:ind w:left="0" w:firstLine="1440"/>
      </w:pPr>
      <w:r w:rsidRPr="007279D2">
        <w:t>That the Joint Petition for Settlement that the Bureau of Investigation and Enforcement of the Pennsylvania Public Utility Commission, th</w:t>
      </w:r>
      <w:r w:rsidR="002838BD" w:rsidRPr="007279D2">
        <w:t xml:space="preserve">e Office of Consumer Advocate, </w:t>
      </w:r>
      <w:r w:rsidRPr="007279D2">
        <w:t>the Offi</w:t>
      </w:r>
      <w:r w:rsidR="002838BD" w:rsidRPr="007279D2">
        <w:t xml:space="preserve">ce of Small Business Advocate, </w:t>
      </w:r>
      <w:r w:rsidRPr="007279D2">
        <w:t>Columbia Industrial Intervenors, Dominion Retail</w:t>
      </w:r>
      <w:r w:rsidR="002838BD" w:rsidRPr="007279D2">
        <w:t>, Inc., Shipley Energy Company,</w:t>
      </w:r>
      <w:r w:rsidRPr="007279D2">
        <w:t xml:space="preserve"> Interstate Gas Supply, Inc., the </w:t>
      </w:r>
      <w:r w:rsidR="002838BD" w:rsidRPr="007279D2">
        <w:t xml:space="preserve">Pennsylvania State University, </w:t>
      </w:r>
      <w:r w:rsidRPr="007279D2">
        <w:t>the Community Action Asso</w:t>
      </w:r>
      <w:r w:rsidR="002838BD" w:rsidRPr="007279D2">
        <w:t>ciation of Pennsylvania,</w:t>
      </w:r>
      <w:r w:rsidRPr="007279D2">
        <w:t xml:space="preserve"> the Coalition for Affordable Utility Services and Ene</w:t>
      </w:r>
      <w:r w:rsidR="002838BD" w:rsidRPr="007279D2">
        <w:t>rgy Efficiency in Pennsylvania,</w:t>
      </w:r>
      <w:r w:rsidRPr="007279D2">
        <w:t xml:space="preserve"> and Colu</w:t>
      </w:r>
      <w:r w:rsidR="002838BD" w:rsidRPr="007279D2">
        <w:t xml:space="preserve">mbia Gas of Pennsylvania, Inc. </w:t>
      </w:r>
      <w:r w:rsidRPr="007279D2">
        <w:t>have submitted at Docket Nos. R</w:t>
      </w:r>
      <w:r w:rsidRPr="007279D2">
        <w:noBreakHyphen/>
        <w:t>2012-2321748, M-2012-2323645, C-2012-</w:t>
      </w:r>
      <w:r w:rsidR="00BB33BC">
        <w:t>2330539</w:t>
      </w:r>
      <w:r w:rsidR="00B442D9">
        <w:t>, C-2012-2330240, and C</w:t>
      </w:r>
      <w:r w:rsidR="00B442D9">
        <w:noBreakHyphen/>
      </w:r>
      <w:r w:rsidRPr="007279D2">
        <w:t xml:space="preserve">2012-2334026, including all terms and conditions stated therein, be approved without modification.  </w:t>
      </w:r>
    </w:p>
    <w:p w:rsidR="000F7CE1" w:rsidRPr="007279D2" w:rsidRDefault="000F7CE1" w:rsidP="000F7CE1">
      <w:pPr>
        <w:spacing w:line="360" w:lineRule="auto"/>
        <w:ind w:firstLine="1440"/>
      </w:pPr>
    </w:p>
    <w:p w:rsidR="000F7CE1" w:rsidRPr="007279D2" w:rsidRDefault="000F7CE1" w:rsidP="00291135">
      <w:pPr>
        <w:numPr>
          <w:ilvl w:val="0"/>
          <w:numId w:val="1"/>
        </w:numPr>
        <w:tabs>
          <w:tab w:val="clear" w:pos="720"/>
          <w:tab w:val="num" w:pos="0"/>
        </w:tabs>
        <w:spacing w:line="360" w:lineRule="auto"/>
        <w:ind w:left="0" w:firstLine="1440"/>
      </w:pPr>
      <w:r w:rsidRPr="007279D2">
        <w:t>That Columbia Gas of Pennsylvania, Inc., shall be permitted to file a tariff supplement incorporating the terms of the Settlement and changes to rates, rules and regulations as set forth in Appendix C of the Joint Petition for Settlement, to become effective upon one day’s notice after entry of the Commission’s Order approving the Settlement, for service rendered on and after July 1, 2013, which tariff supplement increases Columbia Gas of Pennsylvania, Inc.’s rates so as to produce an annual increase in operating revenues of not more than $55,250,000 and permits Columbia Gas of Pennsylvania, Inc.’s Rider Universal Service Program to collect an additional amount of $500,000 for increased funding for the WarmWise® LIURP Low Income Usage Reduction Program.</w:t>
      </w:r>
    </w:p>
    <w:p w:rsidR="000F7CE1" w:rsidRPr="007279D2" w:rsidRDefault="000F7CE1" w:rsidP="000F7CE1">
      <w:pPr>
        <w:pStyle w:val="ListParagraph"/>
        <w:rPr>
          <w:sz w:val="24"/>
          <w:szCs w:val="24"/>
        </w:rPr>
      </w:pPr>
    </w:p>
    <w:p w:rsidR="000F7CE1" w:rsidRPr="007279D2" w:rsidRDefault="000F7CE1" w:rsidP="002838BD">
      <w:pPr>
        <w:pStyle w:val="ListNumber"/>
        <w:numPr>
          <w:ilvl w:val="0"/>
          <w:numId w:val="1"/>
        </w:numPr>
        <w:tabs>
          <w:tab w:val="clear" w:pos="720"/>
          <w:tab w:val="num" w:pos="0"/>
        </w:tabs>
        <w:spacing w:line="360" w:lineRule="auto"/>
        <w:ind w:left="0" w:firstLine="1440"/>
      </w:pPr>
      <w:r w:rsidRPr="007279D2">
        <w:t>That the following complaints consolidated with the Commission’s investigation at Docket No</w:t>
      </w:r>
      <w:r w:rsidR="00BB33BC">
        <w:t>s</w:t>
      </w:r>
      <w:r w:rsidRPr="007279D2">
        <w:t xml:space="preserve">. R-2012-2321748 and M-2012-2323645 be dismissed: </w:t>
      </w:r>
      <w:r w:rsidR="002838BD" w:rsidRPr="007279D2">
        <w:t xml:space="preserve"> </w:t>
      </w:r>
      <w:r w:rsidRPr="007279D2">
        <w:t xml:space="preserve">the Office of Small Business Advocate, </w:t>
      </w:r>
      <w:r w:rsidR="00BB33BC">
        <w:t xml:space="preserve">Docket No. </w:t>
      </w:r>
      <w:r w:rsidRPr="007279D2">
        <w:t>C-2012-233</w:t>
      </w:r>
      <w:r w:rsidR="00BB33BC">
        <w:t>0</w:t>
      </w:r>
      <w:r w:rsidRPr="007279D2">
        <w:t>5</w:t>
      </w:r>
      <w:r w:rsidR="00BB33BC">
        <w:t>39</w:t>
      </w:r>
      <w:r w:rsidRPr="007279D2">
        <w:t xml:space="preserve">; the Office of Consumer Advocate, </w:t>
      </w:r>
      <w:r w:rsidR="00BB33BC">
        <w:t xml:space="preserve">Docket No. </w:t>
      </w:r>
      <w:r w:rsidRPr="007279D2">
        <w:t xml:space="preserve">C-2012-2330240; </w:t>
      </w:r>
      <w:r w:rsidR="00053EFA">
        <w:t xml:space="preserve">Columbia Industrial Intervenors, Docket No. C-2012-2334026; </w:t>
      </w:r>
      <w:r w:rsidRPr="007279D2">
        <w:lastRenderedPageBreak/>
        <w:t>Michelle Swartz, Docket No. C-2012-2328788; Anastasia Stratigos, Docket No. C</w:t>
      </w:r>
      <w:r w:rsidR="002838BD" w:rsidRPr="007279D2">
        <w:noBreakHyphen/>
      </w:r>
      <w:r w:rsidRPr="007279D2">
        <w:t>2012-2330724; Louis and Joanne Quahliero, Docket No. C-2012-2332087; Angela Burnett, Docket No. C-2012-2332497; G. Thomas Smelt</w:t>
      </w:r>
      <w:r w:rsidR="00BB33BC">
        <w:t>zer, Docket No. C</w:t>
      </w:r>
      <w:r w:rsidR="005A6675">
        <w:noBreakHyphen/>
      </w:r>
      <w:r w:rsidRPr="007279D2">
        <w:t>2012-2333247; and Johanna Shigle, Docket No. C-2012-2336033.</w:t>
      </w:r>
    </w:p>
    <w:p w:rsidR="000F7CE1" w:rsidRPr="007279D2" w:rsidRDefault="000F7CE1" w:rsidP="002838BD">
      <w:pPr>
        <w:spacing w:line="360" w:lineRule="auto"/>
      </w:pPr>
    </w:p>
    <w:p w:rsidR="000F7CE1" w:rsidRPr="007279D2" w:rsidRDefault="000F7CE1" w:rsidP="002838BD">
      <w:pPr>
        <w:numPr>
          <w:ilvl w:val="0"/>
          <w:numId w:val="1"/>
        </w:numPr>
        <w:tabs>
          <w:tab w:val="clear" w:pos="720"/>
          <w:tab w:val="num" w:pos="0"/>
        </w:tabs>
        <w:spacing w:line="360" w:lineRule="auto"/>
        <w:ind w:left="0" w:firstLine="1440"/>
      </w:pPr>
      <w:r w:rsidRPr="007279D2">
        <w:t>That the Commission’s investigation at Docket No</w:t>
      </w:r>
      <w:r w:rsidR="00BB33BC">
        <w:t>s</w:t>
      </w:r>
      <w:r w:rsidRPr="007279D2">
        <w:t>. R-2012-2</w:t>
      </w:r>
      <w:r w:rsidR="00BB33BC">
        <w:t>321748</w:t>
      </w:r>
      <w:r w:rsidRPr="007279D2">
        <w:t xml:space="preserve"> and </w:t>
      </w:r>
      <w:r w:rsidR="00C90AD4">
        <w:t>M-2012-2323645</w:t>
      </w:r>
      <w:r w:rsidRPr="007279D2">
        <w:t xml:space="preserve"> be marked closed.</w:t>
      </w:r>
    </w:p>
    <w:p w:rsidR="007210F1" w:rsidRPr="007279D2" w:rsidRDefault="007210F1" w:rsidP="002838BD">
      <w:pPr>
        <w:spacing w:line="360" w:lineRule="auto"/>
        <w:ind w:left="1440"/>
      </w:pPr>
    </w:p>
    <w:p w:rsidR="002838BD" w:rsidRPr="007279D2" w:rsidRDefault="002838BD" w:rsidP="00595E5F"/>
    <w:p w:rsidR="007D64CA" w:rsidRPr="007279D2" w:rsidRDefault="00595E5F" w:rsidP="007D64CA">
      <w:pPr>
        <w:tabs>
          <w:tab w:val="left" w:pos="0"/>
        </w:tabs>
        <w:jc w:val="both"/>
        <w:rPr>
          <w:u w:val="single"/>
        </w:rPr>
      </w:pPr>
      <w:r w:rsidRPr="007279D2">
        <w:t xml:space="preserve">Date:  </w:t>
      </w:r>
      <w:r w:rsidR="003B02F6" w:rsidRPr="007279D2">
        <w:rPr>
          <w:u w:val="single"/>
        </w:rPr>
        <w:t xml:space="preserve">April </w:t>
      </w:r>
      <w:r w:rsidR="00BB33BC">
        <w:rPr>
          <w:u w:val="single"/>
        </w:rPr>
        <w:t>4</w:t>
      </w:r>
      <w:r w:rsidR="003B02F6" w:rsidRPr="007279D2">
        <w:rPr>
          <w:u w:val="single"/>
        </w:rPr>
        <w:t>, 2013</w:t>
      </w:r>
      <w:r w:rsidRPr="007279D2">
        <w:tab/>
      </w:r>
      <w:r w:rsidRPr="007279D2">
        <w:tab/>
      </w:r>
      <w:r w:rsidRPr="007279D2">
        <w:tab/>
      </w:r>
      <w:r w:rsidRPr="007279D2">
        <w:tab/>
      </w:r>
      <w:r w:rsidR="003B02F6" w:rsidRPr="007279D2">
        <w:tab/>
      </w:r>
      <w:r w:rsidR="007D64CA" w:rsidRPr="007279D2">
        <w:rPr>
          <w:u w:val="single"/>
        </w:rPr>
        <w:tab/>
      </w:r>
      <w:r w:rsidR="007D64CA" w:rsidRPr="007279D2">
        <w:rPr>
          <w:u w:val="single"/>
        </w:rPr>
        <w:tab/>
        <w:t>/s/</w:t>
      </w:r>
      <w:r w:rsidR="007D64CA" w:rsidRPr="007279D2">
        <w:rPr>
          <w:u w:val="single"/>
        </w:rPr>
        <w:tab/>
      </w:r>
      <w:r w:rsidR="007D64CA" w:rsidRPr="007279D2">
        <w:rPr>
          <w:u w:val="single"/>
        </w:rPr>
        <w:tab/>
      </w:r>
      <w:r w:rsidR="007D64CA" w:rsidRPr="007279D2">
        <w:rPr>
          <w:u w:val="single"/>
        </w:rPr>
        <w:tab/>
      </w:r>
    </w:p>
    <w:p w:rsidR="007D64CA" w:rsidRPr="007279D2" w:rsidRDefault="007D64CA" w:rsidP="007D64CA">
      <w:pPr>
        <w:tabs>
          <w:tab w:val="left" w:pos="0"/>
        </w:tabs>
        <w:jc w:val="both"/>
      </w:pPr>
      <w:r w:rsidRPr="007279D2">
        <w:tab/>
      </w:r>
      <w:r w:rsidRPr="007279D2">
        <w:tab/>
      </w:r>
      <w:r w:rsidRPr="007279D2">
        <w:tab/>
      </w:r>
      <w:r w:rsidRPr="007279D2">
        <w:tab/>
      </w:r>
      <w:r w:rsidRPr="007279D2">
        <w:tab/>
      </w:r>
      <w:r w:rsidRPr="007279D2">
        <w:tab/>
      </w:r>
      <w:r w:rsidRPr="007279D2">
        <w:tab/>
        <w:t>Jeffrey A. Watson</w:t>
      </w:r>
    </w:p>
    <w:p w:rsidR="00595E5F" w:rsidRPr="007279D2" w:rsidRDefault="00595E5F" w:rsidP="007D64CA">
      <w:r w:rsidRPr="007279D2">
        <w:tab/>
      </w:r>
      <w:r w:rsidRPr="007279D2">
        <w:tab/>
      </w:r>
      <w:r w:rsidRPr="007279D2">
        <w:tab/>
      </w:r>
      <w:r w:rsidRPr="007279D2">
        <w:tab/>
      </w:r>
      <w:r w:rsidRPr="007279D2">
        <w:tab/>
      </w:r>
      <w:r w:rsidRPr="007279D2">
        <w:tab/>
      </w:r>
      <w:r w:rsidRPr="007279D2">
        <w:tab/>
        <w:t>Administrative Law Judge</w:t>
      </w:r>
    </w:p>
    <w:p w:rsidR="00595E5F" w:rsidRPr="007279D2" w:rsidRDefault="00595E5F" w:rsidP="00595E5F"/>
    <w:p w:rsidR="00595E5F" w:rsidRPr="007279D2" w:rsidRDefault="00595E5F" w:rsidP="00595E5F"/>
    <w:p w:rsidR="007D64CA" w:rsidRPr="007279D2" w:rsidRDefault="00595E5F" w:rsidP="007D64CA">
      <w:pPr>
        <w:tabs>
          <w:tab w:val="left" w:pos="0"/>
        </w:tabs>
        <w:jc w:val="both"/>
        <w:rPr>
          <w:u w:val="single"/>
        </w:rPr>
      </w:pPr>
      <w:r w:rsidRPr="007279D2">
        <w:tab/>
      </w:r>
      <w:r w:rsidRPr="007279D2">
        <w:tab/>
      </w:r>
      <w:r w:rsidRPr="007279D2">
        <w:tab/>
      </w:r>
      <w:r w:rsidRPr="007279D2">
        <w:tab/>
      </w:r>
      <w:r w:rsidRPr="007279D2">
        <w:tab/>
      </w:r>
      <w:r w:rsidRPr="007279D2">
        <w:tab/>
      </w:r>
      <w:r w:rsidRPr="007279D2">
        <w:tab/>
      </w:r>
      <w:r w:rsidR="007D64CA" w:rsidRPr="007279D2">
        <w:rPr>
          <w:u w:val="single"/>
        </w:rPr>
        <w:tab/>
      </w:r>
      <w:r w:rsidR="007D64CA" w:rsidRPr="007279D2">
        <w:rPr>
          <w:u w:val="single"/>
        </w:rPr>
        <w:tab/>
        <w:t>/s/</w:t>
      </w:r>
      <w:r w:rsidR="007D64CA" w:rsidRPr="007279D2">
        <w:rPr>
          <w:u w:val="single"/>
        </w:rPr>
        <w:tab/>
      </w:r>
      <w:r w:rsidR="007D64CA" w:rsidRPr="007279D2">
        <w:rPr>
          <w:u w:val="single"/>
        </w:rPr>
        <w:tab/>
      </w:r>
      <w:r w:rsidR="007D64CA" w:rsidRPr="007279D2">
        <w:rPr>
          <w:u w:val="single"/>
        </w:rPr>
        <w:tab/>
      </w:r>
    </w:p>
    <w:p w:rsidR="007D64CA" w:rsidRPr="007279D2" w:rsidRDefault="007D64CA" w:rsidP="007D64CA">
      <w:pPr>
        <w:tabs>
          <w:tab w:val="left" w:pos="0"/>
        </w:tabs>
        <w:jc w:val="both"/>
      </w:pPr>
      <w:r w:rsidRPr="007279D2">
        <w:tab/>
      </w:r>
      <w:r w:rsidRPr="007279D2">
        <w:tab/>
      </w:r>
      <w:r w:rsidRPr="007279D2">
        <w:tab/>
      </w:r>
      <w:r w:rsidRPr="007279D2">
        <w:tab/>
      </w:r>
      <w:r w:rsidRPr="007279D2">
        <w:tab/>
      </w:r>
      <w:r w:rsidRPr="007279D2">
        <w:tab/>
      </w:r>
      <w:r w:rsidRPr="007279D2">
        <w:tab/>
        <w:t>Mark A. Hoyer</w:t>
      </w:r>
    </w:p>
    <w:p w:rsidR="00595E5F" w:rsidRPr="007279D2" w:rsidRDefault="00595E5F" w:rsidP="007D64CA">
      <w:r w:rsidRPr="007279D2">
        <w:tab/>
      </w:r>
      <w:r w:rsidRPr="007279D2">
        <w:tab/>
      </w:r>
      <w:r w:rsidRPr="007279D2">
        <w:tab/>
      </w:r>
      <w:r w:rsidRPr="007279D2">
        <w:tab/>
      </w:r>
      <w:r w:rsidRPr="007279D2">
        <w:tab/>
      </w:r>
      <w:r w:rsidRPr="007279D2">
        <w:tab/>
      </w:r>
      <w:r w:rsidRPr="007279D2">
        <w:tab/>
        <w:t>Administrative Law Judge</w:t>
      </w:r>
    </w:p>
    <w:p w:rsidR="00595E5F" w:rsidRPr="007279D2" w:rsidRDefault="00595E5F" w:rsidP="00595E5F"/>
    <w:sectPr w:rsidR="00595E5F" w:rsidRPr="007279D2" w:rsidSect="0038205B">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B7" w:rsidRDefault="00AB3AB7">
      <w:r>
        <w:separator/>
      </w:r>
    </w:p>
  </w:endnote>
  <w:endnote w:type="continuationSeparator" w:id="0">
    <w:p w:rsidR="00AB3AB7" w:rsidRDefault="00AB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D9" w:rsidRDefault="00B442D9" w:rsidP="00B1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2D9" w:rsidRDefault="00B44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703582"/>
      <w:docPartObj>
        <w:docPartGallery w:val="Page Numbers (Bottom of Page)"/>
        <w:docPartUnique/>
      </w:docPartObj>
    </w:sdtPr>
    <w:sdtEndPr>
      <w:rPr>
        <w:noProof/>
        <w:sz w:val="20"/>
        <w:szCs w:val="20"/>
      </w:rPr>
    </w:sdtEndPr>
    <w:sdtContent>
      <w:p w:rsidR="00B442D9" w:rsidRPr="00090FB1" w:rsidRDefault="00B442D9">
        <w:pPr>
          <w:pStyle w:val="Footer"/>
          <w:jc w:val="center"/>
          <w:rPr>
            <w:sz w:val="20"/>
            <w:szCs w:val="20"/>
          </w:rPr>
        </w:pPr>
        <w:r w:rsidRPr="00090FB1">
          <w:rPr>
            <w:sz w:val="20"/>
            <w:szCs w:val="20"/>
          </w:rPr>
          <w:fldChar w:fldCharType="begin"/>
        </w:r>
        <w:r w:rsidRPr="00090FB1">
          <w:rPr>
            <w:sz w:val="20"/>
            <w:szCs w:val="20"/>
          </w:rPr>
          <w:instrText xml:space="preserve"> PAGE   \* MERGEFORMAT </w:instrText>
        </w:r>
        <w:r w:rsidRPr="00090FB1">
          <w:rPr>
            <w:sz w:val="20"/>
            <w:szCs w:val="20"/>
          </w:rPr>
          <w:fldChar w:fldCharType="separate"/>
        </w:r>
        <w:r w:rsidR="003B0740">
          <w:rPr>
            <w:noProof/>
            <w:sz w:val="20"/>
            <w:szCs w:val="20"/>
          </w:rPr>
          <w:t>71</w:t>
        </w:r>
        <w:r w:rsidRPr="00090FB1">
          <w:rPr>
            <w:noProof/>
            <w:sz w:val="20"/>
            <w:szCs w:val="20"/>
          </w:rPr>
          <w:fldChar w:fldCharType="end"/>
        </w:r>
      </w:p>
    </w:sdtContent>
  </w:sdt>
  <w:p w:rsidR="00B442D9" w:rsidRDefault="00B442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D9" w:rsidRDefault="00B442D9" w:rsidP="00717DF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D9" w:rsidRPr="00F2188C" w:rsidRDefault="00B442D9" w:rsidP="00717DF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B7" w:rsidRDefault="00AB3AB7">
      <w:r>
        <w:separator/>
      </w:r>
    </w:p>
  </w:footnote>
  <w:footnote w:type="continuationSeparator" w:id="0">
    <w:p w:rsidR="00AB3AB7" w:rsidRDefault="00AB3AB7">
      <w:r>
        <w:continuationSeparator/>
      </w:r>
    </w:p>
  </w:footnote>
  <w:footnote w:id="1">
    <w:p w:rsidR="00B442D9" w:rsidRDefault="00B442D9" w:rsidP="00763093">
      <w:pPr>
        <w:pStyle w:val="FootnoteText"/>
        <w:ind w:firstLine="720"/>
      </w:pPr>
      <w:r>
        <w:rPr>
          <w:rStyle w:val="FootnoteReference"/>
        </w:rPr>
        <w:footnoteRef/>
      </w:r>
      <w:r>
        <w:t xml:space="preserve"> </w:t>
      </w:r>
      <w:r>
        <w:tab/>
        <w:t>66 Pa. C.S. §§315, 1350-1360.</w:t>
      </w:r>
    </w:p>
  </w:footnote>
  <w:footnote w:id="2">
    <w:p w:rsidR="00B442D9" w:rsidRDefault="00B442D9" w:rsidP="00FB131A">
      <w:pPr>
        <w:pStyle w:val="FootnoteText"/>
        <w:ind w:firstLine="720"/>
      </w:pPr>
      <w:r>
        <w:rPr>
          <w:rStyle w:val="FootnoteReference"/>
        </w:rPr>
        <w:footnoteRef/>
      </w:r>
      <w:r>
        <w:t xml:space="preserve"> </w:t>
      </w:r>
      <w:r>
        <w:tab/>
        <w:t xml:space="preserve">The public meeting of the Commission scheduled for June 20, 2013 has been rescheduled to June 13, 2013. </w:t>
      </w:r>
    </w:p>
  </w:footnote>
  <w:footnote w:id="3">
    <w:p w:rsidR="00B442D9" w:rsidRDefault="00B442D9" w:rsidP="00090FB1">
      <w:pPr>
        <w:pStyle w:val="FootnoteText"/>
        <w:ind w:firstLine="720"/>
      </w:pPr>
      <w:r w:rsidRPr="00706E9E">
        <w:rPr>
          <w:rStyle w:val="FootnoteReference"/>
        </w:rPr>
        <w:footnoteRef/>
      </w:r>
      <w:r w:rsidRPr="00706E9E">
        <w:t xml:space="preserve"> </w:t>
      </w:r>
      <w:r>
        <w:tab/>
        <w:t>CII’s members are Glen-Gery Corporation, Knouse Foods Cooperative, Inc., Harley Davidson Motor Company, Inc. and World Kitchen, LLC.</w:t>
      </w:r>
    </w:p>
    <w:p w:rsidR="00B442D9" w:rsidRDefault="00B442D9" w:rsidP="00090FB1">
      <w:pPr>
        <w:pStyle w:val="FootnoteText"/>
        <w:ind w:firstLine="720"/>
      </w:pPr>
    </w:p>
  </w:footnote>
  <w:footnote w:id="4">
    <w:p w:rsidR="00B442D9" w:rsidRPr="004C24F1" w:rsidRDefault="00B442D9" w:rsidP="00090FB1">
      <w:pPr>
        <w:pStyle w:val="FootnoteText"/>
        <w:ind w:firstLine="720"/>
      </w:pPr>
      <w:r w:rsidRPr="004C24F1">
        <w:rPr>
          <w:rStyle w:val="FootnoteReference"/>
        </w:rPr>
        <w:footnoteRef/>
      </w:r>
      <w:r w:rsidRPr="004C24F1">
        <w:t xml:space="preserve"> </w:t>
      </w:r>
      <w:r>
        <w:tab/>
        <w:t xml:space="preserve">In the Joint Petition for Settlement, the Parties who joined in the Petition aver that individual complainant Anastasia Stratigos has indicated that she does not oppose the Settlement and that since the inception of </w:t>
      </w:r>
      <w:r w:rsidRPr="004C24F1">
        <w:t xml:space="preserve">this </w:t>
      </w:r>
      <w:r>
        <w:t xml:space="preserve">proceeding, </w:t>
      </w:r>
      <w:r w:rsidRPr="004C24F1">
        <w:t xml:space="preserve">she has joined CAUSE-PA and </w:t>
      </w:r>
      <w:r>
        <w:t xml:space="preserve">supports its positions advanced </w:t>
      </w:r>
      <w:r w:rsidRPr="004C24F1">
        <w:t xml:space="preserve">in the case and </w:t>
      </w:r>
      <w:r>
        <w:t>CAUSE-PA’s</w:t>
      </w:r>
      <w:r w:rsidRPr="004C24F1">
        <w:t xml:space="preserve"> statement in support.</w:t>
      </w:r>
      <w:r>
        <w:t xml:space="preserve">  Anastasia Stratigos did not execute the Joint Petition or file a Petition to Withdraw her individual complaint.  A Notice of Entry of Appearance has not been filed on behalf of Anastasia Stratigos.  </w:t>
      </w:r>
    </w:p>
    <w:p w:rsidR="00B442D9" w:rsidRPr="004C24F1" w:rsidRDefault="00B442D9" w:rsidP="00090FB1">
      <w:pPr>
        <w:pStyle w:val="FootnoteText"/>
        <w:ind w:firstLine="720"/>
      </w:pPr>
    </w:p>
  </w:footnote>
  <w:footnote w:id="5">
    <w:p w:rsidR="00B442D9" w:rsidRDefault="00B442D9" w:rsidP="00090FB1">
      <w:pPr>
        <w:pStyle w:val="FootnoteText"/>
        <w:ind w:firstLine="720"/>
      </w:pPr>
      <w:r>
        <w:rPr>
          <w:rStyle w:val="FootnoteReference"/>
        </w:rPr>
        <w:footnoteRef/>
      </w:r>
      <w:r>
        <w:t xml:space="preserve"> </w:t>
      </w:r>
      <w:r>
        <w:tab/>
        <w:t>The only individual Complainant that appeared and participated at the Prehearing Conference was Anastasia Stratigos.</w:t>
      </w:r>
    </w:p>
  </w:footnote>
  <w:footnote w:id="6">
    <w:p w:rsidR="00B442D9" w:rsidRDefault="00B442D9" w:rsidP="00090FB1">
      <w:pPr>
        <w:pStyle w:val="FootnoteText"/>
        <w:ind w:firstLine="720"/>
      </w:pPr>
      <w:r>
        <w:rPr>
          <w:rStyle w:val="FootnoteReference"/>
        </w:rPr>
        <w:footnoteRef/>
      </w:r>
      <w:r>
        <w:t xml:space="preserve"> </w:t>
      </w:r>
      <w:r>
        <w:tab/>
        <w:t>See rebuttal testimony of Jeffrey T. Gore, Columbia Statement No. 104-R.</w:t>
      </w:r>
    </w:p>
    <w:p w:rsidR="00B442D9" w:rsidRDefault="00B442D9" w:rsidP="00090FB1">
      <w:pPr>
        <w:pStyle w:val="FootnoteText"/>
        <w:ind w:firstLine="720"/>
      </w:pPr>
    </w:p>
  </w:footnote>
  <w:footnote w:id="7">
    <w:p w:rsidR="00B442D9" w:rsidRDefault="00B442D9" w:rsidP="00090FB1">
      <w:pPr>
        <w:pStyle w:val="FootnoteText"/>
        <w:ind w:firstLine="720"/>
      </w:pPr>
      <w:r>
        <w:rPr>
          <w:rStyle w:val="FootnoteReference"/>
        </w:rPr>
        <w:footnoteRef/>
      </w:r>
      <w:r>
        <w:t xml:space="preserve"> </w:t>
      </w:r>
      <w:r>
        <w:tab/>
        <w:t xml:space="preserve">The hearing on February 13, 2013 was attended by counsel for Columbia, I&amp;E, OCA, OSBA, CII, IGS, PSU, CAAP, and CAUSE-PA. </w:t>
      </w:r>
    </w:p>
  </w:footnote>
  <w:footnote w:id="8">
    <w:p w:rsidR="00B442D9" w:rsidRDefault="00B442D9" w:rsidP="00FB131A">
      <w:pPr>
        <w:pStyle w:val="FootnoteText"/>
        <w:ind w:firstLine="720"/>
      </w:pPr>
      <w:r>
        <w:rPr>
          <w:rStyle w:val="FootnoteReference"/>
        </w:rPr>
        <w:footnoteRef/>
      </w:r>
      <w:r>
        <w:t xml:space="preserve"> </w:t>
      </w:r>
      <w:r>
        <w:tab/>
        <w:t>The signatory parties to the Joint Petition are as follows:  Columbia, I&amp;E, OCA, OSBA, CII, IGS, PSU, CAAP, and CAUSE-PA.  Hereafter, these parties may be collectively referred to as the “Joint Petitioners.”</w:t>
      </w:r>
    </w:p>
    <w:p w:rsidR="00B442D9" w:rsidRDefault="00B442D9" w:rsidP="00FB131A">
      <w:pPr>
        <w:pStyle w:val="FootnoteText"/>
        <w:ind w:firstLine="720"/>
      </w:pPr>
      <w:r>
        <w:t xml:space="preserve">    </w:t>
      </w:r>
    </w:p>
  </w:footnote>
  <w:footnote w:id="9">
    <w:p w:rsidR="00B442D9" w:rsidRDefault="00B442D9" w:rsidP="00FB131A">
      <w:pPr>
        <w:pStyle w:val="FootnoteText"/>
        <w:tabs>
          <w:tab w:val="left" w:pos="1440"/>
        </w:tabs>
        <w:ind w:firstLine="720"/>
      </w:pPr>
      <w:r>
        <w:rPr>
          <w:rStyle w:val="FootnoteReference"/>
        </w:rPr>
        <w:footnoteRef/>
      </w:r>
      <w:r>
        <w:t xml:space="preserve"> </w:t>
      </w:r>
      <w:r>
        <w:tab/>
        <w:t>The Joint Petition, including the appendices, is not attached to this Recommended Decision.</w:t>
      </w:r>
    </w:p>
    <w:p w:rsidR="00B442D9" w:rsidRDefault="00B442D9" w:rsidP="00FB131A">
      <w:pPr>
        <w:pStyle w:val="FootnoteText"/>
        <w:ind w:firstLine="720"/>
      </w:pPr>
    </w:p>
  </w:footnote>
  <w:footnote w:id="10">
    <w:p w:rsidR="00B442D9" w:rsidRDefault="00B442D9" w:rsidP="00FB131A">
      <w:pPr>
        <w:pStyle w:val="FootnoteText"/>
        <w:ind w:firstLine="720"/>
      </w:pPr>
      <w:r>
        <w:rPr>
          <w:rStyle w:val="FootnoteReference"/>
        </w:rPr>
        <w:footnoteRef/>
      </w:r>
      <w:r>
        <w:t xml:space="preserve"> </w:t>
      </w:r>
      <w:r>
        <w:tab/>
        <w:t>26 U.S.C.S. §263A.</w:t>
      </w:r>
    </w:p>
  </w:footnote>
  <w:footnote w:id="11">
    <w:p w:rsidR="00B442D9" w:rsidRDefault="00B442D9" w:rsidP="00FB131A">
      <w:pPr>
        <w:pStyle w:val="FootnoteText"/>
        <w:ind w:firstLine="720"/>
      </w:pPr>
      <w:r>
        <w:rPr>
          <w:rStyle w:val="FootnoteReference"/>
        </w:rPr>
        <w:footnoteRef/>
      </w:r>
      <w:r>
        <w:t xml:space="preserve"> </w:t>
      </w:r>
      <w:r>
        <w:tab/>
        <w:t xml:space="preserve">On March 14, 2013, the Commission adopted an Opinion and Order addressing the following two petitions filed by Columbia:  Petition of Columbia Gas of Pennsylvania, Inc. for Approval of its Long Term Infrastructure Improvement Plan at Docket No. P-2012-2338282 and Petition of Columbia Gas of Pennsylvania, Inc. for Approval of a Distribution System Improvement Charge at Docket No. P-2012-2338282.  Both Petitions were approved, consistent with the Order.  </w:t>
      </w:r>
    </w:p>
  </w:footnote>
  <w:footnote w:id="12">
    <w:p w:rsidR="00B442D9" w:rsidRDefault="00B442D9" w:rsidP="00C05F83">
      <w:pPr>
        <w:pStyle w:val="FootnoteText"/>
        <w:ind w:firstLine="720"/>
      </w:pPr>
      <w:r>
        <w:rPr>
          <w:rStyle w:val="FootnoteReference"/>
        </w:rPr>
        <w:footnoteRef/>
      </w:r>
      <w:r>
        <w:t xml:space="preserve"> </w:t>
      </w:r>
      <w:r>
        <w:tab/>
      </w:r>
      <w:r w:rsidRPr="00D26DE2">
        <w:t>This date is three days after the effective date set by the Commission in its November 28, 2012 suspension order, wherein the Commission suspended the effective date for Supplement No. 190 until June 27, 2013.</w:t>
      </w:r>
      <w:r>
        <w:t xml:space="preserve">  To simplify proration of bills, Columbia requests that new rates become effective July 1, 2013.  </w:t>
      </w:r>
      <w:r w:rsidRPr="00D26DE2">
        <w:t xml:space="preserve">  </w:t>
      </w:r>
    </w:p>
  </w:footnote>
  <w:footnote w:id="13">
    <w:p w:rsidR="00B442D9" w:rsidRDefault="00B442D9" w:rsidP="00FB131A">
      <w:pPr>
        <w:pStyle w:val="FootnoteText"/>
        <w:ind w:firstLine="720"/>
      </w:pPr>
      <w:r>
        <w:rPr>
          <w:rStyle w:val="FootnoteReference"/>
        </w:rPr>
        <w:footnoteRef/>
      </w:r>
      <w:r>
        <w:t xml:space="preserve"> </w:t>
      </w:r>
      <w:r>
        <w:tab/>
        <w:t>Columbia indicates the effective date set forth in the Settlement is three days after the effective date set by the Commission in its November 28, 2012 suspension order, wherein the Commission suspended the effective date for Supplement No. 190 until June 27, 2013.  To simplify proration of bills, Columbia requests that new rates become effective July 1, 2013.</w:t>
      </w:r>
    </w:p>
  </w:footnote>
  <w:footnote w:id="14">
    <w:p w:rsidR="00B442D9" w:rsidRPr="00901EBE" w:rsidRDefault="00B442D9" w:rsidP="00901EBE">
      <w:pPr>
        <w:pStyle w:val="FootnoteText"/>
        <w:ind w:firstLine="720"/>
      </w:pPr>
      <w:r w:rsidRPr="00901EBE">
        <w:rPr>
          <w:rStyle w:val="FootnoteReference"/>
        </w:rPr>
        <w:footnoteRef/>
      </w:r>
      <w:r w:rsidRPr="00901EBE">
        <w:t xml:space="preserve"> </w:t>
      </w:r>
      <w:r>
        <w:tab/>
      </w:r>
      <w:r w:rsidRPr="00901EBE">
        <w:rPr>
          <w:color w:val="333333"/>
        </w:rPr>
        <w:t xml:space="preserve">On Feb. 14, 2012, Governor Corbett signed </w:t>
      </w:r>
      <w:hyperlink r:id="rId1" w:tgtFrame="_blank" w:history="1">
        <w:r w:rsidRPr="00901EBE">
          <w:rPr>
            <w:b/>
            <w:bCs/>
            <w:color w:val="333333"/>
            <w:u w:val="single"/>
          </w:rPr>
          <w:t>Act 11 of 2012</w:t>
        </w:r>
      </w:hyperlink>
      <w:r w:rsidRPr="00901EBE">
        <w:rPr>
          <w:color w:val="333333"/>
        </w:rPr>
        <w:t xml:space="preserve"> amending Title 66 of the Pennsylvania Consolidated Statutes to allow jurisdictional water and wastewater utilities, natural gas distribution companies, city natural gas distribution operations, and electric distribution companies to petition the Commission for approval to implement a Distribution System Improvement Charge (DSIC). </w:t>
      </w:r>
      <w:r>
        <w:rPr>
          <w:color w:val="333333"/>
        </w:rPr>
        <w:t xml:space="preserve"> </w:t>
      </w:r>
      <w:r w:rsidRPr="00901EBE">
        <w:rPr>
          <w:color w:val="333333"/>
        </w:rPr>
        <w:t>The DSIC must be designed to provide for "the timely recovery of the reasonable and prudent costs incurred to repair, improve or replace eligible property in order to ensure and maintain adequate, efficient, safe, reliable and reasonable services."</w:t>
      </w:r>
      <w:r>
        <w:rPr>
          <w:color w:val="333333"/>
        </w:rPr>
        <w:t xml:space="preserve"> </w:t>
      </w:r>
      <w:r w:rsidRPr="00901EBE">
        <w:rPr>
          <w:color w:val="333333"/>
        </w:rPr>
        <w:t xml:space="preserve"> 66 Pa.</w:t>
      </w:r>
      <w:r>
        <w:rPr>
          <w:color w:val="333333"/>
        </w:rPr>
        <w:t xml:space="preserve"> </w:t>
      </w:r>
      <w:r w:rsidRPr="00901EBE">
        <w:rPr>
          <w:color w:val="333333"/>
        </w:rPr>
        <w:t>C.S. §1353(a).</w:t>
      </w:r>
    </w:p>
  </w:footnote>
  <w:footnote w:id="15">
    <w:p w:rsidR="00B442D9" w:rsidRPr="0072729B" w:rsidRDefault="00B442D9" w:rsidP="00901EBE">
      <w:pPr>
        <w:pStyle w:val="BodyText"/>
        <w:spacing w:after="0"/>
        <w:ind w:firstLine="720"/>
        <w:rPr>
          <w:sz w:val="20"/>
          <w:szCs w:val="20"/>
        </w:rPr>
      </w:pPr>
      <w:r w:rsidRPr="00901EBE">
        <w:rPr>
          <w:rStyle w:val="FootnoteReference"/>
          <w:sz w:val="20"/>
          <w:szCs w:val="20"/>
        </w:rPr>
        <w:footnoteRef/>
      </w:r>
      <w:r>
        <w:t xml:space="preserve"> </w:t>
      </w:r>
      <w:r>
        <w:tab/>
      </w:r>
      <w:r>
        <w:rPr>
          <w:sz w:val="20"/>
          <w:szCs w:val="20"/>
        </w:rPr>
        <w:t>Settlement ¶ 31</w:t>
      </w:r>
      <w:r w:rsidRPr="0072729B">
        <w:rPr>
          <w:sz w:val="20"/>
          <w:szCs w:val="20"/>
        </w:rPr>
        <w:t>(ii), regarding Blackhawk Storage provides, in part, that Columbia will be permitted to recover the amortization of costs related to “Continuation of the previously-approved 24.5 year amortization of the total amount of $398,865 to be included on books and in rate base as a regulatory asset to reflect the total original cost that began on October 28, 2008.</w:t>
      </w:r>
      <w:r>
        <w:rPr>
          <w:sz w:val="20"/>
          <w:szCs w:val="20"/>
        </w:rPr>
        <w:t>”</w:t>
      </w:r>
    </w:p>
    <w:p w:rsidR="00B442D9" w:rsidRPr="00AB3D12" w:rsidRDefault="00B442D9" w:rsidP="00901EBE">
      <w:pPr>
        <w:pStyle w:val="FootnoteText"/>
        <w:ind w:firstLine="720"/>
      </w:pPr>
    </w:p>
  </w:footnote>
  <w:footnote w:id="16">
    <w:p w:rsidR="00B442D9" w:rsidRDefault="00B442D9" w:rsidP="00901EBE">
      <w:pPr>
        <w:pStyle w:val="FootnoteText"/>
        <w:ind w:firstLine="720"/>
      </w:pPr>
      <w:r>
        <w:rPr>
          <w:rStyle w:val="FootnoteReference"/>
        </w:rPr>
        <w:footnoteRef/>
      </w:r>
      <w:r>
        <w:t xml:space="preserve"> </w:t>
      </w:r>
      <w:r>
        <w:tab/>
      </w:r>
      <w:r w:rsidRPr="00116851">
        <w:t>Settlement ¶ 31</w:t>
      </w:r>
      <w:r>
        <w:t>(iii) provides, in part, that Columbia will be permitted to recover the amortization of costs related to “Amortization of the unamortized portion of the $37,487,634 total tax credit per year for two years commencing July 1, 2013.”</w:t>
      </w:r>
    </w:p>
  </w:footnote>
  <w:footnote w:id="17">
    <w:p w:rsidR="00B442D9" w:rsidRPr="00A712D7" w:rsidRDefault="00B442D9" w:rsidP="00901EBE">
      <w:pPr>
        <w:pStyle w:val="FootnoteText"/>
        <w:ind w:firstLine="720"/>
      </w:pPr>
      <w:r>
        <w:rPr>
          <w:rStyle w:val="FootnoteReference"/>
        </w:rPr>
        <w:footnoteRef/>
      </w:r>
      <w:r>
        <w:t xml:space="preserve"> </w:t>
      </w:r>
      <w:r>
        <w:tab/>
      </w:r>
      <w:r w:rsidRPr="00A712D7">
        <w:t>Settlement ¶ 31</w:t>
      </w:r>
      <w:r>
        <w:t xml:space="preserve">(i) provides that Columbia will be permitted to recover the amortization costs related to the “Amortization of non-Company labor start-up costs of the new financial software of $1,738,714, over a four-year period commencing with the effective date of rates in this proceeding.”  </w:t>
      </w:r>
    </w:p>
  </w:footnote>
  <w:footnote w:id="18">
    <w:p w:rsidR="00B442D9" w:rsidRDefault="00B442D9" w:rsidP="00901EBE">
      <w:pPr>
        <w:pStyle w:val="FootnoteText"/>
        <w:ind w:firstLine="720"/>
      </w:pPr>
      <w:r>
        <w:rPr>
          <w:rStyle w:val="FootnoteReference"/>
        </w:rPr>
        <w:footnoteRef/>
      </w:r>
      <w:r>
        <w:t xml:space="preserve"> </w:t>
      </w:r>
      <w:r>
        <w:tab/>
      </w:r>
      <w:r w:rsidRPr="00874D82">
        <w:t>Settlement ¶ 31</w:t>
      </w:r>
      <w:r>
        <w:t>(v) provides, in part, Columbia will be permitted to recover the amortization of costs related to the CPA OPEB Deferral Passback and indicates “Rates reflect the two-year amortization of the pre-July 1, 2013 deferred OPEB amounts totaling $607,393.”</w:t>
      </w:r>
    </w:p>
  </w:footnote>
  <w:footnote w:id="19">
    <w:p w:rsidR="00B442D9" w:rsidRPr="00FD6535" w:rsidRDefault="00B442D9" w:rsidP="008E1CB6">
      <w:pPr>
        <w:pStyle w:val="FootnoteText"/>
        <w:ind w:firstLine="720"/>
      </w:pPr>
      <w:r w:rsidRPr="00FD6535">
        <w:rPr>
          <w:rStyle w:val="FootnoteReference"/>
        </w:rPr>
        <w:footnoteRef/>
      </w:r>
      <w:r w:rsidRPr="00FD6535">
        <w:t xml:space="preserve"> </w:t>
      </w:r>
      <w:r>
        <w:tab/>
      </w:r>
      <w:r w:rsidRPr="00FD6535">
        <w:t xml:space="preserve">As </w:t>
      </w:r>
      <w:r>
        <w:t xml:space="preserve">part of the partial settlement in the last case, Columbia has implemented therm billing, and thus the usage allowance is 21 therms and the usage based distribution rate over the allowance is $0.267 per therm.  </w:t>
      </w:r>
    </w:p>
  </w:footnote>
  <w:footnote w:id="20">
    <w:p w:rsidR="00B442D9" w:rsidRDefault="00B442D9" w:rsidP="002A4479">
      <w:pPr>
        <w:pStyle w:val="FootnoteText"/>
        <w:ind w:firstLine="720"/>
      </w:pPr>
      <w:r w:rsidRPr="00815511">
        <w:rPr>
          <w:rStyle w:val="FootnoteReference"/>
        </w:rPr>
        <w:footnoteRef/>
      </w:r>
      <w:r w:rsidRPr="00815511">
        <w:t xml:space="preserve"> </w:t>
      </w:r>
      <w:r>
        <w:tab/>
      </w:r>
      <w:r w:rsidRPr="00815511">
        <w:t>The months of June, July,</w:t>
      </w:r>
      <w:r w:rsidRPr="00E9753F">
        <w:t xml:space="preserve"> August and September have been excluded from the WNA adjustment because historical data shows that no significant weather v</w:t>
      </w:r>
      <w:r>
        <w:t xml:space="preserve">ariation occurs these months.  </w:t>
      </w:r>
      <w:r w:rsidRPr="00E9753F">
        <w:t>Columbia</w:t>
      </w:r>
      <w:r>
        <w:t xml:space="preserve"> </w:t>
      </w:r>
      <w:r w:rsidRPr="00E9753F">
        <w:t>Statement</w:t>
      </w:r>
      <w:r>
        <w:t xml:space="preserve"> No. 15, p. 26.</w:t>
      </w:r>
    </w:p>
    <w:p w:rsidR="00B442D9" w:rsidRPr="00E9753F" w:rsidRDefault="00B442D9" w:rsidP="002A4479">
      <w:pPr>
        <w:pStyle w:val="FootnoteText"/>
        <w:ind w:firstLine="720"/>
      </w:pPr>
    </w:p>
  </w:footnote>
  <w:footnote w:id="21">
    <w:p w:rsidR="00B442D9" w:rsidRDefault="00B442D9" w:rsidP="002A4479">
      <w:pPr>
        <w:pStyle w:val="FootnoteText"/>
        <w:ind w:firstLine="720"/>
      </w:pPr>
      <w:r w:rsidRPr="00E9753F">
        <w:rPr>
          <w:rStyle w:val="FootnoteReference"/>
        </w:rPr>
        <w:footnoteRef/>
      </w:r>
      <w:r w:rsidRPr="00E9753F">
        <w:t xml:space="preserve"> </w:t>
      </w:r>
      <w:r>
        <w:tab/>
        <w:t>WNA normal weather will be defined using 20 years to be consistent with the fully-forecasted rate year presented by Columbia witness Amy Efland.  Columbia Statement No. 15, p. 28.</w:t>
      </w:r>
    </w:p>
    <w:p w:rsidR="00B442D9" w:rsidRPr="00E9753F" w:rsidRDefault="00B442D9" w:rsidP="002A4479">
      <w:pPr>
        <w:pStyle w:val="FootnoteText"/>
        <w:ind w:firstLine="720"/>
      </w:pPr>
    </w:p>
  </w:footnote>
  <w:footnote w:id="22">
    <w:p w:rsidR="00B442D9" w:rsidRPr="00E9753F" w:rsidRDefault="00B442D9" w:rsidP="002A4479">
      <w:pPr>
        <w:pStyle w:val="FootnoteText"/>
        <w:ind w:firstLine="720"/>
      </w:pPr>
      <w:r w:rsidRPr="00E9753F">
        <w:rPr>
          <w:rStyle w:val="FootnoteReference"/>
        </w:rPr>
        <w:footnoteRef/>
      </w:r>
      <w:r w:rsidRPr="00E9753F">
        <w:t xml:space="preserve"> </w:t>
      </w:r>
      <w:r>
        <w:tab/>
        <w:t xml:space="preserve">In addition, under the Settlement, </w:t>
      </w:r>
      <w:r w:rsidRPr="00E9753F">
        <w:t xml:space="preserve">Columbia </w:t>
      </w:r>
      <w:r>
        <w:t xml:space="preserve">has agreed to </w:t>
      </w:r>
      <w:r w:rsidRPr="00E9753F">
        <w:t>withdraw its proposal to change the term “customer charge” to “system charge” and use “customer charge” in all customer communications, including, but not limited to, its web</w:t>
      </w:r>
      <w:r>
        <w:t>site, bills and bill inserts.  Settlement ¶ 42.</w:t>
      </w:r>
    </w:p>
  </w:footnote>
  <w:footnote w:id="23">
    <w:p w:rsidR="00B442D9" w:rsidRPr="00333ABB" w:rsidRDefault="00B442D9" w:rsidP="002A4479">
      <w:pPr>
        <w:pStyle w:val="FootnoteText"/>
        <w:ind w:firstLine="720"/>
      </w:pPr>
      <w:r w:rsidRPr="00333ABB">
        <w:rPr>
          <w:rStyle w:val="FootnoteReference"/>
        </w:rPr>
        <w:footnoteRef/>
      </w:r>
      <w:r w:rsidRPr="00333ABB">
        <w:t xml:space="preserve"> </w:t>
      </w:r>
      <w:r>
        <w:tab/>
      </w:r>
      <w:r w:rsidRPr="00333ABB">
        <w:t xml:space="preserve">I&amp;E does not tabulate the sum of its adjustments in testimony. </w:t>
      </w:r>
      <w:r>
        <w:t xml:space="preserve"> For record support of I&amp;E’s litigation position with respect to overall revenue requirement, the following record sources apply:  I&amp;E Statement No. 1, p. 5 (Rate of Return); I&amp;E Statement No. 2, pp. 3-4 (Revenue and Expense; Rate Base); and I&amp;E Statement No. 4, p. 5 (Expense Claim).</w:t>
      </w:r>
      <w:r w:rsidRPr="00333ABB">
        <w:t xml:space="preserve"> </w:t>
      </w:r>
    </w:p>
  </w:footnote>
  <w:footnote w:id="24">
    <w:p w:rsidR="00B442D9" w:rsidRPr="009175BF" w:rsidRDefault="00B442D9" w:rsidP="006474E6">
      <w:pPr>
        <w:pStyle w:val="FootnoteText"/>
        <w:ind w:firstLine="720"/>
        <w:jc w:val="both"/>
      </w:pPr>
      <w:r w:rsidRPr="009175BF">
        <w:rPr>
          <w:rStyle w:val="FootnoteReference"/>
        </w:rPr>
        <w:footnoteRef/>
      </w:r>
      <w:r>
        <w:t xml:space="preserve"> </w:t>
      </w:r>
      <w:r>
        <w:tab/>
      </w:r>
      <w:r w:rsidRPr="0050719F">
        <w:t>66 Pa. C.S. §§308, 315, 1307, 1350-1360.</w:t>
      </w:r>
    </w:p>
  </w:footnote>
  <w:footnote w:id="25">
    <w:p w:rsidR="00B442D9" w:rsidRDefault="00B442D9" w:rsidP="0062415D">
      <w:pPr>
        <w:pStyle w:val="FootnoteText"/>
        <w:ind w:firstLine="720"/>
        <w:jc w:val="both"/>
      </w:pPr>
      <w:r w:rsidRPr="003D7DF0">
        <w:rPr>
          <w:rStyle w:val="FootnoteReference"/>
        </w:rPr>
        <w:footnoteRef/>
      </w:r>
      <w:r w:rsidRPr="003D7DF0">
        <w:t xml:space="preserve"> </w:t>
      </w:r>
      <w:r>
        <w:tab/>
      </w:r>
      <w:r>
        <w:rPr>
          <w:i/>
        </w:rPr>
        <w:t>Pa. P.U.C. v. Columbia Gas of Pennsylvania, Inc., et al.</w:t>
      </w:r>
      <w:r>
        <w:t>, 293 P.U.R. 4</w:t>
      </w:r>
      <w:r w:rsidRPr="00A43E53">
        <w:rPr>
          <w:vertAlign w:val="superscript"/>
        </w:rPr>
        <w:t>th</w:t>
      </w:r>
      <w:r>
        <w:t xml:space="preserve"> 235, 2011 WL 5026079 (Pa. P.U.C.) (“</w:t>
      </w:r>
      <w:r>
        <w:rPr>
          <w:i/>
        </w:rPr>
        <w:t xml:space="preserve">Columbia Gas </w:t>
      </w:r>
      <w:r w:rsidRPr="00E05255">
        <w:rPr>
          <w:i/>
        </w:rPr>
        <w:t>2011</w:t>
      </w:r>
      <w:r>
        <w:t>”), pp. 15-18.</w:t>
      </w:r>
    </w:p>
    <w:p w:rsidR="00B442D9" w:rsidRPr="00A43E53" w:rsidRDefault="00B442D9" w:rsidP="00A77698">
      <w:pPr>
        <w:pStyle w:val="FootnoteText"/>
        <w:jc w:val="both"/>
      </w:pPr>
    </w:p>
  </w:footnote>
  <w:footnote w:id="26">
    <w:p w:rsidR="00B442D9" w:rsidRPr="00F134D1" w:rsidRDefault="00B442D9" w:rsidP="002A4479">
      <w:pPr>
        <w:ind w:firstLine="720"/>
        <w:contextualSpacing/>
        <w:rPr>
          <w:sz w:val="20"/>
          <w:szCs w:val="20"/>
        </w:rPr>
      </w:pPr>
      <w:r>
        <w:rPr>
          <w:rStyle w:val="FootnoteReference"/>
        </w:rPr>
        <w:footnoteRef/>
      </w:r>
      <w:r>
        <w:t xml:space="preserve"> </w:t>
      </w:r>
      <w:r>
        <w:tab/>
      </w:r>
      <w:r w:rsidRPr="00F134D1">
        <w:rPr>
          <w:sz w:val="20"/>
          <w:szCs w:val="20"/>
        </w:rPr>
        <w:t xml:space="preserve">In Columbia Gas 2011 WL 5026079 at 28, the Commission stated “Given the lack of alternatives presented for our consideration in this proceeding, the decision made today is applicable only to this proceeding and should not be considered as precedential. </w:t>
      </w:r>
      <w:r>
        <w:rPr>
          <w:sz w:val="20"/>
          <w:szCs w:val="20"/>
        </w:rPr>
        <w:t xml:space="preserve"> </w:t>
      </w:r>
      <w:r w:rsidRPr="00F134D1">
        <w:rPr>
          <w:sz w:val="20"/>
          <w:szCs w:val="20"/>
        </w:rPr>
        <w:t xml:space="preserve">Going forward, we encourage parties to present viable alternative rate mechanisms for our consideration that may more optimally balance the needs of consumers and utilities in delivering reliable natural gas safely, and at the lowest, long term costs. Merely increasing customer charges, as OCA noted, may have long term implications in dampening incentives for energy efficiency investments – which will cause long term costs to increase.” </w:t>
      </w:r>
    </w:p>
    <w:p w:rsidR="00B442D9" w:rsidRDefault="00B442D9" w:rsidP="002A4479">
      <w:pPr>
        <w:ind w:firstLine="720"/>
        <w:contextualSpacing/>
        <w:rPr>
          <w:sz w:val="26"/>
          <w:szCs w:val="26"/>
        </w:rPr>
      </w:pPr>
    </w:p>
    <w:p w:rsidR="00B442D9" w:rsidRDefault="00B442D9" w:rsidP="0062415D">
      <w:pPr>
        <w:pStyle w:val="FootnoteText"/>
        <w:ind w:firstLine="720"/>
      </w:pPr>
    </w:p>
  </w:footnote>
  <w:footnote w:id="27">
    <w:p w:rsidR="00B442D9" w:rsidRDefault="00B442D9" w:rsidP="007B68A8">
      <w:pPr>
        <w:pStyle w:val="FootnoteText"/>
        <w:ind w:firstLine="720"/>
      </w:pPr>
      <w:r>
        <w:rPr>
          <w:rStyle w:val="FootnoteReference"/>
        </w:rPr>
        <w:footnoteRef/>
      </w:r>
      <w:r>
        <w:t xml:space="preserve"> </w:t>
      </w:r>
      <w:r>
        <w:tab/>
        <w:t>The Settlement at paragraph 53 provides “The Joint Petitioners agree that Columbia will withdraw its proposed New Area Service (“NAS”) pilot rider in this proceeding.  The Joint Petitioners agree to enter into an informal collaborative with Columbia to attempt to develop a program to extend service to new areas.  If, after pursuing the collaborative, Columbia believes that an agreement cannot be achieved, Columbia retains the right to file a tariff supplement proposing changes to its tariff to expand the availability of natural gas service in its certificated service area, and all the Joint Petitioners reserve their rights to pursue their respective positions in litigation.”</w:t>
      </w:r>
    </w:p>
  </w:footnote>
  <w:footnote w:id="28">
    <w:p w:rsidR="00B442D9" w:rsidRDefault="00B442D9" w:rsidP="00814E10">
      <w:pPr>
        <w:pStyle w:val="FootnoteText"/>
        <w:ind w:firstLine="720"/>
      </w:pPr>
      <w:r>
        <w:rPr>
          <w:rStyle w:val="FootnoteReference"/>
        </w:rPr>
        <w:footnoteRef/>
      </w:r>
      <w:r>
        <w:t xml:space="preserve"> </w:t>
      </w:r>
      <w:r>
        <w:tab/>
        <w:t>The 2016 requirement may be affected by the Commission’s order in the first rate case filed after May 31, 2016.</w:t>
      </w:r>
    </w:p>
  </w:footnote>
  <w:footnote w:id="29">
    <w:p w:rsidR="00B442D9" w:rsidRDefault="00B442D9" w:rsidP="00BA5B2C">
      <w:pPr>
        <w:pStyle w:val="FootnoteText"/>
        <w:ind w:firstLine="720"/>
      </w:pPr>
      <w:r>
        <w:rPr>
          <w:rStyle w:val="FootnoteReference"/>
        </w:rPr>
        <w:footnoteRef/>
      </w:r>
      <w:r>
        <w:t xml:space="preserve">  </w:t>
      </w:r>
      <w:r>
        <w:tab/>
        <w:t>OSBA Statement No. 1, Direct Testimony of Robert D. Knecht, p. 2.</w:t>
      </w:r>
    </w:p>
    <w:p w:rsidR="00B442D9" w:rsidRDefault="00B442D9" w:rsidP="004D7EE2">
      <w:pPr>
        <w:pStyle w:val="FootnoteText"/>
      </w:pPr>
    </w:p>
  </w:footnote>
  <w:footnote w:id="30">
    <w:p w:rsidR="00B442D9" w:rsidRDefault="00B442D9" w:rsidP="000C2CCE">
      <w:pPr>
        <w:pStyle w:val="FootnoteText"/>
        <w:ind w:firstLine="720"/>
      </w:pPr>
      <w:r>
        <w:rPr>
          <w:rStyle w:val="FootnoteReference"/>
        </w:rPr>
        <w:footnoteRef/>
      </w:r>
      <w:r>
        <w:t xml:space="preserve"> </w:t>
      </w:r>
      <w:r>
        <w:tab/>
        <w:t>CII’s members are Glen-Gery Corporation, Knouse Foods Cooperative, Inc., Harley Davidson Motor Company, Inc. and World Kitchen, LLC.</w:t>
      </w:r>
    </w:p>
    <w:p w:rsidR="00B442D9" w:rsidRDefault="00B442D9" w:rsidP="000C2CCE">
      <w:pPr>
        <w:pStyle w:val="FootnoteText"/>
        <w:ind w:firstLine="720"/>
      </w:pPr>
    </w:p>
  </w:footnote>
  <w:footnote w:id="31">
    <w:p w:rsidR="00B442D9" w:rsidRDefault="00B442D9" w:rsidP="000C2CCE">
      <w:pPr>
        <w:pStyle w:val="FootnoteText"/>
        <w:ind w:firstLine="720"/>
      </w:pPr>
      <w:r>
        <w:rPr>
          <w:rStyle w:val="FootnoteReference"/>
        </w:rPr>
        <w:footnoteRef/>
      </w:r>
      <w:r>
        <w:t xml:space="preserve">  </w:t>
      </w:r>
      <w:r>
        <w:tab/>
        <w:t>Dominion Retail, Inc., Shipley Energy Company, Interstate Gas Supply, Inc. (“IGS”) are collectively referred to as “NGS.”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341540"/>
    <w:lvl w:ilvl="0">
      <w:start w:val="1"/>
      <w:numFmt w:val="decimal"/>
      <w:pStyle w:val="ListNumber"/>
      <w:lvlText w:val="%1."/>
      <w:lvlJc w:val="left"/>
      <w:pPr>
        <w:tabs>
          <w:tab w:val="num" w:pos="450"/>
        </w:tabs>
        <w:ind w:left="450" w:hanging="360"/>
      </w:pPr>
    </w:lvl>
  </w:abstractNum>
  <w:abstractNum w:abstractNumId="1">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AB03060"/>
    <w:multiLevelType w:val="hybridMultilevel"/>
    <w:tmpl w:val="14A8EE68"/>
    <w:lvl w:ilvl="0" w:tplc="D1AEA0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01D6AEB"/>
    <w:multiLevelType w:val="hybridMultilevel"/>
    <w:tmpl w:val="62221C38"/>
    <w:lvl w:ilvl="0" w:tplc="0116ED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35851F4"/>
    <w:multiLevelType w:val="hybridMultilevel"/>
    <w:tmpl w:val="2A902A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B51DD"/>
    <w:multiLevelType w:val="hybridMultilevel"/>
    <w:tmpl w:val="E39A20DE"/>
    <w:lvl w:ilvl="0" w:tplc="098EF4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A31486"/>
    <w:multiLevelType w:val="hybridMultilevel"/>
    <w:tmpl w:val="57908326"/>
    <w:lvl w:ilvl="0" w:tplc="C02019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16C390F"/>
    <w:multiLevelType w:val="hybridMultilevel"/>
    <w:tmpl w:val="9B70BD2A"/>
    <w:lvl w:ilvl="0" w:tplc="5AAE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F344CB"/>
    <w:multiLevelType w:val="hybridMultilevel"/>
    <w:tmpl w:val="435689D4"/>
    <w:lvl w:ilvl="0" w:tplc="2954CE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CBF36B0"/>
    <w:multiLevelType w:val="hybridMultilevel"/>
    <w:tmpl w:val="55C613A2"/>
    <w:lvl w:ilvl="0" w:tplc="1388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A642A5"/>
    <w:multiLevelType w:val="hybridMultilevel"/>
    <w:tmpl w:val="47CE2B20"/>
    <w:lvl w:ilvl="0" w:tplc="F38E4C84">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E690692"/>
    <w:multiLevelType w:val="hybridMultilevel"/>
    <w:tmpl w:val="17F0B734"/>
    <w:lvl w:ilvl="0" w:tplc="10F6EA7C">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AF5364"/>
    <w:multiLevelType w:val="hybridMultilevel"/>
    <w:tmpl w:val="E0385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AD7537"/>
    <w:multiLevelType w:val="hybridMultilevel"/>
    <w:tmpl w:val="B7EA410A"/>
    <w:lvl w:ilvl="0" w:tplc="2D8CA3FE">
      <w:start w:val="1"/>
      <w:numFmt w:val="decimal"/>
      <w:lvlText w:val="%1."/>
      <w:lvlJc w:val="left"/>
      <w:pPr>
        <w:ind w:left="729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9C64C5"/>
    <w:multiLevelType w:val="hybridMultilevel"/>
    <w:tmpl w:val="A03822F8"/>
    <w:lvl w:ilvl="0" w:tplc="ED8A7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3E4FA8"/>
    <w:multiLevelType w:val="hybridMultilevel"/>
    <w:tmpl w:val="E9C27F08"/>
    <w:lvl w:ilvl="0" w:tplc="0486DB48">
      <w:start w:val="1"/>
      <w:numFmt w:val="lowerRoman"/>
      <w:lvlText w:val="%1."/>
      <w:lvlJc w:val="left"/>
      <w:pPr>
        <w:ind w:left="3600" w:hanging="720"/>
      </w:pPr>
      <w:rPr>
        <w:rFonts w:hint="default"/>
        <w:color w:val="000000"/>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493A7CF7"/>
    <w:multiLevelType w:val="hybridMultilevel"/>
    <w:tmpl w:val="9D984052"/>
    <w:lvl w:ilvl="0" w:tplc="3D44CA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E579D1"/>
    <w:multiLevelType w:val="hybridMultilevel"/>
    <w:tmpl w:val="DDD251BA"/>
    <w:lvl w:ilvl="0" w:tplc="D72C6C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4E140B87"/>
    <w:multiLevelType w:val="hybridMultilevel"/>
    <w:tmpl w:val="EB140642"/>
    <w:lvl w:ilvl="0" w:tplc="4D542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AE08C1"/>
    <w:multiLevelType w:val="hybridMultilevel"/>
    <w:tmpl w:val="73841DA8"/>
    <w:lvl w:ilvl="0" w:tplc="16029A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56165F36"/>
    <w:multiLevelType w:val="hybridMultilevel"/>
    <w:tmpl w:val="CD1E968A"/>
    <w:lvl w:ilvl="0" w:tplc="3F96E8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A3F7B15"/>
    <w:multiLevelType w:val="hybridMultilevel"/>
    <w:tmpl w:val="CD1E968A"/>
    <w:lvl w:ilvl="0" w:tplc="3F96E8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3A21BA0"/>
    <w:multiLevelType w:val="hybridMultilevel"/>
    <w:tmpl w:val="8AD6BF54"/>
    <w:lvl w:ilvl="0" w:tplc="5AF82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821965"/>
    <w:multiLevelType w:val="hybridMultilevel"/>
    <w:tmpl w:val="182A7B34"/>
    <w:lvl w:ilvl="0" w:tplc="71287D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9D2FAC"/>
    <w:multiLevelType w:val="multilevel"/>
    <w:tmpl w:val="0BEEF57C"/>
    <w:name w:val="Jo brief"/>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27">
    <w:nsid w:val="770A7F72"/>
    <w:multiLevelType w:val="hybridMultilevel"/>
    <w:tmpl w:val="803C1140"/>
    <w:lvl w:ilvl="0" w:tplc="1A441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248C3"/>
    <w:multiLevelType w:val="hybridMultilevel"/>
    <w:tmpl w:val="8BFCDE52"/>
    <w:lvl w:ilvl="0" w:tplc="51520BD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7960C554">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D504548"/>
    <w:multiLevelType w:val="hybridMultilevel"/>
    <w:tmpl w:val="2A020622"/>
    <w:lvl w:ilvl="0" w:tplc="0B587A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E79332C"/>
    <w:multiLevelType w:val="hybridMultilevel"/>
    <w:tmpl w:val="D7A673B2"/>
    <w:lvl w:ilvl="0" w:tplc="66100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8"/>
  </w:num>
  <w:num w:numId="3">
    <w:abstractNumId w:val="0"/>
  </w:num>
  <w:num w:numId="4">
    <w:abstractNumId w:val="1"/>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
    <w:abstractNumId w:val="26"/>
  </w:num>
  <w:num w:numId="6">
    <w:abstractNumId w:val="4"/>
  </w:num>
  <w:num w:numId="7">
    <w:abstractNumId w:val="14"/>
  </w:num>
  <w:num w:numId="8">
    <w:abstractNumId w:val="20"/>
  </w:num>
  <w:num w:numId="9">
    <w:abstractNumId w:val="30"/>
  </w:num>
  <w:num w:numId="10">
    <w:abstractNumId w:val="13"/>
  </w:num>
  <w:num w:numId="11">
    <w:abstractNumId w:val="25"/>
  </w:num>
  <w:num w:numId="12">
    <w:abstractNumId w:val="10"/>
  </w:num>
  <w:num w:numId="13">
    <w:abstractNumId w:val="8"/>
  </w:num>
  <w:num w:numId="14">
    <w:abstractNumId w:val="27"/>
  </w:num>
  <w:num w:numId="15">
    <w:abstractNumId w:val="11"/>
  </w:num>
  <w:num w:numId="16">
    <w:abstractNumId w:val="24"/>
  </w:num>
  <w:num w:numId="17">
    <w:abstractNumId w:val="28"/>
  </w:num>
  <w:num w:numId="18">
    <w:abstractNumId w:val="16"/>
  </w:num>
  <w:num w:numId="19">
    <w:abstractNumId w:val="12"/>
  </w:num>
  <w:num w:numId="20">
    <w:abstractNumId w:val="3"/>
  </w:num>
  <w:num w:numId="21">
    <w:abstractNumId w:val="15"/>
  </w:num>
  <w:num w:numId="22">
    <w:abstractNumId w:val="7"/>
  </w:num>
  <w:num w:numId="23">
    <w:abstractNumId w:val="19"/>
  </w:num>
  <w:num w:numId="24">
    <w:abstractNumId w:val="5"/>
  </w:num>
  <w:num w:numId="25">
    <w:abstractNumId w:val="21"/>
  </w:num>
  <w:num w:numId="26">
    <w:abstractNumId w:val="9"/>
  </w:num>
  <w:num w:numId="27">
    <w:abstractNumId w:val="17"/>
  </w:num>
  <w:num w:numId="28">
    <w:abstractNumId w:val="2"/>
  </w:num>
  <w:num w:numId="29">
    <w:abstractNumId w:val="22"/>
  </w:num>
  <w:num w:numId="30">
    <w:abstractNumId w:val="23"/>
  </w:num>
  <w:num w:numId="3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8707680"/>
  </w:docVars>
  <w:rsids>
    <w:rsidRoot w:val="00F40AF4"/>
    <w:rsid w:val="0000120E"/>
    <w:rsid w:val="00001D5E"/>
    <w:rsid w:val="00002E71"/>
    <w:rsid w:val="00007A6A"/>
    <w:rsid w:val="00010E60"/>
    <w:rsid w:val="00011EAD"/>
    <w:rsid w:val="00011F9D"/>
    <w:rsid w:val="00012D29"/>
    <w:rsid w:val="0001444C"/>
    <w:rsid w:val="000158F5"/>
    <w:rsid w:val="00015C87"/>
    <w:rsid w:val="00017247"/>
    <w:rsid w:val="000200B5"/>
    <w:rsid w:val="00022031"/>
    <w:rsid w:val="00022664"/>
    <w:rsid w:val="00024223"/>
    <w:rsid w:val="00024AA5"/>
    <w:rsid w:val="00026A77"/>
    <w:rsid w:val="00027740"/>
    <w:rsid w:val="00027E4C"/>
    <w:rsid w:val="00030657"/>
    <w:rsid w:val="000307B4"/>
    <w:rsid w:val="00031D10"/>
    <w:rsid w:val="00035127"/>
    <w:rsid w:val="00035D88"/>
    <w:rsid w:val="00035F60"/>
    <w:rsid w:val="00036DA6"/>
    <w:rsid w:val="00037773"/>
    <w:rsid w:val="00037AF8"/>
    <w:rsid w:val="000404B5"/>
    <w:rsid w:val="00040CC9"/>
    <w:rsid w:val="00041943"/>
    <w:rsid w:val="00042860"/>
    <w:rsid w:val="000443C4"/>
    <w:rsid w:val="00044944"/>
    <w:rsid w:val="0004498A"/>
    <w:rsid w:val="000477D1"/>
    <w:rsid w:val="00052673"/>
    <w:rsid w:val="00053EFA"/>
    <w:rsid w:val="0005471E"/>
    <w:rsid w:val="0005554B"/>
    <w:rsid w:val="0006554F"/>
    <w:rsid w:val="0007050E"/>
    <w:rsid w:val="00070D98"/>
    <w:rsid w:val="000716B7"/>
    <w:rsid w:val="00074135"/>
    <w:rsid w:val="000767FF"/>
    <w:rsid w:val="00076CCF"/>
    <w:rsid w:val="0008135A"/>
    <w:rsid w:val="00082E5C"/>
    <w:rsid w:val="000849DC"/>
    <w:rsid w:val="00087CC5"/>
    <w:rsid w:val="0009005C"/>
    <w:rsid w:val="00090FB1"/>
    <w:rsid w:val="000921BC"/>
    <w:rsid w:val="000925B9"/>
    <w:rsid w:val="000927E9"/>
    <w:rsid w:val="000929D9"/>
    <w:rsid w:val="000941A0"/>
    <w:rsid w:val="000950CA"/>
    <w:rsid w:val="00096994"/>
    <w:rsid w:val="00096F74"/>
    <w:rsid w:val="000A094E"/>
    <w:rsid w:val="000A220E"/>
    <w:rsid w:val="000A510C"/>
    <w:rsid w:val="000A7EFE"/>
    <w:rsid w:val="000B40C8"/>
    <w:rsid w:val="000B629F"/>
    <w:rsid w:val="000B6D95"/>
    <w:rsid w:val="000C04BD"/>
    <w:rsid w:val="000C1A6B"/>
    <w:rsid w:val="000C269C"/>
    <w:rsid w:val="000C2CCE"/>
    <w:rsid w:val="000C5510"/>
    <w:rsid w:val="000C5816"/>
    <w:rsid w:val="000C598F"/>
    <w:rsid w:val="000C71B2"/>
    <w:rsid w:val="000D1336"/>
    <w:rsid w:val="000D3CB5"/>
    <w:rsid w:val="000D5CA1"/>
    <w:rsid w:val="000D674C"/>
    <w:rsid w:val="000D763A"/>
    <w:rsid w:val="000D7906"/>
    <w:rsid w:val="000E00D4"/>
    <w:rsid w:val="000E0C64"/>
    <w:rsid w:val="000E111C"/>
    <w:rsid w:val="000E20B9"/>
    <w:rsid w:val="000E2DCB"/>
    <w:rsid w:val="000E3D69"/>
    <w:rsid w:val="000E63AA"/>
    <w:rsid w:val="000E6C36"/>
    <w:rsid w:val="000E7B3F"/>
    <w:rsid w:val="000F0CB0"/>
    <w:rsid w:val="000F1E2C"/>
    <w:rsid w:val="000F22AD"/>
    <w:rsid w:val="000F7CE1"/>
    <w:rsid w:val="00101813"/>
    <w:rsid w:val="001022EE"/>
    <w:rsid w:val="00102B62"/>
    <w:rsid w:val="00105690"/>
    <w:rsid w:val="001059C3"/>
    <w:rsid w:val="0010611E"/>
    <w:rsid w:val="00106881"/>
    <w:rsid w:val="001068AE"/>
    <w:rsid w:val="0011005B"/>
    <w:rsid w:val="00111662"/>
    <w:rsid w:val="00113811"/>
    <w:rsid w:val="00114446"/>
    <w:rsid w:val="0011497C"/>
    <w:rsid w:val="00114A5C"/>
    <w:rsid w:val="00114D69"/>
    <w:rsid w:val="00115E17"/>
    <w:rsid w:val="001163B8"/>
    <w:rsid w:val="00116960"/>
    <w:rsid w:val="00116EA8"/>
    <w:rsid w:val="0012099C"/>
    <w:rsid w:val="00121424"/>
    <w:rsid w:val="0012210B"/>
    <w:rsid w:val="0012337D"/>
    <w:rsid w:val="00124DF6"/>
    <w:rsid w:val="00125631"/>
    <w:rsid w:val="00126555"/>
    <w:rsid w:val="001278D6"/>
    <w:rsid w:val="00130EC8"/>
    <w:rsid w:val="00131C14"/>
    <w:rsid w:val="00132B39"/>
    <w:rsid w:val="001336B2"/>
    <w:rsid w:val="00136AC2"/>
    <w:rsid w:val="00140A3D"/>
    <w:rsid w:val="001465C5"/>
    <w:rsid w:val="0014695E"/>
    <w:rsid w:val="00147277"/>
    <w:rsid w:val="00150F38"/>
    <w:rsid w:val="00151110"/>
    <w:rsid w:val="00151828"/>
    <w:rsid w:val="001534FA"/>
    <w:rsid w:val="00154ED9"/>
    <w:rsid w:val="001551FE"/>
    <w:rsid w:val="001608E4"/>
    <w:rsid w:val="00162236"/>
    <w:rsid w:val="00162882"/>
    <w:rsid w:val="00162DE8"/>
    <w:rsid w:val="00163667"/>
    <w:rsid w:val="00164F37"/>
    <w:rsid w:val="00166BB4"/>
    <w:rsid w:val="00171BA7"/>
    <w:rsid w:val="00171CF4"/>
    <w:rsid w:val="00174444"/>
    <w:rsid w:val="001760EF"/>
    <w:rsid w:val="0017663E"/>
    <w:rsid w:val="00177C22"/>
    <w:rsid w:val="00180FEC"/>
    <w:rsid w:val="001816F1"/>
    <w:rsid w:val="0018232A"/>
    <w:rsid w:val="00183770"/>
    <w:rsid w:val="001838DA"/>
    <w:rsid w:val="00184ED9"/>
    <w:rsid w:val="0018502A"/>
    <w:rsid w:val="0018543E"/>
    <w:rsid w:val="0018569C"/>
    <w:rsid w:val="0019010C"/>
    <w:rsid w:val="00190B52"/>
    <w:rsid w:val="001912D9"/>
    <w:rsid w:val="00192F81"/>
    <w:rsid w:val="001948E6"/>
    <w:rsid w:val="00196DDC"/>
    <w:rsid w:val="00197214"/>
    <w:rsid w:val="00197FE7"/>
    <w:rsid w:val="001A1C19"/>
    <w:rsid w:val="001A2B3D"/>
    <w:rsid w:val="001A3FD3"/>
    <w:rsid w:val="001A517C"/>
    <w:rsid w:val="001B1593"/>
    <w:rsid w:val="001B37F9"/>
    <w:rsid w:val="001B389A"/>
    <w:rsid w:val="001B5278"/>
    <w:rsid w:val="001B6251"/>
    <w:rsid w:val="001B669F"/>
    <w:rsid w:val="001B6840"/>
    <w:rsid w:val="001B7B44"/>
    <w:rsid w:val="001B7C95"/>
    <w:rsid w:val="001C1DA4"/>
    <w:rsid w:val="001C2410"/>
    <w:rsid w:val="001D2D9A"/>
    <w:rsid w:val="001D2DE1"/>
    <w:rsid w:val="001D30C8"/>
    <w:rsid w:val="001D664C"/>
    <w:rsid w:val="001D74F8"/>
    <w:rsid w:val="001E0024"/>
    <w:rsid w:val="001E13F6"/>
    <w:rsid w:val="001E2D99"/>
    <w:rsid w:val="001E3811"/>
    <w:rsid w:val="001E606E"/>
    <w:rsid w:val="001E6948"/>
    <w:rsid w:val="001E6AC2"/>
    <w:rsid w:val="001E70AB"/>
    <w:rsid w:val="001E796B"/>
    <w:rsid w:val="001F4294"/>
    <w:rsid w:val="001F5D45"/>
    <w:rsid w:val="001F5E84"/>
    <w:rsid w:val="001F7380"/>
    <w:rsid w:val="002002ED"/>
    <w:rsid w:val="00202271"/>
    <w:rsid w:val="00205676"/>
    <w:rsid w:val="00205758"/>
    <w:rsid w:val="0020725F"/>
    <w:rsid w:val="0020746B"/>
    <w:rsid w:val="002107F3"/>
    <w:rsid w:val="0021129B"/>
    <w:rsid w:val="00212F85"/>
    <w:rsid w:val="0021472B"/>
    <w:rsid w:val="0021589B"/>
    <w:rsid w:val="00216054"/>
    <w:rsid w:val="0021660C"/>
    <w:rsid w:val="00217A9A"/>
    <w:rsid w:val="00221630"/>
    <w:rsid w:val="00221E39"/>
    <w:rsid w:val="00221ED7"/>
    <w:rsid w:val="002231E7"/>
    <w:rsid w:val="00223B61"/>
    <w:rsid w:val="00224D6C"/>
    <w:rsid w:val="00224F44"/>
    <w:rsid w:val="0022623F"/>
    <w:rsid w:val="002270C7"/>
    <w:rsid w:val="00227A7F"/>
    <w:rsid w:val="0023014D"/>
    <w:rsid w:val="002308F9"/>
    <w:rsid w:val="00231C3E"/>
    <w:rsid w:val="00234986"/>
    <w:rsid w:val="00234DCE"/>
    <w:rsid w:val="00235782"/>
    <w:rsid w:val="0023594C"/>
    <w:rsid w:val="00237F95"/>
    <w:rsid w:val="00240367"/>
    <w:rsid w:val="00244773"/>
    <w:rsid w:val="00244DC3"/>
    <w:rsid w:val="00250B66"/>
    <w:rsid w:val="00254AC4"/>
    <w:rsid w:val="0025505D"/>
    <w:rsid w:val="0025568C"/>
    <w:rsid w:val="0025624A"/>
    <w:rsid w:val="002569D2"/>
    <w:rsid w:val="00256F15"/>
    <w:rsid w:val="00257E68"/>
    <w:rsid w:val="002640B5"/>
    <w:rsid w:val="002659C1"/>
    <w:rsid w:val="002705F3"/>
    <w:rsid w:val="002715D6"/>
    <w:rsid w:val="00272171"/>
    <w:rsid w:val="00273113"/>
    <w:rsid w:val="002772C3"/>
    <w:rsid w:val="00282E72"/>
    <w:rsid w:val="002838BD"/>
    <w:rsid w:val="00286013"/>
    <w:rsid w:val="00286364"/>
    <w:rsid w:val="00286E18"/>
    <w:rsid w:val="00290BC4"/>
    <w:rsid w:val="00291135"/>
    <w:rsid w:val="00292413"/>
    <w:rsid w:val="002942CE"/>
    <w:rsid w:val="0029674D"/>
    <w:rsid w:val="00296A74"/>
    <w:rsid w:val="00297007"/>
    <w:rsid w:val="002A08AE"/>
    <w:rsid w:val="002A12FA"/>
    <w:rsid w:val="002A39F2"/>
    <w:rsid w:val="002A4479"/>
    <w:rsid w:val="002A4728"/>
    <w:rsid w:val="002A5634"/>
    <w:rsid w:val="002A5DF8"/>
    <w:rsid w:val="002B07F2"/>
    <w:rsid w:val="002B080D"/>
    <w:rsid w:val="002B3616"/>
    <w:rsid w:val="002B43C8"/>
    <w:rsid w:val="002C0A83"/>
    <w:rsid w:val="002C108D"/>
    <w:rsid w:val="002C2EE0"/>
    <w:rsid w:val="002C5195"/>
    <w:rsid w:val="002C6736"/>
    <w:rsid w:val="002C7F85"/>
    <w:rsid w:val="002D1EA6"/>
    <w:rsid w:val="002D3212"/>
    <w:rsid w:val="002D46AD"/>
    <w:rsid w:val="002D50E8"/>
    <w:rsid w:val="002D5D2A"/>
    <w:rsid w:val="002D61BE"/>
    <w:rsid w:val="002D684D"/>
    <w:rsid w:val="002E13C9"/>
    <w:rsid w:val="002E3EEC"/>
    <w:rsid w:val="002E414F"/>
    <w:rsid w:val="002E5D73"/>
    <w:rsid w:val="002E62AE"/>
    <w:rsid w:val="002E75AB"/>
    <w:rsid w:val="002E7CBD"/>
    <w:rsid w:val="002F0988"/>
    <w:rsid w:val="002F32B5"/>
    <w:rsid w:val="002F4C42"/>
    <w:rsid w:val="002F63D2"/>
    <w:rsid w:val="002F78A6"/>
    <w:rsid w:val="003009B5"/>
    <w:rsid w:val="00300C1A"/>
    <w:rsid w:val="00302904"/>
    <w:rsid w:val="00303125"/>
    <w:rsid w:val="00303D93"/>
    <w:rsid w:val="00306801"/>
    <w:rsid w:val="00306C1D"/>
    <w:rsid w:val="0030792D"/>
    <w:rsid w:val="00307B85"/>
    <w:rsid w:val="003105EB"/>
    <w:rsid w:val="00311A50"/>
    <w:rsid w:val="003137EE"/>
    <w:rsid w:val="00314634"/>
    <w:rsid w:val="00317481"/>
    <w:rsid w:val="0032184B"/>
    <w:rsid w:val="00322AAB"/>
    <w:rsid w:val="00323CE9"/>
    <w:rsid w:val="00324FB2"/>
    <w:rsid w:val="0032536B"/>
    <w:rsid w:val="00327015"/>
    <w:rsid w:val="003367D1"/>
    <w:rsid w:val="00336E01"/>
    <w:rsid w:val="00340085"/>
    <w:rsid w:val="003421C2"/>
    <w:rsid w:val="00342F59"/>
    <w:rsid w:val="00343DF7"/>
    <w:rsid w:val="00344241"/>
    <w:rsid w:val="00344BBD"/>
    <w:rsid w:val="0035364E"/>
    <w:rsid w:val="003549EE"/>
    <w:rsid w:val="00355C7E"/>
    <w:rsid w:val="003560A1"/>
    <w:rsid w:val="0036055F"/>
    <w:rsid w:val="00362D30"/>
    <w:rsid w:val="00363FC4"/>
    <w:rsid w:val="00366EBA"/>
    <w:rsid w:val="003679E6"/>
    <w:rsid w:val="00367E9A"/>
    <w:rsid w:val="00371F35"/>
    <w:rsid w:val="00372822"/>
    <w:rsid w:val="00372BCE"/>
    <w:rsid w:val="00373050"/>
    <w:rsid w:val="003756FC"/>
    <w:rsid w:val="00375FC7"/>
    <w:rsid w:val="00376FD2"/>
    <w:rsid w:val="00377219"/>
    <w:rsid w:val="0037769A"/>
    <w:rsid w:val="0038154F"/>
    <w:rsid w:val="0038205B"/>
    <w:rsid w:val="00382711"/>
    <w:rsid w:val="003834CD"/>
    <w:rsid w:val="00383E9E"/>
    <w:rsid w:val="0038584B"/>
    <w:rsid w:val="003868BE"/>
    <w:rsid w:val="00386EC2"/>
    <w:rsid w:val="00387C55"/>
    <w:rsid w:val="003914A1"/>
    <w:rsid w:val="00391E0C"/>
    <w:rsid w:val="003928FD"/>
    <w:rsid w:val="0039377F"/>
    <w:rsid w:val="00394624"/>
    <w:rsid w:val="00397341"/>
    <w:rsid w:val="003A02D8"/>
    <w:rsid w:val="003A05D0"/>
    <w:rsid w:val="003A18EE"/>
    <w:rsid w:val="003A32DF"/>
    <w:rsid w:val="003A51FD"/>
    <w:rsid w:val="003A57E2"/>
    <w:rsid w:val="003A7731"/>
    <w:rsid w:val="003A7F62"/>
    <w:rsid w:val="003B02F6"/>
    <w:rsid w:val="003B0740"/>
    <w:rsid w:val="003B0F7E"/>
    <w:rsid w:val="003B2E04"/>
    <w:rsid w:val="003B3093"/>
    <w:rsid w:val="003B4935"/>
    <w:rsid w:val="003B5554"/>
    <w:rsid w:val="003B585E"/>
    <w:rsid w:val="003B67C3"/>
    <w:rsid w:val="003B7DA0"/>
    <w:rsid w:val="003C0F08"/>
    <w:rsid w:val="003C1CFD"/>
    <w:rsid w:val="003C3A99"/>
    <w:rsid w:val="003C49C9"/>
    <w:rsid w:val="003C7B70"/>
    <w:rsid w:val="003D00C1"/>
    <w:rsid w:val="003D0E27"/>
    <w:rsid w:val="003D15D0"/>
    <w:rsid w:val="003D38F7"/>
    <w:rsid w:val="003D4E61"/>
    <w:rsid w:val="003D5D49"/>
    <w:rsid w:val="003D6830"/>
    <w:rsid w:val="003E1405"/>
    <w:rsid w:val="003E15B6"/>
    <w:rsid w:val="003E4DDA"/>
    <w:rsid w:val="003E5628"/>
    <w:rsid w:val="003E5903"/>
    <w:rsid w:val="003E5D1E"/>
    <w:rsid w:val="003E7660"/>
    <w:rsid w:val="003F347A"/>
    <w:rsid w:val="003F69C5"/>
    <w:rsid w:val="003F7475"/>
    <w:rsid w:val="003F7D0F"/>
    <w:rsid w:val="00400060"/>
    <w:rsid w:val="00401755"/>
    <w:rsid w:val="00402468"/>
    <w:rsid w:val="00403F28"/>
    <w:rsid w:val="0040436B"/>
    <w:rsid w:val="0040464B"/>
    <w:rsid w:val="00405793"/>
    <w:rsid w:val="00407E2D"/>
    <w:rsid w:val="004127CC"/>
    <w:rsid w:val="00414D79"/>
    <w:rsid w:val="00415060"/>
    <w:rsid w:val="0041758B"/>
    <w:rsid w:val="00417A48"/>
    <w:rsid w:val="00417ABA"/>
    <w:rsid w:val="00422E70"/>
    <w:rsid w:val="004255AD"/>
    <w:rsid w:val="004266A4"/>
    <w:rsid w:val="00427446"/>
    <w:rsid w:val="004275DC"/>
    <w:rsid w:val="00427731"/>
    <w:rsid w:val="00430968"/>
    <w:rsid w:val="00431ED9"/>
    <w:rsid w:val="0043213F"/>
    <w:rsid w:val="004326A9"/>
    <w:rsid w:val="0043388C"/>
    <w:rsid w:val="004345F2"/>
    <w:rsid w:val="00441E8C"/>
    <w:rsid w:val="00443FC3"/>
    <w:rsid w:val="004444FF"/>
    <w:rsid w:val="00444C99"/>
    <w:rsid w:val="00444F84"/>
    <w:rsid w:val="00447047"/>
    <w:rsid w:val="004472F6"/>
    <w:rsid w:val="00447DAD"/>
    <w:rsid w:val="00450D55"/>
    <w:rsid w:val="004563F9"/>
    <w:rsid w:val="004610DD"/>
    <w:rsid w:val="004621F5"/>
    <w:rsid w:val="00462A1F"/>
    <w:rsid w:val="00466707"/>
    <w:rsid w:val="00466EEB"/>
    <w:rsid w:val="00470730"/>
    <w:rsid w:val="00470BD1"/>
    <w:rsid w:val="00473103"/>
    <w:rsid w:val="00473B3D"/>
    <w:rsid w:val="00474D92"/>
    <w:rsid w:val="004758B7"/>
    <w:rsid w:val="004763CF"/>
    <w:rsid w:val="00476406"/>
    <w:rsid w:val="004801CF"/>
    <w:rsid w:val="004825BA"/>
    <w:rsid w:val="0048731E"/>
    <w:rsid w:val="00490024"/>
    <w:rsid w:val="004921A2"/>
    <w:rsid w:val="00492902"/>
    <w:rsid w:val="004933DD"/>
    <w:rsid w:val="004979A7"/>
    <w:rsid w:val="004A0D2F"/>
    <w:rsid w:val="004A16D5"/>
    <w:rsid w:val="004A3A17"/>
    <w:rsid w:val="004A4379"/>
    <w:rsid w:val="004A4472"/>
    <w:rsid w:val="004A45F3"/>
    <w:rsid w:val="004A509C"/>
    <w:rsid w:val="004A5F2D"/>
    <w:rsid w:val="004A5F6F"/>
    <w:rsid w:val="004B0C6B"/>
    <w:rsid w:val="004B1125"/>
    <w:rsid w:val="004B1E4E"/>
    <w:rsid w:val="004B29B1"/>
    <w:rsid w:val="004B2B1A"/>
    <w:rsid w:val="004B41B4"/>
    <w:rsid w:val="004B4763"/>
    <w:rsid w:val="004B4793"/>
    <w:rsid w:val="004B506A"/>
    <w:rsid w:val="004B58A0"/>
    <w:rsid w:val="004B77E2"/>
    <w:rsid w:val="004C10B1"/>
    <w:rsid w:val="004C1105"/>
    <w:rsid w:val="004C1ADF"/>
    <w:rsid w:val="004C2586"/>
    <w:rsid w:val="004C3351"/>
    <w:rsid w:val="004C6258"/>
    <w:rsid w:val="004C66B6"/>
    <w:rsid w:val="004C6ACC"/>
    <w:rsid w:val="004C7CAC"/>
    <w:rsid w:val="004D1AF6"/>
    <w:rsid w:val="004D1E01"/>
    <w:rsid w:val="004D26B3"/>
    <w:rsid w:val="004D3B94"/>
    <w:rsid w:val="004D3CF4"/>
    <w:rsid w:val="004D5571"/>
    <w:rsid w:val="004D6A84"/>
    <w:rsid w:val="004D7AC2"/>
    <w:rsid w:val="004D7EE2"/>
    <w:rsid w:val="004E0DC8"/>
    <w:rsid w:val="004E11D4"/>
    <w:rsid w:val="004E2DEE"/>
    <w:rsid w:val="004E3916"/>
    <w:rsid w:val="004E48B8"/>
    <w:rsid w:val="004E55A0"/>
    <w:rsid w:val="004E56E5"/>
    <w:rsid w:val="004F1873"/>
    <w:rsid w:val="004F1BE5"/>
    <w:rsid w:val="004F205C"/>
    <w:rsid w:val="004F3674"/>
    <w:rsid w:val="004F52CA"/>
    <w:rsid w:val="00500E04"/>
    <w:rsid w:val="00501290"/>
    <w:rsid w:val="005013B7"/>
    <w:rsid w:val="00501579"/>
    <w:rsid w:val="00503B65"/>
    <w:rsid w:val="005049DA"/>
    <w:rsid w:val="00504E02"/>
    <w:rsid w:val="005055FD"/>
    <w:rsid w:val="0050671B"/>
    <w:rsid w:val="00507129"/>
    <w:rsid w:val="0050719F"/>
    <w:rsid w:val="00507DE5"/>
    <w:rsid w:val="0051001A"/>
    <w:rsid w:val="005103AE"/>
    <w:rsid w:val="00510BCD"/>
    <w:rsid w:val="00512CA6"/>
    <w:rsid w:val="00512F18"/>
    <w:rsid w:val="00513A0D"/>
    <w:rsid w:val="00513E78"/>
    <w:rsid w:val="00514F6E"/>
    <w:rsid w:val="00515E12"/>
    <w:rsid w:val="005167FD"/>
    <w:rsid w:val="00520B4D"/>
    <w:rsid w:val="005235D3"/>
    <w:rsid w:val="005245B1"/>
    <w:rsid w:val="00526125"/>
    <w:rsid w:val="005261C2"/>
    <w:rsid w:val="0052693F"/>
    <w:rsid w:val="005309CA"/>
    <w:rsid w:val="005319D7"/>
    <w:rsid w:val="00534944"/>
    <w:rsid w:val="00540108"/>
    <w:rsid w:val="00540318"/>
    <w:rsid w:val="005452F4"/>
    <w:rsid w:val="005463A9"/>
    <w:rsid w:val="00546F57"/>
    <w:rsid w:val="005474D6"/>
    <w:rsid w:val="005500F1"/>
    <w:rsid w:val="00550182"/>
    <w:rsid w:val="00562BF1"/>
    <w:rsid w:val="005630B3"/>
    <w:rsid w:val="00567867"/>
    <w:rsid w:val="005713B8"/>
    <w:rsid w:val="00573658"/>
    <w:rsid w:val="005756F9"/>
    <w:rsid w:val="00575B38"/>
    <w:rsid w:val="00576844"/>
    <w:rsid w:val="005773BD"/>
    <w:rsid w:val="005835FE"/>
    <w:rsid w:val="00584382"/>
    <w:rsid w:val="00584762"/>
    <w:rsid w:val="00585BAB"/>
    <w:rsid w:val="005868E8"/>
    <w:rsid w:val="0059057B"/>
    <w:rsid w:val="00590615"/>
    <w:rsid w:val="005937CF"/>
    <w:rsid w:val="005945F6"/>
    <w:rsid w:val="00595C07"/>
    <w:rsid w:val="00595E5F"/>
    <w:rsid w:val="005963C4"/>
    <w:rsid w:val="005A0D31"/>
    <w:rsid w:val="005A2758"/>
    <w:rsid w:val="005A2AEA"/>
    <w:rsid w:val="005A338D"/>
    <w:rsid w:val="005A54F0"/>
    <w:rsid w:val="005A560D"/>
    <w:rsid w:val="005A6675"/>
    <w:rsid w:val="005B04D0"/>
    <w:rsid w:val="005B4EAA"/>
    <w:rsid w:val="005C00B4"/>
    <w:rsid w:val="005C02C1"/>
    <w:rsid w:val="005C1128"/>
    <w:rsid w:val="005C5138"/>
    <w:rsid w:val="005C5ED9"/>
    <w:rsid w:val="005D141F"/>
    <w:rsid w:val="005D45C9"/>
    <w:rsid w:val="005D4F69"/>
    <w:rsid w:val="005D5142"/>
    <w:rsid w:val="005D5D54"/>
    <w:rsid w:val="005D7C72"/>
    <w:rsid w:val="005E159E"/>
    <w:rsid w:val="005E3D7C"/>
    <w:rsid w:val="005E5064"/>
    <w:rsid w:val="005E6C7E"/>
    <w:rsid w:val="005E7A75"/>
    <w:rsid w:val="005F0F61"/>
    <w:rsid w:val="005F1BB9"/>
    <w:rsid w:val="0060218C"/>
    <w:rsid w:val="0060255E"/>
    <w:rsid w:val="00603426"/>
    <w:rsid w:val="00603FCF"/>
    <w:rsid w:val="00610120"/>
    <w:rsid w:val="006104AA"/>
    <w:rsid w:val="00610979"/>
    <w:rsid w:val="00613DA8"/>
    <w:rsid w:val="00614796"/>
    <w:rsid w:val="00614B07"/>
    <w:rsid w:val="006151A3"/>
    <w:rsid w:val="00615A16"/>
    <w:rsid w:val="006163AA"/>
    <w:rsid w:val="00616EF1"/>
    <w:rsid w:val="0062032B"/>
    <w:rsid w:val="0062040F"/>
    <w:rsid w:val="00622936"/>
    <w:rsid w:val="0062391C"/>
    <w:rsid w:val="0062415D"/>
    <w:rsid w:val="00625F58"/>
    <w:rsid w:val="0063177A"/>
    <w:rsid w:val="00636172"/>
    <w:rsid w:val="0064016B"/>
    <w:rsid w:val="006412BB"/>
    <w:rsid w:val="00642AB1"/>
    <w:rsid w:val="006471CE"/>
    <w:rsid w:val="006474E6"/>
    <w:rsid w:val="00652277"/>
    <w:rsid w:val="0065351C"/>
    <w:rsid w:val="00654BDD"/>
    <w:rsid w:val="0065509C"/>
    <w:rsid w:val="006550A6"/>
    <w:rsid w:val="006552C0"/>
    <w:rsid w:val="0065632F"/>
    <w:rsid w:val="0065674E"/>
    <w:rsid w:val="006568DF"/>
    <w:rsid w:val="00657F07"/>
    <w:rsid w:val="0066057A"/>
    <w:rsid w:val="00661B4E"/>
    <w:rsid w:val="00662C19"/>
    <w:rsid w:val="00663F11"/>
    <w:rsid w:val="00670398"/>
    <w:rsid w:val="0067080A"/>
    <w:rsid w:val="00670B1B"/>
    <w:rsid w:val="006729FF"/>
    <w:rsid w:val="006734EC"/>
    <w:rsid w:val="00675F41"/>
    <w:rsid w:val="00676400"/>
    <w:rsid w:val="00676ECB"/>
    <w:rsid w:val="0068098C"/>
    <w:rsid w:val="0069134A"/>
    <w:rsid w:val="006922F4"/>
    <w:rsid w:val="00692D9A"/>
    <w:rsid w:val="006943F4"/>
    <w:rsid w:val="00694B2E"/>
    <w:rsid w:val="006972B1"/>
    <w:rsid w:val="006A4740"/>
    <w:rsid w:val="006A64F2"/>
    <w:rsid w:val="006A6A40"/>
    <w:rsid w:val="006B3EFB"/>
    <w:rsid w:val="006B6735"/>
    <w:rsid w:val="006B690F"/>
    <w:rsid w:val="006C245A"/>
    <w:rsid w:val="006C245B"/>
    <w:rsid w:val="006C3295"/>
    <w:rsid w:val="006C5DA4"/>
    <w:rsid w:val="006C6489"/>
    <w:rsid w:val="006C6F08"/>
    <w:rsid w:val="006C7836"/>
    <w:rsid w:val="006D491B"/>
    <w:rsid w:val="006D4A8D"/>
    <w:rsid w:val="006D7B01"/>
    <w:rsid w:val="006E1783"/>
    <w:rsid w:val="006E1DF2"/>
    <w:rsid w:val="006E324E"/>
    <w:rsid w:val="006E57E8"/>
    <w:rsid w:val="006E5DEC"/>
    <w:rsid w:val="006E73E3"/>
    <w:rsid w:val="006F08AE"/>
    <w:rsid w:val="006F08CA"/>
    <w:rsid w:val="006F178E"/>
    <w:rsid w:val="006F2ACE"/>
    <w:rsid w:val="006F593A"/>
    <w:rsid w:val="006F6660"/>
    <w:rsid w:val="006F6C06"/>
    <w:rsid w:val="006F79BB"/>
    <w:rsid w:val="007000FB"/>
    <w:rsid w:val="007002F0"/>
    <w:rsid w:val="00700552"/>
    <w:rsid w:val="007008E0"/>
    <w:rsid w:val="0070383D"/>
    <w:rsid w:val="007050B0"/>
    <w:rsid w:val="00705235"/>
    <w:rsid w:val="00710599"/>
    <w:rsid w:val="007107AD"/>
    <w:rsid w:val="00715CCA"/>
    <w:rsid w:val="0071661A"/>
    <w:rsid w:val="007176CF"/>
    <w:rsid w:val="00717DF2"/>
    <w:rsid w:val="00720FFC"/>
    <w:rsid w:val="007210F1"/>
    <w:rsid w:val="0072189B"/>
    <w:rsid w:val="007234E4"/>
    <w:rsid w:val="007244AB"/>
    <w:rsid w:val="00725CD5"/>
    <w:rsid w:val="0072729B"/>
    <w:rsid w:val="007279D2"/>
    <w:rsid w:val="00727A57"/>
    <w:rsid w:val="00727A76"/>
    <w:rsid w:val="0073264E"/>
    <w:rsid w:val="00732658"/>
    <w:rsid w:val="00735001"/>
    <w:rsid w:val="0073635E"/>
    <w:rsid w:val="007375AF"/>
    <w:rsid w:val="00742C25"/>
    <w:rsid w:val="00743300"/>
    <w:rsid w:val="00745364"/>
    <w:rsid w:val="00747A6F"/>
    <w:rsid w:val="00750070"/>
    <w:rsid w:val="007520AB"/>
    <w:rsid w:val="00752308"/>
    <w:rsid w:val="00760397"/>
    <w:rsid w:val="00763043"/>
    <w:rsid w:val="00763093"/>
    <w:rsid w:val="00763BE4"/>
    <w:rsid w:val="007653B8"/>
    <w:rsid w:val="00766C21"/>
    <w:rsid w:val="007674BB"/>
    <w:rsid w:val="0077010C"/>
    <w:rsid w:val="0077058E"/>
    <w:rsid w:val="00770F98"/>
    <w:rsid w:val="007731F4"/>
    <w:rsid w:val="00774832"/>
    <w:rsid w:val="007755D5"/>
    <w:rsid w:val="00780E4B"/>
    <w:rsid w:val="00781BAD"/>
    <w:rsid w:val="007841E7"/>
    <w:rsid w:val="00784D93"/>
    <w:rsid w:val="00785E80"/>
    <w:rsid w:val="00786812"/>
    <w:rsid w:val="00787B82"/>
    <w:rsid w:val="007902C3"/>
    <w:rsid w:val="00794193"/>
    <w:rsid w:val="00794EF5"/>
    <w:rsid w:val="00795B64"/>
    <w:rsid w:val="007964AA"/>
    <w:rsid w:val="00796F08"/>
    <w:rsid w:val="00796F60"/>
    <w:rsid w:val="007A1A4C"/>
    <w:rsid w:val="007A204B"/>
    <w:rsid w:val="007A2E0D"/>
    <w:rsid w:val="007A4181"/>
    <w:rsid w:val="007A46A0"/>
    <w:rsid w:val="007A7939"/>
    <w:rsid w:val="007B0FC5"/>
    <w:rsid w:val="007B21DD"/>
    <w:rsid w:val="007B430A"/>
    <w:rsid w:val="007B442A"/>
    <w:rsid w:val="007B5509"/>
    <w:rsid w:val="007B5630"/>
    <w:rsid w:val="007B68A8"/>
    <w:rsid w:val="007C01F0"/>
    <w:rsid w:val="007C0BAC"/>
    <w:rsid w:val="007C0F73"/>
    <w:rsid w:val="007C1178"/>
    <w:rsid w:val="007C13D5"/>
    <w:rsid w:val="007C3E3C"/>
    <w:rsid w:val="007C5570"/>
    <w:rsid w:val="007D2137"/>
    <w:rsid w:val="007D2E70"/>
    <w:rsid w:val="007D64CA"/>
    <w:rsid w:val="007D67D1"/>
    <w:rsid w:val="007D6A27"/>
    <w:rsid w:val="007D779E"/>
    <w:rsid w:val="007E0E8A"/>
    <w:rsid w:val="007E1C31"/>
    <w:rsid w:val="007E2A88"/>
    <w:rsid w:val="007E39DB"/>
    <w:rsid w:val="007E426A"/>
    <w:rsid w:val="007E451E"/>
    <w:rsid w:val="007E5D49"/>
    <w:rsid w:val="007E6676"/>
    <w:rsid w:val="007E6AE2"/>
    <w:rsid w:val="007E6C65"/>
    <w:rsid w:val="007E6D04"/>
    <w:rsid w:val="007E6D75"/>
    <w:rsid w:val="007F03D1"/>
    <w:rsid w:val="007F3E2F"/>
    <w:rsid w:val="007F6911"/>
    <w:rsid w:val="007F7857"/>
    <w:rsid w:val="007F7E28"/>
    <w:rsid w:val="008038A5"/>
    <w:rsid w:val="008046A7"/>
    <w:rsid w:val="00805519"/>
    <w:rsid w:val="00807ABE"/>
    <w:rsid w:val="00814E10"/>
    <w:rsid w:val="008161F8"/>
    <w:rsid w:val="0081708E"/>
    <w:rsid w:val="0082072C"/>
    <w:rsid w:val="008208F3"/>
    <w:rsid w:val="008210E6"/>
    <w:rsid w:val="008211B6"/>
    <w:rsid w:val="008215F2"/>
    <w:rsid w:val="00821DC6"/>
    <w:rsid w:val="00822EEA"/>
    <w:rsid w:val="008251FA"/>
    <w:rsid w:val="008311D0"/>
    <w:rsid w:val="008312E3"/>
    <w:rsid w:val="00831EDA"/>
    <w:rsid w:val="00833FF2"/>
    <w:rsid w:val="0083482E"/>
    <w:rsid w:val="008363BD"/>
    <w:rsid w:val="00837226"/>
    <w:rsid w:val="008417CC"/>
    <w:rsid w:val="00842293"/>
    <w:rsid w:val="0084233D"/>
    <w:rsid w:val="008433EA"/>
    <w:rsid w:val="00844152"/>
    <w:rsid w:val="0084419E"/>
    <w:rsid w:val="008443D6"/>
    <w:rsid w:val="00847619"/>
    <w:rsid w:val="00852340"/>
    <w:rsid w:val="008527AF"/>
    <w:rsid w:val="00853982"/>
    <w:rsid w:val="0085796E"/>
    <w:rsid w:val="00860B56"/>
    <w:rsid w:val="0086208C"/>
    <w:rsid w:val="00862DD6"/>
    <w:rsid w:val="00863319"/>
    <w:rsid w:val="008659C3"/>
    <w:rsid w:val="00865E1F"/>
    <w:rsid w:val="00870E3F"/>
    <w:rsid w:val="00872426"/>
    <w:rsid w:val="00872FDD"/>
    <w:rsid w:val="008739F3"/>
    <w:rsid w:val="00873C98"/>
    <w:rsid w:val="00873E3A"/>
    <w:rsid w:val="00873ED3"/>
    <w:rsid w:val="00874F7D"/>
    <w:rsid w:val="0087509C"/>
    <w:rsid w:val="00875888"/>
    <w:rsid w:val="00877335"/>
    <w:rsid w:val="008779F9"/>
    <w:rsid w:val="00877F40"/>
    <w:rsid w:val="00881A7C"/>
    <w:rsid w:val="00881D0D"/>
    <w:rsid w:val="00883C2D"/>
    <w:rsid w:val="00883D57"/>
    <w:rsid w:val="00885412"/>
    <w:rsid w:val="00886291"/>
    <w:rsid w:val="0089092B"/>
    <w:rsid w:val="00890FD6"/>
    <w:rsid w:val="0089104A"/>
    <w:rsid w:val="008938E8"/>
    <w:rsid w:val="00895B38"/>
    <w:rsid w:val="0089619E"/>
    <w:rsid w:val="008A53F1"/>
    <w:rsid w:val="008B4536"/>
    <w:rsid w:val="008B4F4B"/>
    <w:rsid w:val="008B629C"/>
    <w:rsid w:val="008C0A8C"/>
    <w:rsid w:val="008C1CCC"/>
    <w:rsid w:val="008C3426"/>
    <w:rsid w:val="008C387F"/>
    <w:rsid w:val="008C3E88"/>
    <w:rsid w:val="008C4B08"/>
    <w:rsid w:val="008C6C90"/>
    <w:rsid w:val="008C6CD3"/>
    <w:rsid w:val="008C6F74"/>
    <w:rsid w:val="008D1749"/>
    <w:rsid w:val="008D25CC"/>
    <w:rsid w:val="008D3E8B"/>
    <w:rsid w:val="008E0D6A"/>
    <w:rsid w:val="008E0FA9"/>
    <w:rsid w:val="008E121E"/>
    <w:rsid w:val="008E1CB6"/>
    <w:rsid w:val="008E1FBF"/>
    <w:rsid w:val="008E3C17"/>
    <w:rsid w:val="008E4487"/>
    <w:rsid w:val="008E73F7"/>
    <w:rsid w:val="008F2375"/>
    <w:rsid w:val="008F31AE"/>
    <w:rsid w:val="008F44A3"/>
    <w:rsid w:val="008F46F1"/>
    <w:rsid w:val="008F5E2B"/>
    <w:rsid w:val="008F7441"/>
    <w:rsid w:val="008F7731"/>
    <w:rsid w:val="00900165"/>
    <w:rsid w:val="00901EBE"/>
    <w:rsid w:val="00901FC3"/>
    <w:rsid w:val="00904091"/>
    <w:rsid w:val="009044B7"/>
    <w:rsid w:val="00904D93"/>
    <w:rsid w:val="00904E5E"/>
    <w:rsid w:val="00906166"/>
    <w:rsid w:val="00906E26"/>
    <w:rsid w:val="00907C81"/>
    <w:rsid w:val="00910329"/>
    <w:rsid w:val="00912360"/>
    <w:rsid w:val="00912546"/>
    <w:rsid w:val="00914472"/>
    <w:rsid w:val="009179A5"/>
    <w:rsid w:val="00917AE9"/>
    <w:rsid w:val="0092089F"/>
    <w:rsid w:val="00921B0A"/>
    <w:rsid w:val="00921DA9"/>
    <w:rsid w:val="009221A8"/>
    <w:rsid w:val="009254CE"/>
    <w:rsid w:val="0092569D"/>
    <w:rsid w:val="00927382"/>
    <w:rsid w:val="00930D93"/>
    <w:rsid w:val="00933019"/>
    <w:rsid w:val="009357B8"/>
    <w:rsid w:val="00936FDA"/>
    <w:rsid w:val="009404E9"/>
    <w:rsid w:val="00940C6E"/>
    <w:rsid w:val="0094137F"/>
    <w:rsid w:val="00941BFF"/>
    <w:rsid w:val="00941E0A"/>
    <w:rsid w:val="0094214A"/>
    <w:rsid w:val="00942B3C"/>
    <w:rsid w:val="00943ADC"/>
    <w:rsid w:val="00943C45"/>
    <w:rsid w:val="00943FF3"/>
    <w:rsid w:val="00947A6E"/>
    <w:rsid w:val="00951681"/>
    <w:rsid w:val="00951BC4"/>
    <w:rsid w:val="00955C9E"/>
    <w:rsid w:val="00957FE3"/>
    <w:rsid w:val="009603C9"/>
    <w:rsid w:val="00960B87"/>
    <w:rsid w:val="00962AAD"/>
    <w:rsid w:val="009635AB"/>
    <w:rsid w:val="00964C04"/>
    <w:rsid w:val="00964ECF"/>
    <w:rsid w:val="00966D0D"/>
    <w:rsid w:val="00971A09"/>
    <w:rsid w:val="00975E03"/>
    <w:rsid w:val="00976E44"/>
    <w:rsid w:val="00980566"/>
    <w:rsid w:val="00982F45"/>
    <w:rsid w:val="00985D2D"/>
    <w:rsid w:val="0098641B"/>
    <w:rsid w:val="00986732"/>
    <w:rsid w:val="00986ECD"/>
    <w:rsid w:val="009903E3"/>
    <w:rsid w:val="0099152D"/>
    <w:rsid w:val="0099176B"/>
    <w:rsid w:val="00994325"/>
    <w:rsid w:val="0099459B"/>
    <w:rsid w:val="00994B27"/>
    <w:rsid w:val="009972E5"/>
    <w:rsid w:val="009A1208"/>
    <w:rsid w:val="009A2737"/>
    <w:rsid w:val="009A2A70"/>
    <w:rsid w:val="009A3D45"/>
    <w:rsid w:val="009A7D1A"/>
    <w:rsid w:val="009B2249"/>
    <w:rsid w:val="009B3268"/>
    <w:rsid w:val="009B355A"/>
    <w:rsid w:val="009B3FBE"/>
    <w:rsid w:val="009B5FBB"/>
    <w:rsid w:val="009B6175"/>
    <w:rsid w:val="009B6B49"/>
    <w:rsid w:val="009B6CD7"/>
    <w:rsid w:val="009C027C"/>
    <w:rsid w:val="009C14CA"/>
    <w:rsid w:val="009C4BA5"/>
    <w:rsid w:val="009C69FB"/>
    <w:rsid w:val="009C6D70"/>
    <w:rsid w:val="009C7CDC"/>
    <w:rsid w:val="009D0659"/>
    <w:rsid w:val="009D119A"/>
    <w:rsid w:val="009D440B"/>
    <w:rsid w:val="009D6721"/>
    <w:rsid w:val="009E0743"/>
    <w:rsid w:val="009E0762"/>
    <w:rsid w:val="009E16BB"/>
    <w:rsid w:val="009E3469"/>
    <w:rsid w:val="009E3575"/>
    <w:rsid w:val="009E4DD5"/>
    <w:rsid w:val="009E57B9"/>
    <w:rsid w:val="009E6258"/>
    <w:rsid w:val="009E63AB"/>
    <w:rsid w:val="009E6878"/>
    <w:rsid w:val="009F07ED"/>
    <w:rsid w:val="009F17FE"/>
    <w:rsid w:val="009F34A1"/>
    <w:rsid w:val="009F4617"/>
    <w:rsid w:val="009F47A7"/>
    <w:rsid w:val="009F707B"/>
    <w:rsid w:val="009F7990"/>
    <w:rsid w:val="009F7A6D"/>
    <w:rsid w:val="00A009D4"/>
    <w:rsid w:val="00A01B68"/>
    <w:rsid w:val="00A11885"/>
    <w:rsid w:val="00A12944"/>
    <w:rsid w:val="00A12F5D"/>
    <w:rsid w:val="00A14EFC"/>
    <w:rsid w:val="00A15C72"/>
    <w:rsid w:val="00A15DFA"/>
    <w:rsid w:val="00A1696D"/>
    <w:rsid w:val="00A22BE0"/>
    <w:rsid w:val="00A23AFA"/>
    <w:rsid w:val="00A24C4F"/>
    <w:rsid w:val="00A26FCB"/>
    <w:rsid w:val="00A2719F"/>
    <w:rsid w:val="00A27480"/>
    <w:rsid w:val="00A302E8"/>
    <w:rsid w:val="00A312B8"/>
    <w:rsid w:val="00A315F9"/>
    <w:rsid w:val="00A32C82"/>
    <w:rsid w:val="00A33A9C"/>
    <w:rsid w:val="00A34581"/>
    <w:rsid w:val="00A35315"/>
    <w:rsid w:val="00A35702"/>
    <w:rsid w:val="00A3641B"/>
    <w:rsid w:val="00A4166D"/>
    <w:rsid w:val="00A42FB5"/>
    <w:rsid w:val="00A442C3"/>
    <w:rsid w:val="00A449D3"/>
    <w:rsid w:val="00A4502E"/>
    <w:rsid w:val="00A4523E"/>
    <w:rsid w:val="00A474D4"/>
    <w:rsid w:val="00A52CD8"/>
    <w:rsid w:val="00A57FFA"/>
    <w:rsid w:val="00A60BE2"/>
    <w:rsid w:val="00A64BCE"/>
    <w:rsid w:val="00A66FC3"/>
    <w:rsid w:val="00A7014D"/>
    <w:rsid w:val="00A71047"/>
    <w:rsid w:val="00A77698"/>
    <w:rsid w:val="00A815BC"/>
    <w:rsid w:val="00A83596"/>
    <w:rsid w:val="00A835FF"/>
    <w:rsid w:val="00A83846"/>
    <w:rsid w:val="00A83E30"/>
    <w:rsid w:val="00A901DA"/>
    <w:rsid w:val="00A916E8"/>
    <w:rsid w:val="00A91C93"/>
    <w:rsid w:val="00A92349"/>
    <w:rsid w:val="00A92F77"/>
    <w:rsid w:val="00A937FA"/>
    <w:rsid w:val="00A944BC"/>
    <w:rsid w:val="00A97F3E"/>
    <w:rsid w:val="00AA1CCA"/>
    <w:rsid w:val="00AA2232"/>
    <w:rsid w:val="00AA31D4"/>
    <w:rsid w:val="00AA4C9C"/>
    <w:rsid w:val="00AB07B5"/>
    <w:rsid w:val="00AB0B25"/>
    <w:rsid w:val="00AB1D8F"/>
    <w:rsid w:val="00AB3AB7"/>
    <w:rsid w:val="00AB5A09"/>
    <w:rsid w:val="00AC14B3"/>
    <w:rsid w:val="00AC26E2"/>
    <w:rsid w:val="00AC4481"/>
    <w:rsid w:val="00AC54FF"/>
    <w:rsid w:val="00AC7A91"/>
    <w:rsid w:val="00AC7B96"/>
    <w:rsid w:val="00AD066A"/>
    <w:rsid w:val="00AD069F"/>
    <w:rsid w:val="00AD1100"/>
    <w:rsid w:val="00AD16E8"/>
    <w:rsid w:val="00AE0F52"/>
    <w:rsid w:val="00AE236B"/>
    <w:rsid w:val="00AE315A"/>
    <w:rsid w:val="00AE3450"/>
    <w:rsid w:val="00AE6923"/>
    <w:rsid w:val="00AE699D"/>
    <w:rsid w:val="00AF1477"/>
    <w:rsid w:val="00AF23B5"/>
    <w:rsid w:val="00AF33FC"/>
    <w:rsid w:val="00AF4C7A"/>
    <w:rsid w:val="00AF5461"/>
    <w:rsid w:val="00AF5CE0"/>
    <w:rsid w:val="00B003A5"/>
    <w:rsid w:val="00B00AA3"/>
    <w:rsid w:val="00B0111A"/>
    <w:rsid w:val="00B01DC8"/>
    <w:rsid w:val="00B02770"/>
    <w:rsid w:val="00B03CB4"/>
    <w:rsid w:val="00B042A9"/>
    <w:rsid w:val="00B065B6"/>
    <w:rsid w:val="00B072ED"/>
    <w:rsid w:val="00B0740E"/>
    <w:rsid w:val="00B07D2A"/>
    <w:rsid w:val="00B07E4C"/>
    <w:rsid w:val="00B1144E"/>
    <w:rsid w:val="00B1170E"/>
    <w:rsid w:val="00B131FA"/>
    <w:rsid w:val="00B1361D"/>
    <w:rsid w:val="00B13AF7"/>
    <w:rsid w:val="00B14A97"/>
    <w:rsid w:val="00B14CCC"/>
    <w:rsid w:val="00B15030"/>
    <w:rsid w:val="00B150FA"/>
    <w:rsid w:val="00B1617D"/>
    <w:rsid w:val="00B17E85"/>
    <w:rsid w:val="00B20520"/>
    <w:rsid w:val="00B20D8C"/>
    <w:rsid w:val="00B20EE3"/>
    <w:rsid w:val="00B21B7C"/>
    <w:rsid w:val="00B22AC5"/>
    <w:rsid w:val="00B24C6D"/>
    <w:rsid w:val="00B273CB"/>
    <w:rsid w:val="00B31971"/>
    <w:rsid w:val="00B323F0"/>
    <w:rsid w:val="00B32DC1"/>
    <w:rsid w:val="00B37E41"/>
    <w:rsid w:val="00B40D3A"/>
    <w:rsid w:val="00B42CD9"/>
    <w:rsid w:val="00B442D9"/>
    <w:rsid w:val="00B445DE"/>
    <w:rsid w:val="00B47304"/>
    <w:rsid w:val="00B47709"/>
    <w:rsid w:val="00B47C3D"/>
    <w:rsid w:val="00B50794"/>
    <w:rsid w:val="00B50EE6"/>
    <w:rsid w:val="00B5155B"/>
    <w:rsid w:val="00B51C9C"/>
    <w:rsid w:val="00B547CD"/>
    <w:rsid w:val="00B56F52"/>
    <w:rsid w:val="00B5729B"/>
    <w:rsid w:val="00B5789D"/>
    <w:rsid w:val="00B610FF"/>
    <w:rsid w:val="00B61DEE"/>
    <w:rsid w:val="00B67637"/>
    <w:rsid w:val="00B72BEA"/>
    <w:rsid w:val="00B757FB"/>
    <w:rsid w:val="00B763C7"/>
    <w:rsid w:val="00B76AE9"/>
    <w:rsid w:val="00B77E31"/>
    <w:rsid w:val="00B77E3B"/>
    <w:rsid w:val="00B816DD"/>
    <w:rsid w:val="00B81A18"/>
    <w:rsid w:val="00B81D8F"/>
    <w:rsid w:val="00B82AC2"/>
    <w:rsid w:val="00B83235"/>
    <w:rsid w:val="00B83B3D"/>
    <w:rsid w:val="00B83C4A"/>
    <w:rsid w:val="00B87A0A"/>
    <w:rsid w:val="00B914C2"/>
    <w:rsid w:val="00B93583"/>
    <w:rsid w:val="00B955B3"/>
    <w:rsid w:val="00B95C1A"/>
    <w:rsid w:val="00BA3333"/>
    <w:rsid w:val="00BA36B3"/>
    <w:rsid w:val="00BA3AF2"/>
    <w:rsid w:val="00BA4E68"/>
    <w:rsid w:val="00BA577F"/>
    <w:rsid w:val="00BA5B1F"/>
    <w:rsid w:val="00BA5B2C"/>
    <w:rsid w:val="00BA66B1"/>
    <w:rsid w:val="00BB0985"/>
    <w:rsid w:val="00BB1638"/>
    <w:rsid w:val="00BB33BC"/>
    <w:rsid w:val="00BB4BAF"/>
    <w:rsid w:val="00BB4EF1"/>
    <w:rsid w:val="00BB5FEA"/>
    <w:rsid w:val="00BB6E06"/>
    <w:rsid w:val="00BB7BBE"/>
    <w:rsid w:val="00BB7E8B"/>
    <w:rsid w:val="00BC1C98"/>
    <w:rsid w:val="00BC1DCF"/>
    <w:rsid w:val="00BC346D"/>
    <w:rsid w:val="00BC34EF"/>
    <w:rsid w:val="00BC35D4"/>
    <w:rsid w:val="00BC3D16"/>
    <w:rsid w:val="00BC66DF"/>
    <w:rsid w:val="00BD3E57"/>
    <w:rsid w:val="00BD3FCD"/>
    <w:rsid w:val="00BD4DFB"/>
    <w:rsid w:val="00BE16EE"/>
    <w:rsid w:val="00BE2DE0"/>
    <w:rsid w:val="00BE3510"/>
    <w:rsid w:val="00BE4071"/>
    <w:rsid w:val="00BE4BA6"/>
    <w:rsid w:val="00BE611C"/>
    <w:rsid w:val="00BE6C86"/>
    <w:rsid w:val="00BE761E"/>
    <w:rsid w:val="00BF0827"/>
    <w:rsid w:val="00BF2208"/>
    <w:rsid w:val="00BF2F4A"/>
    <w:rsid w:val="00BF3093"/>
    <w:rsid w:val="00BF3C89"/>
    <w:rsid w:val="00BF43D9"/>
    <w:rsid w:val="00BF4912"/>
    <w:rsid w:val="00BF4EB8"/>
    <w:rsid w:val="00C00BA8"/>
    <w:rsid w:val="00C01334"/>
    <w:rsid w:val="00C01528"/>
    <w:rsid w:val="00C04531"/>
    <w:rsid w:val="00C04558"/>
    <w:rsid w:val="00C04EA1"/>
    <w:rsid w:val="00C05F83"/>
    <w:rsid w:val="00C07784"/>
    <w:rsid w:val="00C11AAF"/>
    <w:rsid w:val="00C11EFF"/>
    <w:rsid w:val="00C12370"/>
    <w:rsid w:val="00C124E6"/>
    <w:rsid w:val="00C12BAE"/>
    <w:rsid w:val="00C12DB3"/>
    <w:rsid w:val="00C12F53"/>
    <w:rsid w:val="00C13F83"/>
    <w:rsid w:val="00C15167"/>
    <w:rsid w:val="00C15382"/>
    <w:rsid w:val="00C15A52"/>
    <w:rsid w:val="00C15ECA"/>
    <w:rsid w:val="00C16531"/>
    <w:rsid w:val="00C1705F"/>
    <w:rsid w:val="00C1764C"/>
    <w:rsid w:val="00C20E93"/>
    <w:rsid w:val="00C222F3"/>
    <w:rsid w:val="00C23BF2"/>
    <w:rsid w:val="00C24004"/>
    <w:rsid w:val="00C24455"/>
    <w:rsid w:val="00C24695"/>
    <w:rsid w:val="00C24726"/>
    <w:rsid w:val="00C254F0"/>
    <w:rsid w:val="00C26F54"/>
    <w:rsid w:val="00C33EB2"/>
    <w:rsid w:val="00C37799"/>
    <w:rsid w:val="00C37CD0"/>
    <w:rsid w:val="00C405C2"/>
    <w:rsid w:val="00C411DB"/>
    <w:rsid w:val="00C4210E"/>
    <w:rsid w:val="00C44018"/>
    <w:rsid w:val="00C46557"/>
    <w:rsid w:val="00C46D59"/>
    <w:rsid w:val="00C46DC6"/>
    <w:rsid w:val="00C47030"/>
    <w:rsid w:val="00C4789A"/>
    <w:rsid w:val="00C50D84"/>
    <w:rsid w:val="00C51603"/>
    <w:rsid w:val="00C55401"/>
    <w:rsid w:val="00C55A2D"/>
    <w:rsid w:val="00C574B0"/>
    <w:rsid w:val="00C612DD"/>
    <w:rsid w:val="00C6172C"/>
    <w:rsid w:val="00C61F76"/>
    <w:rsid w:val="00C679CE"/>
    <w:rsid w:val="00C7079F"/>
    <w:rsid w:val="00C71E83"/>
    <w:rsid w:val="00C72533"/>
    <w:rsid w:val="00C72589"/>
    <w:rsid w:val="00C764C8"/>
    <w:rsid w:val="00C81090"/>
    <w:rsid w:val="00C82321"/>
    <w:rsid w:val="00C832E4"/>
    <w:rsid w:val="00C8389C"/>
    <w:rsid w:val="00C84FCE"/>
    <w:rsid w:val="00C852A9"/>
    <w:rsid w:val="00C8745C"/>
    <w:rsid w:val="00C90AD4"/>
    <w:rsid w:val="00C93740"/>
    <w:rsid w:val="00C94D9D"/>
    <w:rsid w:val="00C9609F"/>
    <w:rsid w:val="00C961E7"/>
    <w:rsid w:val="00CA06B1"/>
    <w:rsid w:val="00CA06FD"/>
    <w:rsid w:val="00CA0796"/>
    <w:rsid w:val="00CA1E61"/>
    <w:rsid w:val="00CA635B"/>
    <w:rsid w:val="00CA6B55"/>
    <w:rsid w:val="00CA7E2B"/>
    <w:rsid w:val="00CB295C"/>
    <w:rsid w:val="00CB2B08"/>
    <w:rsid w:val="00CB2F62"/>
    <w:rsid w:val="00CB30DC"/>
    <w:rsid w:val="00CB39C7"/>
    <w:rsid w:val="00CB6300"/>
    <w:rsid w:val="00CB709D"/>
    <w:rsid w:val="00CB7B6B"/>
    <w:rsid w:val="00CB7E04"/>
    <w:rsid w:val="00CC0BE8"/>
    <w:rsid w:val="00CC300E"/>
    <w:rsid w:val="00CC3396"/>
    <w:rsid w:val="00CC3CE6"/>
    <w:rsid w:val="00CC3E11"/>
    <w:rsid w:val="00CC5944"/>
    <w:rsid w:val="00CC6700"/>
    <w:rsid w:val="00CC6D89"/>
    <w:rsid w:val="00CC6F63"/>
    <w:rsid w:val="00CD02F6"/>
    <w:rsid w:val="00CD052F"/>
    <w:rsid w:val="00CD1278"/>
    <w:rsid w:val="00CD20F8"/>
    <w:rsid w:val="00CD34E9"/>
    <w:rsid w:val="00CD3EF6"/>
    <w:rsid w:val="00CD798E"/>
    <w:rsid w:val="00CE116F"/>
    <w:rsid w:val="00CE1403"/>
    <w:rsid w:val="00CE2FD5"/>
    <w:rsid w:val="00CE452F"/>
    <w:rsid w:val="00CE7902"/>
    <w:rsid w:val="00CE7F8F"/>
    <w:rsid w:val="00CF1A8C"/>
    <w:rsid w:val="00CF35E9"/>
    <w:rsid w:val="00CF43F2"/>
    <w:rsid w:val="00CF464C"/>
    <w:rsid w:val="00CF4B8D"/>
    <w:rsid w:val="00CF512C"/>
    <w:rsid w:val="00CF644A"/>
    <w:rsid w:val="00D00AB4"/>
    <w:rsid w:val="00D02312"/>
    <w:rsid w:val="00D0333B"/>
    <w:rsid w:val="00D0406D"/>
    <w:rsid w:val="00D06CF4"/>
    <w:rsid w:val="00D1088E"/>
    <w:rsid w:val="00D11244"/>
    <w:rsid w:val="00D113CD"/>
    <w:rsid w:val="00D162BC"/>
    <w:rsid w:val="00D167BB"/>
    <w:rsid w:val="00D205BA"/>
    <w:rsid w:val="00D20805"/>
    <w:rsid w:val="00D20EF1"/>
    <w:rsid w:val="00D25882"/>
    <w:rsid w:val="00D25F59"/>
    <w:rsid w:val="00D267A9"/>
    <w:rsid w:val="00D3025A"/>
    <w:rsid w:val="00D31B84"/>
    <w:rsid w:val="00D3255C"/>
    <w:rsid w:val="00D3420E"/>
    <w:rsid w:val="00D34779"/>
    <w:rsid w:val="00D356CF"/>
    <w:rsid w:val="00D4206A"/>
    <w:rsid w:val="00D44393"/>
    <w:rsid w:val="00D446FE"/>
    <w:rsid w:val="00D447C5"/>
    <w:rsid w:val="00D45C1D"/>
    <w:rsid w:val="00D50135"/>
    <w:rsid w:val="00D50A1F"/>
    <w:rsid w:val="00D50C61"/>
    <w:rsid w:val="00D53926"/>
    <w:rsid w:val="00D53B6D"/>
    <w:rsid w:val="00D5467C"/>
    <w:rsid w:val="00D55B35"/>
    <w:rsid w:val="00D56EED"/>
    <w:rsid w:val="00D6141B"/>
    <w:rsid w:val="00D63D29"/>
    <w:rsid w:val="00D6438C"/>
    <w:rsid w:val="00D648E8"/>
    <w:rsid w:val="00D6498B"/>
    <w:rsid w:val="00D65AC8"/>
    <w:rsid w:val="00D65C12"/>
    <w:rsid w:val="00D65EC9"/>
    <w:rsid w:val="00D66805"/>
    <w:rsid w:val="00D7008E"/>
    <w:rsid w:val="00D70BC1"/>
    <w:rsid w:val="00D723DB"/>
    <w:rsid w:val="00D72F00"/>
    <w:rsid w:val="00D7641A"/>
    <w:rsid w:val="00D77E01"/>
    <w:rsid w:val="00D807D1"/>
    <w:rsid w:val="00D81489"/>
    <w:rsid w:val="00D81AED"/>
    <w:rsid w:val="00D81DC6"/>
    <w:rsid w:val="00D8395C"/>
    <w:rsid w:val="00D84E2D"/>
    <w:rsid w:val="00D867F5"/>
    <w:rsid w:val="00D87BEB"/>
    <w:rsid w:val="00D87CA7"/>
    <w:rsid w:val="00D91676"/>
    <w:rsid w:val="00D9281D"/>
    <w:rsid w:val="00D957AB"/>
    <w:rsid w:val="00D9695C"/>
    <w:rsid w:val="00DA0270"/>
    <w:rsid w:val="00DA04D6"/>
    <w:rsid w:val="00DA0675"/>
    <w:rsid w:val="00DA06FC"/>
    <w:rsid w:val="00DA313B"/>
    <w:rsid w:val="00DA50A3"/>
    <w:rsid w:val="00DA56F0"/>
    <w:rsid w:val="00DA5A83"/>
    <w:rsid w:val="00DA5F0B"/>
    <w:rsid w:val="00DA729C"/>
    <w:rsid w:val="00DB0F38"/>
    <w:rsid w:val="00DB4C8D"/>
    <w:rsid w:val="00DB58AA"/>
    <w:rsid w:val="00DB5F13"/>
    <w:rsid w:val="00DB645E"/>
    <w:rsid w:val="00DB6704"/>
    <w:rsid w:val="00DB6B07"/>
    <w:rsid w:val="00DB7DBD"/>
    <w:rsid w:val="00DC014B"/>
    <w:rsid w:val="00DC159F"/>
    <w:rsid w:val="00DC2236"/>
    <w:rsid w:val="00DC3338"/>
    <w:rsid w:val="00DC4551"/>
    <w:rsid w:val="00DC5B32"/>
    <w:rsid w:val="00DD40C0"/>
    <w:rsid w:val="00DD6F9B"/>
    <w:rsid w:val="00DE0A87"/>
    <w:rsid w:val="00DE11FA"/>
    <w:rsid w:val="00DE2FEA"/>
    <w:rsid w:val="00DE3B4F"/>
    <w:rsid w:val="00DE5630"/>
    <w:rsid w:val="00DE5FF0"/>
    <w:rsid w:val="00DE6518"/>
    <w:rsid w:val="00DE6E83"/>
    <w:rsid w:val="00DF0EC6"/>
    <w:rsid w:val="00DF26E7"/>
    <w:rsid w:val="00DF372E"/>
    <w:rsid w:val="00DF6DBF"/>
    <w:rsid w:val="00DF6EF9"/>
    <w:rsid w:val="00E04585"/>
    <w:rsid w:val="00E049A4"/>
    <w:rsid w:val="00E051E1"/>
    <w:rsid w:val="00E061CA"/>
    <w:rsid w:val="00E061FF"/>
    <w:rsid w:val="00E07531"/>
    <w:rsid w:val="00E1233F"/>
    <w:rsid w:val="00E125AF"/>
    <w:rsid w:val="00E12F39"/>
    <w:rsid w:val="00E13082"/>
    <w:rsid w:val="00E1342A"/>
    <w:rsid w:val="00E14388"/>
    <w:rsid w:val="00E1687C"/>
    <w:rsid w:val="00E2103D"/>
    <w:rsid w:val="00E21788"/>
    <w:rsid w:val="00E22831"/>
    <w:rsid w:val="00E242D3"/>
    <w:rsid w:val="00E24CA4"/>
    <w:rsid w:val="00E266FD"/>
    <w:rsid w:val="00E30877"/>
    <w:rsid w:val="00E30D11"/>
    <w:rsid w:val="00E32889"/>
    <w:rsid w:val="00E32DD2"/>
    <w:rsid w:val="00E348CA"/>
    <w:rsid w:val="00E36C6E"/>
    <w:rsid w:val="00E37FA1"/>
    <w:rsid w:val="00E4066A"/>
    <w:rsid w:val="00E414F8"/>
    <w:rsid w:val="00E42757"/>
    <w:rsid w:val="00E42C19"/>
    <w:rsid w:val="00E4363B"/>
    <w:rsid w:val="00E43A15"/>
    <w:rsid w:val="00E4472A"/>
    <w:rsid w:val="00E46C04"/>
    <w:rsid w:val="00E47077"/>
    <w:rsid w:val="00E476A4"/>
    <w:rsid w:val="00E52101"/>
    <w:rsid w:val="00E52653"/>
    <w:rsid w:val="00E53C53"/>
    <w:rsid w:val="00E5575C"/>
    <w:rsid w:val="00E56ADF"/>
    <w:rsid w:val="00E6165E"/>
    <w:rsid w:val="00E641A6"/>
    <w:rsid w:val="00E649DD"/>
    <w:rsid w:val="00E6714F"/>
    <w:rsid w:val="00E705D3"/>
    <w:rsid w:val="00E70D89"/>
    <w:rsid w:val="00E71C74"/>
    <w:rsid w:val="00E72052"/>
    <w:rsid w:val="00E73146"/>
    <w:rsid w:val="00E7317F"/>
    <w:rsid w:val="00E73276"/>
    <w:rsid w:val="00E75C9B"/>
    <w:rsid w:val="00E76ACE"/>
    <w:rsid w:val="00E807BA"/>
    <w:rsid w:val="00E84012"/>
    <w:rsid w:val="00E84480"/>
    <w:rsid w:val="00E860CF"/>
    <w:rsid w:val="00E861DA"/>
    <w:rsid w:val="00E86F6F"/>
    <w:rsid w:val="00E90358"/>
    <w:rsid w:val="00E904E5"/>
    <w:rsid w:val="00E909F3"/>
    <w:rsid w:val="00E91F68"/>
    <w:rsid w:val="00E94E50"/>
    <w:rsid w:val="00E959E8"/>
    <w:rsid w:val="00E96A0E"/>
    <w:rsid w:val="00EA0C62"/>
    <w:rsid w:val="00EA3CAE"/>
    <w:rsid w:val="00EA3FE7"/>
    <w:rsid w:val="00EA4268"/>
    <w:rsid w:val="00EA7897"/>
    <w:rsid w:val="00EB1779"/>
    <w:rsid w:val="00EB1B66"/>
    <w:rsid w:val="00EB208A"/>
    <w:rsid w:val="00EB2FB3"/>
    <w:rsid w:val="00EB4959"/>
    <w:rsid w:val="00EB4B99"/>
    <w:rsid w:val="00EB64E7"/>
    <w:rsid w:val="00EC11E4"/>
    <w:rsid w:val="00EC1AE7"/>
    <w:rsid w:val="00EC5E91"/>
    <w:rsid w:val="00EC7970"/>
    <w:rsid w:val="00EC7FD4"/>
    <w:rsid w:val="00ED0053"/>
    <w:rsid w:val="00ED0115"/>
    <w:rsid w:val="00ED157F"/>
    <w:rsid w:val="00ED1EC3"/>
    <w:rsid w:val="00ED2F45"/>
    <w:rsid w:val="00ED4012"/>
    <w:rsid w:val="00ED415A"/>
    <w:rsid w:val="00ED4625"/>
    <w:rsid w:val="00ED464E"/>
    <w:rsid w:val="00ED55A2"/>
    <w:rsid w:val="00ED6967"/>
    <w:rsid w:val="00EE010A"/>
    <w:rsid w:val="00EE143D"/>
    <w:rsid w:val="00EE157C"/>
    <w:rsid w:val="00EE3249"/>
    <w:rsid w:val="00EE358E"/>
    <w:rsid w:val="00EE3CF9"/>
    <w:rsid w:val="00EE4A0B"/>
    <w:rsid w:val="00EE5074"/>
    <w:rsid w:val="00EF12CB"/>
    <w:rsid w:val="00EF4AF0"/>
    <w:rsid w:val="00EF4F0C"/>
    <w:rsid w:val="00EF7056"/>
    <w:rsid w:val="00F0033E"/>
    <w:rsid w:val="00F02A7A"/>
    <w:rsid w:val="00F02D29"/>
    <w:rsid w:val="00F03624"/>
    <w:rsid w:val="00F05FE8"/>
    <w:rsid w:val="00F06057"/>
    <w:rsid w:val="00F07EF9"/>
    <w:rsid w:val="00F134D1"/>
    <w:rsid w:val="00F14251"/>
    <w:rsid w:val="00F1463E"/>
    <w:rsid w:val="00F15A09"/>
    <w:rsid w:val="00F16DB4"/>
    <w:rsid w:val="00F205BC"/>
    <w:rsid w:val="00F2188C"/>
    <w:rsid w:val="00F24439"/>
    <w:rsid w:val="00F24500"/>
    <w:rsid w:val="00F27259"/>
    <w:rsid w:val="00F3014C"/>
    <w:rsid w:val="00F32882"/>
    <w:rsid w:val="00F353C3"/>
    <w:rsid w:val="00F353CE"/>
    <w:rsid w:val="00F361D0"/>
    <w:rsid w:val="00F3651B"/>
    <w:rsid w:val="00F36754"/>
    <w:rsid w:val="00F37163"/>
    <w:rsid w:val="00F40AF4"/>
    <w:rsid w:val="00F435F1"/>
    <w:rsid w:val="00F4448E"/>
    <w:rsid w:val="00F45F9D"/>
    <w:rsid w:val="00F47958"/>
    <w:rsid w:val="00F47DD6"/>
    <w:rsid w:val="00F51224"/>
    <w:rsid w:val="00F5541C"/>
    <w:rsid w:val="00F6446F"/>
    <w:rsid w:val="00F65411"/>
    <w:rsid w:val="00F702E0"/>
    <w:rsid w:val="00F710FC"/>
    <w:rsid w:val="00F73E58"/>
    <w:rsid w:val="00F7406E"/>
    <w:rsid w:val="00F74249"/>
    <w:rsid w:val="00F75473"/>
    <w:rsid w:val="00F75C7C"/>
    <w:rsid w:val="00F7795D"/>
    <w:rsid w:val="00F77DD7"/>
    <w:rsid w:val="00F80C2C"/>
    <w:rsid w:val="00F838BA"/>
    <w:rsid w:val="00F84751"/>
    <w:rsid w:val="00F85075"/>
    <w:rsid w:val="00F860DD"/>
    <w:rsid w:val="00F90A6B"/>
    <w:rsid w:val="00F937B0"/>
    <w:rsid w:val="00F93E48"/>
    <w:rsid w:val="00F95169"/>
    <w:rsid w:val="00F956E4"/>
    <w:rsid w:val="00F96952"/>
    <w:rsid w:val="00F96BA5"/>
    <w:rsid w:val="00FA1909"/>
    <w:rsid w:val="00FA2073"/>
    <w:rsid w:val="00FA521B"/>
    <w:rsid w:val="00FA6ABB"/>
    <w:rsid w:val="00FA79D1"/>
    <w:rsid w:val="00FA7E0A"/>
    <w:rsid w:val="00FB0CB0"/>
    <w:rsid w:val="00FB131A"/>
    <w:rsid w:val="00FB1797"/>
    <w:rsid w:val="00FB2652"/>
    <w:rsid w:val="00FC12FF"/>
    <w:rsid w:val="00FC2714"/>
    <w:rsid w:val="00FC4AD5"/>
    <w:rsid w:val="00FC5CAE"/>
    <w:rsid w:val="00FD241B"/>
    <w:rsid w:val="00FD27D9"/>
    <w:rsid w:val="00FD2ADF"/>
    <w:rsid w:val="00FD6E5F"/>
    <w:rsid w:val="00FD732C"/>
    <w:rsid w:val="00FD7A82"/>
    <w:rsid w:val="00FD7A96"/>
    <w:rsid w:val="00FE0A6D"/>
    <w:rsid w:val="00FE17A0"/>
    <w:rsid w:val="00FE2301"/>
    <w:rsid w:val="00FE3202"/>
    <w:rsid w:val="00FE3976"/>
    <w:rsid w:val="00FE4274"/>
    <w:rsid w:val="00FE4FD0"/>
    <w:rsid w:val="00FE5327"/>
    <w:rsid w:val="00FE5D1D"/>
    <w:rsid w:val="00FE6FF7"/>
    <w:rsid w:val="00FF515A"/>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semiHidden/>
    <w:rsid w:val="00F40AF4"/>
    <w:rPr>
      <w:sz w:val="20"/>
      <w:szCs w:val="20"/>
    </w:rPr>
  </w:style>
  <w:style w:type="character" w:styleId="FootnoteReference">
    <w:name w:val="footnote reference"/>
    <w:aliases w:val="o,fr"/>
    <w:basedOn w:val="DefaultParagraphFont"/>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semiHidden/>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A77698"/>
    <w:rPr>
      <w:sz w:val="24"/>
      <w:szCs w:val="24"/>
    </w:rPr>
  </w:style>
  <w:style w:type="paragraph" w:styleId="BalloonText">
    <w:name w:val="Balloon Text"/>
    <w:basedOn w:val="Normal"/>
    <w:link w:val="BalloonTextChar"/>
    <w:rsid w:val="00462A1F"/>
    <w:rPr>
      <w:rFonts w:ascii="Tahoma" w:hAnsi="Tahoma" w:cs="Tahoma"/>
      <w:sz w:val="16"/>
      <w:szCs w:val="16"/>
    </w:rPr>
  </w:style>
  <w:style w:type="character" w:customStyle="1" w:styleId="BalloonTextChar">
    <w:name w:val="Balloon Text Char"/>
    <w:basedOn w:val="DefaultParagraphFont"/>
    <w:link w:val="BalloonText"/>
    <w:rsid w:val="00462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semiHidden/>
    <w:rsid w:val="00F40AF4"/>
    <w:rPr>
      <w:sz w:val="20"/>
      <w:szCs w:val="20"/>
    </w:rPr>
  </w:style>
  <w:style w:type="character" w:styleId="FootnoteReference">
    <w:name w:val="footnote reference"/>
    <w:aliases w:val="o,fr"/>
    <w:basedOn w:val="DefaultParagraphFont"/>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semiHidden/>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A77698"/>
    <w:rPr>
      <w:sz w:val="24"/>
      <w:szCs w:val="24"/>
    </w:rPr>
  </w:style>
  <w:style w:type="paragraph" w:styleId="BalloonText">
    <w:name w:val="Balloon Text"/>
    <w:basedOn w:val="Normal"/>
    <w:link w:val="BalloonTextChar"/>
    <w:rsid w:val="00462A1F"/>
    <w:rPr>
      <w:rFonts w:ascii="Tahoma" w:hAnsi="Tahoma" w:cs="Tahoma"/>
      <w:sz w:val="16"/>
      <w:szCs w:val="16"/>
    </w:rPr>
  </w:style>
  <w:style w:type="character" w:customStyle="1" w:styleId="BalloonTextChar">
    <w:name w:val="Balloon Text Char"/>
    <w:basedOn w:val="DefaultParagraphFont"/>
    <w:link w:val="BalloonText"/>
    <w:rsid w:val="00462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73650">
      <w:bodyDiv w:val="1"/>
      <w:marLeft w:val="0"/>
      <w:marRight w:val="0"/>
      <w:marTop w:val="0"/>
      <w:marBottom w:val="0"/>
      <w:divBdr>
        <w:top w:val="none" w:sz="0" w:space="0" w:color="auto"/>
        <w:left w:val="none" w:sz="0" w:space="0" w:color="auto"/>
        <w:bottom w:val="none" w:sz="0" w:space="0" w:color="auto"/>
        <w:right w:val="none" w:sz="0" w:space="0" w:color="auto"/>
      </w:divBdr>
    </w:div>
    <w:div w:id="18785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63464-DC0E-4BC5-8F96-BA900FE3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23064</Words>
  <Characters>131471</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2</cp:revision>
  <cp:lastPrinted>2013-04-04T18:02:00Z</cp:lastPrinted>
  <dcterms:created xsi:type="dcterms:W3CDTF">2013-04-24T16:09:00Z</dcterms:created>
  <dcterms:modified xsi:type="dcterms:W3CDTF">2013-04-24T16:09:00Z</dcterms:modified>
</cp:coreProperties>
</file>