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A9" w:rsidRPr="002401A9" w:rsidRDefault="002401A9" w:rsidP="002401A9">
      <w:pPr>
        <w:autoSpaceDN w:val="0"/>
        <w:spacing w:line="240" w:lineRule="auto"/>
        <w:rPr>
          <w:rFonts w:eastAsia="Calibri"/>
          <w:b/>
        </w:rPr>
      </w:pPr>
      <w:bookmarkStart w:id="0" w:name="_GoBack"/>
      <w:bookmarkEnd w:id="0"/>
      <w:r w:rsidRPr="002401A9">
        <w:rPr>
          <w:rFonts w:eastAsia="Calibri"/>
          <w:b/>
        </w:rPr>
        <w:t xml:space="preserve">BEFORE THE </w:t>
      </w:r>
    </w:p>
    <w:p w:rsidR="002401A9" w:rsidRPr="002401A9" w:rsidRDefault="002401A9" w:rsidP="002401A9">
      <w:pPr>
        <w:autoSpaceDN w:val="0"/>
        <w:spacing w:line="240" w:lineRule="auto"/>
        <w:rPr>
          <w:rFonts w:eastAsia="Calibri"/>
          <w:b/>
        </w:rPr>
      </w:pPr>
      <w:r w:rsidRPr="002401A9">
        <w:rPr>
          <w:rFonts w:eastAsia="Calibri"/>
          <w:b/>
        </w:rPr>
        <w:t>PENNSYLVANIA PUBLIC UTILITY COMMISSION</w:t>
      </w:r>
    </w:p>
    <w:p w:rsidR="002401A9" w:rsidRPr="002401A9" w:rsidRDefault="002401A9" w:rsidP="002401A9">
      <w:pPr>
        <w:autoSpaceDN w:val="0"/>
        <w:spacing w:line="240" w:lineRule="auto"/>
        <w:rPr>
          <w:rFonts w:eastAsia="Calibri"/>
          <w:b/>
        </w:rPr>
      </w:pPr>
    </w:p>
    <w:p w:rsidR="002401A9" w:rsidRPr="002401A9" w:rsidRDefault="002401A9" w:rsidP="002401A9">
      <w:pPr>
        <w:autoSpaceDN w:val="0"/>
        <w:spacing w:line="240" w:lineRule="auto"/>
        <w:rPr>
          <w:rFonts w:eastAsia="Calibri"/>
          <w:b/>
        </w:rPr>
      </w:pPr>
    </w:p>
    <w:p w:rsidR="002401A9" w:rsidRPr="002401A9" w:rsidRDefault="002401A9" w:rsidP="002401A9">
      <w:pPr>
        <w:autoSpaceDN w:val="0"/>
        <w:spacing w:line="240" w:lineRule="auto"/>
        <w:rPr>
          <w:rFonts w:eastAsia="Calibri"/>
          <w:b/>
        </w:rPr>
      </w:pPr>
    </w:p>
    <w:p w:rsidR="002401A9" w:rsidRPr="002401A9" w:rsidRDefault="002401A9" w:rsidP="002401A9">
      <w:pPr>
        <w:autoSpaceDN w:val="0"/>
        <w:spacing w:line="240" w:lineRule="auto"/>
        <w:jc w:val="left"/>
        <w:rPr>
          <w:rFonts w:eastAsia="Calibri"/>
        </w:rPr>
      </w:pPr>
      <w:proofErr w:type="spellStart"/>
      <w:r w:rsidRPr="002401A9">
        <w:rPr>
          <w:rFonts w:eastAsia="Calibri"/>
        </w:rPr>
        <w:t>Suong</w:t>
      </w:r>
      <w:proofErr w:type="spellEnd"/>
      <w:r w:rsidRPr="002401A9">
        <w:rPr>
          <w:rFonts w:eastAsia="Calibri"/>
        </w:rPr>
        <w:t xml:space="preserve"> Tran</w:t>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t>:</w:t>
      </w:r>
    </w:p>
    <w:p w:rsidR="002401A9" w:rsidRPr="002401A9" w:rsidRDefault="002401A9" w:rsidP="002401A9">
      <w:pPr>
        <w:autoSpaceDN w:val="0"/>
        <w:spacing w:line="240" w:lineRule="auto"/>
        <w:jc w:val="left"/>
        <w:rPr>
          <w:rFonts w:eastAsia="Calibri"/>
        </w:rPr>
      </w:pP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t>:</w:t>
      </w:r>
    </w:p>
    <w:p w:rsidR="002401A9" w:rsidRPr="002401A9" w:rsidRDefault="002401A9" w:rsidP="002401A9">
      <w:pPr>
        <w:autoSpaceDN w:val="0"/>
        <w:spacing w:line="240" w:lineRule="auto"/>
        <w:jc w:val="left"/>
        <w:rPr>
          <w:rFonts w:eastAsia="Calibri"/>
        </w:rPr>
      </w:pPr>
      <w:r w:rsidRPr="002401A9">
        <w:rPr>
          <w:rFonts w:eastAsia="Calibri"/>
        </w:rPr>
        <w:tab/>
        <w:t>v.</w:t>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t>:</w:t>
      </w:r>
      <w:r w:rsidRPr="002401A9">
        <w:rPr>
          <w:rFonts w:eastAsia="Calibri"/>
        </w:rPr>
        <w:tab/>
      </w:r>
      <w:r w:rsidRPr="002401A9">
        <w:rPr>
          <w:rFonts w:eastAsia="Calibri"/>
        </w:rPr>
        <w:tab/>
      </w:r>
      <w:r>
        <w:rPr>
          <w:rFonts w:eastAsia="Calibri"/>
        </w:rPr>
        <w:tab/>
      </w:r>
      <w:r w:rsidRPr="002401A9">
        <w:rPr>
          <w:rFonts w:eastAsia="Calibri"/>
        </w:rPr>
        <w:t>F-2012-2340655</w:t>
      </w:r>
    </w:p>
    <w:p w:rsidR="002401A9" w:rsidRPr="002401A9" w:rsidRDefault="002401A9" w:rsidP="002401A9">
      <w:pPr>
        <w:autoSpaceDN w:val="0"/>
        <w:spacing w:line="240" w:lineRule="auto"/>
        <w:jc w:val="left"/>
        <w:rPr>
          <w:rFonts w:eastAsia="Calibri"/>
        </w:rPr>
      </w:pP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r>
      <w:r w:rsidRPr="002401A9">
        <w:rPr>
          <w:rFonts w:eastAsia="Calibri"/>
        </w:rPr>
        <w:tab/>
        <w:t>:</w:t>
      </w:r>
    </w:p>
    <w:p w:rsidR="002401A9" w:rsidRPr="002401A9" w:rsidRDefault="002401A9" w:rsidP="002401A9">
      <w:pPr>
        <w:autoSpaceDN w:val="0"/>
        <w:spacing w:line="240" w:lineRule="auto"/>
        <w:jc w:val="left"/>
        <w:rPr>
          <w:rFonts w:eastAsia="Calibri"/>
        </w:rPr>
      </w:pPr>
      <w:r w:rsidRPr="002401A9">
        <w:rPr>
          <w:rFonts w:eastAsia="Calibri"/>
        </w:rPr>
        <w:t>PECO Energy Company</w:t>
      </w:r>
      <w:r w:rsidRPr="002401A9">
        <w:rPr>
          <w:rFonts w:eastAsia="Calibri"/>
        </w:rPr>
        <w:tab/>
      </w:r>
      <w:r w:rsidRPr="002401A9">
        <w:rPr>
          <w:rFonts w:eastAsia="Calibri"/>
        </w:rPr>
        <w:tab/>
      </w:r>
      <w:r w:rsidRPr="002401A9">
        <w:rPr>
          <w:rFonts w:eastAsia="Calibri"/>
        </w:rPr>
        <w:tab/>
      </w:r>
      <w:r w:rsidRPr="002401A9">
        <w:rPr>
          <w:rFonts w:eastAsia="Calibri"/>
        </w:rPr>
        <w:tab/>
        <w:t>:</w:t>
      </w:r>
    </w:p>
    <w:p w:rsidR="002401A9" w:rsidRPr="002401A9" w:rsidRDefault="002401A9" w:rsidP="002401A9">
      <w:pPr>
        <w:autoSpaceDN w:val="0"/>
        <w:spacing w:line="240" w:lineRule="auto"/>
        <w:jc w:val="left"/>
        <w:rPr>
          <w:rFonts w:eastAsia="Calibri"/>
        </w:rPr>
      </w:pPr>
    </w:p>
    <w:p w:rsidR="002401A9" w:rsidRPr="002401A9" w:rsidRDefault="002401A9" w:rsidP="002401A9">
      <w:pPr>
        <w:autoSpaceDN w:val="0"/>
        <w:spacing w:line="240" w:lineRule="auto"/>
        <w:jc w:val="left"/>
        <w:rPr>
          <w:rFonts w:eastAsia="Calibri"/>
        </w:rPr>
      </w:pPr>
    </w:p>
    <w:p w:rsidR="002401A9" w:rsidRPr="002401A9" w:rsidRDefault="002401A9" w:rsidP="002401A9">
      <w:pPr>
        <w:autoSpaceDN w:val="0"/>
        <w:spacing w:line="240" w:lineRule="auto"/>
        <w:jc w:val="left"/>
        <w:rPr>
          <w:rFonts w:eastAsia="Calibri"/>
        </w:rPr>
      </w:pPr>
    </w:p>
    <w:p w:rsidR="002401A9" w:rsidRPr="002401A9" w:rsidRDefault="002401A9" w:rsidP="002401A9">
      <w:pPr>
        <w:autoSpaceDN w:val="0"/>
        <w:spacing w:line="240" w:lineRule="auto"/>
        <w:rPr>
          <w:rFonts w:eastAsia="Calibri"/>
          <w:b/>
          <w:u w:val="single"/>
        </w:rPr>
      </w:pPr>
      <w:r w:rsidRPr="002401A9">
        <w:rPr>
          <w:rFonts w:eastAsia="Calibri"/>
          <w:b/>
          <w:u w:val="single"/>
        </w:rPr>
        <w:t>INITIAL DECISION</w:t>
      </w:r>
    </w:p>
    <w:p w:rsidR="002401A9" w:rsidRPr="002401A9" w:rsidRDefault="002401A9" w:rsidP="002401A9">
      <w:pPr>
        <w:autoSpaceDN w:val="0"/>
        <w:spacing w:line="240" w:lineRule="auto"/>
        <w:rPr>
          <w:rFonts w:eastAsia="Calibri"/>
          <w:b/>
          <w:u w:val="single"/>
        </w:rPr>
      </w:pPr>
    </w:p>
    <w:p w:rsidR="002401A9" w:rsidRPr="002401A9" w:rsidRDefault="002401A9" w:rsidP="002401A9">
      <w:pPr>
        <w:autoSpaceDN w:val="0"/>
        <w:spacing w:line="240" w:lineRule="auto"/>
        <w:rPr>
          <w:rFonts w:eastAsia="Calibri"/>
          <w:b/>
          <w:u w:val="single"/>
        </w:rPr>
      </w:pPr>
    </w:p>
    <w:p w:rsidR="002401A9" w:rsidRPr="002401A9" w:rsidRDefault="002401A9" w:rsidP="002401A9">
      <w:pPr>
        <w:autoSpaceDN w:val="0"/>
        <w:spacing w:line="240" w:lineRule="auto"/>
        <w:rPr>
          <w:rFonts w:eastAsia="Calibri"/>
        </w:rPr>
      </w:pPr>
      <w:r w:rsidRPr="002401A9">
        <w:rPr>
          <w:rFonts w:eastAsia="Calibri"/>
        </w:rPr>
        <w:t>Before</w:t>
      </w:r>
    </w:p>
    <w:p w:rsidR="002401A9" w:rsidRPr="002401A9" w:rsidRDefault="002401A9" w:rsidP="002401A9">
      <w:pPr>
        <w:autoSpaceDN w:val="0"/>
        <w:spacing w:line="240" w:lineRule="auto"/>
        <w:rPr>
          <w:rFonts w:eastAsia="Calibri"/>
        </w:rPr>
      </w:pPr>
      <w:r w:rsidRPr="002401A9">
        <w:rPr>
          <w:rFonts w:eastAsia="Calibri"/>
        </w:rPr>
        <w:t>Susan D. Colwell</w:t>
      </w:r>
    </w:p>
    <w:p w:rsidR="002401A9" w:rsidRPr="002401A9" w:rsidRDefault="002401A9" w:rsidP="002401A9">
      <w:pPr>
        <w:autoSpaceDN w:val="0"/>
        <w:spacing w:line="240" w:lineRule="auto"/>
        <w:rPr>
          <w:rFonts w:eastAsia="Calibri"/>
        </w:rPr>
      </w:pPr>
      <w:r w:rsidRPr="002401A9">
        <w:rPr>
          <w:rFonts w:eastAsia="Calibri"/>
        </w:rPr>
        <w:t>Administrative Law Judge</w:t>
      </w:r>
    </w:p>
    <w:p w:rsidR="002401A9" w:rsidRPr="002401A9" w:rsidRDefault="002401A9" w:rsidP="002401A9">
      <w:pPr>
        <w:autoSpaceDN w:val="0"/>
        <w:spacing w:line="240" w:lineRule="auto"/>
        <w:rPr>
          <w:rFonts w:eastAsia="Calibri"/>
        </w:rPr>
      </w:pPr>
    </w:p>
    <w:p w:rsidR="002401A9" w:rsidRPr="002401A9" w:rsidRDefault="002401A9" w:rsidP="002401A9">
      <w:pPr>
        <w:autoSpaceDN w:val="0"/>
        <w:spacing w:line="240" w:lineRule="auto"/>
        <w:rPr>
          <w:rFonts w:eastAsia="Calibri"/>
        </w:rPr>
      </w:pPr>
    </w:p>
    <w:p w:rsidR="002401A9" w:rsidRPr="002401A9" w:rsidRDefault="002401A9" w:rsidP="002401A9">
      <w:pPr>
        <w:autoSpaceDN w:val="0"/>
        <w:spacing w:line="240" w:lineRule="auto"/>
        <w:rPr>
          <w:rFonts w:eastAsia="Calibri"/>
          <w:u w:val="single"/>
        </w:rPr>
      </w:pPr>
      <w:r w:rsidRPr="002401A9">
        <w:rPr>
          <w:rFonts w:eastAsia="Calibri"/>
          <w:u w:val="single"/>
        </w:rPr>
        <w:t>HISTORY OF THE PROCEEDING</w:t>
      </w:r>
    </w:p>
    <w:p w:rsidR="002401A9" w:rsidRPr="002401A9" w:rsidRDefault="002401A9" w:rsidP="002401A9">
      <w:pPr>
        <w:autoSpaceDN w:val="0"/>
        <w:spacing w:line="240" w:lineRule="auto"/>
        <w:rPr>
          <w:rFonts w:eastAsia="Calibri"/>
          <w:u w:val="single"/>
        </w:rPr>
      </w:pPr>
    </w:p>
    <w:p w:rsidR="002401A9" w:rsidRPr="002401A9" w:rsidRDefault="002401A9" w:rsidP="002401A9">
      <w:pPr>
        <w:autoSpaceDN w:val="0"/>
        <w:spacing w:line="240" w:lineRule="auto"/>
        <w:rPr>
          <w:rFonts w:eastAsia="Calibri"/>
          <w:u w:val="single"/>
        </w:rPr>
      </w:pPr>
    </w:p>
    <w:p w:rsidR="002401A9" w:rsidRPr="002401A9" w:rsidRDefault="002401A9" w:rsidP="002401A9">
      <w:pPr>
        <w:autoSpaceDN w:val="0"/>
        <w:jc w:val="left"/>
        <w:rPr>
          <w:rFonts w:eastAsia="Calibri"/>
        </w:rPr>
      </w:pPr>
      <w:r w:rsidRPr="002401A9">
        <w:rPr>
          <w:rFonts w:eastAsia="Calibri"/>
        </w:rPr>
        <w:tab/>
      </w:r>
      <w:r w:rsidRPr="002401A9">
        <w:rPr>
          <w:rFonts w:eastAsia="Calibri"/>
        </w:rPr>
        <w:tab/>
        <w:t>This Initial Decision grants preliminary objections and dismisses a consumer complaint filed by a landlord who admits to the existence of foreign load on a tenant's meter and wishes to have the arrearage that had been accrued by the tenant but placed in the landlord's name upon discovery of foreign load, transferred back to the tenant's account.</w:t>
      </w:r>
    </w:p>
    <w:p w:rsidR="002401A9" w:rsidRPr="002401A9" w:rsidRDefault="002401A9" w:rsidP="002401A9">
      <w:pPr>
        <w:autoSpaceDN w:val="0"/>
        <w:spacing w:line="240" w:lineRule="auto"/>
        <w:rPr>
          <w:rFonts w:eastAsia="Calibri"/>
          <w:u w:val="single"/>
        </w:rPr>
      </w:pPr>
    </w:p>
    <w:p w:rsidR="002401A9" w:rsidRPr="002401A9" w:rsidRDefault="002401A9" w:rsidP="002401A9">
      <w:pPr>
        <w:autoSpaceDN w:val="0"/>
        <w:jc w:val="left"/>
        <w:rPr>
          <w:rFonts w:eastAsia="Calibri"/>
        </w:rPr>
      </w:pPr>
      <w:r w:rsidRPr="002401A9">
        <w:rPr>
          <w:rFonts w:eastAsia="Calibri"/>
        </w:rPr>
        <w:tab/>
      </w:r>
      <w:r w:rsidRPr="002401A9">
        <w:rPr>
          <w:rFonts w:eastAsia="Calibri"/>
        </w:rPr>
        <w:tab/>
        <w:t xml:space="preserve">On December 24, 2012, </w:t>
      </w:r>
      <w:proofErr w:type="spellStart"/>
      <w:r w:rsidRPr="002401A9">
        <w:rPr>
          <w:rFonts w:eastAsia="Calibri"/>
        </w:rPr>
        <w:t>Suong</w:t>
      </w:r>
      <w:proofErr w:type="spellEnd"/>
      <w:r w:rsidRPr="002401A9">
        <w:rPr>
          <w:rFonts w:eastAsia="Calibri"/>
        </w:rPr>
        <w:t xml:space="preserve"> Tran (Complainant) filed a formal Complaint against PECO Energy Company (PECO or Respondent).  This was a timely appeal of the decision issued by the Commission's Bureau of Consumer Services (BCS) on January 10, 2013, in the informal complaint case at docket number 003007727.  The Complaint alleges that there was a tenant whose balance of $2,874.14 accrued while there was foreign load as the public lighting at the rental property.  Complainant avers that he gives a credit of $50 off total rent to compensate for common lighting, which is stipulated in the lease.  Tenants are fully aware of this situation.  He admits responsibility for his own account, and asks that the balance accrued by the tenant be transferred back to the tenant.</w:t>
      </w:r>
    </w:p>
    <w:p w:rsidR="004B5DE7" w:rsidRPr="00F96FE9" w:rsidRDefault="004B5DE7" w:rsidP="00EC75DE">
      <w:pPr>
        <w:jc w:val="left"/>
      </w:pPr>
    </w:p>
    <w:p w:rsidR="00B61D62" w:rsidRPr="00F96FE9" w:rsidRDefault="00B61D62" w:rsidP="00EC75DE">
      <w:pPr>
        <w:jc w:val="left"/>
      </w:pPr>
      <w:r w:rsidRPr="00F96FE9">
        <w:lastRenderedPageBreak/>
        <w:tab/>
      </w:r>
      <w:r w:rsidRPr="00F96FE9">
        <w:tab/>
        <w:t>The Complaint was served by the Commission's Secretary on December 27, 2012.</w:t>
      </w:r>
    </w:p>
    <w:p w:rsidR="00B61D62" w:rsidRPr="00F96FE9" w:rsidRDefault="00B61D62" w:rsidP="00EC75DE">
      <w:pPr>
        <w:jc w:val="left"/>
      </w:pPr>
    </w:p>
    <w:p w:rsidR="00EC75DE" w:rsidRPr="00F96FE9" w:rsidRDefault="004B5DE7" w:rsidP="00EC75DE">
      <w:pPr>
        <w:jc w:val="left"/>
      </w:pPr>
      <w:r w:rsidRPr="00F96FE9">
        <w:tab/>
      </w:r>
      <w:r w:rsidRPr="00F96FE9">
        <w:tab/>
        <w:t xml:space="preserve">On </w:t>
      </w:r>
      <w:r w:rsidR="00B61D62" w:rsidRPr="00F96FE9">
        <w:t xml:space="preserve">January 10, 2013, PECO filed its Answer with New Matter and Preliminary Objections (POs).  Respondent avers that it was contacted </w:t>
      </w:r>
      <w:r w:rsidR="00F1581B">
        <w:t>by Complainant's tenant on June 28, </w:t>
      </w:r>
      <w:r w:rsidR="00B61D62" w:rsidRPr="00F96FE9">
        <w:t>2012, regarding his service at 215 Glenside Avenue, 1</w:t>
      </w:r>
      <w:r w:rsidR="00B61D62" w:rsidRPr="00F96FE9">
        <w:rPr>
          <w:vertAlign w:val="superscript"/>
        </w:rPr>
        <w:t>st</w:t>
      </w:r>
      <w:r w:rsidR="00B61D62" w:rsidRPr="00F96FE9">
        <w:t xml:space="preserve"> Floor, </w:t>
      </w:r>
      <w:proofErr w:type="gramStart"/>
      <w:r w:rsidR="00B61D62" w:rsidRPr="00F96FE9">
        <w:t>Holmes</w:t>
      </w:r>
      <w:proofErr w:type="gramEnd"/>
      <w:r w:rsidR="00B61D62" w:rsidRPr="00F96FE9">
        <w:t xml:space="preserve"> PA with a suspicion of foreign load.  A PECO service employee investigated on July 6, 2012, and discovered that the lights in the common area basement, common area hallway and front door were connected to the Complainant's meter</w:t>
      </w:r>
      <w:r w:rsidR="00535068" w:rsidRPr="00F96FE9">
        <w:t>, and the balance of the tenant's bill along with the account was</w:t>
      </w:r>
      <w:r w:rsidR="00B61D62" w:rsidRPr="00F96FE9">
        <w:t xml:space="preserve"> place</w:t>
      </w:r>
      <w:r w:rsidR="00535068" w:rsidRPr="00F96FE9">
        <w:t>d</w:t>
      </w:r>
      <w:r w:rsidR="00B61D62" w:rsidRPr="00F96FE9">
        <w:t xml:space="preserve"> in </w:t>
      </w:r>
      <w:r w:rsidR="00535068" w:rsidRPr="00F96FE9">
        <w:t>Complainant's</w:t>
      </w:r>
      <w:r w:rsidR="00B61D62" w:rsidRPr="00F96FE9">
        <w:t xml:space="preserve"> name.  </w:t>
      </w:r>
      <w:r w:rsidR="00535068" w:rsidRPr="00F96FE9">
        <w:t xml:space="preserve">The foreign load was corrected, </w:t>
      </w:r>
      <w:r w:rsidR="00757548" w:rsidRPr="00F96FE9">
        <w:t>and the bill was placed back in the tenant's name but the arrearage remained in the Complainant's name.</w:t>
      </w:r>
    </w:p>
    <w:p w:rsidR="00757548" w:rsidRPr="00F96FE9" w:rsidRDefault="00757548" w:rsidP="00EC75DE">
      <w:pPr>
        <w:jc w:val="left"/>
      </w:pPr>
    </w:p>
    <w:p w:rsidR="00757548" w:rsidRPr="00F96FE9" w:rsidRDefault="00757548" w:rsidP="00EC75DE">
      <w:pPr>
        <w:jc w:val="left"/>
      </w:pPr>
      <w:r w:rsidRPr="00F96FE9">
        <w:tab/>
      </w:r>
      <w:r w:rsidRPr="00F96FE9">
        <w:tab/>
        <w:t>The facts were restated in detail in New Matter, along with an affirmative defense stating that any dispute regarding the financial responsibility of the parties is outside the Commission's jurisdiction.  There were ten exhibits attached to the Answer and New Matter.</w:t>
      </w:r>
    </w:p>
    <w:p w:rsidR="00757548" w:rsidRPr="00F96FE9" w:rsidRDefault="00757548" w:rsidP="00EC75DE">
      <w:pPr>
        <w:jc w:val="left"/>
      </w:pPr>
    </w:p>
    <w:p w:rsidR="000B3632" w:rsidRPr="00F96FE9" w:rsidRDefault="00757548" w:rsidP="00EC75DE">
      <w:pPr>
        <w:jc w:val="left"/>
      </w:pPr>
      <w:r w:rsidRPr="00F96FE9">
        <w:tab/>
      </w:r>
      <w:r w:rsidRPr="00F96FE9">
        <w:tab/>
        <w:t xml:space="preserve">The POs seek dismissal of the Complaint pursuant to 66 Pa C.S. §§ 1529 (a) and (c).  PECO states that its actions were appropriate and consistent with applicable law and that any remaining issue regarding </w:t>
      </w:r>
      <w:r w:rsidR="00D741C3" w:rsidRPr="00F96FE9">
        <w:t>the operation of the contract between the Complainant and her tenant should be resolved in a court of common pleas as it is outside the Commission's jurisdiction.</w:t>
      </w:r>
      <w:r w:rsidR="000B3632" w:rsidRPr="00F96FE9">
        <w:t xml:space="preserve">  As the Complaint is legally insufficient, it should be dismissed without a hearing.</w:t>
      </w:r>
    </w:p>
    <w:p w:rsidR="000B3632" w:rsidRPr="00F96FE9" w:rsidRDefault="000B3632" w:rsidP="00EC75DE">
      <w:pPr>
        <w:jc w:val="left"/>
      </w:pPr>
    </w:p>
    <w:p w:rsidR="000B3632" w:rsidRPr="00F96FE9" w:rsidRDefault="000B3632" w:rsidP="00EC75DE">
      <w:pPr>
        <w:jc w:val="left"/>
      </w:pPr>
      <w:r w:rsidRPr="00F96FE9">
        <w:tab/>
      </w:r>
      <w:r w:rsidRPr="00F96FE9">
        <w:tab/>
      </w:r>
      <w:r w:rsidR="00995F4A" w:rsidRPr="00F96FE9">
        <w:t>Over t</w:t>
      </w:r>
      <w:r w:rsidRPr="00F96FE9">
        <w:t>en days have run since the filing of the POs, and no response has been filed.  52 Pa. Code § 101(f</w:t>
      </w:r>
      <w:proofErr w:type="gramStart"/>
      <w:r w:rsidRPr="00F96FE9">
        <w:t>)(</w:t>
      </w:r>
      <w:proofErr w:type="gramEnd"/>
      <w:r w:rsidRPr="00F96FE9">
        <w:t>1).  Therefore, the POs are ripe for disposition.</w:t>
      </w:r>
    </w:p>
    <w:p w:rsidR="000B3632" w:rsidRPr="00F96FE9" w:rsidRDefault="000B3632" w:rsidP="00EC75DE">
      <w:pPr>
        <w:jc w:val="left"/>
      </w:pPr>
    </w:p>
    <w:p w:rsidR="00757548" w:rsidRPr="00F96FE9" w:rsidRDefault="000B3632" w:rsidP="000B3632">
      <w:pPr>
        <w:rPr>
          <w:u w:val="single"/>
        </w:rPr>
      </w:pPr>
      <w:r w:rsidRPr="00F96FE9">
        <w:rPr>
          <w:u w:val="single"/>
        </w:rPr>
        <w:t>FINDINGS OF FACT</w:t>
      </w:r>
    </w:p>
    <w:p w:rsidR="000B3632" w:rsidRPr="00F96FE9" w:rsidRDefault="000B3632" w:rsidP="000B3632"/>
    <w:p w:rsidR="000B3632" w:rsidRPr="00F96FE9" w:rsidRDefault="000B3632" w:rsidP="000B3632">
      <w:pPr>
        <w:jc w:val="left"/>
      </w:pPr>
      <w:r w:rsidRPr="00F96FE9">
        <w:tab/>
      </w:r>
      <w:r w:rsidRPr="00F96FE9">
        <w:tab/>
        <w:t>1.</w:t>
      </w:r>
      <w:r w:rsidRPr="00F96FE9">
        <w:tab/>
        <w:t xml:space="preserve">Complainant is </w:t>
      </w:r>
      <w:proofErr w:type="spellStart"/>
      <w:r w:rsidRPr="00F96FE9">
        <w:t>Suong</w:t>
      </w:r>
      <w:proofErr w:type="spellEnd"/>
      <w:r w:rsidRPr="00F96FE9">
        <w:t xml:space="preserve"> Tran, 7861 Anita Drive, Philadelphia PA 19111.</w:t>
      </w:r>
    </w:p>
    <w:p w:rsidR="000B3632" w:rsidRPr="00F96FE9" w:rsidRDefault="000B3632" w:rsidP="000B3632">
      <w:pPr>
        <w:jc w:val="left"/>
      </w:pPr>
    </w:p>
    <w:p w:rsidR="000B3632" w:rsidRPr="00F96FE9" w:rsidRDefault="000B3632" w:rsidP="000B3632">
      <w:pPr>
        <w:jc w:val="left"/>
      </w:pPr>
      <w:r w:rsidRPr="00F96FE9">
        <w:tab/>
      </w:r>
      <w:r w:rsidRPr="00F96FE9">
        <w:tab/>
        <w:t>2.</w:t>
      </w:r>
      <w:r w:rsidRPr="00F96FE9">
        <w:tab/>
        <w:t>Respondent is PECO Energy Company, a jurisdictional public utility providing electric service in the Commonwealth of Pennsylvania.</w:t>
      </w:r>
    </w:p>
    <w:p w:rsidR="000B3632" w:rsidRPr="00F96FE9" w:rsidRDefault="000B3632" w:rsidP="000B3632">
      <w:pPr>
        <w:jc w:val="left"/>
      </w:pPr>
    </w:p>
    <w:p w:rsidR="000B3632" w:rsidRPr="00F96FE9" w:rsidRDefault="000B3632" w:rsidP="000B3632">
      <w:pPr>
        <w:jc w:val="left"/>
      </w:pPr>
      <w:r w:rsidRPr="00F96FE9">
        <w:lastRenderedPageBreak/>
        <w:tab/>
      </w:r>
      <w:r w:rsidRPr="00F96FE9">
        <w:tab/>
        <w:t>3.</w:t>
      </w:r>
      <w:r w:rsidRPr="00F96FE9">
        <w:tab/>
        <w:t>The property that is the subject of the Complaint is located at 215 Glenside Avenue, Holmes PA 19043.</w:t>
      </w:r>
    </w:p>
    <w:p w:rsidR="000B3632" w:rsidRPr="00F96FE9" w:rsidRDefault="000B3632" w:rsidP="000B3632">
      <w:pPr>
        <w:jc w:val="left"/>
      </w:pPr>
    </w:p>
    <w:p w:rsidR="000B3632" w:rsidRPr="00F96FE9" w:rsidRDefault="000B3632" w:rsidP="000B3632">
      <w:pPr>
        <w:jc w:val="left"/>
      </w:pPr>
      <w:r w:rsidRPr="00F96FE9">
        <w:tab/>
      </w:r>
      <w:r w:rsidRPr="00F96FE9">
        <w:tab/>
        <w:t>4.</w:t>
      </w:r>
      <w:r w:rsidRPr="00F96FE9">
        <w:tab/>
        <w:t>The subject property is owned by Complainant.</w:t>
      </w:r>
    </w:p>
    <w:p w:rsidR="000B3632" w:rsidRPr="00F96FE9" w:rsidRDefault="000B3632" w:rsidP="000B3632">
      <w:pPr>
        <w:jc w:val="left"/>
      </w:pPr>
    </w:p>
    <w:p w:rsidR="000B3632" w:rsidRPr="00F96FE9" w:rsidRDefault="000B3632" w:rsidP="000B3632">
      <w:pPr>
        <w:jc w:val="left"/>
      </w:pPr>
      <w:r w:rsidRPr="00F96FE9">
        <w:tab/>
      </w:r>
      <w:r w:rsidRPr="00F96FE9">
        <w:tab/>
        <w:t>5.</w:t>
      </w:r>
      <w:r w:rsidRPr="00F96FE9">
        <w:tab/>
        <w:t xml:space="preserve">The tenant at the subject property </w:t>
      </w:r>
      <w:r w:rsidR="003213EC" w:rsidRPr="00F96FE9">
        <w:t>accrued an arrearage of $2,874.14 while there was foreign load on his meter.</w:t>
      </w:r>
    </w:p>
    <w:p w:rsidR="003213EC" w:rsidRPr="00F96FE9" w:rsidRDefault="003213EC" w:rsidP="000B3632">
      <w:pPr>
        <w:jc w:val="left"/>
      </w:pPr>
    </w:p>
    <w:p w:rsidR="003213EC" w:rsidRPr="00F96FE9" w:rsidRDefault="003213EC" w:rsidP="000B3632">
      <w:pPr>
        <w:jc w:val="left"/>
      </w:pPr>
      <w:r w:rsidRPr="00F96FE9">
        <w:tab/>
      </w:r>
      <w:r w:rsidRPr="00F96FE9">
        <w:tab/>
        <w:t>6.</w:t>
      </w:r>
      <w:r w:rsidRPr="00F96FE9">
        <w:tab/>
      </w:r>
      <w:r w:rsidR="003B26F1" w:rsidRPr="00F96FE9">
        <w:t>The tenant's arrearage of $2,874.14 was transferred to Complainant's account upon discovery of foreign load.</w:t>
      </w:r>
    </w:p>
    <w:p w:rsidR="003B26F1" w:rsidRPr="00F96FE9" w:rsidRDefault="003B26F1" w:rsidP="000B3632">
      <w:pPr>
        <w:jc w:val="left"/>
      </w:pPr>
    </w:p>
    <w:p w:rsidR="003B26F1" w:rsidRPr="00F96FE9" w:rsidRDefault="003B26F1" w:rsidP="003B26F1">
      <w:pPr>
        <w:rPr>
          <w:u w:val="single"/>
        </w:rPr>
      </w:pPr>
      <w:r w:rsidRPr="00F96FE9">
        <w:rPr>
          <w:u w:val="single"/>
        </w:rPr>
        <w:t>DISCUSSION</w:t>
      </w:r>
    </w:p>
    <w:p w:rsidR="003B26F1" w:rsidRPr="00F96FE9" w:rsidRDefault="003B26F1" w:rsidP="003B26F1">
      <w:pPr>
        <w:rPr>
          <w:u w:val="single"/>
        </w:rPr>
      </w:pPr>
    </w:p>
    <w:p w:rsidR="001E1EE7" w:rsidRPr="00F96FE9" w:rsidRDefault="001E1EE7" w:rsidP="003B26F1">
      <w:pPr>
        <w:jc w:val="left"/>
      </w:pPr>
      <w:r w:rsidRPr="00F96FE9">
        <w:tab/>
      </w:r>
      <w:r w:rsidRPr="00F96FE9">
        <w:tab/>
      </w:r>
      <w:r w:rsidR="005947A5" w:rsidRPr="00F96FE9">
        <w:t>Complainant admits that her tenant's meter carried public lighting in the subject property but alleges that the lease provided a $50 monthly credit off the rent to compensate for the additional charge.  Respondent placed the tenant's entire arrearage on Complainant's account when the tenant alerted the utility to the presence of foreign load</w:t>
      </w:r>
      <w:r w:rsidR="008F3FDD" w:rsidRPr="00F96FE9">
        <w:t>, and Complainant is contesting responsibility for the full amount of the arrearage.</w:t>
      </w:r>
    </w:p>
    <w:p w:rsidR="001E1EE7" w:rsidRPr="00F96FE9" w:rsidRDefault="001E1EE7" w:rsidP="003B26F1">
      <w:pPr>
        <w:jc w:val="left"/>
      </w:pPr>
    </w:p>
    <w:p w:rsidR="003B26F1" w:rsidRPr="00F96FE9" w:rsidRDefault="001E1EE7" w:rsidP="003B26F1">
      <w:pPr>
        <w:jc w:val="left"/>
      </w:pPr>
      <w:r w:rsidRPr="00F96FE9">
        <w:tab/>
      </w:r>
      <w:r w:rsidRPr="00F96FE9">
        <w:tab/>
      </w:r>
      <w:r w:rsidR="003B26F1" w:rsidRPr="00F96FE9">
        <w:t xml:space="preserve">Commission preliminary objection practice is similar to Pennsylvania civil practice.  </w:t>
      </w:r>
      <w:r w:rsidR="003B26F1" w:rsidRPr="00F96FE9">
        <w:rPr>
          <w:i/>
        </w:rPr>
        <w:t xml:space="preserve">Equitable Small Transportation Interveners v. Equitable Gas Company, </w:t>
      </w:r>
      <w:r w:rsidR="003B26F1" w:rsidRPr="00F96FE9">
        <w:t xml:space="preserve">1994 Pa. PUC LEXIS 69, PUC Docket No. </w:t>
      </w:r>
      <w:proofErr w:type="gramStart"/>
      <w:r w:rsidR="003B26F1" w:rsidRPr="00F96FE9">
        <w:t>C-000935435 (July 18, 1994).</w:t>
      </w:r>
      <w:proofErr w:type="gramEnd"/>
      <w:r w:rsidR="003B26F1" w:rsidRPr="00F96FE9">
        <w:t xml:space="preserve"> </w:t>
      </w:r>
      <w:r w:rsidR="003B26F1" w:rsidRPr="00F96FE9">
        <w:tab/>
        <w:t xml:space="preserve"> When considering the preliminary objection, the Commission must determine “whether the law says with certainty, based on well-pleaded factual averments . . . that no recovery or relief is possible.  </w:t>
      </w:r>
      <w:proofErr w:type="gramStart"/>
      <w:r w:rsidR="003B26F1" w:rsidRPr="00F96FE9">
        <w:rPr>
          <w:i/>
        </w:rPr>
        <w:t xml:space="preserve">P. J. S. v. Pa. State Ethics Commission, </w:t>
      </w:r>
      <w:r w:rsidR="003B26F1" w:rsidRPr="00F96FE9">
        <w:t>669 A.2d 1105 (Pa. Cmwlth. 1996).</w:t>
      </w:r>
      <w:proofErr w:type="gramEnd"/>
      <w:r w:rsidR="003B26F1" w:rsidRPr="00F96FE9">
        <w:t xml:space="preserve">  Any doubt must be resolved in favor of the non-moving party by refusing to sustain the preliminary objections.  </w:t>
      </w:r>
      <w:proofErr w:type="gramStart"/>
      <w:r w:rsidR="003B26F1" w:rsidRPr="00F96FE9">
        <w:rPr>
          <w:i/>
        </w:rPr>
        <w:t xml:space="preserve">Boyd v. Ward, </w:t>
      </w:r>
      <w:r w:rsidR="003B26F1" w:rsidRPr="00F96FE9">
        <w:t>802 A.2d 705 (Pa. Cmwlth. 2002).”</w:t>
      </w:r>
      <w:proofErr w:type="gramEnd"/>
      <w:r w:rsidR="003B26F1" w:rsidRPr="00F96FE9">
        <w:t xml:space="preserve">  </w:t>
      </w:r>
      <w:proofErr w:type="gramStart"/>
      <w:r w:rsidR="003B26F1" w:rsidRPr="00F96FE9">
        <w:rPr>
          <w:i/>
        </w:rPr>
        <w:t xml:space="preserve">Dept. of Auditor General, et al. v. State Employees’ Retirement System, et al., </w:t>
      </w:r>
      <w:r w:rsidR="003B26F1" w:rsidRPr="00F96FE9">
        <w:t>836 A.2d 1053, 1064 (Pa. Cmwlth. 2003).</w:t>
      </w:r>
      <w:proofErr w:type="gramEnd"/>
    </w:p>
    <w:p w:rsidR="003B26F1" w:rsidRPr="00F96FE9" w:rsidRDefault="003B26F1" w:rsidP="003B26F1">
      <w:pPr>
        <w:jc w:val="both"/>
      </w:pPr>
    </w:p>
    <w:p w:rsidR="007372A3" w:rsidRDefault="003B26F1" w:rsidP="003B26F1">
      <w:pPr>
        <w:jc w:val="left"/>
      </w:pPr>
      <w:r w:rsidRPr="00F96FE9">
        <w:tab/>
      </w:r>
      <w:r w:rsidRPr="00F96FE9">
        <w:tab/>
      </w:r>
      <w:r w:rsidR="007372A3">
        <w:br w:type="page"/>
      </w:r>
    </w:p>
    <w:p w:rsidR="003B26F1" w:rsidRPr="00F96FE9" w:rsidRDefault="003B26F1" w:rsidP="00053282">
      <w:pPr>
        <w:ind w:left="720" w:firstLine="720"/>
        <w:jc w:val="left"/>
      </w:pPr>
      <w:r w:rsidRPr="00F96FE9">
        <w:lastRenderedPageBreak/>
        <w:t>The rules regard</w:t>
      </w:r>
      <w:r w:rsidR="00053282">
        <w:t>ing</w:t>
      </w:r>
      <w:r w:rsidRPr="00F96FE9">
        <w:t xml:space="preserve"> preliminary objections are simple and specific:</w:t>
      </w:r>
    </w:p>
    <w:p w:rsidR="003B26F1" w:rsidRPr="00F96FE9" w:rsidRDefault="003B26F1" w:rsidP="003B26F1">
      <w:pPr>
        <w:jc w:val="left"/>
      </w:pPr>
    </w:p>
    <w:p w:rsidR="003B26F1" w:rsidRPr="00F96FE9" w:rsidRDefault="003B26F1" w:rsidP="003B26F1">
      <w:pPr>
        <w:spacing w:line="240" w:lineRule="auto"/>
        <w:ind w:left="1440" w:right="1440"/>
        <w:contextualSpacing/>
        <w:jc w:val="left"/>
        <w:rPr>
          <w:b/>
        </w:rPr>
      </w:pPr>
      <w:r w:rsidRPr="00F96FE9">
        <w:rPr>
          <w:b/>
        </w:rPr>
        <w:t xml:space="preserve">§ 5.101.  </w:t>
      </w:r>
      <w:proofErr w:type="gramStart"/>
      <w:r w:rsidRPr="00F96FE9">
        <w:rPr>
          <w:b/>
        </w:rPr>
        <w:t>Preliminary objections.</w:t>
      </w:r>
      <w:proofErr w:type="gramEnd"/>
    </w:p>
    <w:p w:rsidR="003B26F1" w:rsidRPr="00F96FE9" w:rsidRDefault="003B26F1" w:rsidP="003B26F1">
      <w:pPr>
        <w:spacing w:line="240" w:lineRule="auto"/>
        <w:ind w:left="1440" w:right="1440"/>
        <w:contextualSpacing/>
        <w:jc w:val="left"/>
        <w:rPr>
          <w:b/>
        </w:rPr>
      </w:pPr>
    </w:p>
    <w:p w:rsidR="003B26F1" w:rsidRPr="00F96FE9" w:rsidRDefault="003B26F1" w:rsidP="003B26F1">
      <w:pPr>
        <w:tabs>
          <w:tab w:val="left" w:pos="2160"/>
        </w:tabs>
        <w:spacing w:line="240" w:lineRule="auto"/>
        <w:ind w:left="2160" w:right="1440" w:hanging="720"/>
        <w:contextualSpacing/>
        <w:jc w:val="left"/>
      </w:pPr>
      <w:r w:rsidRPr="00F96FE9">
        <w:t>(a)</w:t>
      </w:r>
      <w:r w:rsidRPr="00F96FE9">
        <w:tab/>
      </w:r>
      <w:r w:rsidRPr="00F96FE9">
        <w:rPr>
          <w:i/>
        </w:rPr>
        <w:t>Grounds.</w:t>
      </w:r>
      <w:r w:rsidRPr="00F96FE9">
        <w:t xml:space="preserve"> </w:t>
      </w:r>
      <w:r w:rsidR="003D3B89">
        <w:t xml:space="preserve"> </w:t>
      </w:r>
      <w:r w:rsidRPr="00F96FE9">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B26F1" w:rsidRPr="00F96FE9" w:rsidRDefault="003B26F1" w:rsidP="003B26F1">
      <w:pPr>
        <w:spacing w:line="240" w:lineRule="auto"/>
        <w:ind w:left="1440" w:right="1440"/>
        <w:contextualSpacing/>
        <w:jc w:val="left"/>
        <w:rPr>
          <w:i/>
        </w:rPr>
      </w:pPr>
    </w:p>
    <w:p w:rsidR="003B26F1" w:rsidRPr="00F96FE9" w:rsidRDefault="003B26F1" w:rsidP="003B26F1">
      <w:pPr>
        <w:numPr>
          <w:ilvl w:val="0"/>
          <w:numId w:val="1"/>
        </w:numPr>
        <w:spacing w:line="240" w:lineRule="auto"/>
        <w:ind w:left="2880" w:right="1440" w:hanging="720"/>
        <w:contextualSpacing/>
        <w:jc w:val="left"/>
      </w:pPr>
      <w:r w:rsidRPr="00F96FE9">
        <w:t>Lack of Commission jurisdiction or improper service of the pleading initiating the proceeding.</w:t>
      </w:r>
    </w:p>
    <w:p w:rsidR="003B26F1" w:rsidRPr="00F96FE9" w:rsidRDefault="003B26F1" w:rsidP="003B26F1">
      <w:pPr>
        <w:spacing w:line="240" w:lineRule="auto"/>
        <w:ind w:left="1440" w:right="1440"/>
        <w:contextualSpacing/>
        <w:jc w:val="left"/>
      </w:pPr>
    </w:p>
    <w:p w:rsidR="003B26F1" w:rsidRPr="00F96FE9" w:rsidRDefault="003B26F1" w:rsidP="003B26F1">
      <w:pPr>
        <w:numPr>
          <w:ilvl w:val="0"/>
          <w:numId w:val="1"/>
        </w:numPr>
        <w:spacing w:line="240" w:lineRule="auto"/>
        <w:ind w:left="2880" w:right="1440" w:hanging="720"/>
        <w:contextualSpacing/>
        <w:jc w:val="left"/>
      </w:pPr>
      <w:r w:rsidRPr="00F96FE9">
        <w:t>Failure of a pleading to conform to this chapter or the inclusion of scandalous or impertinent matter.</w:t>
      </w:r>
    </w:p>
    <w:p w:rsidR="003B26F1" w:rsidRPr="00F96FE9" w:rsidRDefault="003B26F1" w:rsidP="003B26F1">
      <w:pPr>
        <w:spacing w:line="240" w:lineRule="auto"/>
        <w:ind w:left="1440" w:right="1440"/>
        <w:contextualSpacing/>
        <w:jc w:val="left"/>
      </w:pPr>
    </w:p>
    <w:p w:rsidR="003B26F1" w:rsidRPr="00F96FE9" w:rsidRDefault="003B26F1" w:rsidP="003B26F1">
      <w:pPr>
        <w:numPr>
          <w:ilvl w:val="0"/>
          <w:numId w:val="1"/>
        </w:numPr>
        <w:spacing w:line="240" w:lineRule="auto"/>
        <w:ind w:left="2880" w:right="1440" w:hanging="720"/>
        <w:contextualSpacing/>
        <w:jc w:val="left"/>
      </w:pPr>
      <w:r w:rsidRPr="00F96FE9">
        <w:t>Insufficient specificity of a pleading.</w:t>
      </w:r>
    </w:p>
    <w:p w:rsidR="003B26F1" w:rsidRPr="00F96FE9" w:rsidRDefault="003B26F1" w:rsidP="003B26F1">
      <w:pPr>
        <w:spacing w:line="240" w:lineRule="auto"/>
        <w:ind w:left="1440" w:right="1440"/>
        <w:contextualSpacing/>
        <w:jc w:val="left"/>
      </w:pPr>
    </w:p>
    <w:p w:rsidR="003B26F1" w:rsidRPr="00F96FE9" w:rsidRDefault="003B26F1" w:rsidP="003B26F1">
      <w:pPr>
        <w:numPr>
          <w:ilvl w:val="0"/>
          <w:numId w:val="1"/>
        </w:numPr>
        <w:spacing w:line="240" w:lineRule="auto"/>
        <w:ind w:left="2880" w:right="1440" w:hanging="720"/>
        <w:contextualSpacing/>
        <w:jc w:val="left"/>
      </w:pPr>
      <w:r w:rsidRPr="00F96FE9">
        <w:rPr>
          <w:b/>
          <w:i/>
        </w:rPr>
        <w:t>Legal insufficiency of a pleading</w:t>
      </w:r>
      <w:r w:rsidRPr="00F96FE9">
        <w:t>.</w:t>
      </w:r>
    </w:p>
    <w:p w:rsidR="003B26F1" w:rsidRPr="00F96FE9" w:rsidRDefault="003B26F1" w:rsidP="003B26F1">
      <w:pPr>
        <w:spacing w:line="240" w:lineRule="auto"/>
        <w:ind w:left="1440" w:right="1440"/>
        <w:contextualSpacing/>
        <w:jc w:val="left"/>
      </w:pPr>
    </w:p>
    <w:p w:rsidR="003B26F1" w:rsidRPr="00F96FE9" w:rsidRDefault="003B26F1" w:rsidP="003B26F1">
      <w:pPr>
        <w:numPr>
          <w:ilvl w:val="0"/>
          <w:numId w:val="1"/>
        </w:numPr>
        <w:spacing w:line="240" w:lineRule="auto"/>
        <w:ind w:left="2880" w:right="1440" w:hanging="720"/>
        <w:contextualSpacing/>
        <w:jc w:val="left"/>
      </w:pPr>
      <w:r w:rsidRPr="00F96FE9">
        <w:t>Lack of capacity to sue, nonjoinder of a necessary party or misjoinder of a cause of action.</w:t>
      </w:r>
    </w:p>
    <w:p w:rsidR="003B26F1" w:rsidRPr="00F96FE9" w:rsidRDefault="003B26F1" w:rsidP="003B26F1">
      <w:pPr>
        <w:spacing w:line="240" w:lineRule="auto"/>
        <w:ind w:left="1440" w:right="1440"/>
        <w:contextualSpacing/>
        <w:jc w:val="left"/>
      </w:pPr>
    </w:p>
    <w:p w:rsidR="003B26F1" w:rsidRPr="00F96FE9" w:rsidRDefault="003B26F1" w:rsidP="003B26F1">
      <w:pPr>
        <w:numPr>
          <w:ilvl w:val="0"/>
          <w:numId w:val="1"/>
        </w:numPr>
        <w:spacing w:line="240" w:lineRule="auto"/>
        <w:ind w:left="2880" w:right="1440" w:hanging="720"/>
        <w:contextualSpacing/>
        <w:jc w:val="left"/>
      </w:pPr>
      <w:r w:rsidRPr="00F96FE9">
        <w:t>Pendency of a prior proceeding or agreement for alternative dispute resolution.</w:t>
      </w:r>
    </w:p>
    <w:p w:rsidR="003B26F1" w:rsidRPr="00F96FE9" w:rsidRDefault="003B26F1" w:rsidP="003B26F1">
      <w:pPr>
        <w:spacing w:line="240" w:lineRule="auto"/>
        <w:ind w:right="1440"/>
        <w:contextualSpacing/>
        <w:jc w:val="left"/>
      </w:pPr>
    </w:p>
    <w:p w:rsidR="003B26F1" w:rsidRPr="00F96FE9" w:rsidRDefault="003B26F1" w:rsidP="003B26F1">
      <w:pPr>
        <w:spacing w:line="240" w:lineRule="auto"/>
        <w:ind w:left="1440" w:right="1440"/>
        <w:contextualSpacing/>
      </w:pPr>
      <w:r w:rsidRPr="00F96FE9">
        <w:t>* * *</w:t>
      </w:r>
    </w:p>
    <w:p w:rsidR="003B26F1" w:rsidRPr="00F96FE9" w:rsidRDefault="003B26F1" w:rsidP="003B26F1">
      <w:pPr>
        <w:spacing w:line="240" w:lineRule="auto"/>
        <w:ind w:left="1440" w:right="1440"/>
        <w:contextualSpacing/>
      </w:pPr>
    </w:p>
    <w:p w:rsidR="003B26F1" w:rsidRPr="00F96FE9" w:rsidRDefault="003B26F1" w:rsidP="00222F16">
      <w:pPr>
        <w:ind w:left="1440" w:right="1440"/>
        <w:contextualSpacing/>
        <w:jc w:val="left"/>
      </w:pPr>
      <w:r w:rsidRPr="00F96FE9">
        <w:t>52 Pa. Code § 5.101(a</w:t>
      </w:r>
      <w:proofErr w:type="gramStart"/>
      <w:r w:rsidRPr="00F96FE9">
        <w:t>)</w:t>
      </w:r>
      <w:r w:rsidR="00D1237F" w:rsidRPr="00F96FE9">
        <w:t>(</w:t>
      </w:r>
      <w:proofErr w:type="gramEnd"/>
      <w:r w:rsidR="00D1237F" w:rsidRPr="00F96FE9">
        <w:t>emphasis added)</w:t>
      </w:r>
      <w:r w:rsidRPr="00F96FE9">
        <w:t>.</w:t>
      </w:r>
    </w:p>
    <w:p w:rsidR="003B26F1" w:rsidRPr="00F96FE9" w:rsidRDefault="003B26F1" w:rsidP="003B26F1">
      <w:pPr>
        <w:ind w:right="1440"/>
        <w:jc w:val="left"/>
      </w:pPr>
    </w:p>
    <w:p w:rsidR="003B26F1" w:rsidRPr="00F96FE9" w:rsidRDefault="003B26F1" w:rsidP="003B26F1">
      <w:pPr>
        <w:jc w:val="left"/>
      </w:pPr>
      <w:r w:rsidRPr="00F96FE9">
        <w:tab/>
      </w:r>
      <w:r w:rsidRPr="00F96FE9">
        <w:tab/>
        <w:t xml:space="preserve">In deciding the preliminary objections, the Commission must determine whether, based on well-pleaded factual averments of the Complainant, recovery or relief is possible.  </w:t>
      </w:r>
      <w:proofErr w:type="gramStart"/>
      <w:r w:rsidRPr="00F96FE9">
        <w:rPr>
          <w:i/>
        </w:rPr>
        <w:t>Dept. of Auditor General, et al v. SERS, et al.</w:t>
      </w:r>
      <w:r w:rsidRPr="00F96FE9">
        <w:t>, 836 A.2d 1053, 1064 (Pa. Cmwlth. 2003), 2003 Pa. Commw.</w:t>
      </w:r>
      <w:proofErr w:type="gramEnd"/>
      <w:r w:rsidRPr="00F96FE9">
        <w:t xml:space="preserve"> </w:t>
      </w:r>
      <w:proofErr w:type="gramStart"/>
      <w:r w:rsidRPr="00F96FE9">
        <w:t xml:space="preserve">LEXIS 849; </w:t>
      </w:r>
      <w:r w:rsidRPr="00F96FE9">
        <w:rPr>
          <w:i/>
        </w:rPr>
        <w:t>P.J.S. v. Pa. State Ethics Comm’n,</w:t>
      </w:r>
      <w:r w:rsidRPr="00F96FE9">
        <w:t xml:space="preserve"> 669 A.2d 1105 (Pa. Cmwlth. 1996),</w:t>
      </w:r>
      <w:r w:rsidR="00222F16">
        <w:t> </w:t>
      </w:r>
      <w:r w:rsidRPr="00F96FE9">
        <w:t>1996 Pa. Commw.</w:t>
      </w:r>
      <w:proofErr w:type="gramEnd"/>
      <w:r w:rsidRPr="00F96FE9">
        <w:t xml:space="preserve"> </w:t>
      </w:r>
      <w:proofErr w:type="gramStart"/>
      <w:r w:rsidRPr="00F96FE9">
        <w:t>LEXIS 11.</w:t>
      </w:r>
      <w:proofErr w:type="gramEnd"/>
      <w:r w:rsidRPr="00F96FE9">
        <w:t xml:space="preserve">  Any doubt must be resolved in favor of the non-moving party by refusing to sustain the preliminary objections.  </w:t>
      </w:r>
      <w:proofErr w:type="gramStart"/>
      <w:r w:rsidRPr="00F96FE9">
        <w:rPr>
          <w:i/>
        </w:rPr>
        <w:t xml:space="preserve">Boyd v. Ward, </w:t>
      </w:r>
      <w:r w:rsidRPr="00F96FE9">
        <w:t>802 A.2d 705 (Pa.Cmwlth. 2002), 2002 Pa. Commw.</w:t>
      </w:r>
      <w:proofErr w:type="gramEnd"/>
      <w:r w:rsidRPr="00F96FE9">
        <w:t xml:space="preserve"> </w:t>
      </w:r>
      <w:proofErr w:type="gramStart"/>
      <w:r w:rsidRPr="00F96FE9">
        <w:t>LEXIS 580.</w:t>
      </w:r>
      <w:proofErr w:type="gramEnd"/>
      <w:r w:rsidRPr="00F96FE9">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F96FE9">
        <w:rPr>
          <w:i/>
        </w:rPr>
        <w:t xml:space="preserve">Ridge v. </w:t>
      </w:r>
      <w:r w:rsidRPr="00F96FE9">
        <w:rPr>
          <w:i/>
        </w:rPr>
        <w:lastRenderedPageBreak/>
        <w:t>State Employees’ Retirement Board</w:t>
      </w:r>
      <w:r w:rsidRPr="00F96FE9">
        <w:t>, 690 A.2d 1312 (Pa. Cmwlth. 1997) 1997 Pa. Commw.</w:t>
      </w:r>
      <w:proofErr w:type="gramEnd"/>
      <w:r w:rsidRPr="00F96FE9">
        <w:t xml:space="preserve"> </w:t>
      </w:r>
      <w:proofErr w:type="gramStart"/>
      <w:r w:rsidRPr="00F96FE9">
        <w:t>LEXIS 148.</w:t>
      </w:r>
      <w:proofErr w:type="gramEnd"/>
    </w:p>
    <w:p w:rsidR="003B26F1" w:rsidRPr="00F96FE9" w:rsidRDefault="003B26F1" w:rsidP="003B26F1">
      <w:pPr>
        <w:contextualSpacing/>
        <w:jc w:val="left"/>
      </w:pPr>
    </w:p>
    <w:p w:rsidR="003B26F1" w:rsidRPr="00F96FE9" w:rsidRDefault="003B26F1" w:rsidP="003B26F1">
      <w:pPr>
        <w:contextualSpacing/>
        <w:jc w:val="left"/>
      </w:pPr>
      <w:r w:rsidRPr="00F96FE9">
        <w:tab/>
      </w:r>
      <w:r w:rsidRPr="00F96FE9">
        <w:tab/>
        <w:t xml:space="preserve">Therefore, only the facts in the Complaint can be presumed to be true in order to determine whether recovery is possible. </w:t>
      </w:r>
      <w:r w:rsidR="003564A5">
        <w:t xml:space="preserve"> </w:t>
      </w:r>
      <w:r w:rsidR="00DD48D6" w:rsidRPr="00F96FE9">
        <w:t>Complainant admits that there was foreign load on the tenant's meter, that the tenant was aware of it and received a $50 per month discount from the rent</w:t>
      </w:r>
      <w:r w:rsidR="003E3078" w:rsidRPr="00F96FE9">
        <w:t xml:space="preserve"> to compensate for the extra charge</w:t>
      </w:r>
      <w:r w:rsidR="00DD48D6" w:rsidRPr="00F96FE9">
        <w:t xml:space="preserve">, and that </w:t>
      </w:r>
      <w:r w:rsidR="00CC5311" w:rsidRPr="00F96FE9">
        <w:t>the tenant's arrearage was transferred to the Complainant's account and not transferred back after the foreign load was corrected.</w:t>
      </w:r>
    </w:p>
    <w:p w:rsidR="003E3078" w:rsidRPr="00F96FE9" w:rsidRDefault="003E3078" w:rsidP="003B26F1">
      <w:pPr>
        <w:contextualSpacing/>
        <w:jc w:val="left"/>
      </w:pPr>
    </w:p>
    <w:p w:rsidR="003E3078" w:rsidRPr="00F96FE9" w:rsidRDefault="003E3078" w:rsidP="003B26F1">
      <w:pPr>
        <w:contextualSpacing/>
        <w:jc w:val="left"/>
      </w:pPr>
      <w:r w:rsidRPr="00F96FE9">
        <w:tab/>
      </w:r>
      <w:r w:rsidRPr="00F96FE9">
        <w:tab/>
        <w:t>The issue is whether the Complaint states a violation that the Commission may adjudicate and for which the Commission may provide a remedy.  If so, then the POs will be denied.  If not, then the POs will be granted and the Complaint denied.</w:t>
      </w:r>
    </w:p>
    <w:p w:rsidR="003B26F1" w:rsidRPr="00F96FE9" w:rsidRDefault="003B26F1" w:rsidP="003B26F1">
      <w:pPr>
        <w:jc w:val="left"/>
      </w:pPr>
    </w:p>
    <w:p w:rsidR="007867EF" w:rsidRPr="00F96FE9" w:rsidRDefault="008F3FDD" w:rsidP="003B26F1">
      <w:pPr>
        <w:jc w:val="left"/>
      </w:pPr>
      <w:r w:rsidRPr="00F96FE9">
        <w:tab/>
      </w:r>
      <w:r w:rsidRPr="00F96FE9">
        <w:tab/>
      </w:r>
      <w:proofErr w:type="gramStart"/>
      <w:r w:rsidRPr="00F96FE9">
        <w:t xml:space="preserve">In the recent case of </w:t>
      </w:r>
      <w:r w:rsidRPr="00F96FE9">
        <w:rPr>
          <w:i/>
        </w:rPr>
        <w:t>A-1 Realty v. Pa. Publ. Util. Comm'n,</w:t>
      </w:r>
      <w:r w:rsidR="009E2108">
        <w:t xml:space="preserve"> Docket No. 885 C.D. </w:t>
      </w:r>
      <w:r w:rsidRPr="00F96FE9">
        <w:t>2012 (January 4, 2013), 2013 Pa. Commw.</w:t>
      </w:r>
      <w:proofErr w:type="gramEnd"/>
      <w:r w:rsidRPr="00F96FE9">
        <w:t xml:space="preserve"> LEXIS 4, ("</w:t>
      </w:r>
      <w:r w:rsidRPr="00F96FE9">
        <w:rPr>
          <w:i/>
        </w:rPr>
        <w:t>A-1 Realty</w:t>
      </w:r>
      <w:r w:rsidRPr="00F96FE9">
        <w:t xml:space="preserve">"), the Commonwealth Court affirmed the PUC's order adopting an Initial Decision which dismissed a complaint for a similar issue.  </w:t>
      </w:r>
      <w:r w:rsidR="004C6687" w:rsidRPr="00F96FE9">
        <w:t xml:space="preserve">In </w:t>
      </w:r>
      <w:r w:rsidR="004C6687" w:rsidRPr="00F96FE9">
        <w:rPr>
          <w:i/>
        </w:rPr>
        <w:t>A-1 Realty,</w:t>
      </w:r>
      <w:r w:rsidR="004C6687" w:rsidRPr="00F96FE9">
        <w:t xml:space="preserve"> lots for </w:t>
      </w:r>
      <w:r w:rsidR="003E3078" w:rsidRPr="00F96FE9">
        <w:t xml:space="preserve">the placement of </w:t>
      </w:r>
      <w:r w:rsidR="004C6687" w:rsidRPr="00F96FE9">
        <w:t>mobile homes were leased</w:t>
      </w:r>
      <w:r w:rsidR="003E3078" w:rsidRPr="00F96FE9">
        <w:t xml:space="preserve"> by the owner of the park</w:t>
      </w:r>
      <w:r w:rsidR="00CC5311" w:rsidRPr="00F96FE9">
        <w:t>,</w:t>
      </w:r>
      <w:r w:rsidR="004C6687" w:rsidRPr="00F96FE9">
        <w:t xml:space="preserve"> and wiring for communal street lighting was connected to </w:t>
      </w:r>
      <w:r w:rsidR="00CC5311" w:rsidRPr="00F96FE9">
        <w:t>the nearest</w:t>
      </w:r>
      <w:r w:rsidR="004C6687" w:rsidRPr="00F96FE9">
        <w:t xml:space="preserve"> lot's electric box, at an estimated cost of $6.54 to $9.67 per </w:t>
      </w:r>
      <w:r w:rsidR="003E3078" w:rsidRPr="00F96FE9">
        <w:t xml:space="preserve">box per </w:t>
      </w:r>
      <w:r w:rsidR="004C6687" w:rsidRPr="00F96FE9">
        <w:t xml:space="preserve">month.  The lot owner gave tenants to whose property the street lights were wired a $10.00 monthly rental discount to compensate them for the additional electric expense.  </w:t>
      </w:r>
      <w:r w:rsidR="00CC5311" w:rsidRPr="00F96FE9">
        <w:t>When t</w:t>
      </w:r>
      <w:r w:rsidR="004C6687" w:rsidRPr="00F96FE9">
        <w:t xml:space="preserve">wo lot lessors contacted the electric distribution company </w:t>
      </w:r>
      <w:r w:rsidR="00CC5311" w:rsidRPr="00F96FE9">
        <w:t xml:space="preserve">(EDC) </w:t>
      </w:r>
      <w:r w:rsidR="004C6687" w:rsidRPr="00F96FE9">
        <w:t xml:space="preserve">to determine whether the $10 would be sufficient to cover a month's lighting, the </w:t>
      </w:r>
      <w:r w:rsidR="003E3078" w:rsidRPr="00F96FE9">
        <w:t xml:space="preserve">EDC investigated, </w:t>
      </w:r>
      <w:r w:rsidR="00CC5311" w:rsidRPr="00F96FE9">
        <w:t>discovered the foreign load</w:t>
      </w:r>
      <w:r w:rsidR="003E3078" w:rsidRPr="00F96FE9">
        <w:t>,</w:t>
      </w:r>
      <w:r w:rsidR="00CC5311" w:rsidRPr="00F96FE9">
        <w:t xml:space="preserve"> and</w:t>
      </w:r>
      <w:r w:rsidR="004C6687" w:rsidRPr="00F96FE9">
        <w:t xml:space="preserve"> transferred the lot lessors' electric bills into the name of the lot</w:t>
      </w:r>
      <w:r w:rsidR="00CC5311" w:rsidRPr="00F96FE9">
        <w:t>s'</w:t>
      </w:r>
      <w:r w:rsidR="004C6687" w:rsidRPr="00F96FE9">
        <w:t xml:space="preserve"> owner.  The foreign load was corrected, but the EDC refused to return the arrearage to the tenants' accounts.  The lot owner filed a complaint with the PUC, which found that the EDC's actions were consistent with the law.</w:t>
      </w:r>
    </w:p>
    <w:p w:rsidR="007867EF" w:rsidRPr="00F96FE9" w:rsidRDefault="007867EF" w:rsidP="003B26F1">
      <w:pPr>
        <w:jc w:val="left"/>
      </w:pPr>
    </w:p>
    <w:p w:rsidR="00853B1C" w:rsidRDefault="007867EF" w:rsidP="003B26F1">
      <w:pPr>
        <w:jc w:val="left"/>
      </w:pPr>
      <w:r w:rsidRPr="00F96FE9">
        <w:tab/>
      </w:r>
      <w:r w:rsidRPr="00F96FE9">
        <w:tab/>
      </w:r>
      <w:r w:rsidR="00853B1C">
        <w:br w:type="page"/>
      </w:r>
    </w:p>
    <w:p w:rsidR="004856FF" w:rsidRPr="00F96FE9" w:rsidRDefault="007867EF" w:rsidP="00853B1C">
      <w:pPr>
        <w:ind w:firstLine="1440"/>
        <w:jc w:val="left"/>
      </w:pPr>
      <w:r w:rsidRPr="00F96FE9">
        <w:lastRenderedPageBreak/>
        <w:t xml:space="preserve">On appeal, the Commonwealth Court found that the Public Utility Code does not permit a utility customer to </w:t>
      </w:r>
      <w:r w:rsidR="00CC5311" w:rsidRPr="00F96FE9">
        <w:t xml:space="preserve">circumvent the wording of the statute by </w:t>
      </w:r>
      <w:r w:rsidRPr="00F96FE9">
        <w:t>agree</w:t>
      </w:r>
      <w:r w:rsidR="00CC5311" w:rsidRPr="00F96FE9">
        <w:t>ing</w:t>
      </w:r>
      <w:r w:rsidRPr="00F96FE9">
        <w:t xml:space="preserve"> to foreign load.  </w:t>
      </w:r>
      <w:r w:rsidR="00642DFF" w:rsidRPr="00F96FE9">
        <w:t>The statute reads:</w:t>
      </w:r>
    </w:p>
    <w:p w:rsidR="004856FF" w:rsidRPr="00F96FE9" w:rsidRDefault="004856FF" w:rsidP="003B26F1">
      <w:pPr>
        <w:jc w:val="left"/>
      </w:pPr>
    </w:p>
    <w:p w:rsidR="000F0BD3" w:rsidRPr="00F96FE9" w:rsidRDefault="004856FF" w:rsidP="000F0BD3">
      <w:pPr>
        <w:spacing w:line="240" w:lineRule="auto"/>
        <w:ind w:left="1440" w:right="1440"/>
        <w:jc w:val="left"/>
        <w:rPr>
          <w:rFonts w:eastAsia="Times New Roman"/>
        </w:rPr>
      </w:pPr>
      <w:r w:rsidRPr="00F96FE9">
        <w:rPr>
          <w:rFonts w:eastAsia="Times New Roman"/>
          <w:b/>
          <w:bCs/>
        </w:rPr>
        <w:t>[I]f the mobile home park . . . contains one or more dwelling units not individually metered, an affected public utility shall forthwith list the account for the premises in question in the name of the owner</w:t>
      </w:r>
      <w:r w:rsidRPr="00F96FE9">
        <w:rPr>
          <w:rFonts w:eastAsia="Times New Roman"/>
        </w:rPr>
        <w:t xml:space="preserve">, and the owner shall thereafter be responsible for the payment for the utility services rendered thereunto. </w:t>
      </w:r>
      <w:r w:rsidR="001D2B51">
        <w:rPr>
          <w:rFonts w:eastAsia="Times New Roman"/>
        </w:rPr>
        <w:t xml:space="preserve"> </w:t>
      </w:r>
      <w:r w:rsidRPr="00F96FE9">
        <w:rPr>
          <w:rFonts w:eastAsia="Times New Roman"/>
        </w:rPr>
        <w:t>In the case of individually metered d</w:t>
      </w:r>
      <w:r w:rsidR="00CC5311" w:rsidRPr="00F96FE9">
        <w:rPr>
          <w:rFonts w:eastAsia="Times New Roman"/>
        </w:rPr>
        <w:t xml:space="preserve">welling units, unless notified </w:t>
      </w:r>
      <w:r w:rsidRPr="00F96FE9">
        <w:rPr>
          <w:rFonts w:eastAsia="Times New Roman"/>
        </w:rPr>
        <w:t>to the contrary by the tenant or an authorized representative, an affected public utility shall list the account for the premises in question in the name of the owner, and the owner shall be responsible for the payment for utility services to the premises.</w:t>
      </w:r>
    </w:p>
    <w:p w:rsidR="005449AE" w:rsidRPr="00F96FE9" w:rsidRDefault="002401A9" w:rsidP="004856FF">
      <w:pPr>
        <w:jc w:val="left"/>
        <w:rPr>
          <w:rFonts w:eastAsia="Times New Roman"/>
        </w:rPr>
      </w:pPr>
      <w:hyperlink r:id="rId8" w:history="1">
        <w:proofErr w:type="gramStart"/>
        <w:r w:rsidR="004856FF" w:rsidRPr="00F96FE9">
          <w:rPr>
            <w:rFonts w:eastAsia="Times New Roman"/>
          </w:rPr>
          <w:t>66 Pa.C.S.</w:t>
        </w:r>
        <w:proofErr w:type="gramEnd"/>
        <w:r w:rsidR="004856FF" w:rsidRPr="00F96FE9">
          <w:rPr>
            <w:rFonts w:eastAsia="Times New Roman"/>
          </w:rPr>
          <w:t xml:space="preserve"> § 1529.1(b)</w:t>
        </w:r>
      </w:hyperlink>
      <w:r w:rsidR="004856FF" w:rsidRPr="00F96FE9">
        <w:rPr>
          <w:rFonts w:eastAsia="Times New Roman"/>
        </w:rPr>
        <w:t xml:space="preserve"> (emphasis added</w:t>
      </w:r>
      <w:r w:rsidR="00CC5311" w:rsidRPr="00F96FE9">
        <w:rPr>
          <w:rFonts w:eastAsia="Times New Roman"/>
        </w:rPr>
        <w:t xml:space="preserve"> by the Court</w:t>
      </w:r>
      <w:r w:rsidR="004856FF" w:rsidRPr="00F96FE9">
        <w:rPr>
          <w:rFonts w:eastAsia="Times New Roman"/>
        </w:rPr>
        <w:t>).</w:t>
      </w:r>
    </w:p>
    <w:p w:rsidR="005449AE" w:rsidRPr="00F96FE9" w:rsidRDefault="005449AE" w:rsidP="004856FF">
      <w:pPr>
        <w:jc w:val="left"/>
        <w:rPr>
          <w:rFonts w:eastAsia="Times New Roman"/>
        </w:rPr>
      </w:pPr>
    </w:p>
    <w:p w:rsidR="005449AE" w:rsidRPr="00F96FE9" w:rsidRDefault="005449AE" w:rsidP="005449AE">
      <w:pPr>
        <w:spacing w:line="240" w:lineRule="auto"/>
        <w:ind w:left="1440" w:right="1440"/>
        <w:jc w:val="left"/>
      </w:pPr>
      <w:r w:rsidRPr="00F96FE9">
        <w:rPr>
          <w:rFonts w:eastAsia="Times New Roman"/>
        </w:rPr>
        <w:tab/>
        <w:t>The phrase "not individually metered"</w:t>
      </w:r>
      <w:bookmarkStart w:id="1" w:name="clsccl6"/>
      <w:bookmarkEnd w:id="1"/>
      <w:r w:rsidR="002B0B8B" w:rsidRPr="00F96FE9">
        <w:t xml:space="preserve"> </w:t>
      </w:r>
      <w:r w:rsidR="00CC5311" w:rsidRPr="00F96FE9">
        <w:t xml:space="preserve">is defined </w:t>
      </w:r>
      <w:r w:rsidR="002B0B8B" w:rsidRPr="00F96FE9">
        <w:t xml:space="preserve">as "the utility meter for the unit is registering a foreign load, or usage not exclusive to the dwelling unit or its occupants." </w:t>
      </w:r>
      <w:r w:rsidR="000F0BD3">
        <w:t xml:space="preserve"> </w:t>
      </w:r>
      <w:r w:rsidR="002B0B8B" w:rsidRPr="00F96FE9">
        <w:rPr>
          <w:i/>
          <w:iCs/>
        </w:rPr>
        <w:t xml:space="preserve">Del </w:t>
      </w:r>
      <w:proofErr w:type="spellStart"/>
      <w:r w:rsidR="002B0B8B" w:rsidRPr="00F96FE9">
        <w:rPr>
          <w:i/>
          <w:iCs/>
        </w:rPr>
        <w:t>Vecchio</w:t>
      </w:r>
      <w:proofErr w:type="spellEnd"/>
      <w:r w:rsidR="002B0B8B" w:rsidRPr="00F96FE9">
        <w:rPr>
          <w:i/>
          <w:iCs/>
        </w:rPr>
        <w:t xml:space="preserve"> v. PPL Elec. Util. Corp</w:t>
      </w:r>
      <w:r w:rsidR="002B0B8B" w:rsidRPr="00F96FE9">
        <w:t xml:space="preserve">., Docket No. Z-01464793 (Pa. PUC 2005); </w:t>
      </w:r>
      <w:r w:rsidR="002B0B8B" w:rsidRPr="00F96FE9">
        <w:rPr>
          <w:i/>
          <w:iCs/>
        </w:rPr>
        <w:t xml:space="preserve">see also </w:t>
      </w:r>
      <w:proofErr w:type="spellStart"/>
      <w:r w:rsidR="002B0B8B" w:rsidRPr="00F96FE9">
        <w:rPr>
          <w:i/>
          <w:iCs/>
        </w:rPr>
        <w:t>Cosme</w:t>
      </w:r>
      <w:proofErr w:type="spellEnd"/>
      <w:r w:rsidR="002B0B8B" w:rsidRPr="00F96FE9">
        <w:rPr>
          <w:i/>
          <w:iCs/>
        </w:rPr>
        <w:t xml:space="preserve"> v. PECO Energy Co</w:t>
      </w:r>
      <w:r w:rsidR="002B0B8B" w:rsidRPr="00F96FE9">
        <w:t xml:space="preserve">., Docket No. C-2010-2171497 (Pa. PUC 2012); </w:t>
      </w:r>
      <w:r w:rsidR="002B0B8B" w:rsidRPr="00F96FE9">
        <w:rPr>
          <w:i/>
          <w:iCs/>
        </w:rPr>
        <w:t>Albright v. UGI Penn Natural Gas Co., Inc</w:t>
      </w:r>
      <w:r w:rsidR="002B0B8B" w:rsidRPr="00F96FE9">
        <w:t>., Docket No. F-2009-2139408 (Pa. PUC 2012).</w:t>
      </w:r>
      <w:r w:rsidR="002B0B8B" w:rsidRPr="00F96FE9">
        <w:br/>
      </w:r>
      <w:r w:rsidR="002B0B8B" w:rsidRPr="00F96FE9">
        <w:br/>
        <w:t xml:space="preserve">Based upon the above conclusion, we must review </w:t>
      </w:r>
      <w:hyperlink r:id="rId9" w:history="1">
        <w:r w:rsidR="008126F2">
          <w:rPr>
            <w:rStyle w:val="Hyperlink"/>
            <w:color w:val="auto"/>
          </w:rPr>
          <w:t>Section </w:t>
        </w:r>
        <w:r w:rsidR="002B0B8B" w:rsidRPr="00F96FE9">
          <w:rPr>
            <w:rStyle w:val="Hyperlink"/>
            <w:color w:val="auto"/>
          </w:rPr>
          <w:t>1529.1(b)</w:t>
        </w:r>
      </w:hyperlink>
      <w:r w:rsidR="002B0B8B" w:rsidRPr="00F96FE9">
        <w:t xml:space="preserve"> of the Code to determine whether it permits tenants to accept utility service which is not exclusive to their homes. </w:t>
      </w:r>
      <w:r w:rsidR="00E64DE6">
        <w:t xml:space="preserve"> </w:t>
      </w:r>
      <w:hyperlink r:id="rId10" w:history="1">
        <w:r w:rsidR="002B0B8B" w:rsidRPr="00F96FE9">
          <w:rPr>
            <w:rStyle w:val="Hyperlink"/>
            <w:color w:val="auto"/>
          </w:rPr>
          <w:t>Section 1529.1(b)</w:t>
        </w:r>
      </w:hyperlink>
      <w:r w:rsidR="002B0B8B" w:rsidRPr="00F96FE9">
        <w:t xml:space="preserve"> of the Code specifically states: "if the mobile home park . . . contains one or more dwelling units </w:t>
      </w:r>
      <w:r w:rsidR="002B0B8B" w:rsidRPr="00F96FE9">
        <w:rPr>
          <w:b/>
          <w:bCs/>
        </w:rPr>
        <w:t>not individually metered</w:t>
      </w:r>
      <w:r w:rsidR="002B0B8B" w:rsidRPr="00F96FE9">
        <w:t xml:space="preserve">, an </w:t>
      </w:r>
      <w:r w:rsidR="002B0B8B" w:rsidRPr="00F96FE9">
        <w:rPr>
          <w:b/>
          <w:bCs/>
        </w:rPr>
        <w:t>affected public utility shall</w:t>
      </w:r>
      <w:r w:rsidR="002B0B8B" w:rsidRPr="00F96FE9">
        <w:t xml:space="preserve"> forthwith </w:t>
      </w:r>
      <w:r w:rsidR="002B0B8B" w:rsidRPr="00F96FE9">
        <w:rPr>
          <w:b/>
          <w:bCs/>
        </w:rPr>
        <w:t>list the account</w:t>
      </w:r>
      <w:r w:rsidR="002B0B8B" w:rsidRPr="00F96FE9">
        <w:t xml:space="preserve"> for the premises in question </w:t>
      </w:r>
      <w:r w:rsidR="002B0B8B" w:rsidRPr="00F96FE9">
        <w:rPr>
          <w:b/>
          <w:bCs/>
        </w:rPr>
        <w:t>in the name of the owner</w:t>
      </w:r>
      <w:r w:rsidR="002B0B8B" w:rsidRPr="00F96FE9">
        <w:t xml:space="preserve"> . . . ." (Emphasis added). </w:t>
      </w:r>
      <w:r w:rsidR="0092751D">
        <w:t xml:space="preserve"> </w:t>
      </w:r>
      <w:r w:rsidR="002B0B8B" w:rsidRPr="00F96FE9">
        <w:t xml:space="preserve">It is well established that </w:t>
      </w:r>
      <w:bookmarkStart w:id="2" w:name="clsccl7"/>
      <w:bookmarkEnd w:id="2"/>
      <w:r w:rsidR="002B0B8B" w:rsidRPr="00F96FE9">
        <w:t xml:space="preserve">"shall' is mandatory for purposes of statutory construction when a statute is unambiguous." </w:t>
      </w:r>
      <w:r w:rsidR="00AB0ACE">
        <w:t xml:space="preserve"> </w:t>
      </w:r>
      <w:hyperlink r:id="rId11" w:history="1">
        <w:proofErr w:type="gramStart"/>
        <w:r w:rsidR="002B0B8B" w:rsidRPr="00F96FE9">
          <w:rPr>
            <w:rStyle w:val="Hyperlink"/>
            <w:i/>
            <w:iCs/>
            <w:color w:val="auto"/>
          </w:rPr>
          <w:t xml:space="preserve">Dep't of Transp. v. </w:t>
        </w:r>
        <w:proofErr w:type="spellStart"/>
        <w:r w:rsidR="002B0B8B" w:rsidRPr="00F96FE9">
          <w:rPr>
            <w:rStyle w:val="Hyperlink"/>
            <w:i/>
            <w:iCs/>
            <w:color w:val="auto"/>
          </w:rPr>
          <w:t>McCafferty</w:t>
        </w:r>
        <w:proofErr w:type="spellEnd"/>
        <w:r w:rsidR="00AB0ACE">
          <w:rPr>
            <w:rStyle w:val="Hyperlink"/>
            <w:color w:val="auto"/>
          </w:rPr>
          <w:t>, 563 Pa. 146, 163, </w:t>
        </w:r>
        <w:r w:rsidR="002B0B8B" w:rsidRPr="00F96FE9">
          <w:rPr>
            <w:rStyle w:val="Hyperlink"/>
            <w:color w:val="auto"/>
          </w:rPr>
          <w:t>758 A.2d 1155, 1164 (2000)</w:t>
        </w:r>
      </w:hyperlink>
      <w:r w:rsidR="002B0B8B" w:rsidRPr="00F96FE9">
        <w:t>.</w:t>
      </w:r>
      <w:proofErr w:type="gramEnd"/>
      <w:r w:rsidR="002B0B8B" w:rsidRPr="00F96FE9">
        <w:t xml:space="preserve"> Thus, tenants are not permitted to accept utility service which is not exclusive to their homes.</w:t>
      </w:r>
    </w:p>
    <w:p w:rsidR="005449AE" w:rsidRPr="00F96FE9" w:rsidRDefault="005449AE" w:rsidP="004856FF">
      <w:pPr>
        <w:jc w:val="left"/>
      </w:pPr>
      <w:proofErr w:type="gramStart"/>
      <w:r w:rsidRPr="00F96FE9">
        <w:rPr>
          <w:i/>
        </w:rPr>
        <w:t>A-1 Realty</w:t>
      </w:r>
      <w:r w:rsidRPr="00F96FE9">
        <w:t xml:space="preserve"> at 6.</w:t>
      </w:r>
      <w:proofErr w:type="gramEnd"/>
    </w:p>
    <w:p w:rsidR="005449AE" w:rsidRPr="00F96FE9" w:rsidRDefault="005449AE" w:rsidP="004856FF">
      <w:pPr>
        <w:jc w:val="left"/>
      </w:pPr>
    </w:p>
    <w:p w:rsidR="00F82862" w:rsidRPr="00F96FE9" w:rsidRDefault="005449AE" w:rsidP="00F82862">
      <w:pPr>
        <w:jc w:val="left"/>
      </w:pPr>
      <w:r w:rsidRPr="00F96FE9">
        <w:tab/>
      </w:r>
      <w:r w:rsidRPr="00F96FE9">
        <w:tab/>
        <w:t xml:space="preserve">Just as </w:t>
      </w:r>
      <w:r w:rsidR="002B0B8B" w:rsidRPr="00F96FE9">
        <w:t xml:space="preserve">the PUC properly determined that </w:t>
      </w:r>
      <w:r w:rsidRPr="00F96FE9">
        <w:t xml:space="preserve">the utility </w:t>
      </w:r>
      <w:r w:rsidR="002B0B8B" w:rsidRPr="00F96FE9">
        <w:t xml:space="preserve">was obligated under the Code to list the </w:t>
      </w:r>
      <w:r w:rsidRPr="00F96FE9">
        <w:t xml:space="preserve">lot lessors' </w:t>
      </w:r>
      <w:r w:rsidR="002B0B8B" w:rsidRPr="00F96FE9">
        <w:t xml:space="preserve">accounts in </w:t>
      </w:r>
      <w:r w:rsidR="00141C7E">
        <w:t xml:space="preserve">the </w:t>
      </w:r>
      <w:r w:rsidRPr="00F96FE9">
        <w:t xml:space="preserve">lot owner's name in </w:t>
      </w:r>
      <w:r w:rsidRPr="00F96FE9">
        <w:rPr>
          <w:i/>
        </w:rPr>
        <w:t xml:space="preserve">A-1 Realty, </w:t>
      </w:r>
      <w:r w:rsidR="0007289B" w:rsidRPr="00F96FE9">
        <w:t xml:space="preserve">the Respondent here was </w:t>
      </w:r>
      <w:r w:rsidR="0007289B" w:rsidRPr="00F96FE9">
        <w:lastRenderedPageBreak/>
        <w:t>also obligated to list the account in the Complainant's name as soon as the foreign load was identified.</w:t>
      </w:r>
      <w:r w:rsidRPr="00F96FE9">
        <w:t xml:space="preserve"> </w:t>
      </w:r>
      <w:r w:rsidR="00DE5AAB">
        <w:t xml:space="preserve"> </w:t>
      </w:r>
      <w:r w:rsidR="0007289B" w:rsidRPr="00F96FE9">
        <w:t xml:space="preserve">The Respondent's action was required by statute. </w:t>
      </w:r>
      <w:r w:rsidR="00F82862" w:rsidRPr="00F96FE9">
        <w:t xml:space="preserve"> As is evident by</w:t>
      </w:r>
      <w:r w:rsidR="00334ECC" w:rsidRPr="00F96FE9">
        <w:t xml:space="preserve"> the language above, neither </w:t>
      </w:r>
      <w:r w:rsidR="00F82862" w:rsidRPr="00F96FE9">
        <w:t xml:space="preserve">the utility company </w:t>
      </w:r>
      <w:r w:rsidR="00B152CB" w:rsidRPr="00F96FE9">
        <w:t>n</w:t>
      </w:r>
      <w:r w:rsidR="00F82862" w:rsidRPr="00F96FE9">
        <w:t xml:space="preserve">or this Commission </w:t>
      </w:r>
      <w:r w:rsidR="00334ECC" w:rsidRPr="00F96FE9">
        <w:t>is</w:t>
      </w:r>
      <w:r w:rsidR="00F82862" w:rsidRPr="00F96FE9">
        <w:t xml:space="preserve"> bound by the lease agreement that provides for a monthly reduction in the rent to cover the cost of the electricity to the public lighting.  Rather, the utility and this Commission are bound by the </w:t>
      </w:r>
      <w:r w:rsidR="00B152CB" w:rsidRPr="00F96FE9">
        <w:t>Public Utility Code</w:t>
      </w:r>
      <w:r w:rsidR="00F82862" w:rsidRPr="00F96FE9">
        <w:t xml:space="preserve">, which does not permit either </w:t>
      </w:r>
      <w:r w:rsidR="005555F7" w:rsidRPr="00F96FE9">
        <w:t xml:space="preserve">of them </w:t>
      </w:r>
      <w:r w:rsidR="00F82862" w:rsidRPr="00F96FE9">
        <w:t>to recognize the applicability of a contract between the owner and renter which permits the existence of the foreign load.</w:t>
      </w:r>
    </w:p>
    <w:p w:rsidR="0007289B" w:rsidRPr="00F96FE9" w:rsidRDefault="0007289B" w:rsidP="004856FF">
      <w:pPr>
        <w:jc w:val="left"/>
      </w:pPr>
    </w:p>
    <w:p w:rsidR="0007289B" w:rsidRPr="00F96FE9" w:rsidRDefault="0007289B" w:rsidP="004856FF">
      <w:pPr>
        <w:jc w:val="left"/>
      </w:pPr>
      <w:r w:rsidRPr="00F96FE9">
        <w:tab/>
      </w:r>
      <w:r w:rsidRPr="00F96FE9">
        <w:tab/>
        <w:t xml:space="preserve">In </w:t>
      </w:r>
      <w:r w:rsidRPr="00F96FE9">
        <w:rPr>
          <w:i/>
        </w:rPr>
        <w:t>A-1 Realty,</w:t>
      </w:r>
      <w:r w:rsidRPr="00F96FE9">
        <w:t xml:space="preserve"> as in the present case, the Complainant sought to have the arrearage transferred back to the tenants following correction of the foreign load.  There is no provision in the law to support a transfer back of the arrearage.</w:t>
      </w:r>
    </w:p>
    <w:p w:rsidR="00334ECC" w:rsidRPr="00F96FE9" w:rsidRDefault="00334ECC" w:rsidP="004856FF">
      <w:pPr>
        <w:jc w:val="left"/>
      </w:pPr>
    </w:p>
    <w:p w:rsidR="00334ECC" w:rsidRPr="00F96FE9" w:rsidRDefault="00334ECC" w:rsidP="004856FF">
      <w:pPr>
        <w:jc w:val="left"/>
      </w:pPr>
      <w:r w:rsidRPr="00F96FE9">
        <w:tab/>
      </w:r>
      <w:r w:rsidRPr="00F96FE9">
        <w:tab/>
        <w:t>While this may seem harsh, the intent of the statute is to prevent landlords from taki</w:t>
      </w:r>
      <w:r w:rsidR="00BC2AF0" w:rsidRPr="00F96FE9">
        <w:t xml:space="preserve">ng unfair advantage of tenants </w:t>
      </w:r>
      <w:r w:rsidRPr="00F96FE9">
        <w:t xml:space="preserve">by placing responsibility for payment of electricity used in public areas on the tenant.  The statute shifts the duty to pay for </w:t>
      </w:r>
      <w:r w:rsidR="00BC2AF0" w:rsidRPr="00F96FE9">
        <w:t xml:space="preserve">the meter which registers the public area usage </w:t>
      </w:r>
      <w:r w:rsidRPr="00F96FE9">
        <w:t>to the landlord</w:t>
      </w:r>
      <w:r w:rsidR="00BC2AF0" w:rsidRPr="00F96FE9">
        <w:t>, and it does not shift responsibility for electricity already used back to the tenant even when the meter account is placed back in the tenant's name.</w:t>
      </w:r>
      <w:r w:rsidRPr="00F96FE9">
        <w:t xml:space="preserve"> </w:t>
      </w:r>
      <w:r w:rsidR="00BC2AF0" w:rsidRPr="00F96FE9">
        <w:t xml:space="preserve"> Any arrearage would include the public area usage, and thus, it remains with the landlord.  This represents a policy decision reached by the legislature and memorialized and enforced through </w:t>
      </w:r>
      <w:r w:rsidR="000430F4">
        <w:t xml:space="preserve">the Public Utility Code.  </w:t>
      </w:r>
      <w:r w:rsidR="00BC2AF0" w:rsidRPr="00F96FE9">
        <w:t>Accordingly, the statute requires that the arrearage from the tenant's account prior to the transfer to the Complainant's account must remain with the Complainant.</w:t>
      </w:r>
    </w:p>
    <w:p w:rsidR="00BC2AF0" w:rsidRPr="00F96FE9" w:rsidRDefault="00BC2AF0" w:rsidP="004856FF">
      <w:pPr>
        <w:jc w:val="left"/>
      </w:pPr>
    </w:p>
    <w:p w:rsidR="003B26F1" w:rsidRPr="00F96FE9" w:rsidRDefault="00BC2AF0" w:rsidP="003B26F1">
      <w:pPr>
        <w:jc w:val="left"/>
      </w:pPr>
      <w:r w:rsidRPr="00F96FE9">
        <w:tab/>
      </w:r>
      <w:r w:rsidRPr="00F96FE9">
        <w:tab/>
        <w:t>The actions of the Respondent were legally sound.</w:t>
      </w:r>
      <w:r w:rsidR="007D4BE4" w:rsidRPr="00F96FE9">
        <w:t xml:space="preserve">  Accordingly,</w:t>
      </w:r>
      <w:r w:rsidR="003B26F1" w:rsidRPr="00F96FE9">
        <w:t xml:space="preserve"> the Complainant has failed to state a claim upon which relief can be granted, and therefore the Preliminary Objections are granted.  The Complaint is dismissed.</w:t>
      </w:r>
    </w:p>
    <w:p w:rsidR="003B26F1" w:rsidRPr="00F96FE9" w:rsidRDefault="003B26F1" w:rsidP="003B26F1">
      <w:pPr>
        <w:contextualSpacing/>
        <w:jc w:val="left"/>
      </w:pPr>
    </w:p>
    <w:p w:rsidR="003B26F1" w:rsidRPr="00F96FE9" w:rsidRDefault="003B26F1" w:rsidP="003B26F1">
      <w:pPr>
        <w:contextualSpacing/>
        <w:rPr>
          <w:u w:val="single"/>
        </w:rPr>
      </w:pPr>
      <w:r w:rsidRPr="00F96FE9">
        <w:rPr>
          <w:u w:val="single"/>
        </w:rPr>
        <w:t>CONCLUSIONS OF LAW</w:t>
      </w:r>
    </w:p>
    <w:p w:rsidR="003B26F1" w:rsidRPr="00F96FE9" w:rsidRDefault="003B26F1" w:rsidP="003B26F1">
      <w:pPr>
        <w:contextualSpacing/>
        <w:rPr>
          <w:u w:val="single"/>
        </w:rPr>
      </w:pPr>
    </w:p>
    <w:p w:rsidR="003B26F1" w:rsidRPr="00F96FE9" w:rsidRDefault="003B26F1" w:rsidP="003B26F1">
      <w:pPr>
        <w:contextualSpacing/>
        <w:jc w:val="left"/>
      </w:pPr>
      <w:r w:rsidRPr="00F96FE9">
        <w:tab/>
      </w:r>
      <w:r w:rsidRPr="00F96FE9">
        <w:tab/>
        <w:t>1.</w:t>
      </w:r>
      <w:r w:rsidRPr="00F96FE9">
        <w:tab/>
        <w:t>The Commission has jurisdiction over the subject matter of this case.</w:t>
      </w:r>
    </w:p>
    <w:p w:rsidR="003B26F1" w:rsidRPr="00F96FE9" w:rsidRDefault="003B26F1" w:rsidP="003B26F1">
      <w:pPr>
        <w:contextualSpacing/>
        <w:jc w:val="left"/>
      </w:pPr>
    </w:p>
    <w:p w:rsidR="003B26F1" w:rsidRPr="00F96FE9" w:rsidRDefault="003B26F1" w:rsidP="003B26F1">
      <w:pPr>
        <w:jc w:val="left"/>
      </w:pPr>
      <w:r w:rsidRPr="00F96FE9">
        <w:lastRenderedPageBreak/>
        <w:tab/>
      </w:r>
      <w:r w:rsidRPr="00F96FE9">
        <w:tab/>
        <w:t>2.</w:t>
      </w:r>
      <w:r w:rsidRPr="00F96FE9">
        <w:tab/>
        <w:t xml:space="preserve">Commission preliminary objection practice is similar to Pennsylvania civil practice.  </w:t>
      </w:r>
      <w:r w:rsidRPr="00F96FE9">
        <w:rPr>
          <w:i/>
        </w:rPr>
        <w:t xml:space="preserve">Equitable Small Transportation Interveners v. Equitable Gas Company, </w:t>
      </w:r>
      <w:r w:rsidRPr="00F96FE9">
        <w:t xml:space="preserve">1994 Pa. PUC LEXIS 69, PUC Docket No. </w:t>
      </w:r>
      <w:proofErr w:type="gramStart"/>
      <w:r w:rsidRPr="00F96FE9">
        <w:t>C-000935435 (July 18, 1994).</w:t>
      </w:r>
      <w:proofErr w:type="gramEnd"/>
    </w:p>
    <w:p w:rsidR="003B26F1" w:rsidRPr="00F96FE9" w:rsidRDefault="003B26F1" w:rsidP="003B26F1">
      <w:pPr>
        <w:jc w:val="left"/>
      </w:pPr>
    </w:p>
    <w:p w:rsidR="003B26F1" w:rsidRPr="00F96FE9" w:rsidRDefault="003B26F1" w:rsidP="003B26F1">
      <w:pPr>
        <w:jc w:val="left"/>
      </w:pPr>
      <w:r w:rsidRPr="00F96FE9">
        <w:tab/>
      </w:r>
      <w:r w:rsidRPr="00F96FE9">
        <w:tab/>
        <w:t>3.</w:t>
      </w:r>
      <w:r w:rsidRPr="00F96FE9">
        <w:tab/>
        <w:t xml:space="preserve">When considering the preliminary objection, the Commission must determine “whether the law says with certainty, based on well-pleaded factual averments . . . that no recovery or relief is possible.  </w:t>
      </w:r>
      <w:proofErr w:type="gramStart"/>
      <w:r w:rsidRPr="00F96FE9">
        <w:rPr>
          <w:i/>
        </w:rPr>
        <w:t xml:space="preserve">P. J. S. v. Pa. State Ethics Commission, </w:t>
      </w:r>
      <w:r w:rsidRPr="00F96FE9">
        <w:t>669 A.2d 1105 (Pa. Cmwlth. 1996).</w:t>
      </w:r>
      <w:proofErr w:type="gramEnd"/>
      <w:r w:rsidRPr="00F96FE9">
        <w:t xml:space="preserve">  Any doubt must be resolved in favor of the non-moving party by refusing to sustain the preliminary objections.  </w:t>
      </w:r>
      <w:proofErr w:type="gramStart"/>
      <w:r w:rsidRPr="00F96FE9">
        <w:rPr>
          <w:i/>
        </w:rPr>
        <w:t xml:space="preserve">Boyd v. Ward, </w:t>
      </w:r>
      <w:r w:rsidRPr="00F96FE9">
        <w:t>802 A.2d 705 (Pa. Cmwlth. 2002).”</w:t>
      </w:r>
      <w:proofErr w:type="gramEnd"/>
      <w:r w:rsidRPr="00F96FE9">
        <w:t xml:space="preserve">  </w:t>
      </w:r>
      <w:proofErr w:type="gramStart"/>
      <w:r w:rsidRPr="00F96FE9">
        <w:rPr>
          <w:i/>
        </w:rPr>
        <w:t xml:space="preserve">Dept. of Auditor General, et al. v. State Employees’ Retirement System, et al., </w:t>
      </w:r>
      <w:r w:rsidRPr="00F96FE9">
        <w:t>836 A.2d 1053, 1064 (Pa. Cmwlth. 2003).</w:t>
      </w:r>
      <w:proofErr w:type="gramEnd"/>
    </w:p>
    <w:p w:rsidR="003B26F1" w:rsidRPr="00F96FE9" w:rsidRDefault="003B26F1" w:rsidP="003B26F1">
      <w:pPr>
        <w:jc w:val="both"/>
      </w:pPr>
    </w:p>
    <w:p w:rsidR="003B26F1" w:rsidRPr="00F96FE9" w:rsidRDefault="003B26F1" w:rsidP="003B26F1">
      <w:pPr>
        <w:contextualSpacing/>
        <w:jc w:val="left"/>
      </w:pPr>
      <w:r w:rsidRPr="00F96FE9">
        <w:tab/>
      </w:r>
      <w:r w:rsidRPr="00F96FE9">
        <w:tab/>
        <w:t>4.</w:t>
      </w:r>
      <w:r w:rsidRPr="00F96FE9">
        <w:tab/>
        <w:t>Legal insufficiency of a pleading is a proper basis for a preliminary objection.  52 Pa. Code § 5.101(a</w:t>
      </w:r>
      <w:proofErr w:type="gramStart"/>
      <w:r w:rsidRPr="00F96FE9">
        <w:t>)(</w:t>
      </w:r>
      <w:proofErr w:type="gramEnd"/>
      <w:r w:rsidRPr="00F96FE9">
        <w:t>4).</w:t>
      </w:r>
    </w:p>
    <w:p w:rsidR="003B26F1" w:rsidRPr="00F96FE9" w:rsidRDefault="003B26F1" w:rsidP="003B26F1">
      <w:pPr>
        <w:contextualSpacing/>
        <w:jc w:val="left"/>
      </w:pPr>
    </w:p>
    <w:p w:rsidR="003B26F1" w:rsidRPr="00F96FE9" w:rsidRDefault="003B26F1" w:rsidP="003B26F1">
      <w:pPr>
        <w:jc w:val="left"/>
      </w:pPr>
      <w:r w:rsidRPr="00F96FE9">
        <w:tab/>
      </w:r>
      <w:r w:rsidRPr="00F96FE9">
        <w:tab/>
        <w:t>5.</w:t>
      </w:r>
      <w:r w:rsidRPr="00F96FE9">
        <w:tab/>
        <w:t xml:space="preserve">In deciding the preliminary objections, the Commission must determine whether, based on well-pleaded factual averments of the Complaint, recovery or relief is possible.  </w:t>
      </w:r>
      <w:proofErr w:type="gramStart"/>
      <w:r w:rsidRPr="00F96FE9">
        <w:rPr>
          <w:i/>
        </w:rPr>
        <w:t>Dept. of Auditor General, et al v. SERS, et al.</w:t>
      </w:r>
      <w:r w:rsidRPr="00F96FE9">
        <w:t>, 8</w:t>
      </w:r>
      <w:r w:rsidR="00552C1F">
        <w:t>36 A.2d 1053, 1064 (Pa. Cmwlth. </w:t>
      </w:r>
      <w:r w:rsidRPr="00F96FE9">
        <w:t>200</w:t>
      </w:r>
      <w:r w:rsidR="0054059A">
        <w:t>3), 2003 Pa. Commw.</w:t>
      </w:r>
      <w:proofErr w:type="gramEnd"/>
      <w:r w:rsidR="0054059A">
        <w:t xml:space="preserve"> </w:t>
      </w:r>
      <w:proofErr w:type="gramStart"/>
      <w:r w:rsidR="0054059A">
        <w:t xml:space="preserve">LEXIS 849; </w:t>
      </w:r>
      <w:r w:rsidRPr="00F96FE9">
        <w:rPr>
          <w:i/>
        </w:rPr>
        <w:t>P.J.S. v. Pa. State Ethics Comm’n,</w:t>
      </w:r>
      <w:r w:rsidR="001B7DD1">
        <w:t xml:space="preserve"> 669 A.2d </w:t>
      </w:r>
      <w:r w:rsidRPr="00F96FE9">
        <w:t>1105 (Pa. Cmwlth. 1996), 1996 Pa. Commw.</w:t>
      </w:r>
      <w:proofErr w:type="gramEnd"/>
      <w:r w:rsidRPr="00F96FE9">
        <w:t xml:space="preserve"> </w:t>
      </w:r>
      <w:proofErr w:type="gramStart"/>
      <w:r w:rsidRPr="00F96FE9">
        <w:t>LEXIS 11.</w:t>
      </w:r>
      <w:proofErr w:type="gramEnd"/>
      <w:r w:rsidRPr="00F96FE9">
        <w:t xml:space="preserve">  Any doubt must be resolved in favor of the non-moving party by refusing to sustain the preliminary objections.  </w:t>
      </w:r>
      <w:proofErr w:type="gramStart"/>
      <w:r w:rsidR="0044205A">
        <w:rPr>
          <w:i/>
        </w:rPr>
        <w:t>Boyd v. Ward, </w:t>
      </w:r>
      <w:r w:rsidRPr="00F96FE9">
        <w:t>802 A.2d 705 (Pa.Cmwlth. 2002), 2002 Pa. Commw.</w:t>
      </w:r>
      <w:proofErr w:type="gramEnd"/>
      <w:r w:rsidRPr="00F96FE9">
        <w:t xml:space="preserve"> </w:t>
      </w:r>
      <w:proofErr w:type="gramStart"/>
      <w:r w:rsidRPr="00F96FE9">
        <w:t>LEXIS 580.</w:t>
      </w:r>
      <w:proofErr w:type="gramEnd"/>
    </w:p>
    <w:p w:rsidR="003B26F1" w:rsidRPr="00F96FE9" w:rsidRDefault="003B26F1" w:rsidP="003B26F1">
      <w:pPr>
        <w:jc w:val="left"/>
      </w:pPr>
    </w:p>
    <w:p w:rsidR="003B26F1" w:rsidRPr="00F96FE9" w:rsidRDefault="003B26F1" w:rsidP="003B26F1">
      <w:pPr>
        <w:jc w:val="left"/>
      </w:pPr>
      <w:r w:rsidRPr="00F96FE9">
        <w:tab/>
      </w:r>
      <w:r w:rsidRPr="00F96FE9">
        <w:tab/>
        <w:t>6.</w:t>
      </w:r>
      <w:r w:rsidRPr="00F96FE9">
        <w:tab/>
        <w:t xml:space="preserve">All of the non-moving party’s averments in the complaint must be viewed as true for purposes of deciding the preliminary objections, and only those facts specifically admitted may be considered against the non-moving party.  </w:t>
      </w:r>
      <w:proofErr w:type="gramStart"/>
      <w:r w:rsidRPr="00F96FE9">
        <w:rPr>
          <w:i/>
        </w:rPr>
        <w:t>Ridge v. State Employees’ Retirement Board</w:t>
      </w:r>
      <w:r w:rsidRPr="00F96FE9">
        <w:t>, 690 A.2d 1312 (Pa. Cmwl</w:t>
      </w:r>
      <w:r w:rsidR="006347A1">
        <w:t>th. 1997) 1997 Pa. Commw.</w:t>
      </w:r>
      <w:proofErr w:type="gramEnd"/>
      <w:r w:rsidR="006347A1">
        <w:t xml:space="preserve"> </w:t>
      </w:r>
      <w:proofErr w:type="gramStart"/>
      <w:r w:rsidR="006347A1">
        <w:t xml:space="preserve">LEXIS </w:t>
      </w:r>
      <w:r w:rsidRPr="00F96FE9">
        <w:t>148.</w:t>
      </w:r>
      <w:proofErr w:type="gramEnd"/>
    </w:p>
    <w:p w:rsidR="007D4BE4" w:rsidRPr="00F96FE9" w:rsidRDefault="007D4BE4" w:rsidP="003B26F1">
      <w:pPr>
        <w:jc w:val="left"/>
      </w:pPr>
    </w:p>
    <w:p w:rsidR="007D4BE4" w:rsidRPr="00F96FE9" w:rsidRDefault="007D4BE4" w:rsidP="007D4BE4">
      <w:pPr>
        <w:jc w:val="left"/>
        <w:rPr>
          <w:rFonts w:eastAsia="Times New Roman"/>
        </w:rPr>
      </w:pPr>
      <w:r w:rsidRPr="00F96FE9">
        <w:tab/>
      </w:r>
      <w:r w:rsidRPr="00F96FE9">
        <w:tab/>
        <w:t>7.</w:t>
      </w:r>
      <w:r w:rsidRPr="00F96FE9">
        <w:tab/>
      </w:r>
      <w:r w:rsidRPr="00F96FE9">
        <w:rPr>
          <w:rFonts w:eastAsia="Times New Roman"/>
        </w:rPr>
        <w:t xml:space="preserve">In the case of individually metered dwelling units, unless notified to the contrary by the tenant or an authorized representative, an affected public utility shall list the account for the premises in question in the name of the owner, and the owner shall be responsible </w:t>
      </w:r>
      <w:r w:rsidRPr="00F96FE9">
        <w:rPr>
          <w:rFonts w:eastAsia="Times New Roman"/>
        </w:rPr>
        <w:lastRenderedPageBreak/>
        <w:t>for the payment for utility services to the premises.</w:t>
      </w:r>
      <w:r w:rsidR="001835BF">
        <w:rPr>
          <w:rFonts w:eastAsia="Times New Roman"/>
        </w:rPr>
        <w:t xml:space="preserve">  </w:t>
      </w:r>
      <w:hyperlink r:id="rId12" w:history="1">
        <w:proofErr w:type="gramStart"/>
        <w:r w:rsidRPr="00F96FE9">
          <w:rPr>
            <w:rFonts w:eastAsia="Times New Roman"/>
          </w:rPr>
          <w:t>66 Pa.C.S.</w:t>
        </w:r>
        <w:proofErr w:type="gramEnd"/>
        <w:r w:rsidRPr="00F96FE9">
          <w:rPr>
            <w:rFonts w:eastAsia="Times New Roman"/>
          </w:rPr>
          <w:t xml:space="preserve"> § 1529.1(b)</w:t>
        </w:r>
      </w:hyperlink>
      <w:r w:rsidRPr="00F96FE9">
        <w:rPr>
          <w:rFonts w:eastAsia="Times New Roman"/>
        </w:rPr>
        <w:t xml:space="preserve"> (emphasis added by the Court).</w:t>
      </w:r>
    </w:p>
    <w:p w:rsidR="007D4BE4" w:rsidRPr="00F96FE9" w:rsidRDefault="007D4BE4" w:rsidP="007D4BE4">
      <w:pPr>
        <w:jc w:val="left"/>
        <w:rPr>
          <w:rFonts w:eastAsia="Times New Roman"/>
        </w:rPr>
      </w:pPr>
    </w:p>
    <w:p w:rsidR="007D4BE4" w:rsidRPr="00F96FE9" w:rsidRDefault="007D4BE4" w:rsidP="007D4BE4">
      <w:pPr>
        <w:jc w:val="left"/>
      </w:pPr>
      <w:r w:rsidRPr="00F96FE9">
        <w:rPr>
          <w:rFonts w:eastAsia="Times New Roman"/>
        </w:rPr>
        <w:tab/>
      </w:r>
      <w:r w:rsidRPr="00F96FE9">
        <w:rPr>
          <w:rFonts w:eastAsia="Times New Roman"/>
        </w:rPr>
        <w:tab/>
        <w:t>8.</w:t>
      </w:r>
      <w:r w:rsidRPr="00F96FE9">
        <w:rPr>
          <w:rFonts w:eastAsia="Times New Roman"/>
        </w:rPr>
        <w:tab/>
        <w:t>The phrase "not individually metered"</w:t>
      </w:r>
      <w:r w:rsidRPr="00F96FE9">
        <w:t xml:space="preserve"> is defined as "the utility meter for the unit is registering a foreign load, or usage not exclusive to the dwelling unit or its occupants." </w:t>
      </w:r>
      <w:r w:rsidR="005307C2">
        <w:t xml:space="preserve"> </w:t>
      </w:r>
      <w:r w:rsidRPr="00F96FE9">
        <w:rPr>
          <w:i/>
          <w:iCs/>
        </w:rPr>
        <w:t xml:space="preserve">Del </w:t>
      </w:r>
      <w:proofErr w:type="spellStart"/>
      <w:r w:rsidRPr="00F96FE9">
        <w:rPr>
          <w:i/>
          <w:iCs/>
        </w:rPr>
        <w:t>Vecchio</w:t>
      </w:r>
      <w:proofErr w:type="spellEnd"/>
      <w:r w:rsidRPr="00F96FE9">
        <w:rPr>
          <w:i/>
          <w:iCs/>
        </w:rPr>
        <w:t xml:space="preserve"> v. PPL Elec. Util. Corp</w:t>
      </w:r>
      <w:r w:rsidRPr="00F96FE9">
        <w:t xml:space="preserve">., Docket No. Z-01464793 (Pa. PUC 2005); </w:t>
      </w:r>
      <w:r w:rsidRPr="00F96FE9">
        <w:rPr>
          <w:i/>
          <w:iCs/>
        </w:rPr>
        <w:t xml:space="preserve">see also </w:t>
      </w:r>
      <w:proofErr w:type="spellStart"/>
      <w:r w:rsidRPr="00F96FE9">
        <w:rPr>
          <w:i/>
          <w:iCs/>
        </w:rPr>
        <w:t>Cosme</w:t>
      </w:r>
      <w:proofErr w:type="spellEnd"/>
      <w:r w:rsidRPr="00F96FE9">
        <w:rPr>
          <w:i/>
          <w:iCs/>
        </w:rPr>
        <w:t xml:space="preserve"> v. PECO Energy Co</w:t>
      </w:r>
      <w:r w:rsidRPr="00F96FE9">
        <w:t xml:space="preserve">., Docket No. C-2010-2171497 (Pa. PUC 2012); </w:t>
      </w:r>
      <w:r w:rsidRPr="00F96FE9">
        <w:rPr>
          <w:i/>
          <w:iCs/>
        </w:rPr>
        <w:t>Albright v. UGI Penn Natural Gas Co., Inc</w:t>
      </w:r>
      <w:r w:rsidRPr="00F96FE9">
        <w:t>., Docket No. F-2009-2139408 (Pa. PUC 2012).</w:t>
      </w:r>
      <w:r w:rsidRPr="00F96FE9">
        <w:br/>
      </w:r>
      <w:r w:rsidRPr="00F96FE9">
        <w:br/>
      </w:r>
      <w:r w:rsidRPr="00F96FE9">
        <w:tab/>
      </w:r>
      <w:r w:rsidRPr="00F96FE9">
        <w:tab/>
        <w:t>9.</w:t>
      </w:r>
      <w:r w:rsidRPr="00F96FE9">
        <w:tab/>
        <w:t xml:space="preserve">It is well established that "shall' is mandatory for purposes of statutory construction when a statute is unambiguous." </w:t>
      </w:r>
      <w:r w:rsidR="005D7D18">
        <w:t xml:space="preserve"> </w:t>
      </w:r>
      <w:hyperlink r:id="rId13" w:history="1">
        <w:proofErr w:type="gramStart"/>
        <w:r w:rsidRPr="00F96FE9">
          <w:rPr>
            <w:rStyle w:val="Hyperlink"/>
            <w:i/>
            <w:iCs/>
            <w:color w:val="auto"/>
          </w:rPr>
          <w:t xml:space="preserve">Dep't of Transp. v. </w:t>
        </w:r>
        <w:proofErr w:type="spellStart"/>
        <w:r w:rsidRPr="00F96FE9">
          <w:rPr>
            <w:rStyle w:val="Hyperlink"/>
            <w:i/>
            <w:iCs/>
            <w:color w:val="auto"/>
          </w:rPr>
          <w:t>McCafferty</w:t>
        </w:r>
        <w:proofErr w:type="spellEnd"/>
        <w:r w:rsidR="005D7D18">
          <w:rPr>
            <w:rStyle w:val="Hyperlink"/>
            <w:color w:val="auto"/>
          </w:rPr>
          <w:t>, 563 Pa. 146, 163, </w:t>
        </w:r>
        <w:r w:rsidRPr="00F96FE9">
          <w:rPr>
            <w:rStyle w:val="Hyperlink"/>
            <w:color w:val="auto"/>
          </w:rPr>
          <w:t>758 A.2d 1155, 1164 (2000)</w:t>
        </w:r>
      </w:hyperlink>
      <w:r w:rsidRPr="00F96FE9">
        <w:t>.</w:t>
      </w:r>
      <w:proofErr w:type="gramEnd"/>
      <w:r w:rsidRPr="00F96FE9">
        <w:t xml:space="preserve"> </w:t>
      </w:r>
    </w:p>
    <w:p w:rsidR="007D4BE4" w:rsidRPr="00F96FE9" w:rsidRDefault="007D4BE4" w:rsidP="003B26F1">
      <w:pPr>
        <w:jc w:val="left"/>
      </w:pPr>
    </w:p>
    <w:p w:rsidR="007D4BE4" w:rsidRPr="00F96FE9" w:rsidRDefault="007D4BE4" w:rsidP="007D4BE4">
      <w:pPr>
        <w:jc w:val="left"/>
      </w:pPr>
      <w:r w:rsidRPr="00F96FE9">
        <w:tab/>
      </w:r>
      <w:r w:rsidRPr="00F96FE9">
        <w:tab/>
        <w:t>10.</w:t>
      </w:r>
      <w:r w:rsidRPr="00F96FE9">
        <w:tab/>
        <w:t>There is no provision in the law to support a transfer back of the arrearage.</w:t>
      </w:r>
    </w:p>
    <w:p w:rsidR="007D4BE4" w:rsidRPr="00F96FE9" w:rsidRDefault="007D4BE4" w:rsidP="007D4BE4">
      <w:pPr>
        <w:jc w:val="left"/>
      </w:pPr>
    </w:p>
    <w:p w:rsidR="007D4BE4" w:rsidRPr="00F96FE9" w:rsidRDefault="007D4BE4" w:rsidP="007D4BE4">
      <w:pPr>
        <w:jc w:val="left"/>
      </w:pPr>
      <w:r w:rsidRPr="00F96FE9">
        <w:tab/>
      </w:r>
      <w:r w:rsidRPr="00F96FE9">
        <w:tab/>
        <w:t>11.</w:t>
      </w:r>
      <w:r w:rsidRPr="00F96FE9">
        <w:tab/>
        <w:t>The Complaint fails to state a claim upon which relief can be granted.</w:t>
      </w:r>
    </w:p>
    <w:p w:rsidR="007D4BE4" w:rsidRPr="00F96FE9" w:rsidRDefault="007D4BE4" w:rsidP="007D4BE4">
      <w:pPr>
        <w:jc w:val="left"/>
      </w:pPr>
    </w:p>
    <w:p w:rsidR="007D4BE4" w:rsidRPr="00F96FE9" w:rsidRDefault="007D4BE4" w:rsidP="007D4BE4">
      <w:pPr>
        <w:rPr>
          <w:b/>
          <w:u w:val="single"/>
        </w:rPr>
      </w:pPr>
      <w:r w:rsidRPr="00F96FE9">
        <w:rPr>
          <w:b/>
          <w:u w:val="single"/>
        </w:rPr>
        <w:t>ORDER</w:t>
      </w:r>
    </w:p>
    <w:p w:rsidR="007D4BE4" w:rsidRDefault="007D4BE4" w:rsidP="007D4BE4">
      <w:pPr>
        <w:rPr>
          <w:b/>
          <w:u w:val="single"/>
        </w:rPr>
      </w:pPr>
    </w:p>
    <w:p w:rsidR="00E828C1" w:rsidRPr="00F96FE9" w:rsidRDefault="00E828C1" w:rsidP="007D4BE4">
      <w:pPr>
        <w:rPr>
          <w:b/>
          <w:u w:val="single"/>
        </w:rPr>
      </w:pPr>
    </w:p>
    <w:p w:rsidR="007D4BE4" w:rsidRPr="00F96FE9" w:rsidRDefault="007D4BE4" w:rsidP="007D4BE4">
      <w:pPr>
        <w:jc w:val="left"/>
      </w:pPr>
      <w:r w:rsidRPr="00F96FE9">
        <w:tab/>
      </w:r>
      <w:r w:rsidRPr="00F96FE9">
        <w:tab/>
        <w:t>THEREFORE,</w:t>
      </w:r>
    </w:p>
    <w:p w:rsidR="007D4BE4" w:rsidRPr="00F96FE9" w:rsidRDefault="007D4BE4" w:rsidP="007D4BE4">
      <w:pPr>
        <w:jc w:val="left"/>
      </w:pPr>
    </w:p>
    <w:p w:rsidR="007D4BE4" w:rsidRPr="00F96FE9" w:rsidRDefault="007D4BE4" w:rsidP="007D4BE4">
      <w:pPr>
        <w:jc w:val="left"/>
      </w:pPr>
      <w:r w:rsidRPr="00F96FE9">
        <w:tab/>
      </w:r>
      <w:r w:rsidRPr="00F96FE9">
        <w:tab/>
        <w:t>IT IS ORDERED:</w:t>
      </w:r>
    </w:p>
    <w:p w:rsidR="007D4BE4" w:rsidRPr="00F96FE9" w:rsidRDefault="007D4BE4" w:rsidP="007D4BE4">
      <w:pPr>
        <w:jc w:val="left"/>
      </w:pPr>
    </w:p>
    <w:p w:rsidR="007D4BE4" w:rsidRPr="002401A9" w:rsidRDefault="007D4BE4" w:rsidP="007D4BE4">
      <w:pPr>
        <w:jc w:val="left"/>
      </w:pPr>
      <w:r w:rsidRPr="00F96FE9">
        <w:tab/>
      </w:r>
      <w:r w:rsidRPr="00F96FE9">
        <w:tab/>
      </w:r>
      <w:r w:rsidRPr="002401A9">
        <w:t>1.</w:t>
      </w:r>
      <w:r w:rsidRPr="002401A9">
        <w:tab/>
        <w:t xml:space="preserve">That the Preliminary Objections filed by PECO Energy Company in the case captioned </w:t>
      </w:r>
      <w:proofErr w:type="spellStart"/>
      <w:r w:rsidRPr="002401A9">
        <w:t>Suong</w:t>
      </w:r>
      <w:proofErr w:type="spellEnd"/>
      <w:r w:rsidRPr="002401A9">
        <w:t xml:space="preserve"> Tran v. PECO Energy Company at Docket No. F-2012-2340655, are granted.</w:t>
      </w:r>
    </w:p>
    <w:p w:rsidR="007D4BE4" w:rsidRPr="002401A9" w:rsidRDefault="007D4BE4" w:rsidP="007D4BE4">
      <w:pPr>
        <w:jc w:val="left"/>
      </w:pPr>
    </w:p>
    <w:p w:rsidR="007D4BE4" w:rsidRPr="00F96FE9" w:rsidRDefault="007D4BE4" w:rsidP="007D4BE4">
      <w:pPr>
        <w:jc w:val="left"/>
      </w:pPr>
      <w:r w:rsidRPr="00F96FE9">
        <w:tab/>
      </w:r>
      <w:r w:rsidRPr="00F96FE9">
        <w:tab/>
        <w:t>2.</w:t>
      </w:r>
      <w:r w:rsidRPr="00F96FE9">
        <w:tab/>
        <w:t xml:space="preserve">That the Complaint filed by </w:t>
      </w:r>
      <w:proofErr w:type="spellStart"/>
      <w:r w:rsidRPr="00F96FE9">
        <w:t>Suong</w:t>
      </w:r>
      <w:proofErr w:type="spellEnd"/>
      <w:r w:rsidRPr="00F96FE9">
        <w:t xml:space="preserve"> Tran against PECO Energy Company at Docket No. F-2012-</w:t>
      </w:r>
      <w:proofErr w:type="gramStart"/>
      <w:r w:rsidRPr="00F96FE9">
        <w:t>2340655,</w:t>
      </w:r>
      <w:proofErr w:type="gramEnd"/>
      <w:r w:rsidRPr="00F96FE9">
        <w:t xml:space="preserve"> is dismissed.</w:t>
      </w:r>
    </w:p>
    <w:p w:rsidR="007D4BE4" w:rsidRPr="00F96FE9" w:rsidRDefault="007D4BE4" w:rsidP="007D4BE4">
      <w:pPr>
        <w:jc w:val="left"/>
      </w:pPr>
    </w:p>
    <w:p w:rsidR="007D4BE4" w:rsidRPr="00F96FE9" w:rsidRDefault="007D4BE4" w:rsidP="007D4BE4">
      <w:pPr>
        <w:jc w:val="left"/>
      </w:pPr>
      <w:r w:rsidRPr="00F96FE9">
        <w:lastRenderedPageBreak/>
        <w:tab/>
      </w:r>
      <w:r w:rsidRPr="00F96FE9">
        <w:tab/>
        <w:t>3.</w:t>
      </w:r>
      <w:r w:rsidRPr="00F96FE9">
        <w:tab/>
        <w:t xml:space="preserve">That the Secretary </w:t>
      </w:r>
      <w:proofErr w:type="gramStart"/>
      <w:r w:rsidRPr="00F96FE9">
        <w:t>mark</w:t>
      </w:r>
      <w:proofErr w:type="gramEnd"/>
      <w:r w:rsidRPr="00F96FE9">
        <w:t xml:space="preserve"> this docket closed.</w:t>
      </w:r>
    </w:p>
    <w:p w:rsidR="007D4BE4" w:rsidRPr="00F96FE9" w:rsidRDefault="007D4BE4" w:rsidP="007D4BE4">
      <w:pPr>
        <w:jc w:val="left"/>
      </w:pPr>
    </w:p>
    <w:p w:rsidR="007D4BE4" w:rsidRPr="00F96FE9" w:rsidRDefault="007D4BE4" w:rsidP="007D4BE4">
      <w:pPr>
        <w:jc w:val="left"/>
      </w:pPr>
    </w:p>
    <w:p w:rsidR="007D4BE4" w:rsidRPr="00F96FE9" w:rsidRDefault="007D4BE4" w:rsidP="002401A9">
      <w:pPr>
        <w:tabs>
          <w:tab w:val="left" w:pos="720"/>
          <w:tab w:val="left" w:pos="5040"/>
          <w:tab w:val="left" w:pos="5760"/>
          <w:tab w:val="left" w:pos="9180"/>
        </w:tabs>
        <w:spacing w:line="240" w:lineRule="auto"/>
        <w:jc w:val="left"/>
      </w:pPr>
      <w:r w:rsidRPr="00F96FE9">
        <w:t>Dated:</w:t>
      </w:r>
      <w:r w:rsidRPr="00F96FE9">
        <w:tab/>
      </w:r>
      <w:r w:rsidRPr="00F96FE9">
        <w:rPr>
          <w:u w:val="single"/>
        </w:rPr>
        <w:t>March 5, 2013</w:t>
      </w:r>
      <w:r w:rsidRPr="00F96FE9">
        <w:tab/>
      </w:r>
      <w:r w:rsidR="002401A9">
        <w:rPr>
          <w:u w:val="single"/>
        </w:rPr>
        <w:tab/>
        <w:t>/s/</w:t>
      </w:r>
      <w:r w:rsidR="002401A9">
        <w:rPr>
          <w:u w:val="single"/>
        </w:rPr>
        <w:tab/>
      </w:r>
      <w:r w:rsidRPr="00F96FE9">
        <w:tab/>
      </w:r>
    </w:p>
    <w:p w:rsidR="007D4BE4" w:rsidRPr="00F96FE9" w:rsidRDefault="007D4BE4" w:rsidP="007D4BE4">
      <w:pPr>
        <w:spacing w:line="240" w:lineRule="auto"/>
        <w:jc w:val="left"/>
      </w:pPr>
      <w:r w:rsidRPr="00F96FE9">
        <w:tab/>
      </w:r>
      <w:r w:rsidRPr="00F96FE9">
        <w:tab/>
      </w:r>
      <w:r w:rsidRPr="00F96FE9">
        <w:tab/>
      </w:r>
      <w:r w:rsidRPr="00F96FE9">
        <w:tab/>
      </w:r>
      <w:r w:rsidRPr="00F96FE9">
        <w:tab/>
      </w:r>
      <w:r w:rsidRPr="00F96FE9">
        <w:tab/>
      </w:r>
      <w:r w:rsidRPr="00F96FE9">
        <w:tab/>
        <w:t>Susan D. Colwell</w:t>
      </w:r>
    </w:p>
    <w:p w:rsidR="007D4BE4" w:rsidRPr="00F96FE9" w:rsidRDefault="007D4BE4" w:rsidP="007D4BE4">
      <w:pPr>
        <w:spacing w:line="240" w:lineRule="auto"/>
        <w:jc w:val="left"/>
      </w:pPr>
      <w:r w:rsidRPr="00F96FE9">
        <w:tab/>
      </w:r>
      <w:r w:rsidRPr="00F96FE9">
        <w:tab/>
      </w:r>
      <w:r w:rsidRPr="00F96FE9">
        <w:tab/>
      </w:r>
      <w:r w:rsidRPr="00F96FE9">
        <w:tab/>
      </w:r>
      <w:r w:rsidRPr="00F96FE9">
        <w:tab/>
      </w:r>
      <w:r w:rsidRPr="00F96FE9">
        <w:tab/>
      </w:r>
      <w:r w:rsidRPr="00F96FE9">
        <w:tab/>
        <w:t>Administrative Law Judge</w:t>
      </w:r>
    </w:p>
    <w:p w:rsidR="003B26F1" w:rsidRPr="00F96FE9" w:rsidRDefault="003B26F1" w:rsidP="003B26F1">
      <w:pPr>
        <w:jc w:val="left"/>
      </w:pPr>
    </w:p>
    <w:p w:rsidR="00EC75DE" w:rsidRPr="00F96FE9" w:rsidRDefault="00EC75DE" w:rsidP="00EC75DE">
      <w:pPr>
        <w:spacing w:line="240" w:lineRule="auto"/>
      </w:pPr>
    </w:p>
    <w:sectPr w:rsidR="00EC75DE" w:rsidRPr="00F96FE9" w:rsidSect="007D4BE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E1" w:rsidRDefault="00AB2AE1" w:rsidP="007D4BE4">
      <w:pPr>
        <w:spacing w:line="240" w:lineRule="auto"/>
      </w:pPr>
      <w:r>
        <w:separator/>
      </w:r>
    </w:p>
  </w:endnote>
  <w:endnote w:type="continuationSeparator" w:id="0">
    <w:p w:rsidR="00AB2AE1" w:rsidRDefault="00AB2AE1" w:rsidP="007D4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05578"/>
      <w:docPartObj>
        <w:docPartGallery w:val="Page Numbers (Bottom of Page)"/>
        <w:docPartUnique/>
      </w:docPartObj>
    </w:sdtPr>
    <w:sdtEndPr>
      <w:rPr>
        <w:noProof/>
        <w:sz w:val="20"/>
        <w:szCs w:val="20"/>
      </w:rPr>
    </w:sdtEndPr>
    <w:sdtContent>
      <w:p w:rsidR="007D4BE4" w:rsidRPr="00796B17" w:rsidRDefault="007D4BE4" w:rsidP="00796B17">
        <w:pPr>
          <w:pStyle w:val="Footer"/>
          <w:rPr>
            <w:sz w:val="20"/>
            <w:szCs w:val="20"/>
          </w:rPr>
        </w:pPr>
        <w:r w:rsidRPr="00796B17">
          <w:rPr>
            <w:sz w:val="20"/>
            <w:szCs w:val="20"/>
          </w:rPr>
          <w:fldChar w:fldCharType="begin"/>
        </w:r>
        <w:r w:rsidRPr="00796B17">
          <w:rPr>
            <w:sz w:val="20"/>
            <w:szCs w:val="20"/>
          </w:rPr>
          <w:instrText xml:space="preserve"> PAGE   \* MERGEFORMAT </w:instrText>
        </w:r>
        <w:r w:rsidRPr="00796B17">
          <w:rPr>
            <w:sz w:val="20"/>
            <w:szCs w:val="20"/>
          </w:rPr>
          <w:fldChar w:fldCharType="separate"/>
        </w:r>
        <w:r w:rsidR="002401A9">
          <w:rPr>
            <w:noProof/>
            <w:sz w:val="20"/>
            <w:szCs w:val="20"/>
          </w:rPr>
          <w:t>8</w:t>
        </w:r>
        <w:r w:rsidRPr="00796B1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E1" w:rsidRDefault="00AB2AE1" w:rsidP="007D4BE4">
      <w:pPr>
        <w:spacing w:line="240" w:lineRule="auto"/>
      </w:pPr>
      <w:r>
        <w:separator/>
      </w:r>
    </w:p>
  </w:footnote>
  <w:footnote w:type="continuationSeparator" w:id="0">
    <w:p w:rsidR="00AB2AE1" w:rsidRDefault="00AB2AE1" w:rsidP="007D4B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71C56"/>
    <w:multiLevelType w:val="hybridMultilevel"/>
    <w:tmpl w:val="685288CA"/>
    <w:lvl w:ilvl="0" w:tplc="5B5C6A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D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30F4"/>
    <w:rsid w:val="00044B8B"/>
    <w:rsid w:val="00044FC0"/>
    <w:rsid w:val="0004643F"/>
    <w:rsid w:val="000466BF"/>
    <w:rsid w:val="00046714"/>
    <w:rsid w:val="00046940"/>
    <w:rsid w:val="000478E2"/>
    <w:rsid w:val="0005328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89B"/>
    <w:rsid w:val="00072D46"/>
    <w:rsid w:val="00073BE1"/>
    <w:rsid w:val="00074065"/>
    <w:rsid w:val="00076092"/>
    <w:rsid w:val="000779CB"/>
    <w:rsid w:val="00082363"/>
    <w:rsid w:val="000838B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3632"/>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0BD3"/>
    <w:rsid w:val="000F1890"/>
    <w:rsid w:val="000F2E5F"/>
    <w:rsid w:val="000F3819"/>
    <w:rsid w:val="000F405A"/>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1C7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5BF"/>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B7DD1"/>
    <w:rsid w:val="001C0410"/>
    <w:rsid w:val="001C054D"/>
    <w:rsid w:val="001C2234"/>
    <w:rsid w:val="001C537D"/>
    <w:rsid w:val="001C64B4"/>
    <w:rsid w:val="001C65CD"/>
    <w:rsid w:val="001D05DB"/>
    <w:rsid w:val="001D0876"/>
    <w:rsid w:val="001D0F91"/>
    <w:rsid w:val="001D1F1B"/>
    <w:rsid w:val="001D2B51"/>
    <w:rsid w:val="001D4223"/>
    <w:rsid w:val="001D556B"/>
    <w:rsid w:val="001E1EE7"/>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2F16"/>
    <w:rsid w:val="002241D0"/>
    <w:rsid w:val="00224756"/>
    <w:rsid w:val="0022478F"/>
    <w:rsid w:val="00227A4A"/>
    <w:rsid w:val="00230CC6"/>
    <w:rsid w:val="002337D7"/>
    <w:rsid w:val="00234DEB"/>
    <w:rsid w:val="0023584A"/>
    <w:rsid w:val="00236C44"/>
    <w:rsid w:val="002401A9"/>
    <w:rsid w:val="00240343"/>
    <w:rsid w:val="002403E6"/>
    <w:rsid w:val="002422D0"/>
    <w:rsid w:val="00245181"/>
    <w:rsid w:val="002451F7"/>
    <w:rsid w:val="002455CC"/>
    <w:rsid w:val="00246523"/>
    <w:rsid w:val="0024685D"/>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B8B"/>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3EC"/>
    <w:rsid w:val="00321DB1"/>
    <w:rsid w:val="00326EEE"/>
    <w:rsid w:val="00326F3E"/>
    <w:rsid w:val="00330A67"/>
    <w:rsid w:val="00332A51"/>
    <w:rsid w:val="00333ADD"/>
    <w:rsid w:val="00334ECC"/>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4A5"/>
    <w:rsid w:val="00356988"/>
    <w:rsid w:val="003601E1"/>
    <w:rsid w:val="00360F5F"/>
    <w:rsid w:val="0036124A"/>
    <w:rsid w:val="0036153E"/>
    <w:rsid w:val="0036237C"/>
    <w:rsid w:val="003625F5"/>
    <w:rsid w:val="003643C9"/>
    <w:rsid w:val="003652DC"/>
    <w:rsid w:val="003657F1"/>
    <w:rsid w:val="00365826"/>
    <w:rsid w:val="00365A2F"/>
    <w:rsid w:val="00366696"/>
    <w:rsid w:val="0036754C"/>
    <w:rsid w:val="00375889"/>
    <w:rsid w:val="003760EB"/>
    <w:rsid w:val="00380892"/>
    <w:rsid w:val="00381B05"/>
    <w:rsid w:val="00383321"/>
    <w:rsid w:val="00383F23"/>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6F1"/>
    <w:rsid w:val="003B2E77"/>
    <w:rsid w:val="003B3FDD"/>
    <w:rsid w:val="003B4D40"/>
    <w:rsid w:val="003B5D19"/>
    <w:rsid w:val="003B610B"/>
    <w:rsid w:val="003C34F1"/>
    <w:rsid w:val="003C47E8"/>
    <w:rsid w:val="003C5102"/>
    <w:rsid w:val="003C5586"/>
    <w:rsid w:val="003C610C"/>
    <w:rsid w:val="003C6962"/>
    <w:rsid w:val="003C6F65"/>
    <w:rsid w:val="003D1F46"/>
    <w:rsid w:val="003D3B89"/>
    <w:rsid w:val="003D41CF"/>
    <w:rsid w:val="003D5045"/>
    <w:rsid w:val="003E1442"/>
    <w:rsid w:val="003E2B14"/>
    <w:rsid w:val="003E2FDE"/>
    <w:rsid w:val="003E3078"/>
    <w:rsid w:val="003E4229"/>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05A"/>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56FF"/>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E7"/>
    <w:rsid w:val="004B652A"/>
    <w:rsid w:val="004B7DB2"/>
    <w:rsid w:val="004C015B"/>
    <w:rsid w:val="004C125D"/>
    <w:rsid w:val="004C1ABF"/>
    <w:rsid w:val="004C30D2"/>
    <w:rsid w:val="004C3AE2"/>
    <w:rsid w:val="004C4C1E"/>
    <w:rsid w:val="004C657C"/>
    <w:rsid w:val="004C6687"/>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7C2"/>
    <w:rsid w:val="005328F4"/>
    <w:rsid w:val="00535068"/>
    <w:rsid w:val="00535220"/>
    <w:rsid w:val="00536ABE"/>
    <w:rsid w:val="0054059A"/>
    <w:rsid w:val="00540B74"/>
    <w:rsid w:val="00540B8B"/>
    <w:rsid w:val="00540ED6"/>
    <w:rsid w:val="00541C1D"/>
    <w:rsid w:val="005449AC"/>
    <w:rsid w:val="005449AE"/>
    <w:rsid w:val="00544A16"/>
    <w:rsid w:val="005472EC"/>
    <w:rsid w:val="00547C82"/>
    <w:rsid w:val="0055122B"/>
    <w:rsid w:val="00552915"/>
    <w:rsid w:val="00552C1F"/>
    <w:rsid w:val="005534BD"/>
    <w:rsid w:val="005555F7"/>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7A5"/>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D7D18"/>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7A1"/>
    <w:rsid w:val="00634EB5"/>
    <w:rsid w:val="0063516D"/>
    <w:rsid w:val="00635AE1"/>
    <w:rsid w:val="00635DA6"/>
    <w:rsid w:val="00641021"/>
    <w:rsid w:val="006416B8"/>
    <w:rsid w:val="00642DFF"/>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46"/>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363"/>
    <w:rsid w:val="007344C3"/>
    <w:rsid w:val="00736C31"/>
    <w:rsid w:val="007372A3"/>
    <w:rsid w:val="0074239D"/>
    <w:rsid w:val="00742CE1"/>
    <w:rsid w:val="0074372C"/>
    <w:rsid w:val="00744C7C"/>
    <w:rsid w:val="00745862"/>
    <w:rsid w:val="00746657"/>
    <w:rsid w:val="0074687F"/>
    <w:rsid w:val="00746973"/>
    <w:rsid w:val="00747C4D"/>
    <w:rsid w:val="00751055"/>
    <w:rsid w:val="007517A4"/>
    <w:rsid w:val="0075585E"/>
    <w:rsid w:val="00755A77"/>
    <w:rsid w:val="00757548"/>
    <w:rsid w:val="007631D1"/>
    <w:rsid w:val="007635AC"/>
    <w:rsid w:val="00767C81"/>
    <w:rsid w:val="00772458"/>
    <w:rsid w:val="00775812"/>
    <w:rsid w:val="00781AFB"/>
    <w:rsid w:val="00782461"/>
    <w:rsid w:val="0078261F"/>
    <w:rsid w:val="007833DA"/>
    <w:rsid w:val="00783492"/>
    <w:rsid w:val="00784522"/>
    <w:rsid w:val="0078470A"/>
    <w:rsid w:val="00784C15"/>
    <w:rsid w:val="0078583D"/>
    <w:rsid w:val="00785939"/>
    <w:rsid w:val="00785D73"/>
    <w:rsid w:val="007867EF"/>
    <w:rsid w:val="00786FA8"/>
    <w:rsid w:val="00787AF1"/>
    <w:rsid w:val="0079132B"/>
    <w:rsid w:val="0079360E"/>
    <w:rsid w:val="00795245"/>
    <w:rsid w:val="007969E6"/>
    <w:rsid w:val="00796B17"/>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4BE4"/>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885"/>
    <w:rsid w:val="00804065"/>
    <w:rsid w:val="008047DD"/>
    <w:rsid w:val="0080611B"/>
    <w:rsid w:val="00806213"/>
    <w:rsid w:val="008121D7"/>
    <w:rsid w:val="008126F2"/>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B1C"/>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4035"/>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3FDD"/>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751D"/>
    <w:rsid w:val="00930061"/>
    <w:rsid w:val="00930723"/>
    <w:rsid w:val="00930EBA"/>
    <w:rsid w:val="0093151F"/>
    <w:rsid w:val="0093268C"/>
    <w:rsid w:val="00934728"/>
    <w:rsid w:val="009347A5"/>
    <w:rsid w:val="00935580"/>
    <w:rsid w:val="009366E0"/>
    <w:rsid w:val="00936EB3"/>
    <w:rsid w:val="009379C1"/>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5F4A"/>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6A4E"/>
    <w:rsid w:val="009B72A1"/>
    <w:rsid w:val="009B74A5"/>
    <w:rsid w:val="009C015C"/>
    <w:rsid w:val="009C0E90"/>
    <w:rsid w:val="009C24F9"/>
    <w:rsid w:val="009C638A"/>
    <w:rsid w:val="009D3AAC"/>
    <w:rsid w:val="009D5B63"/>
    <w:rsid w:val="009D6C48"/>
    <w:rsid w:val="009E1679"/>
    <w:rsid w:val="009E1BE9"/>
    <w:rsid w:val="009E2108"/>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ACE"/>
    <w:rsid w:val="00AB16AD"/>
    <w:rsid w:val="00AB24CE"/>
    <w:rsid w:val="00AB2AE1"/>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51F7"/>
    <w:rsid w:val="00B152CB"/>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1D62"/>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8C5"/>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2AF0"/>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5DA7"/>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97F05"/>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311"/>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1EF4"/>
    <w:rsid w:val="00D02D5A"/>
    <w:rsid w:val="00D03B9D"/>
    <w:rsid w:val="00D0498A"/>
    <w:rsid w:val="00D065E6"/>
    <w:rsid w:val="00D06F2D"/>
    <w:rsid w:val="00D10843"/>
    <w:rsid w:val="00D11B6A"/>
    <w:rsid w:val="00D1237F"/>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41C3"/>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3ECF"/>
    <w:rsid w:val="00DC4772"/>
    <w:rsid w:val="00DC48CF"/>
    <w:rsid w:val="00DC5BB0"/>
    <w:rsid w:val="00DC6711"/>
    <w:rsid w:val="00DC6826"/>
    <w:rsid w:val="00DD20E3"/>
    <w:rsid w:val="00DD2605"/>
    <w:rsid w:val="00DD2AAA"/>
    <w:rsid w:val="00DD48D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AAB"/>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DE6"/>
    <w:rsid w:val="00E6634F"/>
    <w:rsid w:val="00E6716A"/>
    <w:rsid w:val="00E67F40"/>
    <w:rsid w:val="00E70167"/>
    <w:rsid w:val="00E703C3"/>
    <w:rsid w:val="00E73F29"/>
    <w:rsid w:val="00E74899"/>
    <w:rsid w:val="00E759B1"/>
    <w:rsid w:val="00E779AA"/>
    <w:rsid w:val="00E80333"/>
    <w:rsid w:val="00E8107B"/>
    <w:rsid w:val="00E828C1"/>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179A"/>
    <w:rsid w:val="00EB3C74"/>
    <w:rsid w:val="00EB5926"/>
    <w:rsid w:val="00EB5D98"/>
    <w:rsid w:val="00EB7A35"/>
    <w:rsid w:val="00EC027A"/>
    <w:rsid w:val="00EC05B4"/>
    <w:rsid w:val="00EC074E"/>
    <w:rsid w:val="00EC0B10"/>
    <w:rsid w:val="00EC33EA"/>
    <w:rsid w:val="00EC41C2"/>
    <w:rsid w:val="00EC4E71"/>
    <w:rsid w:val="00EC62F1"/>
    <w:rsid w:val="00EC6D41"/>
    <w:rsid w:val="00EC75DE"/>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81B"/>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53C2"/>
    <w:rsid w:val="00F70887"/>
    <w:rsid w:val="00F70A7D"/>
    <w:rsid w:val="00F748DD"/>
    <w:rsid w:val="00F76633"/>
    <w:rsid w:val="00F77EEC"/>
    <w:rsid w:val="00F81710"/>
    <w:rsid w:val="00F81FF7"/>
    <w:rsid w:val="00F82862"/>
    <w:rsid w:val="00F83E64"/>
    <w:rsid w:val="00F86EF9"/>
    <w:rsid w:val="00F86FB1"/>
    <w:rsid w:val="00F87E61"/>
    <w:rsid w:val="00F9058E"/>
    <w:rsid w:val="00F908E0"/>
    <w:rsid w:val="00F90B86"/>
    <w:rsid w:val="00F9335A"/>
    <w:rsid w:val="00F93755"/>
    <w:rsid w:val="00F93A32"/>
    <w:rsid w:val="00F94769"/>
    <w:rsid w:val="00F95CF5"/>
    <w:rsid w:val="00F96FE9"/>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BBF"/>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6FF"/>
    <w:rPr>
      <w:strike w:val="0"/>
      <w:dstrike w:val="0"/>
      <w:color w:val="004B91"/>
      <w:u w:val="none"/>
      <w:effect w:val="none"/>
    </w:rPr>
  </w:style>
  <w:style w:type="character" w:customStyle="1" w:styleId="pmterms11">
    <w:name w:val="pmterms11"/>
    <w:basedOn w:val="DefaultParagraphFont"/>
    <w:rsid w:val="004856FF"/>
    <w:rPr>
      <w:b/>
      <w:bCs/>
      <w:i w:val="0"/>
      <w:iCs w:val="0"/>
      <w:color w:val="000000"/>
    </w:rPr>
  </w:style>
  <w:style w:type="paragraph" w:styleId="BalloonText">
    <w:name w:val="Balloon Text"/>
    <w:basedOn w:val="Normal"/>
    <w:link w:val="BalloonTextChar"/>
    <w:uiPriority w:val="99"/>
    <w:semiHidden/>
    <w:unhideWhenUsed/>
    <w:rsid w:val="004856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FF"/>
    <w:rPr>
      <w:rFonts w:ascii="Tahoma" w:hAnsi="Tahoma" w:cs="Tahoma"/>
      <w:sz w:val="16"/>
      <w:szCs w:val="16"/>
    </w:rPr>
  </w:style>
  <w:style w:type="paragraph" w:styleId="Header">
    <w:name w:val="header"/>
    <w:basedOn w:val="Normal"/>
    <w:link w:val="HeaderChar"/>
    <w:uiPriority w:val="99"/>
    <w:unhideWhenUsed/>
    <w:rsid w:val="007D4BE4"/>
    <w:pPr>
      <w:tabs>
        <w:tab w:val="center" w:pos="4680"/>
        <w:tab w:val="right" w:pos="9360"/>
      </w:tabs>
      <w:spacing w:line="240" w:lineRule="auto"/>
    </w:pPr>
  </w:style>
  <w:style w:type="character" w:customStyle="1" w:styleId="HeaderChar">
    <w:name w:val="Header Char"/>
    <w:basedOn w:val="DefaultParagraphFont"/>
    <w:link w:val="Header"/>
    <w:uiPriority w:val="99"/>
    <w:rsid w:val="007D4BE4"/>
  </w:style>
  <w:style w:type="paragraph" w:styleId="Footer">
    <w:name w:val="footer"/>
    <w:basedOn w:val="Normal"/>
    <w:link w:val="FooterChar"/>
    <w:uiPriority w:val="99"/>
    <w:unhideWhenUsed/>
    <w:rsid w:val="007D4BE4"/>
    <w:pPr>
      <w:tabs>
        <w:tab w:val="center" w:pos="4680"/>
        <w:tab w:val="right" w:pos="9360"/>
      </w:tabs>
      <w:spacing w:line="240" w:lineRule="auto"/>
    </w:pPr>
  </w:style>
  <w:style w:type="character" w:customStyle="1" w:styleId="FooterChar">
    <w:name w:val="Footer Char"/>
    <w:basedOn w:val="DefaultParagraphFont"/>
    <w:link w:val="Footer"/>
    <w:uiPriority w:val="99"/>
    <w:rsid w:val="007D4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6FF"/>
    <w:rPr>
      <w:strike w:val="0"/>
      <w:dstrike w:val="0"/>
      <w:color w:val="004B91"/>
      <w:u w:val="none"/>
      <w:effect w:val="none"/>
    </w:rPr>
  </w:style>
  <w:style w:type="character" w:customStyle="1" w:styleId="pmterms11">
    <w:name w:val="pmterms11"/>
    <w:basedOn w:val="DefaultParagraphFont"/>
    <w:rsid w:val="004856FF"/>
    <w:rPr>
      <w:b/>
      <w:bCs/>
      <w:i w:val="0"/>
      <w:iCs w:val="0"/>
      <w:color w:val="000000"/>
    </w:rPr>
  </w:style>
  <w:style w:type="paragraph" w:styleId="BalloonText">
    <w:name w:val="Balloon Text"/>
    <w:basedOn w:val="Normal"/>
    <w:link w:val="BalloonTextChar"/>
    <w:uiPriority w:val="99"/>
    <w:semiHidden/>
    <w:unhideWhenUsed/>
    <w:rsid w:val="004856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FF"/>
    <w:rPr>
      <w:rFonts w:ascii="Tahoma" w:hAnsi="Tahoma" w:cs="Tahoma"/>
      <w:sz w:val="16"/>
      <w:szCs w:val="16"/>
    </w:rPr>
  </w:style>
  <w:style w:type="paragraph" w:styleId="Header">
    <w:name w:val="header"/>
    <w:basedOn w:val="Normal"/>
    <w:link w:val="HeaderChar"/>
    <w:uiPriority w:val="99"/>
    <w:unhideWhenUsed/>
    <w:rsid w:val="007D4BE4"/>
    <w:pPr>
      <w:tabs>
        <w:tab w:val="center" w:pos="4680"/>
        <w:tab w:val="right" w:pos="9360"/>
      </w:tabs>
      <w:spacing w:line="240" w:lineRule="auto"/>
    </w:pPr>
  </w:style>
  <w:style w:type="character" w:customStyle="1" w:styleId="HeaderChar">
    <w:name w:val="Header Char"/>
    <w:basedOn w:val="DefaultParagraphFont"/>
    <w:link w:val="Header"/>
    <w:uiPriority w:val="99"/>
    <w:rsid w:val="007D4BE4"/>
  </w:style>
  <w:style w:type="paragraph" w:styleId="Footer">
    <w:name w:val="footer"/>
    <w:basedOn w:val="Normal"/>
    <w:link w:val="FooterChar"/>
    <w:uiPriority w:val="99"/>
    <w:unhideWhenUsed/>
    <w:rsid w:val="007D4BE4"/>
    <w:pPr>
      <w:tabs>
        <w:tab w:val="center" w:pos="4680"/>
        <w:tab w:val="right" w:pos="9360"/>
      </w:tabs>
      <w:spacing w:line="240" w:lineRule="auto"/>
    </w:pPr>
  </w:style>
  <w:style w:type="character" w:customStyle="1" w:styleId="FooterChar">
    <w:name w:val="Footer Char"/>
    <w:basedOn w:val="DefaultParagraphFont"/>
    <w:link w:val="Footer"/>
    <w:uiPriority w:val="99"/>
    <w:rsid w:val="007D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4719">
      <w:bodyDiv w:val="1"/>
      <w:marLeft w:val="0"/>
      <w:marRight w:val="0"/>
      <w:marTop w:val="0"/>
      <w:marBottom w:val="0"/>
      <w:divBdr>
        <w:top w:val="none" w:sz="0" w:space="0" w:color="auto"/>
        <w:left w:val="none" w:sz="0" w:space="0" w:color="auto"/>
        <w:bottom w:val="none" w:sz="0" w:space="0" w:color="auto"/>
        <w:right w:val="none" w:sz="0" w:space="0" w:color="auto"/>
      </w:divBdr>
      <w:divsChild>
        <w:div w:id="1759861434">
          <w:marLeft w:val="0"/>
          <w:marRight w:val="0"/>
          <w:marTop w:val="0"/>
          <w:marBottom w:val="0"/>
          <w:divBdr>
            <w:top w:val="none" w:sz="0" w:space="0" w:color="auto"/>
            <w:left w:val="none" w:sz="0" w:space="0" w:color="auto"/>
            <w:bottom w:val="none" w:sz="0" w:space="0" w:color="auto"/>
            <w:right w:val="none" w:sz="0" w:space="0" w:color="auto"/>
          </w:divBdr>
          <w:divsChild>
            <w:div w:id="246237328">
              <w:marLeft w:val="0"/>
              <w:marRight w:val="0"/>
              <w:marTop w:val="0"/>
              <w:marBottom w:val="0"/>
              <w:divBdr>
                <w:top w:val="none" w:sz="0" w:space="0" w:color="auto"/>
                <w:left w:val="none" w:sz="0" w:space="0" w:color="auto"/>
                <w:bottom w:val="none" w:sz="0" w:space="0" w:color="auto"/>
                <w:right w:val="none" w:sz="0" w:space="0" w:color="auto"/>
              </w:divBdr>
              <w:divsChild>
                <w:div w:id="767847262">
                  <w:marLeft w:val="0"/>
                  <w:marRight w:val="0"/>
                  <w:marTop w:val="0"/>
                  <w:marBottom w:val="0"/>
                  <w:divBdr>
                    <w:top w:val="none" w:sz="0" w:space="0" w:color="auto"/>
                    <w:left w:val="none" w:sz="0" w:space="0" w:color="auto"/>
                    <w:bottom w:val="none" w:sz="0" w:space="0" w:color="auto"/>
                    <w:right w:val="none" w:sz="0" w:space="0" w:color="auto"/>
                  </w:divBdr>
                  <w:divsChild>
                    <w:div w:id="4123151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89364">
      <w:bodyDiv w:val="1"/>
      <w:marLeft w:val="0"/>
      <w:marRight w:val="0"/>
      <w:marTop w:val="0"/>
      <w:marBottom w:val="0"/>
      <w:divBdr>
        <w:top w:val="none" w:sz="0" w:space="0" w:color="auto"/>
        <w:left w:val="none" w:sz="0" w:space="0" w:color="auto"/>
        <w:bottom w:val="none" w:sz="0" w:space="0" w:color="auto"/>
        <w:right w:val="none" w:sz="0" w:space="0" w:color="auto"/>
      </w:divBdr>
    </w:div>
    <w:div w:id="1287927407">
      <w:bodyDiv w:val="1"/>
      <w:marLeft w:val="0"/>
      <w:marRight w:val="0"/>
      <w:marTop w:val="0"/>
      <w:marBottom w:val="0"/>
      <w:divBdr>
        <w:top w:val="none" w:sz="0" w:space="0" w:color="auto"/>
        <w:left w:val="none" w:sz="0" w:space="0" w:color="auto"/>
        <w:bottom w:val="none" w:sz="0" w:space="0" w:color="auto"/>
        <w:right w:val="none" w:sz="0" w:space="0" w:color="auto"/>
      </w:divBdr>
      <w:divsChild>
        <w:div w:id="1728648976">
          <w:marLeft w:val="0"/>
          <w:marRight w:val="0"/>
          <w:marTop w:val="0"/>
          <w:marBottom w:val="0"/>
          <w:divBdr>
            <w:top w:val="none" w:sz="0" w:space="0" w:color="auto"/>
            <w:left w:val="none" w:sz="0" w:space="0" w:color="auto"/>
            <w:bottom w:val="none" w:sz="0" w:space="0" w:color="auto"/>
            <w:right w:val="none" w:sz="0" w:space="0" w:color="auto"/>
          </w:divBdr>
          <w:divsChild>
            <w:div w:id="552037997">
              <w:marLeft w:val="0"/>
              <w:marRight w:val="0"/>
              <w:marTop w:val="0"/>
              <w:marBottom w:val="0"/>
              <w:divBdr>
                <w:top w:val="none" w:sz="0" w:space="0" w:color="auto"/>
                <w:left w:val="none" w:sz="0" w:space="0" w:color="auto"/>
                <w:bottom w:val="none" w:sz="0" w:space="0" w:color="auto"/>
                <w:right w:val="none" w:sz="0" w:space="0" w:color="auto"/>
              </w:divBdr>
              <w:divsChild>
                <w:div w:id="957486963">
                  <w:marLeft w:val="0"/>
                  <w:marRight w:val="0"/>
                  <w:marTop w:val="0"/>
                  <w:marBottom w:val="0"/>
                  <w:divBdr>
                    <w:top w:val="none" w:sz="0" w:space="0" w:color="auto"/>
                    <w:left w:val="none" w:sz="0" w:space="0" w:color="auto"/>
                    <w:bottom w:val="none" w:sz="0" w:space="0" w:color="auto"/>
                    <w:right w:val="none" w:sz="0" w:space="0" w:color="auto"/>
                  </w:divBdr>
                  <w:divsChild>
                    <w:div w:id="14703984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8872105b304ec7b9345d7e70e8285000&amp;_xfercite=%3ccite%20cc%3d%22USA%22%3e%3c%21%5bCDATA%5b2013%20Pa.%20Commw.%20LEXIS%204%5d%5d%3e%3c%2fcite%3e&amp;_butType=4&amp;_butStat=0&amp;_butNum=36&amp;_butInline=1&amp;_butinfo=66%20PA.C.S.%201529.1&amp;_fmtstr=FULL&amp;docnum=1&amp;_startdoc=1&amp;wchp=dGLzVzB-zSkAl&amp;_md5=accd0e0daae67d6d1b6d1b67529c02e2" TargetMode="External"/><Relationship Id="rId13" Type="http://schemas.openxmlformats.org/officeDocument/2006/relationships/hyperlink" Target="https://www.lexis.com/research/buttonTFLink?_m=8872105b304ec7b9345d7e70e8285000&amp;_xfercite=%3ccite%20cc%3d%22USA%22%3e%3c%21%5bCDATA%5b2013%20Pa.%20Commw.%20LEXIS%204%5d%5d%3e%3c%2fcite%3e&amp;_butType=3&amp;_butStat=2&amp;_butNum=45&amp;_butInline=1&amp;_butinfo=%3ccite%20cc%3d%22USA%22%3e%3c%21%5bCDATA%5b563%20Pa.%20146%2c%20163%5d%5d%3e%3c%2fcite%3e&amp;_fmtstr=FULL&amp;docnum=1&amp;_startdoc=1&amp;wchp=dGLzVzB-zSkAl&amp;_md5=3ccffd1c4b81c7f6e281bd3d3f5b605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xis.com/research/buttonTFLink?_m=8872105b304ec7b9345d7e70e8285000&amp;_xfercite=%3ccite%20cc%3d%22USA%22%3e%3c%21%5bCDATA%5b2013%20Pa.%20Commw.%20LEXIS%204%5d%5d%3e%3c%2fcite%3e&amp;_butType=4&amp;_butStat=0&amp;_butNum=36&amp;_butInline=1&amp;_butinfo=66%20PA.C.S.%201529.1&amp;_fmtstr=FULL&amp;docnum=1&amp;_startdoc=1&amp;wchp=dGLzVzB-zSkAl&amp;_md5=accd0e0daae67d6d1b6d1b67529c02e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xis.com/research/buttonTFLink?_m=8872105b304ec7b9345d7e70e8285000&amp;_xfercite=%3ccite%20cc%3d%22USA%22%3e%3c%21%5bCDATA%5b2013%20Pa.%20Commw.%20LEXIS%204%5d%5d%3e%3c%2fcite%3e&amp;_butType=3&amp;_butStat=2&amp;_butNum=45&amp;_butInline=1&amp;_butinfo=%3ccite%20cc%3d%22USA%22%3e%3c%21%5bCDATA%5b563%20Pa.%20146%2c%20163%5d%5d%3e%3c%2fcite%3e&amp;_fmtstr=FULL&amp;docnum=1&amp;_startdoc=1&amp;wchp=dGLzVzB-zSkAl&amp;_md5=3ccffd1c4b81c7f6e281bd3d3f5b60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xis.com/research/buttonTFLink?_m=8872105b304ec7b9345d7e70e8285000&amp;_xfercite=%3ccite%20cc%3d%22USA%22%3e%3c%21%5bCDATA%5b2013%20Pa.%20Commw.%20LEXIS%204%5d%5d%3e%3c%2fcite%3e&amp;_butType=4&amp;_butStat=0&amp;_butNum=43&amp;_butInline=1&amp;_butinfo=66%20PA.C.S.%201529.1&amp;_fmtstr=FULL&amp;docnum=1&amp;_startdoc=1&amp;wchp=dGLzVzB-zSkAl&amp;_md5=340bd840f899e62fa0bb511f0219cd4c" TargetMode="External"/><Relationship Id="rId4" Type="http://schemas.openxmlformats.org/officeDocument/2006/relationships/settings" Target="settings.xml"/><Relationship Id="rId9" Type="http://schemas.openxmlformats.org/officeDocument/2006/relationships/hyperlink" Target="https://www.lexis.com/research/buttonTFLink?_m=8872105b304ec7b9345d7e70e8285000&amp;_xfercite=%3ccite%20cc%3d%22USA%22%3e%3c%21%5bCDATA%5b2013%20Pa.%20Commw.%20LEXIS%204%5d%5d%3e%3c%2fcite%3e&amp;_butType=4&amp;_butStat=0&amp;_butNum=42&amp;_butInline=1&amp;_butinfo=66%20PA.C.S.%201529.1&amp;_fmtstr=FULL&amp;docnum=1&amp;_startdoc=1&amp;wchp=dGLzVzB-zSkAl&amp;_md5=b78a6422a6c0633f5cd81ecc6eebec5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2795</Words>
  <Characters>15933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2013-04-26T18:48:00Z</dcterms:created>
  <dcterms:modified xsi:type="dcterms:W3CDTF">2013-04-26T18:48:00Z</dcterms:modified>
</cp:coreProperties>
</file>