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Pr="005B2005" w:rsidRDefault="00DD196B" w:rsidP="00DD196B">
      <w:pPr>
        <w:spacing w:line="240" w:lineRule="auto"/>
        <w:rPr>
          <w:b/>
        </w:rPr>
      </w:pPr>
      <w:r w:rsidRPr="005B2005">
        <w:rPr>
          <w:b/>
        </w:rPr>
        <w:t>BEFORE THE</w:t>
      </w:r>
    </w:p>
    <w:p w:rsidR="00DD196B" w:rsidRPr="005B2005" w:rsidRDefault="00DD196B" w:rsidP="00DD196B">
      <w:pPr>
        <w:spacing w:line="240" w:lineRule="auto"/>
        <w:rPr>
          <w:b/>
        </w:rPr>
      </w:pPr>
      <w:r w:rsidRPr="005B2005">
        <w:rPr>
          <w:b/>
        </w:rPr>
        <w:t>PENNSYLVANIA PUBLIC UTILITY COMMISSION</w:t>
      </w:r>
    </w:p>
    <w:p w:rsidR="00DD196B" w:rsidRDefault="00DD196B" w:rsidP="00DD196B">
      <w:pPr>
        <w:spacing w:line="240" w:lineRule="auto"/>
        <w:rPr>
          <w:b/>
        </w:rPr>
      </w:pPr>
    </w:p>
    <w:p w:rsidR="005B2005" w:rsidRPr="005B2005" w:rsidRDefault="005B2005" w:rsidP="00DD196B">
      <w:pPr>
        <w:spacing w:line="240" w:lineRule="auto"/>
        <w:rPr>
          <w:b/>
        </w:rPr>
      </w:pPr>
    </w:p>
    <w:p w:rsidR="00DD196B" w:rsidRPr="005B2005" w:rsidRDefault="00DD196B" w:rsidP="00DD196B">
      <w:pPr>
        <w:spacing w:line="240" w:lineRule="auto"/>
        <w:rPr>
          <w:b/>
        </w:rPr>
      </w:pPr>
    </w:p>
    <w:p w:rsidR="00DD196B" w:rsidRPr="005B2005" w:rsidRDefault="00DD196B" w:rsidP="00DD196B">
      <w:pPr>
        <w:spacing w:line="240" w:lineRule="auto"/>
        <w:jc w:val="left"/>
      </w:pPr>
      <w:r w:rsidRPr="005B2005">
        <w:t>Ann Angelo</w:t>
      </w:r>
      <w:r w:rsidRPr="005B2005">
        <w:tab/>
      </w:r>
      <w:r w:rsidRPr="005B2005">
        <w:tab/>
      </w:r>
      <w:r w:rsidRPr="005B2005">
        <w:tab/>
      </w:r>
      <w:r w:rsidRPr="005B2005">
        <w:tab/>
      </w:r>
      <w:r w:rsidRPr="005B2005">
        <w:tab/>
      </w:r>
      <w:r w:rsidRPr="005B2005">
        <w:tab/>
        <w:t>:</w:t>
      </w:r>
    </w:p>
    <w:p w:rsidR="00DD196B" w:rsidRPr="005B2005" w:rsidRDefault="00DD196B" w:rsidP="00DD196B">
      <w:pPr>
        <w:spacing w:line="240" w:lineRule="auto"/>
        <w:jc w:val="left"/>
      </w:pPr>
      <w:r w:rsidRPr="005B2005">
        <w:tab/>
      </w:r>
      <w:r w:rsidRPr="005B2005">
        <w:tab/>
      </w:r>
      <w:r w:rsidRPr="005B2005">
        <w:tab/>
      </w:r>
      <w:r w:rsidRPr="005B2005">
        <w:tab/>
      </w:r>
      <w:r w:rsidRPr="005B2005">
        <w:tab/>
      </w:r>
      <w:r w:rsidRPr="005B2005">
        <w:tab/>
      </w:r>
      <w:r w:rsidRPr="005B2005">
        <w:tab/>
        <w:t>:</w:t>
      </w:r>
    </w:p>
    <w:p w:rsidR="00DD196B" w:rsidRPr="005B2005" w:rsidRDefault="00DD196B" w:rsidP="00DD196B">
      <w:pPr>
        <w:spacing w:line="240" w:lineRule="auto"/>
        <w:jc w:val="left"/>
      </w:pPr>
      <w:r w:rsidRPr="005B2005">
        <w:tab/>
        <w:t>v.</w:t>
      </w:r>
      <w:r w:rsidRPr="005B2005">
        <w:tab/>
      </w:r>
      <w:r w:rsidRPr="005B2005">
        <w:tab/>
      </w:r>
      <w:r w:rsidRPr="005B2005">
        <w:tab/>
      </w:r>
      <w:r w:rsidRPr="005B2005">
        <w:tab/>
      </w:r>
      <w:r w:rsidRPr="005B2005">
        <w:tab/>
      </w:r>
      <w:r w:rsidRPr="005B2005">
        <w:tab/>
      </w:r>
      <w:r w:rsidR="005B2005">
        <w:t>:</w:t>
      </w:r>
      <w:r w:rsidR="005B2005">
        <w:tab/>
      </w:r>
      <w:r w:rsidR="005B2005">
        <w:tab/>
      </w:r>
      <w:r w:rsidR="00842937">
        <w:tab/>
      </w:r>
      <w:r w:rsidRPr="005B2005">
        <w:t>F-2012-2324101</w:t>
      </w:r>
    </w:p>
    <w:p w:rsidR="00DD196B" w:rsidRPr="005B2005" w:rsidRDefault="00DD196B" w:rsidP="00DD196B">
      <w:pPr>
        <w:spacing w:line="240" w:lineRule="auto"/>
        <w:jc w:val="left"/>
      </w:pPr>
      <w:r w:rsidRPr="005B2005">
        <w:tab/>
      </w:r>
      <w:r w:rsidRPr="005B2005">
        <w:tab/>
      </w:r>
      <w:r w:rsidRPr="005B2005">
        <w:tab/>
      </w:r>
      <w:r w:rsidRPr="005B2005">
        <w:tab/>
      </w:r>
      <w:r w:rsidRPr="005B2005">
        <w:tab/>
      </w:r>
      <w:r w:rsidRPr="005B2005">
        <w:tab/>
      </w:r>
      <w:r w:rsidRPr="005B2005">
        <w:tab/>
        <w:t>:</w:t>
      </w:r>
    </w:p>
    <w:p w:rsidR="00DD196B" w:rsidRPr="005B2005" w:rsidRDefault="00DD196B" w:rsidP="00DD196B">
      <w:pPr>
        <w:spacing w:line="240" w:lineRule="auto"/>
        <w:jc w:val="left"/>
      </w:pPr>
      <w:r w:rsidRPr="005B2005">
        <w:t>Philadelphia Gas Works</w:t>
      </w:r>
      <w:r w:rsidRPr="005B2005">
        <w:tab/>
      </w:r>
      <w:r w:rsidRPr="005B2005">
        <w:tab/>
      </w:r>
      <w:r w:rsidRPr="005B2005">
        <w:tab/>
      </w:r>
      <w:r w:rsidRPr="005B2005">
        <w:tab/>
        <w:t>:</w:t>
      </w:r>
    </w:p>
    <w:p w:rsidR="00DD196B" w:rsidRDefault="00DD196B" w:rsidP="00DD196B">
      <w:pPr>
        <w:spacing w:line="240" w:lineRule="auto"/>
        <w:jc w:val="left"/>
      </w:pPr>
    </w:p>
    <w:p w:rsidR="005B2005" w:rsidRPr="005B2005" w:rsidRDefault="005B2005" w:rsidP="00DD196B">
      <w:pPr>
        <w:spacing w:line="240" w:lineRule="auto"/>
        <w:jc w:val="left"/>
      </w:pPr>
    </w:p>
    <w:p w:rsidR="00DD196B" w:rsidRPr="005B2005" w:rsidRDefault="00DD196B" w:rsidP="00DD196B">
      <w:pPr>
        <w:spacing w:line="240" w:lineRule="auto"/>
        <w:jc w:val="left"/>
      </w:pPr>
    </w:p>
    <w:p w:rsidR="00DD196B" w:rsidRPr="005B2005" w:rsidRDefault="00DD196B" w:rsidP="00DD196B">
      <w:pPr>
        <w:spacing w:line="240" w:lineRule="auto"/>
        <w:rPr>
          <w:b/>
          <w:u w:val="single"/>
        </w:rPr>
      </w:pPr>
      <w:r w:rsidRPr="005B2005">
        <w:rPr>
          <w:b/>
          <w:u w:val="single"/>
        </w:rPr>
        <w:t>INITIAL DECISION</w:t>
      </w:r>
    </w:p>
    <w:p w:rsidR="00DD196B" w:rsidRDefault="00DD196B" w:rsidP="00DD196B">
      <w:pPr>
        <w:spacing w:line="240" w:lineRule="auto"/>
        <w:rPr>
          <w:b/>
          <w:u w:val="single"/>
        </w:rPr>
      </w:pPr>
    </w:p>
    <w:p w:rsidR="005B2005" w:rsidRPr="005B2005" w:rsidRDefault="005B2005" w:rsidP="00DD196B">
      <w:pPr>
        <w:spacing w:line="240" w:lineRule="auto"/>
        <w:rPr>
          <w:b/>
          <w:u w:val="single"/>
        </w:rPr>
      </w:pPr>
    </w:p>
    <w:p w:rsidR="00DD196B" w:rsidRPr="005B2005" w:rsidRDefault="00DD196B" w:rsidP="00DD196B">
      <w:pPr>
        <w:spacing w:line="240" w:lineRule="auto"/>
      </w:pPr>
      <w:r w:rsidRPr="005B2005">
        <w:t>Before</w:t>
      </w:r>
    </w:p>
    <w:p w:rsidR="00DD196B" w:rsidRPr="005B2005" w:rsidRDefault="00DD196B" w:rsidP="00DD196B">
      <w:pPr>
        <w:spacing w:line="240" w:lineRule="auto"/>
      </w:pPr>
      <w:r w:rsidRPr="005B2005">
        <w:t>Susan D. Colwell</w:t>
      </w:r>
    </w:p>
    <w:p w:rsidR="00DD196B" w:rsidRPr="005B2005" w:rsidRDefault="00DD196B" w:rsidP="00DD196B">
      <w:pPr>
        <w:spacing w:line="240" w:lineRule="auto"/>
      </w:pPr>
      <w:r w:rsidRPr="005B2005">
        <w:t>Administrative Law Judge</w:t>
      </w:r>
    </w:p>
    <w:p w:rsidR="00DD196B" w:rsidRPr="005B2005" w:rsidRDefault="00DD196B" w:rsidP="00DD196B">
      <w:pPr>
        <w:spacing w:line="240" w:lineRule="auto"/>
      </w:pPr>
    </w:p>
    <w:p w:rsidR="00DD196B" w:rsidRPr="005B2005" w:rsidRDefault="00DD196B" w:rsidP="00DD196B">
      <w:pPr>
        <w:spacing w:line="240" w:lineRule="auto"/>
      </w:pPr>
    </w:p>
    <w:p w:rsidR="00DD196B" w:rsidRPr="005B2005" w:rsidRDefault="00DD196B" w:rsidP="00DD196B">
      <w:pPr>
        <w:spacing w:line="240" w:lineRule="auto"/>
        <w:rPr>
          <w:u w:val="single"/>
        </w:rPr>
      </w:pPr>
      <w:r w:rsidRPr="005B2005">
        <w:rPr>
          <w:u w:val="single"/>
        </w:rPr>
        <w:t>HISTORY OF THE PROCEEDING</w:t>
      </w:r>
    </w:p>
    <w:p w:rsidR="00DD196B" w:rsidRPr="005B2005" w:rsidRDefault="00DD196B" w:rsidP="00DD196B">
      <w:pPr>
        <w:spacing w:line="240" w:lineRule="auto"/>
        <w:rPr>
          <w:u w:val="single"/>
        </w:rPr>
      </w:pPr>
    </w:p>
    <w:p w:rsidR="00DD196B" w:rsidRPr="005B2005" w:rsidRDefault="00DD196B" w:rsidP="00DD196B">
      <w:pPr>
        <w:spacing w:line="240" w:lineRule="auto"/>
        <w:rPr>
          <w:u w:val="single"/>
        </w:rPr>
      </w:pPr>
    </w:p>
    <w:p w:rsidR="00957C24" w:rsidRPr="005B2005" w:rsidRDefault="00957C24" w:rsidP="00957C24">
      <w:pPr>
        <w:jc w:val="left"/>
      </w:pPr>
      <w:r w:rsidRPr="005B2005">
        <w:tab/>
      </w:r>
      <w:r w:rsidRPr="005B2005">
        <w:tab/>
        <w:t>The purpose of this Initial Decision is to dismiss the complaint filed for failure to provide sufficient evidence to support either of two claims made.</w:t>
      </w:r>
    </w:p>
    <w:p w:rsidR="00957C24" w:rsidRPr="005B2005" w:rsidRDefault="00957C24" w:rsidP="00DD196B">
      <w:pPr>
        <w:spacing w:line="240" w:lineRule="auto"/>
        <w:rPr>
          <w:u w:val="single"/>
        </w:rPr>
      </w:pPr>
    </w:p>
    <w:p w:rsidR="00DD196B" w:rsidRPr="005B2005" w:rsidRDefault="00DD196B" w:rsidP="00DD196B">
      <w:pPr>
        <w:jc w:val="left"/>
      </w:pPr>
      <w:r w:rsidRPr="005B2005">
        <w:tab/>
      </w:r>
      <w:r w:rsidRPr="005B2005">
        <w:tab/>
        <w:t>On September 4, 2012, Ann Angelo (Complainant) filed a formal Complaint against the Philadelphia Gas Works (PGW or Respondent or Company) alleging that the subject property was vacant but that she continued to receive high bills.  In addition, she alleged that she never received the form necessary to request a meter test.  She asks that her account be credited for the high bills and that PGW send the bills and other mail to her residence, and to require PGW to be trained in mailing address</w:t>
      </w:r>
      <w:r w:rsidR="00D22340">
        <w:t>es</w:t>
      </w:r>
      <w:r w:rsidRPr="005B2005">
        <w:t xml:space="preserve"> for correspondence.</w:t>
      </w:r>
    </w:p>
    <w:p w:rsidR="00DD196B" w:rsidRPr="005B2005" w:rsidRDefault="00DD196B" w:rsidP="00DD196B">
      <w:pPr>
        <w:jc w:val="left"/>
      </w:pPr>
    </w:p>
    <w:p w:rsidR="00DD196B" w:rsidRPr="005B2005" w:rsidRDefault="00DD196B" w:rsidP="00DD196B">
      <w:pPr>
        <w:jc w:val="left"/>
      </w:pPr>
      <w:r w:rsidRPr="005B2005">
        <w:tab/>
      </w:r>
      <w:r w:rsidRPr="005B2005">
        <w:tab/>
        <w:t>On October 4, 2012, PGW filed its Answer denying that there are incorrect charges on the Complainant's bill, and that the charges are based on actual meter readings.  The meter was tested on September 20, 2012, and was operating within the acceptable tolerance limits</w:t>
      </w:r>
      <w:r w:rsidR="00B862D9" w:rsidRPr="005B2005">
        <w:t>.</w:t>
      </w:r>
    </w:p>
    <w:p w:rsidR="00B862D9" w:rsidRPr="005B2005" w:rsidRDefault="00B862D9" w:rsidP="00DD196B">
      <w:pPr>
        <w:jc w:val="left"/>
      </w:pPr>
    </w:p>
    <w:p w:rsidR="00B862D9" w:rsidRPr="005B2005" w:rsidRDefault="00B862D9" w:rsidP="00DD196B">
      <w:pPr>
        <w:jc w:val="left"/>
      </w:pPr>
      <w:r w:rsidRPr="005B2005">
        <w:lastRenderedPageBreak/>
        <w:tab/>
      </w:r>
      <w:r w:rsidRPr="005B2005">
        <w:tab/>
        <w:t xml:space="preserve">On February 27, 2013, a telephonic hearing notice was issued which </w:t>
      </w:r>
      <w:r w:rsidR="000C6D91" w:rsidRPr="005B2005">
        <w:t>set the evidentiary hearing for March 26, 2013, and assigned the matter to me.  I issued a prehearing order, which set forth some of the requirements for a formal hearing before the Commission.</w:t>
      </w:r>
    </w:p>
    <w:p w:rsidR="000C6D91" w:rsidRPr="005B2005" w:rsidRDefault="000C6D91" w:rsidP="00DD196B">
      <w:pPr>
        <w:jc w:val="left"/>
      </w:pPr>
    </w:p>
    <w:p w:rsidR="000C6D91" w:rsidRPr="005B2005" w:rsidRDefault="000C6D91" w:rsidP="00DD196B">
      <w:pPr>
        <w:jc w:val="left"/>
      </w:pPr>
      <w:r w:rsidRPr="005B2005">
        <w:tab/>
      </w:r>
      <w:r w:rsidRPr="005B2005">
        <w:tab/>
        <w:t>The hearing was held as scheduled, with Complainant appearing on her own behalf and sponsoring eight exhibits.  Respondent was represented by Laureto Farinas, Esq., who presented the testimony of one witness, who in turn sponsored five exhibits.  A transcript of 61 pages was generated, and the record closed upon its receipt on April 18, 2013.</w:t>
      </w:r>
    </w:p>
    <w:p w:rsidR="000C6D91" w:rsidRPr="005B2005" w:rsidRDefault="000C6D91" w:rsidP="00DD196B">
      <w:pPr>
        <w:jc w:val="left"/>
      </w:pPr>
    </w:p>
    <w:p w:rsidR="000C6D91" w:rsidRPr="005B2005" w:rsidRDefault="000C6D91" w:rsidP="00DD196B">
      <w:pPr>
        <w:jc w:val="left"/>
      </w:pPr>
      <w:r w:rsidRPr="005B2005">
        <w:tab/>
      </w:r>
      <w:r w:rsidRPr="005B2005">
        <w:tab/>
        <w:t>The matter is ripe for disposition.</w:t>
      </w:r>
    </w:p>
    <w:p w:rsidR="000C6D91" w:rsidRPr="005B2005" w:rsidRDefault="000C6D91" w:rsidP="00DD196B">
      <w:pPr>
        <w:jc w:val="left"/>
      </w:pPr>
    </w:p>
    <w:p w:rsidR="000C6D91" w:rsidRPr="005B2005" w:rsidRDefault="000C6D91" w:rsidP="000C6D91">
      <w:pPr>
        <w:rPr>
          <w:u w:val="single"/>
        </w:rPr>
      </w:pPr>
      <w:r w:rsidRPr="005B2005">
        <w:rPr>
          <w:u w:val="single"/>
        </w:rPr>
        <w:t>FINDINGS OF FACT</w:t>
      </w:r>
    </w:p>
    <w:p w:rsidR="000C6D91" w:rsidRPr="005B2005" w:rsidRDefault="000C6D91" w:rsidP="000C6D91">
      <w:pPr>
        <w:rPr>
          <w:u w:val="single"/>
        </w:rPr>
      </w:pPr>
    </w:p>
    <w:p w:rsidR="000C6D91" w:rsidRPr="005B2005" w:rsidRDefault="000C6D91" w:rsidP="000C6D91">
      <w:pPr>
        <w:jc w:val="left"/>
      </w:pPr>
      <w:r w:rsidRPr="005B2005">
        <w:tab/>
      </w:r>
      <w:r w:rsidRPr="005B2005">
        <w:tab/>
        <w:t>1.</w:t>
      </w:r>
      <w:r w:rsidRPr="005B2005">
        <w:tab/>
        <w:t>Complainant is Ann Angelo, 113 Blue Ridge Road, Plymouth Meeting, PA 19462.</w:t>
      </w:r>
    </w:p>
    <w:p w:rsidR="000C6D91" w:rsidRPr="005B2005" w:rsidRDefault="000C6D91" w:rsidP="000C6D91">
      <w:pPr>
        <w:jc w:val="left"/>
      </w:pPr>
    </w:p>
    <w:p w:rsidR="000C6D91" w:rsidRPr="005B2005" w:rsidRDefault="000C6D91" w:rsidP="000C6D91">
      <w:pPr>
        <w:jc w:val="left"/>
      </w:pPr>
      <w:r w:rsidRPr="005B2005">
        <w:tab/>
      </w:r>
      <w:r w:rsidRPr="005B2005">
        <w:tab/>
        <w:t>2.</w:t>
      </w:r>
      <w:r w:rsidRPr="005B2005">
        <w:tab/>
        <w:t>The property that is the subject of this Complaint is located at 4835 Umbria Street</w:t>
      </w:r>
      <w:r w:rsidR="00D22340">
        <w:t>, Philadelphia</w:t>
      </w:r>
      <w:r w:rsidRPr="005B2005">
        <w:t>.</w:t>
      </w:r>
    </w:p>
    <w:p w:rsidR="000C6D91" w:rsidRPr="005B2005" w:rsidRDefault="000C6D91" w:rsidP="000C6D91">
      <w:pPr>
        <w:jc w:val="left"/>
      </w:pPr>
    </w:p>
    <w:p w:rsidR="000C6D91" w:rsidRPr="005B2005" w:rsidRDefault="000C6D91" w:rsidP="000C6D91">
      <w:pPr>
        <w:jc w:val="left"/>
      </w:pPr>
      <w:r w:rsidRPr="005B2005">
        <w:tab/>
      </w:r>
      <w:r w:rsidRPr="005B2005">
        <w:tab/>
        <w:t>3.</w:t>
      </w:r>
      <w:r w:rsidRPr="005B2005">
        <w:tab/>
        <w:t>Respondent is Philadelphia Gas Works, a jurisdictional public utility providing residential gas service in the Commonwealth of Pennsylvania.</w:t>
      </w:r>
    </w:p>
    <w:p w:rsidR="000C6D91" w:rsidRPr="005B2005" w:rsidRDefault="000C6D91" w:rsidP="000C6D91">
      <w:pPr>
        <w:jc w:val="left"/>
      </w:pPr>
    </w:p>
    <w:p w:rsidR="000C6D91" w:rsidRPr="005B2005" w:rsidRDefault="000C6D91" w:rsidP="000C6D91">
      <w:pPr>
        <w:jc w:val="left"/>
      </w:pPr>
      <w:r w:rsidRPr="005B2005">
        <w:tab/>
      </w:r>
      <w:r w:rsidRPr="005B2005">
        <w:tab/>
        <w:t>4.</w:t>
      </w:r>
      <w:r w:rsidRPr="005B2005">
        <w:tab/>
        <w:t>In September of 2011, Complainant's tenant moved out of the Umbria Street address.  Tr. 7.</w:t>
      </w:r>
    </w:p>
    <w:p w:rsidR="000C6D91" w:rsidRPr="005B2005" w:rsidRDefault="000C6D91" w:rsidP="000C6D91">
      <w:pPr>
        <w:jc w:val="left"/>
      </w:pPr>
    </w:p>
    <w:p w:rsidR="003F58F9" w:rsidRPr="005B2005" w:rsidRDefault="000C6D91" w:rsidP="000C6D91">
      <w:pPr>
        <w:jc w:val="left"/>
      </w:pPr>
      <w:r w:rsidRPr="005B2005">
        <w:tab/>
      </w:r>
      <w:r w:rsidRPr="005B2005">
        <w:tab/>
        <w:t>5.</w:t>
      </w:r>
      <w:r w:rsidRPr="005B2005">
        <w:tab/>
      </w:r>
      <w:r w:rsidR="003F58F9" w:rsidRPr="005B2005">
        <w:t xml:space="preserve">Complainant Exhibit 1 is a photocopy of a PGW monthly statement, billing date December 28, 2011, for $236.97, with handwritten notes showing that the bill was for two properties, and that $130.95 was for the Umbria Street property. </w:t>
      </w:r>
      <w:r w:rsidR="009D1D68">
        <w:t xml:space="preserve"> </w:t>
      </w:r>
      <w:r w:rsidR="003F58F9" w:rsidRPr="005B2005">
        <w:t>Tr. 10-12.</w:t>
      </w:r>
    </w:p>
    <w:p w:rsidR="003F58F9" w:rsidRPr="005B2005" w:rsidRDefault="003F58F9" w:rsidP="000C6D91">
      <w:pPr>
        <w:jc w:val="left"/>
      </w:pPr>
    </w:p>
    <w:p w:rsidR="001D28C4" w:rsidRPr="005B2005" w:rsidRDefault="003F58F9" w:rsidP="000C6D91">
      <w:pPr>
        <w:jc w:val="left"/>
      </w:pPr>
      <w:r w:rsidRPr="005B2005">
        <w:tab/>
      </w:r>
      <w:r w:rsidRPr="005B2005">
        <w:tab/>
        <w:t>6.</w:t>
      </w:r>
      <w:r w:rsidRPr="005B2005">
        <w:tab/>
        <w:t xml:space="preserve">Complainant Exhibit 2 is a photocopy of a </w:t>
      </w:r>
      <w:r w:rsidR="00681B99" w:rsidRPr="005B2005">
        <w:t xml:space="preserve">PGW monthly statement, billing date January 27, 2012, showing a billed amount of $197.65, and </w:t>
      </w:r>
      <w:r w:rsidR="001D28C4" w:rsidRPr="005B2005">
        <w:t>handwritten notes indicating that there has been a 30 day hold placed on the bill.  Tr. 14.</w:t>
      </w:r>
    </w:p>
    <w:p w:rsidR="001D28C4" w:rsidRPr="005B2005" w:rsidRDefault="001D28C4" w:rsidP="000C6D91">
      <w:pPr>
        <w:jc w:val="left"/>
      </w:pPr>
    </w:p>
    <w:p w:rsidR="001D28C4" w:rsidRPr="005B2005" w:rsidRDefault="001D28C4" w:rsidP="000C6D91">
      <w:pPr>
        <w:jc w:val="left"/>
      </w:pPr>
      <w:r w:rsidRPr="005B2005">
        <w:tab/>
      </w:r>
      <w:r w:rsidRPr="005B2005">
        <w:tab/>
        <w:t>7.</w:t>
      </w:r>
      <w:r w:rsidRPr="005B2005">
        <w:tab/>
        <w:t>Complainant Exhibit 3 is a photocopy of a PGW monthly statement, billing date January 27, 2012, showing $200.00 due on February 22, 2012.  Tr. 15.</w:t>
      </w:r>
    </w:p>
    <w:p w:rsidR="001D28C4" w:rsidRPr="005B2005" w:rsidRDefault="001D28C4" w:rsidP="000C6D91">
      <w:pPr>
        <w:jc w:val="left"/>
      </w:pPr>
    </w:p>
    <w:p w:rsidR="001D28C4" w:rsidRPr="005B2005" w:rsidRDefault="001D28C4" w:rsidP="000C6D91">
      <w:pPr>
        <w:jc w:val="left"/>
      </w:pPr>
      <w:r w:rsidRPr="005B2005">
        <w:tab/>
      </w:r>
      <w:r w:rsidRPr="005B2005">
        <w:tab/>
        <w:t>8.</w:t>
      </w:r>
      <w:r w:rsidRPr="005B2005">
        <w:tab/>
        <w:t>Complainant Exhibit 4 is a photocopy of a letter from PGW dated February 4, 2012,</w:t>
      </w:r>
      <w:r w:rsidR="003F58F9" w:rsidRPr="005B2005">
        <w:t xml:space="preserve"> </w:t>
      </w:r>
      <w:r w:rsidRPr="005B2005">
        <w:t>acknowledging that the account is under review, with handwritten notes indicating that a bill was received March 9, 2012, for $337.00.  Tr. 15.</w:t>
      </w:r>
    </w:p>
    <w:p w:rsidR="001D28C4" w:rsidRPr="005B2005" w:rsidRDefault="001D28C4" w:rsidP="000C6D91">
      <w:pPr>
        <w:jc w:val="left"/>
      </w:pPr>
    </w:p>
    <w:p w:rsidR="001D28C4" w:rsidRPr="005B2005" w:rsidRDefault="001D28C4" w:rsidP="000C6D91">
      <w:pPr>
        <w:jc w:val="left"/>
      </w:pPr>
      <w:r w:rsidRPr="005B2005">
        <w:tab/>
      </w:r>
      <w:r w:rsidRPr="005B2005">
        <w:tab/>
        <w:t>9.</w:t>
      </w:r>
      <w:r w:rsidRPr="005B2005">
        <w:tab/>
        <w:t>Complainant Exhibit 5 is the copy of a prin</w:t>
      </w:r>
      <w:r w:rsidR="00DF770F">
        <w:t>t-out of the BCS decision.  Tr. </w:t>
      </w:r>
      <w:r w:rsidRPr="005B2005">
        <w:t>15-18.</w:t>
      </w:r>
    </w:p>
    <w:p w:rsidR="001D28C4" w:rsidRPr="005B2005" w:rsidRDefault="001D28C4" w:rsidP="000C6D91">
      <w:pPr>
        <w:jc w:val="left"/>
      </w:pPr>
    </w:p>
    <w:p w:rsidR="001D28C4" w:rsidRPr="005B2005" w:rsidRDefault="001D28C4" w:rsidP="000C6D91">
      <w:pPr>
        <w:jc w:val="left"/>
      </w:pPr>
      <w:r w:rsidRPr="005B2005">
        <w:tab/>
      </w:r>
      <w:r w:rsidRPr="005B2005">
        <w:tab/>
        <w:t>10.</w:t>
      </w:r>
      <w:r w:rsidRPr="005B2005">
        <w:tab/>
        <w:t>Complainant Exhibit 6 is a photocopy of an email from BCS indicating that staff will investigate the informal complaint.  Tr. 18.</w:t>
      </w:r>
    </w:p>
    <w:p w:rsidR="001D28C4" w:rsidRPr="005B2005" w:rsidRDefault="001D28C4" w:rsidP="000C6D91">
      <w:pPr>
        <w:jc w:val="left"/>
      </w:pPr>
    </w:p>
    <w:p w:rsidR="000C6D91" w:rsidRPr="005B2005" w:rsidRDefault="001D28C4" w:rsidP="000C6D91">
      <w:pPr>
        <w:jc w:val="left"/>
      </w:pPr>
      <w:r w:rsidRPr="005B2005">
        <w:tab/>
      </w:r>
      <w:r w:rsidRPr="005B2005">
        <w:tab/>
        <w:t>11.</w:t>
      </w:r>
      <w:r w:rsidRPr="005B2005">
        <w:tab/>
        <w:t>Complainant Exhibit 7 is a photocopy of a letter dated August 3, 2012, from BCS indicating that the investigation has been completed.</w:t>
      </w:r>
    </w:p>
    <w:p w:rsidR="00A07220" w:rsidRPr="005B2005" w:rsidRDefault="00A07220" w:rsidP="000C6D91">
      <w:pPr>
        <w:jc w:val="left"/>
      </w:pPr>
    </w:p>
    <w:p w:rsidR="00A07220" w:rsidRPr="005B2005" w:rsidRDefault="00A07220" w:rsidP="000C6D91">
      <w:pPr>
        <w:jc w:val="left"/>
      </w:pPr>
      <w:r w:rsidRPr="005B2005">
        <w:tab/>
      </w:r>
      <w:r w:rsidRPr="005B2005">
        <w:tab/>
        <w:t>12.</w:t>
      </w:r>
      <w:r w:rsidRPr="005B2005">
        <w:tab/>
        <w:t>Complainant Exhibit 8 is a photocopy of a letter from PGW dated September 19, 2012, indicating the results of a meter test.  Tr. 20.</w:t>
      </w:r>
    </w:p>
    <w:p w:rsidR="00A07220" w:rsidRPr="005B2005" w:rsidRDefault="00A07220" w:rsidP="000C6D91">
      <w:pPr>
        <w:jc w:val="left"/>
      </w:pPr>
    </w:p>
    <w:p w:rsidR="00A07220" w:rsidRPr="005B2005" w:rsidRDefault="00A07220" w:rsidP="000C6D91">
      <w:pPr>
        <w:jc w:val="left"/>
      </w:pPr>
      <w:r w:rsidRPr="005B2005">
        <w:tab/>
      </w:r>
      <w:r w:rsidRPr="005B2005">
        <w:tab/>
        <w:t>13.</w:t>
      </w:r>
      <w:r w:rsidRPr="005B2005">
        <w:tab/>
        <w:t xml:space="preserve">Complainant is contesting her bills dated December 28, 2011, for $130.95, </w:t>
      </w:r>
      <w:r w:rsidR="005D2717" w:rsidRPr="005B2005">
        <w:t>January 27, 2012 for $197.65, and</w:t>
      </w:r>
      <w:r w:rsidRPr="005B2005">
        <w:t xml:space="preserve"> </w:t>
      </w:r>
      <w:r w:rsidR="005D2717" w:rsidRPr="005B2005">
        <w:t>February 28, 2012, for $337.90.  Tr. 22.</w:t>
      </w:r>
    </w:p>
    <w:p w:rsidR="005D2717" w:rsidRPr="005B2005" w:rsidRDefault="005D2717" w:rsidP="000C6D91">
      <w:pPr>
        <w:jc w:val="left"/>
      </w:pPr>
    </w:p>
    <w:p w:rsidR="005D2717" w:rsidRPr="005B2005" w:rsidRDefault="005D2717" w:rsidP="000C6D91">
      <w:pPr>
        <w:jc w:val="left"/>
      </w:pPr>
      <w:r w:rsidRPr="005B2005">
        <w:tab/>
      </w:r>
      <w:r w:rsidRPr="005B2005">
        <w:tab/>
        <w:t>14.</w:t>
      </w:r>
      <w:r w:rsidRPr="005B2005">
        <w:tab/>
        <w:t>The Umbria Street property is heated with gas.  Tr. 23.</w:t>
      </w:r>
    </w:p>
    <w:p w:rsidR="005D2717" w:rsidRPr="005B2005" w:rsidRDefault="005D2717" w:rsidP="000C6D91">
      <w:pPr>
        <w:jc w:val="left"/>
      </w:pPr>
    </w:p>
    <w:p w:rsidR="005D2717" w:rsidRPr="005B2005" w:rsidRDefault="005D2717" w:rsidP="000C6D91">
      <w:pPr>
        <w:jc w:val="left"/>
      </w:pPr>
      <w:r w:rsidRPr="005B2005">
        <w:tab/>
      </w:r>
      <w:r w:rsidRPr="005B2005">
        <w:tab/>
        <w:t>15.</w:t>
      </w:r>
      <w:r w:rsidRPr="005B2005">
        <w:tab/>
        <w:t>The Umbria Street property has three bedrooms, a living room, dining room, kitchen, bathroom, and basement.  Tr. 23.</w:t>
      </w:r>
    </w:p>
    <w:p w:rsidR="005D2717" w:rsidRPr="005B2005" w:rsidRDefault="005D2717" w:rsidP="000C6D91">
      <w:pPr>
        <w:jc w:val="left"/>
      </w:pPr>
    </w:p>
    <w:p w:rsidR="005D2717" w:rsidRPr="005B2005" w:rsidRDefault="005D2717" w:rsidP="000C6D91">
      <w:pPr>
        <w:jc w:val="left"/>
      </w:pPr>
      <w:r w:rsidRPr="005B2005">
        <w:tab/>
      </w:r>
      <w:r w:rsidRPr="005B2005">
        <w:tab/>
        <w:t>16.</w:t>
      </w:r>
      <w:r w:rsidRPr="005B2005">
        <w:tab/>
        <w:t>A PGW representative told Complainant that she needed to return a particular form in order to have her meter checked, and then PGW sent the form to the Umbria Street address instead of to the residence of the Complainant.  Tr. 24.</w:t>
      </w:r>
    </w:p>
    <w:p w:rsidR="005D2717" w:rsidRPr="005B2005" w:rsidRDefault="005D2717" w:rsidP="000C6D91">
      <w:pPr>
        <w:jc w:val="left"/>
      </w:pPr>
    </w:p>
    <w:p w:rsidR="005D2717" w:rsidRPr="005B2005" w:rsidRDefault="005D2717" w:rsidP="000C6D91">
      <w:pPr>
        <w:jc w:val="left"/>
      </w:pPr>
      <w:r w:rsidRPr="005B2005">
        <w:tab/>
      </w:r>
      <w:r w:rsidRPr="005B2005">
        <w:tab/>
        <w:t>17.</w:t>
      </w:r>
      <w:r w:rsidRPr="005B2005">
        <w:tab/>
        <w:t>Complainant's residence is served by PECO Energy Company.  Tr. 29.</w:t>
      </w:r>
    </w:p>
    <w:p w:rsidR="005D2717" w:rsidRPr="005B2005" w:rsidRDefault="005D2717" w:rsidP="000C6D91">
      <w:pPr>
        <w:jc w:val="left"/>
      </w:pPr>
    </w:p>
    <w:p w:rsidR="005D2717" w:rsidRPr="005B2005" w:rsidRDefault="005D2717" w:rsidP="000C6D91">
      <w:pPr>
        <w:jc w:val="left"/>
      </w:pPr>
      <w:r w:rsidRPr="005B2005">
        <w:tab/>
      </w:r>
      <w:r w:rsidRPr="005B2005">
        <w:tab/>
        <w:t>18.</w:t>
      </w:r>
      <w:r w:rsidRPr="005B2005">
        <w:tab/>
        <w:t>Gas appliances in the Umbria Street address include a stove, hot water heater and house heater.  Tr. 29.</w:t>
      </w:r>
    </w:p>
    <w:p w:rsidR="005D2717" w:rsidRPr="005B2005" w:rsidRDefault="005D2717" w:rsidP="000C6D91">
      <w:pPr>
        <w:jc w:val="left"/>
      </w:pPr>
    </w:p>
    <w:p w:rsidR="005D2717" w:rsidRPr="005B2005" w:rsidRDefault="005D2717" w:rsidP="000C6D91">
      <w:pPr>
        <w:jc w:val="left"/>
      </w:pPr>
      <w:r w:rsidRPr="005B2005">
        <w:tab/>
      </w:r>
      <w:r w:rsidRPr="005B2005">
        <w:tab/>
        <w:t>19.</w:t>
      </w:r>
      <w:r w:rsidRPr="005B2005">
        <w:tab/>
      </w:r>
      <w:r w:rsidR="002117CF" w:rsidRPr="005B2005">
        <w:t>The area that appears to be blacked out on Complainant's Exhibit 7, paragraph 8, is not redacted, it is highlighted.  It indicates that PGW informed Complainant of her payment options and advised her that she could have her meter checked.  Tr. 35.</w:t>
      </w:r>
    </w:p>
    <w:p w:rsidR="00EA1D77" w:rsidRPr="005B2005" w:rsidRDefault="00EA1D77" w:rsidP="000C6D91">
      <w:pPr>
        <w:jc w:val="left"/>
      </w:pPr>
    </w:p>
    <w:p w:rsidR="00EA1D77" w:rsidRPr="005B2005" w:rsidRDefault="00EA1D77" w:rsidP="000C6D91">
      <w:pPr>
        <w:jc w:val="left"/>
      </w:pPr>
      <w:r w:rsidRPr="005B2005">
        <w:tab/>
      </w:r>
      <w:r w:rsidRPr="005B2005">
        <w:tab/>
        <w:t>20.</w:t>
      </w:r>
      <w:r w:rsidRPr="005B2005">
        <w:tab/>
        <w:t>Cynthia Garner, customer reviews unit officer for PGW, appeared and testified on behalf of Respondent.  Tr. 38.</w:t>
      </w:r>
    </w:p>
    <w:p w:rsidR="00EA1D77" w:rsidRPr="005B2005" w:rsidRDefault="00EA1D77" w:rsidP="000C6D91">
      <w:pPr>
        <w:jc w:val="left"/>
      </w:pPr>
    </w:p>
    <w:p w:rsidR="00EA1D77" w:rsidRPr="005B2005" w:rsidRDefault="00EA1D77" w:rsidP="000C6D91">
      <w:pPr>
        <w:jc w:val="left"/>
      </w:pPr>
      <w:r w:rsidRPr="005B2005">
        <w:tab/>
      </w:r>
      <w:r w:rsidRPr="005B2005">
        <w:tab/>
        <w:t>21.</w:t>
      </w:r>
      <w:r w:rsidRPr="005B2005">
        <w:tab/>
        <w:t>PGW Exhibit 1 is a statement of accounts.  Tr. 40.</w:t>
      </w:r>
    </w:p>
    <w:p w:rsidR="00EA1D77" w:rsidRPr="005B2005" w:rsidRDefault="00EA1D77" w:rsidP="000C6D91">
      <w:pPr>
        <w:jc w:val="left"/>
      </w:pPr>
    </w:p>
    <w:p w:rsidR="00EA1D77" w:rsidRPr="005B2005" w:rsidRDefault="00EA1D77" w:rsidP="000C6D91">
      <w:pPr>
        <w:jc w:val="left"/>
      </w:pPr>
      <w:r w:rsidRPr="005B2005">
        <w:tab/>
      </w:r>
      <w:r w:rsidRPr="005B2005">
        <w:tab/>
        <w:t>22.</w:t>
      </w:r>
      <w:r w:rsidRPr="005B2005">
        <w:tab/>
        <w:t>PGW Exhibit 2 is a document entitled Contacts for Account.  Tr. 40.</w:t>
      </w:r>
    </w:p>
    <w:p w:rsidR="00EA1D77" w:rsidRPr="005B2005" w:rsidRDefault="00EA1D77" w:rsidP="000C6D91">
      <w:pPr>
        <w:jc w:val="left"/>
      </w:pPr>
    </w:p>
    <w:p w:rsidR="00EA1D77" w:rsidRPr="005B2005" w:rsidRDefault="00EA1D77" w:rsidP="000C6D91">
      <w:pPr>
        <w:jc w:val="left"/>
      </w:pPr>
      <w:r w:rsidRPr="005B2005">
        <w:tab/>
      </w:r>
      <w:r w:rsidRPr="005B2005">
        <w:tab/>
        <w:t>23.</w:t>
      </w:r>
      <w:r w:rsidRPr="005B2005">
        <w:tab/>
        <w:t>PGW Exhibit 3 is a dispute resolution unit letter.  Tr. 40</w:t>
      </w:r>
      <w:r w:rsidR="008B3F2E">
        <w:t>.</w:t>
      </w:r>
    </w:p>
    <w:p w:rsidR="00EA1D77" w:rsidRPr="005B2005" w:rsidRDefault="00EA1D77" w:rsidP="000C6D91">
      <w:pPr>
        <w:jc w:val="left"/>
      </w:pPr>
    </w:p>
    <w:p w:rsidR="00EA1D77" w:rsidRPr="005B2005" w:rsidRDefault="00EA1D77" w:rsidP="000C6D91">
      <w:pPr>
        <w:jc w:val="left"/>
      </w:pPr>
      <w:r w:rsidRPr="005B2005">
        <w:tab/>
      </w:r>
      <w:r w:rsidRPr="005B2005">
        <w:tab/>
        <w:t>24.</w:t>
      </w:r>
      <w:r w:rsidRPr="005B2005">
        <w:tab/>
        <w:t>PGW Exhibit 4 is a document entitled Meter Test Result.  Tr. 41.</w:t>
      </w:r>
    </w:p>
    <w:p w:rsidR="00EA1D77" w:rsidRPr="005B2005" w:rsidRDefault="00EA1D77" w:rsidP="000C6D91">
      <w:pPr>
        <w:jc w:val="left"/>
      </w:pPr>
    </w:p>
    <w:p w:rsidR="00EA1D77" w:rsidRPr="005B2005" w:rsidRDefault="00EA1D77" w:rsidP="000C6D91">
      <w:pPr>
        <w:jc w:val="left"/>
      </w:pPr>
      <w:r w:rsidRPr="005B2005">
        <w:tab/>
      </w:r>
      <w:r w:rsidRPr="005B2005">
        <w:tab/>
        <w:t>25.</w:t>
      </w:r>
      <w:r w:rsidRPr="005B2005">
        <w:tab/>
        <w:t>PGW Exhibit 5 is an electronic representation of the BCS decision issued August 1, 2012.  Tr. 41.</w:t>
      </w:r>
    </w:p>
    <w:p w:rsidR="00EA1D77" w:rsidRPr="005B2005" w:rsidRDefault="00EA1D77" w:rsidP="000C6D91">
      <w:pPr>
        <w:jc w:val="left"/>
      </w:pPr>
    </w:p>
    <w:p w:rsidR="00EA1D77" w:rsidRPr="005B2005" w:rsidRDefault="00EA1D77" w:rsidP="000C6D91">
      <w:pPr>
        <w:jc w:val="left"/>
      </w:pPr>
      <w:r w:rsidRPr="005B2005">
        <w:tab/>
      </w:r>
      <w:r w:rsidRPr="005B2005">
        <w:tab/>
        <w:t>26.</w:t>
      </w:r>
      <w:r w:rsidRPr="005B2005">
        <w:tab/>
        <w:t>The meter test information was mailed to the Umbria Street address instead of Complainant's residence.  Tr. 43.</w:t>
      </w:r>
    </w:p>
    <w:p w:rsidR="003F58F9" w:rsidRPr="005B2005" w:rsidRDefault="003F58F9" w:rsidP="000C6D91">
      <w:pPr>
        <w:jc w:val="left"/>
      </w:pPr>
    </w:p>
    <w:p w:rsidR="00513334" w:rsidRDefault="00513334" w:rsidP="003F58F9">
      <w:pPr>
        <w:rPr>
          <w:u w:val="single"/>
        </w:rPr>
      </w:pPr>
      <w:r>
        <w:rPr>
          <w:u w:val="single"/>
        </w:rPr>
        <w:br w:type="page"/>
      </w:r>
    </w:p>
    <w:p w:rsidR="003F58F9" w:rsidRPr="005B2005" w:rsidRDefault="003F58F9" w:rsidP="003F58F9">
      <w:pPr>
        <w:rPr>
          <w:u w:val="single"/>
        </w:rPr>
      </w:pPr>
      <w:r w:rsidRPr="005B2005">
        <w:rPr>
          <w:u w:val="single"/>
        </w:rPr>
        <w:t>DISCUSSION</w:t>
      </w:r>
    </w:p>
    <w:p w:rsidR="003F58F9" w:rsidRPr="005B2005" w:rsidRDefault="003F58F9" w:rsidP="003F58F9">
      <w:pPr>
        <w:rPr>
          <w:u w:val="single"/>
        </w:rPr>
      </w:pPr>
    </w:p>
    <w:p w:rsidR="003F58F9" w:rsidRPr="005B2005" w:rsidRDefault="003F58F9" w:rsidP="003F58F9">
      <w:pPr>
        <w:jc w:val="left"/>
      </w:pPr>
      <w:r w:rsidRPr="005B2005">
        <w:tab/>
      </w:r>
      <w:r w:rsidRPr="005B2005">
        <w:tab/>
        <w:t xml:space="preserve">Complainant alleges that </w:t>
      </w:r>
      <w:r w:rsidR="00FB3824" w:rsidRPr="005B2005">
        <w:t xml:space="preserve">(1) </w:t>
      </w:r>
      <w:r w:rsidRPr="005B2005">
        <w:t xml:space="preserve">the bills </w:t>
      </w:r>
      <w:r w:rsidR="00FB3824" w:rsidRPr="005B2005">
        <w:t xml:space="preserve">for gas service in December 2011, January and February 2012 </w:t>
      </w:r>
      <w:r w:rsidRPr="005B2005">
        <w:t>were too high for a vacant property, and</w:t>
      </w:r>
      <w:r w:rsidR="00FB3824" w:rsidRPr="005B2005">
        <w:t xml:space="preserve"> (2)</w:t>
      </w:r>
      <w:r w:rsidRPr="005B2005">
        <w:t xml:space="preserve"> that the Company has not offered the level of service that it should.  Tr. 11.</w:t>
      </w:r>
      <w:r w:rsidR="005D2717" w:rsidRPr="005B2005">
        <w:t xml:space="preserve">  She believes that the Company was unresponsive to her inquiries and failed to provide the form necessary for her to have her meter checked as they sent it to the wrong address, and the Company would not work with her regarding weatherization and other methods of bringing down the bills on a vacant property.  Tr. 25-26.</w:t>
      </w:r>
    </w:p>
    <w:p w:rsidR="00047BAA" w:rsidRPr="005B2005" w:rsidRDefault="00047BAA" w:rsidP="003F58F9">
      <w:pPr>
        <w:jc w:val="left"/>
      </w:pPr>
    </w:p>
    <w:p w:rsidR="00047BAA" w:rsidRPr="005B2005" w:rsidRDefault="00047BAA" w:rsidP="00047BAA">
      <w:pPr>
        <w:ind w:firstLine="1440"/>
        <w:jc w:val="left"/>
        <w:rPr>
          <w:spacing w:val="-3"/>
        </w:rPr>
      </w:pPr>
      <w:r w:rsidRPr="005B2005">
        <w:t>The C</w:t>
      </w:r>
      <w:r w:rsidRPr="005B2005">
        <w:rPr>
          <w:spacing w:val="-3"/>
        </w:rPr>
        <w:t xml:space="preserve">omplainant carries the burden of showing that the utility is responsible or accountable for the problem described in the Complaint in order to prevail.  </w:t>
      </w:r>
      <w:r w:rsidRPr="005B2005">
        <w:rPr>
          <w:i/>
          <w:spacing w:val="-3"/>
        </w:rPr>
        <w:t>Patterson v. Bell Telephone Company of Pennsylvania</w:t>
      </w:r>
      <w:r w:rsidRPr="005B2005">
        <w:rPr>
          <w:spacing w:val="-3"/>
        </w:rPr>
        <w:t xml:space="preserve">, 72 Pa. PUC 196 (1990); </w:t>
      </w:r>
      <w:r w:rsidRPr="005B2005">
        <w:rPr>
          <w:i/>
          <w:spacing w:val="-3"/>
        </w:rPr>
        <w:t>Feinstein v. Philadelphia Suburban Water Company</w:t>
      </w:r>
      <w:r w:rsidRPr="005B2005">
        <w:rPr>
          <w:spacing w:val="-3"/>
        </w:rPr>
        <w:t xml:space="preserve">, 50 Pa. PUC 300 (1976).  This must be shown by a preponderance of the evidence.  </w:t>
      </w:r>
      <w:r w:rsidRPr="005B2005">
        <w:rPr>
          <w:i/>
          <w:spacing w:val="-3"/>
        </w:rPr>
        <w:t>Samuel J. Lansberry, Inc. v. PA Public Utility Comm’n</w:t>
      </w:r>
      <w:r w:rsidRPr="005B2005">
        <w:rPr>
          <w:spacing w:val="-3"/>
        </w:rPr>
        <w:t xml:space="preserve">, 578 A.2d 600 (Pa. Cmwlth.1990), </w:t>
      </w:r>
      <w:r w:rsidRPr="005B2005">
        <w:rPr>
          <w:i/>
          <w:spacing w:val="-3"/>
        </w:rPr>
        <w:t>alloc. den.</w:t>
      </w:r>
      <w:r w:rsidRPr="005B2005">
        <w:rPr>
          <w:spacing w:val="-3"/>
        </w:rPr>
        <w:t xml:space="preserve">, 529 A.2d 654, 602 A.2d 863 (1992).  That is, by presenting evidence more convincing, by even the smallest amount, than that presented by the other party.  </w:t>
      </w:r>
      <w:r w:rsidRPr="005B2005">
        <w:rPr>
          <w:i/>
          <w:spacing w:val="-3"/>
        </w:rPr>
        <w:t>Se-Ling Hosiery v. Margulies</w:t>
      </w:r>
      <w:r w:rsidRPr="005B2005">
        <w:rPr>
          <w:spacing w:val="-3"/>
        </w:rPr>
        <w:t>, 364 Pa. 45, 70 A.2d 854 (1950).</w:t>
      </w:r>
    </w:p>
    <w:p w:rsidR="00047BAA" w:rsidRPr="005B2005" w:rsidRDefault="00047BAA" w:rsidP="00047BAA">
      <w:pPr>
        <w:ind w:firstLine="1440"/>
        <w:jc w:val="left"/>
        <w:rPr>
          <w:spacing w:val="-3"/>
        </w:rPr>
      </w:pPr>
    </w:p>
    <w:p w:rsidR="00047BAA" w:rsidRPr="005B2005" w:rsidRDefault="00047BAA" w:rsidP="00047BAA">
      <w:pPr>
        <w:ind w:firstLine="1440"/>
        <w:jc w:val="left"/>
        <w:rPr>
          <w:spacing w:val="-3"/>
        </w:rPr>
      </w:pPr>
      <w:r w:rsidRPr="005B2005">
        <w:rPr>
          <w:spacing w:val="-3"/>
        </w:rPr>
        <w:t xml:space="preserve">Additionally, any finding of fact necessary to support the Commission’s adjudication must be based upon substantial evidence.  </w:t>
      </w:r>
      <w:r w:rsidRPr="005B2005">
        <w:rPr>
          <w:i/>
          <w:spacing w:val="-3"/>
        </w:rPr>
        <w:t>Mill v. Comm’w., PA Public Utility Comm’n</w:t>
      </w:r>
      <w:r w:rsidRPr="005B2005">
        <w:rPr>
          <w:spacing w:val="-3"/>
        </w:rPr>
        <w:t xml:space="preserve">, 447 A.2d 1100 (Pa. Cmwlth.1982); </w:t>
      </w:r>
      <w:r w:rsidRPr="005B2005">
        <w:rPr>
          <w:i/>
          <w:spacing w:val="-3"/>
        </w:rPr>
        <w:t>Edan Transportation Corp. v. PA Public Utility Comm’n,</w:t>
      </w:r>
      <w:r w:rsidRPr="005B2005">
        <w:rPr>
          <w:spacing w:val="-3"/>
        </w:rPr>
        <w:t xml:space="preserve"> 623 A.2d 6 (Pa. Cmwlth.1993), 2 Pa.C.S. §704.  More is required than a mere trace of evidence or a suspicion of the existence of a fact sought to be established.  </w:t>
      </w:r>
      <w:r w:rsidRPr="005B2005">
        <w:rPr>
          <w:i/>
          <w:spacing w:val="-3"/>
        </w:rPr>
        <w:t>Norfolk and Western Ry. v. PA Public Utility Comm’n</w:t>
      </w:r>
      <w:r w:rsidRPr="005B2005">
        <w:rPr>
          <w:spacing w:val="-3"/>
        </w:rPr>
        <w:t xml:space="preserve">, 489 Pa. 109, 413 A.2d 1037 (1980); </w:t>
      </w:r>
      <w:r w:rsidRPr="005B2005">
        <w:rPr>
          <w:i/>
          <w:spacing w:val="-3"/>
        </w:rPr>
        <w:t>Erie Resistor Corp. v. Unemployment Compensation Bd. of Review</w:t>
      </w:r>
      <w:r w:rsidRPr="005B2005">
        <w:rPr>
          <w:spacing w:val="-3"/>
        </w:rPr>
        <w:t xml:space="preserve">, 166 A.2d 96 (Pa. Super.1960); </w:t>
      </w:r>
      <w:r w:rsidRPr="005B2005">
        <w:rPr>
          <w:i/>
          <w:spacing w:val="-3"/>
        </w:rPr>
        <w:t>Murphy v. Commonwealth, Dep’t. of Public Welfare, White Haven Center</w:t>
      </w:r>
      <w:r w:rsidRPr="005B2005">
        <w:rPr>
          <w:spacing w:val="-3"/>
        </w:rPr>
        <w:t>, 480 A.2d 382 (Pa. Cmwlth.1984).</w:t>
      </w:r>
    </w:p>
    <w:p w:rsidR="00047BAA" w:rsidRPr="005B2005" w:rsidRDefault="00047BAA" w:rsidP="00047BAA">
      <w:pPr>
        <w:ind w:firstLine="1440"/>
        <w:jc w:val="left"/>
        <w:rPr>
          <w:spacing w:val="-3"/>
        </w:rPr>
      </w:pPr>
    </w:p>
    <w:p w:rsidR="00047BAA" w:rsidRPr="005B2005" w:rsidRDefault="00047BAA" w:rsidP="00047BAA">
      <w:pPr>
        <w:jc w:val="left"/>
      </w:pPr>
      <w:r w:rsidRPr="005B2005">
        <w:tab/>
      </w:r>
      <w:r w:rsidRPr="005B2005">
        <w:tab/>
        <w:t>The offense must be a violation of the Public Utility Code, the Commission’s regulations, or an outstanding order of the Commission.  66 Pa. C.S. § 701.</w:t>
      </w:r>
    </w:p>
    <w:p w:rsidR="00047BAA" w:rsidRPr="005B2005" w:rsidRDefault="00047BAA" w:rsidP="00047BAA"/>
    <w:p w:rsidR="00047BAA" w:rsidRPr="005B2005" w:rsidRDefault="00662642" w:rsidP="003F58F9">
      <w:pPr>
        <w:jc w:val="left"/>
      </w:pPr>
      <w:r w:rsidRPr="005B2005">
        <w:tab/>
      </w:r>
      <w:r w:rsidRPr="005B2005">
        <w:tab/>
        <w:t>Therefore, Complainant bears the burden of proving that the three bills cited were too high, and that the PGW employees failed to provide the level of service expected of a public utility in the Commonwealth of Pennsylvania.</w:t>
      </w:r>
    </w:p>
    <w:p w:rsidR="00047BAA" w:rsidRPr="005B2005" w:rsidRDefault="00047BAA" w:rsidP="003F58F9">
      <w:pPr>
        <w:jc w:val="left"/>
      </w:pPr>
    </w:p>
    <w:p w:rsidR="003F58F9" w:rsidRPr="005B2005" w:rsidRDefault="00047BAA" w:rsidP="00662642">
      <w:pPr>
        <w:jc w:val="left"/>
      </w:pPr>
      <w:r w:rsidRPr="005B2005">
        <w:tab/>
      </w:r>
      <w:r w:rsidRPr="005B2005">
        <w:tab/>
      </w:r>
      <w:r w:rsidR="00662642" w:rsidRPr="005B2005">
        <w:t xml:space="preserve">The first count is the high billing allegation.  Complainant avers that the bills were simply too high to be correct when the property was vacant.  However, the bills were based on actual meter readings, and the meter was checked for accuracy and tested within the acceptable range.  Complainant had no actual comparisons for bills, </w:t>
      </w:r>
      <w:r w:rsidR="00FB3824" w:rsidRPr="005B2005">
        <w:t xml:space="preserve">other than stating that her home bills, for a similar sized house served by PECO Energy Company, were lower, </w:t>
      </w:r>
      <w:r w:rsidR="00662642" w:rsidRPr="005B2005">
        <w:t>but the facts weigh against her.  She admits that the stove, hot water heater, and house heating unit were all gas.  Of these, only the stove would not have seen any use, and even that might have had a pilot light</w:t>
      </w:r>
      <w:r w:rsidR="00E13419" w:rsidRPr="005B2005">
        <w:t xml:space="preserve"> (she did not know)</w:t>
      </w:r>
      <w:r w:rsidR="00662642" w:rsidRPr="005B2005">
        <w:t xml:space="preserve">.  The hot water heater would continue to heat water whenever the temperature of the water was low enough to trigger the heating element.  Similarly, the temperature in the house, set around 60 degrees, would continue to </w:t>
      </w:r>
      <w:r w:rsidR="001C6A54" w:rsidRPr="005B2005">
        <w:t xml:space="preserve">cause the gas heater to </w:t>
      </w:r>
      <w:r w:rsidR="00662642" w:rsidRPr="005B2005">
        <w:t>use gas whether there was an occupant in the house or not.</w:t>
      </w:r>
    </w:p>
    <w:p w:rsidR="00203F21" w:rsidRPr="005B2005" w:rsidRDefault="00203F21" w:rsidP="00662642">
      <w:pPr>
        <w:jc w:val="left"/>
      </w:pPr>
    </w:p>
    <w:p w:rsidR="00203F21" w:rsidRPr="005B2005" w:rsidRDefault="00203F21" w:rsidP="00203F21">
      <w:pPr>
        <w:pStyle w:val="FootnoteText"/>
        <w:spacing w:line="360" w:lineRule="auto"/>
        <w:jc w:val="left"/>
        <w:rPr>
          <w:sz w:val="24"/>
          <w:szCs w:val="24"/>
        </w:rPr>
      </w:pPr>
      <w:r w:rsidRPr="005B2005">
        <w:rPr>
          <w:sz w:val="24"/>
          <w:szCs w:val="24"/>
        </w:rPr>
        <w:tab/>
      </w:r>
      <w:r w:rsidRPr="005B2005">
        <w:rPr>
          <w:sz w:val="24"/>
          <w:szCs w:val="24"/>
        </w:rPr>
        <w:tab/>
        <w:t xml:space="preserve">A high billing complaint usually entails an analysis based on </w:t>
      </w:r>
      <w:r w:rsidRPr="005B2005">
        <w:rPr>
          <w:i/>
          <w:sz w:val="24"/>
          <w:szCs w:val="24"/>
        </w:rPr>
        <w:t>Waldron v. Philadelphia Electric Company,</w:t>
      </w:r>
      <w:r w:rsidRPr="005B2005">
        <w:rPr>
          <w:sz w:val="24"/>
          <w:szCs w:val="24"/>
        </w:rPr>
        <w:t xml:space="preserve"> 54 Pa. P.U.C. 98 (1980), which provides that a meter check can be overcome with evidence showing no change in the number of occupants in a household, no change in utility use, and a billing history without abnormalities.  Insufficient evidence was provided to establish a fair comparison here.</w:t>
      </w:r>
    </w:p>
    <w:p w:rsidR="005D2717" w:rsidRPr="005B2005" w:rsidRDefault="005D2717" w:rsidP="003F58F9">
      <w:pPr>
        <w:rPr>
          <w:u w:val="single"/>
        </w:rPr>
      </w:pPr>
    </w:p>
    <w:p w:rsidR="005D2717" w:rsidRPr="005B2005" w:rsidRDefault="005D2717" w:rsidP="005D2717">
      <w:pPr>
        <w:jc w:val="left"/>
      </w:pPr>
      <w:r w:rsidRPr="005B2005">
        <w:tab/>
      </w:r>
      <w:r w:rsidRPr="005B2005">
        <w:tab/>
        <w:t xml:space="preserve">Complainant admitted that </w:t>
      </w:r>
      <w:r w:rsidR="002117CF" w:rsidRPr="005B2005">
        <w:t>the appliances in the Umbria Street property were still connected to the meter when the building was vacant.  She indicated that she could not turn off the heat because the pipes might freeze.  Tr. 31.</w:t>
      </w:r>
    </w:p>
    <w:p w:rsidR="002117CF" w:rsidRPr="005B2005" w:rsidRDefault="002117CF" w:rsidP="005D2717">
      <w:pPr>
        <w:jc w:val="left"/>
      </w:pPr>
    </w:p>
    <w:p w:rsidR="002117CF" w:rsidRPr="005B2005" w:rsidRDefault="002117CF" w:rsidP="005D2717">
      <w:pPr>
        <w:jc w:val="left"/>
      </w:pPr>
      <w:r w:rsidRPr="005B2005">
        <w:tab/>
      </w:r>
      <w:r w:rsidRPr="005B2005">
        <w:tab/>
        <w:t>Complainant testified that she had asked for weatherization information and had not received any.  Tr. 33.</w:t>
      </w:r>
    </w:p>
    <w:p w:rsidR="004E6DD6" w:rsidRPr="005B2005" w:rsidRDefault="004E6DD6" w:rsidP="005D2717">
      <w:pPr>
        <w:jc w:val="left"/>
      </w:pPr>
    </w:p>
    <w:p w:rsidR="00A83F7D" w:rsidRDefault="004E6DD6" w:rsidP="005D2717">
      <w:pPr>
        <w:jc w:val="left"/>
      </w:pPr>
      <w:r w:rsidRPr="005B2005">
        <w:tab/>
      </w:r>
      <w:r w:rsidRPr="005B2005">
        <w:tab/>
      </w:r>
      <w:r w:rsidR="00A83F7D">
        <w:br w:type="page"/>
      </w:r>
    </w:p>
    <w:p w:rsidR="004E6DD6" w:rsidRPr="005B2005" w:rsidRDefault="000C0036" w:rsidP="005D2717">
      <w:pPr>
        <w:jc w:val="left"/>
      </w:pPr>
      <w:r w:rsidRPr="005B2005">
        <w:t xml:space="preserve">PGW counsel engaged Complainant in </w:t>
      </w:r>
      <w:r w:rsidR="004E6DD6" w:rsidRPr="005B2005">
        <w:t>the following discourse:</w:t>
      </w:r>
    </w:p>
    <w:p w:rsidR="004E6DD6" w:rsidRPr="005B2005" w:rsidRDefault="004E6DD6" w:rsidP="005D2717">
      <w:pPr>
        <w:jc w:val="left"/>
      </w:pPr>
    </w:p>
    <w:p w:rsidR="004E6DD6" w:rsidRPr="005B2005" w:rsidRDefault="004E6DD6" w:rsidP="00E13419">
      <w:pPr>
        <w:spacing w:line="240" w:lineRule="auto"/>
        <w:ind w:left="720"/>
        <w:jc w:val="left"/>
      </w:pPr>
      <w:r w:rsidRPr="005B2005">
        <w:t>Mr. Farinas:</w:t>
      </w:r>
      <w:r w:rsidRPr="005B2005">
        <w:tab/>
        <w:t>Why didn't you have the gas shut off?</w:t>
      </w:r>
    </w:p>
    <w:p w:rsidR="004E6DD6" w:rsidRPr="005B2005" w:rsidRDefault="004E6DD6" w:rsidP="00E13419">
      <w:pPr>
        <w:spacing w:line="240" w:lineRule="auto"/>
        <w:ind w:left="720"/>
        <w:jc w:val="left"/>
      </w:pPr>
    </w:p>
    <w:p w:rsidR="004E6DD6" w:rsidRPr="005B2005" w:rsidRDefault="004E6DD6" w:rsidP="00E13419">
      <w:pPr>
        <w:spacing w:line="240" w:lineRule="auto"/>
        <w:ind w:left="720"/>
        <w:jc w:val="left"/>
      </w:pPr>
      <w:r w:rsidRPr="005B2005">
        <w:t>Complainant:</w:t>
      </w:r>
      <w:r w:rsidRPr="005B2005">
        <w:tab/>
        <w:t>Because I didn't think – nobody told me about shutting the gas off, and I didn't think you could have the gas shut off because I thought you needed to keep your property warm so your pipes didn't burst.  Nobody at PGW told me anything about you can have your gas shut off or even gave me that option.</w:t>
      </w:r>
    </w:p>
    <w:p w:rsidR="004E6DD6" w:rsidRPr="005B2005" w:rsidRDefault="004E6DD6" w:rsidP="00E13419">
      <w:pPr>
        <w:spacing w:line="240" w:lineRule="auto"/>
        <w:ind w:left="720"/>
        <w:jc w:val="left"/>
      </w:pPr>
    </w:p>
    <w:p w:rsidR="004E6DD6" w:rsidRPr="005B2005" w:rsidRDefault="004E6DD6" w:rsidP="00E13419">
      <w:pPr>
        <w:spacing w:line="240" w:lineRule="auto"/>
        <w:ind w:left="720"/>
        <w:jc w:val="left"/>
      </w:pPr>
      <w:r w:rsidRPr="005B2005">
        <w:t>Mr. Farinas:</w:t>
      </w:r>
      <w:r w:rsidRPr="005B2005">
        <w:tab/>
        <w:t>Okay.  You believe that PGW should give you even option that – even ones that might be obvious?</w:t>
      </w:r>
    </w:p>
    <w:p w:rsidR="004E6DD6" w:rsidRPr="005B2005" w:rsidRDefault="004E6DD6" w:rsidP="00E13419">
      <w:pPr>
        <w:spacing w:line="240" w:lineRule="auto"/>
        <w:ind w:left="720"/>
        <w:jc w:val="left"/>
      </w:pPr>
    </w:p>
    <w:p w:rsidR="004E6DD6" w:rsidRPr="005B2005" w:rsidRDefault="004E6DD6" w:rsidP="00E13419">
      <w:pPr>
        <w:spacing w:line="240" w:lineRule="auto"/>
        <w:ind w:left="720"/>
        <w:jc w:val="left"/>
      </w:pPr>
      <w:r w:rsidRPr="005B2005">
        <w:t>Complainant:</w:t>
      </w:r>
      <w:r w:rsidRPr="005B2005">
        <w:tab/>
        <w:t>Well, since you're getting your bills from them, I would assume that, you know, if they had any knowledge on the situation, and they wanted to help people out, they could give them some ki</w:t>
      </w:r>
      <w:r w:rsidR="00C34224">
        <w:t>n</w:t>
      </w:r>
      <w:r w:rsidRPr="005B2005">
        <w:t>d of suggestions or guidelines what to do.</w:t>
      </w:r>
    </w:p>
    <w:p w:rsidR="004E6DD6" w:rsidRPr="005B2005" w:rsidRDefault="004E6DD6" w:rsidP="00E13419">
      <w:pPr>
        <w:spacing w:line="240" w:lineRule="auto"/>
        <w:ind w:left="720"/>
        <w:jc w:val="left"/>
      </w:pPr>
    </w:p>
    <w:p w:rsidR="004E6DD6" w:rsidRPr="005B2005" w:rsidRDefault="004E6DD6" w:rsidP="00E13419">
      <w:pPr>
        <w:spacing w:line="240" w:lineRule="auto"/>
        <w:ind w:left="720"/>
        <w:jc w:val="left"/>
      </w:pPr>
      <w:r w:rsidRPr="005B2005">
        <w:t>Mr. Farinas:</w:t>
      </w:r>
      <w:r w:rsidRPr="005B2005">
        <w:tab/>
        <w:t>When was the first time you told anybody at PGW that the place was empty?</w:t>
      </w:r>
    </w:p>
    <w:p w:rsidR="004E6DD6" w:rsidRPr="005B2005" w:rsidRDefault="004E6DD6" w:rsidP="00E13419">
      <w:pPr>
        <w:spacing w:line="240" w:lineRule="auto"/>
        <w:ind w:left="720"/>
        <w:jc w:val="left"/>
      </w:pPr>
    </w:p>
    <w:p w:rsidR="004E6DD6" w:rsidRPr="005B2005" w:rsidRDefault="004E6DD6" w:rsidP="00E13419">
      <w:pPr>
        <w:spacing w:line="240" w:lineRule="auto"/>
        <w:ind w:left="720"/>
        <w:jc w:val="left"/>
      </w:pPr>
      <w:r w:rsidRPr="005B2005">
        <w:t>Complainant:</w:t>
      </w:r>
      <w:r w:rsidRPr="005B2005">
        <w:tab/>
        <w:t>My first phone call.</w:t>
      </w:r>
    </w:p>
    <w:p w:rsidR="004E6DD6" w:rsidRPr="005B2005" w:rsidRDefault="004E6DD6" w:rsidP="00E13419">
      <w:pPr>
        <w:spacing w:line="240" w:lineRule="auto"/>
        <w:ind w:left="720"/>
        <w:jc w:val="left"/>
      </w:pPr>
    </w:p>
    <w:p w:rsidR="004E6DD6" w:rsidRPr="005B2005" w:rsidRDefault="004E6DD6" w:rsidP="00E13419">
      <w:pPr>
        <w:spacing w:line="240" w:lineRule="auto"/>
        <w:ind w:left="720"/>
        <w:jc w:val="left"/>
      </w:pPr>
      <w:r w:rsidRPr="005B2005">
        <w:t>Mr. Farinas:</w:t>
      </w:r>
      <w:r w:rsidRPr="005B2005">
        <w:tab/>
        <w:t>By that time, the bills had already been issued; correct?</w:t>
      </w:r>
    </w:p>
    <w:p w:rsidR="004E6DD6" w:rsidRPr="005B2005" w:rsidRDefault="004E6DD6" w:rsidP="00E13419">
      <w:pPr>
        <w:spacing w:line="240" w:lineRule="auto"/>
        <w:ind w:left="720"/>
        <w:jc w:val="left"/>
      </w:pPr>
    </w:p>
    <w:p w:rsidR="004E6DD6" w:rsidRPr="005B2005" w:rsidRDefault="004E6DD6" w:rsidP="00DB03FD">
      <w:pPr>
        <w:spacing w:line="240" w:lineRule="auto"/>
        <w:ind w:left="720"/>
        <w:jc w:val="left"/>
      </w:pPr>
      <w:r w:rsidRPr="005B2005">
        <w:t>Complainant:</w:t>
      </w:r>
      <w:r w:rsidRPr="005B2005">
        <w:tab/>
        <w:t>Correct.</w:t>
      </w:r>
    </w:p>
    <w:p w:rsidR="00DB03FD" w:rsidRDefault="00DB03FD" w:rsidP="00DB03FD">
      <w:pPr>
        <w:spacing w:line="240" w:lineRule="auto"/>
        <w:jc w:val="left"/>
      </w:pPr>
    </w:p>
    <w:p w:rsidR="004E6DD6" w:rsidRPr="005B2005" w:rsidRDefault="004E6DD6" w:rsidP="00DB03FD">
      <w:pPr>
        <w:spacing w:line="240" w:lineRule="auto"/>
        <w:jc w:val="left"/>
      </w:pPr>
      <w:r w:rsidRPr="005B2005">
        <w:t>Tr. 37-38.</w:t>
      </w:r>
    </w:p>
    <w:p w:rsidR="00E13419" w:rsidRPr="005B2005" w:rsidRDefault="00E13419" w:rsidP="00DB03FD">
      <w:pPr>
        <w:jc w:val="left"/>
      </w:pPr>
    </w:p>
    <w:p w:rsidR="000C0036" w:rsidRPr="005B2005" w:rsidRDefault="000C0036" w:rsidP="005D2717">
      <w:pPr>
        <w:jc w:val="left"/>
      </w:pPr>
      <w:r w:rsidRPr="005B2005">
        <w:tab/>
      </w:r>
      <w:r w:rsidRPr="005B2005">
        <w:tab/>
        <w:t>Complainant has not shown that PGW was responsible for providing information regarding the winterization of vacant housing</w:t>
      </w:r>
      <w:r w:rsidR="00E13419" w:rsidRPr="005B2005">
        <w:t xml:space="preserve"> in advance of the house's becoming vacant</w:t>
      </w:r>
      <w:r w:rsidRPr="005B2005">
        <w:t xml:space="preserve">, and there is no support for such a finding in the Public Utility Code or regulations of the Commission.  While </w:t>
      </w:r>
      <w:r w:rsidR="00047BAA" w:rsidRPr="005B2005">
        <w:t>“</w:t>
      </w:r>
      <w:r w:rsidR="00FB3824" w:rsidRPr="005B2005">
        <w:t>[</w:t>
      </w:r>
      <w:r w:rsidR="00047BAA" w:rsidRPr="005B2005">
        <w:t>E</w:t>
      </w:r>
      <w:r w:rsidR="00FB3824" w:rsidRPr="005B2005">
        <w:t>]</w:t>
      </w:r>
      <w:r w:rsidR="00047BAA" w:rsidRPr="005B2005">
        <w:t xml:space="preserve">very public utility shall furnish and maintain adequate, efficient, safe and reasonable service and facilities . . . as shall be necessary or proper for the accommodation, convenience, and safety of its patrons, employees and the </w:t>
      </w:r>
      <w:r w:rsidR="00842937" w:rsidRPr="005B2005">
        <w:t>public .</w:t>
      </w:r>
      <w:r w:rsidR="00047BAA" w:rsidRPr="005B2005">
        <w:t xml:space="preserve"> . . </w:t>
      </w:r>
      <w:r w:rsidRPr="005B2005">
        <w:t>,</w:t>
      </w:r>
      <w:r w:rsidR="00047BAA" w:rsidRPr="005B2005">
        <w:t>”  66 Pa. C.S. § 1501</w:t>
      </w:r>
      <w:r w:rsidRPr="005B2005">
        <w:t xml:space="preserve">, there is no reasonable expectation that the gas utility should </w:t>
      </w:r>
      <w:r w:rsidR="001C6A54" w:rsidRPr="005B2005">
        <w:t>volunteer</w:t>
      </w:r>
      <w:r w:rsidRPr="005B2005">
        <w:t xml:space="preserve"> information on how to drain pipes and turn off utilities when a house is vacant for an extended period of time</w:t>
      </w:r>
      <w:r w:rsidR="00047BAA" w:rsidRPr="005B2005">
        <w:t>.</w:t>
      </w:r>
      <w:r w:rsidRPr="005B2005">
        <w:t xml:space="preserve">  This goes well beyond the adequate, safe and reasonable service that Section 1501 anticipates.</w:t>
      </w:r>
    </w:p>
    <w:p w:rsidR="000C0036" w:rsidRPr="005B2005" w:rsidRDefault="000C0036" w:rsidP="005D2717">
      <w:pPr>
        <w:jc w:val="left"/>
      </w:pPr>
    </w:p>
    <w:p w:rsidR="000C0036" w:rsidRPr="005B2005" w:rsidRDefault="000C0036" w:rsidP="005D2717">
      <w:pPr>
        <w:jc w:val="left"/>
      </w:pPr>
      <w:r w:rsidRPr="005B2005">
        <w:tab/>
      </w:r>
      <w:r w:rsidRPr="005B2005">
        <w:tab/>
        <w:t>Even so, PGW does provide literature regarding the weatherization of houses in order to reduce consumption in homes where gas service is utilized.  Complainant had refused it at an earlier date but agreed to have PGW send it to her after the hearing.  The Company had agreed to do so.</w:t>
      </w:r>
    </w:p>
    <w:p w:rsidR="000C0036" w:rsidRPr="005B2005" w:rsidRDefault="000C0036" w:rsidP="005D2717">
      <w:pPr>
        <w:jc w:val="left"/>
      </w:pPr>
    </w:p>
    <w:p w:rsidR="00EA1D77" w:rsidRPr="005B2005" w:rsidRDefault="000C0036" w:rsidP="005D2717">
      <w:pPr>
        <w:jc w:val="left"/>
      </w:pPr>
      <w:r w:rsidRPr="005B2005">
        <w:tab/>
      </w:r>
      <w:r w:rsidRPr="005B2005">
        <w:tab/>
        <w:t xml:space="preserve">The three bills in question occurred in the coldest months of the winter, and </w:t>
      </w:r>
      <w:r w:rsidR="00AB16FA" w:rsidRPr="005B2005">
        <w:t>the expectation is that the bills for gas heating would be highest during those months.  Complainant has not provided evidence to support a finding that the bills were higher than they should be.</w:t>
      </w:r>
    </w:p>
    <w:p w:rsidR="00047BAA" w:rsidRPr="005B2005" w:rsidRDefault="00047BAA" w:rsidP="005D2717">
      <w:pPr>
        <w:jc w:val="left"/>
      </w:pPr>
    </w:p>
    <w:p w:rsidR="00203F21" w:rsidRPr="005B2005" w:rsidRDefault="00AB16FA" w:rsidP="00662642">
      <w:pPr>
        <w:jc w:val="left"/>
      </w:pPr>
      <w:r w:rsidRPr="005B2005">
        <w:tab/>
      </w:r>
      <w:r w:rsidRPr="005B2005">
        <w:tab/>
      </w:r>
      <w:r w:rsidR="00E13419" w:rsidRPr="005B2005">
        <w:t xml:space="preserve">Regarding the second count, </w:t>
      </w:r>
      <w:r w:rsidR="00662642" w:rsidRPr="005B2005">
        <w:t xml:space="preserve">PGW admits that it erred in sending the </w:t>
      </w:r>
      <w:r w:rsidR="00FB3824" w:rsidRPr="005B2005">
        <w:t xml:space="preserve">form to request a meter check </w:t>
      </w:r>
      <w:r w:rsidR="00662642" w:rsidRPr="005B2005">
        <w:t xml:space="preserve">to the wrong address, and the PGW witness apologized at the hearing.  </w:t>
      </w:r>
    </w:p>
    <w:p w:rsidR="00662642" w:rsidRPr="005B2005" w:rsidRDefault="00662642" w:rsidP="00662642">
      <w:pPr>
        <w:jc w:val="left"/>
      </w:pPr>
      <w:r w:rsidRPr="005B2005">
        <w:t>Tr. 43, 50.</w:t>
      </w:r>
      <w:r w:rsidR="00AB16FA" w:rsidRPr="005B2005">
        <w:t xml:space="preserve">  Complainant was frustrated at the delay in ordering a meter check because she did not get the appropriate form to use, and asks that the Commission order training for the PGW employees.  Apparently, her inquiries were met with PGW's assertions that the form had been sent.</w:t>
      </w:r>
    </w:p>
    <w:p w:rsidR="00AB16FA" w:rsidRPr="005B2005" w:rsidRDefault="00AB16FA" w:rsidP="00662642">
      <w:pPr>
        <w:jc w:val="left"/>
      </w:pPr>
    </w:p>
    <w:p w:rsidR="00AB16FA" w:rsidRPr="005B2005" w:rsidRDefault="00AB16FA" w:rsidP="00662642">
      <w:pPr>
        <w:jc w:val="left"/>
      </w:pPr>
      <w:r w:rsidRPr="005B2005">
        <w:tab/>
      </w:r>
      <w:r w:rsidRPr="005B2005">
        <w:tab/>
        <w:t>The form had been sent, but it had been sent to the wrong address.  The PGW employee fielding the</w:t>
      </w:r>
      <w:r w:rsidR="001C6A54" w:rsidRPr="005B2005">
        <w:t xml:space="preserve"> subsequent</w:t>
      </w:r>
      <w:r w:rsidRPr="005B2005">
        <w:t xml:space="preserve"> inquiry failed to notice that, and additional delays ensued.  PGW is admonished to train its customer service representatives</w:t>
      </w:r>
      <w:r w:rsidR="00E13419" w:rsidRPr="005B2005">
        <w:t xml:space="preserve"> to</w:t>
      </w:r>
      <w:r w:rsidRPr="005B2005">
        <w:t xml:space="preserve"> pay more attention to detail when responding to inquiries.  </w:t>
      </w:r>
      <w:r w:rsidR="00E13419" w:rsidRPr="005B2005">
        <w:t xml:space="preserve">However, </w:t>
      </w:r>
      <w:r w:rsidRPr="005B2005">
        <w:t>PGW has admitted its error and apologized on the record.  The meter check has since been performed, and the meter was accurate.  Accordingly, there is no irreversible harm done in this instance.</w:t>
      </w:r>
    </w:p>
    <w:p w:rsidR="00E13419" w:rsidRPr="005B2005" w:rsidRDefault="00E13419" w:rsidP="00662642">
      <w:pPr>
        <w:jc w:val="left"/>
      </w:pPr>
    </w:p>
    <w:p w:rsidR="00E13419" w:rsidRPr="005B2005" w:rsidRDefault="00E13419" w:rsidP="00662642">
      <w:pPr>
        <w:jc w:val="left"/>
      </w:pPr>
      <w:r w:rsidRPr="005B2005">
        <w:tab/>
      </w:r>
      <w:r w:rsidRPr="005B2005">
        <w:tab/>
        <w:t>Where a party complained against has satisfied the complaint, the Commission shall dismiss the complaint.  66 Pa. C.S. § 703(a).</w:t>
      </w:r>
    </w:p>
    <w:p w:rsidR="001C6A54" w:rsidRPr="005B2005" w:rsidRDefault="001C6A54" w:rsidP="00662642">
      <w:pPr>
        <w:jc w:val="left"/>
      </w:pPr>
    </w:p>
    <w:p w:rsidR="001C6A54" w:rsidRPr="005B2005" w:rsidRDefault="001C6A54" w:rsidP="00662642">
      <w:pPr>
        <w:jc w:val="left"/>
      </w:pPr>
      <w:r w:rsidRPr="005B2005">
        <w:tab/>
      </w:r>
      <w:r w:rsidRPr="005B2005">
        <w:tab/>
        <w:t>Accordingly, the first count alleging billing that is too high for a vacant house in the months of December 2011, January and February 2012, is dismissed; and the second count alleging that the PGW representatives failed to provide adequate service is dismissed.</w:t>
      </w:r>
    </w:p>
    <w:p w:rsidR="001C6A54" w:rsidRPr="005B2005" w:rsidRDefault="001C6A54" w:rsidP="00662642">
      <w:pPr>
        <w:jc w:val="left"/>
      </w:pPr>
    </w:p>
    <w:p w:rsidR="00CB02A6" w:rsidRDefault="00CB02A6" w:rsidP="001C6A54">
      <w:pPr>
        <w:rPr>
          <w:u w:val="single"/>
        </w:rPr>
      </w:pPr>
      <w:r>
        <w:rPr>
          <w:u w:val="single"/>
        </w:rPr>
        <w:br w:type="page"/>
      </w:r>
    </w:p>
    <w:p w:rsidR="001C6A54" w:rsidRPr="005B2005" w:rsidRDefault="001C6A54" w:rsidP="001C6A54">
      <w:pPr>
        <w:rPr>
          <w:u w:val="single"/>
        </w:rPr>
      </w:pPr>
      <w:r w:rsidRPr="005B2005">
        <w:rPr>
          <w:u w:val="single"/>
        </w:rPr>
        <w:t>CONCLUSIONS OF LAW</w:t>
      </w:r>
    </w:p>
    <w:p w:rsidR="001C6A54" w:rsidRPr="005B2005" w:rsidRDefault="001C6A54" w:rsidP="001C6A54">
      <w:pPr>
        <w:rPr>
          <w:u w:val="single"/>
        </w:rPr>
      </w:pPr>
    </w:p>
    <w:p w:rsidR="001C6A54" w:rsidRPr="005B2005" w:rsidRDefault="001C6A54" w:rsidP="001C6A54">
      <w:pPr>
        <w:ind w:firstLine="1440"/>
        <w:jc w:val="left"/>
        <w:rPr>
          <w:spacing w:val="-3"/>
        </w:rPr>
      </w:pPr>
      <w:r w:rsidRPr="005B2005">
        <w:t>1.</w:t>
      </w:r>
      <w:r w:rsidRPr="005B2005">
        <w:tab/>
        <w:t>The C</w:t>
      </w:r>
      <w:r w:rsidRPr="005B2005">
        <w:rPr>
          <w:spacing w:val="-3"/>
        </w:rPr>
        <w:t xml:space="preserve">omplainant carries the burden of showing that the utility is responsible or accountable for the problem described in the Complaint in order to prevail.  </w:t>
      </w:r>
      <w:r w:rsidRPr="005B2005">
        <w:rPr>
          <w:i/>
          <w:spacing w:val="-3"/>
        </w:rPr>
        <w:t>Patterson v. Bell Telephone Company of Pennsylvania</w:t>
      </w:r>
      <w:r w:rsidRPr="005B2005">
        <w:rPr>
          <w:spacing w:val="-3"/>
        </w:rPr>
        <w:t xml:space="preserve">, 72 Pa. PUC 196 (1990); </w:t>
      </w:r>
      <w:r w:rsidRPr="005B2005">
        <w:rPr>
          <w:i/>
          <w:spacing w:val="-3"/>
        </w:rPr>
        <w:t>Feinstein v. Philadelphia Suburban Water Company</w:t>
      </w:r>
      <w:r w:rsidRPr="005B2005">
        <w:rPr>
          <w:spacing w:val="-3"/>
        </w:rPr>
        <w:t xml:space="preserve">, 50 Pa. PUC 300 (1976).  This must be shown by a preponderance of the evidence.  </w:t>
      </w:r>
      <w:r w:rsidRPr="005B2005">
        <w:rPr>
          <w:i/>
          <w:spacing w:val="-3"/>
        </w:rPr>
        <w:t>Samuel J. Lansberry, Inc. v. PA Public Utility Comm’n</w:t>
      </w:r>
      <w:r w:rsidRPr="005B2005">
        <w:rPr>
          <w:spacing w:val="-3"/>
        </w:rPr>
        <w:t xml:space="preserve">, 578 A.2d 600 (Pa. Cmwlth.1990), </w:t>
      </w:r>
      <w:r w:rsidRPr="005B2005">
        <w:rPr>
          <w:i/>
          <w:spacing w:val="-3"/>
        </w:rPr>
        <w:t>alloc. den.</w:t>
      </w:r>
      <w:r w:rsidRPr="005B2005">
        <w:rPr>
          <w:spacing w:val="-3"/>
        </w:rPr>
        <w:t xml:space="preserve">, 529 A.2d 654, 602 A.2d 863 (1992).  That is, by presenting evidence more convincing, by even the smallest amount, than that presented by the other party.  </w:t>
      </w:r>
      <w:r w:rsidRPr="005B2005">
        <w:rPr>
          <w:i/>
          <w:spacing w:val="-3"/>
        </w:rPr>
        <w:t>Se-Ling Hosiery v. Margulies</w:t>
      </w:r>
      <w:r w:rsidRPr="005B2005">
        <w:rPr>
          <w:spacing w:val="-3"/>
        </w:rPr>
        <w:t>, 364 Pa. 45, 70 A.2d 854 (1950).</w:t>
      </w:r>
    </w:p>
    <w:p w:rsidR="001C6A54" w:rsidRPr="005B2005" w:rsidRDefault="001C6A54" w:rsidP="001C6A54">
      <w:pPr>
        <w:ind w:firstLine="1440"/>
        <w:jc w:val="left"/>
        <w:rPr>
          <w:spacing w:val="-3"/>
        </w:rPr>
      </w:pPr>
    </w:p>
    <w:p w:rsidR="001C6A54" w:rsidRPr="005B2005" w:rsidRDefault="001C6A54" w:rsidP="001C6A54">
      <w:pPr>
        <w:ind w:firstLine="1440"/>
        <w:jc w:val="left"/>
        <w:rPr>
          <w:spacing w:val="-3"/>
        </w:rPr>
      </w:pPr>
      <w:r w:rsidRPr="005B2005">
        <w:rPr>
          <w:spacing w:val="-3"/>
        </w:rPr>
        <w:t>2.</w:t>
      </w:r>
      <w:r w:rsidRPr="005B2005">
        <w:rPr>
          <w:spacing w:val="-3"/>
        </w:rPr>
        <w:tab/>
        <w:t xml:space="preserve">Additionally, any finding of fact necessary to support the Commission’s adjudication must be based upon substantial evidence.  </w:t>
      </w:r>
      <w:r w:rsidRPr="005B2005">
        <w:rPr>
          <w:i/>
          <w:spacing w:val="-3"/>
        </w:rPr>
        <w:t>Mill v. Comm’w., PA Public Utility Comm’n</w:t>
      </w:r>
      <w:r w:rsidRPr="005B2005">
        <w:rPr>
          <w:spacing w:val="-3"/>
        </w:rPr>
        <w:t xml:space="preserve">, 447 A.2d 1100 (Pa. Cmwlth.1982); </w:t>
      </w:r>
      <w:r w:rsidRPr="005B2005">
        <w:rPr>
          <w:i/>
          <w:spacing w:val="-3"/>
        </w:rPr>
        <w:t>Edan Transportation Corp. v. PA Public Utility Comm’n,</w:t>
      </w:r>
      <w:r w:rsidRPr="005B2005">
        <w:rPr>
          <w:spacing w:val="-3"/>
        </w:rPr>
        <w:t xml:space="preserve"> 623 A.2d 6 (Pa. Cmwlth.1993), 2 Pa.C.S. §704.  More is required than a mere trace of evidence or a suspicion of the existence of a fact sought to be established.  </w:t>
      </w:r>
      <w:r w:rsidRPr="005B2005">
        <w:rPr>
          <w:i/>
          <w:spacing w:val="-3"/>
        </w:rPr>
        <w:t>Norfolk and Western Ry. v. PA Public Utility Comm’n</w:t>
      </w:r>
      <w:r w:rsidRPr="005B2005">
        <w:rPr>
          <w:spacing w:val="-3"/>
        </w:rPr>
        <w:t xml:space="preserve">, 489 Pa. 109, 413 A.2d 1037 (1980); </w:t>
      </w:r>
      <w:r w:rsidRPr="005B2005">
        <w:rPr>
          <w:i/>
          <w:spacing w:val="-3"/>
        </w:rPr>
        <w:t>Erie Resistor Corp. v. Unemployment Compensation Bd. of Review</w:t>
      </w:r>
      <w:r w:rsidRPr="005B2005">
        <w:rPr>
          <w:spacing w:val="-3"/>
        </w:rPr>
        <w:t xml:space="preserve">, 166 A.2d 96 (Pa. Super.1960); </w:t>
      </w:r>
      <w:r w:rsidRPr="005B2005">
        <w:rPr>
          <w:i/>
          <w:spacing w:val="-3"/>
        </w:rPr>
        <w:t>Murphy v. Commonwealth, Dep’t. of Public Welfare, White Haven Center</w:t>
      </w:r>
      <w:r w:rsidRPr="005B2005">
        <w:rPr>
          <w:spacing w:val="-3"/>
        </w:rPr>
        <w:t>, 480 A.2d 382 (Pa. Cmwlth.1984).</w:t>
      </w:r>
    </w:p>
    <w:p w:rsidR="001C6A54" w:rsidRPr="005B2005" w:rsidRDefault="001C6A54" w:rsidP="001C6A54">
      <w:pPr>
        <w:ind w:firstLine="1440"/>
        <w:jc w:val="left"/>
        <w:rPr>
          <w:spacing w:val="-3"/>
        </w:rPr>
      </w:pPr>
    </w:p>
    <w:p w:rsidR="001C6A54" w:rsidRPr="005B2005" w:rsidRDefault="001C6A54" w:rsidP="001C6A54">
      <w:pPr>
        <w:jc w:val="left"/>
      </w:pPr>
      <w:r w:rsidRPr="005B2005">
        <w:tab/>
      </w:r>
      <w:r w:rsidRPr="005B2005">
        <w:tab/>
        <w:t>3.</w:t>
      </w:r>
      <w:r w:rsidRPr="005B2005">
        <w:tab/>
        <w:t>The offense must be a violation of the Public Utility Code, the Commission’s regulations, or an outstanding order of the Commission.  66 Pa. C.S. § 701.</w:t>
      </w:r>
    </w:p>
    <w:p w:rsidR="001C6A54" w:rsidRPr="005B2005" w:rsidRDefault="001C6A54" w:rsidP="001C6A54"/>
    <w:p w:rsidR="00662642" w:rsidRPr="005B2005" w:rsidRDefault="001C6A54" w:rsidP="001C6A54">
      <w:pPr>
        <w:jc w:val="left"/>
        <w:rPr>
          <w:u w:val="single"/>
        </w:rPr>
      </w:pPr>
      <w:r w:rsidRPr="005B2005">
        <w:tab/>
      </w:r>
      <w:r w:rsidRPr="005B2005">
        <w:tab/>
        <w:t>4.</w:t>
      </w:r>
      <w:r w:rsidRPr="005B2005">
        <w:tab/>
        <w:t xml:space="preserve">A high billing complaint usually entails an analysis based on </w:t>
      </w:r>
      <w:r w:rsidRPr="005B2005">
        <w:rPr>
          <w:i/>
        </w:rPr>
        <w:t>Waldron v. Philadelphia Electric Company,</w:t>
      </w:r>
      <w:r w:rsidRPr="005B2005">
        <w:t xml:space="preserve"> 54 Pa. P.U.C. 98 (1980), which provides that a meter check can be overcome with evidence showing no change in the number of occupants in a household, no change in utility use, and a billing history without abnormalities</w:t>
      </w:r>
    </w:p>
    <w:p w:rsidR="00662642" w:rsidRPr="005B2005" w:rsidRDefault="00662642" w:rsidP="005D2717">
      <w:pPr>
        <w:jc w:val="left"/>
      </w:pPr>
    </w:p>
    <w:p w:rsidR="001C6A54" w:rsidRPr="005B2005" w:rsidRDefault="001C6A54" w:rsidP="005D2717">
      <w:pPr>
        <w:jc w:val="left"/>
      </w:pPr>
      <w:r w:rsidRPr="005B2005">
        <w:tab/>
      </w:r>
      <w:r w:rsidRPr="005B2005">
        <w:tab/>
        <w:t>5.</w:t>
      </w:r>
      <w:r w:rsidRPr="005B2005">
        <w:tab/>
        <w:t xml:space="preserve">Every public utility shall furnish and maintain adequate, efficient, safe and reasonable service and facilities as shall be necessary or proper for the accommodation, convenience, and safety of its patrons, employees and the public. </w:t>
      </w:r>
      <w:r w:rsidR="00D27964">
        <w:t xml:space="preserve"> </w:t>
      </w:r>
      <w:r w:rsidRPr="005B2005">
        <w:t>66 Pa. C.S. § 1501.</w:t>
      </w:r>
    </w:p>
    <w:p w:rsidR="001C6A54" w:rsidRPr="005B2005" w:rsidRDefault="001C6A54" w:rsidP="001C6A54">
      <w:pPr>
        <w:jc w:val="left"/>
      </w:pPr>
      <w:r w:rsidRPr="005B2005">
        <w:tab/>
      </w:r>
      <w:r w:rsidRPr="005B2005">
        <w:tab/>
        <w:t>6.</w:t>
      </w:r>
      <w:r w:rsidRPr="005B2005">
        <w:tab/>
        <w:t>Where a party complained against has satisfied the complaint, the Commission shall dismiss the complaint.  66 Pa. C.S. § 703(a).</w:t>
      </w:r>
    </w:p>
    <w:p w:rsidR="001C6A54" w:rsidRPr="005B2005" w:rsidRDefault="001C6A54" w:rsidP="005D2717">
      <w:pPr>
        <w:jc w:val="left"/>
      </w:pPr>
    </w:p>
    <w:p w:rsidR="001C6A54" w:rsidRPr="005B2005" w:rsidRDefault="001C6A54" w:rsidP="005D2717">
      <w:pPr>
        <w:jc w:val="left"/>
      </w:pPr>
      <w:r w:rsidRPr="005B2005">
        <w:tab/>
      </w:r>
      <w:r w:rsidRPr="005B2005">
        <w:tab/>
        <w:t>7.</w:t>
      </w:r>
      <w:r w:rsidRPr="005B2005">
        <w:tab/>
        <w:t>Complainant has failed to sustain her burden of proving that the bills in question were too high or that the Company representatives were unresponsive.</w:t>
      </w:r>
    </w:p>
    <w:p w:rsidR="001C6A54" w:rsidRDefault="001C6A54" w:rsidP="005D2717">
      <w:pPr>
        <w:jc w:val="left"/>
      </w:pPr>
    </w:p>
    <w:p w:rsidR="00DB03FD" w:rsidRPr="005B2005" w:rsidRDefault="00DB03FD" w:rsidP="00DB03FD">
      <w:pPr>
        <w:tabs>
          <w:tab w:val="left" w:pos="720"/>
          <w:tab w:val="left" w:pos="5040"/>
          <w:tab w:val="left" w:pos="5760"/>
          <w:tab w:val="left" w:pos="9180"/>
        </w:tabs>
        <w:jc w:val="left"/>
      </w:pPr>
    </w:p>
    <w:p w:rsidR="001C6A54" w:rsidRPr="005B2005" w:rsidRDefault="001C6A54" w:rsidP="001C6A54">
      <w:pPr>
        <w:rPr>
          <w:b/>
          <w:u w:val="single"/>
        </w:rPr>
      </w:pPr>
      <w:r w:rsidRPr="005B2005">
        <w:rPr>
          <w:b/>
          <w:u w:val="single"/>
        </w:rPr>
        <w:t>ORDER</w:t>
      </w:r>
    </w:p>
    <w:p w:rsidR="001C6A54" w:rsidRDefault="001C6A54" w:rsidP="001C6A54">
      <w:pPr>
        <w:rPr>
          <w:b/>
          <w:u w:val="single"/>
        </w:rPr>
      </w:pPr>
    </w:p>
    <w:p w:rsidR="002A1D91" w:rsidRDefault="002A1D91" w:rsidP="001C6A54">
      <w:pPr>
        <w:jc w:val="left"/>
      </w:pPr>
    </w:p>
    <w:p w:rsidR="001C6A54" w:rsidRPr="005B2005" w:rsidRDefault="001C6A54" w:rsidP="001C6A54">
      <w:pPr>
        <w:jc w:val="left"/>
      </w:pPr>
      <w:bookmarkStart w:id="0" w:name="_GoBack"/>
      <w:bookmarkEnd w:id="0"/>
      <w:r w:rsidRPr="005B2005">
        <w:tab/>
      </w:r>
      <w:r w:rsidRPr="005B2005">
        <w:tab/>
        <w:t>THEREFORE,</w:t>
      </w:r>
    </w:p>
    <w:p w:rsidR="001C6A54" w:rsidRPr="005B2005" w:rsidRDefault="001C6A54" w:rsidP="001C6A54">
      <w:pPr>
        <w:jc w:val="left"/>
      </w:pPr>
    </w:p>
    <w:p w:rsidR="001C6A54" w:rsidRPr="005B2005" w:rsidRDefault="001C6A54" w:rsidP="001C6A54">
      <w:pPr>
        <w:jc w:val="left"/>
      </w:pPr>
      <w:r w:rsidRPr="005B2005">
        <w:tab/>
      </w:r>
      <w:r w:rsidRPr="005B2005">
        <w:tab/>
        <w:t>IT IS ORDERED:</w:t>
      </w:r>
    </w:p>
    <w:p w:rsidR="001C6A54" w:rsidRPr="005B2005" w:rsidRDefault="001C6A54" w:rsidP="001C6A54">
      <w:pPr>
        <w:jc w:val="left"/>
      </w:pPr>
    </w:p>
    <w:p w:rsidR="001C6A54" w:rsidRPr="005B2005" w:rsidRDefault="001C6A54" w:rsidP="001C6A54">
      <w:pPr>
        <w:jc w:val="left"/>
      </w:pPr>
      <w:r w:rsidRPr="005B2005">
        <w:tab/>
      </w:r>
      <w:r w:rsidRPr="005B2005">
        <w:tab/>
        <w:t>1.</w:t>
      </w:r>
      <w:r w:rsidRPr="005B2005">
        <w:tab/>
        <w:t>That the Complaint filed by Ann Angelo against Philadelphia Gas Works at Docket No. F-2012-2324101, is dismissed.</w:t>
      </w:r>
    </w:p>
    <w:p w:rsidR="001C6A54" w:rsidRPr="005B2005" w:rsidRDefault="001C6A54" w:rsidP="001C6A54">
      <w:pPr>
        <w:jc w:val="left"/>
      </w:pPr>
    </w:p>
    <w:p w:rsidR="001C6A54" w:rsidRPr="005B2005" w:rsidRDefault="001C6A54" w:rsidP="001C6A54">
      <w:pPr>
        <w:jc w:val="left"/>
      </w:pPr>
      <w:r w:rsidRPr="005B2005">
        <w:tab/>
      </w:r>
      <w:r w:rsidRPr="005B2005">
        <w:tab/>
        <w:t>2.</w:t>
      </w:r>
      <w:r w:rsidRPr="005B2005">
        <w:tab/>
        <w:t>That the Secretary mark this docket closed.</w:t>
      </w:r>
    </w:p>
    <w:p w:rsidR="001C6A54" w:rsidRPr="005B2005" w:rsidRDefault="001C6A54" w:rsidP="001C6A54">
      <w:pPr>
        <w:jc w:val="left"/>
      </w:pPr>
    </w:p>
    <w:p w:rsidR="001C6A54" w:rsidRPr="005B2005" w:rsidRDefault="001C6A54" w:rsidP="001C6A54">
      <w:pPr>
        <w:jc w:val="left"/>
      </w:pPr>
    </w:p>
    <w:p w:rsidR="001C6A54" w:rsidRPr="005B2005" w:rsidRDefault="001C6A54" w:rsidP="00DB03FD">
      <w:pPr>
        <w:tabs>
          <w:tab w:val="left" w:pos="900"/>
          <w:tab w:val="left" w:pos="5040"/>
          <w:tab w:val="left" w:pos="5760"/>
          <w:tab w:val="left" w:pos="9180"/>
        </w:tabs>
        <w:spacing w:line="240" w:lineRule="auto"/>
        <w:jc w:val="left"/>
      </w:pPr>
      <w:r w:rsidRPr="005B2005">
        <w:t>Dated:</w:t>
      </w:r>
      <w:r w:rsidRPr="005B2005">
        <w:tab/>
      </w:r>
      <w:r w:rsidRPr="005B2005">
        <w:rPr>
          <w:u w:val="single"/>
        </w:rPr>
        <w:t>April 24, 2013</w:t>
      </w:r>
      <w:r w:rsidR="00DB03FD">
        <w:tab/>
      </w:r>
      <w:r w:rsidRPr="005B2005">
        <w:rPr>
          <w:u w:val="single"/>
        </w:rPr>
        <w:tab/>
      </w:r>
      <w:r w:rsidR="00DB03FD">
        <w:rPr>
          <w:u w:val="single"/>
        </w:rPr>
        <w:t>/s/</w:t>
      </w:r>
      <w:r w:rsidR="00DB03FD">
        <w:rPr>
          <w:u w:val="single"/>
        </w:rPr>
        <w:tab/>
      </w:r>
      <w:r w:rsidRPr="005B2005">
        <w:tab/>
      </w:r>
    </w:p>
    <w:p w:rsidR="001C6A54" w:rsidRPr="005B2005" w:rsidRDefault="001C6A54" w:rsidP="001C6A54">
      <w:pPr>
        <w:spacing w:line="240" w:lineRule="auto"/>
        <w:jc w:val="left"/>
      </w:pPr>
      <w:r w:rsidRPr="005B2005">
        <w:tab/>
      </w:r>
      <w:r w:rsidRPr="005B2005">
        <w:tab/>
      </w:r>
      <w:r w:rsidRPr="005B2005">
        <w:tab/>
      </w:r>
      <w:r w:rsidRPr="005B2005">
        <w:tab/>
      </w:r>
      <w:r w:rsidRPr="005B2005">
        <w:tab/>
      </w:r>
      <w:r w:rsidRPr="005B2005">
        <w:tab/>
      </w:r>
      <w:r w:rsidRPr="005B2005">
        <w:tab/>
        <w:t>Susan D. Colwell</w:t>
      </w:r>
    </w:p>
    <w:p w:rsidR="001C6A54" w:rsidRPr="005B2005" w:rsidRDefault="001C6A54" w:rsidP="001C6A54">
      <w:pPr>
        <w:spacing w:line="240" w:lineRule="auto"/>
        <w:jc w:val="left"/>
        <w:rPr>
          <w:u w:val="single"/>
        </w:rPr>
      </w:pPr>
      <w:r w:rsidRPr="005B2005">
        <w:tab/>
      </w:r>
      <w:r w:rsidRPr="005B2005">
        <w:tab/>
      </w:r>
      <w:r w:rsidRPr="005B2005">
        <w:tab/>
      </w:r>
      <w:r w:rsidRPr="005B2005">
        <w:tab/>
      </w:r>
      <w:r w:rsidRPr="005B2005">
        <w:tab/>
      </w:r>
      <w:r w:rsidRPr="005B2005">
        <w:tab/>
      </w:r>
      <w:r w:rsidRPr="005B2005">
        <w:tab/>
        <w:t>Administrative Law Judge</w:t>
      </w:r>
    </w:p>
    <w:p w:rsidR="001C6A54" w:rsidRPr="005B2005" w:rsidRDefault="001C6A54" w:rsidP="005D2717">
      <w:pPr>
        <w:jc w:val="left"/>
      </w:pPr>
    </w:p>
    <w:sectPr w:rsidR="001C6A54" w:rsidRPr="005B2005" w:rsidSect="001C6A54">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100" w:rsidRDefault="003A3100" w:rsidP="00957C24">
      <w:pPr>
        <w:spacing w:line="240" w:lineRule="auto"/>
      </w:pPr>
      <w:r>
        <w:separator/>
      </w:r>
    </w:p>
  </w:endnote>
  <w:endnote w:type="continuationSeparator" w:id="0">
    <w:p w:rsidR="003A3100" w:rsidRDefault="003A3100" w:rsidP="00957C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8124777"/>
      <w:docPartObj>
        <w:docPartGallery w:val="Page Numbers (Bottom of Page)"/>
        <w:docPartUnique/>
      </w:docPartObj>
    </w:sdtPr>
    <w:sdtEndPr>
      <w:rPr>
        <w:noProof/>
        <w:sz w:val="20"/>
        <w:szCs w:val="20"/>
      </w:rPr>
    </w:sdtEndPr>
    <w:sdtContent>
      <w:p w:rsidR="001C6A54" w:rsidRPr="00F97246" w:rsidRDefault="001C6A54" w:rsidP="00F97246">
        <w:pPr>
          <w:pStyle w:val="Footer"/>
          <w:rPr>
            <w:sz w:val="20"/>
            <w:szCs w:val="20"/>
          </w:rPr>
        </w:pPr>
        <w:r w:rsidRPr="00F97246">
          <w:rPr>
            <w:sz w:val="20"/>
            <w:szCs w:val="20"/>
          </w:rPr>
          <w:fldChar w:fldCharType="begin"/>
        </w:r>
        <w:r w:rsidRPr="00F97246">
          <w:rPr>
            <w:sz w:val="20"/>
            <w:szCs w:val="20"/>
          </w:rPr>
          <w:instrText xml:space="preserve"> PAGE   \* MERGEFORMAT </w:instrText>
        </w:r>
        <w:r w:rsidRPr="00F97246">
          <w:rPr>
            <w:sz w:val="20"/>
            <w:szCs w:val="20"/>
          </w:rPr>
          <w:fldChar w:fldCharType="separate"/>
        </w:r>
        <w:r w:rsidR="002A1D91">
          <w:rPr>
            <w:noProof/>
            <w:sz w:val="20"/>
            <w:szCs w:val="20"/>
          </w:rPr>
          <w:t>10</w:t>
        </w:r>
        <w:r w:rsidRPr="00F97246">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100" w:rsidRDefault="003A3100" w:rsidP="00957C24">
      <w:pPr>
        <w:spacing w:line="240" w:lineRule="auto"/>
      </w:pPr>
      <w:r>
        <w:separator/>
      </w:r>
    </w:p>
  </w:footnote>
  <w:footnote w:type="continuationSeparator" w:id="0">
    <w:p w:rsidR="003A3100" w:rsidRDefault="003A3100" w:rsidP="00957C2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96B"/>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47BAA"/>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036"/>
    <w:rsid w:val="000C0311"/>
    <w:rsid w:val="000C2696"/>
    <w:rsid w:val="000C2A2B"/>
    <w:rsid w:val="000C34F3"/>
    <w:rsid w:val="000C4163"/>
    <w:rsid w:val="000C5976"/>
    <w:rsid w:val="000C6B6E"/>
    <w:rsid w:val="000C6D91"/>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376A5"/>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C6A54"/>
    <w:rsid w:val="001D05DB"/>
    <w:rsid w:val="001D0876"/>
    <w:rsid w:val="001D0F91"/>
    <w:rsid w:val="001D1F1B"/>
    <w:rsid w:val="001D28C4"/>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39"/>
    <w:rsid w:val="001F74FC"/>
    <w:rsid w:val="001F77B2"/>
    <w:rsid w:val="002004A8"/>
    <w:rsid w:val="002019B1"/>
    <w:rsid w:val="00201E65"/>
    <w:rsid w:val="00203F21"/>
    <w:rsid w:val="00205C33"/>
    <w:rsid w:val="0021162B"/>
    <w:rsid w:val="002117CF"/>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1D91"/>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1ED1"/>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3100"/>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3F58F9"/>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E6DD6"/>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3334"/>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2005"/>
    <w:rsid w:val="005B3D45"/>
    <w:rsid w:val="005B78C4"/>
    <w:rsid w:val="005C373B"/>
    <w:rsid w:val="005C3DD2"/>
    <w:rsid w:val="005C4AAA"/>
    <w:rsid w:val="005C610A"/>
    <w:rsid w:val="005D1442"/>
    <w:rsid w:val="005D1922"/>
    <w:rsid w:val="005D2717"/>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4460"/>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642"/>
    <w:rsid w:val="00662904"/>
    <w:rsid w:val="00664A57"/>
    <w:rsid w:val="00664C73"/>
    <w:rsid w:val="00671815"/>
    <w:rsid w:val="00671999"/>
    <w:rsid w:val="006764EA"/>
    <w:rsid w:val="00677DDE"/>
    <w:rsid w:val="00680B65"/>
    <w:rsid w:val="00681287"/>
    <w:rsid w:val="006815A6"/>
    <w:rsid w:val="00681B99"/>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066"/>
    <w:rsid w:val="007E5866"/>
    <w:rsid w:val="007F07AF"/>
    <w:rsid w:val="007F2A44"/>
    <w:rsid w:val="007F6E2B"/>
    <w:rsid w:val="007F75C8"/>
    <w:rsid w:val="007F7699"/>
    <w:rsid w:val="007F773D"/>
    <w:rsid w:val="008003C8"/>
    <w:rsid w:val="00802118"/>
    <w:rsid w:val="00804065"/>
    <w:rsid w:val="008047DD"/>
    <w:rsid w:val="0080611B"/>
    <w:rsid w:val="00806213"/>
    <w:rsid w:val="008121D7"/>
    <w:rsid w:val="00812B80"/>
    <w:rsid w:val="00815F50"/>
    <w:rsid w:val="008168A2"/>
    <w:rsid w:val="00820421"/>
    <w:rsid w:val="008213E7"/>
    <w:rsid w:val="00821687"/>
    <w:rsid w:val="0082217D"/>
    <w:rsid w:val="00822A40"/>
    <w:rsid w:val="008236C7"/>
    <w:rsid w:val="00823E67"/>
    <w:rsid w:val="00824B07"/>
    <w:rsid w:val="00826045"/>
    <w:rsid w:val="008307DB"/>
    <w:rsid w:val="00830A48"/>
    <w:rsid w:val="00832464"/>
    <w:rsid w:val="00833331"/>
    <w:rsid w:val="00833C36"/>
    <w:rsid w:val="00834B96"/>
    <w:rsid w:val="00836409"/>
    <w:rsid w:val="00836415"/>
    <w:rsid w:val="00836B47"/>
    <w:rsid w:val="00840A53"/>
    <w:rsid w:val="008427B3"/>
    <w:rsid w:val="008428A1"/>
    <w:rsid w:val="00842937"/>
    <w:rsid w:val="008452C7"/>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68D2"/>
    <w:rsid w:val="0089728F"/>
    <w:rsid w:val="008A0874"/>
    <w:rsid w:val="008A0FF6"/>
    <w:rsid w:val="008A28F5"/>
    <w:rsid w:val="008A51AD"/>
    <w:rsid w:val="008B2982"/>
    <w:rsid w:val="008B2F05"/>
    <w:rsid w:val="008B3F2E"/>
    <w:rsid w:val="008B456E"/>
    <w:rsid w:val="008B51B9"/>
    <w:rsid w:val="008B5BC6"/>
    <w:rsid w:val="008B6119"/>
    <w:rsid w:val="008B62FA"/>
    <w:rsid w:val="008B7153"/>
    <w:rsid w:val="008C0341"/>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0A3"/>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0E68"/>
    <w:rsid w:val="00951A6C"/>
    <w:rsid w:val="00952928"/>
    <w:rsid w:val="009531DA"/>
    <w:rsid w:val="00953CFD"/>
    <w:rsid w:val="009540FD"/>
    <w:rsid w:val="0095579C"/>
    <w:rsid w:val="00956E7E"/>
    <w:rsid w:val="00957C24"/>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1D68"/>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220"/>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3F5A"/>
    <w:rsid w:val="00A83F7D"/>
    <w:rsid w:val="00A851A4"/>
    <w:rsid w:val="00A86BD8"/>
    <w:rsid w:val="00A8787E"/>
    <w:rsid w:val="00A87EDF"/>
    <w:rsid w:val="00A90897"/>
    <w:rsid w:val="00A909E1"/>
    <w:rsid w:val="00A90C67"/>
    <w:rsid w:val="00A92B4B"/>
    <w:rsid w:val="00A92EE6"/>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16FA"/>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03F"/>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2D9"/>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4224"/>
    <w:rsid w:val="00C3643C"/>
    <w:rsid w:val="00C36C29"/>
    <w:rsid w:val="00C41646"/>
    <w:rsid w:val="00C4383B"/>
    <w:rsid w:val="00C4601A"/>
    <w:rsid w:val="00C478FE"/>
    <w:rsid w:val="00C502DD"/>
    <w:rsid w:val="00C519B6"/>
    <w:rsid w:val="00C613E2"/>
    <w:rsid w:val="00C621E3"/>
    <w:rsid w:val="00C6430C"/>
    <w:rsid w:val="00C64E24"/>
    <w:rsid w:val="00C65047"/>
    <w:rsid w:val="00C653CC"/>
    <w:rsid w:val="00C665D4"/>
    <w:rsid w:val="00C67E56"/>
    <w:rsid w:val="00C70DA8"/>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2A6"/>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340"/>
    <w:rsid w:val="00D227C4"/>
    <w:rsid w:val="00D23048"/>
    <w:rsid w:val="00D2352A"/>
    <w:rsid w:val="00D23DD0"/>
    <w:rsid w:val="00D251C3"/>
    <w:rsid w:val="00D26CB5"/>
    <w:rsid w:val="00D27964"/>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3FD"/>
    <w:rsid w:val="00DB07B8"/>
    <w:rsid w:val="00DB2AD4"/>
    <w:rsid w:val="00DB2D76"/>
    <w:rsid w:val="00DB345B"/>
    <w:rsid w:val="00DB3871"/>
    <w:rsid w:val="00DB38BB"/>
    <w:rsid w:val="00DB45E2"/>
    <w:rsid w:val="00DB4F49"/>
    <w:rsid w:val="00DB6D5A"/>
    <w:rsid w:val="00DC1ACA"/>
    <w:rsid w:val="00DC4772"/>
    <w:rsid w:val="00DC48CF"/>
    <w:rsid w:val="00DC5BB0"/>
    <w:rsid w:val="00DC6711"/>
    <w:rsid w:val="00DC6826"/>
    <w:rsid w:val="00DD196B"/>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70F"/>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19"/>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1D77"/>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703"/>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24F0"/>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1A59"/>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246"/>
    <w:rsid w:val="00F97EE2"/>
    <w:rsid w:val="00FA06B3"/>
    <w:rsid w:val="00FA0810"/>
    <w:rsid w:val="00FA14B5"/>
    <w:rsid w:val="00FA16BB"/>
    <w:rsid w:val="00FA2895"/>
    <w:rsid w:val="00FA29A4"/>
    <w:rsid w:val="00FA3DD7"/>
    <w:rsid w:val="00FA4D12"/>
    <w:rsid w:val="00FA5031"/>
    <w:rsid w:val="00FA56FF"/>
    <w:rsid w:val="00FB106B"/>
    <w:rsid w:val="00FB3824"/>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57C24"/>
    <w:pPr>
      <w:spacing w:line="240" w:lineRule="auto"/>
    </w:pPr>
    <w:rPr>
      <w:sz w:val="20"/>
      <w:szCs w:val="20"/>
    </w:rPr>
  </w:style>
  <w:style w:type="character" w:customStyle="1" w:styleId="FootnoteTextChar">
    <w:name w:val="Footnote Text Char"/>
    <w:basedOn w:val="DefaultParagraphFont"/>
    <w:link w:val="FootnoteText"/>
    <w:uiPriority w:val="99"/>
    <w:semiHidden/>
    <w:rsid w:val="00957C24"/>
    <w:rPr>
      <w:sz w:val="20"/>
      <w:szCs w:val="20"/>
    </w:rPr>
  </w:style>
  <w:style w:type="character" w:styleId="FootnoteReference">
    <w:name w:val="footnote reference"/>
    <w:basedOn w:val="DefaultParagraphFont"/>
    <w:uiPriority w:val="99"/>
    <w:semiHidden/>
    <w:unhideWhenUsed/>
    <w:rsid w:val="00957C24"/>
    <w:rPr>
      <w:vertAlign w:val="superscript"/>
    </w:rPr>
  </w:style>
  <w:style w:type="paragraph" w:styleId="Header">
    <w:name w:val="header"/>
    <w:basedOn w:val="Normal"/>
    <w:link w:val="HeaderChar"/>
    <w:uiPriority w:val="99"/>
    <w:unhideWhenUsed/>
    <w:rsid w:val="001C6A54"/>
    <w:pPr>
      <w:tabs>
        <w:tab w:val="center" w:pos="4680"/>
        <w:tab w:val="right" w:pos="9360"/>
      </w:tabs>
      <w:spacing w:line="240" w:lineRule="auto"/>
    </w:pPr>
  </w:style>
  <w:style w:type="character" w:customStyle="1" w:styleId="HeaderChar">
    <w:name w:val="Header Char"/>
    <w:basedOn w:val="DefaultParagraphFont"/>
    <w:link w:val="Header"/>
    <w:uiPriority w:val="99"/>
    <w:rsid w:val="001C6A54"/>
  </w:style>
  <w:style w:type="paragraph" w:styleId="Footer">
    <w:name w:val="footer"/>
    <w:basedOn w:val="Normal"/>
    <w:link w:val="FooterChar"/>
    <w:uiPriority w:val="99"/>
    <w:unhideWhenUsed/>
    <w:rsid w:val="001C6A54"/>
    <w:pPr>
      <w:tabs>
        <w:tab w:val="center" w:pos="4680"/>
        <w:tab w:val="right" w:pos="9360"/>
      </w:tabs>
      <w:spacing w:line="240" w:lineRule="auto"/>
    </w:pPr>
  </w:style>
  <w:style w:type="character" w:customStyle="1" w:styleId="FooterChar">
    <w:name w:val="Footer Char"/>
    <w:basedOn w:val="DefaultParagraphFont"/>
    <w:link w:val="Footer"/>
    <w:uiPriority w:val="99"/>
    <w:rsid w:val="001C6A54"/>
  </w:style>
  <w:style w:type="paragraph" w:styleId="BalloonText">
    <w:name w:val="Balloon Text"/>
    <w:basedOn w:val="Normal"/>
    <w:link w:val="BalloonTextChar"/>
    <w:uiPriority w:val="99"/>
    <w:semiHidden/>
    <w:unhideWhenUsed/>
    <w:rsid w:val="00A83F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F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57C24"/>
    <w:pPr>
      <w:spacing w:line="240" w:lineRule="auto"/>
    </w:pPr>
    <w:rPr>
      <w:sz w:val="20"/>
      <w:szCs w:val="20"/>
    </w:rPr>
  </w:style>
  <w:style w:type="character" w:customStyle="1" w:styleId="FootnoteTextChar">
    <w:name w:val="Footnote Text Char"/>
    <w:basedOn w:val="DefaultParagraphFont"/>
    <w:link w:val="FootnoteText"/>
    <w:uiPriority w:val="99"/>
    <w:semiHidden/>
    <w:rsid w:val="00957C24"/>
    <w:rPr>
      <w:sz w:val="20"/>
      <w:szCs w:val="20"/>
    </w:rPr>
  </w:style>
  <w:style w:type="character" w:styleId="FootnoteReference">
    <w:name w:val="footnote reference"/>
    <w:basedOn w:val="DefaultParagraphFont"/>
    <w:uiPriority w:val="99"/>
    <w:semiHidden/>
    <w:unhideWhenUsed/>
    <w:rsid w:val="00957C24"/>
    <w:rPr>
      <w:vertAlign w:val="superscript"/>
    </w:rPr>
  </w:style>
  <w:style w:type="paragraph" w:styleId="Header">
    <w:name w:val="header"/>
    <w:basedOn w:val="Normal"/>
    <w:link w:val="HeaderChar"/>
    <w:uiPriority w:val="99"/>
    <w:unhideWhenUsed/>
    <w:rsid w:val="001C6A54"/>
    <w:pPr>
      <w:tabs>
        <w:tab w:val="center" w:pos="4680"/>
        <w:tab w:val="right" w:pos="9360"/>
      </w:tabs>
      <w:spacing w:line="240" w:lineRule="auto"/>
    </w:pPr>
  </w:style>
  <w:style w:type="character" w:customStyle="1" w:styleId="HeaderChar">
    <w:name w:val="Header Char"/>
    <w:basedOn w:val="DefaultParagraphFont"/>
    <w:link w:val="Header"/>
    <w:uiPriority w:val="99"/>
    <w:rsid w:val="001C6A54"/>
  </w:style>
  <w:style w:type="paragraph" w:styleId="Footer">
    <w:name w:val="footer"/>
    <w:basedOn w:val="Normal"/>
    <w:link w:val="FooterChar"/>
    <w:uiPriority w:val="99"/>
    <w:unhideWhenUsed/>
    <w:rsid w:val="001C6A54"/>
    <w:pPr>
      <w:tabs>
        <w:tab w:val="center" w:pos="4680"/>
        <w:tab w:val="right" w:pos="9360"/>
      </w:tabs>
      <w:spacing w:line="240" w:lineRule="auto"/>
    </w:pPr>
  </w:style>
  <w:style w:type="character" w:customStyle="1" w:styleId="FooterChar">
    <w:name w:val="Footer Char"/>
    <w:basedOn w:val="DefaultParagraphFont"/>
    <w:link w:val="Footer"/>
    <w:uiPriority w:val="99"/>
    <w:rsid w:val="001C6A54"/>
  </w:style>
  <w:style w:type="paragraph" w:styleId="BalloonText">
    <w:name w:val="Balloon Text"/>
    <w:basedOn w:val="Normal"/>
    <w:link w:val="BalloonTextChar"/>
    <w:uiPriority w:val="99"/>
    <w:semiHidden/>
    <w:unhideWhenUsed/>
    <w:rsid w:val="00A83F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F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E462F-A298-49D5-8A2E-FE5998333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2372</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4</cp:revision>
  <cp:lastPrinted>2013-05-01T13:46:00Z</cp:lastPrinted>
  <dcterms:created xsi:type="dcterms:W3CDTF">2013-05-01T13:39:00Z</dcterms:created>
  <dcterms:modified xsi:type="dcterms:W3CDTF">2013-05-01T13:49:00Z</dcterms:modified>
</cp:coreProperties>
</file>