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880"/>
      </w:tblGrid>
      <w:tr w:rsidR="00DF7EBB" w:rsidRPr="007539F1" w:rsidTr="004546C2">
        <w:tc>
          <w:tcPr>
            <w:tcW w:w="2448" w:type="dxa"/>
          </w:tcPr>
          <w:p w:rsidR="00DF7EBB" w:rsidRPr="007539F1" w:rsidRDefault="00DF7EBB">
            <w:pPr>
              <w:rPr>
                <w:color w:val="auto"/>
                <w:sz w:val="26"/>
                <w:szCs w:val="26"/>
              </w:rPr>
            </w:pPr>
          </w:p>
        </w:tc>
        <w:tc>
          <w:tcPr>
            <w:tcW w:w="4230" w:type="dxa"/>
            <w:gridSpan w:val="3"/>
          </w:tcPr>
          <w:p w:rsidR="00DF7EBB" w:rsidRPr="007539F1" w:rsidRDefault="00DF7EBB">
            <w:pPr>
              <w:jc w:val="center"/>
              <w:rPr>
                <w:b/>
                <w:color w:val="auto"/>
                <w:sz w:val="26"/>
                <w:szCs w:val="26"/>
              </w:rPr>
            </w:pPr>
            <w:r w:rsidRPr="007539F1">
              <w:rPr>
                <w:b/>
                <w:color w:val="auto"/>
                <w:sz w:val="26"/>
                <w:szCs w:val="26"/>
              </w:rPr>
              <w:t>PENNSYLVANIA</w:t>
            </w:r>
          </w:p>
          <w:p w:rsidR="00DF7EBB" w:rsidRPr="007539F1" w:rsidRDefault="00DF7EBB">
            <w:pPr>
              <w:jc w:val="center"/>
              <w:rPr>
                <w:b/>
                <w:color w:val="auto"/>
                <w:sz w:val="26"/>
                <w:szCs w:val="26"/>
              </w:rPr>
            </w:pPr>
            <w:r w:rsidRPr="007539F1">
              <w:rPr>
                <w:b/>
                <w:color w:val="auto"/>
                <w:sz w:val="26"/>
                <w:szCs w:val="26"/>
              </w:rPr>
              <w:t>PUBLIC UTILITY COMMISSION</w:t>
            </w:r>
          </w:p>
          <w:p w:rsidR="00DF7EBB" w:rsidRPr="007539F1" w:rsidRDefault="00DF7EBB">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tcPr>
          <w:p w:rsidR="00DF7EBB" w:rsidRPr="007539F1" w:rsidRDefault="00DF7EBB">
            <w:pPr>
              <w:rPr>
                <w:color w:val="auto"/>
                <w:sz w:val="26"/>
                <w:szCs w:val="26"/>
              </w:rPr>
            </w:pPr>
          </w:p>
        </w:tc>
      </w:tr>
      <w:tr w:rsidR="00C9585E" w:rsidRPr="007539F1" w:rsidTr="004546C2">
        <w:tc>
          <w:tcPr>
            <w:tcW w:w="2448" w:type="dxa"/>
          </w:tcPr>
          <w:p w:rsidR="00C9585E" w:rsidRPr="007539F1" w:rsidRDefault="00C9585E">
            <w:pPr>
              <w:rPr>
                <w:color w:val="auto"/>
                <w:sz w:val="26"/>
                <w:szCs w:val="26"/>
              </w:rPr>
            </w:pPr>
          </w:p>
        </w:tc>
        <w:tc>
          <w:tcPr>
            <w:tcW w:w="4230" w:type="dxa"/>
            <w:gridSpan w:val="3"/>
          </w:tcPr>
          <w:p w:rsidR="00C9585E" w:rsidRPr="007539F1" w:rsidRDefault="00C9585E">
            <w:pPr>
              <w:jc w:val="center"/>
              <w:rPr>
                <w:b/>
                <w:color w:val="auto"/>
                <w:sz w:val="26"/>
                <w:szCs w:val="26"/>
              </w:rPr>
            </w:pPr>
          </w:p>
        </w:tc>
        <w:tc>
          <w:tcPr>
            <w:tcW w:w="2880" w:type="dxa"/>
          </w:tcPr>
          <w:p w:rsidR="00C9585E" w:rsidRPr="007539F1" w:rsidRDefault="00C9585E">
            <w:pPr>
              <w:rPr>
                <w:color w:val="auto"/>
                <w:sz w:val="26"/>
                <w:szCs w:val="26"/>
              </w:rPr>
            </w:pPr>
          </w:p>
        </w:tc>
      </w:tr>
      <w:tr w:rsidR="00DF7EBB" w:rsidRPr="007539F1" w:rsidTr="004546C2">
        <w:tc>
          <w:tcPr>
            <w:tcW w:w="4698" w:type="dxa"/>
            <w:gridSpan w:val="2"/>
          </w:tcPr>
          <w:p w:rsidR="00DF7EBB" w:rsidRPr="007539F1" w:rsidRDefault="00DF7EBB">
            <w:pPr>
              <w:rPr>
                <w:color w:val="auto"/>
                <w:sz w:val="26"/>
                <w:szCs w:val="26"/>
              </w:rPr>
            </w:pPr>
          </w:p>
        </w:tc>
        <w:tc>
          <w:tcPr>
            <w:tcW w:w="4860" w:type="dxa"/>
            <w:gridSpan w:val="3"/>
          </w:tcPr>
          <w:p w:rsidR="00DF7EBB" w:rsidRPr="007539F1" w:rsidRDefault="00DF7EBB" w:rsidP="00F472F1">
            <w:pPr>
              <w:jc w:val="right"/>
              <w:rPr>
                <w:color w:val="auto"/>
                <w:sz w:val="26"/>
                <w:szCs w:val="26"/>
              </w:rPr>
            </w:pPr>
            <w:r w:rsidRPr="007539F1">
              <w:rPr>
                <w:color w:val="auto"/>
                <w:sz w:val="26"/>
                <w:szCs w:val="26"/>
              </w:rPr>
              <w:t xml:space="preserve">Public Meeting held </w:t>
            </w:r>
            <w:r w:rsidR="00C86AF2">
              <w:rPr>
                <w:color w:val="000000"/>
                <w:sz w:val="26"/>
                <w:szCs w:val="26"/>
              </w:rPr>
              <w:t>April 18</w:t>
            </w:r>
            <w:r w:rsidR="00C001D2">
              <w:rPr>
                <w:color w:val="000000"/>
                <w:sz w:val="26"/>
                <w:szCs w:val="26"/>
              </w:rPr>
              <w:t>, 2013</w:t>
            </w:r>
          </w:p>
        </w:tc>
      </w:tr>
      <w:tr w:rsidR="008C15D9" w:rsidRPr="007539F1" w:rsidTr="004546C2">
        <w:tc>
          <w:tcPr>
            <w:tcW w:w="4698" w:type="dxa"/>
            <w:gridSpan w:val="2"/>
          </w:tcPr>
          <w:p w:rsidR="008C15D9" w:rsidRPr="007539F1" w:rsidRDefault="008C15D9">
            <w:pPr>
              <w:rPr>
                <w:color w:val="auto"/>
                <w:sz w:val="26"/>
                <w:szCs w:val="26"/>
              </w:rPr>
            </w:pPr>
          </w:p>
        </w:tc>
        <w:tc>
          <w:tcPr>
            <w:tcW w:w="4860" w:type="dxa"/>
            <w:gridSpan w:val="3"/>
          </w:tcPr>
          <w:p w:rsidR="008C15D9" w:rsidRPr="007539F1" w:rsidRDefault="008C15D9">
            <w:pPr>
              <w:rPr>
                <w:color w:val="auto"/>
                <w:sz w:val="26"/>
                <w:szCs w:val="26"/>
              </w:rPr>
            </w:pPr>
          </w:p>
        </w:tc>
      </w:tr>
      <w:tr w:rsidR="00DF7EBB" w:rsidRPr="007539F1" w:rsidTr="004546C2">
        <w:tc>
          <w:tcPr>
            <w:tcW w:w="4698" w:type="dxa"/>
            <w:gridSpan w:val="2"/>
          </w:tcPr>
          <w:p w:rsidR="00DF7EBB" w:rsidRPr="007539F1" w:rsidRDefault="00DF7EBB">
            <w:pPr>
              <w:rPr>
                <w:color w:val="auto"/>
                <w:sz w:val="26"/>
                <w:szCs w:val="26"/>
              </w:rPr>
            </w:pPr>
            <w:r w:rsidRPr="007539F1">
              <w:rPr>
                <w:color w:val="auto"/>
                <w:sz w:val="26"/>
                <w:szCs w:val="26"/>
              </w:rPr>
              <w:t>Commissioners Present:</w:t>
            </w:r>
          </w:p>
        </w:tc>
        <w:tc>
          <w:tcPr>
            <w:tcW w:w="4860" w:type="dxa"/>
            <w:gridSpan w:val="3"/>
          </w:tcPr>
          <w:p w:rsidR="00DF7EBB" w:rsidRPr="007539F1" w:rsidRDefault="00DF7EBB">
            <w:pPr>
              <w:rPr>
                <w:color w:val="auto"/>
                <w:sz w:val="26"/>
                <w:szCs w:val="26"/>
              </w:rPr>
            </w:pPr>
          </w:p>
        </w:tc>
      </w:tr>
      <w:tr w:rsidR="00C9585E" w:rsidRPr="007539F1" w:rsidTr="004546C2">
        <w:tc>
          <w:tcPr>
            <w:tcW w:w="4698" w:type="dxa"/>
            <w:gridSpan w:val="2"/>
          </w:tcPr>
          <w:p w:rsidR="00C9585E" w:rsidRPr="007539F1" w:rsidRDefault="00C9585E">
            <w:pPr>
              <w:rPr>
                <w:color w:val="auto"/>
                <w:sz w:val="26"/>
                <w:szCs w:val="26"/>
              </w:rPr>
            </w:pPr>
          </w:p>
        </w:tc>
        <w:tc>
          <w:tcPr>
            <w:tcW w:w="4860" w:type="dxa"/>
            <w:gridSpan w:val="3"/>
          </w:tcPr>
          <w:p w:rsidR="00C9585E" w:rsidRPr="007539F1" w:rsidRDefault="00C9585E">
            <w:pPr>
              <w:rPr>
                <w:color w:val="auto"/>
                <w:sz w:val="26"/>
                <w:szCs w:val="26"/>
              </w:rPr>
            </w:pPr>
          </w:p>
        </w:tc>
      </w:tr>
      <w:tr w:rsidR="0053670C" w:rsidRPr="007539F1" w:rsidTr="00614125">
        <w:tc>
          <w:tcPr>
            <w:tcW w:w="9558" w:type="dxa"/>
            <w:gridSpan w:val="5"/>
          </w:tcPr>
          <w:p w:rsidR="0053670C" w:rsidRPr="0078088F" w:rsidRDefault="0053670C" w:rsidP="00741161">
            <w:pPr>
              <w:rPr>
                <w:color w:val="000000"/>
                <w:sz w:val="26"/>
                <w:szCs w:val="26"/>
              </w:rPr>
            </w:pPr>
            <w:r w:rsidRPr="0078088F">
              <w:rPr>
                <w:color w:val="000000"/>
                <w:sz w:val="26"/>
                <w:szCs w:val="26"/>
              </w:rPr>
              <w:t>Robert F. Powelson, Chairman</w:t>
            </w:r>
          </w:p>
          <w:p w:rsidR="0053670C" w:rsidRPr="0078088F" w:rsidRDefault="0053670C" w:rsidP="00741161">
            <w:pPr>
              <w:rPr>
                <w:color w:val="000000"/>
                <w:sz w:val="26"/>
                <w:szCs w:val="26"/>
              </w:rPr>
            </w:pPr>
            <w:r w:rsidRPr="0078088F">
              <w:rPr>
                <w:color w:val="000000"/>
                <w:sz w:val="26"/>
                <w:szCs w:val="26"/>
              </w:rPr>
              <w:t>John F. Coleman, Jr., Vice Chairman</w:t>
            </w:r>
          </w:p>
          <w:p w:rsidR="0053670C" w:rsidRPr="0078088F" w:rsidRDefault="0053670C" w:rsidP="00741161">
            <w:pPr>
              <w:rPr>
                <w:color w:val="000000"/>
                <w:sz w:val="26"/>
                <w:szCs w:val="26"/>
              </w:rPr>
            </w:pPr>
            <w:r w:rsidRPr="0078088F">
              <w:rPr>
                <w:color w:val="000000"/>
                <w:sz w:val="26"/>
                <w:szCs w:val="26"/>
              </w:rPr>
              <w:t>Wayne E. Gardner</w:t>
            </w:r>
            <w:r w:rsidR="00611CA5">
              <w:rPr>
                <w:color w:val="000000"/>
                <w:sz w:val="26"/>
                <w:szCs w:val="26"/>
              </w:rPr>
              <w:t>, Dissenting</w:t>
            </w:r>
          </w:p>
          <w:p w:rsidR="0053670C" w:rsidRPr="0078088F" w:rsidRDefault="0053670C" w:rsidP="00741161">
            <w:pPr>
              <w:rPr>
                <w:color w:val="000000"/>
                <w:sz w:val="26"/>
                <w:szCs w:val="26"/>
              </w:rPr>
            </w:pPr>
            <w:r w:rsidRPr="0078088F">
              <w:rPr>
                <w:color w:val="000000"/>
                <w:sz w:val="26"/>
                <w:szCs w:val="26"/>
              </w:rPr>
              <w:t>James H. Cawley</w:t>
            </w:r>
            <w:r w:rsidR="00611CA5">
              <w:rPr>
                <w:color w:val="000000"/>
                <w:sz w:val="26"/>
                <w:szCs w:val="26"/>
              </w:rPr>
              <w:t>, Dissenting</w:t>
            </w:r>
          </w:p>
          <w:p w:rsidR="0053670C" w:rsidRPr="007539F1" w:rsidRDefault="0053670C">
            <w:pPr>
              <w:rPr>
                <w:color w:val="auto"/>
                <w:sz w:val="26"/>
                <w:szCs w:val="26"/>
              </w:rPr>
            </w:pPr>
            <w:r w:rsidRPr="0078088F">
              <w:rPr>
                <w:color w:val="000000"/>
                <w:sz w:val="26"/>
                <w:szCs w:val="26"/>
              </w:rPr>
              <w:t>Pamela A. Witmer</w:t>
            </w:r>
          </w:p>
        </w:tc>
      </w:tr>
      <w:tr w:rsidR="00483B47" w:rsidRPr="007539F1" w:rsidTr="004546C2">
        <w:tc>
          <w:tcPr>
            <w:tcW w:w="9558" w:type="dxa"/>
            <w:gridSpan w:val="5"/>
          </w:tcPr>
          <w:p w:rsidR="00483B47" w:rsidRPr="007539F1" w:rsidRDefault="00483B47">
            <w:pPr>
              <w:rPr>
                <w:color w:val="auto"/>
                <w:sz w:val="26"/>
                <w:szCs w:val="26"/>
              </w:rPr>
            </w:pPr>
          </w:p>
        </w:tc>
      </w:tr>
      <w:tr w:rsidR="00F472F1" w:rsidRPr="00F472F1" w:rsidTr="004546C2">
        <w:tc>
          <w:tcPr>
            <w:tcW w:w="5958" w:type="dxa"/>
            <w:gridSpan w:val="3"/>
          </w:tcPr>
          <w:p w:rsidR="00F472F1" w:rsidRPr="00F472F1" w:rsidRDefault="00F472F1" w:rsidP="00F472F1">
            <w:pPr>
              <w:rPr>
                <w:color w:val="000000" w:themeColor="text1"/>
                <w:sz w:val="26"/>
                <w:szCs w:val="26"/>
              </w:rPr>
            </w:pPr>
            <w:r w:rsidRPr="00F472F1">
              <w:rPr>
                <w:color w:val="000000" w:themeColor="text1"/>
                <w:sz w:val="26"/>
                <w:szCs w:val="26"/>
              </w:rPr>
              <w:t>US LEC of Pennsylvania Inc.</w:t>
            </w:r>
          </w:p>
        </w:tc>
        <w:tc>
          <w:tcPr>
            <w:tcW w:w="3600" w:type="dxa"/>
            <w:gridSpan w:val="2"/>
          </w:tcPr>
          <w:p w:rsidR="00F472F1" w:rsidRPr="00F472F1" w:rsidRDefault="00F472F1" w:rsidP="00F472F1">
            <w:pPr>
              <w:jc w:val="right"/>
              <w:rPr>
                <w:color w:val="000000" w:themeColor="text1"/>
                <w:sz w:val="26"/>
                <w:szCs w:val="26"/>
              </w:rPr>
            </w:pPr>
            <w:r w:rsidRPr="00F472F1">
              <w:rPr>
                <w:color w:val="000000" w:themeColor="text1"/>
                <w:sz w:val="26"/>
                <w:szCs w:val="26"/>
              </w:rPr>
              <w:t xml:space="preserve"> Docket No. R-2012-2338957</w:t>
            </w:r>
          </w:p>
        </w:tc>
      </w:tr>
      <w:tr w:rsidR="00F472F1" w:rsidRPr="00F472F1" w:rsidTr="004546C2">
        <w:tc>
          <w:tcPr>
            <w:tcW w:w="5958" w:type="dxa"/>
            <w:gridSpan w:val="3"/>
          </w:tcPr>
          <w:p w:rsidR="00F472F1" w:rsidRPr="00F472F1" w:rsidRDefault="00F472F1" w:rsidP="00F472F1">
            <w:pPr>
              <w:rPr>
                <w:color w:val="000000" w:themeColor="text1"/>
                <w:sz w:val="26"/>
                <w:szCs w:val="26"/>
              </w:rPr>
            </w:pPr>
            <w:r w:rsidRPr="00F472F1">
              <w:rPr>
                <w:color w:val="000000" w:themeColor="text1"/>
                <w:sz w:val="26"/>
                <w:szCs w:val="26"/>
              </w:rPr>
              <w:t>Supplement No. 31 to Tariff PA P.U.C. No. 1</w:t>
            </w:r>
          </w:p>
        </w:tc>
        <w:tc>
          <w:tcPr>
            <w:tcW w:w="3600" w:type="dxa"/>
            <w:gridSpan w:val="2"/>
          </w:tcPr>
          <w:p w:rsidR="00F472F1" w:rsidRPr="00F472F1" w:rsidRDefault="00F472F1" w:rsidP="00277533">
            <w:pPr>
              <w:jc w:val="right"/>
              <w:rPr>
                <w:color w:val="000000" w:themeColor="text1"/>
                <w:sz w:val="26"/>
                <w:szCs w:val="26"/>
              </w:rPr>
            </w:pPr>
            <w:r w:rsidRPr="00F472F1">
              <w:rPr>
                <w:color w:val="000000" w:themeColor="text1"/>
                <w:sz w:val="26"/>
                <w:szCs w:val="26"/>
              </w:rPr>
              <w:t xml:space="preserve">                 </w:t>
            </w:r>
          </w:p>
        </w:tc>
      </w:tr>
      <w:tr w:rsidR="00F472F1" w:rsidRPr="00F472F1" w:rsidTr="004546C2">
        <w:tc>
          <w:tcPr>
            <w:tcW w:w="5958" w:type="dxa"/>
            <w:gridSpan w:val="3"/>
          </w:tcPr>
          <w:p w:rsidR="00F472F1" w:rsidRPr="00F472F1" w:rsidRDefault="00F472F1" w:rsidP="00F472F1">
            <w:pPr>
              <w:rPr>
                <w:color w:val="000000" w:themeColor="text1"/>
                <w:sz w:val="26"/>
                <w:szCs w:val="26"/>
              </w:rPr>
            </w:pPr>
          </w:p>
        </w:tc>
        <w:tc>
          <w:tcPr>
            <w:tcW w:w="3600" w:type="dxa"/>
            <w:gridSpan w:val="2"/>
          </w:tcPr>
          <w:p w:rsidR="00F472F1" w:rsidRPr="00F472F1" w:rsidRDefault="00F472F1" w:rsidP="00F472F1">
            <w:pPr>
              <w:jc w:val="right"/>
              <w:rPr>
                <w:color w:val="000000" w:themeColor="text1"/>
                <w:sz w:val="26"/>
                <w:szCs w:val="26"/>
              </w:rPr>
            </w:pPr>
          </w:p>
        </w:tc>
      </w:tr>
      <w:tr w:rsidR="00F472F1" w:rsidRPr="00F472F1" w:rsidTr="004546C2">
        <w:tc>
          <w:tcPr>
            <w:tcW w:w="5958" w:type="dxa"/>
            <w:gridSpan w:val="3"/>
          </w:tcPr>
          <w:p w:rsidR="00F472F1" w:rsidRPr="00F472F1" w:rsidRDefault="00F472F1" w:rsidP="00F472F1">
            <w:pPr>
              <w:rPr>
                <w:color w:val="000000" w:themeColor="text1"/>
                <w:sz w:val="26"/>
                <w:szCs w:val="26"/>
              </w:rPr>
            </w:pPr>
            <w:r w:rsidRPr="00F472F1">
              <w:rPr>
                <w:color w:val="000000" w:themeColor="text1"/>
                <w:sz w:val="26"/>
                <w:szCs w:val="26"/>
              </w:rPr>
              <w:t>PAETEC Communications, Inc.</w:t>
            </w:r>
          </w:p>
        </w:tc>
        <w:tc>
          <w:tcPr>
            <w:tcW w:w="3600" w:type="dxa"/>
            <w:gridSpan w:val="2"/>
          </w:tcPr>
          <w:p w:rsidR="00F472F1" w:rsidRPr="00F472F1" w:rsidRDefault="00F472F1" w:rsidP="00F472F1">
            <w:pPr>
              <w:jc w:val="right"/>
              <w:rPr>
                <w:color w:val="000000" w:themeColor="text1"/>
                <w:sz w:val="26"/>
                <w:szCs w:val="26"/>
              </w:rPr>
            </w:pPr>
            <w:r w:rsidRPr="00F472F1">
              <w:rPr>
                <w:color w:val="000000" w:themeColor="text1"/>
                <w:sz w:val="26"/>
                <w:szCs w:val="26"/>
              </w:rPr>
              <w:t>Docket No. R-2012-2338959</w:t>
            </w:r>
          </w:p>
        </w:tc>
      </w:tr>
      <w:tr w:rsidR="00F472F1" w:rsidRPr="00F472F1" w:rsidTr="004546C2">
        <w:tc>
          <w:tcPr>
            <w:tcW w:w="5958" w:type="dxa"/>
            <w:gridSpan w:val="3"/>
          </w:tcPr>
          <w:p w:rsidR="00F472F1" w:rsidRPr="00F472F1" w:rsidRDefault="00F472F1" w:rsidP="00F472F1">
            <w:pPr>
              <w:rPr>
                <w:color w:val="000000" w:themeColor="text1"/>
                <w:sz w:val="26"/>
                <w:szCs w:val="26"/>
              </w:rPr>
            </w:pPr>
            <w:r w:rsidRPr="00F472F1">
              <w:rPr>
                <w:color w:val="000000" w:themeColor="text1"/>
                <w:sz w:val="26"/>
                <w:szCs w:val="26"/>
              </w:rPr>
              <w:t>Supplement No. 35 to Tariff PA P.U.C. No. 3</w:t>
            </w:r>
          </w:p>
        </w:tc>
        <w:tc>
          <w:tcPr>
            <w:tcW w:w="3600" w:type="dxa"/>
            <w:gridSpan w:val="2"/>
          </w:tcPr>
          <w:p w:rsidR="00F472F1" w:rsidRPr="00F472F1" w:rsidRDefault="00F472F1" w:rsidP="00277533">
            <w:pPr>
              <w:jc w:val="right"/>
              <w:rPr>
                <w:color w:val="000000" w:themeColor="text1"/>
                <w:sz w:val="26"/>
                <w:szCs w:val="26"/>
              </w:rPr>
            </w:pPr>
            <w:r w:rsidRPr="00F472F1">
              <w:rPr>
                <w:color w:val="000000" w:themeColor="text1"/>
                <w:sz w:val="26"/>
                <w:szCs w:val="26"/>
              </w:rPr>
              <w:t xml:space="preserve">               </w:t>
            </w:r>
          </w:p>
        </w:tc>
      </w:tr>
      <w:tr w:rsidR="00277533" w:rsidRPr="00F472F1" w:rsidTr="004546C2">
        <w:tc>
          <w:tcPr>
            <w:tcW w:w="5958" w:type="dxa"/>
            <w:gridSpan w:val="3"/>
          </w:tcPr>
          <w:p w:rsidR="00277533" w:rsidRPr="00F472F1" w:rsidRDefault="00277533" w:rsidP="00F472F1">
            <w:pPr>
              <w:rPr>
                <w:color w:val="000000" w:themeColor="text1"/>
                <w:sz w:val="26"/>
                <w:szCs w:val="26"/>
              </w:rPr>
            </w:pPr>
          </w:p>
        </w:tc>
        <w:tc>
          <w:tcPr>
            <w:tcW w:w="3600" w:type="dxa"/>
            <w:gridSpan w:val="2"/>
          </w:tcPr>
          <w:p w:rsidR="00277533" w:rsidRPr="00F472F1" w:rsidRDefault="00277533" w:rsidP="00F472F1">
            <w:pPr>
              <w:jc w:val="right"/>
              <w:rPr>
                <w:color w:val="000000" w:themeColor="text1"/>
                <w:sz w:val="26"/>
                <w:szCs w:val="26"/>
              </w:rPr>
            </w:pPr>
          </w:p>
        </w:tc>
      </w:tr>
      <w:tr w:rsidR="00277533" w:rsidRPr="00F472F1" w:rsidTr="004546C2">
        <w:tc>
          <w:tcPr>
            <w:tcW w:w="5958" w:type="dxa"/>
            <w:gridSpan w:val="3"/>
          </w:tcPr>
          <w:p w:rsidR="00277533" w:rsidRPr="00F472F1" w:rsidRDefault="00277533" w:rsidP="00DD4BFF">
            <w:pPr>
              <w:rPr>
                <w:color w:val="000000" w:themeColor="text1"/>
                <w:sz w:val="26"/>
                <w:szCs w:val="26"/>
              </w:rPr>
            </w:pPr>
            <w:r w:rsidRPr="00F472F1">
              <w:rPr>
                <w:color w:val="000000" w:themeColor="text1"/>
                <w:sz w:val="26"/>
                <w:szCs w:val="26"/>
              </w:rPr>
              <w:t xml:space="preserve">Windstream </w:t>
            </w:r>
            <w:r w:rsidR="00DD4BFF">
              <w:rPr>
                <w:color w:val="000000" w:themeColor="text1"/>
                <w:sz w:val="26"/>
                <w:szCs w:val="26"/>
              </w:rPr>
              <w:t>Communications, Inc.</w:t>
            </w:r>
          </w:p>
        </w:tc>
        <w:tc>
          <w:tcPr>
            <w:tcW w:w="3600" w:type="dxa"/>
            <w:gridSpan w:val="2"/>
          </w:tcPr>
          <w:p w:rsidR="00277533" w:rsidRPr="00F472F1" w:rsidRDefault="00277533" w:rsidP="00277533">
            <w:pPr>
              <w:jc w:val="right"/>
              <w:rPr>
                <w:color w:val="000000" w:themeColor="text1"/>
                <w:sz w:val="26"/>
                <w:szCs w:val="26"/>
              </w:rPr>
            </w:pPr>
            <w:r w:rsidRPr="00F472F1">
              <w:rPr>
                <w:color w:val="000000" w:themeColor="text1"/>
                <w:sz w:val="26"/>
                <w:szCs w:val="26"/>
              </w:rPr>
              <w:t xml:space="preserve"> Docket No. R-201</w:t>
            </w:r>
            <w:r>
              <w:rPr>
                <w:color w:val="000000" w:themeColor="text1"/>
                <w:sz w:val="26"/>
                <w:szCs w:val="26"/>
              </w:rPr>
              <w:t>3-2343051</w:t>
            </w:r>
          </w:p>
        </w:tc>
      </w:tr>
      <w:tr w:rsidR="00277533" w:rsidRPr="00F472F1" w:rsidTr="004546C2">
        <w:tc>
          <w:tcPr>
            <w:tcW w:w="5958" w:type="dxa"/>
            <w:gridSpan w:val="3"/>
          </w:tcPr>
          <w:p w:rsidR="00277533" w:rsidRPr="00F472F1" w:rsidRDefault="00DD4BFF" w:rsidP="006455E5">
            <w:pPr>
              <w:rPr>
                <w:color w:val="000000" w:themeColor="text1"/>
                <w:sz w:val="26"/>
                <w:szCs w:val="26"/>
              </w:rPr>
            </w:pPr>
            <w:r>
              <w:rPr>
                <w:color w:val="000000" w:themeColor="text1"/>
                <w:sz w:val="26"/>
                <w:szCs w:val="26"/>
              </w:rPr>
              <w:t>Supplement No. 6</w:t>
            </w:r>
            <w:r w:rsidR="00277533" w:rsidRPr="00F472F1">
              <w:rPr>
                <w:color w:val="000000" w:themeColor="text1"/>
                <w:sz w:val="26"/>
                <w:szCs w:val="26"/>
              </w:rPr>
              <w:t xml:space="preserve"> to Tariff PA P.U.C. No. </w:t>
            </w:r>
            <w:r>
              <w:rPr>
                <w:color w:val="000000" w:themeColor="text1"/>
                <w:sz w:val="26"/>
                <w:szCs w:val="26"/>
              </w:rPr>
              <w:t>2</w:t>
            </w:r>
          </w:p>
        </w:tc>
        <w:tc>
          <w:tcPr>
            <w:tcW w:w="3600" w:type="dxa"/>
            <w:gridSpan w:val="2"/>
          </w:tcPr>
          <w:p w:rsidR="00277533" w:rsidRPr="00F472F1" w:rsidRDefault="00277533" w:rsidP="00277533">
            <w:pPr>
              <w:jc w:val="right"/>
              <w:rPr>
                <w:color w:val="000000" w:themeColor="text1"/>
                <w:sz w:val="26"/>
                <w:szCs w:val="26"/>
              </w:rPr>
            </w:pPr>
            <w:r w:rsidRPr="00F472F1">
              <w:rPr>
                <w:color w:val="000000" w:themeColor="text1"/>
                <w:sz w:val="26"/>
                <w:szCs w:val="26"/>
              </w:rPr>
              <w:t xml:space="preserve">                 </w:t>
            </w:r>
          </w:p>
        </w:tc>
      </w:tr>
      <w:tr w:rsidR="00277533" w:rsidRPr="00F472F1" w:rsidTr="004546C2">
        <w:tc>
          <w:tcPr>
            <w:tcW w:w="5958" w:type="dxa"/>
            <w:gridSpan w:val="3"/>
          </w:tcPr>
          <w:p w:rsidR="00277533" w:rsidRPr="00F472F1" w:rsidRDefault="00277533" w:rsidP="006455E5">
            <w:pPr>
              <w:rPr>
                <w:color w:val="000000" w:themeColor="text1"/>
                <w:sz w:val="26"/>
                <w:szCs w:val="26"/>
              </w:rPr>
            </w:pPr>
          </w:p>
        </w:tc>
        <w:tc>
          <w:tcPr>
            <w:tcW w:w="3600" w:type="dxa"/>
            <w:gridSpan w:val="2"/>
          </w:tcPr>
          <w:p w:rsidR="00277533" w:rsidRPr="00F472F1" w:rsidRDefault="00277533" w:rsidP="006455E5">
            <w:pPr>
              <w:rPr>
                <w:color w:val="000000" w:themeColor="text1"/>
                <w:sz w:val="26"/>
                <w:szCs w:val="26"/>
              </w:rPr>
            </w:pPr>
          </w:p>
        </w:tc>
      </w:tr>
      <w:tr w:rsidR="00277533" w:rsidRPr="00F472F1" w:rsidTr="004546C2">
        <w:tc>
          <w:tcPr>
            <w:tcW w:w="5958" w:type="dxa"/>
            <w:gridSpan w:val="3"/>
          </w:tcPr>
          <w:p w:rsidR="00277533" w:rsidRPr="00F472F1" w:rsidRDefault="00277533" w:rsidP="006455E5">
            <w:pPr>
              <w:rPr>
                <w:color w:val="000000" w:themeColor="text1"/>
                <w:sz w:val="26"/>
                <w:szCs w:val="26"/>
              </w:rPr>
            </w:pPr>
            <w:r w:rsidRPr="00F472F1">
              <w:rPr>
                <w:color w:val="000000" w:themeColor="text1"/>
                <w:sz w:val="26"/>
                <w:szCs w:val="26"/>
              </w:rPr>
              <w:t>Windstream D&amp;E Systems, Inc.</w:t>
            </w:r>
          </w:p>
        </w:tc>
        <w:tc>
          <w:tcPr>
            <w:tcW w:w="3600" w:type="dxa"/>
            <w:gridSpan w:val="2"/>
          </w:tcPr>
          <w:p w:rsidR="00277533" w:rsidRPr="00F472F1" w:rsidRDefault="00277533" w:rsidP="006455E5">
            <w:pPr>
              <w:jc w:val="right"/>
              <w:rPr>
                <w:color w:val="000000" w:themeColor="text1"/>
                <w:sz w:val="26"/>
                <w:szCs w:val="26"/>
              </w:rPr>
            </w:pPr>
            <w:r w:rsidRPr="00F472F1">
              <w:rPr>
                <w:color w:val="000000" w:themeColor="text1"/>
                <w:sz w:val="26"/>
                <w:szCs w:val="26"/>
              </w:rPr>
              <w:t>Docket No. R-201</w:t>
            </w:r>
            <w:r>
              <w:rPr>
                <w:color w:val="000000" w:themeColor="text1"/>
                <w:sz w:val="26"/>
                <w:szCs w:val="26"/>
              </w:rPr>
              <w:t>3-2343053</w:t>
            </w:r>
          </w:p>
        </w:tc>
      </w:tr>
      <w:tr w:rsidR="00277533" w:rsidRPr="00F472F1" w:rsidTr="004546C2">
        <w:tc>
          <w:tcPr>
            <w:tcW w:w="5958" w:type="dxa"/>
            <w:gridSpan w:val="3"/>
          </w:tcPr>
          <w:p w:rsidR="00277533" w:rsidRPr="00F472F1" w:rsidRDefault="00DD4BFF" w:rsidP="006455E5">
            <w:pPr>
              <w:rPr>
                <w:color w:val="000000" w:themeColor="text1"/>
                <w:sz w:val="26"/>
                <w:szCs w:val="26"/>
              </w:rPr>
            </w:pPr>
            <w:r>
              <w:rPr>
                <w:color w:val="000000" w:themeColor="text1"/>
                <w:sz w:val="26"/>
                <w:szCs w:val="26"/>
              </w:rPr>
              <w:t>Supplement No. 6</w:t>
            </w:r>
            <w:r w:rsidR="00277533" w:rsidRPr="00F472F1">
              <w:rPr>
                <w:color w:val="000000" w:themeColor="text1"/>
                <w:sz w:val="26"/>
                <w:szCs w:val="26"/>
              </w:rPr>
              <w:t xml:space="preserve"> to Tariff PA P.U.C. No. </w:t>
            </w:r>
            <w:r>
              <w:rPr>
                <w:color w:val="000000" w:themeColor="text1"/>
                <w:sz w:val="26"/>
                <w:szCs w:val="26"/>
              </w:rPr>
              <w:t>5</w:t>
            </w:r>
          </w:p>
        </w:tc>
        <w:tc>
          <w:tcPr>
            <w:tcW w:w="3600" w:type="dxa"/>
            <w:gridSpan w:val="2"/>
          </w:tcPr>
          <w:p w:rsidR="00277533" w:rsidRPr="00F472F1" w:rsidRDefault="00277533" w:rsidP="00277533">
            <w:pPr>
              <w:jc w:val="right"/>
              <w:rPr>
                <w:color w:val="000000" w:themeColor="text1"/>
                <w:sz w:val="26"/>
                <w:szCs w:val="26"/>
              </w:rPr>
            </w:pPr>
            <w:r w:rsidRPr="00F472F1">
              <w:rPr>
                <w:color w:val="000000" w:themeColor="text1"/>
                <w:sz w:val="26"/>
                <w:szCs w:val="26"/>
              </w:rPr>
              <w:t xml:space="preserve">                 </w:t>
            </w:r>
          </w:p>
        </w:tc>
      </w:tr>
    </w:tbl>
    <w:p w:rsidR="00F472F1" w:rsidRDefault="00F472F1" w:rsidP="00F472F1">
      <w:pPr>
        <w:spacing w:line="360" w:lineRule="auto"/>
        <w:jc w:val="center"/>
        <w:rPr>
          <w:b/>
          <w:color w:val="auto"/>
          <w:sz w:val="26"/>
          <w:szCs w:val="26"/>
        </w:rPr>
      </w:pPr>
    </w:p>
    <w:p w:rsidR="00DF7EBB" w:rsidRDefault="00DF7EBB" w:rsidP="00846DD3">
      <w:pPr>
        <w:spacing w:line="360" w:lineRule="auto"/>
        <w:jc w:val="center"/>
        <w:rPr>
          <w:b/>
          <w:color w:val="auto"/>
          <w:sz w:val="26"/>
          <w:szCs w:val="26"/>
        </w:rPr>
      </w:pPr>
      <w:r w:rsidRPr="007539F1">
        <w:rPr>
          <w:b/>
          <w:color w:val="auto"/>
          <w:sz w:val="26"/>
          <w:szCs w:val="26"/>
        </w:rPr>
        <w:t>ORDER</w:t>
      </w:r>
    </w:p>
    <w:p w:rsidR="00846DD3" w:rsidRPr="007539F1" w:rsidRDefault="00846DD3" w:rsidP="00C4329C">
      <w:pPr>
        <w:jc w:val="center"/>
        <w:rPr>
          <w:b/>
          <w:color w:val="auto"/>
          <w:sz w:val="26"/>
          <w:szCs w:val="26"/>
        </w:rPr>
      </w:pPr>
    </w:p>
    <w:p w:rsidR="00DF7EBB" w:rsidRDefault="00DF7EBB" w:rsidP="00846DD3">
      <w:pPr>
        <w:spacing w:line="360" w:lineRule="auto"/>
        <w:rPr>
          <w:b/>
          <w:color w:val="auto"/>
          <w:sz w:val="26"/>
          <w:szCs w:val="26"/>
        </w:rPr>
      </w:pPr>
      <w:r w:rsidRPr="007539F1">
        <w:rPr>
          <w:b/>
          <w:color w:val="auto"/>
          <w:sz w:val="26"/>
          <w:szCs w:val="26"/>
        </w:rPr>
        <w:t>BY THE COMMISSION:</w:t>
      </w:r>
    </w:p>
    <w:p w:rsidR="00846DD3" w:rsidRPr="007539F1" w:rsidRDefault="00846DD3" w:rsidP="00846DD3">
      <w:pPr>
        <w:spacing w:line="360" w:lineRule="auto"/>
        <w:rPr>
          <w:color w:val="auto"/>
          <w:sz w:val="26"/>
          <w:szCs w:val="26"/>
        </w:rPr>
      </w:pPr>
    </w:p>
    <w:p w:rsidR="00C95351" w:rsidRDefault="00C95351" w:rsidP="00846DD3">
      <w:pPr>
        <w:spacing w:line="360" w:lineRule="auto"/>
        <w:rPr>
          <w:color w:val="000000" w:themeColor="text1"/>
          <w:sz w:val="26"/>
          <w:szCs w:val="26"/>
        </w:rPr>
      </w:pPr>
      <w:r>
        <w:rPr>
          <w:szCs w:val="24"/>
        </w:rPr>
        <w:tab/>
      </w:r>
      <w:r w:rsidR="00536467" w:rsidRPr="0019354C">
        <w:rPr>
          <w:color w:val="000000" w:themeColor="text1"/>
          <w:sz w:val="26"/>
          <w:szCs w:val="26"/>
        </w:rPr>
        <w:t>Before us for disposition are tariff supplements filed by US LEC of Pennsylvania Inc. d/b/a PAETEC Business Services</w:t>
      </w:r>
      <w:r w:rsidR="00710587" w:rsidRPr="0019354C">
        <w:rPr>
          <w:color w:val="000000" w:themeColor="text1"/>
          <w:sz w:val="26"/>
          <w:szCs w:val="26"/>
        </w:rPr>
        <w:t>,</w:t>
      </w:r>
      <w:r w:rsidR="00834BDD" w:rsidRPr="0019354C">
        <w:rPr>
          <w:rStyle w:val="FootnoteReference"/>
          <w:color w:val="000000" w:themeColor="text1"/>
          <w:sz w:val="26"/>
          <w:szCs w:val="26"/>
        </w:rPr>
        <w:footnoteReference w:id="2"/>
      </w:r>
      <w:r w:rsidR="005A5D39" w:rsidRPr="0019354C">
        <w:rPr>
          <w:color w:val="000000" w:themeColor="text1"/>
          <w:sz w:val="26"/>
          <w:szCs w:val="26"/>
        </w:rPr>
        <w:t xml:space="preserve"> PAETEC Communications, Inc.,</w:t>
      </w:r>
      <w:r w:rsidR="001D6935" w:rsidRPr="0019354C">
        <w:rPr>
          <w:rStyle w:val="FootnoteReference"/>
          <w:color w:val="000000" w:themeColor="text1"/>
          <w:sz w:val="26"/>
          <w:szCs w:val="26"/>
        </w:rPr>
        <w:footnoteReference w:id="3"/>
      </w:r>
      <w:r w:rsidR="00710587" w:rsidRPr="0019354C">
        <w:rPr>
          <w:color w:val="000000" w:themeColor="text1"/>
          <w:sz w:val="26"/>
          <w:szCs w:val="26"/>
        </w:rPr>
        <w:t xml:space="preserve"> </w:t>
      </w:r>
      <w:r w:rsidR="00536467" w:rsidRPr="0019354C">
        <w:rPr>
          <w:color w:val="000000" w:themeColor="text1"/>
          <w:sz w:val="26"/>
          <w:szCs w:val="26"/>
        </w:rPr>
        <w:t>Windstream Communications, Inc.</w:t>
      </w:r>
      <w:r w:rsidR="001D6935" w:rsidRPr="0019354C">
        <w:rPr>
          <w:rStyle w:val="FootnoteReference"/>
          <w:color w:val="000000" w:themeColor="text1"/>
          <w:sz w:val="26"/>
          <w:szCs w:val="26"/>
        </w:rPr>
        <w:footnoteReference w:id="4"/>
      </w:r>
      <w:r w:rsidR="00536467" w:rsidRPr="0019354C">
        <w:rPr>
          <w:color w:val="000000" w:themeColor="text1"/>
          <w:sz w:val="26"/>
          <w:szCs w:val="26"/>
        </w:rPr>
        <w:t xml:space="preserve"> and Windstream D&amp;E Systems, Inc.</w:t>
      </w:r>
      <w:r w:rsidR="001D6935" w:rsidRPr="0019354C">
        <w:rPr>
          <w:rStyle w:val="FootnoteReference"/>
          <w:color w:val="000000" w:themeColor="text1"/>
          <w:sz w:val="26"/>
          <w:szCs w:val="26"/>
        </w:rPr>
        <w:footnoteReference w:id="5"/>
      </w:r>
      <w:r w:rsidR="00506572">
        <w:rPr>
          <w:color w:val="000000" w:themeColor="text1"/>
          <w:sz w:val="26"/>
          <w:szCs w:val="26"/>
        </w:rPr>
        <w:t xml:space="preserve"> (</w:t>
      </w:r>
      <w:r w:rsidR="00DC320D">
        <w:rPr>
          <w:color w:val="000000" w:themeColor="text1"/>
          <w:sz w:val="26"/>
          <w:szCs w:val="26"/>
        </w:rPr>
        <w:t xml:space="preserve">collectively, </w:t>
      </w:r>
      <w:r w:rsidR="00506572">
        <w:rPr>
          <w:color w:val="000000" w:themeColor="text1"/>
          <w:sz w:val="26"/>
          <w:szCs w:val="26"/>
        </w:rPr>
        <w:t xml:space="preserve">the </w:t>
      </w:r>
      <w:r w:rsidR="00536467" w:rsidRPr="0019354C">
        <w:rPr>
          <w:color w:val="000000" w:themeColor="text1"/>
          <w:sz w:val="26"/>
          <w:szCs w:val="26"/>
        </w:rPr>
        <w:lastRenderedPageBreak/>
        <w:t>Companies)</w:t>
      </w:r>
      <w:r w:rsidR="00710587" w:rsidRPr="0019354C">
        <w:rPr>
          <w:color w:val="000000" w:themeColor="text1"/>
          <w:sz w:val="26"/>
          <w:szCs w:val="26"/>
        </w:rPr>
        <w:t xml:space="preserve"> </w:t>
      </w:r>
      <w:r w:rsidR="00536467" w:rsidRPr="0019354C">
        <w:rPr>
          <w:color w:val="000000" w:themeColor="text1"/>
          <w:sz w:val="26"/>
          <w:szCs w:val="26"/>
        </w:rPr>
        <w:t>implement</w:t>
      </w:r>
      <w:r w:rsidR="00710587" w:rsidRPr="0019354C">
        <w:rPr>
          <w:color w:val="000000" w:themeColor="text1"/>
          <w:sz w:val="26"/>
          <w:szCs w:val="26"/>
        </w:rPr>
        <w:t>ing</w:t>
      </w:r>
      <w:r w:rsidR="00536467" w:rsidRPr="0019354C">
        <w:rPr>
          <w:color w:val="000000" w:themeColor="text1"/>
          <w:sz w:val="26"/>
          <w:szCs w:val="26"/>
        </w:rPr>
        <w:t xml:space="preserve"> a Collection Fee of $12.00 for Business Customers with any unpaid balance when the previous month’s bill has not been paid in full prior to the next billing date.</w:t>
      </w:r>
      <w:r w:rsidR="006C1532">
        <w:rPr>
          <w:color w:val="000000" w:themeColor="text1"/>
          <w:sz w:val="26"/>
          <w:szCs w:val="26"/>
        </w:rPr>
        <w:t xml:space="preserve">  This flat-rate Collection Fee is in addition to the</w:t>
      </w:r>
      <w:r w:rsidR="00F83F14">
        <w:rPr>
          <w:color w:val="000000" w:themeColor="text1"/>
          <w:sz w:val="26"/>
          <w:szCs w:val="26"/>
        </w:rPr>
        <w:t xml:space="preserve"> existing</w:t>
      </w:r>
      <w:r w:rsidR="006C1532">
        <w:rPr>
          <w:color w:val="000000" w:themeColor="text1"/>
          <w:sz w:val="26"/>
          <w:szCs w:val="26"/>
        </w:rPr>
        <w:t xml:space="preserve"> percentage-based Late Payment Charge of 1.5% per month for Business Customers of the Companies. </w:t>
      </w:r>
      <w:r w:rsidR="00226AA7">
        <w:rPr>
          <w:color w:val="000000" w:themeColor="text1"/>
          <w:sz w:val="26"/>
          <w:szCs w:val="26"/>
        </w:rPr>
        <w:t xml:space="preserve">  </w:t>
      </w:r>
      <w:r w:rsidR="00F71FF6">
        <w:rPr>
          <w:color w:val="000000" w:themeColor="text1"/>
          <w:sz w:val="26"/>
          <w:szCs w:val="26"/>
        </w:rPr>
        <w:t xml:space="preserve">All four companies are wholly owned subsidiaries </w:t>
      </w:r>
      <w:r w:rsidR="00F9299C">
        <w:rPr>
          <w:color w:val="000000" w:themeColor="text1"/>
          <w:sz w:val="26"/>
          <w:szCs w:val="26"/>
        </w:rPr>
        <w:t>of Windstream Communications, Inc. and certified as competitive local exchange carriers</w:t>
      </w:r>
      <w:r w:rsidR="005E120A">
        <w:rPr>
          <w:color w:val="000000" w:themeColor="text1"/>
          <w:sz w:val="26"/>
          <w:szCs w:val="26"/>
        </w:rPr>
        <w:t xml:space="preserve"> (CLECs)</w:t>
      </w:r>
      <w:r w:rsidR="00F9299C">
        <w:rPr>
          <w:color w:val="000000" w:themeColor="text1"/>
          <w:sz w:val="26"/>
          <w:szCs w:val="26"/>
        </w:rPr>
        <w:t xml:space="preserve"> in Pennsylvania.  </w:t>
      </w:r>
      <w:r w:rsidR="00F71FF6">
        <w:rPr>
          <w:color w:val="000000" w:themeColor="text1"/>
          <w:sz w:val="26"/>
          <w:szCs w:val="26"/>
        </w:rPr>
        <w:t xml:space="preserve"> </w:t>
      </w:r>
    </w:p>
    <w:p w:rsidR="00157D3A" w:rsidRDefault="00157D3A" w:rsidP="00846DD3">
      <w:pPr>
        <w:spacing w:line="360" w:lineRule="auto"/>
        <w:rPr>
          <w:color w:val="000000" w:themeColor="text1"/>
          <w:sz w:val="26"/>
          <w:szCs w:val="26"/>
        </w:rPr>
      </w:pPr>
    </w:p>
    <w:p w:rsidR="00C86AF2" w:rsidRPr="00157D3A" w:rsidRDefault="00157D3A" w:rsidP="00157D3A">
      <w:pPr>
        <w:spacing w:line="360" w:lineRule="auto"/>
        <w:jc w:val="center"/>
        <w:rPr>
          <w:b/>
          <w:color w:val="000000" w:themeColor="text1"/>
          <w:sz w:val="26"/>
          <w:szCs w:val="26"/>
        </w:rPr>
      </w:pPr>
      <w:r>
        <w:rPr>
          <w:b/>
          <w:color w:val="000000" w:themeColor="text1"/>
          <w:sz w:val="26"/>
          <w:szCs w:val="26"/>
        </w:rPr>
        <w:t>BACKGROUND</w:t>
      </w:r>
    </w:p>
    <w:p w:rsidR="00846DD3" w:rsidRDefault="00846DD3" w:rsidP="00846DD3">
      <w:pPr>
        <w:spacing w:line="360" w:lineRule="auto"/>
        <w:rPr>
          <w:color w:val="000000" w:themeColor="text1"/>
          <w:sz w:val="26"/>
          <w:szCs w:val="26"/>
        </w:rPr>
      </w:pPr>
    </w:p>
    <w:p w:rsidR="00F472F1" w:rsidRDefault="00F472F1" w:rsidP="00846DD3">
      <w:pPr>
        <w:spacing w:line="360" w:lineRule="auto"/>
        <w:ind w:firstLine="720"/>
        <w:rPr>
          <w:color w:val="000000" w:themeColor="text1"/>
          <w:sz w:val="26"/>
          <w:szCs w:val="26"/>
        </w:rPr>
      </w:pPr>
      <w:r w:rsidRPr="00F03871">
        <w:rPr>
          <w:color w:val="000000" w:themeColor="text1"/>
          <w:sz w:val="26"/>
          <w:szCs w:val="26"/>
        </w:rPr>
        <w:t>On January 16, 2013,</w:t>
      </w:r>
      <w:r w:rsidR="001D6935" w:rsidRPr="00F03871">
        <w:rPr>
          <w:color w:val="000000" w:themeColor="text1"/>
          <w:sz w:val="26"/>
          <w:szCs w:val="26"/>
        </w:rPr>
        <w:t xml:space="preserve"> and January 28, 2013, Commission</w:t>
      </w:r>
      <w:r w:rsidRPr="00F03871">
        <w:rPr>
          <w:color w:val="000000" w:themeColor="text1"/>
          <w:sz w:val="26"/>
          <w:szCs w:val="26"/>
        </w:rPr>
        <w:t xml:space="preserve"> </w:t>
      </w:r>
      <w:r w:rsidR="001D6935" w:rsidRPr="00F03871">
        <w:rPr>
          <w:color w:val="000000" w:themeColor="text1"/>
          <w:sz w:val="26"/>
          <w:szCs w:val="26"/>
        </w:rPr>
        <w:t>S</w:t>
      </w:r>
      <w:r w:rsidR="00F03871" w:rsidRPr="00F03871">
        <w:rPr>
          <w:color w:val="000000" w:themeColor="text1"/>
          <w:sz w:val="26"/>
          <w:szCs w:val="26"/>
        </w:rPr>
        <w:t>taff</w:t>
      </w:r>
      <w:r w:rsidR="00094F4A">
        <w:rPr>
          <w:color w:val="000000" w:themeColor="text1"/>
          <w:sz w:val="26"/>
          <w:szCs w:val="26"/>
        </w:rPr>
        <w:t xml:space="preserve"> (Staff)</w:t>
      </w:r>
      <w:r w:rsidR="00F03871" w:rsidRPr="00F03871">
        <w:rPr>
          <w:color w:val="000000" w:themeColor="text1"/>
          <w:sz w:val="26"/>
          <w:szCs w:val="26"/>
        </w:rPr>
        <w:t xml:space="preserve"> issued</w:t>
      </w:r>
      <w:r w:rsidRPr="00F03871">
        <w:rPr>
          <w:color w:val="000000" w:themeColor="text1"/>
          <w:sz w:val="26"/>
          <w:szCs w:val="26"/>
        </w:rPr>
        <w:t xml:space="preserve"> Data Requests soliciting additional information and data to assist with review of the Companies’ filings.  On February 8, 2013, the Companies filed responses to the Data Requests as well as revised tariff pages to correct certain formatting deficiencies</w:t>
      </w:r>
      <w:r w:rsidR="00F03871" w:rsidRPr="00F03871">
        <w:rPr>
          <w:color w:val="000000" w:themeColor="text1"/>
          <w:sz w:val="26"/>
          <w:szCs w:val="26"/>
        </w:rPr>
        <w:t>.</w:t>
      </w:r>
    </w:p>
    <w:p w:rsidR="00846DD3" w:rsidRPr="00F03871" w:rsidRDefault="00846DD3" w:rsidP="00846DD3">
      <w:pPr>
        <w:spacing w:line="360" w:lineRule="auto"/>
        <w:ind w:firstLine="720"/>
        <w:rPr>
          <w:color w:val="000000" w:themeColor="text1"/>
          <w:sz w:val="26"/>
          <w:szCs w:val="26"/>
        </w:rPr>
      </w:pPr>
    </w:p>
    <w:p w:rsidR="00DD4BFF" w:rsidRDefault="00EF74DA" w:rsidP="00846DD3">
      <w:pPr>
        <w:spacing w:line="360" w:lineRule="auto"/>
        <w:rPr>
          <w:color w:val="000000" w:themeColor="text1"/>
          <w:sz w:val="26"/>
          <w:szCs w:val="26"/>
        </w:rPr>
      </w:pPr>
      <w:r w:rsidRPr="00F03871">
        <w:rPr>
          <w:color w:val="000000" w:themeColor="text1"/>
          <w:sz w:val="26"/>
          <w:szCs w:val="26"/>
        </w:rPr>
        <w:tab/>
      </w:r>
      <w:r w:rsidR="00DD4BFF" w:rsidRPr="00F03871">
        <w:rPr>
          <w:color w:val="000000" w:themeColor="text1"/>
          <w:sz w:val="26"/>
          <w:szCs w:val="26"/>
        </w:rPr>
        <w:t>The Companies were asked to provide a list of factors considered in their determination to implement the Collection Fee.  The Companies indicated that the proposed implementation of the Collection Fee in Pennsylvania is a continuation of an effort across all Windstream Companies, initiated in 2010, designed to offset the costs associated with the collection of amounts owed by delinquent customers.  Specific costs listed by the Companies include the</w:t>
      </w:r>
      <w:r w:rsidR="000C3706">
        <w:rPr>
          <w:color w:val="000000" w:themeColor="text1"/>
          <w:sz w:val="26"/>
          <w:szCs w:val="26"/>
        </w:rPr>
        <w:t xml:space="preserve"> submission of late notices, implementing </w:t>
      </w:r>
      <w:r w:rsidR="00DD4BFF" w:rsidRPr="00F03871">
        <w:rPr>
          <w:color w:val="000000" w:themeColor="text1"/>
          <w:sz w:val="26"/>
          <w:szCs w:val="26"/>
        </w:rPr>
        <w:t xml:space="preserve">bill messages, collection calls made to </w:t>
      </w:r>
      <w:r w:rsidR="00E4461A" w:rsidRPr="00F03871">
        <w:rPr>
          <w:color w:val="000000" w:themeColor="text1"/>
          <w:sz w:val="26"/>
          <w:szCs w:val="26"/>
        </w:rPr>
        <w:t>delinquent</w:t>
      </w:r>
      <w:r w:rsidR="00DD4BFF" w:rsidRPr="00F03871">
        <w:rPr>
          <w:color w:val="000000" w:themeColor="text1"/>
          <w:sz w:val="26"/>
          <w:szCs w:val="26"/>
        </w:rPr>
        <w:t xml:space="preserve"> customers, the final write-off of some delinquent amounts due to uncollectability and the sharing in any amounts that actually do get collected via third party collection agencies.  </w:t>
      </w:r>
    </w:p>
    <w:p w:rsidR="00846DD3" w:rsidRPr="00F03871" w:rsidRDefault="00846DD3" w:rsidP="00846DD3">
      <w:pPr>
        <w:spacing w:line="360" w:lineRule="auto"/>
        <w:rPr>
          <w:color w:val="000000" w:themeColor="text1"/>
          <w:sz w:val="26"/>
          <w:szCs w:val="26"/>
        </w:rPr>
      </w:pPr>
    </w:p>
    <w:p w:rsidR="00DD4BFF" w:rsidRPr="006B7BDF" w:rsidRDefault="00DD4BFF" w:rsidP="00F03871">
      <w:pPr>
        <w:spacing w:line="360" w:lineRule="auto"/>
        <w:ind w:firstLine="720"/>
        <w:rPr>
          <w:color w:val="000000" w:themeColor="text1"/>
          <w:sz w:val="26"/>
          <w:szCs w:val="26"/>
        </w:rPr>
      </w:pPr>
      <w:r w:rsidRPr="006B7BDF">
        <w:rPr>
          <w:color w:val="000000" w:themeColor="text1"/>
          <w:sz w:val="26"/>
          <w:szCs w:val="26"/>
        </w:rPr>
        <w:t>When questioned as to why the Companies decided to impose an additional flat-rate fee instead of increasing their existing percentage-based Late Payment Ch</w:t>
      </w:r>
      <w:r w:rsidR="00F03871" w:rsidRPr="006B7BDF">
        <w:rPr>
          <w:color w:val="000000" w:themeColor="text1"/>
          <w:sz w:val="26"/>
          <w:szCs w:val="26"/>
        </w:rPr>
        <w:t>arge</w:t>
      </w:r>
      <w:r w:rsidRPr="006B7BDF">
        <w:rPr>
          <w:color w:val="000000" w:themeColor="text1"/>
          <w:sz w:val="26"/>
          <w:szCs w:val="26"/>
        </w:rPr>
        <w:t xml:space="preserve">, the Companies allege that their costs of collection are the same regardless of the size of the customer and that a solely percentage-based fee does not take that factor into account.  </w:t>
      </w:r>
      <w:r w:rsidR="00226AA7">
        <w:rPr>
          <w:color w:val="000000" w:themeColor="text1"/>
          <w:sz w:val="26"/>
          <w:szCs w:val="26"/>
        </w:rPr>
        <w:t>Additionally, the Companies claim</w:t>
      </w:r>
      <w:r w:rsidRPr="006B7BDF">
        <w:rPr>
          <w:color w:val="000000" w:themeColor="text1"/>
          <w:sz w:val="26"/>
          <w:szCs w:val="26"/>
        </w:rPr>
        <w:t xml:space="preserve"> that having both a flat-rate and percentage-based </w:t>
      </w:r>
      <w:r w:rsidRPr="006B7BDF">
        <w:rPr>
          <w:color w:val="000000" w:themeColor="text1"/>
          <w:sz w:val="26"/>
          <w:szCs w:val="26"/>
        </w:rPr>
        <w:lastRenderedPageBreak/>
        <w:t>charge in place will act as a double incentive for Business Customers to pay for their services in a timely manner, prior to the Companies having to initiate time-consuming a</w:t>
      </w:r>
      <w:r w:rsidR="001C6FE1">
        <w:rPr>
          <w:color w:val="000000" w:themeColor="text1"/>
          <w:sz w:val="26"/>
          <w:szCs w:val="26"/>
        </w:rPr>
        <w:t>nd costly collection efforts.</w:t>
      </w:r>
    </w:p>
    <w:p w:rsidR="00DD4BFF" w:rsidRPr="00F03871" w:rsidRDefault="00DD4BFF" w:rsidP="00F03871">
      <w:pPr>
        <w:spacing w:line="360" w:lineRule="auto"/>
        <w:ind w:firstLine="720"/>
        <w:rPr>
          <w:color w:val="000000" w:themeColor="text1"/>
          <w:szCs w:val="24"/>
        </w:rPr>
      </w:pPr>
    </w:p>
    <w:p w:rsidR="00DD4BFF" w:rsidRDefault="00DD4BFF" w:rsidP="00F03871">
      <w:pPr>
        <w:spacing w:line="360" w:lineRule="auto"/>
        <w:ind w:firstLine="720"/>
        <w:rPr>
          <w:color w:val="000000" w:themeColor="text1"/>
          <w:sz w:val="26"/>
          <w:szCs w:val="26"/>
        </w:rPr>
      </w:pPr>
      <w:r w:rsidRPr="0019354C">
        <w:rPr>
          <w:color w:val="000000" w:themeColor="text1"/>
          <w:sz w:val="26"/>
          <w:szCs w:val="26"/>
        </w:rPr>
        <w:t xml:space="preserve">In response to an inquiry as to whether or not the Companies would allow any of their Business Customers currently subject to an unexpired multi-month fixed-term contract an opportunity to terminate their contract without incurring any Term Liability or Termination Charges prior to the implementation of the Collection Fee, the Companies indicated their form of contract permits the imposition of a collection fee subject to any applicable tariffing approvals.  Thus, the Companies contracts reserved their right to implement the Collection Fee.  Because the Companies’ Business Customers subject to term contracts have been apprised that such a charge is a possibility in the event of their failure to make timely payment, the Companies do not plan to release Business Customers from any term contracts or the provisions thereof. </w:t>
      </w:r>
    </w:p>
    <w:p w:rsidR="00684967" w:rsidRDefault="00684967" w:rsidP="00F03871">
      <w:pPr>
        <w:spacing w:line="360" w:lineRule="auto"/>
        <w:ind w:firstLine="720"/>
        <w:rPr>
          <w:color w:val="000000" w:themeColor="text1"/>
          <w:sz w:val="26"/>
          <w:szCs w:val="26"/>
        </w:rPr>
      </w:pPr>
    </w:p>
    <w:p w:rsidR="00684967" w:rsidRPr="00846DD3" w:rsidRDefault="00684967" w:rsidP="00F03871">
      <w:pPr>
        <w:spacing w:line="360" w:lineRule="auto"/>
        <w:ind w:firstLine="720"/>
        <w:rPr>
          <w:color w:val="000000" w:themeColor="text1"/>
          <w:sz w:val="26"/>
          <w:szCs w:val="26"/>
        </w:rPr>
      </w:pPr>
      <w:r w:rsidRPr="00D2619A">
        <w:rPr>
          <w:color w:val="000000" w:themeColor="text1"/>
          <w:sz w:val="26"/>
          <w:szCs w:val="26"/>
        </w:rPr>
        <w:t xml:space="preserve">When asked to provide supporting data to justify the $12.00 amount of the Collection Fee, the Companies responded that as competitive companies, they did </w:t>
      </w:r>
      <w:r>
        <w:rPr>
          <w:color w:val="000000" w:themeColor="text1"/>
          <w:sz w:val="26"/>
          <w:szCs w:val="26"/>
        </w:rPr>
        <w:t>not perform any cost studies to</w:t>
      </w:r>
      <w:r w:rsidRPr="00D2619A">
        <w:rPr>
          <w:color w:val="000000" w:themeColor="text1"/>
          <w:sz w:val="26"/>
          <w:szCs w:val="26"/>
        </w:rPr>
        <w:t xml:space="preserve"> substantiate the amount of the Collection Fee.</w:t>
      </w:r>
      <w:r>
        <w:rPr>
          <w:color w:val="000000" w:themeColor="text1"/>
          <w:sz w:val="26"/>
          <w:szCs w:val="26"/>
        </w:rPr>
        <w:t xml:space="preserve"> </w:t>
      </w:r>
    </w:p>
    <w:p w:rsidR="00DD4BFF" w:rsidRPr="0019354C" w:rsidRDefault="00DD4BFF" w:rsidP="00F03871">
      <w:pPr>
        <w:spacing w:line="360" w:lineRule="auto"/>
        <w:ind w:firstLine="720"/>
        <w:rPr>
          <w:color w:val="000000" w:themeColor="text1"/>
          <w:sz w:val="26"/>
          <w:szCs w:val="26"/>
        </w:rPr>
      </w:pPr>
    </w:p>
    <w:p w:rsidR="00DD4BFF" w:rsidRPr="0019354C" w:rsidRDefault="00DD4BFF" w:rsidP="00F03871">
      <w:pPr>
        <w:spacing w:line="360" w:lineRule="auto"/>
        <w:ind w:firstLine="720"/>
        <w:rPr>
          <w:color w:val="000000" w:themeColor="text1"/>
          <w:sz w:val="26"/>
          <w:szCs w:val="26"/>
        </w:rPr>
      </w:pPr>
      <w:r w:rsidRPr="0019354C">
        <w:rPr>
          <w:color w:val="000000" w:themeColor="text1"/>
          <w:sz w:val="26"/>
          <w:szCs w:val="26"/>
        </w:rPr>
        <w:t>Other information provided b</w:t>
      </w:r>
      <w:r w:rsidR="00094F4A">
        <w:rPr>
          <w:color w:val="000000" w:themeColor="text1"/>
          <w:sz w:val="26"/>
          <w:szCs w:val="26"/>
        </w:rPr>
        <w:t>y the Companies in response to S</w:t>
      </w:r>
      <w:r w:rsidRPr="0019354C">
        <w:rPr>
          <w:color w:val="000000" w:themeColor="text1"/>
          <w:sz w:val="26"/>
          <w:szCs w:val="26"/>
        </w:rPr>
        <w:t>taff’s Data Re</w:t>
      </w:r>
      <w:r w:rsidR="0019354C" w:rsidRPr="0019354C">
        <w:rPr>
          <w:color w:val="000000" w:themeColor="text1"/>
          <w:sz w:val="26"/>
          <w:szCs w:val="26"/>
        </w:rPr>
        <w:t>quests included a sample bill</w:t>
      </w:r>
      <w:r w:rsidRPr="0019354C">
        <w:rPr>
          <w:color w:val="000000" w:themeColor="text1"/>
          <w:sz w:val="26"/>
          <w:szCs w:val="26"/>
        </w:rPr>
        <w:t xml:space="preserve"> message informing customers of the implementation of the Collection Fee</w:t>
      </w:r>
      <w:r w:rsidR="00846DD3">
        <w:rPr>
          <w:color w:val="000000" w:themeColor="text1"/>
          <w:sz w:val="26"/>
          <w:szCs w:val="26"/>
        </w:rPr>
        <w:t>, a list of other jurisdictions where they or other Windstream Companies have implemented similar fee</w:t>
      </w:r>
      <w:r w:rsidR="00B77F35">
        <w:rPr>
          <w:color w:val="000000" w:themeColor="text1"/>
          <w:sz w:val="26"/>
          <w:szCs w:val="26"/>
        </w:rPr>
        <w:t>, a tariff page from one other jurisdictional CLEC’s local exchange tariff containing a similar fee</w:t>
      </w:r>
      <w:r w:rsidR="00B77F35">
        <w:rPr>
          <w:rStyle w:val="FootnoteReference"/>
          <w:color w:val="000000" w:themeColor="text1"/>
          <w:sz w:val="26"/>
          <w:szCs w:val="26"/>
        </w:rPr>
        <w:footnoteReference w:id="6"/>
      </w:r>
      <w:r w:rsidR="006C1532">
        <w:rPr>
          <w:color w:val="000000" w:themeColor="text1"/>
          <w:sz w:val="26"/>
          <w:szCs w:val="26"/>
        </w:rPr>
        <w:t xml:space="preserve"> </w:t>
      </w:r>
      <w:r w:rsidRPr="0019354C">
        <w:rPr>
          <w:color w:val="000000" w:themeColor="text1"/>
          <w:sz w:val="26"/>
          <w:szCs w:val="26"/>
        </w:rPr>
        <w:t>and an indication that the Companies have not received any customer complaints related specifically to the</w:t>
      </w:r>
      <w:r w:rsidR="00846DD3">
        <w:rPr>
          <w:color w:val="000000" w:themeColor="text1"/>
          <w:sz w:val="26"/>
          <w:szCs w:val="26"/>
        </w:rPr>
        <w:t xml:space="preserve"> introduction</w:t>
      </w:r>
      <w:r w:rsidRPr="0019354C">
        <w:rPr>
          <w:color w:val="000000" w:themeColor="text1"/>
          <w:sz w:val="26"/>
          <w:szCs w:val="26"/>
        </w:rPr>
        <w:t xml:space="preserve"> of the Collection Fee</w:t>
      </w:r>
      <w:r w:rsidR="00846DD3">
        <w:rPr>
          <w:color w:val="000000" w:themeColor="text1"/>
          <w:sz w:val="26"/>
          <w:szCs w:val="26"/>
        </w:rPr>
        <w:t xml:space="preserve"> in Pennsylvania</w:t>
      </w:r>
      <w:r w:rsidRPr="0019354C">
        <w:rPr>
          <w:color w:val="000000" w:themeColor="text1"/>
          <w:sz w:val="26"/>
          <w:szCs w:val="26"/>
        </w:rPr>
        <w:t>.</w:t>
      </w:r>
    </w:p>
    <w:p w:rsidR="00232E12" w:rsidRDefault="000056A0" w:rsidP="00F03871">
      <w:pPr>
        <w:spacing w:line="360" w:lineRule="auto"/>
        <w:ind w:firstLine="720"/>
        <w:rPr>
          <w:color w:val="000000" w:themeColor="text1"/>
          <w:sz w:val="26"/>
          <w:szCs w:val="26"/>
        </w:rPr>
      </w:pPr>
      <w:r>
        <w:rPr>
          <w:color w:val="000000" w:themeColor="text1"/>
          <w:sz w:val="26"/>
          <w:szCs w:val="26"/>
        </w:rPr>
        <w:t xml:space="preserve"> </w:t>
      </w:r>
    </w:p>
    <w:p w:rsidR="00157D3A" w:rsidRDefault="00157D3A" w:rsidP="00157D3A">
      <w:pPr>
        <w:spacing w:line="360" w:lineRule="auto"/>
        <w:jc w:val="center"/>
        <w:rPr>
          <w:b/>
          <w:color w:val="000000" w:themeColor="text1"/>
          <w:sz w:val="26"/>
          <w:szCs w:val="26"/>
        </w:rPr>
      </w:pPr>
      <w:r w:rsidRPr="00157D3A">
        <w:rPr>
          <w:b/>
          <w:color w:val="000000" w:themeColor="text1"/>
          <w:sz w:val="26"/>
          <w:szCs w:val="26"/>
        </w:rPr>
        <w:lastRenderedPageBreak/>
        <w:t>DISCUSSION</w:t>
      </w:r>
    </w:p>
    <w:p w:rsidR="005E120A" w:rsidRPr="00157D3A" w:rsidRDefault="005E120A" w:rsidP="00157D3A">
      <w:pPr>
        <w:spacing w:line="360" w:lineRule="auto"/>
        <w:jc w:val="center"/>
        <w:rPr>
          <w:b/>
          <w:color w:val="000000" w:themeColor="text1"/>
          <w:sz w:val="26"/>
          <w:szCs w:val="26"/>
        </w:rPr>
      </w:pPr>
    </w:p>
    <w:p w:rsidR="006A55D2" w:rsidRDefault="0043613C" w:rsidP="005F6D0B">
      <w:pPr>
        <w:spacing w:line="360" w:lineRule="auto"/>
        <w:rPr>
          <w:color w:val="000000" w:themeColor="text1"/>
          <w:sz w:val="26"/>
          <w:szCs w:val="26"/>
        </w:rPr>
      </w:pPr>
      <w:r>
        <w:rPr>
          <w:color w:val="000000" w:themeColor="text1"/>
          <w:sz w:val="26"/>
          <w:szCs w:val="26"/>
        </w:rPr>
        <w:tab/>
      </w:r>
      <w:r w:rsidR="00157D3A">
        <w:rPr>
          <w:color w:val="000000" w:themeColor="text1"/>
          <w:sz w:val="26"/>
          <w:szCs w:val="26"/>
        </w:rPr>
        <w:t>Late payment fee</w:t>
      </w:r>
      <w:r w:rsidR="005E120A">
        <w:rPr>
          <w:color w:val="000000" w:themeColor="text1"/>
          <w:sz w:val="26"/>
          <w:szCs w:val="26"/>
        </w:rPr>
        <w:t>s are generally designed to compensate a utility for expen</w:t>
      </w:r>
      <w:r w:rsidR="005F6D0B">
        <w:rPr>
          <w:color w:val="000000" w:themeColor="text1"/>
          <w:sz w:val="26"/>
          <w:szCs w:val="26"/>
        </w:rPr>
        <w:t>ses incurred as a result of</w:t>
      </w:r>
      <w:r w:rsidR="005E120A">
        <w:rPr>
          <w:color w:val="000000" w:themeColor="text1"/>
          <w:sz w:val="26"/>
          <w:szCs w:val="26"/>
        </w:rPr>
        <w:t xml:space="preserve"> late payment</w:t>
      </w:r>
      <w:r w:rsidR="005F6D0B">
        <w:rPr>
          <w:color w:val="000000" w:themeColor="text1"/>
          <w:sz w:val="26"/>
          <w:szCs w:val="26"/>
        </w:rPr>
        <w:t>s</w:t>
      </w:r>
      <w:r w:rsidR="005E120A">
        <w:rPr>
          <w:color w:val="000000" w:themeColor="text1"/>
          <w:sz w:val="26"/>
          <w:szCs w:val="26"/>
        </w:rPr>
        <w:t xml:space="preserve"> and to provide an incentive for customers to make timely payments.</w:t>
      </w:r>
      <w:r>
        <w:rPr>
          <w:color w:val="000000" w:themeColor="text1"/>
          <w:sz w:val="26"/>
          <w:szCs w:val="26"/>
        </w:rPr>
        <w:t xml:space="preserve">  </w:t>
      </w:r>
      <w:r w:rsidR="005F6D0B">
        <w:rPr>
          <w:color w:val="000000" w:themeColor="text1"/>
          <w:sz w:val="26"/>
          <w:szCs w:val="26"/>
        </w:rPr>
        <w:t xml:space="preserve">The Commission has promulgated various payment and billing regulations with these goals in mind.  </w:t>
      </w:r>
      <w:r>
        <w:rPr>
          <w:color w:val="000000" w:themeColor="text1"/>
          <w:sz w:val="26"/>
          <w:szCs w:val="26"/>
        </w:rPr>
        <w:t>O</w:t>
      </w:r>
      <w:r w:rsidR="005F6D0B">
        <w:rPr>
          <w:color w:val="000000" w:themeColor="text1"/>
          <w:sz w:val="26"/>
          <w:szCs w:val="26"/>
        </w:rPr>
        <w:t xml:space="preserve">ur regulations pertaining to </w:t>
      </w:r>
      <w:r w:rsidR="005F6D0B" w:rsidRPr="005E120A">
        <w:rPr>
          <w:color w:val="000000" w:themeColor="text1"/>
          <w:sz w:val="26"/>
          <w:szCs w:val="26"/>
        </w:rPr>
        <w:t>Residential Customers of jurisdiction</w:t>
      </w:r>
      <w:r w:rsidR="005F6D0B">
        <w:rPr>
          <w:color w:val="000000" w:themeColor="text1"/>
          <w:sz w:val="26"/>
          <w:szCs w:val="26"/>
        </w:rPr>
        <w:t>al telecommunications utilities prohibit the assessment of a late payment charge in excess of</w:t>
      </w:r>
      <w:r w:rsidR="005F6D0B" w:rsidRPr="005E120A">
        <w:rPr>
          <w:color w:val="000000" w:themeColor="text1"/>
          <w:sz w:val="26"/>
          <w:szCs w:val="26"/>
        </w:rPr>
        <w:t xml:space="preserve"> 1.25% per month</w:t>
      </w:r>
      <w:r w:rsidR="005F6D0B">
        <w:rPr>
          <w:color w:val="000000" w:themeColor="text1"/>
          <w:sz w:val="26"/>
          <w:szCs w:val="26"/>
        </w:rPr>
        <w:t xml:space="preserve"> on the full unpaid and overdue balance of the bill.</w:t>
      </w:r>
      <w:r w:rsidR="006A55D2">
        <w:rPr>
          <w:color w:val="000000" w:themeColor="text1"/>
          <w:sz w:val="26"/>
          <w:szCs w:val="26"/>
        </w:rPr>
        <w:t xml:space="preserve">  Additional charges, fixed fees or penalties designed to recover the cost of subsequent rebillings are explicitly proscribed.</w:t>
      </w:r>
      <w:r w:rsidR="005F6D0B">
        <w:rPr>
          <w:rStyle w:val="FootnoteReference"/>
          <w:color w:val="000000" w:themeColor="text1"/>
          <w:sz w:val="26"/>
          <w:szCs w:val="26"/>
        </w:rPr>
        <w:footnoteReference w:id="7"/>
      </w:r>
      <w:r w:rsidR="006A55D2">
        <w:rPr>
          <w:color w:val="000000" w:themeColor="text1"/>
          <w:sz w:val="26"/>
          <w:szCs w:val="26"/>
        </w:rPr>
        <w:t xml:space="preserve">  </w:t>
      </w:r>
    </w:p>
    <w:p w:rsidR="004E6641" w:rsidRDefault="004E6641" w:rsidP="005F6D0B">
      <w:pPr>
        <w:spacing w:line="360" w:lineRule="auto"/>
        <w:rPr>
          <w:color w:val="000000" w:themeColor="text1"/>
          <w:sz w:val="26"/>
          <w:szCs w:val="26"/>
        </w:rPr>
      </w:pPr>
    </w:p>
    <w:p w:rsidR="006A55D2" w:rsidRDefault="004E6641" w:rsidP="005F6D0B">
      <w:pPr>
        <w:spacing w:line="360" w:lineRule="auto"/>
        <w:rPr>
          <w:color w:val="000000" w:themeColor="text1"/>
          <w:sz w:val="26"/>
          <w:szCs w:val="26"/>
        </w:rPr>
      </w:pPr>
      <w:r>
        <w:rPr>
          <w:color w:val="000000" w:themeColor="text1"/>
          <w:sz w:val="26"/>
          <w:szCs w:val="26"/>
        </w:rPr>
        <w:tab/>
      </w:r>
      <w:r w:rsidR="00221DC8">
        <w:rPr>
          <w:color w:val="000000" w:themeColor="text1"/>
          <w:sz w:val="26"/>
          <w:szCs w:val="26"/>
        </w:rPr>
        <w:t xml:space="preserve">However, the Commission’s regulations at </w:t>
      </w:r>
      <w:r>
        <w:rPr>
          <w:color w:val="000000" w:themeColor="text1"/>
          <w:sz w:val="26"/>
          <w:szCs w:val="26"/>
        </w:rPr>
        <w:t xml:space="preserve">52 Pa. Code </w:t>
      </w:r>
      <w:r w:rsidR="002956DA">
        <w:rPr>
          <w:color w:val="000000" w:themeColor="text1"/>
          <w:sz w:val="26"/>
          <w:szCs w:val="26"/>
        </w:rPr>
        <w:t>§§</w:t>
      </w:r>
      <w:r w:rsidR="004546C2">
        <w:rPr>
          <w:color w:val="000000" w:themeColor="text1"/>
          <w:sz w:val="26"/>
          <w:szCs w:val="26"/>
        </w:rPr>
        <w:t>53.57</w:t>
      </w:r>
      <w:r>
        <w:rPr>
          <w:color w:val="000000" w:themeColor="text1"/>
          <w:sz w:val="26"/>
          <w:szCs w:val="26"/>
        </w:rPr>
        <w:t xml:space="preserve"> </w:t>
      </w:r>
      <w:r w:rsidRPr="004546C2">
        <w:rPr>
          <w:i/>
          <w:color w:val="000000" w:themeColor="text1"/>
          <w:sz w:val="26"/>
          <w:szCs w:val="26"/>
        </w:rPr>
        <w:t>et al</w:t>
      </w:r>
      <w:r w:rsidR="004546C2">
        <w:rPr>
          <w:i/>
          <w:color w:val="000000" w:themeColor="text1"/>
          <w:sz w:val="26"/>
          <w:szCs w:val="26"/>
        </w:rPr>
        <w:t>.</w:t>
      </w:r>
      <w:r>
        <w:rPr>
          <w:color w:val="000000" w:themeColor="text1"/>
          <w:sz w:val="26"/>
          <w:szCs w:val="26"/>
        </w:rPr>
        <w:t xml:space="preserve"> set forth tariff filing requirements for </w:t>
      </w:r>
      <w:r w:rsidR="00435830">
        <w:rPr>
          <w:color w:val="000000" w:themeColor="text1"/>
          <w:sz w:val="26"/>
          <w:szCs w:val="26"/>
        </w:rPr>
        <w:t xml:space="preserve">both </w:t>
      </w:r>
      <w:r w:rsidR="00A577E4">
        <w:rPr>
          <w:color w:val="000000" w:themeColor="text1"/>
          <w:sz w:val="26"/>
          <w:szCs w:val="26"/>
        </w:rPr>
        <w:t xml:space="preserve">incumbent </w:t>
      </w:r>
      <w:r>
        <w:rPr>
          <w:color w:val="000000" w:themeColor="text1"/>
          <w:sz w:val="26"/>
          <w:szCs w:val="26"/>
        </w:rPr>
        <w:t xml:space="preserve">and </w:t>
      </w:r>
      <w:r w:rsidR="00A577E4">
        <w:rPr>
          <w:color w:val="000000" w:themeColor="text1"/>
          <w:sz w:val="26"/>
          <w:szCs w:val="26"/>
        </w:rPr>
        <w:t>competitive local exchange carriers</w:t>
      </w:r>
      <w:r w:rsidR="002E5936">
        <w:rPr>
          <w:color w:val="000000" w:themeColor="text1"/>
          <w:sz w:val="26"/>
          <w:szCs w:val="26"/>
        </w:rPr>
        <w:t xml:space="preserve"> concerning rates for noncompetitive and competitive services</w:t>
      </w:r>
      <w:r>
        <w:rPr>
          <w:color w:val="000000" w:themeColor="text1"/>
          <w:sz w:val="26"/>
          <w:szCs w:val="26"/>
        </w:rPr>
        <w:t xml:space="preserve">.  </w:t>
      </w:r>
      <w:r w:rsidR="00DA3591">
        <w:rPr>
          <w:color w:val="000000" w:themeColor="text1"/>
          <w:sz w:val="26"/>
          <w:szCs w:val="26"/>
        </w:rPr>
        <w:t xml:space="preserve">Our regulations at </w:t>
      </w:r>
      <w:r>
        <w:rPr>
          <w:color w:val="000000" w:themeColor="text1"/>
          <w:sz w:val="26"/>
          <w:szCs w:val="26"/>
        </w:rPr>
        <w:t>Section 53.59(e) provide that the Commission may request relevant documentary support, including cost support, from CLECs when they introduce new or revised rates that are higher than</w:t>
      </w:r>
      <w:r w:rsidR="002956DA">
        <w:rPr>
          <w:color w:val="000000" w:themeColor="text1"/>
          <w:sz w:val="26"/>
          <w:szCs w:val="26"/>
        </w:rPr>
        <w:t xml:space="preserve"> the corresponding rates of an </w:t>
      </w:r>
      <w:r w:rsidR="00581909">
        <w:rPr>
          <w:color w:val="000000" w:themeColor="text1"/>
          <w:sz w:val="26"/>
          <w:szCs w:val="26"/>
        </w:rPr>
        <w:t xml:space="preserve">incumbent local exchange carrier </w:t>
      </w:r>
      <w:r w:rsidR="002956DA">
        <w:rPr>
          <w:color w:val="000000" w:themeColor="text1"/>
          <w:sz w:val="26"/>
          <w:szCs w:val="26"/>
        </w:rPr>
        <w:t xml:space="preserve">in an </w:t>
      </w:r>
      <w:r w:rsidR="00581909">
        <w:rPr>
          <w:color w:val="000000" w:themeColor="text1"/>
          <w:sz w:val="26"/>
          <w:szCs w:val="26"/>
        </w:rPr>
        <w:t>incumbent carrier</w:t>
      </w:r>
      <w:r w:rsidR="002956DA">
        <w:rPr>
          <w:color w:val="000000" w:themeColor="text1"/>
          <w:sz w:val="26"/>
          <w:szCs w:val="26"/>
        </w:rPr>
        <w:t xml:space="preserve">’s service area.  </w:t>
      </w:r>
      <w:r w:rsidR="00435830">
        <w:rPr>
          <w:color w:val="000000" w:themeColor="text1"/>
          <w:sz w:val="26"/>
          <w:szCs w:val="26"/>
        </w:rPr>
        <w:t>In th</w:t>
      </w:r>
      <w:r w:rsidR="00DA3591">
        <w:rPr>
          <w:color w:val="000000" w:themeColor="text1"/>
          <w:sz w:val="26"/>
          <w:szCs w:val="26"/>
        </w:rPr>
        <w:t>e instant case, our regulations are inapplicable to the fee that is being cha</w:t>
      </w:r>
      <w:r w:rsidR="004546C2">
        <w:rPr>
          <w:color w:val="000000" w:themeColor="text1"/>
          <w:sz w:val="26"/>
          <w:szCs w:val="26"/>
        </w:rPr>
        <w:t>rged by the Companies because the fee</w:t>
      </w:r>
      <w:r w:rsidR="00DA3591">
        <w:rPr>
          <w:color w:val="000000" w:themeColor="text1"/>
          <w:sz w:val="26"/>
          <w:szCs w:val="26"/>
        </w:rPr>
        <w:t xml:space="preserve"> does not implicate a rate for noncompetitive or competitive services as defined by both the current Chapter 30 and our regulations.  </w:t>
      </w:r>
    </w:p>
    <w:p w:rsidR="006A55D2" w:rsidRDefault="006A55D2" w:rsidP="005F6D0B">
      <w:pPr>
        <w:spacing w:line="360" w:lineRule="auto"/>
        <w:rPr>
          <w:color w:val="000000" w:themeColor="text1"/>
          <w:sz w:val="26"/>
          <w:szCs w:val="26"/>
        </w:rPr>
      </w:pPr>
      <w:r>
        <w:rPr>
          <w:color w:val="000000" w:themeColor="text1"/>
          <w:sz w:val="26"/>
          <w:szCs w:val="26"/>
        </w:rPr>
        <w:tab/>
      </w:r>
    </w:p>
    <w:p w:rsidR="00157D3A" w:rsidRDefault="008424A6" w:rsidP="00190D8E">
      <w:pPr>
        <w:spacing w:line="360" w:lineRule="auto"/>
        <w:rPr>
          <w:color w:val="000000" w:themeColor="text1"/>
          <w:sz w:val="26"/>
          <w:szCs w:val="26"/>
        </w:rPr>
      </w:pPr>
      <w:r>
        <w:rPr>
          <w:color w:val="000000" w:themeColor="text1"/>
          <w:sz w:val="26"/>
          <w:szCs w:val="26"/>
        </w:rPr>
        <w:tab/>
        <w:t xml:space="preserve">We </w:t>
      </w:r>
      <w:r w:rsidR="00DA3591">
        <w:rPr>
          <w:color w:val="000000" w:themeColor="text1"/>
          <w:sz w:val="26"/>
          <w:szCs w:val="26"/>
        </w:rPr>
        <w:t xml:space="preserve">further </w:t>
      </w:r>
      <w:r>
        <w:rPr>
          <w:color w:val="000000" w:themeColor="text1"/>
          <w:sz w:val="26"/>
          <w:szCs w:val="26"/>
        </w:rPr>
        <w:t>note that there are no regulations</w:t>
      </w:r>
      <w:r w:rsidR="00190D8E">
        <w:rPr>
          <w:color w:val="000000" w:themeColor="text1"/>
          <w:sz w:val="26"/>
          <w:szCs w:val="26"/>
        </w:rPr>
        <w:t xml:space="preserve"> pertaining to</w:t>
      </w:r>
      <w:r>
        <w:rPr>
          <w:color w:val="000000" w:themeColor="text1"/>
          <w:sz w:val="26"/>
          <w:szCs w:val="26"/>
        </w:rPr>
        <w:t xml:space="preserve"> </w:t>
      </w:r>
      <w:r w:rsidR="00DB0211">
        <w:rPr>
          <w:color w:val="000000" w:themeColor="text1"/>
          <w:sz w:val="26"/>
          <w:szCs w:val="26"/>
        </w:rPr>
        <w:t xml:space="preserve">late payment charges for </w:t>
      </w:r>
      <w:r>
        <w:rPr>
          <w:color w:val="000000" w:themeColor="text1"/>
          <w:sz w:val="26"/>
          <w:szCs w:val="26"/>
        </w:rPr>
        <w:t>Business Customers of jurisdiction</w:t>
      </w:r>
      <w:r w:rsidR="009F080C">
        <w:rPr>
          <w:color w:val="000000" w:themeColor="text1"/>
          <w:sz w:val="26"/>
          <w:szCs w:val="26"/>
        </w:rPr>
        <w:t>al telecommunications utilities</w:t>
      </w:r>
      <w:r w:rsidR="00190D8E">
        <w:rPr>
          <w:color w:val="000000" w:themeColor="text1"/>
          <w:sz w:val="26"/>
          <w:szCs w:val="26"/>
        </w:rPr>
        <w:t>.</w:t>
      </w:r>
      <w:r>
        <w:rPr>
          <w:color w:val="000000" w:themeColor="text1"/>
          <w:sz w:val="26"/>
          <w:szCs w:val="26"/>
        </w:rPr>
        <w:t xml:space="preserve">  </w:t>
      </w:r>
      <w:r w:rsidR="00157D3A">
        <w:rPr>
          <w:color w:val="000000" w:themeColor="text1"/>
          <w:sz w:val="26"/>
          <w:szCs w:val="26"/>
        </w:rPr>
        <w:t>Business Customers are frequently sophisticated purchasers of telecommunications services and have a plethora of service providers to choose from</w:t>
      </w:r>
      <w:r w:rsidR="00152809">
        <w:rPr>
          <w:color w:val="000000" w:themeColor="text1"/>
          <w:sz w:val="26"/>
          <w:szCs w:val="26"/>
        </w:rPr>
        <w:t xml:space="preserve"> in an increasingly competitive marketplace</w:t>
      </w:r>
      <w:r w:rsidR="00157D3A">
        <w:rPr>
          <w:color w:val="000000" w:themeColor="text1"/>
          <w:sz w:val="26"/>
          <w:szCs w:val="26"/>
        </w:rPr>
        <w:t xml:space="preserve">.  Additionally, the Collection Fee would only be applied to those Business Customers who </w:t>
      </w:r>
      <w:r w:rsidR="00157D3A">
        <w:rPr>
          <w:color w:val="000000" w:themeColor="text1"/>
          <w:sz w:val="26"/>
          <w:szCs w:val="26"/>
        </w:rPr>
        <w:lastRenderedPageBreak/>
        <w:t>are delinquent in their payment to the Companies.  Business Customers could avoid incurring the Collection Fee by making timely payments.  We believe it is preferable that the additional costs incurred by the Companies as a result of delinquent payments be recovered from the customers directly responsible for those additional costs, rather than allocated across their entire customer bases in the form of general service</w:t>
      </w:r>
      <w:r w:rsidR="00B77F35">
        <w:rPr>
          <w:color w:val="000000" w:themeColor="text1"/>
          <w:sz w:val="26"/>
          <w:szCs w:val="26"/>
        </w:rPr>
        <w:t xml:space="preserve"> rate increases.  </w:t>
      </w:r>
    </w:p>
    <w:p w:rsidR="00157D3A" w:rsidRDefault="00157D3A" w:rsidP="00C86AF2">
      <w:pPr>
        <w:spacing w:line="360" w:lineRule="auto"/>
        <w:rPr>
          <w:color w:val="000000" w:themeColor="text1"/>
          <w:sz w:val="26"/>
          <w:szCs w:val="26"/>
        </w:rPr>
      </w:pPr>
    </w:p>
    <w:p w:rsidR="00C86AF2" w:rsidRPr="00157D3A" w:rsidRDefault="00C86AF2" w:rsidP="00157D3A">
      <w:pPr>
        <w:spacing w:line="360" w:lineRule="auto"/>
        <w:jc w:val="center"/>
        <w:rPr>
          <w:b/>
          <w:color w:val="000000" w:themeColor="text1"/>
          <w:sz w:val="26"/>
          <w:szCs w:val="26"/>
        </w:rPr>
      </w:pPr>
      <w:r w:rsidRPr="00157D3A">
        <w:rPr>
          <w:b/>
          <w:color w:val="000000" w:themeColor="text1"/>
          <w:sz w:val="26"/>
          <w:szCs w:val="26"/>
        </w:rPr>
        <w:t>CONCLUSION</w:t>
      </w:r>
    </w:p>
    <w:p w:rsidR="00C86AF2" w:rsidRPr="00190D8E" w:rsidRDefault="00C86AF2" w:rsidP="00094F4A">
      <w:pPr>
        <w:spacing w:line="360" w:lineRule="auto"/>
        <w:ind w:firstLine="720"/>
        <w:rPr>
          <w:color w:val="000000" w:themeColor="text1"/>
          <w:sz w:val="26"/>
          <w:szCs w:val="26"/>
        </w:rPr>
      </w:pPr>
    </w:p>
    <w:p w:rsidR="007E1113" w:rsidRDefault="006C6354" w:rsidP="004546C2">
      <w:pPr>
        <w:spacing w:line="360" w:lineRule="auto"/>
        <w:rPr>
          <w:b/>
          <w:color w:val="000000"/>
          <w:sz w:val="26"/>
          <w:szCs w:val="26"/>
        </w:rPr>
      </w:pPr>
      <w:r>
        <w:rPr>
          <w:color w:val="000000" w:themeColor="text1"/>
          <w:sz w:val="26"/>
          <w:szCs w:val="26"/>
        </w:rPr>
        <w:tab/>
      </w:r>
      <w:r w:rsidR="00226AA7" w:rsidRPr="006C1532">
        <w:rPr>
          <w:color w:val="000000" w:themeColor="text1"/>
          <w:sz w:val="26"/>
          <w:szCs w:val="26"/>
        </w:rPr>
        <w:t>Upon our r</w:t>
      </w:r>
      <w:r w:rsidR="006C1532" w:rsidRPr="006C1532">
        <w:rPr>
          <w:color w:val="000000" w:themeColor="text1"/>
          <w:sz w:val="26"/>
          <w:szCs w:val="26"/>
        </w:rPr>
        <w:t>eview, it does not appear that US LEC of Pennsylvania Inc.</w:t>
      </w:r>
      <w:r w:rsidR="00C86AF2">
        <w:rPr>
          <w:color w:val="000000" w:themeColor="text1"/>
          <w:sz w:val="26"/>
          <w:szCs w:val="26"/>
        </w:rPr>
        <w:t xml:space="preserve"> </w:t>
      </w:r>
      <w:r w:rsidR="00B8382C">
        <w:rPr>
          <w:color w:val="000000" w:themeColor="text1"/>
          <w:sz w:val="26"/>
          <w:szCs w:val="26"/>
        </w:rPr>
        <w:t>d/b/a PAETEC Business Services</w:t>
      </w:r>
      <w:r w:rsidR="00B8382C" w:rsidRPr="006C1532">
        <w:rPr>
          <w:color w:val="000000" w:themeColor="text1"/>
          <w:sz w:val="26"/>
          <w:szCs w:val="26"/>
        </w:rPr>
        <w:t>’</w:t>
      </w:r>
      <w:r w:rsidR="006C1532" w:rsidRPr="006C1532">
        <w:rPr>
          <w:color w:val="000000" w:themeColor="text1"/>
          <w:sz w:val="26"/>
          <w:szCs w:val="26"/>
        </w:rPr>
        <w:t xml:space="preserve"> Supplement No. 31 to Tariff PA P.U.C. No. 1, PAETEC Communication</w:t>
      </w:r>
      <w:r w:rsidR="00E16D09">
        <w:rPr>
          <w:color w:val="000000" w:themeColor="text1"/>
          <w:sz w:val="26"/>
          <w:szCs w:val="26"/>
        </w:rPr>
        <w:t>s</w:t>
      </w:r>
      <w:r w:rsidR="006C1532" w:rsidRPr="006C1532">
        <w:rPr>
          <w:color w:val="000000" w:themeColor="text1"/>
          <w:sz w:val="26"/>
          <w:szCs w:val="26"/>
        </w:rPr>
        <w:t>, Inc.’s Supplement No. 35 to Tariff PA P.U.C. No. 3, Windstream Communication, Inc.’s Supplement No. 6 to Tariff PA P.U.C. No. 2 and Windstream D&amp;E Systems, Inc.’s Supplement No. 6 to Tariff PA P.U.C. No. 5 are unlawful, unjust, unreasonable and contrary to the public interest.  Therefore, we shall allow the tariff supplements to remain in effect according to the eff</w:t>
      </w:r>
      <w:r w:rsidR="00846DD3">
        <w:rPr>
          <w:color w:val="000000" w:themeColor="text1"/>
          <w:sz w:val="26"/>
          <w:szCs w:val="26"/>
        </w:rPr>
        <w:t>ective dates contained therein</w:t>
      </w:r>
      <w:r>
        <w:rPr>
          <w:color w:val="000000" w:themeColor="text1"/>
          <w:sz w:val="26"/>
          <w:szCs w:val="26"/>
        </w:rPr>
        <w:t>;</w:t>
      </w:r>
      <w:r w:rsidR="00157D3A">
        <w:rPr>
          <w:rStyle w:val="FootnoteReference"/>
          <w:color w:val="000000" w:themeColor="text1"/>
          <w:sz w:val="26"/>
          <w:szCs w:val="26"/>
        </w:rPr>
        <w:footnoteReference w:id="8"/>
      </w:r>
      <w:r>
        <w:rPr>
          <w:color w:val="000000" w:themeColor="text1"/>
          <w:sz w:val="26"/>
          <w:szCs w:val="26"/>
        </w:rPr>
        <w:t xml:space="preserve"> </w:t>
      </w:r>
      <w:r w:rsidR="00963B87" w:rsidRPr="00A05F32">
        <w:rPr>
          <w:b/>
          <w:color w:val="000000"/>
          <w:sz w:val="26"/>
          <w:szCs w:val="26"/>
        </w:rPr>
        <w:t>THEREFORE,</w:t>
      </w:r>
    </w:p>
    <w:p w:rsidR="006C6354" w:rsidRPr="00157D3A" w:rsidRDefault="006C6354" w:rsidP="00157D3A">
      <w:pPr>
        <w:spacing w:line="360" w:lineRule="auto"/>
        <w:ind w:firstLine="720"/>
        <w:rPr>
          <w:color w:val="000000" w:themeColor="text1"/>
          <w:sz w:val="26"/>
          <w:szCs w:val="26"/>
        </w:rPr>
      </w:pPr>
    </w:p>
    <w:p w:rsidR="00DF7EBB" w:rsidRPr="007539F1" w:rsidRDefault="00DF7EBB" w:rsidP="00E9557A">
      <w:pPr>
        <w:spacing w:after="360" w:line="360" w:lineRule="auto"/>
        <w:rPr>
          <w:b/>
          <w:color w:val="auto"/>
          <w:sz w:val="26"/>
          <w:szCs w:val="26"/>
        </w:rPr>
      </w:pPr>
      <w:r w:rsidRPr="007539F1">
        <w:rPr>
          <w:b/>
          <w:color w:val="auto"/>
          <w:sz w:val="26"/>
          <w:szCs w:val="26"/>
        </w:rPr>
        <w:tab/>
        <w:t>IT IS ORDERED:</w:t>
      </w:r>
    </w:p>
    <w:p w:rsidR="00DF7EBB" w:rsidRDefault="00EF74DA" w:rsidP="003B5D9F">
      <w:pPr>
        <w:spacing w:after="360" w:line="360" w:lineRule="auto"/>
        <w:ind w:firstLine="720"/>
        <w:rPr>
          <w:color w:val="000000" w:themeColor="text1"/>
          <w:sz w:val="26"/>
          <w:szCs w:val="26"/>
        </w:rPr>
      </w:pPr>
      <w:r w:rsidRPr="007539F1">
        <w:rPr>
          <w:color w:val="auto"/>
          <w:sz w:val="26"/>
          <w:szCs w:val="26"/>
        </w:rPr>
        <w:tab/>
      </w:r>
      <w:r w:rsidR="00327D24" w:rsidRPr="007539F1">
        <w:rPr>
          <w:color w:val="auto"/>
          <w:sz w:val="26"/>
          <w:szCs w:val="26"/>
        </w:rPr>
        <w:t>1.</w:t>
      </w:r>
      <w:r w:rsidR="00C13C62" w:rsidRPr="007539F1">
        <w:rPr>
          <w:color w:val="auto"/>
          <w:sz w:val="26"/>
          <w:szCs w:val="26"/>
        </w:rPr>
        <w:tab/>
      </w:r>
      <w:r w:rsidR="00E16D09">
        <w:rPr>
          <w:color w:val="auto"/>
          <w:sz w:val="26"/>
          <w:szCs w:val="26"/>
        </w:rPr>
        <w:t xml:space="preserve">That </w:t>
      </w:r>
      <w:r w:rsidR="00E16D09" w:rsidRPr="006C1532">
        <w:rPr>
          <w:color w:val="000000" w:themeColor="text1"/>
          <w:sz w:val="26"/>
          <w:szCs w:val="26"/>
        </w:rPr>
        <w:t>US LEC of Pennsylvania Inc.</w:t>
      </w:r>
      <w:r w:rsidR="00E16D09">
        <w:rPr>
          <w:color w:val="000000" w:themeColor="text1"/>
          <w:sz w:val="26"/>
          <w:szCs w:val="26"/>
        </w:rPr>
        <w:t xml:space="preserve"> d/b/a PAETEC Business Services</w:t>
      </w:r>
      <w:r w:rsidR="00E16D09" w:rsidRPr="006C1532">
        <w:rPr>
          <w:color w:val="000000" w:themeColor="text1"/>
          <w:sz w:val="26"/>
          <w:szCs w:val="26"/>
        </w:rPr>
        <w:t>’ Supplement No. 31 to Tariff PA P.U.C. No. 1</w:t>
      </w:r>
      <w:r w:rsidR="00E16D09">
        <w:rPr>
          <w:color w:val="000000" w:themeColor="text1"/>
          <w:sz w:val="26"/>
          <w:szCs w:val="26"/>
        </w:rPr>
        <w:t>, which was filed on December 14, 2012 to become effective on January 13, 2013 and subsequently postponed to become effective on February 12, 2013, is permitted to remain in effect.</w:t>
      </w:r>
    </w:p>
    <w:p w:rsidR="00E16D09" w:rsidRDefault="00E16D09" w:rsidP="00E16D09">
      <w:pPr>
        <w:spacing w:after="360" w:line="360" w:lineRule="auto"/>
        <w:ind w:firstLine="720"/>
        <w:rPr>
          <w:color w:val="000000" w:themeColor="text1"/>
          <w:sz w:val="26"/>
          <w:szCs w:val="26"/>
        </w:rPr>
      </w:pPr>
      <w:r>
        <w:rPr>
          <w:color w:val="000000" w:themeColor="text1"/>
          <w:sz w:val="26"/>
          <w:szCs w:val="26"/>
        </w:rPr>
        <w:tab/>
        <w:t>2.</w:t>
      </w:r>
      <w:r>
        <w:rPr>
          <w:color w:val="000000" w:themeColor="text1"/>
          <w:sz w:val="26"/>
          <w:szCs w:val="26"/>
        </w:rPr>
        <w:tab/>
        <w:t xml:space="preserve">That </w:t>
      </w:r>
      <w:r w:rsidRPr="006C1532">
        <w:rPr>
          <w:color w:val="000000" w:themeColor="text1"/>
          <w:sz w:val="26"/>
          <w:szCs w:val="26"/>
        </w:rPr>
        <w:t>PAETEC Communication</w:t>
      </w:r>
      <w:r>
        <w:rPr>
          <w:color w:val="000000" w:themeColor="text1"/>
          <w:sz w:val="26"/>
          <w:szCs w:val="26"/>
        </w:rPr>
        <w:t>s</w:t>
      </w:r>
      <w:r w:rsidRPr="006C1532">
        <w:rPr>
          <w:color w:val="000000" w:themeColor="text1"/>
          <w:sz w:val="26"/>
          <w:szCs w:val="26"/>
        </w:rPr>
        <w:t>, Inc.’s Supplement No. 35 to Tariff PA P.U.C. No. 3</w:t>
      </w:r>
      <w:r>
        <w:rPr>
          <w:color w:val="000000" w:themeColor="text1"/>
          <w:sz w:val="26"/>
          <w:szCs w:val="26"/>
        </w:rPr>
        <w:t xml:space="preserve">, which was filed on December 14, 2012 to become effective on January </w:t>
      </w:r>
      <w:r>
        <w:rPr>
          <w:color w:val="000000" w:themeColor="text1"/>
          <w:sz w:val="26"/>
          <w:szCs w:val="26"/>
        </w:rPr>
        <w:lastRenderedPageBreak/>
        <w:t>13, 2013 and subsequently postponed to become effective on February 12, 2013, is permitted to remain in effect.</w:t>
      </w:r>
    </w:p>
    <w:p w:rsidR="00E16D09" w:rsidRDefault="00E16D09" w:rsidP="00E16D09">
      <w:pPr>
        <w:spacing w:after="360" w:line="360" w:lineRule="auto"/>
        <w:ind w:firstLine="720"/>
        <w:rPr>
          <w:color w:val="000000" w:themeColor="text1"/>
          <w:sz w:val="26"/>
          <w:szCs w:val="26"/>
        </w:rPr>
      </w:pPr>
      <w:r>
        <w:rPr>
          <w:color w:val="000000" w:themeColor="text1"/>
          <w:sz w:val="26"/>
          <w:szCs w:val="26"/>
        </w:rPr>
        <w:tab/>
        <w:t>3.</w:t>
      </w:r>
      <w:r>
        <w:rPr>
          <w:color w:val="000000" w:themeColor="text1"/>
          <w:sz w:val="26"/>
          <w:szCs w:val="26"/>
        </w:rPr>
        <w:tab/>
        <w:t xml:space="preserve">That </w:t>
      </w:r>
      <w:r w:rsidRPr="006C1532">
        <w:rPr>
          <w:color w:val="000000" w:themeColor="text1"/>
          <w:sz w:val="26"/>
          <w:szCs w:val="26"/>
        </w:rPr>
        <w:t>Windstream Communication</w:t>
      </w:r>
      <w:r w:rsidR="00E02AAF">
        <w:rPr>
          <w:color w:val="000000" w:themeColor="text1"/>
          <w:sz w:val="26"/>
          <w:szCs w:val="26"/>
        </w:rPr>
        <w:t>s</w:t>
      </w:r>
      <w:r w:rsidRPr="006C1532">
        <w:rPr>
          <w:color w:val="000000" w:themeColor="text1"/>
          <w:sz w:val="26"/>
          <w:szCs w:val="26"/>
        </w:rPr>
        <w:t>, Inc.’s Supplement No. 6 to Tariff PA P.U.C. No. 2</w:t>
      </w:r>
      <w:r>
        <w:rPr>
          <w:color w:val="000000" w:themeColor="text1"/>
          <w:sz w:val="26"/>
          <w:szCs w:val="26"/>
        </w:rPr>
        <w:t>, which was filed on January 14, 2013 to become effective on February 13, 2013, is permitted to remain in effect.</w:t>
      </w:r>
    </w:p>
    <w:p w:rsidR="00E16D09" w:rsidRDefault="00E16D09" w:rsidP="003B5D9F">
      <w:pPr>
        <w:spacing w:after="360" w:line="360" w:lineRule="auto"/>
        <w:ind w:firstLine="720"/>
        <w:rPr>
          <w:color w:val="000000" w:themeColor="text1"/>
          <w:sz w:val="26"/>
          <w:szCs w:val="26"/>
        </w:rPr>
      </w:pPr>
      <w:r>
        <w:rPr>
          <w:color w:val="000000" w:themeColor="text1"/>
          <w:sz w:val="26"/>
          <w:szCs w:val="26"/>
        </w:rPr>
        <w:tab/>
        <w:t>4.</w:t>
      </w:r>
      <w:r>
        <w:rPr>
          <w:color w:val="000000" w:themeColor="text1"/>
          <w:sz w:val="26"/>
          <w:szCs w:val="26"/>
        </w:rPr>
        <w:tab/>
        <w:t xml:space="preserve">That </w:t>
      </w:r>
      <w:r w:rsidRPr="006C1532">
        <w:rPr>
          <w:color w:val="000000" w:themeColor="text1"/>
          <w:sz w:val="26"/>
          <w:szCs w:val="26"/>
        </w:rPr>
        <w:t>Windstream D&amp;E Systems, Inc.’s Supplement No. 6 to Tariff PA P.U.C. No. 5</w:t>
      </w:r>
      <w:r>
        <w:rPr>
          <w:color w:val="000000" w:themeColor="text1"/>
          <w:sz w:val="26"/>
          <w:szCs w:val="26"/>
        </w:rPr>
        <w:t>, which was filed on January 14, 2013 to become effective on February 13, 2013, is permitted to remain in effect.</w:t>
      </w:r>
    </w:p>
    <w:p w:rsidR="006C6354" w:rsidRDefault="00190D8E" w:rsidP="004546C2">
      <w:pPr>
        <w:spacing w:after="360" w:line="360" w:lineRule="auto"/>
        <w:ind w:firstLine="720"/>
        <w:rPr>
          <w:color w:val="auto"/>
          <w:sz w:val="26"/>
          <w:szCs w:val="26"/>
        </w:rPr>
      </w:pPr>
      <w:r>
        <w:rPr>
          <w:color w:val="auto"/>
          <w:sz w:val="26"/>
          <w:szCs w:val="26"/>
        </w:rPr>
        <w:tab/>
        <w:t>5</w:t>
      </w:r>
      <w:r w:rsidR="00554FF8" w:rsidRPr="007539F1">
        <w:rPr>
          <w:color w:val="auto"/>
          <w:sz w:val="26"/>
          <w:szCs w:val="26"/>
        </w:rPr>
        <w:t>.</w:t>
      </w:r>
      <w:r w:rsidR="00C13C62" w:rsidRPr="007539F1">
        <w:rPr>
          <w:color w:val="auto"/>
          <w:sz w:val="26"/>
          <w:szCs w:val="26"/>
        </w:rPr>
        <w:tab/>
      </w:r>
      <w:r w:rsidR="006C6354">
        <w:rPr>
          <w:color w:val="auto"/>
          <w:sz w:val="26"/>
          <w:szCs w:val="26"/>
        </w:rPr>
        <w:t>That the cases be marked closed.</w:t>
      </w:r>
    </w:p>
    <w:p w:rsidR="000653E3" w:rsidRPr="00A05F32" w:rsidRDefault="00784932" w:rsidP="004546C2">
      <w:pPr>
        <w:spacing w:after="360" w:line="360" w:lineRule="auto"/>
        <w:ind w:firstLine="720"/>
        <w:rPr>
          <w:b/>
          <w:color w:val="000000"/>
          <w:sz w:val="26"/>
          <w:szCs w:val="26"/>
        </w:rPr>
      </w:pPr>
      <w:bookmarkStart w:id="0" w:name="_GoBack"/>
      <w:r w:rsidRPr="00A14635">
        <w:rPr>
          <w:noProof/>
        </w:rPr>
        <w:drawing>
          <wp:anchor distT="0" distB="0" distL="114300" distR="114300" simplePos="0" relativeHeight="251659264" behindDoc="1" locked="0" layoutInCell="1" allowOverlap="1" wp14:anchorId="76C7F488" wp14:editId="6FFCEF34">
            <wp:simplePos x="0" y="0"/>
            <wp:positionH relativeFrom="column">
              <wp:posOffset>2701290</wp:posOffset>
            </wp:positionH>
            <wp:positionV relativeFrom="paragraph">
              <wp:posOffset>256540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C6354">
        <w:rPr>
          <w:color w:val="auto"/>
          <w:sz w:val="26"/>
          <w:szCs w:val="26"/>
        </w:rPr>
        <w:tab/>
      </w:r>
      <w:r w:rsidR="006C6354">
        <w:rPr>
          <w:color w:val="auto"/>
          <w:sz w:val="26"/>
          <w:szCs w:val="26"/>
        </w:rPr>
        <w:tab/>
      </w:r>
      <w:r w:rsidR="006C6354">
        <w:rPr>
          <w:color w:val="auto"/>
          <w:sz w:val="26"/>
          <w:szCs w:val="26"/>
        </w:rPr>
        <w:tab/>
      </w:r>
      <w:r w:rsidR="006C6354">
        <w:rPr>
          <w:color w:val="auto"/>
          <w:sz w:val="26"/>
          <w:szCs w:val="26"/>
        </w:rPr>
        <w:tab/>
      </w:r>
      <w:r w:rsidR="000653E3">
        <w:rPr>
          <w:b/>
          <w:color w:val="000000"/>
          <w:sz w:val="26"/>
          <w:szCs w:val="26"/>
        </w:rPr>
        <w:tab/>
      </w:r>
      <w:r w:rsidR="000653E3" w:rsidRPr="00A05F32">
        <w:rPr>
          <w:b/>
          <w:color w:val="000000"/>
          <w:sz w:val="26"/>
          <w:szCs w:val="26"/>
        </w:rPr>
        <w:t>BY THE COMMISSION,</w:t>
      </w:r>
    </w:p>
    <w:p w:rsidR="000653E3" w:rsidRPr="00A05F32" w:rsidRDefault="000653E3" w:rsidP="000653E3">
      <w:pPr>
        <w:tabs>
          <w:tab w:val="left" w:pos="4320"/>
        </w:tabs>
        <w:rPr>
          <w:b/>
          <w:color w:val="000000"/>
          <w:sz w:val="26"/>
          <w:szCs w:val="26"/>
        </w:rPr>
      </w:pPr>
    </w:p>
    <w:p w:rsidR="000653E3" w:rsidRDefault="000653E3" w:rsidP="000653E3">
      <w:pPr>
        <w:tabs>
          <w:tab w:val="left" w:pos="4320"/>
        </w:tabs>
        <w:rPr>
          <w:b/>
          <w:color w:val="000000"/>
          <w:sz w:val="26"/>
          <w:szCs w:val="26"/>
        </w:rPr>
      </w:pPr>
    </w:p>
    <w:p w:rsidR="000D401B" w:rsidRPr="00A05F32" w:rsidRDefault="000D401B" w:rsidP="000653E3">
      <w:pPr>
        <w:tabs>
          <w:tab w:val="left" w:pos="4320"/>
        </w:tabs>
        <w:rPr>
          <w:b/>
          <w:color w:val="000000"/>
          <w:sz w:val="26"/>
          <w:szCs w:val="26"/>
        </w:rPr>
      </w:pPr>
    </w:p>
    <w:p w:rsidR="000653E3" w:rsidRPr="00A05F32" w:rsidRDefault="000653E3" w:rsidP="000653E3">
      <w:pPr>
        <w:tabs>
          <w:tab w:val="left" w:pos="4320"/>
        </w:tabs>
        <w:rPr>
          <w:color w:val="000000"/>
          <w:sz w:val="26"/>
          <w:szCs w:val="26"/>
        </w:rPr>
      </w:pPr>
      <w:r w:rsidRPr="00A05F32">
        <w:rPr>
          <w:b/>
          <w:color w:val="000000"/>
          <w:sz w:val="26"/>
          <w:szCs w:val="26"/>
        </w:rPr>
        <w:tab/>
      </w:r>
      <w:r w:rsidRPr="004929EB">
        <w:rPr>
          <w:color w:val="auto"/>
          <w:sz w:val="26"/>
          <w:szCs w:val="26"/>
        </w:rPr>
        <w:t>Rosemary Chiavetta</w:t>
      </w:r>
    </w:p>
    <w:p w:rsidR="000653E3" w:rsidRPr="00A05F32" w:rsidRDefault="000653E3" w:rsidP="000653E3">
      <w:pPr>
        <w:tabs>
          <w:tab w:val="left" w:pos="4320"/>
        </w:tabs>
        <w:rPr>
          <w:color w:val="000000"/>
          <w:sz w:val="26"/>
          <w:szCs w:val="26"/>
        </w:rPr>
      </w:pPr>
      <w:r w:rsidRPr="00A05F32">
        <w:rPr>
          <w:color w:val="000000"/>
          <w:sz w:val="26"/>
          <w:szCs w:val="26"/>
        </w:rPr>
        <w:tab/>
        <w:t>Secretary</w:t>
      </w:r>
    </w:p>
    <w:p w:rsidR="000653E3" w:rsidRPr="00A05F32" w:rsidRDefault="000653E3" w:rsidP="000653E3">
      <w:pPr>
        <w:tabs>
          <w:tab w:val="left" w:pos="4320"/>
        </w:tabs>
        <w:spacing w:line="360" w:lineRule="auto"/>
        <w:rPr>
          <w:color w:val="000000"/>
          <w:sz w:val="26"/>
          <w:szCs w:val="26"/>
        </w:rPr>
      </w:pPr>
    </w:p>
    <w:p w:rsidR="000653E3" w:rsidRPr="00A05F32" w:rsidRDefault="000653E3" w:rsidP="006D3A8C">
      <w:pPr>
        <w:tabs>
          <w:tab w:val="left" w:pos="4320"/>
        </w:tabs>
        <w:spacing w:line="360" w:lineRule="auto"/>
        <w:rPr>
          <w:color w:val="000000"/>
          <w:sz w:val="26"/>
          <w:szCs w:val="26"/>
        </w:rPr>
      </w:pPr>
      <w:r w:rsidRPr="00A05F32">
        <w:rPr>
          <w:color w:val="000000"/>
          <w:sz w:val="26"/>
          <w:szCs w:val="26"/>
        </w:rPr>
        <w:t>(SEAL)</w:t>
      </w:r>
    </w:p>
    <w:p w:rsidR="000653E3" w:rsidRPr="00A05F32" w:rsidRDefault="000653E3" w:rsidP="000653E3">
      <w:pPr>
        <w:tabs>
          <w:tab w:val="left" w:pos="4320"/>
        </w:tabs>
        <w:spacing w:line="360" w:lineRule="auto"/>
        <w:rPr>
          <w:color w:val="000000"/>
          <w:sz w:val="26"/>
          <w:szCs w:val="26"/>
        </w:rPr>
      </w:pPr>
    </w:p>
    <w:p w:rsidR="000653E3" w:rsidRPr="00A05F32" w:rsidRDefault="000653E3" w:rsidP="000653E3">
      <w:pPr>
        <w:tabs>
          <w:tab w:val="left" w:pos="4320"/>
        </w:tabs>
        <w:spacing w:line="360" w:lineRule="auto"/>
        <w:rPr>
          <w:color w:val="000000"/>
          <w:sz w:val="26"/>
          <w:szCs w:val="26"/>
        </w:rPr>
      </w:pPr>
      <w:r w:rsidRPr="00A05F32">
        <w:rPr>
          <w:color w:val="000000"/>
          <w:sz w:val="26"/>
          <w:szCs w:val="26"/>
        </w:rPr>
        <w:t xml:space="preserve">ORDER ADOPTED:  </w:t>
      </w:r>
      <w:r w:rsidR="00157D3A">
        <w:rPr>
          <w:color w:val="000000"/>
          <w:sz w:val="26"/>
          <w:szCs w:val="26"/>
        </w:rPr>
        <w:t>April 18</w:t>
      </w:r>
      <w:r w:rsidR="00F03871">
        <w:rPr>
          <w:color w:val="000000"/>
          <w:sz w:val="26"/>
          <w:szCs w:val="26"/>
        </w:rPr>
        <w:t>, 2013</w:t>
      </w:r>
    </w:p>
    <w:p w:rsidR="001A3ED9" w:rsidRPr="00DA7B1C" w:rsidRDefault="000653E3" w:rsidP="006C667E">
      <w:pPr>
        <w:tabs>
          <w:tab w:val="left" w:pos="4320"/>
        </w:tabs>
        <w:spacing w:line="360" w:lineRule="auto"/>
        <w:rPr>
          <w:color w:val="000000"/>
          <w:sz w:val="26"/>
          <w:szCs w:val="26"/>
        </w:rPr>
      </w:pPr>
      <w:r w:rsidRPr="00A05F32">
        <w:rPr>
          <w:color w:val="000000"/>
          <w:sz w:val="26"/>
          <w:szCs w:val="26"/>
        </w:rPr>
        <w:t xml:space="preserve">ORDER ENTERED:  </w:t>
      </w:r>
      <w:r w:rsidR="00784932">
        <w:rPr>
          <w:color w:val="000000"/>
          <w:sz w:val="26"/>
          <w:szCs w:val="26"/>
        </w:rPr>
        <w:t>May 1, 2013</w:t>
      </w:r>
    </w:p>
    <w:sectPr w:rsidR="001A3ED9" w:rsidRPr="00DA7B1C" w:rsidSect="00513EC2">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F8" w:rsidRDefault="001C43F8">
      <w:r>
        <w:separator/>
      </w:r>
    </w:p>
  </w:endnote>
  <w:endnote w:type="continuationSeparator" w:id="0">
    <w:p w:rsidR="001C43F8" w:rsidRDefault="001C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F078A"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Pr="00DA7B1C" w:rsidRDefault="00BF078A" w:rsidP="00B347E8">
    <w:pPr>
      <w:pStyle w:val="Footer"/>
      <w:framePr w:wrap="around" w:vAnchor="text" w:hAnchor="margin" w:xAlign="center" w:y="1"/>
      <w:rPr>
        <w:rStyle w:val="PageNumber"/>
        <w:color w:val="000000"/>
      </w:rPr>
    </w:pPr>
    <w:r w:rsidRPr="00DA7B1C">
      <w:rPr>
        <w:rStyle w:val="PageNumber"/>
        <w:color w:val="000000"/>
      </w:rPr>
      <w:fldChar w:fldCharType="begin"/>
    </w:r>
    <w:r w:rsidR="007603A8" w:rsidRPr="00DA7B1C">
      <w:rPr>
        <w:rStyle w:val="PageNumber"/>
        <w:color w:val="000000"/>
      </w:rPr>
      <w:instrText xml:space="preserve">PAGE  </w:instrText>
    </w:r>
    <w:r w:rsidRPr="00DA7B1C">
      <w:rPr>
        <w:rStyle w:val="PageNumber"/>
        <w:color w:val="000000"/>
      </w:rPr>
      <w:fldChar w:fldCharType="separate"/>
    </w:r>
    <w:r w:rsidR="00784932">
      <w:rPr>
        <w:rStyle w:val="PageNumber"/>
        <w:noProof/>
        <w:color w:val="000000"/>
      </w:rPr>
      <w:t>6</w:t>
    </w:r>
    <w:r w:rsidRPr="00DA7B1C">
      <w:rPr>
        <w:rStyle w:val="PageNumber"/>
        <w:color w:val="000000"/>
      </w:rPr>
      <w:fldChar w:fldCharType="end"/>
    </w:r>
  </w:p>
  <w:p w:rsidR="007603A8" w:rsidRPr="00B347E8" w:rsidRDefault="007603A8" w:rsidP="00575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7603A8">
    <w:pPr>
      <w:pStyle w:val="Footer"/>
      <w:rPr>
        <w:sz w:val="16"/>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F8" w:rsidRPr="0083457C" w:rsidRDefault="001C43F8">
      <w:pPr>
        <w:rPr>
          <w:color w:val="000000"/>
        </w:rPr>
      </w:pPr>
      <w:r w:rsidRPr="0083457C">
        <w:rPr>
          <w:color w:val="000000"/>
        </w:rPr>
        <w:separator/>
      </w:r>
    </w:p>
  </w:footnote>
  <w:footnote w:type="continuationSeparator" w:id="0">
    <w:p w:rsidR="001C43F8" w:rsidRPr="007C640A" w:rsidRDefault="001C43F8">
      <w:pPr>
        <w:rPr>
          <w:color w:val="000000" w:themeColor="text1"/>
        </w:rPr>
      </w:pPr>
      <w:r w:rsidRPr="007C640A">
        <w:rPr>
          <w:color w:val="000000" w:themeColor="text1"/>
        </w:rPr>
        <w:continuationSeparator/>
      </w:r>
    </w:p>
  </w:footnote>
  <w:footnote w:type="continuationNotice" w:id="1">
    <w:p w:rsidR="001C43F8" w:rsidRDefault="001C43F8"/>
  </w:footnote>
  <w:footnote w:id="2">
    <w:p w:rsidR="00834BDD" w:rsidRPr="001D6935" w:rsidRDefault="00834BDD">
      <w:pPr>
        <w:pStyle w:val="FootnoteText"/>
        <w:rPr>
          <w:color w:val="000000" w:themeColor="text1"/>
        </w:rPr>
      </w:pPr>
      <w:r w:rsidRPr="001D6935">
        <w:rPr>
          <w:rStyle w:val="FootnoteReference"/>
          <w:color w:val="000000" w:themeColor="text1"/>
        </w:rPr>
        <w:footnoteRef/>
      </w:r>
      <w:r w:rsidRPr="001D6935">
        <w:rPr>
          <w:color w:val="000000" w:themeColor="text1"/>
        </w:rPr>
        <w:t xml:space="preserve"> Supplement No. 31 to Tariff PA P.U.C. No. 1, issue</w:t>
      </w:r>
      <w:r w:rsidR="00E16D09">
        <w:rPr>
          <w:color w:val="000000" w:themeColor="text1"/>
        </w:rPr>
        <w:t xml:space="preserve">d December 14, 2012 </w:t>
      </w:r>
      <w:r w:rsidR="001D6935" w:rsidRPr="001D6935">
        <w:rPr>
          <w:color w:val="000000" w:themeColor="text1"/>
        </w:rPr>
        <w:t>to become effective January 13, 201</w:t>
      </w:r>
      <w:r w:rsidR="0019354C">
        <w:rPr>
          <w:color w:val="000000" w:themeColor="text1"/>
        </w:rPr>
        <w:t>3.  The e</w:t>
      </w:r>
      <w:r w:rsidR="001D6935" w:rsidRPr="001D6935">
        <w:rPr>
          <w:color w:val="000000" w:themeColor="text1"/>
        </w:rPr>
        <w:t>ffective date</w:t>
      </w:r>
      <w:r w:rsidR="0019354C">
        <w:rPr>
          <w:color w:val="000000" w:themeColor="text1"/>
        </w:rPr>
        <w:t xml:space="preserve"> was</w:t>
      </w:r>
      <w:r w:rsidR="001D6935" w:rsidRPr="001D6935">
        <w:rPr>
          <w:color w:val="000000" w:themeColor="text1"/>
        </w:rPr>
        <w:t xml:space="preserve"> extended</w:t>
      </w:r>
      <w:r w:rsidR="006C1532">
        <w:rPr>
          <w:color w:val="000000" w:themeColor="text1"/>
        </w:rPr>
        <w:t xml:space="preserve"> to February 12, 2013 via Secretarial Letter dated January 4, 2013. </w:t>
      </w:r>
    </w:p>
  </w:footnote>
  <w:footnote w:id="3">
    <w:p w:rsidR="001D6935" w:rsidRPr="001D6935" w:rsidRDefault="001D6935">
      <w:pPr>
        <w:pStyle w:val="FootnoteText"/>
        <w:rPr>
          <w:color w:val="000000" w:themeColor="text1"/>
        </w:rPr>
      </w:pPr>
      <w:r w:rsidRPr="001D6935">
        <w:rPr>
          <w:rStyle w:val="FootnoteReference"/>
          <w:color w:val="000000" w:themeColor="text1"/>
        </w:rPr>
        <w:footnoteRef/>
      </w:r>
      <w:r w:rsidRPr="001D6935">
        <w:rPr>
          <w:color w:val="000000" w:themeColor="text1"/>
        </w:rPr>
        <w:t xml:space="preserve"> Supplement No. 35 to Tariff PA P.U.C. No. 3, issued December 14, 20</w:t>
      </w:r>
      <w:r w:rsidR="00E16D09">
        <w:rPr>
          <w:color w:val="000000" w:themeColor="text1"/>
        </w:rPr>
        <w:t>12</w:t>
      </w:r>
      <w:r w:rsidRPr="001D6935">
        <w:rPr>
          <w:color w:val="000000" w:themeColor="text1"/>
        </w:rPr>
        <w:t xml:space="preserve"> to become effective January 13, 201</w:t>
      </w:r>
      <w:r w:rsidR="0019354C">
        <w:rPr>
          <w:color w:val="000000" w:themeColor="text1"/>
        </w:rPr>
        <w:t xml:space="preserve">3.  </w:t>
      </w:r>
      <w:r w:rsidR="006C1532">
        <w:rPr>
          <w:color w:val="000000" w:themeColor="text1"/>
        </w:rPr>
        <w:t>The e</w:t>
      </w:r>
      <w:r w:rsidR="006C1532" w:rsidRPr="001D6935">
        <w:rPr>
          <w:color w:val="000000" w:themeColor="text1"/>
        </w:rPr>
        <w:t>ffective date</w:t>
      </w:r>
      <w:r w:rsidR="006C1532">
        <w:rPr>
          <w:color w:val="000000" w:themeColor="text1"/>
        </w:rPr>
        <w:t xml:space="preserve"> was</w:t>
      </w:r>
      <w:r w:rsidR="006C1532" w:rsidRPr="001D6935">
        <w:rPr>
          <w:color w:val="000000" w:themeColor="text1"/>
        </w:rPr>
        <w:t xml:space="preserve"> extended</w:t>
      </w:r>
      <w:r w:rsidR="006C1532">
        <w:rPr>
          <w:color w:val="000000" w:themeColor="text1"/>
        </w:rPr>
        <w:t xml:space="preserve"> to February 12, 2013 via Secretarial Letter dated January 4, 2013. </w:t>
      </w:r>
    </w:p>
  </w:footnote>
  <w:footnote w:id="4">
    <w:p w:rsidR="001D6935" w:rsidRPr="001D6935" w:rsidRDefault="001D6935">
      <w:pPr>
        <w:pStyle w:val="FootnoteText"/>
        <w:rPr>
          <w:color w:val="000000" w:themeColor="text1"/>
        </w:rPr>
      </w:pPr>
      <w:r w:rsidRPr="001D6935">
        <w:rPr>
          <w:rStyle w:val="FootnoteReference"/>
          <w:color w:val="000000" w:themeColor="text1"/>
        </w:rPr>
        <w:footnoteRef/>
      </w:r>
      <w:r w:rsidRPr="001D6935">
        <w:rPr>
          <w:color w:val="000000" w:themeColor="text1"/>
        </w:rPr>
        <w:t xml:space="preserve"> Supplement No. 6 to Tariff PA P.U.C.</w:t>
      </w:r>
      <w:r w:rsidR="00E16D09">
        <w:rPr>
          <w:color w:val="000000" w:themeColor="text1"/>
        </w:rPr>
        <w:t xml:space="preserve"> No. 2, issued January 14, 2013</w:t>
      </w:r>
      <w:r w:rsidRPr="001D6935">
        <w:rPr>
          <w:color w:val="000000" w:themeColor="text1"/>
        </w:rPr>
        <w:t xml:space="preserve"> to become effective February 13, 2013.  </w:t>
      </w:r>
    </w:p>
  </w:footnote>
  <w:footnote w:id="5">
    <w:p w:rsidR="001D6935" w:rsidRDefault="001D6935">
      <w:pPr>
        <w:pStyle w:val="FootnoteText"/>
      </w:pPr>
      <w:r w:rsidRPr="001D6935">
        <w:rPr>
          <w:rStyle w:val="FootnoteReference"/>
          <w:color w:val="000000" w:themeColor="text1"/>
        </w:rPr>
        <w:footnoteRef/>
      </w:r>
      <w:r w:rsidRPr="001D6935">
        <w:rPr>
          <w:color w:val="000000" w:themeColor="text1"/>
        </w:rPr>
        <w:t xml:space="preserve"> Supplement No. 6 to Tariff PA P.U.C.</w:t>
      </w:r>
      <w:r w:rsidR="00E16D09">
        <w:rPr>
          <w:color w:val="000000" w:themeColor="text1"/>
        </w:rPr>
        <w:t xml:space="preserve"> No. 5, issued January 14, 2013</w:t>
      </w:r>
      <w:r w:rsidRPr="001D6935">
        <w:rPr>
          <w:color w:val="000000" w:themeColor="text1"/>
        </w:rPr>
        <w:t xml:space="preserve"> to become effective February 13, 2013.  </w:t>
      </w:r>
    </w:p>
  </w:footnote>
  <w:footnote w:id="6">
    <w:p w:rsidR="00B77F35" w:rsidRDefault="00B77F35">
      <w:pPr>
        <w:pStyle w:val="FootnoteText"/>
      </w:pPr>
      <w:r w:rsidRPr="00C4329C">
        <w:rPr>
          <w:rStyle w:val="FootnoteReference"/>
          <w:color w:val="auto"/>
        </w:rPr>
        <w:footnoteRef/>
      </w:r>
      <w:r w:rsidRPr="00C4329C">
        <w:rPr>
          <w:color w:val="auto"/>
        </w:rPr>
        <w:t xml:space="preserve"> Broadview Networks</w:t>
      </w:r>
      <w:r w:rsidR="00C4329C" w:rsidRPr="00C4329C">
        <w:rPr>
          <w:color w:val="auto"/>
        </w:rPr>
        <w:t xml:space="preserve">, Inc., Tariff Telephone PA P.U.C. No. 1, Section 2, Page 24.  </w:t>
      </w:r>
      <w:r w:rsidR="00C4329C">
        <w:rPr>
          <w:color w:val="auto"/>
        </w:rPr>
        <w:t>This fee is currently being investigated by Commission S</w:t>
      </w:r>
      <w:r w:rsidR="00190D8E">
        <w:rPr>
          <w:color w:val="auto"/>
        </w:rPr>
        <w:t xml:space="preserve">taff and will be addressed </w:t>
      </w:r>
      <w:r w:rsidR="00C4329C">
        <w:rPr>
          <w:color w:val="auto"/>
        </w:rPr>
        <w:t>separately.</w:t>
      </w:r>
    </w:p>
  </w:footnote>
  <w:footnote w:id="7">
    <w:p w:rsidR="005F6D0B" w:rsidRPr="00190D8E" w:rsidRDefault="005F6D0B">
      <w:pPr>
        <w:pStyle w:val="FootnoteText"/>
        <w:rPr>
          <w:color w:val="000000" w:themeColor="text1"/>
        </w:rPr>
      </w:pPr>
      <w:r w:rsidRPr="00190D8E">
        <w:rPr>
          <w:rStyle w:val="FootnoteReference"/>
          <w:color w:val="000000" w:themeColor="text1"/>
        </w:rPr>
        <w:footnoteRef/>
      </w:r>
      <w:r w:rsidRPr="00190D8E">
        <w:rPr>
          <w:color w:val="000000" w:themeColor="text1"/>
        </w:rPr>
        <w:t xml:space="preserve"> </w:t>
      </w:r>
      <w:r w:rsidRPr="00190D8E">
        <w:rPr>
          <w:i/>
          <w:color w:val="000000" w:themeColor="text1"/>
        </w:rPr>
        <w:t xml:space="preserve">See </w:t>
      </w:r>
      <w:r w:rsidRPr="00190D8E">
        <w:rPr>
          <w:color w:val="000000" w:themeColor="text1"/>
        </w:rPr>
        <w:t>52 Pa. Code § 64.16</w:t>
      </w:r>
      <w:r w:rsidR="006A55D2" w:rsidRPr="00190D8E">
        <w:rPr>
          <w:color w:val="000000" w:themeColor="text1"/>
        </w:rPr>
        <w:t xml:space="preserve"> (a)-(b).</w:t>
      </w:r>
    </w:p>
  </w:footnote>
  <w:footnote w:id="8">
    <w:p w:rsidR="00157D3A" w:rsidRDefault="00157D3A">
      <w:pPr>
        <w:pStyle w:val="FootnoteText"/>
      </w:pPr>
      <w:r w:rsidRPr="00157D3A">
        <w:rPr>
          <w:rStyle w:val="FootnoteReference"/>
          <w:color w:val="auto"/>
        </w:rPr>
        <w:footnoteRef/>
      </w:r>
      <w:r w:rsidRPr="00157D3A">
        <w:rPr>
          <w:color w:val="auto"/>
        </w:rPr>
        <w:t xml:space="preserve"> We note that even when a tariff is permitted to become effective, or becomes effective by operation of law, we maintain authority over all tariffs currently filed with us and if, at any time, it is determined that those tariffs or any provisions contained therein are inconsistent with relevant statutes, regulations or directives of this Commission, we will take appropriate action to correct such inconsistencies.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056A0"/>
    <w:rsid w:val="00005E66"/>
    <w:rsid w:val="00020D91"/>
    <w:rsid w:val="00021254"/>
    <w:rsid w:val="00030873"/>
    <w:rsid w:val="00030AD5"/>
    <w:rsid w:val="0004171E"/>
    <w:rsid w:val="000452EB"/>
    <w:rsid w:val="00052ADD"/>
    <w:rsid w:val="00055826"/>
    <w:rsid w:val="000602B3"/>
    <w:rsid w:val="000653E3"/>
    <w:rsid w:val="00065987"/>
    <w:rsid w:val="0007367A"/>
    <w:rsid w:val="000755EE"/>
    <w:rsid w:val="0007696A"/>
    <w:rsid w:val="00076C0F"/>
    <w:rsid w:val="00091554"/>
    <w:rsid w:val="00094F4A"/>
    <w:rsid w:val="000C34B8"/>
    <w:rsid w:val="000C3706"/>
    <w:rsid w:val="000D3221"/>
    <w:rsid w:val="000D401B"/>
    <w:rsid w:val="000D559B"/>
    <w:rsid w:val="0011046F"/>
    <w:rsid w:val="00110E6C"/>
    <w:rsid w:val="00110FA6"/>
    <w:rsid w:val="001116E9"/>
    <w:rsid w:val="0011424F"/>
    <w:rsid w:val="00117EFD"/>
    <w:rsid w:val="001210B5"/>
    <w:rsid w:val="001302D1"/>
    <w:rsid w:val="00134534"/>
    <w:rsid w:val="001426AA"/>
    <w:rsid w:val="001464E7"/>
    <w:rsid w:val="00147AB2"/>
    <w:rsid w:val="00152809"/>
    <w:rsid w:val="00152B43"/>
    <w:rsid w:val="0015408B"/>
    <w:rsid w:val="00157D3A"/>
    <w:rsid w:val="00166486"/>
    <w:rsid w:val="00181290"/>
    <w:rsid w:val="001842EA"/>
    <w:rsid w:val="00185651"/>
    <w:rsid w:val="00190D8E"/>
    <w:rsid w:val="0019354C"/>
    <w:rsid w:val="001954D7"/>
    <w:rsid w:val="00195CD5"/>
    <w:rsid w:val="001A3ED9"/>
    <w:rsid w:val="001A5570"/>
    <w:rsid w:val="001B35AF"/>
    <w:rsid w:val="001B3D2A"/>
    <w:rsid w:val="001B7178"/>
    <w:rsid w:val="001C43F8"/>
    <w:rsid w:val="001C6FE1"/>
    <w:rsid w:val="001D0FBE"/>
    <w:rsid w:val="001D32C6"/>
    <w:rsid w:val="001D379B"/>
    <w:rsid w:val="001D55D4"/>
    <w:rsid w:val="001D6935"/>
    <w:rsid w:val="001E1CFA"/>
    <w:rsid w:val="001E67DB"/>
    <w:rsid w:val="001E79CA"/>
    <w:rsid w:val="001F0F0B"/>
    <w:rsid w:val="001F286F"/>
    <w:rsid w:val="001F5943"/>
    <w:rsid w:val="001F5B9E"/>
    <w:rsid w:val="0020291B"/>
    <w:rsid w:val="002041EC"/>
    <w:rsid w:val="00204784"/>
    <w:rsid w:val="002066A9"/>
    <w:rsid w:val="00216A30"/>
    <w:rsid w:val="00217499"/>
    <w:rsid w:val="00221DC8"/>
    <w:rsid w:val="0022585F"/>
    <w:rsid w:val="00226AA7"/>
    <w:rsid w:val="00232E12"/>
    <w:rsid w:val="002367E9"/>
    <w:rsid w:val="00243161"/>
    <w:rsid w:val="0024370B"/>
    <w:rsid w:val="00250660"/>
    <w:rsid w:val="002526D1"/>
    <w:rsid w:val="00254D4E"/>
    <w:rsid w:val="002607FB"/>
    <w:rsid w:val="002625EF"/>
    <w:rsid w:val="00264DD1"/>
    <w:rsid w:val="00273D16"/>
    <w:rsid w:val="002755F6"/>
    <w:rsid w:val="002757B4"/>
    <w:rsid w:val="00277533"/>
    <w:rsid w:val="00282418"/>
    <w:rsid w:val="00283C48"/>
    <w:rsid w:val="00290614"/>
    <w:rsid w:val="00290D88"/>
    <w:rsid w:val="0029336F"/>
    <w:rsid w:val="002951BC"/>
    <w:rsid w:val="0029521A"/>
    <w:rsid w:val="002956DA"/>
    <w:rsid w:val="002A0D72"/>
    <w:rsid w:val="002A1939"/>
    <w:rsid w:val="002A3C17"/>
    <w:rsid w:val="002B6A0F"/>
    <w:rsid w:val="002C3AA9"/>
    <w:rsid w:val="002D623D"/>
    <w:rsid w:val="002E4366"/>
    <w:rsid w:val="002E5936"/>
    <w:rsid w:val="002F1D90"/>
    <w:rsid w:val="002F2A24"/>
    <w:rsid w:val="002F4031"/>
    <w:rsid w:val="00310215"/>
    <w:rsid w:val="00312A6F"/>
    <w:rsid w:val="00313783"/>
    <w:rsid w:val="00314392"/>
    <w:rsid w:val="00314586"/>
    <w:rsid w:val="003228D7"/>
    <w:rsid w:val="0032299E"/>
    <w:rsid w:val="00327D24"/>
    <w:rsid w:val="00332918"/>
    <w:rsid w:val="00332CA7"/>
    <w:rsid w:val="00333D4F"/>
    <w:rsid w:val="00335318"/>
    <w:rsid w:val="00336D22"/>
    <w:rsid w:val="003622BA"/>
    <w:rsid w:val="00362B62"/>
    <w:rsid w:val="0036702E"/>
    <w:rsid w:val="00373E1C"/>
    <w:rsid w:val="00374503"/>
    <w:rsid w:val="00375159"/>
    <w:rsid w:val="00383B4E"/>
    <w:rsid w:val="00384857"/>
    <w:rsid w:val="00385A6B"/>
    <w:rsid w:val="0039736C"/>
    <w:rsid w:val="003A0CF0"/>
    <w:rsid w:val="003A1E1D"/>
    <w:rsid w:val="003A5456"/>
    <w:rsid w:val="003A768F"/>
    <w:rsid w:val="003B05E8"/>
    <w:rsid w:val="003B4970"/>
    <w:rsid w:val="003B5D9F"/>
    <w:rsid w:val="003C0021"/>
    <w:rsid w:val="003C2400"/>
    <w:rsid w:val="003C2B85"/>
    <w:rsid w:val="003C35B8"/>
    <w:rsid w:val="003C6F92"/>
    <w:rsid w:val="003D3DA4"/>
    <w:rsid w:val="003E2264"/>
    <w:rsid w:val="003E33F9"/>
    <w:rsid w:val="003E7558"/>
    <w:rsid w:val="003F541C"/>
    <w:rsid w:val="00400BF9"/>
    <w:rsid w:val="00416881"/>
    <w:rsid w:val="00422C20"/>
    <w:rsid w:val="00425010"/>
    <w:rsid w:val="0042748F"/>
    <w:rsid w:val="00435830"/>
    <w:rsid w:val="0043613C"/>
    <w:rsid w:val="00436504"/>
    <w:rsid w:val="00440F7D"/>
    <w:rsid w:val="00452E61"/>
    <w:rsid w:val="00454256"/>
    <w:rsid w:val="004546C2"/>
    <w:rsid w:val="0046101E"/>
    <w:rsid w:val="00466E8F"/>
    <w:rsid w:val="0047181A"/>
    <w:rsid w:val="00474D75"/>
    <w:rsid w:val="00475F57"/>
    <w:rsid w:val="00483B47"/>
    <w:rsid w:val="004911FD"/>
    <w:rsid w:val="004A3424"/>
    <w:rsid w:val="004A6A15"/>
    <w:rsid w:val="004A6EFA"/>
    <w:rsid w:val="004B116D"/>
    <w:rsid w:val="004C6833"/>
    <w:rsid w:val="004D7D30"/>
    <w:rsid w:val="004E6641"/>
    <w:rsid w:val="004F301C"/>
    <w:rsid w:val="004F522F"/>
    <w:rsid w:val="00502B29"/>
    <w:rsid w:val="0050502A"/>
    <w:rsid w:val="00506572"/>
    <w:rsid w:val="00511F0E"/>
    <w:rsid w:val="00513EC2"/>
    <w:rsid w:val="00532B27"/>
    <w:rsid w:val="00533450"/>
    <w:rsid w:val="00533FD3"/>
    <w:rsid w:val="00536467"/>
    <w:rsid w:val="0053670C"/>
    <w:rsid w:val="0055128D"/>
    <w:rsid w:val="0055182B"/>
    <w:rsid w:val="00554FF8"/>
    <w:rsid w:val="00570A8C"/>
    <w:rsid w:val="00571A2E"/>
    <w:rsid w:val="005754EE"/>
    <w:rsid w:val="00581909"/>
    <w:rsid w:val="00590306"/>
    <w:rsid w:val="00591D9C"/>
    <w:rsid w:val="00592097"/>
    <w:rsid w:val="005A2323"/>
    <w:rsid w:val="005A5D39"/>
    <w:rsid w:val="005B2E37"/>
    <w:rsid w:val="005C2DD0"/>
    <w:rsid w:val="005D05CC"/>
    <w:rsid w:val="005D08FF"/>
    <w:rsid w:val="005D2E7B"/>
    <w:rsid w:val="005E120A"/>
    <w:rsid w:val="005E183C"/>
    <w:rsid w:val="005E1F34"/>
    <w:rsid w:val="005F2976"/>
    <w:rsid w:val="005F6D0B"/>
    <w:rsid w:val="00602457"/>
    <w:rsid w:val="006039DD"/>
    <w:rsid w:val="00604AED"/>
    <w:rsid w:val="00605460"/>
    <w:rsid w:val="00611CA5"/>
    <w:rsid w:val="00614125"/>
    <w:rsid w:val="00615EAC"/>
    <w:rsid w:val="00620479"/>
    <w:rsid w:val="00625D45"/>
    <w:rsid w:val="00625F84"/>
    <w:rsid w:val="006319D7"/>
    <w:rsid w:val="006341CB"/>
    <w:rsid w:val="006454C1"/>
    <w:rsid w:val="00645899"/>
    <w:rsid w:val="006503C9"/>
    <w:rsid w:val="00653AB0"/>
    <w:rsid w:val="006563F0"/>
    <w:rsid w:val="006703FC"/>
    <w:rsid w:val="00670A94"/>
    <w:rsid w:val="00681C25"/>
    <w:rsid w:val="00682F26"/>
    <w:rsid w:val="00684967"/>
    <w:rsid w:val="00691C31"/>
    <w:rsid w:val="00696381"/>
    <w:rsid w:val="006A55D2"/>
    <w:rsid w:val="006A572B"/>
    <w:rsid w:val="006A6962"/>
    <w:rsid w:val="006A6AFE"/>
    <w:rsid w:val="006B7BDF"/>
    <w:rsid w:val="006C01FD"/>
    <w:rsid w:val="006C14E4"/>
    <w:rsid w:val="006C1532"/>
    <w:rsid w:val="006C1714"/>
    <w:rsid w:val="006C1E04"/>
    <w:rsid w:val="006C6354"/>
    <w:rsid w:val="006C667E"/>
    <w:rsid w:val="006D0E28"/>
    <w:rsid w:val="006D18DF"/>
    <w:rsid w:val="006D350E"/>
    <w:rsid w:val="006D3A8C"/>
    <w:rsid w:val="006E2BD1"/>
    <w:rsid w:val="006F001E"/>
    <w:rsid w:val="006F19A6"/>
    <w:rsid w:val="007073A0"/>
    <w:rsid w:val="00710228"/>
    <w:rsid w:val="00710587"/>
    <w:rsid w:val="007141D6"/>
    <w:rsid w:val="00722AEA"/>
    <w:rsid w:val="00743576"/>
    <w:rsid w:val="00743672"/>
    <w:rsid w:val="007460ED"/>
    <w:rsid w:val="0074628B"/>
    <w:rsid w:val="00746490"/>
    <w:rsid w:val="007539F1"/>
    <w:rsid w:val="007603A8"/>
    <w:rsid w:val="00765FEE"/>
    <w:rsid w:val="00766E2A"/>
    <w:rsid w:val="00771B8F"/>
    <w:rsid w:val="007728FE"/>
    <w:rsid w:val="00775973"/>
    <w:rsid w:val="0078088F"/>
    <w:rsid w:val="00784932"/>
    <w:rsid w:val="0079278F"/>
    <w:rsid w:val="007A05C1"/>
    <w:rsid w:val="007A33E0"/>
    <w:rsid w:val="007B4388"/>
    <w:rsid w:val="007C640A"/>
    <w:rsid w:val="007C78B8"/>
    <w:rsid w:val="007D09F1"/>
    <w:rsid w:val="007D0BCB"/>
    <w:rsid w:val="007D126E"/>
    <w:rsid w:val="007E1113"/>
    <w:rsid w:val="007E5E21"/>
    <w:rsid w:val="007E7ECC"/>
    <w:rsid w:val="007F2066"/>
    <w:rsid w:val="007F3759"/>
    <w:rsid w:val="00804EBC"/>
    <w:rsid w:val="00804F95"/>
    <w:rsid w:val="00805E46"/>
    <w:rsid w:val="0080704D"/>
    <w:rsid w:val="00810A28"/>
    <w:rsid w:val="00816D74"/>
    <w:rsid w:val="00825255"/>
    <w:rsid w:val="00827B8D"/>
    <w:rsid w:val="0083457C"/>
    <w:rsid w:val="00834BDD"/>
    <w:rsid w:val="008424A6"/>
    <w:rsid w:val="008453B2"/>
    <w:rsid w:val="00846DD3"/>
    <w:rsid w:val="0085215E"/>
    <w:rsid w:val="008557A9"/>
    <w:rsid w:val="00863058"/>
    <w:rsid w:val="00871880"/>
    <w:rsid w:val="00871924"/>
    <w:rsid w:val="0087248B"/>
    <w:rsid w:val="0087323C"/>
    <w:rsid w:val="00875331"/>
    <w:rsid w:val="00877E48"/>
    <w:rsid w:val="008874FD"/>
    <w:rsid w:val="0088796C"/>
    <w:rsid w:val="00892936"/>
    <w:rsid w:val="00892AD6"/>
    <w:rsid w:val="008A2A46"/>
    <w:rsid w:val="008A4707"/>
    <w:rsid w:val="008A4FA9"/>
    <w:rsid w:val="008A6CA0"/>
    <w:rsid w:val="008B0596"/>
    <w:rsid w:val="008C0F7A"/>
    <w:rsid w:val="008C15D9"/>
    <w:rsid w:val="008D50D1"/>
    <w:rsid w:val="008E000F"/>
    <w:rsid w:val="008F2CB8"/>
    <w:rsid w:val="00901224"/>
    <w:rsid w:val="00904C7B"/>
    <w:rsid w:val="00910F98"/>
    <w:rsid w:val="0092034B"/>
    <w:rsid w:val="0092075D"/>
    <w:rsid w:val="00931C6E"/>
    <w:rsid w:val="00933BDC"/>
    <w:rsid w:val="00936709"/>
    <w:rsid w:val="00936D67"/>
    <w:rsid w:val="00943424"/>
    <w:rsid w:val="009503C3"/>
    <w:rsid w:val="00950A43"/>
    <w:rsid w:val="00956638"/>
    <w:rsid w:val="00960CAA"/>
    <w:rsid w:val="00961D1A"/>
    <w:rsid w:val="00963B87"/>
    <w:rsid w:val="00970128"/>
    <w:rsid w:val="00977BE3"/>
    <w:rsid w:val="0099735A"/>
    <w:rsid w:val="009A5FF6"/>
    <w:rsid w:val="009C0F81"/>
    <w:rsid w:val="009C375C"/>
    <w:rsid w:val="009C7637"/>
    <w:rsid w:val="009D03DB"/>
    <w:rsid w:val="009D6B49"/>
    <w:rsid w:val="009E6813"/>
    <w:rsid w:val="009E788D"/>
    <w:rsid w:val="009F080C"/>
    <w:rsid w:val="00A03FD8"/>
    <w:rsid w:val="00A06F03"/>
    <w:rsid w:val="00A15279"/>
    <w:rsid w:val="00A2000C"/>
    <w:rsid w:val="00A226AA"/>
    <w:rsid w:val="00A23EA2"/>
    <w:rsid w:val="00A31D1A"/>
    <w:rsid w:val="00A32E5E"/>
    <w:rsid w:val="00A409FF"/>
    <w:rsid w:val="00A577E4"/>
    <w:rsid w:val="00A638D4"/>
    <w:rsid w:val="00A6765C"/>
    <w:rsid w:val="00A70984"/>
    <w:rsid w:val="00A73AAA"/>
    <w:rsid w:val="00A74D64"/>
    <w:rsid w:val="00A86891"/>
    <w:rsid w:val="00A90CFD"/>
    <w:rsid w:val="00A967E0"/>
    <w:rsid w:val="00AA0CC3"/>
    <w:rsid w:val="00AA2FFC"/>
    <w:rsid w:val="00AA408E"/>
    <w:rsid w:val="00AA450C"/>
    <w:rsid w:val="00AA64EF"/>
    <w:rsid w:val="00AB1278"/>
    <w:rsid w:val="00AB707C"/>
    <w:rsid w:val="00AD1EED"/>
    <w:rsid w:val="00AD2931"/>
    <w:rsid w:val="00AD4679"/>
    <w:rsid w:val="00AD6DF1"/>
    <w:rsid w:val="00AD70EB"/>
    <w:rsid w:val="00AE1EB8"/>
    <w:rsid w:val="00AF6294"/>
    <w:rsid w:val="00B04268"/>
    <w:rsid w:val="00B04B95"/>
    <w:rsid w:val="00B1089E"/>
    <w:rsid w:val="00B24DD0"/>
    <w:rsid w:val="00B2562F"/>
    <w:rsid w:val="00B347E8"/>
    <w:rsid w:val="00B44843"/>
    <w:rsid w:val="00B50259"/>
    <w:rsid w:val="00B520EB"/>
    <w:rsid w:val="00B553AA"/>
    <w:rsid w:val="00B67C6B"/>
    <w:rsid w:val="00B77F35"/>
    <w:rsid w:val="00B807F2"/>
    <w:rsid w:val="00B8382C"/>
    <w:rsid w:val="00B8485C"/>
    <w:rsid w:val="00B84B64"/>
    <w:rsid w:val="00B9015F"/>
    <w:rsid w:val="00B919FF"/>
    <w:rsid w:val="00B932E2"/>
    <w:rsid w:val="00B973EC"/>
    <w:rsid w:val="00BA3750"/>
    <w:rsid w:val="00BA3DA0"/>
    <w:rsid w:val="00BA77F6"/>
    <w:rsid w:val="00BB11DD"/>
    <w:rsid w:val="00BC3D8C"/>
    <w:rsid w:val="00BD26E7"/>
    <w:rsid w:val="00BE1DBA"/>
    <w:rsid w:val="00BE4EA8"/>
    <w:rsid w:val="00BF078A"/>
    <w:rsid w:val="00BF15A0"/>
    <w:rsid w:val="00BF1F2F"/>
    <w:rsid w:val="00BF2DCA"/>
    <w:rsid w:val="00BF6465"/>
    <w:rsid w:val="00C001D2"/>
    <w:rsid w:val="00C11FAC"/>
    <w:rsid w:val="00C13C62"/>
    <w:rsid w:val="00C14DCF"/>
    <w:rsid w:val="00C20C08"/>
    <w:rsid w:val="00C2337D"/>
    <w:rsid w:val="00C239FE"/>
    <w:rsid w:val="00C27E0E"/>
    <w:rsid w:val="00C30191"/>
    <w:rsid w:val="00C376D3"/>
    <w:rsid w:val="00C4329C"/>
    <w:rsid w:val="00C448C8"/>
    <w:rsid w:val="00C50AB9"/>
    <w:rsid w:val="00C53746"/>
    <w:rsid w:val="00C5408D"/>
    <w:rsid w:val="00C55CC5"/>
    <w:rsid w:val="00C62DA6"/>
    <w:rsid w:val="00C7636F"/>
    <w:rsid w:val="00C86AF2"/>
    <w:rsid w:val="00C92024"/>
    <w:rsid w:val="00C93186"/>
    <w:rsid w:val="00C95351"/>
    <w:rsid w:val="00C9585E"/>
    <w:rsid w:val="00C962EE"/>
    <w:rsid w:val="00CA1B43"/>
    <w:rsid w:val="00CB130D"/>
    <w:rsid w:val="00CC21C3"/>
    <w:rsid w:val="00CD5DA5"/>
    <w:rsid w:val="00CD5F2A"/>
    <w:rsid w:val="00CD7E2D"/>
    <w:rsid w:val="00D075A2"/>
    <w:rsid w:val="00D24217"/>
    <w:rsid w:val="00D254EF"/>
    <w:rsid w:val="00D2619A"/>
    <w:rsid w:val="00D26315"/>
    <w:rsid w:val="00D35C9B"/>
    <w:rsid w:val="00D44B84"/>
    <w:rsid w:val="00D50A47"/>
    <w:rsid w:val="00D608CA"/>
    <w:rsid w:val="00D6745E"/>
    <w:rsid w:val="00D72A1D"/>
    <w:rsid w:val="00D74B8B"/>
    <w:rsid w:val="00D93396"/>
    <w:rsid w:val="00D93425"/>
    <w:rsid w:val="00DA3591"/>
    <w:rsid w:val="00DA7728"/>
    <w:rsid w:val="00DA7B1C"/>
    <w:rsid w:val="00DB0211"/>
    <w:rsid w:val="00DB17DD"/>
    <w:rsid w:val="00DC262A"/>
    <w:rsid w:val="00DC320D"/>
    <w:rsid w:val="00DD3489"/>
    <w:rsid w:val="00DD4BFF"/>
    <w:rsid w:val="00DF16FE"/>
    <w:rsid w:val="00DF7EBB"/>
    <w:rsid w:val="00DF7FE2"/>
    <w:rsid w:val="00E02AAF"/>
    <w:rsid w:val="00E1615C"/>
    <w:rsid w:val="00E16D09"/>
    <w:rsid w:val="00E24784"/>
    <w:rsid w:val="00E409F4"/>
    <w:rsid w:val="00E419B1"/>
    <w:rsid w:val="00E4461A"/>
    <w:rsid w:val="00E523C7"/>
    <w:rsid w:val="00E730A7"/>
    <w:rsid w:val="00E730DA"/>
    <w:rsid w:val="00E8534E"/>
    <w:rsid w:val="00E858AC"/>
    <w:rsid w:val="00E93489"/>
    <w:rsid w:val="00E9557A"/>
    <w:rsid w:val="00EA0BF0"/>
    <w:rsid w:val="00EA1EBA"/>
    <w:rsid w:val="00EA5DD9"/>
    <w:rsid w:val="00EA685B"/>
    <w:rsid w:val="00EA7086"/>
    <w:rsid w:val="00EB1565"/>
    <w:rsid w:val="00EB5B9B"/>
    <w:rsid w:val="00EB5C0D"/>
    <w:rsid w:val="00EB702F"/>
    <w:rsid w:val="00EB71D0"/>
    <w:rsid w:val="00ED33CA"/>
    <w:rsid w:val="00EE4C47"/>
    <w:rsid w:val="00EF1D0A"/>
    <w:rsid w:val="00EF74DA"/>
    <w:rsid w:val="00F01FC4"/>
    <w:rsid w:val="00F03871"/>
    <w:rsid w:val="00F06D63"/>
    <w:rsid w:val="00F21D4D"/>
    <w:rsid w:val="00F26AA0"/>
    <w:rsid w:val="00F446C3"/>
    <w:rsid w:val="00F472F1"/>
    <w:rsid w:val="00F52993"/>
    <w:rsid w:val="00F53119"/>
    <w:rsid w:val="00F57D51"/>
    <w:rsid w:val="00F66EB0"/>
    <w:rsid w:val="00F71FF6"/>
    <w:rsid w:val="00F77B01"/>
    <w:rsid w:val="00F81BDD"/>
    <w:rsid w:val="00F83F14"/>
    <w:rsid w:val="00F87D8A"/>
    <w:rsid w:val="00F9170A"/>
    <w:rsid w:val="00F9299C"/>
    <w:rsid w:val="00F96027"/>
    <w:rsid w:val="00FA04B2"/>
    <w:rsid w:val="00FA52CB"/>
    <w:rsid w:val="00FA64F8"/>
    <w:rsid w:val="00FA73E7"/>
    <w:rsid w:val="00FA7E6D"/>
    <w:rsid w:val="00FB0213"/>
    <w:rsid w:val="00FB0FFE"/>
    <w:rsid w:val="00FB56F4"/>
    <w:rsid w:val="00FC5257"/>
    <w:rsid w:val="00FD5F98"/>
    <w:rsid w:val="00FE4D78"/>
    <w:rsid w:val="00FE5485"/>
    <w:rsid w:val="00FF2F98"/>
    <w:rsid w:val="00FF3EF7"/>
    <w:rsid w:val="00FF4AE3"/>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paragraph" w:styleId="Heading4">
    <w:name w:val="heading 4"/>
    <w:basedOn w:val="Normal"/>
    <w:next w:val="Normal"/>
    <w:link w:val="Heading4Char"/>
    <w:semiHidden/>
    <w:unhideWhenUsed/>
    <w:qFormat/>
    <w:rsid w:val="00157D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uiPriority w:val="99"/>
    <w:semiHidden/>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table" w:styleId="TableGrid">
    <w:name w:val="Table Grid"/>
    <w:basedOn w:val="TableNormal"/>
    <w:uiPriority w:val="59"/>
    <w:rsid w:val="00F47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DD4BFF"/>
    <w:rPr>
      <w:color w:val="0000FF"/>
    </w:rPr>
  </w:style>
  <w:style w:type="paragraph" w:styleId="ListParagraph">
    <w:name w:val="List Paragraph"/>
    <w:basedOn w:val="Normal"/>
    <w:uiPriority w:val="34"/>
    <w:qFormat/>
    <w:rsid w:val="00536467"/>
    <w:pPr>
      <w:ind w:left="720"/>
      <w:contextualSpacing/>
    </w:pPr>
  </w:style>
  <w:style w:type="character" w:customStyle="1" w:styleId="Heading4Char">
    <w:name w:val="Heading 4 Char"/>
    <w:basedOn w:val="DefaultParagraphFont"/>
    <w:link w:val="Heading4"/>
    <w:semiHidden/>
    <w:rsid w:val="00157D3A"/>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unhideWhenUsed/>
    <w:rsid w:val="00157D3A"/>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paragraph" w:styleId="Heading4">
    <w:name w:val="heading 4"/>
    <w:basedOn w:val="Normal"/>
    <w:next w:val="Normal"/>
    <w:link w:val="Heading4Char"/>
    <w:semiHidden/>
    <w:unhideWhenUsed/>
    <w:qFormat/>
    <w:rsid w:val="00157D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uiPriority w:val="99"/>
    <w:semiHidden/>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table" w:styleId="TableGrid">
    <w:name w:val="Table Grid"/>
    <w:basedOn w:val="TableNormal"/>
    <w:uiPriority w:val="59"/>
    <w:rsid w:val="00F47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DD4BFF"/>
    <w:rPr>
      <w:color w:val="0000FF"/>
    </w:rPr>
  </w:style>
  <w:style w:type="paragraph" w:styleId="ListParagraph">
    <w:name w:val="List Paragraph"/>
    <w:basedOn w:val="Normal"/>
    <w:uiPriority w:val="34"/>
    <w:qFormat/>
    <w:rsid w:val="00536467"/>
    <w:pPr>
      <w:ind w:left="720"/>
      <w:contextualSpacing/>
    </w:pPr>
  </w:style>
  <w:style w:type="character" w:customStyle="1" w:styleId="Heading4Char">
    <w:name w:val="Heading 4 Char"/>
    <w:basedOn w:val="DefaultParagraphFont"/>
    <w:link w:val="Heading4"/>
    <w:semiHidden/>
    <w:rsid w:val="00157D3A"/>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unhideWhenUsed/>
    <w:rsid w:val="00157D3A"/>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4197">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248973651">
      <w:bodyDiv w:val="1"/>
      <w:marLeft w:val="0"/>
      <w:marRight w:val="0"/>
      <w:marTop w:val="0"/>
      <w:marBottom w:val="0"/>
      <w:divBdr>
        <w:top w:val="none" w:sz="0" w:space="0" w:color="auto"/>
        <w:left w:val="none" w:sz="0" w:space="0" w:color="auto"/>
        <w:bottom w:val="none" w:sz="0" w:space="0" w:color="auto"/>
        <w:right w:val="none" w:sz="0" w:space="0" w:color="auto"/>
      </w:divBdr>
    </w:div>
    <w:div w:id="273368270">
      <w:bodyDiv w:val="1"/>
      <w:marLeft w:val="0"/>
      <w:marRight w:val="0"/>
      <w:marTop w:val="0"/>
      <w:marBottom w:val="0"/>
      <w:divBdr>
        <w:top w:val="none" w:sz="0" w:space="0" w:color="auto"/>
        <w:left w:val="none" w:sz="0" w:space="0" w:color="auto"/>
        <w:bottom w:val="none" w:sz="0" w:space="0" w:color="auto"/>
        <w:right w:val="none" w:sz="0" w:space="0" w:color="auto"/>
      </w:divBdr>
    </w:div>
    <w:div w:id="56534033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07175223">
      <w:bodyDiv w:val="1"/>
      <w:marLeft w:val="0"/>
      <w:marRight w:val="0"/>
      <w:marTop w:val="0"/>
      <w:marBottom w:val="0"/>
      <w:divBdr>
        <w:top w:val="none" w:sz="0" w:space="0" w:color="auto"/>
        <w:left w:val="none" w:sz="0" w:space="0" w:color="auto"/>
        <w:bottom w:val="none" w:sz="0" w:space="0" w:color="auto"/>
        <w:right w:val="none" w:sz="0" w:space="0" w:color="auto"/>
      </w:divBdr>
    </w:div>
    <w:div w:id="1170022221">
      <w:bodyDiv w:val="1"/>
      <w:marLeft w:val="0"/>
      <w:marRight w:val="0"/>
      <w:marTop w:val="0"/>
      <w:marBottom w:val="0"/>
      <w:divBdr>
        <w:top w:val="none" w:sz="0" w:space="0" w:color="auto"/>
        <w:left w:val="none" w:sz="0" w:space="0" w:color="auto"/>
        <w:bottom w:val="none" w:sz="0" w:space="0" w:color="auto"/>
        <w:right w:val="none" w:sz="0" w:space="0" w:color="auto"/>
      </w:divBdr>
    </w:div>
    <w:div w:id="1394163687">
      <w:bodyDiv w:val="1"/>
      <w:marLeft w:val="0"/>
      <w:marRight w:val="0"/>
      <w:marTop w:val="0"/>
      <w:marBottom w:val="0"/>
      <w:divBdr>
        <w:top w:val="none" w:sz="0" w:space="0" w:color="auto"/>
        <w:left w:val="none" w:sz="0" w:space="0" w:color="auto"/>
        <w:bottom w:val="none" w:sz="0" w:space="0" w:color="auto"/>
        <w:right w:val="none" w:sz="0" w:space="0" w:color="auto"/>
      </w:divBdr>
    </w:div>
    <w:div w:id="1460538833">
      <w:bodyDiv w:val="1"/>
      <w:marLeft w:val="0"/>
      <w:marRight w:val="0"/>
      <w:marTop w:val="0"/>
      <w:marBottom w:val="0"/>
      <w:divBdr>
        <w:top w:val="none" w:sz="0" w:space="0" w:color="auto"/>
        <w:left w:val="none" w:sz="0" w:space="0" w:color="auto"/>
        <w:bottom w:val="none" w:sz="0" w:space="0" w:color="auto"/>
        <w:right w:val="none" w:sz="0" w:space="0" w:color="auto"/>
      </w:divBdr>
      <w:divsChild>
        <w:div w:id="23246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986760">
      <w:bodyDiv w:val="1"/>
      <w:marLeft w:val="0"/>
      <w:marRight w:val="0"/>
      <w:marTop w:val="0"/>
      <w:marBottom w:val="0"/>
      <w:divBdr>
        <w:top w:val="none" w:sz="0" w:space="0" w:color="auto"/>
        <w:left w:val="none" w:sz="0" w:space="0" w:color="auto"/>
        <w:bottom w:val="none" w:sz="0" w:space="0" w:color="auto"/>
        <w:right w:val="none" w:sz="0" w:space="0" w:color="auto"/>
      </w:divBdr>
    </w:div>
    <w:div w:id="184643109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20537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F891-7478-40AD-8096-5D758BEF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5</cp:revision>
  <cp:lastPrinted>2013-05-01T15:59:00Z</cp:lastPrinted>
  <dcterms:created xsi:type="dcterms:W3CDTF">2013-04-30T12:22:00Z</dcterms:created>
  <dcterms:modified xsi:type="dcterms:W3CDTF">2013-05-01T15:59:00Z</dcterms:modified>
</cp:coreProperties>
</file>