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Tr="00417440">
        <w:tc>
          <w:tcPr>
            <w:tcW w:w="9576" w:type="dxa"/>
            <w:gridSpan w:val="2"/>
          </w:tcPr>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PENNSYLVANIA</w:t>
            </w:r>
          </w:p>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PUBLIC UTILITY COMMISSION</w:t>
            </w:r>
          </w:p>
          <w:p w:rsidR="00AD7725" w:rsidRPr="005A0A6B" w:rsidRDefault="00AD7725" w:rsidP="00417440">
            <w:pPr>
              <w:spacing w:line="240" w:lineRule="auto"/>
              <w:ind w:firstLine="0"/>
              <w:jc w:val="center"/>
              <w:rPr>
                <w:rFonts w:ascii="Times New (W1)" w:hAnsi="Times New (W1)"/>
                <w:b/>
              </w:rPr>
            </w:pPr>
            <w:r w:rsidRPr="005A0A6B">
              <w:rPr>
                <w:rFonts w:ascii="Times New (W1)" w:hAnsi="Times New (W1)"/>
                <w:b/>
              </w:rPr>
              <w:t>Harrisburg, PA  17105-3265</w:t>
            </w:r>
          </w:p>
          <w:p w:rsidR="00AD7725" w:rsidRDefault="00AD7725" w:rsidP="00417440"/>
        </w:tc>
      </w:tr>
      <w:tr w:rsidR="00AD7725" w:rsidTr="00417440">
        <w:tc>
          <w:tcPr>
            <w:tcW w:w="9576" w:type="dxa"/>
            <w:gridSpan w:val="2"/>
          </w:tcPr>
          <w:p w:rsidR="00AD7725" w:rsidRDefault="00AD7725" w:rsidP="00417440">
            <w:pPr>
              <w:spacing w:line="240" w:lineRule="auto"/>
              <w:jc w:val="right"/>
              <w:rPr>
                <w:rFonts w:ascii="Times New (W1)" w:hAnsi="Times New (W1)"/>
              </w:rPr>
            </w:pPr>
            <w:r>
              <w:rPr>
                <w:rFonts w:ascii="Times New (W1)" w:hAnsi="Times New (W1)"/>
              </w:rPr>
              <w:t xml:space="preserve">Public Meeting held </w:t>
            </w:r>
            <w:r w:rsidR="00D6776A">
              <w:rPr>
                <w:rFonts w:ascii="Times New (W1)" w:hAnsi="Times New (W1)"/>
              </w:rPr>
              <w:t>May 9</w:t>
            </w:r>
            <w:r w:rsidR="004648B5">
              <w:rPr>
                <w:rFonts w:ascii="Times New (W1)" w:hAnsi="Times New (W1)"/>
              </w:rPr>
              <w:t>, 2013</w:t>
            </w:r>
          </w:p>
          <w:p w:rsidR="00AD7725" w:rsidRDefault="00AD7725" w:rsidP="00417440">
            <w:pPr>
              <w:spacing w:line="240" w:lineRule="auto"/>
              <w:jc w:val="right"/>
            </w:pPr>
          </w:p>
        </w:tc>
      </w:tr>
      <w:tr w:rsidR="00AD7725" w:rsidRPr="005A0A6B" w:rsidTr="00417440">
        <w:tc>
          <w:tcPr>
            <w:tcW w:w="9576" w:type="dxa"/>
            <w:gridSpan w:val="2"/>
          </w:tcPr>
          <w:p w:rsidR="00AD7725" w:rsidRPr="005A0A6B" w:rsidRDefault="00AD7725" w:rsidP="00417440">
            <w:pPr>
              <w:spacing w:line="240" w:lineRule="auto"/>
              <w:ind w:firstLine="0"/>
              <w:rPr>
                <w:rFonts w:ascii="Times New (W1)" w:hAnsi="Times New (W1)"/>
              </w:rPr>
            </w:pPr>
            <w:r w:rsidRPr="005A0A6B">
              <w:rPr>
                <w:rFonts w:ascii="Times New (W1)" w:hAnsi="Times New (W1)"/>
              </w:rPr>
              <w:t>Commissioners Present:</w:t>
            </w:r>
          </w:p>
          <w:p w:rsidR="00AD7725" w:rsidRPr="005A0A6B" w:rsidRDefault="00AD7725" w:rsidP="00417440">
            <w:pPr>
              <w:spacing w:line="240" w:lineRule="auto"/>
              <w:rPr>
                <w:rFonts w:ascii="Times New (W1)" w:hAnsi="Times New (W1)"/>
              </w:rPr>
            </w:pPr>
          </w:p>
          <w:p w:rsidR="00AD7725" w:rsidRPr="005A0A6B" w:rsidRDefault="00AD7725" w:rsidP="00417440">
            <w:pPr>
              <w:spacing w:line="240" w:lineRule="auto"/>
              <w:ind w:firstLine="540"/>
              <w:rPr>
                <w:rFonts w:ascii="Times New (W1)" w:hAnsi="Times New (W1)"/>
              </w:rPr>
            </w:pPr>
            <w:r w:rsidRPr="005A0A6B">
              <w:rPr>
                <w:rFonts w:ascii="Times New (W1)" w:hAnsi="Times New (W1)"/>
              </w:rPr>
              <w:t>Robert F. Powelson, Chairman</w:t>
            </w:r>
          </w:p>
          <w:p w:rsidR="00AD7725" w:rsidRPr="005A0A6B" w:rsidRDefault="00AD7725" w:rsidP="00417440">
            <w:pPr>
              <w:spacing w:line="240" w:lineRule="auto"/>
              <w:ind w:firstLine="540"/>
              <w:rPr>
                <w:rFonts w:ascii="Times New (W1)" w:hAnsi="Times New (W1)"/>
              </w:rPr>
            </w:pPr>
            <w:r>
              <w:rPr>
                <w:rFonts w:ascii="Times New (W1)" w:hAnsi="Times New (W1)"/>
              </w:rPr>
              <w:t>John F. Coleman, Jr.</w:t>
            </w:r>
            <w:r w:rsidRPr="005A0A6B">
              <w:rPr>
                <w:rFonts w:ascii="Times New (W1)" w:hAnsi="Times New (W1)"/>
              </w:rPr>
              <w:t>, Vice Chairman</w:t>
            </w:r>
          </w:p>
          <w:p w:rsidR="00AD7725" w:rsidRDefault="00AD7725" w:rsidP="00417440">
            <w:pPr>
              <w:spacing w:line="240" w:lineRule="auto"/>
              <w:ind w:firstLine="540"/>
              <w:rPr>
                <w:rFonts w:ascii="Times New (W1)" w:hAnsi="Times New (W1)"/>
              </w:rPr>
            </w:pPr>
            <w:r w:rsidRPr="005A0A6B">
              <w:rPr>
                <w:rFonts w:ascii="Times New (W1)" w:hAnsi="Times New (W1)"/>
              </w:rPr>
              <w:t>Wayne E. Gardner</w:t>
            </w:r>
          </w:p>
          <w:p w:rsidR="00AD7725" w:rsidRDefault="00AD7725" w:rsidP="00417440">
            <w:pPr>
              <w:spacing w:line="240" w:lineRule="auto"/>
              <w:ind w:firstLine="540"/>
              <w:rPr>
                <w:rFonts w:ascii="Times New (W1)" w:hAnsi="Times New (W1)"/>
              </w:rPr>
            </w:pPr>
            <w:r w:rsidRPr="005A0A6B">
              <w:rPr>
                <w:rFonts w:ascii="Times New (W1)" w:hAnsi="Times New (W1)"/>
              </w:rPr>
              <w:t>James H. Cawley</w:t>
            </w:r>
          </w:p>
          <w:p w:rsidR="00AD7725" w:rsidRPr="005A0A6B" w:rsidRDefault="00AD7725" w:rsidP="00417440">
            <w:pPr>
              <w:spacing w:line="240" w:lineRule="auto"/>
              <w:ind w:firstLine="540"/>
              <w:rPr>
                <w:rFonts w:ascii="Times New (W1)" w:hAnsi="Times New (W1)"/>
              </w:rPr>
            </w:pPr>
            <w:r>
              <w:rPr>
                <w:rFonts w:ascii="Times New (W1)" w:hAnsi="Times New (W1)"/>
              </w:rPr>
              <w:t>Pamela A. Witmer</w:t>
            </w:r>
          </w:p>
          <w:p w:rsidR="00AD7725" w:rsidRDefault="00AD7725" w:rsidP="00417440">
            <w:pPr>
              <w:spacing w:line="240" w:lineRule="auto"/>
              <w:rPr>
                <w:rFonts w:ascii="Times New (W1)" w:hAnsi="Times New (W1)"/>
              </w:rPr>
            </w:pPr>
          </w:p>
          <w:p w:rsidR="00AD7725" w:rsidRPr="005A0A6B" w:rsidRDefault="00AD7725" w:rsidP="00417440">
            <w:pPr>
              <w:spacing w:line="240" w:lineRule="auto"/>
              <w:rPr>
                <w:rFonts w:ascii="Times New (W1)" w:hAnsi="Times New (W1)"/>
              </w:rPr>
            </w:pPr>
          </w:p>
        </w:tc>
      </w:tr>
      <w:tr w:rsidR="00AD7725" w:rsidRPr="005A0A6B" w:rsidTr="00417440">
        <w:tc>
          <w:tcPr>
            <w:tcW w:w="4788" w:type="dxa"/>
          </w:tcPr>
          <w:p w:rsidR="00AD7725" w:rsidRPr="005A0A6B" w:rsidRDefault="00AD7725" w:rsidP="004648B5">
            <w:pPr>
              <w:spacing w:line="240" w:lineRule="auto"/>
              <w:ind w:firstLine="0"/>
              <w:rPr>
                <w:rFonts w:ascii="Times New (W1)" w:hAnsi="Times New (W1)"/>
              </w:rPr>
            </w:pPr>
            <w:r>
              <w:rPr>
                <w:rFonts w:ascii="Times New (W1)" w:hAnsi="Times New (W1)"/>
              </w:rPr>
              <w:t xml:space="preserve">Petition of </w:t>
            </w:r>
            <w:r w:rsidR="004648B5">
              <w:rPr>
                <w:rFonts w:ascii="Times New (W1)" w:hAnsi="Times New (W1)"/>
              </w:rPr>
              <w:t xml:space="preserve">PECO Energy Company </w:t>
            </w:r>
            <w:r w:rsidR="001E4BB8">
              <w:rPr>
                <w:rFonts w:ascii="Times New (W1)" w:hAnsi="Times New (W1)"/>
              </w:rPr>
              <w:t>for Approval of its Act 129 Phase II Energy Efficiency and Conservation Plan</w:t>
            </w:r>
          </w:p>
        </w:tc>
        <w:tc>
          <w:tcPr>
            <w:tcW w:w="4788" w:type="dxa"/>
          </w:tcPr>
          <w:p w:rsidR="00AD7725" w:rsidRPr="005A0A6B" w:rsidRDefault="004648B5" w:rsidP="00417440">
            <w:pPr>
              <w:spacing w:line="240" w:lineRule="auto"/>
              <w:jc w:val="right"/>
              <w:rPr>
                <w:rFonts w:ascii="Times New (W1)" w:hAnsi="Times New (W1)"/>
              </w:rPr>
            </w:pPr>
            <w:r>
              <w:rPr>
                <w:rFonts w:ascii="Times New (W1)" w:hAnsi="Times New (W1)"/>
              </w:rPr>
              <w:t>Docket No. M-2012-2333992</w:t>
            </w:r>
            <w:r w:rsidR="00AD7725">
              <w:rPr>
                <w:rFonts w:ascii="Times New (W1)" w:hAnsi="Times New (W1)"/>
              </w:rPr>
              <w:t xml:space="preserve"> </w:t>
            </w:r>
          </w:p>
          <w:p w:rsidR="00AD7725" w:rsidRPr="005A0A6B" w:rsidRDefault="00AD7725" w:rsidP="00417440">
            <w:pPr>
              <w:spacing w:line="240" w:lineRule="auto"/>
              <w:jc w:val="right"/>
              <w:rPr>
                <w:rFonts w:ascii="Times New (W1)" w:hAnsi="Times New (W1)"/>
              </w:rPr>
            </w:pPr>
          </w:p>
        </w:tc>
      </w:tr>
    </w:tbl>
    <w:p w:rsidR="00004997" w:rsidRDefault="00004997" w:rsidP="00004997">
      <w:pPr>
        <w:ind w:firstLine="0"/>
        <w:jc w:val="center"/>
        <w:rPr>
          <w:b/>
        </w:rPr>
      </w:pPr>
    </w:p>
    <w:p w:rsidR="00104EBA" w:rsidRDefault="00104EBA" w:rsidP="00004997">
      <w:pPr>
        <w:ind w:firstLine="0"/>
        <w:jc w:val="center"/>
        <w:rPr>
          <w:b/>
        </w:rPr>
      </w:pPr>
    </w:p>
    <w:p w:rsidR="00004997" w:rsidRDefault="00004997" w:rsidP="00004997">
      <w:pPr>
        <w:ind w:firstLine="0"/>
        <w:jc w:val="center"/>
        <w:rPr>
          <w:b/>
        </w:rPr>
      </w:pPr>
      <w:r>
        <w:rPr>
          <w:b/>
        </w:rPr>
        <w:t>OPINION AND ORDER</w:t>
      </w:r>
    </w:p>
    <w:p w:rsidR="00D6776A" w:rsidRDefault="00D6776A" w:rsidP="00D6776A">
      <w:pPr>
        <w:widowControl/>
        <w:spacing w:line="240" w:lineRule="auto"/>
        <w:ind w:firstLine="0"/>
        <w:rPr>
          <w:b/>
          <w:szCs w:val="26"/>
        </w:rPr>
      </w:pPr>
    </w:p>
    <w:p w:rsidR="00104EBA" w:rsidRDefault="00104EBA" w:rsidP="00D6776A">
      <w:pPr>
        <w:widowControl/>
        <w:spacing w:line="240" w:lineRule="auto"/>
        <w:ind w:firstLine="0"/>
        <w:rPr>
          <w:b/>
          <w:szCs w:val="26"/>
        </w:rPr>
      </w:pPr>
    </w:p>
    <w:p w:rsidR="00004997" w:rsidRDefault="00004997" w:rsidP="00D6776A">
      <w:pPr>
        <w:widowControl/>
        <w:spacing w:line="240" w:lineRule="auto"/>
        <w:ind w:firstLine="0"/>
        <w:rPr>
          <w:b/>
          <w:szCs w:val="26"/>
        </w:rPr>
      </w:pPr>
      <w:r w:rsidRPr="00A94836">
        <w:rPr>
          <w:b/>
          <w:szCs w:val="26"/>
        </w:rPr>
        <w:t>BY THE COMMISSION:</w:t>
      </w:r>
    </w:p>
    <w:p w:rsidR="00D6776A" w:rsidRDefault="00D6776A" w:rsidP="00D6776A">
      <w:pPr>
        <w:widowControl/>
        <w:spacing w:line="240" w:lineRule="auto"/>
        <w:ind w:firstLine="0"/>
        <w:rPr>
          <w:b/>
          <w:szCs w:val="26"/>
        </w:rPr>
      </w:pPr>
    </w:p>
    <w:p w:rsidR="005D0547" w:rsidRPr="00F6133C" w:rsidRDefault="00004997" w:rsidP="00104EBA">
      <w:r w:rsidRPr="00CA43A5">
        <w:rPr>
          <w:szCs w:val="26"/>
        </w:rPr>
        <w:t xml:space="preserve">Before the Pennsylvania Public Utility Commission (Commission) for consideration and disposition </w:t>
      </w:r>
      <w:r>
        <w:rPr>
          <w:szCs w:val="26"/>
        </w:rPr>
        <w:t xml:space="preserve">is the Petition of </w:t>
      </w:r>
      <w:r w:rsidR="004648B5">
        <w:rPr>
          <w:szCs w:val="26"/>
        </w:rPr>
        <w:t xml:space="preserve">PECO Energy Company </w:t>
      </w:r>
      <w:r>
        <w:rPr>
          <w:szCs w:val="26"/>
        </w:rPr>
        <w:t>(</w:t>
      </w:r>
      <w:r w:rsidR="004648B5">
        <w:rPr>
          <w:szCs w:val="26"/>
        </w:rPr>
        <w:t>PECO</w:t>
      </w:r>
      <w:r>
        <w:rPr>
          <w:szCs w:val="26"/>
        </w:rPr>
        <w:t xml:space="preserve"> or Company) for Approval </w:t>
      </w:r>
      <w:r w:rsidR="00FA5A7A">
        <w:rPr>
          <w:szCs w:val="26"/>
        </w:rPr>
        <w:t xml:space="preserve">to Amend its Act 129 Phase II Energy Efficiency and Conservation </w:t>
      </w:r>
      <w:r w:rsidR="007A13DD">
        <w:rPr>
          <w:szCs w:val="26"/>
        </w:rPr>
        <w:t xml:space="preserve">(EE&amp;C) </w:t>
      </w:r>
      <w:r w:rsidR="00FA5A7A">
        <w:rPr>
          <w:szCs w:val="26"/>
        </w:rPr>
        <w:t xml:space="preserve">Plan </w:t>
      </w:r>
      <w:r w:rsidR="000709B0">
        <w:rPr>
          <w:szCs w:val="26"/>
        </w:rPr>
        <w:t>(</w:t>
      </w:r>
      <w:r w:rsidR="00564004">
        <w:rPr>
          <w:szCs w:val="26"/>
        </w:rPr>
        <w:t xml:space="preserve">Revised </w:t>
      </w:r>
      <w:r w:rsidR="000709B0">
        <w:rPr>
          <w:szCs w:val="26"/>
        </w:rPr>
        <w:t>Phase II Plan)</w:t>
      </w:r>
      <w:r w:rsidR="00564004" w:rsidRPr="00564004">
        <w:rPr>
          <w:rStyle w:val="FootnoteReference"/>
        </w:rPr>
        <w:t xml:space="preserve"> </w:t>
      </w:r>
      <w:r w:rsidR="00564004">
        <w:rPr>
          <w:rStyle w:val="FootnoteReference"/>
        </w:rPr>
        <w:footnoteReference w:id="1"/>
      </w:r>
      <w:r w:rsidR="00564004">
        <w:t xml:space="preserve"> </w:t>
      </w:r>
      <w:r w:rsidR="000709B0">
        <w:rPr>
          <w:szCs w:val="26"/>
        </w:rPr>
        <w:t xml:space="preserve"> </w:t>
      </w:r>
      <w:r w:rsidR="00FA5A7A">
        <w:rPr>
          <w:szCs w:val="26"/>
        </w:rPr>
        <w:t xml:space="preserve">to Continue its Mass Market Direct Load Control Program </w:t>
      </w:r>
      <w:r w:rsidR="000709B0">
        <w:rPr>
          <w:szCs w:val="26"/>
        </w:rPr>
        <w:t>(</w:t>
      </w:r>
      <w:r w:rsidR="00E57A51">
        <w:rPr>
          <w:szCs w:val="26"/>
        </w:rPr>
        <w:t>D</w:t>
      </w:r>
      <w:r w:rsidR="000709B0">
        <w:rPr>
          <w:szCs w:val="26"/>
        </w:rPr>
        <w:t xml:space="preserve">LC Program) </w:t>
      </w:r>
      <w:r w:rsidR="00FA5A7A">
        <w:rPr>
          <w:szCs w:val="26"/>
        </w:rPr>
        <w:t>from June 1, 2013, to May 31, 2014</w:t>
      </w:r>
      <w:r w:rsidR="000709B0">
        <w:rPr>
          <w:szCs w:val="26"/>
        </w:rPr>
        <w:t xml:space="preserve"> (</w:t>
      </w:r>
      <w:r w:rsidR="002D24C2">
        <w:rPr>
          <w:szCs w:val="26"/>
        </w:rPr>
        <w:t xml:space="preserve">DLC </w:t>
      </w:r>
      <w:r w:rsidR="000709B0">
        <w:rPr>
          <w:szCs w:val="26"/>
        </w:rPr>
        <w:t>Petition)</w:t>
      </w:r>
      <w:r w:rsidR="00FA5A7A">
        <w:rPr>
          <w:szCs w:val="26"/>
        </w:rPr>
        <w:t>.  Answers to the</w:t>
      </w:r>
      <w:r w:rsidR="002D24C2">
        <w:rPr>
          <w:szCs w:val="26"/>
        </w:rPr>
        <w:t xml:space="preserve"> DLC</w:t>
      </w:r>
      <w:r w:rsidR="00FA5A7A">
        <w:rPr>
          <w:szCs w:val="26"/>
        </w:rPr>
        <w:t xml:space="preserve"> </w:t>
      </w:r>
      <w:r w:rsidR="000709B0">
        <w:rPr>
          <w:szCs w:val="26"/>
        </w:rPr>
        <w:t>P</w:t>
      </w:r>
      <w:r w:rsidR="00FA5A7A">
        <w:rPr>
          <w:szCs w:val="26"/>
        </w:rPr>
        <w:t xml:space="preserve">etition were filed by Citizens for Pennsylvania’s Future (PennFuture) on April 10, 2013, </w:t>
      </w:r>
      <w:r w:rsidR="00963627">
        <w:rPr>
          <w:szCs w:val="26"/>
        </w:rPr>
        <w:t xml:space="preserve">and by Comverge, Inc. (Comverge) on April 15, 2013.  The </w:t>
      </w:r>
      <w:r w:rsidR="00FA5A7A">
        <w:rPr>
          <w:szCs w:val="26"/>
        </w:rPr>
        <w:t xml:space="preserve">Office of Consumer Advocate (OCA) </w:t>
      </w:r>
      <w:r w:rsidR="00104EBA">
        <w:rPr>
          <w:szCs w:val="26"/>
        </w:rPr>
        <w:t>filed Comments on April 15, 2013.  F</w:t>
      </w:r>
      <w:r>
        <w:rPr>
          <w:color w:val="000000"/>
        </w:rPr>
        <w:t>or the reasons fully delineated</w:t>
      </w:r>
      <w:r w:rsidR="00B5180C">
        <w:rPr>
          <w:color w:val="000000"/>
        </w:rPr>
        <w:t>,</w:t>
      </w:r>
      <w:r w:rsidR="0090514D">
        <w:rPr>
          <w:color w:val="000000"/>
        </w:rPr>
        <w:t xml:space="preserve"> </w:t>
      </w:r>
      <w:r w:rsidR="00B07300" w:rsidRPr="00B07300">
        <w:rPr>
          <w:i/>
          <w:color w:val="000000"/>
        </w:rPr>
        <w:t>infra</w:t>
      </w:r>
      <w:r>
        <w:rPr>
          <w:color w:val="000000"/>
        </w:rPr>
        <w:t xml:space="preserve">, </w:t>
      </w:r>
      <w:bookmarkStart w:id="0" w:name="_Toc338058260"/>
      <w:r w:rsidR="007A13DD">
        <w:rPr>
          <w:color w:val="000000"/>
        </w:rPr>
        <w:t xml:space="preserve">we shall grant the </w:t>
      </w:r>
      <w:r w:rsidR="006D5C61">
        <w:rPr>
          <w:color w:val="000000"/>
        </w:rPr>
        <w:t xml:space="preserve">DLC </w:t>
      </w:r>
      <w:r w:rsidR="005D0547" w:rsidRPr="00F6133C">
        <w:t xml:space="preserve">Petition. </w:t>
      </w:r>
    </w:p>
    <w:p w:rsidR="00617061" w:rsidRPr="00F70986" w:rsidRDefault="00617061" w:rsidP="00B629C6">
      <w:pPr>
        <w:pStyle w:val="Heading1"/>
        <w:ind w:left="720" w:hanging="720"/>
      </w:pPr>
      <w:bookmarkStart w:id="1" w:name="_Toc349126440"/>
      <w:r w:rsidRPr="005D0547">
        <w:lastRenderedPageBreak/>
        <w:t>Backgroun</w:t>
      </w:r>
      <w:r w:rsidRPr="00F70986">
        <w:t>d</w:t>
      </w:r>
      <w:bookmarkEnd w:id="0"/>
      <w:bookmarkEnd w:id="1"/>
    </w:p>
    <w:p w:rsidR="00617061" w:rsidRPr="00617061" w:rsidRDefault="00617061" w:rsidP="00F70986">
      <w:pPr>
        <w:rPr>
          <w:b/>
          <w:szCs w:val="26"/>
        </w:rPr>
      </w:pPr>
    </w:p>
    <w:p w:rsidR="00617061" w:rsidRDefault="00617061" w:rsidP="00F70986">
      <w:r>
        <w:t>On October 15, 2008, House Bill 2200 was signed into law as Act 129 with an effective date of November 14, 2008.  Among other requirements, Act 129 directed that EE&amp;C Programs be developed by each of the Commonwealth’s largest electric distribution companies (EDCs) and be approved by the Commission.  Sp</w:t>
      </w:r>
      <w:r w:rsidR="00F6133C">
        <w:t>ecifically, Act </w:t>
      </w:r>
      <w:r>
        <w:t>129 required each EDC with at least 100,000 customers to adopt a plan to reduce energy demand and consumption within its service territory.  Initially, the Act required each affected EDC to adopt a plan to reduce electric consumption by at least one percent of its expected consumption for June 1, 2009</w:t>
      </w:r>
      <w:r w:rsidR="0090514D">
        <w:t>,</w:t>
      </w:r>
      <w:r>
        <w:t xml:space="preserve"> through May 31, 2010, by May 31, 2011.  By May 31, 2013, the total annual weather-normalized consumption was to be reduced by a minimum of three percent.  Also, by May 31, 2013, peak demand was to be reduced by a minimum of four-and-a-half percent of each EDC’s annual system peak demand in the 100 hours of highest demand, measured against the EDC’s peak demand during the period of June 1, 2007 through May 31, 2008.</w:t>
      </w:r>
      <w:r w:rsidR="007A13DD">
        <w:rPr>
          <w:rStyle w:val="FootnoteReference"/>
        </w:rPr>
        <w:footnoteReference w:id="2"/>
      </w:r>
      <w:r>
        <w:t xml:space="preserve">  </w:t>
      </w:r>
    </w:p>
    <w:p w:rsidR="00617061" w:rsidRDefault="00617061" w:rsidP="00617061">
      <w:pPr>
        <w:rPr>
          <w:szCs w:val="26"/>
        </w:rPr>
      </w:pPr>
    </w:p>
    <w:p w:rsidR="00617061" w:rsidRDefault="00617061" w:rsidP="00617061">
      <w:pPr>
        <w:rPr>
          <w:szCs w:val="26"/>
        </w:rPr>
      </w:pPr>
      <w:r>
        <w:rPr>
          <w:szCs w:val="26"/>
        </w:rPr>
        <w:t>On January 15, 2009, the Commission adopted an Implementation Order at Docket No. M-2008-2069887 (</w:t>
      </w:r>
      <w:r w:rsidRPr="005D79B4">
        <w:rPr>
          <w:i/>
          <w:szCs w:val="26"/>
        </w:rPr>
        <w:t>Phase I Implementation Order</w:t>
      </w:r>
      <w:r>
        <w:rPr>
          <w:szCs w:val="26"/>
        </w:rPr>
        <w:t>) which established the standards each plan must meet, and which provided guidance on the procedures to be followed for submittal, review and approval of all aspects of the EE&amp;C plans.  The Commission subsequently approved an EE&amp;C plan (and, in some cases, modifications to the plan) for each affected EDC.</w:t>
      </w:r>
    </w:p>
    <w:p w:rsidR="00617061" w:rsidRDefault="00617061" w:rsidP="00617061">
      <w:pPr>
        <w:rPr>
          <w:szCs w:val="26"/>
        </w:rPr>
      </w:pPr>
    </w:p>
    <w:p w:rsidR="00617061" w:rsidRDefault="00617061" w:rsidP="00617061">
      <w:pPr>
        <w:rPr>
          <w:szCs w:val="26"/>
        </w:rPr>
      </w:pPr>
      <w:r>
        <w:rPr>
          <w:szCs w:val="26"/>
        </w:rPr>
        <w:t xml:space="preserve">Another requirement of Act 129 directs the Commission to evaluate the costs and benefits of the adopted EE&amp;C Program by November 30, 2013, and every five years thereafter.  The Act provides that the Commission must adopt additional incremental reductions in consumption and peak demand if the benefits of the EE&amp;C </w:t>
      </w:r>
      <w:r>
        <w:rPr>
          <w:szCs w:val="26"/>
        </w:rPr>
        <w:lastRenderedPageBreak/>
        <w:t>Program exceed its costs.</w:t>
      </w:r>
      <w:r w:rsidR="00866CA4">
        <w:rPr>
          <w:rStyle w:val="FootnoteReference"/>
          <w:szCs w:val="26"/>
        </w:rPr>
        <w:footnoteReference w:id="3"/>
      </w:r>
      <w:r>
        <w:rPr>
          <w:szCs w:val="26"/>
        </w:rPr>
        <w:t xml:space="preserve">  In accordance with that directive, the Commission issued a Secretarial Letter on March 1, 2012, at Docket No. M-2012-2289411 seeking comments on several issues related to the design and implementation of any future phase of the EE&amp;C Program, and whether additional incremental consumption and peak demand reduction targets would be adopted.  On May 10, 2012, in response to the </w:t>
      </w:r>
      <w:r w:rsidR="00C1660F">
        <w:rPr>
          <w:szCs w:val="26"/>
        </w:rPr>
        <w:t>C</w:t>
      </w:r>
      <w:r>
        <w:rPr>
          <w:szCs w:val="26"/>
        </w:rPr>
        <w:t>omments received pursuant to the Secretarial Letter, the Commission issued a Tentative Implementation Order (</w:t>
      </w:r>
      <w:r w:rsidRPr="005D79B4">
        <w:rPr>
          <w:i/>
          <w:szCs w:val="26"/>
        </w:rPr>
        <w:t>Phase II</w:t>
      </w:r>
      <w:r>
        <w:rPr>
          <w:szCs w:val="26"/>
        </w:rPr>
        <w:t xml:space="preserve"> </w:t>
      </w:r>
      <w:r w:rsidRPr="005D79B4">
        <w:rPr>
          <w:i/>
          <w:szCs w:val="26"/>
        </w:rPr>
        <w:t>Tentative Implementation Order</w:t>
      </w:r>
      <w:r>
        <w:rPr>
          <w:szCs w:val="26"/>
        </w:rPr>
        <w:t>)</w:t>
      </w:r>
      <w:r w:rsidR="00F36D01">
        <w:rPr>
          <w:szCs w:val="26"/>
        </w:rPr>
        <w:t xml:space="preserve">, at Docket No. </w:t>
      </w:r>
      <w:r w:rsidR="00F36D01">
        <w:rPr>
          <w:szCs w:val="26"/>
        </w:rPr>
        <w:br/>
        <w:t>M-2012-2289411,</w:t>
      </w:r>
      <w:r>
        <w:rPr>
          <w:szCs w:val="26"/>
        </w:rPr>
        <w:t xml:space="preserve"> to begin the process of evaluating the costs and benefits of the initial EE&amp;C Plans and the possible establishment of new reduction targets.  In the </w:t>
      </w:r>
      <w:r w:rsidRPr="005D79B4">
        <w:rPr>
          <w:i/>
          <w:szCs w:val="26"/>
        </w:rPr>
        <w:t>Phase II</w:t>
      </w:r>
      <w:r>
        <w:rPr>
          <w:szCs w:val="26"/>
        </w:rPr>
        <w:t xml:space="preserve"> </w:t>
      </w:r>
      <w:r w:rsidRPr="005D79B4">
        <w:rPr>
          <w:i/>
          <w:szCs w:val="26"/>
        </w:rPr>
        <w:t>Tentative Implementation Order</w:t>
      </w:r>
      <w:r>
        <w:rPr>
          <w:szCs w:val="26"/>
        </w:rPr>
        <w:t>, the Commission found that the benefits of a Phase II Act 129 Program will exceed the costs.  Therefore, the Commission proposed the adoption of additional required incremental reductions in consumption for another program term and sought additional comments on its specific proposals.</w:t>
      </w:r>
    </w:p>
    <w:p w:rsidR="00617061" w:rsidRDefault="00617061" w:rsidP="00617061">
      <w:pPr>
        <w:rPr>
          <w:szCs w:val="26"/>
        </w:rPr>
      </w:pPr>
    </w:p>
    <w:p w:rsidR="00617061" w:rsidRDefault="00617061" w:rsidP="00F86F31">
      <w:pPr>
        <w:widowControl/>
        <w:rPr>
          <w:szCs w:val="26"/>
        </w:rPr>
      </w:pPr>
      <w:r>
        <w:rPr>
          <w:szCs w:val="26"/>
        </w:rPr>
        <w:t xml:space="preserve">Subsequently, in response to the </w:t>
      </w:r>
      <w:r w:rsidR="00C1660F">
        <w:rPr>
          <w:szCs w:val="26"/>
        </w:rPr>
        <w:t>C</w:t>
      </w:r>
      <w:r>
        <w:rPr>
          <w:szCs w:val="26"/>
        </w:rPr>
        <w:t xml:space="preserve">omments filed pursuant to the </w:t>
      </w:r>
      <w:r w:rsidRPr="005D79B4">
        <w:rPr>
          <w:i/>
          <w:szCs w:val="26"/>
        </w:rPr>
        <w:t>Phase II</w:t>
      </w:r>
      <w:r>
        <w:rPr>
          <w:szCs w:val="26"/>
        </w:rPr>
        <w:t xml:space="preserve"> </w:t>
      </w:r>
      <w:r w:rsidRPr="005D79B4">
        <w:rPr>
          <w:i/>
          <w:szCs w:val="26"/>
        </w:rPr>
        <w:t>Tentative Implementation Order</w:t>
      </w:r>
      <w:r>
        <w:rPr>
          <w:szCs w:val="26"/>
        </w:rPr>
        <w:t xml:space="preserve">, on August </w:t>
      </w:r>
      <w:r w:rsidR="00F36D01">
        <w:rPr>
          <w:szCs w:val="26"/>
        </w:rPr>
        <w:t>3</w:t>
      </w:r>
      <w:r>
        <w:rPr>
          <w:szCs w:val="26"/>
        </w:rPr>
        <w:t xml:space="preserve">, 2012, the Commission </w:t>
      </w:r>
      <w:r w:rsidR="00F36D01">
        <w:rPr>
          <w:szCs w:val="26"/>
        </w:rPr>
        <w:t xml:space="preserve">entered </w:t>
      </w:r>
      <w:r>
        <w:rPr>
          <w:szCs w:val="26"/>
        </w:rPr>
        <w:t xml:space="preserve">the </w:t>
      </w:r>
      <w:r w:rsidR="00F6133C">
        <w:rPr>
          <w:i/>
          <w:szCs w:val="26"/>
        </w:rPr>
        <w:t>Phase </w:t>
      </w:r>
      <w:r>
        <w:rPr>
          <w:i/>
          <w:szCs w:val="26"/>
        </w:rPr>
        <w:t>II Implementation Order</w:t>
      </w:r>
      <w:r w:rsidR="00F36D01" w:rsidRPr="00F36D01">
        <w:rPr>
          <w:szCs w:val="26"/>
        </w:rPr>
        <w:t xml:space="preserve"> </w:t>
      </w:r>
      <w:r w:rsidR="00F36D01">
        <w:rPr>
          <w:szCs w:val="26"/>
        </w:rPr>
        <w:t>at Docket No. M-2012-2289411</w:t>
      </w:r>
      <w:r w:rsidR="00866CA4">
        <w:rPr>
          <w:i/>
          <w:szCs w:val="26"/>
        </w:rPr>
        <w:t xml:space="preserve">.  </w:t>
      </w:r>
      <w:r>
        <w:rPr>
          <w:szCs w:val="26"/>
        </w:rPr>
        <w:t xml:space="preserve"> </w:t>
      </w:r>
      <w:r w:rsidR="00866CA4">
        <w:rPr>
          <w:szCs w:val="26"/>
        </w:rPr>
        <w:t xml:space="preserve">The </w:t>
      </w:r>
      <w:r w:rsidR="00866CA4">
        <w:rPr>
          <w:i/>
          <w:szCs w:val="26"/>
        </w:rPr>
        <w:t>Phase II Implementation Order</w:t>
      </w:r>
      <w:r w:rsidR="00866CA4">
        <w:rPr>
          <w:szCs w:val="26"/>
        </w:rPr>
        <w:t xml:space="preserve"> </w:t>
      </w:r>
      <w:r>
        <w:rPr>
          <w:szCs w:val="26"/>
        </w:rPr>
        <w:t xml:space="preserve">established the standards each plan must meet (including the additional incremental reductions in consumption that each EDC must meet) and provided guidance on the procedures to be followed for submittal, review and approval of all aspects of EDC EE&amp;C plans.  </w:t>
      </w:r>
      <w:r w:rsidR="00127862">
        <w:rPr>
          <w:szCs w:val="26"/>
        </w:rPr>
        <w:t xml:space="preserve">Within the </w:t>
      </w:r>
      <w:r w:rsidR="00127862">
        <w:rPr>
          <w:i/>
          <w:szCs w:val="26"/>
        </w:rPr>
        <w:t>Phase II Implementation Order</w:t>
      </w:r>
      <w:r w:rsidR="00127862">
        <w:rPr>
          <w:szCs w:val="26"/>
        </w:rPr>
        <w:t xml:space="preserve">, the Commission tentatively adopted EDC-specific consumption reduction targets which varied from a high of 2.9% for PECO to a low of 1.6% for West Penn Power Company.  </w:t>
      </w:r>
      <w:r w:rsidR="00F53DA1">
        <w:rPr>
          <w:i/>
          <w:szCs w:val="26"/>
        </w:rPr>
        <w:t>Phase II Implementation Order</w:t>
      </w:r>
      <w:r w:rsidR="00F53DA1">
        <w:rPr>
          <w:szCs w:val="26"/>
        </w:rPr>
        <w:t xml:space="preserve"> </w:t>
      </w:r>
      <w:r w:rsidR="00F53DA1" w:rsidRPr="00F53DA1">
        <w:rPr>
          <w:szCs w:val="26"/>
        </w:rPr>
        <w:t xml:space="preserve">at </w:t>
      </w:r>
      <w:r w:rsidR="003E7263">
        <w:rPr>
          <w:szCs w:val="26"/>
        </w:rPr>
        <w:t>24</w:t>
      </w:r>
      <w:r w:rsidR="00F53DA1">
        <w:rPr>
          <w:szCs w:val="26"/>
        </w:rPr>
        <w:t>.</w:t>
      </w:r>
      <w:r w:rsidR="003E7263">
        <w:rPr>
          <w:szCs w:val="26"/>
        </w:rPr>
        <w:t xml:space="preserve"> </w:t>
      </w:r>
      <w:r w:rsidR="00F53DA1">
        <w:rPr>
          <w:szCs w:val="26"/>
        </w:rPr>
        <w:t xml:space="preserve"> </w:t>
      </w:r>
      <w:r>
        <w:rPr>
          <w:szCs w:val="26"/>
        </w:rPr>
        <w:t xml:space="preserve">The </w:t>
      </w:r>
      <w:r>
        <w:rPr>
          <w:i/>
          <w:szCs w:val="26"/>
        </w:rPr>
        <w:t>Phase II Implementation Order</w:t>
      </w:r>
      <w:r>
        <w:rPr>
          <w:szCs w:val="26"/>
        </w:rPr>
        <w:t xml:space="preserve"> provided that these targets would become final for any </w:t>
      </w:r>
      <w:r w:rsidR="0090514D">
        <w:rPr>
          <w:szCs w:val="26"/>
        </w:rPr>
        <w:t>applicable</w:t>
      </w:r>
      <w:r>
        <w:rPr>
          <w:szCs w:val="26"/>
        </w:rPr>
        <w:t xml:space="preserve"> EDC that did not petition the Commission for an evidentiary hearing by August 20, 2012.  </w:t>
      </w:r>
      <w:r w:rsidR="003E7263" w:rsidRPr="003E7263">
        <w:rPr>
          <w:i/>
          <w:szCs w:val="26"/>
        </w:rPr>
        <w:t>Id.</w:t>
      </w:r>
      <w:r w:rsidR="003E7263">
        <w:rPr>
          <w:szCs w:val="26"/>
        </w:rPr>
        <w:t xml:space="preserve"> at 30-32. </w:t>
      </w:r>
    </w:p>
    <w:p w:rsidR="004E19D1" w:rsidRPr="004E19D1" w:rsidRDefault="00E57A51" w:rsidP="004E19D1">
      <w:r>
        <w:lastRenderedPageBreak/>
        <w:t>T</w:t>
      </w:r>
      <w:r w:rsidR="004E19D1" w:rsidRPr="004E19D1">
        <w:t xml:space="preserve">he Commission </w:t>
      </w:r>
      <w:r>
        <w:t>did not include any</w:t>
      </w:r>
      <w:r w:rsidR="004E19D1" w:rsidRPr="004E19D1">
        <w:t xml:space="preserve"> demand reduction </w:t>
      </w:r>
      <w:r>
        <w:t xml:space="preserve">(DR) </w:t>
      </w:r>
      <w:r w:rsidR="004E19D1" w:rsidRPr="004E19D1">
        <w:t xml:space="preserve">targets and corresponding </w:t>
      </w:r>
      <w:r>
        <w:t>DR p</w:t>
      </w:r>
      <w:r w:rsidRPr="004E19D1">
        <w:t>rograms</w:t>
      </w:r>
      <w:r w:rsidR="004E19D1" w:rsidRPr="004E19D1">
        <w:t xml:space="preserve"> </w:t>
      </w:r>
      <w:r>
        <w:t xml:space="preserve">for </w:t>
      </w:r>
      <w:r w:rsidR="004E19D1" w:rsidRPr="004E19D1">
        <w:t>the EDCs’ Phase II EE&amp;C Plans</w:t>
      </w:r>
      <w:r w:rsidR="00C1660F">
        <w:t>.  In</w:t>
      </w:r>
      <w:r>
        <w:t xml:space="preserve"> the </w:t>
      </w:r>
      <w:r w:rsidRPr="004E19D1">
        <w:rPr>
          <w:i/>
        </w:rPr>
        <w:t>Phase II Implementation Order</w:t>
      </w:r>
      <w:r w:rsidR="00C1660F">
        <w:rPr>
          <w:i/>
        </w:rPr>
        <w:t>,</w:t>
      </w:r>
      <w:r w:rsidR="004E19D1" w:rsidRPr="004E19D1">
        <w:t xml:space="preserve"> </w:t>
      </w:r>
      <w:r w:rsidR="00C1660F">
        <w:t>t</w:t>
      </w:r>
      <w:r w:rsidR="004E19D1" w:rsidRPr="004E19D1">
        <w:t xml:space="preserve">he Commission explained that </w:t>
      </w:r>
      <w:r w:rsidR="009578CA">
        <w:t>its</w:t>
      </w:r>
      <w:r w:rsidR="004E19D1" w:rsidRPr="004E19D1">
        <w:t xml:space="preserve"> interpretation of Section 2806.1(d)(2) of Act 129, 66 Pa. C.S. § 2806.1(d)(2), is that, in order for the Commission to prescribe specific peak </w:t>
      </w:r>
      <w:r>
        <w:t>DR</w:t>
      </w:r>
      <w:r w:rsidR="004E19D1" w:rsidRPr="004E19D1">
        <w:t xml:space="preserve"> targets for subsequent phases of Act 129, the DR programs must be proven to be cost-effective.  </w:t>
      </w:r>
      <w:r w:rsidR="004E19D1" w:rsidRPr="004E19D1">
        <w:rPr>
          <w:i/>
        </w:rPr>
        <w:t>Phase II Implementation Order</w:t>
      </w:r>
      <w:r w:rsidR="004E19D1" w:rsidRPr="004E19D1">
        <w:t xml:space="preserve"> at 32.  Therefore, in order to determine the cost-effectiveness of current and potential future DR programs, the Commission directed the </w:t>
      </w:r>
      <w:r>
        <w:t>St</w:t>
      </w:r>
      <w:r w:rsidR="00104EBA">
        <w:t>ate</w:t>
      </w:r>
      <w:r>
        <w:t>wide Evaluator (</w:t>
      </w:r>
      <w:r w:rsidR="004E19D1" w:rsidRPr="004E19D1">
        <w:t>SWE</w:t>
      </w:r>
      <w:r>
        <w:t>)</w:t>
      </w:r>
      <w:r w:rsidR="004E19D1" w:rsidRPr="004E19D1">
        <w:t xml:space="preserve"> to complete a DR study.</w:t>
      </w:r>
      <w:r w:rsidR="004E19D1" w:rsidRPr="004E19D1">
        <w:rPr>
          <w:vertAlign w:val="superscript"/>
        </w:rPr>
        <w:footnoteReference w:id="4"/>
      </w:r>
      <w:r w:rsidR="004E19D1" w:rsidRPr="004E19D1">
        <w:t xml:space="preserve">  </w:t>
      </w:r>
      <w:r w:rsidR="004E19D1" w:rsidRPr="004E19D1">
        <w:rPr>
          <w:i/>
        </w:rPr>
        <w:t>Id</w:t>
      </w:r>
      <w:r w:rsidR="004E19D1" w:rsidRPr="004E19D1">
        <w:t xml:space="preserve">.  </w:t>
      </w:r>
    </w:p>
    <w:p w:rsidR="00617061" w:rsidRDefault="00617061" w:rsidP="00617061">
      <w:pPr>
        <w:rPr>
          <w:szCs w:val="26"/>
        </w:rPr>
      </w:pPr>
    </w:p>
    <w:p w:rsidR="00E53455" w:rsidRDefault="00FC5FF9" w:rsidP="00D32D58">
      <w:pPr>
        <w:keepNext/>
        <w:widowControl/>
        <w:rPr>
          <w:szCs w:val="26"/>
        </w:rPr>
      </w:pPr>
      <w:r>
        <w:rPr>
          <w:szCs w:val="26"/>
        </w:rPr>
        <w:t xml:space="preserve">On </w:t>
      </w:r>
      <w:r w:rsidR="00E952FA">
        <w:rPr>
          <w:szCs w:val="26"/>
        </w:rPr>
        <w:t xml:space="preserve">August 20, 2012, PECO filed a Petition for an </w:t>
      </w:r>
      <w:r w:rsidR="00E952FA">
        <w:rPr>
          <w:rFonts w:ascii="Times New (W1)" w:hAnsi="Times New (W1)"/>
        </w:rPr>
        <w:t xml:space="preserve">Evidentiary Hearing on the Energy Efficiency Benchmarks Established for the </w:t>
      </w:r>
      <w:r w:rsidR="00F6133C">
        <w:rPr>
          <w:rFonts w:ascii="Times New (W1)" w:hAnsi="Times New (W1)"/>
        </w:rPr>
        <w:t>Period June 1, 2013 through May </w:t>
      </w:r>
      <w:r w:rsidR="00E952FA">
        <w:rPr>
          <w:rFonts w:ascii="Times New (W1)" w:hAnsi="Times New (W1)"/>
        </w:rPr>
        <w:t xml:space="preserve">31, 2016 </w:t>
      </w:r>
      <w:r w:rsidR="00E952FA">
        <w:rPr>
          <w:szCs w:val="26"/>
        </w:rPr>
        <w:t xml:space="preserve">(Benchmark Petition). </w:t>
      </w:r>
      <w:r w:rsidR="00207DCE">
        <w:rPr>
          <w:szCs w:val="26"/>
        </w:rPr>
        <w:t xml:space="preserve"> Among the issues raised in the Benchmark Petition, PECO </w:t>
      </w:r>
      <w:r w:rsidR="00E53455">
        <w:rPr>
          <w:szCs w:val="26"/>
        </w:rPr>
        <w:t xml:space="preserve">requested an evidentiary hearing to present evidence </w:t>
      </w:r>
      <w:r w:rsidR="00694EF0">
        <w:rPr>
          <w:szCs w:val="26"/>
        </w:rPr>
        <w:t>that</w:t>
      </w:r>
      <w:r w:rsidR="00E53455">
        <w:rPr>
          <w:szCs w:val="26"/>
        </w:rPr>
        <w:t xml:space="preserve"> show</w:t>
      </w:r>
      <w:r w:rsidR="00694EF0">
        <w:rPr>
          <w:szCs w:val="26"/>
        </w:rPr>
        <w:t>s</w:t>
      </w:r>
      <w:r w:rsidR="00E53455">
        <w:rPr>
          <w:szCs w:val="26"/>
        </w:rPr>
        <w:t xml:space="preserve"> that its existing residential DR program, in particular DLC, is cost-effective and should continue </w:t>
      </w:r>
      <w:r w:rsidR="00694EF0">
        <w:rPr>
          <w:szCs w:val="26"/>
        </w:rPr>
        <w:t xml:space="preserve">into Phase II </w:t>
      </w:r>
      <w:r w:rsidR="00E53455">
        <w:rPr>
          <w:szCs w:val="26"/>
        </w:rPr>
        <w:t xml:space="preserve">on an interim basis.  Benchmark Petition at 6. </w:t>
      </w:r>
    </w:p>
    <w:p w:rsidR="00E53455" w:rsidRDefault="00E53455" w:rsidP="00D32D58">
      <w:pPr>
        <w:keepNext/>
        <w:widowControl/>
        <w:rPr>
          <w:szCs w:val="26"/>
        </w:rPr>
      </w:pPr>
    </w:p>
    <w:p w:rsidR="00D32D58" w:rsidRPr="00AD67F3" w:rsidRDefault="00E952FA" w:rsidP="00D32D58">
      <w:pPr>
        <w:keepNext/>
        <w:widowControl/>
      </w:pPr>
      <w:r>
        <w:rPr>
          <w:szCs w:val="26"/>
        </w:rPr>
        <w:t xml:space="preserve"> </w:t>
      </w:r>
      <w:r w:rsidR="00D32D58">
        <w:rPr>
          <w:szCs w:val="26"/>
        </w:rPr>
        <w:t>Th</w:t>
      </w:r>
      <w:r w:rsidR="00E53455">
        <w:rPr>
          <w:szCs w:val="26"/>
        </w:rPr>
        <w:t xml:space="preserve">e Benchmark Petition </w:t>
      </w:r>
      <w:r w:rsidR="00D32D58">
        <w:rPr>
          <w:szCs w:val="26"/>
        </w:rPr>
        <w:t xml:space="preserve">was assigned to the Office of Administrative Law Judge with a certified record deadline of November 2, 2012.  </w:t>
      </w:r>
      <w:r w:rsidR="00C6405A">
        <w:rPr>
          <w:szCs w:val="26"/>
        </w:rPr>
        <w:t xml:space="preserve">Petitions to </w:t>
      </w:r>
      <w:r w:rsidR="00D32D58" w:rsidRPr="00D32D58">
        <w:t xml:space="preserve">intervene </w:t>
      </w:r>
      <w:r w:rsidR="00FA740C">
        <w:t xml:space="preserve">were </w:t>
      </w:r>
      <w:r w:rsidR="00C6405A">
        <w:t xml:space="preserve">filed by </w:t>
      </w:r>
      <w:r w:rsidR="00D32D58" w:rsidRPr="00D32D58">
        <w:t xml:space="preserve">the following </w:t>
      </w:r>
      <w:r w:rsidR="00D32D58">
        <w:t>Parties</w:t>
      </w:r>
      <w:r w:rsidR="00D32D58" w:rsidRPr="00D32D58">
        <w:t>:</w:t>
      </w:r>
      <w:r w:rsidR="00F6133C">
        <w:t xml:space="preserve"> </w:t>
      </w:r>
      <w:r w:rsidR="00D32D58" w:rsidRPr="00D32D58">
        <w:t xml:space="preserve"> (1) the Community Action Association of Pennsylvania; (2) </w:t>
      </w:r>
      <w:r w:rsidR="00104EBA">
        <w:t>the Coalition for Affordable Utility Services and Energy Efficiency in Pennsylvania (CAUSE-PA)</w:t>
      </w:r>
      <w:r w:rsidR="00D32D58" w:rsidRPr="00D32D58">
        <w:t>; (3)</w:t>
      </w:r>
      <w:r w:rsidR="00D32D58">
        <w:t xml:space="preserve"> </w:t>
      </w:r>
      <w:r w:rsidR="00C6405A">
        <w:t xml:space="preserve">the </w:t>
      </w:r>
      <w:r w:rsidR="00D32D58">
        <w:rPr>
          <w:szCs w:val="26"/>
        </w:rPr>
        <w:t>Clean Air Council and the Sierra Club (</w:t>
      </w:r>
      <w:r w:rsidR="00D32D58" w:rsidRPr="00D32D58">
        <w:t>CAC/SC</w:t>
      </w:r>
      <w:r w:rsidR="00D32D58">
        <w:t>)</w:t>
      </w:r>
      <w:r w:rsidR="00D32D58" w:rsidRPr="00D32D58">
        <w:t xml:space="preserve">; (4) </w:t>
      </w:r>
      <w:r w:rsidR="00435FCB">
        <w:t>Comverge</w:t>
      </w:r>
      <w:r w:rsidR="00D32D58" w:rsidRPr="00D32D58">
        <w:t>; (5) PennFuture; (6) Duquesne Light Company; and (7) the Philadelphia Area Industrial Energy Users Group (PAIEUG).</w:t>
      </w:r>
      <w:r w:rsidR="00430D27">
        <w:t xml:space="preserve"> </w:t>
      </w:r>
      <w:r w:rsidR="00D32D58" w:rsidRPr="00D32D58">
        <w:t xml:space="preserve"> </w:t>
      </w:r>
      <w:r w:rsidR="00D32D58">
        <w:t>By Order Certifying the Record dated November 2, 2012, A</w:t>
      </w:r>
      <w:r w:rsidR="00104EBA">
        <w:t>dministrative Law Judge (A</w:t>
      </w:r>
      <w:r w:rsidR="00D32D58">
        <w:t>LJ</w:t>
      </w:r>
      <w:r w:rsidR="00104EBA">
        <w:t>)</w:t>
      </w:r>
      <w:r w:rsidR="00D32D58">
        <w:t xml:space="preserve"> Elizabeth H. Barnes provided a history of th</w:t>
      </w:r>
      <w:r w:rsidR="00430D27">
        <w:t>e</w:t>
      </w:r>
      <w:r w:rsidR="00D32D58">
        <w:t xml:space="preserve"> proceeding; delineated the transcripts, statements and exhibits admitted into the record; and certified the record to the Commission for </w:t>
      </w:r>
      <w:r w:rsidR="009578CA">
        <w:t>its</w:t>
      </w:r>
      <w:r w:rsidR="00D32D58">
        <w:t xml:space="preserve"> consideration and disposition. </w:t>
      </w:r>
    </w:p>
    <w:p w:rsidR="00E952FA" w:rsidRDefault="00E952FA" w:rsidP="00617061">
      <w:pPr>
        <w:rPr>
          <w:szCs w:val="26"/>
        </w:rPr>
      </w:pPr>
    </w:p>
    <w:p w:rsidR="006C44F5" w:rsidRDefault="00617061" w:rsidP="00617061">
      <w:pPr>
        <w:rPr>
          <w:szCs w:val="26"/>
        </w:rPr>
      </w:pPr>
      <w:r>
        <w:rPr>
          <w:szCs w:val="26"/>
        </w:rPr>
        <w:lastRenderedPageBreak/>
        <w:t xml:space="preserve">On September 4, 2012, PECO filed a Motion for Leave to File a </w:t>
      </w:r>
      <w:r w:rsidR="00C6405A">
        <w:rPr>
          <w:szCs w:val="26"/>
        </w:rPr>
        <w:t>Petition</w:t>
      </w:r>
      <w:r>
        <w:rPr>
          <w:szCs w:val="26"/>
        </w:rPr>
        <w:t xml:space="preserve"> for Reconsideration and a Petition for Reconsideration</w:t>
      </w:r>
      <w:r w:rsidRPr="003618CA">
        <w:rPr>
          <w:szCs w:val="26"/>
        </w:rPr>
        <w:t xml:space="preserve"> </w:t>
      </w:r>
      <w:r>
        <w:rPr>
          <w:szCs w:val="26"/>
        </w:rPr>
        <w:t xml:space="preserve">of the </w:t>
      </w:r>
      <w:r w:rsidRPr="003618CA">
        <w:rPr>
          <w:i/>
          <w:szCs w:val="26"/>
        </w:rPr>
        <w:t>Phase II Implementation</w:t>
      </w:r>
      <w:r>
        <w:rPr>
          <w:i/>
          <w:szCs w:val="26"/>
        </w:rPr>
        <w:t xml:space="preserve"> Orde</w:t>
      </w:r>
      <w:r w:rsidR="00694EF0">
        <w:rPr>
          <w:i/>
          <w:szCs w:val="26"/>
        </w:rPr>
        <w:t>r</w:t>
      </w:r>
      <w:r>
        <w:rPr>
          <w:i/>
          <w:szCs w:val="26"/>
        </w:rPr>
        <w:t xml:space="preserve"> </w:t>
      </w:r>
      <w:r w:rsidR="00694EF0" w:rsidRPr="00694EF0">
        <w:rPr>
          <w:szCs w:val="26"/>
        </w:rPr>
        <w:t>(</w:t>
      </w:r>
      <w:r w:rsidR="00694EF0">
        <w:rPr>
          <w:szCs w:val="26"/>
        </w:rPr>
        <w:t>Petition for Reconsideration).</w:t>
      </w:r>
      <w:r w:rsidR="00FE1D97">
        <w:rPr>
          <w:rStyle w:val="FootnoteReference"/>
          <w:szCs w:val="26"/>
        </w:rPr>
        <w:footnoteReference w:id="5"/>
      </w:r>
      <w:r w:rsidR="00694EF0">
        <w:rPr>
          <w:szCs w:val="26"/>
        </w:rPr>
        <w:t xml:space="preserve">  In the Petition for Reconsideration, PECO requested, </w:t>
      </w:r>
      <w:r w:rsidR="00694EF0" w:rsidRPr="00694EF0">
        <w:rPr>
          <w:i/>
          <w:szCs w:val="26"/>
        </w:rPr>
        <w:t>inter alia,</w:t>
      </w:r>
      <w:r w:rsidR="00694EF0">
        <w:rPr>
          <w:szCs w:val="26"/>
        </w:rPr>
        <w:t xml:space="preserve"> that the Commission reconsider its decision to require all permissible</w:t>
      </w:r>
      <w:r w:rsidR="006C44F5">
        <w:rPr>
          <w:szCs w:val="26"/>
        </w:rPr>
        <w:t xml:space="preserve"> EDC Phase II funding to be dedicated solely to consumption reduction and to provide no Act 129 funding during Phase II to any DR programs.  Petition for Reconsideration at 14. </w:t>
      </w:r>
    </w:p>
    <w:p w:rsidR="006C44F5" w:rsidRDefault="006C44F5" w:rsidP="00617061">
      <w:pPr>
        <w:rPr>
          <w:szCs w:val="26"/>
        </w:rPr>
      </w:pPr>
    </w:p>
    <w:p w:rsidR="00617061" w:rsidRPr="00F6133C" w:rsidRDefault="00617061" w:rsidP="00617061">
      <w:pPr>
        <w:keepNext/>
        <w:widowControl/>
        <w:rPr>
          <w:b/>
          <w:szCs w:val="26"/>
        </w:rPr>
      </w:pPr>
      <w:r>
        <w:rPr>
          <w:szCs w:val="26"/>
        </w:rPr>
        <w:t xml:space="preserve">By Reconsideration Order entered September 27, 2012, at Docket Nos. </w:t>
      </w:r>
      <w:r>
        <w:rPr>
          <w:szCs w:val="26"/>
        </w:rPr>
        <w:br/>
        <w:t>M-2012-2289411 and M-2008-2069887 (</w:t>
      </w:r>
      <w:r w:rsidRPr="00195C96">
        <w:rPr>
          <w:i/>
          <w:szCs w:val="26"/>
        </w:rPr>
        <w:t>Phase II Reconsideration Order</w:t>
      </w:r>
      <w:r>
        <w:rPr>
          <w:szCs w:val="26"/>
        </w:rPr>
        <w:t>), the Commission</w:t>
      </w:r>
      <w:r w:rsidR="00FC5FF9">
        <w:rPr>
          <w:szCs w:val="26"/>
        </w:rPr>
        <w:t xml:space="preserve">, </w:t>
      </w:r>
      <w:r w:rsidR="00FC5FF9" w:rsidRPr="00FC5FF9">
        <w:rPr>
          <w:i/>
          <w:szCs w:val="26"/>
        </w:rPr>
        <w:t>inter alia</w:t>
      </w:r>
      <w:r w:rsidR="00FC5FF9">
        <w:rPr>
          <w:szCs w:val="26"/>
        </w:rPr>
        <w:t xml:space="preserve">, </w:t>
      </w:r>
      <w:r>
        <w:rPr>
          <w:szCs w:val="26"/>
        </w:rPr>
        <w:t xml:space="preserve">denied the Petition for Reconsideration filed </w:t>
      </w:r>
      <w:r w:rsidR="009578CA">
        <w:rPr>
          <w:szCs w:val="26"/>
        </w:rPr>
        <w:t xml:space="preserve">by </w:t>
      </w:r>
      <w:r>
        <w:rPr>
          <w:szCs w:val="26"/>
        </w:rPr>
        <w:t>PECO</w:t>
      </w:r>
      <w:r w:rsidR="00BB2BCF">
        <w:rPr>
          <w:szCs w:val="26"/>
        </w:rPr>
        <w:t xml:space="preserve">.  </w:t>
      </w:r>
    </w:p>
    <w:p w:rsidR="00B36364" w:rsidRDefault="00B36364" w:rsidP="00D12DC0">
      <w:pPr>
        <w:widowControl/>
        <w:ind w:firstLine="0"/>
        <w:rPr>
          <w:rFonts w:eastAsiaTheme="majorEastAsia"/>
          <w:b/>
          <w:bCs/>
          <w:kern w:val="32"/>
          <w:szCs w:val="26"/>
        </w:rPr>
      </w:pPr>
      <w:bookmarkStart w:id="2" w:name="_Toc338058263"/>
    </w:p>
    <w:p w:rsidR="00FE1D97" w:rsidRPr="00FE1D97" w:rsidRDefault="00430D27" w:rsidP="00F86F31">
      <w:pPr>
        <w:widowControl/>
        <w:rPr>
          <w:szCs w:val="26"/>
        </w:rPr>
      </w:pPr>
      <w:r w:rsidRPr="00430D27">
        <w:rPr>
          <w:rFonts w:eastAsiaTheme="majorEastAsia"/>
        </w:rPr>
        <w:t xml:space="preserve">By Opinion and Order entered </w:t>
      </w:r>
      <w:r>
        <w:rPr>
          <w:rFonts w:eastAsiaTheme="majorEastAsia"/>
        </w:rPr>
        <w:t xml:space="preserve">December 5, 2012, at Docket No. </w:t>
      </w:r>
      <w:r w:rsidR="00C6405A">
        <w:rPr>
          <w:rFonts w:eastAsiaTheme="majorEastAsia"/>
        </w:rPr>
        <w:br/>
      </w:r>
      <w:r>
        <w:rPr>
          <w:rFonts w:eastAsiaTheme="majorEastAsia"/>
        </w:rPr>
        <w:t>P-2012-2320334 (</w:t>
      </w:r>
      <w:r w:rsidRPr="00430D27">
        <w:rPr>
          <w:rFonts w:eastAsiaTheme="majorEastAsia"/>
          <w:i/>
        </w:rPr>
        <w:t>PECO Phase II Benchmark Order</w:t>
      </w:r>
      <w:r>
        <w:rPr>
          <w:rFonts w:eastAsiaTheme="majorEastAsia"/>
        </w:rPr>
        <w:t>), the Commission</w:t>
      </w:r>
      <w:r w:rsidRPr="00430D27">
        <w:rPr>
          <w:rFonts w:eastAsiaTheme="majorEastAsia"/>
          <w:i/>
        </w:rPr>
        <w:t>, inter alia</w:t>
      </w:r>
      <w:r>
        <w:rPr>
          <w:rFonts w:eastAsiaTheme="majorEastAsia"/>
        </w:rPr>
        <w:t xml:space="preserve">, reaffirmed that PECO’s </w:t>
      </w:r>
      <w:r w:rsidR="00CB15A3">
        <w:rPr>
          <w:rFonts w:eastAsiaTheme="majorEastAsia"/>
        </w:rPr>
        <w:t xml:space="preserve">Phase II consumption </w:t>
      </w:r>
      <w:r>
        <w:rPr>
          <w:rFonts w:eastAsiaTheme="majorEastAsia"/>
        </w:rPr>
        <w:t>reduction target shall remain at 2.9%</w:t>
      </w:r>
      <w:r w:rsidR="00AB4F55">
        <w:rPr>
          <w:rFonts w:eastAsiaTheme="majorEastAsia"/>
        </w:rPr>
        <w:t xml:space="preserve"> and that available funds for its Phase II Plan shall remain at two percent of PECO’s 2006 annual revenue.  </w:t>
      </w:r>
      <w:r w:rsidR="00FE1D97">
        <w:rPr>
          <w:rFonts w:eastAsiaTheme="majorEastAsia"/>
        </w:rPr>
        <w:t xml:space="preserve">The Commission stated that </w:t>
      </w:r>
      <w:r w:rsidR="00FE1D97" w:rsidRPr="00FE1D97">
        <w:rPr>
          <w:szCs w:val="26"/>
        </w:rPr>
        <w:t xml:space="preserve">PECO shall not allocate Phase II funds for DR programs, including its DLC Program, unless it can show that it can fund such programs while meeting the 2.9% EE reduction target and show that the programs are cost-effective.  </w:t>
      </w:r>
      <w:r w:rsidR="00FE1D97">
        <w:rPr>
          <w:szCs w:val="26"/>
        </w:rPr>
        <w:t xml:space="preserve">The Commission invited </w:t>
      </w:r>
      <w:r w:rsidR="00FE1D97" w:rsidRPr="00FE1D97">
        <w:rPr>
          <w:szCs w:val="26"/>
        </w:rPr>
        <w:t xml:space="preserve">PECO </w:t>
      </w:r>
      <w:r w:rsidR="00FE1D97">
        <w:rPr>
          <w:szCs w:val="26"/>
        </w:rPr>
        <w:t xml:space="preserve">to </w:t>
      </w:r>
      <w:r w:rsidR="00FE1D97" w:rsidRPr="00FE1D97">
        <w:rPr>
          <w:szCs w:val="26"/>
        </w:rPr>
        <w:t xml:space="preserve">present evidence that it can fund such DR programs while meeting the 2.9% EE reduction target and that such DR programs are cost-effective as part of the Commission’s </w:t>
      </w:r>
      <w:r w:rsidR="009578CA">
        <w:rPr>
          <w:szCs w:val="26"/>
        </w:rPr>
        <w:t xml:space="preserve">then </w:t>
      </w:r>
      <w:r w:rsidR="00FE1D97" w:rsidRPr="00FE1D97">
        <w:rPr>
          <w:szCs w:val="26"/>
        </w:rPr>
        <w:t>pending investigation into its Phase II EE&amp;C Plan.</w:t>
      </w:r>
      <w:r w:rsidR="00FE1D97">
        <w:rPr>
          <w:szCs w:val="26"/>
        </w:rPr>
        <w:t xml:space="preserve">  </w:t>
      </w:r>
      <w:r w:rsidR="00FE1D97" w:rsidRPr="00FE1D97">
        <w:rPr>
          <w:i/>
          <w:szCs w:val="26"/>
        </w:rPr>
        <w:t>PECO Phase II Benchmark Order</w:t>
      </w:r>
      <w:r w:rsidR="00FE1D97">
        <w:rPr>
          <w:szCs w:val="26"/>
        </w:rPr>
        <w:t xml:space="preserve"> at 25. </w:t>
      </w:r>
      <w:r w:rsidR="00FE1D97" w:rsidRPr="00FE1D97">
        <w:rPr>
          <w:szCs w:val="26"/>
        </w:rPr>
        <w:t xml:space="preserve"> </w:t>
      </w:r>
    </w:p>
    <w:bookmarkEnd w:id="2"/>
    <w:p w:rsidR="00A55531" w:rsidRDefault="00A55531" w:rsidP="00185AE5"/>
    <w:p w:rsidR="00A55531" w:rsidRPr="00A55531" w:rsidRDefault="00A55531" w:rsidP="00F6133C">
      <w:pPr>
        <w:keepNext/>
        <w:widowControl/>
      </w:pPr>
      <w:r w:rsidRPr="00A55531">
        <w:lastRenderedPageBreak/>
        <w:t xml:space="preserve">On November 1, 2012, PECO </w:t>
      </w:r>
      <w:r w:rsidR="00B70311">
        <w:t xml:space="preserve">filed </w:t>
      </w:r>
      <w:r>
        <w:t xml:space="preserve">its </w:t>
      </w:r>
      <w:r w:rsidRPr="00A55531">
        <w:t xml:space="preserve">Petition </w:t>
      </w:r>
      <w:r>
        <w:t>requesting approval o</w:t>
      </w:r>
      <w:r w:rsidRPr="00A55531">
        <w:t xml:space="preserve">f </w:t>
      </w:r>
      <w:r>
        <w:t xml:space="preserve">its </w:t>
      </w:r>
      <w:r w:rsidRPr="00A55531">
        <w:t>Phase II E</w:t>
      </w:r>
      <w:r>
        <w:t xml:space="preserve">E&amp;C </w:t>
      </w:r>
      <w:r w:rsidR="00D0565B">
        <w:t>Plan (Phase II Plan)</w:t>
      </w:r>
      <w:r w:rsidR="00C91B4F">
        <w:t xml:space="preserve"> at this docket</w:t>
      </w:r>
      <w:r w:rsidR="00D0565B">
        <w:t xml:space="preserve"> (Phase II Petition).</w:t>
      </w:r>
      <w:r w:rsidR="00C91B4F">
        <w:t xml:space="preserve"> </w:t>
      </w:r>
      <w:r w:rsidR="00D0565B">
        <w:t xml:space="preserve"> </w:t>
      </w:r>
      <w:r w:rsidRPr="00A55531">
        <w:t xml:space="preserve">PECO asserted that the Phase II Plan is intended to reduce energy consumption in compliance with the requirements of Act 129 and the </w:t>
      </w:r>
      <w:r w:rsidRPr="00A55531">
        <w:rPr>
          <w:i/>
        </w:rPr>
        <w:t>Phase II</w:t>
      </w:r>
      <w:r w:rsidRPr="00A55531">
        <w:t xml:space="preserve"> </w:t>
      </w:r>
      <w:r w:rsidRPr="00A55531">
        <w:rPr>
          <w:i/>
        </w:rPr>
        <w:t>Implementation Order</w:t>
      </w:r>
      <w:r w:rsidRPr="00A55531">
        <w:t xml:space="preserve">.  PECO </w:t>
      </w:r>
      <w:r>
        <w:t xml:space="preserve">requested </w:t>
      </w:r>
      <w:r w:rsidRPr="00A55531">
        <w:t>that the Commission issue an Order:</w:t>
      </w:r>
      <w:r w:rsidR="00F6133C">
        <w:t xml:space="preserve"> </w:t>
      </w:r>
      <w:r w:rsidRPr="00A55531">
        <w:t xml:space="preserve"> (1) approving PECO's Phase II EE&amp;C Plan and finding that the Plan satisfies the requirements of 66 Pa.</w:t>
      </w:r>
      <w:r w:rsidR="00B70311">
        <w:t xml:space="preserve"> </w:t>
      </w:r>
      <w:r w:rsidRPr="00A55531">
        <w:t xml:space="preserve">C.S. § 2806.1(b)(1) and the </w:t>
      </w:r>
      <w:r w:rsidRPr="00B70311">
        <w:rPr>
          <w:i/>
        </w:rPr>
        <w:t>Phase II</w:t>
      </w:r>
      <w:r w:rsidRPr="00A55531">
        <w:t xml:space="preserve"> </w:t>
      </w:r>
      <w:r w:rsidRPr="00A55531">
        <w:rPr>
          <w:i/>
        </w:rPr>
        <w:t>Implementation Order</w:t>
      </w:r>
      <w:r w:rsidRPr="00A55531">
        <w:t>; (2) approving PECO's proposed tariff provisions to implement a Section 1307 surcharge to recover Phase II Plan costs; (3) approving Phase II treatment for certain Phase I projects; and (4) approving the contract between PECO and JACO Environmental</w:t>
      </w:r>
      <w:r w:rsidR="009578CA">
        <w:t>, Inc.</w:t>
      </w:r>
      <w:r w:rsidR="00EB2DEC">
        <w:t xml:space="preserve">  </w:t>
      </w:r>
      <w:r w:rsidR="00D0565B">
        <w:t xml:space="preserve">Phase II </w:t>
      </w:r>
      <w:r w:rsidR="00EB2DEC">
        <w:t xml:space="preserve">Petition at 1. </w:t>
      </w:r>
    </w:p>
    <w:p w:rsidR="00A55531" w:rsidRDefault="00A55531" w:rsidP="00185AE5"/>
    <w:p w:rsidR="00BB2BCF" w:rsidRDefault="002D5736" w:rsidP="00BB2BCF">
      <w:r>
        <w:t xml:space="preserve">Petitions to Intervene were filed by </w:t>
      </w:r>
      <w:r w:rsidRPr="00A27759">
        <w:t>PAIEUG</w:t>
      </w:r>
      <w:r w:rsidR="00CA126F">
        <w:t>,</w:t>
      </w:r>
      <w:r>
        <w:t xml:space="preserve"> </w:t>
      </w:r>
      <w:r w:rsidR="00CA126F">
        <w:t>the City of Philadelphia,</w:t>
      </w:r>
      <w:r>
        <w:t xml:space="preserve"> </w:t>
      </w:r>
      <w:r w:rsidRPr="00A27759">
        <w:t>Wal-Mart Stores East, L.P. and Sam’s East, Inc</w:t>
      </w:r>
      <w:r w:rsidR="00CA126F">
        <w:t>.,</w:t>
      </w:r>
      <w:r>
        <w:t xml:space="preserve"> </w:t>
      </w:r>
      <w:r w:rsidRPr="00A27759">
        <w:t>PennFuture</w:t>
      </w:r>
      <w:r w:rsidR="00CA126F">
        <w:t>,</w:t>
      </w:r>
      <w:r>
        <w:t xml:space="preserve"> CAUSE-PA and Comverge</w:t>
      </w:r>
      <w:r w:rsidR="00CA126F">
        <w:t xml:space="preserve">.  In addition, </w:t>
      </w:r>
      <w:r w:rsidR="00A27759" w:rsidRPr="00A27759">
        <w:t>the OCA filed a Public Statement and Notice of Intervention</w:t>
      </w:r>
      <w:r w:rsidR="00FB16FE">
        <w:t xml:space="preserve"> and the Office of Small Business Advocate (OSBA) filed a Notice of Intervention. </w:t>
      </w:r>
      <w:r w:rsidR="00F6133C">
        <w:t xml:space="preserve"> </w:t>
      </w:r>
      <w:r w:rsidR="00BB2BCF">
        <w:t xml:space="preserve">By Order Certifying the Record dated January 28, 2013, the ALJ provided a history of the investigation into PECO’s Phase II Plan; delineated the transcripts, statements, exhibits and briefs admitted into the record; and certified the record to the Commission for our consideration and disposition.  </w:t>
      </w:r>
    </w:p>
    <w:p w:rsidR="00D0565B" w:rsidRDefault="00D0565B" w:rsidP="00BB2BCF"/>
    <w:p w:rsidR="00D0565B" w:rsidRPr="00C9753C" w:rsidRDefault="00D0565B" w:rsidP="00F6133C">
      <w:pPr>
        <w:widowControl/>
      </w:pPr>
      <w:r>
        <w:t>By Opinion and Order entered February 28, 2013 (</w:t>
      </w:r>
      <w:r w:rsidR="006005C9">
        <w:rPr>
          <w:i/>
        </w:rPr>
        <w:t>PECO Phase II Order</w:t>
      </w:r>
      <w:r>
        <w:t xml:space="preserve">), the Commission granted, in part, and denied, in part, PECO’s Phase II Petition.  </w:t>
      </w:r>
      <w:r w:rsidR="00A47974">
        <w:t xml:space="preserve">The </w:t>
      </w:r>
      <w:r w:rsidR="006005C9" w:rsidRPr="00BB3D70">
        <w:rPr>
          <w:i/>
        </w:rPr>
        <w:t>PECO Phase II Order</w:t>
      </w:r>
      <w:r w:rsidR="00A47974">
        <w:t xml:space="preserve"> permitted PECO to implement its Phase II Plan</w:t>
      </w:r>
      <w:r>
        <w:t xml:space="preserve"> </w:t>
      </w:r>
      <w:r w:rsidR="00A47974">
        <w:t xml:space="preserve">and </w:t>
      </w:r>
      <w:r w:rsidR="00C91B4F">
        <w:t xml:space="preserve">directed PECO </w:t>
      </w:r>
      <w:r w:rsidR="00A47974">
        <w:t xml:space="preserve">to address the Commission’s specific concerns including, but not limited to: </w:t>
      </w:r>
      <w:r w:rsidR="006D5C61">
        <w:br/>
      </w:r>
      <w:r w:rsidR="00A47974">
        <w:t xml:space="preserve">(1) the documentation of energy savings derived from government, educational and non-profit customers; (2) the coordination of the Low-Income Energy Efficiency Program with specific ongoing conservation programs; (3) modifications to the Smart Builder Rebates Program; </w:t>
      </w:r>
      <w:r w:rsidR="00C91B4F">
        <w:t xml:space="preserve">and </w:t>
      </w:r>
      <w:r w:rsidR="00A47974">
        <w:t xml:space="preserve">(4) </w:t>
      </w:r>
      <w:r w:rsidR="00C91B4F">
        <w:t xml:space="preserve">the revenue and cost reporting, reconciliation, and recovery process set forth in PECO’s tariff.  </w:t>
      </w:r>
      <w:r w:rsidR="006005C9">
        <w:rPr>
          <w:i/>
        </w:rPr>
        <w:t>PECO Phase II Order</w:t>
      </w:r>
      <w:r w:rsidR="00C91B4F" w:rsidRPr="00C91B4F">
        <w:rPr>
          <w:i/>
        </w:rPr>
        <w:t xml:space="preserve"> </w:t>
      </w:r>
      <w:r w:rsidR="00C91B4F" w:rsidRPr="00C9753C">
        <w:t>at 47-49</w:t>
      </w:r>
      <w:r w:rsidR="00C91B4F" w:rsidRPr="00C91B4F">
        <w:rPr>
          <w:i/>
        </w:rPr>
        <w:t xml:space="preserve">. </w:t>
      </w:r>
    </w:p>
    <w:p w:rsidR="00C91B4F" w:rsidRDefault="00C91B4F" w:rsidP="00C91B4F">
      <w:pPr>
        <w:pStyle w:val="Heading1"/>
        <w:ind w:left="720" w:hanging="720"/>
      </w:pPr>
      <w:r>
        <w:lastRenderedPageBreak/>
        <w:t>History of the Proceeding</w:t>
      </w:r>
    </w:p>
    <w:p w:rsidR="00C91B4F" w:rsidRDefault="00C91B4F" w:rsidP="00C91B4F"/>
    <w:p w:rsidR="00C9753C" w:rsidRDefault="002D24C2" w:rsidP="00C91B4F">
      <w:r>
        <w:t>On March 15, 2013, PECO filed the instant DLC Petition to</w:t>
      </w:r>
      <w:r w:rsidR="00404FEA">
        <w:t xml:space="preserve">, </w:t>
      </w:r>
      <w:r w:rsidR="00404FEA" w:rsidRPr="00404FEA">
        <w:rPr>
          <w:i/>
        </w:rPr>
        <w:t>inter alia</w:t>
      </w:r>
      <w:r w:rsidR="00404FEA">
        <w:t>,</w:t>
      </w:r>
      <w:r>
        <w:t xml:space="preserve"> amend its Phase II Plan to continue its DLC Program from June 1, 2013 to May 31, 2014.</w:t>
      </w:r>
      <w:r w:rsidR="00404FEA">
        <w:t xml:space="preserve">  PECO is also proposing to adjust the incentive levels for five specific programs</w:t>
      </w:r>
      <w:r w:rsidR="009F47D7">
        <w:t>,</w:t>
      </w:r>
      <w:r w:rsidR="00404FEA">
        <w:t xml:space="preserve"> correct some “inadvertent” errors in the Phase II Plan</w:t>
      </w:r>
      <w:r w:rsidR="009F47D7">
        <w:t>, and add t</w:t>
      </w:r>
      <w:r w:rsidR="00803EAD">
        <w:t>w</w:t>
      </w:r>
      <w:r w:rsidR="009F47D7">
        <w:t>o measures that were “inadvertently” omitted from the Phase II Plan, but were included in the 2013 Technical Reference Manual.</w:t>
      </w:r>
      <w:r w:rsidR="00404FEA">
        <w:t xml:space="preserve"> </w:t>
      </w:r>
      <w:r w:rsidR="00C43532">
        <w:t xml:space="preserve"> DLC Petition at 1, </w:t>
      </w:r>
      <w:r w:rsidR="009F47D7">
        <w:t>9-10,</w:t>
      </w:r>
      <w:r w:rsidR="006D5C61">
        <w:t xml:space="preserve"> </w:t>
      </w:r>
      <w:r w:rsidR="00C43532">
        <w:t xml:space="preserve">11-12. </w:t>
      </w:r>
      <w:r w:rsidR="00404FEA">
        <w:t xml:space="preserve"> </w:t>
      </w:r>
    </w:p>
    <w:p w:rsidR="002872E9" w:rsidRDefault="002872E9" w:rsidP="00C91B4F"/>
    <w:p w:rsidR="00BB3D70" w:rsidRDefault="00BB3D70" w:rsidP="00C91B4F">
      <w:r>
        <w:t xml:space="preserve">Answers to the DLC Petition were filed by Comverge on April 10, 2013, and by PennFuture on April 15, 2013.  Also on April 15, 2013, the OCA filed Comments on the DLC Petition. </w:t>
      </w:r>
      <w:r w:rsidR="00963627">
        <w:t xml:space="preserve"> </w:t>
      </w:r>
    </w:p>
    <w:p w:rsidR="006D5C61" w:rsidRPr="00F6133C" w:rsidRDefault="006D5C61" w:rsidP="00C91B4F">
      <w:pPr>
        <w:rPr>
          <w:b/>
        </w:rPr>
      </w:pPr>
    </w:p>
    <w:p w:rsidR="009F47D7" w:rsidRDefault="009F47D7" w:rsidP="009F47D7">
      <w:pPr>
        <w:pStyle w:val="Heading1"/>
      </w:pPr>
      <w:r>
        <w:t>Description of Plan Revisions</w:t>
      </w:r>
    </w:p>
    <w:p w:rsidR="009F47D7" w:rsidRDefault="009F47D7" w:rsidP="009F47D7"/>
    <w:p w:rsidR="009F47D7" w:rsidRPr="009C29EA" w:rsidRDefault="009F47D7" w:rsidP="00564004">
      <w:pPr>
        <w:pStyle w:val="Heading2"/>
        <w:ind w:left="1627" w:hanging="720"/>
        <w:rPr>
          <w:rFonts w:ascii="Times New Roman" w:hAnsi="Times New Roman" w:cs="Times New Roman"/>
        </w:rPr>
      </w:pPr>
      <w:r w:rsidRPr="009C29EA">
        <w:rPr>
          <w:rFonts w:ascii="Times New Roman" w:hAnsi="Times New Roman" w:cs="Times New Roman"/>
        </w:rPr>
        <w:t xml:space="preserve">Addition of the </w:t>
      </w:r>
      <w:r w:rsidR="002250E4" w:rsidRPr="009C29EA">
        <w:rPr>
          <w:rFonts w:ascii="Times New Roman" w:hAnsi="Times New Roman" w:cs="Times New Roman"/>
        </w:rPr>
        <w:t>DLC Program</w:t>
      </w:r>
    </w:p>
    <w:p w:rsidR="002250E4" w:rsidRDefault="002250E4" w:rsidP="002250E4"/>
    <w:p w:rsidR="000E629A" w:rsidRDefault="002250E4" w:rsidP="000E629A">
      <w:r>
        <w:t>PECO explained that the objective of the DLC Program is to realize demand reductions from eligible residential and small commercial customers in PECO’s service territory during peak hours.  PECO reported that</w:t>
      </w:r>
      <w:r w:rsidR="006D5C61">
        <w:t>,</w:t>
      </w:r>
      <w:r>
        <w:t xml:space="preserve"> during the initial implementation of the DLC Program as part of the Company’s Phase I Plan, PECO recruited over 86,000 customers and installed over</w:t>
      </w:r>
      <w:r w:rsidR="00F6133C">
        <w:t xml:space="preserve"> 100,000 load control devices. </w:t>
      </w:r>
      <w:r>
        <w:t xml:space="preserve"> PECO submitted that the DLC Program delivered as much as </w:t>
      </w:r>
      <w:r w:rsidR="008D7B15">
        <w:t>ninety-nine</w:t>
      </w:r>
      <w:r>
        <w:t xml:space="preserve"> MWs toward PECO’s demand response target in Phase I.</w:t>
      </w:r>
      <w:r w:rsidR="00431949">
        <w:rPr>
          <w:rStyle w:val="FootnoteReference"/>
        </w:rPr>
        <w:footnoteReference w:id="6"/>
      </w:r>
      <w:r>
        <w:t xml:space="preserve">  </w:t>
      </w:r>
      <w:r w:rsidR="000E629A">
        <w:t xml:space="preserve">PECO averred that the continuation of the DLC Program into Phase II is designed to preserve the residential and small commercial DLC measures as a demand response resource and to retain existing participants.  In addition, </w:t>
      </w:r>
      <w:r w:rsidR="000E629A">
        <w:lastRenderedPageBreak/>
        <w:t xml:space="preserve">the Company stated that it intends to maintain this consistent population of active load control devices by replacing customers that exit the DLC Program once the new DLC Program is implemented.  </w:t>
      </w:r>
      <w:r w:rsidR="006D5C61">
        <w:t xml:space="preserve">DLC </w:t>
      </w:r>
      <w:r w:rsidR="000E629A">
        <w:t xml:space="preserve">Petition at 9-10. </w:t>
      </w:r>
    </w:p>
    <w:p w:rsidR="00431949" w:rsidRDefault="00431949" w:rsidP="002250E4"/>
    <w:p w:rsidR="008D7B15" w:rsidRDefault="00431949" w:rsidP="002250E4">
      <w:r>
        <w:t xml:space="preserve">PECO </w:t>
      </w:r>
      <w:r w:rsidR="008D7B15">
        <w:t>explained</w:t>
      </w:r>
      <w:r w:rsidR="000E629A">
        <w:t xml:space="preserve"> that </w:t>
      </w:r>
      <w:r>
        <w:t xml:space="preserve">the </w:t>
      </w:r>
      <w:r w:rsidR="002250E4">
        <w:t xml:space="preserve">DLC Program proposed </w:t>
      </w:r>
      <w:r>
        <w:t xml:space="preserve">for Phase II </w:t>
      </w:r>
      <w:r w:rsidR="002250E4">
        <w:t xml:space="preserve">is substantially similar to the DLC Program implemented by PECO during Phase I, </w:t>
      </w:r>
      <w:r>
        <w:t xml:space="preserve">except </w:t>
      </w:r>
      <w:r w:rsidR="002250E4">
        <w:t xml:space="preserve">the Company is proposing changes to dispatch methodology and incentive level. </w:t>
      </w:r>
      <w:r>
        <w:t xml:space="preserve"> </w:t>
      </w:r>
      <w:r w:rsidR="000E629A">
        <w:t>PECO noted that</w:t>
      </w:r>
      <w:r w:rsidR="006D5C61">
        <w:t>,</w:t>
      </w:r>
      <w:r w:rsidR="000E629A">
        <w:t xml:space="preserve"> during </w:t>
      </w:r>
      <w:r w:rsidR="002250E4">
        <w:t xml:space="preserve">Phase I, DR resources were dispatched during the forecasted top </w:t>
      </w:r>
      <w:r w:rsidR="000E629A">
        <w:t xml:space="preserve">one hundred </w:t>
      </w:r>
      <w:r w:rsidR="002250E4">
        <w:t xml:space="preserve">hours of system demand in order to meet the Phase I Act 129 requirement to reduce peak demand (across the top </w:t>
      </w:r>
      <w:r w:rsidR="008D7B15">
        <w:t>one hundred</w:t>
      </w:r>
      <w:r w:rsidR="002250E4">
        <w:t xml:space="preserve"> hours) by a minimum of 4.5% no later than May 31, 2013.</w:t>
      </w:r>
      <w:r w:rsidR="000E629A">
        <w:rPr>
          <w:rStyle w:val="FootnoteReference"/>
        </w:rPr>
        <w:footnoteReference w:id="7"/>
      </w:r>
      <w:r w:rsidR="002250E4">
        <w:t xml:space="preserve">  </w:t>
      </w:r>
      <w:r w:rsidR="008D7B15">
        <w:t>PECO stated that, a</w:t>
      </w:r>
      <w:r w:rsidR="002250E4">
        <w:t xml:space="preserve">s an alternative to the top </w:t>
      </w:r>
      <w:r w:rsidR="008D7B15">
        <w:t xml:space="preserve">one hundred </w:t>
      </w:r>
      <w:r w:rsidR="002250E4">
        <w:t>hours demand reduction target, and in light of alternative dispatch methodologies recently identified by the SWE</w:t>
      </w:r>
      <w:r w:rsidR="006D5C61">
        <w:t>,</w:t>
      </w:r>
      <w:r w:rsidR="002250E4">
        <w:rPr>
          <w:rStyle w:val="FootnoteReference"/>
        </w:rPr>
        <w:footnoteReference w:id="8"/>
      </w:r>
      <w:r w:rsidR="002250E4">
        <w:t xml:space="preserve"> the Company is proposing to dispatch DLC Program resources if the day-ahead peak load forecast is </w:t>
      </w:r>
      <w:r w:rsidR="008D7B15">
        <w:t xml:space="preserve">ninety-five percent </w:t>
      </w:r>
      <w:r w:rsidR="002250E4">
        <w:t xml:space="preserve">or more of the forecasted 2013 system peak.  The Company </w:t>
      </w:r>
      <w:r w:rsidR="008D7B15">
        <w:t xml:space="preserve">projected that </w:t>
      </w:r>
      <w:r w:rsidR="002250E4">
        <w:t xml:space="preserve">this new dispatch methodology will lead to a lower number of dispatch hours than the top </w:t>
      </w:r>
      <w:r w:rsidR="008D7B15">
        <w:t xml:space="preserve">one hundred </w:t>
      </w:r>
      <w:r w:rsidR="002250E4">
        <w:t xml:space="preserve">hours methodology.  </w:t>
      </w:r>
      <w:r w:rsidR="008D7B15" w:rsidRPr="008D7B15">
        <w:rPr>
          <w:i/>
        </w:rPr>
        <w:t>Id.</w:t>
      </w:r>
      <w:r w:rsidR="008D7B15">
        <w:t xml:space="preserve"> at 10. </w:t>
      </w:r>
    </w:p>
    <w:p w:rsidR="008D7B15" w:rsidRDefault="008D7B15" w:rsidP="002250E4"/>
    <w:p w:rsidR="002250E4" w:rsidRDefault="008D7B15" w:rsidP="006D5C61">
      <w:pPr>
        <w:widowControl/>
      </w:pPr>
      <w:r>
        <w:t xml:space="preserve">Because the new DLC Program dispatch methodology will result in fewer dispatch hours,  </w:t>
      </w:r>
      <w:r w:rsidR="002250E4">
        <w:t xml:space="preserve">the Company is also proposing to reduce customer incentives from </w:t>
      </w:r>
      <w:r>
        <w:t xml:space="preserve">thirty dollars </w:t>
      </w:r>
      <w:r w:rsidR="002250E4">
        <w:t xml:space="preserve">to </w:t>
      </w:r>
      <w:r>
        <w:t xml:space="preserve">twenty dollars </w:t>
      </w:r>
      <w:r w:rsidR="002250E4">
        <w:t xml:space="preserve"> per summer month (June – September), for an annual incentive of </w:t>
      </w:r>
      <w:r w:rsidR="00BB3D70">
        <w:t xml:space="preserve">eighty dollars </w:t>
      </w:r>
      <w:r w:rsidR="002250E4">
        <w:t xml:space="preserve"> per installed load control device.  </w:t>
      </w:r>
      <w:r w:rsidR="00C81F53" w:rsidRPr="00C81F53">
        <w:rPr>
          <w:i/>
        </w:rPr>
        <w:t>Id.</w:t>
      </w:r>
      <w:r w:rsidR="00C81F53">
        <w:t xml:space="preserve"> </w:t>
      </w:r>
      <w:r w:rsidR="002250E4">
        <w:t xml:space="preserve">  </w:t>
      </w:r>
    </w:p>
    <w:p w:rsidR="00C81F53" w:rsidRDefault="00C81F53" w:rsidP="002250E4"/>
    <w:p w:rsidR="00202679" w:rsidRDefault="00C81F53" w:rsidP="00C81F53">
      <w:r>
        <w:t xml:space="preserve">PECO estimated that the annual cost to administer the DLC Program for one year, from June 1, 2013 to May 31, 2014, will be approximately $10,000,000.   </w:t>
      </w:r>
      <w:r>
        <w:lastRenderedPageBreak/>
        <w:t xml:space="preserve">PECO proposed that these costs, along with all other Phase II Plan costs, would be recovered through PECO’s Energy Efficiency and Conservation Program Charge.  </w:t>
      </w:r>
      <w:r w:rsidRPr="00C81F53">
        <w:rPr>
          <w:i/>
        </w:rPr>
        <w:t>Id.</w:t>
      </w:r>
      <w:r>
        <w:t xml:space="preserve">  </w:t>
      </w:r>
    </w:p>
    <w:p w:rsidR="00202679" w:rsidRDefault="00202679" w:rsidP="00C81F53"/>
    <w:p w:rsidR="00C81F53" w:rsidRPr="009C29EA" w:rsidRDefault="00C81F53" w:rsidP="009C29EA">
      <w:pPr>
        <w:rPr>
          <w:i/>
        </w:rPr>
      </w:pPr>
      <w:r>
        <w:t>PECO noted that the Company submitted testimony in its Phase II EE&amp;C Plan proceeding demonstrating the cost-effectiveness of the DLC Program.</w:t>
      </w:r>
      <w:r w:rsidR="00202679">
        <w:rPr>
          <w:rStyle w:val="FootnoteReference"/>
        </w:rPr>
        <w:footnoteReference w:id="9"/>
      </w:r>
      <w:r>
        <w:t xml:space="preserve"> </w:t>
      </w:r>
      <w:r w:rsidR="00202679">
        <w:t>PECO pointed out that the DLC Program has a total resource cost (TRC) benefit-cost ratio of 2.38,</w:t>
      </w:r>
      <w:r w:rsidR="00202679">
        <w:rPr>
          <w:rStyle w:val="FootnoteReference"/>
        </w:rPr>
        <w:footnoteReference w:id="10"/>
      </w:r>
      <w:r w:rsidR="00202679">
        <w:t xml:space="preserve"> which PECO averred </w:t>
      </w:r>
      <w:r>
        <w:t>“demonstrates significant benefits to its customers</w:t>
      </w:r>
      <w:r w:rsidR="00202679">
        <w:t xml:space="preserve">.”  </w:t>
      </w:r>
      <w:r w:rsidR="00202679" w:rsidRPr="00202679">
        <w:rPr>
          <w:i/>
        </w:rPr>
        <w:t>Id.</w:t>
      </w:r>
      <w:r w:rsidR="00F6133C">
        <w:t xml:space="preserve"> at </w:t>
      </w:r>
      <w:r w:rsidR="00202679">
        <w:t xml:space="preserve">11.  </w:t>
      </w:r>
      <w:r w:rsidR="00BD53E0">
        <w:t>P</w:t>
      </w:r>
      <w:r w:rsidR="009C29EA">
        <w:t>ECO explained that, i</w:t>
      </w:r>
      <w:r>
        <w:t xml:space="preserve">n the first quarter of 2014, the Company intends to assess overall Phase II Plan requirements to determine whether the DLC Program should be continued for an additional year (from June 1, 2014 to May 31, 2015).  PECO </w:t>
      </w:r>
      <w:r w:rsidR="009C29EA">
        <w:t xml:space="preserve">projected that it </w:t>
      </w:r>
      <w:r>
        <w:t>would seek separate Commission approval for any DLC Program continuation beyond May 31, 2014.</w:t>
      </w:r>
      <w:r w:rsidR="009C29EA">
        <w:t xml:space="preserve">  </w:t>
      </w:r>
      <w:r w:rsidR="009C29EA" w:rsidRPr="009C29EA">
        <w:rPr>
          <w:i/>
        </w:rPr>
        <w:t xml:space="preserve">Id. </w:t>
      </w:r>
    </w:p>
    <w:p w:rsidR="00C81F53" w:rsidRDefault="00C81F53" w:rsidP="002250E4"/>
    <w:p w:rsidR="002250E4" w:rsidRPr="009C29EA" w:rsidRDefault="009C29EA" w:rsidP="00EA4342">
      <w:pPr>
        <w:pStyle w:val="Heading2"/>
        <w:ind w:left="1627" w:hanging="720"/>
        <w:rPr>
          <w:rFonts w:ascii="Times New Roman" w:hAnsi="Times New Roman" w:cs="Times New Roman"/>
        </w:rPr>
      </w:pPr>
      <w:r w:rsidRPr="009C29EA">
        <w:rPr>
          <w:rFonts w:ascii="Times New Roman" w:hAnsi="Times New Roman" w:cs="Times New Roman"/>
        </w:rPr>
        <w:t>Modification of Incentive Levels</w:t>
      </w:r>
    </w:p>
    <w:p w:rsidR="009F47D7" w:rsidRPr="009F47D7" w:rsidRDefault="009F47D7" w:rsidP="009F47D7"/>
    <w:p w:rsidR="009B4801" w:rsidRDefault="009B4801" w:rsidP="009C29EA">
      <w:r>
        <w:t>PECO stated that a</w:t>
      </w:r>
      <w:r w:rsidR="009C29EA">
        <w:t xml:space="preserve">fter recent discussions with </w:t>
      </w:r>
      <w:r>
        <w:t xml:space="preserve">its </w:t>
      </w:r>
      <w:r w:rsidR="006D5C61">
        <w:t>c</w:t>
      </w:r>
      <w:r>
        <w:t xml:space="preserve">onservation </w:t>
      </w:r>
      <w:r w:rsidR="006D5C61">
        <w:t>s</w:t>
      </w:r>
      <w:r>
        <w:t xml:space="preserve">ervice </w:t>
      </w:r>
      <w:r w:rsidR="006D5C61">
        <w:t>p</w:t>
      </w:r>
      <w:r>
        <w:t>roviders (C</w:t>
      </w:r>
      <w:r w:rsidR="009C29EA">
        <w:t>SPs</w:t>
      </w:r>
      <w:r>
        <w:t>)</w:t>
      </w:r>
      <w:r w:rsidR="009C29EA">
        <w:t xml:space="preserve"> and</w:t>
      </w:r>
      <w:r w:rsidRPr="009B4801">
        <w:t xml:space="preserve"> </w:t>
      </w:r>
      <w:r>
        <w:t xml:space="preserve">its Phase II Plan design consultant, Navigant Consulting, Inc. (Navigant), </w:t>
      </w:r>
      <w:r w:rsidR="009C29EA">
        <w:t xml:space="preserve">the Company has identified five programs </w:t>
      </w:r>
      <w:r w:rsidR="006D5C61">
        <w:t>for which</w:t>
      </w:r>
      <w:r w:rsidR="009C29EA">
        <w:t xml:space="preserve"> initial incentive levels can be modified within the originally-approved rebate ranges without affecting </w:t>
      </w:r>
      <w:r w:rsidR="00564004">
        <w:t xml:space="preserve">the projected </w:t>
      </w:r>
      <w:r w:rsidR="009C29EA">
        <w:t>customer participation or savings.</w:t>
      </w:r>
      <w:r>
        <w:t xml:space="preserve"> </w:t>
      </w:r>
      <w:r w:rsidR="009C29EA">
        <w:t xml:space="preserve"> </w:t>
      </w:r>
      <w:r w:rsidRPr="009B4801">
        <w:rPr>
          <w:i/>
        </w:rPr>
        <w:t>Id.</w:t>
      </w:r>
      <w:r>
        <w:t xml:space="preserve"> </w:t>
      </w:r>
      <w:r w:rsidR="009C29EA">
        <w:t xml:space="preserve"> </w:t>
      </w:r>
      <w:r>
        <w:t xml:space="preserve">PECO has proposed to reduce incentive levels in selected measures within the following five programs: </w:t>
      </w:r>
    </w:p>
    <w:p w:rsidR="009B4801" w:rsidRDefault="009B4801" w:rsidP="009C29EA"/>
    <w:p w:rsidR="009B4801" w:rsidRDefault="009B4801" w:rsidP="009C29EA">
      <w:r>
        <w:t>Residential</w:t>
      </w:r>
    </w:p>
    <w:p w:rsidR="009B4801" w:rsidRDefault="009B4801" w:rsidP="00216E70">
      <w:pPr>
        <w:pStyle w:val="ListParagraph"/>
        <w:numPr>
          <w:ilvl w:val="0"/>
          <w:numId w:val="46"/>
        </w:numPr>
        <w:spacing w:after="120"/>
      </w:pPr>
      <w:r>
        <w:t>Smart Home Rebate Program</w:t>
      </w:r>
    </w:p>
    <w:p w:rsidR="009B4801" w:rsidRDefault="009B4801" w:rsidP="009B4801">
      <w:r>
        <w:t>Commercial and Industrial</w:t>
      </w:r>
      <w:r w:rsidR="00803EAD">
        <w:t xml:space="preserve"> (C&amp;I)</w:t>
      </w:r>
    </w:p>
    <w:p w:rsidR="009B4801" w:rsidRDefault="009B4801" w:rsidP="009B4801">
      <w:pPr>
        <w:pStyle w:val="ListParagraph"/>
        <w:numPr>
          <w:ilvl w:val="0"/>
          <w:numId w:val="46"/>
        </w:numPr>
      </w:pPr>
      <w:r>
        <w:t xml:space="preserve">Smart Equipment Incentives </w:t>
      </w:r>
      <w:r w:rsidR="006D5C61">
        <w:t>P</w:t>
      </w:r>
      <w:r>
        <w:t>rogram</w:t>
      </w:r>
    </w:p>
    <w:p w:rsidR="009B4801" w:rsidRDefault="009B4801" w:rsidP="009B4801">
      <w:pPr>
        <w:pStyle w:val="ListParagraph"/>
        <w:numPr>
          <w:ilvl w:val="0"/>
          <w:numId w:val="46"/>
        </w:numPr>
      </w:pPr>
      <w:r>
        <w:lastRenderedPageBreak/>
        <w:t>Smart Multi-Family Solution Program</w:t>
      </w:r>
    </w:p>
    <w:p w:rsidR="009B4801" w:rsidRDefault="009B4801" w:rsidP="003B1A80">
      <w:pPr>
        <w:pStyle w:val="ListParagraph"/>
        <w:numPr>
          <w:ilvl w:val="0"/>
          <w:numId w:val="46"/>
        </w:numPr>
        <w:spacing w:after="120" w:line="240" w:lineRule="auto"/>
        <w:contextualSpacing w:val="0"/>
      </w:pPr>
      <w:r>
        <w:t>Smart Equipment Government</w:t>
      </w:r>
      <w:r w:rsidR="00BB3D70">
        <w:t>,</w:t>
      </w:r>
      <w:r>
        <w:t xml:space="preserve"> Institutional and Non-profit  Incentives Program</w:t>
      </w:r>
    </w:p>
    <w:p w:rsidR="009B4801" w:rsidRDefault="009B4801" w:rsidP="003B1A80">
      <w:pPr>
        <w:pStyle w:val="ListParagraph"/>
        <w:numPr>
          <w:ilvl w:val="0"/>
          <w:numId w:val="46"/>
        </w:numPr>
      </w:pPr>
      <w:r>
        <w:t>Smart Construction Incentives Program</w:t>
      </w:r>
    </w:p>
    <w:p w:rsidR="00E36EB7" w:rsidRDefault="00E36EB7" w:rsidP="00E36EB7">
      <w:pPr>
        <w:spacing w:line="240" w:lineRule="auto"/>
        <w:ind w:left="1440" w:firstLine="0"/>
      </w:pPr>
    </w:p>
    <w:p w:rsidR="009C29EA" w:rsidRDefault="006D5C61" w:rsidP="00E36EB7">
      <w:pPr>
        <w:ind w:firstLine="0"/>
      </w:pPr>
      <w:r>
        <w:t xml:space="preserve">DLC </w:t>
      </w:r>
      <w:r w:rsidR="00E36EB7">
        <w:t xml:space="preserve">Petition, Exhibit </w:t>
      </w:r>
      <w:r>
        <w:t xml:space="preserve">1 </w:t>
      </w:r>
      <w:r w:rsidR="00E36EB7">
        <w:t xml:space="preserve">at 2.  PECO estimated that </w:t>
      </w:r>
      <w:r w:rsidR="009C29EA">
        <w:t xml:space="preserve">these incentive changes </w:t>
      </w:r>
      <w:r w:rsidR="003E08DC">
        <w:t xml:space="preserve">would </w:t>
      </w:r>
      <w:r w:rsidR="009C29EA">
        <w:t xml:space="preserve">reduce the overall Phase II Plan cost by approximately $10 million, which </w:t>
      </w:r>
      <w:r w:rsidR="00E36EB7">
        <w:t xml:space="preserve">PECO stated </w:t>
      </w:r>
      <w:r w:rsidR="009C29EA">
        <w:t>is sufficient to fund the DLC Program from June 1, 2013 to May 31, 2014.</w:t>
      </w:r>
      <w:r w:rsidR="00E36EB7">
        <w:t xml:space="preserve">  </w:t>
      </w:r>
      <w:r w:rsidR="006C2823">
        <w:t xml:space="preserve">DLC </w:t>
      </w:r>
      <w:r w:rsidR="00E36EB7">
        <w:t xml:space="preserve">Petition </w:t>
      </w:r>
      <w:r w:rsidR="003E08DC">
        <w:br/>
      </w:r>
      <w:r w:rsidR="00E36EB7">
        <w:t xml:space="preserve">at 12. </w:t>
      </w:r>
    </w:p>
    <w:p w:rsidR="00E36EB7" w:rsidRDefault="00E36EB7" w:rsidP="00E36EB7">
      <w:pPr>
        <w:ind w:firstLine="0"/>
      </w:pPr>
    </w:p>
    <w:p w:rsidR="00E36EB7" w:rsidRDefault="00E36EB7" w:rsidP="00294A81">
      <w:pPr>
        <w:pStyle w:val="Heading2"/>
        <w:ind w:left="1627" w:hanging="720"/>
        <w:rPr>
          <w:rFonts w:ascii="Times New Roman" w:hAnsi="Times New Roman" w:cs="Times New Roman"/>
        </w:rPr>
      </w:pPr>
      <w:r w:rsidRPr="00E36EB7">
        <w:rPr>
          <w:rFonts w:ascii="Times New Roman" w:hAnsi="Times New Roman" w:cs="Times New Roman"/>
        </w:rPr>
        <w:t>Correction of “Inadvertent” Errors and Omissions</w:t>
      </w:r>
    </w:p>
    <w:p w:rsidR="00E36EB7" w:rsidRDefault="00E36EB7" w:rsidP="00E36EB7"/>
    <w:p w:rsidR="00E36EB7" w:rsidRDefault="00E36EB7" w:rsidP="003E08DC">
      <w:pPr>
        <w:widowControl/>
      </w:pPr>
      <w:r>
        <w:t>PECO explained that</w:t>
      </w:r>
      <w:r w:rsidR="003E08DC">
        <w:t>,</w:t>
      </w:r>
      <w:r>
        <w:t xml:space="preserve"> in the course of reviewing the Phase II Plan, the Company identified a limited number of errors and omissions that it is proposing to correct as part of the instant Phase II Plan amendment.  </w:t>
      </w:r>
      <w:r w:rsidR="00803EAD">
        <w:t xml:space="preserve">The </w:t>
      </w:r>
      <w:r>
        <w:t>errors, which are described in detail in Exhibit 1</w:t>
      </w:r>
      <w:r w:rsidR="00803EAD">
        <w:t xml:space="preserve"> to the</w:t>
      </w:r>
      <w:r w:rsidR="006C2823">
        <w:t xml:space="preserve"> DLC</w:t>
      </w:r>
      <w:r w:rsidR="00803EAD">
        <w:t xml:space="preserve"> Petition</w:t>
      </w:r>
      <w:r>
        <w:t>, in</w:t>
      </w:r>
      <w:r w:rsidR="007A5F19">
        <w:t>clude the correction of the C&amp;I rebate level for replacing a standard T-8 lamp with a reduced wattage T-8 lamp from $0.02/unit to a range of $0.20 - $0.30/unit.  PECO is also proposing to co</w:t>
      </w:r>
      <w:r w:rsidR="00F6133C">
        <w:t>rrect a misalign</w:t>
      </w:r>
      <w:r w:rsidR="00C47C35">
        <w:t>ed</w:t>
      </w:r>
      <w:r w:rsidR="00F6133C">
        <w:t xml:space="preserve"> table showing </w:t>
      </w:r>
      <w:r w:rsidR="007A5F19">
        <w:t xml:space="preserve">the projected participation rates for the Smart Business Solutions and Multi-family Solutions programs. </w:t>
      </w:r>
      <w:r>
        <w:t xml:space="preserve"> </w:t>
      </w:r>
      <w:r w:rsidR="007A5F19">
        <w:t>T</w:t>
      </w:r>
      <w:r>
        <w:t xml:space="preserve">he </w:t>
      </w:r>
      <w:r w:rsidR="00803EAD">
        <w:t xml:space="preserve">two </w:t>
      </w:r>
      <w:r>
        <w:t xml:space="preserve">additional measures proposed by the Company, also described in Exhibit 1, relate to new information in the </w:t>
      </w:r>
      <w:r w:rsidR="00BB3D70">
        <w:t xml:space="preserve">Commission’s </w:t>
      </w:r>
      <w:r>
        <w:t>2013 T</w:t>
      </w:r>
      <w:r w:rsidR="00BB3D70">
        <w:t xml:space="preserve">echnical Reference Manual </w:t>
      </w:r>
      <w:r>
        <w:t>regarding T-12 lighting as an acceptable baseline condition and the switch from an electric to gas water heater.</w:t>
      </w:r>
      <w:r w:rsidR="006B55A0">
        <w:t xml:space="preserve">  </w:t>
      </w:r>
      <w:r w:rsidR="006B55A0" w:rsidRPr="006B55A0">
        <w:rPr>
          <w:i/>
        </w:rPr>
        <w:t>Id.</w:t>
      </w:r>
      <w:r w:rsidR="006B55A0">
        <w:t xml:space="preserve"> </w:t>
      </w:r>
    </w:p>
    <w:p w:rsidR="006B55A0" w:rsidRDefault="006B55A0" w:rsidP="00E36EB7"/>
    <w:p w:rsidR="006B55A0" w:rsidRDefault="006B55A0" w:rsidP="00294A81">
      <w:pPr>
        <w:keepNext/>
        <w:widowControl/>
        <w:rPr>
          <w:i/>
        </w:rPr>
      </w:pPr>
      <w:r>
        <w:t xml:space="preserve">PECO submitted that none of these corrections or additions change the overall Phase II Plan costs or savings projections.  The Company explained that it addressed the increase in incentive cost resulting from the C&amp;I rebate correction by reducing incentive levels within the Commission-approved ranges for other C&amp;I measures throughout the Phase II Plan.  PECO also explained that, for the new measures, it is not projecting any participation at this time.  PECO stated that it will ensure that any </w:t>
      </w:r>
      <w:r>
        <w:lastRenderedPageBreak/>
        <w:t xml:space="preserve">use of these measures in the future fits into existing program budgets by adjusting the mix of measures within the affected program.  </w:t>
      </w:r>
      <w:r w:rsidRPr="006B55A0">
        <w:rPr>
          <w:i/>
        </w:rPr>
        <w:t xml:space="preserve">Id. </w:t>
      </w:r>
    </w:p>
    <w:p w:rsidR="006B55A0" w:rsidRDefault="006B55A0" w:rsidP="006B55A0">
      <w:pPr>
        <w:rPr>
          <w:i/>
        </w:rPr>
      </w:pPr>
    </w:p>
    <w:p w:rsidR="006B55A0" w:rsidRPr="006B55A0" w:rsidRDefault="006B55A0" w:rsidP="006B55A0">
      <w:pPr>
        <w:pStyle w:val="Heading1"/>
        <w:ind w:left="720" w:hanging="720"/>
      </w:pPr>
      <w:r w:rsidRPr="006B55A0">
        <w:t>Discussion</w:t>
      </w:r>
    </w:p>
    <w:p w:rsidR="00DD4C5B" w:rsidRDefault="00DD4C5B" w:rsidP="00DD4C5B"/>
    <w:p w:rsidR="0020535A" w:rsidRPr="00DA1C98" w:rsidRDefault="0020535A" w:rsidP="00DA1C98">
      <w:pPr>
        <w:pStyle w:val="Heading2"/>
        <w:numPr>
          <w:ilvl w:val="0"/>
          <w:numId w:val="47"/>
        </w:numPr>
        <w:ind w:left="1627" w:hanging="720"/>
        <w:rPr>
          <w:rStyle w:val="Heading2Char"/>
          <w:rFonts w:ascii="Times New Roman" w:hAnsi="Times New Roman" w:cs="Times New Roman"/>
          <w:b/>
          <w:bCs/>
        </w:rPr>
      </w:pPr>
      <w:bookmarkStart w:id="3" w:name="_Toc349126444"/>
      <w:r w:rsidRPr="00DA1C98">
        <w:rPr>
          <w:rStyle w:val="Heading2Char"/>
          <w:rFonts w:ascii="Times New Roman" w:hAnsi="Times New Roman" w:cs="Times New Roman"/>
          <w:b/>
          <w:bCs/>
        </w:rPr>
        <w:t>Legal Standards</w:t>
      </w:r>
      <w:bookmarkEnd w:id="3"/>
    </w:p>
    <w:p w:rsidR="00913362" w:rsidRDefault="00913362" w:rsidP="00DD4C5B"/>
    <w:p w:rsidR="000E3974" w:rsidRDefault="000E3974" w:rsidP="00F37796">
      <w:pPr>
        <w:rPr>
          <w:szCs w:val="26"/>
        </w:rPr>
      </w:pPr>
      <w:r>
        <w:rPr>
          <w:szCs w:val="26"/>
        </w:rPr>
        <w:t xml:space="preserve">The Company has the burden of proof in accordance with 66 Pa. C.S. </w:t>
      </w:r>
      <w:r>
        <w:rPr>
          <w:szCs w:val="26"/>
        </w:rPr>
        <w:br/>
        <w:t xml:space="preserve">§ 332(a).  </w:t>
      </w:r>
      <w:r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That is, the </w:t>
      </w:r>
      <w:r>
        <w:rPr>
          <w:szCs w:val="26"/>
        </w:rPr>
        <w:t xml:space="preserve">Company’s </w:t>
      </w:r>
      <w:r w:rsidRPr="00CA43A5">
        <w:rPr>
          <w:szCs w:val="26"/>
        </w:rPr>
        <w:t>evidence must be more convincing, by even the smallest amount, th</w:t>
      </w:r>
      <w:r>
        <w:rPr>
          <w:szCs w:val="26"/>
        </w:rPr>
        <w:t>an that presented by the other Parties</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Cs w:val="26"/>
        </w:rPr>
        <w:t xml:space="preserve">Norfolk &amp; Western Ry. Co. v. Pa. PUC, </w:t>
      </w:r>
      <w:r w:rsidRPr="00CA43A5">
        <w:rPr>
          <w:szCs w:val="26"/>
        </w:rPr>
        <w:t>489 Pa. 109, 413 A.2d 1037 (1980).</w:t>
      </w:r>
    </w:p>
    <w:p w:rsidR="000E3974" w:rsidRDefault="000E3974" w:rsidP="000E3974">
      <w:pPr>
        <w:rPr>
          <w:szCs w:val="26"/>
        </w:rPr>
      </w:pPr>
    </w:p>
    <w:p w:rsidR="000E3974" w:rsidRPr="00410D73" w:rsidRDefault="000E3974" w:rsidP="003E08DC">
      <w:pPr>
        <w:widowControl/>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410D73">
        <w:rPr>
          <w:i/>
          <w:szCs w:val="26"/>
        </w:rPr>
        <w:t>Consol</w:t>
      </w:r>
      <w:r>
        <w:rPr>
          <w:i/>
          <w:szCs w:val="26"/>
        </w:rPr>
        <w:t>idated Rail Corporation v. Pa. P</w:t>
      </w:r>
      <w:r w:rsidRPr="00410D73">
        <w:rPr>
          <w:i/>
          <w:szCs w:val="26"/>
        </w:rPr>
        <w:t>UC</w:t>
      </w:r>
      <w:r w:rsidRPr="00410D73">
        <w:rPr>
          <w:szCs w:val="26"/>
        </w:rPr>
        <w:t xml:space="preserve">, </w:t>
      </w:r>
    </w:p>
    <w:p w:rsidR="000E3974" w:rsidRPr="00410D73" w:rsidRDefault="000E3974" w:rsidP="000436C1">
      <w:pPr>
        <w:ind w:firstLine="0"/>
        <w:rPr>
          <w:i/>
          <w:szCs w:val="26"/>
        </w:rPr>
      </w:pPr>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 xml:space="preserve">University of Pennsylvania v. </w:t>
      </w:r>
    </w:p>
    <w:p w:rsidR="000E3974" w:rsidRDefault="000E3974" w:rsidP="000436C1">
      <w:pPr>
        <w:ind w:firstLine="0"/>
        <w:rPr>
          <w:szCs w:val="26"/>
        </w:rPr>
      </w:pPr>
      <w:r w:rsidRPr="00410D73">
        <w:rPr>
          <w:i/>
          <w:szCs w:val="26"/>
        </w:rPr>
        <w:t>Pa. PUC</w:t>
      </w:r>
      <w:r w:rsidRPr="00410D73">
        <w:rPr>
          <w:szCs w:val="26"/>
        </w:rPr>
        <w:t>, 485 A.2d 1217 (Pa. Cmwlth. 1984).</w:t>
      </w:r>
    </w:p>
    <w:p w:rsidR="0020535A" w:rsidRDefault="0020535A" w:rsidP="00DD4C5B"/>
    <w:p w:rsidR="00DA1C98" w:rsidRPr="006C2823" w:rsidRDefault="000474D6" w:rsidP="006C2823">
      <w:pPr>
        <w:pStyle w:val="Heading2"/>
        <w:ind w:left="1627" w:hanging="720"/>
        <w:rPr>
          <w:rFonts w:ascii="Times New Roman" w:hAnsi="Times New Roman" w:cs="Times New Roman"/>
        </w:rPr>
      </w:pPr>
      <w:r w:rsidRPr="006C2823">
        <w:rPr>
          <w:rFonts w:ascii="Times New Roman" w:hAnsi="Times New Roman" w:cs="Times New Roman"/>
        </w:rPr>
        <w:t xml:space="preserve">Cost-Benefit Analysis </w:t>
      </w:r>
      <w:r w:rsidR="00DA1C98" w:rsidRPr="006C2823">
        <w:rPr>
          <w:rFonts w:ascii="Times New Roman" w:hAnsi="Times New Roman" w:cs="Times New Roman"/>
        </w:rPr>
        <w:t>of the DLC Program</w:t>
      </w:r>
    </w:p>
    <w:p w:rsidR="00DA1C98" w:rsidRDefault="00DA1C98" w:rsidP="00DA1C98"/>
    <w:p w:rsidR="00C15C9A" w:rsidRDefault="00C15C9A" w:rsidP="00C15C9A">
      <w:r>
        <w:t xml:space="preserve">Before we address the merits of continuing a DLC program as part of PECO’s Phase II Plan, we shall address some issues related to the TRC cost-benefit </w:t>
      </w:r>
      <w:r>
        <w:lastRenderedPageBreak/>
        <w:t xml:space="preserve">analysis of continuing the Phase II DLC Program.  PECO has estimated that the Residential DLC Program (Residential Smart AC Saver Program) to be implemented during the first twelve months of Phase II will result in a TRC benefit-cost ratio </w:t>
      </w:r>
      <w:r w:rsidR="003E08DC">
        <w:t xml:space="preserve">of </w:t>
      </w:r>
      <w:r>
        <w:t xml:space="preserve">3.01.  Revised Phase II Plan at 73.  PECO projected the TRC benefit-cost ratio for the Commercial Smart AC Saver Program to be 1.03.  </w:t>
      </w:r>
      <w:r w:rsidRPr="00505A99">
        <w:rPr>
          <w:i/>
        </w:rPr>
        <w:t>Id.</w:t>
      </w:r>
      <w:r>
        <w:t xml:space="preserve"> at 165. </w:t>
      </w:r>
    </w:p>
    <w:p w:rsidR="00C15C9A" w:rsidRDefault="00C15C9A" w:rsidP="00C15C9A"/>
    <w:p w:rsidR="00C15C9A" w:rsidRDefault="00C15C9A" w:rsidP="00C15C9A">
      <w:r w:rsidRPr="00C53AF0">
        <w:t xml:space="preserve">As part of our review of PECO’s </w:t>
      </w:r>
      <w:r w:rsidR="006D5C61">
        <w:t xml:space="preserve">DLC </w:t>
      </w:r>
      <w:r w:rsidRPr="00C53AF0">
        <w:t>Petition, the Commission Staff, in collaboration with the SWE, issued a data request to PECO by Secretarial Letter issued April 19, 2013, at this docket.</w:t>
      </w:r>
      <w:r w:rsidRPr="00C53AF0">
        <w:rPr>
          <w:rStyle w:val="FootnoteReference"/>
        </w:rPr>
        <w:footnoteReference w:id="11"/>
      </w:r>
      <w:r w:rsidRPr="00C53AF0">
        <w:t xml:space="preserve">  As a result of our assessment of PECO’s response to the data request received on April 26, 2013, we are concerned that the avoided </w:t>
      </w:r>
      <w:r>
        <w:t xml:space="preserve">transmission and distribution </w:t>
      </w:r>
      <w:r w:rsidRPr="00C53AF0">
        <w:t xml:space="preserve">costs being utilized by PECO </w:t>
      </w:r>
      <w:r>
        <w:t>appear</w:t>
      </w:r>
      <w:r w:rsidRPr="00C53AF0">
        <w:t xml:space="preserve"> high in comparison to </w:t>
      </w:r>
      <w:r>
        <w:t xml:space="preserve">those </w:t>
      </w:r>
      <w:r w:rsidRPr="00C53AF0">
        <w:t xml:space="preserve">utilized </w:t>
      </w:r>
      <w:r>
        <w:t xml:space="preserve">by other Pennsylvania EDCs and those observed </w:t>
      </w:r>
      <w:r w:rsidRPr="00C53AF0">
        <w:t>in other jurisdictions.  However, we recognize that, in developing its TRC benefit-cost analysis for the Phase II DLC Program, PECO followed the TRC Test protocols, as outlined in Commission</w:t>
      </w:r>
      <w:r w:rsidR="003E08DC">
        <w:t xml:space="preserve"> </w:t>
      </w:r>
      <w:r w:rsidRPr="00C53AF0">
        <w:t>Orders.</w:t>
      </w:r>
      <w:r w:rsidRPr="00C53AF0">
        <w:rPr>
          <w:rStyle w:val="FootnoteReference"/>
        </w:rPr>
        <w:footnoteReference w:id="12"/>
      </w:r>
      <w:r w:rsidRPr="00C53AF0">
        <w:t xml:space="preserve">  As such, we </w:t>
      </w:r>
      <w:r w:rsidR="003E08DC">
        <w:t>will</w:t>
      </w:r>
      <w:r w:rsidRPr="00C53AF0">
        <w:t xml:space="preserve"> direct the Commission’s Bureau of Technical Utilities Services, in collaboration with the SWE, to </w:t>
      </w:r>
      <w:r w:rsidR="003E08DC">
        <w:t>consider</w:t>
      </w:r>
      <w:r w:rsidRPr="00C53AF0">
        <w:t xml:space="preserve"> the avoided</w:t>
      </w:r>
      <w:r>
        <w:t xml:space="preserve"> transmission and distribution</w:t>
      </w:r>
      <w:r w:rsidRPr="00C53AF0">
        <w:t xml:space="preserve"> costs </w:t>
      </w:r>
      <w:r>
        <w:t>guidance</w:t>
      </w:r>
      <w:r w:rsidRPr="00C53AF0">
        <w:t xml:space="preserve"> as part of the Commission’s next revi</w:t>
      </w:r>
      <w:r w:rsidR="003E08DC">
        <w:t>ew of</w:t>
      </w:r>
      <w:r w:rsidRPr="00C53AF0">
        <w:t xml:space="preserve"> the TRC Test.</w:t>
      </w:r>
    </w:p>
    <w:p w:rsidR="00505A99" w:rsidRDefault="00505A99" w:rsidP="00C53AF0"/>
    <w:p w:rsidR="008F1D39" w:rsidRPr="006C2823" w:rsidRDefault="00216E70" w:rsidP="00216E70">
      <w:pPr>
        <w:pStyle w:val="Heading2"/>
        <w:ind w:left="1627" w:hanging="720"/>
        <w:rPr>
          <w:rFonts w:ascii="Times New Roman" w:hAnsi="Times New Roman" w:cs="Times New Roman"/>
        </w:rPr>
      </w:pPr>
      <w:r w:rsidRPr="006C2823">
        <w:rPr>
          <w:rFonts w:ascii="Times New Roman" w:hAnsi="Times New Roman" w:cs="Times New Roman"/>
        </w:rPr>
        <w:t>Positions of the Parties</w:t>
      </w:r>
    </w:p>
    <w:p w:rsidR="00216E70" w:rsidRDefault="00216E70" w:rsidP="00216E70"/>
    <w:p w:rsidR="00450B37" w:rsidRDefault="00216E70" w:rsidP="00DA1C98">
      <w:r>
        <w:t>In addition to PECO, t</w:t>
      </w:r>
      <w:r w:rsidR="00450B37">
        <w:t>he OCA,</w:t>
      </w:r>
      <w:r w:rsidR="00DE31B8">
        <w:t xml:space="preserve"> </w:t>
      </w:r>
      <w:r w:rsidR="00450B37">
        <w:t>Comverge and PennFuture all support the a</w:t>
      </w:r>
      <w:r w:rsidR="003E08DC">
        <w:t>pproval</w:t>
      </w:r>
      <w:r w:rsidR="00450B37">
        <w:t xml:space="preserve"> of the </w:t>
      </w:r>
      <w:r w:rsidR="006C2823">
        <w:t xml:space="preserve">DLC </w:t>
      </w:r>
      <w:r w:rsidR="00294A81">
        <w:t>P</w:t>
      </w:r>
      <w:r w:rsidR="00450B37">
        <w:t>etition.</w:t>
      </w:r>
    </w:p>
    <w:p w:rsidR="00450B37" w:rsidRDefault="00450B37" w:rsidP="00DA1C98"/>
    <w:p w:rsidR="008F1D39" w:rsidRDefault="008F1D39" w:rsidP="00DA1C98">
      <w:r>
        <w:t xml:space="preserve">In its Comments, the OCA states that it has consistently supported the continuation of PECO’s cost-effective DLC Program.  The OCA explains that once an </w:t>
      </w:r>
      <w:r>
        <w:lastRenderedPageBreak/>
        <w:t>EDC installs a</w:t>
      </w:r>
      <w:r w:rsidR="003E08DC">
        <w:t xml:space="preserve"> </w:t>
      </w:r>
      <w:r>
        <w:t xml:space="preserve">DLC switch on the customer’s premises and a communication system to control that switch, those infrastructure costs are sunk whether the switch is used or not.  Therefore, that OCA recommends that demand response programs, once implemented, should be sustained so that the continuing savings made possible by the initial investment can be realized.  </w:t>
      </w:r>
      <w:r w:rsidR="005240E8">
        <w:t xml:space="preserve">The OCA states that it agrees with PECO that its DLC Program “has been a successful and cost-effective component [of PECO’s Phase I Plan].”  OCA Comments at 1.  The OCA also supports the proposed modifications to the Phase II version of the DLC Program as well as PECO’s proposal to modify the rebate levels </w:t>
      </w:r>
      <w:r w:rsidR="00450B37">
        <w:t xml:space="preserve">for the five programs in order to allow for the funding of the Phase II DLC Program.  </w:t>
      </w:r>
      <w:r w:rsidR="00450B37" w:rsidRPr="00450B37">
        <w:rPr>
          <w:i/>
        </w:rPr>
        <w:t>Id</w:t>
      </w:r>
      <w:r w:rsidR="00450B37">
        <w:t xml:space="preserve">. </w:t>
      </w:r>
      <w:r w:rsidR="00450B37">
        <w:br/>
        <w:t>at 3-4.</w:t>
      </w:r>
    </w:p>
    <w:p w:rsidR="00450B37" w:rsidRDefault="00450B37" w:rsidP="00DA1C98"/>
    <w:p w:rsidR="00450B37" w:rsidRDefault="00450B37" w:rsidP="00DA1C98">
      <w:r>
        <w:t xml:space="preserve">In addition to the arguments presented by the OCA, Comverge and PennFuture </w:t>
      </w:r>
      <w:r w:rsidR="00445DAC">
        <w:t>point out that i</w:t>
      </w:r>
      <w:r w:rsidR="00715526">
        <w:t>f</w:t>
      </w:r>
      <w:r w:rsidR="00445DAC">
        <w:t xml:space="preserve"> the DLC Program is not continued, PECO may incur the extra costs to remove the load control equipment.  Comverge and PennFuture also aver that </w:t>
      </w:r>
      <w:r w:rsidR="00D951F8">
        <w:t>not extending the DLC Program will create customer confusion, adverse customer reaction and overall dissatisfaction with the Act 129</w:t>
      </w:r>
      <w:r w:rsidR="00715526">
        <w:t xml:space="preserve"> Program.  Comverge Answer at 5;</w:t>
      </w:r>
      <w:r w:rsidR="00F6133C">
        <w:t xml:space="preserve"> </w:t>
      </w:r>
      <w:r w:rsidR="00D951F8">
        <w:t>PennFuture Answer at 4.</w:t>
      </w:r>
    </w:p>
    <w:p w:rsidR="00D951F8" w:rsidRDefault="00D951F8" w:rsidP="00DA1C98"/>
    <w:p w:rsidR="00D951F8" w:rsidRDefault="00BC3977" w:rsidP="00DA1C98">
      <w:r>
        <w:t xml:space="preserve">Comverge and PennFuture also cite the benefits of DR programs to both DLC Program participants as well non-participating customers across PECO’s service territory.  </w:t>
      </w:r>
      <w:r w:rsidR="00294A81">
        <w:t xml:space="preserve">Among the benefits presented by Comverge and PennFuture are improved system reliability, the ability to reduce energy and capacity market prices, and the ability to reduce investments in new generation and distribution facilities.  </w:t>
      </w:r>
      <w:r w:rsidR="00294A81" w:rsidRPr="00216E70">
        <w:rPr>
          <w:i/>
        </w:rPr>
        <w:t>Id.</w:t>
      </w:r>
      <w:r w:rsidR="00294A81">
        <w:t xml:space="preserve"> </w:t>
      </w:r>
    </w:p>
    <w:p w:rsidR="00294A81" w:rsidRDefault="00294A81" w:rsidP="00DA1C98"/>
    <w:p w:rsidR="00294A81" w:rsidRPr="00632970" w:rsidRDefault="00216E70" w:rsidP="00216E70">
      <w:pPr>
        <w:pStyle w:val="Heading2"/>
        <w:ind w:left="1627" w:hanging="720"/>
        <w:rPr>
          <w:rFonts w:ascii="Times New Roman" w:hAnsi="Times New Roman" w:cs="Times New Roman"/>
        </w:rPr>
      </w:pPr>
      <w:r w:rsidRPr="00632970">
        <w:rPr>
          <w:rFonts w:ascii="Times New Roman" w:hAnsi="Times New Roman" w:cs="Times New Roman"/>
        </w:rPr>
        <w:lastRenderedPageBreak/>
        <w:t>Disposition</w:t>
      </w:r>
    </w:p>
    <w:p w:rsidR="00632970" w:rsidRDefault="00632970" w:rsidP="00F6133C">
      <w:pPr>
        <w:keepNext/>
      </w:pPr>
    </w:p>
    <w:p w:rsidR="00632970" w:rsidRPr="00632970" w:rsidRDefault="00632970" w:rsidP="00F6133C">
      <w:pPr>
        <w:pStyle w:val="Heading3"/>
        <w:ind w:left="2160" w:hanging="720"/>
        <w:rPr>
          <w:rFonts w:ascii="Times New Roman" w:hAnsi="Times New Roman" w:cs="Times New Roman"/>
        </w:rPr>
      </w:pPr>
      <w:r w:rsidRPr="00632970">
        <w:rPr>
          <w:rFonts w:ascii="Times New Roman" w:hAnsi="Times New Roman" w:cs="Times New Roman"/>
        </w:rPr>
        <w:t>Addition of the DLC Program</w:t>
      </w:r>
    </w:p>
    <w:p w:rsidR="00B5445E" w:rsidRDefault="00B5445E" w:rsidP="00F6133C">
      <w:pPr>
        <w:keepNext/>
      </w:pPr>
    </w:p>
    <w:p w:rsidR="00212378" w:rsidRDefault="00413EEA" w:rsidP="003E08DC">
      <w:pPr>
        <w:widowControl/>
        <w:rPr>
          <w:szCs w:val="26"/>
        </w:rPr>
      </w:pPr>
      <w:r>
        <w:rPr>
          <w:rFonts w:eastAsiaTheme="majorEastAsia"/>
        </w:rPr>
        <w:t xml:space="preserve">As noted, </w:t>
      </w:r>
      <w:r w:rsidRPr="00413EEA">
        <w:rPr>
          <w:rFonts w:eastAsiaTheme="majorEastAsia"/>
          <w:i/>
        </w:rPr>
        <w:t>supra</w:t>
      </w:r>
      <w:r>
        <w:rPr>
          <w:rFonts w:eastAsiaTheme="majorEastAsia"/>
        </w:rPr>
        <w:t xml:space="preserve">, </w:t>
      </w:r>
      <w:r w:rsidR="0050494B">
        <w:rPr>
          <w:rFonts w:eastAsiaTheme="majorEastAsia"/>
        </w:rPr>
        <w:t xml:space="preserve">in the </w:t>
      </w:r>
      <w:r w:rsidR="0050494B" w:rsidRPr="00FE1D97">
        <w:rPr>
          <w:i/>
          <w:szCs w:val="26"/>
        </w:rPr>
        <w:t>PECO Phase II Benchmark Order</w:t>
      </w:r>
      <w:r w:rsidR="006C2823">
        <w:rPr>
          <w:i/>
          <w:szCs w:val="26"/>
        </w:rPr>
        <w:t>,</w:t>
      </w:r>
      <w:r w:rsidR="0050494B">
        <w:rPr>
          <w:szCs w:val="26"/>
        </w:rPr>
        <w:t xml:space="preserve"> </w:t>
      </w:r>
      <w:r>
        <w:rPr>
          <w:rFonts w:eastAsiaTheme="majorEastAsia"/>
        </w:rPr>
        <w:t xml:space="preserve">the Commission directed that </w:t>
      </w:r>
      <w:r w:rsidRPr="00FE1D97">
        <w:rPr>
          <w:szCs w:val="26"/>
        </w:rPr>
        <w:t xml:space="preserve">PECO shall not allocate Phase II funds for DR programs, including its DLC Program, unless it can show that it can fund such programs while meeting the 2.9% </w:t>
      </w:r>
      <w:r w:rsidR="006C2823">
        <w:rPr>
          <w:szCs w:val="26"/>
        </w:rPr>
        <w:t>energy</w:t>
      </w:r>
      <w:r w:rsidRPr="00FE1D97">
        <w:rPr>
          <w:szCs w:val="26"/>
        </w:rPr>
        <w:t xml:space="preserve"> reduction target and show that the programs are cost-effective.  </w:t>
      </w:r>
      <w:r w:rsidRPr="00FE1D97">
        <w:rPr>
          <w:i/>
          <w:szCs w:val="26"/>
        </w:rPr>
        <w:t>Phase II Benchmark Order</w:t>
      </w:r>
      <w:r>
        <w:rPr>
          <w:szCs w:val="26"/>
        </w:rPr>
        <w:t xml:space="preserve"> at 25. </w:t>
      </w:r>
      <w:r w:rsidRPr="00FE1D97">
        <w:rPr>
          <w:szCs w:val="26"/>
        </w:rPr>
        <w:t xml:space="preserve"> </w:t>
      </w:r>
      <w:r w:rsidR="003E08DC" w:rsidRPr="002D5D25">
        <w:t>While there may be some concerns with the avoided</w:t>
      </w:r>
      <w:r w:rsidR="003E08DC">
        <w:t xml:space="preserve"> transmission and distribution</w:t>
      </w:r>
      <w:r w:rsidR="003E08DC" w:rsidRPr="002D5D25">
        <w:t xml:space="preserve"> cost estimates, </w:t>
      </w:r>
      <w:r w:rsidR="003E08DC">
        <w:t xml:space="preserve">discussed, </w:t>
      </w:r>
      <w:r w:rsidR="003E08DC" w:rsidRPr="003E08DC">
        <w:rPr>
          <w:i/>
        </w:rPr>
        <w:t>supra</w:t>
      </w:r>
      <w:r w:rsidR="003E08DC">
        <w:t xml:space="preserve">, </w:t>
      </w:r>
      <w:r w:rsidR="003E08DC" w:rsidRPr="002D5D25">
        <w:t xml:space="preserve">we believe that the annual benefits of continuing the DLC Program </w:t>
      </w:r>
      <w:r w:rsidR="003E08DC">
        <w:t xml:space="preserve">still </w:t>
      </w:r>
      <w:r w:rsidR="003E08DC" w:rsidRPr="002D5D25">
        <w:t xml:space="preserve">outweigh the costs of the incentives and administrative costs, particularly since most of the investment in the DLC Program has already been incurred in Phase I.  </w:t>
      </w:r>
      <w:r w:rsidR="003E08DC">
        <w:t>Therefore, c</w:t>
      </w:r>
      <w:r w:rsidR="0050494B">
        <w:rPr>
          <w:szCs w:val="26"/>
        </w:rPr>
        <w:t>onsistent with th</w:t>
      </w:r>
      <w:r w:rsidR="003E08DC">
        <w:rPr>
          <w:szCs w:val="26"/>
        </w:rPr>
        <w:t xml:space="preserve">e </w:t>
      </w:r>
      <w:r w:rsidR="0050494B">
        <w:rPr>
          <w:szCs w:val="26"/>
        </w:rPr>
        <w:t>directive</w:t>
      </w:r>
      <w:r w:rsidR="003E08DC">
        <w:rPr>
          <w:szCs w:val="26"/>
        </w:rPr>
        <w:t xml:space="preserve">s in the </w:t>
      </w:r>
      <w:r w:rsidR="003E08DC" w:rsidRPr="003E08DC">
        <w:rPr>
          <w:i/>
          <w:szCs w:val="26"/>
        </w:rPr>
        <w:t>PECO Phase II Benchmark Order</w:t>
      </w:r>
      <w:r w:rsidR="0050494B" w:rsidRPr="003E08DC">
        <w:rPr>
          <w:i/>
          <w:szCs w:val="26"/>
        </w:rPr>
        <w:t>,</w:t>
      </w:r>
      <w:r w:rsidR="0050494B">
        <w:rPr>
          <w:szCs w:val="26"/>
        </w:rPr>
        <w:t xml:space="preserve"> we find that PECO has proposed to </w:t>
      </w:r>
      <w:r w:rsidR="009063D7">
        <w:rPr>
          <w:szCs w:val="26"/>
        </w:rPr>
        <w:t xml:space="preserve">implement </w:t>
      </w:r>
      <w:r w:rsidR="0050494B">
        <w:rPr>
          <w:szCs w:val="26"/>
        </w:rPr>
        <w:t xml:space="preserve">a </w:t>
      </w:r>
      <w:r w:rsidR="002D2543">
        <w:rPr>
          <w:szCs w:val="26"/>
        </w:rPr>
        <w:t xml:space="preserve">cost-effective, </w:t>
      </w:r>
      <w:r w:rsidR="0050494B">
        <w:rPr>
          <w:szCs w:val="26"/>
        </w:rPr>
        <w:t>modified version of its DLC Program</w:t>
      </w:r>
      <w:r w:rsidR="006147A9">
        <w:rPr>
          <w:szCs w:val="26"/>
        </w:rPr>
        <w:t>,</w:t>
      </w:r>
      <w:r w:rsidR="0050494B">
        <w:rPr>
          <w:szCs w:val="26"/>
        </w:rPr>
        <w:t xml:space="preserve"> as part of its Phase II Plan</w:t>
      </w:r>
      <w:r w:rsidR="006147A9">
        <w:rPr>
          <w:szCs w:val="26"/>
        </w:rPr>
        <w:t>,</w:t>
      </w:r>
      <w:r w:rsidR="0050494B">
        <w:rPr>
          <w:szCs w:val="26"/>
        </w:rPr>
        <w:t xml:space="preserve"> </w:t>
      </w:r>
      <w:r w:rsidR="00212378">
        <w:rPr>
          <w:szCs w:val="26"/>
        </w:rPr>
        <w:t>and</w:t>
      </w:r>
      <w:r w:rsidR="004D2BD5">
        <w:rPr>
          <w:szCs w:val="26"/>
        </w:rPr>
        <w:t xml:space="preserve"> </w:t>
      </w:r>
      <w:r w:rsidR="006147A9">
        <w:rPr>
          <w:szCs w:val="26"/>
        </w:rPr>
        <w:t xml:space="preserve">still </w:t>
      </w:r>
      <w:r w:rsidR="004D2BD5">
        <w:rPr>
          <w:szCs w:val="26"/>
        </w:rPr>
        <w:t xml:space="preserve">implement its </w:t>
      </w:r>
      <w:r w:rsidR="006147A9">
        <w:rPr>
          <w:szCs w:val="26"/>
        </w:rPr>
        <w:t xml:space="preserve">Revised </w:t>
      </w:r>
      <w:r w:rsidR="004D2BD5">
        <w:rPr>
          <w:szCs w:val="26"/>
        </w:rPr>
        <w:t>Phase II Plan that</w:t>
      </w:r>
      <w:r w:rsidR="00212378">
        <w:rPr>
          <w:szCs w:val="26"/>
        </w:rPr>
        <w:t xml:space="preserve">: </w:t>
      </w:r>
    </w:p>
    <w:p w:rsidR="00212378" w:rsidRDefault="00212378" w:rsidP="003E08DC">
      <w:pPr>
        <w:spacing w:line="240" w:lineRule="auto"/>
        <w:rPr>
          <w:szCs w:val="26"/>
        </w:rPr>
      </w:pPr>
    </w:p>
    <w:p w:rsidR="00212378" w:rsidRDefault="005741B2" w:rsidP="002D2543">
      <w:pPr>
        <w:ind w:left="1440" w:firstLine="0"/>
        <w:rPr>
          <w:szCs w:val="26"/>
        </w:rPr>
      </w:pPr>
      <w:r>
        <w:rPr>
          <w:szCs w:val="26"/>
        </w:rPr>
        <w:t>(</w:t>
      </w:r>
      <w:r w:rsidR="00212378">
        <w:rPr>
          <w:szCs w:val="26"/>
        </w:rPr>
        <w:t>1</w:t>
      </w:r>
      <w:r>
        <w:rPr>
          <w:szCs w:val="26"/>
        </w:rPr>
        <w:t>) c</w:t>
      </w:r>
      <w:r w:rsidR="00212378">
        <w:rPr>
          <w:szCs w:val="26"/>
        </w:rPr>
        <w:t>ontinue</w:t>
      </w:r>
      <w:r w:rsidR="004D2BD5">
        <w:rPr>
          <w:szCs w:val="26"/>
        </w:rPr>
        <w:t>s</w:t>
      </w:r>
      <w:r w:rsidR="00212378">
        <w:rPr>
          <w:szCs w:val="26"/>
        </w:rPr>
        <w:t xml:space="preserve"> to exceed its 2.9% reduction target of 1,125,851</w:t>
      </w:r>
      <w:r w:rsidR="003E08DC">
        <w:rPr>
          <w:szCs w:val="26"/>
        </w:rPr>
        <w:t xml:space="preserve"> </w:t>
      </w:r>
      <w:r w:rsidR="006C2823">
        <w:rPr>
          <w:szCs w:val="26"/>
        </w:rPr>
        <w:t xml:space="preserve">MWh </w:t>
      </w:r>
      <w:r w:rsidR="00212378">
        <w:rPr>
          <w:szCs w:val="26"/>
        </w:rPr>
        <w:t>by projecting  energy savings of 1,184,422 MWh over the three years of the Phase II program</w:t>
      </w:r>
      <w:r>
        <w:rPr>
          <w:szCs w:val="26"/>
        </w:rPr>
        <w:t>;</w:t>
      </w:r>
    </w:p>
    <w:p w:rsidR="005741B2" w:rsidRDefault="005741B2" w:rsidP="002D2543">
      <w:pPr>
        <w:ind w:left="1440" w:firstLine="0"/>
        <w:rPr>
          <w:szCs w:val="26"/>
        </w:rPr>
      </w:pPr>
      <w:r>
        <w:rPr>
          <w:szCs w:val="26"/>
        </w:rPr>
        <w:t>(</w:t>
      </w:r>
      <w:r w:rsidR="00212378">
        <w:rPr>
          <w:szCs w:val="26"/>
        </w:rPr>
        <w:t>2</w:t>
      </w:r>
      <w:r>
        <w:rPr>
          <w:szCs w:val="26"/>
        </w:rPr>
        <w:t>) c</w:t>
      </w:r>
      <w:r w:rsidR="00212378">
        <w:rPr>
          <w:szCs w:val="26"/>
        </w:rPr>
        <w:t>ontinue</w:t>
      </w:r>
      <w:r w:rsidR="004D2BD5">
        <w:rPr>
          <w:szCs w:val="26"/>
        </w:rPr>
        <w:t>s</w:t>
      </w:r>
      <w:r w:rsidR="00212378">
        <w:rPr>
          <w:szCs w:val="26"/>
        </w:rPr>
        <w:t xml:space="preserve"> to project an overall TRC benefit-cost ratio of 1.4</w:t>
      </w:r>
      <w:r>
        <w:rPr>
          <w:szCs w:val="26"/>
        </w:rPr>
        <w:t>,</w:t>
      </w:r>
      <w:r w:rsidR="00212378">
        <w:rPr>
          <w:szCs w:val="26"/>
        </w:rPr>
        <w:t xml:space="preserve"> which demonstrates that the </w:t>
      </w:r>
      <w:r>
        <w:rPr>
          <w:szCs w:val="26"/>
        </w:rPr>
        <w:t xml:space="preserve">overall </w:t>
      </w:r>
      <w:r w:rsidR="00212378">
        <w:rPr>
          <w:szCs w:val="26"/>
        </w:rPr>
        <w:t>Revised Phase II Plan is cost-effective</w:t>
      </w:r>
      <w:r>
        <w:rPr>
          <w:szCs w:val="26"/>
        </w:rPr>
        <w:t>;</w:t>
      </w:r>
      <w:r w:rsidR="00212378">
        <w:rPr>
          <w:szCs w:val="26"/>
        </w:rPr>
        <w:t xml:space="preserve"> </w:t>
      </w:r>
      <w:r>
        <w:rPr>
          <w:szCs w:val="26"/>
        </w:rPr>
        <w:t xml:space="preserve">and </w:t>
      </w:r>
    </w:p>
    <w:p w:rsidR="00413EEA" w:rsidRDefault="005741B2" w:rsidP="002D2543">
      <w:pPr>
        <w:ind w:left="1440" w:firstLine="0"/>
        <w:rPr>
          <w:szCs w:val="26"/>
        </w:rPr>
      </w:pPr>
      <w:r>
        <w:rPr>
          <w:szCs w:val="26"/>
        </w:rPr>
        <w:t xml:space="preserve">(3) </w:t>
      </w:r>
      <w:r w:rsidR="009063D7">
        <w:rPr>
          <w:szCs w:val="26"/>
        </w:rPr>
        <w:t>continue</w:t>
      </w:r>
      <w:r w:rsidR="004D2BD5">
        <w:rPr>
          <w:szCs w:val="26"/>
        </w:rPr>
        <w:t>s</w:t>
      </w:r>
      <w:r w:rsidR="009063D7">
        <w:rPr>
          <w:szCs w:val="26"/>
        </w:rPr>
        <w:t xml:space="preserve"> to </w:t>
      </w:r>
      <w:r w:rsidR="004D2BD5">
        <w:rPr>
          <w:szCs w:val="26"/>
        </w:rPr>
        <w:t>implement the Revised Phase II Plan within</w:t>
      </w:r>
      <w:r w:rsidR="002D2543">
        <w:rPr>
          <w:szCs w:val="26"/>
        </w:rPr>
        <w:t xml:space="preserve"> the $256 million spending cap.  </w:t>
      </w:r>
    </w:p>
    <w:p w:rsidR="002D2543" w:rsidRDefault="002D2543" w:rsidP="00A57AD2">
      <w:pPr>
        <w:spacing w:line="240" w:lineRule="auto"/>
        <w:ind w:firstLine="0"/>
        <w:rPr>
          <w:szCs w:val="26"/>
        </w:rPr>
      </w:pPr>
    </w:p>
    <w:p w:rsidR="005741B2" w:rsidRDefault="00F6133C" w:rsidP="002D2543">
      <w:pPr>
        <w:ind w:firstLine="0"/>
        <w:rPr>
          <w:szCs w:val="26"/>
        </w:rPr>
      </w:pPr>
      <w:r>
        <w:rPr>
          <w:szCs w:val="26"/>
        </w:rPr>
        <w:t>Revised Phase II Plan at 8.</w:t>
      </w:r>
      <w:r w:rsidR="00632970">
        <w:rPr>
          <w:szCs w:val="26"/>
        </w:rPr>
        <w:t xml:space="preserve">  Accordingly, we find that the proposed addition of the DLC program </w:t>
      </w:r>
      <w:r w:rsidR="00C15C9A">
        <w:rPr>
          <w:szCs w:val="26"/>
        </w:rPr>
        <w:t xml:space="preserve">is in the public interest and </w:t>
      </w:r>
      <w:r w:rsidR="00632970">
        <w:rPr>
          <w:szCs w:val="26"/>
        </w:rPr>
        <w:t>sh</w:t>
      </w:r>
      <w:r w:rsidR="003E08DC">
        <w:rPr>
          <w:szCs w:val="26"/>
        </w:rPr>
        <w:t>all</w:t>
      </w:r>
      <w:r w:rsidR="00632970">
        <w:rPr>
          <w:szCs w:val="26"/>
        </w:rPr>
        <w:t xml:space="preserve"> be approved. </w:t>
      </w:r>
    </w:p>
    <w:p w:rsidR="00632970" w:rsidRDefault="00632970" w:rsidP="002D2543">
      <w:pPr>
        <w:ind w:firstLine="0"/>
        <w:rPr>
          <w:szCs w:val="26"/>
        </w:rPr>
      </w:pPr>
    </w:p>
    <w:p w:rsidR="00632970" w:rsidRPr="00632970" w:rsidRDefault="00632970" w:rsidP="00632970">
      <w:pPr>
        <w:pStyle w:val="Heading3"/>
        <w:ind w:left="2160" w:hanging="720"/>
        <w:rPr>
          <w:rFonts w:ascii="Times New Roman" w:hAnsi="Times New Roman" w:cs="Times New Roman"/>
        </w:rPr>
      </w:pPr>
      <w:r w:rsidRPr="00632970">
        <w:rPr>
          <w:rFonts w:ascii="Times New Roman" w:hAnsi="Times New Roman" w:cs="Times New Roman"/>
        </w:rPr>
        <w:lastRenderedPageBreak/>
        <w:t>Modification of Incentive Levels and Correction of Errors and Omissions</w:t>
      </w:r>
    </w:p>
    <w:p w:rsidR="005741B2" w:rsidRPr="00FE1D97" w:rsidRDefault="005741B2" w:rsidP="00F6133C">
      <w:pPr>
        <w:keepNext/>
        <w:rPr>
          <w:szCs w:val="26"/>
        </w:rPr>
      </w:pPr>
    </w:p>
    <w:p w:rsidR="005F12B6" w:rsidRDefault="00157156" w:rsidP="00B5445E">
      <w:r>
        <w:t xml:space="preserve">The modifications of the incentive levels and the corrections proposed by PECO do not </w:t>
      </w:r>
      <w:r w:rsidR="00502BFB">
        <w:t>have an impact on the projected energy savings, participation levels and TRC benefit-cost ratio of the programs initially proposed for Phase II.</w:t>
      </w:r>
      <w:r w:rsidR="00F6133C">
        <w:t xml:space="preserve"> </w:t>
      </w:r>
      <w:r w:rsidR="00502BFB">
        <w:t xml:space="preserve"> </w:t>
      </w:r>
      <w:r>
        <w:t>A</w:t>
      </w:r>
      <w:r w:rsidR="00A57AD2">
        <w:t xml:space="preserve">s discussed, </w:t>
      </w:r>
      <w:r w:rsidR="00A57AD2" w:rsidRPr="00A57AD2">
        <w:rPr>
          <w:i/>
        </w:rPr>
        <w:t>supra</w:t>
      </w:r>
      <w:r w:rsidR="00A57AD2">
        <w:t xml:space="preserve">, PECO has proposed to lower the incentive levels for selected measures in five programs.  </w:t>
      </w:r>
      <w:r w:rsidR="004750A0">
        <w:t>Since these incentive levels were included in the Phase II Plan as incentive ranges, the specific changes to the incentive levels are not reflected in the Revised Phase II Plan.  The only indications that the incentive levels have changed are the lower</w:t>
      </w:r>
      <w:r w:rsidR="005F12B6">
        <w:t xml:space="preserve"> program cost </w:t>
      </w:r>
      <w:r w:rsidR="004750A0">
        <w:t xml:space="preserve">projections in the proposed budget.  </w:t>
      </w:r>
    </w:p>
    <w:p w:rsidR="005F12B6" w:rsidRDefault="005F12B6" w:rsidP="00B5445E"/>
    <w:p w:rsidR="00A57AD2" w:rsidRDefault="00157156" w:rsidP="00B5445E">
      <w:r>
        <w:t>The Company explained that it addressed the increase in incentive cost</w:t>
      </w:r>
      <w:r w:rsidR="003E08DC">
        <w:t>s</w:t>
      </w:r>
      <w:r>
        <w:t xml:space="preserve"> resulting from the C&amp;I </w:t>
      </w:r>
      <w:r w:rsidR="007A5F19">
        <w:t xml:space="preserve">reduced watt T-8 lamp </w:t>
      </w:r>
      <w:r>
        <w:t>rebate correction by reducing incentive levels, within the Commission-approved ranges</w:t>
      </w:r>
      <w:r w:rsidR="003E08DC">
        <w:t>,</w:t>
      </w:r>
      <w:r>
        <w:t xml:space="preserve"> for other C&amp;I measures throughout the Phase II Plan.  PECO also explained that, for the new measures, it is not projecting any participation at this time.  PECO stated that it will ensure that any use of these measures in the future fits into existing program budgets by adjusting the mix of measures within the affected program</w:t>
      </w:r>
      <w:r w:rsidR="00502BFB">
        <w:t xml:space="preserve">.  </w:t>
      </w:r>
    </w:p>
    <w:p w:rsidR="00A57AD2" w:rsidRDefault="00A57AD2" w:rsidP="00B5445E"/>
    <w:p w:rsidR="00A57AD2" w:rsidRDefault="006005C9" w:rsidP="00B5445E">
      <w:r>
        <w:t xml:space="preserve">In the </w:t>
      </w:r>
      <w:r w:rsidRPr="006005C9">
        <w:rPr>
          <w:i/>
        </w:rPr>
        <w:t>PECO Phase II Order</w:t>
      </w:r>
      <w:r>
        <w:t xml:space="preserve">, the Commission found, </w:t>
      </w:r>
      <w:r w:rsidRPr="006005C9">
        <w:rPr>
          <w:i/>
        </w:rPr>
        <w:t>inter alia</w:t>
      </w:r>
      <w:r>
        <w:t xml:space="preserve">, that </w:t>
      </w:r>
      <w:r w:rsidR="00C06C43">
        <w:t xml:space="preserve">PECO’s </w:t>
      </w:r>
      <w:r>
        <w:t xml:space="preserve">Phase II Plan met the overall conservation requirements of the </w:t>
      </w:r>
      <w:r w:rsidRPr="006005C9">
        <w:rPr>
          <w:i/>
        </w:rPr>
        <w:t>Phase II Implementation Order</w:t>
      </w:r>
      <w:r w:rsidR="00FA7458">
        <w:rPr>
          <w:i/>
        </w:rPr>
        <w:t xml:space="preserve">. </w:t>
      </w:r>
      <w:r w:rsidR="00C06C43">
        <w:rPr>
          <w:i/>
        </w:rPr>
        <w:t xml:space="preserve"> </w:t>
      </w:r>
      <w:r w:rsidR="00FA7458" w:rsidRPr="00FA7458">
        <w:t xml:space="preserve">The Commission </w:t>
      </w:r>
      <w:r w:rsidR="00C06C43">
        <w:t xml:space="preserve">also </w:t>
      </w:r>
      <w:r w:rsidR="006147A9">
        <w:t xml:space="preserve">addressed </w:t>
      </w:r>
      <w:r w:rsidR="00FA7458">
        <w:t xml:space="preserve">the applicable requirements of Act 129, 66 Pa. C.S. </w:t>
      </w:r>
      <w:r w:rsidR="00413EEA">
        <w:t xml:space="preserve">§ </w:t>
      </w:r>
      <w:r w:rsidR="00FA7458">
        <w:t>2806.1</w:t>
      </w:r>
      <w:r w:rsidR="006147A9">
        <w:t>,</w:t>
      </w:r>
      <w:r w:rsidR="004D2BD5">
        <w:rPr>
          <w:rStyle w:val="FootnoteReference"/>
        </w:rPr>
        <w:footnoteReference w:id="13"/>
      </w:r>
      <w:r w:rsidR="00FA7458">
        <w:t xml:space="preserve"> </w:t>
      </w:r>
      <w:r w:rsidR="00C06C43">
        <w:t xml:space="preserve">and determined that PECO’s proposed Phase II Plan should be approved, subject to specific modifications.  </w:t>
      </w:r>
      <w:r w:rsidR="00A57AD2">
        <w:t xml:space="preserve">We have reviewed the proposed changes to PECO’s Phase II Plan, addressed, </w:t>
      </w:r>
      <w:r w:rsidR="00A57AD2" w:rsidRPr="00A57AD2">
        <w:rPr>
          <w:i/>
        </w:rPr>
        <w:t>supra</w:t>
      </w:r>
      <w:r w:rsidR="00A57AD2">
        <w:t xml:space="preserve">, and find that they do not alter our </w:t>
      </w:r>
      <w:r w:rsidR="00A57AD2">
        <w:lastRenderedPageBreak/>
        <w:t xml:space="preserve">determination </w:t>
      </w:r>
      <w:r w:rsidR="00B372B5">
        <w:t xml:space="preserve">that </w:t>
      </w:r>
      <w:r w:rsidR="00A57AD2">
        <w:t xml:space="preserve">the Revised Phase II Plan complies with the </w:t>
      </w:r>
      <w:r w:rsidR="00A57AD2" w:rsidRPr="00A57AD2">
        <w:rPr>
          <w:i/>
        </w:rPr>
        <w:t>Phase II Implementation Order</w:t>
      </w:r>
      <w:r w:rsidR="00A57AD2">
        <w:t xml:space="preserve"> and the applicable requirements of Act 129.  </w:t>
      </w:r>
      <w:r w:rsidR="00502BFB">
        <w:t xml:space="preserve">Accordingly, </w:t>
      </w:r>
      <w:r w:rsidR="00C15C9A">
        <w:t>the proposed modifications and corrections sh</w:t>
      </w:r>
      <w:r w:rsidR="003169BE">
        <w:t>all</w:t>
      </w:r>
      <w:r w:rsidR="00C15C9A">
        <w:t xml:space="preserve"> be approved. </w:t>
      </w:r>
    </w:p>
    <w:p w:rsidR="00216E70" w:rsidRDefault="00216E70" w:rsidP="00216E70"/>
    <w:p w:rsidR="00913362" w:rsidRDefault="00DD4C5B" w:rsidP="001C152D">
      <w:pPr>
        <w:pStyle w:val="Heading1"/>
        <w:widowControl/>
      </w:pPr>
      <w:r w:rsidRPr="00913362">
        <w:tab/>
      </w:r>
      <w:bookmarkStart w:id="4" w:name="_Toc349126478"/>
      <w:r w:rsidRPr="00913362">
        <w:t>Conclusion</w:t>
      </w:r>
      <w:bookmarkEnd w:id="4"/>
    </w:p>
    <w:p w:rsidR="00DD4C5B" w:rsidRDefault="00DD4C5B" w:rsidP="001C152D">
      <w:pPr>
        <w:keepNext/>
        <w:widowControl/>
      </w:pPr>
    </w:p>
    <w:p w:rsidR="00BD582B" w:rsidRPr="00CF493B" w:rsidRDefault="00BD582B" w:rsidP="005B648B">
      <w:pPr>
        <w:keepNext/>
        <w:widowControl/>
        <w:rPr>
          <w:b/>
          <w:szCs w:val="26"/>
        </w:rPr>
      </w:pPr>
      <w:r>
        <w:rPr>
          <w:szCs w:val="26"/>
        </w:rPr>
        <w:t xml:space="preserve">For the reasons set forth, </w:t>
      </w:r>
      <w:r w:rsidRPr="000D2E56">
        <w:rPr>
          <w:i/>
          <w:szCs w:val="26"/>
        </w:rPr>
        <w:t>supra</w:t>
      </w:r>
      <w:r>
        <w:rPr>
          <w:szCs w:val="26"/>
        </w:rPr>
        <w:t xml:space="preserve">, we </w:t>
      </w:r>
      <w:r w:rsidR="00C15C9A">
        <w:rPr>
          <w:szCs w:val="26"/>
        </w:rPr>
        <w:t>shall</w:t>
      </w:r>
      <w:r w:rsidR="003169BE">
        <w:rPr>
          <w:szCs w:val="26"/>
        </w:rPr>
        <w:t>:</w:t>
      </w:r>
      <w:r w:rsidR="00C15C9A">
        <w:rPr>
          <w:szCs w:val="26"/>
        </w:rPr>
        <w:t xml:space="preserve"> </w:t>
      </w:r>
      <w:r w:rsidR="00C1695C">
        <w:rPr>
          <w:szCs w:val="26"/>
        </w:rPr>
        <w:t xml:space="preserve"> </w:t>
      </w:r>
      <w:r w:rsidR="00C15C9A">
        <w:rPr>
          <w:szCs w:val="26"/>
        </w:rPr>
        <w:t xml:space="preserve">(1) </w:t>
      </w:r>
      <w:r w:rsidR="005B648B">
        <w:rPr>
          <w:szCs w:val="26"/>
        </w:rPr>
        <w:t>grant</w:t>
      </w:r>
      <w:r w:rsidR="00C15C9A">
        <w:rPr>
          <w:szCs w:val="26"/>
        </w:rPr>
        <w:t xml:space="preserve"> PECO’s DLC Petition</w:t>
      </w:r>
      <w:r w:rsidR="005F12B6">
        <w:rPr>
          <w:szCs w:val="26"/>
        </w:rPr>
        <w:t>;</w:t>
      </w:r>
      <w:r w:rsidR="00C15C9A">
        <w:rPr>
          <w:szCs w:val="26"/>
        </w:rPr>
        <w:t xml:space="preserve"> and (2) </w:t>
      </w:r>
      <w:r w:rsidR="00C15C9A" w:rsidRPr="00C53AF0">
        <w:t>direct the Commission’s Bureau of Technical Utilit</w:t>
      </w:r>
      <w:r w:rsidR="003169BE">
        <w:t>y</w:t>
      </w:r>
      <w:r w:rsidR="00C15C9A" w:rsidRPr="00C53AF0">
        <w:t xml:space="preserve"> Services, in collaboration with the SWE, to </w:t>
      </w:r>
      <w:r w:rsidR="003169BE">
        <w:t xml:space="preserve">consider </w:t>
      </w:r>
      <w:r w:rsidR="00C15C9A" w:rsidRPr="00C53AF0">
        <w:t>the avoided</w:t>
      </w:r>
      <w:r w:rsidR="00C15C9A">
        <w:t xml:space="preserve"> transmission and distribution</w:t>
      </w:r>
      <w:r w:rsidR="00C15C9A" w:rsidRPr="00C53AF0">
        <w:t xml:space="preserve"> costs </w:t>
      </w:r>
      <w:r w:rsidR="00C15C9A">
        <w:t>guidance</w:t>
      </w:r>
      <w:r w:rsidR="00C15C9A" w:rsidRPr="00C53AF0">
        <w:t xml:space="preserve"> as part of the Commission’s next revi</w:t>
      </w:r>
      <w:r w:rsidR="003169BE">
        <w:t>ew of the</w:t>
      </w:r>
      <w:r w:rsidR="00C15C9A" w:rsidRPr="00C53AF0">
        <w:t xml:space="preserve"> TRC</w:t>
      </w:r>
      <w:r w:rsidR="003169BE">
        <w:t xml:space="preserve"> Test</w:t>
      </w:r>
      <w:r w:rsidR="005B648B">
        <w:rPr>
          <w:szCs w:val="26"/>
        </w:rPr>
        <w:t xml:space="preserve">; </w:t>
      </w:r>
      <w:r w:rsidRPr="00CF493B">
        <w:rPr>
          <w:b/>
          <w:szCs w:val="26"/>
        </w:rPr>
        <w:t>THEREFORE</w:t>
      </w:r>
      <w:r w:rsidR="00B03FA4">
        <w:rPr>
          <w:b/>
          <w:szCs w:val="26"/>
        </w:rPr>
        <w:t>,</w:t>
      </w:r>
    </w:p>
    <w:p w:rsidR="00BD582B" w:rsidRDefault="00BD582B" w:rsidP="00BD582B">
      <w:pPr>
        <w:keepNext/>
        <w:widowControl/>
        <w:rPr>
          <w:b/>
          <w:szCs w:val="26"/>
        </w:rPr>
      </w:pPr>
    </w:p>
    <w:p w:rsidR="00BD582B" w:rsidRDefault="00BD582B" w:rsidP="00BD582B">
      <w:pPr>
        <w:keepNext/>
        <w:widowControl/>
        <w:spacing w:line="240" w:lineRule="auto"/>
        <w:ind w:firstLine="720"/>
        <w:rPr>
          <w:szCs w:val="26"/>
        </w:rPr>
      </w:pPr>
      <w:r>
        <w:rPr>
          <w:b/>
          <w:szCs w:val="26"/>
        </w:rPr>
        <w:t>IT IS ORDERED:</w:t>
      </w:r>
      <w:r w:rsidRPr="00A94836">
        <w:rPr>
          <w:szCs w:val="26"/>
        </w:rPr>
        <w:tab/>
      </w:r>
    </w:p>
    <w:p w:rsidR="00BD582B" w:rsidRDefault="00BD582B" w:rsidP="007028E2">
      <w:pPr>
        <w:keepNext/>
        <w:widowControl/>
        <w:ind w:firstLine="720"/>
        <w:rPr>
          <w:szCs w:val="26"/>
        </w:rPr>
      </w:pPr>
    </w:p>
    <w:p w:rsidR="00BD582B" w:rsidRPr="007C61FD" w:rsidRDefault="001C152D" w:rsidP="007C61FD">
      <w:pPr>
        <w:pStyle w:val="ListParagraph"/>
        <w:numPr>
          <w:ilvl w:val="0"/>
          <w:numId w:val="44"/>
        </w:numPr>
        <w:ind w:left="0" w:firstLine="1440"/>
        <w:rPr>
          <w:szCs w:val="26"/>
        </w:rPr>
      </w:pPr>
      <w:r w:rsidRPr="007C61FD">
        <w:rPr>
          <w:szCs w:val="26"/>
        </w:rPr>
        <w:t xml:space="preserve">That the Petition of PECO Energy Company </w:t>
      </w:r>
      <w:r w:rsidR="006500BC">
        <w:rPr>
          <w:szCs w:val="26"/>
        </w:rPr>
        <w:t>for Approval to Amend its Act 129 Phase II Energy Efficiency and Conservation Plan to Continue its Mass Market Direct Load Control Program from June 1, 2013 to May 31, 2014</w:t>
      </w:r>
      <w:r w:rsidR="003169BE">
        <w:rPr>
          <w:szCs w:val="26"/>
        </w:rPr>
        <w:t>,</w:t>
      </w:r>
      <w:r w:rsidR="006500BC">
        <w:rPr>
          <w:szCs w:val="26"/>
        </w:rPr>
        <w:t xml:space="preserve"> is granted.</w:t>
      </w:r>
      <w:r w:rsidRPr="007C61FD">
        <w:rPr>
          <w:szCs w:val="26"/>
        </w:rPr>
        <w:t xml:space="preserve">  </w:t>
      </w:r>
    </w:p>
    <w:p w:rsidR="00E019EA" w:rsidRDefault="00E019EA" w:rsidP="007C61FD">
      <w:pPr>
        <w:widowControl/>
        <w:contextualSpacing/>
        <w:rPr>
          <w:szCs w:val="26"/>
        </w:rPr>
      </w:pPr>
    </w:p>
    <w:p w:rsidR="003169BE" w:rsidRPr="003169BE" w:rsidRDefault="003169BE" w:rsidP="003169BE">
      <w:pPr>
        <w:pStyle w:val="ListParagraph"/>
        <w:numPr>
          <w:ilvl w:val="0"/>
          <w:numId w:val="44"/>
        </w:numPr>
        <w:ind w:left="0" w:firstLine="1440"/>
        <w:rPr>
          <w:szCs w:val="26"/>
        </w:rPr>
      </w:pPr>
      <w:r w:rsidRPr="003169BE">
        <w:rPr>
          <w:szCs w:val="26"/>
        </w:rPr>
        <w:t xml:space="preserve">That PECO Energy Company’s Act 129 Phase II Energy Efficiency and Conservation Plan, as amended, is approved, consistent with this Opinion and Order.  </w:t>
      </w:r>
    </w:p>
    <w:p w:rsidR="003169BE" w:rsidRPr="00E019EA" w:rsidRDefault="003169BE" w:rsidP="007C61FD">
      <w:pPr>
        <w:widowControl/>
        <w:contextualSpacing/>
        <w:rPr>
          <w:szCs w:val="26"/>
        </w:rPr>
      </w:pPr>
    </w:p>
    <w:p w:rsidR="006500BC" w:rsidRPr="006500BC" w:rsidRDefault="006500BC" w:rsidP="007C61FD">
      <w:pPr>
        <w:pStyle w:val="ListParagraph"/>
        <w:widowControl/>
        <w:numPr>
          <w:ilvl w:val="0"/>
          <w:numId w:val="44"/>
        </w:numPr>
        <w:ind w:left="0" w:firstLine="1440"/>
        <w:rPr>
          <w:szCs w:val="26"/>
        </w:rPr>
      </w:pPr>
      <w:r>
        <w:rPr>
          <w:szCs w:val="26"/>
        </w:rPr>
        <w:t xml:space="preserve">That </w:t>
      </w:r>
      <w:r w:rsidRPr="00C53AF0">
        <w:t>the Commission’s Bureau of Technical Util</w:t>
      </w:r>
      <w:r w:rsidR="00715526">
        <w:t>ity</w:t>
      </w:r>
      <w:r w:rsidRPr="00C53AF0">
        <w:t xml:space="preserve"> Services, in collaboration with the S</w:t>
      </w:r>
      <w:r>
        <w:t xml:space="preserve">tatewide </w:t>
      </w:r>
      <w:r w:rsidRPr="00C53AF0">
        <w:t>E</w:t>
      </w:r>
      <w:r>
        <w:t>valuator</w:t>
      </w:r>
      <w:r w:rsidRPr="00C53AF0">
        <w:t xml:space="preserve">, </w:t>
      </w:r>
      <w:r>
        <w:t>shall</w:t>
      </w:r>
      <w:r w:rsidR="003169BE">
        <w:t xml:space="preserve"> consider </w:t>
      </w:r>
      <w:r w:rsidRPr="00C53AF0">
        <w:t>the avoided</w:t>
      </w:r>
      <w:r>
        <w:t xml:space="preserve"> transmission and distribution</w:t>
      </w:r>
      <w:r w:rsidRPr="00C53AF0">
        <w:t xml:space="preserve"> costs </w:t>
      </w:r>
      <w:r>
        <w:t>guidance</w:t>
      </w:r>
      <w:r w:rsidRPr="00C53AF0">
        <w:t xml:space="preserve"> as part of the Commission’s next revi</w:t>
      </w:r>
      <w:r w:rsidR="003169BE">
        <w:t>ew of</w:t>
      </w:r>
      <w:r w:rsidRPr="00C53AF0">
        <w:t xml:space="preserve"> the T</w:t>
      </w:r>
      <w:r>
        <w:t>otal Resource Cost Test.</w:t>
      </w:r>
    </w:p>
    <w:p w:rsidR="006500BC" w:rsidRPr="006500BC" w:rsidRDefault="006500BC" w:rsidP="006500BC">
      <w:pPr>
        <w:pStyle w:val="ListParagraph"/>
        <w:widowControl/>
        <w:ind w:left="1440" w:firstLine="0"/>
        <w:rPr>
          <w:szCs w:val="26"/>
        </w:rPr>
      </w:pPr>
    </w:p>
    <w:p w:rsidR="00E019EA" w:rsidRDefault="006500BC" w:rsidP="00C1695C">
      <w:pPr>
        <w:pStyle w:val="ListParagraph"/>
        <w:keepNext/>
        <w:widowControl/>
        <w:numPr>
          <w:ilvl w:val="0"/>
          <w:numId w:val="44"/>
        </w:numPr>
        <w:ind w:left="0" w:firstLine="1440"/>
        <w:rPr>
          <w:szCs w:val="26"/>
        </w:rPr>
      </w:pPr>
      <w:bookmarkStart w:id="5" w:name="_GoBack"/>
      <w:bookmarkEnd w:id="5"/>
      <w:r>
        <w:rPr>
          <w:szCs w:val="26"/>
        </w:rPr>
        <w:lastRenderedPageBreak/>
        <w:t>T</w:t>
      </w:r>
      <w:r w:rsidR="00E019EA" w:rsidRPr="007C61FD">
        <w:rPr>
          <w:szCs w:val="26"/>
        </w:rPr>
        <w:t xml:space="preserve">hat a copy of this Opinion and Order be served on all </w:t>
      </w:r>
      <w:r w:rsidR="005B648B" w:rsidRPr="007C61FD">
        <w:rPr>
          <w:szCs w:val="26"/>
        </w:rPr>
        <w:t xml:space="preserve">active </w:t>
      </w:r>
      <w:r w:rsidR="00E019EA" w:rsidRPr="007C61FD">
        <w:rPr>
          <w:szCs w:val="26"/>
        </w:rPr>
        <w:t>parties of</w:t>
      </w:r>
      <w:r w:rsidR="005B648B" w:rsidRPr="007C61FD">
        <w:rPr>
          <w:szCs w:val="26"/>
        </w:rPr>
        <w:t xml:space="preserve"> record. </w:t>
      </w:r>
    </w:p>
    <w:p w:rsidR="003169BE" w:rsidRPr="003169BE" w:rsidRDefault="006E7F67" w:rsidP="00C1695C">
      <w:pPr>
        <w:keepNext/>
        <w:widowControl/>
        <w:ind w:left="1440" w:firstLine="0"/>
        <w:rPr>
          <w:szCs w:val="26"/>
        </w:rPr>
      </w:pPr>
      <w:r>
        <w:rPr>
          <w:noProof/>
        </w:rPr>
        <w:drawing>
          <wp:anchor distT="0" distB="0" distL="114300" distR="114300" simplePos="0" relativeHeight="251659264" behindDoc="1" locked="0" layoutInCell="1" allowOverlap="1" wp14:anchorId="18A38115" wp14:editId="539BD280">
            <wp:simplePos x="0" y="0"/>
            <wp:positionH relativeFrom="column">
              <wp:posOffset>2847975</wp:posOffset>
            </wp:positionH>
            <wp:positionV relativeFrom="paragraph">
              <wp:posOffset>278130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D582B" w:rsidRPr="00CA43A5" w:rsidRDefault="00BD582B" w:rsidP="00C1695C">
      <w:pPr>
        <w:keepNext/>
        <w:tabs>
          <w:tab w:val="left" w:pos="-720"/>
        </w:tabs>
        <w:ind w:firstLine="5040"/>
        <w:rPr>
          <w:szCs w:val="26"/>
        </w:rPr>
      </w:pPr>
      <w:r w:rsidRPr="00CA43A5">
        <w:rPr>
          <w:b/>
          <w:szCs w:val="26"/>
        </w:rPr>
        <w:t>BY THE COMMISSION,</w:t>
      </w:r>
    </w:p>
    <w:p w:rsidR="00BD582B" w:rsidRPr="00CA43A5" w:rsidRDefault="00BD582B" w:rsidP="00127862">
      <w:pPr>
        <w:keepNext/>
        <w:keepLines/>
        <w:tabs>
          <w:tab w:val="left" w:pos="-720"/>
        </w:tabs>
        <w:rPr>
          <w:szCs w:val="26"/>
        </w:rPr>
      </w:pPr>
    </w:p>
    <w:p w:rsidR="00BD582B" w:rsidRPr="00CA43A5" w:rsidRDefault="00BD582B" w:rsidP="00127862">
      <w:pPr>
        <w:keepNext/>
        <w:keepLines/>
        <w:tabs>
          <w:tab w:val="left" w:pos="-720"/>
        </w:tabs>
        <w:rPr>
          <w:szCs w:val="26"/>
        </w:rPr>
      </w:pPr>
    </w:p>
    <w:p w:rsidR="00BD582B" w:rsidRPr="00CA43A5" w:rsidRDefault="00BD582B" w:rsidP="00127862">
      <w:pPr>
        <w:keepNext/>
        <w:keepLines/>
        <w:tabs>
          <w:tab w:val="left" w:pos="-720"/>
        </w:tabs>
        <w:ind w:firstLine="5040"/>
        <w:rPr>
          <w:b/>
          <w:szCs w:val="26"/>
        </w:rPr>
      </w:pPr>
      <w:r>
        <w:rPr>
          <w:szCs w:val="26"/>
        </w:rPr>
        <w:t>Rosemary Chiavetta</w:t>
      </w:r>
    </w:p>
    <w:p w:rsidR="00BD582B" w:rsidRPr="00CA43A5" w:rsidRDefault="00BD582B" w:rsidP="00127862">
      <w:pPr>
        <w:keepNext/>
        <w:keepLines/>
        <w:tabs>
          <w:tab w:val="left" w:pos="-720"/>
        </w:tabs>
        <w:ind w:firstLine="5040"/>
        <w:rPr>
          <w:szCs w:val="26"/>
        </w:rPr>
      </w:pPr>
      <w:r w:rsidRPr="00CA43A5">
        <w:rPr>
          <w:szCs w:val="26"/>
        </w:rPr>
        <w:t>Secretary</w:t>
      </w:r>
    </w:p>
    <w:p w:rsidR="00BD582B" w:rsidRPr="00CA43A5" w:rsidRDefault="00BD582B" w:rsidP="00BD582B">
      <w:pPr>
        <w:tabs>
          <w:tab w:val="left" w:pos="-720"/>
        </w:tabs>
        <w:spacing w:line="240" w:lineRule="auto"/>
        <w:rPr>
          <w:szCs w:val="26"/>
        </w:rPr>
      </w:pPr>
    </w:p>
    <w:p w:rsidR="00BD582B" w:rsidRPr="00CA43A5" w:rsidRDefault="00BD582B" w:rsidP="00BD582B">
      <w:pPr>
        <w:tabs>
          <w:tab w:val="left" w:pos="-720"/>
        </w:tabs>
        <w:ind w:firstLine="0"/>
        <w:rPr>
          <w:szCs w:val="26"/>
        </w:rPr>
      </w:pPr>
      <w:r w:rsidRPr="00CA43A5">
        <w:rPr>
          <w:szCs w:val="26"/>
        </w:rPr>
        <w:t>(SEAL)</w:t>
      </w:r>
    </w:p>
    <w:p w:rsidR="00BD582B" w:rsidRPr="00CA43A5" w:rsidRDefault="00BD582B" w:rsidP="00BD582B">
      <w:pPr>
        <w:tabs>
          <w:tab w:val="left" w:pos="-720"/>
        </w:tabs>
        <w:ind w:firstLine="0"/>
        <w:rPr>
          <w:szCs w:val="26"/>
        </w:rPr>
      </w:pPr>
      <w:r w:rsidRPr="00CA43A5">
        <w:rPr>
          <w:szCs w:val="26"/>
        </w:rPr>
        <w:t xml:space="preserve">ORDER ADOPTED: </w:t>
      </w:r>
      <w:r w:rsidR="00CE7B26">
        <w:rPr>
          <w:szCs w:val="26"/>
        </w:rPr>
        <w:t>May 9, 2013</w:t>
      </w:r>
    </w:p>
    <w:p w:rsidR="00BD582B" w:rsidRDefault="00BD582B" w:rsidP="00BD582B">
      <w:pPr>
        <w:tabs>
          <w:tab w:val="left" w:pos="-720"/>
        </w:tabs>
        <w:ind w:firstLine="0"/>
        <w:rPr>
          <w:b/>
        </w:rPr>
      </w:pPr>
      <w:r w:rsidRPr="00CA43A5">
        <w:rPr>
          <w:szCs w:val="26"/>
        </w:rPr>
        <w:t xml:space="preserve">ORDER ENTERED:  </w:t>
      </w:r>
      <w:r w:rsidR="006E7F67">
        <w:rPr>
          <w:szCs w:val="26"/>
        </w:rPr>
        <w:t>May 9, 2013</w:t>
      </w:r>
    </w:p>
    <w:p w:rsidR="00004997" w:rsidRDefault="00004997" w:rsidP="001E4BB8"/>
    <w:sectPr w:rsidR="00004997" w:rsidSect="0036471F">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8A" w:rsidRDefault="009C0A8A" w:rsidP="002F21AC">
      <w:pPr>
        <w:spacing w:line="240" w:lineRule="auto"/>
      </w:pPr>
      <w:r>
        <w:separator/>
      </w:r>
    </w:p>
  </w:endnote>
  <w:endnote w:type="continuationSeparator" w:id="0">
    <w:p w:rsidR="009C0A8A" w:rsidRDefault="009C0A8A"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78609"/>
      <w:docPartObj>
        <w:docPartGallery w:val="Page Numbers (Bottom of Page)"/>
        <w:docPartUnique/>
      </w:docPartObj>
    </w:sdtPr>
    <w:sdtEndPr>
      <w:rPr>
        <w:noProof/>
      </w:rPr>
    </w:sdtEndPr>
    <w:sdtContent>
      <w:p w:rsidR="00C53AF0" w:rsidRDefault="00C53AF0" w:rsidP="00D976E4">
        <w:pPr>
          <w:pStyle w:val="Footer"/>
          <w:ind w:firstLine="0"/>
          <w:jc w:val="center"/>
        </w:pPr>
        <w:r>
          <w:fldChar w:fldCharType="begin"/>
        </w:r>
        <w:r>
          <w:instrText xml:space="preserve"> PAGE   \* MERGEFORMAT </w:instrText>
        </w:r>
        <w:r>
          <w:fldChar w:fldCharType="separate"/>
        </w:r>
        <w:r w:rsidR="006E7F67">
          <w:rPr>
            <w:noProof/>
          </w:rPr>
          <w:t>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91108"/>
      <w:docPartObj>
        <w:docPartGallery w:val="Page Numbers (Bottom of Page)"/>
        <w:docPartUnique/>
      </w:docPartObj>
    </w:sdtPr>
    <w:sdtEndPr>
      <w:rPr>
        <w:noProof/>
      </w:rPr>
    </w:sdtEndPr>
    <w:sdtContent>
      <w:p w:rsidR="00C53AF0" w:rsidRDefault="00C53AF0" w:rsidP="0036471F">
        <w:pPr>
          <w:pStyle w:val="Footer"/>
          <w:ind w:firstLine="0"/>
          <w:jc w:val="center"/>
        </w:pPr>
        <w:r>
          <w:fldChar w:fldCharType="begin"/>
        </w:r>
        <w:r>
          <w:instrText xml:space="preserve"> PAGE   \* MERGEFORMAT </w:instrText>
        </w:r>
        <w:r>
          <w:fldChar w:fldCharType="separate"/>
        </w:r>
        <w:r w:rsidR="006E7F67">
          <w:rPr>
            <w:noProof/>
          </w:rPr>
          <w:t>1</w:t>
        </w:r>
        <w:r>
          <w:rPr>
            <w:noProof/>
          </w:rPr>
          <w:fldChar w:fldCharType="end"/>
        </w:r>
      </w:p>
    </w:sdtContent>
  </w:sdt>
  <w:p w:rsidR="00C53AF0" w:rsidRDefault="00C53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8A" w:rsidRDefault="009C0A8A" w:rsidP="002F21AC">
      <w:pPr>
        <w:spacing w:line="240" w:lineRule="auto"/>
      </w:pPr>
      <w:r>
        <w:separator/>
      </w:r>
    </w:p>
  </w:footnote>
  <w:footnote w:type="continuationSeparator" w:id="0">
    <w:p w:rsidR="009C0A8A" w:rsidRDefault="009C0A8A" w:rsidP="002F21AC">
      <w:pPr>
        <w:spacing w:line="240" w:lineRule="auto"/>
      </w:pPr>
      <w:r>
        <w:continuationSeparator/>
      </w:r>
    </w:p>
  </w:footnote>
  <w:footnote w:id="1">
    <w:p w:rsidR="00C53AF0" w:rsidRPr="001272CF" w:rsidRDefault="00C53AF0" w:rsidP="00564004">
      <w:pPr>
        <w:pStyle w:val="FootnoteText"/>
        <w:ind w:firstLine="720"/>
        <w:rPr>
          <w:sz w:val="26"/>
          <w:szCs w:val="26"/>
        </w:rPr>
      </w:pPr>
      <w:r w:rsidRPr="00F6133C">
        <w:rPr>
          <w:rStyle w:val="FootnoteReference"/>
          <w:sz w:val="26"/>
          <w:szCs w:val="26"/>
        </w:rPr>
        <w:footnoteRef/>
      </w:r>
      <w:r w:rsidRPr="00F6133C">
        <w:rPr>
          <w:sz w:val="26"/>
          <w:szCs w:val="26"/>
        </w:rPr>
        <w:t xml:space="preserve">  </w:t>
      </w:r>
      <w:r>
        <w:tab/>
      </w:r>
      <w:r w:rsidRPr="001272CF">
        <w:rPr>
          <w:sz w:val="26"/>
          <w:szCs w:val="26"/>
        </w:rPr>
        <w:t>PECO has submitted a Revised Act 129</w:t>
      </w:r>
      <w:r w:rsidR="009578CA">
        <w:rPr>
          <w:sz w:val="26"/>
          <w:szCs w:val="26"/>
        </w:rPr>
        <w:t xml:space="preserve"> </w:t>
      </w:r>
      <w:r w:rsidRPr="001272CF">
        <w:rPr>
          <w:sz w:val="26"/>
          <w:szCs w:val="26"/>
        </w:rPr>
        <w:t xml:space="preserve">Phase II </w:t>
      </w:r>
      <w:r>
        <w:rPr>
          <w:sz w:val="26"/>
          <w:szCs w:val="26"/>
        </w:rPr>
        <w:t xml:space="preserve">EE&amp;C </w:t>
      </w:r>
      <w:r w:rsidR="00F6133C">
        <w:rPr>
          <w:sz w:val="26"/>
          <w:szCs w:val="26"/>
        </w:rPr>
        <w:t>Plan, dated March </w:t>
      </w:r>
      <w:r w:rsidRPr="001272CF">
        <w:rPr>
          <w:sz w:val="26"/>
          <w:szCs w:val="26"/>
        </w:rPr>
        <w:t xml:space="preserve">13, 2013, as Exhibit 2 to the </w:t>
      </w:r>
      <w:r w:rsidR="006D5C61">
        <w:rPr>
          <w:sz w:val="26"/>
          <w:szCs w:val="26"/>
        </w:rPr>
        <w:t xml:space="preserve">DLC </w:t>
      </w:r>
      <w:r w:rsidRPr="001272CF">
        <w:rPr>
          <w:sz w:val="26"/>
          <w:szCs w:val="26"/>
        </w:rPr>
        <w:t xml:space="preserve">Petition. </w:t>
      </w:r>
    </w:p>
  </w:footnote>
  <w:footnote w:id="2">
    <w:p w:rsidR="00C53AF0" w:rsidRPr="007A13DD" w:rsidRDefault="00C53AF0" w:rsidP="007A13DD">
      <w:pPr>
        <w:pStyle w:val="FootnoteText"/>
        <w:ind w:firstLine="720"/>
        <w:rPr>
          <w:sz w:val="26"/>
          <w:szCs w:val="26"/>
        </w:rPr>
      </w:pPr>
      <w:r w:rsidRPr="00866CA4">
        <w:rPr>
          <w:rStyle w:val="FootnoteReference"/>
          <w:sz w:val="26"/>
          <w:szCs w:val="26"/>
        </w:rPr>
        <w:footnoteRef/>
      </w:r>
      <w:r w:rsidRPr="00866CA4">
        <w:rPr>
          <w:sz w:val="26"/>
          <w:szCs w:val="26"/>
        </w:rPr>
        <w:t xml:space="preserve"> </w:t>
      </w:r>
      <w:r>
        <w:rPr>
          <w:sz w:val="26"/>
          <w:szCs w:val="26"/>
        </w:rPr>
        <w:tab/>
      </w:r>
      <w:r w:rsidRPr="007A13DD">
        <w:rPr>
          <w:sz w:val="26"/>
          <w:szCs w:val="26"/>
        </w:rPr>
        <w:t xml:space="preserve">The </w:t>
      </w:r>
      <w:r>
        <w:rPr>
          <w:sz w:val="26"/>
          <w:szCs w:val="26"/>
        </w:rPr>
        <w:t xml:space="preserve">Act 129 </w:t>
      </w:r>
      <w:r w:rsidRPr="007A13DD">
        <w:rPr>
          <w:sz w:val="26"/>
          <w:szCs w:val="26"/>
        </w:rPr>
        <w:t>consumption and peak load reduct</w:t>
      </w:r>
      <w:r w:rsidR="00F6133C">
        <w:rPr>
          <w:sz w:val="26"/>
          <w:szCs w:val="26"/>
        </w:rPr>
        <w:t>ion targets are set forth at 66 </w:t>
      </w:r>
      <w:r w:rsidRPr="007A13DD">
        <w:rPr>
          <w:sz w:val="26"/>
          <w:szCs w:val="26"/>
        </w:rPr>
        <w:t>Pa. C.S. §§ 2806.1(c)(1)</w:t>
      </w:r>
      <w:r>
        <w:rPr>
          <w:sz w:val="26"/>
          <w:szCs w:val="26"/>
        </w:rPr>
        <w:t>, (c)</w:t>
      </w:r>
      <w:r w:rsidRPr="007A13DD">
        <w:rPr>
          <w:sz w:val="26"/>
          <w:szCs w:val="26"/>
        </w:rPr>
        <w:t>(2)</w:t>
      </w:r>
      <w:r>
        <w:rPr>
          <w:sz w:val="26"/>
          <w:szCs w:val="26"/>
        </w:rPr>
        <w:t xml:space="preserve"> and (d)(1)</w:t>
      </w:r>
      <w:r w:rsidRPr="007A13DD">
        <w:rPr>
          <w:sz w:val="26"/>
          <w:szCs w:val="26"/>
        </w:rPr>
        <w:t xml:space="preserve">. </w:t>
      </w:r>
    </w:p>
  </w:footnote>
  <w:footnote w:id="3">
    <w:p w:rsidR="00C53AF0" w:rsidRPr="007A13DD" w:rsidRDefault="00C53AF0" w:rsidP="00866CA4">
      <w:pPr>
        <w:pStyle w:val="FootnoteText"/>
        <w:ind w:firstLine="720"/>
        <w:rPr>
          <w:sz w:val="26"/>
          <w:szCs w:val="26"/>
        </w:rPr>
      </w:pPr>
      <w:r w:rsidRPr="00866CA4">
        <w:rPr>
          <w:rStyle w:val="FootnoteReference"/>
          <w:sz w:val="26"/>
          <w:szCs w:val="26"/>
        </w:rPr>
        <w:footnoteRef/>
      </w:r>
      <w:r w:rsidRPr="00866CA4">
        <w:rPr>
          <w:sz w:val="26"/>
          <w:szCs w:val="26"/>
        </w:rPr>
        <w:t xml:space="preserve"> </w:t>
      </w:r>
      <w:r>
        <w:rPr>
          <w:sz w:val="26"/>
          <w:szCs w:val="26"/>
        </w:rPr>
        <w:tab/>
      </w:r>
      <w:r w:rsidRPr="00866CA4">
        <w:rPr>
          <w:sz w:val="26"/>
          <w:szCs w:val="26"/>
        </w:rPr>
        <w:t>The Act 129 requirements regarding the evaluation of the costs and benefits of subsequent EE&amp;C programs are set</w:t>
      </w:r>
      <w:r w:rsidRPr="007A13DD">
        <w:rPr>
          <w:sz w:val="26"/>
          <w:szCs w:val="26"/>
        </w:rPr>
        <w:t xml:space="preserve"> forth at 66 Pa. C.S.</w:t>
      </w:r>
      <w:r>
        <w:rPr>
          <w:sz w:val="26"/>
          <w:szCs w:val="26"/>
        </w:rPr>
        <w:t xml:space="preserve"> §</w:t>
      </w:r>
      <w:r w:rsidRPr="007A13DD">
        <w:rPr>
          <w:sz w:val="26"/>
          <w:szCs w:val="26"/>
        </w:rPr>
        <w:t>§ 2806.1(c)(</w:t>
      </w:r>
      <w:r>
        <w:rPr>
          <w:sz w:val="26"/>
          <w:szCs w:val="26"/>
        </w:rPr>
        <w:t>3</w:t>
      </w:r>
      <w:r w:rsidRPr="007A13DD">
        <w:rPr>
          <w:sz w:val="26"/>
          <w:szCs w:val="26"/>
        </w:rPr>
        <w:t>)</w:t>
      </w:r>
      <w:r>
        <w:rPr>
          <w:sz w:val="26"/>
          <w:szCs w:val="26"/>
        </w:rPr>
        <w:t xml:space="preserve"> and (d)(2)</w:t>
      </w:r>
      <w:r w:rsidRPr="007A13DD">
        <w:rPr>
          <w:sz w:val="26"/>
          <w:szCs w:val="26"/>
        </w:rPr>
        <w:t xml:space="preserve">. </w:t>
      </w:r>
    </w:p>
    <w:p w:rsidR="00C53AF0" w:rsidRDefault="00C53AF0">
      <w:pPr>
        <w:pStyle w:val="FootnoteText"/>
      </w:pPr>
    </w:p>
  </w:footnote>
  <w:footnote w:id="4">
    <w:p w:rsidR="00C53AF0" w:rsidRPr="00954B4F" w:rsidRDefault="00C53AF0" w:rsidP="004E19D1">
      <w:pPr>
        <w:pStyle w:val="FootnoteText"/>
        <w:ind w:firstLine="720"/>
        <w:rPr>
          <w:sz w:val="26"/>
          <w:szCs w:val="26"/>
        </w:rPr>
      </w:pPr>
      <w:r w:rsidRPr="00A02582">
        <w:rPr>
          <w:rStyle w:val="FootnoteReference"/>
          <w:rFonts w:eastAsiaTheme="majorEastAsia"/>
          <w:sz w:val="26"/>
          <w:szCs w:val="26"/>
        </w:rPr>
        <w:footnoteRef/>
      </w:r>
      <w:r w:rsidRPr="00A02582">
        <w:rPr>
          <w:sz w:val="26"/>
          <w:szCs w:val="26"/>
        </w:rPr>
        <w:t xml:space="preserve"> </w:t>
      </w:r>
      <w:r>
        <w:rPr>
          <w:sz w:val="22"/>
          <w:szCs w:val="22"/>
        </w:rPr>
        <w:tab/>
      </w:r>
      <w:r w:rsidRPr="00954B4F">
        <w:rPr>
          <w:i/>
          <w:iCs/>
          <w:sz w:val="26"/>
          <w:szCs w:val="26"/>
        </w:rPr>
        <w:t xml:space="preserve">See Energy Efficiency and Conservation, </w:t>
      </w:r>
      <w:r w:rsidRPr="00954B4F">
        <w:rPr>
          <w:sz w:val="26"/>
          <w:szCs w:val="26"/>
        </w:rPr>
        <w:t>Secretarial Letter</w:t>
      </w:r>
      <w:r w:rsidR="00104EBA">
        <w:rPr>
          <w:sz w:val="26"/>
          <w:szCs w:val="26"/>
        </w:rPr>
        <w:t xml:space="preserve"> issued March 4, 2011</w:t>
      </w:r>
      <w:r w:rsidRPr="00954B4F">
        <w:rPr>
          <w:sz w:val="26"/>
          <w:szCs w:val="26"/>
        </w:rPr>
        <w:t>, at Docket No. M-2008-2069887</w:t>
      </w:r>
      <w:r w:rsidR="00BB3D70">
        <w:rPr>
          <w:sz w:val="26"/>
          <w:szCs w:val="26"/>
        </w:rPr>
        <w:t>.</w:t>
      </w:r>
    </w:p>
  </w:footnote>
  <w:footnote w:id="5">
    <w:p w:rsidR="00C53AF0" w:rsidRPr="00A02582" w:rsidRDefault="00C53AF0" w:rsidP="004B4DB4">
      <w:pPr>
        <w:pStyle w:val="FootnoteText"/>
        <w:keepNext/>
        <w:keepLines/>
        <w:widowControl/>
        <w:ind w:firstLine="720"/>
        <w:rPr>
          <w:sz w:val="26"/>
          <w:szCs w:val="26"/>
        </w:rPr>
      </w:pPr>
      <w:r w:rsidRPr="00A02582">
        <w:rPr>
          <w:rStyle w:val="FootnoteReference"/>
          <w:sz w:val="26"/>
          <w:szCs w:val="26"/>
        </w:rPr>
        <w:footnoteRef/>
      </w:r>
      <w:r w:rsidRPr="00A02582">
        <w:rPr>
          <w:sz w:val="26"/>
          <w:szCs w:val="26"/>
        </w:rPr>
        <w:t xml:space="preserve"> </w:t>
      </w:r>
      <w:r>
        <w:tab/>
      </w:r>
      <w:r w:rsidRPr="00A02582">
        <w:rPr>
          <w:sz w:val="26"/>
          <w:szCs w:val="26"/>
        </w:rPr>
        <w:t xml:space="preserve">In addition to PECO’s Petition for Reconsideration, on August 20, 2012, Petitions for Reconsideration and/or Clarification of the </w:t>
      </w:r>
      <w:r w:rsidRPr="00A02582">
        <w:rPr>
          <w:i/>
          <w:sz w:val="26"/>
          <w:szCs w:val="26"/>
        </w:rPr>
        <w:t xml:space="preserve">Phase II Implementation Order </w:t>
      </w:r>
      <w:r w:rsidRPr="00A02582">
        <w:rPr>
          <w:sz w:val="26"/>
          <w:szCs w:val="26"/>
        </w:rPr>
        <w:t>were filed by PPL Electric Utilities Co</w:t>
      </w:r>
      <w:r w:rsidR="009578CA">
        <w:rPr>
          <w:sz w:val="26"/>
          <w:szCs w:val="26"/>
        </w:rPr>
        <w:t>rporation</w:t>
      </w:r>
      <w:r w:rsidRPr="00A02582">
        <w:rPr>
          <w:sz w:val="26"/>
          <w:szCs w:val="26"/>
        </w:rPr>
        <w:t xml:space="preserve"> and jointly by Metropolitan Edison Company, Pennsylvania Electric Company, Pennsylvania Power Company and West Penn Power Company.  </w:t>
      </w:r>
      <w:r>
        <w:rPr>
          <w:sz w:val="26"/>
          <w:szCs w:val="26"/>
        </w:rPr>
        <w:t>A</w:t>
      </w:r>
      <w:r w:rsidRPr="00A02582">
        <w:rPr>
          <w:sz w:val="26"/>
          <w:szCs w:val="26"/>
        </w:rPr>
        <w:t xml:space="preserve">ll three Petitions were addressed in the </w:t>
      </w:r>
      <w:r w:rsidRPr="00FC5FF9">
        <w:rPr>
          <w:i/>
          <w:sz w:val="26"/>
          <w:szCs w:val="26"/>
        </w:rPr>
        <w:t>Phase II</w:t>
      </w:r>
      <w:r>
        <w:rPr>
          <w:sz w:val="26"/>
          <w:szCs w:val="26"/>
        </w:rPr>
        <w:t xml:space="preserve"> </w:t>
      </w:r>
      <w:r w:rsidRPr="00A02582">
        <w:rPr>
          <w:i/>
          <w:sz w:val="26"/>
          <w:szCs w:val="26"/>
        </w:rPr>
        <w:t>Reconsideration Order</w:t>
      </w:r>
      <w:r>
        <w:rPr>
          <w:sz w:val="26"/>
          <w:szCs w:val="26"/>
        </w:rPr>
        <w:t>.</w:t>
      </w:r>
    </w:p>
  </w:footnote>
  <w:footnote w:id="6">
    <w:p w:rsidR="00C53AF0" w:rsidRPr="00431949" w:rsidRDefault="00C53AF0" w:rsidP="006D5C61">
      <w:pPr>
        <w:pStyle w:val="FootnoteText"/>
        <w:keepLines/>
        <w:ind w:firstLine="720"/>
        <w:rPr>
          <w:sz w:val="26"/>
          <w:szCs w:val="26"/>
        </w:rPr>
      </w:pPr>
      <w:r w:rsidRPr="00431949">
        <w:rPr>
          <w:rStyle w:val="FootnoteReference"/>
          <w:sz w:val="26"/>
          <w:szCs w:val="26"/>
        </w:rPr>
        <w:footnoteRef/>
      </w:r>
      <w:r w:rsidRPr="00431949">
        <w:rPr>
          <w:sz w:val="26"/>
          <w:szCs w:val="26"/>
        </w:rPr>
        <w:t xml:space="preserve"> </w:t>
      </w:r>
      <w:r w:rsidRPr="00431949">
        <w:rPr>
          <w:sz w:val="26"/>
          <w:szCs w:val="26"/>
        </w:rPr>
        <w:tab/>
        <w:t>PECO’s Phase I demand reduction target was to achieve a 4.5% reduction in the Company’s peak demand sustained for the highest one hundred hours (approximately 355 MW) for the program year ending May 31, 2013.  PECO Revised EE&amp;C Plan, Volume 1</w:t>
      </w:r>
      <w:r w:rsidR="00BB3D70">
        <w:rPr>
          <w:sz w:val="26"/>
          <w:szCs w:val="26"/>
        </w:rPr>
        <w:t xml:space="preserve"> </w:t>
      </w:r>
      <w:r w:rsidRPr="00431949">
        <w:rPr>
          <w:sz w:val="26"/>
          <w:szCs w:val="26"/>
        </w:rPr>
        <w:t xml:space="preserve">at 13. </w:t>
      </w:r>
    </w:p>
  </w:footnote>
  <w:footnote w:id="7">
    <w:p w:rsidR="00C53AF0" w:rsidRPr="000E629A" w:rsidRDefault="00C53AF0" w:rsidP="000E629A">
      <w:pPr>
        <w:pStyle w:val="FootnoteText"/>
        <w:ind w:firstLine="720"/>
        <w:rPr>
          <w:sz w:val="26"/>
          <w:szCs w:val="26"/>
        </w:rPr>
      </w:pPr>
      <w:r w:rsidRPr="008D7B15">
        <w:rPr>
          <w:rStyle w:val="FootnoteReference"/>
          <w:sz w:val="26"/>
          <w:szCs w:val="26"/>
        </w:rPr>
        <w:footnoteRef/>
      </w:r>
      <w:r w:rsidRPr="008D7B15">
        <w:rPr>
          <w:sz w:val="26"/>
          <w:szCs w:val="26"/>
        </w:rPr>
        <w:t xml:space="preserve"> </w:t>
      </w:r>
      <w:r>
        <w:tab/>
      </w:r>
      <w:r w:rsidRPr="000E629A">
        <w:rPr>
          <w:sz w:val="26"/>
          <w:szCs w:val="26"/>
        </w:rPr>
        <w:t>66 Pa.</w:t>
      </w:r>
      <w:r w:rsidR="00216E70">
        <w:rPr>
          <w:sz w:val="26"/>
          <w:szCs w:val="26"/>
        </w:rPr>
        <w:t xml:space="preserve"> </w:t>
      </w:r>
      <w:r w:rsidRPr="000E629A">
        <w:rPr>
          <w:sz w:val="26"/>
          <w:szCs w:val="26"/>
        </w:rPr>
        <w:t>C.S. § 2806.1(d).</w:t>
      </w:r>
    </w:p>
  </w:footnote>
  <w:footnote w:id="8">
    <w:p w:rsidR="00C53AF0" w:rsidRPr="008D7B15" w:rsidRDefault="00C53AF0" w:rsidP="008D7B15">
      <w:pPr>
        <w:pStyle w:val="FootnoteText"/>
        <w:ind w:firstLine="720"/>
        <w:rPr>
          <w:sz w:val="26"/>
          <w:szCs w:val="26"/>
        </w:rPr>
      </w:pPr>
      <w:r w:rsidRPr="008D7B15">
        <w:rPr>
          <w:rStyle w:val="FootnoteReference"/>
          <w:sz w:val="26"/>
          <w:szCs w:val="26"/>
        </w:rPr>
        <w:footnoteRef/>
      </w:r>
      <w:r w:rsidRPr="008D7B15">
        <w:t xml:space="preserve"> </w:t>
      </w:r>
      <w:r>
        <w:tab/>
      </w:r>
      <w:r w:rsidRPr="009C29EA">
        <w:rPr>
          <w:sz w:val="26"/>
          <w:szCs w:val="26"/>
        </w:rPr>
        <w:t>PECO noted that</w:t>
      </w:r>
      <w:r w:rsidR="006D5C61">
        <w:rPr>
          <w:sz w:val="26"/>
          <w:szCs w:val="26"/>
        </w:rPr>
        <w:t>,</w:t>
      </w:r>
      <w:r w:rsidRPr="009C29EA">
        <w:rPr>
          <w:sz w:val="26"/>
          <w:szCs w:val="26"/>
        </w:rPr>
        <w:t xml:space="preserve"> on </w:t>
      </w:r>
      <w:r w:rsidRPr="008D7B15">
        <w:rPr>
          <w:sz w:val="26"/>
          <w:szCs w:val="26"/>
        </w:rPr>
        <w:t xml:space="preserve">February 21, 2013, the SWE presented an update on the Demand Response Study in which the limitations of the “top 100 hours” protocol were discussed and alternative protocols, including one based on peak load forecast, were described.  </w:t>
      </w:r>
      <w:r w:rsidRPr="008D7B15">
        <w:rPr>
          <w:i/>
          <w:sz w:val="26"/>
          <w:szCs w:val="26"/>
        </w:rPr>
        <w:t xml:space="preserve">See </w:t>
      </w:r>
      <w:hyperlink r:id="rId1" w:history="1">
        <w:r w:rsidRPr="008D7B15">
          <w:rPr>
            <w:rStyle w:val="Hyperlink"/>
            <w:color w:val="auto"/>
            <w:sz w:val="26"/>
            <w:szCs w:val="26"/>
          </w:rPr>
          <w:t>http://www.puc.pa.gov/Electric/pdf/Act129/SWE-DR_Stakeholders_Presentation022113.pdf</w:t>
        </w:r>
      </w:hyperlink>
      <w:r w:rsidRPr="008D7B15">
        <w:rPr>
          <w:sz w:val="26"/>
          <w:szCs w:val="26"/>
        </w:rPr>
        <w:t xml:space="preserve"> </w:t>
      </w:r>
    </w:p>
  </w:footnote>
  <w:footnote w:id="9">
    <w:p w:rsidR="00C53AF0" w:rsidRPr="00202679" w:rsidRDefault="00C53AF0" w:rsidP="00202679">
      <w:pPr>
        <w:pStyle w:val="FootnoteText"/>
        <w:ind w:firstLine="720"/>
        <w:rPr>
          <w:sz w:val="26"/>
          <w:szCs w:val="26"/>
        </w:rPr>
      </w:pPr>
      <w:r w:rsidRPr="00202679">
        <w:rPr>
          <w:rStyle w:val="FootnoteReference"/>
          <w:sz w:val="26"/>
          <w:szCs w:val="26"/>
        </w:rPr>
        <w:footnoteRef/>
      </w:r>
      <w:r w:rsidRPr="00202679">
        <w:rPr>
          <w:sz w:val="26"/>
          <w:szCs w:val="26"/>
        </w:rPr>
        <w:t xml:space="preserve"> </w:t>
      </w:r>
      <w:r>
        <w:rPr>
          <w:sz w:val="26"/>
          <w:szCs w:val="26"/>
        </w:rPr>
        <w:tab/>
      </w:r>
      <w:r w:rsidRPr="00202679">
        <w:rPr>
          <w:sz w:val="26"/>
          <w:szCs w:val="26"/>
        </w:rPr>
        <w:t>PECO St. No. 1-S &amp; PECO Exhibits FJJ-1 – FJJ-4.</w:t>
      </w:r>
    </w:p>
  </w:footnote>
  <w:footnote w:id="10">
    <w:p w:rsidR="00C53AF0" w:rsidRPr="00202679" w:rsidRDefault="00C53AF0" w:rsidP="00202679">
      <w:pPr>
        <w:pStyle w:val="FootnoteText"/>
        <w:ind w:firstLine="720"/>
        <w:rPr>
          <w:sz w:val="26"/>
          <w:szCs w:val="26"/>
        </w:rPr>
      </w:pPr>
      <w:r>
        <w:rPr>
          <w:rStyle w:val="FootnoteReference"/>
        </w:rPr>
        <w:footnoteRef/>
      </w:r>
      <w:r>
        <w:t xml:space="preserve"> </w:t>
      </w:r>
      <w:r>
        <w:tab/>
      </w:r>
      <w:r w:rsidRPr="00202679">
        <w:rPr>
          <w:sz w:val="26"/>
          <w:szCs w:val="26"/>
        </w:rPr>
        <w:t xml:space="preserve">The Commission’s </w:t>
      </w:r>
      <w:r w:rsidR="00BB3D70">
        <w:rPr>
          <w:sz w:val="26"/>
          <w:szCs w:val="26"/>
        </w:rPr>
        <w:t xml:space="preserve">reservations </w:t>
      </w:r>
      <w:r w:rsidRPr="00202679">
        <w:rPr>
          <w:sz w:val="26"/>
          <w:szCs w:val="26"/>
        </w:rPr>
        <w:t xml:space="preserve">with the TRC estimate </w:t>
      </w:r>
      <w:r>
        <w:rPr>
          <w:sz w:val="26"/>
          <w:szCs w:val="26"/>
        </w:rPr>
        <w:t xml:space="preserve">submitted by PECO </w:t>
      </w:r>
      <w:r w:rsidRPr="00202679">
        <w:rPr>
          <w:sz w:val="26"/>
          <w:szCs w:val="26"/>
        </w:rPr>
        <w:t xml:space="preserve">for the Phase II DLC Program are discussed, </w:t>
      </w:r>
      <w:r w:rsidRPr="00202679">
        <w:rPr>
          <w:i/>
          <w:sz w:val="26"/>
          <w:szCs w:val="26"/>
        </w:rPr>
        <w:t>infra</w:t>
      </w:r>
      <w:r w:rsidRPr="00202679">
        <w:rPr>
          <w:sz w:val="26"/>
          <w:szCs w:val="26"/>
        </w:rPr>
        <w:t>.</w:t>
      </w:r>
    </w:p>
  </w:footnote>
  <w:footnote w:id="11">
    <w:p w:rsidR="00C15C9A" w:rsidRPr="002C2E81" w:rsidRDefault="00C15C9A" w:rsidP="00C15C9A">
      <w:pPr>
        <w:pStyle w:val="FootnoteText"/>
        <w:ind w:firstLine="720"/>
        <w:rPr>
          <w:sz w:val="26"/>
          <w:szCs w:val="26"/>
        </w:rPr>
      </w:pPr>
      <w:r w:rsidRPr="006500BC">
        <w:rPr>
          <w:rStyle w:val="FootnoteReference"/>
          <w:sz w:val="26"/>
          <w:szCs w:val="26"/>
        </w:rPr>
        <w:footnoteRef/>
      </w:r>
      <w:r w:rsidRPr="006500BC">
        <w:rPr>
          <w:sz w:val="26"/>
          <w:szCs w:val="26"/>
        </w:rPr>
        <w:t xml:space="preserve"> </w:t>
      </w:r>
      <w:r>
        <w:tab/>
      </w:r>
      <w:r w:rsidRPr="003C0F65">
        <w:rPr>
          <w:sz w:val="26"/>
          <w:szCs w:val="26"/>
        </w:rPr>
        <w:t>T</w:t>
      </w:r>
      <w:r w:rsidRPr="002C2E81">
        <w:rPr>
          <w:sz w:val="26"/>
          <w:szCs w:val="26"/>
        </w:rPr>
        <w:t>he Commission’s data request and PECO</w:t>
      </w:r>
      <w:r>
        <w:rPr>
          <w:sz w:val="26"/>
          <w:szCs w:val="26"/>
        </w:rPr>
        <w:t>’s</w:t>
      </w:r>
      <w:r w:rsidRPr="002C2E81">
        <w:rPr>
          <w:sz w:val="26"/>
          <w:szCs w:val="26"/>
        </w:rPr>
        <w:t xml:space="preserve"> response </w:t>
      </w:r>
      <w:r>
        <w:rPr>
          <w:sz w:val="26"/>
          <w:szCs w:val="26"/>
        </w:rPr>
        <w:t xml:space="preserve">to the data request </w:t>
      </w:r>
      <w:r w:rsidRPr="002C2E81">
        <w:rPr>
          <w:sz w:val="26"/>
          <w:szCs w:val="26"/>
        </w:rPr>
        <w:t xml:space="preserve">were </w:t>
      </w:r>
      <w:r>
        <w:rPr>
          <w:sz w:val="26"/>
          <w:szCs w:val="26"/>
        </w:rPr>
        <w:t xml:space="preserve">also </w:t>
      </w:r>
      <w:r w:rsidRPr="002C2E81">
        <w:rPr>
          <w:sz w:val="26"/>
          <w:szCs w:val="26"/>
        </w:rPr>
        <w:t>served on the OCA</w:t>
      </w:r>
      <w:r>
        <w:rPr>
          <w:sz w:val="26"/>
          <w:szCs w:val="26"/>
        </w:rPr>
        <w:t>,</w:t>
      </w:r>
      <w:r w:rsidRPr="002C2E81">
        <w:rPr>
          <w:sz w:val="26"/>
          <w:szCs w:val="26"/>
        </w:rPr>
        <w:t xml:space="preserve"> </w:t>
      </w:r>
      <w:r>
        <w:rPr>
          <w:sz w:val="26"/>
          <w:szCs w:val="26"/>
        </w:rPr>
        <w:t xml:space="preserve">Comverge </w:t>
      </w:r>
      <w:r w:rsidRPr="002C2E81">
        <w:rPr>
          <w:sz w:val="26"/>
          <w:szCs w:val="26"/>
        </w:rPr>
        <w:t xml:space="preserve">and PennFuture, the </w:t>
      </w:r>
      <w:r>
        <w:rPr>
          <w:sz w:val="26"/>
          <w:szCs w:val="26"/>
        </w:rPr>
        <w:t>three</w:t>
      </w:r>
      <w:r w:rsidRPr="002C2E81">
        <w:rPr>
          <w:sz w:val="26"/>
          <w:szCs w:val="26"/>
        </w:rPr>
        <w:t xml:space="preserve"> active parties to this proceeding. </w:t>
      </w:r>
    </w:p>
  </w:footnote>
  <w:footnote w:id="12">
    <w:p w:rsidR="00C15C9A" w:rsidRPr="003C0F65" w:rsidRDefault="00C15C9A" w:rsidP="00C15C9A">
      <w:pPr>
        <w:pStyle w:val="FootnoteText"/>
        <w:ind w:firstLine="720"/>
        <w:rPr>
          <w:sz w:val="26"/>
          <w:szCs w:val="26"/>
        </w:rPr>
      </w:pPr>
      <w:r w:rsidRPr="003C0F65">
        <w:rPr>
          <w:rStyle w:val="FootnoteReference"/>
          <w:sz w:val="26"/>
          <w:szCs w:val="26"/>
        </w:rPr>
        <w:footnoteRef/>
      </w:r>
      <w:r w:rsidRPr="003C0F65">
        <w:rPr>
          <w:sz w:val="26"/>
          <w:szCs w:val="26"/>
        </w:rPr>
        <w:t xml:space="preserve"> </w:t>
      </w:r>
      <w:r>
        <w:rPr>
          <w:sz w:val="26"/>
          <w:szCs w:val="26"/>
        </w:rPr>
        <w:tab/>
      </w:r>
      <w:r w:rsidRPr="003C0F65">
        <w:rPr>
          <w:sz w:val="26"/>
          <w:szCs w:val="26"/>
        </w:rPr>
        <w:t>The Commission</w:t>
      </w:r>
      <w:r>
        <w:rPr>
          <w:sz w:val="26"/>
          <w:szCs w:val="26"/>
        </w:rPr>
        <w:t>’s</w:t>
      </w:r>
      <w:r w:rsidRPr="003C0F65">
        <w:rPr>
          <w:sz w:val="26"/>
          <w:szCs w:val="26"/>
        </w:rPr>
        <w:t xml:space="preserve"> most recent TRC Test Order for Phase II EE&amp;C plans was entered August 30, 2012</w:t>
      </w:r>
      <w:r>
        <w:rPr>
          <w:sz w:val="26"/>
          <w:szCs w:val="26"/>
        </w:rPr>
        <w:t>,</w:t>
      </w:r>
      <w:r w:rsidRPr="003C0F65">
        <w:rPr>
          <w:sz w:val="26"/>
          <w:szCs w:val="26"/>
        </w:rPr>
        <w:t xml:space="preserve"> at Docket No. M-2012-2300653. </w:t>
      </w:r>
    </w:p>
  </w:footnote>
  <w:footnote w:id="13">
    <w:p w:rsidR="004D2BD5" w:rsidRPr="004D2BD5" w:rsidRDefault="004D2BD5" w:rsidP="003169BE">
      <w:pPr>
        <w:pStyle w:val="FootnoteText"/>
        <w:widowControl/>
        <w:ind w:firstLine="720"/>
        <w:rPr>
          <w:sz w:val="26"/>
        </w:rPr>
      </w:pPr>
      <w:r w:rsidRPr="004D2BD5">
        <w:rPr>
          <w:rStyle w:val="FootnoteReference"/>
          <w:sz w:val="26"/>
          <w:szCs w:val="26"/>
        </w:rPr>
        <w:footnoteRef/>
      </w:r>
      <w:r>
        <w:t xml:space="preserve"> </w:t>
      </w:r>
      <w:r>
        <w:tab/>
      </w:r>
      <w:r w:rsidRPr="004D2BD5">
        <w:rPr>
          <w:sz w:val="26"/>
        </w:rPr>
        <w:t>In particular, the Commission found that the Phase II Plan met the Act 129 requirements for:</w:t>
      </w:r>
      <w:r w:rsidR="00C1695C">
        <w:rPr>
          <w:sz w:val="26"/>
        </w:rPr>
        <w:t xml:space="preserve"> </w:t>
      </w:r>
      <w:r w:rsidRPr="004D2BD5">
        <w:rPr>
          <w:sz w:val="26"/>
        </w:rPr>
        <w:t xml:space="preserve"> (1) a variety of programs equitably distributed; (2) ten percent of energy reductions from government, institutional and non-profit customers; and (3) specific energy efficiency measures for low-income households.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770"/>
    <w:multiLevelType w:val="hybridMultilevel"/>
    <w:tmpl w:val="19D0B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3619"/>
    <w:multiLevelType w:val="hybridMultilevel"/>
    <w:tmpl w:val="41C0ACC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4D76C9C"/>
    <w:multiLevelType w:val="hybridMultilevel"/>
    <w:tmpl w:val="5366C6E6"/>
    <w:lvl w:ilvl="0" w:tplc="4D1817CA">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4D1817CA">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472C5"/>
    <w:multiLevelType w:val="hybridMultilevel"/>
    <w:tmpl w:val="8818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D5D10"/>
    <w:multiLevelType w:val="hybridMultilevel"/>
    <w:tmpl w:val="00C87A94"/>
    <w:lvl w:ilvl="0" w:tplc="ACC4531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B63B9"/>
    <w:multiLevelType w:val="hybridMultilevel"/>
    <w:tmpl w:val="81CA9B10"/>
    <w:lvl w:ilvl="0" w:tplc="83061820">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4D1817CA">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0033F"/>
    <w:multiLevelType w:val="hybridMultilevel"/>
    <w:tmpl w:val="28582EE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26985BB9"/>
    <w:multiLevelType w:val="hybridMultilevel"/>
    <w:tmpl w:val="22207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7A75E30"/>
    <w:multiLevelType w:val="hybridMultilevel"/>
    <w:tmpl w:val="4C06F3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9654FCC"/>
    <w:multiLevelType w:val="hybridMultilevel"/>
    <w:tmpl w:val="2A5C9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7D60F5"/>
    <w:multiLevelType w:val="hybridMultilevel"/>
    <w:tmpl w:val="BB58B0D8"/>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D5480"/>
    <w:multiLevelType w:val="hybridMultilevel"/>
    <w:tmpl w:val="895ABCF0"/>
    <w:lvl w:ilvl="0" w:tplc="24460568">
      <w:start w:val="1"/>
      <w:numFmt w:val="upperLetter"/>
      <w:pStyle w:val="Heading2"/>
      <w:lvlText w:val="%1."/>
      <w:lvlJc w:val="left"/>
      <w:pPr>
        <w:ind w:left="5490" w:hanging="360"/>
      </w:pPr>
      <w:rPr>
        <w:rFonts w:hint="default"/>
      </w:rPr>
    </w:lvl>
    <w:lvl w:ilvl="1" w:tplc="ACC4531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486F45"/>
    <w:multiLevelType w:val="hybridMultilevel"/>
    <w:tmpl w:val="78408DBA"/>
    <w:lvl w:ilvl="0" w:tplc="4D1817CA">
      <w:start w:val="1"/>
      <w:numFmt w:val="decimal"/>
      <w:lvlText w:val="%1."/>
      <w:lvlJc w:val="left"/>
      <w:pPr>
        <w:ind w:left="2160" w:hanging="36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6593AEB"/>
    <w:multiLevelType w:val="multilevel"/>
    <w:tmpl w:val="66DEB73A"/>
    <w:lvl w:ilvl="0">
      <w:start w:val="1"/>
      <w:numFmt w:val="upperRoman"/>
      <w:pStyle w:val="Pleading1L1"/>
      <w:lvlText w:val="%1."/>
      <w:lvlJc w:val="left"/>
      <w:pPr>
        <w:tabs>
          <w:tab w:val="num" w:pos="720"/>
        </w:tabs>
        <w:ind w:left="0" w:firstLine="0"/>
      </w:pPr>
      <w:rPr>
        <w:rFonts w:ascii="Times New Roman" w:hAnsi="Times New Roman" w:cs="Times New Roman" w:hint="default"/>
        <w:b/>
        <w:i w:val="0"/>
        <w:caps/>
        <w:smallCaps w:val="0"/>
        <w:strike w:val="0"/>
        <w:dstrike w:val="0"/>
        <w:outline w:val="0"/>
        <w:shadow w:val="0"/>
        <w:emboss w:val="0"/>
        <w:imprint w:val="0"/>
        <w:vanish w:val="0"/>
        <w:sz w:val="24"/>
        <w:u w:val="none"/>
        <w:vertAlign w:val="baseline"/>
      </w:rPr>
    </w:lvl>
    <w:lvl w:ilvl="1">
      <w:start w:val="12"/>
      <w:numFmt w:val="decimal"/>
      <w:lvlRestart w:val="0"/>
      <w:pStyle w:val="Pleading1L2"/>
      <w:lvlText w:val="%2."/>
      <w:lvlJc w:val="left"/>
      <w:pPr>
        <w:tabs>
          <w:tab w:val="num" w:pos="1710"/>
        </w:tabs>
        <w:ind w:left="270" w:firstLine="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2">
      <w:start w:val="2"/>
      <w:numFmt w:val="upperLetter"/>
      <w:pStyle w:val="Pleading1L3"/>
      <w:lvlText w:val="%3."/>
      <w:lvlJc w:val="left"/>
      <w:pPr>
        <w:tabs>
          <w:tab w:val="num" w:pos="2160"/>
        </w:tabs>
        <w:ind w:left="2160" w:hanging="720"/>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hint="default"/>
        <w:b/>
        <w:i w:val="0"/>
        <w: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abstractNum>
  <w:abstractNum w:abstractNumId="14">
    <w:nsid w:val="3C6B10ED"/>
    <w:multiLevelType w:val="hybridMultilevel"/>
    <w:tmpl w:val="02E8CF9A"/>
    <w:lvl w:ilvl="0" w:tplc="4D181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906C3"/>
    <w:multiLevelType w:val="hybridMultilevel"/>
    <w:tmpl w:val="BCD85BDA"/>
    <w:lvl w:ilvl="0" w:tplc="73BC78DE">
      <w:start w:val="1"/>
      <w:numFmt w:val="upperRoman"/>
      <w:pStyle w:val="Heading1"/>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D613B"/>
    <w:multiLevelType w:val="hybridMultilevel"/>
    <w:tmpl w:val="189C76D0"/>
    <w:lvl w:ilvl="0" w:tplc="6D4EE10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67A00D1"/>
    <w:multiLevelType w:val="hybridMultilevel"/>
    <w:tmpl w:val="1F1CF772"/>
    <w:lvl w:ilvl="0" w:tplc="4D181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3519F"/>
    <w:multiLevelType w:val="hybridMultilevel"/>
    <w:tmpl w:val="491628EC"/>
    <w:lvl w:ilvl="0" w:tplc="1EA630D8">
      <w:start w:val="1"/>
      <w:numFmt w:val="lowerLetter"/>
      <w:pStyle w:val="Heading4"/>
      <w:lvlText w:val="%1."/>
      <w:lvlJc w:val="left"/>
      <w:pPr>
        <w:ind w:left="801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8DA0EDD"/>
    <w:multiLevelType w:val="hybridMultilevel"/>
    <w:tmpl w:val="A92681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92F5622"/>
    <w:multiLevelType w:val="hybridMultilevel"/>
    <w:tmpl w:val="6254B9A0"/>
    <w:lvl w:ilvl="0" w:tplc="81C63016">
      <w:start w:val="1"/>
      <w:numFmt w:val="decimal"/>
      <w:lvlText w:val="%1."/>
      <w:lvlJc w:val="left"/>
      <w:pPr>
        <w:ind w:left="2160" w:hanging="36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FA12464"/>
    <w:multiLevelType w:val="hybridMultilevel"/>
    <w:tmpl w:val="44109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21F3166"/>
    <w:multiLevelType w:val="hybridMultilevel"/>
    <w:tmpl w:val="61C892AA"/>
    <w:lvl w:ilvl="0" w:tplc="09A450C4">
      <w:start w:val="1"/>
      <w:numFmt w:val="decimal"/>
      <w:lvlText w:val="%1."/>
      <w:lvlJc w:val="left"/>
      <w:pPr>
        <w:ind w:left="1800" w:hanging="360"/>
      </w:pPr>
      <w:rPr>
        <w:rFonts w:cs="Times New Roman"/>
        <w:i w:val="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539968C0"/>
    <w:multiLevelType w:val="hybridMultilevel"/>
    <w:tmpl w:val="3134FF36"/>
    <w:lvl w:ilvl="0" w:tplc="631EFA28">
      <w:start w:val="1"/>
      <w:numFmt w:val="decimal"/>
      <w:pStyle w:val="Heading3"/>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C85355D"/>
    <w:multiLevelType w:val="hybridMultilevel"/>
    <w:tmpl w:val="70609F36"/>
    <w:lvl w:ilvl="0" w:tplc="0409001B">
      <w:start w:val="1"/>
      <w:numFmt w:val="lowerRoman"/>
      <w:lvlText w:val="%1."/>
      <w:lvlJc w:val="right"/>
      <w:pPr>
        <w:ind w:left="801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D926CED"/>
    <w:multiLevelType w:val="hybridMultilevel"/>
    <w:tmpl w:val="03B6A9EE"/>
    <w:lvl w:ilvl="0" w:tplc="4D1817C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7A85313"/>
    <w:multiLevelType w:val="hybridMultilevel"/>
    <w:tmpl w:val="A03486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ECC5EA8"/>
    <w:multiLevelType w:val="hybridMultilevel"/>
    <w:tmpl w:val="444A1E9C"/>
    <w:lvl w:ilvl="0" w:tplc="96B2D264">
      <w:numFmt w:val="decimal"/>
      <w:lvlText w:val="%1."/>
      <w:lvlJc w:val="left"/>
      <w:pPr>
        <w:ind w:left="21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009E8"/>
    <w:multiLevelType w:val="hybridMultilevel"/>
    <w:tmpl w:val="134CA57E"/>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D7D08A7"/>
    <w:multiLevelType w:val="hybridMultilevel"/>
    <w:tmpl w:val="F704FB68"/>
    <w:lvl w:ilvl="0" w:tplc="8DF6939E">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DC03C7"/>
    <w:multiLevelType w:val="hybridMultilevel"/>
    <w:tmpl w:val="36689A0E"/>
    <w:lvl w:ilvl="0" w:tplc="5FA6E67E">
      <w:start w:val="1"/>
      <w:numFmt w:val="lowerRoman"/>
      <w:pStyle w:val="Heading5"/>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9"/>
  </w:num>
  <w:num w:numId="2">
    <w:abstractNumId w:val="11"/>
  </w:num>
  <w:num w:numId="3">
    <w:abstractNumId w:val="18"/>
  </w:num>
  <w:num w:numId="4">
    <w:abstractNumId w:val="18"/>
    <w:lvlOverride w:ilvl="0">
      <w:startOverride w:val="1"/>
    </w:lvlOverride>
  </w:num>
  <w:num w:numId="5">
    <w:abstractNumId w:val="25"/>
  </w:num>
  <w:num w:numId="6">
    <w:abstractNumId w:val="3"/>
  </w:num>
  <w:num w:numId="7">
    <w:abstractNumId w:val="0"/>
  </w:num>
  <w:num w:numId="8">
    <w:abstractNumId w:val="9"/>
  </w:num>
  <w:num w:numId="9">
    <w:abstractNumId w:val="18"/>
    <w:lvlOverride w:ilvl="0">
      <w:startOverride w:val="1"/>
    </w:lvlOverride>
  </w:num>
  <w:num w:numId="10">
    <w:abstractNumId w:val="26"/>
  </w:num>
  <w:num w:numId="11">
    <w:abstractNumId w:val="18"/>
  </w:num>
  <w:num w:numId="12">
    <w:abstractNumId w:val="1"/>
  </w:num>
  <w:num w:numId="13">
    <w:abstractNumId w:val="18"/>
    <w:lvlOverride w:ilvl="0">
      <w:startOverride w:val="1"/>
    </w:lvlOverride>
  </w:num>
  <w:num w:numId="14">
    <w:abstractNumId w:val="18"/>
    <w:lvlOverride w:ilvl="0">
      <w:startOverride w:val="1"/>
    </w:lvlOverride>
  </w:num>
  <w:num w:numId="15">
    <w:abstractNumId w:val="6"/>
  </w:num>
  <w:num w:numId="16">
    <w:abstractNumId w:val="18"/>
    <w:lvlOverride w:ilvl="0">
      <w:startOverride w:val="1"/>
    </w:lvlOverride>
  </w:num>
  <w:num w:numId="17">
    <w:abstractNumId w:val="24"/>
  </w:num>
  <w:num w:numId="18">
    <w:abstractNumId w:val="30"/>
  </w:num>
  <w:num w:numId="19">
    <w:abstractNumId w:val="18"/>
    <w:lvlOverride w:ilvl="0">
      <w:startOverride w:val="1"/>
    </w:lvlOverride>
  </w:num>
  <w:num w:numId="20">
    <w:abstractNumId w:val="30"/>
    <w:lvlOverride w:ilvl="0">
      <w:startOverride w:val="1"/>
    </w:lvlOverride>
  </w:num>
  <w:num w:numId="21">
    <w:abstractNumId w:val="15"/>
  </w:num>
  <w:num w:numId="22">
    <w:abstractNumId w:val="30"/>
    <w:lvlOverride w:ilvl="0">
      <w:startOverride w:val="1"/>
    </w:lvlOverride>
  </w:num>
  <w:num w:numId="23">
    <w:abstractNumId w:val="30"/>
    <w:lvlOverride w:ilvl="0">
      <w:startOverride w:val="1"/>
    </w:lvlOverride>
  </w:num>
  <w:num w:numId="24">
    <w:abstractNumId w:val="23"/>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4"/>
  </w:num>
  <w:num w:numId="29">
    <w:abstractNumId w:val="23"/>
    <w:lvlOverride w:ilvl="0">
      <w:startOverride w:val="1"/>
    </w:lvlOverride>
  </w:num>
  <w:num w:numId="30">
    <w:abstractNumId w:val="23"/>
    <w:lvlOverride w:ilvl="0">
      <w:startOverride w:val="1"/>
    </w:lvlOverride>
  </w:num>
  <w:num w:numId="31">
    <w:abstractNumId w:val="23"/>
    <w:lvlOverride w:ilvl="0">
      <w:startOverride w:val="5"/>
    </w:lvlOverride>
  </w:num>
  <w:num w:numId="32">
    <w:abstractNumId w:val="11"/>
    <w:lvlOverride w:ilvl="0">
      <w:startOverride w:val="4"/>
    </w:lvlOverride>
  </w:num>
  <w:num w:numId="33">
    <w:abstractNumId w:val="22"/>
  </w:num>
  <w:num w:numId="34">
    <w:abstractNumId w:val="5"/>
  </w:num>
  <w:num w:numId="35">
    <w:abstractNumId w:val="17"/>
  </w:num>
  <w:num w:numId="36">
    <w:abstractNumId w:val="14"/>
  </w:num>
  <w:num w:numId="37">
    <w:abstractNumId w:val="10"/>
  </w:num>
  <w:num w:numId="38">
    <w:abstractNumId w:val="21"/>
  </w:num>
  <w:num w:numId="39">
    <w:abstractNumId w:val="2"/>
  </w:num>
  <w:num w:numId="40">
    <w:abstractNumId w:val="20"/>
  </w:num>
  <w:num w:numId="41">
    <w:abstractNumId w:val="27"/>
  </w:num>
  <w:num w:numId="42">
    <w:abstractNumId w:val="12"/>
  </w:num>
  <w:num w:numId="43">
    <w:abstractNumId w:val="19"/>
  </w:num>
  <w:num w:numId="44">
    <w:abstractNumId w:val="28"/>
  </w:num>
  <w:num w:numId="45">
    <w:abstractNumId w:val="13"/>
  </w:num>
  <w:num w:numId="46">
    <w:abstractNumId w:val="7"/>
  </w:num>
  <w:num w:numId="47">
    <w:abstractNumId w:val="11"/>
    <w:lvlOverride w:ilvl="0">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A3E"/>
    <w:rsid w:val="00000B46"/>
    <w:rsid w:val="00000D47"/>
    <w:rsid w:val="00000FEE"/>
    <w:rsid w:val="00001FC8"/>
    <w:rsid w:val="0000206B"/>
    <w:rsid w:val="00004480"/>
    <w:rsid w:val="000044FF"/>
    <w:rsid w:val="0000462E"/>
    <w:rsid w:val="00004997"/>
    <w:rsid w:val="00004CBF"/>
    <w:rsid w:val="00004FF7"/>
    <w:rsid w:val="00005369"/>
    <w:rsid w:val="000062DC"/>
    <w:rsid w:val="00006685"/>
    <w:rsid w:val="00006887"/>
    <w:rsid w:val="000069E2"/>
    <w:rsid w:val="00006D34"/>
    <w:rsid w:val="00006FBB"/>
    <w:rsid w:val="0000764A"/>
    <w:rsid w:val="00007AFA"/>
    <w:rsid w:val="00010B2D"/>
    <w:rsid w:val="00011639"/>
    <w:rsid w:val="000117E3"/>
    <w:rsid w:val="00011C9A"/>
    <w:rsid w:val="000122A8"/>
    <w:rsid w:val="00012A16"/>
    <w:rsid w:val="000131C8"/>
    <w:rsid w:val="0001393B"/>
    <w:rsid w:val="00013E97"/>
    <w:rsid w:val="00014455"/>
    <w:rsid w:val="0001503D"/>
    <w:rsid w:val="000153D4"/>
    <w:rsid w:val="00015879"/>
    <w:rsid w:val="0001593A"/>
    <w:rsid w:val="00015EDA"/>
    <w:rsid w:val="000164A2"/>
    <w:rsid w:val="00016D57"/>
    <w:rsid w:val="00017852"/>
    <w:rsid w:val="00021C35"/>
    <w:rsid w:val="00021E46"/>
    <w:rsid w:val="000221C9"/>
    <w:rsid w:val="0002231D"/>
    <w:rsid w:val="0002262C"/>
    <w:rsid w:val="00022B74"/>
    <w:rsid w:val="00023F13"/>
    <w:rsid w:val="0002493C"/>
    <w:rsid w:val="00024F5F"/>
    <w:rsid w:val="0002524C"/>
    <w:rsid w:val="000254CA"/>
    <w:rsid w:val="000259BF"/>
    <w:rsid w:val="00025F3F"/>
    <w:rsid w:val="000268CB"/>
    <w:rsid w:val="000269A2"/>
    <w:rsid w:val="00026A5F"/>
    <w:rsid w:val="00026CD2"/>
    <w:rsid w:val="00026DC5"/>
    <w:rsid w:val="0002784A"/>
    <w:rsid w:val="00027D04"/>
    <w:rsid w:val="0003029A"/>
    <w:rsid w:val="000303BC"/>
    <w:rsid w:val="00030453"/>
    <w:rsid w:val="0003085C"/>
    <w:rsid w:val="000315D3"/>
    <w:rsid w:val="00031E02"/>
    <w:rsid w:val="00032917"/>
    <w:rsid w:val="00032ED4"/>
    <w:rsid w:val="000333A4"/>
    <w:rsid w:val="00033923"/>
    <w:rsid w:val="00033BB5"/>
    <w:rsid w:val="00033E14"/>
    <w:rsid w:val="000341D7"/>
    <w:rsid w:val="00034373"/>
    <w:rsid w:val="000347D5"/>
    <w:rsid w:val="00034EA9"/>
    <w:rsid w:val="0003537C"/>
    <w:rsid w:val="000360DF"/>
    <w:rsid w:val="00036176"/>
    <w:rsid w:val="000362C5"/>
    <w:rsid w:val="000364E6"/>
    <w:rsid w:val="00036D43"/>
    <w:rsid w:val="00036D6C"/>
    <w:rsid w:val="000370E1"/>
    <w:rsid w:val="00037FE5"/>
    <w:rsid w:val="000400A1"/>
    <w:rsid w:val="000404BA"/>
    <w:rsid w:val="00040A8E"/>
    <w:rsid w:val="00040AEA"/>
    <w:rsid w:val="0004146D"/>
    <w:rsid w:val="00041682"/>
    <w:rsid w:val="00041C8D"/>
    <w:rsid w:val="00042712"/>
    <w:rsid w:val="00042F32"/>
    <w:rsid w:val="0004324C"/>
    <w:rsid w:val="000436C1"/>
    <w:rsid w:val="00043AD1"/>
    <w:rsid w:val="00043D2B"/>
    <w:rsid w:val="00044B18"/>
    <w:rsid w:val="000470AB"/>
    <w:rsid w:val="0004723F"/>
    <w:rsid w:val="000474D6"/>
    <w:rsid w:val="00047575"/>
    <w:rsid w:val="000475CD"/>
    <w:rsid w:val="00047874"/>
    <w:rsid w:val="00047B09"/>
    <w:rsid w:val="00047EE7"/>
    <w:rsid w:val="00047F4A"/>
    <w:rsid w:val="00051477"/>
    <w:rsid w:val="0005219C"/>
    <w:rsid w:val="000523D1"/>
    <w:rsid w:val="000526AA"/>
    <w:rsid w:val="00052B8F"/>
    <w:rsid w:val="000530DF"/>
    <w:rsid w:val="000537A0"/>
    <w:rsid w:val="00053C64"/>
    <w:rsid w:val="00054612"/>
    <w:rsid w:val="000556D0"/>
    <w:rsid w:val="0005572E"/>
    <w:rsid w:val="00055869"/>
    <w:rsid w:val="0005602D"/>
    <w:rsid w:val="00056286"/>
    <w:rsid w:val="00056BAE"/>
    <w:rsid w:val="00060066"/>
    <w:rsid w:val="00060ED2"/>
    <w:rsid w:val="000612FD"/>
    <w:rsid w:val="000619EB"/>
    <w:rsid w:val="00061E17"/>
    <w:rsid w:val="000628CA"/>
    <w:rsid w:val="00063AA9"/>
    <w:rsid w:val="000642AA"/>
    <w:rsid w:val="000649EC"/>
    <w:rsid w:val="00064C56"/>
    <w:rsid w:val="000667E6"/>
    <w:rsid w:val="00066EE5"/>
    <w:rsid w:val="00067260"/>
    <w:rsid w:val="0006775B"/>
    <w:rsid w:val="00070792"/>
    <w:rsid w:val="000709B0"/>
    <w:rsid w:val="00070D5D"/>
    <w:rsid w:val="00071963"/>
    <w:rsid w:val="00071EC7"/>
    <w:rsid w:val="000727B3"/>
    <w:rsid w:val="00072808"/>
    <w:rsid w:val="000729E6"/>
    <w:rsid w:val="000731A3"/>
    <w:rsid w:val="00073258"/>
    <w:rsid w:val="000736E2"/>
    <w:rsid w:val="00075098"/>
    <w:rsid w:val="00075288"/>
    <w:rsid w:val="00075436"/>
    <w:rsid w:val="000757C3"/>
    <w:rsid w:val="00076F35"/>
    <w:rsid w:val="00077030"/>
    <w:rsid w:val="000771CD"/>
    <w:rsid w:val="0007723E"/>
    <w:rsid w:val="00077ACB"/>
    <w:rsid w:val="000806E1"/>
    <w:rsid w:val="00080A9F"/>
    <w:rsid w:val="00080C15"/>
    <w:rsid w:val="00080C63"/>
    <w:rsid w:val="0008171B"/>
    <w:rsid w:val="00081737"/>
    <w:rsid w:val="0008299A"/>
    <w:rsid w:val="00082CBF"/>
    <w:rsid w:val="0008312A"/>
    <w:rsid w:val="00083347"/>
    <w:rsid w:val="00084573"/>
    <w:rsid w:val="00084AF9"/>
    <w:rsid w:val="0008503F"/>
    <w:rsid w:val="000861B0"/>
    <w:rsid w:val="0008631B"/>
    <w:rsid w:val="00086415"/>
    <w:rsid w:val="00086A48"/>
    <w:rsid w:val="00091527"/>
    <w:rsid w:val="000917C8"/>
    <w:rsid w:val="000918D4"/>
    <w:rsid w:val="00091AEF"/>
    <w:rsid w:val="00091F1A"/>
    <w:rsid w:val="00092434"/>
    <w:rsid w:val="0009264A"/>
    <w:rsid w:val="0009269E"/>
    <w:rsid w:val="00092E88"/>
    <w:rsid w:val="00093164"/>
    <w:rsid w:val="00094834"/>
    <w:rsid w:val="00094D85"/>
    <w:rsid w:val="00096035"/>
    <w:rsid w:val="0009612D"/>
    <w:rsid w:val="00097003"/>
    <w:rsid w:val="00097504"/>
    <w:rsid w:val="0009780A"/>
    <w:rsid w:val="000A1CD0"/>
    <w:rsid w:val="000A349B"/>
    <w:rsid w:val="000A359F"/>
    <w:rsid w:val="000A365D"/>
    <w:rsid w:val="000A3A7D"/>
    <w:rsid w:val="000A4131"/>
    <w:rsid w:val="000A472E"/>
    <w:rsid w:val="000A4989"/>
    <w:rsid w:val="000A5AA0"/>
    <w:rsid w:val="000A5F18"/>
    <w:rsid w:val="000A5F45"/>
    <w:rsid w:val="000A6C54"/>
    <w:rsid w:val="000A79A9"/>
    <w:rsid w:val="000A7CD1"/>
    <w:rsid w:val="000B0362"/>
    <w:rsid w:val="000B0B8C"/>
    <w:rsid w:val="000B11BF"/>
    <w:rsid w:val="000B16EB"/>
    <w:rsid w:val="000B1ECA"/>
    <w:rsid w:val="000B216D"/>
    <w:rsid w:val="000B2735"/>
    <w:rsid w:val="000B2755"/>
    <w:rsid w:val="000B3B37"/>
    <w:rsid w:val="000B3DAF"/>
    <w:rsid w:val="000B3E7F"/>
    <w:rsid w:val="000B4EAE"/>
    <w:rsid w:val="000B5238"/>
    <w:rsid w:val="000B535A"/>
    <w:rsid w:val="000B5514"/>
    <w:rsid w:val="000B5584"/>
    <w:rsid w:val="000B5F49"/>
    <w:rsid w:val="000B607A"/>
    <w:rsid w:val="000B6B15"/>
    <w:rsid w:val="000B7451"/>
    <w:rsid w:val="000B7EAB"/>
    <w:rsid w:val="000C0056"/>
    <w:rsid w:val="000C0521"/>
    <w:rsid w:val="000C1B0D"/>
    <w:rsid w:val="000C1CE7"/>
    <w:rsid w:val="000C1EC9"/>
    <w:rsid w:val="000C28C9"/>
    <w:rsid w:val="000C2AE3"/>
    <w:rsid w:val="000C2C39"/>
    <w:rsid w:val="000C2C72"/>
    <w:rsid w:val="000C346B"/>
    <w:rsid w:val="000C34AD"/>
    <w:rsid w:val="000C45F7"/>
    <w:rsid w:val="000C511A"/>
    <w:rsid w:val="000C5E77"/>
    <w:rsid w:val="000C61B0"/>
    <w:rsid w:val="000C63BA"/>
    <w:rsid w:val="000C6BAC"/>
    <w:rsid w:val="000C6D46"/>
    <w:rsid w:val="000C6DE4"/>
    <w:rsid w:val="000C709A"/>
    <w:rsid w:val="000C75C3"/>
    <w:rsid w:val="000C787C"/>
    <w:rsid w:val="000C7B00"/>
    <w:rsid w:val="000C7DE8"/>
    <w:rsid w:val="000D060A"/>
    <w:rsid w:val="000D0894"/>
    <w:rsid w:val="000D0BFB"/>
    <w:rsid w:val="000D11D0"/>
    <w:rsid w:val="000D1264"/>
    <w:rsid w:val="000D165D"/>
    <w:rsid w:val="000D1778"/>
    <w:rsid w:val="000D1999"/>
    <w:rsid w:val="000D1DE4"/>
    <w:rsid w:val="000D27C3"/>
    <w:rsid w:val="000D2CF2"/>
    <w:rsid w:val="000D373D"/>
    <w:rsid w:val="000D422C"/>
    <w:rsid w:val="000D4918"/>
    <w:rsid w:val="000D58AE"/>
    <w:rsid w:val="000D5D5E"/>
    <w:rsid w:val="000D5FCE"/>
    <w:rsid w:val="000D6857"/>
    <w:rsid w:val="000D6BA5"/>
    <w:rsid w:val="000D6F9B"/>
    <w:rsid w:val="000D70C8"/>
    <w:rsid w:val="000D70D1"/>
    <w:rsid w:val="000E0DCF"/>
    <w:rsid w:val="000E163A"/>
    <w:rsid w:val="000E29C2"/>
    <w:rsid w:val="000E3974"/>
    <w:rsid w:val="000E3C95"/>
    <w:rsid w:val="000E4858"/>
    <w:rsid w:val="000E4A1A"/>
    <w:rsid w:val="000E4D01"/>
    <w:rsid w:val="000E5633"/>
    <w:rsid w:val="000E5FFC"/>
    <w:rsid w:val="000E629A"/>
    <w:rsid w:val="000E62F7"/>
    <w:rsid w:val="000E6D1A"/>
    <w:rsid w:val="000F00B5"/>
    <w:rsid w:val="000F0D04"/>
    <w:rsid w:val="000F1012"/>
    <w:rsid w:val="000F179E"/>
    <w:rsid w:val="000F2689"/>
    <w:rsid w:val="000F2E8C"/>
    <w:rsid w:val="000F341E"/>
    <w:rsid w:val="000F353C"/>
    <w:rsid w:val="000F400D"/>
    <w:rsid w:val="000F4307"/>
    <w:rsid w:val="000F499F"/>
    <w:rsid w:val="000F5EF0"/>
    <w:rsid w:val="000F6300"/>
    <w:rsid w:val="000F7B93"/>
    <w:rsid w:val="000F7D5A"/>
    <w:rsid w:val="001003EC"/>
    <w:rsid w:val="00100A28"/>
    <w:rsid w:val="00100EC9"/>
    <w:rsid w:val="001013A6"/>
    <w:rsid w:val="001014BE"/>
    <w:rsid w:val="0010158F"/>
    <w:rsid w:val="00101F51"/>
    <w:rsid w:val="00102528"/>
    <w:rsid w:val="001026CA"/>
    <w:rsid w:val="00102D27"/>
    <w:rsid w:val="00102FBA"/>
    <w:rsid w:val="00103593"/>
    <w:rsid w:val="00103ACD"/>
    <w:rsid w:val="00103B6E"/>
    <w:rsid w:val="001040A5"/>
    <w:rsid w:val="00104D9B"/>
    <w:rsid w:val="00104EBA"/>
    <w:rsid w:val="001050FC"/>
    <w:rsid w:val="00105191"/>
    <w:rsid w:val="0010521F"/>
    <w:rsid w:val="00105B98"/>
    <w:rsid w:val="00105FAF"/>
    <w:rsid w:val="00106448"/>
    <w:rsid w:val="0010662C"/>
    <w:rsid w:val="001068C1"/>
    <w:rsid w:val="0010742E"/>
    <w:rsid w:val="00107E1D"/>
    <w:rsid w:val="00111C8B"/>
    <w:rsid w:val="00112024"/>
    <w:rsid w:val="00112607"/>
    <w:rsid w:val="00112BDC"/>
    <w:rsid w:val="0011301F"/>
    <w:rsid w:val="00113FEA"/>
    <w:rsid w:val="0011584E"/>
    <w:rsid w:val="001164CB"/>
    <w:rsid w:val="00116772"/>
    <w:rsid w:val="00116E1C"/>
    <w:rsid w:val="00117CB2"/>
    <w:rsid w:val="001209DB"/>
    <w:rsid w:val="00120B39"/>
    <w:rsid w:val="00121A62"/>
    <w:rsid w:val="00122313"/>
    <w:rsid w:val="001225CB"/>
    <w:rsid w:val="001225E7"/>
    <w:rsid w:val="00122632"/>
    <w:rsid w:val="001238E5"/>
    <w:rsid w:val="00123A2E"/>
    <w:rsid w:val="00123E5A"/>
    <w:rsid w:val="00124071"/>
    <w:rsid w:val="00124733"/>
    <w:rsid w:val="00125022"/>
    <w:rsid w:val="0012590B"/>
    <w:rsid w:val="001267D4"/>
    <w:rsid w:val="00126BC5"/>
    <w:rsid w:val="00126F76"/>
    <w:rsid w:val="001272CF"/>
    <w:rsid w:val="00127862"/>
    <w:rsid w:val="00130534"/>
    <w:rsid w:val="0013127E"/>
    <w:rsid w:val="00131489"/>
    <w:rsid w:val="00131DB4"/>
    <w:rsid w:val="00131DF6"/>
    <w:rsid w:val="00131E0E"/>
    <w:rsid w:val="00131E73"/>
    <w:rsid w:val="001325C1"/>
    <w:rsid w:val="00133334"/>
    <w:rsid w:val="0013422B"/>
    <w:rsid w:val="00134524"/>
    <w:rsid w:val="00134643"/>
    <w:rsid w:val="00135126"/>
    <w:rsid w:val="00135608"/>
    <w:rsid w:val="00135972"/>
    <w:rsid w:val="001360FC"/>
    <w:rsid w:val="00137A42"/>
    <w:rsid w:val="00137D2F"/>
    <w:rsid w:val="001402C6"/>
    <w:rsid w:val="001410B6"/>
    <w:rsid w:val="001414DC"/>
    <w:rsid w:val="00142084"/>
    <w:rsid w:val="001422C6"/>
    <w:rsid w:val="00142482"/>
    <w:rsid w:val="001431F9"/>
    <w:rsid w:val="00143BFA"/>
    <w:rsid w:val="001447A0"/>
    <w:rsid w:val="0014497F"/>
    <w:rsid w:val="00144C30"/>
    <w:rsid w:val="00144E32"/>
    <w:rsid w:val="00145602"/>
    <w:rsid w:val="0014678F"/>
    <w:rsid w:val="00146D93"/>
    <w:rsid w:val="00146DDD"/>
    <w:rsid w:val="00146E58"/>
    <w:rsid w:val="00147145"/>
    <w:rsid w:val="00147816"/>
    <w:rsid w:val="00147A68"/>
    <w:rsid w:val="00150096"/>
    <w:rsid w:val="0015051C"/>
    <w:rsid w:val="001508E4"/>
    <w:rsid w:val="00150D51"/>
    <w:rsid w:val="00151099"/>
    <w:rsid w:val="00151485"/>
    <w:rsid w:val="00151771"/>
    <w:rsid w:val="00151A99"/>
    <w:rsid w:val="00151C4D"/>
    <w:rsid w:val="001520AE"/>
    <w:rsid w:val="001526A8"/>
    <w:rsid w:val="00152B67"/>
    <w:rsid w:val="00152E7F"/>
    <w:rsid w:val="0015380A"/>
    <w:rsid w:val="001550A4"/>
    <w:rsid w:val="00155121"/>
    <w:rsid w:val="001556FE"/>
    <w:rsid w:val="00155733"/>
    <w:rsid w:val="0015584C"/>
    <w:rsid w:val="001565C4"/>
    <w:rsid w:val="00157156"/>
    <w:rsid w:val="0015723F"/>
    <w:rsid w:val="00157507"/>
    <w:rsid w:val="00157E2E"/>
    <w:rsid w:val="00160670"/>
    <w:rsid w:val="00161490"/>
    <w:rsid w:val="00161F47"/>
    <w:rsid w:val="0016249F"/>
    <w:rsid w:val="00163651"/>
    <w:rsid w:val="00163F9C"/>
    <w:rsid w:val="00164361"/>
    <w:rsid w:val="00164667"/>
    <w:rsid w:val="00164DA4"/>
    <w:rsid w:val="00165099"/>
    <w:rsid w:val="001650BA"/>
    <w:rsid w:val="001650D9"/>
    <w:rsid w:val="00166298"/>
    <w:rsid w:val="001663C8"/>
    <w:rsid w:val="00166BB7"/>
    <w:rsid w:val="001674C2"/>
    <w:rsid w:val="0017032A"/>
    <w:rsid w:val="0017044E"/>
    <w:rsid w:val="0017193A"/>
    <w:rsid w:val="00171FAD"/>
    <w:rsid w:val="00172924"/>
    <w:rsid w:val="00172C4C"/>
    <w:rsid w:val="00172CC4"/>
    <w:rsid w:val="00174160"/>
    <w:rsid w:val="00174673"/>
    <w:rsid w:val="00174D3D"/>
    <w:rsid w:val="00175890"/>
    <w:rsid w:val="00175D80"/>
    <w:rsid w:val="001765F9"/>
    <w:rsid w:val="001778D6"/>
    <w:rsid w:val="00177CB4"/>
    <w:rsid w:val="001807F2"/>
    <w:rsid w:val="00181060"/>
    <w:rsid w:val="001813E6"/>
    <w:rsid w:val="00181961"/>
    <w:rsid w:val="00181B28"/>
    <w:rsid w:val="00182478"/>
    <w:rsid w:val="0018281B"/>
    <w:rsid w:val="00182A79"/>
    <w:rsid w:val="00183233"/>
    <w:rsid w:val="00183965"/>
    <w:rsid w:val="00183A40"/>
    <w:rsid w:val="001848B4"/>
    <w:rsid w:val="00185AE5"/>
    <w:rsid w:val="00185DED"/>
    <w:rsid w:val="0018640D"/>
    <w:rsid w:val="0018654C"/>
    <w:rsid w:val="00186A97"/>
    <w:rsid w:val="00186DBA"/>
    <w:rsid w:val="00187112"/>
    <w:rsid w:val="001871EC"/>
    <w:rsid w:val="00187667"/>
    <w:rsid w:val="0019033A"/>
    <w:rsid w:val="00190970"/>
    <w:rsid w:val="00190D1A"/>
    <w:rsid w:val="0019175F"/>
    <w:rsid w:val="00191DAA"/>
    <w:rsid w:val="00194353"/>
    <w:rsid w:val="0019453E"/>
    <w:rsid w:val="00194D1B"/>
    <w:rsid w:val="0019530E"/>
    <w:rsid w:val="00195782"/>
    <w:rsid w:val="00196161"/>
    <w:rsid w:val="0019619A"/>
    <w:rsid w:val="00196E39"/>
    <w:rsid w:val="00197718"/>
    <w:rsid w:val="00197A20"/>
    <w:rsid w:val="00197F3D"/>
    <w:rsid w:val="001A02C7"/>
    <w:rsid w:val="001A02CD"/>
    <w:rsid w:val="001A064C"/>
    <w:rsid w:val="001A064F"/>
    <w:rsid w:val="001A115C"/>
    <w:rsid w:val="001A167A"/>
    <w:rsid w:val="001A1C00"/>
    <w:rsid w:val="001A2DFC"/>
    <w:rsid w:val="001A2E1C"/>
    <w:rsid w:val="001A3472"/>
    <w:rsid w:val="001A37D2"/>
    <w:rsid w:val="001A3FA2"/>
    <w:rsid w:val="001A42FB"/>
    <w:rsid w:val="001A4A60"/>
    <w:rsid w:val="001A51F7"/>
    <w:rsid w:val="001A5547"/>
    <w:rsid w:val="001A5678"/>
    <w:rsid w:val="001A56AA"/>
    <w:rsid w:val="001A5DA3"/>
    <w:rsid w:val="001A6700"/>
    <w:rsid w:val="001A6A9C"/>
    <w:rsid w:val="001A6E5B"/>
    <w:rsid w:val="001A6FEC"/>
    <w:rsid w:val="001A721C"/>
    <w:rsid w:val="001A797D"/>
    <w:rsid w:val="001A7FC9"/>
    <w:rsid w:val="001B0A8A"/>
    <w:rsid w:val="001B0CF6"/>
    <w:rsid w:val="001B1088"/>
    <w:rsid w:val="001B19B5"/>
    <w:rsid w:val="001B1DB4"/>
    <w:rsid w:val="001B1EF5"/>
    <w:rsid w:val="001B2657"/>
    <w:rsid w:val="001B3063"/>
    <w:rsid w:val="001B31D3"/>
    <w:rsid w:val="001B327A"/>
    <w:rsid w:val="001B3A9F"/>
    <w:rsid w:val="001B3C2B"/>
    <w:rsid w:val="001B3D7C"/>
    <w:rsid w:val="001B3E49"/>
    <w:rsid w:val="001B4BE1"/>
    <w:rsid w:val="001B5803"/>
    <w:rsid w:val="001B5D07"/>
    <w:rsid w:val="001B6506"/>
    <w:rsid w:val="001C0031"/>
    <w:rsid w:val="001C152D"/>
    <w:rsid w:val="001C165F"/>
    <w:rsid w:val="001C1DE2"/>
    <w:rsid w:val="001C1DE8"/>
    <w:rsid w:val="001C2999"/>
    <w:rsid w:val="001C3B1B"/>
    <w:rsid w:val="001C400F"/>
    <w:rsid w:val="001C4542"/>
    <w:rsid w:val="001C4978"/>
    <w:rsid w:val="001C4C9B"/>
    <w:rsid w:val="001C4D92"/>
    <w:rsid w:val="001C4DBE"/>
    <w:rsid w:val="001C5116"/>
    <w:rsid w:val="001C5231"/>
    <w:rsid w:val="001C52D8"/>
    <w:rsid w:val="001C6217"/>
    <w:rsid w:val="001C6F9F"/>
    <w:rsid w:val="001C7E8F"/>
    <w:rsid w:val="001C7FEF"/>
    <w:rsid w:val="001D0C27"/>
    <w:rsid w:val="001D0ED2"/>
    <w:rsid w:val="001D2637"/>
    <w:rsid w:val="001D2B96"/>
    <w:rsid w:val="001D3155"/>
    <w:rsid w:val="001D38C0"/>
    <w:rsid w:val="001D3CF8"/>
    <w:rsid w:val="001D4750"/>
    <w:rsid w:val="001D5809"/>
    <w:rsid w:val="001D5CFD"/>
    <w:rsid w:val="001D65F1"/>
    <w:rsid w:val="001D66F7"/>
    <w:rsid w:val="001D6B42"/>
    <w:rsid w:val="001D6D85"/>
    <w:rsid w:val="001D6F4D"/>
    <w:rsid w:val="001D743E"/>
    <w:rsid w:val="001D74EC"/>
    <w:rsid w:val="001D7A32"/>
    <w:rsid w:val="001D7B4B"/>
    <w:rsid w:val="001D7CE3"/>
    <w:rsid w:val="001D7F5F"/>
    <w:rsid w:val="001E0B61"/>
    <w:rsid w:val="001E0BA7"/>
    <w:rsid w:val="001E0DFD"/>
    <w:rsid w:val="001E1276"/>
    <w:rsid w:val="001E2DD8"/>
    <w:rsid w:val="001E30C5"/>
    <w:rsid w:val="001E3B18"/>
    <w:rsid w:val="001E43B3"/>
    <w:rsid w:val="001E43E9"/>
    <w:rsid w:val="001E4BB8"/>
    <w:rsid w:val="001E4F11"/>
    <w:rsid w:val="001E5E0D"/>
    <w:rsid w:val="001E6B38"/>
    <w:rsid w:val="001E6EAF"/>
    <w:rsid w:val="001E73D2"/>
    <w:rsid w:val="001E7723"/>
    <w:rsid w:val="001E79C7"/>
    <w:rsid w:val="001F01D6"/>
    <w:rsid w:val="001F059F"/>
    <w:rsid w:val="001F062E"/>
    <w:rsid w:val="001F0AC3"/>
    <w:rsid w:val="001F0CB1"/>
    <w:rsid w:val="001F1A88"/>
    <w:rsid w:val="001F208C"/>
    <w:rsid w:val="001F2470"/>
    <w:rsid w:val="001F285E"/>
    <w:rsid w:val="001F29DB"/>
    <w:rsid w:val="001F38F5"/>
    <w:rsid w:val="001F4425"/>
    <w:rsid w:val="001F4755"/>
    <w:rsid w:val="001F54F1"/>
    <w:rsid w:val="001F5F79"/>
    <w:rsid w:val="001F605D"/>
    <w:rsid w:val="001F70A0"/>
    <w:rsid w:val="001F70F7"/>
    <w:rsid w:val="00200774"/>
    <w:rsid w:val="00201755"/>
    <w:rsid w:val="002018DF"/>
    <w:rsid w:val="00201944"/>
    <w:rsid w:val="00201C79"/>
    <w:rsid w:val="00202524"/>
    <w:rsid w:val="00202679"/>
    <w:rsid w:val="00202899"/>
    <w:rsid w:val="00202BB9"/>
    <w:rsid w:val="00203D49"/>
    <w:rsid w:val="002040C2"/>
    <w:rsid w:val="00204558"/>
    <w:rsid w:val="0020535A"/>
    <w:rsid w:val="00205A49"/>
    <w:rsid w:val="00206753"/>
    <w:rsid w:val="002069DC"/>
    <w:rsid w:val="00206AAB"/>
    <w:rsid w:val="002076AF"/>
    <w:rsid w:val="00207747"/>
    <w:rsid w:val="00207850"/>
    <w:rsid w:val="00207C97"/>
    <w:rsid w:val="00207DCE"/>
    <w:rsid w:val="00210736"/>
    <w:rsid w:val="00210E1A"/>
    <w:rsid w:val="00210F81"/>
    <w:rsid w:val="00211622"/>
    <w:rsid w:val="00211892"/>
    <w:rsid w:val="00211BCC"/>
    <w:rsid w:val="00212153"/>
    <w:rsid w:val="002121DA"/>
    <w:rsid w:val="00212378"/>
    <w:rsid w:val="002128F3"/>
    <w:rsid w:val="0021293B"/>
    <w:rsid w:val="00213AAC"/>
    <w:rsid w:val="00214267"/>
    <w:rsid w:val="002144EA"/>
    <w:rsid w:val="00214BBD"/>
    <w:rsid w:val="00215A17"/>
    <w:rsid w:val="002164A7"/>
    <w:rsid w:val="00216844"/>
    <w:rsid w:val="00216E70"/>
    <w:rsid w:val="0021701E"/>
    <w:rsid w:val="002170B8"/>
    <w:rsid w:val="002172A4"/>
    <w:rsid w:val="00217A16"/>
    <w:rsid w:val="00221AD1"/>
    <w:rsid w:val="00222713"/>
    <w:rsid w:val="0022271D"/>
    <w:rsid w:val="00223E90"/>
    <w:rsid w:val="002250E4"/>
    <w:rsid w:val="00225117"/>
    <w:rsid w:val="002259B0"/>
    <w:rsid w:val="00226513"/>
    <w:rsid w:val="002265CD"/>
    <w:rsid w:val="0022698E"/>
    <w:rsid w:val="002276BB"/>
    <w:rsid w:val="0022773C"/>
    <w:rsid w:val="00227912"/>
    <w:rsid w:val="0023016A"/>
    <w:rsid w:val="002301BD"/>
    <w:rsid w:val="002311EE"/>
    <w:rsid w:val="00233407"/>
    <w:rsid w:val="00233780"/>
    <w:rsid w:val="00234469"/>
    <w:rsid w:val="002356A9"/>
    <w:rsid w:val="002370F5"/>
    <w:rsid w:val="00237B5E"/>
    <w:rsid w:val="00240ACA"/>
    <w:rsid w:val="00240D18"/>
    <w:rsid w:val="00240D3A"/>
    <w:rsid w:val="00240D7B"/>
    <w:rsid w:val="00241299"/>
    <w:rsid w:val="0024150A"/>
    <w:rsid w:val="0024169D"/>
    <w:rsid w:val="00241B1E"/>
    <w:rsid w:val="0024247A"/>
    <w:rsid w:val="00243BF3"/>
    <w:rsid w:val="00243D6F"/>
    <w:rsid w:val="002448B4"/>
    <w:rsid w:val="002449C3"/>
    <w:rsid w:val="00244F62"/>
    <w:rsid w:val="00245220"/>
    <w:rsid w:val="00245FA1"/>
    <w:rsid w:val="002462D1"/>
    <w:rsid w:val="00246AC5"/>
    <w:rsid w:val="00247337"/>
    <w:rsid w:val="00247611"/>
    <w:rsid w:val="002479F0"/>
    <w:rsid w:val="00247D3B"/>
    <w:rsid w:val="0025018C"/>
    <w:rsid w:val="0025062A"/>
    <w:rsid w:val="002510B2"/>
    <w:rsid w:val="00252E2E"/>
    <w:rsid w:val="00253B37"/>
    <w:rsid w:val="00254516"/>
    <w:rsid w:val="00254E45"/>
    <w:rsid w:val="0025504C"/>
    <w:rsid w:val="00255355"/>
    <w:rsid w:val="00255462"/>
    <w:rsid w:val="00255A6C"/>
    <w:rsid w:val="00255E34"/>
    <w:rsid w:val="0025622A"/>
    <w:rsid w:val="00256361"/>
    <w:rsid w:val="00256A8A"/>
    <w:rsid w:val="002573EF"/>
    <w:rsid w:val="002579C9"/>
    <w:rsid w:val="002579FD"/>
    <w:rsid w:val="002607E3"/>
    <w:rsid w:val="00260957"/>
    <w:rsid w:val="00262844"/>
    <w:rsid w:val="002632DE"/>
    <w:rsid w:val="00263E88"/>
    <w:rsid w:val="00264646"/>
    <w:rsid w:val="002646C0"/>
    <w:rsid w:val="00265086"/>
    <w:rsid w:val="00265125"/>
    <w:rsid w:val="00265929"/>
    <w:rsid w:val="00266364"/>
    <w:rsid w:val="0026639E"/>
    <w:rsid w:val="00267327"/>
    <w:rsid w:val="0026754B"/>
    <w:rsid w:val="002704A6"/>
    <w:rsid w:val="00270B5E"/>
    <w:rsid w:val="00270E75"/>
    <w:rsid w:val="002714DE"/>
    <w:rsid w:val="0027232D"/>
    <w:rsid w:val="00272AAA"/>
    <w:rsid w:val="0027339F"/>
    <w:rsid w:val="00273627"/>
    <w:rsid w:val="00274053"/>
    <w:rsid w:val="00274273"/>
    <w:rsid w:val="002743A8"/>
    <w:rsid w:val="00274640"/>
    <w:rsid w:val="00274D0F"/>
    <w:rsid w:val="002752AF"/>
    <w:rsid w:val="00277500"/>
    <w:rsid w:val="00277AB5"/>
    <w:rsid w:val="00277B38"/>
    <w:rsid w:val="00280434"/>
    <w:rsid w:val="002805B0"/>
    <w:rsid w:val="00281A5F"/>
    <w:rsid w:val="00282BA7"/>
    <w:rsid w:val="00283C4F"/>
    <w:rsid w:val="00283F68"/>
    <w:rsid w:val="00285762"/>
    <w:rsid w:val="00285AAE"/>
    <w:rsid w:val="00285AC7"/>
    <w:rsid w:val="00285C3A"/>
    <w:rsid w:val="00285D86"/>
    <w:rsid w:val="0028634B"/>
    <w:rsid w:val="00286755"/>
    <w:rsid w:val="00287242"/>
    <w:rsid w:val="002872E9"/>
    <w:rsid w:val="00287336"/>
    <w:rsid w:val="0028753E"/>
    <w:rsid w:val="00287D51"/>
    <w:rsid w:val="002909E2"/>
    <w:rsid w:val="00290A82"/>
    <w:rsid w:val="00290C4F"/>
    <w:rsid w:val="00290DE8"/>
    <w:rsid w:val="0029111D"/>
    <w:rsid w:val="00291C22"/>
    <w:rsid w:val="00291F68"/>
    <w:rsid w:val="00292184"/>
    <w:rsid w:val="00292542"/>
    <w:rsid w:val="00292AC5"/>
    <w:rsid w:val="0029303A"/>
    <w:rsid w:val="00293097"/>
    <w:rsid w:val="0029386E"/>
    <w:rsid w:val="00294A81"/>
    <w:rsid w:val="00294B2D"/>
    <w:rsid w:val="00294C25"/>
    <w:rsid w:val="00294DAF"/>
    <w:rsid w:val="00295065"/>
    <w:rsid w:val="0029518E"/>
    <w:rsid w:val="00295B55"/>
    <w:rsid w:val="00295C8B"/>
    <w:rsid w:val="00295CA7"/>
    <w:rsid w:val="00295D10"/>
    <w:rsid w:val="00295D44"/>
    <w:rsid w:val="00297731"/>
    <w:rsid w:val="002977A0"/>
    <w:rsid w:val="002A060A"/>
    <w:rsid w:val="002A0814"/>
    <w:rsid w:val="002A0DC4"/>
    <w:rsid w:val="002A1BA1"/>
    <w:rsid w:val="002A1CBF"/>
    <w:rsid w:val="002A2572"/>
    <w:rsid w:val="002A2D5A"/>
    <w:rsid w:val="002A34C9"/>
    <w:rsid w:val="002A3B91"/>
    <w:rsid w:val="002A3F39"/>
    <w:rsid w:val="002A4450"/>
    <w:rsid w:val="002A4527"/>
    <w:rsid w:val="002A4B58"/>
    <w:rsid w:val="002A4D60"/>
    <w:rsid w:val="002A5AC8"/>
    <w:rsid w:val="002B0AA2"/>
    <w:rsid w:val="002B1064"/>
    <w:rsid w:val="002B15E3"/>
    <w:rsid w:val="002B2296"/>
    <w:rsid w:val="002B25E4"/>
    <w:rsid w:val="002B29A0"/>
    <w:rsid w:val="002B2DC4"/>
    <w:rsid w:val="002B2EAF"/>
    <w:rsid w:val="002B4407"/>
    <w:rsid w:val="002B5D9C"/>
    <w:rsid w:val="002B6673"/>
    <w:rsid w:val="002B67B7"/>
    <w:rsid w:val="002B689B"/>
    <w:rsid w:val="002B753D"/>
    <w:rsid w:val="002B78F6"/>
    <w:rsid w:val="002C01AD"/>
    <w:rsid w:val="002C0429"/>
    <w:rsid w:val="002C083E"/>
    <w:rsid w:val="002C19E4"/>
    <w:rsid w:val="002C1DA2"/>
    <w:rsid w:val="002C24B1"/>
    <w:rsid w:val="002C2DC9"/>
    <w:rsid w:val="002C2E81"/>
    <w:rsid w:val="002C335A"/>
    <w:rsid w:val="002C406B"/>
    <w:rsid w:val="002C648A"/>
    <w:rsid w:val="002C6A1B"/>
    <w:rsid w:val="002C6BC7"/>
    <w:rsid w:val="002C6CC4"/>
    <w:rsid w:val="002C70E5"/>
    <w:rsid w:val="002C73AB"/>
    <w:rsid w:val="002C758A"/>
    <w:rsid w:val="002C76C1"/>
    <w:rsid w:val="002D08CB"/>
    <w:rsid w:val="002D0B93"/>
    <w:rsid w:val="002D0C90"/>
    <w:rsid w:val="002D12A5"/>
    <w:rsid w:val="002D13C4"/>
    <w:rsid w:val="002D20AC"/>
    <w:rsid w:val="002D24C2"/>
    <w:rsid w:val="002D2543"/>
    <w:rsid w:val="002D275E"/>
    <w:rsid w:val="002D285D"/>
    <w:rsid w:val="002D328E"/>
    <w:rsid w:val="002D3681"/>
    <w:rsid w:val="002D3A04"/>
    <w:rsid w:val="002D4467"/>
    <w:rsid w:val="002D4769"/>
    <w:rsid w:val="002D5736"/>
    <w:rsid w:val="002D57CE"/>
    <w:rsid w:val="002D5D25"/>
    <w:rsid w:val="002D6357"/>
    <w:rsid w:val="002D7427"/>
    <w:rsid w:val="002D7584"/>
    <w:rsid w:val="002D7689"/>
    <w:rsid w:val="002D79A2"/>
    <w:rsid w:val="002E0135"/>
    <w:rsid w:val="002E0234"/>
    <w:rsid w:val="002E0783"/>
    <w:rsid w:val="002E1277"/>
    <w:rsid w:val="002E1889"/>
    <w:rsid w:val="002E29ED"/>
    <w:rsid w:val="002E3026"/>
    <w:rsid w:val="002E322D"/>
    <w:rsid w:val="002E3F06"/>
    <w:rsid w:val="002E438B"/>
    <w:rsid w:val="002E49B9"/>
    <w:rsid w:val="002E4D41"/>
    <w:rsid w:val="002E578A"/>
    <w:rsid w:val="002E5BD5"/>
    <w:rsid w:val="002E5F5B"/>
    <w:rsid w:val="002E6125"/>
    <w:rsid w:val="002E6A37"/>
    <w:rsid w:val="002E6C62"/>
    <w:rsid w:val="002E6FFA"/>
    <w:rsid w:val="002E7F8F"/>
    <w:rsid w:val="002F0689"/>
    <w:rsid w:val="002F21AC"/>
    <w:rsid w:val="002F252E"/>
    <w:rsid w:val="002F3148"/>
    <w:rsid w:val="002F31B0"/>
    <w:rsid w:val="002F35F4"/>
    <w:rsid w:val="002F38A6"/>
    <w:rsid w:val="002F3926"/>
    <w:rsid w:val="002F3F04"/>
    <w:rsid w:val="002F4008"/>
    <w:rsid w:val="002F41BA"/>
    <w:rsid w:val="002F4675"/>
    <w:rsid w:val="002F5749"/>
    <w:rsid w:val="002F5D94"/>
    <w:rsid w:val="002F6577"/>
    <w:rsid w:val="002F6752"/>
    <w:rsid w:val="002F6903"/>
    <w:rsid w:val="002F6BD4"/>
    <w:rsid w:val="002F6FDE"/>
    <w:rsid w:val="002F72BE"/>
    <w:rsid w:val="002F7578"/>
    <w:rsid w:val="002F77E4"/>
    <w:rsid w:val="002F7C39"/>
    <w:rsid w:val="00300E35"/>
    <w:rsid w:val="00301216"/>
    <w:rsid w:val="00301686"/>
    <w:rsid w:val="00301832"/>
    <w:rsid w:val="003018AA"/>
    <w:rsid w:val="00301D7D"/>
    <w:rsid w:val="00301EDD"/>
    <w:rsid w:val="003023A5"/>
    <w:rsid w:val="00302417"/>
    <w:rsid w:val="0030289A"/>
    <w:rsid w:val="00302F5F"/>
    <w:rsid w:val="0030366B"/>
    <w:rsid w:val="00303B99"/>
    <w:rsid w:val="00303F62"/>
    <w:rsid w:val="0030433C"/>
    <w:rsid w:val="00304343"/>
    <w:rsid w:val="00304353"/>
    <w:rsid w:val="0030532C"/>
    <w:rsid w:val="00305609"/>
    <w:rsid w:val="0030684B"/>
    <w:rsid w:val="0030714F"/>
    <w:rsid w:val="003073E2"/>
    <w:rsid w:val="00307DDF"/>
    <w:rsid w:val="00311FC1"/>
    <w:rsid w:val="00312DC8"/>
    <w:rsid w:val="00313986"/>
    <w:rsid w:val="00314145"/>
    <w:rsid w:val="00314A43"/>
    <w:rsid w:val="003152C8"/>
    <w:rsid w:val="0031590E"/>
    <w:rsid w:val="00316092"/>
    <w:rsid w:val="003167FA"/>
    <w:rsid w:val="003169BE"/>
    <w:rsid w:val="00316CDD"/>
    <w:rsid w:val="00316E4A"/>
    <w:rsid w:val="003174FF"/>
    <w:rsid w:val="003177D3"/>
    <w:rsid w:val="0031795B"/>
    <w:rsid w:val="00320B3E"/>
    <w:rsid w:val="00320BED"/>
    <w:rsid w:val="00320FC7"/>
    <w:rsid w:val="0032121B"/>
    <w:rsid w:val="00321818"/>
    <w:rsid w:val="003219A1"/>
    <w:rsid w:val="00321E01"/>
    <w:rsid w:val="00321F65"/>
    <w:rsid w:val="00322040"/>
    <w:rsid w:val="0032208C"/>
    <w:rsid w:val="003226F8"/>
    <w:rsid w:val="00322DC5"/>
    <w:rsid w:val="003238CD"/>
    <w:rsid w:val="00323EF5"/>
    <w:rsid w:val="003240B8"/>
    <w:rsid w:val="003247CE"/>
    <w:rsid w:val="003249D5"/>
    <w:rsid w:val="00325133"/>
    <w:rsid w:val="00325422"/>
    <w:rsid w:val="003255C4"/>
    <w:rsid w:val="003255CF"/>
    <w:rsid w:val="003258D3"/>
    <w:rsid w:val="00327334"/>
    <w:rsid w:val="00330616"/>
    <w:rsid w:val="00331EC7"/>
    <w:rsid w:val="00332131"/>
    <w:rsid w:val="00333000"/>
    <w:rsid w:val="003330C6"/>
    <w:rsid w:val="00333E7E"/>
    <w:rsid w:val="00333FDA"/>
    <w:rsid w:val="00334F8E"/>
    <w:rsid w:val="00334FBA"/>
    <w:rsid w:val="00335043"/>
    <w:rsid w:val="003358B0"/>
    <w:rsid w:val="00336D10"/>
    <w:rsid w:val="003372DF"/>
    <w:rsid w:val="00337826"/>
    <w:rsid w:val="003378F9"/>
    <w:rsid w:val="00337B6E"/>
    <w:rsid w:val="0034086D"/>
    <w:rsid w:val="00340BD9"/>
    <w:rsid w:val="00340D19"/>
    <w:rsid w:val="003423C9"/>
    <w:rsid w:val="0034255B"/>
    <w:rsid w:val="0034271B"/>
    <w:rsid w:val="00342AEF"/>
    <w:rsid w:val="00342BB8"/>
    <w:rsid w:val="00342C5F"/>
    <w:rsid w:val="00342CE3"/>
    <w:rsid w:val="00342E55"/>
    <w:rsid w:val="00343CA8"/>
    <w:rsid w:val="00344356"/>
    <w:rsid w:val="003443F5"/>
    <w:rsid w:val="00344613"/>
    <w:rsid w:val="00344CEA"/>
    <w:rsid w:val="003455B0"/>
    <w:rsid w:val="00345899"/>
    <w:rsid w:val="00345FF9"/>
    <w:rsid w:val="003470D0"/>
    <w:rsid w:val="003505CD"/>
    <w:rsid w:val="003507F1"/>
    <w:rsid w:val="00351204"/>
    <w:rsid w:val="0035173C"/>
    <w:rsid w:val="003518C8"/>
    <w:rsid w:val="00351AFC"/>
    <w:rsid w:val="00353119"/>
    <w:rsid w:val="003531F8"/>
    <w:rsid w:val="00353915"/>
    <w:rsid w:val="00354316"/>
    <w:rsid w:val="00356179"/>
    <w:rsid w:val="00356ABE"/>
    <w:rsid w:val="00356C8D"/>
    <w:rsid w:val="00356D20"/>
    <w:rsid w:val="00356F11"/>
    <w:rsid w:val="00357969"/>
    <w:rsid w:val="00357FDA"/>
    <w:rsid w:val="003601AB"/>
    <w:rsid w:val="00360262"/>
    <w:rsid w:val="00360A58"/>
    <w:rsid w:val="00361060"/>
    <w:rsid w:val="0036137A"/>
    <w:rsid w:val="00361C6B"/>
    <w:rsid w:val="00361DA8"/>
    <w:rsid w:val="003622CA"/>
    <w:rsid w:val="00363030"/>
    <w:rsid w:val="0036333B"/>
    <w:rsid w:val="0036368A"/>
    <w:rsid w:val="0036462C"/>
    <w:rsid w:val="0036471F"/>
    <w:rsid w:val="00364A42"/>
    <w:rsid w:val="003654B3"/>
    <w:rsid w:val="0036640B"/>
    <w:rsid w:val="00366695"/>
    <w:rsid w:val="00366771"/>
    <w:rsid w:val="00366AF6"/>
    <w:rsid w:val="00366B7B"/>
    <w:rsid w:val="00366CF0"/>
    <w:rsid w:val="00367146"/>
    <w:rsid w:val="00370158"/>
    <w:rsid w:val="00370DB6"/>
    <w:rsid w:val="00370FB2"/>
    <w:rsid w:val="003716A7"/>
    <w:rsid w:val="003718DA"/>
    <w:rsid w:val="00371A1F"/>
    <w:rsid w:val="00371C6B"/>
    <w:rsid w:val="00371F91"/>
    <w:rsid w:val="00372B31"/>
    <w:rsid w:val="00374222"/>
    <w:rsid w:val="00374494"/>
    <w:rsid w:val="00374665"/>
    <w:rsid w:val="003755FB"/>
    <w:rsid w:val="0037577C"/>
    <w:rsid w:val="00375D3E"/>
    <w:rsid w:val="0037714D"/>
    <w:rsid w:val="003773AB"/>
    <w:rsid w:val="003803E8"/>
    <w:rsid w:val="00381AE1"/>
    <w:rsid w:val="00382CBD"/>
    <w:rsid w:val="00382F0C"/>
    <w:rsid w:val="0038380B"/>
    <w:rsid w:val="0038410B"/>
    <w:rsid w:val="003842FA"/>
    <w:rsid w:val="00385073"/>
    <w:rsid w:val="00385502"/>
    <w:rsid w:val="00386186"/>
    <w:rsid w:val="00386DE7"/>
    <w:rsid w:val="0038718B"/>
    <w:rsid w:val="00387ABD"/>
    <w:rsid w:val="0039035A"/>
    <w:rsid w:val="003915C7"/>
    <w:rsid w:val="00391A43"/>
    <w:rsid w:val="00391B8C"/>
    <w:rsid w:val="00392134"/>
    <w:rsid w:val="00392A1D"/>
    <w:rsid w:val="003934CE"/>
    <w:rsid w:val="00393AD2"/>
    <w:rsid w:val="003948DC"/>
    <w:rsid w:val="00394AB8"/>
    <w:rsid w:val="00395C07"/>
    <w:rsid w:val="00397F03"/>
    <w:rsid w:val="003A15BF"/>
    <w:rsid w:val="003A22C6"/>
    <w:rsid w:val="003A2720"/>
    <w:rsid w:val="003A27B9"/>
    <w:rsid w:val="003A40A4"/>
    <w:rsid w:val="003A46D3"/>
    <w:rsid w:val="003A493A"/>
    <w:rsid w:val="003A4BF7"/>
    <w:rsid w:val="003A5725"/>
    <w:rsid w:val="003A6420"/>
    <w:rsid w:val="003A7418"/>
    <w:rsid w:val="003A7942"/>
    <w:rsid w:val="003A7EA0"/>
    <w:rsid w:val="003B00B8"/>
    <w:rsid w:val="003B0611"/>
    <w:rsid w:val="003B0CF3"/>
    <w:rsid w:val="003B0D1C"/>
    <w:rsid w:val="003B118D"/>
    <w:rsid w:val="003B1543"/>
    <w:rsid w:val="003B1A80"/>
    <w:rsid w:val="003B1D97"/>
    <w:rsid w:val="003B205D"/>
    <w:rsid w:val="003B21A2"/>
    <w:rsid w:val="003B2803"/>
    <w:rsid w:val="003B28BC"/>
    <w:rsid w:val="003B2AB1"/>
    <w:rsid w:val="003B2F43"/>
    <w:rsid w:val="003B32F6"/>
    <w:rsid w:val="003B3386"/>
    <w:rsid w:val="003B358B"/>
    <w:rsid w:val="003B37A7"/>
    <w:rsid w:val="003B3B6A"/>
    <w:rsid w:val="003B3F40"/>
    <w:rsid w:val="003B42CD"/>
    <w:rsid w:val="003B42D9"/>
    <w:rsid w:val="003B49D4"/>
    <w:rsid w:val="003B4C95"/>
    <w:rsid w:val="003B4E96"/>
    <w:rsid w:val="003B559B"/>
    <w:rsid w:val="003B5A02"/>
    <w:rsid w:val="003B64CD"/>
    <w:rsid w:val="003B686F"/>
    <w:rsid w:val="003B7400"/>
    <w:rsid w:val="003B7741"/>
    <w:rsid w:val="003C0053"/>
    <w:rsid w:val="003C0BA6"/>
    <w:rsid w:val="003C0D8D"/>
    <w:rsid w:val="003C0F65"/>
    <w:rsid w:val="003C10D4"/>
    <w:rsid w:val="003C1BFA"/>
    <w:rsid w:val="003C29CF"/>
    <w:rsid w:val="003C2A8B"/>
    <w:rsid w:val="003C2AEB"/>
    <w:rsid w:val="003C2DC8"/>
    <w:rsid w:val="003C3140"/>
    <w:rsid w:val="003C39C7"/>
    <w:rsid w:val="003C3BFE"/>
    <w:rsid w:val="003C3E02"/>
    <w:rsid w:val="003C3EB7"/>
    <w:rsid w:val="003C3FE8"/>
    <w:rsid w:val="003C4A6B"/>
    <w:rsid w:val="003C559C"/>
    <w:rsid w:val="003C5793"/>
    <w:rsid w:val="003C5DA5"/>
    <w:rsid w:val="003C5EFC"/>
    <w:rsid w:val="003C5FB9"/>
    <w:rsid w:val="003C60E8"/>
    <w:rsid w:val="003C6D4B"/>
    <w:rsid w:val="003C6E88"/>
    <w:rsid w:val="003C73F9"/>
    <w:rsid w:val="003C77D6"/>
    <w:rsid w:val="003D020E"/>
    <w:rsid w:val="003D06F9"/>
    <w:rsid w:val="003D0C2D"/>
    <w:rsid w:val="003D1C3A"/>
    <w:rsid w:val="003D1F5B"/>
    <w:rsid w:val="003D215F"/>
    <w:rsid w:val="003D4746"/>
    <w:rsid w:val="003D4C86"/>
    <w:rsid w:val="003D5287"/>
    <w:rsid w:val="003D59AA"/>
    <w:rsid w:val="003D5F07"/>
    <w:rsid w:val="003D61E6"/>
    <w:rsid w:val="003D6AB5"/>
    <w:rsid w:val="003D78EA"/>
    <w:rsid w:val="003E01B7"/>
    <w:rsid w:val="003E0570"/>
    <w:rsid w:val="003E06DF"/>
    <w:rsid w:val="003E0836"/>
    <w:rsid w:val="003E08DC"/>
    <w:rsid w:val="003E0900"/>
    <w:rsid w:val="003E0B55"/>
    <w:rsid w:val="003E1363"/>
    <w:rsid w:val="003E1908"/>
    <w:rsid w:val="003E1B54"/>
    <w:rsid w:val="003E3860"/>
    <w:rsid w:val="003E3CD1"/>
    <w:rsid w:val="003E3DEB"/>
    <w:rsid w:val="003E3FA1"/>
    <w:rsid w:val="003E3FF5"/>
    <w:rsid w:val="003E4925"/>
    <w:rsid w:val="003E5354"/>
    <w:rsid w:val="003E602B"/>
    <w:rsid w:val="003E63B6"/>
    <w:rsid w:val="003E66DB"/>
    <w:rsid w:val="003E7263"/>
    <w:rsid w:val="003E7872"/>
    <w:rsid w:val="003E7D69"/>
    <w:rsid w:val="003F0240"/>
    <w:rsid w:val="003F0CA2"/>
    <w:rsid w:val="003F13CD"/>
    <w:rsid w:val="003F1F65"/>
    <w:rsid w:val="003F2447"/>
    <w:rsid w:val="003F2751"/>
    <w:rsid w:val="003F2BD1"/>
    <w:rsid w:val="003F332C"/>
    <w:rsid w:val="003F336F"/>
    <w:rsid w:val="003F3438"/>
    <w:rsid w:val="003F346E"/>
    <w:rsid w:val="003F379F"/>
    <w:rsid w:val="003F3968"/>
    <w:rsid w:val="003F3BFF"/>
    <w:rsid w:val="003F3D86"/>
    <w:rsid w:val="003F3E7C"/>
    <w:rsid w:val="003F42A2"/>
    <w:rsid w:val="003F4A44"/>
    <w:rsid w:val="003F52C6"/>
    <w:rsid w:val="003F53E1"/>
    <w:rsid w:val="003F5581"/>
    <w:rsid w:val="003F558E"/>
    <w:rsid w:val="003F5978"/>
    <w:rsid w:val="003F5F20"/>
    <w:rsid w:val="003F604A"/>
    <w:rsid w:val="003F69F4"/>
    <w:rsid w:val="003F785F"/>
    <w:rsid w:val="0040056D"/>
    <w:rsid w:val="0040381C"/>
    <w:rsid w:val="0040396C"/>
    <w:rsid w:val="00403D30"/>
    <w:rsid w:val="00403D6E"/>
    <w:rsid w:val="00403F33"/>
    <w:rsid w:val="0040469B"/>
    <w:rsid w:val="00404D09"/>
    <w:rsid w:val="00404FEA"/>
    <w:rsid w:val="004050C8"/>
    <w:rsid w:val="00405E55"/>
    <w:rsid w:val="00406544"/>
    <w:rsid w:val="0040697E"/>
    <w:rsid w:val="00407483"/>
    <w:rsid w:val="004076AA"/>
    <w:rsid w:val="00407AC0"/>
    <w:rsid w:val="00410DE2"/>
    <w:rsid w:val="00410E1F"/>
    <w:rsid w:val="00410E78"/>
    <w:rsid w:val="00410F1F"/>
    <w:rsid w:val="00412142"/>
    <w:rsid w:val="00412E30"/>
    <w:rsid w:val="00413491"/>
    <w:rsid w:val="00413514"/>
    <w:rsid w:val="00413866"/>
    <w:rsid w:val="00413D93"/>
    <w:rsid w:val="00413EEA"/>
    <w:rsid w:val="0041409D"/>
    <w:rsid w:val="004153B1"/>
    <w:rsid w:val="0041598D"/>
    <w:rsid w:val="00416685"/>
    <w:rsid w:val="004170AF"/>
    <w:rsid w:val="00417182"/>
    <w:rsid w:val="0041736E"/>
    <w:rsid w:val="00417440"/>
    <w:rsid w:val="00417CD0"/>
    <w:rsid w:val="00420E4C"/>
    <w:rsid w:val="004226CF"/>
    <w:rsid w:val="00423252"/>
    <w:rsid w:val="00423A3A"/>
    <w:rsid w:val="00423B00"/>
    <w:rsid w:val="00423ED2"/>
    <w:rsid w:val="00424378"/>
    <w:rsid w:val="0042509D"/>
    <w:rsid w:val="00425822"/>
    <w:rsid w:val="00425B16"/>
    <w:rsid w:val="00426481"/>
    <w:rsid w:val="00426758"/>
    <w:rsid w:val="00427065"/>
    <w:rsid w:val="0043049A"/>
    <w:rsid w:val="004306EA"/>
    <w:rsid w:val="00430D27"/>
    <w:rsid w:val="00430F39"/>
    <w:rsid w:val="0043103F"/>
    <w:rsid w:val="0043114B"/>
    <w:rsid w:val="004313B7"/>
    <w:rsid w:val="00431949"/>
    <w:rsid w:val="00431B3F"/>
    <w:rsid w:val="00431DE8"/>
    <w:rsid w:val="004329BF"/>
    <w:rsid w:val="00432BB7"/>
    <w:rsid w:val="00432EE9"/>
    <w:rsid w:val="004331E9"/>
    <w:rsid w:val="00433D7D"/>
    <w:rsid w:val="00433DBE"/>
    <w:rsid w:val="00433FD4"/>
    <w:rsid w:val="004340C1"/>
    <w:rsid w:val="0043501B"/>
    <w:rsid w:val="00435203"/>
    <w:rsid w:val="00435FCB"/>
    <w:rsid w:val="00436CDF"/>
    <w:rsid w:val="00436D19"/>
    <w:rsid w:val="0043751F"/>
    <w:rsid w:val="00437C85"/>
    <w:rsid w:val="00437F2F"/>
    <w:rsid w:val="00440515"/>
    <w:rsid w:val="00440641"/>
    <w:rsid w:val="00440CB2"/>
    <w:rsid w:val="004411E4"/>
    <w:rsid w:val="00441207"/>
    <w:rsid w:val="00441D04"/>
    <w:rsid w:val="0044200B"/>
    <w:rsid w:val="004422CA"/>
    <w:rsid w:val="00442797"/>
    <w:rsid w:val="00443807"/>
    <w:rsid w:val="00444A1F"/>
    <w:rsid w:val="00445026"/>
    <w:rsid w:val="004456E1"/>
    <w:rsid w:val="00445829"/>
    <w:rsid w:val="004458E0"/>
    <w:rsid w:val="00445DAC"/>
    <w:rsid w:val="00445F4F"/>
    <w:rsid w:val="0044614B"/>
    <w:rsid w:val="004462F7"/>
    <w:rsid w:val="00446C29"/>
    <w:rsid w:val="00446FE2"/>
    <w:rsid w:val="00450192"/>
    <w:rsid w:val="0045089B"/>
    <w:rsid w:val="0045092B"/>
    <w:rsid w:val="00450B37"/>
    <w:rsid w:val="0045106B"/>
    <w:rsid w:val="00451284"/>
    <w:rsid w:val="00451684"/>
    <w:rsid w:val="00452116"/>
    <w:rsid w:val="00453810"/>
    <w:rsid w:val="00453F61"/>
    <w:rsid w:val="00454C12"/>
    <w:rsid w:val="00455985"/>
    <w:rsid w:val="00455ACA"/>
    <w:rsid w:val="00455E3B"/>
    <w:rsid w:val="00456D77"/>
    <w:rsid w:val="004570B5"/>
    <w:rsid w:val="0046019D"/>
    <w:rsid w:val="004604D0"/>
    <w:rsid w:val="00460EBF"/>
    <w:rsid w:val="00460F18"/>
    <w:rsid w:val="0046114C"/>
    <w:rsid w:val="00461584"/>
    <w:rsid w:val="00461653"/>
    <w:rsid w:val="0046207F"/>
    <w:rsid w:val="004620F8"/>
    <w:rsid w:val="00462661"/>
    <w:rsid w:val="00462B3E"/>
    <w:rsid w:val="00462E92"/>
    <w:rsid w:val="00463EAF"/>
    <w:rsid w:val="00464536"/>
    <w:rsid w:val="004648B5"/>
    <w:rsid w:val="00464C9A"/>
    <w:rsid w:val="00464DDA"/>
    <w:rsid w:val="00464FBD"/>
    <w:rsid w:val="0046514E"/>
    <w:rsid w:val="00465675"/>
    <w:rsid w:val="0046623C"/>
    <w:rsid w:val="004665CD"/>
    <w:rsid w:val="004669F9"/>
    <w:rsid w:val="004670B3"/>
    <w:rsid w:val="00467508"/>
    <w:rsid w:val="0046753A"/>
    <w:rsid w:val="00467739"/>
    <w:rsid w:val="00467EA4"/>
    <w:rsid w:val="00470D0C"/>
    <w:rsid w:val="00471179"/>
    <w:rsid w:val="004717D2"/>
    <w:rsid w:val="00471C71"/>
    <w:rsid w:val="00471EE9"/>
    <w:rsid w:val="00472FA9"/>
    <w:rsid w:val="00473822"/>
    <w:rsid w:val="0047466B"/>
    <w:rsid w:val="0047477F"/>
    <w:rsid w:val="00474BF0"/>
    <w:rsid w:val="00474E22"/>
    <w:rsid w:val="004750A0"/>
    <w:rsid w:val="00475133"/>
    <w:rsid w:val="00475778"/>
    <w:rsid w:val="00475DC3"/>
    <w:rsid w:val="0047608F"/>
    <w:rsid w:val="00476554"/>
    <w:rsid w:val="00476BB5"/>
    <w:rsid w:val="0047706D"/>
    <w:rsid w:val="004771D5"/>
    <w:rsid w:val="0047727D"/>
    <w:rsid w:val="004779EC"/>
    <w:rsid w:val="00477E35"/>
    <w:rsid w:val="00480D33"/>
    <w:rsid w:val="00480DB0"/>
    <w:rsid w:val="004813D4"/>
    <w:rsid w:val="00481485"/>
    <w:rsid w:val="00481A1F"/>
    <w:rsid w:val="00481B72"/>
    <w:rsid w:val="0048214B"/>
    <w:rsid w:val="00482B6E"/>
    <w:rsid w:val="00482F0C"/>
    <w:rsid w:val="004833C3"/>
    <w:rsid w:val="00483821"/>
    <w:rsid w:val="0048412D"/>
    <w:rsid w:val="0048593B"/>
    <w:rsid w:val="00485962"/>
    <w:rsid w:val="00485E27"/>
    <w:rsid w:val="00485F9A"/>
    <w:rsid w:val="004878E7"/>
    <w:rsid w:val="00491201"/>
    <w:rsid w:val="0049149A"/>
    <w:rsid w:val="004918C4"/>
    <w:rsid w:val="00491D91"/>
    <w:rsid w:val="004921FC"/>
    <w:rsid w:val="00492422"/>
    <w:rsid w:val="004927A2"/>
    <w:rsid w:val="00492BFD"/>
    <w:rsid w:val="00493BF2"/>
    <w:rsid w:val="004948FC"/>
    <w:rsid w:val="00494AC4"/>
    <w:rsid w:val="00495174"/>
    <w:rsid w:val="00495685"/>
    <w:rsid w:val="00495716"/>
    <w:rsid w:val="0049580C"/>
    <w:rsid w:val="00495933"/>
    <w:rsid w:val="004959F8"/>
    <w:rsid w:val="0049620D"/>
    <w:rsid w:val="00496377"/>
    <w:rsid w:val="00496624"/>
    <w:rsid w:val="00496A76"/>
    <w:rsid w:val="0049768F"/>
    <w:rsid w:val="004978EE"/>
    <w:rsid w:val="00497AA3"/>
    <w:rsid w:val="00497ACA"/>
    <w:rsid w:val="004A04E5"/>
    <w:rsid w:val="004A1495"/>
    <w:rsid w:val="004A1B8E"/>
    <w:rsid w:val="004A2165"/>
    <w:rsid w:val="004A230B"/>
    <w:rsid w:val="004A2423"/>
    <w:rsid w:val="004A3749"/>
    <w:rsid w:val="004A43B9"/>
    <w:rsid w:val="004A4608"/>
    <w:rsid w:val="004A4B43"/>
    <w:rsid w:val="004A5F74"/>
    <w:rsid w:val="004A65C2"/>
    <w:rsid w:val="004A666B"/>
    <w:rsid w:val="004A6FD5"/>
    <w:rsid w:val="004A7056"/>
    <w:rsid w:val="004A7E05"/>
    <w:rsid w:val="004B0D6E"/>
    <w:rsid w:val="004B0E75"/>
    <w:rsid w:val="004B1052"/>
    <w:rsid w:val="004B1564"/>
    <w:rsid w:val="004B18F8"/>
    <w:rsid w:val="004B1DE8"/>
    <w:rsid w:val="004B3B2C"/>
    <w:rsid w:val="004B4B35"/>
    <w:rsid w:val="004B4DB4"/>
    <w:rsid w:val="004B5053"/>
    <w:rsid w:val="004B51DE"/>
    <w:rsid w:val="004B551A"/>
    <w:rsid w:val="004B5A42"/>
    <w:rsid w:val="004B691A"/>
    <w:rsid w:val="004B6B14"/>
    <w:rsid w:val="004B7F64"/>
    <w:rsid w:val="004B7F7F"/>
    <w:rsid w:val="004C001E"/>
    <w:rsid w:val="004C0505"/>
    <w:rsid w:val="004C0A8E"/>
    <w:rsid w:val="004C1D09"/>
    <w:rsid w:val="004C2506"/>
    <w:rsid w:val="004C25CB"/>
    <w:rsid w:val="004C2940"/>
    <w:rsid w:val="004C3C2C"/>
    <w:rsid w:val="004C4078"/>
    <w:rsid w:val="004C53E6"/>
    <w:rsid w:val="004C58BC"/>
    <w:rsid w:val="004C5ACB"/>
    <w:rsid w:val="004C5C35"/>
    <w:rsid w:val="004C6776"/>
    <w:rsid w:val="004D1D21"/>
    <w:rsid w:val="004D2194"/>
    <w:rsid w:val="004D220A"/>
    <w:rsid w:val="004D276C"/>
    <w:rsid w:val="004D2BD5"/>
    <w:rsid w:val="004D2CB4"/>
    <w:rsid w:val="004D529D"/>
    <w:rsid w:val="004D5E12"/>
    <w:rsid w:val="004D63B8"/>
    <w:rsid w:val="004D6544"/>
    <w:rsid w:val="004D675E"/>
    <w:rsid w:val="004D6FE0"/>
    <w:rsid w:val="004E01DE"/>
    <w:rsid w:val="004E02BA"/>
    <w:rsid w:val="004E0B3D"/>
    <w:rsid w:val="004E1185"/>
    <w:rsid w:val="004E1733"/>
    <w:rsid w:val="004E19D1"/>
    <w:rsid w:val="004E1FCA"/>
    <w:rsid w:val="004E24E3"/>
    <w:rsid w:val="004E47EC"/>
    <w:rsid w:val="004E514F"/>
    <w:rsid w:val="004E5ADF"/>
    <w:rsid w:val="004E68FF"/>
    <w:rsid w:val="004E6BE0"/>
    <w:rsid w:val="004E737F"/>
    <w:rsid w:val="004E73FB"/>
    <w:rsid w:val="004E7491"/>
    <w:rsid w:val="004F03A4"/>
    <w:rsid w:val="004F03DE"/>
    <w:rsid w:val="004F08E7"/>
    <w:rsid w:val="004F0B09"/>
    <w:rsid w:val="004F0F6D"/>
    <w:rsid w:val="004F107C"/>
    <w:rsid w:val="004F136E"/>
    <w:rsid w:val="004F16C7"/>
    <w:rsid w:val="004F22DA"/>
    <w:rsid w:val="004F2F87"/>
    <w:rsid w:val="004F3DBE"/>
    <w:rsid w:val="004F54D3"/>
    <w:rsid w:val="004F5720"/>
    <w:rsid w:val="004F6632"/>
    <w:rsid w:val="004F6FD5"/>
    <w:rsid w:val="004F74AC"/>
    <w:rsid w:val="004F751B"/>
    <w:rsid w:val="004F75F4"/>
    <w:rsid w:val="004F7862"/>
    <w:rsid w:val="004F7AF5"/>
    <w:rsid w:val="00500A13"/>
    <w:rsid w:val="00501555"/>
    <w:rsid w:val="0050192A"/>
    <w:rsid w:val="00501FAD"/>
    <w:rsid w:val="00502165"/>
    <w:rsid w:val="0050292E"/>
    <w:rsid w:val="00502B03"/>
    <w:rsid w:val="00502BFB"/>
    <w:rsid w:val="00503871"/>
    <w:rsid w:val="00504084"/>
    <w:rsid w:val="005043E3"/>
    <w:rsid w:val="005045BD"/>
    <w:rsid w:val="00504834"/>
    <w:rsid w:val="0050494B"/>
    <w:rsid w:val="00504C7A"/>
    <w:rsid w:val="00505226"/>
    <w:rsid w:val="00505700"/>
    <w:rsid w:val="00505961"/>
    <w:rsid w:val="00505A99"/>
    <w:rsid w:val="00505AEE"/>
    <w:rsid w:val="00505DEA"/>
    <w:rsid w:val="0050632E"/>
    <w:rsid w:val="0050752D"/>
    <w:rsid w:val="00507B75"/>
    <w:rsid w:val="0051033F"/>
    <w:rsid w:val="00511EF3"/>
    <w:rsid w:val="0051323E"/>
    <w:rsid w:val="0051397E"/>
    <w:rsid w:val="00513E33"/>
    <w:rsid w:val="00514448"/>
    <w:rsid w:val="00514507"/>
    <w:rsid w:val="005147BD"/>
    <w:rsid w:val="00515461"/>
    <w:rsid w:val="0051714F"/>
    <w:rsid w:val="005172BB"/>
    <w:rsid w:val="005176C6"/>
    <w:rsid w:val="00517E73"/>
    <w:rsid w:val="00520DA9"/>
    <w:rsid w:val="00520E16"/>
    <w:rsid w:val="00521350"/>
    <w:rsid w:val="0052135D"/>
    <w:rsid w:val="0052227C"/>
    <w:rsid w:val="005222B7"/>
    <w:rsid w:val="005234C3"/>
    <w:rsid w:val="00523677"/>
    <w:rsid w:val="005240E8"/>
    <w:rsid w:val="0052438A"/>
    <w:rsid w:val="005248E3"/>
    <w:rsid w:val="00524C2D"/>
    <w:rsid w:val="0052510C"/>
    <w:rsid w:val="00525665"/>
    <w:rsid w:val="00525819"/>
    <w:rsid w:val="00525EEE"/>
    <w:rsid w:val="0052644D"/>
    <w:rsid w:val="005265C8"/>
    <w:rsid w:val="0052694E"/>
    <w:rsid w:val="00526E8A"/>
    <w:rsid w:val="00527A0B"/>
    <w:rsid w:val="00527C23"/>
    <w:rsid w:val="00530ECE"/>
    <w:rsid w:val="00531EC0"/>
    <w:rsid w:val="005330A4"/>
    <w:rsid w:val="0053342A"/>
    <w:rsid w:val="005334BE"/>
    <w:rsid w:val="0053416C"/>
    <w:rsid w:val="005344B7"/>
    <w:rsid w:val="005344BB"/>
    <w:rsid w:val="00535587"/>
    <w:rsid w:val="00536011"/>
    <w:rsid w:val="005368A4"/>
    <w:rsid w:val="00537091"/>
    <w:rsid w:val="005376BD"/>
    <w:rsid w:val="00537953"/>
    <w:rsid w:val="00537F03"/>
    <w:rsid w:val="0054046A"/>
    <w:rsid w:val="0054174E"/>
    <w:rsid w:val="005417E7"/>
    <w:rsid w:val="00543023"/>
    <w:rsid w:val="00543BAE"/>
    <w:rsid w:val="00544CE3"/>
    <w:rsid w:val="00545128"/>
    <w:rsid w:val="005453FD"/>
    <w:rsid w:val="00545BFD"/>
    <w:rsid w:val="00546857"/>
    <w:rsid w:val="00546C32"/>
    <w:rsid w:val="00547010"/>
    <w:rsid w:val="005471CE"/>
    <w:rsid w:val="00550083"/>
    <w:rsid w:val="0055019F"/>
    <w:rsid w:val="0055083B"/>
    <w:rsid w:val="00550B79"/>
    <w:rsid w:val="00550D19"/>
    <w:rsid w:val="0055150B"/>
    <w:rsid w:val="00551FA4"/>
    <w:rsid w:val="005532F9"/>
    <w:rsid w:val="0055334A"/>
    <w:rsid w:val="0055440B"/>
    <w:rsid w:val="0055497F"/>
    <w:rsid w:val="00554BF7"/>
    <w:rsid w:val="00555734"/>
    <w:rsid w:val="00555770"/>
    <w:rsid w:val="00555771"/>
    <w:rsid w:val="0055634A"/>
    <w:rsid w:val="00556597"/>
    <w:rsid w:val="00556E2A"/>
    <w:rsid w:val="00556F03"/>
    <w:rsid w:val="0055708D"/>
    <w:rsid w:val="00557D21"/>
    <w:rsid w:val="00557FFC"/>
    <w:rsid w:val="005601C8"/>
    <w:rsid w:val="00560BCB"/>
    <w:rsid w:val="00561615"/>
    <w:rsid w:val="005619DA"/>
    <w:rsid w:val="00561CA6"/>
    <w:rsid w:val="0056291B"/>
    <w:rsid w:val="00562BCB"/>
    <w:rsid w:val="00562FFC"/>
    <w:rsid w:val="0056398B"/>
    <w:rsid w:val="00563A89"/>
    <w:rsid w:val="00563E6C"/>
    <w:rsid w:val="00564004"/>
    <w:rsid w:val="0056463C"/>
    <w:rsid w:val="005647BE"/>
    <w:rsid w:val="0056582F"/>
    <w:rsid w:val="00565A48"/>
    <w:rsid w:val="00565A85"/>
    <w:rsid w:val="00566299"/>
    <w:rsid w:val="00566304"/>
    <w:rsid w:val="0056642D"/>
    <w:rsid w:val="00567014"/>
    <w:rsid w:val="005671E8"/>
    <w:rsid w:val="00570C98"/>
    <w:rsid w:val="0057238E"/>
    <w:rsid w:val="005725F6"/>
    <w:rsid w:val="00572D33"/>
    <w:rsid w:val="005736ED"/>
    <w:rsid w:val="0057370B"/>
    <w:rsid w:val="00573769"/>
    <w:rsid w:val="00573BFF"/>
    <w:rsid w:val="005741B2"/>
    <w:rsid w:val="00574382"/>
    <w:rsid w:val="00574ADB"/>
    <w:rsid w:val="00574B87"/>
    <w:rsid w:val="005750E8"/>
    <w:rsid w:val="00576102"/>
    <w:rsid w:val="005763DE"/>
    <w:rsid w:val="00576640"/>
    <w:rsid w:val="00576CE4"/>
    <w:rsid w:val="00577E42"/>
    <w:rsid w:val="00580704"/>
    <w:rsid w:val="00580CF2"/>
    <w:rsid w:val="00582167"/>
    <w:rsid w:val="0058242B"/>
    <w:rsid w:val="00582833"/>
    <w:rsid w:val="00582865"/>
    <w:rsid w:val="00582CD6"/>
    <w:rsid w:val="00583EF4"/>
    <w:rsid w:val="0058489A"/>
    <w:rsid w:val="005849F9"/>
    <w:rsid w:val="00584A44"/>
    <w:rsid w:val="00584E11"/>
    <w:rsid w:val="00584F9B"/>
    <w:rsid w:val="005851BB"/>
    <w:rsid w:val="0058532F"/>
    <w:rsid w:val="005854BB"/>
    <w:rsid w:val="00585C4F"/>
    <w:rsid w:val="00585F5C"/>
    <w:rsid w:val="00586573"/>
    <w:rsid w:val="00586817"/>
    <w:rsid w:val="00586B7E"/>
    <w:rsid w:val="00587063"/>
    <w:rsid w:val="00587507"/>
    <w:rsid w:val="005908D4"/>
    <w:rsid w:val="0059094B"/>
    <w:rsid w:val="00592CF5"/>
    <w:rsid w:val="00593446"/>
    <w:rsid w:val="00596A0B"/>
    <w:rsid w:val="00596A34"/>
    <w:rsid w:val="00596E05"/>
    <w:rsid w:val="00596F85"/>
    <w:rsid w:val="005970FA"/>
    <w:rsid w:val="005971C3"/>
    <w:rsid w:val="00597D42"/>
    <w:rsid w:val="00597D72"/>
    <w:rsid w:val="00597F14"/>
    <w:rsid w:val="005A0176"/>
    <w:rsid w:val="005A02E0"/>
    <w:rsid w:val="005A088E"/>
    <w:rsid w:val="005A0E05"/>
    <w:rsid w:val="005A1CB5"/>
    <w:rsid w:val="005A2298"/>
    <w:rsid w:val="005A23E5"/>
    <w:rsid w:val="005A28C1"/>
    <w:rsid w:val="005A5563"/>
    <w:rsid w:val="005A5776"/>
    <w:rsid w:val="005A57D0"/>
    <w:rsid w:val="005A5E22"/>
    <w:rsid w:val="005A60C7"/>
    <w:rsid w:val="005A6731"/>
    <w:rsid w:val="005A6F42"/>
    <w:rsid w:val="005A72FC"/>
    <w:rsid w:val="005A78CD"/>
    <w:rsid w:val="005A7E5F"/>
    <w:rsid w:val="005B0388"/>
    <w:rsid w:val="005B07CC"/>
    <w:rsid w:val="005B109A"/>
    <w:rsid w:val="005B1E7A"/>
    <w:rsid w:val="005B40DB"/>
    <w:rsid w:val="005B53AE"/>
    <w:rsid w:val="005B592C"/>
    <w:rsid w:val="005B5B3F"/>
    <w:rsid w:val="005B5EC1"/>
    <w:rsid w:val="005B5EEE"/>
    <w:rsid w:val="005B648B"/>
    <w:rsid w:val="005B6F77"/>
    <w:rsid w:val="005B6FC7"/>
    <w:rsid w:val="005B7FA9"/>
    <w:rsid w:val="005C0AD5"/>
    <w:rsid w:val="005C1547"/>
    <w:rsid w:val="005C1B57"/>
    <w:rsid w:val="005C1B8F"/>
    <w:rsid w:val="005C2006"/>
    <w:rsid w:val="005C26A6"/>
    <w:rsid w:val="005C29CF"/>
    <w:rsid w:val="005C2D8F"/>
    <w:rsid w:val="005C2EA4"/>
    <w:rsid w:val="005C2FD5"/>
    <w:rsid w:val="005C308A"/>
    <w:rsid w:val="005C3E30"/>
    <w:rsid w:val="005C4D44"/>
    <w:rsid w:val="005C4E90"/>
    <w:rsid w:val="005C5378"/>
    <w:rsid w:val="005C650A"/>
    <w:rsid w:val="005C7672"/>
    <w:rsid w:val="005C783C"/>
    <w:rsid w:val="005C78A6"/>
    <w:rsid w:val="005C78D6"/>
    <w:rsid w:val="005D0000"/>
    <w:rsid w:val="005D0144"/>
    <w:rsid w:val="005D0547"/>
    <w:rsid w:val="005D07D8"/>
    <w:rsid w:val="005D2AB9"/>
    <w:rsid w:val="005D3344"/>
    <w:rsid w:val="005D39B2"/>
    <w:rsid w:val="005D496E"/>
    <w:rsid w:val="005D4B07"/>
    <w:rsid w:val="005D60CD"/>
    <w:rsid w:val="005D693D"/>
    <w:rsid w:val="005D71B7"/>
    <w:rsid w:val="005D734B"/>
    <w:rsid w:val="005D7A38"/>
    <w:rsid w:val="005D7BD6"/>
    <w:rsid w:val="005D7C20"/>
    <w:rsid w:val="005E0120"/>
    <w:rsid w:val="005E03FF"/>
    <w:rsid w:val="005E207B"/>
    <w:rsid w:val="005E2C9B"/>
    <w:rsid w:val="005E31B5"/>
    <w:rsid w:val="005E35A8"/>
    <w:rsid w:val="005E624E"/>
    <w:rsid w:val="005E6960"/>
    <w:rsid w:val="005E6CE0"/>
    <w:rsid w:val="005E7EB8"/>
    <w:rsid w:val="005F0269"/>
    <w:rsid w:val="005F084E"/>
    <w:rsid w:val="005F12B6"/>
    <w:rsid w:val="005F18D6"/>
    <w:rsid w:val="005F18E9"/>
    <w:rsid w:val="005F2223"/>
    <w:rsid w:val="005F287F"/>
    <w:rsid w:val="005F2B8C"/>
    <w:rsid w:val="005F39D1"/>
    <w:rsid w:val="005F5B4D"/>
    <w:rsid w:val="005F7484"/>
    <w:rsid w:val="005F77B9"/>
    <w:rsid w:val="005F7E52"/>
    <w:rsid w:val="005F7F3F"/>
    <w:rsid w:val="006005C9"/>
    <w:rsid w:val="00600CC3"/>
    <w:rsid w:val="00601203"/>
    <w:rsid w:val="006019A9"/>
    <w:rsid w:val="00601D52"/>
    <w:rsid w:val="00602FC6"/>
    <w:rsid w:val="00603024"/>
    <w:rsid w:val="006034FA"/>
    <w:rsid w:val="006037C5"/>
    <w:rsid w:val="00603B5C"/>
    <w:rsid w:val="00603CD5"/>
    <w:rsid w:val="00603CDD"/>
    <w:rsid w:val="00603F94"/>
    <w:rsid w:val="0060461D"/>
    <w:rsid w:val="00604B04"/>
    <w:rsid w:val="006050C0"/>
    <w:rsid w:val="00605239"/>
    <w:rsid w:val="00605549"/>
    <w:rsid w:val="00606146"/>
    <w:rsid w:val="00607486"/>
    <w:rsid w:val="00607776"/>
    <w:rsid w:val="00607FDE"/>
    <w:rsid w:val="00610285"/>
    <w:rsid w:val="00610338"/>
    <w:rsid w:val="0061119C"/>
    <w:rsid w:val="00611274"/>
    <w:rsid w:val="006114AB"/>
    <w:rsid w:val="006116E3"/>
    <w:rsid w:val="00611BF4"/>
    <w:rsid w:val="006121BC"/>
    <w:rsid w:val="00612CBD"/>
    <w:rsid w:val="00613552"/>
    <w:rsid w:val="0061368F"/>
    <w:rsid w:val="00613860"/>
    <w:rsid w:val="00614092"/>
    <w:rsid w:val="0061446D"/>
    <w:rsid w:val="00614507"/>
    <w:rsid w:val="006147A9"/>
    <w:rsid w:val="006149AB"/>
    <w:rsid w:val="00614DC2"/>
    <w:rsid w:val="006153D0"/>
    <w:rsid w:val="006158BD"/>
    <w:rsid w:val="006159FF"/>
    <w:rsid w:val="0061606A"/>
    <w:rsid w:val="00616417"/>
    <w:rsid w:val="00616925"/>
    <w:rsid w:val="00616E97"/>
    <w:rsid w:val="00616F22"/>
    <w:rsid w:val="0061704C"/>
    <w:rsid w:val="00617061"/>
    <w:rsid w:val="006202B1"/>
    <w:rsid w:val="00620BF9"/>
    <w:rsid w:val="00620FA9"/>
    <w:rsid w:val="00621136"/>
    <w:rsid w:val="00621915"/>
    <w:rsid w:val="0062295E"/>
    <w:rsid w:val="0062334E"/>
    <w:rsid w:val="00623511"/>
    <w:rsid w:val="00623770"/>
    <w:rsid w:val="00623D6C"/>
    <w:rsid w:val="006241DC"/>
    <w:rsid w:val="00624300"/>
    <w:rsid w:val="00624400"/>
    <w:rsid w:val="00624649"/>
    <w:rsid w:val="006246A6"/>
    <w:rsid w:val="00624E51"/>
    <w:rsid w:val="006254AD"/>
    <w:rsid w:val="00626162"/>
    <w:rsid w:val="0062625C"/>
    <w:rsid w:val="006263B0"/>
    <w:rsid w:val="00627DD7"/>
    <w:rsid w:val="00630645"/>
    <w:rsid w:val="00630E32"/>
    <w:rsid w:val="00631A50"/>
    <w:rsid w:val="00631F42"/>
    <w:rsid w:val="006326F1"/>
    <w:rsid w:val="00632970"/>
    <w:rsid w:val="0063298B"/>
    <w:rsid w:val="00634719"/>
    <w:rsid w:val="00634E67"/>
    <w:rsid w:val="0063584B"/>
    <w:rsid w:val="0063584F"/>
    <w:rsid w:val="00635CA1"/>
    <w:rsid w:val="00636049"/>
    <w:rsid w:val="006360B3"/>
    <w:rsid w:val="006365D7"/>
    <w:rsid w:val="00640BE7"/>
    <w:rsid w:val="00641DF3"/>
    <w:rsid w:val="00642262"/>
    <w:rsid w:val="00642E48"/>
    <w:rsid w:val="006434C3"/>
    <w:rsid w:val="006438F4"/>
    <w:rsid w:val="00643D27"/>
    <w:rsid w:val="0064450E"/>
    <w:rsid w:val="00645BE3"/>
    <w:rsid w:val="0064744A"/>
    <w:rsid w:val="006500BC"/>
    <w:rsid w:val="006503E8"/>
    <w:rsid w:val="00650452"/>
    <w:rsid w:val="00650AB4"/>
    <w:rsid w:val="00651095"/>
    <w:rsid w:val="00651384"/>
    <w:rsid w:val="006525C5"/>
    <w:rsid w:val="0065268D"/>
    <w:rsid w:val="00652AC1"/>
    <w:rsid w:val="00653CC7"/>
    <w:rsid w:val="00653E24"/>
    <w:rsid w:val="00653F28"/>
    <w:rsid w:val="006543B5"/>
    <w:rsid w:val="006548D2"/>
    <w:rsid w:val="00654A4A"/>
    <w:rsid w:val="00654C90"/>
    <w:rsid w:val="0065523F"/>
    <w:rsid w:val="0065545A"/>
    <w:rsid w:val="00655907"/>
    <w:rsid w:val="00655BE7"/>
    <w:rsid w:val="00656229"/>
    <w:rsid w:val="0065643F"/>
    <w:rsid w:val="006565C3"/>
    <w:rsid w:val="006570E0"/>
    <w:rsid w:val="006575E2"/>
    <w:rsid w:val="00657E35"/>
    <w:rsid w:val="006608AA"/>
    <w:rsid w:val="00660E98"/>
    <w:rsid w:val="0066196F"/>
    <w:rsid w:val="0066238D"/>
    <w:rsid w:val="0066339D"/>
    <w:rsid w:val="0066618F"/>
    <w:rsid w:val="006661CF"/>
    <w:rsid w:val="0066767D"/>
    <w:rsid w:val="00670985"/>
    <w:rsid w:val="00671163"/>
    <w:rsid w:val="00671191"/>
    <w:rsid w:val="006719BC"/>
    <w:rsid w:val="006720D0"/>
    <w:rsid w:val="0067231E"/>
    <w:rsid w:val="0067260B"/>
    <w:rsid w:val="00672E53"/>
    <w:rsid w:val="0067368D"/>
    <w:rsid w:val="00673BE4"/>
    <w:rsid w:val="00674295"/>
    <w:rsid w:val="00674DB8"/>
    <w:rsid w:val="006753F0"/>
    <w:rsid w:val="00675874"/>
    <w:rsid w:val="00675C3B"/>
    <w:rsid w:val="00676056"/>
    <w:rsid w:val="006766F1"/>
    <w:rsid w:val="00676B73"/>
    <w:rsid w:val="00676B90"/>
    <w:rsid w:val="00676F82"/>
    <w:rsid w:val="0067724F"/>
    <w:rsid w:val="006773BA"/>
    <w:rsid w:val="00680DB0"/>
    <w:rsid w:val="006810C9"/>
    <w:rsid w:val="00681252"/>
    <w:rsid w:val="006813A3"/>
    <w:rsid w:val="006818A8"/>
    <w:rsid w:val="00681A51"/>
    <w:rsid w:val="00681FF5"/>
    <w:rsid w:val="00682469"/>
    <w:rsid w:val="006824CE"/>
    <w:rsid w:val="006831A2"/>
    <w:rsid w:val="006832E0"/>
    <w:rsid w:val="006835A1"/>
    <w:rsid w:val="00683786"/>
    <w:rsid w:val="00683D97"/>
    <w:rsid w:val="00683DC9"/>
    <w:rsid w:val="00683E00"/>
    <w:rsid w:val="00683F4C"/>
    <w:rsid w:val="00684EDF"/>
    <w:rsid w:val="00684FCA"/>
    <w:rsid w:val="00685FEC"/>
    <w:rsid w:val="006864EF"/>
    <w:rsid w:val="00686B5C"/>
    <w:rsid w:val="00686F6F"/>
    <w:rsid w:val="006873F4"/>
    <w:rsid w:val="00690434"/>
    <w:rsid w:val="00690772"/>
    <w:rsid w:val="00690B7F"/>
    <w:rsid w:val="00690F3F"/>
    <w:rsid w:val="006915A4"/>
    <w:rsid w:val="00691616"/>
    <w:rsid w:val="00693C6C"/>
    <w:rsid w:val="00694399"/>
    <w:rsid w:val="00694C9E"/>
    <w:rsid w:val="00694EF0"/>
    <w:rsid w:val="00695909"/>
    <w:rsid w:val="0069615C"/>
    <w:rsid w:val="0069637E"/>
    <w:rsid w:val="006963E2"/>
    <w:rsid w:val="006964F9"/>
    <w:rsid w:val="00696997"/>
    <w:rsid w:val="00696F57"/>
    <w:rsid w:val="00696FD1"/>
    <w:rsid w:val="006975C9"/>
    <w:rsid w:val="00697C62"/>
    <w:rsid w:val="006A05B9"/>
    <w:rsid w:val="006A0FF6"/>
    <w:rsid w:val="006A132B"/>
    <w:rsid w:val="006A18CA"/>
    <w:rsid w:val="006A2E01"/>
    <w:rsid w:val="006A30BC"/>
    <w:rsid w:val="006A3871"/>
    <w:rsid w:val="006A46BA"/>
    <w:rsid w:val="006A4CED"/>
    <w:rsid w:val="006A4EB0"/>
    <w:rsid w:val="006A5046"/>
    <w:rsid w:val="006A6123"/>
    <w:rsid w:val="006A6276"/>
    <w:rsid w:val="006A6297"/>
    <w:rsid w:val="006A62D2"/>
    <w:rsid w:val="006A6533"/>
    <w:rsid w:val="006A6940"/>
    <w:rsid w:val="006A7477"/>
    <w:rsid w:val="006A758C"/>
    <w:rsid w:val="006A77DA"/>
    <w:rsid w:val="006A7B6A"/>
    <w:rsid w:val="006B0DAA"/>
    <w:rsid w:val="006B11B1"/>
    <w:rsid w:val="006B1395"/>
    <w:rsid w:val="006B19F1"/>
    <w:rsid w:val="006B1D96"/>
    <w:rsid w:val="006B23A6"/>
    <w:rsid w:val="006B23EF"/>
    <w:rsid w:val="006B28C8"/>
    <w:rsid w:val="006B47DB"/>
    <w:rsid w:val="006B4937"/>
    <w:rsid w:val="006B55A0"/>
    <w:rsid w:val="006B70E8"/>
    <w:rsid w:val="006C003C"/>
    <w:rsid w:val="006C00F8"/>
    <w:rsid w:val="006C02AE"/>
    <w:rsid w:val="006C0FCD"/>
    <w:rsid w:val="006C1503"/>
    <w:rsid w:val="006C1EEC"/>
    <w:rsid w:val="006C21E6"/>
    <w:rsid w:val="006C22B1"/>
    <w:rsid w:val="006C27C1"/>
    <w:rsid w:val="006C27F9"/>
    <w:rsid w:val="006C2823"/>
    <w:rsid w:val="006C2DC5"/>
    <w:rsid w:val="006C36AB"/>
    <w:rsid w:val="006C3C9F"/>
    <w:rsid w:val="006C3FEA"/>
    <w:rsid w:val="006C4465"/>
    <w:rsid w:val="006C44F5"/>
    <w:rsid w:val="006C4B6C"/>
    <w:rsid w:val="006C52CF"/>
    <w:rsid w:val="006C5A86"/>
    <w:rsid w:val="006C5BE0"/>
    <w:rsid w:val="006C5D0D"/>
    <w:rsid w:val="006C5D88"/>
    <w:rsid w:val="006C5E1E"/>
    <w:rsid w:val="006C61E6"/>
    <w:rsid w:val="006C68F6"/>
    <w:rsid w:val="006C69E7"/>
    <w:rsid w:val="006C7653"/>
    <w:rsid w:val="006D005B"/>
    <w:rsid w:val="006D06A1"/>
    <w:rsid w:val="006D10AE"/>
    <w:rsid w:val="006D1551"/>
    <w:rsid w:val="006D1E9A"/>
    <w:rsid w:val="006D29F2"/>
    <w:rsid w:val="006D2DEF"/>
    <w:rsid w:val="006D47AC"/>
    <w:rsid w:val="006D4B0B"/>
    <w:rsid w:val="006D4F68"/>
    <w:rsid w:val="006D59C3"/>
    <w:rsid w:val="006D5B46"/>
    <w:rsid w:val="006D5C36"/>
    <w:rsid w:val="006D5C61"/>
    <w:rsid w:val="006D65F0"/>
    <w:rsid w:val="006D68F2"/>
    <w:rsid w:val="006D7151"/>
    <w:rsid w:val="006D7CA2"/>
    <w:rsid w:val="006D7F87"/>
    <w:rsid w:val="006E065B"/>
    <w:rsid w:val="006E09D3"/>
    <w:rsid w:val="006E1384"/>
    <w:rsid w:val="006E1B99"/>
    <w:rsid w:val="006E1E6C"/>
    <w:rsid w:val="006E2952"/>
    <w:rsid w:val="006E2AC6"/>
    <w:rsid w:val="006E2FAD"/>
    <w:rsid w:val="006E4667"/>
    <w:rsid w:val="006E4A3E"/>
    <w:rsid w:val="006E5505"/>
    <w:rsid w:val="006E5FE9"/>
    <w:rsid w:val="006E6530"/>
    <w:rsid w:val="006E6C03"/>
    <w:rsid w:val="006E7A93"/>
    <w:rsid w:val="006E7F67"/>
    <w:rsid w:val="006F00A1"/>
    <w:rsid w:val="006F09E0"/>
    <w:rsid w:val="006F240A"/>
    <w:rsid w:val="006F2D83"/>
    <w:rsid w:val="006F2FB3"/>
    <w:rsid w:val="006F3E4B"/>
    <w:rsid w:val="006F3F8B"/>
    <w:rsid w:val="006F44B1"/>
    <w:rsid w:val="006F467F"/>
    <w:rsid w:val="006F4C5C"/>
    <w:rsid w:val="006F531B"/>
    <w:rsid w:val="006F55A7"/>
    <w:rsid w:val="006F5E87"/>
    <w:rsid w:val="006F62BC"/>
    <w:rsid w:val="006F64CE"/>
    <w:rsid w:val="006F6560"/>
    <w:rsid w:val="006F6803"/>
    <w:rsid w:val="006F68DC"/>
    <w:rsid w:val="007009A9"/>
    <w:rsid w:val="007014F2"/>
    <w:rsid w:val="007015E9"/>
    <w:rsid w:val="0070166E"/>
    <w:rsid w:val="007016CE"/>
    <w:rsid w:val="00702212"/>
    <w:rsid w:val="00702493"/>
    <w:rsid w:val="007028E2"/>
    <w:rsid w:val="00703073"/>
    <w:rsid w:val="00703ADF"/>
    <w:rsid w:val="00703DC4"/>
    <w:rsid w:val="0070422C"/>
    <w:rsid w:val="00705002"/>
    <w:rsid w:val="0070568B"/>
    <w:rsid w:val="00705BA1"/>
    <w:rsid w:val="00706185"/>
    <w:rsid w:val="0070632D"/>
    <w:rsid w:val="00706E8C"/>
    <w:rsid w:val="00707197"/>
    <w:rsid w:val="007074E7"/>
    <w:rsid w:val="00707ADD"/>
    <w:rsid w:val="00707EB2"/>
    <w:rsid w:val="00710090"/>
    <w:rsid w:val="00710FB6"/>
    <w:rsid w:val="0071129F"/>
    <w:rsid w:val="00711A5E"/>
    <w:rsid w:val="00711BCA"/>
    <w:rsid w:val="00711C73"/>
    <w:rsid w:val="0071255D"/>
    <w:rsid w:val="0071269D"/>
    <w:rsid w:val="0071327C"/>
    <w:rsid w:val="00714F3B"/>
    <w:rsid w:val="00714FAC"/>
    <w:rsid w:val="00715526"/>
    <w:rsid w:val="0071599A"/>
    <w:rsid w:val="00715AD4"/>
    <w:rsid w:val="007166F7"/>
    <w:rsid w:val="00716AEF"/>
    <w:rsid w:val="00716DE5"/>
    <w:rsid w:val="00717076"/>
    <w:rsid w:val="00717296"/>
    <w:rsid w:val="00717361"/>
    <w:rsid w:val="00720236"/>
    <w:rsid w:val="00720798"/>
    <w:rsid w:val="00720AFC"/>
    <w:rsid w:val="007213BA"/>
    <w:rsid w:val="00721D55"/>
    <w:rsid w:val="00721E38"/>
    <w:rsid w:val="007221E2"/>
    <w:rsid w:val="00722D4D"/>
    <w:rsid w:val="00722DAD"/>
    <w:rsid w:val="0072329A"/>
    <w:rsid w:val="00723331"/>
    <w:rsid w:val="007234D0"/>
    <w:rsid w:val="007238D1"/>
    <w:rsid w:val="00723BA9"/>
    <w:rsid w:val="007246AF"/>
    <w:rsid w:val="007255DA"/>
    <w:rsid w:val="007256A4"/>
    <w:rsid w:val="007257BF"/>
    <w:rsid w:val="00725CF1"/>
    <w:rsid w:val="007260EF"/>
    <w:rsid w:val="00726E39"/>
    <w:rsid w:val="00727370"/>
    <w:rsid w:val="007273CD"/>
    <w:rsid w:val="00727BF7"/>
    <w:rsid w:val="0073170A"/>
    <w:rsid w:val="007317D8"/>
    <w:rsid w:val="00731CC8"/>
    <w:rsid w:val="00733BBC"/>
    <w:rsid w:val="00734108"/>
    <w:rsid w:val="00735D9E"/>
    <w:rsid w:val="00736257"/>
    <w:rsid w:val="00737C8C"/>
    <w:rsid w:val="00737E56"/>
    <w:rsid w:val="00740008"/>
    <w:rsid w:val="007401AE"/>
    <w:rsid w:val="00740720"/>
    <w:rsid w:val="00740D6D"/>
    <w:rsid w:val="00741087"/>
    <w:rsid w:val="0074109C"/>
    <w:rsid w:val="00741662"/>
    <w:rsid w:val="00742335"/>
    <w:rsid w:val="00742842"/>
    <w:rsid w:val="00742B94"/>
    <w:rsid w:val="00742CC6"/>
    <w:rsid w:val="00742E84"/>
    <w:rsid w:val="00743445"/>
    <w:rsid w:val="00743A18"/>
    <w:rsid w:val="00744F02"/>
    <w:rsid w:val="00745DDB"/>
    <w:rsid w:val="00745E86"/>
    <w:rsid w:val="00746529"/>
    <w:rsid w:val="00747151"/>
    <w:rsid w:val="007476D8"/>
    <w:rsid w:val="00750914"/>
    <w:rsid w:val="00750FF5"/>
    <w:rsid w:val="00751CC6"/>
    <w:rsid w:val="0075219D"/>
    <w:rsid w:val="007522CB"/>
    <w:rsid w:val="00752675"/>
    <w:rsid w:val="00753376"/>
    <w:rsid w:val="00753936"/>
    <w:rsid w:val="00753D8E"/>
    <w:rsid w:val="007543B0"/>
    <w:rsid w:val="007547DC"/>
    <w:rsid w:val="0075493A"/>
    <w:rsid w:val="007555F3"/>
    <w:rsid w:val="0075607C"/>
    <w:rsid w:val="00756352"/>
    <w:rsid w:val="007568A9"/>
    <w:rsid w:val="0075754A"/>
    <w:rsid w:val="007602FA"/>
    <w:rsid w:val="00760700"/>
    <w:rsid w:val="00760BB3"/>
    <w:rsid w:val="00761514"/>
    <w:rsid w:val="00761516"/>
    <w:rsid w:val="00761628"/>
    <w:rsid w:val="007616E9"/>
    <w:rsid w:val="00761918"/>
    <w:rsid w:val="00761E39"/>
    <w:rsid w:val="00761FFE"/>
    <w:rsid w:val="00762028"/>
    <w:rsid w:val="00762C9E"/>
    <w:rsid w:val="007636E3"/>
    <w:rsid w:val="007639C8"/>
    <w:rsid w:val="00763CE7"/>
    <w:rsid w:val="007640FA"/>
    <w:rsid w:val="00765580"/>
    <w:rsid w:val="0076626E"/>
    <w:rsid w:val="00766966"/>
    <w:rsid w:val="00766B5C"/>
    <w:rsid w:val="0076756D"/>
    <w:rsid w:val="00767B1E"/>
    <w:rsid w:val="00770843"/>
    <w:rsid w:val="007710A8"/>
    <w:rsid w:val="00771AC0"/>
    <w:rsid w:val="00771F65"/>
    <w:rsid w:val="007723E5"/>
    <w:rsid w:val="00772459"/>
    <w:rsid w:val="0077324D"/>
    <w:rsid w:val="00773428"/>
    <w:rsid w:val="007734F5"/>
    <w:rsid w:val="00773792"/>
    <w:rsid w:val="007739BB"/>
    <w:rsid w:val="00774872"/>
    <w:rsid w:val="00774C73"/>
    <w:rsid w:val="00774D3C"/>
    <w:rsid w:val="00774F82"/>
    <w:rsid w:val="007753BD"/>
    <w:rsid w:val="00775C65"/>
    <w:rsid w:val="0077639A"/>
    <w:rsid w:val="0077779D"/>
    <w:rsid w:val="0077784B"/>
    <w:rsid w:val="0078041F"/>
    <w:rsid w:val="007804C9"/>
    <w:rsid w:val="0078090E"/>
    <w:rsid w:val="0078100C"/>
    <w:rsid w:val="0078133A"/>
    <w:rsid w:val="0078157F"/>
    <w:rsid w:val="00783276"/>
    <w:rsid w:val="007837B6"/>
    <w:rsid w:val="00783C94"/>
    <w:rsid w:val="00786F48"/>
    <w:rsid w:val="0078731D"/>
    <w:rsid w:val="0078772C"/>
    <w:rsid w:val="007878E4"/>
    <w:rsid w:val="00787F13"/>
    <w:rsid w:val="0079040C"/>
    <w:rsid w:val="00790B79"/>
    <w:rsid w:val="007913AA"/>
    <w:rsid w:val="00791574"/>
    <w:rsid w:val="00791970"/>
    <w:rsid w:val="00793292"/>
    <w:rsid w:val="00793392"/>
    <w:rsid w:val="00793655"/>
    <w:rsid w:val="00794528"/>
    <w:rsid w:val="007963BD"/>
    <w:rsid w:val="00796F1F"/>
    <w:rsid w:val="007970F3"/>
    <w:rsid w:val="00797AB1"/>
    <w:rsid w:val="00797C82"/>
    <w:rsid w:val="007A13DD"/>
    <w:rsid w:val="007A188A"/>
    <w:rsid w:val="007A1DC8"/>
    <w:rsid w:val="007A2821"/>
    <w:rsid w:val="007A28C7"/>
    <w:rsid w:val="007A307F"/>
    <w:rsid w:val="007A33B5"/>
    <w:rsid w:val="007A3542"/>
    <w:rsid w:val="007A3D82"/>
    <w:rsid w:val="007A4783"/>
    <w:rsid w:val="007A4904"/>
    <w:rsid w:val="007A4D27"/>
    <w:rsid w:val="007A5191"/>
    <w:rsid w:val="007A5C4A"/>
    <w:rsid w:val="007A5CF5"/>
    <w:rsid w:val="007A5F19"/>
    <w:rsid w:val="007A61BA"/>
    <w:rsid w:val="007A66F2"/>
    <w:rsid w:val="007A6734"/>
    <w:rsid w:val="007A6753"/>
    <w:rsid w:val="007A6A2A"/>
    <w:rsid w:val="007A70D8"/>
    <w:rsid w:val="007A7B99"/>
    <w:rsid w:val="007B04EE"/>
    <w:rsid w:val="007B0500"/>
    <w:rsid w:val="007B08F2"/>
    <w:rsid w:val="007B0CF4"/>
    <w:rsid w:val="007B111B"/>
    <w:rsid w:val="007B16BB"/>
    <w:rsid w:val="007B170F"/>
    <w:rsid w:val="007B2676"/>
    <w:rsid w:val="007B3191"/>
    <w:rsid w:val="007B35B3"/>
    <w:rsid w:val="007B39A0"/>
    <w:rsid w:val="007B3AE8"/>
    <w:rsid w:val="007B3DB5"/>
    <w:rsid w:val="007B4418"/>
    <w:rsid w:val="007B4B29"/>
    <w:rsid w:val="007B4BAB"/>
    <w:rsid w:val="007B4E99"/>
    <w:rsid w:val="007B5605"/>
    <w:rsid w:val="007B57A9"/>
    <w:rsid w:val="007B5F62"/>
    <w:rsid w:val="007B66B3"/>
    <w:rsid w:val="007B7077"/>
    <w:rsid w:val="007B7A03"/>
    <w:rsid w:val="007C0613"/>
    <w:rsid w:val="007C1748"/>
    <w:rsid w:val="007C1C46"/>
    <w:rsid w:val="007C2E36"/>
    <w:rsid w:val="007C3003"/>
    <w:rsid w:val="007C4378"/>
    <w:rsid w:val="007C45D2"/>
    <w:rsid w:val="007C4A68"/>
    <w:rsid w:val="007C61D4"/>
    <w:rsid w:val="007C61FD"/>
    <w:rsid w:val="007C644D"/>
    <w:rsid w:val="007C6A51"/>
    <w:rsid w:val="007C6B60"/>
    <w:rsid w:val="007C6F85"/>
    <w:rsid w:val="007C7FB9"/>
    <w:rsid w:val="007D05AE"/>
    <w:rsid w:val="007D0D83"/>
    <w:rsid w:val="007D102E"/>
    <w:rsid w:val="007D1997"/>
    <w:rsid w:val="007D1EEC"/>
    <w:rsid w:val="007D2D38"/>
    <w:rsid w:val="007D3065"/>
    <w:rsid w:val="007D308A"/>
    <w:rsid w:val="007D3514"/>
    <w:rsid w:val="007D377A"/>
    <w:rsid w:val="007D3AA0"/>
    <w:rsid w:val="007D3BA2"/>
    <w:rsid w:val="007D3EBE"/>
    <w:rsid w:val="007D3FE2"/>
    <w:rsid w:val="007D4066"/>
    <w:rsid w:val="007D43C5"/>
    <w:rsid w:val="007D4AE4"/>
    <w:rsid w:val="007D4BF2"/>
    <w:rsid w:val="007D5516"/>
    <w:rsid w:val="007D5690"/>
    <w:rsid w:val="007D61AB"/>
    <w:rsid w:val="007D64F9"/>
    <w:rsid w:val="007D67C6"/>
    <w:rsid w:val="007D69FA"/>
    <w:rsid w:val="007D7221"/>
    <w:rsid w:val="007D79BF"/>
    <w:rsid w:val="007E0066"/>
    <w:rsid w:val="007E03AF"/>
    <w:rsid w:val="007E0F00"/>
    <w:rsid w:val="007E1206"/>
    <w:rsid w:val="007E132D"/>
    <w:rsid w:val="007E1487"/>
    <w:rsid w:val="007E1600"/>
    <w:rsid w:val="007E1DC7"/>
    <w:rsid w:val="007E1E40"/>
    <w:rsid w:val="007E21D2"/>
    <w:rsid w:val="007E303C"/>
    <w:rsid w:val="007E4A6A"/>
    <w:rsid w:val="007E60D6"/>
    <w:rsid w:val="007E6523"/>
    <w:rsid w:val="007E68E6"/>
    <w:rsid w:val="007E6AE5"/>
    <w:rsid w:val="007F08E5"/>
    <w:rsid w:val="007F11BE"/>
    <w:rsid w:val="007F1DA3"/>
    <w:rsid w:val="007F2239"/>
    <w:rsid w:val="007F296F"/>
    <w:rsid w:val="007F2EE3"/>
    <w:rsid w:val="007F309F"/>
    <w:rsid w:val="007F3D26"/>
    <w:rsid w:val="007F4491"/>
    <w:rsid w:val="007F4DCB"/>
    <w:rsid w:val="007F4DEB"/>
    <w:rsid w:val="007F520D"/>
    <w:rsid w:val="007F54D1"/>
    <w:rsid w:val="007F5CF1"/>
    <w:rsid w:val="007F5F83"/>
    <w:rsid w:val="007F6A31"/>
    <w:rsid w:val="007F71EB"/>
    <w:rsid w:val="007F77D8"/>
    <w:rsid w:val="007F7AA2"/>
    <w:rsid w:val="007F7FCE"/>
    <w:rsid w:val="008008C7"/>
    <w:rsid w:val="00800B96"/>
    <w:rsid w:val="00800F7A"/>
    <w:rsid w:val="00802076"/>
    <w:rsid w:val="008026BC"/>
    <w:rsid w:val="00802B2B"/>
    <w:rsid w:val="008034FA"/>
    <w:rsid w:val="00803AD4"/>
    <w:rsid w:val="00803EAD"/>
    <w:rsid w:val="0080409C"/>
    <w:rsid w:val="008041A2"/>
    <w:rsid w:val="00804988"/>
    <w:rsid w:val="00804C8B"/>
    <w:rsid w:val="00804CDC"/>
    <w:rsid w:val="0080503A"/>
    <w:rsid w:val="00805C8E"/>
    <w:rsid w:val="00806AD3"/>
    <w:rsid w:val="00806B30"/>
    <w:rsid w:val="008073AA"/>
    <w:rsid w:val="0080798D"/>
    <w:rsid w:val="00807E1C"/>
    <w:rsid w:val="00810603"/>
    <w:rsid w:val="008115E8"/>
    <w:rsid w:val="0081184C"/>
    <w:rsid w:val="00811C59"/>
    <w:rsid w:val="00812CEB"/>
    <w:rsid w:val="008132E2"/>
    <w:rsid w:val="00814283"/>
    <w:rsid w:val="00814810"/>
    <w:rsid w:val="00816312"/>
    <w:rsid w:val="008168E3"/>
    <w:rsid w:val="00816B1F"/>
    <w:rsid w:val="00817DC9"/>
    <w:rsid w:val="00820122"/>
    <w:rsid w:val="00820209"/>
    <w:rsid w:val="00820F35"/>
    <w:rsid w:val="00820FEC"/>
    <w:rsid w:val="00821B58"/>
    <w:rsid w:val="00821BB3"/>
    <w:rsid w:val="00822208"/>
    <w:rsid w:val="0082393D"/>
    <w:rsid w:val="00823EC0"/>
    <w:rsid w:val="00823F21"/>
    <w:rsid w:val="0082457E"/>
    <w:rsid w:val="0082596E"/>
    <w:rsid w:val="0082646F"/>
    <w:rsid w:val="00826B20"/>
    <w:rsid w:val="00830576"/>
    <w:rsid w:val="00830B6D"/>
    <w:rsid w:val="00830BFE"/>
    <w:rsid w:val="00831572"/>
    <w:rsid w:val="00831ABB"/>
    <w:rsid w:val="00831BDB"/>
    <w:rsid w:val="00831C79"/>
    <w:rsid w:val="008323A7"/>
    <w:rsid w:val="00832C70"/>
    <w:rsid w:val="00832E73"/>
    <w:rsid w:val="0083324D"/>
    <w:rsid w:val="008334CC"/>
    <w:rsid w:val="0083371D"/>
    <w:rsid w:val="00833C2C"/>
    <w:rsid w:val="008341F4"/>
    <w:rsid w:val="00835325"/>
    <w:rsid w:val="00835B1B"/>
    <w:rsid w:val="0083601E"/>
    <w:rsid w:val="008365FB"/>
    <w:rsid w:val="00836796"/>
    <w:rsid w:val="00837930"/>
    <w:rsid w:val="00837C02"/>
    <w:rsid w:val="00837F65"/>
    <w:rsid w:val="008409CE"/>
    <w:rsid w:val="00840ECB"/>
    <w:rsid w:val="0084160B"/>
    <w:rsid w:val="00841733"/>
    <w:rsid w:val="00842163"/>
    <w:rsid w:val="0084246E"/>
    <w:rsid w:val="00842BAC"/>
    <w:rsid w:val="00843293"/>
    <w:rsid w:val="00843432"/>
    <w:rsid w:val="008435B9"/>
    <w:rsid w:val="00843B2D"/>
    <w:rsid w:val="00844228"/>
    <w:rsid w:val="008442EA"/>
    <w:rsid w:val="00844350"/>
    <w:rsid w:val="008448C2"/>
    <w:rsid w:val="00844D38"/>
    <w:rsid w:val="00844D85"/>
    <w:rsid w:val="0084519A"/>
    <w:rsid w:val="00845530"/>
    <w:rsid w:val="008457FF"/>
    <w:rsid w:val="0084586B"/>
    <w:rsid w:val="008459FC"/>
    <w:rsid w:val="00845A54"/>
    <w:rsid w:val="00845A94"/>
    <w:rsid w:val="00845F2E"/>
    <w:rsid w:val="008462F7"/>
    <w:rsid w:val="0084646B"/>
    <w:rsid w:val="0084652E"/>
    <w:rsid w:val="00846CB7"/>
    <w:rsid w:val="00846E97"/>
    <w:rsid w:val="00850075"/>
    <w:rsid w:val="00851265"/>
    <w:rsid w:val="00851759"/>
    <w:rsid w:val="008524BE"/>
    <w:rsid w:val="008529CE"/>
    <w:rsid w:val="0085310F"/>
    <w:rsid w:val="00853B68"/>
    <w:rsid w:val="00853B69"/>
    <w:rsid w:val="00853BC2"/>
    <w:rsid w:val="00854278"/>
    <w:rsid w:val="0085485D"/>
    <w:rsid w:val="00854960"/>
    <w:rsid w:val="008549B9"/>
    <w:rsid w:val="00854ECE"/>
    <w:rsid w:val="00854F43"/>
    <w:rsid w:val="00855597"/>
    <w:rsid w:val="0085585E"/>
    <w:rsid w:val="00855ED4"/>
    <w:rsid w:val="00856063"/>
    <w:rsid w:val="008561CC"/>
    <w:rsid w:val="00856859"/>
    <w:rsid w:val="00856A88"/>
    <w:rsid w:val="00856CCC"/>
    <w:rsid w:val="00856E28"/>
    <w:rsid w:val="008570FD"/>
    <w:rsid w:val="00857677"/>
    <w:rsid w:val="00857C0D"/>
    <w:rsid w:val="00857CD1"/>
    <w:rsid w:val="008603F1"/>
    <w:rsid w:val="008607B2"/>
    <w:rsid w:val="0086131F"/>
    <w:rsid w:val="008619CB"/>
    <w:rsid w:val="00861A47"/>
    <w:rsid w:val="00862049"/>
    <w:rsid w:val="008621E9"/>
    <w:rsid w:val="0086236A"/>
    <w:rsid w:val="008623C7"/>
    <w:rsid w:val="00862E3D"/>
    <w:rsid w:val="00863585"/>
    <w:rsid w:val="00863999"/>
    <w:rsid w:val="00863A1F"/>
    <w:rsid w:val="00866917"/>
    <w:rsid w:val="00866A27"/>
    <w:rsid w:val="00866CA4"/>
    <w:rsid w:val="00866E5B"/>
    <w:rsid w:val="008679A8"/>
    <w:rsid w:val="0087035A"/>
    <w:rsid w:val="00870825"/>
    <w:rsid w:val="00870C0B"/>
    <w:rsid w:val="00870E67"/>
    <w:rsid w:val="008715B8"/>
    <w:rsid w:val="00871DF2"/>
    <w:rsid w:val="0087236E"/>
    <w:rsid w:val="0087242B"/>
    <w:rsid w:val="0087259F"/>
    <w:rsid w:val="00872827"/>
    <w:rsid w:val="008732BB"/>
    <w:rsid w:val="0087347D"/>
    <w:rsid w:val="0087357A"/>
    <w:rsid w:val="008735BF"/>
    <w:rsid w:val="008736F9"/>
    <w:rsid w:val="008747D2"/>
    <w:rsid w:val="00874E96"/>
    <w:rsid w:val="00874EC0"/>
    <w:rsid w:val="00875983"/>
    <w:rsid w:val="00876021"/>
    <w:rsid w:val="00876356"/>
    <w:rsid w:val="00877078"/>
    <w:rsid w:val="00877A1A"/>
    <w:rsid w:val="008809E5"/>
    <w:rsid w:val="00881667"/>
    <w:rsid w:val="008816AD"/>
    <w:rsid w:val="00881E0C"/>
    <w:rsid w:val="00882093"/>
    <w:rsid w:val="00882A0C"/>
    <w:rsid w:val="00882DAD"/>
    <w:rsid w:val="0088362B"/>
    <w:rsid w:val="00883A30"/>
    <w:rsid w:val="00883B9B"/>
    <w:rsid w:val="00883F48"/>
    <w:rsid w:val="0088482C"/>
    <w:rsid w:val="00884A9B"/>
    <w:rsid w:val="00884CA0"/>
    <w:rsid w:val="008850F1"/>
    <w:rsid w:val="0088562E"/>
    <w:rsid w:val="008868BE"/>
    <w:rsid w:val="0088731A"/>
    <w:rsid w:val="008876F1"/>
    <w:rsid w:val="0088784C"/>
    <w:rsid w:val="00887DC0"/>
    <w:rsid w:val="0089060B"/>
    <w:rsid w:val="00891DA9"/>
    <w:rsid w:val="00892DA5"/>
    <w:rsid w:val="0089310B"/>
    <w:rsid w:val="00893566"/>
    <w:rsid w:val="008936A7"/>
    <w:rsid w:val="00893B9A"/>
    <w:rsid w:val="008940BF"/>
    <w:rsid w:val="008949B1"/>
    <w:rsid w:val="00894B4B"/>
    <w:rsid w:val="008954FB"/>
    <w:rsid w:val="008957EE"/>
    <w:rsid w:val="00896315"/>
    <w:rsid w:val="0089713E"/>
    <w:rsid w:val="00897619"/>
    <w:rsid w:val="00897980"/>
    <w:rsid w:val="008979F5"/>
    <w:rsid w:val="00897FA1"/>
    <w:rsid w:val="008A03F5"/>
    <w:rsid w:val="008A08F8"/>
    <w:rsid w:val="008A0AA4"/>
    <w:rsid w:val="008A10F3"/>
    <w:rsid w:val="008A15E1"/>
    <w:rsid w:val="008A1D86"/>
    <w:rsid w:val="008A2431"/>
    <w:rsid w:val="008A2BC4"/>
    <w:rsid w:val="008A4450"/>
    <w:rsid w:val="008A5C0F"/>
    <w:rsid w:val="008A5D39"/>
    <w:rsid w:val="008A68F6"/>
    <w:rsid w:val="008A6ADA"/>
    <w:rsid w:val="008A7143"/>
    <w:rsid w:val="008A73F4"/>
    <w:rsid w:val="008A7E9E"/>
    <w:rsid w:val="008A7EF6"/>
    <w:rsid w:val="008B0421"/>
    <w:rsid w:val="008B1596"/>
    <w:rsid w:val="008B1B79"/>
    <w:rsid w:val="008B2174"/>
    <w:rsid w:val="008B3B46"/>
    <w:rsid w:val="008B424E"/>
    <w:rsid w:val="008B42D2"/>
    <w:rsid w:val="008B441E"/>
    <w:rsid w:val="008B4A40"/>
    <w:rsid w:val="008B5685"/>
    <w:rsid w:val="008B6057"/>
    <w:rsid w:val="008B612B"/>
    <w:rsid w:val="008B6288"/>
    <w:rsid w:val="008B62EA"/>
    <w:rsid w:val="008B6B55"/>
    <w:rsid w:val="008B6DF9"/>
    <w:rsid w:val="008B7B6B"/>
    <w:rsid w:val="008C09C4"/>
    <w:rsid w:val="008C1260"/>
    <w:rsid w:val="008C1F44"/>
    <w:rsid w:val="008C232C"/>
    <w:rsid w:val="008C23BE"/>
    <w:rsid w:val="008C2720"/>
    <w:rsid w:val="008C29E1"/>
    <w:rsid w:val="008C3123"/>
    <w:rsid w:val="008C3169"/>
    <w:rsid w:val="008C3512"/>
    <w:rsid w:val="008C3983"/>
    <w:rsid w:val="008C3B90"/>
    <w:rsid w:val="008C473C"/>
    <w:rsid w:val="008C4A47"/>
    <w:rsid w:val="008C4AE2"/>
    <w:rsid w:val="008C5742"/>
    <w:rsid w:val="008C646F"/>
    <w:rsid w:val="008C64FD"/>
    <w:rsid w:val="008C6B7B"/>
    <w:rsid w:val="008D033D"/>
    <w:rsid w:val="008D11D0"/>
    <w:rsid w:val="008D1594"/>
    <w:rsid w:val="008D159A"/>
    <w:rsid w:val="008D1D4F"/>
    <w:rsid w:val="008D3D6D"/>
    <w:rsid w:val="008D3FEE"/>
    <w:rsid w:val="008D42F1"/>
    <w:rsid w:val="008D5C04"/>
    <w:rsid w:val="008D5F18"/>
    <w:rsid w:val="008D6E45"/>
    <w:rsid w:val="008D78A1"/>
    <w:rsid w:val="008D7B15"/>
    <w:rsid w:val="008D7E01"/>
    <w:rsid w:val="008E04B3"/>
    <w:rsid w:val="008E1697"/>
    <w:rsid w:val="008E19DD"/>
    <w:rsid w:val="008E35AD"/>
    <w:rsid w:val="008E3869"/>
    <w:rsid w:val="008E3E4B"/>
    <w:rsid w:val="008E4ED0"/>
    <w:rsid w:val="008E4EF9"/>
    <w:rsid w:val="008E4F82"/>
    <w:rsid w:val="008E6616"/>
    <w:rsid w:val="008E6908"/>
    <w:rsid w:val="008E6DFC"/>
    <w:rsid w:val="008E7710"/>
    <w:rsid w:val="008F01AF"/>
    <w:rsid w:val="008F0CCE"/>
    <w:rsid w:val="008F1D39"/>
    <w:rsid w:val="008F23F2"/>
    <w:rsid w:val="008F29BD"/>
    <w:rsid w:val="008F2A07"/>
    <w:rsid w:val="008F2C99"/>
    <w:rsid w:val="008F3200"/>
    <w:rsid w:val="008F3D32"/>
    <w:rsid w:val="008F41B2"/>
    <w:rsid w:val="008F5050"/>
    <w:rsid w:val="008F5461"/>
    <w:rsid w:val="008F5AE9"/>
    <w:rsid w:val="008F5E02"/>
    <w:rsid w:val="008F62EE"/>
    <w:rsid w:val="008F69F5"/>
    <w:rsid w:val="008F6F0E"/>
    <w:rsid w:val="008F737C"/>
    <w:rsid w:val="008F7AAA"/>
    <w:rsid w:val="008F7F6F"/>
    <w:rsid w:val="00900DC0"/>
    <w:rsid w:val="009026BF"/>
    <w:rsid w:val="00902825"/>
    <w:rsid w:val="00902A93"/>
    <w:rsid w:val="00902D65"/>
    <w:rsid w:val="00902ED9"/>
    <w:rsid w:val="00902F78"/>
    <w:rsid w:val="00903179"/>
    <w:rsid w:val="00903260"/>
    <w:rsid w:val="00903653"/>
    <w:rsid w:val="00903ABC"/>
    <w:rsid w:val="00903C23"/>
    <w:rsid w:val="00903F34"/>
    <w:rsid w:val="00904144"/>
    <w:rsid w:val="00904479"/>
    <w:rsid w:val="009049BF"/>
    <w:rsid w:val="0090514D"/>
    <w:rsid w:val="00905744"/>
    <w:rsid w:val="00905C0A"/>
    <w:rsid w:val="009063D7"/>
    <w:rsid w:val="009068A8"/>
    <w:rsid w:val="00907334"/>
    <w:rsid w:val="00910043"/>
    <w:rsid w:val="00910374"/>
    <w:rsid w:val="009105B8"/>
    <w:rsid w:val="009109DE"/>
    <w:rsid w:val="00911B0D"/>
    <w:rsid w:val="009121D9"/>
    <w:rsid w:val="009122F8"/>
    <w:rsid w:val="00912B6F"/>
    <w:rsid w:val="00912DF4"/>
    <w:rsid w:val="00913362"/>
    <w:rsid w:val="009133C8"/>
    <w:rsid w:val="0091425E"/>
    <w:rsid w:val="00914411"/>
    <w:rsid w:val="00915110"/>
    <w:rsid w:val="00915520"/>
    <w:rsid w:val="00915D03"/>
    <w:rsid w:val="0091609C"/>
    <w:rsid w:val="00916498"/>
    <w:rsid w:val="00916C5E"/>
    <w:rsid w:val="009200FC"/>
    <w:rsid w:val="0092024B"/>
    <w:rsid w:val="0092028E"/>
    <w:rsid w:val="009207F6"/>
    <w:rsid w:val="00920AFA"/>
    <w:rsid w:val="00920E94"/>
    <w:rsid w:val="00921131"/>
    <w:rsid w:val="009216CA"/>
    <w:rsid w:val="00922634"/>
    <w:rsid w:val="009228BC"/>
    <w:rsid w:val="00923069"/>
    <w:rsid w:val="0092396E"/>
    <w:rsid w:val="00923BFF"/>
    <w:rsid w:val="009247F5"/>
    <w:rsid w:val="00925146"/>
    <w:rsid w:val="00925C89"/>
    <w:rsid w:val="00925D84"/>
    <w:rsid w:val="00926AB2"/>
    <w:rsid w:val="009275CC"/>
    <w:rsid w:val="00930450"/>
    <w:rsid w:val="00930D43"/>
    <w:rsid w:val="00931554"/>
    <w:rsid w:val="00931BDB"/>
    <w:rsid w:val="00931DA8"/>
    <w:rsid w:val="009323E4"/>
    <w:rsid w:val="009323F0"/>
    <w:rsid w:val="00933102"/>
    <w:rsid w:val="00933922"/>
    <w:rsid w:val="00933EF1"/>
    <w:rsid w:val="00933F99"/>
    <w:rsid w:val="009340BC"/>
    <w:rsid w:val="009355C5"/>
    <w:rsid w:val="00936396"/>
    <w:rsid w:val="00936C76"/>
    <w:rsid w:val="00936F49"/>
    <w:rsid w:val="00937592"/>
    <w:rsid w:val="009378BA"/>
    <w:rsid w:val="009404A6"/>
    <w:rsid w:val="009407FE"/>
    <w:rsid w:val="009417DA"/>
    <w:rsid w:val="00942294"/>
    <w:rsid w:val="00942436"/>
    <w:rsid w:val="00942DEA"/>
    <w:rsid w:val="00943063"/>
    <w:rsid w:val="00943704"/>
    <w:rsid w:val="00943A07"/>
    <w:rsid w:val="00944992"/>
    <w:rsid w:val="009449D6"/>
    <w:rsid w:val="00944C9B"/>
    <w:rsid w:val="00944E89"/>
    <w:rsid w:val="00945F8A"/>
    <w:rsid w:val="00946793"/>
    <w:rsid w:val="00946A95"/>
    <w:rsid w:val="00947130"/>
    <w:rsid w:val="00947F35"/>
    <w:rsid w:val="00950170"/>
    <w:rsid w:val="00950222"/>
    <w:rsid w:val="009504F9"/>
    <w:rsid w:val="00951B11"/>
    <w:rsid w:val="00952611"/>
    <w:rsid w:val="00952BD0"/>
    <w:rsid w:val="00953F49"/>
    <w:rsid w:val="00954145"/>
    <w:rsid w:val="00954579"/>
    <w:rsid w:val="009548BB"/>
    <w:rsid w:val="00954ED6"/>
    <w:rsid w:val="00955615"/>
    <w:rsid w:val="00955842"/>
    <w:rsid w:val="0095680E"/>
    <w:rsid w:val="00957603"/>
    <w:rsid w:val="0095762D"/>
    <w:rsid w:val="009578CA"/>
    <w:rsid w:val="00957A1D"/>
    <w:rsid w:val="00960220"/>
    <w:rsid w:val="00961087"/>
    <w:rsid w:val="00961A20"/>
    <w:rsid w:val="009620F8"/>
    <w:rsid w:val="00962618"/>
    <w:rsid w:val="00963382"/>
    <w:rsid w:val="00963627"/>
    <w:rsid w:val="0096386B"/>
    <w:rsid w:val="00963B76"/>
    <w:rsid w:val="00963EFC"/>
    <w:rsid w:val="0096487B"/>
    <w:rsid w:val="00965632"/>
    <w:rsid w:val="00967126"/>
    <w:rsid w:val="009672A5"/>
    <w:rsid w:val="00970BAD"/>
    <w:rsid w:val="00971742"/>
    <w:rsid w:val="00971850"/>
    <w:rsid w:val="00971B87"/>
    <w:rsid w:val="00971E3B"/>
    <w:rsid w:val="00971F91"/>
    <w:rsid w:val="00972343"/>
    <w:rsid w:val="00972E69"/>
    <w:rsid w:val="00974016"/>
    <w:rsid w:val="0097407B"/>
    <w:rsid w:val="009757D1"/>
    <w:rsid w:val="009764F7"/>
    <w:rsid w:val="0097692B"/>
    <w:rsid w:val="00976969"/>
    <w:rsid w:val="00976A0A"/>
    <w:rsid w:val="009771CD"/>
    <w:rsid w:val="00977D47"/>
    <w:rsid w:val="0098061D"/>
    <w:rsid w:val="00980754"/>
    <w:rsid w:val="009808FB"/>
    <w:rsid w:val="00980909"/>
    <w:rsid w:val="00981535"/>
    <w:rsid w:val="009825C8"/>
    <w:rsid w:val="00982C45"/>
    <w:rsid w:val="00982E75"/>
    <w:rsid w:val="00983FAB"/>
    <w:rsid w:val="0098409F"/>
    <w:rsid w:val="009848C8"/>
    <w:rsid w:val="00984A1C"/>
    <w:rsid w:val="00984E65"/>
    <w:rsid w:val="00985168"/>
    <w:rsid w:val="00985537"/>
    <w:rsid w:val="00985603"/>
    <w:rsid w:val="00985D49"/>
    <w:rsid w:val="00985E8F"/>
    <w:rsid w:val="0098624D"/>
    <w:rsid w:val="0098751C"/>
    <w:rsid w:val="00987A6E"/>
    <w:rsid w:val="00987C74"/>
    <w:rsid w:val="00987EF1"/>
    <w:rsid w:val="00987FF3"/>
    <w:rsid w:val="009900FA"/>
    <w:rsid w:val="00991203"/>
    <w:rsid w:val="00991698"/>
    <w:rsid w:val="00991C17"/>
    <w:rsid w:val="0099258E"/>
    <w:rsid w:val="00992D1E"/>
    <w:rsid w:val="00992D77"/>
    <w:rsid w:val="0099414F"/>
    <w:rsid w:val="0099455E"/>
    <w:rsid w:val="0099495E"/>
    <w:rsid w:val="009952E9"/>
    <w:rsid w:val="00995B62"/>
    <w:rsid w:val="00996E0B"/>
    <w:rsid w:val="00996E21"/>
    <w:rsid w:val="0099754E"/>
    <w:rsid w:val="00997A93"/>
    <w:rsid w:val="00997BA8"/>
    <w:rsid w:val="00997EB2"/>
    <w:rsid w:val="009A0378"/>
    <w:rsid w:val="009A06F5"/>
    <w:rsid w:val="009A0788"/>
    <w:rsid w:val="009A0BEC"/>
    <w:rsid w:val="009A0E92"/>
    <w:rsid w:val="009A1E3A"/>
    <w:rsid w:val="009A23EC"/>
    <w:rsid w:val="009A2C33"/>
    <w:rsid w:val="009A3939"/>
    <w:rsid w:val="009A3978"/>
    <w:rsid w:val="009A41D7"/>
    <w:rsid w:val="009A447A"/>
    <w:rsid w:val="009A4EE3"/>
    <w:rsid w:val="009A6967"/>
    <w:rsid w:val="009A7D91"/>
    <w:rsid w:val="009B03DF"/>
    <w:rsid w:val="009B09F8"/>
    <w:rsid w:val="009B10D1"/>
    <w:rsid w:val="009B2773"/>
    <w:rsid w:val="009B39F1"/>
    <w:rsid w:val="009B3B6F"/>
    <w:rsid w:val="009B3E59"/>
    <w:rsid w:val="009B41CB"/>
    <w:rsid w:val="009B432E"/>
    <w:rsid w:val="009B4476"/>
    <w:rsid w:val="009B4801"/>
    <w:rsid w:val="009B4D74"/>
    <w:rsid w:val="009B4F01"/>
    <w:rsid w:val="009B59AA"/>
    <w:rsid w:val="009B5AE4"/>
    <w:rsid w:val="009B6AF0"/>
    <w:rsid w:val="009B785B"/>
    <w:rsid w:val="009B7A9C"/>
    <w:rsid w:val="009C0A8A"/>
    <w:rsid w:val="009C1884"/>
    <w:rsid w:val="009C1F22"/>
    <w:rsid w:val="009C217E"/>
    <w:rsid w:val="009C292D"/>
    <w:rsid w:val="009C29EA"/>
    <w:rsid w:val="009C2C37"/>
    <w:rsid w:val="009C2E67"/>
    <w:rsid w:val="009C2F42"/>
    <w:rsid w:val="009C385F"/>
    <w:rsid w:val="009C3B40"/>
    <w:rsid w:val="009C3CA6"/>
    <w:rsid w:val="009C3DAE"/>
    <w:rsid w:val="009C5F0C"/>
    <w:rsid w:val="009C6370"/>
    <w:rsid w:val="009C67C0"/>
    <w:rsid w:val="009C6FB3"/>
    <w:rsid w:val="009C7817"/>
    <w:rsid w:val="009C7F53"/>
    <w:rsid w:val="009D0A71"/>
    <w:rsid w:val="009D1035"/>
    <w:rsid w:val="009D13D0"/>
    <w:rsid w:val="009D1C80"/>
    <w:rsid w:val="009D2068"/>
    <w:rsid w:val="009D273D"/>
    <w:rsid w:val="009D2761"/>
    <w:rsid w:val="009D31B6"/>
    <w:rsid w:val="009D3256"/>
    <w:rsid w:val="009D342B"/>
    <w:rsid w:val="009D4396"/>
    <w:rsid w:val="009D453B"/>
    <w:rsid w:val="009D4932"/>
    <w:rsid w:val="009D4A82"/>
    <w:rsid w:val="009D4C95"/>
    <w:rsid w:val="009D536E"/>
    <w:rsid w:val="009D5E45"/>
    <w:rsid w:val="009D6466"/>
    <w:rsid w:val="009D6E1A"/>
    <w:rsid w:val="009D6FC6"/>
    <w:rsid w:val="009D788E"/>
    <w:rsid w:val="009D7D33"/>
    <w:rsid w:val="009E035E"/>
    <w:rsid w:val="009E0868"/>
    <w:rsid w:val="009E2283"/>
    <w:rsid w:val="009E29CF"/>
    <w:rsid w:val="009E3787"/>
    <w:rsid w:val="009E38F7"/>
    <w:rsid w:val="009E3A08"/>
    <w:rsid w:val="009E4DD4"/>
    <w:rsid w:val="009E4E3F"/>
    <w:rsid w:val="009E4F5E"/>
    <w:rsid w:val="009E588D"/>
    <w:rsid w:val="009E60DA"/>
    <w:rsid w:val="009E698B"/>
    <w:rsid w:val="009E6F8A"/>
    <w:rsid w:val="009E6FD7"/>
    <w:rsid w:val="009E732A"/>
    <w:rsid w:val="009F0157"/>
    <w:rsid w:val="009F02EE"/>
    <w:rsid w:val="009F0463"/>
    <w:rsid w:val="009F0CBF"/>
    <w:rsid w:val="009F1547"/>
    <w:rsid w:val="009F18B9"/>
    <w:rsid w:val="009F1D8D"/>
    <w:rsid w:val="009F23B2"/>
    <w:rsid w:val="009F27AB"/>
    <w:rsid w:val="009F3078"/>
    <w:rsid w:val="009F36E9"/>
    <w:rsid w:val="009F457A"/>
    <w:rsid w:val="009F47D7"/>
    <w:rsid w:val="009F4ABA"/>
    <w:rsid w:val="009F4E54"/>
    <w:rsid w:val="009F5104"/>
    <w:rsid w:val="009F5672"/>
    <w:rsid w:val="009F579F"/>
    <w:rsid w:val="009F5BE9"/>
    <w:rsid w:val="009F643A"/>
    <w:rsid w:val="009F6568"/>
    <w:rsid w:val="009F74D2"/>
    <w:rsid w:val="009F74E8"/>
    <w:rsid w:val="009F7B8B"/>
    <w:rsid w:val="00A000E5"/>
    <w:rsid w:val="00A00E92"/>
    <w:rsid w:val="00A010DB"/>
    <w:rsid w:val="00A01597"/>
    <w:rsid w:val="00A01CAD"/>
    <w:rsid w:val="00A02003"/>
    <w:rsid w:val="00A023B8"/>
    <w:rsid w:val="00A02582"/>
    <w:rsid w:val="00A0258A"/>
    <w:rsid w:val="00A02AA5"/>
    <w:rsid w:val="00A02B75"/>
    <w:rsid w:val="00A02C5E"/>
    <w:rsid w:val="00A02F86"/>
    <w:rsid w:val="00A03213"/>
    <w:rsid w:val="00A03233"/>
    <w:rsid w:val="00A03CFA"/>
    <w:rsid w:val="00A03ED3"/>
    <w:rsid w:val="00A04FF2"/>
    <w:rsid w:val="00A05621"/>
    <w:rsid w:val="00A0570B"/>
    <w:rsid w:val="00A063D9"/>
    <w:rsid w:val="00A066AE"/>
    <w:rsid w:val="00A06853"/>
    <w:rsid w:val="00A07F19"/>
    <w:rsid w:val="00A10269"/>
    <w:rsid w:val="00A103FD"/>
    <w:rsid w:val="00A10572"/>
    <w:rsid w:val="00A10664"/>
    <w:rsid w:val="00A107ED"/>
    <w:rsid w:val="00A10D97"/>
    <w:rsid w:val="00A10DD9"/>
    <w:rsid w:val="00A11111"/>
    <w:rsid w:val="00A120B1"/>
    <w:rsid w:val="00A12655"/>
    <w:rsid w:val="00A1273C"/>
    <w:rsid w:val="00A12C6B"/>
    <w:rsid w:val="00A13F15"/>
    <w:rsid w:val="00A14117"/>
    <w:rsid w:val="00A148D9"/>
    <w:rsid w:val="00A149FA"/>
    <w:rsid w:val="00A14E48"/>
    <w:rsid w:val="00A1526D"/>
    <w:rsid w:val="00A15E17"/>
    <w:rsid w:val="00A15FBC"/>
    <w:rsid w:val="00A16078"/>
    <w:rsid w:val="00A168BE"/>
    <w:rsid w:val="00A16CAF"/>
    <w:rsid w:val="00A174A8"/>
    <w:rsid w:val="00A17515"/>
    <w:rsid w:val="00A17DF0"/>
    <w:rsid w:val="00A20543"/>
    <w:rsid w:val="00A20735"/>
    <w:rsid w:val="00A20F78"/>
    <w:rsid w:val="00A213D3"/>
    <w:rsid w:val="00A21768"/>
    <w:rsid w:val="00A218F1"/>
    <w:rsid w:val="00A221C3"/>
    <w:rsid w:val="00A23618"/>
    <w:rsid w:val="00A23980"/>
    <w:rsid w:val="00A23E89"/>
    <w:rsid w:val="00A24564"/>
    <w:rsid w:val="00A248B0"/>
    <w:rsid w:val="00A24C64"/>
    <w:rsid w:val="00A24E82"/>
    <w:rsid w:val="00A252ED"/>
    <w:rsid w:val="00A25330"/>
    <w:rsid w:val="00A2541F"/>
    <w:rsid w:val="00A25577"/>
    <w:rsid w:val="00A25D96"/>
    <w:rsid w:val="00A26D19"/>
    <w:rsid w:val="00A26D60"/>
    <w:rsid w:val="00A27452"/>
    <w:rsid w:val="00A274E8"/>
    <w:rsid w:val="00A27759"/>
    <w:rsid w:val="00A27DEE"/>
    <w:rsid w:val="00A27EA7"/>
    <w:rsid w:val="00A27FAE"/>
    <w:rsid w:val="00A300DF"/>
    <w:rsid w:val="00A3058C"/>
    <w:rsid w:val="00A308B7"/>
    <w:rsid w:val="00A30A49"/>
    <w:rsid w:val="00A30B97"/>
    <w:rsid w:val="00A30C7C"/>
    <w:rsid w:val="00A31772"/>
    <w:rsid w:val="00A31B93"/>
    <w:rsid w:val="00A32EC5"/>
    <w:rsid w:val="00A336B7"/>
    <w:rsid w:val="00A3374A"/>
    <w:rsid w:val="00A33EC9"/>
    <w:rsid w:val="00A34A93"/>
    <w:rsid w:val="00A34B85"/>
    <w:rsid w:val="00A35557"/>
    <w:rsid w:val="00A35926"/>
    <w:rsid w:val="00A35DF7"/>
    <w:rsid w:val="00A360D2"/>
    <w:rsid w:val="00A375EF"/>
    <w:rsid w:val="00A401BC"/>
    <w:rsid w:val="00A41ED8"/>
    <w:rsid w:val="00A4235B"/>
    <w:rsid w:val="00A432B2"/>
    <w:rsid w:val="00A43398"/>
    <w:rsid w:val="00A433D8"/>
    <w:rsid w:val="00A43467"/>
    <w:rsid w:val="00A440D8"/>
    <w:rsid w:val="00A45097"/>
    <w:rsid w:val="00A45436"/>
    <w:rsid w:val="00A45B5C"/>
    <w:rsid w:val="00A465CD"/>
    <w:rsid w:val="00A46B7F"/>
    <w:rsid w:val="00A46C0F"/>
    <w:rsid w:val="00A473E0"/>
    <w:rsid w:val="00A47974"/>
    <w:rsid w:val="00A4797A"/>
    <w:rsid w:val="00A50235"/>
    <w:rsid w:val="00A5211F"/>
    <w:rsid w:val="00A5244C"/>
    <w:rsid w:val="00A524B5"/>
    <w:rsid w:val="00A528C2"/>
    <w:rsid w:val="00A53121"/>
    <w:rsid w:val="00A53271"/>
    <w:rsid w:val="00A53AA1"/>
    <w:rsid w:val="00A5403D"/>
    <w:rsid w:val="00A5496E"/>
    <w:rsid w:val="00A54AFD"/>
    <w:rsid w:val="00A554F4"/>
    <w:rsid w:val="00A55531"/>
    <w:rsid w:val="00A5580A"/>
    <w:rsid w:val="00A55824"/>
    <w:rsid w:val="00A55AA6"/>
    <w:rsid w:val="00A55B89"/>
    <w:rsid w:val="00A56986"/>
    <w:rsid w:val="00A579C8"/>
    <w:rsid w:val="00A57AD2"/>
    <w:rsid w:val="00A615E8"/>
    <w:rsid w:val="00A618B2"/>
    <w:rsid w:val="00A61B06"/>
    <w:rsid w:val="00A61C01"/>
    <w:rsid w:val="00A61FF3"/>
    <w:rsid w:val="00A62113"/>
    <w:rsid w:val="00A624FA"/>
    <w:rsid w:val="00A63805"/>
    <w:rsid w:val="00A64372"/>
    <w:rsid w:val="00A6464D"/>
    <w:rsid w:val="00A64C72"/>
    <w:rsid w:val="00A651C6"/>
    <w:rsid w:val="00A65347"/>
    <w:rsid w:val="00A65C18"/>
    <w:rsid w:val="00A65EAC"/>
    <w:rsid w:val="00A66D28"/>
    <w:rsid w:val="00A6717A"/>
    <w:rsid w:val="00A673A4"/>
    <w:rsid w:val="00A6759C"/>
    <w:rsid w:val="00A67923"/>
    <w:rsid w:val="00A67988"/>
    <w:rsid w:val="00A67A7C"/>
    <w:rsid w:val="00A70928"/>
    <w:rsid w:val="00A710FA"/>
    <w:rsid w:val="00A71316"/>
    <w:rsid w:val="00A713ED"/>
    <w:rsid w:val="00A71441"/>
    <w:rsid w:val="00A714B8"/>
    <w:rsid w:val="00A71832"/>
    <w:rsid w:val="00A72C72"/>
    <w:rsid w:val="00A72DA9"/>
    <w:rsid w:val="00A73A2E"/>
    <w:rsid w:val="00A74207"/>
    <w:rsid w:val="00A743F9"/>
    <w:rsid w:val="00A74901"/>
    <w:rsid w:val="00A74A38"/>
    <w:rsid w:val="00A74E73"/>
    <w:rsid w:val="00A74EEB"/>
    <w:rsid w:val="00A755E1"/>
    <w:rsid w:val="00A75609"/>
    <w:rsid w:val="00A75733"/>
    <w:rsid w:val="00A75EA5"/>
    <w:rsid w:val="00A76308"/>
    <w:rsid w:val="00A764D3"/>
    <w:rsid w:val="00A77C08"/>
    <w:rsid w:val="00A81527"/>
    <w:rsid w:val="00A82058"/>
    <w:rsid w:val="00A82354"/>
    <w:rsid w:val="00A82897"/>
    <w:rsid w:val="00A828FB"/>
    <w:rsid w:val="00A82997"/>
    <w:rsid w:val="00A8347D"/>
    <w:rsid w:val="00A83858"/>
    <w:rsid w:val="00A84AE7"/>
    <w:rsid w:val="00A84FC1"/>
    <w:rsid w:val="00A85A73"/>
    <w:rsid w:val="00A85EA3"/>
    <w:rsid w:val="00A86999"/>
    <w:rsid w:val="00A869B0"/>
    <w:rsid w:val="00A86ECB"/>
    <w:rsid w:val="00A8725D"/>
    <w:rsid w:val="00A87C67"/>
    <w:rsid w:val="00A9019F"/>
    <w:rsid w:val="00A906FF"/>
    <w:rsid w:val="00A9092F"/>
    <w:rsid w:val="00A90ACB"/>
    <w:rsid w:val="00A92024"/>
    <w:rsid w:val="00A92156"/>
    <w:rsid w:val="00A9289F"/>
    <w:rsid w:val="00A929E1"/>
    <w:rsid w:val="00A92C1D"/>
    <w:rsid w:val="00A92E07"/>
    <w:rsid w:val="00A932B9"/>
    <w:rsid w:val="00A93929"/>
    <w:rsid w:val="00A9511C"/>
    <w:rsid w:val="00A953E6"/>
    <w:rsid w:val="00A97A37"/>
    <w:rsid w:val="00A97C08"/>
    <w:rsid w:val="00AA02D3"/>
    <w:rsid w:val="00AA0C77"/>
    <w:rsid w:val="00AA0F04"/>
    <w:rsid w:val="00AA1D27"/>
    <w:rsid w:val="00AA1E63"/>
    <w:rsid w:val="00AA1E93"/>
    <w:rsid w:val="00AA204C"/>
    <w:rsid w:val="00AA2419"/>
    <w:rsid w:val="00AA2AB9"/>
    <w:rsid w:val="00AA2D57"/>
    <w:rsid w:val="00AA3592"/>
    <w:rsid w:val="00AA438D"/>
    <w:rsid w:val="00AA4C5F"/>
    <w:rsid w:val="00AA502B"/>
    <w:rsid w:val="00AA53A3"/>
    <w:rsid w:val="00AA56D0"/>
    <w:rsid w:val="00AA5701"/>
    <w:rsid w:val="00AA5F41"/>
    <w:rsid w:val="00AA6315"/>
    <w:rsid w:val="00AA65D7"/>
    <w:rsid w:val="00AA6893"/>
    <w:rsid w:val="00AA6954"/>
    <w:rsid w:val="00AA7151"/>
    <w:rsid w:val="00AA73A6"/>
    <w:rsid w:val="00AA764C"/>
    <w:rsid w:val="00AA7FF2"/>
    <w:rsid w:val="00AB0330"/>
    <w:rsid w:val="00AB0883"/>
    <w:rsid w:val="00AB08A7"/>
    <w:rsid w:val="00AB0C9F"/>
    <w:rsid w:val="00AB0F9C"/>
    <w:rsid w:val="00AB12D8"/>
    <w:rsid w:val="00AB143A"/>
    <w:rsid w:val="00AB190F"/>
    <w:rsid w:val="00AB1C97"/>
    <w:rsid w:val="00AB1D0E"/>
    <w:rsid w:val="00AB235A"/>
    <w:rsid w:val="00AB2583"/>
    <w:rsid w:val="00AB2808"/>
    <w:rsid w:val="00AB3187"/>
    <w:rsid w:val="00AB32BC"/>
    <w:rsid w:val="00AB3472"/>
    <w:rsid w:val="00AB34CC"/>
    <w:rsid w:val="00AB4642"/>
    <w:rsid w:val="00AB4F55"/>
    <w:rsid w:val="00AB5261"/>
    <w:rsid w:val="00AB623E"/>
    <w:rsid w:val="00AB64D2"/>
    <w:rsid w:val="00AB652F"/>
    <w:rsid w:val="00AB755D"/>
    <w:rsid w:val="00AB7C99"/>
    <w:rsid w:val="00AB7D11"/>
    <w:rsid w:val="00AC003C"/>
    <w:rsid w:val="00AC0103"/>
    <w:rsid w:val="00AC0925"/>
    <w:rsid w:val="00AC1404"/>
    <w:rsid w:val="00AC14FB"/>
    <w:rsid w:val="00AC1E07"/>
    <w:rsid w:val="00AC2096"/>
    <w:rsid w:val="00AC2AB8"/>
    <w:rsid w:val="00AC3099"/>
    <w:rsid w:val="00AC32AA"/>
    <w:rsid w:val="00AC3C5C"/>
    <w:rsid w:val="00AC3D8B"/>
    <w:rsid w:val="00AC4820"/>
    <w:rsid w:val="00AC58DA"/>
    <w:rsid w:val="00AC62B0"/>
    <w:rsid w:val="00AC76E8"/>
    <w:rsid w:val="00AC7961"/>
    <w:rsid w:val="00AC79F4"/>
    <w:rsid w:val="00AC7D4C"/>
    <w:rsid w:val="00AD039F"/>
    <w:rsid w:val="00AD08A7"/>
    <w:rsid w:val="00AD0EC6"/>
    <w:rsid w:val="00AD0FFC"/>
    <w:rsid w:val="00AD168B"/>
    <w:rsid w:val="00AD2315"/>
    <w:rsid w:val="00AD2801"/>
    <w:rsid w:val="00AD2C92"/>
    <w:rsid w:val="00AD2F54"/>
    <w:rsid w:val="00AD3902"/>
    <w:rsid w:val="00AD3F0A"/>
    <w:rsid w:val="00AD44D7"/>
    <w:rsid w:val="00AD4AD1"/>
    <w:rsid w:val="00AD4C39"/>
    <w:rsid w:val="00AD5540"/>
    <w:rsid w:val="00AD561C"/>
    <w:rsid w:val="00AD5DA0"/>
    <w:rsid w:val="00AD5E01"/>
    <w:rsid w:val="00AD6010"/>
    <w:rsid w:val="00AD665C"/>
    <w:rsid w:val="00AD66AC"/>
    <w:rsid w:val="00AD7545"/>
    <w:rsid w:val="00AD7725"/>
    <w:rsid w:val="00AD77CD"/>
    <w:rsid w:val="00AE12E9"/>
    <w:rsid w:val="00AE186D"/>
    <w:rsid w:val="00AE195E"/>
    <w:rsid w:val="00AE1C8F"/>
    <w:rsid w:val="00AE244D"/>
    <w:rsid w:val="00AE33FF"/>
    <w:rsid w:val="00AE3AF5"/>
    <w:rsid w:val="00AE4A4A"/>
    <w:rsid w:val="00AE5283"/>
    <w:rsid w:val="00AE5643"/>
    <w:rsid w:val="00AE6707"/>
    <w:rsid w:val="00AE78F1"/>
    <w:rsid w:val="00AF02A4"/>
    <w:rsid w:val="00AF0561"/>
    <w:rsid w:val="00AF06D5"/>
    <w:rsid w:val="00AF09DD"/>
    <w:rsid w:val="00AF1F4B"/>
    <w:rsid w:val="00AF299B"/>
    <w:rsid w:val="00AF2D4F"/>
    <w:rsid w:val="00AF3A62"/>
    <w:rsid w:val="00AF40D5"/>
    <w:rsid w:val="00AF430F"/>
    <w:rsid w:val="00AF549A"/>
    <w:rsid w:val="00AF58C2"/>
    <w:rsid w:val="00AF74C7"/>
    <w:rsid w:val="00AF7DAF"/>
    <w:rsid w:val="00AF7F31"/>
    <w:rsid w:val="00B00E4D"/>
    <w:rsid w:val="00B012C9"/>
    <w:rsid w:val="00B01888"/>
    <w:rsid w:val="00B0209F"/>
    <w:rsid w:val="00B02655"/>
    <w:rsid w:val="00B02AA7"/>
    <w:rsid w:val="00B032FD"/>
    <w:rsid w:val="00B03FA4"/>
    <w:rsid w:val="00B04579"/>
    <w:rsid w:val="00B05102"/>
    <w:rsid w:val="00B05578"/>
    <w:rsid w:val="00B05721"/>
    <w:rsid w:val="00B057D0"/>
    <w:rsid w:val="00B05E3B"/>
    <w:rsid w:val="00B0654B"/>
    <w:rsid w:val="00B06B61"/>
    <w:rsid w:val="00B07300"/>
    <w:rsid w:val="00B0735A"/>
    <w:rsid w:val="00B07518"/>
    <w:rsid w:val="00B07D1F"/>
    <w:rsid w:val="00B07D8D"/>
    <w:rsid w:val="00B11FB9"/>
    <w:rsid w:val="00B13A4B"/>
    <w:rsid w:val="00B13BC5"/>
    <w:rsid w:val="00B13C3E"/>
    <w:rsid w:val="00B14526"/>
    <w:rsid w:val="00B1458A"/>
    <w:rsid w:val="00B15908"/>
    <w:rsid w:val="00B15FA4"/>
    <w:rsid w:val="00B16A34"/>
    <w:rsid w:val="00B16C92"/>
    <w:rsid w:val="00B17629"/>
    <w:rsid w:val="00B206B3"/>
    <w:rsid w:val="00B209F9"/>
    <w:rsid w:val="00B2121E"/>
    <w:rsid w:val="00B22D8D"/>
    <w:rsid w:val="00B22F65"/>
    <w:rsid w:val="00B233C0"/>
    <w:rsid w:val="00B23431"/>
    <w:rsid w:val="00B23690"/>
    <w:rsid w:val="00B24EEC"/>
    <w:rsid w:val="00B25453"/>
    <w:rsid w:val="00B25819"/>
    <w:rsid w:val="00B26244"/>
    <w:rsid w:val="00B2653E"/>
    <w:rsid w:val="00B26FB6"/>
    <w:rsid w:val="00B27C0D"/>
    <w:rsid w:val="00B27EAC"/>
    <w:rsid w:val="00B30695"/>
    <w:rsid w:val="00B311B3"/>
    <w:rsid w:val="00B31324"/>
    <w:rsid w:val="00B31A1B"/>
    <w:rsid w:val="00B31B9C"/>
    <w:rsid w:val="00B332E4"/>
    <w:rsid w:val="00B3460F"/>
    <w:rsid w:val="00B34D6C"/>
    <w:rsid w:val="00B35391"/>
    <w:rsid w:val="00B35F82"/>
    <w:rsid w:val="00B36033"/>
    <w:rsid w:val="00B36364"/>
    <w:rsid w:val="00B372B5"/>
    <w:rsid w:val="00B41156"/>
    <w:rsid w:val="00B4245D"/>
    <w:rsid w:val="00B429F5"/>
    <w:rsid w:val="00B42BAC"/>
    <w:rsid w:val="00B44115"/>
    <w:rsid w:val="00B44800"/>
    <w:rsid w:val="00B4567E"/>
    <w:rsid w:val="00B50180"/>
    <w:rsid w:val="00B5180C"/>
    <w:rsid w:val="00B51868"/>
    <w:rsid w:val="00B526CE"/>
    <w:rsid w:val="00B538F0"/>
    <w:rsid w:val="00B5445E"/>
    <w:rsid w:val="00B550A7"/>
    <w:rsid w:val="00B5544F"/>
    <w:rsid w:val="00B55E5D"/>
    <w:rsid w:val="00B55F61"/>
    <w:rsid w:val="00B5610E"/>
    <w:rsid w:val="00B573E9"/>
    <w:rsid w:val="00B577B8"/>
    <w:rsid w:val="00B57B06"/>
    <w:rsid w:val="00B57E5D"/>
    <w:rsid w:val="00B57FA5"/>
    <w:rsid w:val="00B601FD"/>
    <w:rsid w:val="00B60A36"/>
    <w:rsid w:val="00B60E22"/>
    <w:rsid w:val="00B61726"/>
    <w:rsid w:val="00B620C5"/>
    <w:rsid w:val="00B629C6"/>
    <w:rsid w:val="00B62C60"/>
    <w:rsid w:val="00B62D2E"/>
    <w:rsid w:val="00B62F26"/>
    <w:rsid w:val="00B62F5F"/>
    <w:rsid w:val="00B62FE4"/>
    <w:rsid w:val="00B6362D"/>
    <w:rsid w:val="00B63C57"/>
    <w:rsid w:val="00B63C81"/>
    <w:rsid w:val="00B63D9B"/>
    <w:rsid w:val="00B642BE"/>
    <w:rsid w:val="00B646FD"/>
    <w:rsid w:val="00B64B18"/>
    <w:rsid w:val="00B64C36"/>
    <w:rsid w:val="00B64D6B"/>
    <w:rsid w:val="00B653DE"/>
    <w:rsid w:val="00B66749"/>
    <w:rsid w:val="00B66867"/>
    <w:rsid w:val="00B66994"/>
    <w:rsid w:val="00B67A85"/>
    <w:rsid w:val="00B67BF7"/>
    <w:rsid w:val="00B67E5C"/>
    <w:rsid w:val="00B70311"/>
    <w:rsid w:val="00B70F63"/>
    <w:rsid w:val="00B70FA9"/>
    <w:rsid w:val="00B71AFB"/>
    <w:rsid w:val="00B7287C"/>
    <w:rsid w:val="00B72EC9"/>
    <w:rsid w:val="00B73727"/>
    <w:rsid w:val="00B739D7"/>
    <w:rsid w:val="00B73C7E"/>
    <w:rsid w:val="00B73C97"/>
    <w:rsid w:val="00B7464A"/>
    <w:rsid w:val="00B74872"/>
    <w:rsid w:val="00B7502B"/>
    <w:rsid w:val="00B75D56"/>
    <w:rsid w:val="00B75ED5"/>
    <w:rsid w:val="00B75FF6"/>
    <w:rsid w:val="00B76016"/>
    <w:rsid w:val="00B76340"/>
    <w:rsid w:val="00B766D3"/>
    <w:rsid w:val="00B76C25"/>
    <w:rsid w:val="00B809B1"/>
    <w:rsid w:val="00B821E2"/>
    <w:rsid w:val="00B82D7A"/>
    <w:rsid w:val="00B84529"/>
    <w:rsid w:val="00B84735"/>
    <w:rsid w:val="00B85518"/>
    <w:rsid w:val="00B86940"/>
    <w:rsid w:val="00B86BDF"/>
    <w:rsid w:val="00B86C4C"/>
    <w:rsid w:val="00B86E8E"/>
    <w:rsid w:val="00B87179"/>
    <w:rsid w:val="00B877C7"/>
    <w:rsid w:val="00B90259"/>
    <w:rsid w:val="00B913E9"/>
    <w:rsid w:val="00B91AFF"/>
    <w:rsid w:val="00B92D30"/>
    <w:rsid w:val="00B938A3"/>
    <w:rsid w:val="00B93E98"/>
    <w:rsid w:val="00B94786"/>
    <w:rsid w:val="00B94836"/>
    <w:rsid w:val="00B94A32"/>
    <w:rsid w:val="00B94FF2"/>
    <w:rsid w:val="00B9567B"/>
    <w:rsid w:val="00B95CD4"/>
    <w:rsid w:val="00B95D13"/>
    <w:rsid w:val="00B966F5"/>
    <w:rsid w:val="00B9686D"/>
    <w:rsid w:val="00B96984"/>
    <w:rsid w:val="00B96DE1"/>
    <w:rsid w:val="00B970C0"/>
    <w:rsid w:val="00B97124"/>
    <w:rsid w:val="00B97BC9"/>
    <w:rsid w:val="00BA0528"/>
    <w:rsid w:val="00BA0844"/>
    <w:rsid w:val="00BA0856"/>
    <w:rsid w:val="00BA1584"/>
    <w:rsid w:val="00BA1D0E"/>
    <w:rsid w:val="00BA1EC2"/>
    <w:rsid w:val="00BA2082"/>
    <w:rsid w:val="00BA21BD"/>
    <w:rsid w:val="00BA26BB"/>
    <w:rsid w:val="00BA3894"/>
    <w:rsid w:val="00BA39FE"/>
    <w:rsid w:val="00BA3F46"/>
    <w:rsid w:val="00BA45D0"/>
    <w:rsid w:val="00BA50D6"/>
    <w:rsid w:val="00BA550B"/>
    <w:rsid w:val="00BA5E73"/>
    <w:rsid w:val="00BA65D6"/>
    <w:rsid w:val="00BA672B"/>
    <w:rsid w:val="00BA6902"/>
    <w:rsid w:val="00BA699C"/>
    <w:rsid w:val="00BA7349"/>
    <w:rsid w:val="00BA78B6"/>
    <w:rsid w:val="00BA7DEC"/>
    <w:rsid w:val="00BB05BF"/>
    <w:rsid w:val="00BB0B07"/>
    <w:rsid w:val="00BB2120"/>
    <w:rsid w:val="00BB26AD"/>
    <w:rsid w:val="00BB2BCF"/>
    <w:rsid w:val="00BB2BE1"/>
    <w:rsid w:val="00BB2E74"/>
    <w:rsid w:val="00BB3D70"/>
    <w:rsid w:val="00BB5637"/>
    <w:rsid w:val="00BB5FE7"/>
    <w:rsid w:val="00BB6170"/>
    <w:rsid w:val="00BB7695"/>
    <w:rsid w:val="00BB79BD"/>
    <w:rsid w:val="00BB7A0F"/>
    <w:rsid w:val="00BB7BEC"/>
    <w:rsid w:val="00BC1193"/>
    <w:rsid w:val="00BC1210"/>
    <w:rsid w:val="00BC199F"/>
    <w:rsid w:val="00BC308C"/>
    <w:rsid w:val="00BC311F"/>
    <w:rsid w:val="00BC3718"/>
    <w:rsid w:val="00BC3977"/>
    <w:rsid w:val="00BC41AC"/>
    <w:rsid w:val="00BC4464"/>
    <w:rsid w:val="00BC482B"/>
    <w:rsid w:val="00BC4FDA"/>
    <w:rsid w:val="00BC533E"/>
    <w:rsid w:val="00BC5441"/>
    <w:rsid w:val="00BC55F0"/>
    <w:rsid w:val="00BC584F"/>
    <w:rsid w:val="00BC5AB8"/>
    <w:rsid w:val="00BC5D51"/>
    <w:rsid w:val="00BC624D"/>
    <w:rsid w:val="00BC7208"/>
    <w:rsid w:val="00BC7C50"/>
    <w:rsid w:val="00BC7C72"/>
    <w:rsid w:val="00BD0030"/>
    <w:rsid w:val="00BD0362"/>
    <w:rsid w:val="00BD0569"/>
    <w:rsid w:val="00BD0B48"/>
    <w:rsid w:val="00BD0FEB"/>
    <w:rsid w:val="00BD19CF"/>
    <w:rsid w:val="00BD1BDC"/>
    <w:rsid w:val="00BD29DB"/>
    <w:rsid w:val="00BD2A0A"/>
    <w:rsid w:val="00BD2BE5"/>
    <w:rsid w:val="00BD3A8F"/>
    <w:rsid w:val="00BD419B"/>
    <w:rsid w:val="00BD4890"/>
    <w:rsid w:val="00BD48BA"/>
    <w:rsid w:val="00BD53E0"/>
    <w:rsid w:val="00BD582B"/>
    <w:rsid w:val="00BD59E9"/>
    <w:rsid w:val="00BD5D0F"/>
    <w:rsid w:val="00BD5FD7"/>
    <w:rsid w:val="00BD6040"/>
    <w:rsid w:val="00BD6557"/>
    <w:rsid w:val="00BD6927"/>
    <w:rsid w:val="00BD73C4"/>
    <w:rsid w:val="00BD7ACE"/>
    <w:rsid w:val="00BD7C68"/>
    <w:rsid w:val="00BE02B5"/>
    <w:rsid w:val="00BE0EEB"/>
    <w:rsid w:val="00BE1742"/>
    <w:rsid w:val="00BE1CBC"/>
    <w:rsid w:val="00BE1DD2"/>
    <w:rsid w:val="00BE1F7D"/>
    <w:rsid w:val="00BE1FBD"/>
    <w:rsid w:val="00BE23C9"/>
    <w:rsid w:val="00BE25E4"/>
    <w:rsid w:val="00BE29DC"/>
    <w:rsid w:val="00BE32B4"/>
    <w:rsid w:val="00BE35CF"/>
    <w:rsid w:val="00BE45D2"/>
    <w:rsid w:val="00BE4B1D"/>
    <w:rsid w:val="00BE5466"/>
    <w:rsid w:val="00BE597F"/>
    <w:rsid w:val="00BE5EDF"/>
    <w:rsid w:val="00BE5F54"/>
    <w:rsid w:val="00BE6001"/>
    <w:rsid w:val="00BE6166"/>
    <w:rsid w:val="00BE6226"/>
    <w:rsid w:val="00BE6754"/>
    <w:rsid w:val="00BE6F92"/>
    <w:rsid w:val="00BE7CD7"/>
    <w:rsid w:val="00BF0564"/>
    <w:rsid w:val="00BF0801"/>
    <w:rsid w:val="00BF0AF7"/>
    <w:rsid w:val="00BF0CB4"/>
    <w:rsid w:val="00BF1A97"/>
    <w:rsid w:val="00BF2173"/>
    <w:rsid w:val="00BF25DC"/>
    <w:rsid w:val="00BF2B33"/>
    <w:rsid w:val="00BF31B0"/>
    <w:rsid w:val="00BF3A09"/>
    <w:rsid w:val="00BF3E62"/>
    <w:rsid w:val="00BF4E99"/>
    <w:rsid w:val="00BF65F6"/>
    <w:rsid w:val="00BF6719"/>
    <w:rsid w:val="00BF697A"/>
    <w:rsid w:val="00BF6ADB"/>
    <w:rsid w:val="00BF6DB5"/>
    <w:rsid w:val="00BF6F2A"/>
    <w:rsid w:val="00BF7595"/>
    <w:rsid w:val="00C00C53"/>
    <w:rsid w:val="00C00D80"/>
    <w:rsid w:val="00C01B67"/>
    <w:rsid w:val="00C01EFC"/>
    <w:rsid w:val="00C02341"/>
    <w:rsid w:val="00C02428"/>
    <w:rsid w:val="00C02707"/>
    <w:rsid w:val="00C03499"/>
    <w:rsid w:val="00C03508"/>
    <w:rsid w:val="00C03776"/>
    <w:rsid w:val="00C03CE2"/>
    <w:rsid w:val="00C057C0"/>
    <w:rsid w:val="00C05E78"/>
    <w:rsid w:val="00C05EE8"/>
    <w:rsid w:val="00C06949"/>
    <w:rsid w:val="00C06C43"/>
    <w:rsid w:val="00C06D54"/>
    <w:rsid w:val="00C06EDD"/>
    <w:rsid w:val="00C10D63"/>
    <w:rsid w:val="00C119AA"/>
    <w:rsid w:val="00C1211B"/>
    <w:rsid w:val="00C13821"/>
    <w:rsid w:val="00C14051"/>
    <w:rsid w:val="00C14BEB"/>
    <w:rsid w:val="00C1539F"/>
    <w:rsid w:val="00C15B13"/>
    <w:rsid w:val="00C15C9A"/>
    <w:rsid w:val="00C15D8B"/>
    <w:rsid w:val="00C15F4B"/>
    <w:rsid w:val="00C15F73"/>
    <w:rsid w:val="00C165E4"/>
    <w:rsid w:val="00C1660F"/>
    <w:rsid w:val="00C16944"/>
    <w:rsid w:val="00C1695C"/>
    <w:rsid w:val="00C169DF"/>
    <w:rsid w:val="00C16B27"/>
    <w:rsid w:val="00C173D0"/>
    <w:rsid w:val="00C200CA"/>
    <w:rsid w:val="00C2037B"/>
    <w:rsid w:val="00C205D9"/>
    <w:rsid w:val="00C20674"/>
    <w:rsid w:val="00C20A34"/>
    <w:rsid w:val="00C20B3D"/>
    <w:rsid w:val="00C2176C"/>
    <w:rsid w:val="00C21DC8"/>
    <w:rsid w:val="00C2208B"/>
    <w:rsid w:val="00C22943"/>
    <w:rsid w:val="00C22A2F"/>
    <w:rsid w:val="00C22B47"/>
    <w:rsid w:val="00C22FF7"/>
    <w:rsid w:val="00C24192"/>
    <w:rsid w:val="00C24AFD"/>
    <w:rsid w:val="00C24F8A"/>
    <w:rsid w:val="00C254BC"/>
    <w:rsid w:val="00C25BDE"/>
    <w:rsid w:val="00C26719"/>
    <w:rsid w:val="00C26976"/>
    <w:rsid w:val="00C27062"/>
    <w:rsid w:val="00C27F76"/>
    <w:rsid w:val="00C3038A"/>
    <w:rsid w:val="00C30CB6"/>
    <w:rsid w:val="00C30DA4"/>
    <w:rsid w:val="00C333FD"/>
    <w:rsid w:val="00C33456"/>
    <w:rsid w:val="00C33A64"/>
    <w:rsid w:val="00C33B16"/>
    <w:rsid w:val="00C33C2C"/>
    <w:rsid w:val="00C33CCB"/>
    <w:rsid w:val="00C33E11"/>
    <w:rsid w:val="00C34870"/>
    <w:rsid w:val="00C34F44"/>
    <w:rsid w:val="00C35AB9"/>
    <w:rsid w:val="00C35F37"/>
    <w:rsid w:val="00C368DB"/>
    <w:rsid w:val="00C369A6"/>
    <w:rsid w:val="00C370CA"/>
    <w:rsid w:val="00C37324"/>
    <w:rsid w:val="00C4053A"/>
    <w:rsid w:val="00C409AF"/>
    <w:rsid w:val="00C40A14"/>
    <w:rsid w:val="00C41643"/>
    <w:rsid w:val="00C422CD"/>
    <w:rsid w:val="00C425F8"/>
    <w:rsid w:val="00C42639"/>
    <w:rsid w:val="00C42D66"/>
    <w:rsid w:val="00C43532"/>
    <w:rsid w:val="00C43778"/>
    <w:rsid w:val="00C44719"/>
    <w:rsid w:val="00C4473E"/>
    <w:rsid w:val="00C44881"/>
    <w:rsid w:val="00C44C7B"/>
    <w:rsid w:val="00C453F5"/>
    <w:rsid w:val="00C455F1"/>
    <w:rsid w:val="00C45837"/>
    <w:rsid w:val="00C46673"/>
    <w:rsid w:val="00C473E6"/>
    <w:rsid w:val="00C47574"/>
    <w:rsid w:val="00C47947"/>
    <w:rsid w:val="00C47C1E"/>
    <w:rsid w:val="00C47C35"/>
    <w:rsid w:val="00C50108"/>
    <w:rsid w:val="00C5024A"/>
    <w:rsid w:val="00C503B6"/>
    <w:rsid w:val="00C504D8"/>
    <w:rsid w:val="00C50A80"/>
    <w:rsid w:val="00C50B45"/>
    <w:rsid w:val="00C517E4"/>
    <w:rsid w:val="00C536CD"/>
    <w:rsid w:val="00C53AF0"/>
    <w:rsid w:val="00C53B6D"/>
    <w:rsid w:val="00C551D3"/>
    <w:rsid w:val="00C55DE0"/>
    <w:rsid w:val="00C56B35"/>
    <w:rsid w:val="00C57A3C"/>
    <w:rsid w:val="00C57B83"/>
    <w:rsid w:val="00C57DA5"/>
    <w:rsid w:val="00C60237"/>
    <w:rsid w:val="00C60AB8"/>
    <w:rsid w:val="00C619E9"/>
    <w:rsid w:val="00C61C08"/>
    <w:rsid w:val="00C61F55"/>
    <w:rsid w:val="00C62021"/>
    <w:rsid w:val="00C62F9C"/>
    <w:rsid w:val="00C631A8"/>
    <w:rsid w:val="00C63405"/>
    <w:rsid w:val="00C6353F"/>
    <w:rsid w:val="00C635A9"/>
    <w:rsid w:val="00C6405A"/>
    <w:rsid w:val="00C6572C"/>
    <w:rsid w:val="00C66A19"/>
    <w:rsid w:val="00C67344"/>
    <w:rsid w:val="00C674F8"/>
    <w:rsid w:val="00C7051B"/>
    <w:rsid w:val="00C70C47"/>
    <w:rsid w:val="00C70CFF"/>
    <w:rsid w:val="00C71232"/>
    <w:rsid w:val="00C719FA"/>
    <w:rsid w:val="00C7247A"/>
    <w:rsid w:val="00C72CE1"/>
    <w:rsid w:val="00C73A4B"/>
    <w:rsid w:val="00C7409C"/>
    <w:rsid w:val="00C7471D"/>
    <w:rsid w:val="00C74804"/>
    <w:rsid w:val="00C74A96"/>
    <w:rsid w:val="00C75655"/>
    <w:rsid w:val="00C76EA4"/>
    <w:rsid w:val="00C7770A"/>
    <w:rsid w:val="00C77DB1"/>
    <w:rsid w:val="00C805D4"/>
    <w:rsid w:val="00C80962"/>
    <w:rsid w:val="00C813F8"/>
    <w:rsid w:val="00C81662"/>
    <w:rsid w:val="00C819C1"/>
    <w:rsid w:val="00C81AB5"/>
    <w:rsid w:val="00C81BE1"/>
    <w:rsid w:val="00C81D3E"/>
    <w:rsid w:val="00C81F53"/>
    <w:rsid w:val="00C8224A"/>
    <w:rsid w:val="00C82263"/>
    <w:rsid w:val="00C825EB"/>
    <w:rsid w:val="00C82AC9"/>
    <w:rsid w:val="00C83032"/>
    <w:rsid w:val="00C8368F"/>
    <w:rsid w:val="00C837C3"/>
    <w:rsid w:val="00C838DE"/>
    <w:rsid w:val="00C84497"/>
    <w:rsid w:val="00C84AED"/>
    <w:rsid w:val="00C84F83"/>
    <w:rsid w:val="00C862CC"/>
    <w:rsid w:val="00C868F6"/>
    <w:rsid w:val="00C87097"/>
    <w:rsid w:val="00C8745F"/>
    <w:rsid w:val="00C87592"/>
    <w:rsid w:val="00C87F72"/>
    <w:rsid w:val="00C90314"/>
    <w:rsid w:val="00C904AF"/>
    <w:rsid w:val="00C9064A"/>
    <w:rsid w:val="00C9137C"/>
    <w:rsid w:val="00C91644"/>
    <w:rsid w:val="00C91B4F"/>
    <w:rsid w:val="00C91D9D"/>
    <w:rsid w:val="00C92046"/>
    <w:rsid w:val="00C92BB1"/>
    <w:rsid w:val="00C9356D"/>
    <w:rsid w:val="00C93AC0"/>
    <w:rsid w:val="00C94183"/>
    <w:rsid w:val="00C94A4C"/>
    <w:rsid w:val="00C95859"/>
    <w:rsid w:val="00C96392"/>
    <w:rsid w:val="00C9663B"/>
    <w:rsid w:val="00C96D5D"/>
    <w:rsid w:val="00C9753C"/>
    <w:rsid w:val="00C97798"/>
    <w:rsid w:val="00CA0129"/>
    <w:rsid w:val="00CA0AA7"/>
    <w:rsid w:val="00CA0C96"/>
    <w:rsid w:val="00CA0CC2"/>
    <w:rsid w:val="00CA0FFF"/>
    <w:rsid w:val="00CA126F"/>
    <w:rsid w:val="00CA1E77"/>
    <w:rsid w:val="00CA25F3"/>
    <w:rsid w:val="00CA420A"/>
    <w:rsid w:val="00CA444A"/>
    <w:rsid w:val="00CA467C"/>
    <w:rsid w:val="00CA4BD5"/>
    <w:rsid w:val="00CA4C46"/>
    <w:rsid w:val="00CA5C23"/>
    <w:rsid w:val="00CA5E32"/>
    <w:rsid w:val="00CA6020"/>
    <w:rsid w:val="00CA701D"/>
    <w:rsid w:val="00CA7AEF"/>
    <w:rsid w:val="00CA7B0A"/>
    <w:rsid w:val="00CA7C0B"/>
    <w:rsid w:val="00CA7F72"/>
    <w:rsid w:val="00CB0143"/>
    <w:rsid w:val="00CB0196"/>
    <w:rsid w:val="00CB070B"/>
    <w:rsid w:val="00CB09F8"/>
    <w:rsid w:val="00CB15A3"/>
    <w:rsid w:val="00CB15E0"/>
    <w:rsid w:val="00CB1F24"/>
    <w:rsid w:val="00CB2E40"/>
    <w:rsid w:val="00CB30FC"/>
    <w:rsid w:val="00CB3125"/>
    <w:rsid w:val="00CB3695"/>
    <w:rsid w:val="00CB3B13"/>
    <w:rsid w:val="00CB3CF5"/>
    <w:rsid w:val="00CB4076"/>
    <w:rsid w:val="00CB409A"/>
    <w:rsid w:val="00CB4113"/>
    <w:rsid w:val="00CB43B7"/>
    <w:rsid w:val="00CB4E40"/>
    <w:rsid w:val="00CB5518"/>
    <w:rsid w:val="00CB615B"/>
    <w:rsid w:val="00CB6E2B"/>
    <w:rsid w:val="00CB6FF7"/>
    <w:rsid w:val="00CB7302"/>
    <w:rsid w:val="00CB7FCB"/>
    <w:rsid w:val="00CC0287"/>
    <w:rsid w:val="00CC03C4"/>
    <w:rsid w:val="00CC1DAD"/>
    <w:rsid w:val="00CC1E9F"/>
    <w:rsid w:val="00CC20C9"/>
    <w:rsid w:val="00CC232E"/>
    <w:rsid w:val="00CC2A06"/>
    <w:rsid w:val="00CC2F64"/>
    <w:rsid w:val="00CC3512"/>
    <w:rsid w:val="00CC3A2C"/>
    <w:rsid w:val="00CC3AD0"/>
    <w:rsid w:val="00CC4B0D"/>
    <w:rsid w:val="00CC51A0"/>
    <w:rsid w:val="00CC51B4"/>
    <w:rsid w:val="00CC51DF"/>
    <w:rsid w:val="00CC5896"/>
    <w:rsid w:val="00CC5BF1"/>
    <w:rsid w:val="00CC62C7"/>
    <w:rsid w:val="00CC6EF6"/>
    <w:rsid w:val="00CC6F74"/>
    <w:rsid w:val="00CC770A"/>
    <w:rsid w:val="00CD0847"/>
    <w:rsid w:val="00CD0B83"/>
    <w:rsid w:val="00CD0F51"/>
    <w:rsid w:val="00CD1123"/>
    <w:rsid w:val="00CD1A88"/>
    <w:rsid w:val="00CD1D23"/>
    <w:rsid w:val="00CD254D"/>
    <w:rsid w:val="00CD26EC"/>
    <w:rsid w:val="00CD295F"/>
    <w:rsid w:val="00CD3FA7"/>
    <w:rsid w:val="00CD4093"/>
    <w:rsid w:val="00CD4403"/>
    <w:rsid w:val="00CD49AF"/>
    <w:rsid w:val="00CD582F"/>
    <w:rsid w:val="00CD5B38"/>
    <w:rsid w:val="00CD62BF"/>
    <w:rsid w:val="00CD676A"/>
    <w:rsid w:val="00CD6EC7"/>
    <w:rsid w:val="00CE0AB9"/>
    <w:rsid w:val="00CE11DE"/>
    <w:rsid w:val="00CE1C89"/>
    <w:rsid w:val="00CE3810"/>
    <w:rsid w:val="00CE3D33"/>
    <w:rsid w:val="00CE402F"/>
    <w:rsid w:val="00CE4479"/>
    <w:rsid w:val="00CE472C"/>
    <w:rsid w:val="00CE4BBD"/>
    <w:rsid w:val="00CE52B4"/>
    <w:rsid w:val="00CE5DCD"/>
    <w:rsid w:val="00CE5FF0"/>
    <w:rsid w:val="00CE624A"/>
    <w:rsid w:val="00CE643C"/>
    <w:rsid w:val="00CE701C"/>
    <w:rsid w:val="00CE7155"/>
    <w:rsid w:val="00CE7599"/>
    <w:rsid w:val="00CE7B26"/>
    <w:rsid w:val="00CF1395"/>
    <w:rsid w:val="00CF13B9"/>
    <w:rsid w:val="00CF1894"/>
    <w:rsid w:val="00CF1B37"/>
    <w:rsid w:val="00CF1E9E"/>
    <w:rsid w:val="00CF206A"/>
    <w:rsid w:val="00CF2B69"/>
    <w:rsid w:val="00CF362F"/>
    <w:rsid w:val="00CF3806"/>
    <w:rsid w:val="00CF3B80"/>
    <w:rsid w:val="00CF3D1E"/>
    <w:rsid w:val="00CF414A"/>
    <w:rsid w:val="00CF498A"/>
    <w:rsid w:val="00CF4EF1"/>
    <w:rsid w:val="00CF4FF0"/>
    <w:rsid w:val="00CF5705"/>
    <w:rsid w:val="00CF57D9"/>
    <w:rsid w:val="00CF5B47"/>
    <w:rsid w:val="00CF5C35"/>
    <w:rsid w:val="00CF5F85"/>
    <w:rsid w:val="00CF6117"/>
    <w:rsid w:val="00CF6850"/>
    <w:rsid w:val="00CF68FB"/>
    <w:rsid w:val="00CF76BC"/>
    <w:rsid w:val="00CF791E"/>
    <w:rsid w:val="00CF7B6B"/>
    <w:rsid w:val="00D002FD"/>
    <w:rsid w:val="00D0109D"/>
    <w:rsid w:val="00D01988"/>
    <w:rsid w:val="00D02DBF"/>
    <w:rsid w:val="00D0330D"/>
    <w:rsid w:val="00D048C1"/>
    <w:rsid w:val="00D0565B"/>
    <w:rsid w:val="00D06BC2"/>
    <w:rsid w:val="00D06F2E"/>
    <w:rsid w:val="00D10068"/>
    <w:rsid w:val="00D104F9"/>
    <w:rsid w:val="00D1055B"/>
    <w:rsid w:val="00D10564"/>
    <w:rsid w:val="00D10E82"/>
    <w:rsid w:val="00D113D1"/>
    <w:rsid w:val="00D1150D"/>
    <w:rsid w:val="00D12DC0"/>
    <w:rsid w:val="00D14323"/>
    <w:rsid w:val="00D153D0"/>
    <w:rsid w:val="00D1556C"/>
    <w:rsid w:val="00D16008"/>
    <w:rsid w:val="00D166D4"/>
    <w:rsid w:val="00D17272"/>
    <w:rsid w:val="00D178A0"/>
    <w:rsid w:val="00D208BE"/>
    <w:rsid w:val="00D20E31"/>
    <w:rsid w:val="00D21FD0"/>
    <w:rsid w:val="00D225AB"/>
    <w:rsid w:val="00D22CCE"/>
    <w:rsid w:val="00D2319E"/>
    <w:rsid w:val="00D23254"/>
    <w:rsid w:val="00D239D7"/>
    <w:rsid w:val="00D24490"/>
    <w:rsid w:val="00D2449D"/>
    <w:rsid w:val="00D25351"/>
    <w:rsid w:val="00D25673"/>
    <w:rsid w:val="00D25D37"/>
    <w:rsid w:val="00D2618E"/>
    <w:rsid w:val="00D26212"/>
    <w:rsid w:val="00D26363"/>
    <w:rsid w:val="00D27AF4"/>
    <w:rsid w:val="00D30254"/>
    <w:rsid w:val="00D3117A"/>
    <w:rsid w:val="00D31B52"/>
    <w:rsid w:val="00D31ED3"/>
    <w:rsid w:val="00D32084"/>
    <w:rsid w:val="00D32571"/>
    <w:rsid w:val="00D32D58"/>
    <w:rsid w:val="00D33768"/>
    <w:rsid w:val="00D338DD"/>
    <w:rsid w:val="00D33983"/>
    <w:rsid w:val="00D33D87"/>
    <w:rsid w:val="00D34088"/>
    <w:rsid w:val="00D344CE"/>
    <w:rsid w:val="00D34BD0"/>
    <w:rsid w:val="00D35077"/>
    <w:rsid w:val="00D35177"/>
    <w:rsid w:val="00D35182"/>
    <w:rsid w:val="00D35A6E"/>
    <w:rsid w:val="00D35D7F"/>
    <w:rsid w:val="00D35EAC"/>
    <w:rsid w:val="00D36CEF"/>
    <w:rsid w:val="00D37B8E"/>
    <w:rsid w:val="00D400F8"/>
    <w:rsid w:val="00D40654"/>
    <w:rsid w:val="00D408A8"/>
    <w:rsid w:val="00D40A9A"/>
    <w:rsid w:val="00D416C7"/>
    <w:rsid w:val="00D42026"/>
    <w:rsid w:val="00D42D9F"/>
    <w:rsid w:val="00D433AA"/>
    <w:rsid w:val="00D439D4"/>
    <w:rsid w:val="00D4440A"/>
    <w:rsid w:val="00D45CD8"/>
    <w:rsid w:val="00D45D0C"/>
    <w:rsid w:val="00D46D6D"/>
    <w:rsid w:val="00D46DAE"/>
    <w:rsid w:val="00D472F1"/>
    <w:rsid w:val="00D47631"/>
    <w:rsid w:val="00D476F1"/>
    <w:rsid w:val="00D479D7"/>
    <w:rsid w:val="00D503A8"/>
    <w:rsid w:val="00D51922"/>
    <w:rsid w:val="00D51C8F"/>
    <w:rsid w:val="00D5204B"/>
    <w:rsid w:val="00D5266E"/>
    <w:rsid w:val="00D5360A"/>
    <w:rsid w:val="00D53846"/>
    <w:rsid w:val="00D54C10"/>
    <w:rsid w:val="00D55236"/>
    <w:rsid w:val="00D55CD0"/>
    <w:rsid w:val="00D55F7C"/>
    <w:rsid w:val="00D578D3"/>
    <w:rsid w:val="00D57973"/>
    <w:rsid w:val="00D606C8"/>
    <w:rsid w:val="00D60AB7"/>
    <w:rsid w:val="00D60CE2"/>
    <w:rsid w:val="00D60FEB"/>
    <w:rsid w:val="00D612EC"/>
    <w:rsid w:val="00D6153E"/>
    <w:rsid w:val="00D623C4"/>
    <w:rsid w:val="00D6262F"/>
    <w:rsid w:val="00D644B0"/>
    <w:rsid w:val="00D6474A"/>
    <w:rsid w:val="00D65465"/>
    <w:rsid w:val="00D657D1"/>
    <w:rsid w:val="00D668E1"/>
    <w:rsid w:val="00D66BB3"/>
    <w:rsid w:val="00D66D74"/>
    <w:rsid w:val="00D66F2B"/>
    <w:rsid w:val="00D6776A"/>
    <w:rsid w:val="00D70D6A"/>
    <w:rsid w:val="00D70EFC"/>
    <w:rsid w:val="00D710EC"/>
    <w:rsid w:val="00D71241"/>
    <w:rsid w:val="00D722DF"/>
    <w:rsid w:val="00D7327E"/>
    <w:rsid w:val="00D73C10"/>
    <w:rsid w:val="00D73E8E"/>
    <w:rsid w:val="00D74199"/>
    <w:rsid w:val="00D7475B"/>
    <w:rsid w:val="00D748E4"/>
    <w:rsid w:val="00D74A23"/>
    <w:rsid w:val="00D75272"/>
    <w:rsid w:val="00D75B6D"/>
    <w:rsid w:val="00D76F35"/>
    <w:rsid w:val="00D7792D"/>
    <w:rsid w:val="00D80B55"/>
    <w:rsid w:val="00D814A3"/>
    <w:rsid w:val="00D821CA"/>
    <w:rsid w:val="00D83350"/>
    <w:rsid w:val="00D8395F"/>
    <w:rsid w:val="00D83E68"/>
    <w:rsid w:val="00D8401E"/>
    <w:rsid w:val="00D84655"/>
    <w:rsid w:val="00D84675"/>
    <w:rsid w:val="00D84EB3"/>
    <w:rsid w:val="00D8526A"/>
    <w:rsid w:val="00D8565B"/>
    <w:rsid w:val="00D85707"/>
    <w:rsid w:val="00D86252"/>
    <w:rsid w:val="00D864E1"/>
    <w:rsid w:val="00D865BF"/>
    <w:rsid w:val="00D86786"/>
    <w:rsid w:val="00D867F4"/>
    <w:rsid w:val="00D86CA3"/>
    <w:rsid w:val="00D86E18"/>
    <w:rsid w:val="00D876B4"/>
    <w:rsid w:val="00D877EA"/>
    <w:rsid w:val="00D87FE8"/>
    <w:rsid w:val="00D9032B"/>
    <w:rsid w:val="00D904C3"/>
    <w:rsid w:val="00D90ACE"/>
    <w:rsid w:val="00D90AD0"/>
    <w:rsid w:val="00D912C0"/>
    <w:rsid w:val="00D917F3"/>
    <w:rsid w:val="00D91913"/>
    <w:rsid w:val="00D91F1C"/>
    <w:rsid w:val="00D92177"/>
    <w:rsid w:val="00D921C6"/>
    <w:rsid w:val="00D92A1E"/>
    <w:rsid w:val="00D9316C"/>
    <w:rsid w:val="00D93D24"/>
    <w:rsid w:val="00D944DA"/>
    <w:rsid w:val="00D94509"/>
    <w:rsid w:val="00D9451D"/>
    <w:rsid w:val="00D9506E"/>
    <w:rsid w:val="00D951F8"/>
    <w:rsid w:val="00D95AB7"/>
    <w:rsid w:val="00D970A4"/>
    <w:rsid w:val="00D976E4"/>
    <w:rsid w:val="00D97BAA"/>
    <w:rsid w:val="00DA0363"/>
    <w:rsid w:val="00DA07FC"/>
    <w:rsid w:val="00DA0E5D"/>
    <w:rsid w:val="00DA199E"/>
    <w:rsid w:val="00DA1C98"/>
    <w:rsid w:val="00DA2835"/>
    <w:rsid w:val="00DA35BD"/>
    <w:rsid w:val="00DA39E1"/>
    <w:rsid w:val="00DA3AF3"/>
    <w:rsid w:val="00DA4152"/>
    <w:rsid w:val="00DA4A93"/>
    <w:rsid w:val="00DA4BF6"/>
    <w:rsid w:val="00DA5361"/>
    <w:rsid w:val="00DA5455"/>
    <w:rsid w:val="00DA5709"/>
    <w:rsid w:val="00DA5B4A"/>
    <w:rsid w:val="00DA5C2B"/>
    <w:rsid w:val="00DA5FB6"/>
    <w:rsid w:val="00DA6001"/>
    <w:rsid w:val="00DA6A00"/>
    <w:rsid w:val="00DA795D"/>
    <w:rsid w:val="00DA7A58"/>
    <w:rsid w:val="00DB05D0"/>
    <w:rsid w:val="00DB0F62"/>
    <w:rsid w:val="00DB11FA"/>
    <w:rsid w:val="00DB15B1"/>
    <w:rsid w:val="00DB1D1F"/>
    <w:rsid w:val="00DB215B"/>
    <w:rsid w:val="00DB258B"/>
    <w:rsid w:val="00DB2EE3"/>
    <w:rsid w:val="00DB36CD"/>
    <w:rsid w:val="00DB3728"/>
    <w:rsid w:val="00DB3E24"/>
    <w:rsid w:val="00DB3EF8"/>
    <w:rsid w:val="00DB415E"/>
    <w:rsid w:val="00DB56CB"/>
    <w:rsid w:val="00DB5948"/>
    <w:rsid w:val="00DB5EFB"/>
    <w:rsid w:val="00DB69AD"/>
    <w:rsid w:val="00DB6EF1"/>
    <w:rsid w:val="00DB7E95"/>
    <w:rsid w:val="00DC00CC"/>
    <w:rsid w:val="00DC09DF"/>
    <w:rsid w:val="00DC0B71"/>
    <w:rsid w:val="00DC1385"/>
    <w:rsid w:val="00DC19BB"/>
    <w:rsid w:val="00DC2166"/>
    <w:rsid w:val="00DC3A1F"/>
    <w:rsid w:val="00DC4ADF"/>
    <w:rsid w:val="00DC4B61"/>
    <w:rsid w:val="00DC5838"/>
    <w:rsid w:val="00DC5AD1"/>
    <w:rsid w:val="00DC5C7D"/>
    <w:rsid w:val="00DC61A9"/>
    <w:rsid w:val="00DC6404"/>
    <w:rsid w:val="00DC7743"/>
    <w:rsid w:val="00DC77CB"/>
    <w:rsid w:val="00DD0E2D"/>
    <w:rsid w:val="00DD0F4F"/>
    <w:rsid w:val="00DD10F3"/>
    <w:rsid w:val="00DD115C"/>
    <w:rsid w:val="00DD145A"/>
    <w:rsid w:val="00DD16E4"/>
    <w:rsid w:val="00DD2249"/>
    <w:rsid w:val="00DD235D"/>
    <w:rsid w:val="00DD2A9B"/>
    <w:rsid w:val="00DD2EBD"/>
    <w:rsid w:val="00DD3D41"/>
    <w:rsid w:val="00DD406A"/>
    <w:rsid w:val="00DD406B"/>
    <w:rsid w:val="00DD4133"/>
    <w:rsid w:val="00DD4263"/>
    <w:rsid w:val="00DD458E"/>
    <w:rsid w:val="00DD46F2"/>
    <w:rsid w:val="00DD4C5B"/>
    <w:rsid w:val="00DD4E87"/>
    <w:rsid w:val="00DD5EDC"/>
    <w:rsid w:val="00DD6706"/>
    <w:rsid w:val="00DD6887"/>
    <w:rsid w:val="00DD7140"/>
    <w:rsid w:val="00DD7A30"/>
    <w:rsid w:val="00DD7FDF"/>
    <w:rsid w:val="00DE1703"/>
    <w:rsid w:val="00DE1756"/>
    <w:rsid w:val="00DE17CC"/>
    <w:rsid w:val="00DE1FC5"/>
    <w:rsid w:val="00DE2CF4"/>
    <w:rsid w:val="00DE31B8"/>
    <w:rsid w:val="00DE38E4"/>
    <w:rsid w:val="00DE3A2F"/>
    <w:rsid w:val="00DE3AC3"/>
    <w:rsid w:val="00DE3C4F"/>
    <w:rsid w:val="00DE4178"/>
    <w:rsid w:val="00DE57B6"/>
    <w:rsid w:val="00DE5A93"/>
    <w:rsid w:val="00DE6151"/>
    <w:rsid w:val="00DE7304"/>
    <w:rsid w:val="00DE77A5"/>
    <w:rsid w:val="00DE7961"/>
    <w:rsid w:val="00DE7FF2"/>
    <w:rsid w:val="00DF052B"/>
    <w:rsid w:val="00DF1836"/>
    <w:rsid w:val="00DF20E3"/>
    <w:rsid w:val="00DF25C2"/>
    <w:rsid w:val="00DF3DB4"/>
    <w:rsid w:val="00DF4D4B"/>
    <w:rsid w:val="00DF568D"/>
    <w:rsid w:val="00DF58E5"/>
    <w:rsid w:val="00DF5DED"/>
    <w:rsid w:val="00E00CCB"/>
    <w:rsid w:val="00E019C1"/>
    <w:rsid w:val="00E019EA"/>
    <w:rsid w:val="00E0243F"/>
    <w:rsid w:val="00E0302D"/>
    <w:rsid w:val="00E03190"/>
    <w:rsid w:val="00E03424"/>
    <w:rsid w:val="00E0390C"/>
    <w:rsid w:val="00E03E8E"/>
    <w:rsid w:val="00E042C7"/>
    <w:rsid w:val="00E047F3"/>
    <w:rsid w:val="00E052BA"/>
    <w:rsid w:val="00E057D3"/>
    <w:rsid w:val="00E05B93"/>
    <w:rsid w:val="00E06879"/>
    <w:rsid w:val="00E0781A"/>
    <w:rsid w:val="00E07BD7"/>
    <w:rsid w:val="00E10C45"/>
    <w:rsid w:val="00E110CB"/>
    <w:rsid w:val="00E11257"/>
    <w:rsid w:val="00E11402"/>
    <w:rsid w:val="00E11475"/>
    <w:rsid w:val="00E125A1"/>
    <w:rsid w:val="00E12C90"/>
    <w:rsid w:val="00E13176"/>
    <w:rsid w:val="00E137B9"/>
    <w:rsid w:val="00E13A66"/>
    <w:rsid w:val="00E13BE9"/>
    <w:rsid w:val="00E13DAF"/>
    <w:rsid w:val="00E14289"/>
    <w:rsid w:val="00E148FE"/>
    <w:rsid w:val="00E152A8"/>
    <w:rsid w:val="00E15366"/>
    <w:rsid w:val="00E15672"/>
    <w:rsid w:val="00E15C19"/>
    <w:rsid w:val="00E16022"/>
    <w:rsid w:val="00E1638F"/>
    <w:rsid w:val="00E1675D"/>
    <w:rsid w:val="00E16AB4"/>
    <w:rsid w:val="00E16CCB"/>
    <w:rsid w:val="00E175A7"/>
    <w:rsid w:val="00E200E5"/>
    <w:rsid w:val="00E20168"/>
    <w:rsid w:val="00E201C8"/>
    <w:rsid w:val="00E20740"/>
    <w:rsid w:val="00E20994"/>
    <w:rsid w:val="00E20CDE"/>
    <w:rsid w:val="00E20E92"/>
    <w:rsid w:val="00E20EF7"/>
    <w:rsid w:val="00E222C2"/>
    <w:rsid w:val="00E2232C"/>
    <w:rsid w:val="00E2273B"/>
    <w:rsid w:val="00E22C81"/>
    <w:rsid w:val="00E23120"/>
    <w:rsid w:val="00E245DA"/>
    <w:rsid w:val="00E24645"/>
    <w:rsid w:val="00E25909"/>
    <w:rsid w:val="00E264ED"/>
    <w:rsid w:val="00E266AB"/>
    <w:rsid w:val="00E2743B"/>
    <w:rsid w:val="00E27710"/>
    <w:rsid w:val="00E30319"/>
    <w:rsid w:val="00E3046E"/>
    <w:rsid w:val="00E3078F"/>
    <w:rsid w:val="00E30E92"/>
    <w:rsid w:val="00E3123B"/>
    <w:rsid w:val="00E31469"/>
    <w:rsid w:val="00E31980"/>
    <w:rsid w:val="00E31BCB"/>
    <w:rsid w:val="00E324A7"/>
    <w:rsid w:val="00E3281B"/>
    <w:rsid w:val="00E32963"/>
    <w:rsid w:val="00E32ED6"/>
    <w:rsid w:val="00E33119"/>
    <w:rsid w:val="00E337BC"/>
    <w:rsid w:val="00E34229"/>
    <w:rsid w:val="00E34290"/>
    <w:rsid w:val="00E350CD"/>
    <w:rsid w:val="00E35AB0"/>
    <w:rsid w:val="00E35F5F"/>
    <w:rsid w:val="00E360C0"/>
    <w:rsid w:val="00E36EB7"/>
    <w:rsid w:val="00E372A9"/>
    <w:rsid w:val="00E37DC2"/>
    <w:rsid w:val="00E4001B"/>
    <w:rsid w:val="00E404C3"/>
    <w:rsid w:val="00E412E7"/>
    <w:rsid w:val="00E4196F"/>
    <w:rsid w:val="00E42503"/>
    <w:rsid w:val="00E43A7D"/>
    <w:rsid w:val="00E462F4"/>
    <w:rsid w:val="00E46E98"/>
    <w:rsid w:val="00E47050"/>
    <w:rsid w:val="00E47086"/>
    <w:rsid w:val="00E47254"/>
    <w:rsid w:val="00E4791E"/>
    <w:rsid w:val="00E5020B"/>
    <w:rsid w:val="00E502DB"/>
    <w:rsid w:val="00E50656"/>
    <w:rsid w:val="00E50885"/>
    <w:rsid w:val="00E50C56"/>
    <w:rsid w:val="00E51389"/>
    <w:rsid w:val="00E517C6"/>
    <w:rsid w:val="00E5195B"/>
    <w:rsid w:val="00E51BA6"/>
    <w:rsid w:val="00E51CAE"/>
    <w:rsid w:val="00E51FDE"/>
    <w:rsid w:val="00E52027"/>
    <w:rsid w:val="00E52473"/>
    <w:rsid w:val="00E526FB"/>
    <w:rsid w:val="00E52832"/>
    <w:rsid w:val="00E529F3"/>
    <w:rsid w:val="00E52E81"/>
    <w:rsid w:val="00E53455"/>
    <w:rsid w:val="00E534B2"/>
    <w:rsid w:val="00E5383D"/>
    <w:rsid w:val="00E53B5F"/>
    <w:rsid w:val="00E54484"/>
    <w:rsid w:val="00E544F0"/>
    <w:rsid w:val="00E54ED8"/>
    <w:rsid w:val="00E54F3F"/>
    <w:rsid w:val="00E5544E"/>
    <w:rsid w:val="00E5589E"/>
    <w:rsid w:val="00E56B66"/>
    <w:rsid w:val="00E57A51"/>
    <w:rsid w:val="00E60B3F"/>
    <w:rsid w:val="00E60F4E"/>
    <w:rsid w:val="00E62457"/>
    <w:rsid w:val="00E62E50"/>
    <w:rsid w:val="00E630E8"/>
    <w:rsid w:val="00E6396B"/>
    <w:rsid w:val="00E63F24"/>
    <w:rsid w:val="00E64A10"/>
    <w:rsid w:val="00E65691"/>
    <w:rsid w:val="00E657B5"/>
    <w:rsid w:val="00E65AA9"/>
    <w:rsid w:val="00E65ADB"/>
    <w:rsid w:val="00E65EC1"/>
    <w:rsid w:val="00E660E4"/>
    <w:rsid w:val="00E66371"/>
    <w:rsid w:val="00E667FB"/>
    <w:rsid w:val="00E6702B"/>
    <w:rsid w:val="00E67DB8"/>
    <w:rsid w:val="00E67FDC"/>
    <w:rsid w:val="00E705B7"/>
    <w:rsid w:val="00E7086E"/>
    <w:rsid w:val="00E70ECC"/>
    <w:rsid w:val="00E71542"/>
    <w:rsid w:val="00E71966"/>
    <w:rsid w:val="00E71A89"/>
    <w:rsid w:val="00E733B4"/>
    <w:rsid w:val="00E73B86"/>
    <w:rsid w:val="00E73C3E"/>
    <w:rsid w:val="00E73FCE"/>
    <w:rsid w:val="00E74DAB"/>
    <w:rsid w:val="00E75585"/>
    <w:rsid w:val="00E75900"/>
    <w:rsid w:val="00E75B68"/>
    <w:rsid w:val="00E76789"/>
    <w:rsid w:val="00E76B70"/>
    <w:rsid w:val="00E77197"/>
    <w:rsid w:val="00E7759D"/>
    <w:rsid w:val="00E775B8"/>
    <w:rsid w:val="00E80201"/>
    <w:rsid w:val="00E80EF5"/>
    <w:rsid w:val="00E815DD"/>
    <w:rsid w:val="00E81B1A"/>
    <w:rsid w:val="00E842D3"/>
    <w:rsid w:val="00E843B3"/>
    <w:rsid w:val="00E84AF1"/>
    <w:rsid w:val="00E84C7D"/>
    <w:rsid w:val="00E84FB3"/>
    <w:rsid w:val="00E85E28"/>
    <w:rsid w:val="00E85E6B"/>
    <w:rsid w:val="00E87037"/>
    <w:rsid w:val="00E87ABA"/>
    <w:rsid w:val="00E902EC"/>
    <w:rsid w:val="00E90996"/>
    <w:rsid w:val="00E90C54"/>
    <w:rsid w:val="00E921C2"/>
    <w:rsid w:val="00E92636"/>
    <w:rsid w:val="00E92902"/>
    <w:rsid w:val="00E92FF8"/>
    <w:rsid w:val="00E93389"/>
    <w:rsid w:val="00E936AF"/>
    <w:rsid w:val="00E938F0"/>
    <w:rsid w:val="00E93A1F"/>
    <w:rsid w:val="00E9496F"/>
    <w:rsid w:val="00E95033"/>
    <w:rsid w:val="00E952FA"/>
    <w:rsid w:val="00E9595E"/>
    <w:rsid w:val="00E95B4D"/>
    <w:rsid w:val="00E969B0"/>
    <w:rsid w:val="00E96C20"/>
    <w:rsid w:val="00EA16F2"/>
    <w:rsid w:val="00EA1EF9"/>
    <w:rsid w:val="00EA2BCE"/>
    <w:rsid w:val="00EA2CA0"/>
    <w:rsid w:val="00EA38F4"/>
    <w:rsid w:val="00EA3D2D"/>
    <w:rsid w:val="00EA4342"/>
    <w:rsid w:val="00EA5446"/>
    <w:rsid w:val="00EA56D2"/>
    <w:rsid w:val="00EA5DEF"/>
    <w:rsid w:val="00EA5E57"/>
    <w:rsid w:val="00EA5EC5"/>
    <w:rsid w:val="00EA6830"/>
    <w:rsid w:val="00EA6B0F"/>
    <w:rsid w:val="00EA7237"/>
    <w:rsid w:val="00EA7BA2"/>
    <w:rsid w:val="00EB055B"/>
    <w:rsid w:val="00EB112A"/>
    <w:rsid w:val="00EB2458"/>
    <w:rsid w:val="00EB2DEC"/>
    <w:rsid w:val="00EB4DA4"/>
    <w:rsid w:val="00EB5778"/>
    <w:rsid w:val="00EB68F1"/>
    <w:rsid w:val="00EB7183"/>
    <w:rsid w:val="00EB742B"/>
    <w:rsid w:val="00EB7A45"/>
    <w:rsid w:val="00EC02DA"/>
    <w:rsid w:val="00EC0B1B"/>
    <w:rsid w:val="00EC1212"/>
    <w:rsid w:val="00EC1D3D"/>
    <w:rsid w:val="00EC3331"/>
    <w:rsid w:val="00EC402C"/>
    <w:rsid w:val="00EC482D"/>
    <w:rsid w:val="00EC5331"/>
    <w:rsid w:val="00EC5742"/>
    <w:rsid w:val="00EC677E"/>
    <w:rsid w:val="00EC6C78"/>
    <w:rsid w:val="00EC711D"/>
    <w:rsid w:val="00EC79CB"/>
    <w:rsid w:val="00EC7E67"/>
    <w:rsid w:val="00ED06D8"/>
    <w:rsid w:val="00ED0750"/>
    <w:rsid w:val="00ED0D37"/>
    <w:rsid w:val="00ED0EE2"/>
    <w:rsid w:val="00ED1C74"/>
    <w:rsid w:val="00ED1D7A"/>
    <w:rsid w:val="00ED2B81"/>
    <w:rsid w:val="00ED33E2"/>
    <w:rsid w:val="00ED3713"/>
    <w:rsid w:val="00ED42E4"/>
    <w:rsid w:val="00ED47AC"/>
    <w:rsid w:val="00ED4B27"/>
    <w:rsid w:val="00ED4EA6"/>
    <w:rsid w:val="00ED5B5C"/>
    <w:rsid w:val="00ED6B03"/>
    <w:rsid w:val="00ED70BD"/>
    <w:rsid w:val="00ED7217"/>
    <w:rsid w:val="00ED74FB"/>
    <w:rsid w:val="00ED7628"/>
    <w:rsid w:val="00ED76E4"/>
    <w:rsid w:val="00ED7A01"/>
    <w:rsid w:val="00ED7C39"/>
    <w:rsid w:val="00ED7E0D"/>
    <w:rsid w:val="00EE05ED"/>
    <w:rsid w:val="00EE0B3E"/>
    <w:rsid w:val="00EE0D0A"/>
    <w:rsid w:val="00EE0E63"/>
    <w:rsid w:val="00EE1684"/>
    <w:rsid w:val="00EE1FC0"/>
    <w:rsid w:val="00EE2D61"/>
    <w:rsid w:val="00EE3061"/>
    <w:rsid w:val="00EE358D"/>
    <w:rsid w:val="00EE37BB"/>
    <w:rsid w:val="00EE41A8"/>
    <w:rsid w:val="00EE451F"/>
    <w:rsid w:val="00EE45FF"/>
    <w:rsid w:val="00EE4762"/>
    <w:rsid w:val="00EE48E8"/>
    <w:rsid w:val="00EE4F70"/>
    <w:rsid w:val="00EE51BB"/>
    <w:rsid w:val="00EE544B"/>
    <w:rsid w:val="00EE62E4"/>
    <w:rsid w:val="00EE6C00"/>
    <w:rsid w:val="00EF0845"/>
    <w:rsid w:val="00EF0A45"/>
    <w:rsid w:val="00EF20D6"/>
    <w:rsid w:val="00EF31B7"/>
    <w:rsid w:val="00EF3459"/>
    <w:rsid w:val="00EF3B0E"/>
    <w:rsid w:val="00EF4099"/>
    <w:rsid w:val="00EF493B"/>
    <w:rsid w:val="00EF55C5"/>
    <w:rsid w:val="00EF5FDB"/>
    <w:rsid w:val="00EF6024"/>
    <w:rsid w:val="00EF6079"/>
    <w:rsid w:val="00EF67C6"/>
    <w:rsid w:val="00EF6BBB"/>
    <w:rsid w:val="00EF6BDC"/>
    <w:rsid w:val="00EF6FE0"/>
    <w:rsid w:val="00EF7B27"/>
    <w:rsid w:val="00EF7EF4"/>
    <w:rsid w:val="00F00B68"/>
    <w:rsid w:val="00F011FE"/>
    <w:rsid w:val="00F01C4C"/>
    <w:rsid w:val="00F02280"/>
    <w:rsid w:val="00F02362"/>
    <w:rsid w:val="00F0246F"/>
    <w:rsid w:val="00F02786"/>
    <w:rsid w:val="00F02CB5"/>
    <w:rsid w:val="00F0434F"/>
    <w:rsid w:val="00F049DD"/>
    <w:rsid w:val="00F04A4F"/>
    <w:rsid w:val="00F04FF1"/>
    <w:rsid w:val="00F058C3"/>
    <w:rsid w:val="00F059AF"/>
    <w:rsid w:val="00F05A2E"/>
    <w:rsid w:val="00F0670F"/>
    <w:rsid w:val="00F06CC5"/>
    <w:rsid w:val="00F06F80"/>
    <w:rsid w:val="00F077D6"/>
    <w:rsid w:val="00F07FA6"/>
    <w:rsid w:val="00F103E2"/>
    <w:rsid w:val="00F1116B"/>
    <w:rsid w:val="00F11E2B"/>
    <w:rsid w:val="00F12110"/>
    <w:rsid w:val="00F128F3"/>
    <w:rsid w:val="00F12A04"/>
    <w:rsid w:val="00F13036"/>
    <w:rsid w:val="00F13077"/>
    <w:rsid w:val="00F130DC"/>
    <w:rsid w:val="00F1354E"/>
    <w:rsid w:val="00F14EAA"/>
    <w:rsid w:val="00F1531A"/>
    <w:rsid w:val="00F158E1"/>
    <w:rsid w:val="00F15DDA"/>
    <w:rsid w:val="00F169C4"/>
    <w:rsid w:val="00F16AB1"/>
    <w:rsid w:val="00F17B93"/>
    <w:rsid w:val="00F20066"/>
    <w:rsid w:val="00F206E9"/>
    <w:rsid w:val="00F20F2F"/>
    <w:rsid w:val="00F21026"/>
    <w:rsid w:val="00F21081"/>
    <w:rsid w:val="00F215E3"/>
    <w:rsid w:val="00F216E9"/>
    <w:rsid w:val="00F21D1A"/>
    <w:rsid w:val="00F223AF"/>
    <w:rsid w:val="00F22552"/>
    <w:rsid w:val="00F22865"/>
    <w:rsid w:val="00F22C6A"/>
    <w:rsid w:val="00F22FC8"/>
    <w:rsid w:val="00F2355E"/>
    <w:rsid w:val="00F23C12"/>
    <w:rsid w:val="00F23FF5"/>
    <w:rsid w:val="00F2416E"/>
    <w:rsid w:val="00F24945"/>
    <w:rsid w:val="00F24D75"/>
    <w:rsid w:val="00F254CF"/>
    <w:rsid w:val="00F2550B"/>
    <w:rsid w:val="00F2614E"/>
    <w:rsid w:val="00F261E3"/>
    <w:rsid w:val="00F3235A"/>
    <w:rsid w:val="00F333CA"/>
    <w:rsid w:val="00F336CB"/>
    <w:rsid w:val="00F33F87"/>
    <w:rsid w:val="00F34F33"/>
    <w:rsid w:val="00F35421"/>
    <w:rsid w:val="00F35524"/>
    <w:rsid w:val="00F361E4"/>
    <w:rsid w:val="00F364D5"/>
    <w:rsid w:val="00F368C6"/>
    <w:rsid w:val="00F36D01"/>
    <w:rsid w:val="00F36D1F"/>
    <w:rsid w:val="00F37041"/>
    <w:rsid w:val="00F372F3"/>
    <w:rsid w:val="00F3769E"/>
    <w:rsid w:val="00F37796"/>
    <w:rsid w:val="00F40A64"/>
    <w:rsid w:val="00F40B39"/>
    <w:rsid w:val="00F40F06"/>
    <w:rsid w:val="00F4121E"/>
    <w:rsid w:val="00F414C2"/>
    <w:rsid w:val="00F42669"/>
    <w:rsid w:val="00F4270F"/>
    <w:rsid w:val="00F42C8B"/>
    <w:rsid w:val="00F42E90"/>
    <w:rsid w:val="00F42EEF"/>
    <w:rsid w:val="00F43BF5"/>
    <w:rsid w:val="00F4463B"/>
    <w:rsid w:val="00F4466D"/>
    <w:rsid w:val="00F44B21"/>
    <w:rsid w:val="00F45511"/>
    <w:rsid w:val="00F45A7B"/>
    <w:rsid w:val="00F46D6A"/>
    <w:rsid w:val="00F4749B"/>
    <w:rsid w:val="00F47B0C"/>
    <w:rsid w:val="00F504A7"/>
    <w:rsid w:val="00F504DE"/>
    <w:rsid w:val="00F5136D"/>
    <w:rsid w:val="00F516C9"/>
    <w:rsid w:val="00F53DA1"/>
    <w:rsid w:val="00F54671"/>
    <w:rsid w:val="00F548EA"/>
    <w:rsid w:val="00F54D29"/>
    <w:rsid w:val="00F5512A"/>
    <w:rsid w:val="00F55224"/>
    <w:rsid w:val="00F557E1"/>
    <w:rsid w:val="00F55B48"/>
    <w:rsid w:val="00F56CE9"/>
    <w:rsid w:val="00F6061A"/>
    <w:rsid w:val="00F6092E"/>
    <w:rsid w:val="00F61151"/>
    <w:rsid w:val="00F6133C"/>
    <w:rsid w:val="00F625EC"/>
    <w:rsid w:val="00F64ECE"/>
    <w:rsid w:val="00F650E9"/>
    <w:rsid w:val="00F654B0"/>
    <w:rsid w:val="00F65569"/>
    <w:rsid w:val="00F658C0"/>
    <w:rsid w:val="00F661C2"/>
    <w:rsid w:val="00F66313"/>
    <w:rsid w:val="00F66877"/>
    <w:rsid w:val="00F670A0"/>
    <w:rsid w:val="00F67B6E"/>
    <w:rsid w:val="00F67C17"/>
    <w:rsid w:val="00F703FD"/>
    <w:rsid w:val="00F706E4"/>
    <w:rsid w:val="00F70986"/>
    <w:rsid w:val="00F71636"/>
    <w:rsid w:val="00F71DEB"/>
    <w:rsid w:val="00F721B5"/>
    <w:rsid w:val="00F7321C"/>
    <w:rsid w:val="00F73790"/>
    <w:rsid w:val="00F73D17"/>
    <w:rsid w:val="00F73DEE"/>
    <w:rsid w:val="00F744C4"/>
    <w:rsid w:val="00F74A1D"/>
    <w:rsid w:val="00F763C6"/>
    <w:rsid w:val="00F76F07"/>
    <w:rsid w:val="00F77765"/>
    <w:rsid w:val="00F77A05"/>
    <w:rsid w:val="00F77A2C"/>
    <w:rsid w:val="00F77EC3"/>
    <w:rsid w:val="00F806A6"/>
    <w:rsid w:val="00F807DC"/>
    <w:rsid w:val="00F80ADF"/>
    <w:rsid w:val="00F827B5"/>
    <w:rsid w:val="00F831BA"/>
    <w:rsid w:val="00F83CEC"/>
    <w:rsid w:val="00F84586"/>
    <w:rsid w:val="00F8484D"/>
    <w:rsid w:val="00F84E1F"/>
    <w:rsid w:val="00F85E98"/>
    <w:rsid w:val="00F861B8"/>
    <w:rsid w:val="00F86A14"/>
    <w:rsid w:val="00F86D1B"/>
    <w:rsid w:val="00F86F31"/>
    <w:rsid w:val="00F870BC"/>
    <w:rsid w:val="00F871C0"/>
    <w:rsid w:val="00F875E2"/>
    <w:rsid w:val="00F87E3B"/>
    <w:rsid w:val="00F90736"/>
    <w:rsid w:val="00F908D1"/>
    <w:rsid w:val="00F9105F"/>
    <w:rsid w:val="00F910B7"/>
    <w:rsid w:val="00F9152B"/>
    <w:rsid w:val="00F91C1A"/>
    <w:rsid w:val="00F91D98"/>
    <w:rsid w:val="00F91EA4"/>
    <w:rsid w:val="00F92751"/>
    <w:rsid w:val="00F943ED"/>
    <w:rsid w:val="00F947B6"/>
    <w:rsid w:val="00F95561"/>
    <w:rsid w:val="00F969A7"/>
    <w:rsid w:val="00F97B36"/>
    <w:rsid w:val="00FA075B"/>
    <w:rsid w:val="00FA16D1"/>
    <w:rsid w:val="00FA1B0D"/>
    <w:rsid w:val="00FA1E99"/>
    <w:rsid w:val="00FA2242"/>
    <w:rsid w:val="00FA26A2"/>
    <w:rsid w:val="00FA3193"/>
    <w:rsid w:val="00FA39BC"/>
    <w:rsid w:val="00FA3A15"/>
    <w:rsid w:val="00FA3BE2"/>
    <w:rsid w:val="00FA4BE3"/>
    <w:rsid w:val="00FA4D08"/>
    <w:rsid w:val="00FA504B"/>
    <w:rsid w:val="00FA5A7A"/>
    <w:rsid w:val="00FA5C09"/>
    <w:rsid w:val="00FA6286"/>
    <w:rsid w:val="00FA740C"/>
    <w:rsid w:val="00FA7458"/>
    <w:rsid w:val="00FA769D"/>
    <w:rsid w:val="00FA7C8B"/>
    <w:rsid w:val="00FB0249"/>
    <w:rsid w:val="00FB0257"/>
    <w:rsid w:val="00FB0A2A"/>
    <w:rsid w:val="00FB10BC"/>
    <w:rsid w:val="00FB160C"/>
    <w:rsid w:val="00FB16FE"/>
    <w:rsid w:val="00FB3374"/>
    <w:rsid w:val="00FB4C40"/>
    <w:rsid w:val="00FB4E08"/>
    <w:rsid w:val="00FB5EC9"/>
    <w:rsid w:val="00FB60B4"/>
    <w:rsid w:val="00FB66EA"/>
    <w:rsid w:val="00FB6C8E"/>
    <w:rsid w:val="00FB6DB2"/>
    <w:rsid w:val="00FB70A2"/>
    <w:rsid w:val="00FB75A8"/>
    <w:rsid w:val="00FB75F3"/>
    <w:rsid w:val="00FB7976"/>
    <w:rsid w:val="00FB7C63"/>
    <w:rsid w:val="00FC04B6"/>
    <w:rsid w:val="00FC060E"/>
    <w:rsid w:val="00FC06AA"/>
    <w:rsid w:val="00FC157A"/>
    <w:rsid w:val="00FC1A59"/>
    <w:rsid w:val="00FC220B"/>
    <w:rsid w:val="00FC36F7"/>
    <w:rsid w:val="00FC39F5"/>
    <w:rsid w:val="00FC3FC3"/>
    <w:rsid w:val="00FC4735"/>
    <w:rsid w:val="00FC4E41"/>
    <w:rsid w:val="00FC5995"/>
    <w:rsid w:val="00FC5D6D"/>
    <w:rsid w:val="00FC5EDF"/>
    <w:rsid w:val="00FC5F87"/>
    <w:rsid w:val="00FC5FF9"/>
    <w:rsid w:val="00FC604F"/>
    <w:rsid w:val="00FC67E0"/>
    <w:rsid w:val="00FC6A93"/>
    <w:rsid w:val="00FC7C7F"/>
    <w:rsid w:val="00FD0209"/>
    <w:rsid w:val="00FD0A4C"/>
    <w:rsid w:val="00FD1127"/>
    <w:rsid w:val="00FD1F12"/>
    <w:rsid w:val="00FD238F"/>
    <w:rsid w:val="00FD3357"/>
    <w:rsid w:val="00FD49CA"/>
    <w:rsid w:val="00FD4B45"/>
    <w:rsid w:val="00FD4D43"/>
    <w:rsid w:val="00FD4FB9"/>
    <w:rsid w:val="00FD57BF"/>
    <w:rsid w:val="00FD6657"/>
    <w:rsid w:val="00FD7191"/>
    <w:rsid w:val="00FD730A"/>
    <w:rsid w:val="00FD7496"/>
    <w:rsid w:val="00FD7D6A"/>
    <w:rsid w:val="00FE0191"/>
    <w:rsid w:val="00FE07C3"/>
    <w:rsid w:val="00FE1013"/>
    <w:rsid w:val="00FE11CF"/>
    <w:rsid w:val="00FE136E"/>
    <w:rsid w:val="00FE1876"/>
    <w:rsid w:val="00FE1910"/>
    <w:rsid w:val="00FE1D54"/>
    <w:rsid w:val="00FE1D7C"/>
    <w:rsid w:val="00FE1D97"/>
    <w:rsid w:val="00FE2442"/>
    <w:rsid w:val="00FE244D"/>
    <w:rsid w:val="00FE24B5"/>
    <w:rsid w:val="00FE2EFF"/>
    <w:rsid w:val="00FE3165"/>
    <w:rsid w:val="00FE388C"/>
    <w:rsid w:val="00FE464E"/>
    <w:rsid w:val="00FE467E"/>
    <w:rsid w:val="00FE4947"/>
    <w:rsid w:val="00FE4E60"/>
    <w:rsid w:val="00FE590F"/>
    <w:rsid w:val="00FE6055"/>
    <w:rsid w:val="00FE7C22"/>
    <w:rsid w:val="00FE7CBA"/>
    <w:rsid w:val="00FF0857"/>
    <w:rsid w:val="00FF0860"/>
    <w:rsid w:val="00FF14CE"/>
    <w:rsid w:val="00FF1A54"/>
    <w:rsid w:val="00FF2924"/>
    <w:rsid w:val="00FF2F78"/>
    <w:rsid w:val="00FF36E4"/>
    <w:rsid w:val="00FF3CA7"/>
    <w:rsid w:val="00FF3ED0"/>
    <w:rsid w:val="00FF4AC2"/>
    <w:rsid w:val="00FF5E0F"/>
    <w:rsid w:val="00FF6A8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21"/>
      </w:numPr>
      <w:spacing w:line="240" w:lineRule="auto"/>
      <w:ind w:left="36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2"/>
      </w:numPr>
      <w:spacing w:line="240" w:lineRule="auto"/>
      <w:ind w:left="12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24"/>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11"/>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18"/>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Style 22"/>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Style 21"/>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 w:type="paragraph" w:customStyle="1" w:styleId="Pleading1L1">
    <w:name w:val="Pleading1_L1"/>
    <w:basedOn w:val="Normal"/>
    <w:next w:val="BodyText"/>
    <w:rsid w:val="002250E4"/>
    <w:pPr>
      <w:keepNext/>
      <w:keepLines/>
      <w:numPr>
        <w:numId w:val="45"/>
      </w:numPr>
      <w:spacing w:after="360" w:line="240" w:lineRule="auto"/>
      <w:jc w:val="center"/>
      <w:outlineLvl w:val="0"/>
    </w:pPr>
    <w:rPr>
      <w:b/>
      <w:caps/>
      <w:sz w:val="24"/>
    </w:rPr>
  </w:style>
  <w:style w:type="paragraph" w:customStyle="1" w:styleId="Pleading1L2">
    <w:name w:val="Pleading1_L2"/>
    <w:basedOn w:val="Pleading1L1"/>
    <w:next w:val="BodyText"/>
    <w:rsid w:val="002250E4"/>
    <w:pPr>
      <w:keepNext w:val="0"/>
      <w:keepLines w:val="0"/>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2250E4"/>
    <w:pPr>
      <w:numPr>
        <w:ilvl w:val="2"/>
      </w:numPr>
      <w:spacing w:after="240" w:line="240" w:lineRule="auto"/>
      <w:outlineLvl w:val="2"/>
    </w:pPr>
  </w:style>
  <w:style w:type="paragraph" w:customStyle="1" w:styleId="Pleading1L4">
    <w:name w:val="Pleading1_L4"/>
    <w:basedOn w:val="Pleading1L3"/>
    <w:next w:val="BodyText"/>
    <w:rsid w:val="002250E4"/>
    <w:pPr>
      <w:numPr>
        <w:ilvl w:val="3"/>
      </w:numPr>
      <w:outlineLvl w:val="3"/>
    </w:pPr>
  </w:style>
  <w:style w:type="paragraph" w:customStyle="1" w:styleId="Pleading1L5">
    <w:name w:val="Pleading1_L5"/>
    <w:basedOn w:val="Pleading1L4"/>
    <w:next w:val="BodyText"/>
    <w:rsid w:val="002250E4"/>
    <w:pPr>
      <w:numPr>
        <w:ilvl w:val="4"/>
      </w:numPr>
      <w:outlineLvl w:val="4"/>
    </w:pPr>
    <w:rPr>
      <w:b/>
    </w:rPr>
  </w:style>
  <w:style w:type="paragraph" w:customStyle="1" w:styleId="Pleading1L6">
    <w:name w:val="Pleading1_L6"/>
    <w:basedOn w:val="Pleading1L5"/>
    <w:next w:val="BodyText"/>
    <w:rsid w:val="002250E4"/>
    <w:pPr>
      <w:numPr>
        <w:ilvl w:val="5"/>
      </w:numPr>
      <w:outlineLvl w:val="5"/>
    </w:pPr>
  </w:style>
  <w:style w:type="paragraph" w:customStyle="1" w:styleId="Pleading1L7">
    <w:name w:val="Pleading1_L7"/>
    <w:basedOn w:val="Pleading1L6"/>
    <w:next w:val="BodyText"/>
    <w:rsid w:val="002250E4"/>
    <w:pPr>
      <w:numPr>
        <w:ilvl w:val="6"/>
      </w:numPr>
      <w:outlineLvl w:val="6"/>
    </w:pPr>
  </w:style>
  <w:style w:type="paragraph" w:customStyle="1" w:styleId="Pleading1L8">
    <w:name w:val="Pleading1_L8"/>
    <w:basedOn w:val="Pleading1L7"/>
    <w:next w:val="BodyText"/>
    <w:rsid w:val="002250E4"/>
    <w:pPr>
      <w:numPr>
        <w:ilvl w:val="7"/>
      </w:numPr>
      <w:outlineLvl w:val="7"/>
    </w:pPr>
  </w:style>
  <w:style w:type="paragraph" w:customStyle="1" w:styleId="Pleading1L9">
    <w:name w:val="Pleading1_L9"/>
    <w:basedOn w:val="Pleading1L8"/>
    <w:next w:val="BodyText"/>
    <w:rsid w:val="002250E4"/>
    <w:pPr>
      <w:numPr>
        <w:ilvl w:val="8"/>
      </w:numPr>
      <w:outlineLvl w:val="8"/>
    </w:pPr>
  </w:style>
  <w:style w:type="paragraph" w:styleId="BodyText">
    <w:name w:val="Body Text"/>
    <w:basedOn w:val="Normal"/>
    <w:link w:val="BodyTextChar"/>
    <w:uiPriority w:val="99"/>
    <w:semiHidden/>
    <w:unhideWhenUsed/>
    <w:rsid w:val="002250E4"/>
    <w:pPr>
      <w:spacing w:after="120"/>
    </w:pPr>
  </w:style>
  <w:style w:type="character" w:customStyle="1" w:styleId="BodyTextChar">
    <w:name w:val="Body Text Char"/>
    <w:basedOn w:val="DefaultParagraphFont"/>
    <w:link w:val="BodyText"/>
    <w:uiPriority w:val="99"/>
    <w:semiHidden/>
    <w:rsid w:val="002250E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21"/>
      </w:numPr>
      <w:spacing w:line="240" w:lineRule="auto"/>
      <w:ind w:left="36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2"/>
      </w:numPr>
      <w:spacing w:line="240" w:lineRule="auto"/>
      <w:ind w:left="12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24"/>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11"/>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18"/>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Style 22"/>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Style 21"/>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 w:type="paragraph" w:customStyle="1" w:styleId="Pleading1L1">
    <w:name w:val="Pleading1_L1"/>
    <w:basedOn w:val="Normal"/>
    <w:next w:val="BodyText"/>
    <w:rsid w:val="002250E4"/>
    <w:pPr>
      <w:keepNext/>
      <w:keepLines/>
      <w:numPr>
        <w:numId w:val="45"/>
      </w:numPr>
      <w:spacing w:after="360" w:line="240" w:lineRule="auto"/>
      <w:jc w:val="center"/>
      <w:outlineLvl w:val="0"/>
    </w:pPr>
    <w:rPr>
      <w:b/>
      <w:caps/>
      <w:sz w:val="24"/>
    </w:rPr>
  </w:style>
  <w:style w:type="paragraph" w:customStyle="1" w:styleId="Pleading1L2">
    <w:name w:val="Pleading1_L2"/>
    <w:basedOn w:val="Pleading1L1"/>
    <w:next w:val="BodyText"/>
    <w:rsid w:val="002250E4"/>
    <w:pPr>
      <w:keepNext w:val="0"/>
      <w:keepLines w:val="0"/>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2250E4"/>
    <w:pPr>
      <w:numPr>
        <w:ilvl w:val="2"/>
      </w:numPr>
      <w:spacing w:after="240" w:line="240" w:lineRule="auto"/>
      <w:outlineLvl w:val="2"/>
    </w:pPr>
  </w:style>
  <w:style w:type="paragraph" w:customStyle="1" w:styleId="Pleading1L4">
    <w:name w:val="Pleading1_L4"/>
    <w:basedOn w:val="Pleading1L3"/>
    <w:next w:val="BodyText"/>
    <w:rsid w:val="002250E4"/>
    <w:pPr>
      <w:numPr>
        <w:ilvl w:val="3"/>
      </w:numPr>
      <w:outlineLvl w:val="3"/>
    </w:pPr>
  </w:style>
  <w:style w:type="paragraph" w:customStyle="1" w:styleId="Pleading1L5">
    <w:name w:val="Pleading1_L5"/>
    <w:basedOn w:val="Pleading1L4"/>
    <w:next w:val="BodyText"/>
    <w:rsid w:val="002250E4"/>
    <w:pPr>
      <w:numPr>
        <w:ilvl w:val="4"/>
      </w:numPr>
      <w:outlineLvl w:val="4"/>
    </w:pPr>
    <w:rPr>
      <w:b/>
    </w:rPr>
  </w:style>
  <w:style w:type="paragraph" w:customStyle="1" w:styleId="Pleading1L6">
    <w:name w:val="Pleading1_L6"/>
    <w:basedOn w:val="Pleading1L5"/>
    <w:next w:val="BodyText"/>
    <w:rsid w:val="002250E4"/>
    <w:pPr>
      <w:numPr>
        <w:ilvl w:val="5"/>
      </w:numPr>
      <w:outlineLvl w:val="5"/>
    </w:pPr>
  </w:style>
  <w:style w:type="paragraph" w:customStyle="1" w:styleId="Pleading1L7">
    <w:name w:val="Pleading1_L7"/>
    <w:basedOn w:val="Pleading1L6"/>
    <w:next w:val="BodyText"/>
    <w:rsid w:val="002250E4"/>
    <w:pPr>
      <w:numPr>
        <w:ilvl w:val="6"/>
      </w:numPr>
      <w:outlineLvl w:val="6"/>
    </w:pPr>
  </w:style>
  <w:style w:type="paragraph" w:customStyle="1" w:styleId="Pleading1L8">
    <w:name w:val="Pleading1_L8"/>
    <w:basedOn w:val="Pleading1L7"/>
    <w:next w:val="BodyText"/>
    <w:rsid w:val="002250E4"/>
    <w:pPr>
      <w:numPr>
        <w:ilvl w:val="7"/>
      </w:numPr>
      <w:outlineLvl w:val="7"/>
    </w:pPr>
  </w:style>
  <w:style w:type="paragraph" w:customStyle="1" w:styleId="Pleading1L9">
    <w:name w:val="Pleading1_L9"/>
    <w:basedOn w:val="Pleading1L8"/>
    <w:next w:val="BodyText"/>
    <w:rsid w:val="002250E4"/>
    <w:pPr>
      <w:numPr>
        <w:ilvl w:val="8"/>
      </w:numPr>
      <w:outlineLvl w:val="8"/>
    </w:pPr>
  </w:style>
  <w:style w:type="paragraph" w:styleId="BodyText">
    <w:name w:val="Body Text"/>
    <w:basedOn w:val="Normal"/>
    <w:link w:val="BodyTextChar"/>
    <w:uiPriority w:val="99"/>
    <w:semiHidden/>
    <w:unhideWhenUsed/>
    <w:rsid w:val="002250E4"/>
    <w:pPr>
      <w:spacing w:after="120"/>
    </w:pPr>
  </w:style>
  <w:style w:type="character" w:customStyle="1" w:styleId="BodyTextChar">
    <w:name w:val="Body Text Char"/>
    <w:basedOn w:val="DefaultParagraphFont"/>
    <w:link w:val="BodyText"/>
    <w:uiPriority w:val="99"/>
    <w:semiHidden/>
    <w:rsid w:val="002250E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3643">
      <w:bodyDiv w:val="1"/>
      <w:marLeft w:val="0"/>
      <w:marRight w:val="0"/>
      <w:marTop w:val="0"/>
      <w:marBottom w:val="0"/>
      <w:divBdr>
        <w:top w:val="none" w:sz="0" w:space="0" w:color="auto"/>
        <w:left w:val="none" w:sz="0" w:space="0" w:color="auto"/>
        <w:bottom w:val="none" w:sz="0" w:space="0" w:color="auto"/>
        <w:right w:val="none" w:sz="0" w:space="0" w:color="auto"/>
      </w:divBdr>
    </w:div>
    <w:div w:id="205341362">
      <w:bodyDiv w:val="1"/>
      <w:marLeft w:val="0"/>
      <w:marRight w:val="0"/>
      <w:marTop w:val="0"/>
      <w:marBottom w:val="0"/>
      <w:divBdr>
        <w:top w:val="none" w:sz="0" w:space="0" w:color="auto"/>
        <w:left w:val="none" w:sz="0" w:space="0" w:color="auto"/>
        <w:bottom w:val="none" w:sz="0" w:space="0" w:color="auto"/>
        <w:right w:val="none" w:sz="0" w:space="0" w:color="auto"/>
      </w:divBdr>
    </w:div>
    <w:div w:id="1110051000">
      <w:bodyDiv w:val="1"/>
      <w:marLeft w:val="0"/>
      <w:marRight w:val="0"/>
      <w:marTop w:val="0"/>
      <w:marBottom w:val="0"/>
      <w:divBdr>
        <w:top w:val="none" w:sz="0" w:space="0" w:color="auto"/>
        <w:left w:val="none" w:sz="0" w:space="0" w:color="auto"/>
        <w:bottom w:val="none" w:sz="0" w:space="0" w:color="auto"/>
        <w:right w:val="none" w:sz="0" w:space="0" w:color="auto"/>
      </w:divBdr>
    </w:div>
    <w:div w:id="1110126162">
      <w:bodyDiv w:val="1"/>
      <w:marLeft w:val="0"/>
      <w:marRight w:val="0"/>
      <w:marTop w:val="0"/>
      <w:marBottom w:val="0"/>
      <w:divBdr>
        <w:top w:val="none" w:sz="0" w:space="0" w:color="auto"/>
        <w:left w:val="none" w:sz="0" w:space="0" w:color="auto"/>
        <w:bottom w:val="none" w:sz="0" w:space="0" w:color="auto"/>
        <w:right w:val="none" w:sz="0" w:space="0" w:color="auto"/>
      </w:divBdr>
    </w:div>
    <w:div w:id="13635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uc.pa.gov/Electric/pdf/Act129/SWE-DR_Stakeholders_Presentation022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8B734-4989-4E3F-9C33-9E278BD4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17</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27</cp:revision>
  <cp:lastPrinted>2013-05-09T11:44:00Z</cp:lastPrinted>
  <dcterms:created xsi:type="dcterms:W3CDTF">2013-04-17T19:27:00Z</dcterms:created>
  <dcterms:modified xsi:type="dcterms:W3CDTF">2013-05-09T11:44:00Z</dcterms:modified>
</cp:coreProperties>
</file>