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62B" w:rsidRDefault="006D362B" w:rsidP="006D362B">
      <w:pPr>
        <w:jc w:val="center"/>
        <w:rPr>
          <w:b/>
        </w:rPr>
      </w:pPr>
      <w:r>
        <w:rPr>
          <w:b/>
        </w:rPr>
        <w:t>BEFORE THE</w:t>
      </w:r>
    </w:p>
    <w:p w:rsidR="006D362B" w:rsidRDefault="006D362B" w:rsidP="006D362B">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6D362B" w:rsidRDefault="006D362B" w:rsidP="006D362B"/>
    <w:p w:rsidR="006D362B" w:rsidRDefault="006D362B" w:rsidP="006D362B"/>
    <w:p w:rsidR="006D362B" w:rsidRDefault="006D362B" w:rsidP="006D362B"/>
    <w:p w:rsidR="006D362B" w:rsidRDefault="006D362B" w:rsidP="006D362B">
      <w:r>
        <w:t xml:space="preserve">Patricia M. </w:t>
      </w:r>
      <w:proofErr w:type="spellStart"/>
      <w:r>
        <w:t>Armfield</w:t>
      </w:r>
      <w:proofErr w:type="spellEnd"/>
      <w:r>
        <w:tab/>
      </w:r>
      <w:r>
        <w:tab/>
      </w:r>
      <w:r>
        <w:tab/>
      </w:r>
      <w:r>
        <w:tab/>
      </w:r>
      <w:r>
        <w:tab/>
        <w:t>:</w:t>
      </w:r>
      <w:r>
        <w:tab/>
      </w:r>
    </w:p>
    <w:p w:rsidR="006D362B" w:rsidRDefault="006D362B" w:rsidP="006D362B">
      <w:r>
        <w:tab/>
      </w:r>
      <w:r>
        <w:tab/>
      </w:r>
      <w:r>
        <w:tab/>
      </w:r>
      <w:r>
        <w:tab/>
      </w:r>
      <w:r>
        <w:tab/>
      </w:r>
      <w:r>
        <w:tab/>
      </w:r>
      <w:r>
        <w:tab/>
        <w:t>:</w:t>
      </w:r>
    </w:p>
    <w:p w:rsidR="006D362B" w:rsidRDefault="006D362B" w:rsidP="006D362B">
      <w:pPr>
        <w:numPr>
          <w:ilvl w:val="0"/>
          <w:numId w:val="6"/>
        </w:numPr>
        <w:ind w:left="5040" w:hanging="4320"/>
      </w:pPr>
      <w:r>
        <w:t>:</w:t>
      </w:r>
      <w:r>
        <w:tab/>
      </w:r>
      <w:r>
        <w:tab/>
        <w:t>C-2012-2294559</w:t>
      </w:r>
    </w:p>
    <w:p w:rsidR="006D362B" w:rsidRDefault="006D362B" w:rsidP="006D362B">
      <w:pPr>
        <w:ind w:left="5040"/>
      </w:pPr>
      <w:r>
        <w:t>:</w:t>
      </w:r>
    </w:p>
    <w:p w:rsidR="006D362B" w:rsidRDefault="006D362B" w:rsidP="006D362B">
      <w:r>
        <w:t>West Penn Power Company</w:t>
      </w:r>
      <w:r>
        <w:tab/>
      </w:r>
      <w:r>
        <w:tab/>
        <w:t xml:space="preserve"> </w:t>
      </w:r>
      <w:r>
        <w:tab/>
      </w:r>
      <w:r>
        <w:tab/>
        <w:t>:</w:t>
      </w:r>
    </w:p>
    <w:p w:rsidR="00845E2D" w:rsidRDefault="00845E2D" w:rsidP="008E4FD6"/>
    <w:p w:rsidR="008E4FD6" w:rsidRDefault="008E4FD6" w:rsidP="008E4FD6">
      <w:pPr>
        <w:tabs>
          <w:tab w:val="left" w:pos="1076"/>
        </w:tabs>
      </w:pPr>
    </w:p>
    <w:p w:rsidR="008E4FD6" w:rsidRDefault="008E4FD6" w:rsidP="008E4FD6">
      <w:pPr>
        <w:tabs>
          <w:tab w:val="left" w:pos="1076"/>
        </w:tabs>
      </w:pPr>
    </w:p>
    <w:p w:rsidR="008E4FD6" w:rsidRPr="00D003FC" w:rsidRDefault="008E4FD6" w:rsidP="008E4FD6">
      <w:pPr>
        <w:jc w:val="center"/>
        <w:rPr>
          <w:b/>
          <w:u w:val="single"/>
        </w:rPr>
      </w:pPr>
      <w:r w:rsidRPr="00D003FC">
        <w:rPr>
          <w:b/>
          <w:u w:val="single"/>
        </w:rPr>
        <w:t>INITIAL DECISION</w:t>
      </w:r>
    </w:p>
    <w:p w:rsidR="008E4FD6" w:rsidRDefault="008E4FD6" w:rsidP="008E4FD6">
      <w:pPr>
        <w:jc w:val="center"/>
      </w:pPr>
    </w:p>
    <w:p w:rsidR="009D47A5" w:rsidRDefault="009D47A5" w:rsidP="008E4FD6">
      <w:pPr>
        <w:jc w:val="center"/>
      </w:pPr>
    </w:p>
    <w:p w:rsidR="008E4FD6" w:rsidRDefault="008E4FD6" w:rsidP="008E4FD6">
      <w:pPr>
        <w:jc w:val="center"/>
      </w:pPr>
      <w:r>
        <w:t>Before</w:t>
      </w:r>
    </w:p>
    <w:p w:rsidR="008E4FD6" w:rsidRDefault="0086657E" w:rsidP="008E4FD6">
      <w:pPr>
        <w:jc w:val="center"/>
      </w:pPr>
      <w:r>
        <w:t>Mark A. Hoyer</w:t>
      </w:r>
    </w:p>
    <w:p w:rsidR="008E4FD6" w:rsidRDefault="008E4FD6" w:rsidP="008E4FD6">
      <w:pPr>
        <w:jc w:val="center"/>
      </w:pPr>
      <w:r>
        <w:t>Administrative Law Judge</w:t>
      </w:r>
    </w:p>
    <w:p w:rsidR="008E4FD6" w:rsidRDefault="008E4FD6" w:rsidP="008E4FD6">
      <w:pPr>
        <w:jc w:val="center"/>
      </w:pPr>
    </w:p>
    <w:p w:rsidR="008E4FD6" w:rsidRDefault="008E4FD6" w:rsidP="008E4FD6">
      <w:pPr>
        <w:jc w:val="center"/>
      </w:pPr>
    </w:p>
    <w:p w:rsidR="008E4FD6" w:rsidRDefault="008E4FD6" w:rsidP="008E4FD6">
      <w:pPr>
        <w:jc w:val="center"/>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8E4FD6" w:rsidRDefault="008E4FD6" w:rsidP="008E4FD6">
      <w:pPr>
        <w:jc w:val="center"/>
      </w:pPr>
    </w:p>
    <w:p w:rsidR="008E4FD6" w:rsidRDefault="008E4FD6" w:rsidP="008E4FD6"/>
    <w:p w:rsidR="008E4FD6" w:rsidRDefault="008E4FD6" w:rsidP="008E4FD6">
      <w:pPr>
        <w:tabs>
          <w:tab w:val="left" w:pos="-1440"/>
          <w:tab w:val="left" w:pos="-720"/>
        </w:tabs>
        <w:suppressAutoHyphens/>
        <w:spacing w:line="360" w:lineRule="auto"/>
        <w:ind w:firstLine="1440"/>
      </w:pPr>
      <w:r>
        <w:t xml:space="preserve">On </w:t>
      </w:r>
      <w:r w:rsidR="006D362B">
        <w:t xml:space="preserve">March 15, 2012, </w:t>
      </w:r>
      <w:r w:rsidR="008F6609">
        <w:t xml:space="preserve">Patricia M. </w:t>
      </w:r>
      <w:proofErr w:type="spellStart"/>
      <w:r w:rsidR="008F6609">
        <w:t>Armfield</w:t>
      </w:r>
      <w:proofErr w:type="spellEnd"/>
      <w:r w:rsidR="0083611F">
        <w:t xml:space="preserve"> (</w:t>
      </w:r>
      <w:r w:rsidR="002C1A99">
        <w:t>“</w:t>
      </w:r>
      <w:r>
        <w:t>Complainant</w:t>
      </w:r>
      <w:r w:rsidR="002C1A99">
        <w:t>”</w:t>
      </w:r>
      <w:r w:rsidR="008F6609">
        <w:t xml:space="preserve">) </w:t>
      </w:r>
      <w:r>
        <w:t xml:space="preserve">filed a </w:t>
      </w:r>
      <w:r w:rsidR="008A22EC">
        <w:t>F</w:t>
      </w:r>
      <w:r>
        <w:t xml:space="preserve">ormal </w:t>
      </w:r>
      <w:r w:rsidR="008A22EC">
        <w:t>C</w:t>
      </w:r>
      <w:r>
        <w:t>omplaint with the Pennsylvania Public Utility Commission</w:t>
      </w:r>
      <w:r w:rsidR="00A831C5">
        <w:t xml:space="preserve"> (“Commission”)</w:t>
      </w:r>
      <w:r>
        <w:t xml:space="preserve"> against </w:t>
      </w:r>
      <w:r w:rsidR="008F6609">
        <w:t xml:space="preserve">West Penn Power Company </w:t>
      </w:r>
      <w:r w:rsidR="0083611F">
        <w:t>(“</w:t>
      </w:r>
      <w:r w:rsidR="008F6609">
        <w:t>West Penn</w:t>
      </w:r>
      <w:r w:rsidR="0083611F">
        <w:t xml:space="preserve">” or “Respondent”) </w:t>
      </w:r>
      <w:r w:rsidR="007A60A3">
        <w:t>alleging reliability</w:t>
      </w:r>
      <w:r w:rsidR="008F6609">
        <w:t xml:space="preserve">, safety </w:t>
      </w:r>
      <w:r w:rsidR="007A60A3">
        <w:t>and quality problems with her electric utility service</w:t>
      </w:r>
      <w:r w:rsidR="008F6609">
        <w:t xml:space="preserve"> at 560 </w:t>
      </w:r>
      <w:proofErr w:type="spellStart"/>
      <w:r w:rsidR="008F6609">
        <w:t>Justabout</w:t>
      </w:r>
      <w:proofErr w:type="spellEnd"/>
      <w:r w:rsidR="008F6609">
        <w:t xml:space="preserve"> Road, Venetia, Pennsylvania, 15367.  </w:t>
      </w:r>
      <w:r w:rsidR="007A60A3">
        <w:t>Ms.</w:t>
      </w:r>
      <w:r w:rsidR="007B04AC">
        <w:t> </w:t>
      </w:r>
      <w:proofErr w:type="spellStart"/>
      <w:r w:rsidR="008F6609">
        <w:t>Armfield</w:t>
      </w:r>
      <w:proofErr w:type="spellEnd"/>
      <w:r w:rsidR="008F6609">
        <w:t xml:space="preserve"> alleges daily electrical surges resulted in damage to numerous electrical appliances and equipment in her home and on her property.  </w:t>
      </w:r>
      <w:r w:rsidR="007A60A3">
        <w:t xml:space="preserve">As relief, Ms. </w:t>
      </w:r>
      <w:proofErr w:type="spellStart"/>
      <w:r w:rsidR="008F6609">
        <w:t>Armfield</w:t>
      </w:r>
      <w:proofErr w:type="spellEnd"/>
      <w:r w:rsidR="008F6609">
        <w:t xml:space="preserve"> seeks monetary reimbursement for a number of items listed in her Complaint.  </w:t>
      </w:r>
      <w:r w:rsidR="007A60A3">
        <w:t xml:space="preserve">  </w:t>
      </w:r>
      <w:r w:rsidR="00BF742A">
        <w:t xml:space="preserve"> </w:t>
      </w:r>
    </w:p>
    <w:p w:rsidR="009974F1" w:rsidRDefault="009974F1" w:rsidP="008E4FD6">
      <w:pPr>
        <w:tabs>
          <w:tab w:val="left" w:pos="-1440"/>
          <w:tab w:val="left" w:pos="-720"/>
        </w:tabs>
        <w:suppressAutoHyphens/>
        <w:spacing w:line="360" w:lineRule="auto"/>
        <w:ind w:firstLine="1440"/>
      </w:pPr>
    </w:p>
    <w:p w:rsidR="009974F1" w:rsidRDefault="009974F1" w:rsidP="008E4FD6">
      <w:pPr>
        <w:tabs>
          <w:tab w:val="left" w:pos="-1440"/>
          <w:tab w:val="left" w:pos="-720"/>
        </w:tabs>
        <w:suppressAutoHyphens/>
        <w:spacing w:line="360" w:lineRule="auto"/>
        <w:ind w:firstLine="1440"/>
      </w:pPr>
      <w:r>
        <w:t xml:space="preserve">On </w:t>
      </w:r>
      <w:r w:rsidR="008F6609">
        <w:t xml:space="preserve">April 10, 2012, West Penn filed its Answer to the Complaint.  West Penn requested that the relief sought by Complainant be denied and also added that the Commission does not have statutory authority to award monetary damages.  </w:t>
      </w:r>
      <w:r>
        <w:t xml:space="preserve"> </w:t>
      </w:r>
      <w:r w:rsidR="009A6098">
        <w:t xml:space="preserve">   </w:t>
      </w:r>
      <w:r w:rsidR="008A22EC">
        <w:t xml:space="preserve">   </w:t>
      </w:r>
    </w:p>
    <w:p w:rsidR="008E4FD6" w:rsidRDefault="008E4FD6" w:rsidP="008E4FD6">
      <w:pPr>
        <w:tabs>
          <w:tab w:val="left" w:pos="2160"/>
        </w:tabs>
        <w:spacing w:line="360" w:lineRule="auto"/>
        <w:ind w:firstLine="1440"/>
      </w:pPr>
    </w:p>
    <w:p w:rsidR="00414C2F" w:rsidRDefault="000B2D3D" w:rsidP="008E4FD6">
      <w:pPr>
        <w:tabs>
          <w:tab w:val="left" w:pos="2160"/>
        </w:tabs>
        <w:spacing w:line="360" w:lineRule="auto"/>
        <w:ind w:firstLine="1440"/>
        <w:rPr>
          <w:bCs/>
          <w:spacing w:val="-3"/>
        </w:rPr>
      </w:pPr>
      <w:r>
        <w:t xml:space="preserve">An initial </w:t>
      </w:r>
      <w:r w:rsidR="00236076">
        <w:t xml:space="preserve">telephonic hearing </w:t>
      </w:r>
      <w:r>
        <w:t xml:space="preserve">was </w:t>
      </w:r>
      <w:r w:rsidR="00B765BF">
        <w:t xml:space="preserve">scheduled and held on June 7, 2012.  </w:t>
      </w:r>
      <w:r w:rsidR="00414C2F">
        <w:t xml:space="preserve">I issued a Prehearing Order on </w:t>
      </w:r>
      <w:r w:rsidR="00B765BF">
        <w:t>April 26, 2012</w:t>
      </w:r>
      <w:r w:rsidR="00414C2F">
        <w:t xml:space="preserve"> </w:t>
      </w:r>
      <w:r w:rsidR="00414C2F">
        <w:rPr>
          <w:bCs/>
          <w:spacing w:val="-3"/>
        </w:rPr>
        <w:t xml:space="preserve">which provided applicable procedures regarding submission of exhibits, attorney representation, continuances, subpoenas, and the burden of proof. </w:t>
      </w:r>
      <w:r w:rsidR="00B765BF">
        <w:rPr>
          <w:bCs/>
          <w:spacing w:val="-3"/>
        </w:rPr>
        <w:t xml:space="preserve">  At the hearing, </w:t>
      </w:r>
      <w:r w:rsidR="00B765BF">
        <w:rPr>
          <w:bCs/>
          <w:spacing w:val="-3"/>
        </w:rPr>
        <w:lastRenderedPageBreak/>
        <w:t xml:space="preserve">counsel for Complainant, Richard S. </w:t>
      </w:r>
      <w:proofErr w:type="spellStart"/>
      <w:r w:rsidR="00B765BF">
        <w:rPr>
          <w:bCs/>
          <w:spacing w:val="-3"/>
        </w:rPr>
        <w:t>Matesic</w:t>
      </w:r>
      <w:proofErr w:type="spellEnd"/>
      <w:r w:rsidR="00B765BF">
        <w:rPr>
          <w:bCs/>
          <w:spacing w:val="-3"/>
        </w:rPr>
        <w:t>, Esquire, orally requested a continuance.  Counsel for Respondent, John L. Munsch</w:t>
      </w:r>
      <w:r w:rsidR="00A66FBA">
        <w:rPr>
          <w:bCs/>
          <w:spacing w:val="-3"/>
        </w:rPr>
        <w:t xml:space="preserve">, </w:t>
      </w:r>
      <w:proofErr w:type="gramStart"/>
      <w:r w:rsidR="00B765BF">
        <w:rPr>
          <w:bCs/>
          <w:spacing w:val="-3"/>
        </w:rPr>
        <w:t>Esquire</w:t>
      </w:r>
      <w:proofErr w:type="gramEnd"/>
      <w:r w:rsidR="00B765BF">
        <w:rPr>
          <w:bCs/>
          <w:spacing w:val="-3"/>
        </w:rPr>
        <w:t xml:space="preserve">, objected to the continuance and requested that the Complaint be dismissed.  The continuance was granted.  </w:t>
      </w:r>
    </w:p>
    <w:p w:rsidR="00A66FBA" w:rsidRDefault="00A66FBA" w:rsidP="008E4FD6">
      <w:pPr>
        <w:tabs>
          <w:tab w:val="left" w:pos="2160"/>
        </w:tabs>
        <w:spacing w:line="360" w:lineRule="auto"/>
        <w:ind w:firstLine="1440"/>
        <w:rPr>
          <w:bCs/>
          <w:spacing w:val="-3"/>
        </w:rPr>
      </w:pPr>
    </w:p>
    <w:p w:rsidR="00A66FBA" w:rsidRDefault="00A66FBA" w:rsidP="00414C2F">
      <w:pPr>
        <w:suppressAutoHyphens/>
        <w:spacing w:line="360" w:lineRule="auto"/>
        <w:ind w:firstLine="1440"/>
        <w:rPr>
          <w:bCs/>
          <w:spacing w:val="-3"/>
        </w:rPr>
      </w:pPr>
      <w:r>
        <w:rPr>
          <w:bCs/>
          <w:spacing w:val="-3"/>
        </w:rPr>
        <w:t xml:space="preserve">On June 18, 2012, a Telephone Hearing Notice was sent to the parties scheduling a Further Telephonic Hearing for July 24, 2012.  Respondent’s counsel requested a continuance and it was granted.  A Hearing Cancellation/Reschedule Notice was sent to the parties rescheduling the Further Telephonic Hearing for August 27, 2012.  A third continuance was </w:t>
      </w:r>
      <w:r w:rsidR="00EA1C92">
        <w:rPr>
          <w:bCs/>
          <w:spacing w:val="-3"/>
        </w:rPr>
        <w:t xml:space="preserve">requested and </w:t>
      </w:r>
      <w:r>
        <w:rPr>
          <w:bCs/>
          <w:spacing w:val="-3"/>
        </w:rPr>
        <w:t xml:space="preserve">granted.  </w:t>
      </w:r>
    </w:p>
    <w:p w:rsidR="00A66FBA" w:rsidRDefault="00A66FBA" w:rsidP="00414C2F">
      <w:pPr>
        <w:suppressAutoHyphens/>
        <w:spacing w:line="360" w:lineRule="auto"/>
        <w:ind w:firstLine="1440"/>
        <w:rPr>
          <w:bCs/>
          <w:spacing w:val="-3"/>
        </w:rPr>
      </w:pPr>
    </w:p>
    <w:p w:rsidR="00D701B0" w:rsidRDefault="00A66FBA" w:rsidP="00414C2F">
      <w:pPr>
        <w:suppressAutoHyphens/>
        <w:spacing w:line="360" w:lineRule="auto"/>
        <w:ind w:firstLine="1440"/>
        <w:rPr>
          <w:bCs/>
          <w:spacing w:val="-3"/>
        </w:rPr>
      </w:pPr>
      <w:r>
        <w:rPr>
          <w:bCs/>
          <w:spacing w:val="-3"/>
        </w:rPr>
        <w:t xml:space="preserve">On </w:t>
      </w:r>
      <w:r w:rsidR="0069160C">
        <w:rPr>
          <w:bCs/>
          <w:spacing w:val="-3"/>
        </w:rPr>
        <w:t xml:space="preserve">December 19, 2012, a Telephone Hearing Notice was mailed to the parties scheduling a Further Telephonic Hearing for January 22, 2013.  </w:t>
      </w:r>
      <w:r w:rsidR="00414C2F">
        <w:rPr>
          <w:bCs/>
          <w:spacing w:val="-3"/>
        </w:rPr>
        <w:t xml:space="preserve">The </w:t>
      </w:r>
      <w:r w:rsidR="0069160C">
        <w:rPr>
          <w:bCs/>
          <w:spacing w:val="-3"/>
        </w:rPr>
        <w:t>Further</w:t>
      </w:r>
      <w:r w:rsidR="00414C2F">
        <w:rPr>
          <w:bCs/>
          <w:spacing w:val="-3"/>
        </w:rPr>
        <w:t xml:space="preserve"> Telephonic Hearing was held as scheduled</w:t>
      </w:r>
      <w:r w:rsidR="00754DB1">
        <w:rPr>
          <w:bCs/>
          <w:spacing w:val="-3"/>
        </w:rPr>
        <w:t xml:space="preserve">.  </w:t>
      </w:r>
      <w:r w:rsidR="00414C2F">
        <w:rPr>
          <w:bCs/>
          <w:spacing w:val="-3"/>
        </w:rPr>
        <w:t>The parties endeavored to settle prior to the hearing but were unsuccessful.</w:t>
      </w:r>
      <w:r w:rsidR="004E5267">
        <w:rPr>
          <w:bCs/>
          <w:spacing w:val="-3"/>
        </w:rPr>
        <w:t xml:space="preserve">  Richard S. </w:t>
      </w:r>
      <w:proofErr w:type="spellStart"/>
      <w:r w:rsidR="004E5267">
        <w:rPr>
          <w:bCs/>
          <w:spacing w:val="-3"/>
        </w:rPr>
        <w:t>Matesic</w:t>
      </w:r>
      <w:proofErr w:type="spellEnd"/>
      <w:r w:rsidR="004E5267">
        <w:rPr>
          <w:bCs/>
          <w:spacing w:val="-3"/>
        </w:rPr>
        <w:t xml:space="preserve">, Esquire represented Complainant.  He presented the testimonies of Complainant, Kim Boren and Mike </w:t>
      </w:r>
      <w:proofErr w:type="spellStart"/>
      <w:r w:rsidR="004E5267">
        <w:rPr>
          <w:bCs/>
          <w:spacing w:val="-3"/>
        </w:rPr>
        <w:t>Geitner</w:t>
      </w:r>
      <w:proofErr w:type="spellEnd"/>
      <w:r w:rsidR="004E5267">
        <w:rPr>
          <w:bCs/>
          <w:spacing w:val="-3"/>
        </w:rPr>
        <w:t>.  He also presented an exhibit that was admitted as Complainant’s Exhibit 1.  Julie A. Brennan, Esquire, represented West Penn.</w:t>
      </w:r>
      <w:r w:rsidR="00D701B0">
        <w:rPr>
          <w:bCs/>
          <w:spacing w:val="-3"/>
        </w:rPr>
        <w:t xml:space="preserve">  </w:t>
      </w:r>
      <w:r w:rsidR="004E5267">
        <w:rPr>
          <w:bCs/>
          <w:spacing w:val="-3"/>
        </w:rPr>
        <w:t xml:space="preserve">West Penn presented one additional witness, Thomas </w:t>
      </w:r>
      <w:proofErr w:type="spellStart"/>
      <w:r w:rsidR="004E5267">
        <w:rPr>
          <w:bCs/>
          <w:spacing w:val="-3"/>
        </w:rPr>
        <w:t>Cochenour</w:t>
      </w:r>
      <w:proofErr w:type="spellEnd"/>
      <w:r w:rsidR="004E5267">
        <w:rPr>
          <w:bCs/>
          <w:spacing w:val="-3"/>
        </w:rPr>
        <w:t xml:space="preserve">, and two exhibits that were admitted into the record as Respondent’s Exhibit A and Respondent’s Exhibit B.  </w:t>
      </w:r>
    </w:p>
    <w:p w:rsidR="00D701B0" w:rsidRDefault="00D701B0" w:rsidP="00414C2F">
      <w:pPr>
        <w:suppressAutoHyphens/>
        <w:spacing w:line="360" w:lineRule="auto"/>
        <w:ind w:firstLine="1440"/>
        <w:rPr>
          <w:bCs/>
          <w:spacing w:val="-3"/>
        </w:rPr>
      </w:pPr>
    </w:p>
    <w:p w:rsidR="009A62B3" w:rsidRDefault="00414C2F" w:rsidP="004E5267">
      <w:pPr>
        <w:suppressAutoHyphens/>
        <w:spacing w:line="360" w:lineRule="auto"/>
        <w:ind w:firstLine="1440"/>
      </w:pPr>
      <w:r>
        <w:rPr>
          <w:bCs/>
          <w:spacing w:val="-3"/>
        </w:rPr>
        <w:t>Briefs were not requested.</w:t>
      </w:r>
      <w:r w:rsidR="004E5267">
        <w:rPr>
          <w:bCs/>
          <w:spacing w:val="-3"/>
        </w:rPr>
        <w:t xml:space="preserve">  </w:t>
      </w:r>
      <w:r>
        <w:rPr>
          <w:bCs/>
          <w:spacing w:val="-3"/>
        </w:rPr>
        <w:t>The hearing record was</w:t>
      </w:r>
      <w:r w:rsidR="004E5267">
        <w:rPr>
          <w:bCs/>
          <w:spacing w:val="-3"/>
        </w:rPr>
        <w:t xml:space="preserve"> closed by Interim Order dated February 15, 2013.  </w:t>
      </w:r>
      <w:r>
        <w:rPr>
          <w:bCs/>
          <w:spacing w:val="-3"/>
        </w:rPr>
        <w:t xml:space="preserve">The record consists of </w:t>
      </w:r>
      <w:r w:rsidR="004E5267">
        <w:rPr>
          <w:bCs/>
          <w:spacing w:val="-3"/>
        </w:rPr>
        <w:t xml:space="preserve">two transcripts containing 139 total pages and the </w:t>
      </w:r>
      <w:r w:rsidR="00696D2C">
        <w:rPr>
          <w:bCs/>
          <w:spacing w:val="-3"/>
        </w:rPr>
        <w:t xml:space="preserve">aforementioned </w:t>
      </w:r>
      <w:r>
        <w:rPr>
          <w:bCs/>
          <w:spacing w:val="-3"/>
        </w:rPr>
        <w:t>exhibits</w:t>
      </w:r>
      <w:r w:rsidR="004E5267">
        <w:rPr>
          <w:bCs/>
          <w:spacing w:val="-3"/>
        </w:rPr>
        <w:t xml:space="preserve">.  </w:t>
      </w:r>
      <w:r>
        <w:rPr>
          <w:bCs/>
          <w:spacing w:val="-3"/>
        </w:rPr>
        <w:t>This case is now ready for a decision.</w:t>
      </w:r>
    </w:p>
    <w:p w:rsidR="0073459F" w:rsidRDefault="0073459F" w:rsidP="008E4FD6">
      <w:pPr>
        <w:tabs>
          <w:tab w:val="left" w:pos="2160"/>
        </w:tabs>
        <w:spacing w:line="360" w:lineRule="auto"/>
        <w:jc w:val="center"/>
        <w:rPr>
          <w:u w:val="single"/>
        </w:rPr>
      </w:pPr>
    </w:p>
    <w:p w:rsidR="008E4FD6" w:rsidRDefault="008E4FD6" w:rsidP="008E4FD6">
      <w:pPr>
        <w:tabs>
          <w:tab w:val="left" w:pos="2160"/>
        </w:tabs>
        <w:spacing w:line="360" w:lineRule="auto"/>
        <w:jc w:val="center"/>
        <w:rPr>
          <w:u w:val="single"/>
        </w:rPr>
      </w:pPr>
      <w:r>
        <w:rPr>
          <w:u w:val="single"/>
        </w:rPr>
        <w:t xml:space="preserve">FINDINGS OF </w:t>
      </w:r>
      <w:smartTag w:uri="urn:schemas-microsoft-com:office:smarttags" w:element="stockticker">
        <w:r>
          <w:rPr>
            <w:u w:val="single"/>
          </w:rPr>
          <w:t>FACT</w:t>
        </w:r>
      </w:smartTag>
    </w:p>
    <w:p w:rsidR="007345A3" w:rsidRDefault="007345A3" w:rsidP="008E4FD6">
      <w:pPr>
        <w:tabs>
          <w:tab w:val="left" w:pos="2160"/>
        </w:tabs>
        <w:spacing w:line="360" w:lineRule="auto"/>
      </w:pPr>
    </w:p>
    <w:p w:rsidR="007345A3" w:rsidRDefault="008E4FD6" w:rsidP="00600EE9">
      <w:pPr>
        <w:tabs>
          <w:tab w:val="left" w:pos="2160"/>
        </w:tabs>
        <w:spacing w:line="360" w:lineRule="auto"/>
        <w:ind w:firstLine="1440"/>
      </w:pPr>
      <w:r>
        <w:t>1.</w:t>
      </w:r>
      <w:r>
        <w:tab/>
      </w:r>
      <w:r w:rsidR="00D701B0">
        <w:t xml:space="preserve">Ms. </w:t>
      </w:r>
      <w:proofErr w:type="spellStart"/>
      <w:r w:rsidR="001A498B">
        <w:t>Armfield</w:t>
      </w:r>
      <w:proofErr w:type="spellEnd"/>
      <w:r w:rsidR="001A498B">
        <w:t xml:space="preserve"> resides at 560 </w:t>
      </w:r>
      <w:proofErr w:type="spellStart"/>
      <w:r w:rsidR="001A498B">
        <w:t>Justabout</w:t>
      </w:r>
      <w:proofErr w:type="spellEnd"/>
      <w:r w:rsidR="001A498B">
        <w:t xml:space="preserve"> Road, Venetia, Pennsylvania, 15367.  She and her husband resided there for approximately </w:t>
      </w:r>
      <w:r w:rsidR="001C4921">
        <w:t>eight</w:t>
      </w:r>
      <w:r w:rsidR="001A498B">
        <w:t xml:space="preserve"> years prior to the date of the Further Telephonic Hearing (Tr. 23-24).</w:t>
      </w:r>
      <w:r w:rsidR="00D701B0">
        <w:t xml:space="preserve">  </w:t>
      </w:r>
    </w:p>
    <w:p w:rsidR="001C7DD1" w:rsidRDefault="001C7DD1" w:rsidP="00600EE9">
      <w:pPr>
        <w:tabs>
          <w:tab w:val="left" w:pos="2160"/>
        </w:tabs>
        <w:spacing w:line="360" w:lineRule="auto"/>
        <w:ind w:firstLine="1440"/>
      </w:pPr>
    </w:p>
    <w:p w:rsidR="001D50ED" w:rsidRDefault="007345A3" w:rsidP="00600EE9">
      <w:pPr>
        <w:tabs>
          <w:tab w:val="left" w:pos="2160"/>
        </w:tabs>
        <w:spacing w:line="360" w:lineRule="auto"/>
        <w:ind w:firstLine="1440"/>
      </w:pPr>
      <w:r>
        <w:t>2.</w:t>
      </w:r>
      <w:r>
        <w:tab/>
      </w:r>
      <w:r w:rsidR="001A498B">
        <w:t xml:space="preserve">Ms. </w:t>
      </w:r>
      <w:proofErr w:type="spellStart"/>
      <w:r w:rsidR="001A498B">
        <w:t>Armfield</w:t>
      </w:r>
      <w:proofErr w:type="spellEnd"/>
      <w:r w:rsidR="001A498B">
        <w:t xml:space="preserve"> is and has been a residential electric utility </w:t>
      </w:r>
      <w:r w:rsidR="001C4921">
        <w:t xml:space="preserve">customer </w:t>
      </w:r>
      <w:r w:rsidR="001A498B">
        <w:t xml:space="preserve">of West Penn Power Company and its predecessor, Allegheny Power at her residence (Tr. 24).  </w:t>
      </w:r>
      <w:r w:rsidR="00D701B0">
        <w:t xml:space="preserve">  </w:t>
      </w:r>
      <w:r w:rsidR="001F503A">
        <w:t xml:space="preserve"> </w:t>
      </w:r>
    </w:p>
    <w:p w:rsidR="009A4586" w:rsidRDefault="009A4586" w:rsidP="00600EE9">
      <w:pPr>
        <w:tabs>
          <w:tab w:val="left" w:pos="2160"/>
        </w:tabs>
        <w:spacing w:line="360" w:lineRule="auto"/>
        <w:ind w:firstLine="1440"/>
      </w:pPr>
    </w:p>
    <w:p w:rsidR="00B055A2" w:rsidRDefault="009A4586" w:rsidP="00600EE9">
      <w:pPr>
        <w:tabs>
          <w:tab w:val="left" w:pos="2160"/>
        </w:tabs>
        <w:spacing w:line="360" w:lineRule="auto"/>
        <w:ind w:firstLine="1440"/>
      </w:pPr>
      <w:r>
        <w:lastRenderedPageBreak/>
        <w:t>3.</w:t>
      </w:r>
      <w:r>
        <w:tab/>
      </w:r>
      <w:r w:rsidR="00E065D6">
        <w:t xml:space="preserve">Ms. </w:t>
      </w:r>
      <w:proofErr w:type="spellStart"/>
      <w:r w:rsidR="00E065D6">
        <w:t>Armfield</w:t>
      </w:r>
      <w:proofErr w:type="spellEnd"/>
      <w:r w:rsidR="00E065D6">
        <w:t xml:space="preserve"> testified that her home has experience</w:t>
      </w:r>
      <w:r w:rsidR="007A3308">
        <w:t>d</w:t>
      </w:r>
      <w:r w:rsidR="00E065D6">
        <w:t xml:space="preserve"> power surges that damaged appliances and electric</w:t>
      </w:r>
      <w:r w:rsidR="008F77A8">
        <w:t>al</w:t>
      </w:r>
      <w:r w:rsidR="00E065D6">
        <w:t xml:space="preserve"> equipment</w:t>
      </w:r>
      <w:r w:rsidR="008F77A8">
        <w:t xml:space="preserve"> in her home and on her property</w:t>
      </w:r>
      <w:r w:rsidR="00E065D6">
        <w:t xml:space="preserve">.  She further testified that these power surges ended after West Penn installed a surge protector </w:t>
      </w:r>
      <w:r w:rsidR="007A3308">
        <w:t xml:space="preserve">on the meter </w:t>
      </w:r>
      <w:r w:rsidR="00B055A2">
        <w:t xml:space="preserve">that serves </w:t>
      </w:r>
      <w:r w:rsidR="00E065D6">
        <w:t>her residence in November 2010</w:t>
      </w:r>
      <w:r w:rsidR="00B055A2">
        <w:t xml:space="preserve"> (Tr. 23-47).  </w:t>
      </w:r>
    </w:p>
    <w:p w:rsidR="00B055A2" w:rsidRDefault="00B055A2" w:rsidP="00600EE9">
      <w:pPr>
        <w:tabs>
          <w:tab w:val="left" w:pos="2160"/>
        </w:tabs>
        <w:spacing w:line="360" w:lineRule="auto"/>
        <w:ind w:firstLine="1440"/>
      </w:pPr>
    </w:p>
    <w:p w:rsidR="009A4586" w:rsidRDefault="00B055A2" w:rsidP="00600EE9">
      <w:pPr>
        <w:tabs>
          <w:tab w:val="left" w:pos="2160"/>
        </w:tabs>
        <w:spacing w:line="360" w:lineRule="auto"/>
        <w:ind w:firstLine="1440"/>
      </w:pPr>
      <w:r>
        <w:t>4.</w:t>
      </w:r>
      <w:r>
        <w:tab/>
      </w:r>
      <w:r w:rsidR="00C13C97">
        <w:t xml:space="preserve">The surge protector was installed at Ms. </w:t>
      </w:r>
      <w:proofErr w:type="spellStart"/>
      <w:r w:rsidR="00C13C97">
        <w:t>Armfield’s</w:t>
      </w:r>
      <w:proofErr w:type="spellEnd"/>
      <w:r w:rsidR="00C13C97">
        <w:t xml:space="preserve"> request </w:t>
      </w:r>
      <w:r>
        <w:t>on November</w:t>
      </w:r>
      <w:r w:rsidR="002A31A8">
        <w:t> </w:t>
      </w:r>
      <w:r>
        <w:t xml:space="preserve">4, 2010 </w:t>
      </w:r>
      <w:r w:rsidR="00C13C97">
        <w:t>and not because West Penn identified a problem</w:t>
      </w:r>
      <w:r>
        <w:t xml:space="preserve"> with electric service provided to the </w:t>
      </w:r>
      <w:proofErr w:type="spellStart"/>
      <w:r>
        <w:t>Armfield</w:t>
      </w:r>
      <w:r w:rsidR="00EB62A5">
        <w:t>’</w:t>
      </w:r>
      <w:r>
        <w:t>s</w:t>
      </w:r>
      <w:proofErr w:type="spellEnd"/>
      <w:r w:rsidR="00E065D6">
        <w:t xml:space="preserve"> (</w:t>
      </w:r>
      <w:r>
        <w:t xml:space="preserve">Tr. </w:t>
      </w:r>
      <w:r w:rsidR="00C13C97">
        <w:t>75</w:t>
      </w:r>
      <w:r>
        <w:t>, 93</w:t>
      </w:r>
      <w:r w:rsidR="00E065D6">
        <w:t xml:space="preserve">).  </w:t>
      </w:r>
      <w:r w:rsidR="00F719DB">
        <w:t xml:space="preserve">  </w:t>
      </w:r>
    </w:p>
    <w:p w:rsidR="001D50ED" w:rsidRDefault="001D50ED" w:rsidP="00600EE9">
      <w:pPr>
        <w:tabs>
          <w:tab w:val="left" w:pos="2160"/>
        </w:tabs>
        <w:spacing w:line="360" w:lineRule="auto"/>
        <w:ind w:firstLine="1440"/>
      </w:pPr>
    </w:p>
    <w:p w:rsidR="003C5A0B" w:rsidRDefault="0003252E" w:rsidP="00600EE9">
      <w:pPr>
        <w:tabs>
          <w:tab w:val="left" w:pos="2160"/>
        </w:tabs>
        <w:spacing w:line="360" w:lineRule="auto"/>
        <w:ind w:firstLine="1440"/>
      </w:pPr>
      <w:r>
        <w:t>5</w:t>
      </w:r>
      <w:r w:rsidR="001D50ED">
        <w:t>.</w:t>
      </w:r>
      <w:r w:rsidR="001D50ED">
        <w:tab/>
      </w:r>
      <w:r w:rsidR="007A3308">
        <w:t xml:space="preserve">There are two electric meters installed on Ms. </w:t>
      </w:r>
      <w:proofErr w:type="spellStart"/>
      <w:r w:rsidR="007A3308">
        <w:t>Armfield</w:t>
      </w:r>
      <w:r w:rsidR="00D76922">
        <w:t>’s</w:t>
      </w:r>
      <w:proofErr w:type="spellEnd"/>
      <w:r w:rsidR="007A3308">
        <w:t xml:space="preserve"> property, one at the residence and one at the pool house.  The residential electric meter supplies electricity to the residence, including the indoor pool, and the electric gates (Tr. 25, 43).   </w:t>
      </w:r>
      <w:r w:rsidR="00512B03">
        <w:t xml:space="preserve">  </w:t>
      </w:r>
      <w:r w:rsidR="0026186C">
        <w:t xml:space="preserve">   </w:t>
      </w:r>
    </w:p>
    <w:p w:rsidR="00DC4DBF" w:rsidRDefault="00DC4DBF" w:rsidP="00600EE9">
      <w:pPr>
        <w:tabs>
          <w:tab w:val="left" w:pos="2160"/>
        </w:tabs>
        <w:spacing w:line="360" w:lineRule="auto"/>
        <w:ind w:firstLine="1440"/>
      </w:pPr>
    </w:p>
    <w:p w:rsidR="00DC4DBF" w:rsidRDefault="0003252E" w:rsidP="00600EE9">
      <w:pPr>
        <w:tabs>
          <w:tab w:val="left" w:pos="2160"/>
        </w:tabs>
        <w:spacing w:line="360" w:lineRule="auto"/>
        <w:ind w:firstLine="1440"/>
      </w:pPr>
      <w:r>
        <w:t>6</w:t>
      </w:r>
      <w:r w:rsidR="00DC4DBF">
        <w:t>.</w:t>
      </w:r>
      <w:r w:rsidR="00DC4DBF">
        <w:tab/>
      </w:r>
      <w:r w:rsidR="00D76922">
        <w:t xml:space="preserve">Ms. </w:t>
      </w:r>
      <w:proofErr w:type="spellStart"/>
      <w:r w:rsidR="00D76922">
        <w:t>Armfield</w:t>
      </w:r>
      <w:proofErr w:type="spellEnd"/>
      <w:r w:rsidR="00D76922">
        <w:t xml:space="preserve"> testified that appliances and electrical equipment supplied by the residential electric meter were damaged by electrical surges at different times (Tr. 23-47).   </w:t>
      </w:r>
    </w:p>
    <w:p w:rsidR="003C5A0B" w:rsidRDefault="003C5A0B" w:rsidP="00600EE9">
      <w:pPr>
        <w:tabs>
          <w:tab w:val="left" w:pos="2160"/>
        </w:tabs>
        <w:spacing w:line="360" w:lineRule="auto"/>
        <w:ind w:firstLine="1440"/>
      </w:pPr>
    </w:p>
    <w:p w:rsidR="000F0D5D" w:rsidRDefault="0003252E" w:rsidP="00600EE9">
      <w:pPr>
        <w:tabs>
          <w:tab w:val="left" w:pos="2160"/>
        </w:tabs>
        <w:spacing w:line="360" w:lineRule="auto"/>
        <w:ind w:firstLine="1440"/>
      </w:pPr>
      <w:r>
        <w:t>7</w:t>
      </w:r>
      <w:r w:rsidR="003C5A0B">
        <w:t>.</w:t>
      </w:r>
      <w:r w:rsidR="003C5A0B">
        <w:tab/>
      </w:r>
      <w:r w:rsidR="00D76922">
        <w:t xml:space="preserve">Ms. </w:t>
      </w:r>
      <w:proofErr w:type="spellStart"/>
      <w:r w:rsidR="00D76922">
        <w:t>Armfield</w:t>
      </w:r>
      <w:proofErr w:type="spellEnd"/>
      <w:r w:rsidR="00D76922">
        <w:t xml:space="preserve"> testified that her electric service was interrupted frequently, approximately 2-3 times per week, causing the clocks to flash and requiring them to be reset (Tr.</w:t>
      </w:r>
      <w:r w:rsidR="002F5404">
        <w:t> </w:t>
      </w:r>
      <w:r w:rsidR="00D76922">
        <w:t xml:space="preserve">55).    </w:t>
      </w:r>
      <w:r w:rsidR="000D6D4E">
        <w:t xml:space="preserve">  </w:t>
      </w:r>
      <w:r w:rsidR="00015EF4">
        <w:t xml:space="preserve"> </w:t>
      </w:r>
    </w:p>
    <w:p w:rsidR="000F0D5D" w:rsidRDefault="000F0D5D" w:rsidP="00600EE9">
      <w:pPr>
        <w:tabs>
          <w:tab w:val="left" w:pos="2160"/>
        </w:tabs>
        <w:spacing w:line="360" w:lineRule="auto"/>
        <w:ind w:firstLine="1440"/>
      </w:pPr>
    </w:p>
    <w:p w:rsidR="000F0D5D" w:rsidRDefault="0003252E" w:rsidP="00600EE9">
      <w:pPr>
        <w:tabs>
          <w:tab w:val="left" w:pos="2160"/>
        </w:tabs>
        <w:spacing w:line="360" w:lineRule="auto"/>
        <w:ind w:firstLine="1440"/>
      </w:pPr>
      <w:r>
        <w:t>8</w:t>
      </w:r>
      <w:r w:rsidR="000F0D5D">
        <w:t>.</w:t>
      </w:r>
      <w:r w:rsidR="000F0D5D">
        <w:tab/>
      </w:r>
      <w:r w:rsidR="00EE1DBA">
        <w:t xml:space="preserve">In July 2010, West Penn visited the </w:t>
      </w:r>
      <w:proofErr w:type="spellStart"/>
      <w:r w:rsidR="00EE1DBA">
        <w:t>Armfield</w:t>
      </w:r>
      <w:r w:rsidR="00E52A77">
        <w:t>’s</w:t>
      </w:r>
      <w:proofErr w:type="spellEnd"/>
      <w:r w:rsidR="00EE1DBA">
        <w:t xml:space="preserve"> residence.  During the visit, linemen checked for stray electrical voltage and found none (Tr. 72-73).  </w:t>
      </w:r>
      <w:r w:rsidR="00045036">
        <w:t xml:space="preserve">  </w:t>
      </w:r>
      <w:r w:rsidR="00A94FE8">
        <w:t xml:space="preserve">  </w:t>
      </w:r>
    </w:p>
    <w:p w:rsidR="000F0D5D" w:rsidRDefault="000F0D5D" w:rsidP="00600EE9">
      <w:pPr>
        <w:tabs>
          <w:tab w:val="left" w:pos="2160"/>
        </w:tabs>
        <w:spacing w:line="360" w:lineRule="auto"/>
        <w:ind w:firstLine="1440"/>
      </w:pPr>
    </w:p>
    <w:p w:rsidR="008C51A4" w:rsidRDefault="0003252E" w:rsidP="00600EE9">
      <w:pPr>
        <w:tabs>
          <w:tab w:val="left" w:pos="2160"/>
        </w:tabs>
        <w:spacing w:line="360" w:lineRule="auto"/>
        <w:ind w:firstLine="1440"/>
      </w:pPr>
      <w:r>
        <w:t>9</w:t>
      </w:r>
      <w:r w:rsidR="000F0D5D">
        <w:t>.</w:t>
      </w:r>
      <w:r w:rsidR="000F0D5D">
        <w:tab/>
      </w:r>
      <w:r w:rsidR="00EE1DBA">
        <w:t xml:space="preserve">In July 2010, West Penn installed a voltage recording meter on the </w:t>
      </w:r>
      <w:proofErr w:type="spellStart"/>
      <w:r w:rsidR="00EE1DBA">
        <w:t>Armfield’s</w:t>
      </w:r>
      <w:proofErr w:type="spellEnd"/>
      <w:r w:rsidR="00EE1DBA">
        <w:t xml:space="preserve"> residential meter.  The voltage meter did not detect any surge or abnormalities while it was attached to the meter (Tr. 74).</w:t>
      </w:r>
      <w:r w:rsidR="00DF64D4">
        <w:t xml:space="preserve">  </w:t>
      </w:r>
    </w:p>
    <w:p w:rsidR="00B055A2" w:rsidRDefault="00B055A2" w:rsidP="00600EE9">
      <w:pPr>
        <w:tabs>
          <w:tab w:val="left" w:pos="2160"/>
        </w:tabs>
        <w:spacing w:line="360" w:lineRule="auto"/>
        <w:ind w:firstLine="1440"/>
      </w:pPr>
    </w:p>
    <w:p w:rsidR="00B055A2" w:rsidRDefault="0003252E" w:rsidP="00600EE9">
      <w:pPr>
        <w:tabs>
          <w:tab w:val="left" w:pos="2160"/>
        </w:tabs>
        <w:spacing w:line="360" w:lineRule="auto"/>
        <w:ind w:firstLine="1440"/>
      </w:pPr>
      <w:r>
        <w:t>10</w:t>
      </w:r>
      <w:r w:rsidR="00B055A2">
        <w:t>.</w:t>
      </w:r>
      <w:r w:rsidR="00B055A2">
        <w:tab/>
        <w:t xml:space="preserve">In July 2010, West Penn checked the connections to the transformer that supplies electricity to the </w:t>
      </w:r>
      <w:proofErr w:type="spellStart"/>
      <w:r w:rsidR="00B055A2">
        <w:t>Armfield</w:t>
      </w:r>
      <w:r w:rsidR="007A7EBD">
        <w:t>’s</w:t>
      </w:r>
      <w:proofErr w:type="spellEnd"/>
      <w:r w:rsidR="00B055A2">
        <w:t xml:space="preserve"> property and two other customers.  No problems were found with the connections (Tr. 83).  </w:t>
      </w:r>
    </w:p>
    <w:p w:rsidR="008C51A4" w:rsidRDefault="008C51A4" w:rsidP="00600EE9">
      <w:pPr>
        <w:tabs>
          <w:tab w:val="left" w:pos="2160"/>
        </w:tabs>
        <w:spacing w:line="360" w:lineRule="auto"/>
        <w:ind w:firstLine="1440"/>
      </w:pPr>
    </w:p>
    <w:p w:rsidR="00C903F9" w:rsidRDefault="00B055A2" w:rsidP="00600EE9">
      <w:pPr>
        <w:tabs>
          <w:tab w:val="left" w:pos="2160"/>
        </w:tabs>
        <w:spacing w:line="360" w:lineRule="auto"/>
        <w:ind w:firstLine="1440"/>
      </w:pPr>
      <w:r>
        <w:lastRenderedPageBreak/>
        <w:t>1</w:t>
      </w:r>
      <w:r w:rsidR="0003252E">
        <w:t>1</w:t>
      </w:r>
      <w:r w:rsidR="008C51A4">
        <w:t>.</w:t>
      </w:r>
      <w:r w:rsidR="008C51A4">
        <w:tab/>
      </w:r>
      <w:r w:rsidR="0053466D">
        <w:t xml:space="preserve">A voltage recording meter was installed at the </w:t>
      </w:r>
      <w:proofErr w:type="spellStart"/>
      <w:r w:rsidR="0053466D">
        <w:t>Armfield</w:t>
      </w:r>
      <w:r w:rsidR="00676F21">
        <w:t>’s</w:t>
      </w:r>
      <w:proofErr w:type="spellEnd"/>
      <w:r w:rsidR="0053466D">
        <w:t xml:space="preserve"> residence meter socket on August 10, 2010 and it remained there until August 15, 2010</w:t>
      </w:r>
      <w:r w:rsidR="00C903F9">
        <w:t xml:space="preserve">.  No electrical problems were detected </w:t>
      </w:r>
      <w:r w:rsidR="006E7EC6">
        <w:t>(Tr.</w:t>
      </w:r>
      <w:r w:rsidR="00C903F9">
        <w:t xml:space="preserve"> 82-83).  </w:t>
      </w:r>
    </w:p>
    <w:p w:rsidR="00C903F9" w:rsidRDefault="00C903F9" w:rsidP="00600EE9">
      <w:pPr>
        <w:tabs>
          <w:tab w:val="left" w:pos="2160"/>
        </w:tabs>
        <w:spacing w:line="360" w:lineRule="auto"/>
        <w:ind w:firstLine="1440"/>
      </w:pPr>
    </w:p>
    <w:p w:rsidR="0014488F" w:rsidRDefault="00C903F9" w:rsidP="00600EE9">
      <w:pPr>
        <w:tabs>
          <w:tab w:val="left" w:pos="2160"/>
        </w:tabs>
        <w:spacing w:line="360" w:lineRule="auto"/>
        <w:ind w:firstLine="1440"/>
      </w:pPr>
      <w:r>
        <w:t>1</w:t>
      </w:r>
      <w:r w:rsidR="0003252E">
        <w:t>2</w:t>
      </w:r>
      <w:r>
        <w:t>.</w:t>
      </w:r>
      <w:r>
        <w:tab/>
      </w:r>
      <w:r w:rsidR="0053466D">
        <w:t xml:space="preserve">On </w:t>
      </w:r>
      <w:r w:rsidR="0014488F">
        <w:t xml:space="preserve">September 3, 2010, </w:t>
      </w:r>
      <w:r w:rsidR="006E7EC6">
        <w:t>voltage meter</w:t>
      </w:r>
      <w:r w:rsidR="0014488F">
        <w:t>s</w:t>
      </w:r>
      <w:r w:rsidR="006E7EC6">
        <w:t xml:space="preserve"> w</w:t>
      </w:r>
      <w:r w:rsidR="0014488F">
        <w:t>ere</w:t>
      </w:r>
      <w:r w:rsidR="006E7EC6">
        <w:t xml:space="preserve"> installed at the </w:t>
      </w:r>
      <w:proofErr w:type="spellStart"/>
      <w:r w:rsidR="006E7EC6">
        <w:t>Armfield</w:t>
      </w:r>
      <w:r w:rsidR="00EC20C9">
        <w:t>’s</w:t>
      </w:r>
      <w:proofErr w:type="spellEnd"/>
      <w:r w:rsidR="006E7EC6">
        <w:t xml:space="preserve"> </w:t>
      </w:r>
      <w:r w:rsidR="0014488F">
        <w:t>property</w:t>
      </w:r>
      <w:r w:rsidR="006E7EC6">
        <w:t xml:space="preserve"> for the third time</w:t>
      </w:r>
      <w:r>
        <w:t xml:space="preserve">.  A voltage meter was installed </w:t>
      </w:r>
      <w:r w:rsidR="0014488F">
        <w:t xml:space="preserve">inside the residence at the main panel and </w:t>
      </w:r>
      <w:r>
        <w:t>on the meter socket for the pool house</w:t>
      </w:r>
      <w:r w:rsidR="0014488F">
        <w:t>.</w:t>
      </w:r>
      <w:r>
        <w:t xml:space="preserve">  </w:t>
      </w:r>
      <w:r w:rsidR="0014488F">
        <w:t>The voltage meter inside the house was clipped to some inside wiring to see if any problems could be found (Tr. 86-89).</w:t>
      </w:r>
    </w:p>
    <w:p w:rsidR="0014488F" w:rsidRDefault="0014488F" w:rsidP="00600EE9">
      <w:pPr>
        <w:tabs>
          <w:tab w:val="left" w:pos="2160"/>
        </w:tabs>
        <w:spacing w:line="360" w:lineRule="auto"/>
        <w:ind w:firstLine="1440"/>
      </w:pPr>
    </w:p>
    <w:p w:rsidR="008C51A4" w:rsidRDefault="00B055A2" w:rsidP="00600EE9">
      <w:pPr>
        <w:tabs>
          <w:tab w:val="left" w:pos="2160"/>
        </w:tabs>
        <w:spacing w:line="360" w:lineRule="auto"/>
        <w:ind w:firstLine="1440"/>
      </w:pPr>
      <w:r>
        <w:t>1</w:t>
      </w:r>
      <w:r w:rsidR="0003252E">
        <w:t>3</w:t>
      </w:r>
      <w:r w:rsidR="0014488F">
        <w:t>.</w:t>
      </w:r>
      <w:r w:rsidR="0014488F">
        <w:tab/>
        <w:t xml:space="preserve">On September 15, 2010, Ms. </w:t>
      </w:r>
      <w:proofErr w:type="spellStart"/>
      <w:r w:rsidR="0014488F">
        <w:t>Armfield</w:t>
      </w:r>
      <w:proofErr w:type="spellEnd"/>
      <w:r w:rsidR="0014488F">
        <w:t xml:space="preserve"> called to report a “</w:t>
      </w:r>
      <w:proofErr w:type="spellStart"/>
      <w:r w:rsidR="0014488F">
        <w:t>recloser</w:t>
      </w:r>
      <w:proofErr w:type="spellEnd"/>
      <w:r w:rsidR="0014488F">
        <w:t xml:space="preserve"> operation.”  In response, West Penn visited the residence and removed the </w:t>
      </w:r>
      <w:r w:rsidR="00C903F9">
        <w:t xml:space="preserve">voltage meters </w:t>
      </w:r>
      <w:r w:rsidR="0014488F">
        <w:t>from the house and pool house that were installed on September 3, 2010.  No problems were recorded</w:t>
      </w:r>
      <w:r>
        <w:t xml:space="preserve"> on the voltage meters</w:t>
      </w:r>
      <w:r w:rsidR="0014488F">
        <w:t xml:space="preserve"> (Tr. 88-89).  </w:t>
      </w:r>
      <w:r w:rsidR="00E22F04">
        <w:t xml:space="preserve">  </w:t>
      </w:r>
    </w:p>
    <w:p w:rsidR="00DC4DBF" w:rsidRDefault="00DC4DBF" w:rsidP="00600EE9">
      <w:pPr>
        <w:tabs>
          <w:tab w:val="left" w:pos="2160"/>
        </w:tabs>
        <w:spacing w:line="360" w:lineRule="auto"/>
        <w:ind w:firstLine="1440"/>
      </w:pPr>
    </w:p>
    <w:p w:rsidR="00DC4DBF" w:rsidRDefault="003E10F5" w:rsidP="00600EE9">
      <w:pPr>
        <w:tabs>
          <w:tab w:val="left" w:pos="2160"/>
        </w:tabs>
        <w:spacing w:line="360" w:lineRule="auto"/>
        <w:ind w:firstLine="1440"/>
      </w:pPr>
      <w:r>
        <w:t>1</w:t>
      </w:r>
      <w:r w:rsidR="0003252E">
        <w:t>4</w:t>
      </w:r>
      <w:r w:rsidR="00DC4DBF">
        <w:t>.</w:t>
      </w:r>
      <w:r w:rsidR="00DC4DBF">
        <w:tab/>
      </w:r>
      <w:r w:rsidR="00A037B6">
        <w:t xml:space="preserve">On October 26, 2010, West Penn visited the </w:t>
      </w:r>
      <w:proofErr w:type="spellStart"/>
      <w:r w:rsidR="00A037B6">
        <w:t>Armfield</w:t>
      </w:r>
      <w:r w:rsidR="00995D5D">
        <w:t>’s</w:t>
      </w:r>
      <w:proofErr w:type="spellEnd"/>
      <w:r w:rsidR="00995D5D">
        <w:t xml:space="preserve"> </w:t>
      </w:r>
      <w:bookmarkStart w:id="0" w:name="_GoBack"/>
      <w:bookmarkEnd w:id="0"/>
      <w:r w:rsidR="00A037B6">
        <w:t xml:space="preserve">property and installed a voltage meter for the fourth time since July 2010 on the main service line to the house.  The voltage meter did not record any problems (Tr. 91-92, 121). </w:t>
      </w:r>
      <w:r w:rsidR="00087DE3">
        <w:t xml:space="preserve">  </w:t>
      </w:r>
      <w:r w:rsidR="00E22F04">
        <w:t xml:space="preserve">    </w:t>
      </w:r>
    </w:p>
    <w:p w:rsidR="008C51A4" w:rsidRDefault="008C51A4" w:rsidP="00600EE9">
      <w:pPr>
        <w:tabs>
          <w:tab w:val="left" w:pos="2160"/>
        </w:tabs>
        <w:spacing w:line="360" w:lineRule="auto"/>
        <w:ind w:firstLine="1440"/>
      </w:pPr>
    </w:p>
    <w:p w:rsidR="00087DE3" w:rsidRDefault="003E10F5" w:rsidP="00600EE9">
      <w:pPr>
        <w:tabs>
          <w:tab w:val="left" w:pos="2160"/>
        </w:tabs>
        <w:spacing w:line="360" w:lineRule="auto"/>
        <w:ind w:firstLine="1440"/>
      </w:pPr>
      <w:r>
        <w:t>1</w:t>
      </w:r>
      <w:r w:rsidR="0003252E">
        <w:t>5</w:t>
      </w:r>
      <w:r w:rsidR="008C51A4">
        <w:t>.</w:t>
      </w:r>
      <w:r w:rsidR="008C51A4">
        <w:tab/>
      </w:r>
      <w:r w:rsidR="00A037B6">
        <w:t xml:space="preserve">On October 26, 2010, West Penn again checked for stray voltage </w:t>
      </w:r>
      <w:r w:rsidR="0003252E">
        <w:t xml:space="preserve">at the </w:t>
      </w:r>
      <w:proofErr w:type="spellStart"/>
      <w:r w:rsidR="0003252E">
        <w:t>Armfield’s</w:t>
      </w:r>
      <w:proofErr w:type="spellEnd"/>
      <w:r w:rsidR="0003252E">
        <w:t xml:space="preserve"> property </w:t>
      </w:r>
      <w:r w:rsidR="00A037B6">
        <w:t xml:space="preserve">and found none (Tr. 91-92).  </w:t>
      </w:r>
    </w:p>
    <w:p w:rsidR="0003252E" w:rsidRDefault="0003252E" w:rsidP="00600EE9">
      <w:pPr>
        <w:tabs>
          <w:tab w:val="left" w:pos="2160"/>
        </w:tabs>
        <w:spacing w:line="360" w:lineRule="auto"/>
        <w:ind w:firstLine="1440"/>
      </w:pPr>
    </w:p>
    <w:p w:rsidR="0003252E" w:rsidRDefault="0003252E" w:rsidP="00600EE9">
      <w:pPr>
        <w:tabs>
          <w:tab w:val="left" w:pos="2160"/>
        </w:tabs>
        <w:spacing w:line="360" w:lineRule="auto"/>
        <w:ind w:firstLine="1440"/>
      </w:pPr>
      <w:r>
        <w:t>16.</w:t>
      </w:r>
      <w:r>
        <w:tab/>
        <w:t xml:space="preserve">The electrical circuit that feeds the </w:t>
      </w:r>
      <w:proofErr w:type="spellStart"/>
      <w:r>
        <w:t>Armfield</w:t>
      </w:r>
      <w:r w:rsidR="00F362D6">
        <w:t>’</w:t>
      </w:r>
      <w:r>
        <w:t>s</w:t>
      </w:r>
      <w:proofErr w:type="spellEnd"/>
      <w:r>
        <w:t xml:space="preserve"> property serves approximately 1,300-1,400 customers (Tr. 65).</w:t>
      </w:r>
    </w:p>
    <w:p w:rsidR="0003252E" w:rsidRDefault="0003252E" w:rsidP="00600EE9">
      <w:pPr>
        <w:tabs>
          <w:tab w:val="left" w:pos="2160"/>
        </w:tabs>
        <w:spacing w:line="360" w:lineRule="auto"/>
        <w:ind w:firstLine="1440"/>
      </w:pPr>
    </w:p>
    <w:p w:rsidR="0003252E" w:rsidRDefault="0003252E" w:rsidP="00600EE9">
      <w:pPr>
        <w:tabs>
          <w:tab w:val="left" w:pos="2160"/>
        </w:tabs>
        <w:spacing w:line="360" w:lineRule="auto"/>
        <w:ind w:firstLine="1440"/>
      </w:pPr>
      <w:r>
        <w:t>17.</w:t>
      </w:r>
      <w:r>
        <w:tab/>
        <w:t xml:space="preserve">West Penn has not received similar complaints regarding appliance failures from other customers on the circuit which serves the </w:t>
      </w:r>
      <w:proofErr w:type="spellStart"/>
      <w:r>
        <w:t>Armfield’s</w:t>
      </w:r>
      <w:proofErr w:type="spellEnd"/>
      <w:r>
        <w:t xml:space="preserve"> property (Tr. 65).</w:t>
      </w:r>
    </w:p>
    <w:p w:rsidR="0003252E" w:rsidRDefault="0003252E" w:rsidP="00600EE9">
      <w:pPr>
        <w:tabs>
          <w:tab w:val="left" w:pos="2160"/>
        </w:tabs>
        <w:spacing w:line="360" w:lineRule="auto"/>
        <w:ind w:firstLine="1440"/>
      </w:pPr>
    </w:p>
    <w:p w:rsidR="0003252E" w:rsidRDefault="0003252E" w:rsidP="00600EE9">
      <w:pPr>
        <w:tabs>
          <w:tab w:val="left" w:pos="2160"/>
        </w:tabs>
        <w:spacing w:line="360" w:lineRule="auto"/>
        <w:ind w:firstLine="1440"/>
      </w:pPr>
      <w:r>
        <w:t>18.</w:t>
      </w:r>
      <w:r>
        <w:tab/>
        <w:t xml:space="preserve">The appliance and electrical equipment failures alleged by Ms. </w:t>
      </w:r>
      <w:proofErr w:type="spellStart"/>
      <w:r>
        <w:t>Armfield</w:t>
      </w:r>
      <w:proofErr w:type="spellEnd"/>
      <w:r>
        <w:t xml:space="preserve"> did not occur on the same day (Tr. 126).  </w:t>
      </w:r>
    </w:p>
    <w:p w:rsidR="0003252E" w:rsidRDefault="0003252E" w:rsidP="00600EE9">
      <w:pPr>
        <w:tabs>
          <w:tab w:val="left" w:pos="2160"/>
        </w:tabs>
        <w:spacing w:line="360" w:lineRule="auto"/>
        <w:ind w:firstLine="1440"/>
      </w:pPr>
      <w:r>
        <w:t xml:space="preserve"> </w:t>
      </w:r>
    </w:p>
    <w:p w:rsidR="0003252E" w:rsidRDefault="0003252E" w:rsidP="00600EE9">
      <w:pPr>
        <w:tabs>
          <w:tab w:val="left" w:pos="2160"/>
        </w:tabs>
        <w:spacing w:line="360" w:lineRule="auto"/>
        <w:ind w:firstLine="1440"/>
      </w:pPr>
    </w:p>
    <w:p w:rsidR="008E4FD6" w:rsidRPr="004E7308" w:rsidRDefault="008E4FD6" w:rsidP="008E4FD6">
      <w:pPr>
        <w:tabs>
          <w:tab w:val="left" w:pos="2160"/>
        </w:tabs>
        <w:spacing w:line="360" w:lineRule="auto"/>
        <w:jc w:val="center"/>
        <w:rPr>
          <w:u w:val="single"/>
        </w:rPr>
      </w:pPr>
      <w:r w:rsidRPr="004E7308">
        <w:rPr>
          <w:u w:val="single"/>
        </w:rPr>
        <w:lastRenderedPageBreak/>
        <w:t>DISCUSSION</w:t>
      </w:r>
    </w:p>
    <w:p w:rsidR="00827F81" w:rsidRDefault="00827F81" w:rsidP="00827F81">
      <w:pPr>
        <w:pStyle w:val="BodyText"/>
        <w:jc w:val="left"/>
        <w:rPr>
          <w:sz w:val="24"/>
          <w:szCs w:val="24"/>
        </w:rPr>
      </w:pPr>
    </w:p>
    <w:p w:rsidR="00827F81" w:rsidRPr="004B1CE0" w:rsidRDefault="00827F81" w:rsidP="00A37372">
      <w:pPr>
        <w:spacing w:line="360" w:lineRule="auto"/>
      </w:pPr>
      <w:r>
        <w:tab/>
      </w:r>
      <w:r>
        <w:tab/>
      </w:r>
      <w:r w:rsidRPr="004B1CE0">
        <w:t xml:space="preserve">Section 1501 of the Code, 66 Pa. C.S. §1501, requires all public utilities to furnish and maintain adequate, efficient, safe, and reasonable service and facilities, and to make all repairs, changes, improvements, etc., to its service and facilities as shall be necessary or proper for the accommodation, convenience and safety of its patrons, employees, and the public.  As defined, in pertinent part, in Section 102 of the Code, 66 </w:t>
      </w:r>
      <w:smartTag w:uri="urn:schemas-microsoft-com:office:smarttags" w:element="place">
        <w:smartTag w:uri="urn:schemas-microsoft-com:office:smarttags" w:element="State">
          <w:r w:rsidRPr="004B1CE0">
            <w:t>Pa.</w:t>
          </w:r>
        </w:smartTag>
      </w:smartTag>
      <w:r w:rsidRPr="004B1CE0">
        <w:t xml:space="preserve"> C.S. §102: </w:t>
      </w:r>
    </w:p>
    <w:p w:rsidR="00827F81" w:rsidRDefault="00827F81" w:rsidP="00827F81">
      <w:pPr>
        <w:ind w:left="1440" w:right="720"/>
        <w:jc w:val="both"/>
      </w:pPr>
    </w:p>
    <w:p w:rsidR="00827F81" w:rsidRPr="004B1CE0" w:rsidRDefault="00827F81" w:rsidP="00827F81">
      <w:pPr>
        <w:ind w:left="1440" w:right="720"/>
        <w:jc w:val="both"/>
      </w:pPr>
      <w:r w:rsidRPr="004B1CE0">
        <w:t>“Service.”  Used in its broadest and most inclusive sense, includes any and all acts done, rendered, or performed, and any and all things furnished or supplied, and any and all facilities used, furnished, or supplied by public utilities…in the performance of their duties under this part to their patrons, employees, other public utilities, and the public…</w:t>
      </w:r>
      <w:r w:rsidR="00261CD2">
        <w:t>.</w:t>
      </w:r>
    </w:p>
    <w:p w:rsidR="00827F81" w:rsidRDefault="00827F81" w:rsidP="00827F81">
      <w:pPr>
        <w:pStyle w:val="BodyText"/>
        <w:jc w:val="left"/>
        <w:rPr>
          <w:sz w:val="24"/>
          <w:szCs w:val="24"/>
        </w:rPr>
      </w:pPr>
      <w:r>
        <w:rPr>
          <w:sz w:val="24"/>
          <w:szCs w:val="24"/>
        </w:rPr>
        <w:t xml:space="preserve">  </w:t>
      </w:r>
    </w:p>
    <w:p w:rsidR="00A37372" w:rsidRDefault="00A37372" w:rsidP="00A37372">
      <w:pPr>
        <w:pStyle w:val="BodyText"/>
        <w:spacing w:line="240" w:lineRule="auto"/>
        <w:jc w:val="left"/>
        <w:rPr>
          <w:sz w:val="24"/>
          <w:szCs w:val="24"/>
        </w:rPr>
      </w:pPr>
    </w:p>
    <w:p w:rsidR="00F86B49" w:rsidRDefault="00C604A3" w:rsidP="009A62B3">
      <w:pPr>
        <w:pStyle w:val="BodyText"/>
        <w:ind w:firstLine="720"/>
        <w:jc w:val="left"/>
        <w:rPr>
          <w:sz w:val="24"/>
          <w:szCs w:val="24"/>
        </w:rPr>
      </w:pPr>
      <w:r>
        <w:rPr>
          <w:sz w:val="24"/>
          <w:szCs w:val="24"/>
        </w:rPr>
        <w:tab/>
      </w:r>
      <w:r w:rsidR="00F86B49" w:rsidRPr="00EB2F3A">
        <w:rPr>
          <w:sz w:val="24"/>
          <w:szCs w:val="24"/>
        </w:rPr>
        <w:t xml:space="preserve">As the party seeking affirmative relief from the Commission, </w:t>
      </w:r>
      <w:r w:rsidR="00827F81">
        <w:rPr>
          <w:sz w:val="24"/>
          <w:szCs w:val="24"/>
        </w:rPr>
        <w:t>M</w:t>
      </w:r>
      <w:r w:rsidR="007967B4">
        <w:rPr>
          <w:sz w:val="24"/>
          <w:szCs w:val="24"/>
        </w:rPr>
        <w:t xml:space="preserve">s. </w:t>
      </w:r>
      <w:proofErr w:type="spellStart"/>
      <w:r w:rsidR="0003252E">
        <w:rPr>
          <w:sz w:val="24"/>
          <w:szCs w:val="24"/>
        </w:rPr>
        <w:t>Armfield</w:t>
      </w:r>
      <w:proofErr w:type="spellEnd"/>
      <w:r w:rsidR="00F86B49" w:rsidRPr="00EB2F3A">
        <w:rPr>
          <w:sz w:val="24"/>
          <w:szCs w:val="24"/>
        </w:rPr>
        <w:t xml:space="preserve"> bears the burden of proof.  66 Pa. C.S. §332(a).</w:t>
      </w:r>
      <w:r w:rsidR="00F86B49">
        <w:rPr>
          <w:sz w:val="24"/>
          <w:szCs w:val="24"/>
        </w:rPr>
        <w:t xml:space="preserve">  To establish a sufficient case and satisfy the burden of proof, </w:t>
      </w:r>
      <w:r w:rsidR="00827F81">
        <w:rPr>
          <w:sz w:val="24"/>
          <w:szCs w:val="24"/>
        </w:rPr>
        <w:t>a complainant</w:t>
      </w:r>
      <w:r w:rsidR="00F86B49">
        <w:rPr>
          <w:sz w:val="24"/>
          <w:szCs w:val="24"/>
        </w:rPr>
        <w:t xml:space="preserve"> must show that the respondent public utility is responsible or accountable for the problem described in the complaint.  </w:t>
      </w:r>
      <w:proofErr w:type="gramStart"/>
      <w:r w:rsidR="00F86B49">
        <w:rPr>
          <w:sz w:val="24"/>
          <w:szCs w:val="24"/>
          <w:u w:val="single"/>
        </w:rPr>
        <w:t>Patterson v. Bell Telephone Company of Pennsylvania</w:t>
      </w:r>
      <w:r w:rsidR="00F86B49">
        <w:rPr>
          <w:sz w:val="24"/>
          <w:szCs w:val="24"/>
        </w:rPr>
        <w:t xml:space="preserve">, 72 Pa. PUC 196 (1990), </w:t>
      </w:r>
      <w:r w:rsidR="00F86B49">
        <w:rPr>
          <w:sz w:val="24"/>
          <w:szCs w:val="24"/>
          <w:u w:val="single"/>
        </w:rPr>
        <w:t>Feinstein v. Philadelphia Suburban Water Company</w:t>
      </w:r>
      <w:r w:rsidR="00F86B49" w:rsidRPr="00910A53">
        <w:rPr>
          <w:sz w:val="24"/>
          <w:szCs w:val="24"/>
        </w:rPr>
        <w:t xml:space="preserve">, </w:t>
      </w:r>
      <w:r w:rsidR="00F86B49">
        <w:rPr>
          <w:sz w:val="24"/>
          <w:szCs w:val="24"/>
        </w:rPr>
        <w:t>50</w:t>
      </w:r>
      <w:r w:rsidR="00B16B6A">
        <w:rPr>
          <w:sz w:val="24"/>
          <w:szCs w:val="24"/>
        </w:rPr>
        <w:t> </w:t>
      </w:r>
      <w:r w:rsidR="00F86B49">
        <w:rPr>
          <w:sz w:val="24"/>
          <w:szCs w:val="24"/>
        </w:rPr>
        <w:t>Pa. PUC 300 (1976).</w:t>
      </w:r>
      <w:proofErr w:type="gramEnd"/>
      <w:r w:rsidR="00F86B49">
        <w:rPr>
          <w:sz w:val="24"/>
          <w:szCs w:val="24"/>
        </w:rPr>
        <w:t xml:space="preserve">  Such a showing must be by a preponderance of the evidence.  </w:t>
      </w:r>
      <w:r w:rsidR="00F86B49">
        <w:rPr>
          <w:sz w:val="24"/>
          <w:szCs w:val="24"/>
          <w:u w:val="single"/>
        </w:rPr>
        <w:t xml:space="preserve">Samuel J. </w:t>
      </w:r>
      <w:proofErr w:type="spellStart"/>
      <w:r w:rsidR="00F86B49">
        <w:rPr>
          <w:sz w:val="24"/>
          <w:szCs w:val="24"/>
          <w:u w:val="single"/>
        </w:rPr>
        <w:t>Lansberry</w:t>
      </w:r>
      <w:proofErr w:type="spellEnd"/>
      <w:r w:rsidR="00F86B49">
        <w:rPr>
          <w:sz w:val="24"/>
          <w:szCs w:val="24"/>
          <w:u w:val="single"/>
        </w:rPr>
        <w:t>, Inc. v. Pa. P.U.C.</w:t>
      </w:r>
      <w:r w:rsidR="00F86B49" w:rsidRPr="00DA430D">
        <w:rPr>
          <w:sz w:val="24"/>
          <w:szCs w:val="24"/>
        </w:rPr>
        <w:t>,</w:t>
      </w:r>
      <w:r w:rsidR="00F86B49">
        <w:rPr>
          <w:sz w:val="24"/>
          <w:szCs w:val="24"/>
        </w:rPr>
        <w:t xml:space="preserve"> 134 Pa. </w:t>
      </w:r>
      <w:proofErr w:type="spellStart"/>
      <w:r w:rsidR="00F86B49">
        <w:rPr>
          <w:sz w:val="24"/>
          <w:szCs w:val="24"/>
        </w:rPr>
        <w:t>Cmwlth</w:t>
      </w:r>
      <w:proofErr w:type="spellEnd"/>
      <w:r w:rsidR="00F86B49">
        <w:rPr>
          <w:sz w:val="24"/>
          <w:szCs w:val="24"/>
        </w:rPr>
        <w:t>. 218, 578 A.2d 600 (1990).</w:t>
      </w:r>
      <w:r w:rsidR="00AF36C0">
        <w:rPr>
          <w:sz w:val="24"/>
          <w:szCs w:val="24"/>
        </w:rPr>
        <w:t xml:space="preserve"> </w:t>
      </w:r>
      <w:r w:rsidR="00F86B49">
        <w:rPr>
          <w:sz w:val="24"/>
          <w:szCs w:val="24"/>
        </w:rPr>
        <w:t xml:space="preserve"> That is, by presenting evidence more convincing, by even the smallest amount, than that presented by the other party.  </w:t>
      </w:r>
      <w:r w:rsidR="00F86B49">
        <w:rPr>
          <w:sz w:val="24"/>
          <w:szCs w:val="24"/>
          <w:u w:val="single"/>
        </w:rPr>
        <w:t>Se-Ling Hosiery v. Margulies</w:t>
      </w:r>
      <w:r w:rsidR="00F86B49" w:rsidRPr="00910A53">
        <w:rPr>
          <w:sz w:val="24"/>
          <w:szCs w:val="24"/>
        </w:rPr>
        <w:t xml:space="preserve">, </w:t>
      </w:r>
      <w:r w:rsidR="00F86B49">
        <w:rPr>
          <w:sz w:val="24"/>
          <w:szCs w:val="24"/>
        </w:rPr>
        <w:t xml:space="preserve">364 Pa. 45, 70 A.2d 854 (1950).  Additionally, any finding of fact necessary to support the Commission’s adjudication must be based upon substantial evidence.  </w:t>
      </w:r>
      <w:r w:rsidR="00F86B49">
        <w:rPr>
          <w:sz w:val="24"/>
          <w:szCs w:val="24"/>
          <w:u w:val="single"/>
        </w:rPr>
        <w:t>Mill v. Pa. P.U.C.</w:t>
      </w:r>
      <w:r w:rsidR="00F86B49" w:rsidRPr="00DA430D">
        <w:rPr>
          <w:sz w:val="24"/>
          <w:szCs w:val="24"/>
        </w:rPr>
        <w:t>,</w:t>
      </w:r>
      <w:r w:rsidR="00F86B49">
        <w:rPr>
          <w:sz w:val="24"/>
          <w:szCs w:val="24"/>
        </w:rPr>
        <w:t xml:space="preserve"> 67 Pa. </w:t>
      </w:r>
      <w:proofErr w:type="spellStart"/>
      <w:r w:rsidR="00F86B49">
        <w:rPr>
          <w:sz w:val="24"/>
          <w:szCs w:val="24"/>
        </w:rPr>
        <w:t>Cmwlth</w:t>
      </w:r>
      <w:proofErr w:type="spellEnd"/>
      <w:r w:rsidR="00F86B49">
        <w:rPr>
          <w:sz w:val="24"/>
          <w:szCs w:val="24"/>
        </w:rPr>
        <w:t xml:space="preserve">. 597, 447 A.2d 1100 (1982).  More is required than a mere trace of evidence or a suspicion of the existence of a fact sought to be established.  </w:t>
      </w:r>
      <w:r w:rsidR="00F86B49">
        <w:rPr>
          <w:sz w:val="24"/>
          <w:szCs w:val="24"/>
          <w:u w:val="single"/>
        </w:rPr>
        <w:t>Norfolk and Western Ry. v. Pa. P.U.C.</w:t>
      </w:r>
      <w:r w:rsidR="00F86B49" w:rsidRPr="00A16D50">
        <w:rPr>
          <w:sz w:val="24"/>
          <w:szCs w:val="24"/>
        </w:rPr>
        <w:t xml:space="preserve">, </w:t>
      </w:r>
      <w:r w:rsidR="00F86B49">
        <w:rPr>
          <w:sz w:val="24"/>
          <w:szCs w:val="24"/>
        </w:rPr>
        <w:t xml:space="preserve">489 Pa. 109, 413 A.2d 1037 (1980). </w:t>
      </w:r>
    </w:p>
    <w:p w:rsidR="007208E3" w:rsidRDefault="00F86B49" w:rsidP="007208E3">
      <w:pPr>
        <w:pStyle w:val="BodyText"/>
        <w:ind w:firstLine="720"/>
        <w:jc w:val="left"/>
        <w:rPr>
          <w:sz w:val="24"/>
          <w:szCs w:val="24"/>
        </w:rPr>
      </w:pPr>
      <w:r>
        <w:rPr>
          <w:sz w:val="24"/>
          <w:szCs w:val="24"/>
        </w:rPr>
        <w:t xml:space="preserve"> </w:t>
      </w:r>
      <w:r w:rsidR="00F73D2B">
        <w:rPr>
          <w:sz w:val="24"/>
          <w:szCs w:val="24"/>
        </w:rPr>
        <w:t xml:space="preserve">              </w:t>
      </w:r>
      <w:r w:rsidR="006C5110">
        <w:rPr>
          <w:sz w:val="24"/>
          <w:szCs w:val="24"/>
        </w:rPr>
        <w:t xml:space="preserve">  </w:t>
      </w:r>
    </w:p>
    <w:p w:rsidR="007208E3" w:rsidRDefault="007208E3" w:rsidP="00BE154F">
      <w:pPr>
        <w:spacing w:line="360" w:lineRule="auto"/>
        <w:ind w:firstLine="1440"/>
      </w:pPr>
      <w:r>
        <w:t xml:space="preserve">Establishing a prima facie case requires either evidence sufficient to make a finding of fact permissible or evidence to create a presumption against an opponent which, if not met, results in an obligatory decision for the proponent.  </w:t>
      </w:r>
      <w:proofErr w:type="spellStart"/>
      <w:r>
        <w:rPr>
          <w:u w:val="single"/>
        </w:rPr>
        <w:t>Wigmore</w:t>
      </w:r>
      <w:proofErr w:type="spellEnd"/>
      <w:r>
        <w:t xml:space="preserve">, §2994 at I(1) and (2); </w:t>
      </w:r>
      <w:r>
        <w:rPr>
          <w:u w:val="single"/>
        </w:rPr>
        <w:t>In re: Fink</w:t>
      </w:r>
      <w:r w:rsidR="00AF36C0">
        <w:rPr>
          <w:u w:val="single"/>
        </w:rPr>
        <w:t>’</w:t>
      </w:r>
      <w:r>
        <w:rPr>
          <w:u w:val="single"/>
        </w:rPr>
        <w:t>s Estate</w:t>
      </w:r>
      <w:r w:rsidRPr="00DA430D">
        <w:t>,</w:t>
      </w:r>
      <w:r>
        <w:t xml:space="preserve"> 343 Pa. 65, 74, 21 A.2d 883, 888-889 (1941);  </w:t>
      </w:r>
      <w:r>
        <w:rPr>
          <w:u w:val="single"/>
        </w:rPr>
        <w:t>Rogers v. United States</w:t>
      </w:r>
      <w:r>
        <w:t xml:space="preserve">, </w:t>
      </w:r>
      <w:r>
        <w:lastRenderedPageBreak/>
        <w:t>66</w:t>
      </w:r>
      <w:r w:rsidR="00954EE1">
        <w:t> </w:t>
      </w:r>
      <w:r>
        <w:t>F.</w:t>
      </w:r>
      <w:r w:rsidR="00954EE1">
        <w:t> </w:t>
      </w:r>
      <w:r>
        <w:t xml:space="preserve">Supp. 663, 667, relying, in relevant part, on </w:t>
      </w:r>
      <w:r>
        <w:rPr>
          <w:u w:val="single"/>
        </w:rPr>
        <w:t>Roseberry v. Home Life Insurance Company</w:t>
      </w:r>
      <w:r>
        <w:t>, 120</w:t>
      </w:r>
      <w:r w:rsidR="001C6ED4">
        <w:t> </w:t>
      </w:r>
      <w:r>
        <w:t>Pa. Superior Ct. 450, 454, 183 A. 121, 95 A.L.R. 749 (1936).</w:t>
      </w:r>
    </w:p>
    <w:p w:rsidR="007967B4" w:rsidRDefault="007967B4" w:rsidP="007208E3">
      <w:pPr>
        <w:spacing w:line="360" w:lineRule="auto"/>
        <w:ind w:firstLine="1440"/>
        <w:jc w:val="both"/>
      </w:pPr>
    </w:p>
    <w:p w:rsidR="001E571A" w:rsidRDefault="007967B4" w:rsidP="00BE154F">
      <w:pPr>
        <w:spacing w:line="360" w:lineRule="auto"/>
        <w:ind w:firstLine="1440"/>
      </w:pPr>
      <w:r>
        <w:t xml:space="preserve">Ms. </w:t>
      </w:r>
      <w:proofErr w:type="spellStart"/>
      <w:r w:rsidR="001E571A">
        <w:t>Armfield</w:t>
      </w:r>
      <w:proofErr w:type="spellEnd"/>
      <w:r w:rsidR="001E571A">
        <w:t xml:space="preserve"> </w:t>
      </w:r>
      <w:r>
        <w:t>did not</w:t>
      </w:r>
      <w:r w:rsidR="000E3854">
        <w:t xml:space="preserve"> meet</w:t>
      </w:r>
      <w:r>
        <w:t xml:space="preserve"> her burden of proof here. </w:t>
      </w:r>
      <w:r w:rsidR="005F23BA">
        <w:t xml:space="preserve"> </w:t>
      </w:r>
      <w:r>
        <w:t xml:space="preserve">She alleged in her Complaint that </w:t>
      </w:r>
      <w:r w:rsidR="001E571A">
        <w:t>West Penn’s</w:t>
      </w:r>
      <w:r>
        <w:t xml:space="preserve"> provision of electric service to her home caused damage to appliances and other items that use electricity at the residence.  She claims </w:t>
      </w:r>
      <w:r w:rsidR="001E571A">
        <w:t xml:space="preserve">that appliances and electrical equipment in her home and on her property were damaged by electrical surges coming into her home from West Penn’s distribution system.  </w:t>
      </w:r>
      <w:r>
        <w:t xml:space="preserve">The evidence presented by Ms. </w:t>
      </w:r>
      <w:proofErr w:type="spellStart"/>
      <w:r w:rsidR="001E571A">
        <w:t>Armfield</w:t>
      </w:r>
      <w:proofErr w:type="spellEnd"/>
      <w:r>
        <w:t xml:space="preserve"> is not sufficient to support a finding of fact that </w:t>
      </w:r>
      <w:r w:rsidR="001E571A">
        <w:t>West Penn</w:t>
      </w:r>
      <w:r>
        <w:t xml:space="preserve"> provided in</w:t>
      </w:r>
      <w:r w:rsidRPr="004B1CE0">
        <w:t xml:space="preserve">adequate, </w:t>
      </w:r>
      <w:r>
        <w:t>in</w:t>
      </w:r>
      <w:r w:rsidRPr="004B1CE0">
        <w:t xml:space="preserve">efficient, </w:t>
      </w:r>
      <w:r>
        <w:t>unsafe, or un</w:t>
      </w:r>
      <w:r w:rsidRPr="004B1CE0">
        <w:t>reasonable service and facilities</w:t>
      </w:r>
      <w:r>
        <w:t xml:space="preserve">. </w:t>
      </w:r>
      <w:r w:rsidR="000E3854">
        <w:t xml:space="preserve"> </w:t>
      </w:r>
    </w:p>
    <w:p w:rsidR="001E571A" w:rsidRDefault="001E571A" w:rsidP="00BE154F">
      <w:pPr>
        <w:spacing w:line="360" w:lineRule="auto"/>
        <w:ind w:firstLine="1440"/>
      </w:pPr>
    </w:p>
    <w:p w:rsidR="007967B4" w:rsidRDefault="000E3854" w:rsidP="00CE5A41">
      <w:pPr>
        <w:spacing w:line="360" w:lineRule="auto"/>
        <w:ind w:firstLine="1440"/>
      </w:pPr>
      <w:r>
        <w:t xml:space="preserve">Ms. </w:t>
      </w:r>
      <w:proofErr w:type="spellStart"/>
      <w:r w:rsidR="001E571A">
        <w:t>Armfield</w:t>
      </w:r>
      <w:proofErr w:type="spellEnd"/>
      <w:r w:rsidR="001E571A">
        <w:t xml:space="preserve"> </w:t>
      </w:r>
      <w:r>
        <w:t>has failed to establish a prima facie case</w:t>
      </w:r>
      <w:r w:rsidR="000A7BB9">
        <w:t>.</w:t>
      </w:r>
      <w:r w:rsidR="001E571A">
        <w:t xml:space="preserve">  In order to prevail on her Complaint, she must first establish that an electrical problem caused her appliances and equipment to fail on various days.  She must next establish that this electrical problem was caused by West Penn’s provision of service to her home.  The evidence of record in this proceeding cannot </w:t>
      </w:r>
      <w:r w:rsidR="00CE5A41">
        <w:t xml:space="preserve">even </w:t>
      </w:r>
      <w:r w:rsidR="001E571A">
        <w:t xml:space="preserve">support a finding that any of the alleged damage to appliances and electrical equipment was the result of electrical surges or some other electrical problem. </w:t>
      </w:r>
    </w:p>
    <w:p w:rsidR="00CE5A41" w:rsidRDefault="00CE5A41" w:rsidP="00CE5A41">
      <w:pPr>
        <w:spacing w:line="360" w:lineRule="auto"/>
        <w:ind w:firstLine="1440"/>
      </w:pPr>
    </w:p>
    <w:p w:rsidR="00CE5A41" w:rsidRDefault="00CE5A41" w:rsidP="00CE5A41">
      <w:pPr>
        <w:spacing w:line="360" w:lineRule="auto"/>
        <w:ind w:firstLine="1440"/>
      </w:pPr>
      <w:r>
        <w:t xml:space="preserve">West Penn properly investigated the complaints made by Ms. </w:t>
      </w:r>
      <w:proofErr w:type="spellStart"/>
      <w:r>
        <w:t>Armfield</w:t>
      </w:r>
      <w:proofErr w:type="spellEnd"/>
      <w:r>
        <w:t xml:space="preserve"> and attempted to determine whether an electrical problem existed.  West Penn looked for similar complaints from other customers on the electrical circuit that serves the </w:t>
      </w:r>
      <w:proofErr w:type="spellStart"/>
      <w:r>
        <w:t>Armfield’s</w:t>
      </w:r>
      <w:proofErr w:type="spellEnd"/>
      <w:r>
        <w:t xml:space="preserve"> property and found none.  West Penn made visits to the home to check for stray voltage and to check the connections from Ms. </w:t>
      </w:r>
      <w:proofErr w:type="spellStart"/>
      <w:r>
        <w:t>Armfield’s</w:t>
      </w:r>
      <w:proofErr w:type="spellEnd"/>
      <w:r>
        <w:t xml:space="preserve"> home to the transformer that serves the property.   No problems were found with the connections.  West Penn installed voltage meters on four separate occasions to obtain readings and found no problems.  Ultimately, West Penn installed a surge protector because the </w:t>
      </w:r>
      <w:proofErr w:type="spellStart"/>
      <w:r>
        <w:t>Armfield’s</w:t>
      </w:r>
      <w:proofErr w:type="spellEnd"/>
      <w:r>
        <w:t xml:space="preserve"> requested one, not because an electrical problem had been identified.  </w:t>
      </w:r>
    </w:p>
    <w:p w:rsidR="00713DF1" w:rsidRDefault="00713DF1" w:rsidP="00AC7D37">
      <w:pPr>
        <w:pStyle w:val="BodyText"/>
        <w:ind w:firstLine="720"/>
        <w:jc w:val="left"/>
        <w:rPr>
          <w:sz w:val="24"/>
          <w:szCs w:val="24"/>
        </w:rPr>
      </w:pPr>
    </w:p>
    <w:p w:rsidR="004A773B" w:rsidRDefault="000D6E9E" w:rsidP="00AC7D37">
      <w:pPr>
        <w:pStyle w:val="BodyText"/>
        <w:ind w:firstLine="720"/>
        <w:jc w:val="left"/>
        <w:rPr>
          <w:sz w:val="24"/>
          <w:szCs w:val="24"/>
        </w:rPr>
      </w:pPr>
      <w:r>
        <w:rPr>
          <w:sz w:val="24"/>
          <w:szCs w:val="24"/>
        </w:rPr>
        <w:t xml:space="preserve">            </w:t>
      </w:r>
      <w:r w:rsidR="00CE5A41">
        <w:rPr>
          <w:sz w:val="24"/>
          <w:szCs w:val="24"/>
        </w:rPr>
        <w:t xml:space="preserve">In summary, </w:t>
      </w:r>
      <w:r>
        <w:rPr>
          <w:sz w:val="24"/>
          <w:szCs w:val="24"/>
        </w:rPr>
        <w:t>M</w:t>
      </w:r>
      <w:r w:rsidR="000E3854">
        <w:rPr>
          <w:sz w:val="24"/>
          <w:szCs w:val="24"/>
        </w:rPr>
        <w:t xml:space="preserve">s. </w:t>
      </w:r>
      <w:proofErr w:type="spellStart"/>
      <w:r w:rsidR="00CE5A41">
        <w:rPr>
          <w:sz w:val="24"/>
          <w:szCs w:val="24"/>
        </w:rPr>
        <w:t>Armfield</w:t>
      </w:r>
      <w:proofErr w:type="spellEnd"/>
      <w:r w:rsidR="000E3854">
        <w:rPr>
          <w:sz w:val="24"/>
          <w:szCs w:val="24"/>
        </w:rPr>
        <w:t xml:space="preserve"> </w:t>
      </w:r>
      <w:r w:rsidR="00FF4065" w:rsidRPr="004A773B">
        <w:rPr>
          <w:sz w:val="24"/>
          <w:szCs w:val="24"/>
        </w:rPr>
        <w:t xml:space="preserve">has </w:t>
      </w:r>
      <w:r w:rsidR="00524FE5">
        <w:rPr>
          <w:sz w:val="24"/>
          <w:szCs w:val="24"/>
        </w:rPr>
        <w:t>not</w:t>
      </w:r>
      <w:r w:rsidR="00FF4065" w:rsidRPr="004A773B">
        <w:rPr>
          <w:sz w:val="24"/>
          <w:szCs w:val="24"/>
        </w:rPr>
        <w:t xml:space="preserve"> establish</w:t>
      </w:r>
      <w:r w:rsidR="00524FE5">
        <w:rPr>
          <w:sz w:val="24"/>
          <w:szCs w:val="24"/>
        </w:rPr>
        <w:t>ed</w:t>
      </w:r>
      <w:r w:rsidR="00FF4065" w:rsidRPr="004A773B">
        <w:rPr>
          <w:sz w:val="24"/>
          <w:szCs w:val="24"/>
        </w:rPr>
        <w:t xml:space="preserve"> that </w:t>
      </w:r>
      <w:r w:rsidR="00A6053D">
        <w:rPr>
          <w:sz w:val="24"/>
          <w:szCs w:val="24"/>
        </w:rPr>
        <w:t>Respondent failed to provide h</w:t>
      </w:r>
      <w:r w:rsidR="000E3854">
        <w:rPr>
          <w:sz w:val="24"/>
          <w:szCs w:val="24"/>
        </w:rPr>
        <w:t>er</w:t>
      </w:r>
      <w:r w:rsidR="00A6053D">
        <w:rPr>
          <w:sz w:val="24"/>
          <w:szCs w:val="24"/>
        </w:rPr>
        <w:t xml:space="preserve"> with adequate</w:t>
      </w:r>
      <w:r w:rsidR="000E3854">
        <w:rPr>
          <w:sz w:val="24"/>
          <w:szCs w:val="24"/>
        </w:rPr>
        <w:t xml:space="preserve">, safe, efficient </w:t>
      </w:r>
      <w:r w:rsidR="00A6053D">
        <w:rPr>
          <w:sz w:val="24"/>
          <w:szCs w:val="24"/>
        </w:rPr>
        <w:t xml:space="preserve">and reasonable utility service in violation </w:t>
      </w:r>
      <w:r w:rsidR="00A6053D" w:rsidRPr="00A6053D">
        <w:rPr>
          <w:sz w:val="24"/>
          <w:szCs w:val="24"/>
        </w:rPr>
        <w:t>of 66 Pa. C.S. §1501</w:t>
      </w:r>
      <w:r w:rsidR="00A6053D">
        <w:rPr>
          <w:sz w:val="24"/>
          <w:szCs w:val="24"/>
        </w:rPr>
        <w:t>.</w:t>
      </w:r>
      <w:r w:rsidR="004A773B">
        <w:rPr>
          <w:sz w:val="24"/>
          <w:szCs w:val="24"/>
        </w:rPr>
        <w:t xml:space="preserve">  </w:t>
      </w:r>
      <w:r w:rsidR="000E3854">
        <w:rPr>
          <w:sz w:val="24"/>
          <w:szCs w:val="24"/>
        </w:rPr>
        <w:lastRenderedPageBreak/>
        <w:t>Ms.</w:t>
      </w:r>
      <w:r w:rsidR="00A76847">
        <w:rPr>
          <w:sz w:val="24"/>
          <w:szCs w:val="24"/>
        </w:rPr>
        <w:t> </w:t>
      </w:r>
      <w:proofErr w:type="spellStart"/>
      <w:r w:rsidR="00CE5A41">
        <w:rPr>
          <w:sz w:val="24"/>
          <w:szCs w:val="24"/>
        </w:rPr>
        <w:t>Armfield</w:t>
      </w:r>
      <w:proofErr w:type="spellEnd"/>
      <w:r w:rsidR="00AC7D37">
        <w:rPr>
          <w:sz w:val="24"/>
          <w:szCs w:val="24"/>
        </w:rPr>
        <w:t xml:space="preserve"> </w:t>
      </w:r>
      <w:r w:rsidR="00CE5A41">
        <w:rPr>
          <w:sz w:val="24"/>
          <w:szCs w:val="24"/>
        </w:rPr>
        <w:t xml:space="preserve">has failed </w:t>
      </w:r>
      <w:r w:rsidR="00AC7D37">
        <w:rPr>
          <w:sz w:val="24"/>
          <w:szCs w:val="24"/>
        </w:rPr>
        <w:t xml:space="preserve">to establish </w:t>
      </w:r>
      <w:r w:rsidR="004A773B">
        <w:rPr>
          <w:sz w:val="24"/>
          <w:szCs w:val="24"/>
        </w:rPr>
        <w:t>a prima facie case.</w:t>
      </w:r>
      <w:r w:rsidR="00AC7D37">
        <w:rPr>
          <w:sz w:val="24"/>
          <w:szCs w:val="24"/>
        </w:rPr>
        <w:t xml:space="preserve">  </w:t>
      </w:r>
      <w:r w:rsidR="000E3854">
        <w:rPr>
          <w:sz w:val="24"/>
          <w:szCs w:val="24"/>
        </w:rPr>
        <w:t>Sh</w:t>
      </w:r>
      <w:r w:rsidR="00057683">
        <w:rPr>
          <w:sz w:val="24"/>
          <w:szCs w:val="24"/>
        </w:rPr>
        <w:t>e has failed to meet h</w:t>
      </w:r>
      <w:r w:rsidR="000E3854">
        <w:rPr>
          <w:sz w:val="24"/>
          <w:szCs w:val="24"/>
        </w:rPr>
        <w:t>er</w:t>
      </w:r>
      <w:r w:rsidR="00057683">
        <w:rPr>
          <w:sz w:val="24"/>
          <w:szCs w:val="24"/>
        </w:rPr>
        <w:t xml:space="preserve"> burden of proof.  </w:t>
      </w:r>
      <w:r w:rsidR="00AC7D37">
        <w:rPr>
          <w:sz w:val="24"/>
          <w:szCs w:val="24"/>
        </w:rPr>
        <w:t>Accordingly,</w:t>
      </w:r>
      <w:r w:rsidR="00F00F80">
        <w:rPr>
          <w:sz w:val="24"/>
          <w:szCs w:val="24"/>
        </w:rPr>
        <w:t xml:space="preserve"> </w:t>
      </w:r>
      <w:r w:rsidR="000E3854">
        <w:rPr>
          <w:sz w:val="24"/>
          <w:szCs w:val="24"/>
        </w:rPr>
        <w:t>the C</w:t>
      </w:r>
      <w:r w:rsidR="00057683">
        <w:rPr>
          <w:sz w:val="24"/>
          <w:szCs w:val="24"/>
        </w:rPr>
        <w:t>omplaint is dismissed.</w:t>
      </w:r>
      <w:r w:rsidR="00FF4065">
        <w:rPr>
          <w:sz w:val="24"/>
          <w:szCs w:val="24"/>
        </w:rPr>
        <w:t xml:space="preserve">  </w:t>
      </w:r>
    </w:p>
    <w:p w:rsidR="008A11F4" w:rsidRDefault="008A11F4" w:rsidP="00AC7D37">
      <w:pPr>
        <w:pStyle w:val="BodyText"/>
        <w:ind w:firstLine="720"/>
        <w:jc w:val="left"/>
        <w:rPr>
          <w:sz w:val="24"/>
          <w:szCs w:val="24"/>
        </w:rPr>
      </w:pPr>
    </w:p>
    <w:p w:rsidR="008E4FD6" w:rsidRDefault="008E4FD6" w:rsidP="008E4FD6">
      <w:pPr>
        <w:spacing w:line="360" w:lineRule="auto"/>
        <w:jc w:val="center"/>
        <w:rPr>
          <w:u w:val="single"/>
        </w:rPr>
      </w:pPr>
      <w:r>
        <w:rPr>
          <w:u w:val="single"/>
        </w:rPr>
        <w:t>CONCLUSIONS OF LAW</w:t>
      </w:r>
    </w:p>
    <w:p w:rsidR="008E4FD6" w:rsidRDefault="008E4FD6" w:rsidP="008E4FD6">
      <w:pPr>
        <w:spacing w:line="360" w:lineRule="auto"/>
        <w:ind w:firstLine="1440"/>
      </w:pPr>
    </w:p>
    <w:p w:rsidR="008E4FD6" w:rsidRDefault="008E4FD6" w:rsidP="008E4FD6">
      <w:pPr>
        <w:numPr>
          <w:ilvl w:val="0"/>
          <w:numId w:val="1"/>
        </w:numPr>
        <w:tabs>
          <w:tab w:val="clear" w:pos="900"/>
          <w:tab w:val="num" w:pos="2160"/>
        </w:tabs>
        <w:spacing w:line="360" w:lineRule="auto"/>
        <w:ind w:left="0" w:firstLine="1440"/>
      </w:pPr>
      <w:r w:rsidRPr="00006FBE">
        <w:t xml:space="preserve">The Commission has jurisdiction over the parties and the subject matter of this proceeding.  66 </w:t>
      </w:r>
      <w:smartTag w:uri="urn:schemas-microsoft-com:office:smarttags" w:element="place">
        <w:smartTag w:uri="urn:schemas-microsoft-com:office:smarttags" w:element="State">
          <w:r w:rsidRPr="00006FBE">
            <w:t>Pa.</w:t>
          </w:r>
        </w:smartTag>
      </w:smartTag>
      <w:r w:rsidRPr="00006FBE">
        <w:t xml:space="preserve"> C.S. §701.</w:t>
      </w:r>
    </w:p>
    <w:p w:rsidR="008E4FD6" w:rsidRPr="00006FBE" w:rsidRDefault="008E4FD6" w:rsidP="008E4FD6">
      <w:pPr>
        <w:tabs>
          <w:tab w:val="num" w:pos="2160"/>
        </w:tabs>
        <w:spacing w:line="360" w:lineRule="auto"/>
        <w:ind w:firstLine="1260"/>
      </w:pPr>
    </w:p>
    <w:p w:rsidR="008E4FD6" w:rsidRDefault="003E2BB0" w:rsidP="004455CB">
      <w:pPr>
        <w:spacing w:line="360" w:lineRule="auto"/>
        <w:ind w:firstLine="720"/>
      </w:pPr>
      <w:r>
        <w:rPr>
          <w:spacing w:val="-3"/>
        </w:rPr>
        <w:t xml:space="preserve">             2.</w:t>
      </w:r>
      <w:r>
        <w:rPr>
          <w:spacing w:val="-3"/>
        </w:rPr>
        <w:tab/>
      </w:r>
      <w:r w:rsidR="00EA1EDF">
        <w:t xml:space="preserve">Complainant </w:t>
      </w:r>
      <w:r w:rsidR="004455CB">
        <w:t>failed to meet h</w:t>
      </w:r>
      <w:r w:rsidR="000E3854">
        <w:t>er</w:t>
      </w:r>
      <w:r w:rsidR="004455CB">
        <w:t xml:space="preserve"> </w:t>
      </w:r>
      <w:r w:rsidR="00EA1EDF">
        <w:t xml:space="preserve">burden of proving that Respondent violated the Public Utility Code, a Commission regulation or a Commission order.  66 Pa. C.S. </w:t>
      </w:r>
      <w:r w:rsidR="0059631D">
        <w:t>§</w:t>
      </w:r>
      <w:r w:rsidR="00EA1EDF">
        <w:t>332(a).</w:t>
      </w:r>
      <w:r w:rsidR="00943CC8">
        <w:tab/>
      </w:r>
    </w:p>
    <w:p w:rsidR="00A6053D" w:rsidRDefault="00A6053D" w:rsidP="004455CB">
      <w:pPr>
        <w:spacing w:line="360" w:lineRule="auto"/>
        <w:ind w:firstLine="720"/>
        <w:rPr>
          <w:spacing w:val="-3"/>
        </w:rPr>
      </w:pPr>
      <w:r>
        <w:rPr>
          <w:spacing w:val="-3"/>
        </w:rPr>
        <w:tab/>
      </w:r>
    </w:p>
    <w:p w:rsidR="008E4FD6" w:rsidRDefault="008E4FD6" w:rsidP="002904BB">
      <w:pPr>
        <w:tabs>
          <w:tab w:val="num" w:pos="2160"/>
        </w:tabs>
        <w:spacing w:line="360" w:lineRule="auto"/>
        <w:jc w:val="center"/>
        <w:rPr>
          <w:u w:val="single"/>
        </w:rPr>
      </w:pPr>
      <w:r>
        <w:rPr>
          <w:u w:val="single"/>
        </w:rPr>
        <w:t>ORDER</w:t>
      </w:r>
    </w:p>
    <w:p w:rsidR="008E4FD6" w:rsidRDefault="008E4FD6" w:rsidP="008E4FD6">
      <w:pPr>
        <w:tabs>
          <w:tab w:val="num" w:pos="2160"/>
        </w:tabs>
        <w:spacing w:line="360" w:lineRule="auto"/>
        <w:jc w:val="center"/>
        <w:rPr>
          <w:u w:val="single"/>
        </w:rPr>
      </w:pPr>
    </w:p>
    <w:p w:rsidR="008E4FD6" w:rsidRDefault="008E4FD6" w:rsidP="008E4FD6">
      <w:pPr>
        <w:tabs>
          <w:tab w:val="num" w:pos="2160"/>
        </w:tabs>
        <w:spacing w:line="360" w:lineRule="auto"/>
        <w:jc w:val="center"/>
        <w:rPr>
          <w:u w:val="single"/>
        </w:rPr>
      </w:pPr>
    </w:p>
    <w:p w:rsidR="008E4FD6" w:rsidRPr="00493E49" w:rsidRDefault="008E4FD6" w:rsidP="008E4FD6">
      <w:pPr>
        <w:tabs>
          <w:tab w:val="num" w:pos="2160"/>
        </w:tabs>
        <w:spacing w:line="360" w:lineRule="auto"/>
        <w:ind w:firstLine="1440"/>
      </w:pPr>
      <w:r w:rsidRPr="00493E49">
        <w:t xml:space="preserve">THEREFORE, </w:t>
      </w:r>
    </w:p>
    <w:p w:rsidR="008E4FD6" w:rsidRPr="00493E49" w:rsidRDefault="008E4FD6" w:rsidP="008E4FD6">
      <w:pPr>
        <w:tabs>
          <w:tab w:val="num" w:pos="2160"/>
        </w:tabs>
        <w:spacing w:line="360" w:lineRule="auto"/>
      </w:pPr>
    </w:p>
    <w:p w:rsidR="008E4FD6" w:rsidRPr="00493E49" w:rsidRDefault="008E4FD6" w:rsidP="008E4FD6">
      <w:pPr>
        <w:tabs>
          <w:tab w:val="num" w:pos="2160"/>
        </w:tabs>
        <w:spacing w:line="360" w:lineRule="auto"/>
        <w:ind w:firstLine="1440"/>
      </w:pPr>
      <w:r w:rsidRPr="00493E49">
        <w:t>IT IS ORDERED:</w:t>
      </w:r>
    </w:p>
    <w:p w:rsidR="008E4FD6" w:rsidRDefault="008E4FD6" w:rsidP="008E4FD6">
      <w:pPr>
        <w:tabs>
          <w:tab w:val="num" w:pos="2160"/>
        </w:tabs>
        <w:spacing w:line="360" w:lineRule="auto"/>
        <w:rPr>
          <w:b/>
        </w:rPr>
      </w:pPr>
    </w:p>
    <w:p w:rsidR="00C5176A" w:rsidRDefault="004E257D" w:rsidP="008E4FD6">
      <w:pPr>
        <w:tabs>
          <w:tab w:val="num" w:pos="2160"/>
        </w:tabs>
        <w:spacing w:line="360" w:lineRule="auto"/>
        <w:ind w:firstLine="1440"/>
      </w:pPr>
      <w:r>
        <w:t>1.</w:t>
      </w:r>
      <w:r w:rsidR="004455CB">
        <w:tab/>
        <w:t>That the complaint of</w:t>
      </w:r>
      <w:r w:rsidR="00524FE5">
        <w:t xml:space="preserve"> </w:t>
      </w:r>
      <w:r w:rsidR="00FF316F">
        <w:t xml:space="preserve">Patricia M. </w:t>
      </w:r>
      <w:proofErr w:type="spellStart"/>
      <w:r w:rsidR="00FF316F">
        <w:t>Armfield</w:t>
      </w:r>
      <w:proofErr w:type="spellEnd"/>
      <w:r w:rsidR="00FF316F">
        <w:t xml:space="preserve"> v. West Penn Power Company a</w:t>
      </w:r>
      <w:r>
        <w:t>t Docket No. C-2012-</w:t>
      </w:r>
      <w:r w:rsidR="00FF316F">
        <w:t>2294559</w:t>
      </w:r>
      <w:r>
        <w:t xml:space="preserve"> is</w:t>
      </w:r>
      <w:r w:rsidR="004455CB">
        <w:t xml:space="preserve"> dismissed for failure to meet the burden of proof.</w:t>
      </w:r>
      <w:r w:rsidR="00766B36">
        <w:tab/>
      </w:r>
    </w:p>
    <w:p w:rsidR="00C5176A" w:rsidRDefault="00C5176A" w:rsidP="008E4FD6">
      <w:pPr>
        <w:tabs>
          <w:tab w:val="num" w:pos="2160"/>
        </w:tabs>
        <w:spacing w:line="360" w:lineRule="auto"/>
        <w:ind w:firstLine="1440"/>
      </w:pPr>
    </w:p>
    <w:p w:rsidR="004E257D" w:rsidRDefault="007A72C0" w:rsidP="008E4FD6">
      <w:pPr>
        <w:tabs>
          <w:tab w:val="num" w:pos="2160"/>
        </w:tabs>
        <w:spacing w:line="360" w:lineRule="auto"/>
        <w:ind w:firstLine="1440"/>
      </w:pPr>
      <w:r>
        <w:t>2.</w:t>
      </w:r>
      <w:r>
        <w:tab/>
        <w:t>That the D</w:t>
      </w:r>
      <w:r w:rsidR="004E257D">
        <w:t>ocket for this proceeding, Docket No. C-2012-</w:t>
      </w:r>
      <w:r w:rsidR="00FF316F">
        <w:t>2294559</w:t>
      </w:r>
      <w:r w:rsidR="004E257D">
        <w:t>, be marked closed.</w:t>
      </w:r>
    </w:p>
    <w:p w:rsidR="004E257D" w:rsidRDefault="004E257D" w:rsidP="008E4FD6">
      <w:pPr>
        <w:tabs>
          <w:tab w:val="num" w:pos="2160"/>
        </w:tabs>
        <w:spacing w:line="360" w:lineRule="auto"/>
        <w:ind w:firstLine="1440"/>
      </w:pPr>
      <w:r>
        <w:t xml:space="preserve"> </w:t>
      </w:r>
    </w:p>
    <w:p w:rsidR="00C5176A" w:rsidRDefault="00C5176A" w:rsidP="008E4FD6">
      <w:pPr>
        <w:tabs>
          <w:tab w:val="num" w:pos="2160"/>
        </w:tabs>
        <w:spacing w:line="360" w:lineRule="auto"/>
        <w:ind w:firstLine="1440"/>
      </w:pPr>
    </w:p>
    <w:p w:rsidR="008E4FD6" w:rsidRDefault="008E4FD6" w:rsidP="008E4FD6">
      <w:pPr>
        <w:tabs>
          <w:tab w:val="num" w:pos="2160"/>
        </w:tabs>
        <w:spacing w:line="360" w:lineRule="auto"/>
        <w:ind w:firstLine="1440"/>
      </w:pPr>
    </w:p>
    <w:p w:rsidR="0038027C" w:rsidRPr="003C6AF4" w:rsidRDefault="008E4FD6" w:rsidP="0038027C">
      <w:r>
        <w:t>Date:</w:t>
      </w:r>
      <w:r w:rsidR="00C5176A">
        <w:t xml:space="preserve"> </w:t>
      </w:r>
      <w:r w:rsidR="00524FE5">
        <w:t xml:space="preserve"> </w:t>
      </w:r>
      <w:r w:rsidR="00CE5A41">
        <w:rPr>
          <w:u w:val="single"/>
        </w:rPr>
        <w:t>May 7</w:t>
      </w:r>
      <w:r w:rsidR="006B0C90">
        <w:rPr>
          <w:u w:val="single"/>
        </w:rPr>
        <w:t>, 2013</w:t>
      </w:r>
      <w:r w:rsidR="004E257D">
        <w:tab/>
      </w:r>
      <w:r>
        <w:tab/>
      </w:r>
      <w:r w:rsidR="0038027C">
        <w:tab/>
      </w:r>
      <w:r w:rsidR="0038027C">
        <w:tab/>
      </w:r>
      <w:r w:rsidR="0038027C">
        <w:tab/>
      </w:r>
      <w:r w:rsidR="0038027C">
        <w:tab/>
      </w:r>
      <w:r w:rsidR="0038027C" w:rsidRPr="009C6D70">
        <w:rPr>
          <w:u w:val="single"/>
        </w:rPr>
        <w:tab/>
      </w:r>
      <w:r w:rsidR="0038027C" w:rsidRPr="009C6D70">
        <w:rPr>
          <w:u w:val="single"/>
        </w:rPr>
        <w:tab/>
      </w:r>
      <w:r w:rsidR="0038027C" w:rsidRPr="003C6AF4">
        <w:rPr>
          <w:u w:val="single"/>
        </w:rPr>
        <w:t>/s/</w:t>
      </w:r>
      <w:r w:rsidR="0038027C" w:rsidRPr="003C6AF4">
        <w:rPr>
          <w:u w:val="single"/>
        </w:rPr>
        <w:tab/>
      </w:r>
      <w:r w:rsidR="0038027C" w:rsidRPr="003C6AF4">
        <w:rPr>
          <w:u w:val="single"/>
        </w:rPr>
        <w:tab/>
      </w:r>
      <w:r w:rsidR="0038027C" w:rsidRPr="003C6AF4">
        <w:rPr>
          <w:u w:val="single"/>
        </w:rPr>
        <w:tab/>
      </w:r>
    </w:p>
    <w:p w:rsidR="0038027C" w:rsidRPr="009C6D70" w:rsidRDefault="0038027C" w:rsidP="0038027C">
      <w:r w:rsidRPr="009C6D70">
        <w:tab/>
      </w:r>
      <w:r w:rsidRPr="009C6D70">
        <w:tab/>
      </w:r>
      <w:r w:rsidRPr="009C6D70">
        <w:tab/>
      </w:r>
      <w:r w:rsidRPr="009C6D70">
        <w:tab/>
      </w:r>
      <w:r w:rsidRPr="009C6D70">
        <w:tab/>
      </w:r>
      <w:r>
        <w:tab/>
      </w:r>
      <w:r>
        <w:tab/>
      </w:r>
      <w:r w:rsidRPr="009C6D70">
        <w:tab/>
      </w:r>
      <w:r>
        <w:t>Mark A. Hoyer</w:t>
      </w:r>
    </w:p>
    <w:p w:rsidR="008E4FD6" w:rsidRPr="00226DBD" w:rsidRDefault="0038027C" w:rsidP="0038027C">
      <w:pPr>
        <w:tabs>
          <w:tab w:val="num" w:pos="2160"/>
          <w:tab w:val="left" w:pos="5048"/>
        </w:tabs>
      </w:pPr>
      <w:r w:rsidRPr="009C6D70">
        <w:tab/>
      </w:r>
      <w:r w:rsidRPr="009C6D70">
        <w:tab/>
      </w:r>
      <w:r w:rsidRPr="009C6D70">
        <w:tab/>
        <w:t>Administrative Law Judge</w:t>
      </w:r>
    </w:p>
    <w:p w:rsidR="00CA57BA" w:rsidRDefault="00CA57BA"/>
    <w:sectPr w:rsidR="00CA57BA" w:rsidSect="006220FF">
      <w:footerReference w:type="even" r:id="rId9"/>
      <w:footerReference w:type="default" r:id="rId10"/>
      <w:pgSz w:w="12240" w:h="15840" w:code="1"/>
      <w:pgMar w:top="1440" w:right="1440" w:bottom="1440" w:left="1440" w:header="720" w:footer="720" w:gutter="0"/>
      <w:paperSrc w:first="5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E76" w:rsidRDefault="00A80E76">
      <w:r>
        <w:separator/>
      </w:r>
    </w:p>
  </w:endnote>
  <w:endnote w:type="continuationSeparator" w:id="0">
    <w:p w:rsidR="00A80E76" w:rsidRDefault="00A8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02" w:rsidRDefault="00E82D02" w:rsidP="008E4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2D02" w:rsidRDefault="00E82D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02" w:rsidRPr="0014242F" w:rsidRDefault="00E82D02" w:rsidP="008E4FD6">
    <w:pPr>
      <w:pStyle w:val="Footer"/>
      <w:framePr w:wrap="around" w:vAnchor="text" w:hAnchor="margin" w:xAlign="center" w:y="1"/>
      <w:rPr>
        <w:rStyle w:val="PageNumber"/>
        <w:sz w:val="20"/>
        <w:szCs w:val="20"/>
      </w:rPr>
    </w:pPr>
    <w:r w:rsidRPr="0014242F">
      <w:rPr>
        <w:rStyle w:val="PageNumber"/>
        <w:sz w:val="20"/>
        <w:szCs w:val="20"/>
      </w:rPr>
      <w:fldChar w:fldCharType="begin"/>
    </w:r>
    <w:r w:rsidRPr="0014242F">
      <w:rPr>
        <w:rStyle w:val="PageNumber"/>
        <w:sz w:val="20"/>
        <w:szCs w:val="20"/>
      </w:rPr>
      <w:instrText xml:space="preserve">PAGE  </w:instrText>
    </w:r>
    <w:r w:rsidRPr="0014242F">
      <w:rPr>
        <w:rStyle w:val="PageNumber"/>
        <w:sz w:val="20"/>
        <w:szCs w:val="20"/>
      </w:rPr>
      <w:fldChar w:fldCharType="separate"/>
    </w:r>
    <w:r w:rsidR="00995D5D">
      <w:rPr>
        <w:rStyle w:val="PageNumber"/>
        <w:noProof/>
        <w:sz w:val="20"/>
        <w:szCs w:val="20"/>
      </w:rPr>
      <w:t>4</w:t>
    </w:r>
    <w:r w:rsidRPr="0014242F">
      <w:rPr>
        <w:rStyle w:val="PageNumber"/>
        <w:sz w:val="20"/>
        <w:szCs w:val="20"/>
      </w:rPr>
      <w:fldChar w:fldCharType="end"/>
    </w:r>
  </w:p>
  <w:p w:rsidR="00E82D02" w:rsidRDefault="00E82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E76" w:rsidRDefault="00A80E76">
      <w:r>
        <w:separator/>
      </w:r>
    </w:p>
  </w:footnote>
  <w:footnote w:type="continuationSeparator" w:id="0">
    <w:p w:rsidR="00A80E76" w:rsidRDefault="00A80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020"/>
    <w:multiLevelType w:val="hybridMultilevel"/>
    <w:tmpl w:val="748CBB74"/>
    <w:lvl w:ilvl="0" w:tplc="2362F0C6">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3">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15E77"/>
    <w:rsid w:val="00015EF4"/>
    <w:rsid w:val="000218E1"/>
    <w:rsid w:val="00030307"/>
    <w:rsid w:val="00032447"/>
    <w:rsid w:val="0003252E"/>
    <w:rsid w:val="0003254A"/>
    <w:rsid w:val="0003345F"/>
    <w:rsid w:val="00034D3C"/>
    <w:rsid w:val="00036426"/>
    <w:rsid w:val="0003750C"/>
    <w:rsid w:val="00041D50"/>
    <w:rsid w:val="00042684"/>
    <w:rsid w:val="00043514"/>
    <w:rsid w:val="00045036"/>
    <w:rsid w:val="00051FFD"/>
    <w:rsid w:val="000539E5"/>
    <w:rsid w:val="00054870"/>
    <w:rsid w:val="00057683"/>
    <w:rsid w:val="00065B67"/>
    <w:rsid w:val="00066099"/>
    <w:rsid w:val="00072603"/>
    <w:rsid w:val="00081933"/>
    <w:rsid w:val="00081C00"/>
    <w:rsid w:val="00083451"/>
    <w:rsid w:val="0008541A"/>
    <w:rsid w:val="00085F90"/>
    <w:rsid w:val="00086C1B"/>
    <w:rsid w:val="00087DE3"/>
    <w:rsid w:val="000919E3"/>
    <w:rsid w:val="00094D7B"/>
    <w:rsid w:val="00094EC4"/>
    <w:rsid w:val="00095A48"/>
    <w:rsid w:val="00097B74"/>
    <w:rsid w:val="000A7A7E"/>
    <w:rsid w:val="000A7BB9"/>
    <w:rsid w:val="000B0443"/>
    <w:rsid w:val="000B2D3D"/>
    <w:rsid w:val="000B4044"/>
    <w:rsid w:val="000B4143"/>
    <w:rsid w:val="000C639E"/>
    <w:rsid w:val="000C6633"/>
    <w:rsid w:val="000D4E83"/>
    <w:rsid w:val="000D6D4E"/>
    <w:rsid w:val="000D6E9E"/>
    <w:rsid w:val="000D7D68"/>
    <w:rsid w:val="000E0DDA"/>
    <w:rsid w:val="000E315E"/>
    <w:rsid w:val="000E33AA"/>
    <w:rsid w:val="000E3854"/>
    <w:rsid w:val="000E4C15"/>
    <w:rsid w:val="000E5407"/>
    <w:rsid w:val="000E5EEB"/>
    <w:rsid w:val="000F0D5D"/>
    <w:rsid w:val="000F0F3C"/>
    <w:rsid w:val="000F45A3"/>
    <w:rsid w:val="000F4D6B"/>
    <w:rsid w:val="0010040A"/>
    <w:rsid w:val="00103B9D"/>
    <w:rsid w:val="0010437D"/>
    <w:rsid w:val="001060F0"/>
    <w:rsid w:val="00106746"/>
    <w:rsid w:val="00107C35"/>
    <w:rsid w:val="001130C8"/>
    <w:rsid w:val="0011788E"/>
    <w:rsid w:val="00121AE5"/>
    <w:rsid w:val="0012478B"/>
    <w:rsid w:val="00125CCD"/>
    <w:rsid w:val="00130E27"/>
    <w:rsid w:val="001339E0"/>
    <w:rsid w:val="00133A47"/>
    <w:rsid w:val="00143FA7"/>
    <w:rsid w:val="00144748"/>
    <w:rsid w:val="0014488F"/>
    <w:rsid w:val="001513EC"/>
    <w:rsid w:val="00152853"/>
    <w:rsid w:val="00153E19"/>
    <w:rsid w:val="0015443F"/>
    <w:rsid w:val="00155E42"/>
    <w:rsid w:val="00156938"/>
    <w:rsid w:val="00166F22"/>
    <w:rsid w:val="001743DC"/>
    <w:rsid w:val="00182EDA"/>
    <w:rsid w:val="0018379D"/>
    <w:rsid w:val="00195561"/>
    <w:rsid w:val="001A0FF1"/>
    <w:rsid w:val="001A498B"/>
    <w:rsid w:val="001B436F"/>
    <w:rsid w:val="001B68BD"/>
    <w:rsid w:val="001C4921"/>
    <w:rsid w:val="001C5F76"/>
    <w:rsid w:val="001C6ED4"/>
    <w:rsid w:val="001C7DD1"/>
    <w:rsid w:val="001D1DC6"/>
    <w:rsid w:val="001D50ED"/>
    <w:rsid w:val="001D67F3"/>
    <w:rsid w:val="001D69B2"/>
    <w:rsid w:val="001D6F49"/>
    <w:rsid w:val="001D7070"/>
    <w:rsid w:val="001D79FF"/>
    <w:rsid w:val="001E2C24"/>
    <w:rsid w:val="001E571A"/>
    <w:rsid w:val="001F09A5"/>
    <w:rsid w:val="001F228F"/>
    <w:rsid w:val="001F3148"/>
    <w:rsid w:val="001F3579"/>
    <w:rsid w:val="001F503A"/>
    <w:rsid w:val="00200ED0"/>
    <w:rsid w:val="00206B04"/>
    <w:rsid w:val="002075E6"/>
    <w:rsid w:val="00210334"/>
    <w:rsid w:val="00214A19"/>
    <w:rsid w:val="002154B5"/>
    <w:rsid w:val="00216A05"/>
    <w:rsid w:val="002266FB"/>
    <w:rsid w:val="00236076"/>
    <w:rsid w:val="00241569"/>
    <w:rsid w:val="002519D7"/>
    <w:rsid w:val="002520A5"/>
    <w:rsid w:val="00254BFC"/>
    <w:rsid w:val="00254FD1"/>
    <w:rsid w:val="0026186C"/>
    <w:rsid w:val="00261CD2"/>
    <w:rsid w:val="00263EFE"/>
    <w:rsid w:val="00265108"/>
    <w:rsid w:val="0026526F"/>
    <w:rsid w:val="00270B56"/>
    <w:rsid w:val="00271FF1"/>
    <w:rsid w:val="00276A4C"/>
    <w:rsid w:val="00277294"/>
    <w:rsid w:val="00280380"/>
    <w:rsid w:val="00283A3F"/>
    <w:rsid w:val="002904BB"/>
    <w:rsid w:val="002A31A8"/>
    <w:rsid w:val="002A78AC"/>
    <w:rsid w:val="002B433A"/>
    <w:rsid w:val="002B4DFA"/>
    <w:rsid w:val="002C1A99"/>
    <w:rsid w:val="002C5361"/>
    <w:rsid w:val="002C703F"/>
    <w:rsid w:val="002D29E7"/>
    <w:rsid w:val="002E5A74"/>
    <w:rsid w:val="002E6B15"/>
    <w:rsid w:val="002F4F6F"/>
    <w:rsid w:val="002F5404"/>
    <w:rsid w:val="002F6CA8"/>
    <w:rsid w:val="002F6DFB"/>
    <w:rsid w:val="00302C62"/>
    <w:rsid w:val="00302D41"/>
    <w:rsid w:val="00306C99"/>
    <w:rsid w:val="00330B01"/>
    <w:rsid w:val="0033183D"/>
    <w:rsid w:val="003322FB"/>
    <w:rsid w:val="003351EF"/>
    <w:rsid w:val="00341459"/>
    <w:rsid w:val="0034231B"/>
    <w:rsid w:val="00342B49"/>
    <w:rsid w:val="00342C82"/>
    <w:rsid w:val="0034692A"/>
    <w:rsid w:val="00360EB9"/>
    <w:rsid w:val="003649AC"/>
    <w:rsid w:val="0037694C"/>
    <w:rsid w:val="0038027C"/>
    <w:rsid w:val="0038047C"/>
    <w:rsid w:val="00380F4B"/>
    <w:rsid w:val="00386C1C"/>
    <w:rsid w:val="00387E50"/>
    <w:rsid w:val="00394EB6"/>
    <w:rsid w:val="003A0952"/>
    <w:rsid w:val="003A234C"/>
    <w:rsid w:val="003A678C"/>
    <w:rsid w:val="003B501C"/>
    <w:rsid w:val="003B7783"/>
    <w:rsid w:val="003C1827"/>
    <w:rsid w:val="003C417D"/>
    <w:rsid w:val="003C5A0B"/>
    <w:rsid w:val="003C6031"/>
    <w:rsid w:val="003C7776"/>
    <w:rsid w:val="003D374F"/>
    <w:rsid w:val="003D500A"/>
    <w:rsid w:val="003D5173"/>
    <w:rsid w:val="003E10F5"/>
    <w:rsid w:val="003E22D4"/>
    <w:rsid w:val="003E2BB0"/>
    <w:rsid w:val="003E2D32"/>
    <w:rsid w:val="003E4B85"/>
    <w:rsid w:val="003E5569"/>
    <w:rsid w:val="003E60E7"/>
    <w:rsid w:val="003F1BC1"/>
    <w:rsid w:val="003F255F"/>
    <w:rsid w:val="003F56DB"/>
    <w:rsid w:val="003F6E27"/>
    <w:rsid w:val="003F7C92"/>
    <w:rsid w:val="0040125C"/>
    <w:rsid w:val="0040231D"/>
    <w:rsid w:val="00403172"/>
    <w:rsid w:val="00405D4E"/>
    <w:rsid w:val="00414C2F"/>
    <w:rsid w:val="00421585"/>
    <w:rsid w:val="004219BD"/>
    <w:rsid w:val="00424E72"/>
    <w:rsid w:val="00424FD2"/>
    <w:rsid w:val="004322BD"/>
    <w:rsid w:val="0043294B"/>
    <w:rsid w:val="00440B6B"/>
    <w:rsid w:val="004455C4"/>
    <w:rsid w:val="004455CB"/>
    <w:rsid w:val="00446750"/>
    <w:rsid w:val="00462770"/>
    <w:rsid w:val="004635FD"/>
    <w:rsid w:val="00465878"/>
    <w:rsid w:val="00470AFC"/>
    <w:rsid w:val="00474C53"/>
    <w:rsid w:val="00487AE0"/>
    <w:rsid w:val="00493FC9"/>
    <w:rsid w:val="004970DA"/>
    <w:rsid w:val="004A6673"/>
    <w:rsid w:val="004A773B"/>
    <w:rsid w:val="004B34C6"/>
    <w:rsid w:val="004B4137"/>
    <w:rsid w:val="004B422F"/>
    <w:rsid w:val="004B4B53"/>
    <w:rsid w:val="004C5FA9"/>
    <w:rsid w:val="004C6202"/>
    <w:rsid w:val="004D3A14"/>
    <w:rsid w:val="004D454A"/>
    <w:rsid w:val="004E01BD"/>
    <w:rsid w:val="004E257D"/>
    <w:rsid w:val="004E3B20"/>
    <w:rsid w:val="004E4252"/>
    <w:rsid w:val="004E5267"/>
    <w:rsid w:val="004E605F"/>
    <w:rsid w:val="004F0E2A"/>
    <w:rsid w:val="004F19AC"/>
    <w:rsid w:val="00504A1A"/>
    <w:rsid w:val="00507ECF"/>
    <w:rsid w:val="005110C2"/>
    <w:rsid w:val="00512B03"/>
    <w:rsid w:val="00516C06"/>
    <w:rsid w:val="00517217"/>
    <w:rsid w:val="00522985"/>
    <w:rsid w:val="00524D98"/>
    <w:rsid w:val="00524FE5"/>
    <w:rsid w:val="0053466D"/>
    <w:rsid w:val="0053772F"/>
    <w:rsid w:val="00540E3A"/>
    <w:rsid w:val="00543B7C"/>
    <w:rsid w:val="00543F98"/>
    <w:rsid w:val="005447FE"/>
    <w:rsid w:val="00544F7E"/>
    <w:rsid w:val="00545043"/>
    <w:rsid w:val="00552C73"/>
    <w:rsid w:val="00557326"/>
    <w:rsid w:val="00563142"/>
    <w:rsid w:val="005637DF"/>
    <w:rsid w:val="005763CB"/>
    <w:rsid w:val="00580981"/>
    <w:rsid w:val="0058201B"/>
    <w:rsid w:val="0059029B"/>
    <w:rsid w:val="0059631D"/>
    <w:rsid w:val="005A3E08"/>
    <w:rsid w:val="005A77D0"/>
    <w:rsid w:val="005B4B6B"/>
    <w:rsid w:val="005B4FB2"/>
    <w:rsid w:val="005C2CFA"/>
    <w:rsid w:val="005E1CC5"/>
    <w:rsid w:val="005E636D"/>
    <w:rsid w:val="005F1423"/>
    <w:rsid w:val="005F23BA"/>
    <w:rsid w:val="005F3879"/>
    <w:rsid w:val="0060063D"/>
    <w:rsid w:val="00600EE9"/>
    <w:rsid w:val="0060359F"/>
    <w:rsid w:val="00616E73"/>
    <w:rsid w:val="00616FE9"/>
    <w:rsid w:val="006220FF"/>
    <w:rsid w:val="00633497"/>
    <w:rsid w:val="00633976"/>
    <w:rsid w:val="00633E89"/>
    <w:rsid w:val="00635458"/>
    <w:rsid w:val="00641052"/>
    <w:rsid w:val="00645FE8"/>
    <w:rsid w:val="00651AB0"/>
    <w:rsid w:val="00653FD8"/>
    <w:rsid w:val="006552C8"/>
    <w:rsid w:val="006663CA"/>
    <w:rsid w:val="00666451"/>
    <w:rsid w:val="00666FBC"/>
    <w:rsid w:val="00676F21"/>
    <w:rsid w:val="006771E3"/>
    <w:rsid w:val="006772A2"/>
    <w:rsid w:val="00682B76"/>
    <w:rsid w:val="00683DB5"/>
    <w:rsid w:val="00685461"/>
    <w:rsid w:val="006869B5"/>
    <w:rsid w:val="0069160C"/>
    <w:rsid w:val="00691FDA"/>
    <w:rsid w:val="006954BC"/>
    <w:rsid w:val="00696D2C"/>
    <w:rsid w:val="0069705B"/>
    <w:rsid w:val="006A52DE"/>
    <w:rsid w:val="006B0612"/>
    <w:rsid w:val="006B0C90"/>
    <w:rsid w:val="006B50E8"/>
    <w:rsid w:val="006B629F"/>
    <w:rsid w:val="006B7DE7"/>
    <w:rsid w:val="006C13BF"/>
    <w:rsid w:val="006C1EAD"/>
    <w:rsid w:val="006C5110"/>
    <w:rsid w:val="006C6487"/>
    <w:rsid w:val="006C7D49"/>
    <w:rsid w:val="006D00CE"/>
    <w:rsid w:val="006D2CFC"/>
    <w:rsid w:val="006D2E25"/>
    <w:rsid w:val="006D2F3E"/>
    <w:rsid w:val="006D362B"/>
    <w:rsid w:val="006D38B1"/>
    <w:rsid w:val="006D68C8"/>
    <w:rsid w:val="006D750A"/>
    <w:rsid w:val="006D75E4"/>
    <w:rsid w:val="006E0E78"/>
    <w:rsid w:val="006E12A1"/>
    <w:rsid w:val="006E175B"/>
    <w:rsid w:val="006E59A8"/>
    <w:rsid w:val="006E7EC6"/>
    <w:rsid w:val="006F6520"/>
    <w:rsid w:val="006F6D34"/>
    <w:rsid w:val="006F7393"/>
    <w:rsid w:val="00700704"/>
    <w:rsid w:val="00700E85"/>
    <w:rsid w:val="00702289"/>
    <w:rsid w:val="00706297"/>
    <w:rsid w:val="00710B17"/>
    <w:rsid w:val="00710CE3"/>
    <w:rsid w:val="007121EF"/>
    <w:rsid w:val="0071285F"/>
    <w:rsid w:val="00713DF1"/>
    <w:rsid w:val="0071586C"/>
    <w:rsid w:val="007171A8"/>
    <w:rsid w:val="007172D2"/>
    <w:rsid w:val="00717909"/>
    <w:rsid w:val="007208E3"/>
    <w:rsid w:val="00720CC4"/>
    <w:rsid w:val="00723EC8"/>
    <w:rsid w:val="007272A7"/>
    <w:rsid w:val="007308D6"/>
    <w:rsid w:val="00732CDD"/>
    <w:rsid w:val="00733B2D"/>
    <w:rsid w:val="0073459F"/>
    <w:rsid w:val="007345A3"/>
    <w:rsid w:val="0073491A"/>
    <w:rsid w:val="0073573C"/>
    <w:rsid w:val="00736DBA"/>
    <w:rsid w:val="00746FAA"/>
    <w:rsid w:val="00753A3F"/>
    <w:rsid w:val="00754DB1"/>
    <w:rsid w:val="00754E51"/>
    <w:rsid w:val="00754FD3"/>
    <w:rsid w:val="00757A01"/>
    <w:rsid w:val="00766B36"/>
    <w:rsid w:val="00772CFC"/>
    <w:rsid w:val="00776CD8"/>
    <w:rsid w:val="0078110D"/>
    <w:rsid w:val="00783095"/>
    <w:rsid w:val="00785AF3"/>
    <w:rsid w:val="0079091E"/>
    <w:rsid w:val="0079328F"/>
    <w:rsid w:val="00794F1B"/>
    <w:rsid w:val="007967B4"/>
    <w:rsid w:val="007A32D3"/>
    <w:rsid w:val="007A3308"/>
    <w:rsid w:val="007A5552"/>
    <w:rsid w:val="007A60A3"/>
    <w:rsid w:val="007A72C0"/>
    <w:rsid w:val="007A7EBD"/>
    <w:rsid w:val="007B04AC"/>
    <w:rsid w:val="007B2CA9"/>
    <w:rsid w:val="007B5FED"/>
    <w:rsid w:val="007C404E"/>
    <w:rsid w:val="007D2958"/>
    <w:rsid w:val="007D2DA0"/>
    <w:rsid w:val="007D5528"/>
    <w:rsid w:val="007D79D2"/>
    <w:rsid w:val="007E7B4E"/>
    <w:rsid w:val="007F05B2"/>
    <w:rsid w:val="007F5634"/>
    <w:rsid w:val="00806E0D"/>
    <w:rsid w:val="00823FCA"/>
    <w:rsid w:val="00824890"/>
    <w:rsid w:val="00827F81"/>
    <w:rsid w:val="0083611F"/>
    <w:rsid w:val="008446BC"/>
    <w:rsid w:val="00845E2D"/>
    <w:rsid w:val="008531A9"/>
    <w:rsid w:val="008539B4"/>
    <w:rsid w:val="008553C1"/>
    <w:rsid w:val="0085780E"/>
    <w:rsid w:val="00861DA4"/>
    <w:rsid w:val="00863CD4"/>
    <w:rsid w:val="00864EB7"/>
    <w:rsid w:val="00865614"/>
    <w:rsid w:val="0086657E"/>
    <w:rsid w:val="00866B44"/>
    <w:rsid w:val="00867F55"/>
    <w:rsid w:val="00873D8A"/>
    <w:rsid w:val="008851A5"/>
    <w:rsid w:val="00891035"/>
    <w:rsid w:val="008927B5"/>
    <w:rsid w:val="008A11F4"/>
    <w:rsid w:val="008A22EC"/>
    <w:rsid w:val="008A28F8"/>
    <w:rsid w:val="008A63E2"/>
    <w:rsid w:val="008B445B"/>
    <w:rsid w:val="008C36F2"/>
    <w:rsid w:val="008C51A4"/>
    <w:rsid w:val="008D0326"/>
    <w:rsid w:val="008D0D31"/>
    <w:rsid w:val="008D6E2C"/>
    <w:rsid w:val="008E04E3"/>
    <w:rsid w:val="008E2459"/>
    <w:rsid w:val="008E415A"/>
    <w:rsid w:val="008E4FD6"/>
    <w:rsid w:val="008E5C99"/>
    <w:rsid w:val="008F58C1"/>
    <w:rsid w:val="008F6609"/>
    <w:rsid w:val="008F77A8"/>
    <w:rsid w:val="009001C9"/>
    <w:rsid w:val="009038D5"/>
    <w:rsid w:val="00906FD4"/>
    <w:rsid w:val="009101FF"/>
    <w:rsid w:val="00910A53"/>
    <w:rsid w:val="0092068A"/>
    <w:rsid w:val="00921285"/>
    <w:rsid w:val="00925B4F"/>
    <w:rsid w:val="0092705E"/>
    <w:rsid w:val="009310EE"/>
    <w:rsid w:val="00931907"/>
    <w:rsid w:val="00933A56"/>
    <w:rsid w:val="00937E32"/>
    <w:rsid w:val="0094142D"/>
    <w:rsid w:val="00943CC8"/>
    <w:rsid w:val="00947C70"/>
    <w:rsid w:val="00954A96"/>
    <w:rsid w:val="00954EE1"/>
    <w:rsid w:val="00962EE7"/>
    <w:rsid w:val="00966C36"/>
    <w:rsid w:val="00970027"/>
    <w:rsid w:val="00975503"/>
    <w:rsid w:val="00995D5D"/>
    <w:rsid w:val="009974F1"/>
    <w:rsid w:val="009A0DC1"/>
    <w:rsid w:val="009A4586"/>
    <w:rsid w:val="009A5AF8"/>
    <w:rsid w:val="009A6098"/>
    <w:rsid w:val="009A62B3"/>
    <w:rsid w:val="009B446B"/>
    <w:rsid w:val="009C05E9"/>
    <w:rsid w:val="009C4526"/>
    <w:rsid w:val="009D1A08"/>
    <w:rsid w:val="009D2B67"/>
    <w:rsid w:val="009D47A5"/>
    <w:rsid w:val="009E6876"/>
    <w:rsid w:val="009F6130"/>
    <w:rsid w:val="00A037B6"/>
    <w:rsid w:val="00A04076"/>
    <w:rsid w:val="00A10010"/>
    <w:rsid w:val="00A10E1F"/>
    <w:rsid w:val="00A11895"/>
    <w:rsid w:val="00A1302A"/>
    <w:rsid w:val="00A13971"/>
    <w:rsid w:val="00A16D50"/>
    <w:rsid w:val="00A23CCA"/>
    <w:rsid w:val="00A303B9"/>
    <w:rsid w:val="00A37372"/>
    <w:rsid w:val="00A46AA1"/>
    <w:rsid w:val="00A46B2C"/>
    <w:rsid w:val="00A511AD"/>
    <w:rsid w:val="00A52673"/>
    <w:rsid w:val="00A6053D"/>
    <w:rsid w:val="00A6608C"/>
    <w:rsid w:val="00A66FBA"/>
    <w:rsid w:val="00A702BE"/>
    <w:rsid w:val="00A73024"/>
    <w:rsid w:val="00A733A2"/>
    <w:rsid w:val="00A74143"/>
    <w:rsid w:val="00A76847"/>
    <w:rsid w:val="00A801E7"/>
    <w:rsid w:val="00A80E4E"/>
    <w:rsid w:val="00A80E76"/>
    <w:rsid w:val="00A831C5"/>
    <w:rsid w:val="00A848BA"/>
    <w:rsid w:val="00A86E3D"/>
    <w:rsid w:val="00A93EC0"/>
    <w:rsid w:val="00A94A48"/>
    <w:rsid w:val="00A94FE8"/>
    <w:rsid w:val="00AA036C"/>
    <w:rsid w:val="00AA70E2"/>
    <w:rsid w:val="00AB30CF"/>
    <w:rsid w:val="00AB40A9"/>
    <w:rsid w:val="00AC1F4C"/>
    <w:rsid w:val="00AC24C5"/>
    <w:rsid w:val="00AC5888"/>
    <w:rsid w:val="00AC6067"/>
    <w:rsid w:val="00AC7D37"/>
    <w:rsid w:val="00AD2226"/>
    <w:rsid w:val="00AE0FD9"/>
    <w:rsid w:val="00AE290D"/>
    <w:rsid w:val="00AE3923"/>
    <w:rsid w:val="00AF36C0"/>
    <w:rsid w:val="00AF5FC0"/>
    <w:rsid w:val="00B055A2"/>
    <w:rsid w:val="00B16875"/>
    <w:rsid w:val="00B16B6A"/>
    <w:rsid w:val="00B17E68"/>
    <w:rsid w:val="00B21660"/>
    <w:rsid w:val="00B23445"/>
    <w:rsid w:val="00B406E2"/>
    <w:rsid w:val="00B46636"/>
    <w:rsid w:val="00B50814"/>
    <w:rsid w:val="00B5162C"/>
    <w:rsid w:val="00B51809"/>
    <w:rsid w:val="00B57562"/>
    <w:rsid w:val="00B620FE"/>
    <w:rsid w:val="00B7377B"/>
    <w:rsid w:val="00B763D7"/>
    <w:rsid w:val="00B765BF"/>
    <w:rsid w:val="00B76790"/>
    <w:rsid w:val="00B77E4D"/>
    <w:rsid w:val="00B809B0"/>
    <w:rsid w:val="00B81FED"/>
    <w:rsid w:val="00B8606A"/>
    <w:rsid w:val="00B93A4F"/>
    <w:rsid w:val="00B94FFF"/>
    <w:rsid w:val="00B96AA9"/>
    <w:rsid w:val="00BA3DE1"/>
    <w:rsid w:val="00BB036D"/>
    <w:rsid w:val="00BB3605"/>
    <w:rsid w:val="00BB70B3"/>
    <w:rsid w:val="00BB7D46"/>
    <w:rsid w:val="00BC1B4F"/>
    <w:rsid w:val="00BD3085"/>
    <w:rsid w:val="00BD6511"/>
    <w:rsid w:val="00BE154F"/>
    <w:rsid w:val="00BE55BE"/>
    <w:rsid w:val="00BE5FCB"/>
    <w:rsid w:val="00BE723C"/>
    <w:rsid w:val="00BF28AB"/>
    <w:rsid w:val="00BF742A"/>
    <w:rsid w:val="00C03919"/>
    <w:rsid w:val="00C0572F"/>
    <w:rsid w:val="00C064A5"/>
    <w:rsid w:val="00C12C25"/>
    <w:rsid w:val="00C13C97"/>
    <w:rsid w:val="00C13DF0"/>
    <w:rsid w:val="00C17738"/>
    <w:rsid w:val="00C23DE7"/>
    <w:rsid w:val="00C26323"/>
    <w:rsid w:val="00C32E2B"/>
    <w:rsid w:val="00C3358D"/>
    <w:rsid w:val="00C35BB1"/>
    <w:rsid w:val="00C36861"/>
    <w:rsid w:val="00C378D0"/>
    <w:rsid w:val="00C41560"/>
    <w:rsid w:val="00C43478"/>
    <w:rsid w:val="00C5176A"/>
    <w:rsid w:val="00C55FAD"/>
    <w:rsid w:val="00C604A3"/>
    <w:rsid w:val="00C61317"/>
    <w:rsid w:val="00C62DF0"/>
    <w:rsid w:val="00C655E8"/>
    <w:rsid w:val="00C70397"/>
    <w:rsid w:val="00C7117A"/>
    <w:rsid w:val="00C74183"/>
    <w:rsid w:val="00C800CB"/>
    <w:rsid w:val="00C803A5"/>
    <w:rsid w:val="00C82C14"/>
    <w:rsid w:val="00C85078"/>
    <w:rsid w:val="00C862F8"/>
    <w:rsid w:val="00C903F9"/>
    <w:rsid w:val="00C908DB"/>
    <w:rsid w:val="00C93B23"/>
    <w:rsid w:val="00C95DDA"/>
    <w:rsid w:val="00CA0FA9"/>
    <w:rsid w:val="00CA57BA"/>
    <w:rsid w:val="00CA7746"/>
    <w:rsid w:val="00CB54CC"/>
    <w:rsid w:val="00CC069F"/>
    <w:rsid w:val="00CD4ED5"/>
    <w:rsid w:val="00CD53CA"/>
    <w:rsid w:val="00CE1628"/>
    <w:rsid w:val="00CE3D80"/>
    <w:rsid w:val="00CE5A41"/>
    <w:rsid w:val="00D010F1"/>
    <w:rsid w:val="00D01109"/>
    <w:rsid w:val="00D03BB4"/>
    <w:rsid w:val="00D05E76"/>
    <w:rsid w:val="00D06971"/>
    <w:rsid w:val="00D06B34"/>
    <w:rsid w:val="00D076FD"/>
    <w:rsid w:val="00D07E03"/>
    <w:rsid w:val="00D25B60"/>
    <w:rsid w:val="00D27A8A"/>
    <w:rsid w:val="00D30711"/>
    <w:rsid w:val="00D354FD"/>
    <w:rsid w:val="00D3570E"/>
    <w:rsid w:val="00D35D3D"/>
    <w:rsid w:val="00D422B1"/>
    <w:rsid w:val="00D425E2"/>
    <w:rsid w:val="00D45250"/>
    <w:rsid w:val="00D45488"/>
    <w:rsid w:val="00D468D7"/>
    <w:rsid w:val="00D51653"/>
    <w:rsid w:val="00D654B3"/>
    <w:rsid w:val="00D65923"/>
    <w:rsid w:val="00D65D16"/>
    <w:rsid w:val="00D66AFA"/>
    <w:rsid w:val="00D701B0"/>
    <w:rsid w:val="00D71389"/>
    <w:rsid w:val="00D761B6"/>
    <w:rsid w:val="00D76922"/>
    <w:rsid w:val="00D76D1C"/>
    <w:rsid w:val="00D82AD4"/>
    <w:rsid w:val="00D838A7"/>
    <w:rsid w:val="00D84E9D"/>
    <w:rsid w:val="00D85A3F"/>
    <w:rsid w:val="00D92695"/>
    <w:rsid w:val="00D94038"/>
    <w:rsid w:val="00DA430D"/>
    <w:rsid w:val="00DA44B1"/>
    <w:rsid w:val="00DB192A"/>
    <w:rsid w:val="00DB7463"/>
    <w:rsid w:val="00DC2275"/>
    <w:rsid w:val="00DC25AF"/>
    <w:rsid w:val="00DC40A9"/>
    <w:rsid w:val="00DC4DBF"/>
    <w:rsid w:val="00DC538C"/>
    <w:rsid w:val="00DC6EA0"/>
    <w:rsid w:val="00DD020B"/>
    <w:rsid w:val="00DD2547"/>
    <w:rsid w:val="00DD6D12"/>
    <w:rsid w:val="00DD7859"/>
    <w:rsid w:val="00DE1B7E"/>
    <w:rsid w:val="00DE31E2"/>
    <w:rsid w:val="00DE608E"/>
    <w:rsid w:val="00DF2688"/>
    <w:rsid w:val="00DF3972"/>
    <w:rsid w:val="00DF4B76"/>
    <w:rsid w:val="00DF64D4"/>
    <w:rsid w:val="00E065D6"/>
    <w:rsid w:val="00E109B6"/>
    <w:rsid w:val="00E12629"/>
    <w:rsid w:val="00E13B70"/>
    <w:rsid w:val="00E14394"/>
    <w:rsid w:val="00E14AE5"/>
    <w:rsid w:val="00E1739D"/>
    <w:rsid w:val="00E17F37"/>
    <w:rsid w:val="00E22F04"/>
    <w:rsid w:val="00E255F6"/>
    <w:rsid w:val="00E31B73"/>
    <w:rsid w:val="00E3320B"/>
    <w:rsid w:val="00E34A6F"/>
    <w:rsid w:val="00E41DD8"/>
    <w:rsid w:val="00E52A77"/>
    <w:rsid w:val="00E52B61"/>
    <w:rsid w:val="00E52BA8"/>
    <w:rsid w:val="00E56DE6"/>
    <w:rsid w:val="00E645B5"/>
    <w:rsid w:val="00E646A4"/>
    <w:rsid w:val="00E73BBC"/>
    <w:rsid w:val="00E7573A"/>
    <w:rsid w:val="00E7594B"/>
    <w:rsid w:val="00E7797A"/>
    <w:rsid w:val="00E82D02"/>
    <w:rsid w:val="00E86BB6"/>
    <w:rsid w:val="00E9039A"/>
    <w:rsid w:val="00E90C60"/>
    <w:rsid w:val="00E93784"/>
    <w:rsid w:val="00EA075C"/>
    <w:rsid w:val="00EA1752"/>
    <w:rsid w:val="00EA1C92"/>
    <w:rsid w:val="00EA1EDF"/>
    <w:rsid w:val="00EA2C97"/>
    <w:rsid w:val="00EB2F3A"/>
    <w:rsid w:val="00EB5E22"/>
    <w:rsid w:val="00EB62A5"/>
    <w:rsid w:val="00EB6518"/>
    <w:rsid w:val="00EC20C9"/>
    <w:rsid w:val="00EC6DA3"/>
    <w:rsid w:val="00ED0A26"/>
    <w:rsid w:val="00ED13BB"/>
    <w:rsid w:val="00ED6AF6"/>
    <w:rsid w:val="00ED7A75"/>
    <w:rsid w:val="00EE1DBA"/>
    <w:rsid w:val="00EF49DF"/>
    <w:rsid w:val="00EF6B54"/>
    <w:rsid w:val="00EF7458"/>
    <w:rsid w:val="00F00F80"/>
    <w:rsid w:val="00F1360D"/>
    <w:rsid w:val="00F1611B"/>
    <w:rsid w:val="00F17080"/>
    <w:rsid w:val="00F205AD"/>
    <w:rsid w:val="00F264A5"/>
    <w:rsid w:val="00F2792A"/>
    <w:rsid w:val="00F27D7F"/>
    <w:rsid w:val="00F27E5E"/>
    <w:rsid w:val="00F31BDE"/>
    <w:rsid w:val="00F35B71"/>
    <w:rsid w:val="00F362D6"/>
    <w:rsid w:val="00F37842"/>
    <w:rsid w:val="00F606DA"/>
    <w:rsid w:val="00F650AC"/>
    <w:rsid w:val="00F719DB"/>
    <w:rsid w:val="00F73D2B"/>
    <w:rsid w:val="00F7580A"/>
    <w:rsid w:val="00F82FDC"/>
    <w:rsid w:val="00F86B49"/>
    <w:rsid w:val="00F9451C"/>
    <w:rsid w:val="00F9542E"/>
    <w:rsid w:val="00F95F05"/>
    <w:rsid w:val="00FA0EC3"/>
    <w:rsid w:val="00FA4A27"/>
    <w:rsid w:val="00FA766D"/>
    <w:rsid w:val="00FA7693"/>
    <w:rsid w:val="00FB1069"/>
    <w:rsid w:val="00FB12D4"/>
    <w:rsid w:val="00FB6253"/>
    <w:rsid w:val="00FC0796"/>
    <w:rsid w:val="00FC23D6"/>
    <w:rsid w:val="00FD5279"/>
    <w:rsid w:val="00FD73AA"/>
    <w:rsid w:val="00FE6FB3"/>
    <w:rsid w:val="00FF021A"/>
    <w:rsid w:val="00FF0E78"/>
    <w:rsid w:val="00FF1380"/>
    <w:rsid w:val="00FF316F"/>
    <w:rsid w:val="00FF31A7"/>
    <w:rsid w:val="00FF4065"/>
    <w:rsid w:val="00FF467D"/>
    <w:rsid w:val="00FF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semiHidden/>
    <w:rsid w:val="00C74183"/>
    <w:rPr>
      <w:sz w:val="20"/>
      <w:szCs w:val="20"/>
    </w:rPr>
  </w:style>
  <w:style w:type="character" w:styleId="FootnoteReference">
    <w:name w:val="footnote reference"/>
    <w:semiHidden/>
    <w:rsid w:val="00C74183"/>
    <w:rPr>
      <w:vertAlign w:val="superscript"/>
    </w:rPr>
  </w:style>
  <w:style w:type="character" w:customStyle="1" w:styleId="term1">
    <w:name w:val="term1"/>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paragraph" w:styleId="BalloonText">
    <w:name w:val="Balloon Text"/>
    <w:basedOn w:val="Normal"/>
    <w:semiHidden/>
    <w:rsid w:val="00E82D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semiHidden/>
    <w:rsid w:val="00C74183"/>
    <w:rPr>
      <w:sz w:val="20"/>
      <w:szCs w:val="20"/>
    </w:rPr>
  </w:style>
  <w:style w:type="character" w:styleId="FootnoteReference">
    <w:name w:val="footnote reference"/>
    <w:semiHidden/>
    <w:rsid w:val="00C74183"/>
    <w:rPr>
      <w:vertAlign w:val="superscript"/>
    </w:rPr>
  </w:style>
  <w:style w:type="character" w:customStyle="1" w:styleId="term1">
    <w:name w:val="term1"/>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paragraph" w:styleId="BalloonText">
    <w:name w:val="Balloon Text"/>
    <w:basedOn w:val="Normal"/>
    <w:semiHidden/>
    <w:rsid w:val="00E82D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87B7D-D36C-4531-8B58-33C1D743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HOYER</dc:creator>
  <cp:lastModifiedBy>sandra elizabeth oldynski</cp:lastModifiedBy>
  <cp:revision>23</cp:revision>
  <cp:lastPrinted>2013-05-07T18:52:00Z</cp:lastPrinted>
  <dcterms:created xsi:type="dcterms:W3CDTF">2013-05-07T18:05:00Z</dcterms:created>
  <dcterms:modified xsi:type="dcterms:W3CDTF">2013-05-07T18:54:00Z</dcterms:modified>
</cp:coreProperties>
</file>